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9F51C" w14:textId="77777777" w:rsidR="003B08D1" w:rsidRDefault="003B08D1" w:rsidP="00E605BC">
      <w:pPr>
        <w:pStyle w:val="TtuloTDC"/>
        <w:spacing w:before="0" w:line="360" w:lineRule="auto"/>
        <w:contextualSpacing/>
        <w:rPr>
          <w:rFonts w:ascii="Palatino Linotype" w:eastAsia="Palatino Linotype" w:hAnsi="Palatino Linotype" w:cs="Palatino Linotype"/>
          <w:color w:val="000000" w:themeColor="text1"/>
          <w:sz w:val="22"/>
          <w:szCs w:val="22"/>
          <w:lang w:val="es-ES" w:eastAsia="es-ES"/>
        </w:rPr>
      </w:pPr>
      <w:bookmarkStart w:id="0" w:name="_Hlk196321724"/>
      <w:bookmarkStart w:id="1" w:name="_Hlk207838146"/>
      <w:bookmarkEnd w:id="0"/>
    </w:p>
    <w:sdt>
      <w:sdtPr>
        <w:rPr>
          <w:rFonts w:ascii="Palatino Linotype" w:eastAsia="Palatino Linotype" w:hAnsi="Palatino Linotype" w:cs="Palatino Linotype"/>
          <w:color w:val="000000" w:themeColor="text1"/>
          <w:sz w:val="22"/>
          <w:szCs w:val="22"/>
          <w:lang w:val="es-ES" w:eastAsia="es-ES"/>
        </w:rPr>
        <w:id w:val="789625836"/>
        <w:docPartObj>
          <w:docPartGallery w:val="Table of Contents"/>
          <w:docPartUnique/>
        </w:docPartObj>
      </w:sdtPr>
      <w:sdtEndPr>
        <w:rPr>
          <w:rFonts w:eastAsia="Times New Roman" w:cs="Times New Roman"/>
          <w:color w:val="auto"/>
          <w:sz w:val="20"/>
          <w:szCs w:val="20"/>
        </w:rPr>
      </w:sdtEndPr>
      <w:sdtContent>
        <w:p w14:paraId="354D1388" w14:textId="1D04B00C" w:rsidR="003B08D1" w:rsidRPr="00AC17E4" w:rsidRDefault="003B08D1" w:rsidP="00E605BC">
          <w:pPr>
            <w:pStyle w:val="TtuloTDC"/>
            <w:spacing w:before="0" w:line="360" w:lineRule="auto"/>
            <w:contextualSpacing/>
            <w:jc w:val="center"/>
            <w:rPr>
              <w:rFonts w:ascii="Palatino Linotype" w:hAnsi="Palatino Linotype"/>
              <w:color w:val="auto"/>
              <w:sz w:val="22"/>
              <w:szCs w:val="22"/>
            </w:rPr>
          </w:pPr>
          <w:r w:rsidRPr="00AC17E4">
            <w:rPr>
              <w:rFonts w:ascii="Palatino Linotype" w:hAnsi="Palatino Linotype"/>
              <w:color w:val="auto"/>
              <w:sz w:val="22"/>
              <w:szCs w:val="22"/>
              <w:lang w:val="es-ES"/>
            </w:rPr>
            <w:t xml:space="preserve">RESOLUCIÓN DEL RECURSO DE REVISIÓN </w:t>
          </w:r>
          <w:r w:rsidRPr="00AC17E4">
            <w:rPr>
              <w:rFonts w:ascii="Palatino Linotype" w:hAnsi="Palatino Linotype"/>
              <w:color w:val="auto"/>
              <w:sz w:val="22"/>
              <w:szCs w:val="22"/>
            </w:rPr>
            <w:t>0</w:t>
          </w:r>
          <w:r>
            <w:rPr>
              <w:rFonts w:ascii="Palatino Linotype" w:hAnsi="Palatino Linotype"/>
              <w:color w:val="auto"/>
              <w:sz w:val="22"/>
              <w:szCs w:val="22"/>
            </w:rPr>
            <w:t>144</w:t>
          </w:r>
          <w:r w:rsidR="00F41562">
            <w:rPr>
              <w:rFonts w:ascii="Palatino Linotype" w:hAnsi="Palatino Linotype"/>
              <w:color w:val="auto"/>
              <w:sz w:val="22"/>
              <w:szCs w:val="22"/>
            </w:rPr>
            <w:t>21</w:t>
          </w:r>
          <w:r w:rsidRPr="00AC17E4">
            <w:rPr>
              <w:rFonts w:ascii="Palatino Linotype" w:hAnsi="Palatino Linotype"/>
              <w:color w:val="auto"/>
              <w:sz w:val="22"/>
              <w:szCs w:val="22"/>
            </w:rPr>
            <w:t>/INFOEM/IP/RR/2025</w:t>
          </w:r>
        </w:p>
        <w:p w14:paraId="68F31282" w14:textId="77777777" w:rsidR="003B08D1" w:rsidRPr="00AC17E4" w:rsidRDefault="003B08D1" w:rsidP="00E605BC">
          <w:pPr>
            <w:pStyle w:val="TtuloTDC"/>
            <w:spacing w:before="0" w:line="360" w:lineRule="auto"/>
            <w:contextualSpacing/>
            <w:rPr>
              <w:rFonts w:ascii="Palatino Linotype" w:hAnsi="Palatino Linotype"/>
              <w:color w:val="auto"/>
              <w:sz w:val="22"/>
              <w:szCs w:val="22"/>
            </w:rPr>
          </w:pPr>
        </w:p>
        <w:p w14:paraId="7CE9AE97" w14:textId="7EA2AA21" w:rsidR="002C584C" w:rsidRPr="002C584C" w:rsidRDefault="003B08D1" w:rsidP="002C584C">
          <w:pPr>
            <w:pStyle w:val="TDC1"/>
            <w:tabs>
              <w:tab w:val="right" w:leader="dot" w:pos="8828"/>
            </w:tabs>
            <w:spacing w:line="360" w:lineRule="auto"/>
            <w:contextualSpacing/>
            <w:rPr>
              <w:rFonts w:ascii="Palatino Linotype" w:hAnsi="Palatino Linotype" w:cstheme="minorBidi"/>
              <w:noProof/>
              <w:kern w:val="2"/>
              <w:sz w:val="24"/>
              <w:szCs w:val="24"/>
              <w14:ligatures w14:val="standardContextual"/>
            </w:rPr>
          </w:pPr>
          <w:r w:rsidRPr="00995B28">
            <w:rPr>
              <w:rFonts w:ascii="Palatino Linotype" w:eastAsia="Palatino Linotype" w:hAnsi="Palatino Linotype" w:cs="Palatino Linotype"/>
              <w:color w:val="000000" w:themeColor="text1"/>
            </w:rPr>
            <w:fldChar w:fldCharType="begin"/>
          </w:r>
          <w:r w:rsidRPr="00995B28">
            <w:rPr>
              <w:rFonts w:ascii="Palatino Linotype" w:hAnsi="Palatino Linotype"/>
            </w:rPr>
            <w:instrText xml:space="preserve"> TOC \o "1-3" \h \z \u </w:instrText>
          </w:r>
          <w:r w:rsidRPr="00995B28">
            <w:rPr>
              <w:rFonts w:ascii="Palatino Linotype" w:eastAsia="Palatino Linotype" w:hAnsi="Palatino Linotype" w:cs="Palatino Linotype"/>
              <w:color w:val="000000" w:themeColor="text1"/>
            </w:rPr>
            <w:fldChar w:fldCharType="separate"/>
          </w:r>
          <w:hyperlink w:anchor="_Toc222865683" w:history="1">
            <w:r w:rsidR="002C584C" w:rsidRPr="002C584C">
              <w:rPr>
                <w:rStyle w:val="Hipervnculo"/>
                <w:rFonts w:ascii="Palatino Linotype" w:hAnsi="Palatino Linotype"/>
                <w:noProof/>
              </w:rPr>
              <w:t>A N T E C E D E N T E S</w:t>
            </w:r>
            <w:r w:rsidR="002C584C" w:rsidRPr="002C584C">
              <w:rPr>
                <w:rFonts w:ascii="Palatino Linotype" w:hAnsi="Palatino Linotype"/>
                <w:noProof/>
                <w:webHidden/>
              </w:rPr>
              <w:tab/>
            </w:r>
            <w:r w:rsidR="002C584C" w:rsidRPr="002C584C">
              <w:rPr>
                <w:rFonts w:ascii="Palatino Linotype" w:hAnsi="Palatino Linotype"/>
                <w:noProof/>
                <w:webHidden/>
              </w:rPr>
              <w:fldChar w:fldCharType="begin"/>
            </w:r>
            <w:r w:rsidR="002C584C" w:rsidRPr="002C584C">
              <w:rPr>
                <w:rFonts w:ascii="Palatino Linotype" w:hAnsi="Palatino Linotype"/>
                <w:noProof/>
                <w:webHidden/>
              </w:rPr>
              <w:instrText xml:space="preserve"> PAGEREF _Toc222865683 \h </w:instrText>
            </w:r>
            <w:r w:rsidR="002C584C" w:rsidRPr="002C584C">
              <w:rPr>
                <w:rFonts w:ascii="Palatino Linotype" w:hAnsi="Palatino Linotype"/>
                <w:noProof/>
                <w:webHidden/>
              </w:rPr>
            </w:r>
            <w:r w:rsidR="002C584C" w:rsidRPr="002C584C">
              <w:rPr>
                <w:rFonts w:ascii="Palatino Linotype" w:hAnsi="Palatino Linotype"/>
                <w:noProof/>
                <w:webHidden/>
              </w:rPr>
              <w:fldChar w:fldCharType="separate"/>
            </w:r>
            <w:r w:rsidR="007B04ED">
              <w:rPr>
                <w:rFonts w:ascii="Palatino Linotype" w:hAnsi="Palatino Linotype"/>
                <w:noProof/>
                <w:webHidden/>
              </w:rPr>
              <w:t>2</w:t>
            </w:r>
            <w:r w:rsidR="002C584C" w:rsidRPr="002C584C">
              <w:rPr>
                <w:rFonts w:ascii="Palatino Linotype" w:hAnsi="Palatino Linotype"/>
                <w:noProof/>
                <w:webHidden/>
              </w:rPr>
              <w:fldChar w:fldCharType="end"/>
            </w:r>
          </w:hyperlink>
        </w:p>
        <w:p w14:paraId="2BDBD0FD" w14:textId="747C9C07" w:rsidR="002C584C" w:rsidRPr="002C584C" w:rsidRDefault="002C584C" w:rsidP="002C584C">
          <w:pPr>
            <w:pStyle w:val="TDC2"/>
            <w:tabs>
              <w:tab w:val="right" w:leader="dot" w:pos="8828"/>
            </w:tabs>
            <w:spacing w:line="360" w:lineRule="auto"/>
            <w:contextualSpacing/>
            <w:rPr>
              <w:rFonts w:ascii="Palatino Linotype" w:hAnsi="Palatino Linotype" w:cstheme="minorBidi"/>
              <w:noProof/>
              <w:kern w:val="2"/>
              <w:sz w:val="24"/>
              <w:szCs w:val="24"/>
              <w14:ligatures w14:val="standardContextual"/>
            </w:rPr>
          </w:pPr>
          <w:hyperlink w:anchor="_Toc222865684" w:history="1">
            <w:r w:rsidRPr="002C584C">
              <w:rPr>
                <w:rStyle w:val="Hipervnculo"/>
                <w:rFonts w:ascii="Palatino Linotype" w:hAnsi="Palatino Linotype"/>
                <w:noProof/>
              </w:rPr>
              <w:t>I. Presentación de la solicitud de información</w:t>
            </w:r>
            <w:r w:rsidRPr="002C584C">
              <w:rPr>
                <w:rFonts w:ascii="Palatino Linotype" w:hAnsi="Palatino Linotype"/>
                <w:noProof/>
                <w:webHidden/>
              </w:rPr>
              <w:tab/>
            </w:r>
            <w:r w:rsidRPr="002C584C">
              <w:rPr>
                <w:rFonts w:ascii="Palatino Linotype" w:hAnsi="Palatino Linotype"/>
                <w:noProof/>
                <w:webHidden/>
              </w:rPr>
              <w:fldChar w:fldCharType="begin"/>
            </w:r>
            <w:r w:rsidRPr="002C584C">
              <w:rPr>
                <w:rFonts w:ascii="Palatino Linotype" w:hAnsi="Palatino Linotype"/>
                <w:noProof/>
                <w:webHidden/>
              </w:rPr>
              <w:instrText xml:space="preserve"> PAGEREF _Toc222865684 \h </w:instrText>
            </w:r>
            <w:r w:rsidRPr="002C584C">
              <w:rPr>
                <w:rFonts w:ascii="Palatino Linotype" w:hAnsi="Palatino Linotype"/>
                <w:noProof/>
                <w:webHidden/>
              </w:rPr>
            </w:r>
            <w:r w:rsidRPr="002C584C">
              <w:rPr>
                <w:rFonts w:ascii="Palatino Linotype" w:hAnsi="Palatino Linotype"/>
                <w:noProof/>
                <w:webHidden/>
              </w:rPr>
              <w:fldChar w:fldCharType="separate"/>
            </w:r>
            <w:r w:rsidR="007B04ED">
              <w:rPr>
                <w:rFonts w:ascii="Palatino Linotype" w:hAnsi="Palatino Linotype"/>
                <w:noProof/>
                <w:webHidden/>
              </w:rPr>
              <w:t>2</w:t>
            </w:r>
            <w:r w:rsidRPr="002C584C">
              <w:rPr>
                <w:rFonts w:ascii="Palatino Linotype" w:hAnsi="Palatino Linotype"/>
                <w:noProof/>
                <w:webHidden/>
              </w:rPr>
              <w:fldChar w:fldCharType="end"/>
            </w:r>
          </w:hyperlink>
        </w:p>
        <w:p w14:paraId="2AED56BF" w14:textId="5F365BE3" w:rsidR="002C584C" w:rsidRPr="002C584C" w:rsidRDefault="002C584C" w:rsidP="002C584C">
          <w:pPr>
            <w:pStyle w:val="TDC2"/>
            <w:tabs>
              <w:tab w:val="right" w:leader="dot" w:pos="8828"/>
            </w:tabs>
            <w:spacing w:line="360" w:lineRule="auto"/>
            <w:contextualSpacing/>
            <w:rPr>
              <w:rFonts w:ascii="Palatino Linotype" w:hAnsi="Palatino Linotype" w:cstheme="minorBidi"/>
              <w:noProof/>
              <w:kern w:val="2"/>
              <w:sz w:val="24"/>
              <w:szCs w:val="24"/>
              <w14:ligatures w14:val="standardContextual"/>
            </w:rPr>
          </w:pPr>
          <w:hyperlink w:anchor="_Toc222865685" w:history="1">
            <w:r w:rsidRPr="002C584C">
              <w:rPr>
                <w:rStyle w:val="Hipervnculo"/>
                <w:rFonts w:ascii="Palatino Linotype" w:hAnsi="Palatino Linotype"/>
                <w:noProof/>
              </w:rPr>
              <w:t>II. Respuesta del Sujeto Obligado</w:t>
            </w:r>
            <w:r w:rsidRPr="002C584C">
              <w:rPr>
                <w:rFonts w:ascii="Palatino Linotype" w:hAnsi="Palatino Linotype"/>
                <w:noProof/>
                <w:webHidden/>
              </w:rPr>
              <w:tab/>
            </w:r>
            <w:r w:rsidRPr="002C584C">
              <w:rPr>
                <w:rFonts w:ascii="Palatino Linotype" w:hAnsi="Palatino Linotype"/>
                <w:noProof/>
                <w:webHidden/>
              </w:rPr>
              <w:fldChar w:fldCharType="begin"/>
            </w:r>
            <w:r w:rsidRPr="002C584C">
              <w:rPr>
                <w:rFonts w:ascii="Palatino Linotype" w:hAnsi="Palatino Linotype"/>
                <w:noProof/>
                <w:webHidden/>
              </w:rPr>
              <w:instrText xml:space="preserve"> PAGEREF _Toc222865685 \h </w:instrText>
            </w:r>
            <w:r w:rsidRPr="002C584C">
              <w:rPr>
                <w:rFonts w:ascii="Palatino Linotype" w:hAnsi="Palatino Linotype"/>
                <w:noProof/>
                <w:webHidden/>
              </w:rPr>
            </w:r>
            <w:r w:rsidRPr="002C584C">
              <w:rPr>
                <w:rFonts w:ascii="Palatino Linotype" w:hAnsi="Palatino Linotype"/>
                <w:noProof/>
                <w:webHidden/>
              </w:rPr>
              <w:fldChar w:fldCharType="separate"/>
            </w:r>
            <w:r w:rsidR="007B04ED">
              <w:rPr>
                <w:rFonts w:ascii="Palatino Linotype" w:hAnsi="Palatino Linotype"/>
                <w:noProof/>
                <w:webHidden/>
              </w:rPr>
              <w:t>3</w:t>
            </w:r>
            <w:r w:rsidRPr="002C584C">
              <w:rPr>
                <w:rFonts w:ascii="Palatino Linotype" w:hAnsi="Palatino Linotype"/>
                <w:noProof/>
                <w:webHidden/>
              </w:rPr>
              <w:fldChar w:fldCharType="end"/>
            </w:r>
          </w:hyperlink>
        </w:p>
        <w:p w14:paraId="6E25B93F" w14:textId="399907DE" w:rsidR="002C584C" w:rsidRPr="002C584C" w:rsidRDefault="002C584C" w:rsidP="002C584C">
          <w:pPr>
            <w:pStyle w:val="TDC2"/>
            <w:tabs>
              <w:tab w:val="right" w:leader="dot" w:pos="8828"/>
            </w:tabs>
            <w:spacing w:line="360" w:lineRule="auto"/>
            <w:contextualSpacing/>
            <w:rPr>
              <w:rFonts w:ascii="Palatino Linotype" w:hAnsi="Palatino Linotype" w:cstheme="minorBidi"/>
              <w:noProof/>
              <w:kern w:val="2"/>
              <w:sz w:val="24"/>
              <w:szCs w:val="24"/>
              <w14:ligatures w14:val="standardContextual"/>
            </w:rPr>
          </w:pPr>
          <w:hyperlink w:anchor="_Toc222865686" w:history="1">
            <w:r w:rsidRPr="002C584C">
              <w:rPr>
                <w:rStyle w:val="Hipervnculo"/>
                <w:rFonts w:ascii="Palatino Linotype" w:hAnsi="Palatino Linotype"/>
                <w:noProof/>
                <w:lang w:eastAsia="en-US"/>
              </w:rPr>
              <w:t>III. Interposición del Recurso de Revisión</w:t>
            </w:r>
            <w:r w:rsidRPr="002C584C">
              <w:rPr>
                <w:rFonts w:ascii="Palatino Linotype" w:hAnsi="Palatino Linotype"/>
                <w:noProof/>
                <w:webHidden/>
              </w:rPr>
              <w:tab/>
            </w:r>
            <w:r w:rsidRPr="002C584C">
              <w:rPr>
                <w:rFonts w:ascii="Palatino Linotype" w:hAnsi="Palatino Linotype"/>
                <w:noProof/>
                <w:webHidden/>
              </w:rPr>
              <w:fldChar w:fldCharType="begin"/>
            </w:r>
            <w:r w:rsidRPr="002C584C">
              <w:rPr>
                <w:rFonts w:ascii="Palatino Linotype" w:hAnsi="Palatino Linotype"/>
                <w:noProof/>
                <w:webHidden/>
              </w:rPr>
              <w:instrText xml:space="preserve"> PAGEREF _Toc222865686 \h </w:instrText>
            </w:r>
            <w:r w:rsidRPr="002C584C">
              <w:rPr>
                <w:rFonts w:ascii="Palatino Linotype" w:hAnsi="Palatino Linotype"/>
                <w:noProof/>
                <w:webHidden/>
              </w:rPr>
            </w:r>
            <w:r w:rsidRPr="002C584C">
              <w:rPr>
                <w:rFonts w:ascii="Palatino Linotype" w:hAnsi="Palatino Linotype"/>
                <w:noProof/>
                <w:webHidden/>
              </w:rPr>
              <w:fldChar w:fldCharType="separate"/>
            </w:r>
            <w:r w:rsidR="007B04ED">
              <w:rPr>
                <w:rFonts w:ascii="Palatino Linotype" w:hAnsi="Palatino Linotype"/>
                <w:noProof/>
                <w:webHidden/>
              </w:rPr>
              <w:t>3</w:t>
            </w:r>
            <w:r w:rsidRPr="002C584C">
              <w:rPr>
                <w:rFonts w:ascii="Palatino Linotype" w:hAnsi="Palatino Linotype"/>
                <w:noProof/>
                <w:webHidden/>
              </w:rPr>
              <w:fldChar w:fldCharType="end"/>
            </w:r>
          </w:hyperlink>
        </w:p>
        <w:p w14:paraId="38409A40" w14:textId="402A2C22" w:rsidR="002C584C" w:rsidRPr="002C584C" w:rsidRDefault="002C584C" w:rsidP="002C584C">
          <w:pPr>
            <w:pStyle w:val="TDC2"/>
            <w:tabs>
              <w:tab w:val="right" w:leader="dot" w:pos="8828"/>
            </w:tabs>
            <w:spacing w:line="360" w:lineRule="auto"/>
            <w:contextualSpacing/>
            <w:rPr>
              <w:rFonts w:ascii="Palatino Linotype" w:hAnsi="Palatino Linotype" w:cstheme="minorBidi"/>
              <w:noProof/>
              <w:kern w:val="2"/>
              <w:sz w:val="24"/>
              <w:szCs w:val="24"/>
              <w14:ligatures w14:val="standardContextual"/>
            </w:rPr>
          </w:pPr>
          <w:hyperlink w:anchor="_Toc222865687" w:history="1">
            <w:r w:rsidRPr="002C584C">
              <w:rPr>
                <w:rStyle w:val="Hipervnculo"/>
                <w:rFonts w:ascii="Palatino Linotype" w:hAnsi="Palatino Linotype"/>
                <w:noProof/>
                <w:lang w:eastAsia="en-US"/>
              </w:rPr>
              <w:t>IV. Trámite del Recurso de Revisión ante el Instituto</w:t>
            </w:r>
            <w:r w:rsidRPr="002C584C">
              <w:rPr>
                <w:rFonts w:ascii="Palatino Linotype" w:hAnsi="Palatino Linotype"/>
                <w:noProof/>
                <w:webHidden/>
              </w:rPr>
              <w:tab/>
            </w:r>
            <w:r w:rsidRPr="002C584C">
              <w:rPr>
                <w:rFonts w:ascii="Palatino Linotype" w:hAnsi="Palatino Linotype"/>
                <w:noProof/>
                <w:webHidden/>
              </w:rPr>
              <w:fldChar w:fldCharType="begin"/>
            </w:r>
            <w:r w:rsidRPr="002C584C">
              <w:rPr>
                <w:rFonts w:ascii="Palatino Linotype" w:hAnsi="Palatino Linotype"/>
                <w:noProof/>
                <w:webHidden/>
              </w:rPr>
              <w:instrText xml:space="preserve"> PAGEREF _Toc222865687 \h </w:instrText>
            </w:r>
            <w:r w:rsidRPr="002C584C">
              <w:rPr>
                <w:rFonts w:ascii="Palatino Linotype" w:hAnsi="Palatino Linotype"/>
                <w:noProof/>
                <w:webHidden/>
              </w:rPr>
            </w:r>
            <w:r w:rsidRPr="002C584C">
              <w:rPr>
                <w:rFonts w:ascii="Palatino Linotype" w:hAnsi="Palatino Linotype"/>
                <w:noProof/>
                <w:webHidden/>
              </w:rPr>
              <w:fldChar w:fldCharType="separate"/>
            </w:r>
            <w:r w:rsidR="007B04ED">
              <w:rPr>
                <w:rFonts w:ascii="Palatino Linotype" w:hAnsi="Palatino Linotype"/>
                <w:noProof/>
                <w:webHidden/>
              </w:rPr>
              <w:t>5</w:t>
            </w:r>
            <w:r w:rsidRPr="002C584C">
              <w:rPr>
                <w:rFonts w:ascii="Palatino Linotype" w:hAnsi="Palatino Linotype"/>
                <w:noProof/>
                <w:webHidden/>
              </w:rPr>
              <w:fldChar w:fldCharType="end"/>
            </w:r>
          </w:hyperlink>
        </w:p>
        <w:p w14:paraId="216A668A" w14:textId="72629C5E" w:rsidR="002C584C" w:rsidRPr="002C584C" w:rsidRDefault="002C584C" w:rsidP="002C584C">
          <w:pPr>
            <w:pStyle w:val="TDC2"/>
            <w:tabs>
              <w:tab w:val="right" w:leader="dot" w:pos="8828"/>
            </w:tabs>
            <w:spacing w:line="360" w:lineRule="auto"/>
            <w:contextualSpacing/>
            <w:rPr>
              <w:rFonts w:ascii="Palatino Linotype" w:hAnsi="Palatino Linotype" w:cstheme="minorBidi"/>
              <w:noProof/>
              <w:kern w:val="2"/>
              <w:sz w:val="24"/>
              <w:szCs w:val="24"/>
              <w14:ligatures w14:val="standardContextual"/>
            </w:rPr>
          </w:pPr>
          <w:hyperlink w:anchor="_Toc222865688" w:history="1">
            <w:r w:rsidRPr="002C584C">
              <w:rPr>
                <w:rStyle w:val="Hipervnculo"/>
                <w:rFonts w:ascii="Palatino Linotype" w:hAnsi="Palatino Linotype"/>
                <w:noProof/>
              </w:rPr>
              <w:t>c)</w:t>
            </w:r>
            <w:r w:rsidRPr="002C584C">
              <w:rPr>
                <w:rFonts w:ascii="Palatino Linotype" w:hAnsi="Palatino Linotype"/>
                <w:noProof/>
                <w:webHidden/>
              </w:rPr>
              <w:tab/>
            </w:r>
            <w:r w:rsidRPr="002C584C">
              <w:rPr>
                <w:rFonts w:ascii="Palatino Linotype" w:hAnsi="Palatino Linotype"/>
                <w:noProof/>
                <w:webHidden/>
              </w:rPr>
              <w:fldChar w:fldCharType="begin"/>
            </w:r>
            <w:r w:rsidRPr="002C584C">
              <w:rPr>
                <w:rFonts w:ascii="Palatino Linotype" w:hAnsi="Palatino Linotype"/>
                <w:noProof/>
                <w:webHidden/>
              </w:rPr>
              <w:instrText xml:space="preserve"> PAGEREF _Toc222865688 \h </w:instrText>
            </w:r>
            <w:r w:rsidRPr="002C584C">
              <w:rPr>
                <w:rFonts w:ascii="Palatino Linotype" w:hAnsi="Palatino Linotype"/>
                <w:noProof/>
                <w:webHidden/>
              </w:rPr>
            </w:r>
            <w:r w:rsidRPr="002C584C">
              <w:rPr>
                <w:rFonts w:ascii="Palatino Linotype" w:hAnsi="Palatino Linotype"/>
                <w:noProof/>
                <w:webHidden/>
              </w:rPr>
              <w:fldChar w:fldCharType="separate"/>
            </w:r>
            <w:r w:rsidR="007B04ED">
              <w:rPr>
                <w:rFonts w:ascii="Palatino Linotype" w:hAnsi="Palatino Linotype"/>
                <w:noProof/>
                <w:webHidden/>
              </w:rPr>
              <w:t>5</w:t>
            </w:r>
            <w:r w:rsidRPr="002C584C">
              <w:rPr>
                <w:rFonts w:ascii="Palatino Linotype" w:hAnsi="Palatino Linotype"/>
                <w:noProof/>
                <w:webHidden/>
              </w:rPr>
              <w:fldChar w:fldCharType="end"/>
            </w:r>
          </w:hyperlink>
        </w:p>
        <w:p w14:paraId="09EC7515" w14:textId="7669AF7F" w:rsidR="002C584C" w:rsidRPr="002C584C" w:rsidRDefault="002C584C" w:rsidP="002C584C">
          <w:pPr>
            <w:pStyle w:val="TDC1"/>
            <w:tabs>
              <w:tab w:val="right" w:leader="dot" w:pos="8828"/>
            </w:tabs>
            <w:spacing w:line="360" w:lineRule="auto"/>
            <w:contextualSpacing/>
            <w:rPr>
              <w:rFonts w:ascii="Palatino Linotype" w:hAnsi="Palatino Linotype" w:cstheme="minorBidi"/>
              <w:noProof/>
              <w:kern w:val="2"/>
              <w:sz w:val="24"/>
              <w:szCs w:val="24"/>
              <w14:ligatures w14:val="standardContextual"/>
            </w:rPr>
          </w:pPr>
          <w:hyperlink w:anchor="_Toc222865689" w:history="1">
            <w:r w:rsidRPr="002C584C">
              <w:rPr>
                <w:rStyle w:val="Hipervnculo"/>
                <w:rFonts w:ascii="Palatino Linotype" w:hAnsi="Palatino Linotype"/>
                <w:noProof/>
                <w:lang w:val="es-ES"/>
              </w:rPr>
              <w:t>C O N S I D E R A N D O S</w:t>
            </w:r>
            <w:r w:rsidRPr="002C584C">
              <w:rPr>
                <w:rFonts w:ascii="Palatino Linotype" w:hAnsi="Palatino Linotype"/>
                <w:noProof/>
                <w:webHidden/>
              </w:rPr>
              <w:tab/>
            </w:r>
            <w:r w:rsidRPr="002C584C">
              <w:rPr>
                <w:rFonts w:ascii="Palatino Linotype" w:hAnsi="Palatino Linotype"/>
                <w:noProof/>
                <w:webHidden/>
              </w:rPr>
              <w:fldChar w:fldCharType="begin"/>
            </w:r>
            <w:r w:rsidRPr="002C584C">
              <w:rPr>
                <w:rFonts w:ascii="Palatino Linotype" w:hAnsi="Palatino Linotype"/>
                <w:noProof/>
                <w:webHidden/>
              </w:rPr>
              <w:instrText xml:space="preserve"> PAGEREF _Toc222865689 \h </w:instrText>
            </w:r>
            <w:r w:rsidRPr="002C584C">
              <w:rPr>
                <w:rFonts w:ascii="Palatino Linotype" w:hAnsi="Palatino Linotype"/>
                <w:noProof/>
                <w:webHidden/>
              </w:rPr>
            </w:r>
            <w:r w:rsidRPr="002C584C">
              <w:rPr>
                <w:rFonts w:ascii="Palatino Linotype" w:hAnsi="Palatino Linotype"/>
                <w:noProof/>
                <w:webHidden/>
              </w:rPr>
              <w:fldChar w:fldCharType="separate"/>
            </w:r>
            <w:r w:rsidR="007B04ED">
              <w:rPr>
                <w:rFonts w:ascii="Palatino Linotype" w:hAnsi="Palatino Linotype"/>
                <w:noProof/>
                <w:webHidden/>
              </w:rPr>
              <w:t>7</w:t>
            </w:r>
            <w:r w:rsidRPr="002C584C">
              <w:rPr>
                <w:rFonts w:ascii="Palatino Linotype" w:hAnsi="Palatino Linotype"/>
                <w:noProof/>
                <w:webHidden/>
              </w:rPr>
              <w:fldChar w:fldCharType="end"/>
            </w:r>
          </w:hyperlink>
        </w:p>
        <w:p w14:paraId="4F545BE7" w14:textId="44DE2403" w:rsidR="002C584C" w:rsidRPr="002C584C" w:rsidRDefault="002C584C" w:rsidP="002C584C">
          <w:pPr>
            <w:pStyle w:val="TDC2"/>
            <w:tabs>
              <w:tab w:val="right" w:leader="dot" w:pos="8828"/>
            </w:tabs>
            <w:spacing w:line="360" w:lineRule="auto"/>
            <w:contextualSpacing/>
            <w:rPr>
              <w:rFonts w:ascii="Palatino Linotype" w:hAnsi="Palatino Linotype" w:cstheme="minorBidi"/>
              <w:noProof/>
              <w:kern w:val="2"/>
              <w:sz w:val="24"/>
              <w:szCs w:val="24"/>
              <w14:ligatures w14:val="standardContextual"/>
            </w:rPr>
          </w:pPr>
          <w:hyperlink w:anchor="_Toc222865690" w:history="1">
            <w:r w:rsidRPr="002C584C">
              <w:rPr>
                <w:rStyle w:val="Hipervnculo"/>
                <w:rFonts w:ascii="Palatino Linotype" w:eastAsia="Calibri" w:hAnsi="Palatino Linotype"/>
                <w:noProof/>
                <w:lang w:val="es-ES"/>
              </w:rPr>
              <w:t xml:space="preserve">PRIMERO. </w:t>
            </w:r>
            <w:r w:rsidRPr="002C584C">
              <w:rPr>
                <w:rStyle w:val="Hipervnculo"/>
                <w:rFonts w:ascii="Palatino Linotype" w:hAnsi="Palatino Linotype"/>
                <w:noProof/>
                <w:lang w:val="es-ES"/>
              </w:rPr>
              <w:t>Competencia</w:t>
            </w:r>
            <w:r w:rsidRPr="002C584C">
              <w:rPr>
                <w:rFonts w:ascii="Palatino Linotype" w:hAnsi="Palatino Linotype"/>
                <w:noProof/>
                <w:webHidden/>
              </w:rPr>
              <w:tab/>
            </w:r>
            <w:r w:rsidRPr="002C584C">
              <w:rPr>
                <w:rFonts w:ascii="Palatino Linotype" w:hAnsi="Palatino Linotype"/>
                <w:noProof/>
                <w:webHidden/>
              </w:rPr>
              <w:fldChar w:fldCharType="begin"/>
            </w:r>
            <w:r w:rsidRPr="002C584C">
              <w:rPr>
                <w:rFonts w:ascii="Palatino Linotype" w:hAnsi="Palatino Linotype"/>
                <w:noProof/>
                <w:webHidden/>
              </w:rPr>
              <w:instrText xml:space="preserve"> PAGEREF _Toc222865690 \h </w:instrText>
            </w:r>
            <w:r w:rsidRPr="002C584C">
              <w:rPr>
                <w:rFonts w:ascii="Palatino Linotype" w:hAnsi="Palatino Linotype"/>
                <w:noProof/>
                <w:webHidden/>
              </w:rPr>
            </w:r>
            <w:r w:rsidRPr="002C584C">
              <w:rPr>
                <w:rFonts w:ascii="Palatino Linotype" w:hAnsi="Palatino Linotype"/>
                <w:noProof/>
                <w:webHidden/>
              </w:rPr>
              <w:fldChar w:fldCharType="separate"/>
            </w:r>
            <w:r w:rsidR="007B04ED">
              <w:rPr>
                <w:rFonts w:ascii="Palatino Linotype" w:hAnsi="Palatino Linotype"/>
                <w:noProof/>
                <w:webHidden/>
              </w:rPr>
              <w:t>7</w:t>
            </w:r>
            <w:r w:rsidRPr="002C584C">
              <w:rPr>
                <w:rFonts w:ascii="Palatino Linotype" w:hAnsi="Palatino Linotype"/>
                <w:noProof/>
                <w:webHidden/>
              </w:rPr>
              <w:fldChar w:fldCharType="end"/>
            </w:r>
          </w:hyperlink>
        </w:p>
        <w:p w14:paraId="72568C60" w14:textId="5964E3F3" w:rsidR="002C584C" w:rsidRPr="002C584C" w:rsidRDefault="002C584C" w:rsidP="002C584C">
          <w:pPr>
            <w:pStyle w:val="TDC2"/>
            <w:tabs>
              <w:tab w:val="right" w:leader="dot" w:pos="8828"/>
            </w:tabs>
            <w:spacing w:line="360" w:lineRule="auto"/>
            <w:contextualSpacing/>
            <w:rPr>
              <w:rFonts w:ascii="Palatino Linotype" w:hAnsi="Palatino Linotype" w:cstheme="minorBidi"/>
              <w:noProof/>
              <w:kern w:val="2"/>
              <w:sz w:val="24"/>
              <w:szCs w:val="24"/>
              <w14:ligatures w14:val="standardContextual"/>
            </w:rPr>
          </w:pPr>
          <w:hyperlink w:anchor="_Toc222865691" w:history="1">
            <w:r w:rsidRPr="002C584C">
              <w:rPr>
                <w:rStyle w:val="Hipervnculo"/>
                <w:rFonts w:ascii="Palatino Linotype" w:eastAsia="Calibri" w:hAnsi="Palatino Linotype"/>
                <w:noProof/>
                <w:lang w:val="es-ES"/>
              </w:rPr>
              <w:t xml:space="preserve">SEGUNDO. </w:t>
            </w:r>
            <w:r w:rsidRPr="002C584C">
              <w:rPr>
                <w:rStyle w:val="Hipervnculo"/>
                <w:rFonts w:ascii="Palatino Linotype" w:hAnsi="Palatino Linotype"/>
                <w:noProof/>
                <w:lang w:val="es-ES"/>
              </w:rPr>
              <w:t>Causales de improcedencia y Sobreseimiento</w:t>
            </w:r>
            <w:r w:rsidRPr="002C584C">
              <w:rPr>
                <w:rFonts w:ascii="Palatino Linotype" w:hAnsi="Palatino Linotype"/>
                <w:noProof/>
                <w:webHidden/>
              </w:rPr>
              <w:tab/>
            </w:r>
            <w:r w:rsidRPr="002C584C">
              <w:rPr>
                <w:rFonts w:ascii="Palatino Linotype" w:hAnsi="Palatino Linotype"/>
                <w:noProof/>
                <w:webHidden/>
              </w:rPr>
              <w:fldChar w:fldCharType="begin"/>
            </w:r>
            <w:r w:rsidRPr="002C584C">
              <w:rPr>
                <w:rFonts w:ascii="Palatino Linotype" w:hAnsi="Palatino Linotype"/>
                <w:noProof/>
                <w:webHidden/>
              </w:rPr>
              <w:instrText xml:space="preserve"> PAGEREF _Toc222865691 \h </w:instrText>
            </w:r>
            <w:r w:rsidRPr="002C584C">
              <w:rPr>
                <w:rFonts w:ascii="Palatino Linotype" w:hAnsi="Palatino Linotype"/>
                <w:noProof/>
                <w:webHidden/>
              </w:rPr>
            </w:r>
            <w:r w:rsidRPr="002C584C">
              <w:rPr>
                <w:rFonts w:ascii="Palatino Linotype" w:hAnsi="Palatino Linotype"/>
                <w:noProof/>
                <w:webHidden/>
              </w:rPr>
              <w:fldChar w:fldCharType="separate"/>
            </w:r>
            <w:r w:rsidR="007B04ED">
              <w:rPr>
                <w:rFonts w:ascii="Palatino Linotype" w:hAnsi="Palatino Linotype"/>
                <w:noProof/>
                <w:webHidden/>
              </w:rPr>
              <w:t>7</w:t>
            </w:r>
            <w:r w:rsidRPr="002C584C">
              <w:rPr>
                <w:rFonts w:ascii="Palatino Linotype" w:hAnsi="Palatino Linotype"/>
                <w:noProof/>
                <w:webHidden/>
              </w:rPr>
              <w:fldChar w:fldCharType="end"/>
            </w:r>
          </w:hyperlink>
        </w:p>
        <w:p w14:paraId="7D542872" w14:textId="5449A62A" w:rsidR="002C584C" w:rsidRPr="002C584C" w:rsidRDefault="002C584C" w:rsidP="002C584C">
          <w:pPr>
            <w:pStyle w:val="TDC2"/>
            <w:tabs>
              <w:tab w:val="right" w:leader="dot" w:pos="8828"/>
            </w:tabs>
            <w:spacing w:line="360" w:lineRule="auto"/>
            <w:contextualSpacing/>
            <w:rPr>
              <w:rFonts w:ascii="Palatino Linotype" w:hAnsi="Palatino Linotype" w:cstheme="minorBidi"/>
              <w:noProof/>
              <w:kern w:val="2"/>
              <w:sz w:val="24"/>
              <w:szCs w:val="24"/>
              <w14:ligatures w14:val="standardContextual"/>
            </w:rPr>
          </w:pPr>
          <w:hyperlink w:anchor="_Toc222865692" w:history="1">
            <w:r w:rsidRPr="002C584C">
              <w:rPr>
                <w:rStyle w:val="Hipervnculo"/>
                <w:rFonts w:ascii="Palatino Linotype" w:hAnsi="Palatino Linotype"/>
                <w:noProof/>
                <w:lang w:val="es-ES"/>
              </w:rPr>
              <w:t>TERCERO. Determinación de la Controversia</w:t>
            </w:r>
            <w:r w:rsidRPr="002C584C">
              <w:rPr>
                <w:rFonts w:ascii="Palatino Linotype" w:hAnsi="Palatino Linotype"/>
                <w:noProof/>
                <w:webHidden/>
              </w:rPr>
              <w:tab/>
            </w:r>
            <w:r w:rsidRPr="002C584C">
              <w:rPr>
                <w:rFonts w:ascii="Palatino Linotype" w:hAnsi="Palatino Linotype"/>
                <w:noProof/>
                <w:webHidden/>
              </w:rPr>
              <w:fldChar w:fldCharType="begin"/>
            </w:r>
            <w:r w:rsidRPr="002C584C">
              <w:rPr>
                <w:rFonts w:ascii="Palatino Linotype" w:hAnsi="Palatino Linotype"/>
                <w:noProof/>
                <w:webHidden/>
              </w:rPr>
              <w:instrText xml:space="preserve"> PAGEREF _Toc222865692 \h </w:instrText>
            </w:r>
            <w:r w:rsidRPr="002C584C">
              <w:rPr>
                <w:rFonts w:ascii="Palatino Linotype" w:hAnsi="Palatino Linotype"/>
                <w:noProof/>
                <w:webHidden/>
              </w:rPr>
            </w:r>
            <w:r w:rsidRPr="002C584C">
              <w:rPr>
                <w:rFonts w:ascii="Palatino Linotype" w:hAnsi="Palatino Linotype"/>
                <w:noProof/>
                <w:webHidden/>
              </w:rPr>
              <w:fldChar w:fldCharType="separate"/>
            </w:r>
            <w:r w:rsidR="007B04ED">
              <w:rPr>
                <w:rFonts w:ascii="Palatino Linotype" w:hAnsi="Palatino Linotype"/>
                <w:noProof/>
                <w:webHidden/>
              </w:rPr>
              <w:t>9</w:t>
            </w:r>
            <w:r w:rsidRPr="002C584C">
              <w:rPr>
                <w:rFonts w:ascii="Palatino Linotype" w:hAnsi="Palatino Linotype"/>
                <w:noProof/>
                <w:webHidden/>
              </w:rPr>
              <w:fldChar w:fldCharType="end"/>
            </w:r>
          </w:hyperlink>
        </w:p>
        <w:p w14:paraId="20A09B12" w14:textId="329358D9" w:rsidR="002C584C" w:rsidRPr="002C584C" w:rsidRDefault="002C584C" w:rsidP="002C584C">
          <w:pPr>
            <w:pStyle w:val="TDC2"/>
            <w:tabs>
              <w:tab w:val="right" w:leader="dot" w:pos="8828"/>
            </w:tabs>
            <w:spacing w:line="360" w:lineRule="auto"/>
            <w:contextualSpacing/>
            <w:rPr>
              <w:rFonts w:ascii="Palatino Linotype" w:hAnsi="Palatino Linotype" w:cstheme="minorBidi"/>
              <w:noProof/>
              <w:kern w:val="2"/>
              <w:sz w:val="24"/>
              <w:szCs w:val="24"/>
              <w14:ligatures w14:val="standardContextual"/>
            </w:rPr>
          </w:pPr>
          <w:hyperlink w:anchor="_Toc222865693" w:history="1">
            <w:r w:rsidRPr="002C584C">
              <w:rPr>
                <w:rStyle w:val="Hipervnculo"/>
                <w:rFonts w:ascii="Palatino Linotype" w:hAnsi="Palatino Linotype"/>
                <w:noProof/>
                <w:lang w:val="es-ES"/>
              </w:rPr>
              <w:t xml:space="preserve">CUARTO. </w:t>
            </w:r>
            <w:r w:rsidRPr="002C584C">
              <w:rPr>
                <w:rStyle w:val="Hipervnculo"/>
                <w:rFonts w:ascii="Palatino Linotype" w:hAnsi="Palatino Linotype"/>
                <w:noProof/>
              </w:rPr>
              <w:t>Marco normativo aplicable en materia de transparencia y acceso a la información pública</w:t>
            </w:r>
            <w:r w:rsidRPr="002C584C">
              <w:rPr>
                <w:rFonts w:ascii="Palatino Linotype" w:hAnsi="Palatino Linotype"/>
                <w:noProof/>
                <w:webHidden/>
              </w:rPr>
              <w:tab/>
            </w:r>
            <w:r w:rsidRPr="002C584C">
              <w:rPr>
                <w:rFonts w:ascii="Palatino Linotype" w:hAnsi="Palatino Linotype"/>
                <w:noProof/>
                <w:webHidden/>
              </w:rPr>
              <w:fldChar w:fldCharType="begin"/>
            </w:r>
            <w:r w:rsidRPr="002C584C">
              <w:rPr>
                <w:rFonts w:ascii="Palatino Linotype" w:hAnsi="Palatino Linotype"/>
                <w:noProof/>
                <w:webHidden/>
              </w:rPr>
              <w:instrText xml:space="preserve"> PAGEREF _Toc222865693 \h </w:instrText>
            </w:r>
            <w:r w:rsidRPr="002C584C">
              <w:rPr>
                <w:rFonts w:ascii="Palatino Linotype" w:hAnsi="Palatino Linotype"/>
                <w:noProof/>
                <w:webHidden/>
              </w:rPr>
            </w:r>
            <w:r w:rsidRPr="002C584C">
              <w:rPr>
                <w:rFonts w:ascii="Palatino Linotype" w:hAnsi="Palatino Linotype"/>
                <w:noProof/>
                <w:webHidden/>
              </w:rPr>
              <w:fldChar w:fldCharType="separate"/>
            </w:r>
            <w:r w:rsidR="007B04ED">
              <w:rPr>
                <w:rFonts w:ascii="Palatino Linotype" w:hAnsi="Palatino Linotype"/>
                <w:noProof/>
                <w:webHidden/>
              </w:rPr>
              <w:t>10</w:t>
            </w:r>
            <w:r w:rsidRPr="002C584C">
              <w:rPr>
                <w:rFonts w:ascii="Palatino Linotype" w:hAnsi="Palatino Linotype"/>
                <w:noProof/>
                <w:webHidden/>
              </w:rPr>
              <w:fldChar w:fldCharType="end"/>
            </w:r>
          </w:hyperlink>
        </w:p>
        <w:p w14:paraId="4C69CC8B" w14:textId="584CE38C" w:rsidR="002C584C" w:rsidRPr="002C584C" w:rsidRDefault="002C584C" w:rsidP="002C584C">
          <w:pPr>
            <w:pStyle w:val="TDC2"/>
            <w:tabs>
              <w:tab w:val="right" w:leader="dot" w:pos="8828"/>
            </w:tabs>
            <w:spacing w:line="360" w:lineRule="auto"/>
            <w:contextualSpacing/>
            <w:rPr>
              <w:rFonts w:ascii="Palatino Linotype" w:hAnsi="Palatino Linotype" w:cstheme="minorBidi"/>
              <w:noProof/>
              <w:kern w:val="2"/>
              <w:sz w:val="24"/>
              <w:szCs w:val="24"/>
              <w14:ligatures w14:val="standardContextual"/>
            </w:rPr>
          </w:pPr>
          <w:hyperlink w:anchor="_Toc222865694" w:history="1">
            <w:r w:rsidRPr="002C584C">
              <w:rPr>
                <w:rStyle w:val="Hipervnculo"/>
                <w:rFonts w:ascii="Palatino Linotype" w:hAnsi="Palatino Linotype"/>
                <w:noProof/>
                <w:lang w:val="es-ES"/>
              </w:rPr>
              <w:t>QUINTO. Estudio de Fondo</w:t>
            </w:r>
            <w:r w:rsidRPr="002C584C">
              <w:rPr>
                <w:rFonts w:ascii="Palatino Linotype" w:hAnsi="Palatino Linotype"/>
                <w:noProof/>
                <w:webHidden/>
              </w:rPr>
              <w:tab/>
            </w:r>
            <w:r w:rsidRPr="002C584C">
              <w:rPr>
                <w:rFonts w:ascii="Palatino Linotype" w:hAnsi="Palatino Linotype"/>
                <w:noProof/>
                <w:webHidden/>
              </w:rPr>
              <w:fldChar w:fldCharType="begin"/>
            </w:r>
            <w:r w:rsidRPr="002C584C">
              <w:rPr>
                <w:rFonts w:ascii="Palatino Linotype" w:hAnsi="Palatino Linotype"/>
                <w:noProof/>
                <w:webHidden/>
              </w:rPr>
              <w:instrText xml:space="preserve"> PAGEREF _Toc222865694 \h </w:instrText>
            </w:r>
            <w:r w:rsidRPr="002C584C">
              <w:rPr>
                <w:rFonts w:ascii="Palatino Linotype" w:hAnsi="Palatino Linotype"/>
                <w:noProof/>
                <w:webHidden/>
              </w:rPr>
            </w:r>
            <w:r w:rsidRPr="002C584C">
              <w:rPr>
                <w:rFonts w:ascii="Palatino Linotype" w:hAnsi="Palatino Linotype"/>
                <w:noProof/>
                <w:webHidden/>
              </w:rPr>
              <w:fldChar w:fldCharType="separate"/>
            </w:r>
            <w:r w:rsidR="007B04ED">
              <w:rPr>
                <w:rFonts w:ascii="Palatino Linotype" w:hAnsi="Palatino Linotype"/>
                <w:noProof/>
                <w:webHidden/>
              </w:rPr>
              <w:t>11</w:t>
            </w:r>
            <w:r w:rsidRPr="002C584C">
              <w:rPr>
                <w:rFonts w:ascii="Palatino Linotype" w:hAnsi="Palatino Linotype"/>
                <w:noProof/>
                <w:webHidden/>
              </w:rPr>
              <w:fldChar w:fldCharType="end"/>
            </w:r>
          </w:hyperlink>
        </w:p>
        <w:p w14:paraId="11D8C385" w14:textId="74DB55C9" w:rsidR="002C584C" w:rsidRPr="002C584C" w:rsidRDefault="002C584C" w:rsidP="002C584C">
          <w:pPr>
            <w:pStyle w:val="TDC2"/>
            <w:tabs>
              <w:tab w:val="right" w:leader="dot" w:pos="8828"/>
            </w:tabs>
            <w:spacing w:line="360" w:lineRule="auto"/>
            <w:contextualSpacing/>
            <w:rPr>
              <w:rFonts w:ascii="Palatino Linotype" w:hAnsi="Palatino Linotype" w:cstheme="minorBidi"/>
              <w:noProof/>
              <w:kern w:val="2"/>
              <w:sz w:val="24"/>
              <w:szCs w:val="24"/>
              <w14:ligatures w14:val="standardContextual"/>
            </w:rPr>
          </w:pPr>
          <w:hyperlink w:anchor="_Toc222865695" w:history="1">
            <w:r w:rsidRPr="002C584C">
              <w:rPr>
                <w:rStyle w:val="Hipervnculo"/>
                <w:rFonts w:ascii="Palatino Linotype" w:hAnsi="Palatino Linotype"/>
                <w:noProof/>
              </w:rPr>
              <w:t>SEXTO. Decisión</w:t>
            </w:r>
            <w:r w:rsidRPr="002C584C">
              <w:rPr>
                <w:rFonts w:ascii="Palatino Linotype" w:hAnsi="Palatino Linotype"/>
                <w:noProof/>
                <w:webHidden/>
              </w:rPr>
              <w:tab/>
            </w:r>
            <w:r w:rsidRPr="002C584C">
              <w:rPr>
                <w:rFonts w:ascii="Palatino Linotype" w:hAnsi="Palatino Linotype"/>
                <w:noProof/>
                <w:webHidden/>
              </w:rPr>
              <w:fldChar w:fldCharType="begin"/>
            </w:r>
            <w:r w:rsidRPr="002C584C">
              <w:rPr>
                <w:rFonts w:ascii="Palatino Linotype" w:hAnsi="Palatino Linotype"/>
                <w:noProof/>
                <w:webHidden/>
              </w:rPr>
              <w:instrText xml:space="preserve"> PAGEREF _Toc222865695 \h </w:instrText>
            </w:r>
            <w:r w:rsidRPr="002C584C">
              <w:rPr>
                <w:rFonts w:ascii="Palatino Linotype" w:hAnsi="Palatino Linotype"/>
                <w:noProof/>
                <w:webHidden/>
              </w:rPr>
            </w:r>
            <w:r w:rsidRPr="002C584C">
              <w:rPr>
                <w:rFonts w:ascii="Palatino Linotype" w:hAnsi="Palatino Linotype"/>
                <w:noProof/>
                <w:webHidden/>
              </w:rPr>
              <w:fldChar w:fldCharType="separate"/>
            </w:r>
            <w:r w:rsidR="007B04ED">
              <w:rPr>
                <w:rFonts w:ascii="Palatino Linotype" w:hAnsi="Palatino Linotype"/>
                <w:noProof/>
                <w:webHidden/>
              </w:rPr>
              <w:t>31</w:t>
            </w:r>
            <w:r w:rsidRPr="002C584C">
              <w:rPr>
                <w:rFonts w:ascii="Palatino Linotype" w:hAnsi="Palatino Linotype"/>
                <w:noProof/>
                <w:webHidden/>
              </w:rPr>
              <w:fldChar w:fldCharType="end"/>
            </w:r>
          </w:hyperlink>
        </w:p>
        <w:p w14:paraId="43D182AF" w14:textId="7878C613" w:rsidR="002C584C" w:rsidRPr="002C584C" w:rsidRDefault="002C584C" w:rsidP="002C584C">
          <w:pPr>
            <w:pStyle w:val="TDC2"/>
            <w:tabs>
              <w:tab w:val="right" w:leader="dot" w:pos="8828"/>
            </w:tabs>
            <w:spacing w:line="360" w:lineRule="auto"/>
            <w:contextualSpacing/>
            <w:rPr>
              <w:rFonts w:ascii="Palatino Linotype" w:hAnsi="Palatino Linotype" w:cstheme="minorBidi"/>
              <w:noProof/>
              <w:kern w:val="2"/>
              <w:sz w:val="24"/>
              <w:szCs w:val="24"/>
              <w14:ligatures w14:val="standardContextual"/>
            </w:rPr>
          </w:pPr>
          <w:hyperlink w:anchor="_Toc222865696" w:history="1">
            <w:r w:rsidRPr="002C584C">
              <w:rPr>
                <w:rStyle w:val="Hipervnculo"/>
                <w:rFonts w:ascii="Palatino Linotype" w:hAnsi="Palatino Linotype"/>
                <w:noProof/>
              </w:rPr>
              <w:t>SÉPTIMO. Vista a la Secretaría</w:t>
            </w:r>
            <w:r w:rsidRPr="002C584C">
              <w:rPr>
                <w:rStyle w:val="Hipervnculo"/>
                <w:rFonts w:ascii="Palatino Linotype" w:hAnsi="Palatino Linotype"/>
                <w:noProof/>
                <w:lang w:val="x-none"/>
              </w:rPr>
              <w:t xml:space="preserve"> Técnica del </w:t>
            </w:r>
            <w:r w:rsidRPr="002C584C">
              <w:rPr>
                <w:rStyle w:val="Hipervnculo"/>
                <w:rFonts w:ascii="Palatino Linotype" w:hAnsi="Palatino Linotype"/>
                <w:noProof/>
              </w:rPr>
              <w:t>Pleno</w:t>
            </w:r>
            <w:r w:rsidRPr="002C584C">
              <w:rPr>
                <w:rFonts w:ascii="Palatino Linotype" w:hAnsi="Palatino Linotype"/>
                <w:noProof/>
                <w:webHidden/>
              </w:rPr>
              <w:tab/>
            </w:r>
            <w:r w:rsidRPr="002C584C">
              <w:rPr>
                <w:rFonts w:ascii="Palatino Linotype" w:hAnsi="Palatino Linotype"/>
                <w:noProof/>
                <w:webHidden/>
              </w:rPr>
              <w:fldChar w:fldCharType="begin"/>
            </w:r>
            <w:r w:rsidRPr="002C584C">
              <w:rPr>
                <w:rFonts w:ascii="Palatino Linotype" w:hAnsi="Palatino Linotype"/>
                <w:noProof/>
                <w:webHidden/>
              </w:rPr>
              <w:instrText xml:space="preserve"> PAGEREF _Toc222865696 \h </w:instrText>
            </w:r>
            <w:r w:rsidRPr="002C584C">
              <w:rPr>
                <w:rFonts w:ascii="Palatino Linotype" w:hAnsi="Palatino Linotype"/>
                <w:noProof/>
                <w:webHidden/>
              </w:rPr>
            </w:r>
            <w:r w:rsidRPr="002C584C">
              <w:rPr>
                <w:rFonts w:ascii="Palatino Linotype" w:hAnsi="Palatino Linotype"/>
                <w:noProof/>
                <w:webHidden/>
              </w:rPr>
              <w:fldChar w:fldCharType="separate"/>
            </w:r>
            <w:r w:rsidR="007B04ED">
              <w:rPr>
                <w:rFonts w:ascii="Palatino Linotype" w:hAnsi="Palatino Linotype"/>
                <w:noProof/>
                <w:webHidden/>
              </w:rPr>
              <w:t>31</w:t>
            </w:r>
            <w:r w:rsidRPr="002C584C">
              <w:rPr>
                <w:rFonts w:ascii="Palatino Linotype" w:hAnsi="Palatino Linotype"/>
                <w:noProof/>
                <w:webHidden/>
              </w:rPr>
              <w:fldChar w:fldCharType="end"/>
            </w:r>
          </w:hyperlink>
        </w:p>
        <w:p w14:paraId="578F4459" w14:textId="454C45A8" w:rsidR="002C584C" w:rsidRDefault="002C584C" w:rsidP="002C584C">
          <w:pPr>
            <w:pStyle w:val="TDC1"/>
            <w:tabs>
              <w:tab w:val="right" w:leader="dot" w:pos="8828"/>
            </w:tabs>
            <w:spacing w:line="360" w:lineRule="auto"/>
            <w:contextualSpacing/>
            <w:rPr>
              <w:rFonts w:cstheme="minorBidi"/>
              <w:noProof/>
              <w:kern w:val="2"/>
              <w:sz w:val="24"/>
              <w:szCs w:val="24"/>
              <w14:ligatures w14:val="standardContextual"/>
            </w:rPr>
          </w:pPr>
          <w:hyperlink w:anchor="_Toc222865697" w:history="1">
            <w:r w:rsidRPr="002C584C">
              <w:rPr>
                <w:rStyle w:val="Hipervnculo"/>
                <w:rFonts w:ascii="Palatino Linotype" w:hAnsi="Palatino Linotype"/>
                <w:noProof/>
              </w:rPr>
              <w:t>R E S U E L V E</w:t>
            </w:r>
            <w:r w:rsidRPr="002C584C">
              <w:rPr>
                <w:rFonts w:ascii="Palatino Linotype" w:hAnsi="Palatino Linotype"/>
                <w:noProof/>
                <w:webHidden/>
              </w:rPr>
              <w:tab/>
            </w:r>
            <w:r w:rsidRPr="002C584C">
              <w:rPr>
                <w:rFonts w:ascii="Palatino Linotype" w:hAnsi="Palatino Linotype"/>
                <w:noProof/>
                <w:webHidden/>
              </w:rPr>
              <w:fldChar w:fldCharType="begin"/>
            </w:r>
            <w:r w:rsidRPr="002C584C">
              <w:rPr>
                <w:rFonts w:ascii="Palatino Linotype" w:hAnsi="Palatino Linotype"/>
                <w:noProof/>
                <w:webHidden/>
              </w:rPr>
              <w:instrText xml:space="preserve"> PAGEREF _Toc222865697 \h </w:instrText>
            </w:r>
            <w:r w:rsidRPr="002C584C">
              <w:rPr>
                <w:rFonts w:ascii="Palatino Linotype" w:hAnsi="Palatino Linotype"/>
                <w:noProof/>
                <w:webHidden/>
              </w:rPr>
            </w:r>
            <w:r w:rsidRPr="002C584C">
              <w:rPr>
                <w:rFonts w:ascii="Palatino Linotype" w:hAnsi="Palatino Linotype"/>
                <w:noProof/>
                <w:webHidden/>
              </w:rPr>
              <w:fldChar w:fldCharType="separate"/>
            </w:r>
            <w:r w:rsidR="007B04ED">
              <w:rPr>
                <w:rFonts w:ascii="Palatino Linotype" w:hAnsi="Palatino Linotype"/>
                <w:noProof/>
                <w:webHidden/>
              </w:rPr>
              <w:t>33</w:t>
            </w:r>
            <w:r w:rsidRPr="002C584C">
              <w:rPr>
                <w:rFonts w:ascii="Palatino Linotype" w:hAnsi="Palatino Linotype"/>
                <w:noProof/>
                <w:webHidden/>
              </w:rPr>
              <w:fldChar w:fldCharType="end"/>
            </w:r>
          </w:hyperlink>
        </w:p>
        <w:p w14:paraId="4E324C4A" w14:textId="2E3DDCD4" w:rsidR="003B08D1" w:rsidRPr="00065B61" w:rsidRDefault="003B08D1" w:rsidP="00E605BC">
          <w:pPr>
            <w:spacing w:line="360" w:lineRule="auto"/>
            <w:contextualSpacing/>
            <w:jc w:val="both"/>
            <w:rPr>
              <w:rFonts w:ascii="Palatino Linotype" w:hAnsi="Palatino Linotype" w:cs="Tahoma"/>
              <w:sz w:val="22"/>
              <w:szCs w:val="22"/>
            </w:rPr>
          </w:pPr>
          <w:r w:rsidRPr="00995B28">
            <w:rPr>
              <w:rFonts w:ascii="Palatino Linotype" w:hAnsi="Palatino Linotype"/>
              <w:sz w:val="22"/>
              <w:szCs w:val="22"/>
              <w:lang w:val="es-ES"/>
            </w:rPr>
            <w:fldChar w:fldCharType="end"/>
          </w:r>
        </w:p>
      </w:sdtContent>
    </w:sdt>
    <w:p w14:paraId="3BEC28B1" w14:textId="6B40FB52" w:rsidR="003B08D1" w:rsidRDefault="003B08D1" w:rsidP="00E605BC">
      <w:pPr>
        <w:spacing w:line="360" w:lineRule="auto"/>
        <w:contextualSpacing/>
        <w:rPr>
          <w:rFonts w:ascii="Palatino Linotype" w:hAnsi="Palatino Linotype" w:cs="Tahoma"/>
          <w:bCs/>
          <w:sz w:val="22"/>
          <w:szCs w:val="22"/>
        </w:rPr>
      </w:pPr>
      <w:r w:rsidRPr="00AC17E4">
        <w:rPr>
          <w:rFonts w:ascii="Palatino Linotype" w:hAnsi="Palatino Linotype" w:cs="Tahoma"/>
          <w:bCs/>
          <w:sz w:val="22"/>
          <w:szCs w:val="22"/>
        </w:rPr>
        <w:br w:type="page"/>
      </w:r>
    </w:p>
    <w:p w14:paraId="7C146D05" w14:textId="77777777" w:rsidR="0054572B" w:rsidRDefault="0054572B" w:rsidP="00E605BC">
      <w:pPr>
        <w:spacing w:line="360" w:lineRule="auto"/>
        <w:contextualSpacing/>
        <w:jc w:val="both"/>
        <w:rPr>
          <w:rFonts w:ascii="Palatino Linotype" w:hAnsi="Palatino Linotype" w:cs="Tahoma"/>
          <w:bCs/>
          <w:sz w:val="22"/>
          <w:szCs w:val="22"/>
        </w:rPr>
      </w:pPr>
    </w:p>
    <w:p w14:paraId="6DE1D4A8" w14:textId="174CE5B1" w:rsidR="003B08D1" w:rsidRPr="00AC17E4" w:rsidRDefault="003B08D1" w:rsidP="00E605BC">
      <w:pPr>
        <w:spacing w:line="360" w:lineRule="auto"/>
        <w:contextualSpacing/>
        <w:jc w:val="both"/>
        <w:rPr>
          <w:rFonts w:ascii="Palatino Linotype" w:hAnsi="Palatino Linotype" w:cs="Tahoma"/>
          <w:bCs/>
          <w:sz w:val="22"/>
          <w:szCs w:val="22"/>
        </w:rPr>
      </w:pPr>
      <w:r w:rsidRPr="00AC17E4">
        <w:rPr>
          <w:rFonts w:ascii="Palatino Linotype" w:hAnsi="Palatino Linotype" w:cs="Tahoma"/>
          <w:bCs/>
          <w:sz w:val="22"/>
          <w:szCs w:val="22"/>
        </w:rPr>
        <w:t xml:space="preserve">Resolución del Pleno del Instituto de Transparencia, Acceso a la Información Pública y Protección de Datos Personales del Estado de México y Municipios, con domicilio en Metepec, Estado de México, del </w:t>
      </w:r>
      <w:r w:rsidR="00F41562">
        <w:rPr>
          <w:rFonts w:ascii="Palatino Linotype" w:hAnsi="Palatino Linotype" w:cs="Tahoma"/>
          <w:bCs/>
          <w:sz w:val="22"/>
          <w:szCs w:val="22"/>
        </w:rPr>
        <w:t xml:space="preserve">cinco de marzo </w:t>
      </w:r>
      <w:r w:rsidRPr="00AC17E4">
        <w:rPr>
          <w:rFonts w:ascii="Palatino Linotype" w:hAnsi="Palatino Linotype" w:cs="Tahoma"/>
          <w:bCs/>
          <w:sz w:val="22"/>
          <w:szCs w:val="22"/>
        </w:rPr>
        <w:t>de dos mil veinti</w:t>
      </w:r>
      <w:r>
        <w:rPr>
          <w:rFonts w:ascii="Palatino Linotype" w:hAnsi="Palatino Linotype" w:cs="Tahoma"/>
          <w:bCs/>
          <w:sz w:val="22"/>
          <w:szCs w:val="22"/>
        </w:rPr>
        <w:t>séis</w:t>
      </w:r>
      <w:r w:rsidRPr="00AC17E4">
        <w:rPr>
          <w:rFonts w:ascii="Palatino Linotype" w:hAnsi="Palatino Linotype" w:cs="Tahoma"/>
          <w:bCs/>
          <w:sz w:val="22"/>
          <w:szCs w:val="22"/>
        </w:rPr>
        <w:t>.</w:t>
      </w:r>
    </w:p>
    <w:p w14:paraId="0BA82061" w14:textId="77777777" w:rsidR="003B08D1" w:rsidRPr="00AC17E4" w:rsidRDefault="003B08D1" w:rsidP="00E605BC">
      <w:pPr>
        <w:spacing w:line="360" w:lineRule="auto"/>
        <w:contextualSpacing/>
        <w:rPr>
          <w:rFonts w:ascii="Palatino Linotype" w:hAnsi="Palatino Linotype" w:cs="Tahoma"/>
          <w:bCs/>
          <w:sz w:val="22"/>
          <w:szCs w:val="22"/>
        </w:rPr>
      </w:pPr>
    </w:p>
    <w:p w14:paraId="4BEED9B7" w14:textId="1B9938DD" w:rsidR="003B08D1" w:rsidRPr="00AC17E4" w:rsidRDefault="003B08D1" w:rsidP="00E605BC">
      <w:pPr>
        <w:spacing w:line="360" w:lineRule="auto"/>
        <w:contextualSpacing/>
        <w:jc w:val="both"/>
        <w:rPr>
          <w:rFonts w:ascii="Palatino Linotype" w:hAnsi="Palatino Linotype" w:cs="Tahoma"/>
          <w:bCs/>
          <w:sz w:val="22"/>
          <w:szCs w:val="22"/>
        </w:rPr>
      </w:pPr>
      <w:r w:rsidRPr="00AC17E4">
        <w:rPr>
          <w:rFonts w:ascii="Palatino Linotype" w:hAnsi="Palatino Linotype" w:cs="Tahoma"/>
          <w:b/>
          <w:bCs/>
          <w:color w:val="0D0D0D" w:themeColor="text1" w:themeTint="F2"/>
          <w:sz w:val="22"/>
          <w:szCs w:val="22"/>
        </w:rPr>
        <w:t xml:space="preserve">VISTO </w:t>
      </w:r>
      <w:r w:rsidRPr="00AC17E4">
        <w:rPr>
          <w:rFonts w:ascii="Palatino Linotype" w:hAnsi="Palatino Linotype" w:cs="Tahoma"/>
          <w:bCs/>
          <w:color w:val="0D0D0D" w:themeColor="text1" w:themeTint="F2"/>
          <w:sz w:val="22"/>
          <w:szCs w:val="22"/>
        </w:rPr>
        <w:t xml:space="preserve">el expediente conformado con motivo del Recurso de Revisión </w:t>
      </w:r>
      <w:r w:rsidRPr="00854EFB">
        <w:rPr>
          <w:rFonts w:ascii="Palatino Linotype" w:eastAsia="Batang" w:hAnsi="Palatino Linotype" w:cs="Tahoma"/>
          <w:b/>
          <w:bCs/>
          <w:sz w:val="22"/>
          <w:szCs w:val="22"/>
          <w:lang w:val="es-ES_tradnl"/>
        </w:rPr>
        <w:t>0144</w:t>
      </w:r>
      <w:r w:rsidR="00F41562" w:rsidRPr="00854EFB">
        <w:rPr>
          <w:rFonts w:ascii="Palatino Linotype" w:eastAsia="Batang" w:hAnsi="Palatino Linotype" w:cs="Tahoma"/>
          <w:b/>
          <w:bCs/>
          <w:sz w:val="22"/>
          <w:szCs w:val="22"/>
          <w:lang w:val="es-ES_tradnl"/>
        </w:rPr>
        <w:t>21</w:t>
      </w:r>
      <w:r w:rsidRPr="00854EFB">
        <w:rPr>
          <w:rFonts w:ascii="Palatino Linotype" w:eastAsia="Batang" w:hAnsi="Palatino Linotype" w:cs="Tahoma"/>
          <w:b/>
          <w:bCs/>
          <w:sz w:val="22"/>
          <w:szCs w:val="22"/>
          <w:lang w:val="es-ES_tradnl"/>
        </w:rPr>
        <w:t>/INFOEM/IP/RR/2025</w:t>
      </w:r>
      <w:r w:rsidRPr="00BB6B4E">
        <w:rPr>
          <w:rFonts w:ascii="Palatino Linotype" w:eastAsia="Batang" w:hAnsi="Palatino Linotype" w:cs="Tahoma"/>
          <w:bCs/>
          <w:sz w:val="22"/>
          <w:szCs w:val="22"/>
          <w:lang w:val="es-ES_tradnl"/>
        </w:rPr>
        <w:t xml:space="preserve">, </w:t>
      </w:r>
      <w:r w:rsidRPr="00BB6B4E">
        <w:rPr>
          <w:rFonts w:ascii="Palatino Linotype" w:hAnsi="Palatino Linotype" w:cs="Tahoma"/>
          <w:bCs/>
          <w:color w:val="0D0D0D" w:themeColor="text1" w:themeTint="F2"/>
          <w:sz w:val="22"/>
          <w:szCs w:val="22"/>
        </w:rPr>
        <w:t>interpuesto por</w:t>
      </w:r>
      <w:r>
        <w:rPr>
          <w:rFonts w:ascii="Palatino Linotype" w:hAnsi="Palatino Linotype" w:cs="Tahoma"/>
          <w:bCs/>
          <w:color w:val="0D0D0D" w:themeColor="text1" w:themeTint="F2"/>
          <w:sz w:val="22"/>
          <w:szCs w:val="22"/>
        </w:rPr>
        <w:t xml:space="preserve"> </w:t>
      </w:r>
      <w:r w:rsidR="002139E2" w:rsidRPr="002139E2">
        <w:rPr>
          <w:rFonts w:ascii="Palatino Linotype" w:eastAsia="Calibri" w:hAnsi="Palatino Linotype" w:cs="Tahoma"/>
          <w:sz w:val="22"/>
          <w:szCs w:val="22"/>
          <w:highlight w:val="black"/>
          <w:lang w:eastAsia="en-US"/>
        </w:rPr>
        <w:t>XXXXXXXXXXXXXXXXXXX</w:t>
      </w:r>
      <w:r w:rsidR="002139E2">
        <w:rPr>
          <w:rFonts w:ascii="Palatino Linotype" w:eastAsia="Calibri" w:hAnsi="Palatino Linotype" w:cs="Tahoma"/>
          <w:sz w:val="22"/>
          <w:szCs w:val="22"/>
          <w:lang w:eastAsia="en-US"/>
        </w:rPr>
        <w:t xml:space="preserve"> </w:t>
      </w:r>
      <w:r>
        <w:rPr>
          <w:rFonts w:ascii="Palatino Linotype" w:hAnsi="Palatino Linotype" w:cs="Tahoma"/>
          <w:bCs/>
          <w:color w:val="0D0D0D" w:themeColor="text1" w:themeTint="F2"/>
          <w:sz w:val="22"/>
          <w:szCs w:val="22"/>
        </w:rPr>
        <w:t xml:space="preserve">en lo sucesivo </w:t>
      </w:r>
      <w:r w:rsidRPr="00BB6B4E">
        <w:rPr>
          <w:rFonts w:ascii="Palatino Linotype" w:eastAsia="Calibri" w:hAnsi="Palatino Linotype" w:cs="Tahoma"/>
          <w:bCs/>
          <w:sz w:val="22"/>
          <w:szCs w:val="22"/>
          <w:lang w:eastAsia="en-US"/>
        </w:rPr>
        <w:t>l</w:t>
      </w:r>
      <w:r>
        <w:rPr>
          <w:rFonts w:ascii="Palatino Linotype" w:eastAsia="Calibri" w:hAnsi="Palatino Linotype" w:cs="Tahoma"/>
          <w:bCs/>
          <w:sz w:val="22"/>
          <w:szCs w:val="22"/>
          <w:lang w:eastAsia="en-US"/>
        </w:rPr>
        <w:t>a</w:t>
      </w:r>
      <w:r w:rsidRPr="00BB6B4E">
        <w:rPr>
          <w:rFonts w:ascii="Palatino Linotype" w:eastAsia="Calibri" w:hAnsi="Palatino Linotype" w:cs="Tahoma"/>
          <w:bCs/>
          <w:sz w:val="22"/>
          <w:szCs w:val="22"/>
          <w:lang w:eastAsia="en-US"/>
        </w:rPr>
        <w:t xml:space="preserve"> </w:t>
      </w:r>
      <w:r w:rsidRPr="00BB6B4E">
        <w:rPr>
          <w:rFonts w:ascii="Palatino Linotype" w:hAnsi="Palatino Linotype" w:cs="Tahoma"/>
          <w:bCs/>
          <w:color w:val="0D0D0D" w:themeColor="text1" w:themeTint="F2"/>
          <w:sz w:val="22"/>
          <w:szCs w:val="22"/>
        </w:rPr>
        <w:t>Recurrente o Particular, en contra de la</w:t>
      </w:r>
      <w:r w:rsidR="00854EFB">
        <w:rPr>
          <w:rFonts w:ascii="Palatino Linotype" w:hAnsi="Palatino Linotype" w:cs="Tahoma"/>
          <w:bCs/>
          <w:color w:val="0D0D0D" w:themeColor="text1" w:themeTint="F2"/>
          <w:sz w:val="22"/>
          <w:szCs w:val="22"/>
        </w:rPr>
        <w:t xml:space="preserve"> falta de</w:t>
      </w:r>
      <w:r w:rsidRPr="00BB6B4E">
        <w:rPr>
          <w:rFonts w:ascii="Palatino Linotype" w:hAnsi="Palatino Linotype" w:cs="Tahoma"/>
          <w:bCs/>
          <w:color w:val="0D0D0D" w:themeColor="text1" w:themeTint="F2"/>
          <w:sz w:val="22"/>
          <w:szCs w:val="22"/>
        </w:rPr>
        <w:t xml:space="preserve"> respuesta del Sujeto Obligado, </w:t>
      </w:r>
      <w:r w:rsidRPr="00854EFB">
        <w:rPr>
          <w:rFonts w:ascii="Palatino Linotype" w:hAnsi="Palatino Linotype" w:cs="Tahoma"/>
          <w:b/>
          <w:bCs/>
          <w:color w:val="0D0D0D" w:themeColor="text1" w:themeTint="F2"/>
          <w:sz w:val="22"/>
          <w:szCs w:val="22"/>
        </w:rPr>
        <w:t>Ayuntamiento de Tepotzotlán</w:t>
      </w:r>
      <w:r w:rsidRPr="00BB6B4E">
        <w:rPr>
          <w:rFonts w:ascii="Palatino Linotype" w:hAnsi="Palatino Linotype" w:cs="Tahoma"/>
          <w:bCs/>
          <w:color w:val="0D0D0D" w:themeColor="text1" w:themeTint="F2"/>
          <w:sz w:val="22"/>
          <w:szCs w:val="22"/>
        </w:rPr>
        <w:t xml:space="preserve">, a la solicitud de acceso a la información pública </w:t>
      </w:r>
      <w:r w:rsidRPr="00726B79">
        <w:rPr>
          <w:rFonts w:ascii="Palatino Linotype" w:hAnsi="Palatino Linotype"/>
          <w:sz w:val="22"/>
          <w:szCs w:val="22"/>
        </w:rPr>
        <w:t>0130</w:t>
      </w:r>
      <w:r w:rsidR="00F41562">
        <w:rPr>
          <w:rFonts w:ascii="Palatino Linotype" w:hAnsi="Palatino Linotype"/>
          <w:sz w:val="22"/>
          <w:szCs w:val="22"/>
        </w:rPr>
        <w:t>2</w:t>
      </w:r>
      <w:r w:rsidRPr="00726B79">
        <w:rPr>
          <w:rFonts w:ascii="Palatino Linotype" w:hAnsi="Palatino Linotype"/>
          <w:sz w:val="22"/>
          <w:szCs w:val="22"/>
        </w:rPr>
        <w:t>/TEPOTZOT/IP/2025</w:t>
      </w:r>
      <w:r w:rsidRPr="00AC17E4">
        <w:rPr>
          <w:rFonts w:ascii="Palatino Linotype" w:hAnsi="Palatino Linotype" w:cs="Tahoma"/>
          <w:bCs/>
          <w:color w:val="0D0D0D" w:themeColor="text1" w:themeTint="F2"/>
          <w:sz w:val="22"/>
          <w:szCs w:val="22"/>
        </w:rPr>
        <w:t>, se emite la presente Resolución, con base en los Antecedentes y C</w:t>
      </w:r>
      <w:r w:rsidRPr="00AC17E4">
        <w:rPr>
          <w:rFonts w:ascii="Palatino Linotype" w:hAnsi="Palatino Linotype" w:cs="Tahoma"/>
          <w:bCs/>
          <w:sz w:val="22"/>
          <w:szCs w:val="22"/>
        </w:rPr>
        <w:t>onsiderandos que a continuación se exponen:</w:t>
      </w:r>
    </w:p>
    <w:p w14:paraId="25232F54" w14:textId="77777777" w:rsidR="003B08D1" w:rsidRPr="00AC17E4" w:rsidRDefault="003B08D1" w:rsidP="00E605BC">
      <w:pPr>
        <w:spacing w:line="360" w:lineRule="auto"/>
        <w:contextualSpacing/>
        <w:jc w:val="both"/>
        <w:rPr>
          <w:rFonts w:ascii="Palatino Linotype" w:hAnsi="Palatino Linotype" w:cs="Tahoma"/>
          <w:bCs/>
          <w:sz w:val="22"/>
          <w:szCs w:val="22"/>
        </w:rPr>
      </w:pPr>
    </w:p>
    <w:p w14:paraId="51DB67EE" w14:textId="77777777" w:rsidR="003B08D1" w:rsidRPr="00AC17E4" w:rsidRDefault="003B08D1" w:rsidP="00E605BC">
      <w:pPr>
        <w:pStyle w:val="Ttulo1"/>
        <w:spacing w:before="0" w:after="0" w:line="360" w:lineRule="auto"/>
        <w:contextualSpacing/>
        <w:jc w:val="center"/>
        <w:rPr>
          <w:rFonts w:ascii="Palatino Linotype" w:hAnsi="Palatino Linotype"/>
          <w:b/>
          <w:bCs/>
          <w:color w:val="auto"/>
          <w:sz w:val="22"/>
          <w:szCs w:val="22"/>
        </w:rPr>
      </w:pPr>
      <w:bookmarkStart w:id="2" w:name="_Toc222865683"/>
      <w:r w:rsidRPr="00AC17E4">
        <w:rPr>
          <w:rFonts w:ascii="Palatino Linotype" w:hAnsi="Palatino Linotype"/>
          <w:b/>
          <w:bCs/>
          <w:color w:val="auto"/>
          <w:sz w:val="22"/>
          <w:szCs w:val="22"/>
        </w:rPr>
        <w:t>A N T E C E D E N T E S</w:t>
      </w:r>
      <w:bookmarkEnd w:id="2"/>
    </w:p>
    <w:p w14:paraId="692EFB10" w14:textId="77777777" w:rsidR="003B08D1" w:rsidRPr="00AC17E4" w:rsidRDefault="003B08D1" w:rsidP="00E605BC">
      <w:pPr>
        <w:spacing w:line="360" w:lineRule="auto"/>
        <w:contextualSpacing/>
      </w:pPr>
    </w:p>
    <w:p w14:paraId="4A627A57" w14:textId="77777777" w:rsidR="003B08D1" w:rsidRPr="00AC17E4" w:rsidRDefault="003B08D1" w:rsidP="00E605BC">
      <w:pPr>
        <w:pStyle w:val="Ttulo2"/>
        <w:spacing w:before="0" w:after="0" w:line="360" w:lineRule="auto"/>
        <w:contextualSpacing/>
        <w:rPr>
          <w:rFonts w:ascii="Palatino Linotype" w:hAnsi="Palatino Linotype"/>
          <w:b/>
          <w:bCs/>
          <w:color w:val="auto"/>
          <w:sz w:val="22"/>
          <w:szCs w:val="22"/>
        </w:rPr>
      </w:pPr>
      <w:bookmarkStart w:id="3" w:name="_Toc222865684"/>
      <w:r w:rsidRPr="00AC17E4">
        <w:rPr>
          <w:rFonts w:ascii="Palatino Linotype" w:hAnsi="Palatino Linotype"/>
          <w:b/>
          <w:bCs/>
          <w:color w:val="auto"/>
          <w:sz w:val="22"/>
          <w:szCs w:val="22"/>
        </w:rPr>
        <w:t>I. Presentación de la solicitud de información</w:t>
      </w:r>
      <w:bookmarkEnd w:id="3"/>
    </w:p>
    <w:p w14:paraId="3EFC3A2A" w14:textId="77777777" w:rsidR="003B08D1" w:rsidRPr="00AC17E4" w:rsidRDefault="003B08D1" w:rsidP="00E605BC">
      <w:pPr>
        <w:pStyle w:val="Prrafodelista"/>
        <w:tabs>
          <w:tab w:val="left" w:pos="567"/>
        </w:tabs>
        <w:spacing w:line="360" w:lineRule="auto"/>
        <w:ind w:left="0"/>
        <w:jc w:val="both"/>
        <w:rPr>
          <w:rFonts w:ascii="Palatino Linotype" w:hAnsi="Palatino Linotype" w:cs="Tahoma"/>
          <w:szCs w:val="22"/>
        </w:rPr>
      </w:pPr>
    </w:p>
    <w:p w14:paraId="6D503FF0" w14:textId="77777777" w:rsidR="003B08D1" w:rsidRPr="00AC17E4" w:rsidRDefault="003B08D1" w:rsidP="00E605BC">
      <w:pPr>
        <w:pStyle w:val="Prrafodelista"/>
        <w:tabs>
          <w:tab w:val="left" w:pos="567"/>
        </w:tabs>
        <w:spacing w:line="360" w:lineRule="auto"/>
        <w:ind w:left="0"/>
        <w:jc w:val="both"/>
        <w:rPr>
          <w:rFonts w:ascii="Palatino Linotype" w:hAnsi="Palatino Linotype" w:cs="Tahoma"/>
          <w:sz w:val="22"/>
          <w:szCs w:val="22"/>
        </w:rPr>
      </w:pPr>
      <w:r w:rsidRPr="00AC17E4">
        <w:rPr>
          <w:rFonts w:ascii="Palatino Linotype" w:hAnsi="Palatino Linotype" w:cs="Tahoma"/>
          <w:sz w:val="22"/>
          <w:szCs w:val="22"/>
        </w:rPr>
        <w:t xml:space="preserve">Con fecha </w:t>
      </w:r>
      <w:r>
        <w:rPr>
          <w:rFonts w:ascii="Palatino Linotype" w:hAnsi="Palatino Linotype" w:cs="Tahoma"/>
          <w:sz w:val="22"/>
          <w:szCs w:val="22"/>
        </w:rPr>
        <w:t xml:space="preserve">veintiuno de noviembre </w:t>
      </w:r>
      <w:r w:rsidRPr="00AC17E4">
        <w:rPr>
          <w:rFonts w:ascii="Palatino Linotype" w:hAnsi="Palatino Linotype" w:cs="Tahoma"/>
          <w:sz w:val="22"/>
          <w:szCs w:val="22"/>
        </w:rPr>
        <w:t>de dos mil veinticinco, l</w:t>
      </w:r>
      <w:r>
        <w:rPr>
          <w:rFonts w:ascii="Palatino Linotype" w:hAnsi="Palatino Linotype" w:cs="Tahoma"/>
          <w:sz w:val="22"/>
          <w:szCs w:val="22"/>
        </w:rPr>
        <w:t>a</w:t>
      </w:r>
      <w:r w:rsidRPr="00AC17E4">
        <w:rPr>
          <w:rFonts w:ascii="Palatino Linotype" w:hAnsi="Palatino Linotype" w:cs="Tahoma"/>
          <w:sz w:val="22"/>
          <w:szCs w:val="22"/>
        </w:rPr>
        <w:t xml:space="preserve"> Particular presentó una solicitud de acceso a la información pública, a través del Sistema de Acceso a la Información Mexiquense, en lo sucesivo </w:t>
      </w:r>
      <w:r w:rsidRPr="00AC17E4">
        <w:rPr>
          <w:rFonts w:ascii="Palatino Linotype" w:hAnsi="Palatino Linotype" w:cs="Tahoma"/>
          <w:sz w:val="22"/>
          <w:szCs w:val="22"/>
          <w:lang w:val="es-ES"/>
        </w:rPr>
        <w:t>el SAIME</w:t>
      </w:r>
      <w:r>
        <w:rPr>
          <w:rFonts w:ascii="Palatino Linotype" w:hAnsi="Palatino Linotype" w:cs="Tahoma"/>
          <w:sz w:val="22"/>
          <w:szCs w:val="22"/>
          <w:lang w:val="es-ES"/>
        </w:rPr>
        <w:t>X</w:t>
      </w:r>
      <w:r w:rsidRPr="00AC17E4">
        <w:rPr>
          <w:rFonts w:ascii="Palatino Linotype" w:hAnsi="Palatino Linotype" w:cs="Tahoma"/>
          <w:sz w:val="22"/>
          <w:szCs w:val="22"/>
        </w:rPr>
        <w:t xml:space="preserve">, ante el Ayuntamiento de </w:t>
      </w:r>
      <w:r>
        <w:rPr>
          <w:rFonts w:ascii="Palatino Linotype" w:hAnsi="Palatino Linotype" w:cs="Tahoma"/>
          <w:sz w:val="22"/>
          <w:szCs w:val="22"/>
        </w:rPr>
        <w:t>Tepotzotlán,</w:t>
      </w:r>
      <w:r w:rsidRPr="00AC17E4">
        <w:rPr>
          <w:rFonts w:ascii="Palatino Linotype" w:hAnsi="Palatino Linotype" w:cs="Tahoma"/>
          <w:sz w:val="22"/>
          <w:szCs w:val="22"/>
          <w:lang w:val="es-ES"/>
        </w:rPr>
        <w:t xml:space="preserve"> </w:t>
      </w:r>
      <w:r w:rsidRPr="00AC17E4">
        <w:rPr>
          <w:rFonts w:ascii="Palatino Linotype" w:hAnsi="Palatino Linotype" w:cs="Tahoma"/>
          <w:sz w:val="22"/>
          <w:szCs w:val="22"/>
        </w:rPr>
        <w:t>mediante la cual requirió lo siguiente:</w:t>
      </w:r>
    </w:p>
    <w:p w14:paraId="3AB1BC7E" w14:textId="77777777" w:rsidR="003B08D1" w:rsidRPr="00AC17E4" w:rsidRDefault="003B08D1" w:rsidP="00E605BC">
      <w:pPr>
        <w:pStyle w:val="Prrafodelista"/>
        <w:tabs>
          <w:tab w:val="left" w:pos="567"/>
        </w:tabs>
        <w:spacing w:line="360" w:lineRule="auto"/>
        <w:ind w:left="0"/>
        <w:jc w:val="both"/>
        <w:rPr>
          <w:rFonts w:ascii="Palatino Linotype" w:hAnsi="Palatino Linotype" w:cs="Tahoma"/>
          <w:b/>
          <w:szCs w:val="22"/>
        </w:rPr>
      </w:pPr>
    </w:p>
    <w:p w14:paraId="4F99139A" w14:textId="77777777" w:rsidR="003B08D1" w:rsidRPr="00D82165" w:rsidRDefault="003B08D1" w:rsidP="00E605BC">
      <w:pPr>
        <w:tabs>
          <w:tab w:val="left" w:pos="4667"/>
        </w:tabs>
        <w:spacing w:line="360" w:lineRule="auto"/>
        <w:ind w:left="567" w:right="567"/>
        <w:contextualSpacing/>
        <w:jc w:val="both"/>
        <w:rPr>
          <w:rFonts w:ascii="Palatino Linotype" w:hAnsi="Palatino Linotype" w:cs="Tahoma"/>
          <w:b/>
          <w:bCs/>
          <w:i/>
        </w:rPr>
      </w:pPr>
      <w:r w:rsidRPr="00D82165">
        <w:rPr>
          <w:rFonts w:ascii="Palatino Linotype" w:hAnsi="Palatino Linotype" w:cs="Tahoma"/>
          <w:b/>
          <w:bCs/>
          <w:i/>
        </w:rPr>
        <w:t>“DESCRIPCIÓN CLARA Y PRECISA DE LA INFORMACIÓN SOLICITADA</w:t>
      </w:r>
    </w:p>
    <w:p w14:paraId="3E91CF04" w14:textId="36F663DD" w:rsidR="003B08D1" w:rsidRPr="00D82165" w:rsidRDefault="00F41562" w:rsidP="00E605BC">
      <w:pPr>
        <w:spacing w:line="360" w:lineRule="auto"/>
        <w:ind w:left="567" w:right="567"/>
        <w:contextualSpacing/>
        <w:jc w:val="both"/>
        <w:rPr>
          <w:rFonts w:ascii="Palatino Linotype" w:hAnsi="Palatino Linotype" w:cs="Tahoma"/>
          <w:bCs/>
          <w:i/>
        </w:rPr>
      </w:pPr>
      <w:r w:rsidRPr="00F41562">
        <w:rPr>
          <w:rFonts w:ascii="Palatino Linotype" w:hAnsi="Palatino Linotype"/>
          <w:i/>
          <w:lang w:eastAsia="es-MX"/>
        </w:rPr>
        <w:t>Con fundamento en el artículo 18.27 del Código Administrativo del Estado de México, solicito: 1. El listado de procedimientos iniciados por construcción irregular o sin licencia durante el año 2025. 2. Para cada expediente: Ubicación Tipo de irregularidad Medidas impuestas Estado actual del procedimiento</w:t>
      </w:r>
      <w:r w:rsidR="003B08D1" w:rsidRPr="00D82165">
        <w:rPr>
          <w:rFonts w:ascii="Palatino Linotype" w:hAnsi="Palatino Linotype"/>
          <w:i/>
          <w:lang w:eastAsia="es-MX"/>
        </w:rPr>
        <w:t>.</w:t>
      </w:r>
      <w:r w:rsidR="003B08D1" w:rsidRPr="00D82165">
        <w:rPr>
          <w:rFonts w:ascii="Palatino Linotype" w:hAnsi="Palatino Linotype" w:cs="Tahoma"/>
          <w:bCs/>
          <w:i/>
        </w:rPr>
        <w:t>” (Sic).</w:t>
      </w:r>
    </w:p>
    <w:p w14:paraId="7ABF9EA5" w14:textId="77777777" w:rsidR="003B08D1" w:rsidRPr="00D82165" w:rsidRDefault="003B08D1" w:rsidP="00E605BC">
      <w:pPr>
        <w:pStyle w:val="Prrafodelista"/>
        <w:tabs>
          <w:tab w:val="left" w:pos="567"/>
        </w:tabs>
        <w:spacing w:line="360" w:lineRule="auto"/>
        <w:ind w:left="567" w:right="567"/>
        <w:jc w:val="both"/>
        <w:rPr>
          <w:rFonts w:ascii="Palatino Linotype" w:hAnsi="Palatino Linotype"/>
          <w:b/>
          <w:bCs/>
          <w:i/>
          <w:color w:val="000000" w:themeColor="text1"/>
        </w:rPr>
      </w:pPr>
      <w:r w:rsidRPr="00D82165">
        <w:rPr>
          <w:rFonts w:ascii="Palatino Linotype" w:hAnsi="Palatino Linotype"/>
          <w:b/>
          <w:bCs/>
          <w:i/>
          <w:color w:val="000000" w:themeColor="text1"/>
        </w:rPr>
        <w:tab/>
      </w:r>
    </w:p>
    <w:p w14:paraId="24362A1C" w14:textId="77777777" w:rsidR="003B08D1" w:rsidRDefault="003B08D1" w:rsidP="00E605BC">
      <w:pPr>
        <w:tabs>
          <w:tab w:val="left" w:pos="4667"/>
        </w:tabs>
        <w:spacing w:line="360" w:lineRule="auto"/>
        <w:ind w:left="567" w:right="567"/>
        <w:contextualSpacing/>
        <w:jc w:val="both"/>
        <w:rPr>
          <w:rFonts w:ascii="Palatino Linotype" w:hAnsi="Palatino Linotype" w:cs="Tahoma"/>
          <w:bCs/>
          <w:i/>
        </w:rPr>
      </w:pPr>
      <w:r w:rsidRPr="00D82165">
        <w:rPr>
          <w:rFonts w:ascii="Palatino Linotype" w:hAnsi="Palatino Linotype" w:cs="Tahoma"/>
          <w:b/>
          <w:bCs/>
          <w:i/>
        </w:rPr>
        <w:t xml:space="preserve">Modalidad de Entrega: </w:t>
      </w:r>
      <w:r w:rsidRPr="00D82165">
        <w:rPr>
          <w:rFonts w:ascii="Palatino Linotype" w:hAnsi="Palatino Linotype" w:cs="Tahoma"/>
          <w:bCs/>
          <w:i/>
        </w:rPr>
        <w:t>A través de SAIMEX.</w:t>
      </w:r>
    </w:p>
    <w:p w14:paraId="4CFA4BEA" w14:textId="77777777" w:rsidR="003B08D1" w:rsidRPr="00D82165" w:rsidRDefault="003B08D1" w:rsidP="00E605BC">
      <w:pPr>
        <w:tabs>
          <w:tab w:val="left" w:pos="4667"/>
        </w:tabs>
        <w:spacing w:line="360" w:lineRule="auto"/>
        <w:ind w:left="567" w:right="567"/>
        <w:contextualSpacing/>
        <w:jc w:val="both"/>
        <w:rPr>
          <w:rFonts w:ascii="Palatino Linotype" w:hAnsi="Palatino Linotype" w:cs="Tahoma"/>
          <w:bCs/>
          <w:i/>
        </w:rPr>
      </w:pPr>
    </w:p>
    <w:p w14:paraId="393F1E62" w14:textId="77777777" w:rsidR="003B08D1" w:rsidRPr="0077350F" w:rsidRDefault="003B08D1" w:rsidP="00E605BC">
      <w:pPr>
        <w:pStyle w:val="Ttulo2"/>
        <w:spacing w:before="0" w:after="0" w:line="360" w:lineRule="auto"/>
        <w:contextualSpacing/>
        <w:rPr>
          <w:rFonts w:ascii="Palatino Linotype" w:hAnsi="Palatino Linotype"/>
          <w:b/>
          <w:bCs/>
          <w:color w:val="auto"/>
          <w:sz w:val="22"/>
          <w:szCs w:val="22"/>
        </w:rPr>
      </w:pPr>
      <w:bookmarkStart w:id="4" w:name="_Toc194593854"/>
      <w:bookmarkStart w:id="5" w:name="_Toc206084660"/>
      <w:bookmarkStart w:id="6" w:name="_Toc222865685"/>
      <w:r w:rsidRPr="0077350F">
        <w:rPr>
          <w:rFonts w:ascii="Palatino Linotype" w:hAnsi="Palatino Linotype"/>
          <w:b/>
          <w:bCs/>
          <w:color w:val="auto"/>
          <w:sz w:val="22"/>
          <w:szCs w:val="22"/>
        </w:rPr>
        <w:t>II. Respuesta del Sujeto Obligado</w:t>
      </w:r>
      <w:bookmarkEnd w:id="4"/>
      <w:bookmarkEnd w:id="5"/>
      <w:bookmarkEnd w:id="6"/>
    </w:p>
    <w:p w14:paraId="457D6F4A" w14:textId="77777777" w:rsidR="003B08D1" w:rsidRPr="00207F77" w:rsidRDefault="003B08D1" w:rsidP="00E605BC">
      <w:pPr>
        <w:spacing w:line="360" w:lineRule="auto"/>
        <w:contextualSpacing/>
        <w:jc w:val="both"/>
        <w:rPr>
          <w:rFonts w:ascii="Palatino Linotype" w:eastAsiaTheme="minorHAnsi" w:hAnsi="Palatino Linotype" w:cstheme="minorBidi"/>
          <w:color w:val="000000" w:themeColor="text1"/>
          <w:sz w:val="22"/>
          <w:szCs w:val="22"/>
          <w:lang w:eastAsia="en-US"/>
        </w:rPr>
      </w:pPr>
    </w:p>
    <w:p w14:paraId="782353FA" w14:textId="6E6A8BD3" w:rsidR="003B08D1" w:rsidRPr="00207F77" w:rsidRDefault="003B08D1" w:rsidP="00E605BC">
      <w:pPr>
        <w:spacing w:line="360" w:lineRule="auto"/>
        <w:contextualSpacing/>
        <w:jc w:val="both"/>
        <w:rPr>
          <w:rFonts w:ascii="Palatino Linotype" w:eastAsiaTheme="minorHAnsi" w:hAnsi="Palatino Linotype" w:cstheme="minorBidi"/>
          <w:color w:val="000000" w:themeColor="text1"/>
          <w:sz w:val="22"/>
          <w:szCs w:val="22"/>
          <w:lang w:eastAsia="en-US"/>
        </w:rPr>
      </w:pPr>
      <w:r w:rsidRPr="00207F77">
        <w:rPr>
          <w:rFonts w:ascii="Palatino Linotype" w:eastAsiaTheme="minorHAnsi" w:hAnsi="Palatino Linotype" w:cstheme="minorBidi"/>
          <w:color w:val="000000" w:themeColor="text1"/>
          <w:sz w:val="22"/>
          <w:szCs w:val="22"/>
          <w:lang w:eastAsia="en-US"/>
        </w:rPr>
        <w:t>De conformidad</w:t>
      </w:r>
      <w:r w:rsidR="00FC0C06">
        <w:rPr>
          <w:rFonts w:ascii="Palatino Linotype" w:eastAsiaTheme="minorHAnsi" w:hAnsi="Palatino Linotype" w:cstheme="minorBidi"/>
          <w:color w:val="000000" w:themeColor="text1"/>
          <w:sz w:val="22"/>
          <w:szCs w:val="22"/>
          <w:lang w:eastAsia="en-US"/>
        </w:rPr>
        <w:t xml:space="preserve"> con el artículo 163</w:t>
      </w:r>
      <w:r w:rsidRPr="00207F77">
        <w:rPr>
          <w:rFonts w:ascii="Palatino Linotype" w:eastAsiaTheme="minorHAnsi" w:hAnsi="Palatino Linotype" w:cstheme="minorBidi"/>
          <w:color w:val="000000" w:themeColor="text1"/>
          <w:sz w:val="22"/>
          <w:szCs w:val="22"/>
          <w:lang w:eastAsia="en-US"/>
        </w:rPr>
        <w:t>, párrafo primero de la Ley de Transparencia y Acceso a</w:t>
      </w:r>
    </w:p>
    <w:p w14:paraId="7E59A5D0" w14:textId="77777777" w:rsidR="003B08D1" w:rsidRPr="00207F77" w:rsidRDefault="003B08D1" w:rsidP="00E605BC">
      <w:pPr>
        <w:spacing w:line="360" w:lineRule="auto"/>
        <w:contextualSpacing/>
        <w:jc w:val="both"/>
        <w:rPr>
          <w:rFonts w:ascii="Palatino Linotype" w:eastAsiaTheme="minorHAnsi" w:hAnsi="Palatino Linotype" w:cstheme="minorBidi"/>
          <w:color w:val="000000" w:themeColor="text1"/>
          <w:sz w:val="22"/>
          <w:szCs w:val="22"/>
          <w:lang w:eastAsia="en-US"/>
        </w:rPr>
      </w:pPr>
      <w:r w:rsidRPr="00207F77">
        <w:rPr>
          <w:rFonts w:ascii="Palatino Linotype" w:eastAsiaTheme="minorHAnsi" w:hAnsi="Palatino Linotype" w:cstheme="minorBidi"/>
          <w:color w:val="000000" w:themeColor="text1"/>
          <w:sz w:val="22"/>
          <w:szCs w:val="22"/>
          <w:lang w:eastAsia="en-US"/>
        </w:rPr>
        <w:t>la Información Pública del Estado de México y Municipios, el Sujeto Obligado debió dar contestación a la solicitud de acceso a la información; sin embargo, de las constancias que obran en el expediente electrónico del Sistema de Acceso a la Información Mexiquense (SAIMEX), se advierte que el</w:t>
      </w:r>
      <w:r w:rsidRPr="00207F77">
        <w:rPr>
          <w:rFonts w:ascii="Palatino Linotype" w:eastAsia="Calibri" w:hAnsi="Palatino Linotype" w:cs="Tahoma"/>
          <w:b/>
          <w:bCs/>
          <w:sz w:val="22"/>
          <w:szCs w:val="22"/>
          <w:lang w:eastAsia="en-US"/>
        </w:rPr>
        <w:t xml:space="preserve"> </w:t>
      </w:r>
      <w:r>
        <w:rPr>
          <w:rFonts w:ascii="Palatino Linotype" w:eastAsia="Calibri" w:hAnsi="Palatino Linotype" w:cs="Tahoma"/>
          <w:b/>
          <w:bCs/>
          <w:sz w:val="22"/>
          <w:szCs w:val="22"/>
          <w:lang w:eastAsia="en-US"/>
        </w:rPr>
        <w:t>Ayuntamiento de Tepotzotlán</w:t>
      </w:r>
      <w:r w:rsidRPr="00207F77">
        <w:rPr>
          <w:rFonts w:ascii="Palatino Linotype" w:eastAsiaTheme="minorHAnsi" w:hAnsi="Palatino Linotype" w:cstheme="minorBidi"/>
          <w:color w:val="000000" w:themeColor="text1"/>
          <w:sz w:val="22"/>
          <w:szCs w:val="22"/>
          <w:lang w:eastAsia="en-US"/>
        </w:rPr>
        <w:t>,</w:t>
      </w:r>
      <w:r>
        <w:rPr>
          <w:rFonts w:ascii="Palatino Linotype" w:eastAsiaTheme="minorHAnsi" w:hAnsi="Palatino Linotype" w:cstheme="minorBidi"/>
          <w:color w:val="000000" w:themeColor="text1"/>
          <w:sz w:val="22"/>
          <w:szCs w:val="22"/>
          <w:lang w:eastAsia="en-US"/>
        </w:rPr>
        <w:t xml:space="preserve"> </w:t>
      </w:r>
      <w:r w:rsidRPr="00207F77">
        <w:rPr>
          <w:rFonts w:ascii="Palatino Linotype" w:eastAsiaTheme="minorHAnsi" w:hAnsi="Palatino Linotype" w:cstheme="minorBidi"/>
          <w:color w:val="000000" w:themeColor="text1"/>
          <w:sz w:val="22"/>
          <w:szCs w:val="22"/>
          <w:lang w:eastAsia="en-US"/>
        </w:rPr>
        <w:t xml:space="preserve">omitió dar respuesta a la solicitud de información, por lo que se </w:t>
      </w:r>
      <w:r w:rsidRPr="00207F77">
        <w:rPr>
          <w:rFonts w:ascii="Palatino Linotype" w:eastAsiaTheme="minorHAnsi" w:hAnsi="Palatino Linotype" w:cstheme="minorBidi"/>
          <w:b/>
          <w:color w:val="000000" w:themeColor="text1"/>
          <w:sz w:val="22"/>
          <w:szCs w:val="22"/>
          <w:lang w:eastAsia="en-US"/>
        </w:rPr>
        <w:t>configura la negativa ficta</w:t>
      </w:r>
      <w:r w:rsidRPr="00207F77">
        <w:rPr>
          <w:rFonts w:ascii="Palatino Linotype" w:eastAsiaTheme="minorHAnsi" w:hAnsi="Palatino Linotype" w:cstheme="minorBidi"/>
          <w:color w:val="000000" w:themeColor="text1"/>
          <w:sz w:val="22"/>
          <w:szCs w:val="22"/>
          <w:lang w:eastAsia="en-US"/>
        </w:rPr>
        <w:t xml:space="preserve"> a entregar información, prevista, en los artículos 166, párrafo cuarto y 178, párrafo segundo de la Ley de Transparencia y Acceso a la Información Pública del Estado de México y Municipios.</w:t>
      </w:r>
    </w:p>
    <w:p w14:paraId="503B107A" w14:textId="77777777" w:rsidR="003B08D1" w:rsidRPr="00207F77" w:rsidRDefault="003B08D1" w:rsidP="00E605BC">
      <w:pPr>
        <w:spacing w:line="360" w:lineRule="auto"/>
        <w:contextualSpacing/>
        <w:jc w:val="both"/>
        <w:rPr>
          <w:rFonts w:ascii="Palatino Linotype" w:hAnsi="Palatino Linotype" w:cs="Tahoma"/>
          <w:bCs/>
          <w:iCs/>
          <w:color w:val="000000" w:themeColor="text1"/>
          <w:sz w:val="22"/>
          <w:szCs w:val="22"/>
        </w:rPr>
      </w:pPr>
    </w:p>
    <w:p w14:paraId="04F3F22A" w14:textId="77777777" w:rsidR="003B08D1" w:rsidRPr="0077350F" w:rsidRDefault="003B08D1" w:rsidP="00E605BC">
      <w:pPr>
        <w:pStyle w:val="Ttulo2"/>
        <w:spacing w:before="0" w:after="0" w:line="360" w:lineRule="auto"/>
        <w:contextualSpacing/>
        <w:rPr>
          <w:rFonts w:ascii="Palatino Linotype" w:hAnsi="Palatino Linotype"/>
          <w:b/>
          <w:bCs/>
          <w:color w:val="auto"/>
          <w:sz w:val="22"/>
          <w:szCs w:val="22"/>
          <w:lang w:eastAsia="en-US"/>
        </w:rPr>
      </w:pPr>
      <w:bookmarkStart w:id="7" w:name="_Toc194593855"/>
      <w:bookmarkStart w:id="8" w:name="_Toc206084661"/>
      <w:bookmarkStart w:id="9" w:name="_Toc222865686"/>
      <w:r w:rsidRPr="0077350F">
        <w:rPr>
          <w:rFonts w:ascii="Palatino Linotype" w:hAnsi="Palatino Linotype"/>
          <w:b/>
          <w:bCs/>
          <w:color w:val="auto"/>
          <w:sz w:val="22"/>
          <w:szCs w:val="22"/>
          <w:lang w:eastAsia="en-US"/>
        </w:rPr>
        <w:t>III. Interposición del Recurso de Revisión</w:t>
      </w:r>
      <w:bookmarkEnd w:id="7"/>
      <w:bookmarkEnd w:id="8"/>
      <w:bookmarkEnd w:id="9"/>
    </w:p>
    <w:p w14:paraId="1D9DE092" w14:textId="77777777" w:rsidR="003B08D1" w:rsidRPr="00207F77" w:rsidRDefault="003B08D1" w:rsidP="00E605BC">
      <w:pPr>
        <w:spacing w:line="360" w:lineRule="auto"/>
        <w:contextualSpacing/>
        <w:jc w:val="both"/>
        <w:rPr>
          <w:rFonts w:ascii="Palatino Linotype" w:eastAsiaTheme="minorHAnsi" w:hAnsi="Palatino Linotype" w:cstheme="minorBidi"/>
          <w:b/>
          <w:bCs/>
          <w:color w:val="000000" w:themeColor="text1"/>
          <w:sz w:val="22"/>
          <w:szCs w:val="22"/>
          <w:lang w:eastAsia="en-US"/>
        </w:rPr>
      </w:pPr>
    </w:p>
    <w:p w14:paraId="4CBCF411" w14:textId="77777777" w:rsidR="003B08D1" w:rsidRPr="00207F77" w:rsidRDefault="003B08D1" w:rsidP="00E605BC">
      <w:pPr>
        <w:spacing w:line="360" w:lineRule="auto"/>
        <w:contextualSpacing/>
        <w:jc w:val="both"/>
        <w:rPr>
          <w:rFonts w:ascii="Palatino Linotype" w:eastAsiaTheme="minorHAnsi" w:hAnsi="Palatino Linotype" w:cs="Tahoma"/>
          <w:sz w:val="22"/>
          <w:szCs w:val="22"/>
          <w:lang w:val="es-ES" w:eastAsia="en-US"/>
        </w:rPr>
      </w:pPr>
      <w:r w:rsidRPr="00207F77">
        <w:rPr>
          <w:rFonts w:ascii="Palatino Linotype" w:eastAsiaTheme="minorHAnsi" w:hAnsi="Palatino Linotype" w:cs="Tahoma"/>
          <w:color w:val="000000" w:themeColor="text1"/>
          <w:sz w:val="22"/>
          <w:szCs w:val="22"/>
          <w:lang w:eastAsia="en-US"/>
        </w:rPr>
        <w:t xml:space="preserve">El </w:t>
      </w:r>
      <w:r>
        <w:rPr>
          <w:rFonts w:ascii="Palatino Linotype" w:hAnsi="Palatino Linotype" w:cs="Tahoma"/>
          <w:bCs/>
          <w:iCs/>
          <w:color w:val="000000" w:themeColor="text1"/>
          <w:sz w:val="22"/>
          <w:szCs w:val="22"/>
        </w:rPr>
        <w:t xml:space="preserve">dieciséis de diciembre </w:t>
      </w:r>
      <w:r w:rsidRPr="00207F77">
        <w:rPr>
          <w:rFonts w:ascii="Palatino Linotype" w:hAnsi="Palatino Linotype" w:cs="Tahoma"/>
          <w:bCs/>
          <w:iCs/>
          <w:color w:val="000000" w:themeColor="text1"/>
          <w:sz w:val="22"/>
          <w:szCs w:val="22"/>
        </w:rPr>
        <w:t>de dos mil veinticinco</w:t>
      </w:r>
      <w:r w:rsidRPr="00207F77">
        <w:rPr>
          <w:rFonts w:ascii="Palatino Linotype" w:eastAsiaTheme="minorHAnsi" w:hAnsi="Palatino Linotype" w:cs="Tahoma"/>
          <w:color w:val="000000" w:themeColor="text1"/>
          <w:sz w:val="22"/>
          <w:szCs w:val="22"/>
          <w:lang w:eastAsia="en-US"/>
        </w:rPr>
        <w:t xml:space="preserve">, </w:t>
      </w:r>
      <w:r w:rsidRPr="00207F77">
        <w:rPr>
          <w:rFonts w:ascii="Palatino Linotype" w:eastAsiaTheme="minorHAnsi" w:hAnsi="Palatino Linotype" w:cs="Tahoma"/>
          <w:color w:val="000000" w:themeColor="text1"/>
          <w:sz w:val="22"/>
          <w:szCs w:val="22"/>
          <w:lang w:val="es-ES" w:eastAsia="en-US"/>
        </w:rPr>
        <w:t>el Particular interpuso un Recurso de Revisión ante este Instituto, a través del Sistema de Acceso a la Información Mexiquense (SAIMEX), en contra de la falta de respuesta por el</w:t>
      </w:r>
      <w:r w:rsidRPr="00207F77">
        <w:rPr>
          <w:rFonts w:ascii="Palatino Linotype" w:eastAsia="Calibri" w:hAnsi="Palatino Linotype" w:cs="Tahoma"/>
          <w:sz w:val="22"/>
          <w:szCs w:val="22"/>
          <w:lang w:eastAsia="en-US"/>
        </w:rPr>
        <w:t xml:space="preserve"> Sujeto Obligado</w:t>
      </w:r>
      <w:r w:rsidRPr="00207F77">
        <w:rPr>
          <w:rFonts w:ascii="Palatino Linotype" w:eastAsiaTheme="minorHAnsi" w:hAnsi="Palatino Linotype" w:cs="Tahoma"/>
          <w:color w:val="000000" w:themeColor="text1"/>
          <w:sz w:val="22"/>
          <w:szCs w:val="22"/>
          <w:lang w:val="es-ES" w:eastAsia="en-US"/>
        </w:rPr>
        <w:t xml:space="preserve">, a la solicitud de información, en los siguientes términos: </w:t>
      </w:r>
    </w:p>
    <w:p w14:paraId="07EBFE68" w14:textId="77777777" w:rsidR="003B08D1" w:rsidRPr="00207F77" w:rsidRDefault="003B08D1" w:rsidP="00E605BC">
      <w:pPr>
        <w:autoSpaceDE w:val="0"/>
        <w:autoSpaceDN w:val="0"/>
        <w:adjustRightInd w:val="0"/>
        <w:spacing w:line="360" w:lineRule="auto"/>
        <w:contextualSpacing/>
        <w:jc w:val="both"/>
        <w:rPr>
          <w:rFonts w:ascii="Palatino Linotype" w:eastAsiaTheme="minorHAnsi" w:hAnsi="Palatino Linotype" w:cs="Tahoma"/>
          <w:color w:val="000000" w:themeColor="text1"/>
          <w:sz w:val="22"/>
          <w:szCs w:val="22"/>
          <w:lang w:eastAsia="en-US"/>
        </w:rPr>
      </w:pPr>
    </w:p>
    <w:p w14:paraId="038B812D" w14:textId="77777777" w:rsidR="003B08D1" w:rsidRPr="00207F77" w:rsidRDefault="003B08D1" w:rsidP="00E605BC">
      <w:pPr>
        <w:spacing w:line="360" w:lineRule="auto"/>
        <w:ind w:left="567" w:right="567"/>
        <w:contextualSpacing/>
        <w:jc w:val="both"/>
        <w:rPr>
          <w:rFonts w:ascii="Palatino Linotype" w:eastAsiaTheme="minorHAnsi" w:hAnsi="Palatino Linotype" w:cstheme="minorBidi"/>
          <w:bCs/>
          <w:i/>
          <w:color w:val="000000" w:themeColor="text1"/>
          <w:lang w:eastAsia="en-US"/>
        </w:rPr>
      </w:pPr>
      <w:r w:rsidRPr="00207F77">
        <w:rPr>
          <w:rFonts w:ascii="Palatino Linotype" w:eastAsiaTheme="minorHAnsi" w:hAnsi="Palatino Linotype" w:cstheme="minorBidi"/>
          <w:b/>
          <w:bCs/>
          <w:i/>
          <w:color w:val="000000" w:themeColor="text1"/>
          <w:lang w:eastAsia="en-US"/>
        </w:rPr>
        <w:t>“ACTO IMPUGNADO</w:t>
      </w:r>
    </w:p>
    <w:p w14:paraId="19E740F7" w14:textId="143E5152" w:rsidR="003B08D1" w:rsidRPr="00207F77" w:rsidRDefault="00676C0B" w:rsidP="00E605BC">
      <w:pPr>
        <w:spacing w:line="360" w:lineRule="auto"/>
        <w:ind w:left="567" w:right="567"/>
        <w:contextualSpacing/>
        <w:jc w:val="both"/>
        <w:rPr>
          <w:rFonts w:ascii="Palatino Linotype" w:eastAsiaTheme="minorHAnsi" w:hAnsi="Palatino Linotype" w:cstheme="minorBidi"/>
          <w:i/>
          <w:color w:val="000000" w:themeColor="text1"/>
          <w:lang w:eastAsia="en-US"/>
        </w:rPr>
      </w:pPr>
      <w:r w:rsidRPr="00676C0B">
        <w:rPr>
          <w:rFonts w:ascii="Palatino Linotype" w:eastAsiaTheme="minorHAnsi" w:hAnsi="Palatino Linotype" w:cstheme="minorBidi"/>
          <w:i/>
          <w:color w:val="000000" w:themeColor="text1"/>
          <w:lang w:eastAsia="en-US"/>
        </w:rPr>
        <w:t>Con fundamento en el artículo 18.27 del Código Administrativo del Estado de México, solicito: 1. El listado de procedimientos iniciados por construcción irregular o sin licencia durante el año 2025. 2. Para cada expediente: Ubicación Tipo de irregularidad Medidas impuestas Estado actual del procedimiento</w:t>
      </w:r>
      <w:r>
        <w:rPr>
          <w:rFonts w:ascii="Palatino Linotype" w:eastAsiaTheme="minorHAnsi" w:hAnsi="Palatino Linotype" w:cstheme="minorBidi"/>
          <w:i/>
          <w:color w:val="000000" w:themeColor="text1"/>
          <w:lang w:eastAsia="en-US"/>
        </w:rPr>
        <w:t xml:space="preserve">”. </w:t>
      </w:r>
      <w:r w:rsidR="003B08D1" w:rsidRPr="00207F77">
        <w:rPr>
          <w:rFonts w:ascii="Palatino Linotype" w:eastAsiaTheme="minorHAnsi" w:hAnsi="Palatino Linotype" w:cstheme="minorBidi"/>
          <w:i/>
          <w:color w:val="000000" w:themeColor="text1"/>
          <w:lang w:eastAsia="en-US"/>
        </w:rPr>
        <w:t>(Sic)</w:t>
      </w:r>
    </w:p>
    <w:p w14:paraId="57B3FE40" w14:textId="77777777" w:rsidR="003B08D1" w:rsidRPr="00207F77" w:rsidRDefault="003B08D1" w:rsidP="00E605BC">
      <w:pPr>
        <w:spacing w:line="360" w:lineRule="auto"/>
        <w:ind w:left="567" w:right="567"/>
        <w:contextualSpacing/>
        <w:jc w:val="both"/>
        <w:rPr>
          <w:rFonts w:ascii="Palatino Linotype" w:eastAsiaTheme="minorHAnsi" w:hAnsi="Palatino Linotype" w:cstheme="minorBidi"/>
          <w:i/>
          <w:color w:val="000000" w:themeColor="text1"/>
          <w:lang w:eastAsia="en-US"/>
        </w:rPr>
      </w:pPr>
    </w:p>
    <w:p w14:paraId="2F2DB1C5" w14:textId="77777777" w:rsidR="003B08D1" w:rsidRPr="00207F77" w:rsidRDefault="003B08D1" w:rsidP="00E605BC">
      <w:pPr>
        <w:spacing w:line="360" w:lineRule="auto"/>
        <w:ind w:left="567" w:right="567"/>
        <w:contextualSpacing/>
        <w:rPr>
          <w:rFonts w:ascii="Palatino Linotype" w:hAnsi="Palatino Linotype" w:cs="Tahoma"/>
          <w:b/>
          <w:bCs/>
          <w:i/>
        </w:rPr>
      </w:pPr>
      <w:r w:rsidRPr="00207F77">
        <w:rPr>
          <w:rFonts w:ascii="Palatino Linotype" w:hAnsi="Palatino Linotype" w:cs="Tahoma"/>
          <w:b/>
          <w:bCs/>
          <w:i/>
        </w:rPr>
        <w:t>“RAZONES O MOTIVOS DE LA INCONFORMIDAD</w:t>
      </w:r>
    </w:p>
    <w:p w14:paraId="7F7BF879" w14:textId="77777777" w:rsidR="00E45DDC" w:rsidRDefault="00676C0B" w:rsidP="00E605BC">
      <w:pPr>
        <w:spacing w:line="360" w:lineRule="auto"/>
        <w:ind w:left="567" w:right="567"/>
        <w:contextualSpacing/>
        <w:jc w:val="both"/>
        <w:rPr>
          <w:rFonts w:ascii="Palatino Linotype" w:eastAsiaTheme="minorHAnsi" w:hAnsi="Palatino Linotype" w:cstheme="minorBidi"/>
          <w:i/>
          <w:color w:val="000000" w:themeColor="text1"/>
          <w:lang w:eastAsia="en-US"/>
        </w:rPr>
      </w:pPr>
      <w:r w:rsidRPr="00676C0B">
        <w:rPr>
          <w:rFonts w:ascii="Palatino Linotype" w:eastAsiaTheme="minorHAnsi" w:hAnsi="Palatino Linotype" w:cstheme="minorBidi"/>
          <w:i/>
          <w:color w:val="000000" w:themeColor="text1"/>
          <w:lang w:eastAsia="en-US"/>
        </w:rPr>
        <w:t xml:space="preserve">El Ayuntamiento de Tepotzotlán vulnera mis derechos de acceso a la información al NO emitir respuesta en tiempo, NO fundar ni motivar una inexistencia, reserva o clasificación. NO </w:t>
      </w:r>
      <w:r w:rsidRPr="00676C0B">
        <w:rPr>
          <w:rFonts w:ascii="Palatino Linotype" w:eastAsiaTheme="minorHAnsi" w:hAnsi="Palatino Linotype" w:cstheme="minorBidi"/>
          <w:i/>
          <w:color w:val="000000" w:themeColor="text1"/>
          <w:lang w:eastAsia="en-US"/>
        </w:rPr>
        <w:lastRenderedPageBreak/>
        <w:t xml:space="preserve">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w:t>
      </w:r>
      <w:proofErr w:type="spellStart"/>
      <w:r w:rsidRPr="00676C0B">
        <w:rPr>
          <w:rFonts w:ascii="Palatino Linotype" w:eastAsiaTheme="minorHAnsi" w:hAnsi="Palatino Linotype" w:cstheme="minorBidi"/>
          <w:i/>
          <w:color w:val="000000" w:themeColor="text1"/>
          <w:lang w:eastAsia="en-US"/>
        </w:rPr>
        <w:t>articulo</w:t>
      </w:r>
      <w:proofErr w:type="spellEnd"/>
      <w:r w:rsidRPr="00676C0B">
        <w:rPr>
          <w:rFonts w:ascii="Palatino Linotype" w:eastAsiaTheme="minorHAnsi" w:hAnsi="Palatino Linotype" w:cstheme="minorBidi"/>
          <w:i/>
          <w:color w:val="000000" w:themeColor="text1"/>
          <w:lang w:eastAsia="en-US"/>
        </w:rPr>
        <w:t xml:space="preserve"> 6 y 8 constitucional tengo derecho a realizar mi petición y tener acceso a la información pública, así mismo de conformidad al </w:t>
      </w:r>
      <w:proofErr w:type="spellStart"/>
      <w:r w:rsidRPr="00676C0B">
        <w:rPr>
          <w:rFonts w:ascii="Palatino Linotype" w:eastAsiaTheme="minorHAnsi" w:hAnsi="Palatino Linotype" w:cstheme="minorBidi"/>
          <w:i/>
          <w:color w:val="000000" w:themeColor="text1"/>
          <w:lang w:eastAsia="en-US"/>
        </w:rPr>
        <w:t>articulo</w:t>
      </w:r>
      <w:proofErr w:type="spellEnd"/>
      <w:r w:rsidRPr="00676C0B">
        <w:rPr>
          <w:rFonts w:ascii="Palatino Linotype" w:eastAsiaTheme="minorHAnsi" w:hAnsi="Palatino Linotype" w:cstheme="minorBidi"/>
          <w:i/>
          <w:color w:val="000000" w:themeColor="text1"/>
          <w:lang w:eastAsia="en-US"/>
        </w:rPr>
        <w:t xml:space="preserve"> 4, 11, 15, 92, 111, 112, 150, 151, 152, 160, 162, 176, 177, 178, 179, 180, de la Ley de Transparencia y Acceso a la Información </w:t>
      </w:r>
      <w:proofErr w:type="spellStart"/>
      <w:r w:rsidRPr="00676C0B">
        <w:rPr>
          <w:rFonts w:ascii="Palatino Linotype" w:eastAsiaTheme="minorHAnsi" w:hAnsi="Palatino Linotype" w:cstheme="minorBidi"/>
          <w:i/>
          <w:color w:val="000000" w:themeColor="text1"/>
          <w:lang w:eastAsia="en-US"/>
        </w:rPr>
        <w:t>Publica</w:t>
      </w:r>
      <w:proofErr w:type="spellEnd"/>
      <w:r w:rsidRPr="00676C0B">
        <w:rPr>
          <w:rFonts w:ascii="Palatino Linotype" w:eastAsiaTheme="minorHAnsi" w:hAnsi="Palatino Linotype" w:cstheme="minorBidi"/>
          <w:i/>
          <w:color w:val="000000" w:themeColor="text1"/>
          <w:lang w:eastAsia="en-US"/>
        </w:rPr>
        <w:t xml:space="preserve"> del Estado de México y Municipios se hace de su conocimiento que transcurrido el plazo para darme una respuesta el ayuntamiento hizo caso omiso y nunca contesto mi solicitud de información </w:t>
      </w:r>
      <w:proofErr w:type="spellStart"/>
      <w:r w:rsidRPr="00676C0B">
        <w:rPr>
          <w:rFonts w:ascii="Palatino Linotype" w:eastAsiaTheme="minorHAnsi" w:hAnsi="Palatino Linotype" w:cstheme="minorBidi"/>
          <w:i/>
          <w:color w:val="000000" w:themeColor="text1"/>
          <w:lang w:eastAsia="en-US"/>
        </w:rPr>
        <w:t>publica</w:t>
      </w:r>
      <w:proofErr w:type="spellEnd"/>
      <w:r w:rsidRPr="00676C0B">
        <w:rPr>
          <w:rFonts w:ascii="Palatino Linotype" w:eastAsiaTheme="minorHAnsi" w:hAnsi="Palatino Linotype" w:cstheme="minorBidi"/>
          <w:i/>
          <w:color w:val="000000" w:themeColor="text1"/>
          <w:lang w:eastAsia="en-US"/>
        </w:rPr>
        <w:t xml:space="preserve">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3B08D1" w:rsidRPr="00766214">
        <w:rPr>
          <w:rFonts w:ascii="Palatino Linotype" w:eastAsiaTheme="minorHAnsi" w:hAnsi="Palatino Linotype" w:cstheme="minorBidi"/>
          <w:i/>
          <w:color w:val="000000" w:themeColor="text1"/>
          <w:lang w:eastAsia="en-US"/>
        </w:rPr>
        <w:t>.</w:t>
      </w:r>
      <w:r w:rsidR="003B08D1" w:rsidRPr="00207F77">
        <w:rPr>
          <w:rFonts w:ascii="Palatino Linotype" w:eastAsiaTheme="minorHAnsi" w:hAnsi="Palatino Linotype" w:cstheme="minorBidi"/>
          <w:i/>
          <w:color w:val="000000" w:themeColor="text1"/>
          <w:lang w:eastAsia="en-US"/>
        </w:rPr>
        <w:t xml:space="preserve">” </w:t>
      </w:r>
    </w:p>
    <w:p w14:paraId="1886EAB3" w14:textId="35C27129" w:rsidR="003B08D1" w:rsidRDefault="003B08D1" w:rsidP="00E605BC">
      <w:pPr>
        <w:spacing w:line="360" w:lineRule="auto"/>
        <w:ind w:left="567" w:right="567"/>
        <w:contextualSpacing/>
        <w:jc w:val="both"/>
        <w:rPr>
          <w:rFonts w:ascii="Palatino Linotype" w:eastAsiaTheme="minorHAnsi" w:hAnsi="Palatino Linotype" w:cstheme="minorBidi"/>
          <w:i/>
          <w:color w:val="000000" w:themeColor="text1"/>
          <w:lang w:eastAsia="en-US"/>
        </w:rPr>
      </w:pPr>
      <w:r w:rsidRPr="00207F77">
        <w:rPr>
          <w:rFonts w:ascii="Palatino Linotype" w:eastAsiaTheme="minorHAnsi" w:hAnsi="Palatino Linotype" w:cstheme="minorBidi"/>
          <w:i/>
          <w:color w:val="000000" w:themeColor="text1"/>
          <w:lang w:eastAsia="en-US"/>
        </w:rPr>
        <w:t>(Sic)</w:t>
      </w:r>
    </w:p>
    <w:p w14:paraId="0AE688A8" w14:textId="77777777" w:rsidR="003B08D1" w:rsidRPr="00207F77" w:rsidRDefault="003B08D1" w:rsidP="00E605BC">
      <w:pPr>
        <w:spacing w:line="360" w:lineRule="auto"/>
        <w:ind w:left="567" w:right="567"/>
        <w:contextualSpacing/>
        <w:jc w:val="both"/>
        <w:rPr>
          <w:rFonts w:ascii="Palatino Linotype" w:eastAsiaTheme="minorHAnsi" w:hAnsi="Palatino Linotype" w:cstheme="minorBidi"/>
          <w:i/>
          <w:color w:val="000000" w:themeColor="text1"/>
          <w:lang w:eastAsia="en-US"/>
        </w:rPr>
      </w:pPr>
    </w:p>
    <w:p w14:paraId="49154E47" w14:textId="77777777" w:rsidR="003B08D1" w:rsidRPr="005A5C93" w:rsidRDefault="003B08D1" w:rsidP="00E605BC">
      <w:pPr>
        <w:pStyle w:val="Ttulo2"/>
        <w:spacing w:before="0" w:after="0" w:line="360" w:lineRule="auto"/>
        <w:contextualSpacing/>
        <w:rPr>
          <w:rFonts w:ascii="Palatino Linotype" w:hAnsi="Palatino Linotype"/>
          <w:b/>
          <w:bCs/>
          <w:color w:val="auto"/>
          <w:sz w:val="22"/>
          <w:szCs w:val="22"/>
          <w:lang w:eastAsia="en-US"/>
        </w:rPr>
      </w:pPr>
      <w:bookmarkStart w:id="10" w:name="_Toc194593856"/>
      <w:bookmarkStart w:id="11" w:name="_Toc206084662"/>
      <w:bookmarkStart w:id="12" w:name="_Toc222865687"/>
      <w:r w:rsidRPr="005A5C93">
        <w:rPr>
          <w:rFonts w:ascii="Palatino Linotype" w:hAnsi="Palatino Linotype"/>
          <w:b/>
          <w:bCs/>
          <w:color w:val="auto"/>
          <w:sz w:val="22"/>
          <w:szCs w:val="22"/>
          <w:lang w:eastAsia="en-US"/>
        </w:rPr>
        <w:lastRenderedPageBreak/>
        <w:t>IV. Trámite del Recurso de Revisión ante el Instituto</w:t>
      </w:r>
      <w:bookmarkEnd w:id="10"/>
      <w:bookmarkEnd w:id="11"/>
      <w:bookmarkEnd w:id="12"/>
    </w:p>
    <w:p w14:paraId="5168CAF1" w14:textId="77777777" w:rsidR="003B08D1" w:rsidRPr="00207F77" w:rsidRDefault="003B08D1" w:rsidP="00E605BC">
      <w:pPr>
        <w:spacing w:line="360" w:lineRule="auto"/>
        <w:contextualSpacing/>
        <w:jc w:val="both"/>
        <w:rPr>
          <w:rFonts w:ascii="Palatino Linotype" w:eastAsiaTheme="minorHAnsi" w:hAnsi="Palatino Linotype" w:cstheme="minorBidi"/>
          <w:b/>
          <w:bCs/>
          <w:color w:val="000000" w:themeColor="text1"/>
          <w:sz w:val="22"/>
          <w:szCs w:val="22"/>
          <w:lang w:eastAsia="en-US"/>
        </w:rPr>
      </w:pPr>
    </w:p>
    <w:p w14:paraId="3C3E4E87" w14:textId="7E20643A" w:rsidR="003B08D1" w:rsidRPr="00207F77" w:rsidRDefault="003B08D1" w:rsidP="00E605BC">
      <w:pPr>
        <w:spacing w:line="360" w:lineRule="auto"/>
        <w:contextualSpacing/>
        <w:jc w:val="both"/>
        <w:rPr>
          <w:rFonts w:ascii="Palatino Linotype" w:eastAsia="Batang" w:hAnsi="Palatino Linotype" w:cs="Tahoma"/>
          <w:bCs/>
          <w:color w:val="000000" w:themeColor="text1"/>
          <w:sz w:val="22"/>
          <w:szCs w:val="22"/>
        </w:rPr>
      </w:pPr>
      <w:r w:rsidRPr="00207F77">
        <w:rPr>
          <w:rFonts w:ascii="Palatino Linotype" w:eastAsiaTheme="minorHAnsi" w:hAnsi="Palatino Linotype" w:cstheme="minorBidi"/>
          <w:b/>
          <w:bCs/>
          <w:color w:val="000000" w:themeColor="text1"/>
          <w:sz w:val="22"/>
          <w:szCs w:val="22"/>
          <w:lang w:eastAsia="en-US"/>
        </w:rPr>
        <w:t xml:space="preserve">a) Turno del Recurso de Revisión. </w:t>
      </w:r>
      <w:r w:rsidRPr="00207F77">
        <w:rPr>
          <w:rFonts w:ascii="Palatino Linotype" w:eastAsiaTheme="minorHAnsi" w:hAnsi="Palatino Linotype" w:cstheme="minorBidi"/>
          <w:color w:val="000000" w:themeColor="text1"/>
          <w:sz w:val="22"/>
          <w:szCs w:val="22"/>
          <w:lang w:eastAsia="en-US"/>
        </w:rPr>
        <w:t xml:space="preserve">El </w:t>
      </w:r>
      <w:r>
        <w:rPr>
          <w:rFonts w:ascii="Palatino Linotype" w:hAnsi="Palatino Linotype" w:cs="Tahoma"/>
          <w:bCs/>
          <w:iCs/>
          <w:color w:val="000000" w:themeColor="text1"/>
          <w:sz w:val="22"/>
          <w:szCs w:val="22"/>
        </w:rPr>
        <w:t xml:space="preserve">dieciséis de diciembre </w:t>
      </w:r>
      <w:r w:rsidRPr="00207F77">
        <w:rPr>
          <w:rFonts w:ascii="Palatino Linotype" w:hAnsi="Palatino Linotype" w:cs="Tahoma"/>
          <w:bCs/>
          <w:iCs/>
          <w:color w:val="000000" w:themeColor="text1"/>
          <w:sz w:val="22"/>
          <w:szCs w:val="22"/>
        </w:rPr>
        <w:t>de dos mil veinticinco</w:t>
      </w:r>
      <w:r w:rsidRPr="00207F77">
        <w:rPr>
          <w:rFonts w:ascii="Palatino Linotype" w:eastAsia="Batang" w:hAnsi="Palatino Linotype" w:cs="Tahoma"/>
          <w:bCs/>
          <w:color w:val="000000" w:themeColor="text1"/>
          <w:sz w:val="22"/>
          <w:szCs w:val="22"/>
        </w:rPr>
        <w:t xml:space="preserve">, el </w:t>
      </w:r>
      <w:r w:rsidRPr="00207F77">
        <w:rPr>
          <w:rFonts w:ascii="Palatino Linotype" w:hAnsi="Palatino Linotype" w:cs="Tahoma"/>
          <w:color w:val="000000" w:themeColor="text1"/>
          <w:sz w:val="22"/>
          <w:szCs w:val="22"/>
          <w:lang w:val="es-ES"/>
        </w:rPr>
        <w:t>Sistema de Acceso a la Información Mexiquense (SAIMEX),</w:t>
      </w:r>
      <w:r w:rsidRPr="00207F77">
        <w:rPr>
          <w:rFonts w:ascii="Palatino Linotype" w:eastAsia="Batang" w:hAnsi="Palatino Linotype" w:cs="Tahoma"/>
          <w:bCs/>
          <w:color w:val="000000" w:themeColor="text1"/>
          <w:sz w:val="22"/>
          <w:szCs w:val="22"/>
        </w:rPr>
        <w:t xml:space="preserve"> asignó el número de expediente </w:t>
      </w:r>
      <w:r>
        <w:rPr>
          <w:rFonts w:ascii="Palatino Linotype" w:eastAsia="Batang" w:hAnsi="Palatino Linotype" w:cs="Tahoma"/>
          <w:b/>
          <w:bCs/>
          <w:color w:val="000000" w:themeColor="text1"/>
          <w:sz w:val="22"/>
          <w:szCs w:val="22"/>
        </w:rPr>
        <w:t>0144</w:t>
      </w:r>
      <w:r w:rsidR="00676C0B">
        <w:rPr>
          <w:rFonts w:ascii="Palatino Linotype" w:eastAsia="Batang" w:hAnsi="Palatino Linotype" w:cs="Tahoma"/>
          <w:b/>
          <w:bCs/>
          <w:color w:val="000000" w:themeColor="text1"/>
          <w:sz w:val="22"/>
          <w:szCs w:val="22"/>
        </w:rPr>
        <w:t>21</w:t>
      </w:r>
      <w:r>
        <w:rPr>
          <w:rFonts w:ascii="Palatino Linotype" w:eastAsia="Batang" w:hAnsi="Palatino Linotype" w:cs="Tahoma"/>
          <w:b/>
          <w:bCs/>
          <w:color w:val="000000" w:themeColor="text1"/>
          <w:sz w:val="22"/>
          <w:szCs w:val="22"/>
        </w:rPr>
        <w:t>/INFOEM/IP/RR/2025</w:t>
      </w:r>
      <w:r w:rsidRPr="00207F77">
        <w:rPr>
          <w:rFonts w:ascii="Palatino Linotype" w:eastAsia="Batang" w:hAnsi="Palatino Linotype" w:cs="Tahoma"/>
          <w:bCs/>
          <w:color w:val="000000" w:themeColor="text1"/>
          <w:sz w:val="22"/>
          <w:szCs w:val="22"/>
        </w:rPr>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3D5755C1" w14:textId="77777777" w:rsidR="003B08D1" w:rsidRPr="00207F77" w:rsidRDefault="003B08D1" w:rsidP="00E605BC">
      <w:pPr>
        <w:spacing w:line="360" w:lineRule="auto"/>
        <w:contextualSpacing/>
        <w:jc w:val="both"/>
        <w:rPr>
          <w:rFonts w:ascii="Palatino Linotype" w:eastAsia="Batang" w:hAnsi="Palatino Linotype" w:cs="Tahoma"/>
          <w:b/>
          <w:bCs/>
          <w:color w:val="000000" w:themeColor="text1"/>
          <w:sz w:val="22"/>
          <w:szCs w:val="22"/>
        </w:rPr>
      </w:pPr>
    </w:p>
    <w:p w14:paraId="5A81963E" w14:textId="77777777" w:rsidR="003B08D1" w:rsidRDefault="003B08D1" w:rsidP="00E605BC">
      <w:pPr>
        <w:spacing w:line="360" w:lineRule="auto"/>
        <w:contextualSpacing/>
        <w:jc w:val="both"/>
        <w:rPr>
          <w:rFonts w:ascii="Palatino Linotype" w:hAnsi="Palatino Linotype" w:cs="Tahoma"/>
          <w:bCs/>
          <w:iCs/>
          <w:color w:val="000000" w:themeColor="text1"/>
          <w:sz w:val="22"/>
          <w:szCs w:val="22"/>
        </w:rPr>
      </w:pPr>
      <w:r w:rsidRPr="00207F77">
        <w:rPr>
          <w:rFonts w:ascii="Palatino Linotype" w:eastAsia="Batang" w:hAnsi="Palatino Linotype" w:cs="Tahoma"/>
          <w:b/>
          <w:bCs/>
          <w:color w:val="000000" w:themeColor="text1"/>
          <w:sz w:val="22"/>
          <w:szCs w:val="22"/>
        </w:rPr>
        <w:t xml:space="preserve">b) Admisión del </w:t>
      </w:r>
      <w:r w:rsidRPr="00207F77">
        <w:rPr>
          <w:rFonts w:ascii="Palatino Linotype" w:hAnsi="Palatino Linotype" w:cs="Tahoma"/>
          <w:b/>
          <w:color w:val="000000" w:themeColor="text1"/>
          <w:sz w:val="22"/>
          <w:szCs w:val="22"/>
        </w:rPr>
        <w:t>Recurso de Revisión</w:t>
      </w:r>
      <w:r w:rsidRPr="00207F77">
        <w:rPr>
          <w:rFonts w:ascii="Palatino Linotype" w:eastAsia="Batang" w:hAnsi="Palatino Linotype" w:cs="Tahoma"/>
          <w:b/>
          <w:bCs/>
          <w:color w:val="000000" w:themeColor="text1"/>
          <w:sz w:val="22"/>
          <w:szCs w:val="22"/>
          <w:lang w:val="es-ES_tradnl"/>
        </w:rPr>
        <w:t xml:space="preserve">. </w:t>
      </w:r>
      <w:r w:rsidRPr="00207F77">
        <w:rPr>
          <w:rFonts w:ascii="Palatino Linotype" w:eastAsia="Batang" w:hAnsi="Palatino Linotype" w:cs="Tahoma"/>
          <w:bCs/>
          <w:color w:val="000000" w:themeColor="text1"/>
          <w:sz w:val="22"/>
          <w:szCs w:val="22"/>
        </w:rPr>
        <w:t xml:space="preserve">El </w:t>
      </w:r>
      <w:r>
        <w:rPr>
          <w:rFonts w:ascii="Palatino Linotype" w:hAnsi="Palatino Linotype" w:cs="Tahoma"/>
          <w:bCs/>
          <w:iCs/>
          <w:color w:val="000000" w:themeColor="text1"/>
          <w:sz w:val="22"/>
          <w:szCs w:val="22"/>
        </w:rPr>
        <w:t xml:space="preserve">dieciocho de diciembre </w:t>
      </w:r>
      <w:r w:rsidRPr="00207F77">
        <w:rPr>
          <w:rFonts w:ascii="Palatino Linotype" w:hAnsi="Palatino Linotype" w:cs="Tahoma"/>
          <w:bCs/>
          <w:iCs/>
          <w:color w:val="000000" w:themeColor="text1"/>
          <w:sz w:val="22"/>
          <w:szCs w:val="22"/>
        </w:rPr>
        <w:t>de dos mil veinticinco</w:t>
      </w:r>
      <w:r w:rsidRPr="00207F77">
        <w:rPr>
          <w:rFonts w:ascii="Palatino Linotype" w:eastAsia="Batang" w:hAnsi="Palatino Linotype" w:cs="Tahoma"/>
          <w:bCs/>
          <w:color w:val="000000" w:themeColor="text1"/>
          <w:sz w:val="22"/>
          <w:szCs w:val="22"/>
          <w:lang w:val="es-ES_tradnl"/>
        </w:rPr>
        <w:t xml:space="preserve">,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w:t>
      </w:r>
      <w:r>
        <w:rPr>
          <w:rFonts w:ascii="Palatino Linotype" w:eastAsia="Batang" w:hAnsi="Palatino Linotype" w:cs="Tahoma"/>
          <w:bCs/>
          <w:color w:val="000000" w:themeColor="text1"/>
          <w:sz w:val="22"/>
          <w:szCs w:val="22"/>
          <w:lang w:val="es-ES_tradnl"/>
        </w:rPr>
        <w:t>diecinueve de dicho mes y año</w:t>
      </w:r>
      <w:r w:rsidRPr="00207F77">
        <w:rPr>
          <w:rFonts w:ascii="Palatino Linotype" w:eastAsia="Batang" w:hAnsi="Palatino Linotype" w:cs="Tahoma"/>
          <w:bCs/>
          <w:color w:val="000000" w:themeColor="text1"/>
          <w:sz w:val="22"/>
          <w:szCs w:val="22"/>
          <w:lang w:val="es-ES_tradnl"/>
        </w:rPr>
        <w:t>, a través del Sistema de Acceso a la Información Mexiquense (SAIMEX), en el que se les otorgó un plazo de siete días hábiles posteriores a la misma, para que manifestaran lo que a su derecho conviniera y formularan alegatos.</w:t>
      </w:r>
      <w:bookmarkStart w:id="13" w:name="_Toc201178849"/>
      <w:bookmarkStart w:id="14" w:name="_Toc201179244"/>
      <w:bookmarkStart w:id="15" w:name="_Toc190162617"/>
    </w:p>
    <w:p w14:paraId="386DAD27" w14:textId="77777777" w:rsidR="003B08D1" w:rsidRDefault="003B08D1" w:rsidP="00E605BC">
      <w:pPr>
        <w:spacing w:line="360" w:lineRule="auto"/>
        <w:contextualSpacing/>
        <w:jc w:val="both"/>
        <w:rPr>
          <w:rFonts w:ascii="Palatino Linotype" w:hAnsi="Palatino Linotype" w:cs="Tahoma"/>
          <w:bCs/>
          <w:iCs/>
          <w:color w:val="000000" w:themeColor="text1"/>
          <w:sz w:val="22"/>
          <w:szCs w:val="22"/>
        </w:rPr>
      </w:pPr>
    </w:p>
    <w:p w14:paraId="20BE2C9E" w14:textId="778961A6" w:rsidR="003B08D1" w:rsidRPr="00676C0B" w:rsidRDefault="003B08D1" w:rsidP="00E605BC">
      <w:pPr>
        <w:spacing w:line="360" w:lineRule="auto"/>
        <w:contextualSpacing/>
        <w:jc w:val="both"/>
        <w:rPr>
          <w:rFonts w:ascii="Palatino Linotype" w:hAnsi="Palatino Linotype" w:cs="Tahoma"/>
          <w:bCs/>
          <w:iCs/>
          <w:color w:val="000000" w:themeColor="text1"/>
          <w:sz w:val="22"/>
          <w:szCs w:val="22"/>
        </w:rPr>
      </w:pPr>
      <w:bookmarkStart w:id="16" w:name="_Toc205395233"/>
      <w:bookmarkStart w:id="17" w:name="_Toc206081749"/>
      <w:bookmarkStart w:id="18" w:name="_Toc206084663"/>
      <w:bookmarkStart w:id="19" w:name="_Toc213236285"/>
      <w:bookmarkStart w:id="20" w:name="_Toc222865688"/>
      <w:r w:rsidRPr="00D86ECA">
        <w:rPr>
          <w:rStyle w:val="Ttulo2Car"/>
          <w:rFonts w:ascii="Palatino Linotype" w:hAnsi="Palatino Linotype"/>
          <w:b/>
          <w:bCs/>
          <w:color w:val="auto"/>
          <w:sz w:val="22"/>
          <w:szCs w:val="22"/>
        </w:rPr>
        <w:t>c)</w:t>
      </w:r>
      <w:bookmarkEnd w:id="13"/>
      <w:bookmarkEnd w:id="14"/>
      <w:bookmarkEnd w:id="16"/>
      <w:bookmarkEnd w:id="17"/>
      <w:bookmarkEnd w:id="18"/>
      <w:bookmarkEnd w:id="19"/>
      <w:bookmarkEnd w:id="20"/>
      <w:r w:rsidRPr="00D86ECA">
        <w:rPr>
          <w:rStyle w:val="Ttulo2Car"/>
          <w:rFonts w:ascii="Palatino Linotype" w:hAnsi="Palatino Linotype"/>
          <w:color w:val="auto"/>
          <w:sz w:val="22"/>
          <w:szCs w:val="22"/>
        </w:rPr>
        <w:t xml:space="preserve"> </w:t>
      </w:r>
      <w:bookmarkEnd w:id="15"/>
      <w:r w:rsidRPr="00D86ECA">
        <w:rPr>
          <w:rFonts w:ascii="Palatino Linotype" w:eastAsia="Palatino Linotype" w:hAnsi="Palatino Linotype" w:cs="Palatino Linotype"/>
          <w:b/>
          <w:sz w:val="22"/>
          <w:szCs w:val="22"/>
        </w:rPr>
        <w:t xml:space="preserve">Informe Justificado. </w:t>
      </w:r>
      <w:r w:rsidRPr="00D86ECA">
        <w:rPr>
          <w:rFonts w:ascii="Palatino Linotype" w:eastAsia="Palatino Linotype" w:hAnsi="Palatino Linotype" w:cs="Palatino Linotype"/>
          <w:bCs/>
          <w:sz w:val="22"/>
          <w:szCs w:val="22"/>
        </w:rPr>
        <w:t xml:space="preserve">Con fecha </w:t>
      </w:r>
      <w:r>
        <w:rPr>
          <w:rFonts w:ascii="Palatino Linotype" w:eastAsia="Palatino Linotype" w:hAnsi="Palatino Linotype" w:cs="Palatino Linotype"/>
          <w:bCs/>
          <w:sz w:val="22"/>
          <w:szCs w:val="22"/>
        </w:rPr>
        <w:t xml:space="preserve">diecisiete de enero </w:t>
      </w:r>
      <w:r w:rsidRPr="00D86ECA">
        <w:rPr>
          <w:rFonts w:ascii="Palatino Linotype" w:eastAsia="Palatino Linotype" w:hAnsi="Palatino Linotype" w:cs="Palatino Linotype"/>
          <w:bCs/>
          <w:sz w:val="22"/>
          <w:szCs w:val="22"/>
        </w:rPr>
        <w:t>de dos mil veinti</w:t>
      </w:r>
      <w:r>
        <w:rPr>
          <w:rFonts w:ascii="Palatino Linotype" w:eastAsia="Palatino Linotype" w:hAnsi="Palatino Linotype" w:cs="Palatino Linotype"/>
          <w:bCs/>
          <w:sz w:val="22"/>
          <w:szCs w:val="22"/>
        </w:rPr>
        <w:t>séis</w:t>
      </w:r>
      <w:r w:rsidRPr="00D86ECA">
        <w:rPr>
          <w:rFonts w:ascii="Palatino Linotype" w:eastAsia="Palatino Linotype" w:hAnsi="Palatino Linotype" w:cs="Palatino Linotype"/>
          <w:bCs/>
          <w:sz w:val="22"/>
          <w:szCs w:val="22"/>
        </w:rPr>
        <w:t>, se recibió en este Instituto, a través del SAIMEX, el Informe Justificado, por parte del Sujeto Obligado, a través de</w:t>
      </w:r>
      <w:r>
        <w:rPr>
          <w:rFonts w:ascii="Palatino Linotype" w:eastAsia="Palatino Linotype" w:hAnsi="Palatino Linotype" w:cs="Palatino Linotype"/>
          <w:bCs/>
          <w:sz w:val="22"/>
          <w:szCs w:val="22"/>
        </w:rPr>
        <w:t xml:space="preserve"> </w:t>
      </w:r>
      <w:r>
        <w:rPr>
          <w:rFonts w:ascii="Palatino Linotype" w:hAnsi="Palatino Linotype" w:cs="Tahoma"/>
          <w:bCs/>
          <w:iCs/>
          <w:color w:val="000000" w:themeColor="text1"/>
          <w:sz w:val="22"/>
          <w:szCs w:val="22"/>
        </w:rPr>
        <w:t>la digitalización de</w:t>
      </w:r>
      <w:r w:rsidR="00676C0B">
        <w:rPr>
          <w:rFonts w:ascii="Palatino Linotype" w:hAnsi="Palatino Linotype" w:cs="Tahoma"/>
          <w:bCs/>
          <w:iCs/>
          <w:color w:val="000000" w:themeColor="text1"/>
          <w:sz w:val="22"/>
          <w:szCs w:val="22"/>
        </w:rPr>
        <w:t>l o</w:t>
      </w:r>
      <w:r w:rsidRPr="001F2A68">
        <w:rPr>
          <w:rFonts w:ascii="Palatino Linotype" w:hAnsi="Palatino Linotype" w:cs="Tahoma"/>
          <w:sz w:val="22"/>
          <w:szCs w:val="22"/>
        </w:rPr>
        <w:t>ficio número D</w:t>
      </w:r>
      <w:r w:rsidR="00676C0B">
        <w:rPr>
          <w:rFonts w:ascii="Palatino Linotype" w:hAnsi="Palatino Linotype" w:cs="Tahoma"/>
          <w:sz w:val="22"/>
          <w:szCs w:val="22"/>
        </w:rPr>
        <w:t>DUY</w:t>
      </w:r>
      <w:r w:rsidRPr="001F2A68">
        <w:rPr>
          <w:rFonts w:ascii="Palatino Linotype" w:hAnsi="Palatino Linotype" w:cs="Tahoma"/>
          <w:sz w:val="22"/>
          <w:szCs w:val="22"/>
        </w:rPr>
        <w:t>M/1</w:t>
      </w:r>
      <w:r w:rsidR="00676C0B">
        <w:rPr>
          <w:rFonts w:ascii="Palatino Linotype" w:hAnsi="Palatino Linotype" w:cs="Tahoma"/>
          <w:sz w:val="22"/>
          <w:szCs w:val="22"/>
        </w:rPr>
        <w:t>276</w:t>
      </w:r>
      <w:r w:rsidRPr="001F2A68">
        <w:rPr>
          <w:rFonts w:ascii="Palatino Linotype" w:hAnsi="Palatino Linotype" w:cs="Tahoma"/>
          <w:sz w:val="22"/>
          <w:szCs w:val="22"/>
        </w:rPr>
        <w:t xml:space="preserve">/2025, del </w:t>
      </w:r>
      <w:r w:rsidR="00676C0B">
        <w:rPr>
          <w:rFonts w:ascii="Palatino Linotype" w:hAnsi="Palatino Linotype" w:cs="Tahoma"/>
          <w:sz w:val="22"/>
          <w:szCs w:val="22"/>
        </w:rPr>
        <w:t xml:space="preserve">doce </w:t>
      </w:r>
      <w:r w:rsidRPr="001F2A68">
        <w:rPr>
          <w:rFonts w:ascii="Palatino Linotype" w:hAnsi="Palatino Linotype" w:cs="Tahoma"/>
          <w:sz w:val="22"/>
          <w:szCs w:val="22"/>
        </w:rPr>
        <w:t xml:space="preserve">de diciembre de dos mil veinticinco, suscrito por el Director de </w:t>
      </w:r>
      <w:r w:rsidR="00676C0B">
        <w:rPr>
          <w:rFonts w:ascii="Palatino Linotype" w:hAnsi="Palatino Linotype" w:cs="Tahoma"/>
          <w:sz w:val="22"/>
          <w:szCs w:val="22"/>
        </w:rPr>
        <w:t>Desarrollo Urbano y Metropolitano</w:t>
      </w:r>
      <w:r w:rsidRPr="001F2A68">
        <w:rPr>
          <w:rFonts w:ascii="Palatino Linotype" w:hAnsi="Palatino Linotype" w:cs="Tahoma"/>
          <w:sz w:val="22"/>
          <w:szCs w:val="22"/>
        </w:rPr>
        <w:t>, dirigido a la Titular de la Unidad de Transparencia, por medio del cual manifiesta y expone esencialmente lo siguiente:</w:t>
      </w:r>
    </w:p>
    <w:p w14:paraId="3AC26CC2" w14:textId="77777777" w:rsidR="003B08D1" w:rsidRDefault="003B08D1" w:rsidP="00E605BC">
      <w:pPr>
        <w:spacing w:line="360" w:lineRule="auto"/>
        <w:contextualSpacing/>
      </w:pPr>
    </w:p>
    <w:p w14:paraId="1C5A76F7" w14:textId="475811B7" w:rsidR="003B08D1" w:rsidRPr="00611EDB" w:rsidRDefault="003B08D1" w:rsidP="00E605BC">
      <w:pPr>
        <w:spacing w:line="360" w:lineRule="auto"/>
        <w:ind w:left="567" w:right="567"/>
        <w:contextualSpacing/>
        <w:jc w:val="both"/>
        <w:rPr>
          <w:rFonts w:ascii="Palatino Linotype" w:hAnsi="Palatino Linotype"/>
          <w:i/>
          <w:iCs/>
        </w:rPr>
      </w:pPr>
      <w:r w:rsidRPr="001F2A68">
        <w:rPr>
          <w:rFonts w:ascii="Palatino Linotype" w:hAnsi="Palatino Linotype"/>
          <w:i/>
          <w:iCs/>
        </w:rPr>
        <w:t>“…</w:t>
      </w:r>
      <w:r w:rsidR="002C771B" w:rsidRPr="002C771B">
        <w:rPr>
          <w:rFonts w:ascii="Palatino Linotype" w:hAnsi="Palatino Linotype"/>
          <w:i/>
          <w:iCs/>
        </w:rPr>
        <w:t xml:space="preserve">Por lo que, una vez analizada su petición y con fundamento a lo preceptuado por el artículo 140 fracción VIII de la Ley de Transparencia y Acceso a la Información Pública del Estado de México y Municipios que señala textualmente "Articulo 140. El acceso a la información pública </w:t>
      </w:r>
      <w:r w:rsidR="002C771B" w:rsidRPr="002C771B">
        <w:rPr>
          <w:rFonts w:ascii="Palatino Linotype" w:hAnsi="Palatino Linotype"/>
          <w:i/>
          <w:iCs/>
        </w:rPr>
        <w:lastRenderedPageBreak/>
        <w:t>será restringido excepcionalmente, cuando por razones de interés público, ésta sea clasificada como reservada, conforme a los criterios siguientes: ...VIII. Vulnere la conducción de los expedientes judiciales o de los procedimientos administrativos seguidos en forma de juicio, en tanto no hayan quedado firmes; Me permito informarle que, la información contenida en los procedimientos administrativos que se instauran por la construcción sin la autorización correspondiente, se encuentra restringida por razones de interés público, toda vez que, son parte integrante del respectivo procedimiento administrativo que lleva esta área en contra de los presuntos infractores en materia de Desarrollo Urbano y el mismo, se lleva a cabo con las formalidades establecidas en el Código de Procedimientos Administrativos del Estado de México y son seguidos en forma de juicio, señalando que, aún se encuentran en trámite y por ende, son procedimientos administrativos que aún no han quedado firmes</w:t>
      </w:r>
      <w:r w:rsidRPr="001F2A68">
        <w:rPr>
          <w:rFonts w:ascii="Palatino Linotype" w:hAnsi="Palatino Linotype"/>
        </w:rPr>
        <w:t>…”</w:t>
      </w:r>
    </w:p>
    <w:p w14:paraId="3BC24D42" w14:textId="77777777" w:rsidR="003B08D1" w:rsidRDefault="003B08D1" w:rsidP="00E605BC">
      <w:pPr>
        <w:spacing w:line="360" w:lineRule="auto"/>
        <w:contextualSpacing/>
        <w:jc w:val="both"/>
        <w:rPr>
          <w:rFonts w:ascii="Palatino Linotype" w:eastAsia="Palatino Linotype" w:hAnsi="Palatino Linotype" w:cs="Palatino Linotype"/>
          <w:b/>
          <w:sz w:val="22"/>
          <w:szCs w:val="22"/>
        </w:rPr>
      </w:pPr>
    </w:p>
    <w:p w14:paraId="281AA955" w14:textId="6C6C09BA" w:rsidR="003B08D1" w:rsidRPr="00291279" w:rsidRDefault="003B08D1" w:rsidP="00E605BC">
      <w:pPr>
        <w:spacing w:line="360" w:lineRule="auto"/>
        <w:contextualSpacing/>
        <w:jc w:val="both"/>
        <w:rPr>
          <w:rFonts w:ascii="Palatino Linotype" w:hAnsi="Palatino Linotype" w:cs="Tahoma"/>
          <w:bCs/>
          <w:iCs/>
          <w:color w:val="000000" w:themeColor="text1"/>
          <w:sz w:val="22"/>
          <w:szCs w:val="22"/>
        </w:rPr>
      </w:pPr>
      <w:r w:rsidRPr="00D86ECA">
        <w:rPr>
          <w:rFonts w:ascii="Palatino Linotype" w:eastAsia="Palatino Linotype" w:hAnsi="Palatino Linotype" w:cs="Palatino Linotype"/>
          <w:b/>
          <w:sz w:val="22"/>
          <w:szCs w:val="22"/>
        </w:rPr>
        <w:t xml:space="preserve">d) </w:t>
      </w:r>
      <w:r w:rsidRPr="00D86ECA">
        <w:rPr>
          <w:rFonts w:ascii="Palatino Linotype" w:hAnsi="Palatino Linotype" w:cs="Tahoma"/>
          <w:b/>
          <w:bCs/>
          <w:sz w:val="22"/>
          <w:szCs w:val="22"/>
        </w:rPr>
        <w:t xml:space="preserve">Vista del informe justificado. </w:t>
      </w:r>
      <w:r w:rsidRPr="00D86ECA">
        <w:rPr>
          <w:rFonts w:ascii="Palatino Linotype" w:hAnsi="Palatino Linotype" w:cs="Tahoma"/>
          <w:sz w:val="22"/>
          <w:szCs w:val="22"/>
        </w:rPr>
        <w:t xml:space="preserve">El </w:t>
      </w:r>
      <w:r w:rsidR="002C771B">
        <w:rPr>
          <w:rFonts w:ascii="Palatino Linotype" w:hAnsi="Palatino Linotype" w:cs="Tahoma"/>
          <w:sz w:val="22"/>
          <w:szCs w:val="22"/>
        </w:rPr>
        <w:t xml:space="preserve">once </w:t>
      </w:r>
      <w:r>
        <w:rPr>
          <w:rFonts w:ascii="Palatino Linotype" w:hAnsi="Palatino Linotype" w:cs="Tahoma"/>
          <w:sz w:val="22"/>
          <w:szCs w:val="22"/>
        </w:rPr>
        <w:t xml:space="preserve">de febrero </w:t>
      </w:r>
      <w:r w:rsidRPr="00D86ECA">
        <w:rPr>
          <w:rFonts w:ascii="Palatino Linotype" w:hAnsi="Palatino Linotype" w:cs="Tahoma"/>
          <w:sz w:val="22"/>
          <w:szCs w:val="22"/>
        </w:rPr>
        <w:t>de dos mil veinti</w:t>
      </w:r>
      <w:r>
        <w:rPr>
          <w:rFonts w:ascii="Palatino Linotype" w:hAnsi="Palatino Linotype" w:cs="Tahoma"/>
          <w:sz w:val="22"/>
          <w:szCs w:val="22"/>
        </w:rPr>
        <w:t>séis</w:t>
      </w:r>
      <w:r w:rsidRPr="00D86ECA">
        <w:rPr>
          <w:rFonts w:ascii="Palatino Linotype" w:hAnsi="Palatino Linotype" w:cs="Tahoma"/>
          <w:sz w:val="22"/>
          <w:szCs w:val="22"/>
        </w:rPr>
        <w:t xml:space="preserve">, se dictó acuerdo mediante el cual </w:t>
      </w:r>
      <w:r w:rsidRPr="00D86ECA">
        <w:rPr>
          <w:rFonts w:ascii="Palatino Linotype" w:hAnsi="Palatino Linotype" w:cs="Tahoma"/>
          <w:bCs/>
          <w:sz w:val="22"/>
          <w:szCs w:val="22"/>
        </w:rPr>
        <w:t>se pu</w:t>
      </w:r>
      <w:r>
        <w:rPr>
          <w:rFonts w:ascii="Palatino Linotype" w:hAnsi="Palatino Linotype" w:cs="Tahoma"/>
          <w:bCs/>
          <w:sz w:val="22"/>
          <w:szCs w:val="22"/>
        </w:rPr>
        <w:t>so a la vista del Particular de forma parcial el Informe Justificado</w:t>
      </w:r>
      <w:r>
        <w:rPr>
          <w:rFonts w:ascii="Palatino Linotype" w:hAnsi="Palatino Linotype" w:cs="Tahoma"/>
          <w:sz w:val="22"/>
          <w:szCs w:val="22"/>
        </w:rPr>
        <w:t xml:space="preserve"> entregado por el Sujeto Obligado, el cual fue notificado, a través del SAIMEX e</w:t>
      </w:r>
      <w:r w:rsidRPr="00D86ECA">
        <w:rPr>
          <w:rFonts w:ascii="Palatino Linotype" w:hAnsi="Palatino Linotype" w:cs="Tahoma"/>
          <w:sz w:val="22"/>
          <w:szCs w:val="22"/>
        </w:rPr>
        <w:t>l mismo día</w:t>
      </w:r>
      <w:r>
        <w:rPr>
          <w:rFonts w:ascii="Palatino Linotype" w:hAnsi="Palatino Linotype" w:cs="Tahoma"/>
          <w:b/>
          <w:bCs/>
          <w:color w:val="000000"/>
          <w:sz w:val="22"/>
          <w:szCs w:val="22"/>
        </w:rPr>
        <w:t>.</w:t>
      </w:r>
    </w:p>
    <w:p w14:paraId="21DED8E1" w14:textId="77777777" w:rsidR="003B08D1" w:rsidRDefault="003B08D1" w:rsidP="00E605BC">
      <w:pPr>
        <w:spacing w:line="360" w:lineRule="auto"/>
        <w:contextualSpacing/>
        <w:jc w:val="both"/>
        <w:rPr>
          <w:rFonts w:ascii="Palatino Linotype" w:hAnsi="Palatino Linotype" w:cs="Tahoma"/>
          <w:b/>
          <w:bCs/>
          <w:color w:val="000000"/>
          <w:sz w:val="22"/>
          <w:szCs w:val="22"/>
        </w:rPr>
      </w:pPr>
    </w:p>
    <w:p w14:paraId="3FAAE58A" w14:textId="3A3901AF" w:rsidR="004B5C4E" w:rsidRDefault="003B08D1" w:rsidP="00E605BC">
      <w:pPr>
        <w:spacing w:line="360" w:lineRule="auto"/>
        <w:contextualSpacing/>
        <w:jc w:val="both"/>
        <w:rPr>
          <w:rFonts w:ascii="Palatino Linotype" w:hAnsi="Palatino Linotype" w:cs="Tahoma"/>
          <w:b/>
          <w:bCs/>
          <w:sz w:val="22"/>
          <w:szCs w:val="22"/>
        </w:rPr>
      </w:pPr>
      <w:r>
        <w:rPr>
          <w:rFonts w:ascii="Palatino Linotype" w:hAnsi="Palatino Linotype" w:cs="Tahoma"/>
          <w:b/>
          <w:bCs/>
          <w:sz w:val="22"/>
          <w:szCs w:val="22"/>
        </w:rPr>
        <w:t>e</w:t>
      </w:r>
      <w:r w:rsidRPr="00910A46">
        <w:rPr>
          <w:rFonts w:ascii="Palatino Linotype" w:hAnsi="Palatino Linotype" w:cs="Tahoma"/>
          <w:b/>
          <w:bCs/>
          <w:sz w:val="22"/>
          <w:szCs w:val="22"/>
        </w:rPr>
        <w:t xml:space="preserve">) </w:t>
      </w:r>
      <w:r w:rsidR="004B5C4E">
        <w:rPr>
          <w:rFonts w:ascii="Palatino Linotype" w:eastAsia="Palatino Linotype" w:hAnsi="Palatino Linotype" w:cs="Palatino Linotype"/>
          <w:b/>
          <w:sz w:val="22"/>
          <w:szCs w:val="22"/>
        </w:rPr>
        <w:t xml:space="preserve">Ampliación de plazo para resolver. </w:t>
      </w:r>
      <w:r w:rsidR="004B5C4E">
        <w:rPr>
          <w:rFonts w:ascii="Palatino Linotype" w:eastAsia="Palatino Linotype" w:hAnsi="Palatino Linotype" w:cs="Palatino Linotype"/>
          <w:sz w:val="22"/>
          <w:szCs w:val="22"/>
        </w:rPr>
        <w:t>El veinticuatro de febrero de dos mil veintiséis, el Comisionado Ponente, con fundamento en lo dispuesto por el artículo 181, párrafo tercero, de la Ley de Transparencia y Acceso a la Información Pública del Estado de México y Municipios, acordó ampliar por un periodo de quince días hábiles, el plazo para resolver el Recurso de Revisión que nos ocupa; acto que fue notificado a las partes, mediante el Sistema de Acceso a la Información Mexiquense (SAIMEX), el mismo día.</w:t>
      </w:r>
    </w:p>
    <w:p w14:paraId="72D443B2" w14:textId="77777777" w:rsidR="004B5C4E" w:rsidRDefault="004B5C4E" w:rsidP="00E605BC">
      <w:pPr>
        <w:spacing w:line="360" w:lineRule="auto"/>
        <w:contextualSpacing/>
        <w:jc w:val="both"/>
        <w:rPr>
          <w:rFonts w:ascii="Palatino Linotype" w:hAnsi="Palatino Linotype" w:cs="Tahoma"/>
          <w:b/>
          <w:bCs/>
          <w:sz w:val="22"/>
          <w:szCs w:val="22"/>
        </w:rPr>
      </w:pPr>
    </w:p>
    <w:p w14:paraId="7D32EFA6" w14:textId="51A90772" w:rsidR="003B08D1" w:rsidRDefault="004B5C4E" w:rsidP="00E605BC">
      <w:pPr>
        <w:spacing w:line="360" w:lineRule="auto"/>
        <w:contextualSpacing/>
        <w:jc w:val="both"/>
        <w:rPr>
          <w:rFonts w:ascii="Palatino Linotype" w:hAnsi="Palatino Linotype"/>
          <w:sz w:val="22"/>
          <w:szCs w:val="22"/>
        </w:rPr>
      </w:pPr>
      <w:r>
        <w:rPr>
          <w:rFonts w:ascii="Palatino Linotype" w:hAnsi="Palatino Linotype"/>
          <w:b/>
          <w:sz w:val="22"/>
          <w:szCs w:val="22"/>
        </w:rPr>
        <w:t xml:space="preserve">f) </w:t>
      </w:r>
      <w:r w:rsidR="003B08D1" w:rsidRPr="00207F77">
        <w:rPr>
          <w:rFonts w:ascii="Palatino Linotype" w:hAnsi="Palatino Linotype"/>
          <w:b/>
          <w:sz w:val="22"/>
          <w:szCs w:val="22"/>
        </w:rPr>
        <w:t xml:space="preserve">Cierre de instrucción. </w:t>
      </w:r>
      <w:r w:rsidR="003B08D1" w:rsidRPr="005B34D2">
        <w:rPr>
          <w:rFonts w:ascii="Palatino Linotype" w:hAnsi="Palatino Linotype"/>
          <w:sz w:val="22"/>
          <w:szCs w:val="22"/>
        </w:rPr>
        <w:t xml:space="preserve">El </w:t>
      </w:r>
      <w:r w:rsidR="005D018C">
        <w:rPr>
          <w:rFonts w:ascii="Palatino Linotype" w:hAnsi="Palatino Linotype"/>
          <w:sz w:val="22"/>
          <w:szCs w:val="22"/>
        </w:rPr>
        <w:t>cuatro</w:t>
      </w:r>
      <w:r>
        <w:rPr>
          <w:rFonts w:ascii="Palatino Linotype" w:hAnsi="Palatino Linotype"/>
          <w:sz w:val="22"/>
          <w:szCs w:val="22"/>
        </w:rPr>
        <w:t xml:space="preserve"> de marzo </w:t>
      </w:r>
      <w:r w:rsidR="003B08D1" w:rsidRPr="005B34D2">
        <w:rPr>
          <w:rFonts w:ascii="Palatino Linotype" w:hAnsi="Palatino Linotype"/>
          <w:sz w:val="22"/>
          <w:szCs w:val="22"/>
        </w:rPr>
        <w:t>de dos mil veinti</w:t>
      </w:r>
      <w:r w:rsidR="003B08D1">
        <w:rPr>
          <w:rFonts w:ascii="Palatino Linotype" w:hAnsi="Palatino Linotype"/>
          <w:sz w:val="22"/>
          <w:szCs w:val="22"/>
        </w:rPr>
        <w:t>séis</w:t>
      </w:r>
      <w:r w:rsidR="003B08D1" w:rsidRPr="005B34D2">
        <w:rPr>
          <w:rFonts w:ascii="Palatino Linotype" w:hAnsi="Palatino Linotype"/>
          <w:sz w:val="22"/>
          <w:szCs w:val="22"/>
        </w:rPr>
        <w:t>,</w:t>
      </w:r>
      <w:r w:rsidR="003B08D1" w:rsidRPr="00207F77">
        <w:rPr>
          <w:rFonts w:ascii="Palatino Linotype" w:hAnsi="Palatino Linotype"/>
          <w:sz w:val="22"/>
          <w:szCs w:val="22"/>
        </w:rPr>
        <w:t xml:space="preserve"> al no existir diligencias pendientes por desahogar, se emitió el acuerdo por medio del cual se declaró cerrada la instrucción y, se pasó el expediente a resolución, en términos de lo dispuesto en los artículos 185, fracciones VI y VIII, de la Ley de Transparencia y Acceso a la Información Pública del </w:t>
      </w:r>
      <w:r w:rsidR="003B08D1" w:rsidRPr="00207F77">
        <w:rPr>
          <w:rFonts w:ascii="Palatino Linotype" w:hAnsi="Palatino Linotype"/>
          <w:sz w:val="22"/>
          <w:szCs w:val="22"/>
        </w:rPr>
        <w:lastRenderedPageBreak/>
        <w:t xml:space="preserve">Estado de México y Municipios; acto que fue notificado a las partes el mismo día, a través del Sistema de Acceso a la Información Mexiquense (SAIMEX). </w:t>
      </w:r>
    </w:p>
    <w:p w14:paraId="073AE253" w14:textId="77777777" w:rsidR="005D018C" w:rsidRPr="00207F77" w:rsidRDefault="005D018C" w:rsidP="00E605BC">
      <w:pPr>
        <w:spacing w:line="360" w:lineRule="auto"/>
        <w:contextualSpacing/>
        <w:jc w:val="both"/>
        <w:rPr>
          <w:rFonts w:ascii="Palatino Linotype" w:hAnsi="Palatino Linotype"/>
          <w:b/>
          <w:sz w:val="22"/>
          <w:szCs w:val="22"/>
        </w:rPr>
      </w:pPr>
    </w:p>
    <w:p w14:paraId="4F3A37E8" w14:textId="77777777" w:rsidR="003B08D1" w:rsidRPr="00207F77" w:rsidRDefault="003B08D1" w:rsidP="00E605BC">
      <w:pPr>
        <w:spacing w:line="360" w:lineRule="auto"/>
        <w:contextualSpacing/>
        <w:jc w:val="both"/>
        <w:rPr>
          <w:rFonts w:ascii="Palatino Linotype" w:hAnsi="Palatino Linotype" w:cs="Tahoma"/>
          <w:color w:val="000000"/>
          <w:sz w:val="22"/>
          <w:szCs w:val="22"/>
        </w:rPr>
      </w:pPr>
      <w:r w:rsidRPr="00207F77">
        <w:rPr>
          <w:rFonts w:ascii="Palatino Linotype" w:hAnsi="Palatino Linotype" w:cs="Tahoma"/>
          <w:color w:val="000000"/>
          <w:sz w:val="22"/>
          <w:szCs w:val="22"/>
        </w:rPr>
        <w:t xml:space="preserve">En razón de que fue debidamente sustanciado el expediente electrónico y no existe diligencia pendiente de desahogo, se emite la Resolución que conforme a Derecho proceda, de acuerdo con los siguientes: </w:t>
      </w:r>
    </w:p>
    <w:p w14:paraId="077FA556" w14:textId="77777777" w:rsidR="003B08D1" w:rsidRPr="00207F77" w:rsidRDefault="003B08D1" w:rsidP="00E605BC">
      <w:pPr>
        <w:spacing w:line="360" w:lineRule="auto"/>
        <w:contextualSpacing/>
        <w:jc w:val="both"/>
        <w:rPr>
          <w:rFonts w:ascii="Palatino Linotype" w:hAnsi="Palatino Linotype" w:cs="Tahoma"/>
          <w:color w:val="000000"/>
          <w:sz w:val="22"/>
          <w:szCs w:val="22"/>
        </w:rPr>
      </w:pPr>
    </w:p>
    <w:p w14:paraId="46F696DA" w14:textId="77777777" w:rsidR="003B08D1" w:rsidRPr="0099698A" w:rsidRDefault="003B08D1" w:rsidP="00E605BC">
      <w:pPr>
        <w:pStyle w:val="Ttulo1"/>
        <w:spacing w:before="0" w:after="0" w:line="360" w:lineRule="auto"/>
        <w:contextualSpacing/>
        <w:jc w:val="center"/>
        <w:rPr>
          <w:rFonts w:ascii="Palatino Linotype" w:hAnsi="Palatino Linotype"/>
          <w:b/>
          <w:bCs/>
          <w:color w:val="auto"/>
          <w:sz w:val="22"/>
          <w:szCs w:val="22"/>
          <w:lang w:val="es-ES"/>
        </w:rPr>
      </w:pPr>
      <w:bookmarkStart w:id="21" w:name="_Toc194593857"/>
      <w:bookmarkStart w:id="22" w:name="_Toc206084664"/>
      <w:bookmarkStart w:id="23" w:name="_Toc222865689"/>
      <w:r w:rsidRPr="0099698A">
        <w:rPr>
          <w:rFonts w:ascii="Palatino Linotype" w:hAnsi="Palatino Linotype"/>
          <w:b/>
          <w:bCs/>
          <w:color w:val="auto"/>
          <w:sz w:val="22"/>
          <w:szCs w:val="22"/>
          <w:lang w:val="es-ES"/>
        </w:rPr>
        <w:t>C O N S I D E R A N D O S</w:t>
      </w:r>
      <w:bookmarkEnd w:id="21"/>
      <w:bookmarkEnd w:id="22"/>
      <w:bookmarkEnd w:id="23"/>
    </w:p>
    <w:p w14:paraId="7D061563" w14:textId="77777777" w:rsidR="003B08D1" w:rsidRPr="00207F77" w:rsidRDefault="003B08D1" w:rsidP="00E605BC">
      <w:pPr>
        <w:spacing w:line="360" w:lineRule="auto"/>
        <w:contextualSpacing/>
        <w:jc w:val="both"/>
        <w:rPr>
          <w:rFonts w:ascii="Palatino Linotype" w:hAnsi="Palatino Linotype" w:cs="Tahoma"/>
          <w:b/>
          <w:sz w:val="22"/>
          <w:lang w:val="es-ES"/>
        </w:rPr>
      </w:pPr>
    </w:p>
    <w:p w14:paraId="6D6F8241" w14:textId="77777777" w:rsidR="003B08D1" w:rsidRPr="0099698A" w:rsidRDefault="003B08D1" w:rsidP="00E605BC">
      <w:pPr>
        <w:pStyle w:val="Ttulo2"/>
        <w:spacing w:before="0" w:after="0" w:line="360" w:lineRule="auto"/>
        <w:contextualSpacing/>
        <w:rPr>
          <w:rFonts w:ascii="Palatino Linotype" w:hAnsi="Palatino Linotype"/>
          <w:b/>
          <w:bCs/>
          <w:color w:val="auto"/>
          <w:sz w:val="22"/>
          <w:szCs w:val="22"/>
          <w:lang w:val="es-ES"/>
        </w:rPr>
      </w:pPr>
      <w:bookmarkStart w:id="24" w:name="_Toc194593858"/>
      <w:bookmarkStart w:id="25" w:name="_Toc206084665"/>
      <w:bookmarkStart w:id="26" w:name="_Toc222865690"/>
      <w:r w:rsidRPr="0099698A">
        <w:rPr>
          <w:rFonts w:ascii="Palatino Linotype" w:eastAsia="Calibri" w:hAnsi="Palatino Linotype"/>
          <w:b/>
          <w:bCs/>
          <w:color w:val="auto"/>
          <w:sz w:val="22"/>
          <w:szCs w:val="22"/>
          <w:lang w:val="es-ES" w:eastAsia="es-MX"/>
        </w:rPr>
        <w:t xml:space="preserve">PRIMERO. </w:t>
      </w:r>
      <w:r w:rsidRPr="0099698A">
        <w:rPr>
          <w:rFonts w:ascii="Palatino Linotype" w:hAnsi="Palatino Linotype"/>
          <w:b/>
          <w:bCs/>
          <w:color w:val="auto"/>
          <w:sz w:val="22"/>
          <w:szCs w:val="22"/>
          <w:lang w:val="es-ES"/>
        </w:rPr>
        <w:t>Competencia</w:t>
      </w:r>
      <w:bookmarkEnd w:id="24"/>
      <w:bookmarkEnd w:id="25"/>
      <w:bookmarkEnd w:id="26"/>
    </w:p>
    <w:p w14:paraId="69E4EB3A" w14:textId="77777777" w:rsidR="003B08D1" w:rsidRPr="00207F77" w:rsidRDefault="003B08D1" w:rsidP="00E605BC">
      <w:pPr>
        <w:autoSpaceDE w:val="0"/>
        <w:autoSpaceDN w:val="0"/>
        <w:adjustRightInd w:val="0"/>
        <w:spacing w:line="360" w:lineRule="auto"/>
        <w:contextualSpacing/>
        <w:jc w:val="both"/>
        <w:rPr>
          <w:rFonts w:ascii="Palatino Linotype" w:hAnsi="Palatino Linotype" w:cs="Tahoma"/>
          <w:b/>
          <w:sz w:val="22"/>
          <w:lang w:val="es-ES"/>
        </w:rPr>
      </w:pPr>
    </w:p>
    <w:p w14:paraId="0E20F467" w14:textId="77777777" w:rsidR="003B08D1" w:rsidRDefault="003B08D1" w:rsidP="00E605BC">
      <w:pPr>
        <w:spacing w:line="360" w:lineRule="auto"/>
        <w:contextualSpacing/>
        <w:jc w:val="both"/>
        <w:rPr>
          <w:rFonts w:ascii="Palatino Linotype" w:eastAsia="Palatino Linotype" w:hAnsi="Palatino Linotype" w:cs="Palatino Linotype"/>
          <w:sz w:val="22"/>
          <w:szCs w:val="22"/>
        </w:rPr>
      </w:pPr>
      <w:r w:rsidRPr="0069652E">
        <w:rPr>
          <w:rFonts w:ascii="Palatino Linotype" w:eastAsia="Palatino Linotype" w:hAnsi="Palatino Linotype" w:cs="Palatino Linotype"/>
          <w:sz w:val="22"/>
          <w:szCs w:val="22"/>
        </w:rPr>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w:t>
      </w:r>
      <w:bookmarkStart w:id="27" w:name="_Hlk214613917"/>
      <w:r w:rsidRPr="0069652E">
        <w:rPr>
          <w:rFonts w:ascii="Palatino Linotype" w:eastAsia="Palatino Linotype" w:hAnsi="Palatino Linotype" w:cs="Palatino Linotype"/>
          <w:sz w:val="22"/>
          <w:szCs w:val="22"/>
        </w:rPr>
        <w:t xml:space="preserve">párrafos cuadragésimo </w:t>
      </w:r>
      <w:r>
        <w:rPr>
          <w:rFonts w:ascii="Palatino Linotype" w:eastAsia="Palatino Linotype" w:hAnsi="Palatino Linotype" w:cs="Palatino Linotype"/>
          <w:sz w:val="22"/>
          <w:szCs w:val="22"/>
        </w:rPr>
        <w:t>cuarto</w:t>
      </w:r>
      <w:r w:rsidRPr="0069652E">
        <w:rPr>
          <w:rFonts w:ascii="Palatino Linotype" w:eastAsia="Palatino Linotype" w:hAnsi="Palatino Linotype" w:cs="Palatino Linotype"/>
          <w:sz w:val="22"/>
          <w:szCs w:val="22"/>
        </w:rPr>
        <w:t xml:space="preserve">, cuadragésimo </w:t>
      </w:r>
      <w:r>
        <w:rPr>
          <w:rFonts w:ascii="Palatino Linotype" w:eastAsia="Palatino Linotype" w:hAnsi="Palatino Linotype" w:cs="Palatino Linotype"/>
          <w:sz w:val="22"/>
          <w:szCs w:val="22"/>
        </w:rPr>
        <w:t xml:space="preserve">quinto </w:t>
      </w:r>
      <w:r w:rsidRPr="0069652E">
        <w:rPr>
          <w:rFonts w:ascii="Palatino Linotype" w:eastAsia="Palatino Linotype" w:hAnsi="Palatino Linotype" w:cs="Palatino Linotype"/>
          <w:sz w:val="22"/>
          <w:szCs w:val="22"/>
        </w:rPr>
        <w:t xml:space="preserve">y cuadragésimo </w:t>
      </w:r>
      <w:r>
        <w:rPr>
          <w:rFonts w:ascii="Palatino Linotype" w:eastAsia="Palatino Linotype" w:hAnsi="Palatino Linotype" w:cs="Palatino Linotype"/>
          <w:sz w:val="22"/>
          <w:szCs w:val="22"/>
        </w:rPr>
        <w:t>sexto</w:t>
      </w:r>
      <w:bookmarkEnd w:id="27"/>
      <w:r w:rsidRPr="0069652E">
        <w:rPr>
          <w:rFonts w:ascii="Palatino Linotype" w:eastAsia="Palatino Linotype" w:hAnsi="Palatino Linotype" w:cs="Palatino Linotype"/>
          <w:sz w:val="22"/>
          <w:szCs w:val="22"/>
        </w:rPr>
        <w:t>,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1AB62283" w14:textId="77777777" w:rsidR="003B08D1" w:rsidRPr="00207F77" w:rsidRDefault="003B08D1" w:rsidP="00E605BC">
      <w:pPr>
        <w:spacing w:line="360" w:lineRule="auto"/>
        <w:contextualSpacing/>
        <w:jc w:val="both"/>
        <w:rPr>
          <w:rFonts w:ascii="Palatino Linotype" w:eastAsia="Palatino Linotype" w:hAnsi="Palatino Linotype" w:cs="Palatino Linotype"/>
          <w:color w:val="000000" w:themeColor="text1"/>
          <w:sz w:val="22"/>
          <w:szCs w:val="22"/>
          <w:lang w:eastAsia="es-MX"/>
        </w:rPr>
      </w:pPr>
    </w:p>
    <w:p w14:paraId="5856B189" w14:textId="77777777" w:rsidR="003B08D1" w:rsidRPr="0099698A" w:rsidRDefault="003B08D1" w:rsidP="00E605BC">
      <w:pPr>
        <w:pStyle w:val="Ttulo2"/>
        <w:spacing w:before="0" w:after="0" w:line="360" w:lineRule="auto"/>
        <w:contextualSpacing/>
        <w:rPr>
          <w:rFonts w:ascii="Palatino Linotype" w:hAnsi="Palatino Linotype"/>
          <w:b/>
          <w:bCs/>
          <w:color w:val="auto"/>
          <w:sz w:val="22"/>
          <w:szCs w:val="22"/>
          <w:lang w:val="es-ES"/>
        </w:rPr>
      </w:pPr>
      <w:bookmarkStart w:id="28" w:name="_Toc194593859"/>
      <w:bookmarkStart w:id="29" w:name="_Toc206084666"/>
      <w:bookmarkStart w:id="30" w:name="_Toc222865691"/>
      <w:r w:rsidRPr="0099698A">
        <w:rPr>
          <w:rFonts w:ascii="Palatino Linotype" w:eastAsia="Calibri" w:hAnsi="Palatino Linotype"/>
          <w:b/>
          <w:bCs/>
          <w:color w:val="auto"/>
          <w:sz w:val="22"/>
          <w:szCs w:val="22"/>
          <w:lang w:val="es-ES" w:eastAsia="es-MX"/>
        </w:rPr>
        <w:t xml:space="preserve">SEGUNDO. </w:t>
      </w:r>
      <w:r w:rsidRPr="0099698A">
        <w:rPr>
          <w:rFonts w:ascii="Palatino Linotype" w:hAnsi="Palatino Linotype"/>
          <w:b/>
          <w:bCs/>
          <w:color w:val="auto"/>
          <w:sz w:val="22"/>
          <w:szCs w:val="22"/>
          <w:lang w:val="es-ES"/>
        </w:rPr>
        <w:t>Causales de improcedencia y Sobreseimiento</w:t>
      </w:r>
      <w:bookmarkEnd w:id="28"/>
      <w:bookmarkEnd w:id="29"/>
      <w:bookmarkEnd w:id="30"/>
    </w:p>
    <w:p w14:paraId="10E5CC95" w14:textId="77777777" w:rsidR="003B08D1" w:rsidRPr="00207F77" w:rsidRDefault="003B08D1" w:rsidP="00E605BC">
      <w:pPr>
        <w:autoSpaceDE w:val="0"/>
        <w:autoSpaceDN w:val="0"/>
        <w:adjustRightInd w:val="0"/>
        <w:spacing w:line="360" w:lineRule="auto"/>
        <w:contextualSpacing/>
        <w:jc w:val="both"/>
        <w:rPr>
          <w:rFonts w:ascii="Palatino Linotype" w:hAnsi="Palatino Linotype" w:cs="Tahoma"/>
          <w:sz w:val="22"/>
          <w:szCs w:val="22"/>
          <w:lang w:val="es-ES"/>
        </w:rPr>
      </w:pPr>
    </w:p>
    <w:p w14:paraId="5AE6349D" w14:textId="77777777" w:rsidR="003B08D1" w:rsidRPr="00207F77" w:rsidRDefault="003B08D1" w:rsidP="00E605BC">
      <w:pPr>
        <w:autoSpaceDE w:val="0"/>
        <w:autoSpaceDN w:val="0"/>
        <w:adjustRightInd w:val="0"/>
        <w:spacing w:line="360" w:lineRule="auto"/>
        <w:contextualSpacing/>
        <w:jc w:val="both"/>
        <w:rPr>
          <w:rFonts w:ascii="Palatino Linotype" w:hAnsi="Palatino Linotype" w:cs="Tahoma"/>
          <w:sz w:val="22"/>
          <w:szCs w:val="22"/>
          <w:lang w:val="es-ES"/>
        </w:rPr>
      </w:pPr>
      <w:r w:rsidRPr="00207F77">
        <w:rPr>
          <w:rFonts w:ascii="Palatino Linotype" w:hAnsi="Palatino Linotype" w:cs="Tahoma"/>
          <w:sz w:val="22"/>
          <w:szCs w:val="22"/>
          <w:lang w:val="es-ES"/>
        </w:rPr>
        <w:lastRenderedPageBreak/>
        <w:t xml:space="preserve">De las constancias que forma parte del Recurso de Revisión que se analiza, se advierte que previo al estudio del fondo de la </w:t>
      </w:r>
      <w:r w:rsidRPr="00207F77">
        <w:rPr>
          <w:rFonts w:ascii="Palatino Linotype" w:hAnsi="Palatino Linotype" w:cs="Tahoma"/>
          <w:i/>
          <w:sz w:val="22"/>
          <w:szCs w:val="22"/>
          <w:lang w:val="es-ES"/>
        </w:rPr>
        <w:t>litis</w:t>
      </w:r>
      <w:r w:rsidRPr="00207F77">
        <w:rPr>
          <w:rFonts w:ascii="Palatino Linotype" w:hAnsi="Palatino Linotype" w:cs="Tahoma"/>
          <w:sz w:val="22"/>
          <w:szCs w:val="22"/>
          <w:lang w:val="es-ES"/>
        </w:rPr>
        <w:t>, es necesario estudiar las causales de improcedencia y sobreseimiento que se adviertan, para determinar lo que en Derecho proceda.</w:t>
      </w:r>
    </w:p>
    <w:p w14:paraId="4C7D459F" w14:textId="77777777" w:rsidR="003B08D1" w:rsidRPr="00207F77" w:rsidRDefault="003B08D1" w:rsidP="00E605BC">
      <w:pPr>
        <w:autoSpaceDE w:val="0"/>
        <w:autoSpaceDN w:val="0"/>
        <w:adjustRightInd w:val="0"/>
        <w:spacing w:line="360" w:lineRule="auto"/>
        <w:contextualSpacing/>
        <w:jc w:val="both"/>
        <w:rPr>
          <w:rFonts w:ascii="Palatino Linotype" w:hAnsi="Palatino Linotype" w:cs="Tahoma"/>
          <w:sz w:val="22"/>
          <w:szCs w:val="22"/>
          <w:lang w:val="es-ES"/>
        </w:rPr>
      </w:pPr>
    </w:p>
    <w:p w14:paraId="7CE4D5C0" w14:textId="77777777" w:rsidR="003B08D1" w:rsidRPr="00207F77" w:rsidRDefault="003B08D1" w:rsidP="00E605BC">
      <w:pPr>
        <w:spacing w:line="360" w:lineRule="auto"/>
        <w:contextualSpacing/>
        <w:jc w:val="both"/>
        <w:rPr>
          <w:rFonts w:ascii="Palatino Linotype" w:hAnsi="Palatino Linotype"/>
          <w:b/>
          <w:sz w:val="22"/>
          <w:szCs w:val="22"/>
          <w:lang w:val="es-ES"/>
        </w:rPr>
      </w:pPr>
      <w:r w:rsidRPr="00207F77">
        <w:rPr>
          <w:rFonts w:ascii="Palatino Linotype" w:hAnsi="Palatino Linotype"/>
          <w:b/>
          <w:sz w:val="22"/>
          <w:szCs w:val="22"/>
          <w:lang w:val="es-ES"/>
        </w:rPr>
        <w:t>Causales de improcedencia</w:t>
      </w:r>
    </w:p>
    <w:p w14:paraId="71E923A7" w14:textId="77777777" w:rsidR="003B08D1" w:rsidRPr="00207F77" w:rsidRDefault="003B08D1" w:rsidP="00E605BC">
      <w:pPr>
        <w:spacing w:line="360" w:lineRule="auto"/>
        <w:contextualSpacing/>
        <w:jc w:val="both"/>
        <w:rPr>
          <w:rFonts w:ascii="Palatino Linotype" w:hAnsi="Palatino Linotype"/>
          <w:sz w:val="22"/>
          <w:szCs w:val="22"/>
        </w:rPr>
      </w:pPr>
    </w:p>
    <w:p w14:paraId="1809B615" w14:textId="77777777" w:rsidR="003B08D1" w:rsidRPr="00207F77" w:rsidRDefault="003B08D1" w:rsidP="00E605BC">
      <w:pPr>
        <w:spacing w:line="360" w:lineRule="auto"/>
        <w:contextualSpacing/>
        <w:jc w:val="both"/>
        <w:rPr>
          <w:rFonts w:ascii="Palatino Linotype" w:hAnsi="Palatino Linotype" w:cs="Tahoma"/>
          <w:sz w:val="22"/>
          <w:szCs w:val="22"/>
        </w:rPr>
      </w:pPr>
      <w:r w:rsidRPr="00207F77">
        <w:rPr>
          <w:rFonts w:ascii="Palatino Linotype" w:hAnsi="Palatino Linotype" w:cs="Tahoma"/>
          <w:sz w:val="22"/>
          <w:szCs w:val="22"/>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479AF335" w14:textId="77777777" w:rsidR="003B08D1" w:rsidRPr="00207F77" w:rsidRDefault="003B08D1" w:rsidP="00E605BC">
      <w:pPr>
        <w:spacing w:line="360" w:lineRule="auto"/>
        <w:contextualSpacing/>
        <w:jc w:val="both"/>
        <w:rPr>
          <w:rFonts w:ascii="Palatino Linotype" w:hAnsi="Palatino Linotype" w:cs="Tahoma"/>
          <w:sz w:val="22"/>
          <w:szCs w:val="22"/>
        </w:rPr>
      </w:pPr>
    </w:p>
    <w:p w14:paraId="1E711F35" w14:textId="77777777" w:rsidR="003B08D1" w:rsidRPr="00207F77" w:rsidRDefault="003B08D1" w:rsidP="00E605BC">
      <w:pPr>
        <w:spacing w:line="360" w:lineRule="auto"/>
        <w:contextualSpacing/>
        <w:jc w:val="both"/>
        <w:rPr>
          <w:rFonts w:ascii="Palatino Linotype" w:hAnsi="Palatino Linotype" w:cs="Tahoma"/>
          <w:sz w:val="22"/>
          <w:szCs w:val="22"/>
        </w:rPr>
      </w:pPr>
      <w:r w:rsidRPr="00207F77">
        <w:rPr>
          <w:rFonts w:ascii="Palatino Linotype" w:hAnsi="Palatino Linotype" w:cs="Tahoma"/>
          <w:sz w:val="22"/>
          <w:szCs w:val="22"/>
        </w:rPr>
        <w:t>En el presente caso, </w:t>
      </w:r>
      <w:r w:rsidRPr="00207F77">
        <w:rPr>
          <w:rFonts w:ascii="Palatino Linotype" w:hAnsi="Palatino Linotype" w:cs="Tahoma"/>
          <w:b/>
          <w:bCs/>
          <w:sz w:val="22"/>
          <w:szCs w:val="22"/>
        </w:rPr>
        <w:t>no se actualiza ninguna de las causales de improcedencia</w:t>
      </w:r>
      <w:r w:rsidRPr="00207F77">
        <w:rPr>
          <w:rFonts w:ascii="Palatino Linotype" w:hAnsi="Palatino Linotype" w:cs="Tahoma"/>
          <w:sz w:val="22"/>
          <w:szCs w:val="22"/>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74C6FDC1" w14:textId="77777777" w:rsidR="003B08D1" w:rsidRPr="00207F77" w:rsidRDefault="003B08D1" w:rsidP="00E605BC">
      <w:pPr>
        <w:spacing w:line="360" w:lineRule="auto"/>
        <w:contextualSpacing/>
        <w:jc w:val="both"/>
        <w:rPr>
          <w:rFonts w:ascii="Palatino Linotype" w:hAnsi="Palatino Linotype" w:cs="Tahoma"/>
          <w:sz w:val="22"/>
          <w:szCs w:val="22"/>
          <w:lang w:val="es-ES"/>
        </w:rPr>
      </w:pPr>
    </w:p>
    <w:p w14:paraId="1101DC96" w14:textId="77777777" w:rsidR="003B08D1" w:rsidRPr="00207F77" w:rsidRDefault="003B08D1" w:rsidP="00E605BC">
      <w:pPr>
        <w:spacing w:line="360" w:lineRule="auto"/>
        <w:contextualSpacing/>
        <w:jc w:val="both"/>
        <w:rPr>
          <w:rFonts w:ascii="Palatino Linotype" w:hAnsi="Palatino Linotype" w:cs="Tahoma"/>
          <w:sz w:val="22"/>
          <w:szCs w:val="22"/>
          <w:lang w:val="es-ES"/>
        </w:rPr>
      </w:pPr>
      <w:r w:rsidRPr="00207F77">
        <w:rPr>
          <w:rFonts w:ascii="Palatino Linotype" w:hAnsi="Palatino Linotype" w:cs="Tahoma"/>
          <w:sz w:val="22"/>
          <w:szCs w:val="22"/>
          <w:lang w:val="es-ES"/>
        </w:rPr>
        <w:t xml:space="preserve">Además, de que el Medios de Impugnación fue presentado en tiempo, toda vez que ante la ausencia de la respuesta del Ente Recurrido, se constituyó la </w:t>
      </w:r>
      <w:r w:rsidRPr="00207F77">
        <w:rPr>
          <w:rFonts w:ascii="Palatino Linotype" w:hAnsi="Palatino Linotype" w:cs="Tahoma"/>
          <w:b/>
          <w:sz w:val="22"/>
          <w:szCs w:val="22"/>
          <w:lang w:val="es-ES"/>
        </w:rPr>
        <w:t>negativa ficta</w:t>
      </w:r>
      <w:r w:rsidRPr="00207F77">
        <w:rPr>
          <w:rFonts w:ascii="Palatino Linotype" w:hAnsi="Palatino Linotype" w:cs="Tahoma"/>
          <w:sz w:val="22"/>
          <w:szCs w:val="22"/>
          <w:lang w:val="es-ES"/>
        </w:rPr>
        <w:t xml:space="preserve">, que genera la posibilidad de los particulares de interponer un recurso de revisión ante tal omisión, </w:t>
      </w:r>
      <w:r w:rsidRPr="00207F77">
        <w:rPr>
          <w:rFonts w:ascii="Palatino Linotype" w:hAnsi="Palatino Linotype" w:cs="Tahoma"/>
          <w:sz w:val="22"/>
          <w:szCs w:val="22"/>
          <w:u w:val="single"/>
          <w:lang w:val="es-ES"/>
        </w:rPr>
        <w:t>en cualquier momento</w:t>
      </w:r>
      <w:r w:rsidRPr="00207F77">
        <w:rPr>
          <w:rFonts w:ascii="Palatino Linotype" w:hAnsi="Palatino Linotype" w:cs="Tahoma"/>
          <w:sz w:val="22"/>
          <w:szCs w:val="22"/>
          <w:lang w:val="es-ES"/>
        </w:rPr>
        <w:t xml:space="preserve">; por lo que, no es necesario determinar una temporalidad respecto del momento de presentación, conforme a lo establecido en los artículos 166 y 178, párrafo </w:t>
      </w:r>
      <w:r w:rsidRPr="00207F77">
        <w:rPr>
          <w:rFonts w:ascii="Palatino Linotype" w:hAnsi="Palatino Linotype" w:cs="Tahoma"/>
          <w:sz w:val="22"/>
          <w:szCs w:val="22"/>
          <w:lang w:val="es-ES"/>
        </w:rPr>
        <w:lastRenderedPageBreak/>
        <w:t>segundo de la Ley de Transparencia y Acceso a la Información Pública del Estado de México y los Municipios.</w:t>
      </w:r>
    </w:p>
    <w:p w14:paraId="0F78298E" w14:textId="77777777" w:rsidR="003B08D1" w:rsidRPr="00207F77" w:rsidRDefault="003B08D1" w:rsidP="00E605BC">
      <w:pPr>
        <w:spacing w:line="360" w:lineRule="auto"/>
        <w:contextualSpacing/>
        <w:jc w:val="both"/>
        <w:rPr>
          <w:rFonts w:ascii="Palatino Linotype" w:hAnsi="Palatino Linotype" w:cs="Tahoma"/>
          <w:sz w:val="22"/>
          <w:szCs w:val="22"/>
          <w:lang w:val="es-ES"/>
        </w:rPr>
      </w:pPr>
    </w:p>
    <w:p w14:paraId="0FDEF5DE" w14:textId="77777777" w:rsidR="003B08D1" w:rsidRPr="00207F77" w:rsidRDefault="003B08D1" w:rsidP="00E605BC">
      <w:pPr>
        <w:spacing w:line="360" w:lineRule="auto"/>
        <w:contextualSpacing/>
        <w:jc w:val="both"/>
        <w:rPr>
          <w:rFonts w:ascii="Palatino Linotype" w:hAnsi="Palatino Linotype" w:cs="Tahoma"/>
          <w:bCs/>
          <w:sz w:val="22"/>
          <w:szCs w:val="22"/>
          <w:lang w:val="es-ES"/>
        </w:rPr>
      </w:pPr>
      <w:r w:rsidRPr="00207F77">
        <w:rPr>
          <w:rFonts w:ascii="Palatino Linotype" w:hAnsi="Palatino Linotype" w:cs="Tahoma"/>
          <w:sz w:val="22"/>
          <w:szCs w:val="22"/>
          <w:lang w:val="es-ES"/>
        </w:rPr>
        <w:t>Conforme a lo anterior, se actualiza la causal de procedencia señalada en el artículo 179, fracción VII, de la Ley de la materia</w:t>
      </w:r>
      <w:r w:rsidRPr="00207F77">
        <w:rPr>
          <w:rFonts w:ascii="Palatino Linotype" w:hAnsi="Palatino Linotype" w:cs="Tahoma"/>
          <w:bCs/>
          <w:sz w:val="22"/>
          <w:szCs w:val="22"/>
          <w:lang w:val="es-ES"/>
        </w:rPr>
        <w:t>, toda vez que el Solicitante se inconformó con la falta de respuesta a su solicitud de acceso a información pública.</w:t>
      </w:r>
    </w:p>
    <w:p w14:paraId="778B11D9" w14:textId="77777777" w:rsidR="003B08D1" w:rsidRDefault="003B08D1" w:rsidP="00E605BC">
      <w:pPr>
        <w:spacing w:line="360" w:lineRule="auto"/>
        <w:contextualSpacing/>
        <w:jc w:val="both"/>
        <w:rPr>
          <w:rFonts w:ascii="Palatino Linotype" w:hAnsi="Palatino Linotype" w:cs="Tahoma"/>
          <w:b/>
          <w:bCs/>
          <w:color w:val="0D0D0D" w:themeColor="text1" w:themeTint="F2"/>
          <w:sz w:val="22"/>
          <w:szCs w:val="22"/>
        </w:rPr>
      </w:pPr>
    </w:p>
    <w:p w14:paraId="2D38A79F" w14:textId="77777777" w:rsidR="003B08D1" w:rsidRPr="00207F77" w:rsidRDefault="003B08D1" w:rsidP="00E605BC">
      <w:pPr>
        <w:spacing w:line="360" w:lineRule="auto"/>
        <w:contextualSpacing/>
        <w:jc w:val="both"/>
        <w:rPr>
          <w:rFonts w:ascii="Palatino Linotype" w:hAnsi="Palatino Linotype" w:cs="Tahoma"/>
          <w:b/>
          <w:bCs/>
          <w:color w:val="0D0D0D" w:themeColor="text1" w:themeTint="F2"/>
          <w:sz w:val="22"/>
          <w:szCs w:val="22"/>
        </w:rPr>
      </w:pPr>
      <w:r w:rsidRPr="00207F77">
        <w:rPr>
          <w:rFonts w:ascii="Palatino Linotype" w:hAnsi="Palatino Linotype" w:cs="Tahoma"/>
          <w:b/>
          <w:bCs/>
          <w:color w:val="0D0D0D" w:themeColor="text1" w:themeTint="F2"/>
          <w:sz w:val="22"/>
          <w:szCs w:val="22"/>
        </w:rPr>
        <w:t>Causales de sobreseimiento</w:t>
      </w:r>
    </w:p>
    <w:p w14:paraId="718346EA" w14:textId="77777777" w:rsidR="003B08D1" w:rsidRPr="00207F77" w:rsidRDefault="003B08D1" w:rsidP="00E605BC">
      <w:pPr>
        <w:spacing w:line="360" w:lineRule="auto"/>
        <w:contextualSpacing/>
        <w:jc w:val="both"/>
        <w:rPr>
          <w:rFonts w:ascii="Palatino Linotype" w:hAnsi="Palatino Linotype" w:cs="Tahoma"/>
          <w:bCs/>
          <w:color w:val="0D0D0D" w:themeColor="text1" w:themeTint="F2"/>
          <w:sz w:val="22"/>
          <w:szCs w:val="22"/>
        </w:rPr>
      </w:pPr>
    </w:p>
    <w:p w14:paraId="54447C23" w14:textId="77777777" w:rsidR="003B08D1" w:rsidRPr="00207F77" w:rsidRDefault="003B08D1" w:rsidP="00E605BC">
      <w:pPr>
        <w:spacing w:line="360" w:lineRule="auto"/>
        <w:contextualSpacing/>
        <w:jc w:val="both"/>
        <w:rPr>
          <w:rFonts w:ascii="Palatino Linotype" w:hAnsi="Palatino Linotype" w:cs="Tahoma"/>
          <w:bCs/>
          <w:color w:val="0D0D0D" w:themeColor="text1" w:themeTint="F2"/>
          <w:sz w:val="22"/>
          <w:szCs w:val="22"/>
        </w:rPr>
      </w:pPr>
      <w:r w:rsidRPr="00207F77">
        <w:rPr>
          <w:rFonts w:ascii="Palatino Linotype" w:hAnsi="Palatino Linotype" w:cs="Tahoma"/>
          <w:bCs/>
          <w:color w:val="0D0D0D" w:themeColor="text1" w:themeTint="F2"/>
          <w:sz w:val="22"/>
          <w:szCs w:val="22"/>
        </w:rPr>
        <w:t>Por ser de previo y especial pronunciamiento, este Instituto analiza si se actualiza alguna causal de sobreseimiento.</w:t>
      </w:r>
    </w:p>
    <w:p w14:paraId="625B31BD" w14:textId="77777777" w:rsidR="003B08D1" w:rsidRPr="00207F77" w:rsidRDefault="003B08D1" w:rsidP="00E605BC">
      <w:pPr>
        <w:spacing w:line="360" w:lineRule="auto"/>
        <w:contextualSpacing/>
        <w:jc w:val="both"/>
        <w:rPr>
          <w:rFonts w:ascii="Palatino Linotype" w:hAnsi="Palatino Linotype" w:cs="Tahoma"/>
          <w:bCs/>
          <w:color w:val="0D0D0D" w:themeColor="text1" w:themeTint="F2"/>
          <w:sz w:val="22"/>
          <w:szCs w:val="22"/>
        </w:rPr>
      </w:pPr>
    </w:p>
    <w:p w14:paraId="5F90167F" w14:textId="77777777" w:rsidR="003B08D1" w:rsidRPr="00207F77" w:rsidRDefault="003B08D1" w:rsidP="00E605BC">
      <w:pPr>
        <w:spacing w:line="360" w:lineRule="auto"/>
        <w:contextualSpacing/>
        <w:jc w:val="both"/>
        <w:rPr>
          <w:rFonts w:ascii="Palatino Linotype" w:hAnsi="Palatino Linotype" w:cs="Tahoma"/>
          <w:sz w:val="22"/>
          <w:szCs w:val="28"/>
        </w:rPr>
      </w:pPr>
      <w:r w:rsidRPr="00207F77">
        <w:rPr>
          <w:rFonts w:ascii="Palatino Linotype" w:hAnsi="Palatino Linotype" w:cs="Tahoma"/>
          <w:sz w:val="22"/>
          <w:szCs w:val="28"/>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35BBE320" w14:textId="77777777" w:rsidR="003B08D1" w:rsidRPr="00207F77" w:rsidRDefault="003B08D1" w:rsidP="00E605BC">
      <w:pPr>
        <w:spacing w:line="360" w:lineRule="auto"/>
        <w:contextualSpacing/>
        <w:jc w:val="both"/>
        <w:rPr>
          <w:rFonts w:ascii="Palatino Linotype" w:hAnsi="Palatino Linotype" w:cs="Tahoma"/>
          <w:sz w:val="22"/>
          <w:szCs w:val="28"/>
        </w:rPr>
      </w:pPr>
    </w:p>
    <w:p w14:paraId="04050610" w14:textId="77777777" w:rsidR="003B08D1" w:rsidRPr="00207F77" w:rsidRDefault="003B08D1" w:rsidP="00E605BC">
      <w:pPr>
        <w:spacing w:line="360" w:lineRule="auto"/>
        <w:contextualSpacing/>
        <w:jc w:val="both"/>
        <w:rPr>
          <w:rFonts w:ascii="Palatino Linotype" w:hAnsi="Palatino Linotype" w:cs="Tahoma"/>
          <w:bCs/>
          <w:color w:val="0D0D0D" w:themeColor="text1" w:themeTint="F2"/>
          <w:sz w:val="22"/>
          <w:szCs w:val="22"/>
        </w:rPr>
      </w:pPr>
      <w:r w:rsidRPr="00207F77">
        <w:rPr>
          <w:rFonts w:ascii="Palatino Linotype" w:hAnsi="Palatino Linotype" w:cs="Tahoma"/>
          <w:bCs/>
          <w:color w:val="0D0D0D" w:themeColor="text1" w:themeTint="F2"/>
          <w:sz w:val="22"/>
          <w:szCs w:val="22"/>
        </w:rPr>
        <w:t xml:space="preserve">Por tales motivos, se considera procedente entrar al fondo del presente asunto. </w:t>
      </w:r>
    </w:p>
    <w:p w14:paraId="4FC65992" w14:textId="77777777" w:rsidR="003B08D1" w:rsidRPr="00207F77" w:rsidRDefault="003B08D1" w:rsidP="00E605BC">
      <w:pPr>
        <w:spacing w:line="360" w:lineRule="auto"/>
        <w:contextualSpacing/>
        <w:jc w:val="both"/>
        <w:rPr>
          <w:rFonts w:ascii="Palatino Linotype" w:hAnsi="Palatino Linotype" w:cs="Tahoma"/>
          <w:bCs/>
          <w:color w:val="0D0D0D" w:themeColor="text1" w:themeTint="F2"/>
          <w:sz w:val="22"/>
          <w:szCs w:val="22"/>
        </w:rPr>
      </w:pPr>
    </w:p>
    <w:p w14:paraId="07671401" w14:textId="77777777" w:rsidR="003B08D1" w:rsidRPr="0099698A" w:rsidRDefault="003B08D1" w:rsidP="00E605BC">
      <w:pPr>
        <w:pStyle w:val="Ttulo2"/>
        <w:spacing w:before="0" w:after="0" w:line="360" w:lineRule="auto"/>
        <w:contextualSpacing/>
        <w:rPr>
          <w:rFonts w:ascii="Palatino Linotype" w:hAnsi="Palatino Linotype"/>
          <w:b/>
          <w:bCs/>
          <w:color w:val="auto"/>
          <w:sz w:val="22"/>
          <w:szCs w:val="22"/>
          <w:lang w:val="es-ES"/>
        </w:rPr>
      </w:pPr>
      <w:bookmarkStart w:id="31" w:name="_Toc194593860"/>
      <w:bookmarkStart w:id="32" w:name="_Toc206084667"/>
      <w:bookmarkStart w:id="33" w:name="_Toc222865692"/>
      <w:r w:rsidRPr="0099698A">
        <w:rPr>
          <w:rFonts w:ascii="Palatino Linotype" w:hAnsi="Palatino Linotype"/>
          <w:b/>
          <w:bCs/>
          <w:color w:val="auto"/>
          <w:sz w:val="22"/>
          <w:szCs w:val="22"/>
          <w:lang w:val="es-ES"/>
        </w:rPr>
        <w:t>TERCERO. Determinación de la Controversia</w:t>
      </w:r>
      <w:bookmarkEnd w:id="31"/>
      <w:bookmarkEnd w:id="32"/>
      <w:bookmarkEnd w:id="33"/>
    </w:p>
    <w:p w14:paraId="1877154D" w14:textId="77777777" w:rsidR="003B08D1" w:rsidRPr="00207F77" w:rsidRDefault="003B08D1" w:rsidP="00E605BC">
      <w:pPr>
        <w:autoSpaceDE w:val="0"/>
        <w:autoSpaceDN w:val="0"/>
        <w:adjustRightInd w:val="0"/>
        <w:spacing w:line="360" w:lineRule="auto"/>
        <w:contextualSpacing/>
        <w:jc w:val="both"/>
        <w:rPr>
          <w:rFonts w:ascii="Palatino Linotype" w:eastAsia="Calibri" w:hAnsi="Palatino Linotype" w:cs="Tahoma"/>
          <w:color w:val="000000"/>
          <w:sz w:val="22"/>
          <w:szCs w:val="22"/>
          <w:lang w:val="es-ES" w:eastAsia="es-MX"/>
        </w:rPr>
      </w:pPr>
    </w:p>
    <w:p w14:paraId="5D2910A2" w14:textId="2A5E45C3" w:rsidR="003B08D1" w:rsidRPr="004A15FB" w:rsidRDefault="003B08D1" w:rsidP="00E605BC">
      <w:pPr>
        <w:tabs>
          <w:tab w:val="left" w:pos="4962"/>
        </w:tabs>
        <w:spacing w:line="360" w:lineRule="auto"/>
        <w:contextualSpacing/>
        <w:jc w:val="both"/>
        <w:rPr>
          <w:rFonts w:ascii="Palatino Linotype" w:eastAsia="Calibri" w:hAnsi="Palatino Linotype" w:cs="Tahoma"/>
          <w:color w:val="000000"/>
          <w:sz w:val="22"/>
          <w:szCs w:val="22"/>
          <w:lang w:val="es-ES" w:eastAsia="es-MX"/>
        </w:rPr>
      </w:pPr>
      <w:r w:rsidRPr="00207F77">
        <w:rPr>
          <w:rFonts w:ascii="Palatino Linotype" w:eastAsia="Calibri" w:hAnsi="Palatino Linotype" w:cs="Tahoma"/>
          <w:color w:val="000000"/>
          <w:sz w:val="22"/>
          <w:szCs w:val="22"/>
          <w:lang w:val="es-ES" w:eastAsia="es-MX"/>
        </w:rPr>
        <w:t xml:space="preserve">Con el objeto de ilustrar la controversia planteada, resulta conveniente precisar, que una vez realizado el estudio de las constancias que integran el expediente en que se actúa, se </w:t>
      </w:r>
      <w:r w:rsidRPr="00207F77">
        <w:rPr>
          <w:rFonts w:ascii="Palatino Linotype" w:eastAsia="Calibri" w:hAnsi="Palatino Linotype" w:cs="Tahoma"/>
          <w:color w:val="000000"/>
          <w:sz w:val="22"/>
          <w:szCs w:val="22"/>
          <w:lang w:val="es-ES" w:eastAsia="es-MX"/>
        </w:rPr>
        <w:lastRenderedPageBreak/>
        <w:t>desprende que el Particular requirió</w:t>
      </w:r>
      <w:r>
        <w:rPr>
          <w:rFonts w:ascii="Palatino Linotype" w:eastAsia="Calibri" w:hAnsi="Palatino Linotype" w:cs="Tahoma"/>
          <w:color w:val="000000"/>
          <w:sz w:val="22"/>
          <w:szCs w:val="22"/>
          <w:lang w:val="es-ES" w:eastAsia="es-MX"/>
        </w:rPr>
        <w:t xml:space="preserve"> </w:t>
      </w:r>
      <w:r w:rsidR="00E45DDC">
        <w:rPr>
          <w:rFonts w:ascii="Palatino Linotype" w:eastAsia="Calibri" w:hAnsi="Palatino Linotype" w:cs="Tahoma"/>
          <w:color w:val="000000"/>
          <w:sz w:val="22"/>
          <w:szCs w:val="22"/>
          <w:lang w:val="es-ES" w:eastAsia="es-MX"/>
        </w:rPr>
        <w:t>los</w:t>
      </w:r>
      <w:r>
        <w:rPr>
          <w:rFonts w:ascii="Palatino Linotype" w:eastAsia="Calibri" w:hAnsi="Palatino Linotype" w:cs="Tahoma"/>
          <w:color w:val="000000"/>
          <w:sz w:val="22"/>
          <w:szCs w:val="22"/>
          <w:lang w:val="es-ES" w:eastAsia="es-MX"/>
        </w:rPr>
        <w:t xml:space="preserve"> documentos relacionados con </w:t>
      </w:r>
      <w:r w:rsidR="00E45DDC">
        <w:rPr>
          <w:rFonts w:ascii="Palatino Linotype" w:eastAsia="Calibri" w:hAnsi="Palatino Linotype" w:cs="Tahoma"/>
          <w:color w:val="000000"/>
          <w:sz w:val="22"/>
          <w:szCs w:val="22"/>
          <w:lang w:val="es-ES" w:eastAsia="es-MX"/>
        </w:rPr>
        <w:t xml:space="preserve">el listado de procedimientos iniciados por construcción irregular o sin licencia, en el que se advierta la ubicación, tipo de irregularidad, medidas impuestas y estado actual, </w:t>
      </w:r>
      <w:r>
        <w:rPr>
          <w:rFonts w:ascii="Palatino Linotype" w:eastAsia="Calibri" w:hAnsi="Palatino Linotype" w:cs="Tahoma"/>
          <w:color w:val="000000"/>
          <w:sz w:val="22"/>
          <w:szCs w:val="22"/>
          <w:lang w:val="es-ES" w:eastAsia="es-MX"/>
        </w:rPr>
        <w:t>del primero de enero al veintiuno de noviembre de dos mil veinticinco</w:t>
      </w:r>
      <w:r w:rsidR="00E45DDC">
        <w:rPr>
          <w:rFonts w:ascii="Palatino Linotype" w:eastAsia="Calibri" w:hAnsi="Palatino Linotype" w:cs="Tahoma"/>
          <w:color w:val="000000"/>
          <w:sz w:val="22"/>
          <w:szCs w:val="22"/>
          <w:lang w:val="es-ES" w:eastAsia="es-MX"/>
        </w:rPr>
        <w:t>.</w:t>
      </w:r>
    </w:p>
    <w:p w14:paraId="0B6FF7D0" w14:textId="77777777" w:rsidR="003B08D1" w:rsidRPr="00C20AB1" w:rsidRDefault="003B08D1" w:rsidP="00E605BC">
      <w:pPr>
        <w:tabs>
          <w:tab w:val="left" w:pos="4962"/>
        </w:tabs>
        <w:spacing w:line="360" w:lineRule="auto"/>
        <w:contextualSpacing/>
        <w:jc w:val="both"/>
        <w:rPr>
          <w:rFonts w:ascii="Palatino Linotype" w:eastAsia="Calibri" w:hAnsi="Palatino Linotype" w:cs="Tahoma"/>
          <w:color w:val="000000"/>
          <w:sz w:val="22"/>
          <w:szCs w:val="22"/>
          <w:lang w:val="es-ES" w:eastAsia="es-MX"/>
        </w:rPr>
      </w:pPr>
    </w:p>
    <w:p w14:paraId="61829BAF" w14:textId="77777777" w:rsidR="003B08D1" w:rsidRPr="00207F77" w:rsidRDefault="003B08D1" w:rsidP="00E605BC">
      <w:pPr>
        <w:pStyle w:val="NormalWeb"/>
        <w:spacing w:after="0" w:line="360" w:lineRule="auto"/>
        <w:ind w:right="-28"/>
        <w:contextualSpacing/>
        <w:rPr>
          <w:rFonts w:ascii="Palatino Linotype" w:hAnsi="Palatino Linotype" w:cs="Tahoma"/>
          <w:bCs/>
          <w:iCs/>
          <w:sz w:val="22"/>
          <w:szCs w:val="22"/>
          <w:lang w:val="es-ES"/>
        </w:rPr>
      </w:pPr>
      <w:r w:rsidRPr="00207F77">
        <w:rPr>
          <w:rFonts w:ascii="Palatino Linotype" w:hAnsi="Palatino Linotype" w:cs="Tahoma"/>
          <w:bCs/>
          <w:iCs/>
          <w:sz w:val="22"/>
          <w:szCs w:val="22"/>
          <w:lang w:val="es-ES"/>
        </w:rPr>
        <w:t>Ante la falta de respuesta del Ente Recurrido, el Particular, justamente se inconformó por la falta de entrega de la información, lo cual se actualiza el supuesto previsto en el artículo 179, fracción VII, de la Ley de Transparencia y Acceso a la Información Pública del Estado de México y Municipios</w:t>
      </w:r>
      <w:r w:rsidRPr="00207F77">
        <w:rPr>
          <w:rFonts w:ascii="Palatino Linotype" w:hAnsi="Palatino Linotype" w:cs="Tahoma"/>
          <w:bCs/>
          <w:iCs/>
          <w:sz w:val="22"/>
          <w:szCs w:val="22"/>
          <w:shd w:val="clear" w:color="auto" w:fill="FFFFFF"/>
        </w:rPr>
        <w:t xml:space="preserve">. </w:t>
      </w:r>
      <w:r w:rsidRPr="00207F77">
        <w:rPr>
          <w:rFonts w:ascii="Palatino Linotype" w:hAnsi="Palatino Linotype" w:cs="Tahoma"/>
          <w:sz w:val="22"/>
          <w:szCs w:val="22"/>
          <w:lang w:val="es-ES"/>
        </w:rPr>
        <w:t xml:space="preserve">Así las cosas, una vez admitido y notificado el Recurso de Revisión a las partes, </w:t>
      </w:r>
      <w:r>
        <w:rPr>
          <w:rFonts w:ascii="Palatino Linotype" w:hAnsi="Palatino Linotype" w:cs="Tahoma"/>
          <w:sz w:val="22"/>
          <w:szCs w:val="22"/>
          <w:lang w:val="es-ES"/>
        </w:rPr>
        <w:t>el Sujeto Obligado señaló los indicadores y reportes con los que contaba respecto de los servicios públicos requeridos.</w:t>
      </w:r>
    </w:p>
    <w:p w14:paraId="6A9B8075" w14:textId="77777777" w:rsidR="003B08D1" w:rsidRPr="00207F77" w:rsidRDefault="003B08D1" w:rsidP="00E605BC">
      <w:pPr>
        <w:pStyle w:val="NormalWeb"/>
        <w:spacing w:after="0" w:line="360" w:lineRule="auto"/>
        <w:ind w:right="-28"/>
        <w:contextualSpacing/>
        <w:rPr>
          <w:rFonts w:ascii="Palatino Linotype" w:eastAsia="Calibri" w:hAnsi="Palatino Linotype" w:cs="Tahoma"/>
          <w:iCs/>
          <w:sz w:val="22"/>
          <w:szCs w:val="22"/>
          <w:lang w:val="es-ES"/>
        </w:rPr>
      </w:pPr>
    </w:p>
    <w:p w14:paraId="6A9BFA51" w14:textId="77777777" w:rsidR="003B08D1" w:rsidRPr="00207F77" w:rsidRDefault="003B08D1" w:rsidP="00E605BC">
      <w:pPr>
        <w:tabs>
          <w:tab w:val="left" w:pos="4962"/>
        </w:tabs>
        <w:spacing w:line="360" w:lineRule="auto"/>
        <w:contextualSpacing/>
        <w:jc w:val="both"/>
        <w:rPr>
          <w:rFonts w:ascii="Palatino Linotype" w:eastAsia="Calibri" w:hAnsi="Palatino Linotype" w:cs="Tahoma"/>
          <w:bCs/>
          <w:sz w:val="22"/>
          <w:szCs w:val="22"/>
        </w:rPr>
      </w:pPr>
      <w:r w:rsidRPr="00207F77">
        <w:rPr>
          <w:rFonts w:ascii="Palatino Linotype" w:eastAsia="Calibri" w:hAnsi="Palatino Linotype" w:cs="Tahoma"/>
          <w:iCs/>
          <w:sz w:val="22"/>
          <w:szCs w:val="22"/>
          <w:lang w:val="es-ES" w:eastAsia="es-ES_tradnl"/>
        </w:rPr>
        <w:t>Lo anterior, se desprende de las documentales que obran en el expediente de referencia, materia de la presente resolución, consistente en: la solicitud de acceso a la información</w:t>
      </w:r>
      <w:r>
        <w:rPr>
          <w:rFonts w:ascii="Palatino Linotype" w:eastAsia="Calibri" w:hAnsi="Palatino Linotype" w:cs="Tahoma"/>
          <w:iCs/>
          <w:sz w:val="22"/>
          <w:szCs w:val="22"/>
          <w:lang w:val="es-ES" w:eastAsia="es-ES_tradnl"/>
        </w:rPr>
        <w:t xml:space="preserve">, </w:t>
      </w:r>
      <w:r w:rsidRPr="00207F77">
        <w:rPr>
          <w:rFonts w:ascii="Palatino Linotype" w:eastAsia="Calibri" w:hAnsi="Palatino Linotype" w:cs="Tahoma"/>
          <w:iCs/>
          <w:sz w:val="22"/>
          <w:szCs w:val="22"/>
          <w:lang w:eastAsia="es-ES_tradnl"/>
        </w:rPr>
        <w:t xml:space="preserve">el escrito </w:t>
      </w:r>
      <w:proofErr w:type="spellStart"/>
      <w:r w:rsidRPr="00207F77">
        <w:rPr>
          <w:rFonts w:ascii="Palatino Linotype" w:eastAsia="Calibri" w:hAnsi="Palatino Linotype" w:cs="Tahoma"/>
          <w:iCs/>
          <w:sz w:val="22"/>
          <w:szCs w:val="22"/>
          <w:lang w:eastAsia="es-ES_tradnl"/>
        </w:rPr>
        <w:t>recursal</w:t>
      </w:r>
      <w:proofErr w:type="spellEnd"/>
      <w:r>
        <w:rPr>
          <w:rFonts w:ascii="Palatino Linotype" w:eastAsia="Calibri" w:hAnsi="Palatino Linotype" w:cs="Tahoma"/>
          <w:iCs/>
          <w:sz w:val="22"/>
          <w:szCs w:val="22"/>
          <w:lang w:eastAsia="es-ES_tradnl"/>
        </w:rPr>
        <w:t xml:space="preserve"> y el informe justificado</w:t>
      </w:r>
      <w:r w:rsidRPr="00207F77">
        <w:rPr>
          <w:rFonts w:ascii="Palatino Linotype" w:eastAsia="Calibri" w:hAnsi="Palatino Linotype" w:cs="Tahoma"/>
          <w:iCs/>
          <w:sz w:val="22"/>
          <w:szCs w:val="22"/>
          <w:lang w:eastAsia="es-ES_tradnl"/>
        </w:rPr>
        <w:t xml:space="preserve">; </w:t>
      </w:r>
      <w:r w:rsidRPr="00207F77">
        <w:rPr>
          <w:rFonts w:ascii="Palatino Linotype" w:eastAsia="Calibri" w:hAnsi="Palatino Linotype" w:cs="Tahoma"/>
          <w:bCs/>
          <w:sz w:val="22"/>
          <w:szCs w:val="22"/>
        </w:rPr>
        <w:t>instrumentales que se toman en cuenta a efecto de resolver el presente medio de impugnación, conforme a lo dispuesto por el artículo 185, fracción IV, de la Ley de Transparencia y Acceso a la Información Pública del Estado de México y Municipios.</w:t>
      </w:r>
      <w:r>
        <w:rPr>
          <w:rFonts w:ascii="Palatino Linotype" w:eastAsia="Calibri" w:hAnsi="Palatino Linotype" w:cs="Tahoma"/>
          <w:bCs/>
          <w:sz w:val="22"/>
          <w:szCs w:val="22"/>
        </w:rPr>
        <w:t xml:space="preserve"> </w:t>
      </w:r>
      <w:r w:rsidRPr="000C6F98">
        <w:rPr>
          <w:rFonts w:ascii="Palatino Linotype" w:eastAsia="Calibri" w:hAnsi="Palatino Linotype" w:cs="Tahoma"/>
          <w:b/>
          <w:sz w:val="22"/>
          <w:szCs w:val="22"/>
        </w:rPr>
        <w:t>Cabe señalar que la Recurrente fue omisa en realizar manifestaciones o alegatos.</w:t>
      </w:r>
    </w:p>
    <w:p w14:paraId="7CDEF241" w14:textId="77777777" w:rsidR="003B08D1" w:rsidRPr="00207F77" w:rsidRDefault="003B08D1" w:rsidP="00E605BC">
      <w:pPr>
        <w:tabs>
          <w:tab w:val="left" w:pos="4962"/>
        </w:tabs>
        <w:spacing w:line="360" w:lineRule="auto"/>
        <w:contextualSpacing/>
        <w:jc w:val="both"/>
        <w:rPr>
          <w:rFonts w:ascii="Palatino Linotype" w:eastAsia="Calibri" w:hAnsi="Palatino Linotype" w:cs="Tahoma"/>
          <w:bCs/>
          <w:sz w:val="22"/>
          <w:szCs w:val="22"/>
        </w:rPr>
      </w:pPr>
    </w:p>
    <w:p w14:paraId="100098FC" w14:textId="77777777" w:rsidR="003B08D1" w:rsidRPr="000C0FF8" w:rsidRDefault="003B08D1" w:rsidP="00E605BC">
      <w:pPr>
        <w:pStyle w:val="Ttulo2"/>
        <w:spacing w:before="0" w:after="0" w:line="360" w:lineRule="auto"/>
        <w:contextualSpacing/>
        <w:jc w:val="both"/>
        <w:rPr>
          <w:rFonts w:ascii="Palatino Linotype" w:hAnsi="Palatino Linotype"/>
          <w:b/>
          <w:bCs/>
          <w:color w:val="auto"/>
          <w:sz w:val="22"/>
          <w:szCs w:val="22"/>
        </w:rPr>
      </w:pPr>
      <w:bookmarkStart w:id="34" w:name="_Toc194593861"/>
      <w:bookmarkStart w:id="35" w:name="_Toc206084668"/>
      <w:bookmarkStart w:id="36" w:name="_Toc222865693"/>
      <w:r w:rsidRPr="000C0FF8">
        <w:rPr>
          <w:rFonts w:ascii="Palatino Linotype" w:hAnsi="Palatino Linotype"/>
          <w:b/>
          <w:bCs/>
          <w:color w:val="auto"/>
          <w:sz w:val="22"/>
          <w:szCs w:val="22"/>
          <w:lang w:val="es-ES"/>
        </w:rPr>
        <w:t xml:space="preserve">CUARTO. </w:t>
      </w:r>
      <w:r w:rsidRPr="000C0FF8">
        <w:rPr>
          <w:rFonts w:ascii="Palatino Linotype" w:hAnsi="Palatino Linotype"/>
          <w:b/>
          <w:bCs/>
          <w:color w:val="auto"/>
          <w:sz w:val="22"/>
          <w:szCs w:val="22"/>
        </w:rPr>
        <w:t>Marco normativo aplicable en materia de transparencia y acceso a la información pública</w:t>
      </w:r>
      <w:bookmarkEnd w:id="34"/>
      <w:bookmarkEnd w:id="35"/>
      <w:bookmarkEnd w:id="36"/>
    </w:p>
    <w:p w14:paraId="01F9A848" w14:textId="77777777" w:rsidR="003B08D1" w:rsidRPr="00207F77" w:rsidRDefault="003B08D1" w:rsidP="00E605BC">
      <w:pPr>
        <w:spacing w:line="360" w:lineRule="auto"/>
        <w:contextualSpacing/>
        <w:jc w:val="both"/>
        <w:rPr>
          <w:rFonts w:ascii="Palatino Linotype" w:hAnsi="Palatino Linotype" w:cs="Tahoma"/>
          <w:sz w:val="22"/>
          <w:szCs w:val="22"/>
        </w:rPr>
      </w:pPr>
    </w:p>
    <w:p w14:paraId="61B9967D" w14:textId="77777777" w:rsidR="003B08D1" w:rsidRPr="00207F77" w:rsidRDefault="003B08D1" w:rsidP="00E605BC">
      <w:pPr>
        <w:spacing w:line="360" w:lineRule="auto"/>
        <w:contextualSpacing/>
        <w:jc w:val="both"/>
        <w:rPr>
          <w:rFonts w:ascii="Palatino Linotype" w:hAnsi="Palatino Linotype" w:cs="Tahoma"/>
          <w:sz w:val="22"/>
          <w:szCs w:val="22"/>
        </w:rPr>
      </w:pPr>
      <w:r w:rsidRPr="00207F77">
        <w:rPr>
          <w:rFonts w:ascii="Palatino Linotype" w:hAnsi="Palatino Linotype" w:cs="Tahoma"/>
          <w:sz w:val="22"/>
          <w:szCs w:val="22"/>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27CF2C6E" w14:textId="77777777" w:rsidR="003B08D1" w:rsidRPr="00207F77" w:rsidRDefault="003B08D1" w:rsidP="00E605BC">
      <w:pPr>
        <w:spacing w:line="360" w:lineRule="auto"/>
        <w:contextualSpacing/>
        <w:jc w:val="both"/>
        <w:rPr>
          <w:rFonts w:ascii="Palatino Linotype" w:hAnsi="Palatino Linotype" w:cs="Tahoma"/>
          <w:sz w:val="22"/>
          <w:szCs w:val="22"/>
        </w:rPr>
      </w:pPr>
    </w:p>
    <w:p w14:paraId="51E83B78" w14:textId="77777777" w:rsidR="003B08D1" w:rsidRPr="00207F77" w:rsidRDefault="003B08D1" w:rsidP="00E605BC">
      <w:pPr>
        <w:spacing w:line="360" w:lineRule="auto"/>
        <w:contextualSpacing/>
        <w:jc w:val="both"/>
        <w:rPr>
          <w:rFonts w:ascii="Palatino Linotype" w:hAnsi="Palatino Linotype" w:cs="Tahoma"/>
          <w:sz w:val="22"/>
          <w:szCs w:val="22"/>
        </w:rPr>
      </w:pPr>
      <w:r w:rsidRPr="00207F77">
        <w:rPr>
          <w:rFonts w:ascii="Palatino Linotype" w:hAnsi="Palatino Linotype" w:cs="Tahoma"/>
          <w:sz w:val="22"/>
          <w:szCs w:val="22"/>
        </w:rPr>
        <w:lastRenderedPageBreak/>
        <w:t>En materia local, el artículo 5°, fracción I de la Constitución Política del Estado Libre y Soberano de México, es coincidente con la Constitución Política de los Estados Unidos Mexicanos,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553E5DAF" w14:textId="77777777" w:rsidR="003B08D1" w:rsidRPr="00207F77" w:rsidRDefault="003B08D1" w:rsidP="00E605BC">
      <w:pPr>
        <w:spacing w:line="360" w:lineRule="auto"/>
        <w:contextualSpacing/>
        <w:jc w:val="both"/>
        <w:rPr>
          <w:rFonts w:ascii="Palatino Linotype" w:hAnsi="Palatino Linotype" w:cs="Tahoma"/>
          <w:sz w:val="22"/>
          <w:szCs w:val="22"/>
        </w:rPr>
      </w:pPr>
    </w:p>
    <w:p w14:paraId="549CDC6A" w14:textId="77777777" w:rsidR="003B08D1" w:rsidRPr="00207F77" w:rsidRDefault="003B08D1" w:rsidP="00E605BC">
      <w:pPr>
        <w:spacing w:line="360" w:lineRule="auto"/>
        <w:contextualSpacing/>
        <w:jc w:val="both"/>
        <w:rPr>
          <w:rFonts w:ascii="Palatino Linotype" w:hAnsi="Palatino Linotype" w:cs="Tahoma"/>
          <w:sz w:val="22"/>
          <w:szCs w:val="22"/>
        </w:rPr>
      </w:pPr>
      <w:r w:rsidRPr="00207F77">
        <w:rPr>
          <w:rFonts w:ascii="Palatino Linotype" w:hAnsi="Palatino Linotype" w:cs="Tahoma"/>
          <w:sz w:val="22"/>
          <w:szCs w:val="22"/>
        </w:rPr>
        <w:t>Por su parte, la Ley de Transparencia y Acceso a la Información Pública del Estado de México y Municipios (Reglamentaria del artículo 5° de la Constitución Local), establece lo siguiente:</w:t>
      </w:r>
    </w:p>
    <w:p w14:paraId="20C0A02F" w14:textId="77777777" w:rsidR="003B08D1" w:rsidRPr="00207F77" w:rsidRDefault="003B08D1" w:rsidP="00E605BC">
      <w:pPr>
        <w:spacing w:line="360" w:lineRule="auto"/>
        <w:contextualSpacing/>
        <w:jc w:val="both"/>
        <w:rPr>
          <w:rFonts w:ascii="Palatino Linotype" w:hAnsi="Palatino Linotype" w:cs="Tahoma"/>
          <w:sz w:val="22"/>
          <w:szCs w:val="22"/>
        </w:rPr>
      </w:pPr>
    </w:p>
    <w:p w14:paraId="18CDDE1A" w14:textId="77777777" w:rsidR="003B08D1" w:rsidRPr="00207F77" w:rsidRDefault="003B08D1" w:rsidP="00E605BC">
      <w:pPr>
        <w:spacing w:line="360" w:lineRule="auto"/>
        <w:contextualSpacing/>
        <w:jc w:val="both"/>
        <w:rPr>
          <w:rFonts w:ascii="Palatino Linotype" w:hAnsi="Palatino Linotype" w:cs="Tahoma"/>
          <w:sz w:val="22"/>
          <w:szCs w:val="22"/>
        </w:rPr>
      </w:pPr>
      <w:r w:rsidRPr="00207F77">
        <w:rPr>
          <w:rFonts w:ascii="Palatino Linotype" w:hAnsi="Palatino Linotype" w:cs="Tahoma"/>
          <w:sz w:val="22"/>
          <w:szCs w:val="22"/>
        </w:rPr>
        <w:t>El artículo 12, que, quienes generen, recopilen, administren, manejen, procesen, archiven o conserven información pública serán responsables de la misma.</w:t>
      </w:r>
    </w:p>
    <w:p w14:paraId="2CCE59AC" w14:textId="77777777" w:rsidR="003B08D1" w:rsidRPr="00207F77" w:rsidRDefault="003B08D1" w:rsidP="00E605BC">
      <w:pPr>
        <w:spacing w:line="360" w:lineRule="auto"/>
        <w:contextualSpacing/>
        <w:jc w:val="both"/>
        <w:rPr>
          <w:rFonts w:ascii="Palatino Linotype" w:hAnsi="Palatino Linotype" w:cs="Tahoma"/>
          <w:sz w:val="22"/>
          <w:szCs w:val="22"/>
        </w:rPr>
      </w:pPr>
    </w:p>
    <w:p w14:paraId="0352E73E" w14:textId="77777777" w:rsidR="003B08D1" w:rsidRPr="00207F77" w:rsidRDefault="003B08D1" w:rsidP="00E605BC">
      <w:pPr>
        <w:spacing w:line="360" w:lineRule="auto"/>
        <w:contextualSpacing/>
        <w:jc w:val="both"/>
        <w:rPr>
          <w:rFonts w:ascii="Palatino Linotype" w:hAnsi="Palatino Linotype" w:cs="Tahoma"/>
          <w:sz w:val="22"/>
          <w:szCs w:val="22"/>
        </w:rPr>
      </w:pPr>
      <w:r w:rsidRPr="00207F77">
        <w:rPr>
          <w:rFonts w:ascii="Palatino Linotype" w:hAnsi="Palatino Linotype" w:cs="Tahoma"/>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1E7DDB24" w14:textId="77777777" w:rsidR="003B08D1" w:rsidRPr="00207F77" w:rsidRDefault="003B08D1" w:rsidP="00E605BC">
      <w:pPr>
        <w:spacing w:line="360" w:lineRule="auto"/>
        <w:contextualSpacing/>
        <w:jc w:val="both"/>
        <w:rPr>
          <w:rFonts w:ascii="Palatino Linotype" w:hAnsi="Palatino Linotype" w:cs="Tahoma"/>
          <w:sz w:val="22"/>
          <w:szCs w:val="22"/>
        </w:rPr>
      </w:pPr>
    </w:p>
    <w:p w14:paraId="5D4CAE99" w14:textId="77777777" w:rsidR="003B08D1" w:rsidRPr="00207F77" w:rsidRDefault="003B08D1" w:rsidP="00E605BC">
      <w:pPr>
        <w:spacing w:line="360" w:lineRule="auto"/>
        <w:contextualSpacing/>
        <w:jc w:val="both"/>
        <w:rPr>
          <w:rFonts w:ascii="Palatino Linotype" w:hAnsi="Palatino Linotype" w:cs="Tahoma"/>
          <w:sz w:val="22"/>
          <w:szCs w:val="22"/>
        </w:rPr>
      </w:pPr>
      <w:r w:rsidRPr="00207F77">
        <w:rPr>
          <w:rFonts w:ascii="Palatino Linotype" w:hAnsi="Palatino Linotype" w:cs="Tahoma"/>
          <w:sz w:val="22"/>
          <w:szCs w:val="22"/>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61D30F1A" w14:textId="77777777" w:rsidR="003B08D1" w:rsidRPr="00207F77" w:rsidRDefault="003B08D1" w:rsidP="00E605BC">
      <w:pPr>
        <w:spacing w:line="360" w:lineRule="auto"/>
        <w:contextualSpacing/>
        <w:jc w:val="both"/>
        <w:rPr>
          <w:rFonts w:ascii="Palatino Linotype" w:hAnsi="Palatino Linotype" w:cs="Tahoma"/>
          <w:iCs/>
          <w:sz w:val="22"/>
          <w:szCs w:val="22"/>
          <w:lang w:val="es-ES"/>
        </w:rPr>
      </w:pPr>
    </w:p>
    <w:p w14:paraId="78F74B62" w14:textId="77777777" w:rsidR="003B08D1" w:rsidRPr="000C0FF8" w:rsidRDefault="003B08D1" w:rsidP="00E605BC">
      <w:pPr>
        <w:pStyle w:val="Ttulo2"/>
        <w:spacing w:before="0" w:after="0" w:line="360" w:lineRule="auto"/>
        <w:contextualSpacing/>
        <w:rPr>
          <w:rFonts w:ascii="Palatino Linotype" w:hAnsi="Palatino Linotype"/>
          <w:b/>
          <w:bCs/>
          <w:color w:val="auto"/>
          <w:sz w:val="22"/>
          <w:szCs w:val="22"/>
          <w:lang w:val="es-ES"/>
        </w:rPr>
      </w:pPr>
      <w:bookmarkStart w:id="37" w:name="_Toc194593862"/>
      <w:bookmarkStart w:id="38" w:name="_Toc206084669"/>
      <w:bookmarkStart w:id="39" w:name="_Toc222865694"/>
      <w:r w:rsidRPr="000C0FF8">
        <w:rPr>
          <w:rFonts w:ascii="Palatino Linotype" w:hAnsi="Palatino Linotype"/>
          <w:b/>
          <w:bCs/>
          <w:color w:val="auto"/>
          <w:sz w:val="22"/>
          <w:szCs w:val="22"/>
          <w:lang w:val="es-ES"/>
        </w:rPr>
        <w:t>QUINTO. Estudio de Fondo</w:t>
      </w:r>
      <w:bookmarkEnd w:id="37"/>
      <w:bookmarkEnd w:id="38"/>
      <w:bookmarkEnd w:id="39"/>
    </w:p>
    <w:p w14:paraId="4213E0DE" w14:textId="77777777" w:rsidR="003B08D1" w:rsidRPr="00207F77" w:rsidRDefault="003B08D1" w:rsidP="00E605BC">
      <w:pPr>
        <w:spacing w:line="360" w:lineRule="auto"/>
        <w:contextualSpacing/>
        <w:jc w:val="both"/>
        <w:rPr>
          <w:rFonts w:ascii="Palatino Linotype" w:hAnsi="Palatino Linotype" w:cs="Tahoma"/>
          <w:iCs/>
          <w:sz w:val="22"/>
          <w:szCs w:val="22"/>
          <w:lang w:val="es-ES"/>
        </w:rPr>
      </w:pPr>
    </w:p>
    <w:p w14:paraId="0FA67EA4" w14:textId="77777777" w:rsidR="003B08D1" w:rsidRPr="00207F77" w:rsidRDefault="003B08D1" w:rsidP="00E605BC">
      <w:p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t xml:space="preserve">Expuestas las posturas de las partes, se procede al análisis del agravio hecho valer por la persona Recurrente, concerniente a la falta de respuesta del </w:t>
      </w:r>
      <w:r>
        <w:rPr>
          <w:rFonts w:ascii="Palatino Linotype" w:eastAsia="Calibri" w:hAnsi="Palatino Linotype" w:cs="Tahoma"/>
          <w:sz w:val="22"/>
          <w:szCs w:val="22"/>
          <w:lang w:eastAsia="en-US"/>
        </w:rPr>
        <w:t xml:space="preserve">Ayuntamiento de Tepotzotlán, </w:t>
      </w:r>
      <w:r w:rsidRPr="00207F77">
        <w:rPr>
          <w:rFonts w:ascii="Palatino Linotype" w:hAnsi="Palatino Linotype" w:cs="Tahoma"/>
          <w:iCs/>
          <w:sz w:val="22"/>
          <w:szCs w:val="22"/>
        </w:rPr>
        <w:t>a la solicitud de información.</w:t>
      </w:r>
    </w:p>
    <w:p w14:paraId="015512D4" w14:textId="77777777" w:rsidR="003B08D1" w:rsidRPr="00207F77" w:rsidRDefault="003B08D1" w:rsidP="00E605BC">
      <w:pPr>
        <w:spacing w:line="360" w:lineRule="auto"/>
        <w:contextualSpacing/>
        <w:jc w:val="both"/>
        <w:rPr>
          <w:rFonts w:ascii="Palatino Linotype" w:hAnsi="Palatino Linotype" w:cs="Tahoma"/>
          <w:iCs/>
          <w:sz w:val="22"/>
          <w:szCs w:val="22"/>
        </w:rPr>
      </w:pPr>
    </w:p>
    <w:p w14:paraId="37BFF9CD" w14:textId="77777777" w:rsidR="003B08D1" w:rsidRPr="00207F77" w:rsidRDefault="003B08D1" w:rsidP="00E605BC">
      <w:p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t>En principio, es de suma importancia señalar los objetivos de la Ley de Transparencia y Acceso a la Información Pública del Estado de México y Municipios, en relación con la obligación de acceso por parte de los Sujetos Obligados, los cuales se encuentran establecidos en el artículo 2° de dicho ordenamiento jurídico y son los siguientes:</w:t>
      </w:r>
    </w:p>
    <w:p w14:paraId="5ADEFC72" w14:textId="77777777" w:rsidR="003B08D1" w:rsidRPr="00207F77" w:rsidRDefault="003B08D1" w:rsidP="00E605BC">
      <w:pPr>
        <w:spacing w:line="360" w:lineRule="auto"/>
        <w:contextualSpacing/>
        <w:jc w:val="both"/>
        <w:rPr>
          <w:rFonts w:ascii="Palatino Linotype" w:hAnsi="Palatino Linotype" w:cs="Tahoma"/>
          <w:iCs/>
          <w:sz w:val="22"/>
          <w:szCs w:val="22"/>
        </w:rPr>
      </w:pPr>
    </w:p>
    <w:p w14:paraId="378797F4" w14:textId="77777777" w:rsidR="003B08D1" w:rsidRPr="00207F77" w:rsidRDefault="003B08D1" w:rsidP="00E605BC">
      <w:pPr>
        <w:numPr>
          <w:ilvl w:val="0"/>
          <w:numId w:val="1"/>
        </w:num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t>Proveer lo necesario para garantizar a toda persona el derecho de acceso a la información pública, a través de procedimientos sencillos, expeditos, oportunos y gratuitos;</w:t>
      </w:r>
    </w:p>
    <w:p w14:paraId="67DD2CC0" w14:textId="77777777" w:rsidR="003B08D1" w:rsidRPr="00207F77" w:rsidRDefault="003B08D1" w:rsidP="00E605BC">
      <w:pPr>
        <w:spacing w:line="360" w:lineRule="auto"/>
        <w:ind w:left="720"/>
        <w:contextualSpacing/>
        <w:jc w:val="both"/>
        <w:rPr>
          <w:rFonts w:ascii="Palatino Linotype" w:hAnsi="Palatino Linotype" w:cs="Tahoma"/>
          <w:iCs/>
          <w:sz w:val="22"/>
          <w:szCs w:val="22"/>
        </w:rPr>
      </w:pPr>
    </w:p>
    <w:p w14:paraId="2B0ABC09" w14:textId="77777777" w:rsidR="003B08D1" w:rsidRPr="00207F77" w:rsidRDefault="003B08D1" w:rsidP="00E605BC">
      <w:pPr>
        <w:numPr>
          <w:ilvl w:val="0"/>
          <w:numId w:val="1"/>
        </w:num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t>Transparentar la gestión pública, mediante la difusión de la información generada por los Sujetos Obligados, y</w:t>
      </w:r>
    </w:p>
    <w:p w14:paraId="55DC6987" w14:textId="77777777" w:rsidR="003B08D1" w:rsidRPr="00207F77" w:rsidRDefault="003B08D1" w:rsidP="00E605BC">
      <w:pPr>
        <w:pStyle w:val="Prrafodelista"/>
        <w:spacing w:line="360" w:lineRule="auto"/>
        <w:rPr>
          <w:rFonts w:ascii="Palatino Linotype" w:hAnsi="Palatino Linotype" w:cs="Tahoma"/>
          <w:iCs/>
          <w:szCs w:val="22"/>
        </w:rPr>
      </w:pPr>
    </w:p>
    <w:p w14:paraId="03C94C18" w14:textId="77777777" w:rsidR="003B08D1" w:rsidRPr="00207F77" w:rsidRDefault="003B08D1" w:rsidP="00E605BC">
      <w:pPr>
        <w:numPr>
          <w:ilvl w:val="0"/>
          <w:numId w:val="1"/>
        </w:num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t>Promover, fomentar y difundir la cultura de la transparencia en el ejercicio de la función pública, el acceso a la información y la participación ciudadana, así como, la rendición de cuentas.</w:t>
      </w:r>
    </w:p>
    <w:p w14:paraId="5C78E559" w14:textId="77777777" w:rsidR="003B08D1" w:rsidRPr="00207F77" w:rsidRDefault="003B08D1" w:rsidP="00E605BC">
      <w:pPr>
        <w:spacing w:line="360" w:lineRule="auto"/>
        <w:contextualSpacing/>
        <w:jc w:val="both"/>
        <w:rPr>
          <w:rFonts w:ascii="Palatino Linotype" w:hAnsi="Palatino Linotype" w:cs="Tahoma"/>
          <w:iCs/>
          <w:sz w:val="22"/>
          <w:szCs w:val="22"/>
        </w:rPr>
      </w:pPr>
    </w:p>
    <w:p w14:paraId="25035CC1" w14:textId="77777777" w:rsidR="003B08D1" w:rsidRPr="00207F77" w:rsidRDefault="003B08D1" w:rsidP="00E605BC">
      <w:p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t>Conforme a lo anterior, se deprende que los objetivos de la Ley de la materia, son establecer las bases que regirán las formas para garantizar el derecho de acceso a la información, mediante procesos sencillos y expeditos, la promoción, fomentación y difusión de la cultura de transparencia y la rendición de cuentas, a través de establecimiento de políticas públicas y mecanismos que garanticen la publicidad de información oportuna, verificable, comprensible, actualizada y completa.</w:t>
      </w:r>
    </w:p>
    <w:p w14:paraId="0D0A0E4A" w14:textId="77777777" w:rsidR="003B08D1" w:rsidRPr="00207F77" w:rsidRDefault="003B08D1" w:rsidP="00E605BC">
      <w:pPr>
        <w:spacing w:line="360" w:lineRule="auto"/>
        <w:contextualSpacing/>
        <w:jc w:val="both"/>
        <w:rPr>
          <w:rFonts w:ascii="Palatino Linotype" w:hAnsi="Palatino Linotype" w:cs="Tahoma"/>
          <w:iCs/>
          <w:sz w:val="22"/>
          <w:szCs w:val="22"/>
        </w:rPr>
      </w:pPr>
    </w:p>
    <w:p w14:paraId="55D2ECDF" w14:textId="77777777" w:rsidR="003B08D1" w:rsidRPr="00207F77" w:rsidRDefault="003B08D1" w:rsidP="00E605BC">
      <w:p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t xml:space="preserve">En ese orden de ideas, para la atención de las solicitudes de acceso a la información, debe privilegiarse el principio de máxima publicidad el cual dispone que toda la información en posesión de los sujetos obligados será pública, completa, oportuna y accesible, sujeta a un </w:t>
      </w:r>
      <w:r w:rsidRPr="00207F77">
        <w:rPr>
          <w:rFonts w:ascii="Palatino Linotype" w:hAnsi="Palatino Linotype" w:cs="Tahoma"/>
          <w:iCs/>
          <w:sz w:val="22"/>
          <w:szCs w:val="22"/>
        </w:rPr>
        <w:lastRenderedPageBreak/>
        <w:t>claro régimen de excepciones que deberán estar definidas y ser legítimas y estrictamente necesarias en una sociedad democrática.</w:t>
      </w:r>
    </w:p>
    <w:p w14:paraId="17D60580" w14:textId="77777777" w:rsidR="003B08D1" w:rsidRPr="00207F77" w:rsidRDefault="003B08D1" w:rsidP="00E605BC">
      <w:pPr>
        <w:spacing w:line="360" w:lineRule="auto"/>
        <w:contextualSpacing/>
        <w:jc w:val="both"/>
        <w:rPr>
          <w:rFonts w:ascii="Palatino Linotype" w:hAnsi="Palatino Linotype" w:cs="Tahoma"/>
          <w:iCs/>
          <w:sz w:val="22"/>
          <w:szCs w:val="22"/>
        </w:rPr>
      </w:pPr>
    </w:p>
    <w:p w14:paraId="089DB4DA" w14:textId="77777777" w:rsidR="003B08D1" w:rsidRPr="00207F77" w:rsidRDefault="003B08D1" w:rsidP="00E605BC">
      <w:p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t>Para lograr lo anterior, los Sujetos Obligados deben seguir el procedimiento para la atención a las solicitudes de acceso a la información, establecido en los artículos 151, 159, 160, 162, 163, 164, 165 y 166, de la Ley de Transparencia y Acceso a la Información Pública del Estado de México y Municipios, el cual es el siguiente:</w:t>
      </w:r>
    </w:p>
    <w:p w14:paraId="252FCF43" w14:textId="77777777" w:rsidR="003B08D1" w:rsidRPr="00207F77" w:rsidRDefault="003B08D1" w:rsidP="00E605BC">
      <w:pPr>
        <w:spacing w:line="360" w:lineRule="auto"/>
        <w:contextualSpacing/>
        <w:jc w:val="both"/>
        <w:rPr>
          <w:rFonts w:ascii="Palatino Linotype" w:hAnsi="Palatino Linotype" w:cs="Tahoma"/>
          <w:iCs/>
          <w:sz w:val="22"/>
          <w:szCs w:val="22"/>
        </w:rPr>
      </w:pPr>
    </w:p>
    <w:p w14:paraId="362EFC6E" w14:textId="77777777" w:rsidR="003B08D1" w:rsidRDefault="003B08D1" w:rsidP="00E605BC">
      <w:pPr>
        <w:numPr>
          <w:ilvl w:val="0"/>
          <w:numId w:val="2"/>
        </w:num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t>Las Unidades de Transparencia de los Sujetos Obligados deben garantizar las medidas y condiciones de accesibilidad para que toda persona puede ejercer el derecho de acceso a la información; por lo que, son las responsables de hacer las notificaciones correspondientes, además de llevar a cabo de todas las gestiones necesarias para facilitar el acceso de la información;</w:t>
      </w:r>
    </w:p>
    <w:p w14:paraId="4396DF8D" w14:textId="77777777" w:rsidR="003B08D1" w:rsidRPr="004C2FC7" w:rsidRDefault="003B08D1" w:rsidP="00E605BC">
      <w:pPr>
        <w:spacing w:line="360" w:lineRule="auto"/>
        <w:ind w:left="720"/>
        <w:contextualSpacing/>
        <w:jc w:val="both"/>
        <w:rPr>
          <w:rFonts w:ascii="Palatino Linotype" w:hAnsi="Palatino Linotype" w:cs="Tahoma"/>
          <w:iCs/>
          <w:sz w:val="22"/>
          <w:szCs w:val="22"/>
        </w:rPr>
      </w:pPr>
    </w:p>
    <w:p w14:paraId="0E0B0B07" w14:textId="77777777" w:rsidR="003B08D1" w:rsidRPr="00207F77" w:rsidRDefault="003B08D1" w:rsidP="00E605BC">
      <w:pPr>
        <w:numPr>
          <w:ilvl w:val="0"/>
          <w:numId w:val="2"/>
        </w:num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t>Los Sujetos Obligados podrán requerirle a los Solicitantes, que complementen, corrijan o amplíen su solicitud de información, cuando resulten los datos proporcionados insuficientes, incorrectos, incompletos o erróneos; solicitar dicha aclaración, interrumpirá el plazo para dar respuesta y comenzará a computarse el día siguiente al desahogo de esta;</w:t>
      </w:r>
    </w:p>
    <w:p w14:paraId="58B2C71C" w14:textId="77777777" w:rsidR="003B08D1" w:rsidRPr="00207F77" w:rsidRDefault="003B08D1" w:rsidP="00E605BC">
      <w:pPr>
        <w:pStyle w:val="Prrafodelista"/>
        <w:spacing w:line="360" w:lineRule="auto"/>
        <w:rPr>
          <w:rFonts w:ascii="Palatino Linotype" w:hAnsi="Palatino Linotype" w:cs="Tahoma"/>
          <w:iCs/>
          <w:szCs w:val="22"/>
        </w:rPr>
      </w:pPr>
    </w:p>
    <w:p w14:paraId="5D8D6685" w14:textId="77777777" w:rsidR="003B08D1" w:rsidRPr="00207F77" w:rsidRDefault="003B08D1" w:rsidP="00E605BC">
      <w:pPr>
        <w:numPr>
          <w:ilvl w:val="0"/>
          <w:numId w:val="2"/>
        </w:num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t xml:space="preserve"> Las respuestas a los requerimientos informativos deberán notificarse al interesado en el menor tiempo posible, que no podrá exceder quince días, contados a partir del día siguiente a la presentación de ésta. Excepcionalmente, el plazo referido podrá ampliarse por siete días hábiles más, cuando existan razones fundadas y motivadas, a través del Comité de Transparencia;</w:t>
      </w:r>
    </w:p>
    <w:p w14:paraId="14A2E4FF" w14:textId="77777777" w:rsidR="003B08D1" w:rsidRPr="00207F77" w:rsidRDefault="003B08D1" w:rsidP="00E605BC">
      <w:pPr>
        <w:pStyle w:val="Prrafodelista"/>
        <w:spacing w:line="360" w:lineRule="auto"/>
        <w:rPr>
          <w:rFonts w:ascii="Palatino Linotype" w:hAnsi="Palatino Linotype" w:cs="Tahoma"/>
          <w:iCs/>
          <w:szCs w:val="22"/>
        </w:rPr>
      </w:pPr>
    </w:p>
    <w:p w14:paraId="4837B499" w14:textId="77777777" w:rsidR="003B08D1" w:rsidRPr="00207F77" w:rsidRDefault="003B08D1" w:rsidP="00E605BC">
      <w:pPr>
        <w:numPr>
          <w:ilvl w:val="0"/>
          <w:numId w:val="2"/>
        </w:num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lastRenderedPageBreak/>
        <w:t>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w:t>
      </w:r>
    </w:p>
    <w:p w14:paraId="1C1820A2" w14:textId="77777777" w:rsidR="003B08D1" w:rsidRPr="00207F77" w:rsidRDefault="003B08D1" w:rsidP="00E605BC">
      <w:pPr>
        <w:spacing w:line="360" w:lineRule="auto"/>
        <w:contextualSpacing/>
        <w:rPr>
          <w:rFonts w:ascii="Palatino Linotype" w:hAnsi="Palatino Linotype" w:cs="Tahoma"/>
          <w:iCs/>
          <w:szCs w:val="22"/>
        </w:rPr>
      </w:pPr>
    </w:p>
    <w:p w14:paraId="64A8B287" w14:textId="77777777" w:rsidR="003B08D1" w:rsidRPr="00207F77" w:rsidRDefault="003B08D1" w:rsidP="00E605BC">
      <w:pPr>
        <w:numPr>
          <w:ilvl w:val="0"/>
          <w:numId w:val="2"/>
        </w:num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t>El acceso se dará en la modalidad de entrega y en su caso, de envío elegido por el solicitante, cuando no pueda entregarse en dicha modalidad, el Sujeto Obligado deberá ofrecer otras; por lo cual, deberá fundamentar y motivar la necesidad de modificar el medio de entrega, y</w:t>
      </w:r>
    </w:p>
    <w:p w14:paraId="36D5D06B" w14:textId="77777777" w:rsidR="003B08D1" w:rsidRPr="00207F77" w:rsidRDefault="003B08D1" w:rsidP="00E605BC">
      <w:pPr>
        <w:pStyle w:val="Prrafodelista"/>
        <w:spacing w:line="360" w:lineRule="auto"/>
        <w:rPr>
          <w:rFonts w:ascii="Palatino Linotype" w:hAnsi="Palatino Linotype" w:cs="Tahoma"/>
          <w:iCs/>
          <w:szCs w:val="22"/>
        </w:rPr>
      </w:pPr>
    </w:p>
    <w:p w14:paraId="43A95783" w14:textId="77777777" w:rsidR="003B08D1" w:rsidRPr="00207F77" w:rsidRDefault="003B08D1" w:rsidP="00E605BC">
      <w:pPr>
        <w:numPr>
          <w:ilvl w:val="0"/>
          <w:numId w:val="2"/>
        </w:num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t>Las Unidades de Transparencia, tendrán disponible la información requerida durante un plazo mínimo de sesenta días hábiles, contados a partir de que el solicitante hubiere realizado, en su caso, el pago respectivo, el cual deberá efectuarse en un plazo no mayor a treinta días hábiles; por lo que, una vez trascurrida dicha temporalidad, los Sujetos Obligados darán por concluida la solicitud y procederán de ser el caso, a la destrucción del material.</w:t>
      </w:r>
    </w:p>
    <w:p w14:paraId="528F10BC" w14:textId="77777777" w:rsidR="003B08D1" w:rsidRPr="00207F77" w:rsidRDefault="003B08D1" w:rsidP="00E605BC">
      <w:pPr>
        <w:spacing w:line="360" w:lineRule="auto"/>
        <w:contextualSpacing/>
        <w:jc w:val="both"/>
        <w:rPr>
          <w:rFonts w:ascii="Palatino Linotype" w:hAnsi="Palatino Linotype" w:cs="Tahoma"/>
          <w:iCs/>
          <w:sz w:val="22"/>
          <w:szCs w:val="22"/>
        </w:rPr>
      </w:pPr>
    </w:p>
    <w:p w14:paraId="5581D576" w14:textId="77777777" w:rsidR="003B08D1" w:rsidRPr="00207F77" w:rsidRDefault="003B08D1" w:rsidP="00E605BC">
      <w:p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t>Una vez establecido lo anterior, es de indicar que el agravio del Particular consistió en que, a la fecha de interposición del Recurso de Revisión, el</w:t>
      </w:r>
      <w:r w:rsidRPr="00207F77">
        <w:rPr>
          <w:rFonts w:ascii="Palatino Linotype" w:eastAsia="Calibri" w:hAnsi="Palatino Linotype" w:cs="Tahoma"/>
          <w:sz w:val="22"/>
          <w:szCs w:val="22"/>
          <w:lang w:eastAsia="en-US"/>
        </w:rPr>
        <w:t xml:space="preserve"> </w:t>
      </w:r>
      <w:r>
        <w:rPr>
          <w:rFonts w:ascii="Palatino Linotype" w:eastAsia="Calibri" w:hAnsi="Palatino Linotype" w:cs="Tahoma"/>
          <w:sz w:val="22"/>
          <w:szCs w:val="22"/>
          <w:lang w:eastAsia="en-US"/>
        </w:rPr>
        <w:t>Ayuntamiento de Tepotzotlán</w:t>
      </w:r>
      <w:r w:rsidRPr="00207F77">
        <w:rPr>
          <w:rFonts w:ascii="Palatino Linotype" w:hAnsi="Palatino Linotype" w:cs="Tahoma"/>
          <w:iCs/>
          <w:sz w:val="22"/>
          <w:szCs w:val="22"/>
        </w:rPr>
        <w:t xml:space="preserve">, no había registrado respuesta </w:t>
      </w:r>
      <w:r w:rsidRPr="002F782E">
        <w:rPr>
          <w:rFonts w:ascii="Palatino Linotype" w:hAnsi="Palatino Linotype" w:cs="Tahoma"/>
          <w:iCs/>
          <w:sz w:val="22"/>
          <w:szCs w:val="22"/>
        </w:rPr>
        <w:t xml:space="preserve">al requerimiento de acceso a la información, el cual se presentó, el </w:t>
      </w:r>
      <w:r>
        <w:rPr>
          <w:rFonts w:ascii="Palatino Linotype" w:hAnsi="Palatino Linotype" w:cs="Tahoma"/>
          <w:iCs/>
          <w:sz w:val="22"/>
          <w:szCs w:val="22"/>
        </w:rPr>
        <w:t xml:space="preserve">veintiuno de noviembre </w:t>
      </w:r>
      <w:r w:rsidRPr="002F782E">
        <w:rPr>
          <w:rFonts w:ascii="Palatino Linotype" w:hAnsi="Palatino Linotype" w:cs="Tahoma"/>
          <w:iCs/>
          <w:sz w:val="22"/>
          <w:szCs w:val="22"/>
        </w:rPr>
        <w:t>de dos mil veinticinco.</w:t>
      </w:r>
    </w:p>
    <w:p w14:paraId="70E6EF8C" w14:textId="77777777" w:rsidR="003B08D1" w:rsidRPr="00207F77" w:rsidRDefault="003B08D1" w:rsidP="00E605BC">
      <w:pPr>
        <w:spacing w:line="360" w:lineRule="auto"/>
        <w:contextualSpacing/>
        <w:jc w:val="both"/>
        <w:rPr>
          <w:rFonts w:ascii="Palatino Linotype" w:hAnsi="Palatino Linotype" w:cs="Tahoma"/>
          <w:iCs/>
          <w:sz w:val="22"/>
          <w:szCs w:val="22"/>
        </w:rPr>
      </w:pPr>
    </w:p>
    <w:p w14:paraId="6680CC56" w14:textId="77777777" w:rsidR="003B08D1" w:rsidRPr="00207F77" w:rsidRDefault="003B08D1" w:rsidP="00E605BC">
      <w:p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t xml:space="preserve">En ese orden de ideas, el plazo con el que contaba el Sujeto Obligado para emitir contestación al requerimiento informativo </w:t>
      </w:r>
      <w:r w:rsidRPr="002F782E">
        <w:rPr>
          <w:rFonts w:ascii="Palatino Linotype" w:hAnsi="Palatino Linotype" w:cs="Tahoma"/>
          <w:iCs/>
          <w:sz w:val="22"/>
          <w:szCs w:val="22"/>
        </w:rPr>
        <w:t xml:space="preserve">comenzó a correr el </w:t>
      </w:r>
      <w:r>
        <w:rPr>
          <w:rFonts w:ascii="Palatino Linotype" w:hAnsi="Palatino Linotype" w:cs="Tahoma"/>
          <w:iCs/>
          <w:sz w:val="22"/>
          <w:szCs w:val="22"/>
        </w:rPr>
        <w:t xml:space="preserve">veinticuatro de noviembre </w:t>
      </w:r>
      <w:r w:rsidRPr="002F782E">
        <w:rPr>
          <w:rFonts w:ascii="Palatino Linotype" w:hAnsi="Palatino Linotype" w:cs="Tahoma"/>
          <w:iCs/>
          <w:sz w:val="22"/>
          <w:szCs w:val="22"/>
        </w:rPr>
        <w:t xml:space="preserve">y feneció el </w:t>
      </w:r>
      <w:r>
        <w:rPr>
          <w:rFonts w:ascii="Palatino Linotype" w:hAnsi="Palatino Linotype" w:cs="Tahoma"/>
          <w:iCs/>
          <w:sz w:val="22"/>
          <w:szCs w:val="22"/>
        </w:rPr>
        <w:t>doce de diciembre</w:t>
      </w:r>
      <w:r w:rsidRPr="002F782E">
        <w:rPr>
          <w:rFonts w:ascii="Palatino Linotype" w:hAnsi="Palatino Linotype" w:cs="Tahoma"/>
          <w:iCs/>
          <w:sz w:val="22"/>
          <w:szCs w:val="22"/>
        </w:rPr>
        <w:t>, ambos de dos mil veinticinco; lo anterior, sin contar los días,</w:t>
      </w:r>
      <w:r>
        <w:rPr>
          <w:rFonts w:ascii="Palatino Linotype" w:hAnsi="Palatino Linotype" w:cs="Tahoma"/>
          <w:iCs/>
          <w:sz w:val="22"/>
          <w:szCs w:val="22"/>
        </w:rPr>
        <w:t xml:space="preserve"> </w:t>
      </w:r>
      <w:r>
        <w:rPr>
          <w:rFonts w:ascii="Palatino Linotype" w:hAnsi="Palatino Linotype" w:cs="Tahoma"/>
          <w:iCs/>
          <w:sz w:val="22"/>
          <w:szCs w:val="22"/>
        </w:rPr>
        <w:lastRenderedPageBreak/>
        <w:t xml:space="preserve">veintidós, veintitrés, veintinueve y treinta de noviembre, así como, el seis y siete de diciembre </w:t>
      </w:r>
      <w:r w:rsidRPr="002F782E">
        <w:rPr>
          <w:rFonts w:ascii="Palatino Linotype" w:hAnsi="Palatino Linotype" w:cs="Tahoma"/>
          <w:iCs/>
          <w:sz w:val="22"/>
          <w:szCs w:val="22"/>
        </w:rPr>
        <w:t>de dos mil veinticinco,</w:t>
      </w:r>
      <w:r w:rsidRPr="00207F77">
        <w:rPr>
          <w:rFonts w:ascii="Palatino Linotype" w:hAnsi="Palatino Linotype" w:cs="Tahoma"/>
          <w:iCs/>
          <w:sz w:val="22"/>
          <w:szCs w:val="22"/>
        </w:rPr>
        <w:t xml:space="preserve"> al ser inhábiles, de conformidad con el artículo, 3°, fracción X, de la Ley de Transparencia y Acceso a la Información Pública del Estado de México y Municipios, y </w:t>
      </w:r>
      <w:bookmarkStart w:id="40" w:name="_Hlk65786947"/>
      <w:r w:rsidRPr="00207F77">
        <w:rPr>
          <w:rFonts w:ascii="Palatino Linotype" w:hAnsi="Palatino Linotype" w:cs="Tahoma"/>
          <w:iCs/>
          <w:sz w:val="22"/>
          <w:szCs w:val="22"/>
        </w:rPr>
        <w:t xml:space="preserve">el </w:t>
      </w:r>
      <w:r w:rsidRPr="00207F77">
        <w:rPr>
          <w:rFonts w:ascii="Palatino Linotype" w:hAnsi="Palatino Linotype" w:cs="Tahoma"/>
          <w:iCs/>
          <w:sz w:val="22"/>
          <w:szCs w:val="22"/>
          <w:lang w:val="es-ES"/>
        </w:rPr>
        <w:t>Calendario Oficial en Materia de Transparencia, Acceso a la Información Pública y Protección de Datos Personales del Estado de México y Municipios, así como de laborales de este Instituto, para el año dos mil veinticinco.</w:t>
      </w:r>
    </w:p>
    <w:bookmarkEnd w:id="40"/>
    <w:p w14:paraId="762BF075" w14:textId="77777777" w:rsidR="003B08D1" w:rsidRPr="00207F77" w:rsidRDefault="003B08D1" w:rsidP="00E605BC">
      <w:pPr>
        <w:spacing w:line="360" w:lineRule="auto"/>
        <w:contextualSpacing/>
        <w:jc w:val="both"/>
        <w:rPr>
          <w:rFonts w:ascii="Palatino Linotype" w:hAnsi="Palatino Linotype" w:cs="Tahoma"/>
          <w:iCs/>
          <w:sz w:val="22"/>
          <w:szCs w:val="22"/>
        </w:rPr>
      </w:pPr>
    </w:p>
    <w:p w14:paraId="0EB4A3F4" w14:textId="77777777" w:rsidR="003B08D1" w:rsidRDefault="003B08D1" w:rsidP="00E605BC">
      <w:pPr>
        <w:spacing w:line="360" w:lineRule="auto"/>
        <w:contextualSpacing/>
        <w:jc w:val="both"/>
        <w:rPr>
          <w:rFonts w:ascii="Palatino Linotype" w:hAnsi="Palatino Linotype" w:cs="Tahoma"/>
          <w:iCs/>
          <w:sz w:val="22"/>
          <w:szCs w:val="22"/>
          <w:lang w:val="es-ES"/>
        </w:rPr>
      </w:pPr>
      <w:r w:rsidRPr="00207F77">
        <w:rPr>
          <w:rFonts w:ascii="Palatino Linotype" w:hAnsi="Palatino Linotype" w:cs="Tahoma"/>
          <w:iCs/>
          <w:sz w:val="22"/>
          <w:szCs w:val="22"/>
        </w:rPr>
        <w:t xml:space="preserve">Así, este Instituto verificó que, en efecto, no se registró respuesta a la solicitud de información de la persona Recurrente, en el </w:t>
      </w:r>
      <w:r w:rsidRPr="00207F77">
        <w:rPr>
          <w:rFonts w:ascii="Palatino Linotype" w:hAnsi="Palatino Linotype" w:cs="Tahoma"/>
          <w:iCs/>
          <w:sz w:val="22"/>
          <w:szCs w:val="22"/>
          <w:lang w:val="es-ES"/>
        </w:rPr>
        <w:t>Sistema de Acceso a la Información Mexiquense (SAIMEX), tal como se observa a continuación:</w:t>
      </w:r>
    </w:p>
    <w:p w14:paraId="43028D66" w14:textId="77777777" w:rsidR="003B08D1" w:rsidRDefault="003B08D1" w:rsidP="00E605BC">
      <w:pPr>
        <w:spacing w:line="360" w:lineRule="auto"/>
        <w:contextualSpacing/>
        <w:jc w:val="both"/>
        <w:rPr>
          <w:rFonts w:ascii="Palatino Linotype" w:hAnsi="Palatino Linotype" w:cs="Tahoma"/>
          <w:iCs/>
          <w:sz w:val="22"/>
          <w:szCs w:val="22"/>
          <w:lang w:val="es-ES"/>
        </w:rPr>
      </w:pPr>
    </w:p>
    <w:p w14:paraId="53F76004" w14:textId="5093DC51" w:rsidR="003B08D1" w:rsidRPr="000C0FF8" w:rsidRDefault="00E45DDC" w:rsidP="00E605BC">
      <w:pPr>
        <w:spacing w:line="360" w:lineRule="auto"/>
        <w:contextualSpacing/>
        <w:jc w:val="center"/>
        <w:rPr>
          <w:rFonts w:ascii="Palatino Linotype" w:hAnsi="Palatino Linotype" w:cs="Tahoma"/>
          <w:iCs/>
          <w:sz w:val="22"/>
          <w:szCs w:val="22"/>
          <w:lang w:val="es-ES"/>
        </w:rPr>
      </w:pPr>
      <w:r>
        <w:rPr>
          <w:rFonts w:ascii="Palatino Linotype" w:hAnsi="Palatino Linotype" w:cs="Tahoma"/>
          <w:iCs/>
          <w:noProof/>
          <w:sz w:val="22"/>
          <w:szCs w:val="22"/>
          <w:lang w:eastAsia="es-MX"/>
        </w:rPr>
        <w:drawing>
          <wp:inline distT="0" distB="0" distL="0" distR="0" wp14:anchorId="59F6A699" wp14:editId="57143749">
            <wp:extent cx="3529965" cy="1450975"/>
            <wp:effectExtent l="0" t="0" r="0" b="0"/>
            <wp:docPr id="20922859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9965" cy="1450975"/>
                    </a:xfrm>
                    <a:prstGeom prst="rect">
                      <a:avLst/>
                    </a:prstGeom>
                    <a:noFill/>
                  </pic:spPr>
                </pic:pic>
              </a:graphicData>
            </a:graphic>
          </wp:inline>
        </w:drawing>
      </w:r>
    </w:p>
    <w:p w14:paraId="542B4AC0" w14:textId="77777777" w:rsidR="003B08D1" w:rsidRDefault="003B08D1" w:rsidP="00E605BC">
      <w:pPr>
        <w:spacing w:line="360" w:lineRule="auto"/>
        <w:contextualSpacing/>
        <w:jc w:val="both"/>
        <w:rPr>
          <w:rFonts w:ascii="Palatino Linotype" w:hAnsi="Palatino Linotype" w:cs="Tahoma"/>
          <w:iCs/>
          <w:sz w:val="22"/>
          <w:szCs w:val="22"/>
        </w:rPr>
      </w:pPr>
    </w:p>
    <w:p w14:paraId="1BDF84AA" w14:textId="77777777" w:rsidR="003B08D1" w:rsidRDefault="003B08D1" w:rsidP="00E605BC">
      <w:pPr>
        <w:spacing w:line="360" w:lineRule="auto"/>
        <w:contextualSpacing/>
        <w:jc w:val="both"/>
        <w:rPr>
          <w:rFonts w:ascii="Palatino Linotype" w:hAnsi="Palatino Linotype" w:cs="Tahoma"/>
          <w:iCs/>
          <w:sz w:val="22"/>
          <w:szCs w:val="22"/>
        </w:rPr>
      </w:pPr>
      <w:r w:rsidRPr="00207F77">
        <w:rPr>
          <w:rFonts w:ascii="Palatino Linotype" w:hAnsi="Palatino Linotype" w:cs="Tahoma"/>
          <w:iCs/>
          <w:sz w:val="22"/>
          <w:szCs w:val="22"/>
        </w:rPr>
        <w:t>Conforme a lo anterior, se colige que, tal como lo precisó la persona Recurrente, el</w:t>
      </w:r>
      <w:r w:rsidRPr="00207F77">
        <w:rPr>
          <w:rFonts w:ascii="Palatino Linotype" w:eastAsia="Calibri" w:hAnsi="Palatino Linotype" w:cs="Tahoma"/>
          <w:sz w:val="22"/>
          <w:szCs w:val="22"/>
          <w:lang w:eastAsia="en-US"/>
        </w:rPr>
        <w:t xml:space="preserve"> </w:t>
      </w:r>
      <w:r>
        <w:rPr>
          <w:rFonts w:ascii="Palatino Linotype" w:eastAsia="Calibri" w:hAnsi="Palatino Linotype" w:cs="Tahoma"/>
          <w:sz w:val="22"/>
          <w:szCs w:val="22"/>
          <w:lang w:eastAsia="en-US"/>
        </w:rPr>
        <w:t>Ayuntamiento de Tepotzotlán</w:t>
      </w:r>
      <w:r w:rsidRPr="00207F77">
        <w:rPr>
          <w:rFonts w:ascii="Palatino Linotype" w:hAnsi="Palatino Linotype" w:cs="Tahoma"/>
          <w:iCs/>
          <w:sz w:val="22"/>
          <w:szCs w:val="22"/>
        </w:rPr>
        <w:t xml:space="preserve">, no emitió respuesta para dar contestación a la solicitud de acceso a la información pública, dentro de los plazos establecidos en el artículo 163, de la Ley de Transparencia y Acceso a la Información Pública del Estado de México y Municipios, pues tenía hasta el </w:t>
      </w:r>
      <w:r>
        <w:rPr>
          <w:rFonts w:ascii="Palatino Linotype" w:hAnsi="Palatino Linotype" w:cs="Tahoma"/>
          <w:iCs/>
          <w:sz w:val="22"/>
          <w:szCs w:val="22"/>
        </w:rPr>
        <w:t xml:space="preserve">doce de diciembre </w:t>
      </w:r>
      <w:r w:rsidRPr="00207F77">
        <w:rPr>
          <w:rFonts w:ascii="Palatino Linotype" w:hAnsi="Palatino Linotype" w:cs="Tahoma"/>
          <w:iCs/>
          <w:sz w:val="22"/>
          <w:szCs w:val="22"/>
        </w:rPr>
        <w:t xml:space="preserve">de dos mil veinticinco, para realizar dicha situación, por lo que el agravio es </w:t>
      </w:r>
      <w:r w:rsidRPr="00207F77">
        <w:rPr>
          <w:rFonts w:ascii="Palatino Linotype" w:hAnsi="Palatino Linotype" w:cs="Tahoma"/>
          <w:b/>
          <w:bCs/>
          <w:iCs/>
          <w:sz w:val="22"/>
          <w:szCs w:val="22"/>
        </w:rPr>
        <w:t>FUNDADO</w:t>
      </w:r>
      <w:r w:rsidRPr="00207F77">
        <w:rPr>
          <w:rFonts w:ascii="Palatino Linotype" w:hAnsi="Palatino Linotype" w:cs="Tahoma"/>
          <w:iCs/>
          <w:sz w:val="22"/>
          <w:szCs w:val="22"/>
        </w:rPr>
        <w:t xml:space="preserve">. </w:t>
      </w:r>
    </w:p>
    <w:p w14:paraId="68F12A39" w14:textId="77777777" w:rsidR="003B08D1" w:rsidRDefault="003B08D1" w:rsidP="00E605BC">
      <w:pPr>
        <w:spacing w:line="360" w:lineRule="auto"/>
        <w:contextualSpacing/>
        <w:jc w:val="both"/>
        <w:rPr>
          <w:rFonts w:ascii="Palatino Linotype" w:hAnsi="Palatino Linotype" w:cs="Tahoma"/>
          <w:iCs/>
          <w:sz w:val="22"/>
          <w:szCs w:val="22"/>
        </w:rPr>
      </w:pPr>
    </w:p>
    <w:p w14:paraId="06EDBCF4" w14:textId="77777777" w:rsidR="003B08D1" w:rsidRDefault="003B08D1" w:rsidP="00E605BC">
      <w:pPr>
        <w:spacing w:line="360" w:lineRule="auto"/>
        <w:contextualSpacing/>
        <w:jc w:val="both"/>
        <w:rPr>
          <w:rFonts w:ascii="Palatino Linotype" w:eastAsia="Calibri" w:hAnsi="Palatino Linotype" w:cs="Tahoma"/>
          <w:color w:val="000000"/>
          <w:sz w:val="22"/>
          <w:szCs w:val="22"/>
          <w:lang w:val="es-ES" w:eastAsia="es-MX"/>
        </w:rPr>
      </w:pPr>
      <w:r w:rsidRPr="006A4CD5">
        <w:rPr>
          <w:rFonts w:ascii="Palatino Linotype" w:hAnsi="Palatino Linotype" w:cs="Tahoma"/>
          <w:bCs/>
          <w:iCs/>
          <w:sz w:val="22"/>
          <w:szCs w:val="22"/>
        </w:rPr>
        <w:t xml:space="preserve">No obstante, durante la sustanciación del Medio de Impugnación, el Sujeto Obligado mediante Informe Justificado, emitió respuesta, por lo que, se procede a su análisis; para lo </w:t>
      </w:r>
      <w:r w:rsidRPr="006A4CD5">
        <w:rPr>
          <w:rFonts w:ascii="Palatino Linotype" w:hAnsi="Palatino Linotype" w:cs="Tahoma"/>
          <w:bCs/>
          <w:iCs/>
          <w:sz w:val="22"/>
          <w:szCs w:val="22"/>
        </w:rPr>
        <w:lastRenderedPageBreak/>
        <w:t>cual, en principio es necesario contextualizar la solicitud de información respecto de los reportes e indicadores de los</w:t>
      </w:r>
      <w:r w:rsidRPr="006A4CD5">
        <w:rPr>
          <w:rFonts w:ascii="Palatino Linotype" w:hAnsi="Palatino Linotype" w:cs="Tahoma"/>
          <w:bCs/>
          <w:sz w:val="22"/>
          <w:szCs w:val="22"/>
        </w:rPr>
        <w:t xml:space="preserve"> servicios públicos solicitados</w:t>
      </w:r>
      <w:r w:rsidRPr="006A4CD5">
        <w:rPr>
          <w:rFonts w:ascii="Palatino Linotype" w:eastAsia="Calibri" w:hAnsi="Palatino Linotype" w:cs="Tahoma"/>
          <w:color w:val="000000"/>
          <w:sz w:val="22"/>
          <w:szCs w:val="22"/>
          <w:lang w:val="es-ES" w:eastAsia="es-MX"/>
        </w:rPr>
        <w:t>.</w:t>
      </w:r>
    </w:p>
    <w:p w14:paraId="697693DC" w14:textId="77777777" w:rsidR="003B08D1" w:rsidRPr="006A4CD5" w:rsidRDefault="003B08D1" w:rsidP="00E605BC">
      <w:pPr>
        <w:spacing w:line="360" w:lineRule="auto"/>
        <w:contextualSpacing/>
        <w:jc w:val="both"/>
        <w:rPr>
          <w:rFonts w:ascii="Palatino Linotype" w:eastAsia="Calibri" w:hAnsi="Palatino Linotype" w:cs="Tahoma"/>
          <w:bCs/>
          <w:sz w:val="22"/>
          <w:szCs w:val="22"/>
          <w:lang w:val="es-ES" w:eastAsia="es-MX"/>
          <w14:ligatures w14:val="standardContextual"/>
        </w:rPr>
      </w:pPr>
    </w:p>
    <w:p w14:paraId="3D60208B" w14:textId="77777777" w:rsidR="00421156" w:rsidRPr="001C63DE" w:rsidRDefault="003B08D1" w:rsidP="00E605BC">
      <w:pPr>
        <w:spacing w:line="360" w:lineRule="auto"/>
        <w:contextualSpacing/>
        <w:jc w:val="both"/>
        <w:rPr>
          <w:rFonts w:ascii="Palatino Linotype" w:hAnsi="Palatino Linotype" w:cs="Tahoma"/>
          <w:iCs/>
          <w:sz w:val="22"/>
          <w:szCs w:val="22"/>
        </w:rPr>
      </w:pPr>
      <w:r w:rsidRPr="006A4CD5">
        <w:rPr>
          <w:rFonts w:ascii="Palatino Linotype" w:eastAsia="Calibri" w:hAnsi="Palatino Linotype" w:cs="Tahoma"/>
          <w:bCs/>
          <w:sz w:val="22"/>
          <w:szCs w:val="22"/>
        </w:rPr>
        <w:t xml:space="preserve">En principio, </w:t>
      </w:r>
      <w:r w:rsidR="00421156" w:rsidRPr="001C63DE">
        <w:rPr>
          <w:rFonts w:ascii="Palatino Linotype" w:hAnsi="Palatino Linotype" w:cs="Tahoma"/>
          <w:iCs/>
          <w:sz w:val="22"/>
          <w:szCs w:val="22"/>
        </w:rPr>
        <w:t xml:space="preserve">Eduardo López Sosa, Natalia López Sosa. (2014). “Derecho Administrativo Mexicano”. (p. 262), establece que la autorización, la licencia, o el permiso es el acto administrativo por medio de los cuales se otorga a un particular, por un órgano administrativo, la facultad o el derecho para realizar una actividad o para hacer alguna cosa. </w:t>
      </w:r>
    </w:p>
    <w:p w14:paraId="2BCD3BAF" w14:textId="77777777" w:rsidR="00421156" w:rsidRPr="001C63DE" w:rsidRDefault="00421156" w:rsidP="00E605BC">
      <w:pPr>
        <w:spacing w:line="360" w:lineRule="auto"/>
        <w:contextualSpacing/>
        <w:jc w:val="both"/>
        <w:rPr>
          <w:rFonts w:ascii="Palatino Linotype" w:hAnsi="Palatino Linotype" w:cs="Tahoma"/>
          <w:iCs/>
          <w:sz w:val="22"/>
          <w:szCs w:val="22"/>
        </w:rPr>
      </w:pPr>
    </w:p>
    <w:p w14:paraId="7B77621E" w14:textId="7E3BB787" w:rsidR="00421156" w:rsidRPr="001C63DE" w:rsidRDefault="00421156" w:rsidP="00E605BC">
      <w:pPr>
        <w:spacing w:line="360" w:lineRule="auto"/>
        <w:contextualSpacing/>
        <w:jc w:val="both"/>
        <w:rPr>
          <w:rFonts w:ascii="Palatino Linotype" w:hAnsi="Palatino Linotype" w:cs="Tahoma"/>
          <w:iCs/>
          <w:sz w:val="22"/>
          <w:szCs w:val="22"/>
        </w:rPr>
      </w:pPr>
      <w:r>
        <w:rPr>
          <w:rFonts w:ascii="Palatino Linotype" w:hAnsi="Palatino Linotype"/>
          <w:sz w:val="22"/>
          <w:szCs w:val="22"/>
        </w:rPr>
        <w:t>Así</w:t>
      </w:r>
      <w:r w:rsidRPr="001C63DE">
        <w:rPr>
          <w:rFonts w:ascii="Palatino Linotype" w:hAnsi="Palatino Linotype"/>
          <w:sz w:val="22"/>
          <w:szCs w:val="22"/>
        </w:rPr>
        <w:t xml:space="preserve">, </w:t>
      </w:r>
      <w:r>
        <w:rPr>
          <w:rFonts w:ascii="Palatino Linotype" w:hAnsi="Palatino Linotype"/>
          <w:sz w:val="22"/>
          <w:szCs w:val="22"/>
        </w:rPr>
        <w:t xml:space="preserve">sobre </w:t>
      </w:r>
      <w:r w:rsidRPr="001C63DE">
        <w:rPr>
          <w:rFonts w:ascii="Palatino Linotype" w:hAnsi="Palatino Linotype"/>
          <w:sz w:val="22"/>
          <w:szCs w:val="22"/>
        </w:rPr>
        <w:t xml:space="preserve">las </w:t>
      </w:r>
      <w:r w:rsidRPr="001C63DE">
        <w:rPr>
          <w:rFonts w:ascii="Palatino Linotype" w:hAnsi="Palatino Linotype"/>
          <w:b/>
          <w:bCs/>
          <w:sz w:val="22"/>
          <w:szCs w:val="22"/>
          <w:u w:val="single"/>
        </w:rPr>
        <w:t>licencias de construcción,</w:t>
      </w:r>
      <w:r w:rsidRPr="001C63DE">
        <w:rPr>
          <w:rFonts w:ascii="Palatino Linotype" w:hAnsi="Palatino Linotype"/>
          <w:sz w:val="22"/>
          <w:szCs w:val="22"/>
        </w:rPr>
        <w:t xml:space="preserve"> se trae a colación el artículo 18.20 del Código Administrativo del Estado de México el cual establece que las licencias de construcción tienen por objeto autorizar:</w:t>
      </w:r>
    </w:p>
    <w:p w14:paraId="2DFC05EC" w14:textId="77777777" w:rsidR="00421156" w:rsidRPr="001C63DE" w:rsidRDefault="00421156" w:rsidP="00E605BC">
      <w:pPr>
        <w:spacing w:line="360" w:lineRule="auto"/>
        <w:contextualSpacing/>
        <w:jc w:val="both"/>
        <w:rPr>
          <w:rFonts w:ascii="Palatino Linotype" w:hAnsi="Palatino Linotype" w:cs="Tahoma"/>
          <w:bCs/>
          <w:iCs/>
          <w:sz w:val="22"/>
          <w:szCs w:val="22"/>
        </w:rPr>
      </w:pPr>
    </w:p>
    <w:p w14:paraId="387BED4D" w14:textId="77777777" w:rsidR="00421156" w:rsidRPr="001C63DE" w:rsidRDefault="00421156" w:rsidP="00E605BC">
      <w:pPr>
        <w:pStyle w:val="Prrafodelista"/>
        <w:numPr>
          <w:ilvl w:val="0"/>
          <w:numId w:val="7"/>
        </w:numPr>
        <w:autoSpaceDE w:val="0"/>
        <w:autoSpaceDN w:val="0"/>
        <w:adjustRightInd w:val="0"/>
        <w:spacing w:line="360" w:lineRule="auto"/>
        <w:ind w:right="567"/>
        <w:jc w:val="both"/>
        <w:rPr>
          <w:rFonts w:ascii="Palatino Linotype" w:hAnsi="Palatino Linotype"/>
          <w:sz w:val="22"/>
          <w:szCs w:val="22"/>
        </w:rPr>
      </w:pPr>
      <w:r w:rsidRPr="001C63DE">
        <w:rPr>
          <w:rFonts w:ascii="Palatino Linotype" w:hAnsi="Palatino Linotype"/>
          <w:sz w:val="22"/>
          <w:szCs w:val="22"/>
        </w:rPr>
        <w:t xml:space="preserve">Obra nueva; </w:t>
      </w:r>
    </w:p>
    <w:p w14:paraId="054B7027" w14:textId="77777777" w:rsidR="00421156" w:rsidRPr="001C63DE" w:rsidRDefault="00421156" w:rsidP="00E605BC">
      <w:pPr>
        <w:pStyle w:val="Prrafodelista"/>
        <w:numPr>
          <w:ilvl w:val="0"/>
          <w:numId w:val="7"/>
        </w:numPr>
        <w:autoSpaceDE w:val="0"/>
        <w:autoSpaceDN w:val="0"/>
        <w:adjustRightInd w:val="0"/>
        <w:spacing w:line="360" w:lineRule="auto"/>
        <w:ind w:right="567"/>
        <w:jc w:val="both"/>
        <w:rPr>
          <w:rFonts w:ascii="Palatino Linotype" w:hAnsi="Palatino Linotype" w:cs="Tahoma"/>
          <w:i/>
          <w:sz w:val="22"/>
          <w:szCs w:val="22"/>
        </w:rPr>
      </w:pPr>
      <w:r w:rsidRPr="001C63DE">
        <w:rPr>
          <w:rFonts w:ascii="Palatino Linotype" w:hAnsi="Palatino Linotype"/>
          <w:sz w:val="22"/>
          <w:szCs w:val="22"/>
        </w:rPr>
        <w:t xml:space="preserve">Ampliación, modificación o reparación que afecte elementos estructurales de la obra existente; </w:t>
      </w:r>
    </w:p>
    <w:p w14:paraId="3A1A3F17" w14:textId="77777777" w:rsidR="00421156" w:rsidRPr="001C63DE" w:rsidRDefault="00421156" w:rsidP="00E605BC">
      <w:pPr>
        <w:pStyle w:val="Prrafodelista"/>
        <w:numPr>
          <w:ilvl w:val="0"/>
          <w:numId w:val="7"/>
        </w:numPr>
        <w:autoSpaceDE w:val="0"/>
        <w:autoSpaceDN w:val="0"/>
        <w:adjustRightInd w:val="0"/>
        <w:spacing w:line="360" w:lineRule="auto"/>
        <w:ind w:right="567"/>
        <w:jc w:val="both"/>
        <w:rPr>
          <w:rFonts w:ascii="Palatino Linotype" w:hAnsi="Palatino Linotype" w:cs="Tahoma"/>
          <w:i/>
          <w:sz w:val="22"/>
          <w:szCs w:val="22"/>
        </w:rPr>
      </w:pPr>
      <w:r w:rsidRPr="001C63DE">
        <w:rPr>
          <w:rFonts w:ascii="Palatino Linotype" w:hAnsi="Palatino Linotype"/>
          <w:sz w:val="22"/>
          <w:szCs w:val="22"/>
        </w:rPr>
        <w:t xml:space="preserve"> Demolición parcial o total; </w:t>
      </w:r>
    </w:p>
    <w:p w14:paraId="1BF334AB" w14:textId="77777777" w:rsidR="00421156" w:rsidRPr="001C63DE" w:rsidRDefault="00421156" w:rsidP="00E605BC">
      <w:pPr>
        <w:pStyle w:val="Prrafodelista"/>
        <w:numPr>
          <w:ilvl w:val="0"/>
          <w:numId w:val="7"/>
        </w:numPr>
        <w:autoSpaceDE w:val="0"/>
        <w:autoSpaceDN w:val="0"/>
        <w:adjustRightInd w:val="0"/>
        <w:spacing w:line="360" w:lineRule="auto"/>
        <w:ind w:right="567"/>
        <w:jc w:val="both"/>
        <w:rPr>
          <w:rFonts w:ascii="Palatino Linotype" w:hAnsi="Palatino Linotype" w:cs="Tahoma"/>
          <w:i/>
          <w:sz w:val="22"/>
          <w:szCs w:val="22"/>
        </w:rPr>
      </w:pPr>
      <w:r w:rsidRPr="001C63DE">
        <w:rPr>
          <w:rFonts w:ascii="Palatino Linotype" w:hAnsi="Palatino Linotype"/>
          <w:sz w:val="22"/>
          <w:szCs w:val="22"/>
        </w:rPr>
        <w:t xml:space="preserve">Excavación o relleno; </w:t>
      </w:r>
    </w:p>
    <w:p w14:paraId="5C383965" w14:textId="77777777" w:rsidR="00421156" w:rsidRPr="001C63DE" w:rsidRDefault="00421156" w:rsidP="00E605BC">
      <w:pPr>
        <w:pStyle w:val="Prrafodelista"/>
        <w:numPr>
          <w:ilvl w:val="0"/>
          <w:numId w:val="7"/>
        </w:numPr>
        <w:autoSpaceDE w:val="0"/>
        <w:autoSpaceDN w:val="0"/>
        <w:adjustRightInd w:val="0"/>
        <w:spacing w:line="360" w:lineRule="auto"/>
        <w:ind w:right="567"/>
        <w:jc w:val="both"/>
        <w:rPr>
          <w:rFonts w:ascii="Palatino Linotype" w:hAnsi="Palatino Linotype" w:cs="Tahoma"/>
          <w:i/>
          <w:sz w:val="22"/>
          <w:szCs w:val="22"/>
        </w:rPr>
      </w:pPr>
      <w:r w:rsidRPr="001C63DE">
        <w:rPr>
          <w:rFonts w:ascii="Palatino Linotype" w:hAnsi="Palatino Linotype"/>
          <w:sz w:val="22"/>
          <w:szCs w:val="22"/>
        </w:rPr>
        <w:t xml:space="preserve">Construcción de bardas; </w:t>
      </w:r>
    </w:p>
    <w:p w14:paraId="73FEB726" w14:textId="77777777" w:rsidR="00421156" w:rsidRPr="001C63DE" w:rsidRDefault="00421156" w:rsidP="00E605BC">
      <w:pPr>
        <w:pStyle w:val="Prrafodelista"/>
        <w:numPr>
          <w:ilvl w:val="0"/>
          <w:numId w:val="7"/>
        </w:numPr>
        <w:autoSpaceDE w:val="0"/>
        <w:autoSpaceDN w:val="0"/>
        <w:adjustRightInd w:val="0"/>
        <w:spacing w:line="360" w:lineRule="auto"/>
        <w:ind w:right="567"/>
        <w:jc w:val="both"/>
        <w:rPr>
          <w:rFonts w:ascii="Palatino Linotype" w:hAnsi="Palatino Linotype" w:cs="Tahoma"/>
          <w:i/>
          <w:sz w:val="22"/>
          <w:szCs w:val="22"/>
        </w:rPr>
      </w:pPr>
      <w:r w:rsidRPr="001C63DE">
        <w:rPr>
          <w:rFonts w:ascii="Palatino Linotype" w:hAnsi="Palatino Linotype"/>
          <w:sz w:val="22"/>
          <w:szCs w:val="22"/>
        </w:rPr>
        <w:t xml:space="preserve">Obras de conexión a las redes de agua potable y drenaje; </w:t>
      </w:r>
    </w:p>
    <w:p w14:paraId="0DC51662" w14:textId="77777777" w:rsidR="00421156" w:rsidRPr="001C63DE" w:rsidRDefault="00421156" w:rsidP="00E605BC">
      <w:pPr>
        <w:pStyle w:val="Prrafodelista"/>
        <w:numPr>
          <w:ilvl w:val="0"/>
          <w:numId w:val="7"/>
        </w:numPr>
        <w:autoSpaceDE w:val="0"/>
        <w:autoSpaceDN w:val="0"/>
        <w:adjustRightInd w:val="0"/>
        <w:spacing w:line="360" w:lineRule="auto"/>
        <w:ind w:right="567"/>
        <w:jc w:val="both"/>
        <w:rPr>
          <w:rFonts w:ascii="Palatino Linotype" w:hAnsi="Palatino Linotype" w:cs="Tahoma"/>
          <w:i/>
          <w:sz w:val="22"/>
          <w:szCs w:val="22"/>
        </w:rPr>
      </w:pPr>
      <w:r w:rsidRPr="001C63DE">
        <w:rPr>
          <w:rFonts w:ascii="Palatino Linotype" w:hAnsi="Palatino Linotype"/>
          <w:sz w:val="22"/>
          <w:szCs w:val="22"/>
        </w:rPr>
        <w:t xml:space="preserve"> Modificación del proyecto de una obra autorizada; </w:t>
      </w:r>
    </w:p>
    <w:p w14:paraId="5CF85E87" w14:textId="77777777" w:rsidR="00421156" w:rsidRPr="001C63DE" w:rsidRDefault="00421156" w:rsidP="00E605BC">
      <w:pPr>
        <w:pStyle w:val="Prrafodelista"/>
        <w:numPr>
          <w:ilvl w:val="0"/>
          <w:numId w:val="7"/>
        </w:numPr>
        <w:autoSpaceDE w:val="0"/>
        <w:autoSpaceDN w:val="0"/>
        <w:adjustRightInd w:val="0"/>
        <w:spacing w:line="360" w:lineRule="auto"/>
        <w:ind w:right="567"/>
        <w:jc w:val="both"/>
        <w:rPr>
          <w:rFonts w:ascii="Palatino Linotype" w:hAnsi="Palatino Linotype" w:cs="Tahoma"/>
          <w:i/>
          <w:sz w:val="22"/>
          <w:szCs w:val="22"/>
        </w:rPr>
      </w:pPr>
      <w:r w:rsidRPr="001C63DE">
        <w:rPr>
          <w:rFonts w:ascii="Palatino Linotype" w:hAnsi="Palatino Linotype"/>
          <w:sz w:val="22"/>
          <w:szCs w:val="22"/>
        </w:rPr>
        <w:t xml:space="preserve">Construcción e instalación de estaciones repetidoras y antenas para radiotelecomunicaciones; </w:t>
      </w:r>
    </w:p>
    <w:p w14:paraId="3F4F5256" w14:textId="77777777" w:rsidR="00421156" w:rsidRPr="001C63DE" w:rsidRDefault="00421156" w:rsidP="00E605BC">
      <w:pPr>
        <w:pStyle w:val="Prrafodelista"/>
        <w:numPr>
          <w:ilvl w:val="0"/>
          <w:numId w:val="7"/>
        </w:numPr>
        <w:autoSpaceDE w:val="0"/>
        <w:autoSpaceDN w:val="0"/>
        <w:adjustRightInd w:val="0"/>
        <w:spacing w:line="360" w:lineRule="auto"/>
        <w:ind w:right="567"/>
        <w:jc w:val="both"/>
        <w:rPr>
          <w:rFonts w:ascii="Palatino Linotype" w:hAnsi="Palatino Linotype" w:cs="Tahoma"/>
          <w:i/>
          <w:sz w:val="22"/>
          <w:szCs w:val="22"/>
        </w:rPr>
      </w:pPr>
      <w:r w:rsidRPr="001C63DE">
        <w:rPr>
          <w:rFonts w:ascii="Palatino Linotype" w:hAnsi="Palatino Linotype"/>
          <w:sz w:val="22"/>
          <w:szCs w:val="22"/>
        </w:rPr>
        <w:t xml:space="preserve">Anuncios publicitarios que requieran de elementos estructurales; y </w:t>
      </w:r>
    </w:p>
    <w:p w14:paraId="6116794B" w14:textId="77777777" w:rsidR="00421156" w:rsidRPr="001C63DE" w:rsidRDefault="00421156" w:rsidP="00E605BC">
      <w:pPr>
        <w:pStyle w:val="Prrafodelista"/>
        <w:numPr>
          <w:ilvl w:val="0"/>
          <w:numId w:val="7"/>
        </w:numPr>
        <w:autoSpaceDE w:val="0"/>
        <w:autoSpaceDN w:val="0"/>
        <w:adjustRightInd w:val="0"/>
        <w:spacing w:line="360" w:lineRule="auto"/>
        <w:ind w:right="567"/>
        <w:jc w:val="both"/>
        <w:rPr>
          <w:rFonts w:ascii="Palatino Linotype" w:hAnsi="Palatino Linotype" w:cs="Tahoma"/>
          <w:i/>
          <w:sz w:val="22"/>
          <w:szCs w:val="22"/>
        </w:rPr>
      </w:pPr>
      <w:r w:rsidRPr="001C63DE">
        <w:rPr>
          <w:rFonts w:ascii="Palatino Linotype" w:hAnsi="Palatino Linotype"/>
          <w:sz w:val="22"/>
          <w:szCs w:val="22"/>
        </w:rPr>
        <w:t xml:space="preserve"> Instalaciones o modificaciones de ascensores para personas, montacargas, escaleras mecánicas o cualquier otro mecanismo de transporte electromecánico.</w:t>
      </w:r>
    </w:p>
    <w:p w14:paraId="36381A19" w14:textId="77777777" w:rsidR="00421156" w:rsidRPr="001C63DE" w:rsidRDefault="00421156" w:rsidP="00E605BC">
      <w:pPr>
        <w:spacing w:line="360" w:lineRule="auto"/>
        <w:contextualSpacing/>
        <w:jc w:val="both"/>
        <w:rPr>
          <w:rFonts w:ascii="Palatino Linotype" w:hAnsi="Palatino Linotype" w:cs="Tahoma"/>
          <w:bCs/>
          <w:iCs/>
          <w:color w:val="FF0000"/>
          <w:sz w:val="22"/>
          <w:szCs w:val="22"/>
        </w:rPr>
      </w:pPr>
    </w:p>
    <w:p w14:paraId="214E017B" w14:textId="03C8734F" w:rsidR="00421156" w:rsidRDefault="00421156" w:rsidP="00E605BC">
      <w:pPr>
        <w:spacing w:line="360" w:lineRule="auto"/>
        <w:contextualSpacing/>
        <w:jc w:val="both"/>
        <w:rPr>
          <w:rFonts w:ascii="Palatino Linotype" w:hAnsi="Palatino Linotype"/>
          <w:sz w:val="22"/>
          <w:szCs w:val="22"/>
        </w:rPr>
      </w:pPr>
      <w:r w:rsidRPr="001C63DE">
        <w:rPr>
          <w:rFonts w:ascii="Palatino Linotype" w:hAnsi="Palatino Linotype" w:cs="Tahoma"/>
          <w:bCs/>
          <w:iCs/>
          <w:sz w:val="22"/>
          <w:szCs w:val="22"/>
        </w:rPr>
        <w:lastRenderedPageBreak/>
        <w:t xml:space="preserve">Además, refiere que </w:t>
      </w:r>
      <w:r w:rsidRPr="001C63DE">
        <w:rPr>
          <w:rFonts w:ascii="Palatino Linotype" w:hAnsi="Palatino Linotype"/>
          <w:sz w:val="22"/>
          <w:szCs w:val="22"/>
        </w:rPr>
        <w:t>la autoridad municipal que emita la licencia de construcción deberá revisar que en el proyecto que autoriza se observen las disposiciones de este Libro, las Normas Técnicas y demás disposiciones jurídicas aplicables y deberá otorgar o negar la misma.</w:t>
      </w:r>
    </w:p>
    <w:p w14:paraId="5B49FCAB" w14:textId="77777777" w:rsidR="002C536B" w:rsidRDefault="002C536B" w:rsidP="00E605BC">
      <w:pPr>
        <w:spacing w:line="360" w:lineRule="auto"/>
        <w:contextualSpacing/>
        <w:jc w:val="both"/>
        <w:rPr>
          <w:rFonts w:ascii="Palatino Linotype" w:hAnsi="Palatino Linotype"/>
          <w:sz w:val="22"/>
          <w:szCs w:val="22"/>
        </w:rPr>
      </w:pPr>
    </w:p>
    <w:p w14:paraId="7DF403A8" w14:textId="7285D41A" w:rsidR="002C536B" w:rsidRDefault="002C536B" w:rsidP="00E605BC">
      <w:pPr>
        <w:spacing w:line="360" w:lineRule="auto"/>
        <w:contextualSpacing/>
        <w:jc w:val="both"/>
        <w:rPr>
          <w:rFonts w:ascii="Palatino Linotype" w:hAnsi="Palatino Linotype"/>
          <w:sz w:val="22"/>
          <w:szCs w:val="22"/>
        </w:rPr>
      </w:pPr>
      <w:r>
        <w:rPr>
          <w:rFonts w:ascii="Palatino Linotype" w:hAnsi="Palatino Linotype"/>
          <w:sz w:val="22"/>
          <w:szCs w:val="22"/>
        </w:rPr>
        <w:t>En este mismo contexto, el artículo 18.24 establece que, no se requiere licencia de construcción para efectuar las siguientes obras:</w:t>
      </w:r>
    </w:p>
    <w:p w14:paraId="52B10729" w14:textId="77777777" w:rsidR="002C536B" w:rsidRDefault="002C536B" w:rsidP="00E605BC">
      <w:pPr>
        <w:spacing w:line="360" w:lineRule="auto"/>
        <w:contextualSpacing/>
        <w:jc w:val="both"/>
        <w:rPr>
          <w:rFonts w:ascii="Palatino Linotype" w:hAnsi="Palatino Linotype"/>
          <w:sz w:val="22"/>
          <w:szCs w:val="22"/>
        </w:rPr>
      </w:pPr>
    </w:p>
    <w:p w14:paraId="2F38A393" w14:textId="77777777" w:rsidR="002C536B" w:rsidRDefault="002C536B" w:rsidP="00E605BC">
      <w:pPr>
        <w:pStyle w:val="Prrafodelista"/>
        <w:numPr>
          <w:ilvl w:val="0"/>
          <w:numId w:val="8"/>
        </w:numPr>
        <w:spacing w:line="360" w:lineRule="auto"/>
        <w:jc w:val="both"/>
        <w:rPr>
          <w:rFonts w:ascii="Palatino Linotype" w:hAnsi="Palatino Linotype"/>
          <w:sz w:val="22"/>
          <w:szCs w:val="22"/>
        </w:rPr>
      </w:pPr>
      <w:r w:rsidRPr="002C536B">
        <w:rPr>
          <w:rFonts w:ascii="Palatino Linotype" w:hAnsi="Palatino Linotype"/>
          <w:sz w:val="22"/>
          <w:szCs w:val="22"/>
        </w:rPr>
        <w:t xml:space="preserve">Construcciones de hasta veinte metros cuadrados; </w:t>
      </w:r>
    </w:p>
    <w:p w14:paraId="36939B9F" w14:textId="77777777" w:rsidR="002C536B" w:rsidRDefault="002C536B" w:rsidP="00E605BC">
      <w:pPr>
        <w:pStyle w:val="Prrafodelista"/>
        <w:numPr>
          <w:ilvl w:val="0"/>
          <w:numId w:val="8"/>
        </w:numPr>
        <w:spacing w:line="360" w:lineRule="auto"/>
        <w:jc w:val="both"/>
        <w:rPr>
          <w:rFonts w:ascii="Palatino Linotype" w:hAnsi="Palatino Linotype"/>
          <w:sz w:val="22"/>
          <w:szCs w:val="22"/>
        </w:rPr>
      </w:pPr>
      <w:r w:rsidRPr="002C536B">
        <w:rPr>
          <w:rFonts w:ascii="Palatino Linotype" w:hAnsi="Palatino Linotype"/>
          <w:sz w:val="22"/>
          <w:szCs w:val="22"/>
        </w:rPr>
        <w:t xml:space="preserve">Bardas de hasta diez metros de largo y dos metros con veinte centímetros de altura; </w:t>
      </w:r>
    </w:p>
    <w:p w14:paraId="7A520F21" w14:textId="77777777" w:rsidR="002C536B" w:rsidRDefault="002C536B" w:rsidP="00E605BC">
      <w:pPr>
        <w:pStyle w:val="Prrafodelista"/>
        <w:numPr>
          <w:ilvl w:val="0"/>
          <w:numId w:val="8"/>
        </w:numPr>
        <w:spacing w:line="360" w:lineRule="auto"/>
        <w:jc w:val="both"/>
        <w:rPr>
          <w:rFonts w:ascii="Palatino Linotype" w:hAnsi="Palatino Linotype"/>
          <w:sz w:val="22"/>
          <w:szCs w:val="22"/>
        </w:rPr>
      </w:pPr>
      <w:r w:rsidRPr="002C536B">
        <w:rPr>
          <w:rFonts w:ascii="Palatino Linotype" w:hAnsi="Palatino Linotype"/>
          <w:sz w:val="22"/>
          <w:szCs w:val="22"/>
        </w:rPr>
        <w:t xml:space="preserve">Impermeabilización y reparación de azoteas, sin afectar elementos estructurales; </w:t>
      </w:r>
    </w:p>
    <w:p w14:paraId="4E7127FE" w14:textId="77777777" w:rsidR="002C536B" w:rsidRDefault="002C536B" w:rsidP="00E605BC">
      <w:pPr>
        <w:pStyle w:val="Prrafodelista"/>
        <w:numPr>
          <w:ilvl w:val="0"/>
          <w:numId w:val="8"/>
        </w:numPr>
        <w:spacing w:line="360" w:lineRule="auto"/>
        <w:jc w:val="both"/>
        <w:rPr>
          <w:rFonts w:ascii="Palatino Linotype" w:hAnsi="Palatino Linotype"/>
          <w:sz w:val="22"/>
          <w:szCs w:val="22"/>
        </w:rPr>
      </w:pPr>
      <w:r w:rsidRPr="002C536B">
        <w:rPr>
          <w:rFonts w:ascii="Palatino Linotype" w:hAnsi="Palatino Linotype"/>
          <w:sz w:val="22"/>
          <w:szCs w:val="22"/>
        </w:rPr>
        <w:t xml:space="preserve">Reposición de pisos, ventanas, puertas, cortinas metálicas; </w:t>
      </w:r>
    </w:p>
    <w:p w14:paraId="1B49E4D6" w14:textId="77777777" w:rsidR="002C536B" w:rsidRDefault="002C536B" w:rsidP="00E605BC">
      <w:pPr>
        <w:pStyle w:val="Prrafodelista"/>
        <w:numPr>
          <w:ilvl w:val="0"/>
          <w:numId w:val="8"/>
        </w:numPr>
        <w:spacing w:line="360" w:lineRule="auto"/>
        <w:jc w:val="both"/>
        <w:rPr>
          <w:rFonts w:ascii="Palatino Linotype" w:hAnsi="Palatino Linotype"/>
          <w:sz w:val="22"/>
          <w:szCs w:val="22"/>
        </w:rPr>
      </w:pPr>
      <w:r w:rsidRPr="002C536B">
        <w:rPr>
          <w:rFonts w:ascii="Palatino Linotype" w:hAnsi="Palatino Linotype"/>
          <w:sz w:val="22"/>
          <w:szCs w:val="22"/>
        </w:rPr>
        <w:t xml:space="preserve">Reparación de instalaciones hidráulicas, sanitarias y eléctricas; </w:t>
      </w:r>
    </w:p>
    <w:p w14:paraId="1CB81021" w14:textId="77777777" w:rsidR="002C536B" w:rsidRDefault="002C536B" w:rsidP="00E605BC">
      <w:pPr>
        <w:pStyle w:val="Prrafodelista"/>
        <w:numPr>
          <w:ilvl w:val="0"/>
          <w:numId w:val="8"/>
        </w:numPr>
        <w:spacing w:line="360" w:lineRule="auto"/>
        <w:jc w:val="both"/>
        <w:rPr>
          <w:rFonts w:ascii="Palatino Linotype" w:hAnsi="Palatino Linotype"/>
          <w:sz w:val="22"/>
          <w:szCs w:val="22"/>
        </w:rPr>
      </w:pPr>
      <w:r w:rsidRPr="002C536B">
        <w:rPr>
          <w:rFonts w:ascii="Palatino Linotype" w:hAnsi="Palatino Linotype"/>
          <w:sz w:val="22"/>
          <w:szCs w:val="22"/>
        </w:rPr>
        <w:t xml:space="preserve">Limpieza, aplanados, pintura y revestimiento en fachadas. En estos casos deberán adoptarse las medidas necesarias para no causar molestias en la vía pública; </w:t>
      </w:r>
    </w:p>
    <w:p w14:paraId="24C682AE" w14:textId="77777777" w:rsidR="002C536B" w:rsidRDefault="002C536B" w:rsidP="00E605BC">
      <w:pPr>
        <w:pStyle w:val="Prrafodelista"/>
        <w:numPr>
          <w:ilvl w:val="0"/>
          <w:numId w:val="8"/>
        </w:numPr>
        <w:spacing w:line="360" w:lineRule="auto"/>
        <w:jc w:val="both"/>
        <w:rPr>
          <w:rFonts w:ascii="Palatino Linotype" w:hAnsi="Palatino Linotype"/>
          <w:sz w:val="22"/>
          <w:szCs w:val="22"/>
        </w:rPr>
      </w:pPr>
      <w:r w:rsidRPr="002C536B">
        <w:rPr>
          <w:rFonts w:ascii="Palatino Linotype" w:hAnsi="Palatino Linotype"/>
          <w:sz w:val="22"/>
          <w:szCs w:val="22"/>
        </w:rPr>
        <w:t xml:space="preserve">Construcciones provisionales para uso de oficinas, bodegas o vigilancia durante la edificación de una obra y los servicios sanitarios correspondientes; </w:t>
      </w:r>
    </w:p>
    <w:p w14:paraId="3107CF49" w14:textId="77777777" w:rsidR="002C536B" w:rsidRDefault="002C536B" w:rsidP="00E605BC">
      <w:pPr>
        <w:pStyle w:val="Prrafodelista"/>
        <w:numPr>
          <w:ilvl w:val="0"/>
          <w:numId w:val="8"/>
        </w:numPr>
        <w:spacing w:line="360" w:lineRule="auto"/>
        <w:jc w:val="both"/>
        <w:rPr>
          <w:rFonts w:ascii="Palatino Linotype" w:hAnsi="Palatino Linotype"/>
          <w:sz w:val="22"/>
          <w:szCs w:val="22"/>
        </w:rPr>
      </w:pPr>
      <w:r w:rsidRPr="002C536B">
        <w:rPr>
          <w:rFonts w:ascii="Palatino Linotype" w:hAnsi="Palatino Linotype"/>
          <w:sz w:val="22"/>
          <w:szCs w:val="22"/>
        </w:rPr>
        <w:t xml:space="preserve">Pozos y calas de exploración para estudios varios; </w:t>
      </w:r>
    </w:p>
    <w:p w14:paraId="1BAD5A4E" w14:textId="28BE8BD9" w:rsidR="002C536B" w:rsidRDefault="002C536B" w:rsidP="00E605BC">
      <w:pPr>
        <w:pStyle w:val="Prrafodelista"/>
        <w:numPr>
          <w:ilvl w:val="0"/>
          <w:numId w:val="8"/>
        </w:numPr>
        <w:spacing w:line="360" w:lineRule="auto"/>
        <w:jc w:val="both"/>
        <w:rPr>
          <w:rFonts w:ascii="Palatino Linotype" w:hAnsi="Palatino Linotype"/>
          <w:sz w:val="22"/>
          <w:szCs w:val="22"/>
        </w:rPr>
      </w:pPr>
      <w:r w:rsidRPr="002C536B">
        <w:rPr>
          <w:rFonts w:ascii="Palatino Linotype" w:hAnsi="Palatino Linotype"/>
          <w:sz w:val="22"/>
          <w:szCs w:val="22"/>
        </w:rPr>
        <w:t>Fosas sépticas y cisternas con una capacidad de hasta ocho metros cúbicos;</w:t>
      </w:r>
    </w:p>
    <w:p w14:paraId="2D5078C3" w14:textId="77777777" w:rsidR="002C536B" w:rsidRDefault="002C536B" w:rsidP="00E605BC">
      <w:pPr>
        <w:pStyle w:val="Prrafodelista"/>
        <w:numPr>
          <w:ilvl w:val="0"/>
          <w:numId w:val="8"/>
        </w:numPr>
        <w:spacing w:line="360" w:lineRule="auto"/>
        <w:jc w:val="both"/>
        <w:rPr>
          <w:rFonts w:ascii="Palatino Linotype" w:hAnsi="Palatino Linotype"/>
          <w:sz w:val="22"/>
          <w:szCs w:val="22"/>
        </w:rPr>
      </w:pPr>
      <w:r w:rsidRPr="002C536B">
        <w:rPr>
          <w:rFonts w:ascii="Palatino Linotype" w:hAnsi="Palatino Linotype"/>
          <w:sz w:val="22"/>
          <w:szCs w:val="22"/>
        </w:rPr>
        <w:t>Obras de jardinería</w:t>
      </w:r>
      <w:r>
        <w:rPr>
          <w:rFonts w:ascii="Palatino Linotype" w:hAnsi="Palatino Linotype"/>
          <w:sz w:val="22"/>
          <w:szCs w:val="22"/>
        </w:rPr>
        <w:t xml:space="preserve">; </w:t>
      </w:r>
    </w:p>
    <w:p w14:paraId="130D86C0" w14:textId="77777777" w:rsidR="002C536B" w:rsidRDefault="002C536B" w:rsidP="00E605BC">
      <w:pPr>
        <w:pStyle w:val="Prrafodelista"/>
        <w:numPr>
          <w:ilvl w:val="0"/>
          <w:numId w:val="8"/>
        </w:numPr>
        <w:spacing w:line="360" w:lineRule="auto"/>
        <w:jc w:val="both"/>
        <w:rPr>
          <w:rFonts w:ascii="Palatino Linotype" w:hAnsi="Palatino Linotype"/>
          <w:sz w:val="22"/>
          <w:szCs w:val="22"/>
        </w:rPr>
      </w:pPr>
      <w:r w:rsidRPr="002C536B">
        <w:rPr>
          <w:rFonts w:ascii="Palatino Linotype" w:hAnsi="Palatino Linotype"/>
          <w:sz w:val="22"/>
          <w:szCs w:val="22"/>
        </w:rPr>
        <w:t xml:space="preserve">Apertura de vanos para la instalación de puertas y ventanas, sin afectar elementos estructurales; y </w:t>
      </w:r>
    </w:p>
    <w:p w14:paraId="2E2E29EA" w14:textId="38D9B550" w:rsidR="002C536B" w:rsidRPr="002C536B" w:rsidRDefault="002C536B" w:rsidP="00E605BC">
      <w:pPr>
        <w:pStyle w:val="Prrafodelista"/>
        <w:numPr>
          <w:ilvl w:val="0"/>
          <w:numId w:val="8"/>
        </w:numPr>
        <w:spacing w:line="360" w:lineRule="auto"/>
        <w:jc w:val="both"/>
        <w:rPr>
          <w:rFonts w:ascii="Palatino Linotype" w:hAnsi="Palatino Linotype"/>
          <w:sz w:val="22"/>
          <w:szCs w:val="22"/>
        </w:rPr>
      </w:pPr>
      <w:r w:rsidRPr="002C536B">
        <w:rPr>
          <w:rFonts w:ascii="Palatino Linotype" w:hAnsi="Palatino Linotype"/>
          <w:sz w:val="22"/>
          <w:szCs w:val="22"/>
        </w:rPr>
        <w:t>Obras urgentes para prevenir accidentes o en ejecución de medidas de seguridad.</w:t>
      </w:r>
    </w:p>
    <w:p w14:paraId="547B758B" w14:textId="77777777" w:rsidR="00B231B0" w:rsidRDefault="00B231B0" w:rsidP="00E605BC">
      <w:pPr>
        <w:spacing w:line="360" w:lineRule="auto"/>
        <w:contextualSpacing/>
        <w:jc w:val="both"/>
        <w:rPr>
          <w:rFonts w:ascii="Palatino Linotype" w:hAnsi="Palatino Linotype"/>
          <w:sz w:val="22"/>
          <w:szCs w:val="22"/>
        </w:rPr>
      </w:pPr>
    </w:p>
    <w:p w14:paraId="3A37D666" w14:textId="2C1BDB83" w:rsidR="00B231B0" w:rsidRDefault="00B231B0" w:rsidP="00E605BC">
      <w:pPr>
        <w:spacing w:line="360" w:lineRule="auto"/>
        <w:contextualSpacing/>
        <w:jc w:val="both"/>
        <w:rPr>
          <w:rFonts w:ascii="Palatino Linotype" w:hAnsi="Palatino Linotype"/>
          <w:sz w:val="22"/>
          <w:szCs w:val="22"/>
        </w:rPr>
      </w:pPr>
      <w:r>
        <w:rPr>
          <w:rFonts w:ascii="Palatino Linotype" w:hAnsi="Palatino Linotype"/>
          <w:sz w:val="22"/>
          <w:szCs w:val="22"/>
        </w:rPr>
        <w:t xml:space="preserve">Por otro lado, el artículo 18.27, precisa que el titular de la licencia de construcción deberá colocar en la vía pública la señalización y protección necesaria para evitar daños a terceros, </w:t>
      </w:r>
      <w:r>
        <w:rPr>
          <w:rFonts w:ascii="Palatino Linotype" w:hAnsi="Palatino Linotype"/>
          <w:sz w:val="22"/>
          <w:szCs w:val="22"/>
        </w:rPr>
        <w:lastRenderedPageBreak/>
        <w:t xml:space="preserve">además de señalar y contener los escombros, materiales o cualquier otro elemento que obstaculice el libre tránsito.  </w:t>
      </w:r>
    </w:p>
    <w:p w14:paraId="468C2104" w14:textId="77777777" w:rsidR="005B5647" w:rsidRDefault="005B5647" w:rsidP="00E605BC">
      <w:pPr>
        <w:spacing w:line="360" w:lineRule="auto"/>
        <w:contextualSpacing/>
        <w:jc w:val="both"/>
        <w:rPr>
          <w:rFonts w:ascii="Palatino Linotype" w:hAnsi="Palatino Linotype"/>
          <w:sz w:val="22"/>
          <w:szCs w:val="22"/>
        </w:rPr>
      </w:pPr>
    </w:p>
    <w:p w14:paraId="6689723E" w14:textId="6B3A8E39" w:rsidR="005B5647" w:rsidRDefault="005B5647" w:rsidP="00E605BC">
      <w:pPr>
        <w:spacing w:line="360" w:lineRule="auto"/>
        <w:contextualSpacing/>
        <w:jc w:val="both"/>
        <w:rPr>
          <w:rFonts w:ascii="Palatino Linotype" w:hAnsi="Palatino Linotype"/>
          <w:sz w:val="22"/>
          <w:szCs w:val="22"/>
        </w:rPr>
      </w:pPr>
      <w:r>
        <w:rPr>
          <w:rFonts w:ascii="Palatino Linotype" w:hAnsi="Palatino Linotype"/>
          <w:sz w:val="22"/>
          <w:szCs w:val="22"/>
        </w:rPr>
        <w:t>Por su parte el artículo 5.63 del Código previamente señalado, precisa que las infracciones a las disposiciones de los planes de desarrollo urbano, se sancionarán por la secretaría o por el municipio respectivo</w:t>
      </w:r>
      <w:r w:rsidR="0013058E">
        <w:rPr>
          <w:rFonts w:ascii="Palatino Linotype" w:hAnsi="Palatino Linotype"/>
          <w:sz w:val="22"/>
          <w:szCs w:val="22"/>
        </w:rPr>
        <w:t>, con lo siguiente:</w:t>
      </w:r>
    </w:p>
    <w:p w14:paraId="7F070227" w14:textId="77777777" w:rsidR="0013058E" w:rsidRDefault="0013058E" w:rsidP="00E605BC">
      <w:pPr>
        <w:spacing w:line="360" w:lineRule="auto"/>
        <w:contextualSpacing/>
        <w:jc w:val="both"/>
        <w:rPr>
          <w:rFonts w:ascii="Palatino Linotype" w:hAnsi="Palatino Linotype"/>
          <w:sz w:val="22"/>
          <w:szCs w:val="22"/>
        </w:rPr>
      </w:pPr>
    </w:p>
    <w:p w14:paraId="2154D6FC" w14:textId="2EF6F4A1" w:rsidR="0013058E" w:rsidRDefault="0013058E" w:rsidP="00E605BC">
      <w:pPr>
        <w:pStyle w:val="Prrafodelista"/>
        <w:numPr>
          <w:ilvl w:val="0"/>
          <w:numId w:val="8"/>
        </w:numPr>
        <w:spacing w:line="360" w:lineRule="auto"/>
        <w:jc w:val="both"/>
        <w:rPr>
          <w:rFonts w:ascii="Palatino Linotype" w:hAnsi="Palatino Linotype"/>
          <w:sz w:val="22"/>
          <w:szCs w:val="22"/>
        </w:rPr>
      </w:pPr>
      <w:r w:rsidRPr="0013058E">
        <w:rPr>
          <w:rFonts w:ascii="Palatino Linotype" w:hAnsi="Palatino Linotype"/>
          <w:sz w:val="22"/>
          <w:szCs w:val="22"/>
        </w:rPr>
        <w:t>Clausura provisional o definitiva, parcial o total del uso y aprovechamiento del suelo y de las instalaciones;</w:t>
      </w:r>
    </w:p>
    <w:p w14:paraId="5BC2AAF3" w14:textId="399D3C44" w:rsidR="0013058E" w:rsidRDefault="0013058E" w:rsidP="00E605BC">
      <w:pPr>
        <w:pStyle w:val="Prrafodelista"/>
        <w:numPr>
          <w:ilvl w:val="0"/>
          <w:numId w:val="8"/>
        </w:numPr>
        <w:spacing w:line="360" w:lineRule="auto"/>
        <w:jc w:val="both"/>
        <w:rPr>
          <w:rFonts w:ascii="Palatino Linotype" w:hAnsi="Palatino Linotype"/>
          <w:sz w:val="22"/>
          <w:szCs w:val="22"/>
        </w:rPr>
      </w:pPr>
      <w:r w:rsidRPr="0013058E">
        <w:rPr>
          <w:rFonts w:ascii="Palatino Linotype" w:hAnsi="Palatino Linotype"/>
          <w:sz w:val="22"/>
          <w:szCs w:val="22"/>
        </w:rPr>
        <w:t>Demolición parcial o total de construcciones;</w:t>
      </w:r>
    </w:p>
    <w:p w14:paraId="79BDB2EC" w14:textId="1B311251" w:rsidR="0013058E" w:rsidRDefault="0013058E" w:rsidP="00E605BC">
      <w:pPr>
        <w:pStyle w:val="Prrafodelista"/>
        <w:numPr>
          <w:ilvl w:val="0"/>
          <w:numId w:val="8"/>
        </w:numPr>
        <w:spacing w:line="360" w:lineRule="auto"/>
        <w:jc w:val="both"/>
        <w:rPr>
          <w:rFonts w:ascii="Palatino Linotype" w:hAnsi="Palatino Linotype"/>
          <w:sz w:val="22"/>
          <w:szCs w:val="22"/>
        </w:rPr>
      </w:pPr>
      <w:r w:rsidRPr="0013058E">
        <w:rPr>
          <w:rFonts w:ascii="Palatino Linotype" w:hAnsi="Palatino Linotype"/>
          <w:sz w:val="22"/>
          <w:szCs w:val="22"/>
        </w:rPr>
        <w:t>Revocación de las autorizaciones, licencias o permisos otorgados;</w:t>
      </w:r>
      <w:r>
        <w:rPr>
          <w:rFonts w:ascii="Palatino Linotype" w:hAnsi="Palatino Linotype"/>
          <w:sz w:val="22"/>
          <w:szCs w:val="22"/>
        </w:rPr>
        <w:t xml:space="preserve"> y</w:t>
      </w:r>
    </w:p>
    <w:p w14:paraId="5D56A076" w14:textId="7289C9D1" w:rsidR="0013058E" w:rsidRPr="0013058E" w:rsidRDefault="0013058E" w:rsidP="00E605BC">
      <w:pPr>
        <w:pStyle w:val="Prrafodelista"/>
        <w:numPr>
          <w:ilvl w:val="0"/>
          <w:numId w:val="8"/>
        </w:numPr>
        <w:spacing w:line="360" w:lineRule="auto"/>
        <w:jc w:val="both"/>
        <w:rPr>
          <w:rFonts w:ascii="Palatino Linotype" w:hAnsi="Palatino Linotype"/>
          <w:sz w:val="22"/>
          <w:szCs w:val="22"/>
        </w:rPr>
      </w:pPr>
      <w:r w:rsidRPr="0013058E">
        <w:rPr>
          <w:rFonts w:ascii="Palatino Linotype" w:hAnsi="Palatino Linotype"/>
          <w:sz w:val="22"/>
          <w:szCs w:val="22"/>
        </w:rPr>
        <w:t>Multa, atendiendo a la gravedad de la infracción</w:t>
      </w:r>
      <w:r>
        <w:rPr>
          <w:rFonts w:ascii="Palatino Linotype" w:hAnsi="Palatino Linotype"/>
          <w:sz w:val="22"/>
          <w:szCs w:val="22"/>
        </w:rPr>
        <w:t>.</w:t>
      </w:r>
    </w:p>
    <w:p w14:paraId="094C7319" w14:textId="489BA1B3" w:rsidR="003B08D1" w:rsidRDefault="003B08D1" w:rsidP="00E605BC">
      <w:pPr>
        <w:tabs>
          <w:tab w:val="left" w:pos="4962"/>
        </w:tabs>
        <w:spacing w:line="360" w:lineRule="auto"/>
        <w:contextualSpacing/>
        <w:jc w:val="both"/>
        <w:rPr>
          <w:rFonts w:ascii="Palatino Linotype" w:eastAsia="Calibri" w:hAnsi="Palatino Linotype" w:cs="Tahoma"/>
          <w:bCs/>
          <w:sz w:val="22"/>
          <w:szCs w:val="22"/>
        </w:rPr>
      </w:pPr>
    </w:p>
    <w:p w14:paraId="0BA7EAB9" w14:textId="5E44F78A" w:rsidR="003B08D1" w:rsidRDefault="0013058E" w:rsidP="00E605BC">
      <w:pPr>
        <w:tabs>
          <w:tab w:val="left" w:pos="4962"/>
        </w:tabs>
        <w:spacing w:line="360" w:lineRule="auto"/>
        <w:contextualSpacing/>
        <w:jc w:val="both"/>
        <w:rPr>
          <w:rFonts w:ascii="Palatino Linotype" w:eastAsia="Calibri" w:hAnsi="Palatino Linotype" w:cs="Tahoma"/>
          <w:bCs/>
          <w:sz w:val="22"/>
          <w:szCs w:val="22"/>
        </w:rPr>
      </w:pPr>
      <w:r>
        <w:rPr>
          <w:rFonts w:ascii="Palatino Linotype" w:eastAsia="Calibri" w:hAnsi="Palatino Linotype" w:cs="Tahoma"/>
          <w:bCs/>
          <w:sz w:val="22"/>
          <w:szCs w:val="22"/>
        </w:rPr>
        <w:t>Ahora bien</w:t>
      </w:r>
      <w:r w:rsidR="003B08D1">
        <w:rPr>
          <w:rFonts w:ascii="Palatino Linotype" w:eastAsia="Calibri" w:hAnsi="Palatino Linotype" w:cs="Tahoma"/>
          <w:bCs/>
          <w:sz w:val="22"/>
          <w:szCs w:val="22"/>
        </w:rPr>
        <w:t xml:space="preserve">, el artículo </w:t>
      </w:r>
      <w:r w:rsidR="00B231B0">
        <w:rPr>
          <w:rFonts w:ascii="Palatino Linotype" w:eastAsia="Calibri" w:hAnsi="Palatino Linotype" w:cs="Tahoma"/>
          <w:bCs/>
          <w:sz w:val="22"/>
          <w:szCs w:val="22"/>
        </w:rPr>
        <w:t>37 y 38</w:t>
      </w:r>
      <w:r w:rsidR="003B08D1">
        <w:rPr>
          <w:rFonts w:ascii="Palatino Linotype" w:eastAsia="Calibri" w:hAnsi="Palatino Linotype" w:cs="Tahoma"/>
          <w:bCs/>
          <w:sz w:val="22"/>
          <w:szCs w:val="22"/>
        </w:rPr>
        <w:t xml:space="preserve"> fracción I</w:t>
      </w:r>
      <w:r w:rsidR="00B231B0">
        <w:rPr>
          <w:rFonts w:ascii="Palatino Linotype" w:eastAsia="Calibri" w:hAnsi="Palatino Linotype" w:cs="Tahoma"/>
          <w:bCs/>
          <w:sz w:val="22"/>
          <w:szCs w:val="22"/>
        </w:rPr>
        <w:t xml:space="preserve"> numeral 12</w:t>
      </w:r>
      <w:r w:rsidR="003B08D1">
        <w:rPr>
          <w:rFonts w:ascii="Palatino Linotype" w:eastAsia="Calibri" w:hAnsi="Palatino Linotype" w:cs="Tahoma"/>
          <w:bCs/>
          <w:sz w:val="22"/>
          <w:szCs w:val="22"/>
        </w:rPr>
        <w:t xml:space="preserve"> del Bando Municipal de Tepotzotlán, dos mil veinticinco, establecen que, para el despacho de los asuntos de la administración municipal, la presidenta municipal se auxiliará de diversas unidades administrativas entre otras las </w:t>
      </w:r>
      <w:r w:rsidR="00B231B0">
        <w:rPr>
          <w:rFonts w:ascii="Palatino Linotype" w:eastAsia="Calibri" w:hAnsi="Palatino Linotype" w:cs="Tahoma"/>
          <w:bCs/>
          <w:sz w:val="22"/>
          <w:szCs w:val="22"/>
        </w:rPr>
        <w:t>Dirección de Desarrollo Urbano y Metropolitano q</w:t>
      </w:r>
      <w:r w:rsidR="00B231B0" w:rsidRPr="00B231B0">
        <w:rPr>
          <w:rFonts w:ascii="Palatino Linotype" w:eastAsia="Calibri" w:hAnsi="Palatino Linotype" w:cs="Tahoma"/>
          <w:bCs/>
          <w:sz w:val="22"/>
          <w:szCs w:val="22"/>
        </w:rPr>
        <w:t>ue realizará acciones que propicien el desarrollo de las comunidades, con un enfoque sustentable, favoreciendo la infraestructura, el equipamiento, los servicios, las vialidades, la preservación del patrimonio cultural, la planeación e im</w:t>
      </w:r>
      <w:r w:rsidR="00B231B0">
        <w:rPr>
          <w:rFonts w:ascii="Palatino Linotype" w:eastAsia="Calibri" w:hAnsi="Palatino Linotype" w:cs="Tahoma"/>
          <w:bCs/>
          <w:sz w:val="22"/>
          <w:szCs w:val="22"/>
        </w:rPr>
        <w:t>a</w:t>
      </w:r>
      <w:r w:rsidR="00B231B0" w:rsidRPr="00B231B0">
        <w:rPr>
          <w:rFonts w:ascii="Palatino Linotype" w:eastAsia="Calibri" w:hAnsi="Palatino Linotype" w:cs="Tahoma"/>
          <w:bCs/>
          <w:sz w:val="22"/>
          <w:szCs w:val="22"/>
        </w:rPr>
        <w:t>gen urbana, los límites territoriales, la tenencia de la tierra, la conservación</w:t>
      </w:r>
      <w:r w:rsidR="00B231B0">
        <w:rPr>
          <w:rFonts w:ascii="Palatino Linotype" w:eastAsia="Calibri" w:hAnsi="Palatino Linotype" w:cs="Tahoma"/>
          <w:bCs/>
          <w:sz w:val="22"/>
          <w:szCs w:val="22"/>
        </w:rPr>
        <w:t xml:space="preserve"> </w:t>
      </w:r>
      <w:r w:rsidR="00B231B0" w:rsidRPr="00B231B0">
        <w:rPr>
          <w:rFonts w:ascii="Palatino Linotype" w:eastAsia="Calibri" w:hAnsi="Palatino Linotype" w:cs="Tahoma"/>
          <w:bCs/>
          <w:sz w:val="22"/>
          <w:szCs w:val="22"/>
        </w:rPr>
        <w:t>y mejoramiento del ambiente de los asentamientos humanos y centros urbanos del Municipio, así como apoyar con acciones orientadas a la modernización y optimización del trasporte terrestre, entre otros, con la participación activa de la sociedad.</w:t>
      </w:r>
    </w:p>
    <w:p w14:paraId="15099934" w14:textId="77777777" w:rsidR="00B231B0" w:rsidRDefault="00B231B0" w:rsidP="00E605BC">
      <w:pPr>
        <w:tabs>
          <w:tab w:val="left" w:pos="4962"/>
        </w:tabs>
        <w:spacing w:line="360" w:lineRule="auto"/>
        <w:contextualSpacing/>
        <w:jc w:val="both"/>
        <w:rPr>
          <w:rFonts w:ascii="Palatino Linotype" w:eastAsia="Calibri" w:hAnsi="Palatino Linotype" w:cs="Tahoma"/>
          <w:bCs/>
          <w:sz w:val="22"/>
          <w:szCs w:val="22"/>
        </w:rPr>
      </w:pPr>
    </w:p>
    <w:p w14:paraId="3FE6B5FD" w14:textId="109EDA81" w:rsidR="00B231B0" w:rsidRDefault="00B231B0" w:rsidP="00E605BC">
      <w:pPr>
        <w:tabs>
          <w:tab w:val="left" w:pos="4962"/>
        </w:tabs>
        <w:spacing w:line="360" w:lineRule="auto"/>
        <w:contextualSpacing/>
        <w:jc w:val="both"/>
        <w:rPr>
          <w:rFonts w:ascii="Palatino Linotype" w:eastAsia="Calibri" w:hAnsi="Palatino Linotype" w:cs="Tahoma"/>
          <w:bCs/>
          <w:sz w:val="22"/>
          <w:szCs w:val="22"/>
        </w:rPr>
      </w:pPr>
      <w:r>
        <w:rPr>
          <w:rFonts w:ascii="Palatino Linotype" w:eastAsia="Calibri" w:hAnsi="Palatino Linotype" w:cs="Tahoma"/>
          <w:bCs/>
          <w:sz w:val="22"/>
          <w:szCs w:val="22"/>
        </w:rPr>
        <w:t xml:space="preserve">En relación con lo anterior, </w:t>
      </w:r>
      <w:r w:rsidR="001E0C85">
        <w:rPr>
          <w:rFonts w:ascii="Palatino Linotype" w:eastAsia="Calibri" w:hAnsi="Palatino Linotype" w:cs="Tahoma"/>
          <w:bCs/>
          <w:sz w:val="22"/>
          <w:szCs w:val="22"/>
        </w:rPr>
        <w:t>e</w:t>
      </w:r>
      <w:r>
        <w:rPr>
          <w:rFonts w:ascii="Palatino Linotype" w:eastAsia="Calibri" w:hAnsi="Palatino Linotype" w:cs="Tahoma"/>
          <w:bCs/>
          <w:sz w:val="22"/>
          <w:szCs w:val="22"/>
        </w:rPr>
        <w:t>l manual de organización de la Dirección de Desarrollo Urbano y Metropolitano</w:t>
      </w:r>
      <w:r w:rsidR="001E0C85">
        <w:rPr>
          <w:rFonts w:ascii="Palatino Linotype" w:eastAsia="Calibri" w:hAnsi="Palatino Linotype" w:cs="Tahoma"/>
          <w:bCs/>
          <w:sz w:val="22"/>
          <w:szCs w:val="22"/>
        </w:rPr>
        <w:t>,</w:t>
      </w:r>
      <w:r>
        <w:rPr>
          <w:rFonts w:ascii="Palatino Linotype" w:eastAsia="Calibri" w:hAnsi="Palatino Linotype" w:cs="Tahoma"/>
          <w:bCs/>
          <w:sz w:val="22"/>
          <w:szCs w:val="22"/>
        </w:rPr>
        <w:t xml:space="preserve"> </w:t>
      </w:r>
      <w:r w:rsidR="001E0C85">
        <w:rPr>
          <w:rFonts w:ascii="Palatino Linotype" w:eastAsia="Calibri" w:hAnsi="Palatino Linotype" w:cs="Tahoma"/>
          <w:bCs/>
          <w:sz w:val="22"/>
          <w:szCs w:val="22"/>
        </w:rPr>
        <w:t xml:space="preserve">establece que uno de sus objetivos de la autoridad municipal es determinar las infracciones de los particulares, de conformidad a las disposiciones en materia de </w:t>
      </w:r>
      <w:r w:rsidR="001E0C85">
        <w:rPr>
          <w:rFonts w:ascii="Palatino Linotype" w:eastAsia="Calibri" w:hAnsi="Palatino Linotype" w:cs="Tahoma"/>
          <w:bCs/>
          <w:sz w:val="22"/>
          <w:szCs w:val="22"/>
        </w:rPr>
        <w:lastRenderedPageBreak/>
        <w:t xml:space="preserve">construcción y desarrollo urbano e imponer las medidas de seguridad y sanciones que correspondan, y en los casos que sea necesario dar vista a las autoridades competentes. </w:t>
      </w:r>
    </w:p>
    <w:p w14:paraId="63F6085A" w14:textId="77777777" w:rsidR="003B08D1" w:rsidRDefault="003B08D1" w:rsidP="00E605BC">
      <w:pPr>
        <w:tabs>
          <w:tab w:val="left" w:pos="4962"/>
        </w:tabs>
        <w:spacing w:line="360" w:lineRule="auto"/>
        <w:contextualSpacing/>
        <w:jc w:val="both"/>
        <w:rPr>
          <w:rFonts w:ascii="Palatino Linotype" w:eastAsia="Calibri" w:hAnsi="Palatino Linotype" w:cs="Tahoma"/>
          <w:bCs/>
          <w:sz w:val="22"/>
          <w:szCs w:val="22"/>
        </w:rPr>
      </w:pPr>
    </w:p>
    <w:p w14:paraId="5B0CC29E" w14:textId="303F2F0B" w:rsidR="003B08D1" w:rsidRDefault="003B08D1" w:rsidP="00E605BC">
      <w:pPr>
        <w:tabs>
          <w:tab w:val="left" w:pos="4962"/>
        </w:tabs>
        <w:spacing w:line="360" w:lineRule="auto"/>
        <w:contextualSpacing/>
        <w:jc w:val="both"/>
        <w:rPr>
          <w:rFonts w:ascii="Palatino Linotype" w:eastAsia="Calibri" w:hAnsi="Palatino Linotype" w:cs="Tahoma"/>
          <w:color w:val="000000"/>
          <w:sz w:val="22"/>
          <w:szCs w:val="22"/>
          <w:lang w:val="es-ES" w:eastAsia="es-MX"/>
        </w:rPr>
      </w:pPr>
      <w:r w:rsidRPr="00967CAD">
        <w:rPr>
          <w:rFonts w:ascii="Palatino Linotype" w:hAnsi="Palatino Linotype" w:cs="Tahoma"/>
          <w:bCs/>
          <w:color w:val="0D0D0D" w:themeColor="text1" w:themeTint="F2"/>
          <w:sz w:val="22"/>
          <w:szCs w:val="22"/>
        </w:rPr>
        <w:t>Conforme a lo anterior, se logra vislumbrar que la pretensión de</w:t>
      </w:r>
      <w:r>
        <w:rPr>
          <w:rFonts w:ascii="Palatino Linotype" w:hAnsi="Palatino Linotype" w:cs="Tahoma"/>
          <w:bCs/>
          <w:color w:val="0D0D0D" w:themeColor="text1" w:themeTint="F2"/>
          <w:sz w:val="22"/>
          <w:szCs w:val="22"/>
        </w:rPr>
        <w:t xml:space="preserve"> </w:t>
      </w:r>
      <w:r w:rsidRPr="00967CAD">
        <w:rPr>
          <w:rFonts w:ascii="Palatino Linotype" w:hAnsi="Palatino Linotype" w:cs="Tahoma"/>
          <w:bCs/>
          <w:color w:val="0D0D0D" w:themeColor="text1" w:themeTint="F2"/>
          <w:sz w:val="22"/>
          <w:szCs w:val="22"/>
        </w:rPr>
        <w:t>l</w:t>
      </w:r>
      <w:r>
        <w:rPr>
          <w:rFonts w:ascii="Palatino Linotype" w:hAnsi="Palatino Linotype" w:cs="Tahoma"/>
          <w:bCs/>
          <w:color w:val="0D0D0D" w:themeColor="text1" w:themeTint="F2"/>
          <w:sz w:val="22"/>
          <w:szCs w:val="22"/>
        </w:rPr>
        <w:t>a</w:t>
      </w:r>
      <w:r w:rsidRPr="00967CAD">
        <w:rPr>
          <w:rFonts w:ascii="Palatino Linotype" w:hAnsi="Palatino Linotype" w:cs="Tahoma"/>
          <w:bCs/>
          <w:color w:val="0D0D0D" w:themeColor="text1" w:themeTint="F2"/>
          <w:sz w:val="22"/>
          <w:szCs w:val="22"/>
        </w:rPr>
        <w:t xml:space="preserve"> ahora Recurrente</w:t>
      </w:r>
      <w:r>
        <w:rPr>
          <w:rFonts w:ascii="Palatino Linotype" w:hAnsi="Palatino Linotype" w:cs="Tahoma"/>
          <w:bCs/>
          <w:color w:val="0D0D0D" w:themeColor="text1" w:themeTint="F2"/>
          <w:sz w:val="22"/>
          <w:szCs w:val="22"/>
        </w:rPr>
        <w:t>,</w:t>
      </w:r>
      <w:r w:rsidRPr="00967CAD">
        <w:rPr>
          <w:rFonts w:ascii="Palatino Linotype" w:hAnsi="Palatino Linotype" w:cs="Tahoma"/>
          <w:bCs/>
          <w:color w:val="0D0D0D" w:themeColor="text1" w:themeTint="F2"/>
          <w:sz w:val="22"/>
          <w:szCs w:val="22"/>
        </w:rPr>
        <w:t xml:space="preserve"> es obtener</w:t>
      </w:r>
      <w:r>
        <w:rPr>
          <w:rFonts w:ascii="Palatino Linotype" w:hAnsi="Palatino Linotype" w:cs="Tahoma"/>
          <w:bCs/>
          <w:color w:val="0D0D0D" w:themeColor="text1" w:themeTint="F2"/>
          <w:sz w:val="22"/>
          <w:szCs w:val="22"/>
        </w:rPr>
        <w:t xml:space="preserve"> los documentos en los que se adviertan </w:t>
      </w:r>
      <w:r>
        <w:rPr>
          <w:rFonts w:ascii="Palatino Linotype" w:eastAsia="Calibri" w:hAnsi="Palatino Linotype" w:cs="Tahoma"/>
          <w:color w:val="000000"/>
          <w:sz w:val="22"/>
          <w:szCs w:val="22"/>
          <w:lang w:val="es-ES" w:eastAsia="es-MX"/>
        </w:rPr>
        <w:t xml:space="preserve">los </w:t>
      </w:r>
      <w:r w:rsidR="002C536B">
        <w:rPr>
          <w:rFonts w:ascii="Palatino Linotype" w:eastAsia="Calibri" w:hAnsi="Palatino Linotype" w:cs="Tahoma"/>
          <w:color w:val="000000"/>
          <w:sz w:val="22"/>
          <w:szCs w:val="22"/>
          <w:lang w:val="es-ES" w:eastAsia="es-MX"/>
        </w:rPr>
        <w:t>procedimientos iniciados por construcción irregular o sin licencia que contenga la ubicación del inmueble, tipo de irregularidad, medidas impuestas, y estado actual del procedimiento</w:t>
      </w:r>
      <w:r>
        <w:rPr>
          <w:rFonts w:ascii="Palatino Linotype" w:eastAsia="Calibri" w:hAnsi="Palatino Linotype" w:cs="Tahoma"/>
          <w:color w:val="000000"/>
          <w:sz w:val="22"/>
          <w:szCs w:val="22"/>
          <w:lang w:val="es-ES" w:eastAsia="es-MX"/>
        </w:rPr>
        <w:t>, del primero de enero al veintiuno de noviembre de dos mil veinticinco.</w:t>
      </w:r>
    </w:p>
    <w:p w14:paraId="2A02424F" w14:textId="77777777" w:rsidR="002C536B" w:rsidRPr="002C536B" w:rsidRDefault="002C536B" w:rsidP="00E605BC">
      <w:pPr>
        <w:tabs>
          <w:tab w:val="left" w:pos="4962"/>
        </w:tabs>
        <w:spacing w:line="360" w:lineRule="auto"/>
        <w:contextualSpacing/>
        <w:jc w:val="both"/>
        <w:rPr>
          <w:rFonts w:ascii="Palatino Linotype" w:eastAsia="Calibri" w:hAnsi="Palatino Linotype" w:cs="Tahoma"/>
          <w:color w:val="000000"/>
          <w:sz w:val="22"/>
          <w:szCs w:val="22"/>
          <w:lang w:val="es-ES" w:eastAsia="es-MX"/>
        </w:rPr>
      </w:pPr>
    </w:p>
    <w:p w14:paraId="13930177" w14:textId="0C93D112" w:rsidR="003B08D1" w:rsidRPr="00BA4D75" w:rsidRDefault="003B08D1" w:rsidP="00E605BC">
      <w:pPr>
        <w:spacing w:line="360" w:lineRule="auto"/>
        <w:contextualSpacing/>
        <w:jc w:val="both"/>
        <w:rPr>
          <w:rFonts w:ascii="Palatino Linotype" w:hAnsi="Palatino Linotype" w:cs="Tahoma"/>
          <w:bCs/>
          <w:iCs/>
          <w:sz w:val="22"/>
          <w:szCs w:val="22"/>
        </w:rPr>
      </w:pPr>
      <w:r w:rsidRPr="00BA4D75">
        <w:rPr>
          <w:rFonts w:ascii="Palatino Linotype" w:hAnsi="Palatino Linotype" w:cs="Tahoma"/>
          <w:bCs/>
          <w:iCs/>
          <w:sz w:val="22"/>
          <w:szCs w:val="22"/>
        </w:rPr>
        <w:t xml:space="preserve">Ahora bien, de las constancias que obran en el expediente se advierte que el Sujeto Obligado turno el requerimiento de información a la </w:t>
      </w:r>
      <w:r>
        <w:rPr>
          <w:rFonts w:ascii="Palatino Linotype" w:hAnsi="Palatino Linotype" w:cs="Tahoma"/>
          <w:bCs/>
          <w:iCs/>
          <w:sz w:val="22"/>
          <w:szCs w:val="22"/>
        </w:rPr>
        <w:t xml:space="preserve">Dirección de </w:t>
      </w:r>
      <w:r w:rsidR="002C536B">
        <w:rPr>
          <w:rFonts w:ascii="Palatino Linotype" w:hAnsi="Palatino Linotype" w:cs="Tahoma"/>
          <w:bCs/>
          <w:iCs/>
          <w:sz w:val="22"/>
          <w:szCs w:val="22"/>
        </w:rPr>
        <w:t>Desarrollo Urbano y Metropolitano</w:t>
      </w:r>
      <w:r w:rsidRPr="00BA4D75">
        <w:rPr>
          <w:rFonts w:ascii="Palatino Linotype" w:hAnsi="Palatino Linotype" w:cs="Tahoma"/>
          <w:bCs/>
          <w:iCs/>
          <w:sz w:val="22"/>
          <w:szCs w:val="22"/>
        </w:rPr>
        <w:t xml:space="preserve">, </w:t>
      </w:r>
      <w:r>
        <w:rPr>
          <w:rFonts w:ascii="Palatino Linotype" w:hAnsi="Palatino Linotype" w:cs="Tahoma"/>
          <w:bCs/>
          <w:iCs/>
          <w:sz w:val="22"/>
          <w:szCs w:val="22"/>
        </w:rPr>
        <w:t xml:space="preserve">por lo que se considera </w:t>
      </w:r>
      <w:r w:rsidRPr="00BA4D75">
        <w:rPr>
          <w:rFonts w:ascii="Palatino Linotype" w:hAnsi="Palatino Linotype" w:cs="Tahoma"/>
          <w:bCs/>
          <w:iCs/>
          <w:sz w:val="22"/>
          <w:szCs w:val="22"/>
        </w:rPr>
        <w:t>que el Sujeto Obligado cumplió con el procedimiento de búsqueda establecido en el artículo 162 de la Ley de Transparencia</w:t>
      </w:r>
      <w:r>
        <w:rPr>
          <w:rFonts w:ascii="Palatino Linotype" w:hAnsi="Palatino Linotype" w:cs="Tahoma"/>
          <w:bCs/>
          <w:iCs/>
          <w:sz w:val="22"/>
          <w:szCs w:val="22"/>
        </w:rPr>
        <w:t xml:space="preserve"> al turnar la solicitud a las áreas encargadas de conocer sobre la información solicitada</w:t>
      </w:r>
      <w:r w:rsidRPr="00BA4D75">
        <w:rPr>
          <w:rFonts w:ascii="Palatino Linotype" w:hAnsi="Palatino Linotype" w:cs="Tahoma"/>
          <w:bCs/>
          <w:iCs/>
          <w:sz w:val="22"/>
          <w:szCs w:val="22"/>
        </w:rPr>
        <w:t>.</w:t>
      </w:r>
    </w:p>
    <w:p w14:paraId="09ABF273" w14:textId="77777777" w:rsidR="003B08D1" w:rsidRDefault="003B08D1" w:rsidP="00E605BC">
      <w:pPr>
        <w:spacing w:line="360" w:lineRule="auto"/>
        <w:contextualSpacing/>
        <w:jc w:val="both"/>
        <w:rPr>
          <w:rFonts w:ascii="Palatino Linotype" w:hAnsi="Palatino Linotype" w:cs="Tahoma"/>
          <w:bCs/>
          <w:iCs/>
          <w:sz w:val="22"/>
          <w:szCs w:val="22"/>
        </w:rPr>
      </w:pPr>
    </w:p>
    <w:p w14:paraId="2480CC71" w14:textId="2289A634" w:rsidR="003B08D1" w:rsidRDefault="003B08D1" w:rsidP="00E605BC">
      <w:pPr>
        <w:spacing w:line="360" w:lineRule="auto"/>
        <w:contextualSpacing/>
        <w:jc w:val="both"/>
        <w:rPr>
          <w:rFonts w:ascii="Palatino Linotype" w:hAnsi="Palatino Linotype" w:cs="Tahoma"/>
          <w:bCs/>
          <w:iCs/>
          <w:sz w:val="22"/>
          <w:szCs w:val="22"/>
        </w:rPr>
      </w:pPr>
      <w:r>
        <w:rPr>
          <w:rFonts w:ascii="Palatino Linotype" w:hAnsi="Palatino Linotype" w:cs="Tahoma"/>
          <w:bCs/>
          <w:iCs/>
          <w:sz w:val="22"/>
          <w:szCs w:val="22"/>
        </w:rPr>
        <w:t xml:space="preserve">En este contexto, se logró colegir, que si bien en respuesta, el Sujeto Obligado omitió pronunciarse sobre lo peticionado, lo cierto es que, durante la sustanciación del medio de impugnación el Sujeto Obligado a través de la unidad administrativas competente </w:t>
      </w:r>
      <w:r w:rsidR="002C536B">
        <w:rPr>
          <w:rFonts w:ascii="Palatino Linotype" w:hAnsi="Palatino Linotype" w:cs="Tahoma"/>
          <w:bCs/>
          <w:iCs/>
          <w:sz w:val="22"/>
          <w:szCs w:val="22"/>
        </w:rPr>
        <w:t>señaló que la información contenida en los procedimientos administrativos</w:t>
      </w:r>
      <w:r w:rsidR="007C2019">
        <w:rPr>
          <w:rFonts w:ascii="Palatino Linotype" w:hAnsi="Palatino Linotype" w:cs="Tahoma"/>
          <w:bCs/>
          <w:iCs/>
          <w:sz w:val="22"/>
          <w:szCs w:val="22"/>
        </w:rPr>
        <w:t xml:space="preserve"> que se instauran en construcción sin la autorización correspondiente son clasificados como reservados en términos del artículo 140 fracción VIII relacionados con la vulneración de expedientes judiciales o procedimientos administrativos seguidos en forma de juicio, sin embargo omitió la entrega del acuerdo del Comité que sustentara dicha circunstancia</w:t>
      </w:r>
      <w:r>
        <w:rPr>
          <w:rFonts w:ascii="Palatino Linotype" w:hAnsi="Palatino Linotype" w:cs="Tahoma"/>
          <w:bCs/>
          <w:iCs/>
          <w:sz w:val="22"/>
          <w:szCs w:val="22"/>
        </w:rPr>
        <w:t xml:space="preserve"> por lo que resulta necesario proceder a su análisis.</w:t>
      </w:r>
    </w:p>
    <w:p w14:paraId="7C2FDA66" w14:textId="77777777" w:rsidR="003B08D1" w:rsidRDefault="003B08D1" w:rsidP="00E605BC">
      <w:pPr>
        <w:spacing w:line="360" w:lineRule="auto"/>
        <w:contextualSpacing/>
        <w:jc w:val="both"/>
        <w:rPr>
          <w:rFonts w:ascii="Palatino Linotype" w:hAnsi="Palatino Linotype" w:cs="Tahoma"/>
          <w:bCs/>
          <w:iCs/>
          <w:sz w:val="22"/>
          <w:szCs w:val="22"/>
        </w:rPr>
      </w:pPr>
    </w:p>
    <w:p w14:paraId="3864E9DF" w14:textId="77777777" w:rsidR="00AF741C" w:rsidRPr="00AF741C" w:rsidRDefault="00AF741C" w:rsidP="00E605BC">
      <w:pPr>
        <w:spacing w:line="360" w:lineRule="auto"/>
        <w:contextualSpacing/>
        <w:jc w:val="both"/>
        <w:rPr>
          <w:rFonts w:ascii="Palatino Linotype" w:hAnsi="Palatino Linotype"/>
          <w:color w:val="FF0000"/>
          <w:sz w:val="22"/>
          <w:szCs w:val="22"/>
        </w:rPr>
      </w:pPr>
      <w:r w:rsidRPr="00AF741C">
        <w:rPr>
          <w:rFonts w:ascii="Palatino Linotype" w:hAnsi="Palatino Linotype"/>
          <w:sz w:val="22"/>
          <w:szCs w:val="22"/>
        </w:rPr>
        <w:t xml:space="preserve">Al respecto, cabe precisar, que conforme al artículo 20 de la Ley de Transparencia y Acceso a la Información Pública del Estado de México y Municipios, </w:t>
      </w:r>
      <w:r w:rsidRPr="00AF741C">
        <w:rPr>
          <w:rFonts w:ascii="Palatino Linotype" w:hAnsi="Palatino Linotype"/>
          <w:b/>
          <w:sz w:val="22"/>
          <w:szCs w:val="22"/>
        </w:rPr>
        <w:t xml:space="preserve">ante la negativa de acceso a la </w:t>
      </w:r>
      <w:r w:rsidRPr="00AF741C">
        <w:rPr>
          <w:rFonts w:ascii="Palatino Linotype" w:hAnsi="Palatino Linotype"/>
          <w:b/>
          <w:sz w:val="22"/>
          <w:szCs w:val="22"/>
        </w:rPr>
        <w:lastRenderedPageBreak/>
        <w:t>información o su inexistencia, el sujeto obligado deberá demostrar que encuentra en alguna de las excepciones establecidas en la normatividad aplicable.</w:t>
      </w:r>
    </w:p>
    <w:p w14:paraId="126CE00A" w14:textId="77777777" w:rsidR="00AF741C" w:rsidRPr="00AF741C" w:rsidRDefault="00AF741C" w:rsidP="00E605BC">
      <w:pPr>
        <w:spacing w:line="360" w:lineRule="auto"/>
        <w:contextualSpacing/>
        <w:jc w:val="both"/>
        <w:rPr>
          <w:rFonts w:ascii="Palatino Linotype" w:hAnsi="Palatino Linotype"/>
          <w:color w:val="FF0000"/>
          <w:sz w:val="22"/>
          <w:szCs w:val="22"/>
        </w:rPr>
      </w:pPr>
    </w:p>
    <w:p w14:paraId="75DB92CE" w14:textId="77777777" w:rsidR="00AF741C" w:rsidRPr="00AF741C" w:rsidRDefault="00AF741C" w:rsidP="00E605BC">
      <w:pPr>
        <w:spacing w:line="360" w:lineRule="auto"/>
        <w:contextualSpacing/>
        <w:jc w:val="both"/>
        <w:rPr>
          <w:rFonts w:ascii="Palatino Linotype" w:hAnsi="Palatino Linotype"/>
          <w:sz w:val="22"/>
          <w:szCs w:val="22"/>
        </w:rPr>
      </w:pPr>
      <w:r w:rsidRPr="00AF741C">
        <w:rPr>
          <w:rFonts w:ascii="Palatino Linotype" w:hAnsi="Palatino Linotype"/>
          <w:sz w:val="22"/>
          <w:szCs w:val="22"/>
        </w:rPr>
        <w:t xml:space="preserve">En ese sentido, según Trujillo, Humberto (2019), en el “Diccionario de Transparencia y Acceso a la Información Pública” (p. 201), </w:t>
      </w:r>
      <w:r w:rsidRPr="00AF741C">
        <w:rPr>
          <w:rFonts w:ascii="Palatino Linotype" w:hAnsi="Palatino Linotype"/>
          <w:b/>
          <w:sz w:val="22"/>
          <w:szCs w:val="22"/>
        </w:rPr>
        <w:t>la negativa de acceso a la información</w:t>
      </w:r>
      <w:r w:rsidRPr="00AF741C">
        <w:rPr>
          <w:rFonts w:ascii="Palatino Linotype" w:hAnsi="Palatino Linotype"/>
          <w:sz w:val="22"/>
          <w:szCs w:val="22"/>
        </w:rPr>
        <w:t xml:space="preserve"> ocurre cuando de manera fundada y motivada, una autoridad la niega o la limita, por alguna de las siguientes razones:</w:t>
      </w:r>
    </w:p>
    <w:p w14:paraId="039BEB5D" w14:textId="77777777" w:rsidR="00AF741C" w:rsidRPr="00AF741C" w:rsidRDefault="00AF741C" w:rsidP="00E605BC">
      <w:pPr>
        <w:spacing w:line="360" w:lineRule="auto"/>
        <w:contextualSpacing/>
        <w:jc w:val="both"/>
        <w:rPr>
          <w:rFonts w:ascii="Palatino Linotype" w:hAnsi="Palatino Linotype"/>
          <w:sz w:val="22"/>
          <w:szCs w:val="22"/>
        </w:rPr>
      </w:pPr>
    </w:p>
    <w:p w14:paraId="0FA11273" w14:textId="77777777" w:rsidR="00AF741C" w:rsidRPr="00AF741C" w:rsidRDefault="00AF741C" w:rsidP="00E605BC">
      <w:pPr>
        <w:pStyle w:val="Prrafodelista"/>
        <w:numPr>
          <w:ilvl w:val="0"/>
          <w:numId w:val="9"/>
        </w:numPr>
        <w:spacing w:line="360" w:lineRule="auto"/>
        <w:jc w:val="both"/>
        <w:rPr>
          <w:rFonts w:ascii="Palatino Linotype" w:hAnsi="Palatino Linotype"/>
          <w:sz w:val="22"/>
          <w:szCs w:val="22"/>
        </w:rPr>
      </w:pPr>
      <w:r w:rsidRPr="00AF741C">
        <w:rPr>
          <w:rFonts w:ascii="Palatino Linotype" w:hAnsi="Palatino Linotype"/>
          <w:b/>
          <w:sz w:val="22"/>
          <w:szCs w:val="22"/>
        </w:rPr>
        <w:t>La inexistencia de la información (p. 171):</w:t>
      </w:r>
      <w:r w:rsidRPr="00AF741C">
        <w:rPr>
          <w:rFonts w:ascii="Palatino Linotype" w:hAnsi="Palatino Linotype"/>
          <w:sz w:val="22"/>
          <w:szCs w:val="22"/>
        </w:rPr>
        <w:t xml:space="preserve"> Sucede cuando la información solicitada no se encuentra en los archivos públicos o clasificados, de los entes sujetos a las Leyes de Transparencia</w:t>
      </w:r>
    </w:p>
    <w:p w14:paraId="314D7A14" w14:textId="77777777" w:rsidR="00AF741C" w:rsidRPr="00AF741C" w:rsidRDefault="00AF741C" w:rsidP="00E605BC">
      <w:pPr>
        <w:spacing w:line="360" w:lineRule="auto"/>
        <w:contextualSpacing/>
        <w:jc w:val="both"/>
        <w:rPr>
          <w:rFonts w:ascii="Palatino Linotype" w:hAnsi="Palatino Linotype"/>
          <w:sz w:val="22"/>
          <w:szCs w:val="22"/>
        </w:rPr>
      </w:pPr>
    </w:p>
    <w:p w14:paraId="045122DE" w14:textId="77777777" w:rsidR="00AF741C" w:rsidRPr="00AF741C" w:rsidRDefault="00AF741C" w:rsidP="00E605BC">
      <w:pPr>
        <w:pStyle w:val="Prrafodelista"/>
        <w:numPr>
          <w:ilvl w:val="0"/>
          <w:numId w:val="9"/>
        </w:numPr>
        <w:spacing w:line="360" w:lineRule="auto"/>
        <w:jc w:val="both"/>
        <w:rPr>
          <w:rFonts w:ascii="Palatino Linotype" w:hAnsi="Palatino Linotype"/>
          <w:sz w:val="22"/>
          <w:szCs w:val="22"/>
        </w:rPr>
      </w:pPr>
      <w:r w:rsidRPr="00AF741C">
        <w:rPr>
          <w:rFonts w:ascii="Palatino Linotype" w:hAnsi="Palatino Linotype"/>
          <w:b/>
          <w:sz w:val="22"/>
          <w:szCs w:val="22"/>
        </w:rPr>
        <w:t>La incompetencia del Sujeto Obligado (p. 171):</w:t>
      </w:r>
      <w:r w:rsidRPr="00AF741C">
        <w:rPr>
          <w:rFonts w:ascii="Palatino Linotype" w:hAnsi="Palatino Linotype"/>
          <w:sz w:val="22"/>
          <w:szCs w:val="22"/>
        </w:rPr>
        <w:t xml:space="preserve"> Ocurre cuando el Sujeto Obligado carece de atribuciones para poseer la información peticionada.</w:t>
      </w:r>
    </w:p>
    <w:p w14:paraId="37B34AB5" w14:textId="77777777" w:rsidR="00AF741C" w:rsidRPr="00AF741C" w:rsidRDefault="00AF741C" w:rsidP="00E605BC">
      <w:pPr>
        <w:spacing w:line="360" w:lineRule="auto"/>
        <w:contextualSpacing/>
        <w:jc w:val="both"/>
        <w:rPr>
          <w:rFonts w:ascii="Palatino Linotype" w:hAnsi="Palatino Linotype"/>
          <w:sz w:val="22"/>
          <w:szCs w:val="22"/>
        </w:rPr>
      </w:pPr>
    </w:p>
    <w:p w14:paraId="7445D419" w14:textId="77777777" w:rsidR="00AF741C" w:rsidRPr="00AF741C" w:rsidRDefault="00AF741C" w:rsidP="00E605BC">
      <w:pPr>
        <w:pStyle w:val="Prrafodelista"/>
        <w:numPr>
          <w:ilvl w:val="0"/>
          <w:numId w:val="9"/>
        </w:numPr>
        <w:spacing w:line="360" w:lineRule="auto"/>
        <w:jc w:val="both"/>
        <w:rPr>
          <w:rFonts w:ascii="Palatino Linotype" w:hAnsi="Palatino Linotype"/>
          <w:sz w:val="22"/>
          <w:szCs w:val="22"/>
        </w:rPr>
      </w:pPr>
      <w:r w:rsidRPr="00AF741C">
        <w:rPr>
          <w:rFonts w:ascii="Palatino Linotype" w:hAnsi="Palatino Linotype"/>
          <w:b/>
          <w:sz w:val="22"/>
          <w:szCs w:val="22"/>
        </w:rPr>
        <w:t>La clasificación de la información (p. 70):</w:t>
      </w:r>
      <w:r w:rsidRPr="00AF741C">
        <w:rPr>
          <w:rFonts w:ascii="Palatino Linotype" w:hAnsi="Palatino Linotype"/>
          <w:sz w:val="22"/>
          <w:szCs w:val="22"/>
        </w:rPr>
        <w:t xml:space="preserve"> Es el proceso o conjunto de acciones que realizan los sujetos obligados para establecer que determinada información se encuentra en alguno de los supuestos de reserva o confidencialidad establecidos en la legislación en materia de transparencia.</w:t>
      </w:r>
    </w:p>
    <w:p w14:paraId="6EB3D24C" w14:textId="77777777" w:rsidR="00AF741C" w:rsidRPr="00AF741C" w:rsidRDefault="00AF741C" w:rsidP="00E605BC">
      <w:pPr>
        <w:spacing w:line="360" w:lineRule="auto"/>
        <w:contextualSpacing/>
        <w:jc w:val="both"/>
        <w:rPr>
          <w:rFonts w:ascii="Palatino Linotype" w:hAnsi="Palatino Linotype"/>
          <w:sz w:val="22"/>
          <w:szCs w:val="22"/>
        </w:rPr>
      </w:pPr>
    </w:p>
    <w:p w14:paraId="0397B10A" w14:textId="77777777" w:rsidR="00AF741C" w:rsidRPr="00AF741C" w:rsidRDefault="00AF741C" w:rsidP="00E605BC">
      <w:pPr>
        <w:spacing w:line="360" w:lineRule="auto"/>
        <w:contextualSpacing/>
        <w:jc w:val="both"/>
        <w:rPr>
          <w:rFonts w:ascii="Palatino Linotype" w:hAnsi="Palatino Linotype"/>
          <w:b/>
          <w:sz w:val="22"/>
          <w:szCs w:val="22"/>
        </w:rPr>
      </w:pPr>
      <w:r w:rsidRPr="00AF741C">
        <w:rPr>
          <w:rFonts w:ascii="Palatino Linotype" w:hAnsi="Palatino Linotype"/>
          <w:sz w:val="22"/>
          <w:szCs w:val="22"/>
        </w:rPr>
        <w:t xml:space="preserve">En ese orden de ideas y en atención a lo anterior, es de señalar que las excepciones al derecho de acceso a la información, consisten en que la documentación sea inexistente, se encuentre </w:t>
      </w:r>
      <w:r w:rsidRPr="00AF741C">
        <w:rPr>
          <w:rFonts w:ascii="Palatino Linotype" w:hAnsi="Palatino Linotype"/>
          <w:b/>
          <w:sz w:val="22"/>
          <w:szCs w:val="22"/>
        </w:rPr>
        <w:t>clasificada,</w:t>
      </w:r>
      <w:r w:rsidRPr="00AF741C">
        <w:rPr>
          <w:rFonts w:ascii="Palatino Linotype" w:hAnsi="Palatino Linotype"/>
          <w:sz w:val="22"/>
          <w:szCs w:val="22"/>
        </w:rPr>
        <w:t xml:space="preserve"> o bien, el Sujeto Obligado sea incompetente para contar con esta; esto es, la negativa de acceso a la información, recae cuando la documentación no se encuentre en los archivos del sujeto obligado, o bien exista, pero no pueda proporcionarse por contener datos </w:t>
      </w:r>
      <w:r w:rsidRPr="00AF741C">
        <w:rPr>
          <w:rFonts w:ascii="Palatino Linotype" w:hAnsi="Palatino Linotype"/>
          <w:b/>
          <w:sz w:val="22"/>
          <w:szCs w:val="22"/>
        </w:rPr>
        <w:t>confidenciales o reservados.</w:t>
      </w:r>
    </w:p>
    <w:p w14:paraId="6D6F70D2" w14:textId="77777777" w:rsidR="00AF741C" w:rsidRPr="00AF741C" w:rsidRDefault="00AF741C" w:rsidP="00E605BC">
      <w:pPr>
        <w:spacing w:line="360" w:lineRule="auto"/>
        <w:contextualSpacing/>
        <w:jc w:val="both"/>
        <w:rPr>
          <w:rFonts w:ascii="Palatino Linotype" w:hAnsi="Palatino Linotype"/>
          <w:b/>
          <w:sz w:val="22"/>
          <w:szCs w:val="22"/>
        </w:rPr>
      </w:pPr>
    </w:p>
    <w:p w14:paraId="67481E39" w14:textId="77777777" w:rsidR="00AF741C" w:rsidRPr="00AF741C" w:rsidRDefault="00AF741C" w:rsidP="00E605BC">
      <w:pPr>
        <w:spacing w:line="360" w:lineRule="auto"/>
        <w:contextualSpacing/>
        <w:jc w:val="both"/>
        <w:rPr>
          <w:rFonts w:ascii="Palatino Linotype" w:hAnsi="Palatino Linotype"/>
          <w:sz w:val="22"/>
          <w:szCs w:val="22"/>
        </w:rPr>
      </w:pPr>
      <w:r w:rsidRPr="00AF741C">
        <w:rPr>
          <w:rFonts w:ascii="Palatino Linotype" w:hAnsi="Palatino Linotype"/>
          <w:sz w:val="22"/>
          <w:szCs w:val="22"/>
        </w:rPr>
        <w:lastRenderedPageBreak/>
        <w:t xml:space="preserve">Así, en los artículos 122, 128 y 130 de la Ley Transparencia y Acceso a la Información Pública del Estado de México y Municipios, se prevé que </w:t>
      </w:r>
      <w:r w:rsidRPr="00AF741C">
        <w:rPr>
          <w:rFonts w:ascii="Palatino Linotype" w:hAnsi="Palatino Linotype"/>
          <w:b/>
          <w:sz w:val="22"/>
          <w:szCs w:val="22"/>
        </w:rPr>
        <w:t>la clasificación</w:t>
      </w:r>
      <w:r w:rsidRPr="00AF741C">
        <w:rPr>
          <w:rFonts w:ascii="Palatino Linotype" w:hAnsi="Palatino Linotype"/>
          <w:sz w:val="22"/>
          <w:szCs w:val="22"/>
        </w:rPr>
        <w:t xml:space="preserve"> es el proceso mediante el cual los sujetos obligados determinan que la información en su poder, actualiza alguno de los supuestos de reserva o confidencialidad. Además, que dichos entes deberán aplicar de manera restrictiva y limitada, las excepciones al derecho de acceso a la información, por lo que, tendrán que acreditar la procedencia.</w:t>
      </w:r>
    </w:p>
    <w:p w14:paraId="54BC6D50" w14:textId="77777777" w:rsidR="00AF741C" w:rsidRPr="00AF741C" w:rsidRDefault="00AF741C" w:rsidP="00E605BC">
      <w:pPr>
        <w:spacing w:line="360" w:lineRule="auto"/>
        <w:contextualSpacing/>
        <w:jc w:val="both"/>
        <w:rPr>
          <w:rFonts w:ascii="Palatino Linotype" w:hAnsi="Palatino Linotype"/>
          <w:sz w:val="22"/>
          <w:szCs w:val="22"/>
        </w:rPr>
      </w:pPr>
    </w:p>
    <w:p w14:paraId="5BBA7286" w14:textId="77777777" w:rsidR="00AF741C" w:rsidRPr="00AF741C" w:rsidRDefault="00AF741C" w:rsidP="00E605BC">
      <w:pPr>
        <w:spacing w:line="360" w:lineRule="auto"/>
        <w:contextualSpacing/>
        <w:jc w:val="both"/>
        <w:rPr>
          <w:rFonts w:ascii="Palatino Linotype" w:hAnsi="Palatino Linotype"/>
          <w:sz w:val="22"/>
          <w:szCs w:val="22"/>
        </w:rPr>
      </w:pPr>
      <w:r w:rsidRPr="00AF741C">
        <w:rPr>
          <w:rFonts w:ascii="Palatino Linotype" w:hAnsi="Palatino Linotype"/>
          <w:sz w:val="22"/>
          <w:szCs w:val="22"/>
        </w:rPr>
        <w:t xml:space="preserve">Por lo cual, en los casos en que se niegue el acceso a la información, por actualizarse alguno de los supuestos de clasificación, </w:t>
      </w:r>
      <w:r w:rsidRPr="00AF741C">
        <w:rPr>
          <w:rFonts w:ascii="Palatino Linotype" w:hAnsi="Palatino Linotype"/>
          <w:b/>
          <w:sz w:val="22"/>
          <w:szCs w:val="22"/>
        </w:rPr>
        <w:t>el Comité de Transparencia deberá confirmar, modificar o revocar la decisión;</w:t>
      </w:r>
      <w:r w:rsidRPr="00AF741C">
        <w:rPr>
          <w:rFonts w:ascii="Palatino Linotype" w:hAnsi="Palatino Linotype"/>
          <w:sz w:val="22"/>
          <w:szCs w:val="22"/>
        </w:rPr>
        <w:t xml:space="preserve"> además, deberá motivar la confirmación de dicha situación, señalando las razones, motivos o circunstancias especiales que llevaron al sujeto obligado a concluir que en el caso particular se ajusta al supuesto previsto por la norma legal invocada como fundamento.</w:t>
      </w:r>
    </w:p>
    <w:p w14:paraId="1AC85E11" w14:textId="77777777" w:rsidR="00AF741C" w:rsidRPr="00AF741C" w:rsidRDefault="00AF741C" w:rsidP="00E605BC">
      <w:pPr>
        <w:spacing w:line="360" w:lineRule="auto"/>
        <w:contextualSpacing/>
        <w:jc w:val="both"/>
        <w:rPr>
          <w:rFonts w:ascii="Palatino Linotype" w:hAnsi="Palatino Linotype"/>
          <w:sz w:val="22"/>
          <w:szCs w:val="22"/>
        </w:rPr>
      </w:pPr>
    </w:p>
    <w:p w14:paraId="13CD6E6C" w14:textId="77777777" w:rsidR="00AF741C" w:rsidRPr="00AF741C" w:rsidRDefault="00AF741C" w:rsidP="00E605BC">
      <w:pPr>
        <w:spacing w:line="360" w:lineRule="auto"/>
        <w:contextualSpacing/>
        <w:jc w:val="both"/>
        <w:rPr>
          <w:rFonts w:ascii="Palatino Linotype" w:hAnsi="Palatino Linotype"/>
          <w:sz w:val="22"/>
          <w:szCs w:val="22"/>
        </w:rPr>
      </w:pPr>
      <w:r w:rsidRPr="00AF741C">
        <w:rPr>
          <w:rFonts w:ascii="Palatino Linotype" w:hAnsi="Palatino Linotype"/>
          <w:sz w:val="22"/>
          <w:szCs w:val="22"/>
        </w:rPr>
        <w:t>En otro orden de ideas, la clasificación como reservada o confidencial, en materia de transparencia y acceso a la información, va tendiente al contenido de los documentos, sin tomar en cuenta otras situaciones como la localización o ubicación de los archivos, pues su fin es proteger la información contenida en estos.</w:t>
      </w:r>
    </w:p>
    <w:p w14:paraId="4B11DA35" w14:textId="77777777" w:rsidR="00AF741C" w:rsidRPr="00AF741C" w:rsidRDefault="00AF741C" w:rsidP="00E605BC">
      <w:pPr>
        <w:spacing w:line="360" w:lineRule="auto"/>
        <w:contextualSpacing/>
        <w:jc w:val="both"/>
        <w:rPr>
          <w:rFonts w:ascii="Palatino Linotype" w:hAnsi="Palatino Linotype"/>
          <w:sz w:val="22"/>
          <w:szCs w:val="22"/>
        </w:rPr>
      </w:pPr>
    </w:p>
    <w:p w14:paraId="06ED0D35" w14:textId="524C693D" w:rsidR="00AF741C" w:rsidRPr="00AF741C" w:rsidRDefault="00AF741C" w:rsidP="00E605BC">
      <w:pPr>
        <w:spacing w:line="360" w:lineRule="auto"/>
        <w:contextualSpacing/>
        <w:jc w:val="both"/>
        <w:rPr>
          <w:rFonts w:ascii="Palatino Linotype" w:hAnsi="Palatino Linotype"/>
          <w:sz w:val="22"/>
          <w:szCs w:val="22"/>
        </w:rPr>
      </w:pPr>
      <w:r w:rsidRPr="00AF741C">
        <w:rPr>
          <w:rFonts w:ascii="Palatino Linotype" w:hAnsi="Palatino Linotype"/>
          <w:sz w:val="22"/>
          <w:szCs w:val="22"/>
        </w:rPr>
        <w:t>Además, conforme al artículo 134 de la Ley de Transparencia y Acceso a la Información Pública del Estado de México y Municipios y el Sexto de los Lineamientos Generales en Materia de Clasificación y Desclasificación de la Información, así como para la Elaboración de Versiones Públicas –Lineamientos Generales-, los sujetos obligados no podrán emitir acuerdos de carácter general que clasifiquen documentos o expedientes; por lo que, la clasificación de información se llevará a cabo mediante un análisis caso por caso.</w:t>
      </w:r>
    </w:p>
    <w:p w14:paraId="4F205796" w14:textId="77777777" w:rsidR="00AF741C" w:rsidRPr="00AF741C" w:rsidRDefault="00AF741C" w:rsidP="00E605BC">
      <w:pPr>
        <w:spacing w:line="360" w:lineRule="auto"/>
        <w:contextualSpacing/>
        <w:jc w:val="both"/>
        <w:rPr>
          <w:rFonts w:ascii="Palatino Linotype" w:hAnsi="Palatino Linotype"/>
          <w:sz w:val="22"/>
          <w:szCs w:val="22"/>
        </w:rPr>
      </w:pPr>
    </w:p>
    <w:p w14:paraId="26CCEB36" w14:textId="77777777" w:rsidR="00AF741C" w:rsidRPr="00AF741C" w:rsidRDefault="00AF741C" w:rsidP="00E605BC">
      <w:pPr>
        <w:spacing w:line="360" w:lineRule="auto"/>
        <w:contextualSpacing/>
        <w:jc w:val="both"/>
        <w:rPr>
          <w:rFonts w:ascii="Palatino Linotype" w:hAnsi="Palatino Linotype"/>
          <w:sz w:val="22"/>
          <w:szCs w:val="22"/>
        </w:rPr>
      </w:pPr>
      <w:r w:rsidRPr="00AF741C">
        <w:rPr>
          <w:rFonts w:ascii="Palatino Linotype" w:hAnsi="Palatino Linotype"/>
          <w:sz w:val="22"/>
          <w:szCs w:val="22"/>
        </w:rPr>
        <w:lastRenderedPageBreak/>
        <w:t>Sobre lo anterior, el artículo 131 de la Ley referida, así como el Quinto de los Lineamientos Generales vigentes a la fecha de la solicitud, establecen que los sujetos obligados deberán fundar y motivar debidamente la clasificación de la información.</w:t>
      </w:r>
    </w:p>
    <w:p w14:paraId="1E6848AB" w14:textId="77777777" w:rsidR="00AF741C" w:rsidRPr="00AF741C" w:rsidRDefault="00AF741C" w:rsidP="00E605BC">
      <w:pPr>
        <w:spacing w:line="360" w:lineRule="auto"/>
        <w:contextualSpacing/>
        <w:jc w:val="both"/>
        <w:rPr>
          <w:rFonts w:ascii="Palatino Linotype" w:hAnsi="Palatino Linotype"/>
          <w:sz w:val="22"/>
          <w:szCs w:val="22"/>
        </w:rPr>
      </w:pPr>
    </w:p>
    <w:p w14:paraId="21B877A1" w14:textId="77777777" w:rsidR="00AF741C" w:rsidRPr="00AF741C" w:rsidRDefault="00AF741C" w:rsidP="00E605BC">
      <w:pPr>
        <w:spacing w:line="360" w:lineRule="auto"/>
        <w:contextualSpacing/>
        <w:jc w:val="both"/>
        <w:rPr>
          <w:rFonts w:ascii="Palatino Linotype" w:hAnsi="Palatino Linotype"/>
          <w:sz w:val="22"/>
          <w:szCs w:val="22"/>
        </w:rPr>
      </w:pPr>
      <w:r w:rsidRPr="00AF741C">
        <w:rPr>
          <w:rFonts w:ascii="Palatino Linotype" w:hAnsi="Palatino Linotype"/>
          <w:sz w:val="22"/>
          <w:szCs w:val="22"/>
        </w:rPr>
        <w:t>Al respecto, el Octavo de los Lineamientos Generales en comento, precisa lo siguiente:</w:t>
      </w:r>
    </w:p>
    <w:p w14:paraId="3CD2151C" w14:textId="77777777" w:rsidR="00AF741C" w:rsidRPr="00AF741C" w:rsidRDefault="00AF741C" w:rsidP="00E605BC">
      <w:pPr>
        <w:spacing w:line="360" w:lineRule="auto"/>
        <w:contextualSpacing/>
        <w:jc w:val="both"/>
        <w:rPr>
          <w:rFonts w:ascii="Palatino Linotype" w:hAnsi="Palatino Linotype"/>
          <w:sz w:val="22"/>
          <w:szCs w:val="22"/>
        </w:rPr>
      </w:pPr>
    </w:p>
    <w:p w14:paraId="6280A0CC" w14:textId="77777777" w:rsidR="00AF741C" w:rsidRPr="00AF741C" w:rsidRDefault="00AF741C" w:rsidP="00E605BC">
      <w:pPr>
        <w:pStyle w:val="Prrafodelista"/>
        <w:numPr>
          <w:ilvl w:val="0"/>
          <w:numId w:val="10"/>
        </w:numPr>
        <w:spacing w:line="360" w:lineRule="auto"/>
        <w:jc w:val="both"/>
        <w:rPr>
          <w:rFonts w:ascii="Palatino Linotype" w:hAnsi="Palatino Linotype"/>
          <w:sz w:val="22"/>
          <w:szCs w:val="22"/>
        </w:rPr>
      </w:pPr>
      <w:r w:rsidRPr="00AF741C">
        <w:rPr>
          <w:rFonts w:ascii="Palatino Linotype" w:hAnsi="Palatino Linotype"/>
          <w:b/>
          <w:sz w:val="22"/>
          <w:szCs w:val="22"/>
        </w:rPr>
        <w:t xml:space="preserve">Para fundar la clasificación </w:t>
      </w:r>
      <w:r w:rsidRPr="00AF741C">
        <w:rPr>
          <w:rFonts w:ascii="Palatino Linotype" w:hAnsi="Palatino Linotype"/>
          <w:sz w:val="22"/>
          <w:szCs w:val="22"/>
        </w:rPr>
        <w:t xml:space="preserve">de la información se deberán señalar el artículo, fracción, inciso, párrafo o numeral de la Ley aplicable; </w:t>
      </w:r>
    </w:p>
    <w:p w14:paraId="7BA592D7" w14:textId="77777777" w:rsidR="00AF741C" w:rsidRPr="00AF741C" w:rsidRDefault="00AF741C" w:rsidP="00E605BC">
      <w:pPr>
        <w:spacing w:line="360" w:lineRule="auto"/>
        <w:contextualSpacing/>
        <w:jc w:val="both"/>
        <w:rPr>
          <w:rFonts w:ascii="Palatino Linotype" w:hAnsi="Palatino Linotype"/>
          <w:sz w:val="22"/>
          <w:szCs w:val="22"/>
        </w:rPr>
      </w:pPr>
    </w:p>
    <w:p w14:paraId="19FF2F0E" w14:textId="77777777" w:rsidR="00AF741C" w:rsidRPr="00AF741C" w:rsidRDefault="00AF741C" w:rsidP="00E605BC">
      <w:pPr>
        <w:pStyle w:val="Prrafodelista"/>
        <w:numPr>
          <w:ilvl w:val="0"/>
          <w:numId w:val="10"/>
        </w:numPr>
        <w:spacing w:line="360" w:lineRule="auto"/>
        <w:jc w:val="both"/>
        <w:rPr>
          <w:rFonts w:ascii="Palatino Linotype" w:hAnsi="Palatino Linotype"/>
          <w:sz w:val="22"/>
          <w:szCs w:val="22"/>
        </w:rPr>
      </w:pPr>
      <w:r w:rsidRPr="00AF741C">
        <w:rPr>
          <w:rFonts w:ascii="Palatino Linotype" w:hAnsi="Palatino Linotype"/>
          <w:b/>
          <w:sz w:val="22"/>
          <w:szCs w:val="22"/>
        </w:rPr>
        <w:t>Para motivar la clasificación</w:t>
      </w:r>
      <w:r w:rsidRPr="00AF741C">
        <w:rPr>
          <w:rFonts w:ascii="Palatino Linotype" w:hAnsi="Palatino Linotype"/>
          <w:sz w:val="22"/>
          <w:szCs w:val="22"/>
        </w:rPr>
        <w:t xml:space="preserve"> se deberán indicar las razones y circunstancias especiales que lo llevaron a concluir que el caso particular se ajusta al supuesto previsto por la norma legal invocada.</w:t>
      </w:r>
    </w:p>
    <w:p w14:paraId="6DBCE3C1" w14:textId="77777777" w:rsidR="00AF741C" w:rsidRPr="00AF741C" w:rsidRDefault="00AF741C" w:rsidP="00E605BC">
      <w:pPr>
        <w:spacing w:line="360" w:lineRule="auto"/>
        <w:contextualSpacing/>
        <w:jc w:val="both"/>
        <w:rPr>
          <w:rFonts w:ascii="Palatino Linotype" w:hAnsi="Palatino Linotype"/>
          <w:color w:val="FF0000"/>
          <w:sz w:val="22"/>
          <w:szCs w:val="22"/>
        </w:rPr>
      </w:pPr>
    </w:p>
    <w:p w14:paraId="027A61BF" w14:textId="77777777" w:rsidR="00AF741C" w:rsidRPr="00AF741C" w:rsidRDefault="00AF741C" w:rsidP="00E605BC">
      <w:pPr>
        <w:spacing w:line="360" w:lineRule="auto"/>
        <w:contextualSpacing/>
        <w:jc w:val="both"/>
        <w:rPr>
          <w:rFonts w:ascii="Palatino Linotype" w:hAnsi="Palatino Linotype"/>
          <w:sz w:val="22"/>
          <w:szCs w:val="22"/>
        </w:rPr>
      </w:pPr>
      <w:r w:rsidRPr="00AF741C">
        <w:rPr>
          <w:rFonts w:ascii="Palatino Linotype" w:hAnsi="Palatino Linotype"/>
          <w:sz w:val="22"/>
          <w:szCs w:val="22"/>
        </w:rPr>
        <w:t>Lo anterior, toma sustento en la fracción VII, del artículo 1.8, del Código Administrativo del Estado de México, que establece que todo acto administrativo, debe estar fundado y motivado, esto es, que contenga con precisión, los preceptos legales aplicables, las circunstancias generales o especiales, razones particulares y causas que se hayan tomado en cuenta para la emisión del mismo; asimismo, se trae cita por analogía la Tesis aislada número I. 4o. P. 56 P, Octava Época, publicada en el Semanario Judicial de la Federación, Tomo XIV, noviembre de mil novecientos noventa y cuatro, (p. 450), que establece lo siguiente:</w:t>
      </w:r>
    </w:p>
    <w:p w14:paraId="2C048EF7" w14:textId="77777777" w:rsidR="00AF741C" w:rsidRPr="00AF741C" w:rsidRDefault="00AF741C" w:rsidP="00E605BC">
      <w:pPr>
        <w:spacing w:line="360" w:lineRule="auto"/>
        <w:contextualSpacing/>
        <w:jc w:val="both"/>
        <w:rPr>
          <w:rFonts w:ascii="Palatino Linotype" w:hAnsi="Palatino Linotype"/>
          <w:sz w:val="22"/>
          <w:szCs w:val="22"/>
        </w:rPr>
      </w:pPr>
    </w:p>
    <w:p w14:paraId="45ED6483" w14:textId="77777777" w:rsidR="00AF741C" w:rsidRPr="00447AAA" w:rsidRDefault="00AF741C" w:rsidP="00E605BC">
      <w:pPr>
        <w:spacing w:line="360" w:lineRule="auto"/>
        <w:ind w:left="567" w:right="567"/>
        <w:contextualSpacing/>
        <w:jc w:val="both"/>
        <w:rPr>
          <w:rFonts w:ascii="Palatino Linotype" w:hAnsi="Palatino Linotype" w:cs="Arial"/>
          <w:bCs/>
          <w:i/>
          <w:iCs/>
        </w:rPr>
      </w:pPr>
      <w:r w:rsidRPr="00447AAA">
        <w:rPr>
          <w:rFonts w:ascii="Palatino Linotype" w:hAnsi="Palatino Linotype" w:cs="Arial"/>
          <w:b/>
          <w:bCs/>
          <w:i/>
          <w:iCs/>
        </w:rPr>
        <w:t>“FUNDAMENTACION Y MOTIVACION, CONCEPTO DE.</w:t>
      </w:r>
      <w:r w:rsidRPr="00447AAA">
        <w:rPr>
          <w:rFonts w:ascii="Palatino Linotype" w:hAnsi="Palatino Linotype" w:cs="Arial"/>
          <w:bCs/>
          <w:i/>
          <w:iCs/>
        </w:rPr>
        <w:t xml:space="preserve"> 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w:t>
      </w:r>
      <w:r w:rsidRPr="00447AAA">
        <w:rPr>
          <w:rFonts w:ascii="Palatino Linotype" w:hAnsi="Palatino Linotype" w:cs="Arial"/>
          <w:bCs/>
          <w:i/>
          <w:iCs/>
        </w:rPr>
        <w:lastRenderedPageBreak/>
        <w:t>la determinación adoptada; y por lo segundo, que exprese una serie de razonamientos lógico-jurídicos sobre el por qué consideró que el caso concreto se ajusta a la hipótesis normativa.”</w:t>
      </w:r>
    </w:p>
    <w:p w14:paraId="3F35CAB5" w14:textId="77777777" w:rsidR="00AF741C" w:rsidRPr="00AF741C" w:rsidRDefault="00AF741C" w:rsidP="00E605BC">
      <w:pPr>
        <w:spacing w:line="360" w:lineRule="auto"/>
        <w:contextualSpacing/>
        <w:jc w:val="both"/>
        <w:rPr>
          <w:rFonts w:ascii="Palatino Linotype" w:hAnsi="Palatino Linotype"/>
          <w:sz w:val="22"/>
          <w:szCs w:val="22"/>
        </w:rPr>
      </w:pPr>
    </w:p>
    <w:p w14:paraId="0DAE68C9" w14:textId="77777777" w:rsidR="00AF741C" w:rsidRPr="00AF741C" w:rsidRDefault="00AF741C" w:rsidP="00E605BC">
      <w:pPr>
        <w:spacing w:line="360" w:lineRule="auto"/>
        <w:contextualSpacing/>
        <w:jc w:val="both"/>
        <w:rPr>
          <w:rFonts w:ascii="Palatino Linotype" w:hAnsi="Palatino Linotype"/>
          <w:sz w:val="22"/>
          <w:szCs w:val="22"/>
        </w:rPr>
      </w:pPr>
      <w:r w:rsidRPr="00AF741C">
        <w:rPr>
          <w:rFonts w:ascii="Palatino Linotype" w:hAnsi="Palatino Linotype"/>
          <w:sz w:val="22"/>
          <w:szCs w:val="22"/>
        </w:rPr>
        <w:t>Conforme a lo anterior, se advierte lo siguiente:</w:t>
      </w:r>
    </w:p>
    <w:p w14:paraId="76F69120" w14:textId="77777777" w:rsidR="00AF741C" w:rsidRPr="00AF741C" w:rsidRDefault="00AF741C" w:rsidP="00E605BC">
      <w:pPr>
        <w:spacing w:line="360" w:lineRule="auto"/>
        <w:contextualSpacing/>
        <w:jc w:val="both"/>
        <w:rPr>
          <w:rFonts w:ascii="Palatino Linotype" w:hAnsi="Palatino Linotype"/>
          <w:sz w:val="22"/>
          <w:szCs w:val="22"/>
        </w:rPr>
      </w:pPr>
    </w:p>
    <w:p w14:paraId="6C2A7BF9" w14:textId="77777777" w:rsidR="00AF741C" w:rsidRPr="00AF741C" w:rsidRDefault="00AF741C" w:rsidP="00E605BC">
      <w:pPr>
        <w:pStyle w:val="Prrafodelista"/>
        <w:numPr>
          <w:ilvl w:val="0"/>
          <w:numId w:val="11"/>
        </w:numPr>
        <w:spacing w:line="360" w:lineRule="auto"/>
        <w:jc w:val="both"/>
        <w:rPr>
          <w:rFonts w:ascii="Palatino Linotype" w:hAnsi="Palatino Linotype"/>
          <w:sz w:val="22"/>
          <w:szCs w:val="22"/>
        </w:rPr>
      </w:pPr>
      <w:r w:rsidRPr="00AF741C">
        <w:rPr>
          <w:rFonts w:ascii="Palatino Linotype" w:hAnsi="Palatino Linotype"/>
          <w:b/>
          <w:sz w:val="22"/>
          <w:szCs w:val="22"/>
        </w:rPr>
        <w:t>Fundamentación:</w:t>
      </w:r>
      <w:r w:rsidRPr="00AF741C">
        <w:rPr>
          <w:rFonts w:ascii="Palatino Linotype" w:hAnsi="Palatino Linotype"/>
          <w:sz w:val="22"/>
          <w:szCs w:val="22"/>
        </w:rPr>
        <w:t xml:space="preserve"> Obligación de la autoridad que emite un acto, para citar los preceptos legales, sustantivos y adjetivos, en que se apoye para la determinación tomada.</w:t>
      </w:r>
    </w:p>
    <w:p w14:paraId="34E2E955" w14:textId="77777777" w:rsidR="00AF741C" w:rsidRPr="00AF741C" w:rsidRDefault="00AF741C" w:rsidP="00E605BC">
      <w:pPr>
        <w:spacing w:line="360" w:lineRule="auto"/>
        <w:contextualSpacing/>
        <w:jc w:val="both"/>
        <w:rPr>
          <w:rFonts w:ascii="Palatino Linotype" w:hAnsi="Palatino Linotype"/>
          <w:sz w:val="22"/>
          <w:szCs w:val="22"/>
        </w:rPr>
      </w:pPr>
    </w:p>
    <w:p w14:paraId="001E2EAF" w14:textId="77777777" w:rsidR="00AF741C" w:rsidRPr="00AF741C" w:rsidRDefault="00AF741C" w:rsidP="00E605BC">
      <w:pPr>
        <w:pStyle w:val="Prrafodelista"/>
        <w:numPr>
          <w:ilvl w:val="0"/>
          <w:numId w:val="11"/>
        </w:numPr>
        <w:spacing w:line="360" w:lineRule="auto"/>
        <w:jc w:val="both"/>
        <w:rPr>
          <w:rFonts w:ascii="Palatino Linotype" w:hAnsi="Palatino Linotype"/>
          <w:sz w:val="22"/>
          <w:szCs w:val="22"/>
        </w:rPr>
      </w:pPr>
      <w:r w:rsidRPr="00AF741C">
        <w:rPr>
          <w:rFonts w:ascii="Palatino Linotype" w:hAnsi="Palatino Linotype"/>
          <w:b/>
          <w:sz w:val="22"/>
          <w:szCs w:val="22"/>
        </w:rPr>
        <w:t>Motivación:</w:t>
      </w:r>
      <w:r w:rsidRPr="00AF741C">
        <w:rPr>
          <w:rFonts w:ascii="Palatino Linotype" w:hAnsi="Palatino Linotype"/>
          <w:sz w:val="22"/>
          <w:szCs w:val="22"/>
        </w:rPr>
        <w:t xml:space="preserve"> Razonamientos lógico-jurídicos sobre porque se consideró en el caso en concreto, que se ajusta a la hipótesis normativa.</w:t>
      </w:r>
    </w:p>
    <w:p w14:paraId="20F1AA05" w14:textId="77777777" w:rsidR="00AF741C" w:rsidRPr="00AF741C" w:rsidRDefault="00AF741C" w:rsidP="00E605BC">
      <w:pPr>
        <w:spacing w:line="360" w:lineRule="auto"/>
        <w:contextualSpacing/>
        <w:jc w:val="both"/>
        <w:rPr>
          <w:rFonts w:ascii="Palatino Linotype" w:hAnsi="Palatino Linotype"/>
          <w:color w:val="FF0000"/>
          <w:sz w:val="22"/>
          <w:szCs w:val="22"/>
        </w:rPr>
      </w:pPr>
    </w:p>
    <w:p w14:paraId="72144F5E" w14:textId="77777777" w:rsidR="00AF741C" w:rsidRPr="00AF741C" w:rsidRDefault="00AF741C" w:rsidP="00E605BC">
      <w:pPr>
        <w:spacing w:line="360" w:lineRule="auto"/>
        <w:contextualSpacing/>
        <w:jc w:val="both"/>
        <w:rPr>
          <w:rFonts w:ascii="Palatino Linotype" w:hAnsi="Palatino Linotype"/>
          <w:sz w:val="22"/>
          <w:szCs w:val="22"/>
        </w:rPr>
      </w:pPr>
      <w:r w:rsidRPr="00AF741C">
        <w:rPr>
          <w:rFonts w:ascii="Palatino Linotype" w:hAnsi="Palatino Linotype"/>
          <w:sz w:val="22"/>
          <w:szCs w:val="22"/>
        </w:rPr>
        <w:t>En ese orden de ideas, el Trigésimo tercero de los Lineamientos Generales previamente señalados, establece la forma en que se debe fundamentar y motivar la reserva de la información, es decir, a través de los siguientes pasos:</w:t>
      </w:r>
    </w:p>
    <w:p w14:paraId="1035B14D" w14:textId="77777777" w:rsidR="00AF741C" w:rsidRPr="00AF741C" w:rsidRDefault="00AF741C" w:rsidP="00E605BC">
      <w:pPr>
        <w:spacing w:line="360" w:lineRule="auto"/>
        <w:contextualSpacing/>
        <w:jc w:val="both"/>
        <w:rPr>
          <w:rFonts w:ascii="Palatino Linotype" w:hAnsi="Palatino Linotype"/>
          <w:sz w:val="22"/>
          <w:szCs w:val="22"/>
        </w:rPr>
      </w:pPr>
    </w:p>
    <w:p w14:paraId="76DF9D07" w14:textId="77777777" w:rsidR="00AF741C" w:rsidRDefault="00AF741C" w:rsidP="00E605BC">
      <w:pPr>
        <w:pStyle w:val="Prrafodelista"/>
        <w:numPr>
          <w:ilvl w:val="0"/>
          <w:numId w:val="12"/>
        </w:numPr>
        <w:spacing w:line="360" w:lineRule="auto"/>
        <w:jc w:val="both"/>
        <w:rPr>
          <w:rFonts w:ascii="Palatino Linotype" w:hAnsi="Palatino Linotype"/>
          <w:sz w:val="22"/>
          <w:szCs w:val="22"/>
        </w:rPr>
      </w:pPr>
      <w:r w:rsidRPr="00AF741C">
        <w:rPr>
          <w:rFonts w:ascii="Palatino Linotype" w:hAnsi="Palatino Linotype"/>
          <w:sz w:val="22"/>
          <w:szCs w:val="22"/>
        </w:rPr>
        <w:t xml:space="preserve">Se deberá demostrar que la publicidad de la información generaría un riesgo de perjuicio, que rebasa el interés público; </w:t>
      </w:r>
    </w:p>
    <w:p w14:paraId="47E9C958" w14:textId="77777777" w:rsidR="00C82E2A" w:rsidRPr="00AF741C" w:rsidRDefault="00C82E2A" w:rsidP="00E605BC">
      <w:pPr>
        <w:pStyle w:val="Prrafodelista"/>
        <w:spacing w:line="360" w:lineRule="auto"/>
        <w:jc w:val="both"/>
        <w:rPr>
          <w:rFonts w:ascii="Palatino Linotype" w:hAnsi="Palatino Linotype"/>
          <w:sz w:val="22"/>
          <w:szCs w:val="22"/>
        </w:rPr>
      </w:pPr>
    </w:p>
    <w:p w14:paraId="7B980F60" w14:textId="77777777" w:rsidR="00AF741C" w:rsidRPr="00AF741C" w:rsidRDefault="00AF741C" w:rsidP="00E605BC">
      <w:pPr>
        <w:pStyle w:val="Prrafodelista"/>
        <w:numPr>
          <w:ilvl w:val="0"/>
          <w:numId w:val="12"/>
        </w:numPr>
        <w:spacing w:line="360" w:lineRule="auto"/>
        <w:jc w:val="both"/>
        <w:rPr>
          <w:rFonts w:ascii="Palatino Linotype" w:hAnsi="Palatino Linotype"/>
          <w:sz w:val="22"/>
          <w:szCs w:val="22"/>
        </w:rPr>
      </w:pPr>
      <w:r w:rsidRPr="00AF741C">
        <w:rPr>
          <w:rFonts w:ascii="Palatino Linotype" w:hAnsi="Palatino Linotype"/>
          <w:sz w:val="22"/>
          <w:szCs w:val="22"/>
        </w:rPr>
        <w:t xml:space="preserve">Se acreditará el vínculo entre la difusión de la información y la afectación del interés jurídico tutelado; </w:t>
      </w:r>
    </w:p>
    <w:p w14:paraId="1392BD34" w14:textId="77777777" w:rsidR="00AF741C" w:rsidRPr="00AF741C" w:rsidRDefault="00AF741C" w:rsidP="00E605BC">
      <w:pPr>
        <w:pStyle w:val="Prrafodelista"/>
        <w:spacing w:line="360" w:lineRule="auto"/>
        <w:jc w:val="both"/>
        <w:rPr>
          <w:rFonts w:ascii="Palatino Linotype" w:hAnsi="Palatino Linotype"/>
          <w:sz w:val="22"/>
          <w:szCs w:val="22"/>
        </w:rPr>
      </w:pPr>
    </w:p>
    <w:p w14:paraId="7F7139F2" w14:textId="77777777" w:rsidR="00AF741C" w:rsidRPr="00AF741C" w:rsidRDefault="00AF741C" w:rsidP="00E605BC">
      <w:pPr>
        <w:pStyle w:val="Prrafodelista"/>
        <w:numPr>
          <w:ilvl w:val="0"/>
          <w:numId w:val="12"/>
        </w:numPr>
        <w:spacing w:line="360" w:lineRule="auto"/>
        <w:jc w:val="both"/>
        <w:rPr>
          <w:rFonts w:ascii="Palatino Linotype" w:hAnsi="Palatino Linotype"/>
          <w:sz w:val="22"/>
          <w:szCs w:val="22"/>
        </w:rPr>
      </w:pPr>
      <w:r w:rsidRPr="00AF741C">
        <w:rPr>
          <w:rFonts w:ascii="Palatino Linotype" w:hAnsi="Palatino Linotype"/>
          <w:sz w:val="22"/>
          <w:szCs w:val="22"/>
        </w:rPr>
        <w:t xml:space="preserve">Se precisará las razones objetivas por las que la apertura de la información generaría una afectación, por medio del riesgo real, demostrable e identificable; </w:t>
      </w:r>
    </w:p>
    <w:p w14:paraId="791570B6" w14:textId="77777777" w:rsidR="00AF741C" w:rsidRPr="00C82E2A" w:rsidRDefault="00AF741C" w:rsidP="00E605BC">
      <w:pPr>
        <w:spacing w:line="360" w:lineRule="auto"/>
        <w:contextualSpacing/>
        <w:jc w:val="both"/>
        <w:rPr>
          <w:rFonts w:ascii="Palatino Linotype" w:hAnsi="Palatino Linotype"/>
          <w:sz w:val="22"/>
          <w:szCs w:val="22"/>
        </w:rPr>
      </w:pPr>
    </w:p>
    <w:p w14:paraId="4691E277" w14:textId="77777777" w:rsidR="00AF741C" w:rsidRPr="00AF741C" w:rsidRDefault="00AF741C" w:rsidP="00E605BC">
      <w:pPr>
        <w:pStyle w:val="Prrafodelista"/>
        <w:numPr>
          <w:ilvl w:val="0"/>
          <w:numId w:val="12"/>
        </w:numPr>
        <w:spacing w:line="360" w:lineRule="auto"/>
        <w:jc w:val="both"/>
        <w:rPr>
          <w:rFonts w:ascii="Palatino Linotype" w:hAnsi="Palatino Linotype"/>
          <w:sz w:val="22"/>
          <w:szCs w:val="22"/>
        </w:rPr>
      </w:pPr>
      <w:r w:rsidRPr="00AF741C">
        <w:rPr>
          <w:rFonts w:ascii="Palatino Linotype" w:hAnsi="Palatino Linotype"/>
          <w:sz w:val="22"/>
          <w:szCs w:val="22"/>
        </w:rPr>
        <w:t xml:space="preserve">Se deberán señalar las circunstancias de modo, tiempo y lugar del daño, y </w:t>
      </w:r>
    </w:p>
    <w:p w14:paraId="65A9BBE1" w14:textId="77777777" w:rsidR="00AF741C" w:rsidRPr="00AF741C" w:rsidRDefault="00AF741C" w:rsidP="00E605BC">
      <w:pPr>
        <w:pStyle w:val="Prrafodelista"/>
        <w:spacing w:line="360" w:lineRule="auto"/>
        <w:jc w:val="both"/>
        <w:rPr>
          <w:rFonts w:ascii="Palatino Linotype" w:hAnsi="Palatino Linotype"/>
          <w:sz w:val="22"/>
          <w:szCs w:val="22"/>
        </w:rPr>
      </w:pPr>
    </w:p>
    <w:p w14:paraId="7E0B68E7" w14:textId="0FB3675D" w:rsidR="003B08D1" w:rsidRPr="00C82E2A" w:rsidRDefault="00AF741C" w:rsidP="00E605BC">
      <w:pPr>
        <w:pStyle w:val="Prrafodelista"/>
        <w:numPr>
          <w:ilvl w:val="0"/>
          <w:numId w:val="12"/>
        </w:numPr>
        <w:spacing w:line="360" w:lineRule="auto"/>
        <w:jc w:val="both"/>
        <w:rPr>
          <w:rFonts w:ascii="Palatino Linotype" w:hAnsi="Palatino Linotype"/>
          <w:sz w:val="22"/>
          <w:szCs w:val="22"/>
        </w:rPr>
      </w:pPr>
      <w:r w:rsidRPr="00AF741C">
        <w:rPr>
          <w:rFonts w:ascii="Palatino Linotype" w:hAnsi="Palatino Linotype"/>
          <w:sz w:val="22"/>
          <w:szCs w:val="22"/>
        </w:rPr>
        <w:lastRenderedPageBreak/>
        <w:t>Se elegirá la opción de excepción al acceso a la información que menos restrinja, la cual será adecuada y proporcional para la protección del interés público.</w:t>
      </w:r>
    </w:p>
    <w:p w14:paraId="5D8DB3A9" w14:textId="77777777" w:rsidR="00AF741C" w:rsidRDefault="00AF741C" w:rsidP="00E605BC">
      <w:pPr>
        <w:tabs>
          <w:tab w:val="left" w:pos="4962"/>
        </w:tabs>
        <w:spacing w:line="360" w:lineRule="auto"/>
        <w:contextualSpacing/>
        <w:jc w:val="both"/>
        <w:rPr>
          <w:rFonts w:ascii="Palatino Linotype" w:hAnsi="Palatino Linotype"/>
          <w:noProof/>
          <w:sz w:val="22"/>
          <w:szCs w:val="22"/>
          <w14:ligatures w14:val="standardContextual"/>
        </w:rPr>
      </w:pPr>
    </w:p>
    <w:p w14:paraId="64AB91D9" w14:textId="0935E27F" w:rsidR="00C82E2A" w:rsidRPr="00C82E2A" w:rsidRDefault="00C82E2A" w:rsidP="00E605BC">
      <w:pPr>
        <w:spacing w:line="360" w:lineRule="auto"/>
        <w:contextualSpacing/>
        <w:jc w:val="both"/>
        <w:rPr>
          <w:rFonts w:ascii="Palatino Linotype" w:hAnsi="Palatino Linotype"/>
          <w:sz w:val="22"/>
          <w:szCs w:val="22"/>
        </w:rPr>
      </w:pPr>
      <w:r w:rsidRPr="00C82E2A">
        <w:rPr>
          <w:rFonts w:ascii="Palatino Linotype" w:hAnsi="Palatino Linotype"/>
          <w:sz w:val="22"/>
          <w:szCs w:val="22"/>
        </w:rPr>
        <w:t>Así, el análisis de la reserva de la información, será realizado tomando en consideración, la causal de clasificación establecida en el artículo 140, fracciones VIII de la Ley de Transparencia y Acceso a la Información Pública del Estado de México y Municipios (homólogo al 113, fracción XI, de la Ley General de Transparencia y Acceso a la Información Pública), misma que establece que será información reservada, aquella que vulnere la conducción de los procedimientos administrativos seguidos en forma de juicio, en tanto no hayan causado estado.</w:t>
      </w:r>
    </w:p>
    <w:p w14:paraId="25072B4B" w14:textId="77777777" w:rsidR="00C82E2A" w:rsidRPr="00C82E2A" w:rsidRDefault="00C82E2A" w:rsidP="00E605BC">
      <w:pPr>
        <w:spacing w:line="360" w:lineRule="auto"/>
        <w:contextualSpacing/>
        <w:jc w:val="both"/>
        <w:rPr>
          <w:rFonts w:ascii="Palatino Linotype" w:hAnsi="Palatino Linotype"/>
          <w:sz w:val="22"/>
          <w:szCs w:val="22"/>
        </w:rPr>
      </w:pPr>
    </w:p>
    <w:p w14:paraId="1F14A095" w14:textId="77777777" w:rsidR="00C82E2A" w:rsidRPr="00C82E2A" w:rsidRDefault="00C82E2A" w:rsidP="00E605BC">
      <w:pPr>
        <w:spacing w:line="360" w:lineRule="auto"/>
        <w:contextualSpacing/>
        <w:jc w:val="both"/>
        <w:rPr>
          <w:rFonts w:ascii="Palatino Linotype" w:hAnsi="Palatino Linotype"/>
          <w:sz w:val="22"/>
          <w:szCs w:val="22"/>
        </w:rPr>
      </w:pPr>
      <w:r w:rsidRPr="00C82E2A">
        <w:rPr>
          <w:rFonts w:ascii="Palatino Linotype" w:hAnsi="Palatino Linotype"/>
          <w:sz w:val="22"/>
          <w:szCs w:val="22"/>
        </w:rPr>
        <w:t>En ese sentido, los Lineamientos Generales prevén lo siguiente:</w:t>
      </w:r>
    </w:p>
    <w:p w14:paraId="756140C7" w14:textId="77777777" w:rsidR="00C82E2A" w:rsidRPr="00C82E2A" w:rsidRDefault="00C82E2A" w:rsidP="00E605BC">
      <w:pPr>
        <w:spacing w:line="360" w:lineRule="auto"/>
        <w:contextualSpacing/>
        <w:jc w:val="both"/>
        <w:rPr>
          <w:rFonts w:ascii="Palatino Linotype" w:hAnsi="Palatino Linotype"/>
          <w:sz w:val="22"/>
          <w:szCs w:val="22"/>
        </w:rPr>
      </w:pPr>
    </w:p>
    <w:p w14:paraId="2EFF0B87" w14:textId="77777777" w:rsidR="00C82E2A" w:rsidRPr="00C82E2A" w:rsidRDefault="00C82E2A" w:rsidP="00E605BC">
      <w:pPr>
        <w:spacing w:line="360" w:lineRule="auto"/>
        <w:ind w:left="567" w:right="567"/>
        <w:contextualSpacing/>
        <w:jc w:val="both"/>
        <w:rPr>
          <w:rFonts w:ascii="Palatino Linotype" w:hAnsi="Palatino Linotype" w:cs="Arial"/>
          <w:bCs/>
          <w:i/>
          <w:iCs/>
        </w:rPr>
      </w:pPr>
      <w:r w:rsidRPr="00C82E2A">
        <w:rPr>
          <w:rFonts w:ascii="Palatino Linotype" w:hAnsi="Palatino Linotype" w:cs="Arial"/>
          <w:b/>
          <w:bCs/>
          <w:i/>
          <w:iCs/>
        </w:rPr>
        <w:t>“Trigésimo.</w:t>
      </w:r>
      <w:r w:rsidRPr="00C82E2A">
        <w:rPr>
          <w:rFonts w:ascii="Palatino Linotype" w:hAnsi="Palatino Linotype" w:cs="Arial"/>
          <w:bCs/>
          <w:i/>
          <w:iCs/>
        </w:rPr>
        <w:t xml:space="preserve"> De conformidad con el artículo 113, fracción XI de la Ley General, podrá considerarse como información reservada, aquella que vulnere la conducción de los expedientes judiciales o de los procedimientos administrativos seguidos en forma de juicio, siempre y cuando se acrediten los siguientes elementos: </w:t>
      </w:r>
    </w:p>
    <w:p w14:paraId="096A0FFD" w14:textId="77777777" w:rsidR="00C82E2A" w:rsidRPr="00C82E2A" w:rsidRDefault="00C82E2A" w:rsidP="00E605BC">
      <w:pPr>
        <w:pStyle w:val="Prrafodelista"/>
        <w:numPr>
          <w:ilvl w:val="0"/>
          <w:numId w:val="14"/>
        </w:numPr>
        <w:spacing w:line="360" w:lineRule="auto"/>
        <w:ind w:right="567"/>
        <w:jc w:val="both"/>
        <w:rPr>
          <w:rFonts w:ascii="Palatino Linotype" w:hAnsi="Palatino Linotype" w:cs="Arial"/>
          <w:bCs/>
          <w:i/>
          <w:iCs/>
        </w:rPr>
      </w:pPr>
      <w:r w:rsidRPr="00C82E2A">
        <w:rPr>
          <w:rFonts w:ascii="Palatino Linotype" w:hAnsi="Palatino Linotype" w:cs="Arial"/>
          <w:bCs/>
          <w:i/>
          <w:iCs/>
        </w:rPr>
        <w:t xml:space="preserve">La existencia de un juicio o procedimiento administrativo materialmente jurisdiccional, que se encuentre en trámite; </w:t>
      </w:r>
    </w:p>
    <w:p w14:paraId="641C8101" w14:textId="024042B6" w:rsidR="00C82E2A" w:rsidRPr="005B5647" w:rsidRDefault="00C82E2A" w:rsidP="00E605BC">
      <w:pPr>
        <w:pStyle w:val="Prrafodelista"/>
        <w:numPr>
          <w:ilvl w:val="0"/>
          <w:numId w:val="14"/>
        </w:numPr>
        <w:spacing w:line="360" w:lineRule="auto"/>
        <w:ind w:right="567"/>
        <w:jc w:val="both"/>
        <w:rPr>
          <w:rFonts w:ascii="Palatino Linotype" w:hAnsi="Palatino Linotype" w:cs="Arial"/>
          <w:bCs/>
          <w:i/>
          <w:iCs/>
        </w:rPr>
      </w:pPr>
      <w:r w:rsidRPr="00C82E2A">
        <w:rPr>
          <w:rFonts w:ascii="Palatino Linotype" w:hAnsi="Palatino Linotype" w:cs="Arial"/>
          <w:bCs/>
          <w:i/>
          <w:iCs/>
        </w:rPr>
        <w:t>Que la información solicitada se refiera a actuaciones, diligencias o constancias propias del procedimiento; y</w:t>
      </w:r>
    </w:p>
    <w:p w14:paraId="4282B905" w14:textId="376FB0A4" w:rsidR="00C82E2A" w:rsidRPr="005B5647" w:rsidRDefault="00C82E2A" w:rsidP="00E605BC">
      <w:pPr>
        <w:pStyle w:val="Prrafodelista"/>
        <w:numPr>
          <w:ilvl w:val="0"/>
          <w:numId w:val="14"/>
        </w:numPr>
        <w:spacing w:line="360" w:lineRule="auto"/>
        <w:ind w:right="567"/>
        <w:jc w:val="both"/>
        <w:rPr>
          <w:rFonts w:ascii="Palatino Linotype" w:hAnsi="Palatino Linotype" w:cs="Arial"/>
          <w:bCs/>
          <w:i/>
          <w:iCs/>
        </w:rPr>
      </w:pPr>
      <w:r w:rsidRPr="00C82E2A">
        <w:rPr>
          <w:rFonts w:ascii="Palatino Linotype" w:hAnsi="Palatino Linotype" w:cs="Arial"/>
          <w:bCs/>
          <w:i/>
          <w:iCs/>
        </w:rPr>
        <w:t>Que su difusión afecte o interrumpa la libertad de decisión de las autoridades dentro del juicio o procedimiento administrativo seguido en forma de juicio.</w:t>
      </w:r>
    </w:p>
    <w:p w14:paraId="6E3305D1" w14:textId="77777777" w:rsidR="0013058E" w:rsidRDefault="0013058E" w:rsidP="00E605BC">
      <w:pPr>
        <w:spacing w:line="360" w:lineRule="auto"/>
        <w:ind w:right="567"/>
        <w:contextualSpacing/>
        <w:jc w:val="both"/>
        <w:rPr>
          <w:rFonts w:ascii="Palatino Linotype" w:hAnsi="Palatino Linotype" w:cs="Arial"/>
          <w:bCs/>
          <w:i/>
          <w:iCs/>
        </w:rPr>
      </w:pPr>
    </w:p>
    <w:p w14:paraId="33899149" w14:textId="04CE0218" w:rsidR="00C82E2A" w:rsidRPr="0013058E" w:rsidRDefault="00C82E2A" w:rsidP="00E605BC">
      <w:pPr>
        <w:spacing w:line="360" w:lineRule="auto"/>
        <w:ind w:left="708" w:right="567"/>
        <w:contextualSpacing/>
        <w:jc w:val="both"/>
        <w:rPr>
          <w:rFonts w:ascii="Palatino Linotype" w:hAnsi="Palatino Linotype" w:cs="Arial"/>
          <w:bCs/>
          <w:i/>
          <w:iCs/>
        </w:rPr>
      </w:pPr>
      <w:r w:rsidRPr="0013058E">
        <w:rPr>
          <w:rFonts w:ascii="Palatino Linotype" w:hAnsi="Palatino Linotype" w:cs="Arial"/>
          <w:bCs/>
          <w:i/>
          <w:iCs/>
        </w:rPr>
        <w:t xml:space="preserve">Para los efectos del primer párrafo de este numeral, se considera procedimiento seguido en forma de juicio a aquel formalmente administrativo, pero materialmente jurisdiccional; esto es, en el que concurran los siguientes elementos: </w:t>
      </w:r>
    </w:p>
    <w:p w14:paraId="256102DE" w14:textId="77777777" w:rsidR="005B5647" w:rsidRPr="00C82E2A" w:rsidRDefault="005B5647" w:rsidP="00E605BC">
      <w:pPr>
        <w:pStyle w:val="Prrafodelista"/>
        <w:spacing w:line="360" w:lineRule="auto"/>
        <w:ind w:left="1287" w:right="567"/>
        <w:jc w:val="both"/>
        <w:rPr>
          <w:rFonts w:ascii="Palatino Linotype" w:hAnsi="Palatino Linotype" w:cs="Arial"/>
          <w:bCs/>
          <w:i/>
          <w:iCs/>
        </w:rPr>
      </w:pPr>
    </w:p>
    <w:p w14:paraId="2D500028" w14:textId="343D37E2" w:rsidR="005B5647" w:rsidRPr="005B5647" w:rsidRDefault="00C82E2A" w:rsidP="00E605BC">
      <w:pPr>
        <w:pStyle w:val="Prrafodelista"/>
        <w:numPr>
          <w:ilvl w:val="0"/>
          <w:numId w:val="15"/>
        </w:numPr>
        <w:spacing w:line="360" w:lineRule="auto"/>
        <w:ind w:right="567"/>
        <w:jc w:val="both"/>
        <w:rPr>
          <w:rFonts w:ascii="Palatino Linotype" w:hAnsi="Palatino Linotype" w:cs="Arial"/>
          <w:bCs/>
          <w:i/>
          <w:iCs/>
        </w:rPr>
      </w:pPr>
      <w:r w:rsidRPr="00C82E2A">
        <w:rPr>
          <w:rFonts w:ascii="Palatino Linotype" w:hAnsi="Palatino Linotype" w:cs="Arial"/>
          <w:bCs/>
          <w:i/>
          <w:iCs/>
        </w:rPr>
        <w:lastRenderedPageBreak/>
        <w:t xml:space="preserve">Que se trate de un procedimiento en el que la autoridad dirima una controversia entre partes contendientes, así como los procedimientos en que la autoridad, frente al particular, prepare su resolución definitiva, aunque sólo sea un trámite para cumplir con la garantía de audiencia, y </w:t>
      </w:r>
    </w:p>
    <w:p w14:paraId="1048B14F" w14:textId="77777777" w:rsidR="00C82E2A" w:rsidRPr="00C82E2A" w:rsidRDefault="00C82E2A" w:rsidP="00E605BC">
      <w:pPr>
        <w:pStyle w:val="Prrafodelista"/>
        <w:numPr>
          <w:ilvl w:val="0"/>
          <w:numId w:val="15"/>
        </w:numPr>
        <w:spacing w:line="360" w:lineRule="auto"/>
        <w:ind w:right="567"/>
        <w:jc w:val="both"/>
        <w:rPr>
          <w:rFonts w:ascii="Palatino Linotype" w:hAnsi="Palatino Linotype" w:cs="Arial"/>
          <w:bCs/>
          <w:i/>
          <w:iCs/>
        </w:rPr>
      </w:pPr>
      <w:r w:rsidRPr="00C82E2A">
        <w:rPr>
          <w:rFonts w:ascii="Palatino Linotype" w:hAnsi="Palatino Linotype" w:cs="Arial"/>
          <w:bCs/>
          <w:i/>
          <w:iCs/>
        </w:rPr>
        <w:t>Que se cumplan las formalidades esenciales del procedimiento.</w:t>
      </w:r>
    </w:p>
    <w:p w14:paraId="4FC6E436" w14:textId="77777777" w:rsidR="00C82E2A" w:rsidRPr="00C82E2A" w:rsidRDefault="00C82E2A" w:rsidP="00E605BC">
      <w:pPr>
        <w:pStyle w:val="Prrafodelista"/>
        <w:spacing w:line="360" w:lineRule="auto"/>
        <w:ind w:left="1287" w:right="567"/>
        <w:jc w:val="both"/>
        <w:rPr>
          <w:rFonts w:ascii="Palatino Linotype" w:hAnsi="Palatino Linotype" w:cs="Arial"/>
          <w:bCs/>
          <w:i/>
          <w:iCs/>
        </w:rPr>
      </w:pPr>
    </w:p>
    <w:p w14:paraId="1C2DD485" w14:textId="77777777" w:rsidR="00C82E2A" w:rsidRPr="00C82E2A" w:rsidRDefault="00C82E2A" w:rsidP="00E605BC">
      <w:pPr>
        <w:pStyle w:val="Prrafodelista"/>
        <w:spacing w:line="360" w:lineRule="auto"/>
        <w:ind w:left="1287" w:right="567"/>
        <w:jc w:val="both"/>
        <w:rPr>
          <w:rFonts w:ascii="Palatino Linotype" w:hAnsi="Palatino Linotype" w:cs="Arial"/>
          <w:bCs/>
          <w:i/>
          <w:iCs/>
        </w:rPr>
      </w:pPr>
      <w:r w:rsidRPr="00C82E2A">
        <w:rPr>
          <w:rFonts w:ascii="Palatino Linotype" w:hAnsi="Palatino Linotype" w:cs="Arial"/>
          <w:bCs/>
          <w:i/>
          <w:iCs/>
        </w:rPr>
        <w:t>No serán objeto de reserva las resoluciones interlocutorias o definitivas que se dicten dentro de los procedimientos o con las que se concluya el mismo. En estos casos deberá otorgarse acceso a la resolución en versión pública, testando la información clasificada.”</w:t>
      </w:r>
    </w:p>
    <w:p w14:paraId="253EB12F" w14:textId="77777777" w:rsidR="00C82E2A" w:rsidRPr="00C82E2A" w:rsidRDefault="00C82E2A" w:rsidP="00E605BC">
      <w:pPr>
        <w:spacing w:line="360" w:lineRule="auto"/>
        <w:contextualSpacing/>
        <w:jc w:val="both"/>
        <w:rPr>
          <w:rFonts w:ascii="Palatino Linotype" w:hAnsi="Palatino Linotype"/>
          <w:sz w:val="22"/>
          <w:szCs w:val="22"/>
        </w:rPr>
      </w:pPr>
    </w:p>
    <w:p w14:paraId="71201AC2" w14:textId="77777777" w:rsidR="00C82E2A" w:rsidRPr="00C82E2A" w:rsidRDefault="00C82E2A" w:rsidP="00E605BC">
      <w:pPr>
        <w:spacing w:line="360" w:lineRule="auto"/>
        <w:contextualSpacing/>
        <w:jc w:val="both"/>
        <w:rPr>
          <w:rFonts w:ascii="Palatino Linotype" w:hAnsi="Palatino Linotype"/>
          <w:sz w:val="22"/>
          <w:szCs w:val="22"/>
        </w:rPr>
      </w:pPr>
      <w:r w:rsidRPr="00C82E2A">
        <w:rPr>
          <w:rFonts w:ascii="Palatino Linotype" w:hAnsi="Palatino Linotype"/>
          <w:sz w:val="22"/>
          <w:szCs w:val="22"/>
        </w:rPr>
        <w:t>De la normatividad citada, se desprende que el supuesto de clasificación invocado por el sujeto obligado, prevé que como información reservada podrá clasificarse aquella que vulnere la conducción de los expedientes judiciales o de los procedimientos administrativos seguidos en forma de juicio, en tanto no hayan causado estado. Por lo cual, para considerar que se actualiza dicha causal es necesario que se configuren los siguientes elementos:</w:t>
      </w:r>
    </w:p>
    <w:p w14:paraId="77AF77A3" w14:textId="77777777" w:rsidR="00C82E2A" w:rsidRPr="00C82E2A" w:rsidRDefault="00C82E2A" w:rsidP="00E605BC">
      <w:pPr>
        <w:spacing w:line="360" w:lineRule="auto"/>
        <w:contextualSpacing/>
        <w:jc w:val="both"/>
        <w:rPr>
          <w:rFonts w:ascii="Palatino Linotype" w:hAnsi="Palatino Linotype"/>
          <w:sz w:val="22"/>
          <w:szCs w:val="22"/>
        </w:rPr>
      </w:pPr>
    </w:p>
    <w:p w14:paraId="218DAF76" w14:textId="77777777" w:rsidR="00C82E2A" w:rsidRPr="00C82E2A" w:rsidRDefault="00C82E2A" w:rsidP="00E605BC">
      <w:pPr>
        <w:pStyle w:val="Prrafodelista"/>
        <w:numPr>
          <w:ilvl w:val="0"/>
          <w:numId w:val="16"/>
        </w:numPr>
        <w:spacing w:line="360" w:lineRule="auto"/>
        <w:jc w:val="both"/>
        <w:rPr>
          <w:rFonts w:ascii="Palatino Linotype" w:hAnsi="Palatino Linotype"/>
          <w:sz w:val="22"/>
          <w:szCs w:val="22"/>
        </w:rPr>
      </w:pPr>
      <w:r w:rsidRPr="00C82E2A">
        <w:rPr>
          <w:rFonts w:ascii="Palatino Linotype" w:hAnsi="Palatino Linotype"/>
          <w:sz w:val="22"/>
          <w:szCs w:val="22"/>
        </w:rPr>
        <w:t xml:space="preserve">La existencia de un juicio o procedimiento administrativo materialmente jurisdiccional, que se encuentre en trámite; </w:t>
      </w:r>
    </w:p>
    <w:p w14:paraId="53911676" w14:textId="77777777" w:rsidR="00C82E2A" w:rsidRPr="00C82E2A" w:rsidRDefault="00C82E2A" w:rsidP="00E605BC">
      <w:pPr>
        <w:spacing w:line="360" w:lineRule="auto"/>
        <w:contextualSpacing/>
        <w:jc w:val="both"/>
        <w:rPr>
          <w:rFonts w:ascii="Palatino Linotype" w:hAnsi="Palatino Linotype"/>
          <w:sz w:val="22"/>
          <w:szCs w:val="22"/>
        </w:rPr>
      </w:pPr>
    </w:p>
    <w:p w14:paraId="0017897C" w14:textId="77777777" w:rsidR="00C82E2A" w:rsidRPr="00C82E2A" w:rsidRDefault="00C82E2A" w:rsidP="00E605BC">
      <w:pPr>
        <w:pStyle w:val="Prrafodelista"/>
        <w:numPr>
          <w:ilvl w:val="0"/>
          <w:numId w:val="16"/>
        </w:numPr>
        <w:spacing w:line="360" w:lineRule="auto"/>
        <w:jc w:val="both"/>
        <w:rPr>
          <w:rFonts w:ascii="Palatino Linotype" w:hAnsi="Palatino Linotype"/>
          <w:sz w:val="22"/>
          <w:szCs w:val="22"/>
        </w:rPr>
      </w:pPr>
      <w:r w:rsidRPr="00C82E2A">
        <w:rPr>
          <w:rFonts w:ascii="Palatino Linotype" w:hAnsi="Palatino Linotype"/>
          <w:sz w:val="22"/>
          <w:szCs w:val="22"/>
        </w:rPr>
        <w:t>Que la información solicitada se refiera a actuaciones, diligencias o constancias propias del procedimiento, y</w:t>
      </w:r>
    </w:p>
    <w:p w14:paraId="2201FAA5" w14:textId="77777777" w:rsidR="00C82E2A" w:rsidRPr="00C82E2A" w:rsidRDefault="00C82E2A" w:rsidP="00E605BC">
      <w:pPr>
        <w:spacing w:line="360" w:lineRule="auto"/>
        <w:contextualSpacing/>
        <w:jc w:val="both"/>
        <w:rPr>
          <w:rFonts w:ascii="Palatino Linotype" w:hAnsi="Palatino Linotype"/>
          <w:sz w:val="22"/>
          <w:szCs w:val="22"/>
        </w:rPr>
      </w:pPr>
    </w:p>
    <w:p w14:paraId="40F93FF1" w14:textId="77777777" w:rsidR="00C82E2A" w:rsidRPr="00C82E2A" w:rsidRDefault="00C82E2A" w:rsidP="00E605BC">
      <w:pPr>
        <w:pStyle w:val="Prrafodelista"/>
        <w:numPr>
          <w:ilvl w:val="0"/>
          <w:numId w:val="16"/>
        </w:numPr>
        <w:spacing w:line="360" w:lineRule="auto"/>
        <w:jc w:val="both"/>
        <w:rPr>
          <w:rFonts w:ascii="Palatino Linotype" w:hAnsi="Palatino Linotype"/>
          <w:sz w:val="22"/>
          <w:szCs w:val="22"/>
        </w:rPr>
      </w:pPr>
      <w:r w:rsidRPr="00C82E2A">
        <w:rPr>
          <w:rFonts w:ascii="Palatino Linotype" w:hAnsi="Palatino Linotype"/>
          <w:sz w:val="22"/>
          <w:szCs w:val="22"/>
        </w:rPr>
        <w:t>Que su difusión afecte o interrumpa la libertad de decisión de las autoridades dentro del juicio o procedimiento administrativo seguido en forma de juicio.</w:t>
      </w:r>
    </w:p>
    <w:p w14:paraId="3516EA47" w14:textId="77777777" w:rsidR="00C82E2A" w:rsidRPr="00C82E2A" w:rsidRDefault="00C82E2A" w:rsidP="00E605BC">
      <w:pPr>
        <w:spacing w:line="360" w:lineRule="auto"/>
        <w:contextualSpacing/>
        <w:jc w:val="both"/>
        <w:rPr>
          <w:rFonts w:ascii="Palatino Linotype" w:hAnsi="Palatino Linotype"/>
          <w:color w:val="FF0000"/>
          <w:sz w:val="22"/>
          <w:szCs w:val="22"/>
        </w:rPr>
      </w:pPr>
    </w:p>
    <w:p w14:paraId="4B266495" w14:textId="77777777" w:rsidR="00C82E2A" w:rsidRPr="00C82E2A" w:rsidRDefault="00C82E2A" w:rsidP="00E605BC">
      <w:pPr>
        <w:spacing w:line="360" w:lineRule="auto"/>
        <w:contextualSpacing/>
        <w:jc w:val="both"/>
        <w:rPr>
          <w:rFonts w:ascii="Palatino Linotype" w:hAnsi="Palatino Linotype"/>
          <w:sz w:val="22"/>
          <w:szCs w:val="22"/>
        </w:rPr>
      </w:pPr>
      <w:r w:rsidRPr="00C82E2A">
        <w:rPr>
          <w:rFonts w:ascii="Palatino Linotype" w:hAnsi="Palatino Linotype"/>
          <w:sz w:val="22"/>
          <w:szCs w:val="22"/>
        </w:rPr>
        <w:t xml:space="preserve">Con base en lo expuesto, se advierte que la información susceptible de clasificarse como reservada bajo el supuesto aludido por el sujeto obligado, es aquella cuya difusión vulnere </w:t>
      </w:r>
      <w:r w:rsidRPr="00C82E2A">
        <w:rPr>
          <w:rFonts w:ascii="Palatino Linotype" w:hAnsi="Palatino Linotype"/>
          <w:sz w:val="22"/>
          <w:szCs w:val="22"/>
        </w:rPr>
        <w:lastRenderedPageBreak/>
        <w:t>la conducción de los expedientes judiciales o procedimientos administrativos seguidos en forma de juicio, en tanto no hayan causado estado.</w:t>
      </w:r>
    </w:p>
    <w:p w14:paraId="1AED8A36" w14:textId="77777777" w:rsidR="00C82E2A" w:rsidRPr="00C82E2A" w:rsidRDefault="00C82E2A" w:rsidP="00E605BC">
      <w:pPr>
        <w:spacing w:line="360" w:lineRule="auto"/>
        <w:contextualSpacing/>
        <w:jc w:val="both"/>
        <w:rPr>
          <w:rFonts w:ascii="Palatino Linotype" w:hAnsi="Palatino Linotype"/>
          <w:sz w:val="22"/>
          <w:szCs w:val="22"/>
        </w:rPr>
      </w:pPr>
    </w:p>
    <w:p w14:paraId="25DC0A8B" w14:textId="77777777" w:rsidR="00C82E2A" w:rsidRPr="00C82E2A" w:rsidRDefault="00C82E2A" w:rsidP="00E605BC">
      <w:pPr>
        <w:spacing w:line="360" w:lineRule="auto"/>
        <w:contextualSpacing/>
        <w:jc w:val="both"/>
        <w:rPr>
          <w:rFonts w:ascii="Palatino Linotype" w:hAnsi="Palatino Linotype"/>
          <w:sz w:val="22"/>
          <w:szCs w:val="22"/>
        </w:rPr>
      </w:pPr>
      <w:r w:rsidRPr="00C82E2A">
        <w:rPr>
          <w:rFonts w:ascii="Palatino Linotype" w:hAnsi="Palatino Linotype"/>
          <w:sz w:val="22"/>
          <w:szCs w:val="22"/>
        </w:rPr>
        <w:t>Ahora bien, es menester precisar que para que se trate de un juicio o procedimiento administrativo materialmente jurisdiccional, debe cumplirse con lo dispuesto en los Lineamientos Generales, así como lo sostenido por la Segunda Sala de la Suprema Corte de Justicia de la Nación, en la Tesis 2a./J. 22/2003, consistente en que un “procedimiento en forma de juicio”, debe entenderse lato sensu, no únicamente comprendiendo los procedimientos en que la autoridad dirime una controversia entre las partes, sino que deben incluir todos aquellos procedimientos en que una autoridad frente a la particular, prepara su resolución definitiva, aunque sólo sea un trámite para cumplir con la garantía de audiencia, tal como se muestra a continuación:</w:t>
      </w:r>
    </w:p>
    <w:p w14:paraId="058D3092" w14:textId="77777777" w:rsidR="00C82E2A" w:rsidRPr="00C82E2A" w:rsidRDefault="00C82E2A" w:rsidP="00E605BC">
      <w:pPr>
        <w:spacing w:line="360" w:lineRule="auto"/>
        <w:contextualSpacing/>
        <w:jc w:val="both"/>
        <w:rPr>
          <w:rFonts w:ascii="Palatino Linotype" w:hAnsi="Palatino Linotype"/>
          <w:sz w:val="22"/>
          <w:szCs w:val="22"/>
        </w:rPr>
      </w:pPr>
    </w:p>
    <w:p w14:paraId="148CFBC0" w14:textId="77777777" w:rsidR="00C82E2A" w:rsidRPr="00C82E2A" w:rsidRDefault="00C82E2A" w:rsidP="00E605BC">
      <w:pPr>
        <w:pStyle w:val="Prrafodelista"/>
        <w:spacing w:line="360" w:lineRule="auto"/>
        <w:ind w:left="567" w:right="567"/>
        <w:jc w:val="both"/>
        <w:rPr>
          <w:rFonts w:ascii="Palatino Linotype" w:hAnsi="Palatino Linotype" w:cs="Arial"/>
          <w:bCs/>
          <w:i/>
          <w:iCs/>
        </w:rPr>
      </w:pPr>
      <w:r w:rsidRPr="00C82E2A">
        <w:rPr>
          <w:rFonts w:ascii="Palatino Linotype" w:hAnsi="Palatino Linotype" w:cs="Arial"/>
          <w:bCs/>
          <w:i/>
          <w:iCs/>
        </w:rPr>
        <w:t xml:space="preserve">“PROCEDIMIENTOS EN FORMA DE JUICIO SEGUIDOS POR AUTORIDADES DISTINTAS DE TRIBUNALES A QUE SE REFIERE EL ARTÍCULO 114, FRACCIÓN II, PÁRRAFO SEGUNDO, DE LA LEY DE AMPARO. SU CONCEPTO COMPRENDE TANTO AQUELLOS EN QUE LA AUTORIDAD DIRIME UNA CONTROVERSIA ENTRE PARTES CONTENDIENTES, COMO LOS PROCEDIMIENTOS MEDIANTE LOS QUE LA AUTORIDAD PREPARA SU RESOLUCIÓN DEFINITIVA CON INTERVENCIÓN DEL PARTICULAR. La Ley de Amparo establece que tratándose de actos dentro de un procedimiento, la regla general, con algunas excepciones, es que el juicio constitucional sólo procede hasta la resolución definitiva, ocasión en la cual cabe alegar tanto violaciones de fondo como de procedimiento, sistema que tiene el propósito de armonizar la protección de las garantías constitucionales del gobernado, con la necesidad de asegurar la </w:t>
      </w:r>
      <w:proofErr w:type="spellStart"/>
      <w:r w:rsidRPr="00C82E2A">
        <w:rPr>
          <w:rFonts w:ascii="Palatino Linotype" w:hAnsi="Palatino Linotype" w:cs="Arial"/>
          <w:bCs/>
          <w:i/>
          <w:iCs/>
        </w:rPr>
        <w:t>expeditez</w:t>
      </w:r>
      <w:proofErr w:type="spellEnd"/>
      <w:r w:rsidRPr="00C82E2A">
        <w:rPr>
          <w:rFonts w:ascii="Palatino Linotype" w:hAnsi="Palatino Linotype" w:cs="Arial"/>
          <w:bCs/>
          <w:i/>
          <w:iCs/>
        </w:rPr>
        <w:t xml:space="preserve"> de las diligencias procedimentales. Tal es la estructura que dicha Ley adopta en el amparo directo, así como en los procedimientos de ejecución y en los procedimientos de remate, como lo establece en sus artículos 158 y 114, fracción III, respectivamente. Por tanto, al establecer el segundo párrafo de la fracción II del artículo 114 acabado de citar, que cuando el acto reclamado </w:t>
      </w:r>
      <w:r w:rsidRPr="00C82E2A">
        <w:rPr>
          <w:rFonts w:ascii="Palatino Linotype" w:hAnsi="Palatino Linotype" w:cs="Arial"/>
          <w:bCs/>
          <w:i/>
          <w:iCs/>
        </w:rPr>
        <w:lastRenderedPageBreak/>
        <w:t>de autoridades distintas de tribunales judiciales, administrativos o del trabajo, emanen de un procedimiento en forma de juicio, el amparo sólo procede en contra de la resolución definitiva, debe interpretarse de manera amplia la expresión "procedimiento en forma de juicio", comprendiendo aquellos en que la autoridad dirime una controversia entre partes contendientes, así como todos los procedimientos en que la autoridad, frente al particular, prepara su resolución definitiva, aunque sólo sea un trámite para cumplir con la garantía de audiencia, pues si en todos ellos se reclaman actos dentro de procedimiento, en todos debe de aplicarse la misma regla, conclusión que es acorde con la interpretación literal de dicho párrafo.”</w:t>
      </w:r>
    </w:p>
    <w:p w14:paraId="7FA2BCC1" w14:textId="77777777" w:rsidR="00C82E2A" w:rsidRPr="00C82E2A" w:rsidRDefault="00C82E2A" w:rsidP="00E605BC">
      <w:pPr>
        <w:spacing w:line="360" w:lineRule="auto"/>
        <w:contextualSpacing/>
        <w:jc w:val="both"/>
        <w:rPr>
          <w:rFonts w:ascii="Palatino Linotype" w:hAnsi="Palatino Linotype"/>
          <w:sz w:val="22"/>
          <w:szCs w:val="22"/>
        </w:rPr>
      </w:pPr>
    </w:p>
    <w:p w14:paraId="2130274F" w14:textId="77777777" w:rsidR="00C82E2A" w:rsidRPr="00C82E2A" w:rsidRDefault="00C82E2A" w:rsidP="00E605BC">
      <w:pPr>
        <w:spacing w:line="360" w:lineRule="auto"/>
        <w:contextualSpacing/>
        <w:jc w:val="both"/>
        <w:rPr>
          <w:rFonts w:ascii="Palatino Linotype" w:hAnsi="Palatino Linotype"/>
          <w:sz w:val="22"/>
          <w:szCs w:val="22"/>
        </w:rPr>
      </w:pPr>
      <w:r w:rsidRPr="00C82E2A">
        <w:rPr>
          <w:rFonts w:ascii="Palatino Linotype" w:hAnsi="Palatino Linotype"/>
          <w:sz w:val="22"/>
          <w:szCs w:val="22"/>
        </w:rPr>
        <w:t>Ahora bien, es necesario señalar que, respecto a las formalidades esenciales del procedimiento, el Pleno de la Suprema de Corte de Justicia de la Nación mediante tesis jurisprudencial P./J.47/95, publicada en el Semanario Judicial de la Federación y su Gaceta, novena época, t. II, diciembre de 1995, página 133; ha sostenido:</w:t>
      </w:r>
    </w:p>
    <w:p w14:paraId="4F60CA74" w14:textId="77777777" w:rsidR="00C82E2A" w:rsidRPr="00C82E2A" w:rsidRDefault="00C82E2A" w:rsidP="00E605BC">
      <w:pPr>
        <w:spacing w:line="360" w:lineRule="auto"/>
        <w:contextualSpacing/>
        <w:jc w:val="both"/>
        <w:rPr>
          <w:rFonts w:ascii="Palatino Linotype" w:hAnsi="Palatino Linotype"/>
          <w:sz w:val="22"/>
          <w:szCs w:val="22"/>
        </w:rPr>
      </w:pPr>
    </w:p>
    <w:p w14:paraId="4F43AC4A" w14:textId="77777777" w:rsidR="00C82E2A" w:rsidRPr="00C82E2A" w:rsidRDefault="00C82E2A" w:rsidP="00E605BC">
      <w:pPr>
        <w:pStyle w:val="Prrafodelista"/>
        <w:spacing w:line="360" w:lineRule="auto"/>
        <w:ind w:left="851" w:right="567"/>
        <w:jc w:val="both"/>
        <w:rPr>
          <w:rFonts w:ascii="Palatino Linotype" w:hAnsi="Palatino Linotype" w:cs="Arial"/>
          <w:bCs/>
          <w:i/>
          <w:iCs/>
        </w:rPr>
      </w:pPr>
      <w:r w:rsidRPr="00C82E2A">
        <w:rPr>
          <w:rFonts w:ascii="Palatino Linotype" w:hAnsi="Palatino Linotype" w:cs="Arial"/>
          <w:b/>
          <w:bCs/>
          <w:i/>
          <w:iCs/>
        </w:rPr>
        <w:t>“FORMALIDADES ESENCIALES DEL PROCEDIMIENTO. SON LAS QUE GARANTIZAN UNA ADECUADA Y OPORTUNA DEFENSA PREVIA AL ACTO PRIVATIVO</w:t>
      </w:r>
      <w:r w:rsidRPr="00C82E2A">
        <w:rPr>
          <w:rFonts w:ascii="Palatino Linotype" w:hAnsi="Palatino Linotype" w:cs="Arial"/>
          <w:bCs/>
          <w:i/>
          <w:iCs/>
        </w:rPr>
        <w:t>. La garantía de audiencia establecida por el artículo 14 constitucional consiste en otorgar al gobernado la oportunidad de defensa previamente al acto privativo de la vida, libertad, propiedad, posesiones o derechos, y su debido respeto impone a las autoridades, entre otras obligaciones, la de que en el juicio que se siga ‘se cumplan las formalidades esenciales del procedimiento’. Estas son las que resultan necesarias para garantizar la defensa adecuada antes del acto de privación y que, de manera genérica, se traducen en los siguientes requisitos: 1) La notificación del inicio del procedimiento y sus consecuencias; 2) La oportunidad de ofrecer y desahogar las pruebas en que se finque la defensa; 3) La oportunidad de alegar; y 4) El dictado de una resolución que dirima las cuestiones debatidas. De no respetarse estos requisitos, se dejaría de cumplir con el fin de la garantía de audiencia, que es evitar la indefensión del afectado.”</w:t>
      </w:r>
    </w:p>
    <w:p w14:paraId="72357F27" w14:textId="77777777" w:rsidR="00C82E2A" w:rsidRPr="00C82E2A" w:rsidRDefault="00C82E2A" w:rsidP="00E605BC">
      <w:pPr>
        <w:spacing w:line="360" w:lineRule="auto"/>
        <w:contextualSpacing/>
        <w:jc w:val="both"/>
        <w:rPr>
          <w:rFonts w:ascii="Palatino Linotype" w:hAnsi="Palatino Linotype"/>
          <w:sz w:val="22"/>
          <w:szCs w:val="22"/>
        </w:rPr>
      </w:pPr>
    </w:p>
    <w:p w14:paraId="095BE712" w14:textId="77777777" w:rsidR="00C82E2A" w:rsidRPr="00C82E2A" w:rsidRDefault="00C82E2A" w:rsidP="00E605BC">
      <w:pPr>
        <w:spacing w:line="360" w:lineRule="auto"/>
        <w:contextualSpacing/>
        <w:jc w:val="both"/>
        <w:rPr>
          <w:rFonts w:ascii="Palatino Linotype" w:hAnsi="Palatino Linotype"/>
          <w:sz w:val="22"/>
          <w:szCs w:val="22"/>
        </w:rPr>
      </w:pPr>
      <w:r w:rsidRPr="00C82E2A">
        <w:rPr>
          <w:rFonts w:ascii="Palatino Linotype" w:hAnsi="Palatino Linotype"/>
          <w:sz w:val="22"/>
          <w:szCs w:val="22"/>
        </w:rPr>
        <w:lastRenderedPageBreak/>
        <w:t>Del criterio jurisprudencial citado, se desprende que las formalidades esenciales del procedimiento que exige el párrafo segundo del artículo 14 de la Constitución Política de los Estados Unidos Mexicanos para que se respete la garantía de audiencia, son las que resultan necesarias para garantizar la defensa adecuada antes del acto de privación y que, de manera genérica, se traducen en los siguientes requisitos:</w:t>
      </w:r>
    </w:p>
    <w:p w14:paraId="25BC403C" w14:textId="77777777" w:rsidR="00C82E2A" w:rsidRPr="00C82E2A" w:rsidRDefault="00C82E2A" w:rsidP="00E605BC">
      <w:pPr>
        <w:spacing w:line="360" w:lineRule="auto"/>
        <w:contextualSpacing/>
        <w:jc w:val="both"/>
        <w:rPr>
          <w:rFonts w:ascii="Palatino Linotype" w:hAnsi="Palatino Linotype"/>
          <w:sz w:val="22"/>
          <w:szCs w:val="22"/>
        </w:rPr>
      </w:pPr>
    </w:p>
    <w:p w14:paraId="41F8F518" w14:textId="77777777" w:rsidR="00C82E2A" w:rsidRPr="00C82E2A" w:rsidRDefault="00C82E2A" w:rsidP="00E605BC">
      <w:pPr>
        <w:pStyle w:val="Prrafodelista"/>
        <w:numPr>
          <w:ilvl w:val="2"/>
          <w:numId w:val="17"/>
        </w:numPr>
        <w:spacing w:line="360" w:lineRule="auto"/>
        <w:ind w:left="1134"/>
        <w:jc w:val="both"/>
        <w:rPr>
          <w:rFonts w:ascii="Palatino Linotype" w:hAnsi="Palatino Linotype"/>
          <w:sz w:val="22"/>
          <w:szCs w:val="22"/>
        </w:rPr>
      </w:pPr>
      <w:r w:rsidRPr="00C82E2A">
        <w:rPr>
          <w:rFonts w:ascii="Palatino Linotype" w:hAnsi="Palatino Linotype"/>
          <w:sz w:val="22"/>
          <w:szCs w:val="22"/>
        </w:rPr>
        <w:t>La notificación del inicio del procedimiento y sus consecuencias;</w:t>
      </w:r>
    </w:p>
    <w:p w14:paraId="06DF7582" w14:textId="77777777" w:rsidR="00C82E2A" w:rsidRPr="00C82E2A" w:rsidRDefault="00C82E2A" w:rsidP="00E605BC">
      <w:pPr>
        <w:pStyle w:val="Prrafodelista"/>
        <w:numPr>
          <w:ilvl w:val="2"/>
          <w:numId w:val="17"/>
        </w:numPr>
        <w:spacing w:line="360" w:lineRule="auto"/>
        <w:ind w:left="1134"/>
        <w:jc w:val="both"/>
        <w:rPr>
          <w:rFonts w:ascii="Palatino Linotype" w:hAnsi="Palatino Linotype"/>
          <w:sz w:val="22"/>
          <w:szCs w:val="22"/>
        </w:rPr>
      </w:pPr>
      <w:r w:rsidRPr="00C82E2A">
        <w:rPr>
          <w:rFonts w:ascii="Palatino Linotype" w:hAnsi="Palatino Linotype"/>
          <w:sz w:val="22"/>
          <w:szCs w:val="22"/>
        </w:rPr>
        <w:t xml:space="preserve">La oportunidad de ofrecer y desahogar pruebas; </w:t>
      </w:r>
    </w:p>
    <w:p w14:paraId="45ABC342" w14:textId="77777777" w:rsidR="00C82E2A" w:rsidRPr="00C82E2A" w:rsidRDefault="00C82E2A" w:rsidP="00E605BC">
      <w:pPr>
        <w:pStyle w:val="Prrafodelista"/>
        <w:numPr>
          <w:ilvl w:val="2"/>
          <w:numId w:val="17"/>
        </w:numPr>
        <w:spacing w:line="360" w:lineRule="auto"/>
        <w:ind w:left="1134"/>
        <w:jc w:val="both"/>
        <w:rPr>
          <w:rFonts w:ascii="Palatino Linotype" w:hAnsi="Palatino Linotype"/>
          <w:sz w:val="22"/>
          <w:szCs w:val="22"/>
        </w:rPr>
      </w:pPr>
      <w:r w:rsidRPr="00C82E2A">
        <w:rPr>
          <w:rFonts w:ascii="Palatino Linotype" w:hAnsi="Palatino Linotype"/>
          <w:sz w:val="22"/>
          <w:szCs w:val="22"/>
        </w:rPr>
        <w:t xml:space="preserve">La oportunidad de alegar; y </w:t>
      </w:r>
    </w:p>
    <w:p w14:paraId="696E9C4E" w14:textId="77777777" w:rsidR="00C82E2A" w:rsidRPr="00C82E2A" w:rsidRDefault="00C82E2A" w:rsidP="00E605BC">
      <w:pPr>
        <w:pStyle w:val="Prrafodelista"/>
        <w:numPr>
          <w:ilvl w:val="2"/>
          <w:numId w:val="17"/>
        </w:numPr>
        <w:spacing w:line="360" w:lineRule="auto"/>
        <w:ind w:left="1134"/>
        <w:jc w:val="both"/>
        <w:rPr>
          <w:rFonts w:ascii="Palatino Linotype" w:hAnsi="Palatino Linotype"/>
          <w:sz w:val="22"/>
          <w:szCs w:val="22"/>
        </w:rPr>
      </w:pPr>
      <w:r w:rsidRPr="00C82E2A">
        <w:rPr>
          <w:rFonts w:ascii="Palatino Linotype" w:hAnsi="Palatino Linotype"/>
          <w:sz w:val="22"/>
          <w:szCs w:val="22"/>
        </w:rPr>
        <w:t>El dictado de una resolución que dirima las cuestiones debatidas</w:t>
      </w:r>
    </w:p>
    <w:p w14:paraId="536F5AAA" w14:textId="77777777" w:rsidR="00C82E2A" w:rsidRPr="00C82E2A" w:rsidRDefault="00C82E2A" w:rsidP="00E605BC">
      <w:pPr>
        <w:spacing w:line="360" w:lineRule="auto"/>
        <w:contextualSpacing/>
        <w:jc w:val="both"/>
        <w:rPr>
          <w:rFonts w:ascii="Palatino Linotype" w:hAnsi="Palatino Linotype"/>
          <w:color w:val="FF0000"/>
          <w:sz w:val="22"/>
          <w:szCs w:val="22"/>
        </w:rPr>
      </w:pPr>
    </w:p>
    <w:p w14:paraId="71F60F09" w14:textId="77777777" w:rsidR="00C82E2A" w:rsidRPr="00C82E2A" w:rsidRDefault="00C82E2A" w:rsidP="00E605BC">
      <w:pPr>
        <w:spacing w:line="360" w:lineRule="auto"/>
        <w:contextualSpacing/>
        <w:jc w:val="both"/>
        <w:rPr>
          <w:rFonts w:ascii="Palatino Linotype" w:hAnsi="Palatino Linotype"/>
          <w:sz w:val="22"/>
          <w:szCs w:val="22"/>
        </w:rPr>
      </w:pPr>
      <w:r w:rsidRPr="00C82E2A">
        <w:rPr>
          <w:rFonts w:ascii="Palatino Linotype" w:hAnsi="Palatino Linotype"/>
          <w:sz w:val="22"/>
          <w:szCs w:val="22"/>
        </w:rPr>
        <w:t>Por lo que hace a la notificación del inicio del procedimiento y sus consecuencias, es la etapa en la que se hace del concomimiento de una de las partes que se ha instaurado un procedimiento en su contra; por lo que hace la oportunidad de ofrecer y desahogar pruebas, es la instancia en la que se da a las partes de presentar aquellos elementos de convicción que acrediten sus pretensiones; en relación con la fase de alegar, es aquella del proceso en que las partes presentan las manifestaciones que a su derecho convenga; y finalmente, por lo que hace al dictado de la resolución, versa en la determinación de la autoridad competente de las cuestiones debatidas.</w:t>
      </w:r>
    </w:p>
    <w:p w14:paraId="2F399FAA" w14:textId="77777777" w:rsidR="00C82E2A" w:rsidRPr="00C82E2A" w:rsidRDefault="00C82E2A" w:rsidP="00E605BC">
      <w:pPr>
        <w:spacing w:line="360" w:lineRule="auto"/>
        <w:contextualSpacing/>
        <w:jc w:val="both"/>
        <w:rPr>
          <w:rFonts w:ascii="Palatino Linotype" w:hAnsi="Palatino Linotype"/>
          <w:sz w:val="22"/>
          <w:szCs w:val="22"/>
        </w:rPr>
      </w:pPr>
    </w:p>
    <w:p w14:paraId="50AEFADF" w14:textId="464DBA7A" w:rsidR="00C82E2A" w:rsidRPr="00C82E2A" w:rsidRDefault="00C82E2A" w:rsidP="00E605BC">
      <w:pPr>
        <w:spacing w:line="360" w:lineRule="auto"/>
        <w:contextualSpacing/>
        <w:jc w:val="both"/>
        <w:rPr>
          <w:rFonts w:ascii="Palatino Linotype" w:hAnsi="Palatino Linotype"/>
          <w:sz w:val="22"/>
          <w:szCs w:val="22"/>
        </w:rPr>
      </w:pPr>
      <w:r w:rsidRPr="00C82E2A">
        <w:rPr>
          <w:rFonts w:ascii="Palatino Linotype" w:hAnsi="Palatino Linotype"/>
          <w:sz w:val="22"/>
          <w:szCs w:val="22"/>
        </w:rPr>
        <w:t>Conforme a lo anterior, se logra vislumbrar que</w:t>
      </w:r>
      <w:r w:rsidR="00CC3130">
        <w:rPr>
          <w:rFonts w:ascii="Palatino Linotype" w:hAnsi="Palatino Linotype"/>
          <w:sz w:val="22"/>
          <w:szCs w:val="22"/>
        </w:rPr>
        <w:t>,</w:t>
      </w:r>
      <w:r w:rsidRPr="00C82E2A">
        <w:rPr>
          <w:rFonts w:ascii="Palatino Linotype" w:hAnsi="Palatino Linotype"/>
          <w:sz w:val="22"/>
          <w:szCs w:val="22"/>
        </w:rPr>
        <w:t xml:space="preserve"> </w:t>
      </w:r>
      <w:r w:rsidR="0013058E">
        <w:rPr>
          <w:rFonts w:ascii="Palatino Linotype" w:hAnsi="Palatino Linotype"/>
          <w:sz w:val="22"/>
          <w:szCs w:val="22"/>
        </w:rPr>
        <w:t xml:space="preserve">si bien </w:t>
      </w:r>
      <w:r w:rsidRPr="00C82E2A">
        <w:rPr>
          <w:rFonts w:ascii="Palatino Linotype" w:hAnsi="Palatino Linotype"/>
          <w:sz w:val="22"/>
          <w:szCs w:val="22"/>
        </w:rPr>
        <w:t xml:space="preserve">los expedientes </w:t>
      </w:r>
      <w:r w:rsidR="00152607">
        <w:rPr>
          <w:rFonts w:ascii="Palatino Linotype" w:hAnsi="Palatino Linotype"/>
          <w:sz w:val="22"/>
          <w:szCs w:val="22"/>
        </w:rPr>
        <w:t>relacionados con procedimientos iniciados por construcciones irregulares podrían contener información de carácter reservada</w:t>
      </w:r>
      <w:r w:rsidRPr="00C82E2A">
        <w:rPr>
          <w:rFonts w:ascii="Palatino Linotype" w:hAnsi="Palatino Linotype"/>
          <w:sz w:val="22"/>
          <w:szCs w:val="22"/>
        </w:rPr>
        <w:t xml:space="preserve">, </w:t>
      </w:r>
      <w:r w:rsidR="00152607">
        <w:rPr>
          <w:rFonts w:ascii="Palatino Linotype" w:hAnsi="Palatino Linotype"/>
          <w:sz w:val="22"/>
          <w:szCs w:val="22"/>
        </w:rPr>
        <w:t xml:space="preserve">lo cierto es que </w:t>
      </w:r>
      <w:r w:rsidRPr="00C82E2A">
        <w:rPr>
          <w:rFonts w:ascii="Palatino Linotype" w:hAnsi="Palatino Linotype"/>
          <w:sz w:val="22"/>
          <w:szCs w:val="22"/>
        </w:rPr>
        <w:t xml:space="preserve">no acreditan </w:t>
      </w:r>
      <w:r w:rsidR="0013058E">
        <w:rPr>
          <w:rFonts w:ascii="Palatino Linotype" w:hAnsi="Palatino Linotype"/>
          <w:sz w:val="22"/>
          <w:szCs w:val="22"/>
        </w:rPr>
        <w:t xml:space="preserve">los </w:t>
      </w:r>
      <w:r w:rsidRPr="00C82E2A">
        <w:rPr>
          <w:rFonts w:ascii="Palatino Linotype" w:hAnsi="Palatino Linotype"/>
          <w:sz w:val="22"/>
          <w:szCs w:val="22"/>
        </w:rPr>
        <w:t>elemento</w:t>
      </w:r>
      <w:r w:rsidR="0013058E">
        <w:rPr>
          <w:rFonts w:ascii="Palatino Linotype" w:hAnsi="Palatino Linotype"/>
          <w:sz w:val="22"/>
          <w:szCs w:val="22"/>
        </w:rPr>
        <w:t>s señalados con anterioridad</w:t>
      </w:r>
      <w:r w:rsidRPr="00C82E2A">
        <w:rPr>
          <w:rFonts w:ascii="Palatino Linotype" w:hAnsi="Palatino Linotype"/>
          <w:sz w:val="22"/>
          <w:szCs w:val="22"/>
        </w:rPr>
        <w:t xml:space="preserve"> para actualizar la reserva de la información</w:t>
      </w:r>
      <w:r w:rsidR="002D1B08">
        <w:rPr>
          <w:rFonts w:ascii="Palatino Linotype" w:hAnsi="Palatino Linotype"/>
          <w:sz w:val="22"/>
          <w:szCs w:val="22"/>
        </w:rPr>
        <w:t>, sumado a que omitió proporcionar el acta del comité de transparencia que sustentara dicha circunstancia</w:t>
      </w:r>
      <w:r w:rsidRPr="00C82E2A">
        <w:rPr>
          <w:rFonts w:ascii="Palatino Linotype" w:hAnsi="Palatino Linotype"/>
          <w:sz w:val="22"/>
          <w:szCs w:val="22"/>
        </w:rPr>
        <w:t>.</w:t>
      </w:r>
    </w:p>
    <w:p w14:paraId="63DB2D1A" w14:textId="77777777" w:rsidR="00C82E2A" w:rsidRPr="00C82E2A" w:rsidRDefault="00C82E2A" w:rsidP="00E605BC">
      <w:pPr>
        <w:spacing w:line="360" w:lineRule="auto"/>
        <w:contextualSpacing/>
        <w:jc w:val="both"/>
        <w:rPr>
          <w:rFonts w:ascii="Palatino Linotype" w:hAnsi="Palatino Linotype"/>
          <w:sz w:val="22"/>
          <w:szCs w:val="22"/>
        </w:rPr>
      </w:pPr>
    </w:p>
    <w:p w14:paraId="33E9A086" w14:textId="77777777" w:rsidR="0013058E" w:rsidRDefault="0013058E" w:rsidP="00E605BC">
      <w:pPr>
        <w:spacing w:line="360" w:lineRule="auto"/>
        <w:contextualSpacing/>
        <w:jc w:val="both"/>
        <w:rPr>
          <w:rFonts w:ascii="Palatino Linotype" w:hAnsi="Palatino Linotype"/>
          <w:sz w:val="22"/>
          <w:szCs w:val="22"/>
        </w:rPr>
      </w:pPr>
    </w:p>
    <w:p w14:paraId="761C7FF2" w14:textId="07E60BFF" w:rsidR="0013058E" w:rsidRDefault="0013058E" w:rsidP="00E605BC">
      <w:pPr>
        <w:spacing w:line="360" w:lineRule="auto"/>
        <w:contextualSpacing/>
        <w:jc w:val="both"/>
        <w:rPr>
          <w:rFonts w:ascii="Palatino Linotype" w:hAnsi="Palatino Linotype"/>
          <w:sz w:val="22"/>
          <w:szCs w:val="22"/>
        </w:rPr>
      </w:pPr>
      <w:r>
        <w:rPr>
          <w:rFonts w:ascii="Palatino Linotype" w:hAnsi="Palatino Linotype"/>
          <w:sz w:val="22"/>
          <w:szCs w:val="22"/>
        </w:rPr>
        <w:lastRenderedPageBreak/>
        <w:t>Cabe precisar</w:t>
      </w:r>
      <w:r w:rsidR="00CC3130">
        <w:rPr>
          <w:rFonts w:ascii="Palatino Linotype" w:hAnsi="Palatino Linotype"/>
          <w:sz w:val="22"/>
          <w:szCs w:val="22"/>
        </w:rPr>
        <w:t xml:space="preserve"> </w:t>
      </w:r>
      <w:r>
        <w:rPr>
          <w:rFonts w:ascii="Palatino Linotype" w:hAnsi="Palatino Linotype"/>
          <w:sz w:val="22"/>
          <w:szCs w:val="22"/>
        </w:rPr>
        <w:t>que</w:t>
      </w:r>
      <w:r w:rsidR="00CC3130">
        <w:rPr>
          <w:rFonts w:ascii="Palatino Linotype" w:hAnsi="Palatino Linotype"/>
          <w:sz w:val="22"/>
          <w:szCs w:val="22"/>
        </w:rPr>
        <w:t>,</w:t>
      </w:r>
      <w:r>
        <w:rPr>
          <w:rFonts w:ascii="Palatino Linotype" w:hAnsi="Palatino Linotype"/>
          <w:sz w:val="22"/>
          <w:szCs w:val="22"/>
        </w:rPr>
        <w:t xml:space="preserve"> del análisis de la solicitud, el ahora Recurrente no pretende acceder a los expedientes de los procedimientos iniciados, sino a</w:t>
      </w:r>
      <w:r w:rsidR="00CC3130">
        <w:rPr>
          <w:rFonts w:ascii="Palatino Linotype" w:hAnsi="Palatino Linotype"/>
          <w:sz w:val="22"/>
          <w:szCs w:val="22"/>
        </w:rPr>
        <w:t xml:space="preserve"> </w:t>
      </w:r>
      <w:r>
        <w:rPr>
          <w:rFonts w:ascii="Palatino Linotype" w:hAnsi="Palatino Linotype"/>
          <w:sz w:val="22"/>
          <w:szCs w:val="22"/>
        </w:rPr>
        <w:t xml:space="preserve">ciertas características propias de los procedimientos </w:t>
      </w:r>
      <w:r w:rsidR="00CC3130">
        <w:rPr>
          <w:rFonts w:ascii="Palatino Linotype" w:hAnsi="Palatino Linotype"/>
          <w:sz w:val="22"/>
          <w:szCs w:val="22"/>
        </w:rPr>
        <w:t>iniciados por construcciones irregulares o sin licencia</w:t>
      </w:r>
      <w:r>
        <w:rPr>
          <w:rFonts w:ascii="Palatino Linotype" w:hAnsi="Palatino Linotype"/>
          <w:sz w:val="22"/>
          <w:szCs w:val="22"/>
        </w:rPr>
        <w:t>,</w:t>
      </w:r>
      <w:r w:rsidR="00CC3130">
        <w:rPr>
          <w:rFonts w:ascii="Palatino Linotype" w:hAnsi="Palatino Linotype"/>
          <w:sz w:val="22"/>
          <w:szCs w:val="22"/>
        </w:rPr>
        <w:t xml:space="preserve"> en los que se advierta su ubicación, tipo de irregularidad o infracción, medidas impuestas y el estado actual del procedimiento, </w:t>
      </w:r>
      <w:r w:rsidR="00447AAA">
        <w:rPr>
          <w:rFonts w:ascii="Palatino Linotype" w:hAnsi="Palatino Linotype"/>
          <w:sz w:val="22"/>
          <w:szCs w:val="22"/>
        </w:rPr>
        <w:t xml:space="preserve">lo cual no implica revelar constancias propias del expediente, ni revelar </w:t>
      </w:r>
      <w:r w:rsidR="00533669">
        <w:rPr>
          <w:rFonts w:ascii="Palatino Linotype" w:hAnsi="Palatino Linotype"/>
          <w:sz w:val="22"/>
          <w:szCs w:val="22"/>
        </w:rPr>
        <w:t>todo lo actuado en el mismo.</w:t>
      </w:r>
    </w:p>
    <w:p w14:paraId="34451184" w14:textId="77777777" w:rsidR="0013058E" w:rsidRDefault="0013058E" w:rsidP="00E605BC">
      <w:pPr>
        <w:spacing w:line="360" w:lineRule="auto"/>
        <w:contextualSpacing/>
        <w:jc w:val="both"/>
        <w:rPr>
          <w:rFonts w:ascii="Palatino Linotype" w:hAnsi="Palatino Linotype"/>
          <w:sz w:val="22"/>
          <w:szCs w:val="22"/>
        </w:rPr>
      </w:pPr>
    </w:p>
    <w:p w14:paraId="353D8944" w14:textId="35391209" w:rsidR="00C82E2A" w:rsidRPr="00CC3130" w:rsidRDefault="00C82E2A" w:rsidP="00E605BC">
      <w:pPr>
        <w:spacing w:line="360" w:lineRule="auto"/>
        <w:contextualSpacing/>
        <w:jc w:val="both"/>
        <w:rPr>
          <w:rFonts w:ascii="Palatino Linotype" w:hAnsi="Palatino Linotype"/>
          <w:sz w:val="22"/>
          <w:szCs w:val="22"/>
        </w:rPr>
      </w:pPr>
      <w:r w:rsidRPr="00C82E2A">
        <w:rPr>
          <w:rFonts w:ascii="Palatino Linotype" w:hAnsi="Palatino Linotype"/>
          <w:sz w:val="22"/>
          <w:szCs w:val="22"/>
        </w:rPr>
        <w:t xml:space="preserve">Por lo expuesto, se considera que el Ayuntamiento de </w:t>
      </w:r>
      <w:r w:rsidR="002D1B08">
        <w:rPr>
          <w:rFonts w:ascii="Palatino Linotype" w:hAnsi="Palatino Linotype"/>
          <w:sz w:val="22"/>
          <w:szCs w:val="22"/>
        </w:rPr>
        <w:t>Tepotzotlán</w:t>
      </w:r>
      <w:r w:rsidRPr="00C82E2A">
        <w:rPr>
          <w:rFonts w:ascii="Palatino Linotype" w:hAnsi="Palatino Linotype"/>
          <w:sz w:val="22"/>
          <w:szCs w:val="22"/>
        </w:rPr>
        <w:t xml:space="preserve">, para atender el requerimiento de información, deberá entregar, los </w:t>
      </w:r>
      <w:r w:rsidR="002D1B08">
        <w:rPr>
          <w:rFonts w:ascii="Palatino Linotype" w:hAnsi="Palatino Linotype"/>
          <w:sz w:val="22"/>
          <w:szCs w:val="22"/>
        </w:rPr>
        <w:t xml:space="preserve">documentos que integren los procedimientos </w:t>
      </w:r>
      <w:r w:rsidRPr="00C82E2A">
        <w:rPr>
          <w:rFonts w:ascii="Palatino Linotype" w:hAnsi="Palatino Linotype"/>
          <w:sz w:val="22"/>
          <w:szCs w:val="22"/>
        </w:rPr>
        <w:t>concluidos derivado</w:t>
      </w:r>
      <w:r w:rsidR="002D1B08">
        <w:rPr>
          <w:rFonts w:ascii="Palatino Linotype" w:hAnsi="Palatino Linotype"/>
          <w:sz w:val="22"/>
          <w:szCs w:val="22"/>
        </w:rPr>
        <w:t>s</w:t>
      </w:r>
      <w:r w:rsidRPr="00C82E2A">
        <w:rPr>
          <w:rFonts w:ascii="Palatino Linotype" w:hAnsi="Palatino Linotype"/>
          <w:sz w:val="22"/>
          <w:szCs w:val="22"/>
        </w:rPr>
        <w:t xml:space="preserve"> de</w:t>
      </w:r>
      <w:r w:rsidR="002D1B08">
        <w:rPr>
          <w:rFonts w:ascii="Palatino Linotype" w:hAnsi="Palatino Linotype"/>
          <w:sz w:val="22"/>
          <w:szCs w:val="22"/>
        </w:rPr>
        <w:t xml:space="preserve"> construcciones irregulares o que no contaran con licencia construcción </w:t>
      </w:r>
      <w:r w:rsidR="00CC3130">
        <w:rPr>
          <w:rFonts w:ascii="Palatino Linotype" w:hAnsi="Palatino Linotype"/>
          <w:sz w:val="22"/>
          <w:szCs w:val="22"/>
        </w:rPr>
        <w:t xml:space="preserve">requeridos, </w:t>
      </w:r>
      <w:r w:rsidR="002D1B08">
        <w:rPr>
          <w:rFonts w:ascii="Palatino Linotype" w:hAnsi="Palatino Linotype"/>
          <w:sz w:val="22"/>
          <w:szCs w:val="22"/>
        </w:rPr>
        <w:t>del primero de enero al veintiuno de noviembre de dos mil veinticinco</w:t>
      </w:r>
      <w:r w:rsidR="00CC3130">
        <w:rPr>
          <w:rFonts w:ascii="Palatino Linotype" w:hAnsi="Palatino Linotype"/>
          <w:sz w:val="22"/>
          <w:szCs w:val="22"/>
        </w:rPr>
        <w:t xml:space="preserve">, al no haber justificado </w:t>
      </w:r>
      <w:r w:rsidRPr="00C82E2A">
        <w:rPr>
          <w:rFonts w:ascii="Palatino Linotype" w:hAnsi="Palatino Linotype"/>
          <w:sz w:val="22"/>
          <w:szCs w:val="22"/>
        </w:rPr>
        <w:t>la reserva de la información.</w:t>
      </w:r>
      <w:r w:rsidR="00CC3130">
        <w:rPr>
          <w:rFonts w:ascii="Palatino Linotype" w:hAnsi="Palatino Linotype"/>
          <w:sz w:val="22"/>
          <w:szCs w:val="22"/>
        </w:rPr>
        <w:t xml:space="preserve"> </w:t>
      </w:r>
      <w:r w:rsidRPr="00C82E2A">
        <w:rPr>
          <w:rFonts w:ascii="Palatino Linotype" w:hAnsi="Palatino Linotype"/>
          <w:sz w:val="22"/>
          <w:szCs w:val="22"/>
        </w:rPr>
        <w:t xml:space="preserve">Dicha situación 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w:t>
      </w:r>
      <w:proofErr w:type="spellStart"/>
      <w:r w:rsidRPr="00C82E2A">
        <w:rPr>
          <w:rFonts w:ascii="Palatino Linotype" w:hAnsi="Palatino Linotype"/>
          <w:sz w:val="22"/>
          <w:szCs w:val="22"/>
        </w:rPr>
        <w:t>inter</w:t>
      </w:r>
      <w:r w:rsidR="00533669">
        <w:rPr>
          <w:rFonts w:ascii="Palatino Linotype" w:hAnsi="Palatino Linotype"/>
          <w:sz w:val="22"/>
          <w:szCs w:val="22"/>
        </w:rPr>
        <w:t>e</w:t>
      </w:r>
      <w:r w:rsidRPr="00C82E2A">
        <w:rPr>
          <w:rFonts w:ascii="Palatino Linotype" w:hAnsi="Palatino Linotype"/>
          <w:sz w:val="22"/>
          <w:szCs w:val="22"/>
        </w:rPr>
        <w:t>s</w:t>
      </w:r>
      <w:r w:rsidR="00533669">
        <w:rPr>
          <w:rFonts w:ascii="Palatino Linotype" w:hAnsi="Palatino Linotype"/>
          <w:sz w:val="22"/>
          <w:szCs w:val="22"/>
        </w:rPr>
        <w:t>ses</w:t>
      </w:r>
      <w:proofErr w:type="spellEnd"/>
      <w:r w:rsidRPr="00C82E2A">
        <w:rPr>
          <w:rFonts w:ascii="Palatino Linotype" w:hAnsi="Palatino Linotype"/>
          <w:sz w:val="22"/>
          <w:szCs w:val="22"/>
        </w:rPr>
        <w:t xml:space="preserve"> del Solicitante.</w:t>
      </w:r>
    </w:p>
    <w:p w14:paraId="14C7D40A" w14:textId="77777777" w:rsidR="00C82E2A" w:rsidRPr="00C82E2A" w:rsidRDefault="00C82E2A" w:rsidP="00E605BC">
      <w:pPr>
        <w:spacing w:line="360" w:lineRule="auto"/>
        <w:contextualSpacing/>
        <w:jc w:val="both"/>
        <w:rPr>
          <w:rFonts w:ascii="Palatino Linotype" w:hAnsi="Palatino Linotype"/>
          <w:color w:val="FF0000"/>
          <w:sz w:val="22"/>
          <w:szCs w:val="22"/>
        </w:rPr>
      </w:pPr>
    </w:p>
    <w:p w14:paraId="511E5168" w14:textId="77777777" w:rsidR="00C82E2A" w:rsidRPr="00C82E2A" w:rsidRDefault="00C82E2A" w:rsidP="00E605BC">
      <w:pPr>
        <w:spacing w:line="360" w:lineRule="auto"/>
        <w:contextualSpacing/>
        <w:jc w:val="both"/>
        <w:rPr>
          <w:rFonts w:ascii="Palatino Linotype" w:hAnsi="Palatino Linotype"/>
          <w:sz w:val="22"/>
          <w:szCs w:val="22"/>
        </w:rPr>
      </w:pPr>
      <w:r w:rsidRPr="00C82E2A">
        <w:rPr>
          <w:rFonts w:ascii="Palatino Linotype" w:hAnsi="Palatino Linotype"/>
          <w:sz w:val="22"/>
          <w:szCs w:val="22"/>
        </w:rPr>
        <w:t xml:space="preserve">De esta manera, el derecho de acceso a la información pública se satisface en aquellos casos en que se entregue el soporte documental en el que conste la información solicitada, sin necesidad de elaborar documentos </w:t>
      </w:r>
      <w:r w:rsidRPr="00C82E2A">
        <w:rPr>
          <w:rFonts w:ascii="Palatino Linotype" w:hAnsi="Palatino Linotype"/>
          <w:i/>
          <w:sz w:val="22"/>
          <w:szCs w:val="22"/>
        </w:rPr>
        <w:t>ad hoc</w:t>
      </w:r>
      <w:r w:rsidRPr="00C82E2A">
        <w:rPr>
          <w:rFonts w:ascii="Palatino Linotype" w:hAnsi="Palatino Linotype"/>
          <w:sz w:val="22"/>
          <w:szCs w:val="22"/>
        </w:rPr>
        <w:t>; lo cual, de conformidad con en el artículo 160 de la Ley de Transparencia y Acceso a la Información Pública del Estado de México y Municipios, el cual refiere que los sujetos obligados deberán entregar la información que obre en sus archivos.</w:t>
      </w:r>
    </w:p>
    <w:p w14:paraId="1325F174" w14:textId="77777777" w:rsidR="00C82E2A" w:rsidRPr="00C82E2A" w:rsidRDefault="00C82E2A" w:rsidP="00E605BC">
      <w:pPr>
        <w:spacing w:line="360" w:lineRule="auto"/>
        <w:contextualSpacing/>
        <w:jc w:val="both"/>
        <w:rPr>
          <w:rFonts w:ascii="Palatino Linotype" w:hAnsi="Palatino Linotype"/>
          <w:sz w:val="22"/>
          <w:szCs w:val="22"/>
        </w:rPr>
      </w:pPr>
    </w:p>
    <w:p w14:paraId="31ACAD7B" w14:textId="53D6375B" w:rsidR="00C82E2A" w:rsidRPr="00C82E2A" w:rsidRDefault="00C82E2A" w:rsidP="00E605BC">
      <w:pPr>
        <w:spacing w:line="360" w:lineRule="auto"/>
        <w:contextualSpacing/>
        <w:jc w:val="both"/>
        <w:rPr>
          <w:rFonts w:ascii="Palatino Linotype" w:hAnsi="Palatino Linotype"/>
          <w:sz w:val="22"/>
          <w:szCs w:val="22"/>
        </w:rPr>
      </w:pPr>
      <w:r w:rsidRPr="00C82E2A">
        <w:rPr>
          <w:rFonts w:ascii="Palatino Linotype" w:hAnsi="Palatino Linotype"/>
          <w:sz w:val="22"/>
          <w:szCs w:val="22"/>
        </w:rPr>
        <w:t xml:space="preserve">De tales circunstancias, se concluye que los sujetos obligados únicamente se encuentran constreñidos a proporcionar los documentos que den cuenta de la información solicitada, </w:t>
      </w:r>
      <w:r w:rsidRPr="00C82E2A">
        <w:rPr>
          <w:rFonts w:ascii="Palatino Linotype" w:hAnsi="Palatino Linotype"/>
          <w:sz w:val="22"/>
          <w:szCs w:val="22"/>
        </w:rPr>
        <w:lastRenderedPageBreak/>
        <w:t xml:space="preserve">como obren en sus archivos, sin tener que elaborarlos a las necesidades del Recurrente; por lo que, se considera que el Sujeto Obligado para dar atención al requerimiento de información, deberá proporcionar </w:t>
      </w:r>
      <w:r w:rsidR="00533669">
        <w:rPr>
          <w:rFonts w:ascii="Palatino Linotype" w:hAnsi="Palatino Linotype"/>
          <w:sz w:val="22"/>
          <w:szCs w:val="22"/>
        </w:rPr>
        <w:t xml:space="preserve">los documentos donde consten los </w:t>
      </w:r>
      <w:proofErr w:type="spellStart"/>
      <w:r w:rsidR="00533669">
        <w:rPr>
          <w:rFonts w:ascii="Palatino Linotype" w:hAnsi="Palatino Linotype"/>
          <w:sz w:val="22"/>
          <w:szCs w:val="22"/>
        </w:rPr>
        <w:t>datoss</w:t>
      </w:r>
      <w:proofErr w:type="spellEnd"/>
      <w:r w:rsidR="00533669">
        <w:rPr>
          <w:rFonts w:ascii="Palatino Linotype" w:hAnsi="Palatino Linotype"/>
          <w:sz w:val="22"/>
          <w:szCs w:val="22"/>
        </w:rPr>
        <w:t xml:space="preserve"> solicitados.</w:t>
      </w:r>
    </w:p>
    <w:p w14:paraId="48882651" w14:textId="77777777" w:rsidR="00C82E2A" w:rsidRPr="00C82E2A" w:rsidRDefault="00C82E2A" w:rsidP="00E605BC">
      <w:pPr>
        <w:spacing w:line="360" w:lineRule="auto"/>
        <w:contextualSpacing/>
        <w:jc w:val="both"/>
        <w:rPr>
          <w:rFonts w:ascii="Palatino Linotype" w:hAnsi="Palatino Linotype"/>
          <w:sz w:val="22"/>
          <w:szCs w:val="22"/>
        </w:rPr>
      </w:pPr>
    </w:p>
    <w:p w14:paraId="2A32DB14" w14:textId="609EF155" w:rsidR="00C82E2A" w:rsidRPr="00C82E2A" w:rsidRDefault="00C82E2A" w:rsidP="00E605BC">
      <w:pPr>
        <w:spacing w:line="360" w:lineRule="auto"/>
        <w:contextualSpacing/>
        <w:jc w:val="both"/>
        <w:rPr>
          <w:rFonts w:ascii="Palatino Linotype" w:hAnsi="Palatino Linotype"/>
          <w:sz w:val="22"/>
          <w:szCs w:val="22"/>
        </w:rPr>
      </w:pPr>
      <w:r w:rsidRPr="00C82E2A">
        <w:rPr>
          <w:rFonts w:ascii="Palatino Linotype" w:hAnsi="Palatino Linotype"/>
          <w:sz w:val="22"/>
          <w:szCs w:val="22"/>
        </w:rPr>
        <w:t xml:space="preserve">Para proporcionar dicha información, primero deberá realizar una búsqueda exhaustiva y razonable, en términos del artículo 162 de la Ley de Transparencia y Acceso a la Información Pública del Estado de México y Municipios, en las áreas competentes, </w:t>
      </w:r>
      <w:r w:rsidR="00CC3130">
        <w:rPr>
          <w:rFonts w:ascii="Palatino Linotype" w:hAnsi="Palatino Linotype"/>
          <w:sz w:val="22"/>
          <w:szCs w:val="22"/>
        </w:rPr>
        <w:t>a efecto de proporcionar los documentos en los que se advierta la información solicitada</w:t>
      </w:r>
      <w:r w:rsidRPr="00C82E2A">
        <w:rPr>
          <w:rFonts w:ascii="Palatino Linotype" w:hAnsi="Palatino Linotype"/>
          <w:sz w:val="22"/>
          <w:szCs w:val="22"/>
        </w:rPr>
        <w:t>.</w:t>
      </w:r>
    </w:p>
    <w:p w14:paraId="7C0B4615" w14:textId="77777777" w:rsidR="00C82E2A" w:rsidRPr="00C82E2A" w:rsidRDefault="00C82E2A" w:rsidP="00E605BC">
      <w:pPr>
        <w:spacing w:line="360" w:lineRule="auto"/>
        <w:contextualSpacing/>
        <w:jc w:val="both"/>
        <w:rPr>
          <w:rFonts w:ascii="Palatino Linotype" w:hAnsi="Palatino Linotype"/>
          <w:sz w:val="22"/>
          <w:szCs w:val="22"/>
        </w:rPr>
      </w:pPr>
    </w:p>
    <w:p w14:paraId="578CA031" w14:textId="1BD3EEB7" w:rsidR="00C82E2A" w:rsidRDefault="00C82E2A" w:rsidP="00E605BC">
      <w:pPr>
        <w:shd w:val="clear" w:color="auto" w:fill="FFFFFF"/>
        <w:spacing w:line="360" w:lineRule="auto"/>
        <w:contextualSpacing/>
        <w:jc w:val="both"/>
        <w:rPr>
          <w:rFonts w:ascii="Palatino Linotype" w:hAnsi="Palatino Linotype"/>
          <w:sz w:val="22"/>
          <w:szCs w:val="22"/>
          <w:lang w:val="es-ES" w:eastAsia="es-MX"/>
        </w:rPr>
      </w:pPr>
      <w:r w:rsidRPr="005D018C">
        <w:rPr>
          <w:rFonts w:ascii="Palatino Linotype" w:hAnsi="Palatino Linotype"/>
          <w:sz w:val="22"/>
          <w:szCs w:val="22"/>
          <w:lang w:val="es-ES" w:eastAsia="es-MX"/>
        </w:rPr>
        <w:t>Finalmente, no pasa desapercibido para este Instituto que los documentos que den cuenta de lo solicitado, pudieran contener datos o información clasificada</w:t>
      </w:r>
      <w:r w:rsidR="00E605BC" w:rsidRPr="005D018C">
        <w:rPr>
          <w:rFonts w:ascii="Palatino Linotype" w:hAnsi="Palatino Linotype"/>
          <w:sz w:val="22"/>
          <w:szCs w:val="22"/>
          <w:lang w:val="es-ES" w:eastAsia="es-MX"/>
        </w:rPr>
        <w:t xml:space="preserve"> como lo es el nombre y domicilio</w:t>
      </w:r>
      <w:r w:rsidR="00BA4E54" w:rsidRPr="005D018C">
        <w:rPr>
          <w:rFonts w:ascii="Palatino Linotype" w:hAnsi="Palatino Linotype"/>
          <w:sz w:val="22"/>
          <w:szCs w:val="22"/>
          <w:lang w:val="es-ES" w:eastAsia="es-MX"/>
        </w:rPr>
        <w:t xml:space="preserve"> y/o ubicación de inmuebles</w:t>
      </w:r>
      <w:r w:rsidR="00E605BC" w:rsidRPr="005D018C">
        <w:rPr>
          <w:rFonts w:ascii="Palatino Linotype" w:hAnsi="Palatino Linotype"/>
          <w:sz w:val="22"/>
          <w:szCs w:val="22"/>
          <w:lang w:val="es-ES" w:eastAsia="es-MX"/>
        </w:rPr>
        <w:t xml:space="preserve"> de particulares</w:t>
      </w:r>
      <w:r w:rsidR="00737FC9" w:rsidRPr="005D018C">
        <w:rPr>
          <w:rFonts w:ascii="Palatino Linotype" w:hAnsi="Palatino Linotype"/>
          <w:sz w:val="22"/>
          <w:szCs w:val="22"/>
          <w:lang w:val="es-ES" w:eastAsia="es-MX"/>
        </w:rPr>
        <w:t xml:space="preserve"> (incluidos aquellos que estén en procedimiento sin autorización o sean construcciones irregulares)</w:t>
      </w:r>
      <w:r w:rsidRPr="005D018C">
        <w:rPr>
          <w:rFonts w:ascii="Palatino Linotype" w:hAnsi="Palatino Linotype"/>
          <w:sz w:val="22"/>
          <w:szCs w:val="22"/>
          <w:lang w:val="es-ES" w:eastAsia="es-MX"/>
        </w:rPr>
        <w:t>; por lo que, en el supuesto, deberá elaborar la versión pública respectiva; al respecto, conforme al artículo 3°, fracción XLV, relacionado con el 137, ambos de la Ley de Transparencia y Acceso a la Información Pública del Estado de México y Municipios, cuando un documento contenga información pública y clasificada, la Unidad de Transparencia para efectos de atender al requerimiento informativo, deberá elaborar una versión pública en la que se testen las partes o secciones clasificadas, indicando su contenido de manera genérica y fundando y motivando su clasificación.</w:t>
      </w:r>
    </w:p>
    <w:p w14:paraId="7ABECB73" w14:textId="77777777" w:rsidR="00737FC9" w:rsidRDefault="00737FC9" w:rsidP="00E605BC">
      <w:pPr>
        <w:shd w:val="clear" w:color="auto" w:fill="FFFFFF"/>
        <w:spacing w:line="360" w:lineRule="auto"/>
        <w:contextualSpacing/>
        <w:jc w:val="both"/>
        <w:rPr>
          <w:rFonts w:ascii="Palatino Linotype" w:hAnsi="Palatino Linotype"/>
          <w:sz w:val="22"/>
          <w:szCs w:val="22"/>
          <w:lang w:val="es-ES" w:eastAsia="es-MX"/>
        </w:rPr>
      </w:pPr>
    </w:p>
    <w:p w14:paraId="48EA6EB6" w14:textId="00D19047" w:rsidR="00C82E2A" w:rsidRPr="00CC3130" w:rsidRDefault="00C82E2A" w:rsidP="00E605BC">
      <w:pPr>
        <w:shd w:val="clear" w:color="auto" w:fill="FFFFFF"/>
        <w:spacing w:line="360" w:lineRule="auto"/>
        <w:contextualSpacing/>
        <w:jc w:val="both"/>
        <w:rPr>
          <w:rFonts w:ascii="Palatino Linotype" w:hAnsi="Palatino Linotype"/>
          <w:color w:val="222222"/>
          <w:sz w:val="22"/>
          <w:szCs w:val="22"/>
          <w:lang w:val="es-ES" w:eastAsia="es-MX"/>
        </w:rPr>
      </w:pPr>
      <w:r w:rsidRPr="00CC3130">
        <w:rPr>
          <w:rFonts w:ascii="Palatino Linotype" w:hAnsi="Palatino Linotype"/>
          <w:sz w:val="22"/>
          <w:szCs w:val="22"/>
          <w:lang w:val="es-ES" w:eastAsia="es-MX"/>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6636177B" w14:textId="77777777" w:rsidR="003B08D1" w:rsidRPr="007F3E0A" w:rsidRDefault="003B08D1" w:rsidP="00E605BC">
      <w:pPr>
        <w:spacing w:line="360" w:lineRule="auto"/>
        <w:contextualSpacing/>
        <w:jc w:val="both"/>
        <w:rPr>
          <w:rFonts w:ascii="Palatino Linotype" w:hAnsi="Palatino Linotype"/>
          <w:sz w:val="22"/>
          <w:szCs w:val="22"/>
        </w:rPr>
      </w:pPr>
      <w:r w:rsidRPr="00D86ECA">
        <w:rPr>
          <w:rFonts w:ascii="Palatino Linotype" w:hAnsi="Palatino Linotype"/>
          <w:sz w:val="22"/>
          <w:szCs w:val="22"/>
        </w:rPr>
        <w:t xml:space="preserve"> </w:t>
      </w:r>
    </w:p>
    <w:p w14:paraId="442FB834" w14:textId="77777777" w:rsidR="003B08D1" w:rsidRPr="007F3E0A" w:rsidRDefault="003B08D1" w:rsidP="00E605BC">
      <w:pPr>
        <w:pStyle w:val="Ttulo2"/>
        <w:spacing w:before="0" w:after="0" w:line="360" w:lineRule="auto"/>
        <w:contextualSpacing/>
        <w:rPr>
          <w:rFonts w:ascii="Palatino Linotype" w:hAnsi="Palatino Linotype"/>
          <w:b/>
          <w:bCs/>
          <w:color w:val="auto"/>
          <w:sz w:val="22"/>
          <w:szCs w:val="22"/>
        </w:rPr>
      </w:pPr>
      <w:bookmarkStart w:id="41" w:name="_Toc194593863"/>
      <w:bookmarkStart w:id="42" w:name="_Toc206084670"/>
      <w:bookmarkStart w:id="43" w:name="_Toc222865695"/>
      <w:r w:rsidRPr="007F3E0A">
        <w:rPr>
          <w:rFonts w:ascii="Palatino Linotype" w:hAnsi="Palatino Linotype"/>
          <w:b/>
          <w:bCs/>
          <w:color w:val="auto"/>
          <w:sz w:val="22"/>
          <w:szCs w:val="22"/>
        </w:rPr>
        <w:lastRenderedPageBreak/>
        <w:t>SEXTO. Decisión</w:t>
      </w:r>
      <w:bookmarkEnd w:id="41"/>
      <w:bookmarkEnd w:id="42"/>
      <w:bookmarkEnd w:id="43"/>
    </w:p>
    <w:p w14:paraId="75BA79A8" w14:textId="77777777" w:rsidR="003B08D1" w:rsidRPr="00207F77" w:rsidRDefault="003B08D1" w:rsidP="00E605BC">
      <w:pPr>
        <w:spacing w:line="360" w:lineRule="auto"/>
        <w:contextualSpacing/>
        <w:jc w:val="both"/>
        <w:rPr>
          <w:rFonts w:ascii="Palatino Linotype" w:hAnsi="Palatino Linotype" w:cs="Tahoma"/>
          <w:sz w:val="22"/>
          <w:szCs w:val="22"/>
        </w:rPr>
      </w:pPr>
    </w:p>
    <w:p w14:paraId="0DDA08E9" w14:textId="77777777" w:rsidR="003B08D1" w:rsidRDefault="003B08D1" w:rsidP="00E605BC">
      <w:pPr>
        <w:spacing w:line="360" w:lineRule="auto"/>
        <w:contextualSpacing/>
        <w:jc w:val="both"/>
        <w:rPr>
          <w:rFonts w:ascii="Palatino Linotype" w:hAnsi="Palatino Linotype" w:cs="Tahoma"/>
          <w:color w:val="0D0D0D" w:themeColor="text1" w:themeTint="F2"/>
          <w:sz w:val="22"/>
          <w:szCs w:val="22"/>
        </w:rPr>
      </w:pPr>
      <w:r w:rsidRPr="00207F77">
        <w:rPr>
          <w:rFonts w:ascii="Palatino Linotype" w:hAnsi="Palatino Linotype" w:cs="Tahoma"/>
          <w:sz w:val="22"/>
          <w:szCs w:val="22"/>
        </w:rPr>
        <w:t xml:space="preserve">Con fundamento en el artículo 186, fracción IV, de la Ley de Transparencia y Acceso a la Información Pública del Estado de México y Municipios, este Instituto considera procedente </w:t>
      </w:r>
      <w:r w:rsidRPr="00207F77">
        <w:rPr>
          <w:rFonts w:ascii="Palatino Linotype" w:hAnsi="Palatino Linotype" w:cs="Tahoma"/>
          <w:b/>
          <w:bCs/>
          <w:sz w:val="22"/>
          <w:szCs w:val="22"/>
        </w:rPr>
        <w:t>ORDENAR</w:t>
      </w:r>
      <w:r w:rsidRPr="00207F77">
        <w:rPr>
          <w:rFonts w:ascii="Palatino Linotype" w:hAnsi="Palatino Linotype" w:cs="Tahoma"/>
          <w:sz w:val="22"/>
          <w:szCs w:val="22"/>
        </w:rPr>
        <w:t xml:space="preserve"> al Sujeto Obligado,</w:t>
      </w:r>
      <w:r w:rsidRPr="00207F77">
        <w:rPr>
          <w:rFonts w:ascii="Palatino Linotype" w:eastAsia="Calibri" w:hAnsi="Palatino Linotype" w:cs="Tahoma"/>
          <w:sz w:val="22"/>
          <w:szCs w:val="22"/>
        </w:rPr>
        <w:t xml:space="preserve"> </w:t>
      </w:r>
      <w:r>
        <w:rPr>
          <w:rFonts w:ascii="Palatino Linotype" w:eastAsia="Calibri" w:hAnsi="Palatino Linotype" w:cs="Tahoma"/>
          <w:sz w:val="22"/>
          <w:szCs w:val="22"/>
        </w:rPr>
        <w:t>a efecto de que proporcione la información solicitada y en versión pública</w:t>
      </w:r>
      <w:r>
        <w:rPr>
          <w:rFonts w:ascii="Palatino Linotype" w:hAnsi="Palatino Linotype" w:cs="Tahoma"/>
          <w:sz w:val="22"/>
          <w:szCs w:val="22"/>
        </w:rPr>
        <w:t>.</w:t>
      </w:r>
    </w:p>
    <w:p w14:paraId="00949543" w14:textId="77777777" w:rsidR="003B08D1" w:rsidRPr="00207F77" w:rsidRDefault="003B08D1" w:rsidP="00E605BC">
      <w:pPr>
        <w:spacing w:line="360" w:lineRule="auto"/>
        <w:contextualSpacing/>
        <w:jc w:val="both"/>
        <w:rPr>
          <w:rFonts w:ascii="Palatino Linotype" w:hAnsi="Palatino Linotype" w:cs="Tahoma"/>
          <w:color w:val="0D0D0D" w:themeColor="text1" w:themeTint="F2"/>
          <w:sz w:val="22"/>
          <w:szCs w:val="22"/>
        </w:rPr>
      </w:pPr>
    </w:p>
    <w:p w14:paraId="5F2ECACF" w14:textId="77777777" w:rsidR="003B08D1" w:rsidRPr="007F3E0A" w:rsidRDefault="003B08D1" w:rsidP="00E605BC">
      <w:pPr>
        <w:pStyle w:val="Ttulo2"/>
        <w:spacing w:before="0" w:after="0" w:line="360" w:lineRule="auto"/>
        <w:contextualSpacing/>
        <w:rPr>
          <w:rFonts w:ascii="Palatino Linotype" w:hAnsi="Palatino Linotype"/>
          <w:b/>
          <w:bCs/>
          <w:color w:val="auto"/>
          <w:sz w:val="22"/>
          <w:szCs w:val="22"/>
        </w:rPr>
      </w:pPr>
      <w:bookmarkStart w:id="44" w:name="_Toc194593864"/>
      <w:bookmarkStart w:id="45" w:name="_Toc206084671"/>
      <w:bookmarkStart w:id="46" w:name="_Toc222865696"/>
      <w:r w:rsidRPr="007F3E0A">
        <w:rPr>
          <w:rFonts w:ascii="Palatino Linotype" w:hAnsi="Palatino Linotype"/>
          <w:b/>
          <w:bCs/>
          <w:color w:val="auto"/>
          <w:sz w:val="22"/>
          <w:szCs w:val="22"/>
        </w:rPr>
        <w:t>SÉPTIMO. Vista a la Secretaría</w:t>
      </w:r>
      <w:r w:rsidRPr="007F3E0A">
        <w:rPr>
          <w:rFonts w:ascii="Palatino Linotype" w:hAnsi="Palatino Linotype"/>
          <w:b/>
          <w:bCs/>
          <w:color w:val="auto"/>
          <w:sz w:val="22"/>
          <w:szCs w:val="22"/>
          <w:lang w:val="x-none"/>
        </w:rPr>
        <w:t xml:space="preserve"> Técnica del </w:t>
      </w:r>
      <w:r w:rsidRPr="007F3E0A">
        <w:rPr>
          <w:rFonts w:ascii="Palatino Linotype" w:hAnsi="Palatino Linotype"/>
          <w:b/>
          <w:bCs/>
          <w:color w:val="auto"/>
          <w:sz w:val="22"/>
          <w:szCs w:val="22"/>
        </w:rPr>
        <w:t>Pleno</w:t>
      </w:r>
      <w:bookmarkEnd w:id="44"/>
      <w:bookmarkEnd w:id="45"/>
      <w:bookmarkEnd w:id="46"/>
    </w:p>
    <w:p w14:paraId="21274C22" w14:textId="77777777" w:rsidR="003B08D1" w:rsidRPr="00207F77" w:rsidRDefault="003B08D1" w:rsidP="00E605BC">
      <w:pPr>
        <w:spacing w:line="360" w:lineRule="auto"/>
        <w:contextualSpacing/>
        <w:jc w:val="both"/>
        <w:rPr>
          <w:rFonts w:ascii="Palatino Linotype" w:hAnsi="Palatino Linotype" w:cs="Tahoma"/>
          <w:bCs/>
          <w:sz w:val="22"/>
          <w:szCs w:val="22"/>
        </w:rPr>
      </w:pPr>
    </w:p>
    <w:p w14:paraId="7BA066A0" w14:textId="0C377517" w:rsidR="003B08D1" w:rsidRPr="00207F77" w:rsidRDefault="003B08D1" w:rsidP="00E605BC">
      <w:pPr>
        <w:spacing w:line="360" w:lineRule="auto"/>
        <w:ind w:right="-93"/>
        <w:contextualSpacing/>
        <w:jc w:val="both"/>
        <w:rPr>
          <w:rFonts w:ascii="Palatino Linotype" w:eastAsia="Calibri" w:hAnsi="Palatino Linotype" w:cs="Tahoma"/>
          <w:bCs/>
          <w:sz w:val="22"/>
          <w:szCs w:val="22"/>
          <w:lang w:eastAsia="en-US"/>
        </w:rPr>
      </w:pPr>
      <w:r w:rsidRPr="00207F77">
        <w:rPr>
          <w:rFonts w:ascii="Palatino Linotype" w:hAnsi="Palatino Linotype" w:cs="Tahoma"/>
          <w:sz w:val="22"/>
          <w:szCs w:val="22"/>
        </w:rPr>
        <w:t xml:space="preserve">En el caso en estudio, como ha quedado señalado que el </w:t>
      </w:r>
      <w:r w:rsidRPr="005F645C">
        <w:rPr>
          <w:rFonts w:ascii="Palatino Linotype" w:eastAsia="Calibri" w:hAnsi="Palatino Linotype" w:cs="Tahoma"/>
          <w:sz w:val="22"/>
          <w:szCs w:val="22"/>
          <w:lang w:eastAsia="en-US"/>
        </w:rPr>
        <w:t xml:space="preserve">Ayuntamiento de </w:t>
      </w:r>
      <w:r w:rsidR="00FC0C06">
        <w:rPr>
          <w:rFonts w:ascii="Palatino Linotype" w:eastAsia="Calibri" w:hAnsi="Palatino Linotype" w:cs="Tahoma"/>
          <w:sz w:val="22"/>
          <w:szCs w:val="22"/>
          <w:lang w:eastAsia="en-US"/>
        </w:rPr>
        <w:t xml:space="preserve">Tepotzotlán </w:t>
      </w:r>
      <w:r w:rsidRPr="00207F77">
        <w:rPr>
          <w:rFonts w:ascii="Palatino Linotype" w:hAnsi="Palatino Linotype" w:cs="Tahoma"/>
          <w:sz w:val="22"/>
          <w:szCs w:val="22"/>
        </w:rPr>
        <w:t>omitió dar respuesta en el plazo señalado en el artículo 163 de la Ley de Transparencia y Acceso a la Información Pública del Estado de México y Municipios. Al respecto, el artículo 36, fracción X, del ordenamiento jurídico en cita, establece que es atribución de este Instituto hacer del conocimiento del Órgano Interno de Control o equivalente de cada Sujeto Obligado las infracciones a esta Ley.</w:t>
      </w:r>
      <w:r w:rsidRPr="00207F77">
        <w:rPr>
          <w:rFonts w:ascii="Palatino Linotype" w:eastAsia="Calibri" w:hAnsi="Palatino Linotype" w:cs="Tahoma"/>
          <w:bCs/>
          <w:sz w:val="22"/>
          <w:szCs w:val="22"/>
          <w:lang w:eastAsia="en-US"/>
        </w:rPr>
        <w:t xml:space="preserve"> </w:t>
      </w:r>
    </w:p>
    <w:p w14:paraId="538E03C1" w14:textId="77777777" w:rsidR="003B08D1" w:rsidRPr="00207F77" w:rsidRDefault="003B08D1" w:rsidP="00E605BC">
      <w:pPr>
        <w:spacing w:line="360" w:lineRule="auto"/>
        <w:ind w:right="-93"/>
        <w:contextualSpacing/>
        <w:jc w:val="both"/>
        <w:rPr>
          <w:rFonts w:ascii="Palatino Linotype" w:eastAsia="Calibri" w:hAnsi="Palatino Linotype" w:cs="Tahoma"/>
          <w:bCs/>
          <w:sz w:val="22"/>
          <w:szCs w:val="22"/>
          <w:lang w:eastAsia="en-US"/>
        </w:rPr>
      </w:pPr>
    </w:p>
    <w:p w14:paraId="0A32F83B" w14:textId="77777777" w:rsidR="003B08D1" w:rsidRPr="00207F77" w:rsidRDefault="003B08D1" w:rsidP="00E605BC">
      <w:pPr>
        <w:spacing w:line="360" w:lineRule="auto"/>
        <w:ind w:right="-93"/>
        <w:contextualSpacing/>
        <w:jc w:val="both"/>
        <w:rPr>
          <w:rFonts w:ascii="Palatino Linotype" w:eastAsia="Calibri" w:hAnsi="Palatino Linotype" w:cs="Tahoma"/>
          <w:bCs/>
          <w:sz w:val="22"/>
          <w:szCs w:val="22"/>
          <w:lang w:eastAsia="en-US"/>
        </w:rPr>
      </w:pPr>
      <w:r w:rsidRPr="00207F77">
        <w:rPr>
          <w:rFonts w:ascii="Palatino Linotype" w:eastAsia="Calibri" w:hAnsi="Palatino Linotype" w:cs="Tahoma"/>
          <w:bCs/>
          <w:sz w:val="22"/>
          <w:szCs w:val="22"/>
          <w:lang w:eastAsia="en-US"/>
        </w:rPr>
        <w:t>En ese sentido, de conformidad con lo previsto en el artículo 222, fracción II, de dicho ordenamiento, son causas de responsabilidad administrativa los incumplimientos de las obligaciones establecida en la Ley de la materia, entre otras conductas, la falta de respuesta a las solicitudes de información en los plazos señalados</w:t>
      </w:r>
      <w:r>
        <w:rPr>
          <w:rFonts w:ascii="Palatino Linotype" w:eastAsia="Calibri" w:hAnsi="Palatino Linotype" w:cs="Tahoma"/>
          <w:bCs/>
          <w:sz w:val="22"/>
          <w:szCs w:val="22"/>
          <w:lang w:eastAsia="en-US"/>
        </w:rPr>
        <w:t xml:space="preserve">, a saber, dentro de los quince </w:t>
      </w:r>
      <w:r w:rsidRPr="00207F77">
        <w:rPr>
          <w:rFonts w:ascii="Palatino Linotype" w:eastAsia="Calibri" w:hAnsi="Palatino Linotype" w:cs="Tahoma"/>
          <w:bCs/>
          <w:sz w:val="22"/>
          <w:szCs w:val="22"/>
          <w:lang w:eastAsia="en-US"/>
        </w:rPr>
        <w:t xml:space="preserve">días siguientes a la presentación del requerimiento. </w:t>
      </w:r>
    </w:p>
    <w:p w14:paraId="60699F3C" w14:textId="77777777" w:rsidR="003B08D1" w:rsidRPr="00207F77" w:rsidRDefault="003B08D1" w:rsidP="00E605BC">
      <w:pPr>
        <w:spacing w:line="360" w:lineRule="auto"/>
        <w:ind w:right="-93"/>
        <w:contextualSpacing/>
        <w:jc w:val="both"/>
        <w:rPr>
          <w:rFonts w:ascii="Palatino Linotype" w:eastAsia="Calibri" w:hAnsi="Palatino Linotype" w:cs="Tahoma"/>
          <w:bCs/>
          <w:sz w:val="22"/>
          <w:szCs w:val="22"/>
          <w:lang w:eastAsia="en-US"/>
        </w:rPr>
      </w:pPr>
    </w:p>
    <w:p w14:paraId="4F0EBCA7" w14:textId="77777777" w:rsidR="003B08D1" w:rsidRPr="00207F77" w:rsidRDefault="003B08D1" w:rsidP="00E605BC">
      <w:pPr>
        <w:spacing w:line="360" w:lineRule="auto"/>
        <w:ind w:right="-93"/>
        <w:contextualSpacing/>
        <w:jc w:val="both"/>
        <w:rPr>
          <w:rFonts w:ascii="Palatino Linotype" w:eastAsia="Calibri" w:hAnsi="Palatino Linotype" w:cs="Tahoma"/>
          <w:bCs/>
          <w:sz w:val="22"/>
          <w:szCs w:val="22"/>
          <w:lang w:eastAsia="en-US"/>
        </w:rPr>
      </w:pPr>
      <w:r w:rsidRPr="00207F77">
        <w:rPr>
          <w:rFonts w:ascii="Palatino Linotype" w:eastAsia="Calibri" w:hAnsi="Palatino Linotype" w:cs="Tahoma"/>
          <w:bCs/>
          <w:sz w:val="22"/>
          <w:szCs w:val="22"/>
          <w:lang w:eastAsia="en-US"/>
        </w:rPr>
        <w:t xml:space="preserve">Por su parte, el artículo 223 de la Ley de Transparencia y Acceso a la Información Pública del Estado de México y Municipios, prevé que este Instituto deberá dar vista al Área Competente, con el fin de que determine el grado de responsabilidad de los servidores públicos que incumplan con las obligaciones establecidas en la Ley. </w:t>
      </w:r>
    </w:p>
    <w:p w14:paraId="0368362D" w14:textId="77777777" w:rsidR="003B08D1" w:rsidRPr="00207F77" w:rsidRDefault="003B08D1" w:rsidP="00E605BC">
      <w:pPr>
        <w:spacing w:line="360" w:lineRule="auto"/>
        <w:ind w:right="-93"/>
        <w:contextualSpacing/>
        <w:jc w:val="both"/>
        <w:rPr>
          <w:rFonts w:ascii="Palatino Linotype" w:eastAsia="Calibri" w:hAnsi="Palatino Linotype" w:cs="Tahoma"/>
          <w:bCs/>
          <w:sz w:val="22"/>
          <w:szCs w:val="22"/>
          <w:lang w:eastAsia="en-US"/>
        </w:rPr>
      </w:pPr>
    </w:p>
    <w:p w14:paraId="4FF31837" w14:textId="77777777" w:rsidR="003B08D1" w:rsidRPr="00207F77" w:rsidRDefault="003B08D1" w:rsidP="00E605BC">
      <w:pPr>
        <w:spacing w:line="360" w:lineRule="auto"/>
        <w:ind w:right="-93"/>
        <w:contextualSpacing/>
        <w:jc w:val="both"/>
        <w:rPr>
          <w:rFonts w:ascii="Palatino Linotype" w:eastAsia="Calibri" w:hAnsi="Palatino Linotype" w:cs="Tahoma"/>
          <w:bCs/>
          <w:sz w:val="22"/>
          <w:szCs w:val="22"/>
          <w:lang w:eastAsia="en-US"/>
        </w:rPr>
      </w:pPr>
      <w:r w:rsidRPr="00207F77">
        <w:rPr>
          <w:rFonts w:ascii="Palatino Linotype" w:eastAsia="Calibri" w:hAnsi="Palatino Linotype" w:cs="Tahoma"/>
          <w:bCs/>
          <w:sz w:val="22"/>
          <w:szCs w:val="22"/>
          <w:lang w:eastAsia="en-US"/>
        </w:rPr>
        <w:lastRenderedPageBreak/>
        <w:t xml:space="preserve">En ese contexto, la fracción XXVII, del artículo 19, del Reglamento Interior del Instituto de Transparencia, Acceso a la Información Pública y Protección de Datos Personales del Estado de México y Municipios, establece que es función de la Secretaría Técnica del Pleno, remitir al Órgano Interno de Control de los Sujetos Obligados, las presuntas infracciones cometidas en el marco de la Ley de la materia, para la promoción de responsabilidades y sanciones. </w:t>
      </w:r>
    </w:p>
    <w:p w14:paraId="3BF4D4D7" w14:textId="77777777" w:rsidR="003B08D1" w:rsidRPr="00207F77" w:rsidRDefault="003B08D1" w:rsidP="00E605BC">
      <w:pPr>
        <w:spacing w:line="360" w:lineRule="auto"/>
        <w:ind w:right="-93"/>
        <w:contextualSpacing/>
        <w:jc w:val="both"/>
        <w:rPr>
          <w:rFonts w:ascii="Palatino Linotype" w:eastAsia="Calibri" w:hAnsi="Palatino Linotype" w:cs="Tahoma"/>
          <w:bCs/>
          <w:sz w:val="22"/>
          <w:szCs w:val="22"/>
          <w:lang w:eastAsia="en-US"/>
        </w:rPr>
      </w:pPr>
    </w:p>
    <w:p w14:paraId="3A96144C" w14:textId="77777777" w:rsidR="003B08D1" w:rsidRPr="00207F77" w:rsidRDefault="003B08D1" w:rsidP="00E605BC">
      <w:pPr>
        <w:spacing w:line="360" w:lineRule="auto"/>
        <w:ind w:right="-93"/>
        <w:contextualSpacing/>
        <w:jc w:val="both"/>
        <w:rPr>
          <w:rFonts w:ascii="Palatino Linotype" w:eastAsia="Calibri" w:hAnsi="Palatino Linotype" w:cs="Tahoma"/>
          <w:bCs/>
          <w:sz w:val="22"/>
          <w:szCs w:val="22"/>
          <w:lang w:eastAsia="en-US"/>
        </w:rPr>
      </w:pPr>
      <w:r w:rsidRPr="00207F77">
        <w:rPr>
          <w:rFonts w:ascii="Palatino Linotype" w:eastAsia="Calibri" w:hAnsi="Palatino Linotype" w:cs="Tahoma"/>
          <w:bCs/>
          <w:sz w:val="22"/>
          <w:szCs w:val="22"/>
          <w:lang w:eastAsia="en-US"/>
        </w:rPr>
        <w:t xml:space="preserve">Sobre el particular, si bien, la presente resolución no tiene por objetivo investigar y determinar posibles violaciones al derecho de acceso a la información, toda vez que este Organismo Autónomo, advirtió la falta de respuesta del Sujeto Obligado, se considera procedente dar vista </w:t>
      </w:r>
      <w:r w:rsidRPr="00207F77">
        <w:rPr>
          <w:rFonts w:ascii="Palatino Linotype" w:eastAsia="Calibri" w:hAnsi="Palatino Linotype" w:cs="Tahoma"/>
          <w:bCs/>
          <w:sz w:val="22"/>
          <w:szCs w:val="22"/>
          <w:lang w:val="es-ES_tradnl" w:eastAsia="en-US"/>
        </w:rPr>
        <w:t>a la Secretaría Técnica de este Instituto</w:t>
      </w:r>
      <w:r w:rsidRPr="00207F77">
        <w:rPr>
          <w:rFonts w:ascii="Palatino Linotype" w:eastAsia="Calibri" w:hAnsi="Palatino Linotype" w:cs="Tahoma"/>
          <w:bCs/>
          <w:sz w:val="22"/>
          <w:szCs w:val="22"/>
          <w:lang w:eastAsia="en-US"/>
        </w:rPr>
        <w:t>, para que realice lo conducente.</w:t>
      </w:r>
    </w:p>
    <w:p w14:paraId="2A95796F" w14:textId="77777777" w:rsidR="003B08D1" w:rsidRPr="00207F77" w:rsidRDefault="003B08D1" w:rsidP="00E605BC">
      <w:pPr>
        <w:spacing w:line="360" w:lineRule="auto"/>
        <w:contextualSpacing/>
        <w:jc w:val="both"/>
        <w:rPr>
          <w:rFonts w:ascii="Palatino Linotype" w:hAnsi="Palatino Linotype" w:cs="Tahoma"/>
          <w:bCs/>
          <w:iCs/>
          <w:sz w:val="22"/>
          <w:szCs w:val="22"/>
          <w:lang w:val="es-ES"/>
        </w:rPr>
      </w:pPr>
    </w:p>
    <w:p w14:paraId="4360584A" w14:textId="77777777" w:rsidR="003B08D1" w:rsidRPr="00207F77" w:rsidRDefault="003B08D1" w:rsidP="00E605BC">
      <w:pPr>
        <w:spacing w:line="360" w:lineRule="auto"/>
        <w:contextualSpacing/>
        <w:jc w:val="both"/>
        <w:rPr>
          <w:rFonts w:ascii="Palatino Linotype" w:hAnsi="Palatino Linotype" w:cs="Tahoma"/>
          <w:b/>
          <w:bCs/>
          <w:iCs/>
          <w:sz w:val="22"/>
          <w:szCs w:val="22"/>
          <w:lang w:val="es-ES"/>
        </w:rPr>
      </w:pPr>
      <w:r w:rsidRPr="00207F77">
        <w:rPr>
          <w:rFonts w:ascii="Palatino Linotype" w:hAnsi="Palatino Linotype" w:cs="Tahoma"/>
          <w:b/>
          <w:bCs/>
          <w:iCs/>
          <w:sz w:val="22"/>
          <w:szCs w:val="22"/>
          <w:lang w:val="es-ES"/>
        </w:rPr>
        <w:t>Términos de la Resolución para conocimiento del Particular</w:t>
      </w:r>
    </w:p>
    <w:p w14:paraId="6227D4DD" w14:textId="77777777" w:rsidR="003B08D1" w:rsidRPr="00207F77" w:rsidRDefault="003B08D1" w:rsidP="00E605BC">
      <w:pPr>
        <w:spacing w:line="360" w:lineRule="auto"/>
        <w:contextualSpacing/>
        <w:jc w:val="both"/>
        <w:rPr>
          <w:rFonts w:ascii="Palatino Linotype" w:hAnsi="Palatino Linotype" w:cs="Tahoma"/>
          <w:b/>
          <w:bCs/>
          <w:iCs/>
          <w:sz w:val="22"/>
          <w:szCs w:val="22"/>
          <w:lang w:val="es-ES"/>
        </w:rPr>
      </w:pPr>
    </w:p>
    <w:p w14:paraId="2D1E1527" w14:textId="77777777" w:rsidR="003B08D1" w:rsidRDefault="003B08D1" w:rsidP="00E605BC">
      <w:pPr>
        <w:spacing w:line="360" w:lineRule="auto"/>
        <w:contextualSpacing/>
        <w:jc w:val="both"/>
        <w:rPr>
          <w:rFonts w:ascii="Palatino Linotype" w:hAnsi="Palatino Linotype" w:cs="Tahoma"/>
          <w:bCs/>
          <w:iCs/>
          <w:sz w:val="22"/>
          <w:szCs w:val="22"/>
        </w:rPr>
      </w:pPr>
      <w:r w:rsidRPr="000C613F">
        <w:rPr>
          <w:rFonts w:ascii="Palatino Linotype" w:hAnsi="Palatino Linotype" w:cs="Tahoma"/>
          <w:bCs/>
          <w:iCs/>
          <w:sz w:val="22"/>
          <w:szCs w:val="22"/>
        </w:rPr>
        <w:t xml:space="preserve">Se le hace del conocimiento al Particular, que, en el presente caso, se le da la razón pues el Sujeto Obligado, no proporcionó respuesta en los términos establecidos en la Ley de Transparencia Local; por otra parte, si bien durante la sustanciación del Medio de Impugnación, proporcionó </w:t>
      </w:r>
      <w:r>
        <w:rPr>
          <w:rFonts w:ascii="Palatino Linotype" w:hAnsi="Palatino Linotype" w:cs="Tahoma"/>
          <w:bCs/>
          <w:iCs/>
          <w:sz w:val="22"/>
          <w:szCs w:val="22"/>
        </w:rPr>
        <w:t xml:space="preserve">diversa </w:t>
      </w:r>
      <w:r w:rsidRPr="000C613F">
        <w:rPr>
          <w:rFonts w:ascii="Palatino Linotype" w:hAnsi="Palatino Linotype" w:cs="Tahoma"/>
          <w:bCs/>
          <w:iCs/>
          <w:sz w:val="22"/>
          <w:szCs w:val="22"/>
        </w:rPr>
        <w:t xml:space="preserve">información, lo cierto es </w:t>
      </w:r>
      <w:r w:rsidRPr="00AB1FF5">
        <w:rPr>
          <w:rFonts w:ascii="Palatino Linotype" w:hAnsi="Palatino Linotype" w:cs="Tahoma"/>
          <w:bCs/>
          <w:iCs/>
          <w:sz w:val="22"/>
          <w:szCs w:val="22"/>
        </w:rPr>
        <w:t>que omitió</w:t>
      </w:r>
      <w:r>
        <w:rPr>
          <w:rFonts w:ascii="Palatino Linotype" w:hAnsi="Palatino Linotype" w:cs="Tahoma"/>
          <w:bCs/>
          <w:iCs/>
          <w:sz w:val="22"/>
          <w:szCs w:val="22"/>
        </w:rPr>
        <w:t xml:space="preserve"> remitir los documentos que dieran cuenta de lo solicitado, </w:t>
      </w:r>
      <w:r w:rsidRPr="000C613F">
        <w:rPr>
          <w:rFonts w:ascii="Palatino Linotype" w:hAnsi="Palatino Linotype" w:cs="Tahoma"/>
          <w:bCs/>
          <w:iCs/>
          <w:sz w:val="22"/>
          <w:szCs w:val="22"/>
        </w:rPr>
        <w:t>por lo que, deberá entregar la información solicitada</w:t>
      </w:r>
      <w:r>
        <w:rPr>
          <w:rFonts w:ascii="Palatino Linotype" w:hAnsi="Palatino Linotype" w:cs="Tahoma"/>
          <w:bCs/>
          <w:iCs/>
          <w:sz w:val="22"/>
          <w:szCs w:val="22"/>
        </w:rPr>
        <w:t xml:space="preserve"> y en su caso en versión pública</w:t>
      </w:r>
      <w:r w:rsidRPr="000C613F">
        <w:rPr>
          <w:rFonts w:ascii="Palatino Linotype" w:hAnsi="Palatino Linotype" w:cs="Tahoma"/>
          <w:bCs/>
          <w:iCs/>
          <w:sz w:val="22"/>
          <w:szCs w:val="22"/>
        </w:rPr>
        <w:t xml:space="preserve">. </w:t>
      </w:r>
      <w:r>
        <w:rPr>
          <w:rFonts w:ascii="Palatino Linotype" w:hAnsi="Palatino Linotype" w:cs="Tahoma"/>
          <w:bCs/>
          <w:iCs/>
          <w:sz w:val="22"/>
          <w:szCs w:val="22"/>
        </w:rPr>
        <w:t xml:space="preserve"> </w:t>
      </w:r>
    </w:p>
    <w:p w14:paraId="761E3E19" w14:textId="77777777" w:rsidR="003B08D1" w:rsidRDefault="003B08D1" w:rsidP="00E605BC">
      <w:pPr>
        <w:spacing w:line="360" w:lineRule="auto"/>
        <w:contextualSpacing/>
        <w:jc w:val="both"/>
        <w:rPr>
          <w:rFonts w:ascii="Palatino Linotype" w:hAnsi="Palatino Linotype" w:cs="Tahoma"/>
          <w:bCs/>
          <w:iCs/>
          <w:sz w:val="22"/>
          <w:szCs w:val="22"/>
        </w:rPr>
      </w:pPr>
    </w:p>
    <w:p w14:paraId="0141497C" w14:textId="77777777" w:rsidR="003B08D1" w:rsidRDefault="003B08D1" w:rsidP="00E605BC">
      <w:pPr>
        <w:spacing w:line="360" w:lineRule="auto"/>
        <w:contextualSpacing/>
        <w:jc w:val="both"/>
        <w:rPr>
          <w:rFonts w:ascii="Palatino Linotype" w:eastAsia="Calibri" w:hAnsi="Palatino Linotype"/>
          <w:color w:val="000000"/>
          <w:sz w:val="22"/>
          <w:szCs w:val="22"/>
          <w:lang w:eastAsia="en-US"/>
        </w:rPr>
      </w:pPr>
      <w:r w:rsidRPr="000C613F">
        <w:rPr>
          <w:rFonts w:ascii="Palatino Linotype" w:hAnsi="Palatino Linotype" w:cs="Tahoma"/>
          <w:bCs/>
          <w:iCs/>
          <w:sz w:val="22"/>
          <w:szCs w:val="22"/>
        </w:rPr>
        <w:t>Además, se le informa que, de conformidad con lo establecido en el artículo 179, párrafo segundo, de la Ley de Transparencia y Acceso a la Información Pública del Estado de México y Municipios, tiene derecho a interponer nuevamente Recurso de Revisión ante este Instituto, por la respuesta que dé el Sujeto Obligado, en cumplimiento a esta Resolución.</w:t>
      </w:r>
      <w:r>
        <w:rPr>
          <w:rFonts w:ascii="Palatino Linotype" w:hAnsi="Palatino Linotype" w:cs="Tahoma"/>
          <w:bCs/>
          <w:iCs/>
          <w:sz w:val="22"/>
          <w:szCs w:val="22"/>
        </w:rPr>
        <w:t xml:space="preserve"> </w:t>
      </w:r>
      <w:r>
        <w:rPr>
          <w:rFonts w:ascii="Palatino Linotype" w:eastAsia="Calibri" w:hAnsi="Palatino Linotype"/>
          <w:color w:val="000000"/>
          <w:sz w:val="22"/>
          <w:szCs w:val="22"/>
          <w:lang w:eastAsia="en-US"/>
        </w:rPr>
        <w:t>L</w:t>
      </w:r>
      <w:r w:rsidRPr="00207F77">
        <w:rPr>
          <w:rFonts w:ascii="Palatino Linotype" w:eastAsia="Calibri" w:hAnsi="Palatino Linotype"/>
          <w:color w:val="000000"/>
          <w:sz w:val="22"/>
          <w:szCs w:val="22"/>
          <w:lang w:eastAsia="en-US"/>
        </w:rPr>
        <w:t>a labor de este Instituto, es apoyar a la población a acceder a la información pública y garantizar la protección de los datos personales.</w:t>
      </w:r>
    </w:p>
    <w:p w14:paraId="665B74B5" w14:textId="77777777" w:rsidR="00533669" w:rsidRPr="004835AC" w:rsidRDefault="00533669" w:rsidP="00E605BC">
      <w:pPr>
        <w:spacing w:line="360" w:lineRule="auto"/>
        <w:contextualSpacing/>
        <w:jc w:val="both"/>
        <w:rPr>
          <w:rFonts w:ascii="Palatino Linotype" w:hAnsi="Palatino Linotype" w:cs="Tahoma"/>
          <w:bCs/>
          <w:iCs/>
          <w:sz w:val="22"/>
          <w:szCs w:val="22"/>
        </w:rPr>
      </w:pPr>
    </w:p>
    <w:p w14:paraId="08B79EBD" w14:textId="4E661A7A" w:rsidR="003B08D1" w:rsidRDefault="003B08D1" w:rsidP="00E605BC">
      <w:pPr>
        <w:spacing w:line="360" w:lineRule="auto"/>
        <w:contextualSpacing/>
        <w:jc w:val="both"/>
        <w:rPr>
          <w:rFonts w:ascii="Palatino Linotype" w:hAnsi="Palatino Linotype" w:cs="Tahoma"/>
          <w:bCs/>
          <w:iCs/>
          <w:sz w:val="22"/>
          <w:szCs w:val="22"/>
        </w:rPr>
      </w:pPr>
      <w:r w:rsidRPr="00207F77">
        <w:rPr>
          <w:rFonts w:ascii="Palatino Linotype" w:hAnsi="Palatino Linotype" w:cs="Tahoma"/>
          <w:bCs/>
          <w:iCs/>
          <w:sz w:val="22"/>
          <w:szCs w:val="22"/>
        </w:rPr>
        <w:lastRenderedPageBreak/>
        <w:t>Por lo expuesto y fundado, este Pleno:</w:t>
      </w:r>
    </w:p>
    <w:p w14:paraId="71ADE53F" w14:textId="77777777" w:rsidR="005D018C" w:rsidRDefault="005D018C" w:rsidP="00E605BC">
      <w:pPr>
        <w:spacing w:line="360" w:lineRule="auto"/>
        <w:contextualSpacing/>
        <w:jc w:val="both"/>
        <w:rPr>
          <w:rFonts w:ascii="Palatino Linotype" w:hAnsi="Palatino Linotype" w:cs="Tahoma"/>
          <w:bCs/>
          <w:iCs/>
          <w:sz w:val="22"/>
          <w:szCs w:val="22"/>
        </w:rPr>
      </w:pPr>
    </w:p>
    <w:p w14:paraId="07517761" w14:textId="77777777" w:rsidR="003B08D1" w:rsidRDefault="003B08D1" w:rsidP="00E605BC">
      <w:pPr>
        <w:pStyle w:val="Ttulo1"/>
        <w:spacing w:before="0" w:after="0" w:line="360" w:lineRule="auto"/>
        <w:contextualSpacing/>
        <w:jc w:val="center"/>
        <w:rPr>
          <w:rFonts w:ascii="Palatino Linotype" w:hAnsi="Palatino Linotype"/>
          <w:b/>
          <w:bCs/>
          <w:color w:val="auto"/>
          <w:sz w:val="22"/>
          <w:szCs w:val="22"/>
        </w:rPr>
      </w:pPr>
      <w:bookmarkStart w:id="47" w:name="_Toc194593865"/>
      <w:bookmarkStart w:id="48" w:name="_Toc206084672"/>
      <w:bookmarkStart w:id="49" w:name="_Toc222865697"/>
      <w:r w:rsidRPr="007F3E0A">
        <w:rPr>
          <w:rFonts w:ascii="Palatino Linotype" w:hAnsi="Palatino Linotype"/>
          <w:b/>
          <w:bCs/>
          <w:color w:val="auto"/>
          <w:sz w:val="22"/>
          <w:szCs w:val="22"/>
        </w:rPr>
        <w:t>R E S U E L V E</w:t>
      </w:r>
      <w:bookmarkEnd w:id="47"/>
      <w:bookmarkEnd w:id="48"/>
      <w:bookmarkEnd w:id="49"/>
    </w:p>
    <w:p w14:paraId="5B5D78FD" w14:textId="77777777" w:rsidR="003B08D1" w:rsidRPr="006F4FB1" w:rsidRDefault="003B08D1" w:rsidP="00E605BC">
      <w:pPr>
        <w:spacing w:line="360" w:lineRule="auto"/>
        <w:contextualSpacing/>
      </w:pPr>
    </w:p>
    <w:p w14:paraId="2BF756F5" w14:textId="03B4B343" w:rsidR="003B08D1" w:rsidRPr="00207F77" w:rsidRDefault="003B08D1" w:rsidP="00E605BC">
      <w:pPr>
        <w:spacing w:line="360" w:lineRule="auto"/>
        <w:contextualSpacing/>
        <w:jc w:val="both"/>
        <w:rPr>
          <w:rFonts w:ascii="Palatino Linotype" w:hAnsi="Palatino Linotype" w:cs="Tahoma"/>
          <w:bCs/>
          <w:iCs/>
          <w:sz w:val="22"/>
          <w:szCs w:val="22"/>
        </w:rPr>
      </w:pPr>
      <w:r w:rsidRPr="00207F77">
        <w:rPr>
          <w:rFonts w:ascii="Palatino Linotype" w:hAnsi="Palatino Linotype" w:cs="Tahoma"/>
          <w:b/>
          <w:bCs/>
          <w:iCs/>
          <w:sz w:val="22"/>
          <w:szCs w:val="22"/>
        </w:rPr>
        <w:t xml:space="preserve">PRIMERO. </w:t>
      </w:r>
      <w:r w:rsidRPr="00207F77">
        <w:rPr>
          <w:rFonts w:ascii="Palatino Linotype" w:hAnsi="Palatino Linotype" w:cs="Tahoma"/>
          <w:bCs/>
          <w:iCs/>
          <w:sz w:val="22"/>
          <w:szCs w:val="22"/>
        </w:rPr>
        <w:t xml:space="preserve">Resultan </w:t>
      </w:r>
      <w:r w:rsidRPr="00207F77">
        <w:rPr>
          <w:rFonts w:ascii="Palatino Linotype" w:hAnsi="Palatino Linotype" w:cs="Tahoma"/>
          <w:b/>
          <w:bCs/>
          <w:iCs/>
          <w:sz w:val="22"/>
          <w:szCs w:val="22"/>
        </w:rPr>
        <w:t>FUNDADAS</w:t>
      </w:r>
      <w:r w:rsidRPr="00207F77">
        <w:rPr>
          <w:rFonts w:ascii="Palatino Linotype" w:hAnsi="Palatino Linotype" w:cs="Tahoma"/>
          <w:bCs/>
          <w:iCs/>
          <w:sz w:val="22"/>
          <w:szCs w:val="22"/>
        </w:rPr>
        <w:t xml:space="preserve"> las razones o motivos de inconformidad hechos valer por el Particular en el Recurso de Revisión </w:t>
      </w:r>
      <w:r>
        <w:rPr>
          <w:rFonts w:ascii="Palatino Linotype" w:hAnsi="Palatino Linotype" w:cs="Tahoma"/>
          <w:bCs/>
          <w:iCs/>
          <w:sz w:val="22"/>
          <w:szCs w:val="22"/>
        </w:rPr>
        <w:t>0144</w:t>
      </w:r>
      <w:r w:rsidR="00CC3130">
        <w:rPr>
          <w:rFonts w:ascii="Palatino Linotype" w:hAnsi="Palatino Linotype" w:cs="Tahoma"/>
          <w:bCs/>
          <w:iCs/>
          <w:sz w:val="22"/>
          <w:szCs w:val="22"/>
        </w:rPr>
        <w:t>21</w:t>
      </w:r>
      <w:r>
        <w:rPr>
          <w:rFonts w:ascii="Palatino Linotype" w:hAnsi="Palatino Linotype" w:cs="Tahoma"/>
          <w:bCs/>
          <w:iCs/>
          <w:sz w:val="22"/>
          <w:szCs w:val="22"/>
        </w:rPr>
        <w:t>/INFOEM/IP/RR/2025</w:t>
      </w:r>
      <w:r w:rsidRPr="00207F77">
        <w:rPr>
          <w:rFonts w:ascii="Palatino Linotype" w:hAnsi="Palatino Linotype" w:cs="Tahoma"/>
          <w:bCs/>
          <w:iCs/>
          <w:sz w:val="22"/>
          <w:szCs w:val="22"/>
        </w:rPr>
        <w:t>,</w:t>
      </w:r>
      <w:r w:rsidRPr="00207F77">
        <w:rPr>
          <w:rFonts w:ascii="Palatino Linotype" w:hAnsi="Palatino Linotype" w:cs="Tahoma"/>
          <w:b/>
          <w:bCs/>
          <w:iCs/>
          <w:sz w:val="22"/>
          <w:szCs w:val="22"/>
        </w:rPr>
        <w:t xml:space="preserve"> </w:t>
      </w:r>
      <w:r w:rsidRPr="00207F77">
        <w:rPr>
          <w:rFonts w:ascii="Palatino Linotype" w:hAnsi="Palatino Linotype" w:cs="Tahoma"/>
          <w:bCs/>
          <w:iCs/>
          <w:sz w:val="22"/>
          <w:szCs w:val="22"/>
        </w:rPr>
        <w:t xml:space="preserve">en términos de los considerandos </w:t>
      </w:r>
      <w:r w:rsidRPr="004B3802">
        <w:rPr>
          <w:rFonts w:ascii="Palatino Linotype" w:hAnsi="Palatino Linotype" w:cs="Tahoma"/>
          <w:bCs/>
          <w:iCs/>
          <w:sz w:val="22"/>
          <w:szCs w:val="22"/>
        </w:rPr>
        <w:t xml:space="preserve">QUINTO y </w:t>
      </w:r>
      <w:r>
        <w:rPr>
          <w:rFonts w:ascii="Palatino Linotype" w:hAnsi="Palatino Linotype" w:cs="Tahoma"/>
          <w:bCs/>
          <w:iCs/>
          <w:sz w:val="22"/>
          <w:szCs w:val="22"/>
        </w:rPr>
        <w:t xml:space="preserve">SEXTO </w:t>
      </w:r>
      <w:r w:rsidRPr="00207F77">
        <w:rPr>
          <w:rFonts w:ascii="Palatino Linotype" w:hAnsi="Palatino Linotype" w:cs="Tahoma"/>
          <w:bCs/>
          <w:iCs/>
          <w:sz w:val="22"/>
          <w:szCs w:val="22"/>
        </w:rPr>
        <w:t>de la presente Resolución.</w:t>
      </w:r>
    </w:p>
    <w:p w14:paraId="4ACFAEB3" w14:textId="77777777" w:rsidR="003B08D1" w:rsidRPr="000C613F" w:rsidRDefault="003B08D1" w:rsidP="00E605BC">
      <w:pPr>
        <w:spacing w:line="360" w:lineRule="auto"/>
        <w:contextualSpacing/>
        <w:jc w:val="both"/>
        <w:rPr>
          <w:rFonts w:ascii="Palatino Linotype" w:hAnsi="Palatino Linotype" w:cs="Tahoma"/>
          <w:b/>
          <w:bCs/>
          <w:iCs/>
          <w:sz w:val="22"/>
          <w:szCs w:val="22"/>
        </w:rPr>
      </w:pPr>
      <w:r w:rsidRPr="000C613F">
        <w:rPr>
          <w:rFonts w:ascii="Palatino Linotype" w:hAnsi="Palatino Linotype" w:cs="Tahoma"/>
          <w:b/>
          <w:bCs/>
          <w:iCs/>
          <w:sz w:val="22"/>
          <w:szCs w:val="22"/>
        </w:rPr>
        <w:t xml:space="preserve">    </w:t>
      </w:r>
    </w:p>
    <w:p w14:paraId="1C6DDDA0" w14:textId="4027A4B1" w:rsidR="003B08D1" w:rsidRDefault="003B08D1" w:rsidP="00E605BC">
      <w:pPr>
        <w:spacing w:line="360" w:lineRule="auto"/>
        <w:contextualSpacing/>
        <w:jc w:val="both"/>
        <w:rPr>
          <w:rFonts w:ascii="Palatino Linotype" w:hAnsi="Palatino Linotype" w:cs="Tahoma"/>
          <w:iCs/>
          <w:sz w:val="22"/>
          <w:szCs w:val="22"/>
        </w:rPr>
      </w:pPr>
      <w:r w:rsidRPr="000C613F">
        <w:rPr>
          <w:rFonts w:ascii="Palatino Linotype" w:hAnsi="Palatino Linotype" w:cs="Tahoma"/>
          <w:b/>
          <w:bCs/>
          <w:iCs/>
          <w:sz w:val="22"/>
          <w:szCs w:val="22"/>
        </w:rPr>
        <w:t xml:space="preserve">SEGUNDO. </w:t>
      </w:r>
      <w:r w:rsidRPr="000663E2">
        <w:rPr>
          <w:rFonts w:ascii="Palatino Linotype" w:hAnsi="Palatino Linotype" w:cs="Tahoma"/>
          <w:iCs/>
          <w:sz w:val="22"/>
          <w:szCs w:val="22"/>
        </w:rPr>
        <w:t>Se</w:t>
      </w:r>
      <w:r w:rsidRPr="000C613F">
        <w:rPr>
          <w:rFonts w:ascii="Palatino Linotype" w:hAnsi="Palatino Linotype" w:cs="Tahoma"/>
          <w:b/>
          <w:bCs/>
          <w:iCs/>
          <w:sz w:val="22"/>
          <w:szCs w:val="22"/>
        </w:rPr>
        <w:t xml:space="preserve"> ORDENA </w:t>
      </w:r>
      <w:r w:rsidRPr="000C613F">
        <w:rPr>
          <w:rFonts w:ascii="Palatino Linotype" w:hAnsi="Palatino Linotype" w:cs="Tahoma"/>
          <w:iCs/>
          <w:sz w:val="22"/>
          <w:szCs w:val="22"/>
        </w:rPr>
        <w:t xml:space="preserve">al Sujeto Obligado a efecto de que, previa búsqueda exhaustiva y razonable en las áreas competentes, </w:t>
      </w:r>
      <w:r w:rsidRPr="00C13987">
        <w:rPr>
          <w:rFonts w:ascii="Palatino Linotype" w:hAnsi="Palatino Linotype" w:cs="Tahoma"/>
          <w:iCs/>
          <w:sz w:val="22"/>
          <w:szCs w:val="22"/>
        </w:rPr>
        <w:t xml:space="preserve">remita a través del SAIMEX, </w:t>
      </w:r>
      <w:r>
        <w:rPr>
          <w:rFonts w:ascii="Palatino Linotype" w:hAnsi="Palatino Linotype" w:cs="Tahoma"/>
          <w:iCs/>
          <w:sz w:val="22"/>
          <w:szCs w:val="22"/>
        </w:rPr>
        <w:t xml:space="preserve">en su caso, en versión pública, </w:t>
      </w:r>
      <w:r w:rsidR="00533669">
        <w:rPr>
          <w:rFonts w:ascii="Palatino Linotype" w:hAnsi="Palatino Linotype" w:cs="Tahoma"/>
          <w:iCs/>
          <w:sz w:val="22"/>
          <w:szCs w:val="22"/>
        </w:rPr>
        <w:t xml:space="preserve">respecto a los </w:t>
      </w:r>
      <w:r w:rsidR="00533669" w:rsidRPr="00E605BC">
        <w:rPr>
          <w:rFonts w:ascii="Palatino Linotype" w:hAnsi="Palatino Linotype"/>
          <w:sz w:val="22"/>
          <w:szCs w:val="22"/>
        </w:rPr>
        <w:t>procedimientos iniciados por construcciones irregulares o sin licencia</w:t>
      </w:r>
      <w:r w:rsidR="00533669">
        <w:rPr>
          <w:rFonts w:ascii="Palatino Linotype" w:hAnsi="Palatino Linotype"/>
          <w:sz w:val="22"/>
          <w:szCs w:val="22"/>
        </w:rPr>
        <w:t xml:space="preserve">, </w:t>
      </w:r>
      <w:r>
        <w:rPr>
          <w:rFonts w:ascii="Palatino Linotype" w:eastAsia="Calibri" w:hAnsi="Palatino Linotype" w:cs="Tahoma"/>
          <w:color w:val="000000"/>
          <w:sz w:val="22"/>
          <w:szCs w:val="22"/>
          <w:lang w:val="es-ES" w:eastAsia="es-MX"/>
        </w:rPr>
        <w:t>del primero de enero al veintiuno de noviembre de dos mil veinticinco</w:t>
      </w:r>
      <w:r>
        <w:rPr>
          <w:rFonts w:ascii="Palatino Linotype" w:hAnsi="Palatino Linotype" w:cs="Tahoma"/>
          <w:iCs/>
          <w:sz w:val="22"/>
          <w:szCs w:val="22"/>
        </w:rPr>
        <w:t>,</w:t>
      </w:r>
      <w:r w:rsidRPr="00C13987">
        <w:rPr>
          <w:rFonts w:ascii="Palatino Linotype" w:hAnsi="Palatino Linotype" w:cs="Tahoma"/>
          <w:iCs/>
          <w:sz w:val="22"/>
          <w:szCs w:val="22"/>
        </w:rPr>
        <w:t xml:space="preserve"> </w:t>
      </w:r>
      <w:r>
        <w:rPr>
          <w:rFonts w:ascii="Palatino Linotype" w:hAnsi="Palatino Linotype" w:cs="Tahoma"/>
          <w:iCs/>
          <w:sz w:val="22"/>
          <w:szCs w:val="22"/>
        </w:rPr>
        <w:t xml:space="preserve">los documentos en los que se advierta lo siguiente: </w:t>
      </w:r>
    </w:p>
    <w:p w14:paraId="3DDBF960" w14:textId="77777777" w:rsidR="003B08D1" w:rsidRDefault="003B08D1" w:rsidP="00E605BC">
      <w:pPr>
        <w:spacing w:line="360" w:lineRule="auto"/>
        <w:contextualSpacing/>
        <w:jc w:val="both"/>
        <w:rPr>
          <w:rFonts w:ascii="Palatino Linotype" w:hAnsi="Palatino Linotype" w:cs="Tahoma"/>
          <w:iCs/>
          <w:sz w:val="22"/>
          <w:szCs w:val="22"/>
        </w:rPr>
      </w:pPr>
    </w:p>
    <w:p w14:paraId="269FB914" w14:textId="59D7A4B2" w:rsidR="003B08D1" w:rsidRPr="00E605BC" w:rsidRDefault="00533669" w:rsidP="00E605BC">
      <w:pPr>
        <w:pStyle w:val="Prrafodelista"/>
        <w:numPr>
          <w:ilvl w:val="0"/>
          <w:numId w:val="19"/>
        </w:numPr>
        <w:spacing w:line="360" w:lineRule="auto"/>
        <w:jc w:val="both"/>
        <w:rPr>
          <w:rFonts w:ascii="Palatino Linotype" w:hAnsi="Palatino Linotype"/>
          <w:sz w:val="22"/>
          <w:szCs w:val="22"/>
        </w:rPr>
      </w:pPr>
      <w:r>
        <w:rPr>
          <w:rFonts w:ascii="Palatino Linotype" w:hAnsi="Palatino Linotype"/>
          <w:sz w:val="22"/>
          <w:szCs w:val="22"/>
        </w:rPr>
        <w:t>Tipo</w:t>
      </w:r>
      <w:r w:rsidR="00CC3130" w:rsidRPr="00E605BC">
        <w:rPr>
          <w:rFonts w:ascii="Palatino Linotype" w:hAnsi="Palatino Linotype"/>
          <w:sz w:val="22"/>
          <w:szCs w:val="22"/>
        </w:rPr>
        <w:t xml:space="preserve"> de irregularidad o infracción, medidas impuestas y el estado actual del procedimiento</w:t>
      </w:r>
      <w:r>
        <w:rPr>
          <w:rFonts w:ascii="Palatino Linotype" w:hAnsi="Palatino Linotype"/>
          <w:sz w:val="22"/>
          <w:szCs w:val="22"/>
        </w:rPr>
        <w:t>.</w:t>
      </w:r>
    </w:p>
    <w:p w14:paraId="0FB33A92" w14:textId="77777777" w:rsidR="00CC3130" w:rsidRDefault="00CC3130" w:rsidP="00E605BC">
      <w:pPr>
        <w:spacing w:line="360" w:lineRule="auto"/>
        <w:contextualSpacing/>
        <w:jc w:val="both"/>
        <w:rPr>
          <w:rFonts w:ascii="Palatino Linotype" w:hAnsi="Palatino Linotype" w:cs="Tahoma"/>
          <w:iCs/>
          <w:sz w:val="22"/>
          <w:szCs w:val="22"/>
        </w:rPr>
      </w:pPr>
    </w:p>
    <w:p w14:paraId="588C051D" w14:textId="77777777" w:rsidR="003B08D1" w:rsidRPr="005259E2" w:rsidRDefault="003B08D1" w:rsidP="00E605BC">
      <w:pPr>
        <w:spacing w:line="360" w:lineRule="auto"/>
        <w:contextualSpacing/>
        <w:jc w:val="both"/>
        <w:rPr>
          <w:rFonts w:ascii="Palatino Linotype" w:hAnsi="Palatino Linotype" w:cs="Tahoma"/>
          <w:bCs/>
          <w:iCs/>
          <w:sz w:val="22"/>
          <w:szCs w:val="22"/>
        </w:rPr>
      </w:pPr>
      <w:r>
        <w:rPr>
          <w:rFonts w:ascii="Palatino Linotype" w:hAnsi="Palatino Linotype" w:cs="Tahoma"/>
          <w:bCs/>
          <w:iCs/>
          <w:sz w:val="22"/>
          <w:szCs w:val="22"/>
        </w:rPr>
        <w:t xml:space="preserve">De ser necesario deberá proporcionar el </w:t>
      </w:r>
      <w:r w:rsidRPr="003D5BBE">
        <w:rPr>
          <w:rFonts w:ascii="Palatino Linotype" w:hAnsi="Palatino Linotype" w:cs="Tahoma"/>
          <w:bCs/>
          <w:iCs/>
          <w:sz w:val="22"/>
          <w:szCs w:val="22"/>
        </w:rPr>
        <w:t>Acuerdo de Clasificación donde el Comité de Transparencia, confirme la eliminación de los datos o información</w:t>
      </w:r>
      <w:r>
        <w:rPr>
          <w:rFonts w:ascii="Palatino Linotype" w:hAnsi="Palatino Linotype" w:cs="Tahoma"/>
          <w:bCs/>
          <w:iCs/>
          <w:sz w:val="22"/>
          <w:szCs w:val="22"/>
        </w:rPr>
        <w:t xml:space="preserve"> clasificada</w:t>
      </w:r>
      <w:r w:rsidRPr="003D5BBE">
        <w:rPr>
          <w:rFonts w:ascii="Palatino Linotype" w:hAnsi="Palatino Linotype" w:cs="Tahoma"/>
          <w:bCs/>
          <w:iCs/>
          <w:sz w:val="22"/>
          <w:szCs w:val="22"/>
        </w:rPr>
        <w:t xml:space="preserve">, de conformidad con los artículos 49, fracciones II y VIII, y 132, fracción II, de la Ley de Transparencia y Acceso a la Información Pública del Estado de México y Municipios. </w:t>
      </w:r>
    </w:p>
    <w:p w14:paraId="0EAD0301" w14:textId="77777777" w:rsidR="003B08D1" w:rsidRDefault="003B08D1" w:rsidP="00E605BC">
      <w:pPr>
        <w:spacing w:line="360" w:lineRule="auto"/>
        <w:contextualSpacing/>
        <w:jc w:val="both"/>
        <w:rPr>
          <w:rFonts w:ascii="Palatino Linotype" w:hAnsi="Palatino Linotype" w:cs="Tahoma"/>
          <w:iCs/>
          <w:sz w:val="22"/>
          <w:szCs w:val="22"/>
        </w:rPr>
      </w:pPr>
    </w:p>
    <w:p w14:paraId="1E58EC32" w14:textId="77777777" w:rsidR="003B08D1" w:rsidRDefault="003B08D1" w:rsidP="00E605BC">
      <w:pPr>
        <w:spacing w:line="360" w:lineRule="auto"/>
        <w:contextualSpacing/>
        <w:jc w:val="both"/>
        <w:rPr>
          <w:noProof/>
          <w14:ligatures w14:val="standardContextual"/>
        </w:rPr>
      </w:pPr>
      <w:r w:rsidRPr="000C613F">
        <w:rPr>
          <w:rFonts w:ascii="Palatino Linotype" w:hAnsi="Palatino Linotype" w:cs="Tahoma"/>
          <w:b/>
          <w:bCs/>
          <w:iCs/>
          <w:sz w:val="22"/>
          <w:szCs w:val="22"/>
        </w:rPr>
        <w:t xml:space="preserve">TERCERO. </w:t>
      </w:r>
      <w:r w:rsidRPr="000C613F">
        <w:rPr>
          <w:rFonts w:ascii="Palatino Linotype" w:hAnsi="Palatino Linotype" w:cs="Tahoma"/>
          <w:iCs/>
          <w:sz w:val="22"/>
          <w:szCs w:val="22"/>
        </w:rPr>
        <w:t>Con fundamento en el artículo 179, párrafo segundo, de la Ley de Transparencia y Acceso a la Información Pública del Estado de México y Municipios, se hace del conocimiento del Recurrente que tiene derecho a interponer nuevamente Recurso de Revisión ante este Instituto, por la respuesta que dé el Sujeto Obligado, en cumplimiento a esta Resolución.</w:t>
      </w:r>
      <w:r w:rsidRPr="00D82AE6">
        <w:rPr>
          <w:noProof/>
          <w14:ligatures w14:val="standardContextual"/>
        </w:rPr>
        <w:t xml:space="preserve"> </w:t>
      </w:r>
    </w:p>
    <w:p w14:paraId="736CD9E2" w14:textId="77777777" w:rsidR="00533669" w:rsidRPr="000C613F" w:rsidRDefault="00533669" w:rsidP="00E605BC">
      <w:pPr>
        <w:spacing w:line="360" w:lineRule="auto"/>
        <w:contextualSpacing/>
        <w:jc w:val="both"/>
        <w:rPr>
          <w:rFonts w:ascii="Palatino Linotype" w:hAnsi="Palatino Linotype" w:cs="Tahoma"/>
          <w:iCs/>
          <w:sz w:val="22"/>
          <w:szCs w:val="22"/>
        </w:rPr>
      </w:pPr>
    </w:p>
    <w:p w14:paraId="01D3BB77" w14:textId="6794B163" w:rsidR="003B08D1" w:rsidRPr="002C584C" w:rsidRDefault="003B08D1" w:rsidP="00E605BC">
      <w:pPr>
        <w:spacing w:line="360" w:lineRule="auto"/>
        <w:contextualSpacing/>
        <w:jc w:val="both"/>
        <w:rPr>
          <w:rFonts w:ascii="Palatino Linotype" w:hAnsi="Palatino Linotype" w:cs="Tahoma"/>
          <w:b/>
          <w:bCs/>
          <w:iCs/>
          <w:sz w:val="22"/>
          <w:szCs w:val="22"/>
        </w:rPr>
      </w:pPr>
      <w:r w:rsidRPr="000C613F">
        <w:rPr>
          <w:rFonts w:ascii="Palatino Linotype" w:hAnsi="Palatino Linotype" w:cs="Tahoma"/>
          <w:b/>
          <w:bCs/>
          <w:iCs/>
          <w:sz w:val="22"/>
          <w:szCs w:val="22"/>
        </w:rPr>
        <w:t xml:space="preserve"> CUARTO. NOTIFÍQUESE POR SAIMEX </w:t>
      </w:r>
      <w:r w:rsidRPr="000C613F">
        <w:rPr>
          <w:rFonts w:ascii="Palatino Linotype" w:hAnsi="Palatino Linotype" w:cs="Tahoma"/>
          <w:iCs/>
          <w:sz w:val="22"/>
          <w:szCs w:val="22"/>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w:t>
      </w:r>
      <w:r>
        <w:rPr>
          <w:rFonts w:ascii="Palatino Linotype" w:hAnsi="Palatino Linotype" w:cs="Tahoma"/>
          <w:iCs/>
          <w:sz w:val="22"/>
          <w:szCs w:val="22"/>
        </w:rPr>
        <w:t>referida.</w:t>
      </w:r>
    </w:p>
    <w:p w14:paraId="32CB7B3B" w14:textId="77777777" w:rsidR="003B08D1" w:rsidRPr="000C613F" w:rsidRDefault="003B08D1" w:rsidP="00E605BC">
      <w:pPr>
        <w:spacing w:line="360" w:lineRule="auto"/>
        <w:contextualSpacing/>
        <w:jc w:val="both"/>
        <w:rPr>
          <w:rFonts w:ascii="Palatino Linotype" w:hAnsi="Palatino Linotype" w:cs="Tahoma"/>
          <w:iCs/>
          <w:sz w:val="22"/>
          <w:szCs w:val="22"/>
        </w:rPr>
      </w:pPr>
      <w:r w:rsidRPr="000C613F">
        <w:rPr>
          <w:rFonts w:ascii="Palatino Linotype" w:hAnsi="Palatino Linotype" w:cs="Tahoma"/>
          <w:iCs/>
          <w:sz w:val="22"/>
          <w:szCs w:val="22"/>
        </w:rPr>
        <w:t xml:space="preserve"> </w:t>
      </w:r>
    </w:p>
    <w:p w14:paraId="4343465A" w14:textId="77777777" w:rsidR="003B08D1" w:rsidRPr="000C613F" w:rsidRDefault="003B08D1" w:rsidP="00E605BC">
      <w:pPr>
        <w:spacing w:line="360" w:lineRule="auto"/>
        <w:contextualSpacing/>
        <w:jc w:val="both"/>
        <w:rPr>
          <w:rFonts w:ascii="Palatino Linotype" w:hAnsi="Palatino Linotype" w:cs="Tahoma"/>
          <w:b/>
          <w:bCs/>
          <w:iCs/>
          <w:sz w:val="22"/>
          <w:szCs w:val="22"/>
        </w:rPr>
      </w:pPr>
      <w:r w:rsidRPr="000C613F">
        <w:rPr>
          <w:rFonts w:ascii="Palatino Linotype" w:hAnsi="Palatino Linotype" w:cs="Tahoma"/>
          <w:b/>
          <w:bCs/>
          <w:iCs/>
          <w:sz w:val="22"/>
          <w:szCs w:val="22"/>
        </w:rPr>
        <w:t xml:space="preserve">QUINTO.  NOTIFÍQUESE POR SAIMEX </w:t>
      </w:r>
      <w:r w:rsidRPr="000C613F">
        <w:rPr>
          <w:rFonts w:ascii="Palatino Linotype" w:hAnsi="Palatino Linotype" w:cs="Tahoma"/>
          <w:iCs/>
          <w:sz w:val="22"/>
          <w:szCs w:val="22"/>
        </w:rPr>
        <w:t>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06EEB2DB" w14:textId="77777777" w:rsidR="003B08D1" w:rsidRPr="000C613F" w:rsidRDefault="003B08D1" w:rsidP="00E605BC">
      <w:pPr>
        <w:spacing w:line="360" w:lineRule="auto"/>
        <w:contextualSpacing/>
        <w:jc w:val="both"/>
        <w:rPr>
          <w:rFonts w:ascii="Palatino Linotype" w:hAnsi="Palatino Linotype" w:cs="Tahoma"/>
          <w:b/>
          <w:bCs/>
          <w:iCs/>
          <w:sz w:val="22"/>
          <w:szCs w:val="22"/>
        </w:rPr>
      </w:pPr>
      <w:r w:rsidRPr="000C613F">
        <w:rPr>
          <w:rFonts w:ascii="Palatino Linotype" w:hAnsi="Palatino Linotype" w:cs="Tahoma"/>
          <w:b/>
          <w:bCs/>
          <w:iCs/>
          <w:sz w:val="22"/>
          <w:szCs w:val="22"/>
        </w:rPr>
        <w:t xml:space="preserve"> </w:t>
      </w:r>
    </w:p>
    <w:p w14:paraId="0E502BF7" w14:textId="77777777" w:rsidR="003B08D1" w:rsidRPr="000C613F" w:rsidRDefault="003B08D1" w:rsidP="00E605BC">
      <w:pPr>
        <w:spacing w:line="360" w:lineRule="auto"/>
        <w:contextualSpacing/>
        <w:jc w:val="both"/>
        <w:rPr>
          <w:rFonts w:ascii="Palatino Linotype" w:hAnsi="Palatino Linotype" w:cs="Tahoma"/>
          <w:iCs/>
          <w:sz w:val="22"/>
          <w:szCs w:val="22"/>
        </w:rPr>
      </w:pPr>
      <w:r w:rsidRPr="005A18E7">
        <w:rPr>
          <w:rFonts w:ascii="Palatino Linotype" w:hAnsi="Palatino Linotype" w:cs="Tahoma"/>
          <w:b/>
          <w:bCs/>
          <w:iCs/>
          <w:sz w:val="22"/>
          <w:szCs w:val="22"/>
        </w:rPr>
        <w:t xml:space="preserve">SEXTO. </w:t>
      </w:r>
      <w:r w:rsidRPr="005A18E7">
        <w:rPr>
          <w:rFonts w:ascii="Palatino Linotype" w:hAnsi="Palatino Linotype" w:cs="Tahoma"/>
          <w:iCs/>
          <w:sz w:val="22"/>
          <w:szCs w:val="22"/>
        </w:rPr>
        <w:t xml:space="preserve">Gírese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determine lo conducente, en términos de lo señalado en el Considerando </w:t>
      </w:r>
      <w:r w:rsidRPr="00377416">
        <w:rPr>
          <w:rFonts w:ascii="Palatino Linotype" w:hAnsi="Palatino Linotype" w:cs="Tahoma"/>
          <w:iCs/>
          <w:sz w:val="22"/>
          <w:szCs w:val="22"/>
        </w:rPr>
        <w:t xml:space="preserve">SÉPTIMO </w:t>
      </w:r>
      <w:r w:rsidRPr="005A18E7">
        <w:rPr>
          <w:rFonts w:ascii="Palatino Linotype" w:hAnsi="Palatino Linotype" w:cs="Tahoma"/>
          <w:iCs/>
          <w:sz w:val="22"/>
          <w:szCs w:val="22"/>
        </w:rPr>
        <w:t>de la presente Resolución.</w:t>
      </w:r>
    </w:p>
    <w:p w14:paraId="34B3633F" w14:textId="77777777" w:rsidR="003B08D1" w:rsidRDefault="003B08D1" w:rsidP="00E605BC">
      <w:pPr>
        <w:spacing w:line="360" w:lineRule="auto"/>
        <w:contextualSpacing/>
        <w:jc w:val="both"/>
        <w:rPr>
          <w:rFonts w:ascii="Palatino Linotype" w:eastAsia="Calibri" w:hAnsi="Palatino Linotype" w:cs="Tahoma"/>
          <w:iCs/>
          <w:sz w:val="22"/>
          <w:szCs w:val="22"/>
        </w:rPr>
      </w:pPr>
    </w:p>
    <w:p w14:paraId="60F32A6C" w14:textId="1D46314E" w:rsidR="003B08D1" w:rsidRDefault="003B08D1" w:rsidP="00E605BC">
      <w:pPr>
        <w:spacing w:line="360" w:lineRule="auto"/>
        <w:contextualSpacing/>
        <w:jc w:val="both"/>
        <w:rPr>
          <w:rFonts w:ascii="Palatino Linotype" w:hAnsi="Palatino Linotype" w:cs="Tahoma"/>
          <w:bCs/>
          <w:iCs/>
          <w:sz w:val="22"/>
          <w:szCs w:val="22"/>
        </w:rPr>
      </w:pPr>
      <w:r w:rsidRPr="00B71E3E">
        <w:rPr>
          <w:rFonts w:ascii="Palatino Linotype" w:eastAsia="Calibri" w:hAnsi="Palatino Linotype" w:cs="Tahoma"/>
          <w:iCs/>
          <w:sz w:val="22"/>
          <w:szCs w:val="22"/>
        </w:rPr>
        <w:t xml:space="preserve">ASÍ LO RESUELVE, POR </w:t>
      </w:r>
      <w:r>
        <w:rPr>
          <w:rFonts w:ascii="Palatino Linotype" w:eastAsia="Calibri" w:hAnsi="Palatino Linotype" w:cs="Tahoma"/>
          <w:b/>
          <w:bCs/>
          <w:iCs/>
          <w:sz w:val="22"/>
          <w:szCs w:val="22"/>
        </w:rPr>
        <w:t xml:space="preserve">UNANIMIDAD </w:t>
      </w:r>
      <w:r w:rsidRPr="00B71E3E">
        <w:rPr>
          <w:rFonts w:ascii="Palatino Linotype" w:eastAsia="Calibri" w:hAnsi="Palatino Linotype" w:cs="Tahoma"/>
          <w:iCs/>
          <w:sz w:val="22"/>
          <w:szCs w:val="22"/>
        </w:rPr>
        <w:t>DE VOTOS EL PLENO DEL INSTITUTO DE TRANSPARENCIA, ACCESO A LA INFORMACIÓN PÚBLICA Y PROTECCIÓN DE DATOS PERSONALES DEL ESTADO DE MÉXICO Y MUNICIPIOS, CONFORMADO POR LOS COMISIONADOS JOSÉ MARTÍNEZ VILCHIS</w:t>
      </w:r>
      <w:r>
        <w:rPr>
          <w:rFonts w:ascii="Palatino Linotype" w:eastAsia="Calibri" w:hAnsi="Palatino Linotype" w:cs="Tahoma"/>
          <w:iCs/>
          <w:sz w:val="22"/>
          <w:szCs w:val="22"/>
        </w:rPr>
        <w:t xml:space="preserve">, </w:t>
      </w:r>
      <w:r w:rsidRPr="00B71E3E">
        <w:rPr>
          <w:rFonts w:ascii="Palatino Linotype" w:eastAsia="Calibri" w:hAnsi="Palatino Linotype" w:cs="Tahoma"/>
          <w:iCs/>
          <w:sz w:val="22"/>
          <w:szCs w:val="22"/>
        </w:rPr>
        <w:t xml:space="preserve">MARÍA DEL ROSARIO MEJÍA AYALA, SHARON CRISTINA MORALES MARTÍNEZ, LUIS GUSTAVO PARRA </w:t>
      </w:r>
      <w:r w:rsidRPr="00B71E3E">
        <w:rPr>
          <w:rFonts w:ascii="Palatino Linotype" w:eastAsia="Calibri" w:hAnsi="Palatino Linotype" w:cs="Tahoma"/>
          <w:iCs/>
          <w:sz w:val="22"/>
          <w:szCs w:val="22"/>
        </w:rPr>
        <w:lastRenderedPageBreak/>
        <w:t>NORIEGA</w:t>
      </w:r>
      <w:r>
        <w:rPr>
          <w:rFonts w:ascii="Palatino Linotype" w:eastAsia="Calibri" w:hAnsi="Palatino Linotype" w:cs="Tahoma"/>
          <w:iCs/>
          <w:sz w:val="22"/>
          <w:szCs w:val="22"/>
        </w:rPr>
        <w:t xml:space="preserve"> </w:t>
      </w:r>
      <w:r w:rsidRPr="00B71E3E">
        <w:rPr>
          <w:rFonts w:ascii="Palatino Linotype" w:eastAsia="Calibri" w:hAnsi="Palatino Linotype" w:cs="Tahoma"/>
          <w:iCs/>
          <w:sz w:val="22"/>
          <w:szCs w:val="22"/>
        </w:rPr>
        <w:t xml:space="preserve">Y GUADALUPE RAMÍREZ PEÑA, EN LA </w:t>
      </w:r>
      <w:r w:rsidR="002C584C">
        <w:rPr>
          <w:rFonts w:ascii="Palatino Linotype" w:eastAsia="Calibri" w:hAnsi="Palatino Linotype" w:cs="Tahoma"/>
          <w:iCs/>
          <w:sz w:val="22"/>
          <w:szCs w:val="22"/>
        </w:rPr>
        <w:t>OCTAVA</w:t>
      </w:r>
      <w:r w:rsidRPr="00B71E3E">
        <w:rPr>
          <w:rFonts w:ascii="Palatino Linotype" w:eastAsia="Calibri" w:hAnsi="Palatino Linotype" w:cs="Tahoma"/>
          <w:iCs/>
          <w:sz w:val="22"/>
          <w:szCs w:val="22"/>
        </w:rPr>
        <w:t xml:space="preserve"> SESIÓN ORDINARIA, CELEBRADA EL </w:t>
      </w:r>
      <w:r w:rsidR="002C584C">
        <w:rPr>
          <w:rFonts w:ascii="Palatino Linotype" w:eastAsia="Calibri" w:hAnsi="Palatino Linotype" w:cs="Tahoma"/>
          <w:iCs/>
          <w:sz w:val="22"/>
          <w:szCs w:val="22"/>
        </w:rPr>
        <w:t xml:space="preserve">CINCO DE MARZO </w:t>
      </w:r>
      <w:r w:rsidRPr="00B71E3E">
        <w:rPr>
          <w:rFonts w:ascii="Palatino Linotype" w:eastAsia="Calibri" w:hAnsi="Palatino Linotype" w:cs="Tahoma"/>
          <w:iCs/>
          <w:sz w:val="22"/>
          <w:szCs w:val="22"/>
        </w:rPr>
        <w:t>DE DOS MIL VEINTI</w:t>
      </w:r>
      <w:r>
        <w:rPr>
          <w:rFonts w:ascii="Palatino Linotype" w:eastAsia="Calibri" w:hAnsi="Palatino Linotype" w:cs="Tahoma"/>
          <w:iCs/>
          <w:sz w:val="22"/>
          <w:szCs w:val="22"/>
        </w:rPr>
        <w:t>SÉIS</w:t>
      </w:r>
      <w:r w:rsidRPr="00B71E3E">
        <w:rPr>
          <w:rFonts w:ascii="Palatino Linotype" w:eastAsia="Calibri" w:hAnsi="Palatino Linotype" w:cs="Tahoma"/>
          <w:iCs/>
          <w:sz w:val="22"/>
          <w:szCs w:val="22"/>
        </w:rPr>
        <w:t>, ANTE EL SECRETARIO TÉCNICO DEL PLENO, ALEXIS TAPIA RAMÍREZ.</w:t>
      </w:r>
    </w:p>
    <w:p w14:paraId="6BAF5676" w14:textId="77777777" w:rsidR="003B08D1" w:rsidRDefault="003B08D1" w:rsidP="00E605BC">
      <w:pPr>
        <w:spacing w:line="360" w:lineRule="auto"/>
        <w:contextualSpacing/>
        <w:jc w:val="both"/>
        <w:rPr>
          <w:rFonts w:ascii="Palatino Linotype" w:hAnsi="Palatino Linotype" w:cs="Tahoma"/>
          <w:bCs/>
          <w:iCs/>
          <w:sz w:val="22"/>
          <w:szCs w:val="22"/>
        </w:rPr>
      </w:pPr>
    </w:p>
    <w:p w14:paraId="4094D5EB" w14:textId="77777777" w:rsidR="003B08D1" w:rsidRDefault="003B08D1" w:rsidP="00E605BC">
      <w:pPr>
        <w:spacing w:line="360" w:lineRule="auto"/>
        <w:contextualSpacing/>
        <w:rPr>
          <w:rFonts w:ascii="Palatino Linotype" w:hAnsi="Palatino Linotype"/>
        </w:rPr>
      </w:pPr>
    </w:p>
    <w:p w14:paraId="28DF6553" w14:textId="77777777" w:rsidR="003B08D1" w:rsidRDefault="003B08D1" w:rsidP="00E605BC">
      <w:pPr>
        <w:spacing w:line="360" w:lineRule="auto"/>
        <w:contextualSpacing/>
        <w:rPr>
          <w:rFonts w:ascii="Palatino Linotype" w:hAnsi="Palatino Linotype"/>
        </w:rPr>
      </w:pPr>
    </w:p>
    <w:p w14:paraId="1D3EE989" w14:textId="77777777" w:rsidR="003B08D1" w:rsidRDefault="003B08D1" w:rsidP="00E605BC">
      <w:pPr>
        <w:spacing w:line="360" w:lineRule="auto"/>
        <w:contextualSpacing/>
        <w:rPr>
          <w:rFonts w:ascii="Palatino Linotype" w:hAnsi="Palatino Linotype"/>
        </w:rPr>
      </w:pPr>
    </w:p>
    <w:p w14:paraId="1191F215" w14:textId="77777777" w:rsidR="003B08D1" w:rsidRDefault="003B08D1" w:rsidP="00E605BC">
      <w:pPr>
        <w:spacing w:line="360" w:lineRule="auto"/>
        <w:contextualSpacing/>
        <w:rPr>
          <w:rFonts w:ascii="Palatino Linotype" w:hAnsi="Palatino Linotype"/>
        </w:rPr>
      </w:pPr>
    </w:p>
    <w:p w14:paraId="2700C3C8" w14:textId="77777777" w:rsidR="003B08D1" w:rsidRDefault="003B08D1" w:rsidP="00E605BC">
      <w:pPr>
        <w:spacing w:line="360" w:lineRule="auto"/>
        <w:contextualSpacing/>
        <w:rPr>
          <w:rFonts w:ascii="Palatino Linotype" w:hAnsi="Palatino Linotype"/>
        </w:rPr>
      </w:pPr>
    </w:p>
    <w:p w14:paraId="63639351" w14:textId="77777777" w:rsidR="003B08D1" w:rsidRDefault="003B08D1" w:rsidP="00E605BC">
      <w:pPr>
        <w:spacing w:line="360" w:lineRule="auto"/>
        <w:contextualSpacing/>
        <w:rPr>
          <w:rFonts w:ascii="Palatino Linotype" w:hAnsi="Palatino Linotype"/>
        </w:rPr>
      </w:pPr>
    </w:p>
    <w:p w14:paraId="7E176516" w14:textId="77777777" w:rsidR="003B08D1" w:rsidRDefault="003B08D1" w:rsidP="00E605BC">
      <w:pPr>
        <w:spacing w:line="360" w:lineRule="auto"/>
        <w:contextualSpacing/>
        <w:rPr>
          <w:rFonts w:ascii="Palatino Linotype" w:hAnsi="Palatino Linotype"/>
        </w:rPr>
      </w:pPr>
    </w:p>
    <w:p w14:paraId="628DF4F3" w14:textId="77777777" w:rsidR="003B08D1" w:rsidRDefault="003B08D1" w:rsidP="00E605BC">
      <w:pPr>
        <w:spacing w:line="360" w:lineRule="auto"/>
        <w:contextualSpacing/>
        <w:rPr>
          <w:rFonts w:ascii="Palatino Linotype" w:hAnsi="Palatino Linotype"/>
        </w:rPr>
      </w:pPr>
    </w:p>
    <w:p w14:paraId="7AFB0722" w14:textId="77777777" w:rsidR="003B08D1" w:rsidRDefault="003B08D1" w:rsidP="00E605BC">
      <w:pPr>
        <w:spacing w:line="360" w:lineRule="auto"/>
        <w:contextualSpacing/>
        <w:rPr>
          <w:rFonts w:ascii="Palatino Linotype" w:hAnsi="Palatino Linotype"/>
        </w:rPr>
      </w:pPr>
    </w:p>
    <w:p w14:paraId="0B4DA308" w14:textId="77777777" w:rsidR="003B08D1" w:rsidRDefault="003B08D1" w:rsidP="00E605BC">
      <w:pPr>
        <w:spacing w:line="360" w:lineRule="auto"/>
        <w:contextualSpacing/>
        <w:rPr>
          <w:rFonts w:ascii="Palatino Linotype" w:hAnsi="Palatino Linotype"/>
        </w:rPr>
      </w:pPr>
    </w:p>
    <w:p w14:paraId="3C74312A" w14:textId="77777777" w:rsidR="003B08D1" w:rsidRDefault="003B08D1" w:rsidP="00E605BC">
      <w:pPr>
        <w:spacing w:line="360" w:lineRule="auto"/>
        <w:contextualSpacing/>
        <w:rPr>
          <w:rFonts w:ascii="Palatino Linotype" w:hAnsi="Palatino Linotype"/>
        </w:rPr>
      </w:pPr>
    </w:p>
    <w:p w14:paraId="508EE821" w14:textId="77777777" w:rsidR="003B08D1" w:rsidRDefault="003B08D1" w:rsidP="00E605BC">
      <w:pPr>
        <w:spacing w:line="360" w:lineRule="auto"/>
        <w:contextualSpacing/>
        <w:rPr>
          <w:rFonts w:ascii="Palatino Linotype" w:hAnsi="Palatino Linotype"/>
        </w:rPr>
      </w:pPr>
    </w:p>
    <w:p w14:paraId="156C2BF5" w14:textId="77777777" w:rsidR="003B08D1" w:rsidRDefault="003B08D1" w:rsidP="00E605BC">
      <w:pPr>
        <w:spacing w:line="360" w:lineRule="auto"/>
        <w:contextualSpacing/>
        <w:rPr>
          <w:rFonts w:ascii="Palatino Linotype" w:hAnsi="Palatino Linotype"/>
        </w:rPr>
      </w:pPr>
    </w:p>
    <w:p w14:paraId="71DF140B" w14:textId="77777777" w:rsidR="003B08D1" w:rsidRPr="00537F14" w:rsidRDefault="003B08D1" w:rsidP="00E605BC">
      <w:pPr>
        <w:spacing w:line="360" w:lineRule="auto"/>
        <w:contextualSpacing/>
        <w:rPr>
          <w:rFonts w:ascii="Palatino Linotype" w:hAnsi="Palatino Linotype"/>
        </w:rPr>
      </w:pPr>
    </w:p>
    <w:p w14:paraId="1610D320" w14:textId="77777777" w:rsidR="003B08D1" w:rsidRDefault="003B08D1" w:rsidP="00E605BC">
      <w:pPr>
        <w:spacing w:line="360" w:lineRule="auto"/>
        <w:contextualSpacing/>
      </w:pPr>
    </w:p>
    <w:p w14:paraId="1E80201C" w14:textId="77777777" w:rsidR="003B08D1" w:rsidRDefault="003B08D1" w:rsidP="00E605BC">
      <w:pPr>
        <w:spacing w:line="360" w:lineRule="auto"/>
        <w:contextualSpacing/>
      </w:pPr>
    </w:p>
    <w:p w14:paraId="345C8F77" w14:textId="77777777" w:rsidR="003B08D1" w:rsidRDefault="003B08D1" w:rsidP="00E605BC">
      <w:pPr>
        <w:spacing w:line="360" w:lineRule="auto"/>
        <w:contextualSpacing/>
      </w:pPr>
    </w:p>
    <w:p w14:paraId="5DF89209" w14:textId="77777777" w:rsidR="003B08D1" w:rsidRDefault="003B08D1" w:rsidP="00E605BC">
      <w:pPr>
        <w:spacing w:line="360" w:lineRule="auto"/>
        <w:contextualSpacing/>
      </w:pPr>
    </w:p>
    <w:p w14:paraId="240739E3" w14:textId="77777777" w:rsidR="003B08D1" w:rsidRDefault="003B08D1" w:rsidP="00E605BC">
      <w:pPr>
        <w:spacing w:line="360" w:lineRule="auto"/>
        <w:contextualSpacing/>
      </w:pPr>
    </w:p>
    <w:p w14:paraId="44449268" w14:textId="77777777" w:rsidR="003B08D1" w:rsidRDefault="003B08D1" w:rsidP="00E605BC">
      <w:pPr>
        <w:spacing w:line="360" w:lineRule="auto"/>
        <w:contextualSpacing/>
      </w:pPr>
    </w:p>
    <w:p w14:paraId="15B16A90" w14:textId="77777777" w:rsidR="003B08D1" w:rsidRDefault="003B08D1" w:rsidP="00E605BC">
      <w:pPr>
        <w:spacing w:line="360" w:lineRule="auto"/>
        <w:contextualSpacing/>
      </w:pPr>
    </w:p>
    <w:p w14:paraId="5251D46D" w14:textId="77777777" w:rsidR="003B08D1" w:rsidRDefault="003B08D1" w:rsidP="00E605BC">
      <w:pPr>
        <w:spacing w:line="360" w:lineRule="auto"/>
        <w:contextualSpacing/>
      </w:pPr>
    </w:p>
    <w:p w14:paraId="284F49B1" w14:textId="77777777" w:rsidR="003B08D1" w:rsidRDefault="003B08D1" w:rsidP="00E605BC">
      <w:pPr>
        <w:spacing w:line="360" w:lineRule="auto"/>
        <w:contextualSpacing/>
      </w:pPr>
    </w:p>
    <w:p w14:paraId="04CADAF4" w14:textId="77777777" w:rsidR="003B08D1" w:rsidRDefault="003B08D1" w:rsidP="00E605BC">
      <w:pPr>
        <w:spacing w:line="360" w:lineRule="auto"/>
        <w:contextualSpacing/>
      </w:pPr>
    </w:p>
    <w:p w14:paraId="753E7956" w14:textId="77777777" w:rsidR="003B08D1" w:rsidRDefault="003B08D1" w:rsidP="00E605BC">
      <w:pPr>
        <w:spacing w:line="360" w:lineRule="auto"/>
        <w:contextualSpacing/>
      </w:pPr>
    </w:p>
    <w:bookmarkEnd w:id="1"/>
    <w:p w14:paraId="7D29FA07" w14:textId="77777777" w:rsidR="00B01980" w:rsidRDefault="00B01980" w:rsidP="00E605BC">
      <w:pPr>
        <w:spacing w:line="360" w:lineRule="auto"/>
        <w:contextualSpacing/>
      </w:pPr>
    </w:p>
    <w:p w14:paraId="41F3C801" w14:textId="77777777" w:rsidR="005D018C" w:rsidRDefault="005D018C" w:rsidP="00E605BC">
      <w:pPr>
        <w:spacing w:line="360" w:lineRule="auto"/>
        <w:contextualSpacing/>
      </w:pPr>
    </w:p>
    <w:p w14:paraId="66563DAB" w14:textId="77777777" w:rsidR="005D018C" w:rsidRDefault="005D018C" w:rsidP="00E605BC">
      <w:pPr>
        <w:spacing w:line="360" w:lineRule="auto"/>
        <w:contextualSpacing/>
      </w:pPr>
    </w:p>
    <w:sectPr w:rsidR="005D018C" w:rsidSect="003B08D1">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4555B" w14:textId="77777777" w:rsidR="006219D2" w:rsidRDefault="006219D2" w:rsidP="003B08D1">
      <w:r>
        <w:separator/>
      </w:r>
    </w:p>
  </w:endnote>
  <w:endnote w:type="continuationSeparator" w:id="0">
    <w:p w14:paraId="68161ED4" w14:textId="77777777" w:rsidR="006219D2" w:rsidRDefault="006219D2" w:rsidP="003B0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965779"/>
      <w:docPartObj>
        <w:docPartGallery w:val="Page Numbers (Bottom of Page)"/>
        <w:docPartUnique/>
      </w:docPartObj>
    </w:sdtPr>
    <w:sdtContent>
      <w:sdt>
        <w:sdtPr>
          <w:id w:val="40187052"/>
          <w:docPartObj>
            <w:docPartGallery w:val="Page Numbers (Top of Page)"/>
            <w:docPartUnique/>
          </w:docPartObj>
        </w:sdtPr>
        <w:sdtContent>
          <w:p w14:paraId="359BB2FE" w14:textId="77777777" w:rsidR="003B08D1" w:rsidRDefault="003B08D1">
            <w:pPr>
              <w:pStyle w:val="Piedepgina"/>
              <w:jc w:val="right"/>
            </w:pPr>
            <w:r w:rsidRPr="00AA25BA">
              <w:rPr>
                <w:rFonts w:ascii="Palatino Linotype" w:hAnsi="Palatino Linotype"/>
                <w:sz w:val="22"/>
                <w:szCs w:val="22"/>
                <w:lang w:val="es-ES"/>
              </w:rPr>
              <w:t xml:space="preserve">Página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PAGE</w:instrText>
            </w:r>
            <w:r w:rsidRPr="00AA25BA">
              <w:rPr>
                <w:rFonts w:ascii="Palatino Linotype" w:hAnsi="Palatino Linotype"/>
                <w:b/>
                <w:bCs/>
                <w:sz w:val="22"/>
                <w:szCs w:val="22"/>
              </w:rPr>
              <w:fldChar w:fldCharType="separate"/>
            </w:r>
            <w:r w:rsidRPr="00AA25BA">
              <w:rPr>
                <w:rFonts w:ascii="Palatino Linotype" w:hAnsi="Palatino Linotype"/>
                <w:b/>
                <w:bCs/>
                <w:sz w:val="22"/>
                <w:szCs w:val="22"/>
                <w:lang w:val="es-ES"/>
              </w:rPr>
              <w:t>2</w:t>
            </w:r>
            <w:r w:rsidRPr="00AA25BA">
              <w:rPr>
                <w:rFonts w:ascii="Palatino Linotype" w:hAnsi="Palatino Linotype"/>
                <w:b/>
                <w:bCs/>
                <w:sz w:val="22"/>
                <w:szCs w:val="22"/>
              </w:rPr>
              <w:fldChar w:fldCharType="end"/>
            </w:r>
            <w:r w:rsidRPr="00AA25BA">
              <w:rPr>
                <w:rFonts w:ascii="Palatino Linotype" w:hAnsi="Palatino Linotype"/>
                <w:sz w:val="22"/>
                <w:szCs w:val="22"/>
                <w:lang w:val="es-ES"/>
              </w:rPr>
              <w:t xml:space="preserve"> de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NUMPAGES</w:instrText>
            </w:r>
            <w:r w:rsidRPr="00AA25BA">
              <w:rPr>
                <w:rFonts w:ascii="Palatino Linotype" w:hAnsi="Palatino Linotype"/>
                <w:b/>
                <w:bCs/>
                <w:sz w:val="22"/>
                <w:szCs w:val="22"/>
              </w:rPr>
              <w:fldChar w:fldCharType="separate"/>
            </w:r>
            <w:r w:rsidR="007B04ED">
              <w:rPr>
                <w:rFonts w:ascii="Palatino Linotype" w:hAnsi="Palatino Linotype"/>
                <w:b/>
                <w:bCs/>
                <w:noProof/>
                <w:sz w:val="22"/>
                <w:szCs w:val="22"/>
              </w:rPr>
              <w:t>36</w:t>
            </w:r>
            <w:r w:rsidRPr="00AA25BA">
              <w:rPr>
                <w:rFonts w:ascii="Palatino Linotype" w:hAnsi="Palatino Linotype"/>
                <w:b/>
                <w:bCs/>
                <w:sz w:val="22"/>
                <w:szCs w:val="22"/>
              </w:rPr>
              <w:fldChar w:fldCharType="end"/>
            </w:r>
          </w:p>
        </w:sdtContent>
      </w:sdt>
    </w:sdtContent>
  </w:sdt>
  <w:p w14:paraId="312E9264" w14:textId="77777777" w:rsidR="003B08D1" w:rsidRDefault="003B08D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576908"/>
      <w:docPartObj>
        <w:docPartGallery w:val="Page Numbers (Bottom of Page)"/>
        <w:docPartUnique/>
      </w:docPartObj>
    </w:sdtPr>
    <w:sdtContent>
      <w:sdt>
        <w:sdtPr>
          <w:id w:val="736206068"/>
          <w:docPartObj>
            <w:docPartGallery w:val="Page Numbers (Top of Page)"/>
            <w:docPartUnique/>
          </w:docPartObj>
        </w:sdtPr>
        <w:sdtContent>
          <w:p w14:paraId="010FBD2A" w14:textId="77777777" w:rsidR="003B08D1" w:rsidRDefault="003B08D1">
            <w:pPr>
              <w:pStyle w:val="Piedepgina"/>
              <w:jc w:val="right"/>
            </w:pPr>
            <w:r w:rsidRPr="00AA25BA">
              <w:rPr>
                <w:rFonts w:ascii="Palatino Linotype" w:hAnsi="Palatino Linotype"/>
                <w:sz w:val="22"/>
                <w:szCs w:val="22"/>
                <w:lang w:val="es-ES"/>
              </w:rPr>
              <w:t xml:space="preserve">Página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PAGE</w:instrText>
            </w:r>
            <w:r w:rsidRPr="00AA25BA">
              <w:rPr>
                <w:rFonts w:ascii="Palatino Linotype" w:hAnsi="Palatino Linotype"/>
                <w:b/>
                <w:bCs/>
                <w:sz w:val="22"/>
                <w:szCs w:val="22"/>
              </w:rPr>
              <w:fldChar w:fldCharType="separate"/>
            </w:r>
            <w:r w:rsidR="007B04ED">
              <w:rPr>
                <w:rFonts w:ascii="Palatino Linotype" w:hAnsi="Palatino Linotype"/>
                <w:b/>
                <w:bCs/>
                <w:noProof/>
                <w:sz w:val="22"/>
                <w:szCs w:val="22"/>
              </w:rPr>
              <w:t>35</w:t>
            </w:r>
            <w:r w:rsidRPr="00AA25BA">
              <w:rPr>
                <w:rFonts w:ascii="Palatino Linotype" w:hAnsi="Palatino Linotype"/>
                <w:b/>
                <w:bCs/>
                <w:sz w:val="22"/>
                <w:szCs w:val="22"/>
              </w:rPr>
              <w:fldChar w:fldCharType="end"/>
            </w:r>
            <w:r w:rsidRPr="00AA25BA">
              <w:rPr>
                <w:rFonts w:ascii="Palatino Linotype" w:hAnsi="Palatino Linotype"/>
                <w:sz w:val="22"/>
                <w:szCs w:val="22"/>
                <w:lang w:val="es-ES"/>
              </w:rPr>
              <w:t xml:space="preserve"> de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NUMPAGES</w:instrText>
            </w:r>
            <w:r w:rsidRPr="00AA25BA">
              <w:rPr>
                <w:rFonts w:ascii="Palatino Linotype" w:hAnsi="Palatino Linotype"/>
                <w:b/>
                <w:bCs/>
                <w:sz w:val="22"/>
                <w:szCs w:val="22"/>
              </w:rPr>
              <w:fldChar w:fldCharType="separate"/>
            </w:r>
            <w:r w:rsidR="007B04ED">
              <w:rPr>
                <w:rFonts w:ascii="Palatino Linotype" w:hAnsi="Palatino Linotype"/>
                <w:b/>
                <w:bCs/>
                <w:noProof/>
                <w:sz w:val="22"/>
                <w:szCs w:val="22"/>
              </w:rPr>
              <w:t>36</w:t>
            </w:r>
            <w:r w:rsidRPr="00AA25BA">
              <w:rPr>
                <w:rFonts w:ascii="Palatino Linotype" w:hAnsi="Palatino Linotype"/>
                <w:b/>
                <w:bCs/>
                <w:sz w:val="22"/>
                <w:szCs w:val="22"/>
              </w:rPr>
              <w:fldChar w:fldCharType="end"/>
            </w:r>
          </w:p>
        </w:sdtContent>
      </w:sdt>
    </w:sdtContent>
  </w:sdt>
  <w:p w14:paraId="53D89381" w14:textId="77777777" w:rsidR="003B08D1" w:rsidRDefault="003B08D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sz w:val="22"/>
        <w:szCs w:val="22"/>
      </w:rPr>
      <w:id w:val="-974364972"/>
      <w:docPartObj>
        <w:docPartGallery w:val="Page Numbers (Bottom of Page)"/>
        <w:docPartUnique/>
      </w:docPartObj>
    </w:sdtPr>
    <w:sdtContent>
      <w:sdt>
        <w:sdtPr>
          <w:rPr>
            <w:rFonts w:ascii="Palatino Linotype" w:hAnsi="Palatino Linotype"/>
            <w:sz w:val="22"/>
            <w:szCs w:val="22"/>
          </w:rPr>
          <w:id w:val="-1769616900"/>
          <w:docPartObj>
            <w:docPartGallery w:val="Page Numbers (Top of Page)"/>
            <w:docPartUnique/>
          </w:docPartObj>
        </w:sdtPr>
        <w:sdtContent>
          <w:p w14:paraId="4046DC78" w14:textId="77777777" w:rsidR="003B08D1" w:rsidRPr="00AA25BA" w:rsidRDefault="003B08D1">
            <w:pPr>
              <w:pStyle w:val="Piedepgina"/>
              <w:jc w:val="right"/>
              <w:rPr>
                <w:rFonts w:ascii="Palatino Linotype" w:hAnsi="Palatino Linotype"/>
                <w:sz w:val="22"/>
                <w:szCs w:val="22"/>
              </w:rPr>
            </w:pPr>
            <w:r w:rsidRPr="00AA25BA">
              <w:rPr>
                <w:rFonts w:ascii="Palatino Linotype" w:hAnsi="Palatino Linotype"/>
                <w:sz w:val="22"/>
                <w:szCs w:val="22"/>
                <w:lang w:val="es-ES"/>
              </w:rPr>
              <w:t xml:space="preserve">Página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PAGE</w:instrText>
            </w:r>
            <w:r w:rsidRPr="00AA25BA">
              <w:rPr>
                <w:rFonts w:ascii="Palatino Linotype" w:hAnsi="Palatino Linotype"/>
                <w:b/>
                <w:bCs/>
                <w:sz w:val="22"/>
                <w:szCs w:val="22"/>
              </w:rPr>
              <w:fldChar w:fldCharType="separate"/>
            </w:r>
            <w:r w:rsidR="007B04ED">
              <w:rPr>
                <w:rFonts w:ascii="Palatino Linotype" w:hAnsi="Palatino Linotype"/>
                <w:b/>
                <w:bCs/>
                <w:noProof/>
                <w:sz w:val="22"/>
                <w:szCs w:val="22"/>
              </w:rPr>
              <w:t>1</w:t>
            </w:r>
            <w:r w:rsidRPr="00AA25BA">
              <w:rPr>
                <w:rFonts w:ascii="Palatino Linotype" w:hAnsi="Palatino Linotype"/>
                <w:b/>
                <w:bCs/>
                <w:sz w:val="22"/>
                <w:szCs w:val="22"/>
              </w:rPr>
              <w:fldChar w:fldCharType="end"/>
            </w:r>
            <w:r w:rsidRPr="00AA25BA">
              <w:rPr>
                <w:rFonts w:ascii="Palatino Linotype" w:hAnsi="Palatino Linotype"/>
                <w:sz w:val="22"/>
                <w:szCs w:val="22"/>
                <w:lang w:val="es-ES"/>
              </w:rPr>
              <w:t xml:space="preserve"> de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NUMPAGES</w:instrText>
            </w:r>
            <w:r w:rsidRPr="00AA25BA">
              <w:rPr>
                <w:rFonts w:ascii="Palatino Linotype" w:hAnsi="Palatino Linotype"/>
                <w:b/>
                <w:bCs/>
                <w:sz w:val="22"/>
                <w:szCs w:val="22"/>
              </w:rPr>
              <w:fldChar w:fldCharType="separate"/>
            </w:r>
            <w:r w:rsidR="007B04ED">
              <w:rPr>
                <w:rFonts w:ascii="Palatino Linotype" w:hAnsi="Palatino Linotype"/>
                <w:b/>
                <w:bCs/>
                <w:noProof/>
                <w:sz w:val="22"/>
                <w:szCs w:val="22"/>
              </w:rPr>
              <w:t>36</w:t>
            </w:r>
            <w:r w:rsidRPr="00AA25BA">
              <w:rPr>
                <w:rFonts w:ascii="Palatino Linotype" w:hAnsi="Palatino Linotype"/>
                <w:b/>
                <w:bCs/>
                <w:sz w:val="22"/>
                <w:szCs w:val="22"/>
              </w:rPr>
              <w:fldChar w:fldCharType="end"/>
            </w:r>
          </w:p>
        </w:sdtContent>
      </w:sdt>
    </w:sdtContent>
  </w:sdt>
  <w:p w14:paraId="7984CC12" w14:textId="77777777" w:rsidR="003B08D1" w:rsidRDefault="003B08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BB51B" w14:textId="77777777" w:rsidR="006219D2" w:rsidRDefault="006219D2" w:rsidP="003B08D1">
      <w:r>
        <w:separator/>
      </w:r>
    </w:p>
  </w:footnote>
  <w:footnote w:type="continuationSeparator" w:id="0">
    <w:p w14:paraId="5231BA8B" w14:textId="77777777" w:rsidR="006219D2" w:rsidRDefault="006219D2" w:rsidP="003B0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05" w:type="dxa"/>
      <w:tblLayout w:type="fixed"/>
      <w:tblLook w:val="04A0" w:firstRow="1" w:lastRow="0" w:firstColumn="1" w:lastColumn="0" w:noHBand="0" w:noVBand="1"/>
    </w:tblPr>
    <w:tblGrid>
      <w:gridCol w:w="2972"/>
      <w:gridCol w:w="6733"/>
    </w:tblGrid>
    <w:tr w:rsidR="003B08D1" w14:paraId="1D6EB457" w14:textId="77777777" w:rsidTr="00D73E5B">
      <w:trPr>
        <w:trHeight w:val="1435"/>
      </w:trPr>
      <w:tc>
        <w:tcPr>
          <w:tcW w:w="2972" w:type="dxa"/>
        </w:tcPr>
        <w:p w14:paraId="17333A7A" w14:textId="77777777" w:rsidR="003B08D1" w:rsidRDefault="003B08D1" w:rsidP="00D73E5B">
          <w:pPr>
            <w:tabs>
              <w:tab w:val="right" w:pos="4273"/>
            </w:tabs>
            <w:spacing w:line="256" w:lineRule="auto"/>
            <w:rPr>
              <w:rFonts w:ascii="Garamond" w:eastAsia="Calibri" w:hAnsi="Garamond"/>
              <w:sz w:val="22"/>
              <w:szCs w:val="22"/>
              <w:lang w:eastAsia="en-US"/>
            </w:rPr>
          </w:pPr>
        </w:p>
      </w:tc>
      <w:tc>
        <w:tcPr>
          <w:tcW w:w="6733" w:type="dxa"/>
          <w:hideMark/>
        </w:tcPr>
        <w:tbl>
          <w:tblPr>
            <w:tblStyle w:val="Tablaconcuadrcula"/>
            <w:tblW w:w="5535" w:type="dxa"/>
            <w:tblInd w:w="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447"/>
            <w:gridCol w:w="3088"/>
          </w:tblGrid>
          <w:tr w:rsidR="003B08D1" w14:paraId="646C5424" w14:textId="77777777" w:rsidTr="00D73E5B">
            <w:trPr>
              <w:trHeight w:val="144"/>
            </w:trPr>
            <w:tc>
              <w:tcPr>
                <w:tcW w:w="2447" w:type="dxa"/>
                <w:hideMark/>
              </w:tcPr>
              <w:p w14:paraId="235711D8" w14:textId="77777777" w:rsidR="003B08D1" w:rsidRPr="008A245E" w:rsidRDefault="003B08D1" w:rsidP="00D73E5B">
                <w:pPr>
                  <w:tabs>
                    <w:tab w:val="right" w:pos="8838"/>
                  </w:tabs>
                  <w:ind w:left="-69" w:right="-105"/>
                  <w:rPr>
                    <w:rFonts w:ascii="Palatino Linotype" w:eastAsia="Calibri" w:hAnsi="Palatino Linotype" w:cs="Tahoma"/>
                    <w:b/>
                    <w:sz w:val="22"/>
                    <w:szCs w:val="22"/>
                    <w:lang w:eastAsia="en-US"/>
                  </w:rPr>
                </w:pPr>
                <w:r w:rsidRPr="008A245E">
                  <w:rPr>
                    <w:rFonts w:ascii="Palatino Linotype" w:eastAsia="Calibri" w:hAnsi="Palatino Linotype" w:cs="Tahoma"/>
                    <w:b/>
                    <w:sz w:val="22"/>
                    <w:szCs w:val="22"/>
                    <w:lang w:eastAsia="en-US"/>
                  </w:rPr>
                  <w:t>Recurso de Revisión:</w:t>
                </w:r>
              </w:p>
            </w:tc>
            <w:tc>
              <w:tcPr>
                <w:tcW w:w="3088" w:type="dxa"/>
                <w:hideMark/>
              </w:tcPr>
              <w:p w14:paraId="5E5455CC" w14:textId="77777777" w:rsidR="003B08D1" w:rsidRPr="008A245E" w:rsidRDefault="003B08D1" w:rsidP="00D73E5B">
                <w:pPr>
                  <w:tabs>
                    <w:tab w:val="right" w:pos="8838"/>
                  </w:tabs>
                  <w:ind w:left="-74" w:right="-105"/>
                  <w:jc w:val="both"/>
                  <w:rPr>
                    <w:rFonts w:ascii="Palatino Linotype" w:eastAsia="Calibri" w:hAnsi="Palatino Linotype" w:cs="Tahoma"/>
                    <w:bCs/>
                    <w:sz w:val="22"/>
                    <w:szCs w:val="22"/>
                    <w:lang w:eastAsia="en-US"/>
                  </w:rPr>
                </w:pPr>
                <w:r w:rsidRPr="008A245E">
                  <w:rPr>
                    <w:rFonts w:ascii="Palatino Linotype" w:eastAsia="Calibri" w:hAnsi="Palatino Linotype" w:cs="Tahoma"/>
                    <w:bCs/>
                    <w:sz w:val="22"/>
                    <w:szCs w:val="22"/>
                    <w:lang w:eastAsia="en-US"/>
                  </w:rPr>
                  <w:t>02946/INFOEM/IP/RR/2021</w:t>
                </w:r>
              </w:p>
            </w:tc>
          </w:tr>
          <w:tr w:rsidR="003B08D1" w14:paraId="754FA7CF" w14:textId="77777777" w:rsidTr="00D73E5B">
            <w:trPr>
              <w:trHeight w:val="283"/>
            </w:trPr>
            <w:tc>
              <w:tcPr>
                <w:tcW w:w="2447" w:type="dxa"/>
                <w:hideMark/>
              </w:tcPr>
              <w:p w14:paraId="2AE4CB89" w14:textId="77777777" w:rsidR="003B08D1" w:rsidRPr="008A245E" w:rsidRDefault="003B08D1" w:rsidP="00D73E5B">
                <w:pPr>
                  <w:tabs>
                    <w:tab w:val="right" w:pos="8838"/>
                  </w:tabs>
                  <w:ind w:left="-74" w:right="-105"/>
                  <w:rPr>
                    <w:rFonts w:ascii="Palatino Linotype" w:eastAsia="Calibri" w:hAnsi="Palatino Linotype" w:cs="Tahoma"/>
                    <w:b/>
                    <w:sz w:val="22"/>
                    <w:szCs w:val="22"/>
                    <w:lang w:eastAsia="en-US"/>
                  </w:rPr>
                </w:pPr>
                <w:r w:rsidRPr="008A245E">
                  <w:rPr>
                    <w:rFonts w:ascii="Palatino Linotype" w:eastAsia="Calibri" w:hAnsi="Palatino Linotype" w:cs="Tahoma"/>
                    <w:b/>
                    <w:sz w:val="22"/>
                    <w:szCs w:val="22"/>
                    <w:lang w:eastAsia="en-US"/>
                  </w:rPr>
                  <w:t>Sujeto Obligado:</w:t>
                </w:r>
              </w:p>
            </w:tc>
            <w:tc>
              <w:tcPr>
                <w:tcW w:w="3088" w:type="dxa"/>
                <w:hideMark/>
              </w:tcPr>
              <w:p w14:paraId="2661142C" w14:textId="77777777" w:rsidR="003B08D1" w:rsidRPr="008A245E" w:rsidRDefault="003B08D1" w:rsidP="00D73E5B">
                <w:pPr>
                  <w:tabs>
                    <w:tab w:val="left" w:pos="2834"/>
                    <w:tab w:val="right" w:pos="8838"/>
                  </w:tabs>
                  <w:ind w:left="-74" w:right="-105"/>
                  <w:jc w:val="both"/>
                  <w:rPr>
                    <w:rFonts w:ascii="Palatino Linotype" w:eastAsia="Calibri" w:hAnsi="Palatino Linotype" w:cs="Tahoma"/>
                    <w:b/>
                    <w:sz w:val="22"/>
                    <w:szCs w:val="22"/>
                    <w:lang w:eastAsia="en-US"/>
                  </w:rPr>
                </w:pPr>
                <w:r w:rsidRPr="008A245E">
                  <w:rPr>
                    <w:rFonts w:ascii="Palatino Linotype" w:eastAsia="Calibri" w:hAnsi="Palatino Linotype" w:cs="Tahoma"/>
                    <w:sz w:val="22"/>
                    <w:szCs w:val="22"/>
                    <w:lang w:eastAsia="en-US"/>
                  </w:rPr>
                  <w:t>Ayuntamiento de San Antonio la Isla</w:t>
                </w:r>
              </w:p>
            </w:tc>
          </w:tr>
          <w:tr w:rsidR="003B08D1" w14:paraId="7B38BCD8" w14:textId="77777777" w:rsidTr="00D73E5B">
            <w:trPr>
              <w:trHeight w:val="283"/>
            </w:trPr>
            <w:tc>
              <w:tcPr>
                <w:tcW w:w="2447" w:type="dxa"/>
                <w:hideMark/>
              </w:tcPr>
              <w:p w14:paraId="0BE5A983" w14:textId="77777777" w:rsidR="003B08D1" w:rsidRPr="008A245E" w:rsidRDefault="003B08D1" w:rsidP="00D73E5B">
                <w:pPr>
                  <w:tabs>
                    <w:tab w:val="right" w:pos="8838"/>
                  </w:tabs>
                  <w:ind w:left="-74" w:right="-105"/>
                  <w:rPr>
                    <w:rFonts w:ascii="Palatino Linotype" w:eastAsia="Calibri" w:hAnsi="Palatino Linotype" w:cs="Tahoma"/>
                    <w:b/>
                    <w:sz w:val="22"/>
                    <w:szCs w:val="22"/>
                    <w:lang w:eastAsia="en-US"/>
                  </w:rPr>
                </w:pPr>
                <w:r w:rsidRPr="008A245E">
                  <w:rPr>
                    <w:rFonts w:ascii="Palatino Linotype" w:eastAsia="Calibri" w:hAnsi="Palatino Linotype" w:cs="Tahoma"/>
                    <w:b/>
                    <w:sz w:val="22"/>
                    <w:szCs w:val="22"/>
                    <w:lang w:eastAsia="en-US"/>
                  </w:rPr>
                  <w:t>Comisionado Ponente:</w:t>
                </w:r>
              </w:p>
            </w:tc>
            <w:tc>
              <w:tcPr>
                <w:tcW w:w="3088" w:type="dxa"/>
              </w:tcPr>
              <w:p w14:paraId="04A4BD11" w14:textId="77777777" w:rsidR="003B08D1" w:rsidRPr="008A245E" w:rsidRDefault="003B08D1" w:rsidP="00D73E5B">
                <w:pPr>
                  <w:tabs>
                    <w:tab w:val="right" w:pos="8838"/>
                  </w:tabs>
                  <w:ind w:left="-74" w:right="-105"/>
                  <w:jc w:val="both"/>
                  <w:rPr>
                    <w:rFonts w:ascii="Palatino Linotype" w:eastAsia="Calibri" w:hAnsi="Palatino Linotype" w:cs="Tahoma"/>
                    <w:sz w:val="22"/>
                    <w:szCs w:val="22"/>
                    <w:lang w:eastAsia="en-US"/>
                  </w:rPr>
                </w:pPr>
                <w:r w:rsidRPr="008A245E">
                  <w:rPr>
                    <w:rFonts w:ascii="Palatino Linotype" w:eastAsia="Calibri" w:hAnsi="Palatino Linotype" w:cs="Tahoma"/>
                    <w:sz w:val="22"/>
                    <w:szCs w:val="22"/>
                    <w:lang w:eastAsia="en-US"/>
                  </w:rPr>
                  <w:t>Luis Gustavo Parra Noriega</w:t>
                </w:r>
              </w:p>
              <w:p w14:paraId="3EF5EAAD" w14:textId="77777777" w:rsidR="003B08D1" w:rsidRPr="008A245E" w:rsidRDefault="003B08D1" w:rsidP="00D73E5B">
                <w:pPr>
                  <w:tabs>
                    <w:tab w:val="right" w:pos="8838"/>
                  </w:tabs>
                  <w:ind w:left="-74" w:right="-105"/>
                  <w:jc w:val="both"/>
                  <w:rPr>
                    <w:rFonts w:ascii="Palatino Linotype" w:eastAsia="Calibri" w:hAnsi="Palatino Linotype" w:cs="Tahoma"/>
                    <w:b/>
                    <w:sz w:val="22"/>
                    <w:szCs w:val="22"/>
                    <w:lang w:eastAsia="en-US"/>
                  </w:rPr>
                </w:pPr>
              </w:p>
            </w:tc>
          </w:tr>
        </w:tbl>
        <w:p w14:paraId="4AB1AE0B" w14:textId="77777777" w:rsidR="003B08D1" w:rsidRDefault="003B08D1" w:rsidP="00D73E5B">
          <w:pPr>
            <w:tabs>
              <w:tab w:val="right" w:pos="8838"/>
            </w:tabs>
            <w:spacing w:line="256" w:lineRule="auto"/>
            <w:ind w:left="-28"/>
            <w:jc w:val="both"/>
            <w:rPr>
              <w:rFonts w:ascii="Arial" w:eastAsia="Calibri" w:hAnsi="Arial" w:cs="Arial"/>
              <w:b/>
              <w:sz w:val="22"/>
              <w:szCs w:val="22"/>
              <w:lang w:eastAsia="en-US"/>
            </w:rPr>
          </w:pPr>
        </w:p>
      </w:tc>
    </w:tr>
  </w:tbl>
  <w:p w14:paraId="3B092700" w14:textId="77777777" w:rsidR="003B08D1" w:rsidRDefault="003B08D1">
    <w:pPr>
      <w:pStyle w:val="Encabezado"/>
    </w:pPr>
    <w:r>
      <w:rPr>
        <w:rFonts w:ascii="Garamond" w:eastAsia="Calibri" w:hAnsi="Garamond"/>
        <w:noProof/>
        <w:sz w:val="22"/>
        <w:szCs w:val="22"/>
        <w:lang w:eastAsia="es-MX"/>
      </w:rPr>
      <w:drawing>
        <wp:anchor distT="0" distB="0" distL="114300" distR="114300" simplePos="0" relativeHeight="251656704" behindDoc="1" locked="0" layoutInCell="0" allowOverlap="1" wp14:anchorId="0CD1B4BA" wp14:editId="640F0907">
          <wp:simplePos x="0" y="0"/>
          <wp:positionH relativeFrom="margin">
            <wp:posOffset>-1381125</wp:posOffset>
          </wp:positionH>
          <wp:positionV relativeFrom="margin">
            <wp:posOffset>-1611630</wp:posOffset>
          </wp:positionV>
          <wp:extent cx="5612130" cy="7308215"/>
          <wp:effectExtent l="0" t="0" r="7620" b="698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73082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Look w:val="04A0" w:firstRow="1" w:lastRow="0" w:firstColumn="1" w:lastColumn="0" w:noHBand="0" w:noVBand="1"/>
    </w:tblPr>
    <w:tblGrid>
      <w:gridCol w:w="1985"/>
      <w:gridCol w:w="7371"/>
    </w:tblGrid>
    <w:tr w:rsidR="003B08D1" w14:paraId="266004F4" w14:textId="77777777" w:rsidTr="00D73E5B">
      <w:trPr>
        <w:trHeight w:val="1435"/>
      </w:trPr>
      <w:tc>
        <w:tcPr>
          <w:tcW w:w="1985" w:type="dxa"/>
        </w:tcPr>
        <w:p w14:paraId="2FDA39FF" w14:textId="77777777" w:rsidR="003B08D1" w:rsidRDefault="003B08D1" w:rsidP="00D73E5B">
          <w:pPr>
            <w:tabs>
              <w:tab w:val="right" w:pos="4273"/>
            </w:tabs>
            <w:spacing w:line="256" w:lineRule="auto"/>
            <w:rPr>
              <w:rFonts w:ascii="Garamond" w:eastAsia="Calibri" w:hAnsi="Garamond"/>
              <w:sz w:val="22"/>
              <w:szCs w:val="22"/>
              <w:lang w:eastAsia="en-US"/>
            </w:rPr>
          </w:pPr>
        </w:p>
      </w:tc>
      <w:tc>
        <w:tcPr>
          <w:tcW w:w="7371" w:type="dxa"/>
          <w:hideMark/>
        </w:tcPr>
        <w:p w14:paraId="61EFA70E" w14:textId="77777777" w:rsidR="003B08D1" w:rsidRPr="007D2BD0" w:rsidRDefault="003B08D1">
          <w:pPr>
            <w:rPr>
              <w:sz w:val="28"/>
              <w:szCs w:val="28"/>
            </w:rPr>
          </w:pPr>
        </w:p>
        <w:tbl>
          <w:tblPr>
            <w:tblStyle w:val="Tablaconcuadrcula"/>
            <w:tblW w:w="8072" w:type="dxa"/>
            <w:tblInd w:w="11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51"/>
            <w:gridCol w:w="3125"/>
            <w:gridCol w:w="2396"/>
          </w:tblGrid>
          <w:tr w:rsidR="003B08D1" w14:paraId="66B30D7C" w14:textId="77777777" w:rsidTr="00726B79">
            <w:trPr>
              <w:trHeight w:val="194"/>
            </w:trPr>
            <w:tc>
              <w:tcPr>
                <w:tcW w:w="2551" w:type="dxa"/>
                <w:hideMark/>
              </w:tcPr>
              <w:p w14:paraId="41E89F80" w14:textId="77777777" w:rsidR="003B08D1" w:rsidRPr="008A245E" w:rsidRDefault="003B08D1" w:rsidP="00D73E5B">
                <w:pPr>
                  <w:tabs>
                    <w:tab w:val="right" w:pos="8838"/>
                  </w:tabs>
                  <w:ind w:left="-114" w:right="-105"/>
                  <w:rPr>
                    <w:rFonts w:ascii="Palatino Linotype" w:eastAsia="Calibri" w:hAnsi="Palatino Linotype" w:cs="Tahoma"/>
                    <w:b/>
                    <w:sz w:val="22"/>
                    <w:szCs w:val="22"/>
                    <w:lang w:eastAsia="en-US"/>
                  </w:rPr>
                </w:pPr>
                <w:r>
                  <w:rPr>
                    <w:rFonts w:ascii="Palatino Linotype" w:eastAsia="Calibri" w:hAnsi="Palatino Linotype" w:cs="Tahoma"/>
                    <w:b/>
                    <w:sz w:val="22"/>
                    <w:szCs w:val="22"/>
                    <w:lang w:eastAsia="en-US"/>
                  </w:rPr>
                  <w:t xml:space="preserve">    </w:t>
                </w:r>
                <w:r w:rsidRPr="008A245E">
                  <w:rPr>
                    <w:rFonts w:ascii="Palatino Linotype" w:eastAsia="Calibri" w:hAnsi="Palatino Linotype" w:cs="Tahoma"/>
                    <w:b/>
                    <w:sz w:val="22"/>
                    <w:szCs w:val="22"/>
                    <w:lang w:eastAsia="en-US"/>
                  </w:rPr>
                  <w:t>Recurso de Revisión:</w:t>
                </w:r>
              </w:p>
            </w:tc>
            <w:tc>
              <w:tcPr>
                <w:tcW w:w="3125" w:type="dxa"/>
                <w:hideMark/>
              </w:tcPr>
              <w:p w14:paraId="143BBC0F" w14:textId="514EF5DE" w:rsidR="003B08D1" w:rsidRPr="008A245E" w:rsidRDefault="003B08D1" w:rsidP="00D73E5B">
                <w:pPr>
                  <w:tabs>
                    <w:tab w:val="right" w:pos="8838"/>
                  </w:tabs>
                  <w:ind w:left="-114" w:right="-105"/>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0144</w:t>
                </w:r>
                <w:r w:rsidR="00F41562">
                  <w:rPr>
                    <w:rFonts w:ascii="Palatino Linotype" w:eastAsia="Calibri" w:hAnsi="Palatino Linotype" w:cs="Tahoma"/>
                    <w:bCs/>
                    <w:sz w:val="22"/>
                    <w:szCs w:val="22"/>
                    <w:lang w:val="es-MX" w:eastAsia="en-US"/>
                  </w:rPr>
                  <w:t>21</w:t>
                </w:r>
                <w:r w:rsidRPr="00326F31">
                  <w:rPr>
                    <w:rFonts w:ascii="Palatino Linotype" w:eastAsia="Calibri" w:hAnsi="Palatino Linotype" w:cs="Tahoma"/>
                    <w:bCs/>
                    <w:sz w:val="22"/>
                    <w:szCs w:val="22"/>
                    <w:lang w:val="es-MX" w:eastAsia="en-US"/>
                  </w:rPr>
                  <w:t>/INFOEM/IP/RR/202</w:t>
                </w:r>
                <w:r>
                  <w:rPr>
                    <w:rFonts w:ascii="Palatino Linotype" w:eastAsia="Calibri" w:hAnsi="Palatino Linotype" w:cs="Tahoma"/>
                    <w:bCs/>
                    <w:sz w:val="22"/>
                    <w:szCs w:val="22"/>
                    <w:lang w:val="es-MX" w:eastAsia="en-US"/>
                  </w:rPr>
                  <w:t>5</w:t>
                </w:r>
              </w:p>
            </w:tc>
            <w:tc>
              <w:tcPr>
                <w:tcW w:w="2396" w:type="dxa"/>
              </w:tcPr>
              <w:p w14:paraId="52AA34A9" w14:textId="77777777" w:rsidR="003B08D1" w:rsidRDefault="003B08D1" w:rsidP="00D73E5B">
                <w:pPr>
                  <w:tabs>
                    <w:tab w:val="right" w:pos="8838"/>
                  </w:tabs>
                  <w:ind w:left="-114" w:right="-105"/>
                  <w:jc w:val="both"/>
                  <w:rPr>
                    <w:rFonts w:ascii="Palatino Linotype" w:eastAsia="Calibri" w:hAnsi="Palatino Linotype" w:cs="Tahoma"/>
                    <w:bCs/>
                    <w:sz w:val="22"/>
                    <w:szCs w:val="22"/>
                    <w:lang w:eastAsia="en-US"/>
                  </w:rPr>
                </w:pPr>
              </w:p>
            </w:tc>
          </w:tr>
          <w:tr w:rsidR="003B08D1" w14:paraId="1E8D541B" w14:textId="77777777" w:rsidTr="00726B79">
            <w:trPr>
              <w:trHeight w:val="88"/>
            </w:trPr>
            <w:tc>
              <w:tcPr>
                <w:tcW w:w="2551" w:type="dxa"/>
                <w:hideMark/>
              </w:tcPr>
              <w:p w14:paraId="7E1942EE" w14:textId="77777777" w:rsidR="003B08D1" w:rsidRPr="008A245E" w:rsidRDefault="003B08D1" w:rsidP="00D73E5B">
                <w:pPr>
                  <w:tabs>
                    <w:tab w:val="right" w:pos="8838"/>
                  </w:tabs>
                  <w:ind w:left="-114" w:right="-105"/>
                  <w:rPr>
                    <w:rFonts w:ascii="Palatino Linotype" w:eastAsia="Calibri" w:hAnsi="Palatino Linotype" w:cs="Tahoma"/>
                    <w:b/>
                    <w:sz w:val="22"/>
                    <w:szCs w:val="22"/>
                    <w:lang w:eastAsia="en-US"/>
                  </w:rPr>
                </w:pPr>
                <w:r>
                  <w:rPr>
                    <w:rFonts w:ascii="Palatino Linotype" w:eastAsia="Calibri" w:hAnsi="Palatino Linotype" w:cs="Tahoma"/>
                    <w:b/>
                    <w:sz w:val="22"/>
                    <w:szCs w:val="22"/>
                    <w:lang w:eastAsia="en-US"/>
                  </w:rPr>
                  <w:t xml:space="preserve">    </w:t>
                </w:r>
                <w:r w:rsidRPr="008A245E">
                  <w:rPr>
                    <w:rFonts w:ascii="Palatino Linotype" w:eastAsia="Calibri" w:hAnsi="Palatino Linotype" w:cs="Tahoma"/>
                    <w:b/>
                    <w:sz w:val="22"/>
                    <w:szCs w:val="22"/>
                    <w:lang w:eastAsia="en-US"/>
                  </w:rPr>
                  <w:t>Sujeto Obligado:</w:t>
                </w:r>
              </w:p>
            </w:tc>
            <w:tc>
              <w:tcPr>
                <w:tcW w:w="3125" w:type="dxa"/>
                <w:hideMark/>
              </w:tcPr>
              <w:p w14:paraId="2A29B274" w14:textId="77777777" w:rsidR="003B08D1" w:rsidRPr="00300B53" w:rsidRDefault="003B08D1" w:rsidP="00D73E5B">
                <w:pPr>
                  <w:tabs>
                    <w:tab w:val="left" w:pos="2834"/>
                    <w:tab w:val="right" w:pos="8838"/>
                  </w:tabs>
                  <w:ind w:left="-114"/>
                  <w:jc w:val="both"/>
                  <w:rPr>
                    <w:rFonts w:ascii="Palatino Linotype" w:eastAsia="Calibri" w:hAnsi="Palatino Linotype" w:cs="Tahoma"/>
                    <w:b/>
                    <w:sz w:val="32"/>
                    <w:szCs w:val="32"/>
                    <w:lang w:eastAsia="en-US"/>
                  </w:rPr>
                </w:pPr>
                <w:r w:rsidRPr="00326F31">
                  <w:rPr>
                    <w:rFonts w:ascii="Palatino Linotype" w:eastAsia="Calibri" w:hAnsi="Palatino Linotype" w:cs="Tahoma"/>
                    <w:sz w:val="22"/>
                    <w:szCs w:val="22"/>
                    <w:lang w:val="es-MX" w:eastAsia="en-US"/>
                  </w:rPr>
                  <w:t xml:space="preserve">Ayuntamiento de </w:t>
                </w:r>
                <w:r>
                  <w:rPr>
                    <w:rFonts w:ascii="Palatino Linotype" w:eastAsia="Calibri" w:hAnsi="Palatino Linotype" w:cs="Tahoma"/>
                    <w:sz w:val="22"/>
                    <w:szCs w:val="22"/>
                    <w:lang w:val="es-MX" w:eastAsia="en-US"/>
                  </w:rPr>
                  <w:t>Tepotzotlán</w:t>
                </w:r>
              </w:p>
            </w:tc>
            <w:tc>
              <w:tcPr>
                <w:tcW w:w="2396" w:type="dxa"/>
              </w:tcPr>
              <w:p w14:paraId="1CAFC7B6" w14:textId="77777777" w:rsidR="003B08D1" w:rsidRPr="00326F31" w:rsidRDefault="003B08D1" w:rsidP="00D73E5B">
                <w:pPr>
                  <w:tabs>
                    <w:tab w:val="left" w:pos="2834"/>
                    <w:tab w:val="right" w:pos="8838"/>
                  </w:tabs>
                  <w:ind w:left="-114"/>
                  <w:jc w:val="both"/>
                  <w:rPr>
                    <w:rFonts w:ascii="Palatino Linotype" w:eastAsia="Calibri" w:hAnsi="Palatino Linotype" w:cs="Tahoma"/>
                    <w:sz w:val="22"/>
                    <w:szCs w:val="22"/>
                    <w:lang w:eastAsia="en-US"/>
                  </w:rPr>
                </w:pPr>
              </w:p>
            </w:tc>
          </w:tr>
          <w:tr w:rsidR="003B08D1" w14:paraId="63509C3F" w14:textId="77777777" w:rsidTr="00726B79">
            <w:trPr>
              <w:trHeight w:val="383"/>
            </w:trPr>
            <w:tc>
              <w:tcPr>
                <w:tcW w:w="2551" w:type="dxa"/>
                <w:hideMark/>
              </w:tcPr>
              <w:p w14:paraId="2EE0521F" w14:textId="77777777" w:rsidR="003B08D1" w:rsidRPr="008A245E" w:rsidRDefault="003B08D1" w:rsidP="00D73E5B">
                <w:pPr>
                  <w:tabs>
                    <w:tab w:val="right" w:pos="8838"/>
                  </w:tabs>
                  <w:ind w:left="-114" w:right="-105"/>
                  <w:rPr>
                    <w:rFonts w:ascii="Palatino Linotype" w:eastAsia="Calibri" w:hAnsi="Palatino Linotype" w:cs="Tahoma"/>
                    <w:b/>
                    <w:sz w:val="22"/>
                    <w:szCs w:val="22"/>
                    <w:lang w:eastAsia="en-US"/>
                  </w:rPr>
                </w:pPr>
                <w:r>
                  <w:rPr>
                    <w:rFonts w:ascii="Palatino Linotype" w:eastAsia="Calibri" w:hAnsi="Palatino Linotype" w:cs="Tahoma"/>
                    <w:b/>
                    <w:sz w:val="22"/>
                    <w:szCs w:val="22"/>
                    <w:lang w:eastAsia="en-US"/>
                  </w:rPr>
                  <w:t xml:space="preserve">    </w:t>
                </w:r>
                <w:r w:rsidRPr="008A245E">
                  <w:rPr>
                    <w:rFonts w:ascii="Palatino Linotype" w:eastAsia="Calibri" w:hAnsi="Palatino Linotype" w:cs="Tahoma"/>
                    <w:b/>
                    <w:sz w:val="22"/>
                    <w:szCs w:val="22"/>
                    <w:lang w:eastAsia="en-US"/>
                  </w:rPr>
                  <w:t>Comisionado Ponente:</w:t>
                </w:r>
              </w:p>
            </w:tc>
            <w:tc>
              <w:tcPr>
                <w:tcW w:w="3125" w:type="dxa"/>
              </w:tcPr>
              <w:p w14:paraId="6EBB3F95" w14:textId="77777777" w:rsidR="003B08D1" w:rsidRPr="007D2BD0" w:rsidRDefault="003B08D1" w:rsidP="00D73E5B">
                <w:pPr>
                  <w:tabs>
                    <w:tab w:val="right" w:pos="8838"/>
                  </w:tabs>
                  <w:ind w:left="-114" w:right="-105"/>
                  <w:jc w:val="both"/>
                  <w:rPr>
                    <w:rFonts w:ascii="Palatino Linotype" w:eastAsia="Calibri" w:hAnsi="Palatino Linotype" w:cs="Tahoma"/>
                    <w:sz w:val="22"/>
                    <w:szCs w:val="22"/>
                    <w:lang w:eastAsia="en-US"/>
                  </w:rPr>
                </w:pPr>
                <w:r w:rsidRPr="008A245E">
                  <w:rPr>
                    <w:rFonts w:ascii="Palatino Linotype" w:eastAsia="Calibri" w:hAnsi="Palatino Linotype" w:cs="Tahoma"/>
                    <w:sz w:val="22"/>
                    <w:szCs w:val="22"/>
                    <w:lang w:eastAsia="en-US"/>
                  </w:rPr>
                  <w:t>Luis Gustavo Parra Noriega</w:t>
                </w:r>
              </w:p>
            </w:tc>
            <w:tc>
              <w:tcPr>
                <w:tcW w:w="2396" w:type="dxa"/>
              </w:tcPr>
              <w:p w14:paraId="20832C8B" w14:textId="77777777" w:rsidR="003B08D1" w:rsidRPr="008A245E" w:rsidRDefault="003B08D1" w:rsidP="00D73E5B">
                <w:pPr>
                  <w:tabs>
                    <w:tab w:val="right" w:pos="8838"/>
                  </w:tabs>
                  <w:ind w:left="-114" w:right="-105"/>
                  <w:jc w:val="both"/>
                  <w:rPr>
                    <w:rFonts w:ascii="Palatino Linotype" w:eastAsia="Calibri" w:hAnsi="Palatino Linotype" w:cs="Tahoma"/>
                    <w:sz w:val="22"/>
                    <w:szCs w:val="22"/>
                    <w:lang w:eastAsia="en-US"/>
                  </w:rPr>
                </w:pPr>
              </w:p>
            </w:tc>
          </w:tr>
        </w:tbl>
        <w:p w14:paraId="26870F3B" w14:textId="77777777" w:rsidR="003B08D1" w:rsidRDefault="003B08D1" w:rsidP="00D73E5B">
          <w:pPr>
            <w:tabs>
              <w:tab w:val="right" w:pos="8838"/>
            </w:tabs>
            <w:spacing w:line="256" w:lineRule="auto"/>
            <w:ind w:left="-28"/>
            <w:jc w:val="both"/>
            <w:rPr>
              <w:rFonts w:ascii="Arial" w:eastAsia="Calibri" w:hAnsi="Arial" w:cs="Arial"/>
              <w:b/>
              <w:sz w:val="22"/>
              <w:szCs w:val="22"/>
              <w:lang w:eastAsia="en-US"/>
            </w:rPr>
          </w:pPr>
        </w:p>
      </w:tc>
    </w:tr>
  </w:tbl>
  <w:p w14:paraId="4CAAD929" w14:textId="77777777" w:rsidR="003B08D1" w:rsidRDefault="003B08D1">
    <w:pPr>
      <w:pStyle w:val="Encabezado"/>
    </w:pPr>
    <w:r>
      <w:rPr>
        <w:rFonts w:ascii="Garamond" w:eastAsia="Calibri" w:hAnsi="Garamond"/>
        <w:noProof/>
        <w:sz w:val="22"/>
        <w:szCs w:val="22"/>
        <w:lang w:eastAsia="es-MX"/>
      </w:rPr>
      <w:drawing>
        <wp:anchor distT="0" distB="0" distL="114300" distR="114300" simplePos="0" relativeHeight="251657728" behindDoc="1" locked="0" layoutInCell="0" allowOverlap="1" wp14:anchorId="7D7BAC35" wp14:editId="0C8A6D9C">
          <wp:simplePos x="0" y="0"/>
          <wp:positionH relativeFrom="margin">
            <wp:posOffset>-1153160</wp:posOffset>
          </wp:positionH>
          <wp:positionV relativeFrom="margin">
            <wp:posOffset>-1539240</wp:posOffset>
          </wp:positionV>
          <wp:extent cx="7835900" cy="10203815"/>
          <wp:effectExtent l="0" t="0" r="0" b="698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5900" cy="102038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Layout w:type="fixed"/>
      <w:tblLook w:val="04A0" w:firstRow="1" w:lastRow="0" w:firstColumn="1" w:lastColumn="0" w:noHBand="0" w:noVBand="1"/>
    </w:tblPr>
    <w:tblGrid>
      <w:gridCol w:w="1560"/>
      <w:gridCol w:w="7654"/>
    </w:tblGrid>
    <w:tr w:rsidR="003B08D1" w14:paraId="0B042D9F" w14:textId="77777777" w:rsidTr="00D73E5B">
      <w:trPr>
        <w:trHeight w:val="1435"/>
      </w:trPr>
      <w:tc>
        <w:tcPr>
          <w:tcW w:w="1560" w:type="dxa"/>
        </w:tcPr>
        <w:p w14:paraId="53A297BD" w14:textId="77777777" w:rsidR="003B08D1" w:rsidRDefault="003B08D1" w:rsidP="00D73E5B">
          <w:pPr>
            <w:tabs>
              <w:tab w:val="right" w:pos="4273"/>
            </w:tabs>
            <w:spacing w:line="256" w:lineRule="auto"/>
            <w:rPr>
              <w:rFonts w:ascii="Garamond" w:eastAsia="Calibri" w:hAnsi="Garamond"/>
              <w:sz w:val="22"/>
              <w:szCs w:val="22"/>
              <w:lang w:eastAsia="en-US"/>
            </w:rPr>
          </w:pPr>
        </w:p>
      </w:tc>
      <w:tc>
        <w:tcPr>
          <w:tcW w:w="7654" w:type="dxa"/>
          <w:hideMark/>
        </w:tcPr>
        <w:tbl>
          <w:tblPr>
            <w:tblStyle w:val="Tablaconcuadrcula"/>
            <w:tblW w:w="7112"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540"/>
            <w:gridCol w:w="3113"/>
            <w:gridCol w:w="459"/>
          </w:tblGrid>
          <w:tr w:rsidR="003B08D1" w:rsidRPr="0095634C" w14:paraId="7F2E375B" w14:textId="77777777" w:rsidTr="00726B79">
            <w:trPr>
              <w:gridAfter w:val="1"/>
              <w:wAfter w:w="459" w:type="dxa"/>
              <w:trHeight w:val="132"/>
            </w:trPr>
            <w:tc>
              <w:tcPr>
                <w:tcW w:w="3540" w:type="dxa"/>
                <w:hideMark/>
              </w:tcPr>
              <w:p w14:paraId="1FA406D4" w14:textId="77777777" w:rsidR="003B08D1" w:rsidRPr="0095634C" w:rsidRDefault="003B08D1" w:rsidP="00D73E5B">
                <w:pPr>
                  <w:tabs>
                    <w:tab w:val="right" w:pos="8838"/>
                  </w:tabs>
                  <w:ind w:left="-69" w:right="-105"/>
                  <w:rPr>
                    <w:rFonts w:ascii="Palatino Linotype" w:eastAsia="Calibri" w:hAnsi="Palatino Linotype" w:cs="Tahoma"/>
                    <w:b/>
                    <w:sz w:val="22"/>
                    <w:szCs w:val="22"/>
                    <w:lang w:eastAsia="en-US"/>
                  </w:rPr>
                </w:pPr>
                <w:r>
                  <w:rPr>
                    <w:rFonts w:ascii="Palatino Linotype" w:eastAsia="Calibri" w:hAnsi="Palatino Linotype" w:cs="Tahoma"/>
                    <w:b/>
                    <w:sz w:val="22"/>
                    <w:szCs w:val="22"/>
                    <w:lang w:eastAsia="en-US"/>
                  </w:rPr>
                  <w:t xml:space="preserve">                      </w:t>
                </w:r>
                <w:r w:rsidRPr="0095634C">
                  <w:rPr>
                    <w:rFonts w:ascii="Palatino Linotype" w:eastAsia="Calibri" w:hAnsi="Palatino Linotype" w:cs="Tahoma"/>
                    <w:b/>
                    <w:sz w:val="22"/>
                    <w:szCs w:val="22"/>
                    <w:lang w:eastAsia="en-US"/>
                  </w:rPr>
                  <w:t>Recurso de Revisión:</w:t>
                </w:r>
              </w:p>
            </w:tc>
            <w:tc>
              <w:tcPr>
                <w:tcW w:w="3113" w:type="dxa"/>
                <w:hideMark/>
              </w:tcPr>
              <w:p w14:paraId="72A6AC55" w14:textId="7EEB1095" w:rsidR="003B08D1" w:rsidRPr="0095634C" w:rsidRDefault="003B08D1" w:rsidP="00D73E5B">
                <w:pPr>
                  <w:tabs>
                    <w:tab w:val="right" w:pos="8838"/>
                  </w:tabs>
                  <w:ind w:left="-74" w:right="-105"/>
                  <w:jc w:val="both"/>
                  <w:rPr>
                    <w:rFonts w:ascii="Palatino Linotype" w:eastAsia="Calibri" w:hAnsi="Palatino Linotype" w:cs="Tahoma"/>
                    <w:sz w:val="22"/>
                    <w:szCs w:val="22"/>
                    <w:lang w:eastAsia="en-US"/>
                  </w:rPr>
                </w:pPr>
                <w:r>
                  <w:rPr>
                    <w:rFonts w:ascii="Palatino Linotype" w:eastAsia="Calibri" w:hAnsi="Palatino Linotype" w:cs="Tahoma"/>
                    <w:sz w:val="22"/>
                    <w:szCs w:val="22"/>
                    <w:lang w:val="es-MX" w:eastAsia="en-US"/>
                  </w:rPr>
                  <w:t>014421</w:t>
                </w:r>
                <w:r w:rsidRPr="00326F31">
                  <w:rPr>
                    <w:rFonts w:ascii="Palatino Linotype" w:eastAsia="Calibri" w:hAnsi="Palatino Linotype" w:cs="Tahoma"/>
                    <w:sz w:val="22"/>
                    <w:szCs w:val="22"/>
                    <w:lang w:val="es-MX" w:eastAsia="en-US"/>
                  </w:rPr>
                  <w:t>/INFOEM/IP/RR/202</w:t>
                </w:r>
                <w:r>
                  <w:rPr>
                    <w:rFonts w:ascii="Palatino Linotype" w:eastAsia="Calibri" w:hAnsi="Palatino Linotype" w:cs="Tahoma"/>
                    <w:sz w:val="22"/>
                    <w:szCs w:val="22"/>
                    <w:lang w:val="es-MX" w:eastAsia="en-US"/>
                  </w:rPr>
                  <w:t xml:space="preserve">5 </w:t>
                </w:r>
              </w:p>
            </w:tc>
          </w:tr>
          <w:tr w:rsidR="003B08D1" w:rsidRPr="0095634C" w14:paraId="2B236C38" w14:textId="77777777" w:rsidTr="00726B79">
            <w:trPr>
              <w:gridAfter w:val="1"/>
              <w:wAfter w:w="459" w:type="dxa"/>
              <w:trHeight w:val="132"/>
            </w:trPr>
            <w:tc>
              <w:tcPr>
                <w:tcW w:w="3540" w:type="dxa"/>
                <w:hideMark/>
              </w:tcPr>
              <w:p w14:paraId="2B0E8F47" w14:textId="77777777" w:rsidR="003B08D1" w:rsidRPr="0095634C" w:rsidRDefault="003B08D1" w:rsidP="00D73E5B">
                <w:pPr>
                  <w:tabs>
                    <w:tab w:val="right" w:pos="8838"/>
                  </w:tabs>
                  <w:ind w:left="-74" w:right="-105"/>
                  <w:rPr>
                    <w:rFonts w:ascii="Palatino Linotype" w:eastAsia="Calibri" w:hAnsi="Palatino Linotype" w:cs="Tahoma"/>
                    <w:b/>
                    <w:sz w:val="22"/>
                    <w:szCs w:val="22"/>
                    <w:lang w:eastAsia="en-US"/>
                  </w:rPr>
                </w:pPr>
                <w:r>
                  <w:rPr>
                    <w:rFonts w:ascii="Palatino Linotype" w:eastAsia="Calibri" w:hAnsi="Palatino Linotype" w:cs="Tahoma"/>
                    <w:b/>
                    <w:sz w:val="22"/>
                    <w:szCs w:val="22"/>
                    <w:lang w:eastAsia="en-US"/>
                  </w:rPr>
                  <w:t xml:space="preserve">                      </w:t>
                </w:r>
                <w:r w:rsidRPr="0095634C">
                  <w:rPr>
                    <w:rFonts w:ascii="Palatino Linotype" w:eastAsia="Calibri" w:hAnsi="Palatino Linotype" w:cs="Tahoma"/>
                    <w:b/>
                    <w:sz w:val="22"/>
                    <w:szCs w:val="22"/>
                    <w:lang w:eastAsia="en-US"/>
                  </w:rPr>
                  <w:t>Recurrente:</w:t>
                </w:r>
              </w:p>
            </w:tc>
            <w:tc>
              <w:tcPr>
                <w:tcW w:w="3113" w:type="dxa"/>
              </w:tcPr>
              <w:p w14:paraId="689B5BF3" w14:textId="4708B7BC" w:rsidR="003B08D1" w:rsidRPr="0095634C" w:rsidRDefault="002139E2" w:rsidP="00D73E5B">
                <w:pPr>
                  <w:tabs>
                    <w:tab w:val="left" w:pos="3122"/>
                    <w:tab w:val="right" w:pos="8838"/>
                  </w:tabs>
                  <w:ind w:left="-74" w:right="-105"/>
                  <w:jc w:val="both"/>
                  <w:rPr>
                    <w:rFonts w:ascii="Palatino Linotype" w:eastAsia="Calibri" w:hAnsi="Palatino Linotype" w:cs="Tahoma"/>
                    <w:sz w:val="22"/>
                    <w:szCs w:val="22"/>
                    <w:lang w:eastAsia="en-US"/>
                  </w:rPr>
                </w:pPr>
                <w:r w:rsidRPr="002139E2">
                  <w:rPr>
                    <w:rFonts w:ascii="Palatino Linotype" w:eastAsia="Calibri" w:hAnsi="Palatino Linotype" w:cs="Tahoma"/>
                    <w:sz w:val="22"/>
                    <w:szCs w:val="22"/>
                    <w:highlight w:val="black"/>
                    <w:lang w:eastAsia="en-US"/>
                  </w:rPr>
                  <w:t>XXXXXXXXXXXXXXXXXXX</w:t>
                </w:r>
              </w:p>
            </w:tc>
          </w:tr>
          <w:tr w:rsidR="003B08D1" w:rsidRPr="0095634C" w14:paraId="01643F1E" w14:textId="77777777" w:rsidTr="00726B79">
            <w:trPr>
              <w:gridAfter w:val="1"/>
              <w:wAfter w:w="459" w:type="dxa"/>
              <w:trHeight w:val="261"/>
            </w:trPr>
            <w:tc>
              <w:tcPr>
                <w:tcW w:w="3540" w:type="dxa"/>
                <w:hideMark/>
              </w:tcPr>
              <w:p w14:paraId="08FB6C40" w14:textId="77777777" w:rsidR="003B08D1" w:rsidRPr="0095634C" w:rsidRDefault="003B08D1" w:rsidP="00D73E5B">
                <w:pPr>
                  <w:tabs>
                    <w:tab w:val="right" w:pos="8838"/>
                  </w:tabs>
                  <w:ind w:left="-74" w:right="-105"/>
                  <w:rPr>
                    <w:rFonts w:ascii="Palatino Linotype" w:eastAsia="Calibri" w:hAnsi="Palatino Linotype" w:cs="Tahoma"/>
                    <w:b/>
                    <w:sz w:val="22"/>
                    <w:szCs w:val="22"/>
                    <w:lang w:eastAsia="en-US"/>
                  </w:rPr>
                </w:pPr>
                <w:r>
                  <w:rPr>
                    <w:rFonts w:ascii="Palatino Linotype" w:eastAsia="Calibri" w:hAnsi="Palatino Linotype" w:cs="Tahoma"/>
                    <w:b/>
                    <w:sz w:val="22"/>
                    <w:szCs w:val="22"/>
                    <w:lang w:eastAsia="en-US"/>
                  </w:rPr>
                  <w:t xml:space="preserve">                      </w:t>
                </w:r>
                <w:r w:rsidRPr="0095634C">
                  <w:rPr>
                    <w:rFonts w:ascii="Palatino Linotype" w:eastAsia="Calibri" w:hAnsi="Palatino Linotype" w:cs="Tahoma"/>
                    <w:b/>
                    <w:sz w:val="22"/>
                    <w:szCs w:val="22"/>
                    <w:lang w:eastAsia="en-US"/>
                  </w:rPr>
                  <w:t>Sujeto Obligado:</w:t>
                </w:r>
              </w:p>
            </w:tc>
            <w:tc>
              <w:tcPr>
                <w:tcW w:w="3113" w:type="dxa"/>
                <w:hideMark/>
              </w:tcPr>
              <w:p w14:paraId="307486CD" w14:textId="77777777" w:rsidR="003B08D1" w:rsidRPr="0095634C" w:rsidRDefault="003B08D1" w:rsidP="00D73E5B">
                <w:pPr>
                  <w:tabs>
                    <w:tab w:val="left" w:pos="2834"/>
                    <w:tab w:val="right" w:pos="8838"/>
                  </w:tabs>
                  <w:ind w:left="-74"/>
                  <w:jc w:val="both"/>
                  <w:rPr>
                    <w:rFonts w:ascii="Palatino Linotype" w:eastAsia="Calibri" w:hAnsi="Palatino Linotype" w:cs="Tahoma"/>
                    <w:sz w:val="22"/>
                    <w:szCs w:val="22"/>
                    <w:lang w:eastAsia="en-US"/>
                  </w:rPr>
                </w:pPr>
                <w:r w:rsidRPr="00326F31">
                  <w:rPr>
                    <w:rFonts w:ascii="Palatino Linotype" w:eastAsia="Calibri" w:hAnsi="Palatino Linotype" w:cs="Tahoma"/>
                    <w:sz w:val="22"/>
                    <w:szCs w:val="22"/>
                    <w:lang w:val="es-MX" w:eastAsia="en-US"/>
                  </w:rPr>
                  <w:t>Ayuntamiento d</w:t>
                </w:r>
                <w:r>
                  <w:rPr>
                    <w:rFonts w:ascii="Palatino Linotype" w:eastAsia="Calibri" w:hAnsi="Palatino Linotype" w:cs="Tahoma"/>
                    <w:sz w:val="22"/>
                    <w:szCs w:val="22"/>
                    <w:lang w:val="es-MX" w:eastAsia="en-US"/>
                  </w:rPr>
                  <w:t>e Tepotzotlán</w:t>
                </w:r>
              </w:p>
            </w:tc>
          </w:tr>
          <w:tr w:rsidR="003B08D1" w:rsidRPr="0095634C" w14:paraId="3C8C0588" w14:textId="77777777" w:rsidTr="00726B79">
            <w:trPr>
              <w:trHeight w:val="261"/>
            </w:trPr>
            <w:tc>
              <w:tcPr>
                <w:tcW w:w="3540" w:type="dxa"/>
                <w:hideMark/>
              </w:tcPr>
              <w:p w14:paraId="7DD610CD" w14:textId="77777777" w:rsidR="003B08D1" w:rsidRPr="0095634C" w:rsidRDefault="003B08D1" w:rsidP="00D73E5B">
                <w:pPr>
                  <w:tabs>
                    <w:tab w:val="right" w:pos="8838"/>
                  </w:tabs>
                  <w:ind w:left="-74" w:right="-105"/>
                  <w:rPr>
                    <w:rFonts w:ascii="Palatino Linotype" w:eastAsia="Calibri" w:hAnsi="Palatino Linotype" w:cs="Tahoma"/>
                    <w:b/>
                    <w:sz w:val="22"/>
                    <w:szCs w:val="22"/>
                    <w:lang w:eastAsia="en-US"/>
                  </w:rPr>
                </w:pPr>
                <w:r>
                  <w:rPr>
                    <w:rFonts w:ascii="Palatino Linotype" w:eastAsia="Calibri" w:hAnsi="Palatino Linotype" w:cs="Tahoma"/>
                    <w:b/>
                    <w:sz w:val="22"/>
                    <w:szCs w:val="22"/>
                    <w:lang w:eastAsia="en-US"/>
                  </w:rPr>
                  <w:t xml:space="preserve">                      </w:t>
                </w:r>
                <w:r w:rsidRPr="0095634C">
                  <w:rPr>
                    <w:rFonts w:ascii="Palatino Linotype" w:eastAsia="Calibri" w:hAnsi="Palatino Linotype" w:cs="Tahoma"/>
                    <w:b/>
                    <w:sz w:val="22"/>
                    <w:szCs w:val="22"/>
                    <w:lang w:eastAsia="en-US"/>
                  </w:rPr>
                  <w:t>Comisionado Ponente:</w:t>
                </w:r>
              </w:p>
            </w:tc>
            <w:tc>
              <w:tcPr>
                <w:tcW w:w="3572" w:type="dxa"/>
                <w:gridSpan w:val="2"/>
              </w:tcPr>
              <w:p w14:paraId="184F7D71" w14:textId="77777777" w:rsidR="003B08D1" w:rsidRPr="0057023C" w:rsidRDefault="003B08D1" w:rsidP="00D73E5B">
                <w:pPr>
                  <w:tabs>
                    <w:tab w:val="right" w:pos="8838"/>
                  </w:tabs>
                  <w:ind w:left="-74" w:right="-105"/>
                  <w:jc w:val="both"/>
                  <w:rPr>
                    <w:rFonts w:ascii="Palatino Linotype" w:eastAsia="Calibri" w:hAnsi="Palatino Linotype" w:cs="Tahoma"/>
                    <w:sz w:val="22"/>
                    <w:szCs w:val="22"/>
                    <w:lang w:eastAsia="en-US"/>
                  </w:rPr>
                </w:pPr>
                <w:r w:rsidRPr="0095634C">
                  <w:rPr>
                    <w:rFonts w:ascii="Palatino Linotype" w:eastAsia="Calibri" w:hAnsi="Palatino Linotype" w:cs="Tahoma"/>
                    <w:sz w:val="22"/>
                    <w:szCs w:val="22"/>
                    <w:lang w:eastAsia="en-US"/>
                  </w:rPr>
                  <w:t>Luis Gustavo Parra Noriega</w:t>
                </w:r>
              </w:p>
            </w:tc>
          </w:tr>
        </w:tbl>
        <w:p w14:paraId="62BD160F" w14:textId="77777777" w:rsidR="003B08D1" w:rsidRDefault="003B08D1" w:rsidP="00D73E5B">
          <w:pPr>
            <w:tabs>
              <w:tab w:val="right" w:pos="8838"/>
            </w:tabs>
            <w:spacing w:line="256" w:lineRule="auto"/>
            <w:ind w:left="-28"/>
            <w:jc w:val="both"/>
            <w:rPr>
              <w:rFonts w:ascii="Arial" w:eastAsia="Calibri" w:hAnsi="Arial" w:cs="Arial"/>
              <w:b/>
              <w:sz w:val="22"/>
              <w:szCs w:val="22"/>
              <w:lang w:eastAsia="en-US"/>
            </w:rPr>
          </w:pPr>
        </w:p>
      </w:tc>
    </w:tr>
  </w:tbl>
  <w:p w14:paraId="3A56DD04" w14:textId="77777777" w:rsidR="003B08D1" w:rsidRDefault="00000000" w:rsidP="00D73E5B">
    <w:pPr>
      <w:pStyle w:val="Encabezado"/>
    </w:pPr>
    <w:r>
      <w:rPr>
        <w:rFonts w:ascii="Garamond" w:eastAsia="Calibri" w:hAnsi="Garamond"/>
        <w:noProof/>
        <w:sz w:val="22"/>
        <w:szCs w:val="22"/>
        <w:lang w:eastAsia="en-US"/>
      </w:rPr>
      <w:pict w14:anchorId="21C66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alt="" style="position:absolute;margin-left:-85.8pt;margin-top:-134.85pt;width:663.5pt;height:12in;z-index:-251657728;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2A07"/>
    <w:multiLevelType w:val="hybridMultilevel"/>
    <w:tmpl w:val="D3AE563C"/>
    <w:lvl w:ilvl="0" w:tplc="7E9A8286">
      <w:start w:val="5"/>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36603E"/>
    <w:multiLevelType w:val="hybridMultilevel"/>
    <w:tmpl w:val="CC1CC6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B356B3"/>
    <w:multiLevelType w:val="hybridMultilevel"/>
    <w:tmpl w:val="83027D3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2E262F6"/>
    <w:multiLevelType w:val="hybridMultilevel"/>
    <w:tmpl w:val="7CA2F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34134FA"/>
    <w:multiLevelType w:val="hybridMultilevel"/>
    <w:tmpl w:val="4B0C7BE4"/>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 w15:restartNumberingAfterBreak="0">
    <w:nsid w:val="24F46D80"/>
    <w:multiLevelType w:val="hybridMultilevel"/>
    <w:tmpl w:val="1878FC20"/>
    <w:lvl w:ilvl="0" w:tplc="080A0001">
      <w:start w:val="1"/>
      <w:numFmt w:val="bullet"/>
      <w:lvlText w:val=""/>
      <w:lvlJc w:val="left"/>
      <w:pPr>
        <w:ind w:left="1287" w:hanging="720"/>
      </w:pPr>
      <w:rPr>
        <w:rFonts w:ascii="Symbol" w:hAnsi="Symbol"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6" w15:restartNumberingAfterBreak="0">
    <w:nsid w:val="2838302D"/>
    <w:multiLevelType w:val="hybridMultilevel"/>
    <w:tmpl w:val="F05218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75D1D1C"/>
    <w:multiLevelType w:val="hybridMultilevel"/>
    <w:tmpl w:val="C18E1FA2"/>
    <w:lvl w:ilvl="0" w:tplc="7F16EA5C">
      <w:start w:val="1"/>
      <w:numFmt w:val="decimal"/>
      <w:lvlText w:val="%1."/>
      <w:lvlJc w:val="left"/>
      <w:pPr>
        <w:ind w:left="720" w:hanging="360"/>
      </w:pPr>
      <w:rPr>
        <w:rFonts w:hint="default"/>
      </w:rPr>
    </w:lvl>
    <w:lvl w:ilvl="1" w:tplc="FD56654E">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8B47FA6"/>
    <w:multiLevelType w:val="hybridMultilevel"/>
    <w:tmpl w:val="BDBC6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B667025"/>
    <w:multiLevelType w:val="hybridMultilevel"/>
    <w:tmpl w:val="961E92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D7F6230"/>
    <w:multiLevelType w:val="hybridMultilevel"/>
    <w:tmpl w:val="1C648F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F831041"/>
    <w:multiLevelType w:val="hybridMultilevel"/>
    <w:tmpl w:val="7FA8D458"/>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93A43AB"/>
    <w:multiLevelType w:val="hybridMultilevel"/>
    <w:tmpl w:val="5758286C"/>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11D5AE9"/>
    <w:multiLevelType w:val="hybridMultilevel"/>
    <w:tmpl w:val="FE6E6A80"/>
    <w:lvl w:ilvl="0" w:tplc="080A0013">
      <w:start w:val="1"/>
      <w:numFmt w:val="upperRoman"/>
      <w:lvlText w:val="%1."/>
      <w:lvlJc w:val="right"/>
      <w:pPr>
        <w:ind w:left="1287" w:hanging="360"/>
      </w:pPr>
    </w:lvl>
    <w:lvl w:ilvl="1" w:tplc="0A5A8310">
      <w:start w:val="1"/>
      <w:numFmt w:val="decimal"/>
      <w:lvlText w:val="%2."/>
      <w:lvlJc w:val="left"/>
      <w:pPr>
        <w:ind w:left="2007" w:hanging="360"/>
      </w:pPr>
      <w:rPr>
        <w:rFonts w:hint="default"/>
      </w:rPr>
    </w:lvl>
    <w:lvl w:ilvl="2" w:tplc="3C260EBC">
      <w:start w:val="1"/>
      <w:numFmt w:val="lowerRoman"/>
      <w:lvlText w:val="%3)"/>
      <w:lvlJc w:val="left"/>
      <w:pPr>
        <w:ind w:left="3267" w:hanging="720"/>
      </w:pPr>
      <w:rPr>
        <w:rFonts w:hint="default"/>
      </w:r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4" w15:restartNumberingAfterBreak="0">
    <w:nsid w:val="6CEB4305"/>
    <w:multiLevelType w:val="hybridMultilevel"/>
    <w:tmpl w:val="BC687EC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6D3E2A9D"/>
    <w:multiLevelType w:val="hybridMultilevel"/>
    <w:tmpl w:val="01D24A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FB07380"/>
    <w:multiLevelType w:val="hybridMultilevel"/>
    <w:tmpl w:val="B8AEA18E"/>
    <w:lvl w:ilvl="0" w:tplc="D0A877C2">
      <w:start w:val="2"/>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21A2F75"/>
    <w:multiLevelType w:val="hybridMultilevel"/>
    <w:tmpl w:val="AB706BC4"/>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5422B96"/>
    <w:multiLevelType w:val="hybridMultilevel"/>
    <w:tmpl w:val="2F007C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03008974">
    <w:abstractNumId w:val="6"/>
  </w:num>
  <w:num w:numId="2" w16cid:durableId="1638224369">
    <w:abstractNumId w:val="18"/>
  </w:num>
  <w:num w:numId="3" w16cid:durableId="1436631434">
    <w:abstractNumId w:val="16"/>
  </w:num>
  <w:num w:numId="4" w16cid:durableId="1290208841">
    <w:abstractNumId w:val="17"/>
  </w:num>
  <w:num w:numId="5" w16cid:durableId="1870217943">
    <w:abstractNumId w:val="9"/>
  </w:num>
  <w:num w:numId="6" w16cid:durableId="329716358">
    <w:abstractNumId w:val="11"/>
  </w:num>
  <w:num w:numId="7" w16cid:durableId="1541825133">
    <w:abstractNumId w:val="5"/>
  </w:num>
  <w:num w:numId="8" w16cid:durableId="1367411941">
    <w:abstractNumId w:val="0"/>
  </w:num>
  <w:num w:numId="9" w16cid:durableId="84376397">
    <w:abstractNumId w:val="8"/>
  </w:num>
  <w:num w:numId="10" w16cid:durableId="1291978551">
    <w:abstractNumId w:val="15"/>
  </w:num>
  <w:num w:numId="11" w16cid:durableId="1902137121">
    <w:abstractNumId w:val="3"/>
  </w:num>
  <w:num w:numId="12" w16cid:durableId="1402828196">
    <w:abstractNumId w:val="10"/>
  </w:num>
  <w:num w:numId="13" w16cid:durableId="816073213">
    <w:abstractNumId w:val="1"/>
  </w:num>
  <w:num w:numId="14" w16cid:durableId="1701390948">
    <w:abstractNumId w:val="13"/>
  </w:num>
  <w:num w:numId="15" w16cid:durableId="1553997723">
    <w:abstractNumId w:val="4"/>
  </w:num>
  <w:num w:numId="16" w16cid:durableId="792945544">
    <w:abstractNumId w:val="2"/>
  </w:num>
  <w:num w:numId="17" w16cid:durableId="1128280014">
    <w:abstractNumId w:val="12"/>
  </w:num>
  <w:num w:numId="18" w16cid:durableId="1777939875">
    <w:abstractNumId w:val="7"/>
  </w:num>
  <w:num w:numId="19" w16cid:durableId="5999960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8D1"/>
    <w:rsid w:val="00037545"/>
    <w:rsid w:val="0013058E"/>
    <w:rsid w:val="00152607"/>
    <w:rsid w:val="00183EE3"/>
    <w:rsid w:val="001B01B5"/>
    <w:rsid w:val="001E0C85"/>
    <w:rsid w:val="002139E2"/>
    <w:rsid w:val="00266A3D"/>
    <w:rsid w:val="00274D42"/>
    <w:rsid w:val="002C536B"/>
    <w:rsid w:val="002C584C"/>
    <w:rsid w:val="002C771B"/>
    <w:rsid w:val="002D1B08"/>
    <w:rsid w:val="003833DD"/>
    <w:rsid w:val="00384FFA"/>
    <w:rsid w:val="003B08D1"/>
    <w:rsid w:val="00421156"/>
    <w:rsid w:val="00447AAA"/>
    <w:rsid w:val="004B5C4E"/>
    <w:rsid w:val="00533669"/>
    <w:rsid w:val="00543563"/>
    <w:rsid w:val="0054572B"/>
    <w:rsid w:val="005B5647"/>
    <w:rsid w:val="005D018C"/>
    <w:rsid w:val="006219D2"/>
    <w:rsid w:val="00676C0B"/>
    <w:rsid w:val="007223AE"/>
    <w:rsid w:val="00737FC9"/>
    <w:rsid w:val="007B04ED"/>
    <w:rsid w:val="007C2019"/>
    <w:rsid w:val="00854EFB"/>
    <w:rsid w:val="008B2AFC"/>
    <w:rsid w:val="008B6049"/>
    <w:rsid w:val="008F16CF"/>
    <w:rsid w:val="00911FD3"/>
    <w:rsid w:val="009F715F"/>
    <w:rsid w:val="00AF741C"/>
    <w:rsid w:val="00B01980"/>
    <w:rsid w:val="00B231B0"/>
    <w:rsid w:val="00BA4E54"/>
    <w:rsid w:val="00C329FD"/>
    <w:rsid w:val="00C82E2A"/>
    <w:rsid w:val="00CC3130"/>
    <w:rsid w:val="00D846E9"/>
    <w:rsid w:val="00E45DDC"/>
    <w:rsid w:val="00E605BC"/>
    <w:rsid w:val="00F41562"/>
    <w:rsid w:val="00FC0C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598AB"/>
  <w15:chartTrackingRefBased/>
  <w15:docId w15:val="{398BBDE6-0364-4DD3-963A-9F400915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8D1"/>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uiPriority w:val="9"/>
    <w:qFormat/>
    <w:rsid w:val="003B08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3B08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B08D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B08D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B08D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B08D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08D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08D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08D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08D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3B08D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B08D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B08D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B08D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B08D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08D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08D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08D1"/>
    <w:rPr>
      <w:rFonts w:eastAsiaTheme="majorEastAsia" w:cstheme="majorBidi"/>
      <w:color w:val="272727" w:themeColor="text1" w:themeTint="D8"/>
    </w:rPr>
  </w:style>
  <w:style w:type="paragraph" w:styleId="Ttulo">
    <w:name w:val="Title"/>
    <w:basedOn w:val="Normal"/>
    <w:next w:val="Normal"/>
    <w:link w:val="TtuloCar"/>
    <w:uiPriority w:val="10"/>
    <w:qFormat/>
    <w:rsid w:val="003B08D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08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08D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08D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08D1"/>
    <w:pPr>
      <w:spacing w:before="160"/>
      <w:jc w:val="center"/>
    </w:pPr>
    <w:rPr>
      <w:i/>
      <w:iCs/>
      <w:color w:val="404040" w:themeColor="text1" w:themeTint="BF"/>
    </w:rPr>
  </w:style>
  <w:style w:type="character" w:customStyle="1" w:styleId="CitaCar">
    <w:name w:val="Cita Car"/>
    <w:basedOn w:val="Fuentedeprrafopredeter"/>
    <w:link w:val="Cita"/>
    <w:uiPriority w:val="29"/>
    <w:rsid w:val="003B08D1"/>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B08D1"/>
    <w:pPr>
      <w:ind w:left="720"/>
      <w:contextualSpacing/>
    </w:pPr>
  </w:style>
  <w:style w:type="character" w:styleId="nfasisintenso">
    <w:name w:val="Intense Emphasis"/>
    <w:basedOn w:val="Fuentedeprrafopredeter"/>
    <w:uiPriority w:val="21"/>
    <w:qFormat/>
    <w:rsid w:val="003B08D1"/>
    <w:rPr>
      <w:i/>
      <w:iCs/>
      <w:color w:val="2F5496" w:themeColor="accent1" w:themeShade="BF"/>
    </w:rPr>
  </w:style>
  <w:style w:type="paragraph" w:styleId="Citadestacada">
    <w:name w:val="Intense Quote"/>
    <w:basedOn w:val="Normal"/>
    <w:next w:val="Normal"/>
    <w:link w:val="CitadestacadaCar"/>
    <w:uiPriority w:val="30"/>
    <w:qFormat/>
    <w:rsid w:val="003B08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B08D1"/>
    <w:rPr>
      <w:i/>
      <w:iCs/>
      <w:color w:val="2F5496" w:themeColor="accent1" w:themeShade="BF"/>
    </w:rPr>
  </w:style>
  <w:style w:type="character" w:styleId="Referenciaintensa">
    <w:name w:val="Intense Reference"/>
    <w:basedOn w:val="Fuentedeprrafopredeter"/>
    <w:uiPriority w:val="32"/>
    <w:qFormat/>
    <w:rsid w:val="003B08D1"/>
    <w:rPr>
      <w:b/>
      <w:bCs/>
      <w:smallCaps/>
      <w:color w:val="2F5496" w:themeColor="accent1" w:themeShade="BF"/>
      <w:spacing w:val="5"/>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3B08D1"/>
  </w:style>
  <w:style w:type="table" w:styleId="Tablaconcuadrcula">
    <w:name w:val="Table Grid"/>
    <w:basedOn w:val="Tablanormal"/>
    <w:uiPriority w:val="39"/>
    <w:rsid w:val="003B08D1"/>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B08D1"/>
    <w:pPr>
      <w:tabs>
        <w:tab w:val="center" w:pos="4419"/>
        <w:tab w:val="right" w:pos="8838"/>
      </w:tabs>
    </w:pPr>
  </w:style>
  <w:style w:type="character" w:customStyle="1" w:styleId="EncabezadoCar">
    <w:name w:val="Encabezado Car"/>
    <w:basedOn w:val="Fuentedeprrafopredeter"/>
    <w:link w:val="Encabezado"/>
    <w:uiPriority w:val="99"/>
    <w:rsid w:val="003B08D1"/>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3B08D1"/>
    <w:pPr>
      <w:tabs>
        <w:tab w:val="center" w:pos="4419"/>
        <w:tab w:val="right" w:pos="8838"/>
      </w:tabs>
    </w:pPr>
  </w:style>
  <w:style w:type="character" w:customStyle="1" w:styleId="PiedepginaCar">
    <w:name w:val="Pie de página Car"/>
    <w:basedOn w:val="Fuentedeprrafopredeter"/>
    <w:link w:val="Piedepgina"/>
    <w:uiPriority w:val="99"/>
    <w:rsid w:val="003B08D1"/>
    <w:rPr>
      <w:rFonts w:ascii="Times New Roman" w:eastAsia="Times New Roman" w:hAnsi="Times New Roman" w:cs="Times New Roman"/>
      <w:kern w:val="0"/>
      <w:sz w:val="20"/>
      <w:szCs w:val="20"/>
      <w:lang w:eastAsia="es-ES"/>
      <w14:ligatures w14:val="none"/>
    </w:rPr>
  </w:style>
  <w:style w:type="character" w:styleId="Hipervnculo">
    <w:name w:val="Hyperlink"/>
    <w:aliases w:val="Hipervínculo1,Hipervínculo11,Hipervínculo12,Hipervínculo13,Hipervínculo14,Hipervínculo15"/>
    <w:basedOn w:val="Fuentedeprrafopredeter"/>
    <w:uiPriority w:val="99"/>
    <w:unhideWhenUsed/>
    <w:qFormat/>
    <w:rsid w:val="003B08D1"/>
    <w:rPr>
      <w:color w:val="0563C1" w:themeColor="hyperlink"/>
      <w:u w:val="single"/>
    </w:rPr>
  </w:style>
  <w:style w:type="paragraph" w:styleId="TtuloTDC">
    <w:name w:val="TOC Heading"/>
    <w:basedOn w:val="Ttulo1"/>
    <w:next w:val="Normal"/>
    <w:uiPriority w:val="39"/>
    <w:unhideWhenUsed/>
    <w:qFormat/>
    <w:rsid w:val="003B08D1"/>
    <w:pPr>
      <w:spacing w:before="240" w:after="0"/>
      <w:outlineLvl w:val="9"/>
    </w:pPr>
    <w:rPr>
      <w:sz w:val="32"/>
      <w:szCs w:val="32"/>
      <w:lang w:eastAsia="es-MX"/>
    </w:rPr>
  </w:style>
  <w:style w:type="paragraph" w:styleId="TDC2">
    <w:name w:val="toc 2"/>
    <w:basedOn w:val="Normal"/>
    <w:next w:val="Normal"/>
    <w:autoRedefine/>
    <w:uiPriority w:val="39"/>
    <w:unhideWhenUsed/>
    <w:rsid w:val="003B08D1"/>
    <w:pPr>
      <w:spacing w:after="100" w:line="259" w:lineRule="auto"/>
      <w:ind w:left="220"/>
    </w:pPr>
    <w:rPr>
      <w:rFonts w:asciiTheme="minorHAnsi" w:eastAsiaTheme="minorEastAsia" w:hAnsiTheme="minorHAnsi"/>
      <w:sz w:val="22"/>
      <w:szCs w:val="22"/>
      <w:lang w:eastAsia="es-MX"/>
    </w:rPr>
  </w:style>
  <w:style w:type="paragraph" w:styleId="TDC1">
    <w:name w:val="toc 1"/>
    <w:basedOn w:val="Normal"/>
    <w:next w:val="Normal"/>
    <w:autoRedefine/>
    <w:uiPriority w:val="39"/>
    <w:unhideWhenUsed/>
    <w:rsid w:val="003B08D1"/>
    <w:pPr>
      <w:spacing w:after="100" w:line="259" w:lineRule="auto"/>
    </w:pPr>
    <w:rPr>
      <w:rFonts w:asciiTheme="minorHAnsi" w:eastAsiaTheme="minorEastAsia" w:hAnsiTheme="minorHAnsi"/>
      <w:sz w:val="22"/>
      <w:szCs w:val="22"/>
      <w:lang w:eastAsia="es-MX"/>
    </w:rPr>
  </w:style>
  <w:style w:type="paragraph" w:styleId="NormalWeb">
    <w:name w:val="Normal (Web)"/>
    <w:basedOn w:val="Normal"/>
    <w:uiPriority w:val="99"/>
    <w:unhideWhenUsed/>
    <w:rsid w:val="003B08D1"/>
    <w:pPr>
      <w:spacing w:after="160" w:line="259" w:lineRule="auto"/>
      <w:jc w:val="both"/>
    </w:pPr>
    <w:rPr>
      <w:rFonts w:eastAsiaTheme="minorHAnsi"/>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9042</Words>
  <Characters>49735</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PEÑA VARA</dc:creator>
  <cp:keywords/>
  <dc:description/>
  <cp:lastModifiedBy>IVAN PEÑA VARA</cp:lastModifiedBy>
  <cp:revision>4</cp:revision>
  <cp:lastPrinted>2026-03-06T19:21:00Z</cp:lastPrinted>
  <dcterms:created xsi:type="dcterms:W3CDTF">2026-03-06T19:21:00Z</dcterms:created>
  <dcterms:modified xsi:type="dcterms:W3CDTF">2026-04-10T00:00:00Z</dcterms:modified>
</cp:coreProperties>
</file>