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82F237" w14:textId="441BCE5C" w:rsidR="00957BFC" w:rsidRPr="006F4C17" w:rsidRDefault="00CE1938">
      <w:pPr>
        <w:tabs>
          <w:tab w:val="left" w:pos="567"/>
        </w:tabs>
        <w:spacing w:line="360" w:lineRule="auto"/>
        <w:jc w:val="both"/>
        <w:rPr>
          <w:rFonts w:ascii="Palatino Linotype" w:eastAsia="Palatino Linotype" w:hAnsi="Palatino Linotype" w:cs="Palatino Linotype"/>
          <w:b/>
          <w:bCs/>
        </w:rPr>
      </w:pPr>
      <w:bookmarkStart w:id="0" w:name="_GoBack"/>
      <w:bookmarkEnd w:id="0"/>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6F4C17">
        <w:rPr>
          <w:rFonts w:ascii="Palatino Linotype" w:eastAsia="Palatino Linotype" w:hAnsi="Palatino Linotype" w:cs="Palatino Linotype"/>
          <w:b/>
        </w:rPr>
        <w:t xml:space="preserve">de </w:t>
      </w:r>
      <w:r w:rsidR="006F4C17" w:rsidRPr="006F4C17">
        <w:rPr>
          <w:rFonts w:ascii="Palatino Linotype" w:eastAsia="Palatino Linotype" w:hAnsi="Palatino Linotype" w:cs="Palatino Linotype"/>
          <w:b/>
        </w:rPr>
        <w:t xml:space="preserve">fecha </w:t>
      </w:r>
      <w:r w:rsidR="00A93C0B" w:rsidRPr="006F4C17">
        <w:rPr>
          <w:rFonts w:ascii="Palatino Linotype" w:eastAsia="Palatino Linotype" w:hAnsi="Palatino Linotype" w:cs="Palatino Linotype"/>
          <w:b/>
          <w:bCs/>
        </w:rPr>
        <w:t>once</w:t>
      </w:r>
      <w:r w:rsidRPr="006F4C17">
        <w:rPr>
          <w:rFonts w:ascii="Palatino Linotype" w:eastAsia="Palatino Linotype" w:hAnsi="Palatino Linotype" w:cs="Palatino Linotype"/>
          <w:b/>
          <w:bCs/>
        </w:rPr>
        <w:t xml:space="preserve"> </w:t>
      </w:r>
      <w:r w:rsidR="006F4C17" w:rsidRPr="006F4C17">
        <w:rPr>
          <w:rFonts w:ascii="Palatino Linotype" w:eastAsia="Palatino Linotype" w:hAnsi="Palatino Linotype" w:cs="Palatino Linotype"/>
          <w:b/>
          <w:bCs/>
        </w:rPr>
        <w:t xml:space="preserve">(11) </w:t>
      </w:r>
      <w:r w:rsidRPr="006F4C17">
        <w:rPr>
          <w:rFonts w:ascii="Palatino Linotype" w:eastAsia="Palatino Linotype" w:hAnsi="Palatino Linotype" w:cs="Palatino Linotype"/>
          <w:b/>
          <w:bCs/>
        </w:rPr>
        <w:t>de febrero de dos mil veintiséis.</w:t>
      </w:r>
    </w:p>
    <w:p w14:paraId="2E92DEFB" w14:textId="77777777" w:rsidR="00957BFC" w:rsidRDefault="00957BFC">
      <w:pPr>
        <w:tabs>
          <w:tab w:val="left" w:pos="567"/>
        </w:tabs>
        <w:spacing w:line="360" w:lineRule="auto"/>
        <w:jc w:val="both"/>
        <w:rPr>
          <w:rFonts w:ascii="Palatino Linotype" w:eastAsia="Palatino Linotype" w:hAnsi="Palatino Linotype" w:cs="Palatino Linotype"/>
        </w:rPr>
      </w:pPr>
    </w:p>
    <w:p w14:paraId="53810319" w14:textId="2EDC4209" w:rsidR="00957BFC" w:rsidRDefault="00CE1938">
      <w:pPr>
        <w:spacing w:line="360" w:lineRule="auto"/>
        <w:jc w:val="both"/>
        <w:rPr>
          <w:rFonts w:ascii="Palatino Linotype" w:eastAsia="Palatino Linotype" w:hAnsi="Palatino Linotype" w:cs="Palatino Linotype"/>
        </w:rPr>
      </w:pPr>
      <w:bookmarkStart w:id="1" w:name="_heading=h.gjdgxs" w:colFirst="0" w:colLast="0"/>
      <w:bookmarkEnd w:id="1"/>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09283/INFOEM/IP/RR/2025</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promovido por </w:t>
      </w:r>
      <w:r w:rsidR="00DC6DFC">
        <w:rPr>
          <w:rFonts w:ascii="Palatino Linotype" w:eastAsia="Palatino Linotype" w:hAnsi="Palatino Linotype" w:cs="Palatino Linotype"/>
          <w:b/>
          <w:bCs/>
        </w:rPr>
        <w:t>XXXX</w:t>
      </w:r>
      <w:r>
        <w:rPr>
          <w:rFonts w:ascii="Palatino Linotype" w:eastAsia="Palatino Linotype" w:hAnsi="Palatino Linotype" w:cs="Palatino Linotype"/>
        </w:rPr>
        <w:t xml:space="preserve">, a quien en lo sucesivo se le identificará como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Ayuntamiento de Cuautitlán Izcalli,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se procede a dictar la presente resolución, con base en los siguientes:</w:t>
      </w:r>
    </w:p>
    <w:p w14:paraId="1760AD9A" w14:textId="77777777" w:rsidR="00957BFC" w:rsidRDefault="00957BFC">
      <w:pPr>
        <w:spacing w:line="360" w:lineRule="auto"/>
        <w:jc w:val="both"/>
        <w:rPr>
          <w:rFonts w:ascii="Palatino Linotype" w:eastAsia="Palatino Linotype" w:hAnsi="Palatino Linotype" w:cs="Palatino Linotype"/>
        </w:rPr>
      </w:pPr>
    </w:p>
    <w:p w14:paraId="72F0A66A" w14:textId="77777777" w:rsidR="00957BFC" w:rsidRDefault="00CE1938">
      <w:pPr>
        <w:pStyle w:val="Ttulo1"/>
        <w:tabs>
          <w:tab w:val="left" w:pos="567"/>
        </w:tabs>
        <w:spacing w:before="0" w:line="360" w:lineRule="auto"/>
        <w:jc w:val="center"/>
      </w:pPr>
      <w:bookmarkStart w:id="2" w:name="_heading=h.30j0zll" w:colFirst="0" w:colLast="0"/>
      <w:bookmarkEnd w:id="2"/>
      <w:r>
        <w:t>A N T E C E D E N T E S</w:t>
      </w:r>
    </w:p>
    <w:p w14:paraId="152D1690" w14:textId="77777777" w:rsidR="00957BFC" w:rsidRDefault="00957BFC">
      <w:pPr>
        <w:rPr>
          <w:rFonts w:ascii="Palatino Linotype" w:eastAsia="Palatino Linotype" w:hAnsi="Palatino Linotype" w:cs="Palatino Linotype"/>
        </w:rPr>
      </w:pPr>
    </w:p>
    <w:p w14:paraId="63178DAC" w14:textId="4DEACEA8" w:rsidR="00957BFC" w:rsidRDefault="00CE1938">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veintitrés de junio de dos mil veinticinco,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SAIMEX, la solicitud de información pública registrada con el número</w:t>
      </w:r>
      <w:r>
        <w:rPr>
          <w:rFonts w:ascii="Palatino Linotype" w:eastAsia="Palatino Linotype" w:hAnsi="Palatino Linotype" w:cs="Palatino Linotype"/>
          <w:b/>
          <w:bCs/>
          <w:color w:val="000000"/>
        </w:rPr>
        <w:t xml:space="preserve"> 01216/CUAUTIZC/IP/2025; </w:t>
      </w:r>
      <w:r w:rsidR="006F4C17">
        <w:rPr>
          <w:rFonts w:ascii="Palatino Linotype" w:eastAsia="Palatino Linotype" w:hAnsi="Palatino Linotype" w:cs="Palatino Linotype"/>
          <w:color w:val="000000"/>
        </w:rPr>
        <w:t xml:space="preserve">en la que </w:t>
      </w:r>
      <w:r>
        <w:rPr>
          <w:rFonts w:ascii="Palatino Linotype" w:eastAsia="Palatino Linotype" w:hAnsi="Palatino Linotype" w:cs="Palatino Linotype"/>
          <w:color w:val="000000"/>
        </w:rPr>
        <w:t>se solicitó la siguiente información:</w:t>
      </w:r>
    </w:p>
    <w:p w14:paraId="19A2DC53" w14:textId="77777777" w:rsidR="00957BFC" w:rsidRDefault="00957BF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7EB11A7" w14:textId="77777777" w:rsidR="00957BFC" w:rsidRDefault="00CE1938">
      <w:pPr>
        <w:pBdr>
          <w:top w:val="nil"/>
          <w:left w:val="nil"/>
          <w:bottom w:val="nil"/>
          <w:right w:val="nil"/>
          <w:between w:val="nil"/>
        </w:pBdr>
        <w:ind w:left="426" w:right="476"/>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“Información sobre medios de comunicación del Área de Comunicación Social del municipio de Cuautitlán Izcalli correspondientes del 1 de enero de 2025 a la fecha de entrega de este informe, anexando: 1. Identificacion y documento fiscal del proveedor o empresa adjudicada (RFC, CEDULA FISCAL, OPINION DE CUMPLIMIENTO SAT, C.V., ALTA EN PADRON MUNICIPAL), 2. Justificacion normativa y tecnica de la contratacion, 3. Polizas de eqreso correspondientes (copia de cheques o comprobantes de trasferencia bancaria), 4. Numero de patida presupuestal, monto ejercido y fuente de financiamiento y 5. documentos y anexos completos de licitacion, adjudicacion directa o invitacion restringida. </w:t>
      </w:r>
      <w:r>
        <w:rPr>
          <w:rFonts w:ascii="Palatino Linotype" w:eastAsia="Palatino Linotype" w:hAnsi="Palatino Linotype" w:cs="Palatino Linotype"/>
          <w:color w:val="000000"/>
        </w:rPr>
        <w:t>(Sic)</w:t>
      </w:r>
    </w:p>
    <w:p w14:paraId="301101AB" w14:textId="77777777" w:rsidR="00957BFC" w:rsidRDefault="00957BFC">
      <w:pPr>
        <w:pBdr>
          <w:top w:val="nil"/>
          <w:left w:val="nil"/>
          <w:bottom w:val="nil"/>
          <w:right w:val="nil"/>
          <w:between w:val="nil"/>
        </w:pBdr>
        <w:ind w:left="426" w:right="476"/>
        <w:jc w:val="both"/>
        <w:rPr>
          <w:rFonts w:ascii="Palatino Linotype" w:eastAsia="Palatino Linotype" w:hAnsi="Palatino Linotype" w:cs="Palatino Linotype"/>
          <w:color w:val="000000"/>
        </w:rPr>
      </w:pPr>
    </w:p>
    <w:p w14:paraId="0950E32B" w14:textId="77777777" w:rsidR="006F4C17" w:rsidRDefault="006F4C17">
      <w:pPr>
        <w:pBdr>
          <w:top w:val="nil"/>
          <w:left w:val="nil"/>
          <w:bottom w:val="nil"/>
          <w:right w:val="nil"/>
          <w:between w:val="nil"/>
        </w:pBdr>
        <w:ind w:left="426" w:right="476"/>
        <w:jc w:val="both"/>
        <w:rPr>
          <w:rFonts w:ascii="Palatino Linotype" w:eastAsia="Palatino Linotype" w:hAnsi="Palatino Linotype" w:cs="Palatino Linotype"/>
          <w:color w:val="000000"/>
        </w:rPr>
      </w:pPr>
    </w:p>
    <w:p w14:paraId="1779DA56" w14:textId="77777777" w:rsidR="00957BFC" w:rsidRDefault="00CE1938" w:rsidP="006F4C17">
      <w:pPr>
        <w:numPr>
          <w:ilvl w:val="0"/>
          <w:numId w:val="4"/>
        </w:numPr>
        <w:pBdr>
          <w:top w:val="nil"/>
          <w:left w:val="nil"/>
          <w:bottom w:val="nil"/>
          <w:right w:val="nil"/>
          <w:between w:val="nil"/>
        </w:pBdr>
        <w:ind w:left="0" w:right="34"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14:paraId="44AAB788" w14:textId="77777777" w:rsidR="00957BFC" w:rsidRDefault="00CE1938">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El </w:t>
      </w:r>
      <w:r>
        <w:rPr>
          <w:rFonts w:ascii="Palatino Linotype" w:eastAsia="Palatino Linotype" w:hAnsi="Palatino Linotype" w:cs="Palatino Linotype"/>
          <w:b/>
          <w:bCs/>
          <w:color w:val="000000"/>
        </w:rPr>
        <w:t xml:space="preserve">catorce de julio de dos mil veinticinco, </w:t>
      </w:r>
      <w:r>
        <w:rPr>
          <w:rFonts w:ascii="Palatino Linotype" w:eastAsia="Palatino Linotype" w:hAnsi="Palatino Linotype" w:cs="Palatino Linotype"/>
          <w:color w:val="000000"/>
        </w:rPr>
        <w:t>se autorizó prórroga para dar contestación a la solicitud de información que nos ocupa, en el tenor siguiente:</w:t>
      </w:r>
    </w:p>
    <w:p w14:paraId="644FA323" w14:textId="77777777" w:rsidR="00957BFC" w:rsidRDefault="00957BF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E326189" w14:textId="77777777" w:rsidR="00957BFC" w:rsidRDefault="00CE1938">
      <w:pPr>
        <w:pBdr>
          <w:top w:val="nil"/>
          <w:left w:val="nil"/>
          <w:bottom w:val="nil"/>
          <w:right w:val="nil"/>
          <w:between w:val="nil"/>
        </w:pBdr>
        <w:spacing w:line="276" w:lineRule="auto"/>
        <w:ind w:left="567" w:right="992"/>
        <w:jc w:val="right"/>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Cuautitlán Izcalli, México a 14 de Julio de 2025</w:t>
      </w:r>
    </w:p>
    <w:p w14:paraId="4DD4AD38" w14:textId="77777777" w:rsidR="00957BFC" w:rsidRDefault="00CE1938">
      <w:pPr>
        <w:pBdr>
          <w:top w:val="nil"/>
          <w:left w:val="nil"/>
          <w:bottom w:val="nil"/>
          <w:right w:val="nil"/>
          <w:between w:val="nil"/>
        </w:pBdr>
        <w:spacing w:line="276" w:lineRule="auto"/>
        <w:ind w:left="567" w:right="992"/>
        <w:jc w:val="right"/>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Nombre del solicitante: C. Solicitante</w:t>
      </w:r>
    </w:p>
    <w:p w14:paraId="73061F1F" w14:textId="77777777" w:rsidR="00957BFC" w:rsidRDefault="00CE1938">
      <w:pPr>
        <w:pBdr>
          <w:top w:val="nil"/>
          <w:left w:val="nil"/>
          <w:bottom w:val="nil"/>
          <w:right w:val="nil"/>
          <w:between w:val="nil"/>
        </w:pBdr>
        <w:spacing w:line="276" w:lineRule="auto"/>
        <w:ind w:left="567" w:right="992"/>
        <w:jc w:val="right"/>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Folio de la solicitud: 01216/CUAUTIZC/IP/2025</w:t>
      </w:r>
    </w:p>
    <w:p w14:paraId="4CE4EA09" w14:textId="77777777" w:rsidR="00957BFC" w:rsidRDefault="00957BFC">
      <w:pPr>
        <w:pBdr>
          <w:top w:val="nil"/>
          <w:left w:val="nil"/>
          <w:bottom w:val="nil"/>
          <w:right w:val="nil"/>
          <w:between w:val="nil"/>
        </w:pBdr>
        <w:spacing w:line="276" w:lineRule="auto"/>
        <w:ind w:left="567" w:right="992"/>
        <w:jc w:val="right"/>
        <w:rPr>
          <w:rFonts w:ascii="Palatino Linotype" w:eastAsia="Palatino Linotype" w:hAnsi="Palatino Linotype" w:cs="Palatino Linotype"/>
          <w:i/>
          <w:iCs/>
          <w:color w:val="000000"/>
        </w:rPr>
      </w:pPr>
    </w:p>
    <w:p w14:paraId="04F34C31" w14:textId="77777777" w:rsidR="00957BFC" w:rsidRDefault="00CE1938">
      <w:pPr>
        <w:pBdr>
          <w:top w:val="nil"/>
          <w:left w:val="nil"/>
          <w:bottom w:val="nil"/>
          <w:right w:val="nil"/>
          <w:between w:val="nil"/>
        </w:pBdr>
        <w:spacing w:line="276" w:lineRule="auto"/>
        <w:ind w:left="567" w:right="99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04BE9D04" w14:textId="77777777" w:rsidR="00957BFC" w:rsidRDefault="00957BFC">
      <w:pPr>
        <w:pBdr>
          <w:top w:val="nil"/>
          <w:left w:val="nil"/>
          <w:bottom w:val="nil"/>
          <w:right w:val="nil"/>
          <w:between w:val="nil"/>
        </w:pBdr>
        <w:spacing w:line="276" w:lineRule="auto"/>
        <w:ind w:left="567" w:right="992"/>
        <w:jc w:val="both"/>
        <w:rPr>
          <w:rFonts w:ascii="Palatino Linotype" w:eastAsia="Palatino Linotype" w:hAnsi="Palatino Linotype" w:cs="Palatino Linotype"/>
          <w:i/>
          <w:iCs/>
          <w:color w:val="000000"/>
        </w:rPr>
      </w:pPr>
    </w:p>
    <w:p w14:paraId="1F9A522F" w14:textId="77777777" w:rsidR="00957BFC" w:rsidRDefault="00CE1938">
      <w:pPr>
        <w:pBdr>
          <w:top w:val="nil"/>
          <w:left w:val="nil"/>
          <w:bottom w:val="nil"/>
          <w:right w:val="nil"/>
          <w:between w:val="nil"/>
        </w:pBdr>
        <w:spacing w:line="276" w:lineRule="auto"/>
        <w:ind w:left="567" w:right="99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Se aprueba por unanimidad la prórroga solicitada. Se anexa acuerdo correspondiente.</w:t>
      </w:r>
    </w:p>
    <w:p w14:paraId="7E4FA398" w14:textId="77777777" w:rsidR="00957BFC" w:rsidRDefault="00CE1938">
      <w:pPr>
        <w:pBdr>
          <w:top w:val="nil"/>
          <w:left w:val="nil"/>
          <w:bottom w:val="nil"/>
          <w:right w:val="nil"/>
          <w:between w:val="nil"/>
        </w:pBdr>
        <w:spacing w:line="276" w:lineRule="auto"/>
        <w:ind w:left="567" w:right="99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GABRIELA ELIZABETH MORALES CRUZ</w:t>
      </w:r>
    </w:p>
    <w:p w14:paraId="50440C35" w14:textId="77777777" w:rsidR="00957BFC" w:rsidRDefault="00CE1938">
      <w:pPr>
        <w:pBdr>
          <w:top w:val="nil"/>
          <w:left w:val="nil"/>
          <w:bottom w:val="nil"/>
          <w:right w:val="nil"/>
          <w:between w:val="nil"/>
        </w:pBdr>
        <w:spacing w:line="276" w:lineRule="auto"/>
        <w:ind w:left="567" w:right="992"/>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Responsable de la Unidad de Transparencia</w:t>
      </w:r>
    </w:p>
    <w:p w14:paraId="5D952F2F" w14:textId="77777777" w:rsidR="00957BFC" w:rsidRDefault="00957BF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4AEBD26" w14:textId="77777777" w:rsidR="00957BFC" w:rsidRDefault="00CE1938">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treinta de julio de dos mil veinticinco, EL SUJETO OBLIGADO, </w:t>
      </w:r>
      <w:r>
        <w:rPr>
          <w:rFonts w:ascii="Palatino Linotype" w:eastAsia="Palatino Linotype" w:hAnsi="Palatino Linotype" w:cs="Palatino Linotype"/>
          <w:color w:val="000000"/>
        </w:rPr>
        <w:t>dio respuesta a través del archivo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siguiente:</w:t>
      </w:r>
    </w:p>
    <w:p w14:paraId="5B634A24" w14:textId="77777777" w:rsidR="00957BFC" w:rsidRDefault="00CE1938">
      <w:pPr>
        <w:numPr>
          <w:ilvl w:val="0"/>
          <w:numId w:val="1"/>
        </w:numPr>
        <w:pBdr>
          <w:top w:val="nil"/>
          <w:left w:val="nil"/>
          <w:bottom w:val="nil"/>
          <w:right w:val="nil"/>
          <w:between w:val="nil"/>
        </w:pBdr>
        <w:spacing w:line="360" w:lineRule="auto"/>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01216_CUAUTIZC_IP_2025.pdf: </w:t>
      </w:r>
      <w:r>
        <w:rPr>
          <w:rFonts w:ascii="Palatino Linotype" w:eastAsia="Palatino Linotype" w:hAnsi="Palatino Linotype" w:cs="Palatino Linotype"/>
          <w:color w:val="000000"/>
        </w:rPr>
        <w:t xml:space="preserve">Oficio firmado por el Coordinador General de Comunicación Social, por el que </w:t>
      </w:r>
      <w:r>
        <w:rPr>
          <w:rFonts w:ascii="Palatino Linotype" w:eastAsia="Palatino Linotype" w:hAnsi="Palatino Linotype" w:cs="Palatino Linotype"/>
        </w:rPr>
        <w:t>informó</w:t>
      </w:r>
      <w:r>
        <w:rPr>
          <w:rFonts w:ascii="Palatino Linotype" w:eastAsia="Palatino Linotype" w:hAnsi="Palatino Linotype" w:cs="Palatino Linotype"/>
          <w:color w:val="000000"/>
        </w:rPr>
        <w:t xml:space="preserve"> que “</w:t>
      </w:r>
      <w:r>
        <w:rPr>
          <w:rFonts w:ascii="Palatino Linotype" w:eastAsia="Palatino Linotype" w:hAnsi="Palatino Linotype" w:cs="Palatino Linotype"/>
          <w:b/>
          <w:bCs/>
          <w:i/>
          <w:iCs/>
          <w:color w:val="000000"/>
        </w:rPr>
        <w:t>el área de Comunicación Social no cuenta con medios de comunicación”.</w:t>
      </w:r>
    </w:p>
    <w:p w14:paraId="0B2027F7" w14:textId="77777777" w:rsidR="00957BFC" w:rsidRDefault="00957BFC">
      <w:pPr>
        <w:pBdr>
          <w:top w:val="nil"/>
          <w:left w:val="nil"/>
          <w:bottom w:val="nil"/>
          <w:right w:val="nil"/>
          <w:between w:val="nil"/>
        </w:pBdr>
        <w:jc w:val="both"/>
        <w:rPr>
          <w:rFonts w:ascii="Palatino Linotype" w:eastAsia="Palatino Linotype" w:hAnsi="Palatino Linotype" w:cs="Palatino Linotype"/>
          <w:i/>
          <w:iCs/>
          <w:color w:val="000000"/>
        </w:rPr>
      </w:pPr>
    </w:p>
    <w:p w14:paraId="2CBFB030" w14:textId="77777777" w:rsidR="00957BFC" w:rsidRDefault="00CE1938">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Inconforme con lo anterior, el </w:t>
      </w:r>
      <w:r>
        <w:rPr>
          <w:rFonts w:ascii="Palatino Linotype" w:eastAsia="Palatino Linotype" w:hAnsi="Palatino Linotype" w:cs="Palatino Linotype"/>
          <w:b/>
          <w:bCs/>
          <w:color w:val="000000"/>
        </w:rPr>
        <w:t>PARTICULAR</w:t>
      </w:r>
      <w:r>
        <w:rPr>
          <w:rFonts w:ascii="Palatino Linotype" w:eastAsia="Palatino Linotype" w:hAnsi="Palatino Linotype" w:cs="Palatino Linotype"/>
          <w:color w:val="000000"/>
        </w:rPr>
        <w:t xml:space="preserve"> en fecha </w:t>
      </w:r>
      <w:r>
        <w:rPr>
          <w:rFonts w:ascii="Palatino Linotype" w:eastAsia="Palatino Linotype" w:hAnsi="Palatino Linotype" w:cs="Palatino Linotype"/>
          <w:b/>
          <w:bCs/>
          <w:color w:val="000000"/>
        </w:rPr>
        <w:t xml:space="preserve">siete de agosto de dos mil veinticinco, </w:t>
      </w:r>
      <w:r>
        <w:rPr>
          <w:rFonts w:ascii="Palatino Linotype" w:eastAsia="Palatino Linotype" w:hAnsi="Palatino Linotype" w:cs="Palatino Linotype"/>
          <w:color w:val="000000"/>
        </w:rPr>
        <w:t>interpuso el recurso de revisión en contra de la respuesta, manifestando las siguientes razones o motivos de inconformidad:</w:t>
      </w:r>
    </w:p>
    <w:p w14:paraId="50D6DD88" w14:textId="77777777" w:rsidR="00957BFC" w:rsidRDefault="00957BFC">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5DFD8ECF" w14:textId="2C48018A" w:rsidR="00957BFC" w:rsidRDefault="006F4C17">
      <w:pPr>
        <w:numPr>
          <w:ilvl w:val="0"/>
          <w:numId w:val="4"/>
        </w:numPr>
        <w:pBdr>
          <w:top w:val="nil"/>
          <w:left w:val="nil"/>
          <w:bottom w:val="nil"/>
          <w:right w:val="nil"/>
          <w:between w:val="nil"/>
        </w:pBdr>
        <w:ind w:left="426" w:right="425" w:hanging="142"/>
        <w:jc w:val="both"/>
        <w:rPr>
          <w:rFonts w:ascii="Palatino Linotype" w:eastAsia="Palatino Linotype" w:hAnsi="Palatino Linotype" w:cs="Palatino Linotype"/>
          <w:b/>
          <w:bCs/>
          <w:i/>
          <w:iCs/>
          <w:color w:val="000000"/>
        </w:rPr>
      </w:pPr>
      <w:bookmarkStart w:id="3" w:name="_heading=h.1fob9te" w:colFirst="0" w:colLast="0"/>
      <w:bookmarkEnd w:id="3"/>
      <w:r>
        <w:rPr>
          <w:rFonts w:ascii="Palatino Linotype" w:eastAsia="Palatino Linotype" w:hAnsi="Palatino Linotype" w:cs="Palatino Linotype"/>
          <w:b/>
          <w:bCs/>
          <w:color w:val="000000"/>
        </w:rPr>
        <w:lastRenderedPageBreak/>
        <w:t>ACTO IMPUGNADO</w:t>
      </w:r>
      <w:r>
        <w:rPr>
          <w:rFonts w:ascii="Palatino Linotype" w:eastAsia="Palatino Linotype" w:hAnsi="Palatino Linotype" w:cs="Palatino Linotype"/>
          <w:color w:val="000000"/>
        </w:rPr>
        <w:t xml:space="preserve">: </w:t>
      </w:r>
      <w:r w:rsidR="00CE1938">
        <w:rPr>
          <w:rFonts w:ascii="Palatino Linotype" w:eastAsia="Palatino Linotype" w:hAnsi="Palatino Linotype" w:cs="Palatino Linotype"/>
          <w:i/>
          <w:iCs/>
          <w:color w:val="000000"/>
        </w:rPr>
        <w:t>“Se niega la existencia de la información.” (sic)</w:t>
      </w:r>
    </w:p>
    <w:p w14:paraId="635C8452" w14:textId="77777777" w:rsidR="00957BFC" w:rsidRDefault="00957BFC">
      <w:pPr>
        <w:pBdr>
          <w:top w:val="nil"/>
          <w:left w:val="nil"/>
          <w:bottom w:val="nil"/>
          <w:right w:val="nil"/>
          <w:between w:val="nil"/>
        </w:pBdr>
        <w:ind w:left="426" w:right="425" w:hanging="142"/>
        <w:jc w:val="both"/>
        <w:rPr>
          <w:rFonts w:ascii="Palatino Linotype" w:eastAsia="Palatino Linotype" w:hAnsi="Palatino Linotype" w:cs="Palatino Linotype"/>
          <w:b/>
          <w:bCs/>
          <w:i/>
          <w:iCs/>
          <w:color w:val="000000"/>
        </w:rPr>
      </w:pPr>
    </w:p>
    <w:p w14:paraId="6F4D37EB" w14:textId="1B2EC776" w:rsidR="00957BFC" w:rsidRDefault="006F4C17">
      <w:pPr>
        <w:numPr>
          <w:ilvl w:val="0"/>
          <w:numId w:val="4"/>
        </w:numPr>
        <w:pBdr>
          <w:top w:val="nil"/>
          <w:left w:val="nil"/>
          <w:bottom w:val="nil"/>
          <w:right w:val="nil"/>
          <w:between w:val="nil"/>
        </w:pBdr>
        <w:ind w:left="426" w:right="425" w:hanging="142"/>
        <w:jc w:val="both"/>
        <w:rPr>
          <w:rFonts w:ascii="Palatino Linotype" w:eastAsia="Palatino Linotype" w:hAnsi="Palatino Linotype" w:cs="Palatino Linotype"/>
          <w:i/>
          <w:iCs/>
          <w:color w:val="000000"/>
        </w:rPr>
      </w:pPr>
      <w:bookmarkStart w:id="4" w:name="_heading=h.3znysh7" w:colFirst="0" w:colLast="0"/>
      <w:bookmarkEnd w:id="4"/>
      <w:r>
        <w:rPr>
          <w:rFonts w:ascii="Palatino Linotype" w:eastAsia="Palatino Linotype" w:hAnsi="Palatino Linotype" w:cs="Palatino Linotype"/>
          <w:b/>
          <w:bCs/>
          <w:color w:val="000000"/>
        </w:rPr>
        <w:t xml:space="preserve">RAZONES O MOTIVOS DE INCONFORMIDAD: </w:t>
      </w:r>
      <w:r w:rsidR="00CE1938">
        <w:rPr>
          <w:rFonts w:ascii="Palatino Linotype" w:eastAsia="Palatino Linotype" w:hAnsi="Palatino Linotype" w:cs="Palatino Linotype"/>
          <w:i/>
          <w:iCs/>
          <w:color w:val="000000"/>
        </w:rPr>
        <w:t>“Negación de la información.” (sic)</w:t>
      </w:r>
    </w:p>
    <w:p w14:paraId="0067356D" w14:textId="77777777" w:rsidR="00957BFC" w:rsidRDefault="00957BFC">
      <w:pPr>
        <w:pBdr>
          <w:top w:val="nil"/>
          <w:left w:val="nil"/>
          <w:bottom w:val="nil"/>
          <w:right w:val="nil"/>
          <w:between w:val="nil"/>
        </w:pBdr>
        <w:ind w:right="425"/>
        <w:jc w:val="both"/>
        <w:rPr>
          <w:rFonts w:ascii="Palatino Linotype" w:eastAsia="Palatino Linotype" w:hAnsi="Palatino Linotype" w:cs="Palatino Linotype"/>
          <w:color w:val="000000"/>
        </w:rPr>
      </w:pPr>
    </w:p>
    <w:p w14:paraId="12793E3D" w14:textId="77777777" w:rsidR="00957BFC" w:rsidRDefault="00957BFC">
      <w:pPr>
        <w:pBdr>
          <w:top w:val="nil"/>
          <w:left w:val="nil"/>
          <w:bottom w:val="nil"/>
          <w:right w:val="nil"/>
          <w:between w:val="nil"/>
        </w:pBdr>
        <w:ind w:right="425"/>
        <w:jc w:val="both"/>
        <w:rPr>
          <w:rFonts w:ascii="Palatino Linotype" w:eastAsia="Palatino Linotype" w:hAnsi="Palatino Linotype" w:cs="Palatino Linotype"/>
          <w:i/>
          <w:iCs/>
          <w:color w:val="000000"/>
        </w:rPr>
      </w:pPr>
    </w:p>
    <w:p w14:paraId="5F213527" w14:textId="2D3DB1B0" w:rsidR="00957BFC" w:rsidRDefault="006F4C17">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Comisionada p</w:t>
      </w:r>
      <w:r w:rsidR="00CE1938">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w:t>
      </w:r>
      <w:r w:rsidR="00CE1938">
        <w:rPr>
          <w:rFonts w:ascii="Palatino Linotype" w:eastAsia="Palatino Linotype" w:hAnsi="Palatino Linotype" w:cs="Palatino Linotype"/>
        </w:rPr>
        <w:t>notificado</w:t>
      </w:r>
      <w:r w:rsidR="00CE1938">
        <w:rPr>
          <w:rFonts w:ascii="Palatino Linotype" w:eastAsia="Palatino Linotype" w:hAnsi="Palatino Linotype" w:cs="Palatino Linotype"/>
          <w:color w:val="000000"/>
        </w:rPr>
        <w:t xml:space="preserve"> en fecha </w:t>
      </w:r>
      <w:r w:rsidR="00CE1938">
        <w:rPr>
          <w:rFonts w:ascii="Palatino Linotype" w:eastAsia="Palatino Linotype" w:hAnsi="Palatino Linotype" w:cs="Palatino Linotype"/>
          <w:b/>
          <w:bCs/>
          <w:color w:val="000000"/>
        </w:rPr>
        <w:t>once de agosto de dos mil veinticinco</w:t>
      </w:r>
      <w:r w:rsidR="00CE1938">
        <w:rPr>
          <w:rFonts w:ascii="Palatino Linotype" w:eastAsia="Palatino Linotype" w:hAnsi="Palatino Linotype" w:cs="Palatino Linotype"/>
          <w:color w:val="000000"/>
        </w:rPr>
        <w:t xml:space="preserve">, puso a disposición de las partes el expediente electrónico vía </w:t>
      </w:r>
      <w:r w:rsidR="00CE1938">
        <w:rPr>
          <w:rFonts w:ascii="Palatino Linotype" w:eastAsia="Palatino Linotype" w:hAnsi="Palatino Linotype" w:cs="Palatino Linotype"/>
          <w:b/>
          <w:bCs/>
          <w:color w:val="000000"/>
        </w:rPr>
        <w:t xml:space="preserve">SAIMEX </w:t>
      </w:r>
      <w:r w:rsidR="00CE1938">
        <w:rPr>
          <w:rFonts w:ascii="Palatino Linotype" w:eastAsia="Palatino Linotype" w:hAnsi="Palatino Linotype" w:cs="Palatino Linotype"/>
          <w:color w:val="000000"/>
        </w:rPr>
        <w:t xml:space="preserve">a efecto de que en un plazo máximo de siete días </w:t>
      </w:r>
      <w:r w:rsidR="00CE1938">
        <w:rPr>
          <w:rFonts w:ascii="Palatino Linotype" w:eastAsia="Palatino Linotype" w:hAnsi="Palatino Linotype" w:cs="Palatino Linotype"/>
        </w:rPr>
        <w:t>manifestara</w:t>
      </w:r>
      <w:r w:rsidR="00CE1938">
        <w:rPr>
          <w:rFonts w:ascii="Palatino Linotype" w:eastAsia="Palatino Linotype" w:hAnsi="Palatino Linotype" w:cs="Palatino Linotype"/>
          <w:color w:val="000000"/>
        </w:rPr>
        <w:t xml:space="preserve"> lo que a su derecho conviniera, </w:t>
      </w:r>
      <w:r w:rsidR="00CE1938">
        <w:rPr>
          <w:rFonts w:ascii="Palatino Linotype" w:eastAsia="Palatino Linotype" w:hAnsi="Palatino Linotype" w:cs="Palatino Linotype"/>
        </w:rPr>
        <w:t>ofreciera</w:t>
      </w:r>
      <w:r w:rsidR="00CE1938">
        <w:rPr>
          <w:rFonts w:ascii="Palatino Linotype" w:eastAsia="Palatino Linotype" w:hAnsi="Palatino Linotype" w:cs="Palatino Linotype"/>
          <w:color w:val="000000"/>
        </w:rPr>
        <w:t xml:space="preserve"> pruebas y alegatos según corresponda a los casos concretos, y el </w:t>
      </w:r>
      <w:r w:rsidR="00CE1938">
        <w:rPr>
          <w:rFonts w:ascii="Palatino Linotype" w:eastAsia="Palatino Linotype" w:hAnsi="Palatino Linotype" w:cs="Palatino Linotype"/>
          <w:b/>
          <w:bCs/>
          <w:color w:val="000000"/>
        </w:rPr>
        <w:t>SUJETO OBLIGADO</w:t>
      </w:r>
      <w:r w:rsidR="00CE1938">
        <w:rPr>
          <w:rFonts w:ascii="Palatino Linotype" w:eastAsia="Palatino Linotype" w:hAnsi="Palatino Linotype" w:cs="Palatino Linotype"/>
          <w:color w:val="000000"/>
        </w:rPr>
        <w:t xml:space="preserve"> presentará el Informe Justificado procedente.</w:t>
      </w:r>
    </w:p>
    <w:p w14:paraId="1801097D" w14:textId="77777777" w:rsidR="00957BFC" w:rsidRDefault="00957BFC">
      <w:pPr>
        <w:rPr>
          <w:rFonts w:ascii="Palatino Linotype" w:eastAsia="Palatino Linotype" w:hAnsi="Palatino Linotype" w:cs="Palatino Linotype"/>
        </w:rPr>
      </w:pPr>
    </w:p>
    <w:p w14:paraId="7AD5BE99" w14:textId="77777777" w:rsidR="00957BFC" w:rsidRDefault="00CE1938">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bookmarkStart w:id="5" w:name="_heading=h.2et92p0" w:colFirst="0" w:colLast="0"/>
      <w:bookmarkEnd w:id="5"/>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RECURRENTE, </w:t>
      </w:r>
      <w:r>
        <w:rPr>
          <w:rFonts w:ascii="Palatino Linotype" w:eastAsia="Palatino Linotype" w:hAnsi="Palatino Linotype" w:cs="Palatino Linotype"/>
        </w:rPr>
        <w:t>adjuntó</w:t>
      </w:r>
      <w:r>
        <w:rPr>
          <w:rFonts w:ascii="Palatino Linotype" w:eastAsia="Palatino Linotype" w:hAnsi="Palatino Linotype" w:cs="Palatino Linotype"/>
          <w:color w:val="000000"/>
        </w:rPr>
        <w:t xml:space="preserve"> los siguientes archivos:</w:t>
      </w:r>
    </w:p>
    <w:p w14:paraId="4C1F878B" w14:textId="77777777" w:rsidR="00957BFC" w:rsidRDefault="00CE1938">
      <w:pPr>
        <w:numPr>
          <w:ilvl w:val="0"/>
          <w:numId w:val="1"/>
        </w:numPr>
        <w:pBdr>
          <w:top w:val="nil"/>
          <w:left w:val="nil"/>
          <w:bottom w:val="nil"/>
          <w:right w:val="nil"/>
          <w:between w:val="nil"/>
        </w:pBdr>
        <w:spacing w:line="360" w:lineRule="auto"/>
        <w:ind w:right="56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01216_CUAUTIZC_IP_2025 (1).pdf, </w:t>
      </w:r>
      <w:r>
        <w:rPr>
          <w:rFonts w:ascii="Palatino Linotype" w:eastAsia="Palatino Linotype" w:hAnsi="Palatino Linotype" w:cs="Palatino Linotype"/>
          <w:color w:val="000000"/>
        </w:rPr>
        <w:t xml:space="preserve">cuyo contenido corresponde al archivo remitido en respuesta por el </w:t>
      </w:r>
      <w:r>
        <w:rPr>
          <w:rFonts w:ascii="Palatino Linotype" w:eastAsia="Palatino Linotype" w:hAnsi="Palatino Linotype" w:cs="Palatino Linotype"/>
          <w:b/>
          <w:bCs/>
          <w:color w:val="000000"/>
        </w:rPr>
        <w:t xml:space="preserve">SUJETO OBLIGADO. </w:t>
      </w:r>
    </w:p>
    <w:p w14:paraId="709FC3F9" w14:textId="77777777" w:rsidR="00957BFC" w:rsidRDefault="00957BFC">
      <w:pPr>
        <w:pBdr>
          <w:top w:val="nil"/>
          <w:left w:val="nil"/>
          <w:bottom w:val="nil"/>
          <w:right w:val="nil"/>
          <w:between w:val="nil"/>
        </w:pBdr>
        <w:spacing w:line="360" w:lineRule="auto"/>
        <w:ind w:left="720" w:right="567"/>
        <w:jc w:val="both"/>
        <w:rPr>
          <w:rFonts w:ascii="Palatino Linotype" w:eastAsia="Palatino Linotype" w:hAnsi="Palatino Linotype" w:cs="Palatino Linotype"/>
          <w:b/>
          <w:bCs/>
        </w:rPr>
      </w:pPr>
    </w:p>
    <w:p w14:paraId="3C2E178D" w14:textId="77777777" w:rsidR="00957BFC" w:rsidRDefault="00CE1938">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i/>
          <w:iCs/>
        </w:rPr>
      </w:pPr>
      <w:r>
        <w:rPr>
          <w:rFonts w:ascii="Palatino Linotype" w:eastAsia="Palatino Linotype" w:hAnsi="Palatino Linotype" w:cs="Palatino Linotype"/>
        </w:rPr>
        <w:t xml:space="preserve">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fue omiso en rendir el informe justificado correspondiente.</w:t>
      </w:r>
    </w:p>
    <w:p w14:paraId="4F4A4BDF" w14:textId="77777777" w:rsidR="00957BFC" w:rsidRDefault="00957BFC">
      <w:pPr>
        <w:pBdr>
          <w:top w:val="nil"/>
          <w:left w:val="nil"/>
          <w:bottom w:val="nil"/>
          <w:right w:val="nil"/>
          <w:between w:val="nil"/>
        </w:pBdr>
        <w:spacing w:line="360" w:lineRule="auto"/>
        <w:jc w:val="both"/>
        <w:rPr>
          <w:rFonts w:ascii="Palatino Linotype" w:eastAsia="Palatino Linotype" w:hAnsi="Palatino Linotype" w:cs="Palatino Linotype"/>
          <w:b/>
          <w:bCs/>
          <w:i/>
          <w:iCs/>
        </w:rPr>
      </w:pPr>
    </w:p>
    <w:p w14:paraId="704D8712" w14:textId="77777777" w:rsidR="00957BFC" w:rsidRDefault="00CE1938">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veintisiete de enero de dos mil veintiséis, </w:t>
      </w:r>
      <w:r>
        <w:rPr>
          <w:rFonts w:ascii="Palatino Linotype" w:eastAsia="Palatino Linotype" w:hAnsi="Palatino Linotype" w:cs="Palatino Linotype"/>
          <w:color w:val="000000"/>
        </w:rPr>
        <w:t xml:space="preserve">se notificó el acuerdo por el que se amplió el plazo para resolver el recurso de revisión que nos ocupa. </w:t>
      </w:r>
    </w:p>
    <w:p w14:paraId="6943AE4E" w14:textId="77777777" w:rsidR="00957BFC" w:rsidRDefault="00957BFC">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14:paraId="6482CE69" w14:textId="32D685CE" w:rsidR="00957BFC" w:rsidRDefault="00CE1938">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Finalmente, mediante acuerdo de </w:t>
      </w:r>
      <w:r>
        <w:rPr>
          <w:rFonts w:ascii="Palatino Linotype" w:eastAsia="Palatino Linotype" w:hAnsi="Palatino Linotype" w:cs="Palatino Linotype"/>
          <w:b/>
          <w:bCs/>
          <w:color w:val="000000"/>
        </w:rPr>
        <w:t>tres de febrero de dos mil veintiséis</w:t>
      </w:r>
      <w:r>
        <w:rPr>
          <w:rFonts w:ascii="Palatino Linotype" w:eastAsia="Palatino Linotype" w:hAnsi="Palatino Linotype" w:cs="Palatino Linotype"/>
          <w:color w:val="000000"/>
        </w:rPr>
        <w:t>, se  decretó el cierre de instrucción, por lo que no habiendo más que hacer constar, y---------------------</w:t>
      </w:r>
    </w:p>
    <w:p w14:paraId="09357774" w14:textId="77777777" w:rsidR="00957BFC" w:rsidRDefault="00957BFC">
      <w:pPr>
        <w:pBdr>
          <w:top w:val="nil"/>
          <w:left w:val="nil"/>
          <w:bottom w:val="nil"/>
          <w:right w:val="nil"/>
          <w:between w:val="nil"/>
        </w:pBdr>
        <w:ind w:left="720"/>
        <w:rPr>
          <w:rFonts w:ascii="Palatino Linotype" w:eastAsia="Palatino Linotype" w:hAnsi="Palatino Linotype" w:cs="Palatino Linotype"/>
          <w:b/>
          <w:bCs/>
          <w:color w:val="000000"/>
        </w:rPr>
      </w:pPr>
    </w:p>
    <w:p w14:paraId="6698AB01" w14:textId="77777777" w:rsidR="00957BFC" w:rsidRDefault="00CE1938">
      <w:pPr>
        <w:pStyle w:val="Ttulo1"/>
        <w:tabs>
          <w:tab w:val="left" w:pos="567"/>
        </w:tabs>
        <w:spacing w:before="0" w:line="360" w:lineRule="auto"/>
        <w:jc w:val="center"/>
      </w:pPr>
      <w:bookmarkStart w:id="6" w:name="_heading=h.tyjcwt" w:colFirst="0" w:colLast="0"/>
      <w:bookmarkEnd w:id="6"/>
      <w:r>
        <w:lastRenderedPageBreak/>
        <w:t>C O N S I D E R A N D O</w:t>
      </w:r>
    </w:p>
    <w:p w14:paraId="09E5268D" w14:textId="77777777" w:rsidR="00957BFC" w:rsidRDefault="00957BFC">
      <w:pPr>
        <w:spacing w:line="360" w:lineRule="auto"/>
        <w:rPr>
          <w:rFonts w:ascii="Palatino Linotype" w:eastAsia="Palatino Linotype" w:hAnsi="Palatino Linotype" w:cs="Palatino Linotype"/>
        </w:rPr>
      </w:pPr>
    </w:p>
    <w:p w14:paraId="370492E4" w14:textId="77777777" w:rsidR="00957BFC" w:rsidRDefault="00CE1938">
      <w:pPr>
        <w:pStyle w:val="Ttulo1"/>
        <w:tabs>
          <w:tab w:val="left" w:pos="567"/>
        </w:tabs>
        <w:spacing w:before="0" w:line="360" w:lineRule="auto"/>
      </w:pPr>
      <w:bookmarkStart w:id="7" w:name="_heading=h.3dy6vkm" w:colFirst="0" w:colLast="0"/>
      <w:bookmarkEnd w:id="7"/>
      <w:r>
        <w:t>PRIMERO. De la competencia</w:t>
      </w:r>
    </w:p>
    <w:p w14:paraId="731A2B7C" w14:textId="77777777" w:rsidR="00957BFC" w:rsidRDefault="00CE1938">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14:paraId="4E032650" w14:textId="77777777" w:rsidR="00957BFC" w:rsidRDefault="00957BF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9E1A50D" w14:textId="77777777" w:rsidR="00957BFC" w:rsidRDefault="00CE1938">
      <w:pPr>
        <w:pStyle w:val="Ttulo1"/>
        <w:tabs>
          <w:tab w:val="left" w:pos="567"/>
        </w:tabs>
        <w:spacing w:before="0" w:line="360" w:lineRule="auto"/>
      </w:pPr>
      <w:bookmarkStart w:id="8" w:name="_heading=h.1t3h5sf" w:colFirst="0" w:colLast="0"/>
      <w:bookmarkEnd w:id="8"/>
      <w:r>
        <w:t>SEGUNDO. De la oportunidad y procedencia.</w:t>
      </w:r>
    </w:p>
    <w:p w14:paraId="76A36506" w14:textId="77777777" w:rsidR="00957BFC" w:rsidRDefault="00CE1938">
      <w:pPr>
        <w:numPr>
          <w:ilvl w:val="0"/>
          <w:numId w:val="3"/>
        </w:numPr>
        <w:spacing w:line="360" w:lineRule="auto"/>
        <w:ind w:right="4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medio de impugnación fue presentado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entregó su respuesta el </w:t>
      </w:r>
      <w:r>
        <w:rPr>
          <w:rFonts w:ascii="Palatino Linotype" w:eastAsia="Palatino Linotype" w:hAnsi="Palatino Linotype" w:cs="Palatino Linotype"/>
          <w:b/>
          <w:bCs/>
          <w:color w:val="000000"/>
        </w:rPr>
        <w:t xml:space="preserve">treinta de julio de dos mil veinticinco, </w:t>
      </w:r>
      <w:r>
        <w:rPr>
          <w:rFonts w:ascii="Palatino Linotype" w:eastAsia="Palatino Linotype" w:hAnsi="Palatino Linotype" w:cs="Palatino Linotype"/>
          <w:color w:val="000000"/>
        </w:rPr>
        <w:t xml:space="preserve">de tal forma que el plazo para interponer el recurso de revisión transcurrió del </w:t>
      </w:r>
      <w:r>
        <w:rPr>
          <w:rFonts w:ascii="Palatino Linotype" w:eastAsia="Palatino Linotype" w:hAnsi="Palatino Linotype" w:cs="Palatino Linotype"/>
          <w:b/>
          <w:bCs/>
          <w:color w:val="000000"/>
        </w:rPr>
        <w:t>cuatro al veintidós de agosto  de dos mil veinticinco</w:t>
      </w:r>
      <w:r>
        <w:rPr>
          <w:rFonts w:ascii="Palatino Linotype" w:eastAsia="Palatino Linotype" w:hAnsi="Palatino Linotype" w:cs="Palatino Linotype"/>
          <w:color w:val="000000"/>
        </w:rPr>
        <w:t xml:space="preserve">; en consecuencia, 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presentó su inconformidad el </w:t>
      </w:r>
      <w:r>
        <w:rPr>
          <w:rFonts w:ascii="Palatino Linotype" w:eastAsia="Palatino Linotype" w:hAnsi="Palatino Linotype" w:cs="Palatino Linotype"/>
          <w:b/>
          <w:bCs/>
          <w:color w:val="000000"/>
        </w:rPr>
        <w:t>siete de agosto de dos mil veinticinco</w:t>
      </w:r>
      <w:r>
        <w:rPr>
          <w:rFonts w:ascii="Palatino Linotype" w:eastAsia="Palatino Linotype" w:hAnsi="Palatino Linotype" w:cs="Palatino Linotype"/>
          <w:color w:val="000000"/>
        </w:rPr>
        <w:t>; por lo que se estima que la inconformidad se presentó dentro del lapso legalmente establecido para tal efecto.</w:t>
      </w:r>
    </w:p>
    <w:p w14:paraId="20868F2E" w14:textId="77777777" w:rsidR="00957BFC" w:rsidRDefault="00CE1938">
      <w:pPr>
        <w:pStyle w:val="Ttulo1"/>
        <w:spacing w:before="0" w:line="360" w:lineRule="auto"/>
      </w:pPr>
      <w:r>
        <w:lastRenderedPageBreak/>
        <w:t xml:space="preserve">TERCERO. Del planteamiento de la </w:t>
      </w:r>
      <w:r>
        <w:rPr>
          <w:i/>
          <w:iCs/>
        </w:rPr>
        <w:t>Litis</w:t>
      </w:r>
      <w:r>
        <w:t>.</w:t>
      </w:r>
    </w:p>
    <w:p w14:paraId="6B9406C3" w14:textId="77777777" w:rsidR="00957BFC" w:rsidRDefault="00CE1938">
      <w:pPr>
        <w:numPr>
          <w:ilvl w:val="0"/>
          <w:numId w:val="3"/>
        </w:numPr>
        <w:spacing w:line="360" w:lineRule="auto"/>
        <w:ind w:right="48"/>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De las constancias en el expediente al rubro indicado, se desprende que el particular solicitó la información que a continuación se desagrega:</w:t>
      </w:r>
    </w:p>
    <w:p w14:paraId="76AD2C4F" w14:textId="77777777" w:rsidR="00957BFC" w:rsidRDefault="00CE1938">
      <w:pPr>
        <w:pBdr>
          <w:top w:val="nil"/>
          <w:left w:val="nil"/>
          <w:bottom w:val="nil"/>
          <w:right w:val="nil"/>
          <w:between w:val="nil"/>
        </w:pBdr>
        <w:spacing w:line="276" w:lineRule="auto"/>
        <w:ind w:left="778" w:right="709"/>
        <w:jc w:val="both"/>
        <w:rPr>
          <w:rFonts w:ascii="Palatino Linotype" w:eastAsia="Palatino Linotype" w:hAnsi="Palatino Linotype" w:cs="Palatino Linotype"/>
        </w:rPr>
      </w:pPr>
      <w:r>
        <w:rPr>
          <w:rFonts w:ascii="Palatino Linotype" w:eastAsia="Palatino Linotype" w:hAnsi="Palatino Linotype" w:cs="Palatino Linotype"/>
        </w:rPr>
        <w:t xml:space="preserve">Sobre medios de comunicación del Área de Comunicación Social del municipio de Cuautitlán Izcalli correspondientes del primero de enero al veintitrés de junio de dos mil veinticinco: </w:t>
      </w:r>
    </w:p>
    <w:p w14:paraId="6C89D778" w14:textId="77777777" w:rsidR="00957BFC" w:rsidRDefault="00957BFC">
      <w:pPr>
        <w:pBdr>
          <w:top w:val="nil"/>
          <w:left w:val="nil"/>
          <w:bottom w:val="nil"/>
          <w:right w:val="nil"/>
          <w:between w:val="nil"/>
        </w:pBdr>
        <w:spacing w:line="276" w:lineRule="auto"/>
        <w:ind w:left="778" w:right="709"/>
        <w:jc w:val="both"/>
        <w:rPr>
          <w:rFonts w:ascii="Palatino Linotype" w:eastAsia="Palatino Linotype" w:hAnsi="Palatino Linotype" w:cs="Palatino Linotype"/>
        </w:rPr>
      </w:pPr>
    </w:p>
    <w:p w14:paraId="7F1C11B3" w14:textId="77777777" w:rsidR="00957BFC" w:rsidRDefault="00CE1938">
      <w:pPr>
        <w:pBdr>
          <w:top w:val="nil"/>
          <w:left w:val="nil"/>
          <w:bottom w:val="nil"/>
          <w:right w:val="nil"/>
          <w:between w:val="nil"/>
        </w:pBdr>
        <w:spacing w:line="276" w:lineRule="auto"/>
        <w:ind w:left="778" w:right="709"/>
        <w:jc w:val="both"/>
        <w:rPr>
          <w:rFonts w:ascii="Palatino Linotype" w:eastAsia="Palatino Linotype" w:hAnsi="Palatino Linotype" w:cs="Palatino Linotype"/>
        </w:rPr>
      </w:pPr>
      <w:r>
        <w:rPr>
          <w:rFonts w:ascii="Palatino Linotype" w:eastAsia="Palatino Linotype" w:hAnsi="Palatino Linotype" w:cs="Palatino Linotype"/>
        </w:rPr>
        <w:t>1. Identificación y documento fiscal del proveedor o empresa adjudicada (RFC, CEDULA FISCAL, OPINIÓN DE CUMPLIMIENTO SAT, C.V., ALTA EN PADRON MUNICIPAL),</w:t>
      </w:r>
    </w:p>
    <w:p w14:paraId="72DFEAA6" w14:textId="77777777" w:rsidR="00957BFC" w:rsidRDefault="00CE1938">
      <w:pPr>
        <w:pBdr>
          <w:top w:val="nil"/>
          <w:left w:val="nil"/>
          <w:bottom w:val="nil"/>
          <w:right w:val="nil"/>
          <w:between w:val="nil"/>
        </w:pBdr>
        <w:spacing w:line="276" w:lineRule="auto"/>
        <w:ind w:left="778" w:right="709"/>
        <w:jc w:val="both"/>
        <w:rPr>
          <w:rFonts w:ascii="Palatino Linotype" w:eastAsia="Palatino Linotype" w:hAnsi="Palatino Linotype" w:cs="Palatino Linotype"/>
        </w:rPr>
      </w:pPr>
      <w:r>
        <w:rPr>
          <w:rFonts w:ascii="Palatino Linotype" w:eastAsia="Palatino Linotype" w:hAnsi="Palatino Linotype" w:cs="Palatino Linotype"/>
        </w:rPr>
        <w:t xml:space="preserve"> 2. Justificación normativa y técnica de la contratación</w:t>
      </w:r>
    </w:p>
    <w:p w14:paraId="1339CE6E" w14:textId="77777777" w:rsidR="00957BFC" w:rsidRDefault="00CE1938">
      <w:pPr>
        <w:pBdr>
          <w:top w:val="nil"/>
          <w:left w:val="nil"/>
          <w:bottom w:val="nil"/>
          <w:right w:val="nil"/>
          <w:between w:val="nil"/>
        </w:pBdr>
        <w:spacing w:line="276" w:lineRule="auto"/>
        <w:ind w:left="778" w:right="709"/>
        <w:jc w:val="both"/>
        <w:rPr>
          <w:rFonts w:ascii="Palatino Linotype" w:eastAsia="Palatino Linotype" w:hAnsi="Palatino Linotype" w:cs="Palatino Linotype"/>
        </w:rPr>
      </w:pPr>
      <w:r>
        <w:rPr>
          <w:rFonts w:ascii="Palatino Linotype" w:eastAsia="Palatino Linotype" w:hAnsi="Palatino Linotype" w:cs="Palatino Linotype"/>
        </w:rPr>
        <w:t xml:space="preserve">3. Pólizas de egreso correspondientes (copia de cheques o comprobantes de transferencia bancaria), </w:t>
      </w:r>
    </w:p>
    <w:p w14:paraId="2BB109A2" w14:textId="77777777" w:rsidR="00957BFC" w:rsidRDefault="00CE1938">
      <w:pPr>
        <w:pBdr>
          <w:top w:val="nil"/>
          <w:left w:val="nil"/>
          <w:bottom w:val="nil"/>
          <w:right w:val="nil"/>
          <w:between w:val="nil"/>
        </w:pBdr>
        <w:spacing w:line="276" w:lineRule="auto"/>
        <w:ind w:left="778" w:right="709"/>
        <w:jc w:val="both"/>
        <w:rPr>
          <w:rFonts w:ascii="Palatino Linotype" w:eastAsia="Palatino Linotype" w:hAnsi="Palatino Linotype" w:cs="Palatino Linotype"/>
        </w:rPr>
      </w:pPr>
      <w:r>
        <w:rPr>
          <w:rFonts w:ascii="Palatino Linotype" w:eastAsia="Palatino Linotype" w:hAnsi="Palatino Linotype" w:cs="Palatino Linotype"/>
        </w:rPr>
        <w:t>4. Número de partida presupuestal, monto ejercido y fuente de financiamiento y</w:t>
      </w:r>
    </w:p>
    <w:p w14:paraId="41CB641E" w14:textId="77777777" w:rsidR="00957BFC" w:rsidRDefault="00CE1938">
      <w:pPr>
        <w:pBdr>
          <w:top w:val="nil"/>
          <w:left w:val="nil"/>
          <w:bottom w:val="nil"/>
          <w:right w:val="nil"/>
          <w:between w:val="nil"/>
        </w:pBdr>
        <w:spacing w:line="276" w:lineRule="auto"/>
        <w:ind w:left="778" w:right="709"/>
        <w:jc w:val="both"/>
        <w:rPr>
          <w:rFonts w:ascii="Palatino Linotype" w:eastAsia="Palatino Linotype" w:hAnsi="Palatino Linotype" w:cs="Palatino Linotype"/>
        </w:rPr>
      </w:pPr>
      <w:r>
        <w:rPr>
          <w:rFonts w:ascii="Palatino Linotype" w:eastAsia="Palatino Linotype" w:hAnsi="Palatino Linotype" w:cs="Palatino Linotype"/>
        </w:rPr>
        <w:t>5. Documentos y anexos completos de licitación, adjudicación directa o invitación restringida...” (Sic)</w:t>
      </w:r>
    </w:p>
    <w:p w14:paraId="32CCABB1" w14:textId="77777777" w:rsidR="00957BFC" w:rsidRDefault="00957BFC">
      <w:pPr>
        <w:spacing w:line="360" w:lineRule="auto"/>
        <w:ind w:right="48"/>
        <w:jc w:val="both"/>
        <w:rPr>
          <w:rFonts w:ascii="Palatino Linotype" w:eastAsia="Palatino Linotype" w:hAnsi="Palatino Linotype" w:cs="Palatino Linotype"/>
          <w:color w:val="000000"/>
        </w:rPr>
      </w:pPr>
    </w:p>
    <w:p w14:paraId="70E36224" w14:textId="77777777" w:rsidR="00957BFC" w:rsidRDefault="00CE1938">
      <w:pPr>
        <w:numPr>
          <w:ilvl w:val="0"/>
          <w:numId w:val="3"/>
        </w:numPr>
        <w:spacing w:line="360" w:lineRule="auto"/>
        <w:ind w:right="48"/>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color w:val="000000"/>
        </w:rPr>
        <w:t xml:space="preserve">En respuesta,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se pronunció como quedó referido en el numeral 2. </w:t>
      </w:r>
    </w:p>
    <w:p w14:paraId="5E38EBCC" w14:textId="77777777" w:rsidR="00957BFC" w:rsidRDefault="00957BFC">
      <w:pPr>
        <w:spacing w:line="360" w:lineRule="auto"/>
        <w:ind w:right="48"/>
        <w:jc w:val="both"/>
        <w:rPr>
          <w:rFonts w:ascii="Palatino Linotype" w:eastAsia="Palatino Linotype" w:hAnsi="Palatino Linotype" w:cs="Palatino Linotype"/>
          <w:b/>
          <w:bCs/>
          <w:i/>
          <w:iCs/>
          <w:color w:val="000000"/>
        </w:rPr>
      </w:pPr>
    </w:p>
    <w:p w14:paraId="48BAE087" w14:textId="77777777" w:rsidR="00957BFC" w:rsidRDefault="00CE1938">
      <w:pPr>
        <w:numPr>
          <w:ilvl w:val="0"/>
          <w:numId w:val="3"/>
        </w:numPr>
        <w:spacing w:line="360" w:lineRule="auto"/>
        <w:ind w:right="4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Inconforme con la respuesta proporcionada por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éste</w:t>
      </w:r>
      <w:r>
        <w:rPr>
          <w:rFonts w:ascii="Palatino Linotype" w:eastAsia="Palatino Linotype" w:hAnsi="Palatino Linotype" w:cs="Palatino Linotype"/>
          <w:color w:val="000000"/>
        </w:rPr>
        <w:t xml:space="preserve"> interpuso recurso de revisión arguyendo g</w:t>
      </w:r>
      <w:r>
        <w:rPr>
          <w:rFonts w:ascii="Palatino Linotype" w:eastAsia="Palatino Linotype" w:hAnsi="Palatino Linotype" w:cs="Palatino Linotype"/>
          <w:i/>
          <w:iCs/>
          <w:color w:val="000000"/>
        </w:rPr>
        <w:t xml:space="preserve">rosso modo </w:t>
      </w:r>
      <w:r>
        <w:rPr>
          <w:rFonts w:ascii="Palatino Linotype" w:eastAsia="Palatino Linotype" w:hAnsi="Palatino Linotype" w:cs="Palatino Linotype"/>
          <w:color w:val="000000"/>
        </w:rPr>
        <w:t>la negativa de la información.</w:t>
      </w:r>
    </w:p>
    <w:p w14:paraId="444478B4" w14:textId="77777777" w:rsidR="00957BFC" w:rsidRDefault="00957BFC">
      <w:pPr>
        <w:pBdr>
          <w:top w:val="nil"/>
          <w:left w:val="nil"/>
          <w:bottom w:val="nil"/>
          <w:right w:val="nil"/>
          <w:between w:val="nil"/>
        </w:pBdr>
        <w:ind w:left="567"/>
        <w:jc w:val="both"/>
        <w:rPr>
          <w:rFonts w:ascii="Palatino Linotype" w:eastAsia="Palatino Linotype" w:hAnsi="Palatino Linotype" w:cs="Palatino Linotype"/>
          <w:color w:val="000000"/>
        </w:rPr>
      </w:pPr>
    </w:p>
    <w:p w14:paraId="11D76D2E" w14:textId="77777777" w:rsidR="00957BFC" w:rsidRDefault="00CE1938">
      <w:pPr>
        <w:numPr>
          <w:ilvl w:val="0"/>
          <w:numId w:val="3"/>
        </w:numPr>
        <w:spacing w:line="360" w:lineRule="auto"/>
        <w:ind w:right="4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dichas condiciones,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Pr>
          <w:rFonts w:ascii="Palatino Linotype" w:eastAsia="Palatino Linotype" w:hAnsi="Palatino Linotype" w:cs="Palatino Linotype"/>
          <w:b/>
          <w:bCs/>
          <w:color w:val="000000"/>
        </w:rPr>
        <w:t xml:space="preserve">fracción I </w:t>
      </w:r>
      <w:r>
        <w:rPr>
          <w:rFonts w:ascii="Palatino Linotype" w:eastAsia="Palatino Linotype" w:hAnsi="Palatino Linotype" w:cs="Palatino Linotype"/>
          <w:color w:val="000000"/>
        </w:rPr>
        <w:t>de la Ley</w:t>
      </w:r>
      <w:r>
        <w:rPr>
          <w:rFonts w:ascii="Palatino Linotype" w:eastAsia="Palatino Linotype" w:hAnsi="Palatino Linotype" w:cs="Palatino Linotype"/>
          <w:b/>
          <w:bCs/>
          <w:color w:val="000000"/>
        </w:rPr>
        <w:t xml:space="preserve"> de Transparencia y Acceso a la Información Pública del Estado de </w:t>
      </w:r>
      <w:r>
        <w:rPr>
          <w:rFonts w:ascii="Palatino Linotype" w:eastAsia="Palatino Linotype" w:hAnsi="Palatino Linotype" w:cs="Palatino Linotype"/>
          <w:color w:val="000000"/>
        </w:rPr>
        <w:t>México</w:t>
      </w:r>
      <w:r>
        <w:rPr>
          <w:rFonts w:ascii="Palatino Linotype" w:eastAsia="Palatino Linotype" w:hAnsi="Palatino Linotype" w:cs="Palatino Linotype"/>
          <w:b/>
          <w:bCs/>
          <w:color w:val="000000"/>
        </w:rPr>
        <w:t xml:space="preserve"> y Municipios</w:t>
      </w:r>
      <w:r>
        <w:rPr>
          <w:rFonts w:ascii="Palatino Linotype" w:eastAsia="Palatino Linotype" w:hAnsi="Palatino Linotype" w:cs="Palatino Linotype"/>
          <w:color w:val="000000"/>
        </w:rPr>
        <w:t xml:space="preserve">; fracción que determina la hipótesis jurídica a la negativa a la </w:t>
      </w:r>
      <w:r>
        <w:rPr>
          <w:rFonts w:ascii="Palatino Linotype" w:eastAsia="Palatino Linotype" w:hAnsi="Palatino Linotype" w:cs="Palatino Linotype"/>
          <w:color w:val="000000"/>
        </w:rPr>
        <w:lastRenderedPageBreak/>
        <w:t xml:space="preserve">información solicitada; contexto del cual se dolió </w:t>
      </w:r>
      <w:r>
        <w:rPr>
          <w:rFonts w:ascii="Palatino Linotype" w:eastAsia="Palatino Linotype" w:hAnsi="Palatino Linotype" w:cs="Palatino Linotype"/>
          <w:b/>
          <w:bCs/>
          <w:color w:val="000000"/>
        </w:rPr>
        <w:t xml:space="preserve">EL RECURRENTE </w:t>
      </w:r>
      <w:r>
        <w:rPr>
          <w:rFonts w:ascii="Palatino Linotype" w:eastAsia="Palatino Linotype" w:hAnsi="Palatino Linotype" w:cs="Palatino Linotype"/>
          <w:color w:val="000000"/>
        </w:rPr>
        <w:t>al momento de interponer su inconformidad.</w:t>
      </w:r>
    </w:p>
    <w:p w14:paraId="108444BF" w14:textId="77777777" w:rsidR="00957BFC" w:rsidRDefault="00957BF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D4E0E5B" w14:textId="77777777" w:rsidR="00957BFC" w:rsidRDefault="00CE1938">
      <w:pPr>
        <w:numPr>
          <w:ilvl w:val="0"/>
          <w:numId w:val="3"/>
        </w:numPr>
        <w:spacing w:line="360" w:lineRule="auto"/>
        <w:ind w:right="4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modo tal que el presente recurso de revisión se abocara en determinar si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con su respuesta ciertamente actualizan las causales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14:paraId="76899105" w14:textId="77777777" w:rsidR="00957BFC" w:rsidRDefault="00957BFC">
      <w:pPr>
        <w:pBdr>
          <w:top w:val="nil"/>
          <w:left w:val="nil"/>
          <w:bottom w:val="nil"/>
          <w:right w:val="nil"/>
          <w:between w:val="nil"/>
        </w:pBdr>
        <w:ind w:left="708"/>
        <w:rPr>
          <w:rFonts w:ascii="Palatino Linotype" w:eastAsia="Palatino Linotype" w:hAnsi="Palatino Linotype" w:cs="Palatino Linotype"/>
          <w:color w:val="000000"/>
        </w:rPr>
      </w:pPr>
    </w:p>
    <w:p w14:paraId="4C065A45" w14:textId="77777777" w:rsidR="00957BFC" w:rsidRDefault="00CE1938">
      <w:pPr>
        <w:pStyle w:val="Ttulo1"/>
        <w:spacing w:before="0" w:line="360" w:lineRule="auto"/>
      </w:pPr>
      <w:r>
        <w:t>CUARTO. Del estudio y resolución del asunto.</w:t>
      </w:r>
    </w:p>
    <w:p w14:paraId="69112823" w14:textId="77777777" w:rsidR="00957BFC" w:rsidRDefault="00CE1938">
      <w:pPr>
        <w:numPr>
          <w:ilvl w:val="0"/>
          <w:numId w:val="3"/>
        </w:numPr>
        <w:spacing w:line="360" w:lineRule="auto"/>
        <w:ind w:right="4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Acotada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14:paraId="523DA37A" w14:textId="77777777" w:rsidR="00957BFC" w:rsidRDefault="00957BFC">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14:paraId="21B55437" w14:textId="77777777" w:rsidR="00957BFC" w:rsidRDefault="00CE1938">
      <w:pPr>
        <w:numPr>
          <w:ilvl w:val="0"/>
          <w:numId w:val="3"/>
        </w:numPr>
        <w:spacing w:line="360" w:lineRule="auto"/>
        <w:ind w:right="4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w:t>
      </w:r>
      <w:r>
        <w:rPr>
          <w:rFonts w:ascii="Palatino Linotype" w:eastAsia="Palatino Linotype" w:hAnsi="Palatino Linotype" w:cs="Palatino Linotype"/>
          <w:color w:val="000000"/>
        </w:rPr>
        <w:lastRenderedPageBreak/>
        <w:t>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446C941A" w14:textId="77777777" w:rsidR="00957BFC" w:rsidRDefault="00957BFC">
      <w:pPr>
        <w:spacing w:line="360" w:lineRule="auto"/>
        <w:jc w:val="both"/>
        <w:rPr>
          <w:rFonts w:ascii="Palatino Linotype" w:eastAsia="Palatino Linotype" w:hAnsi="Palatino Linotype" w:cs="Palatino Linotype"/>
        </w:rPr>
      </w:pPr>
    </w:p>
    <w:p w14:paraId="147A8649" w14:textId="77777777" w:rsidR="00957BFC" w:rsidRDefault="00CE1938">
      <w:pPr>
        <w:numPr>
          <w:ilvl w:val="0"/>
          <w:numId w:val="3"/>
        </w:numPr>
        <w:spacing w:line="360" w:lineRule="auto"/>
        <w:ind w:right="4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3B7E5405" w14:textId="77777777" w:rsidR="00957BFC" w:rsidRDefault="00957BFC">
      <w:pPr>
        <w:pBdr>
          <w:top w:val="nil"/>
          <w:left w:val="nil"/>
          <w:bottom w:val="nil"/>
          <w:right w:val="nil"/>
          <w:between w:val="nil"/>
        </w:pBdr>
        <w:spacing w:line="360" w:lineRule="auto"/>
        <w:ind w:left="708"/>
        <w:rPr>
          <w:rFonts w:ascii="Palatino Linotype" w:eastAsia="Palatino Linotype" w:hAnsi="Palatino Linotype" w:cs="Palatino Linotype"/>
          <w:color w:val="000000"/>
        </w:rPr>
      </w:pPr>
    </w:p>
    <w:p w14:paraId="786A11D0" w14:textId="77777777" w:rsidR="00957BFC" w:rsidRDefault="00CE1938">
      <w:pPr>
        <w:numPr>
          <w:ilvl w:val="0"/>
          <w:numId w:val="3"/>
        </w:numPr>
        <w:spacing w:line="360" w:lineRule="auto"/>
        <w:ind w:right="48"/>
        <w:jc w:val="both"/>
        <w:rPr>
          <w:rFonts w:ascii="Palatino Linotype" w:eastAsia="Palatino Linotype" w:hAnsi="Palatino Linotype" w:cs="Palatino Linotype"/>
          <w:color w:val="000000"/>
        </w:rPr>
      </w:pPr>
      <w:r>
        <w:rPr>
          <w:rFonts w:ascii="Palatino Linotype" w:eastAsia="Palatino Linotype" w:hAnsi="Palatino Linotype" w:cs="Palatino Linotype"/>
        </w:rPr>
        <w:t>F</w:t>
      </w:r>
      <w:r>
        <w:rPr>
          <w:rFonts w:ascii="Palatino Linotype" w:eastAsia="Palatino Linotype" w:hAnsi="Palatino Linotype" w:cs="Palatino Linotype"/>
          <w:color w:val="000000"/>
        </w:rPr>
        <w:t>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183A5C24" w14:textId="77777777" w:rsidR="00957BFC" w:rsidRDefault="00957BFC">
      <w:pPr>
        <w:spacing w:line="360" w:lineRule="auto"/>
        <w:rPr>
          <w:rFonts w:ascii="Palatino Linotype" w:eastAsia="Palatino Linotype" w:hAnsi="Palatino Linotype" w:cs="Palatino Linotype"/>
        </w:rPr>
      </w:pPr>
    </w:p>
    <w:p w14:paraId="11ED830F" w14:textId="77777777" w:rsidR="00957BFC" w:rsidRDefault="00CE1938">
      <w:pPr>
        <w:numPr>
          <w:ilvl w:val="0"/>
          <w:numId w:val="2"/>
        </w:numPr>
        <w:pBdr>
          <w:top w:val="nil"/>
          <w:left w:val="nil"/>
          <w:bottom w:val="nil"/>
          <w:right w:val="nil"/>
          <w:between w:val="nil"/>
        </w:pBdr>
        <w:spacing w:line="360" w:lineRule="auto"/>
        <w:ind w:right="75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Estudio de fondo</w:t>
      </w:r>
    </w:p>
    <w:p w14:paraId="52A0308D" w14:textId="77777777" w:rsidR="00957BFC" w:rsidRDefault="00CE1938">
      <w:pPr>
        <w:numPr>
          <w:ilvl w:val="0"/>
          <w:numId w:val="3"/>
        </w:numPr>
        <w:spacing w:line="360" w:lineRule="auto"/>
        <w:ind w:right="48"/>
        <w:jc w:val="both"/>
        <w:rPr>
          <w:rFonts w:ascii="Palatino Linotype" w:eastAsia="Palatino Linotype" w:hAnsi="Palatino Linotype" w:cs="Palatino Linotype"/>
          <w:color w:val="000000"/>
        </w:rPr>
      </w:pPr>
      <w:r>
        <w:rPr>
          <w:rFonts w:ascii="Palatino Linotype" w:eastAsia="Palatino Linotype" w:hAnsi="Palatino Linotype" w:cs="Palatino Linotype"/>
        </w:rPr>
        <w:t>Acotada</w:t>
      </w:r>
      <w:r>
        <w:rPr>
          <w:rFonts w:ascii="Palatino Linotype" w:eastAsia="Palatino Linotype" w:hAnsi="Palatino Linotype" w:cs="Palatino Linotype"/>
          <w:color w:val="000000"/>
        </w:rPr>
        <w:t xml:space="preserve"> la </w:t>
      </w:r>
      <w:r>
        <w:rPr>
          <w:rFonts w:ascii="Palatino Linotype" w:eastAsia="Palatino Linotype" w:hAnsi="Palatino Linotype" w:cs="Palatino Linotype"/>
          <w:i/>
          <w:iCs/>
          <w:color w:val="000000"/>
        </w:rPr>
        <w:t>Litis</w:t>
      </w:r>
      <w:r>
        <w:rPr>
          <w:rFonts w:ascii="Palatino Linotype" w:eastAsia="Palatino Linotype" w:hAnsi="Palatino Linotype" w:cs="Palatino Linotype"/>
          <w:color w:val="000000"/>
        </w:rPr>
        <w:t xml:space="preserve"> del presente asunto, previo al estudio de fondo, respecto la fuente obligacional, el Bando Municipal refiere lo siguiente:</w:t>
      </w:r>
    </w:p>
    <w:p w14:paraId="66737E51" w14:textId="77777777" w:rsidR="00957BFC" w:rsidRDefault="00957BFC">
      <w:pPr>
        <w:spacing w:line="360" w:lineRule="auto"/>
        <w:ind w:right="48"/>
        <w:jc w:val="both"/>
        <w:rPr>
          <w:rFonts w:ascii="Palatino Linotype" w:eastAsia="Palatino Linotype" w:hAnsi="Palatino Linotype" w:cs="Palatino Linotype"/>
          <w:color w:val="000000"/>
        </w:rPr>
      </w:pPr>
    </w:p>
    <w:p w14:paraId="77C1D53F" w14:textId="77777777" w:rsidR="00957BFC" w:rsidRDefault="00E63AB6">
      <w:pPr>
        <w:spacing w:line="360" w:lineRule="auto"/>
        <w:ind w:right="48"/>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lastRenderedPageBreak/>
        <mc:AlternateContent>
          <mc:Choice Requires="wps">
            <w:drawing>
              <wp:anchor distT="0" distB="0" distL="114300" distR="114300" simplePos="0" relativeHeight="251660288" behindDoc="0" locked="0" layoutInCell="1" allowOverlap="1" wp14:anchorId="5CF76643" wp14:editId="1A1AFF72">
                <wp:simplePos x="0" y="0"/>
                <wp:positionH relativeFrom="column">
                  <wp:posOffset>872490</wp:posOffset>
                </wp:positionH>
                <wp:positionV relativeFrom="paragraph">
                  <wp:posOffset>637540</wp:posOffset>
                </wp:positionV>
                <wp:extent cx="1685925" cy="161925"/>
                <wp:effectExtent l="57150" t="38100" r="85725" b="104775"/>
                <wp:wrapNone/>
                <wp:docPr id="4" name="Rectángulo 4"/>
                <wp:cNvGraphicFramePr/>
                <a:graphic xmlns:a="http://schemas.openxmlformats.org/drawingml/2006/main">
                  <a:graphicData uri="http://schemas.microsoft.com/office/word/2010/wordprocessingShape">
                    <wps:wsp>
                      <wps:cNvSpPr/>
                      <wps:spPr>
                        <a:xfrm>
                          <a:off x="0" y="0"/>
                          <a:ext cx="1685925" cy="161925"/>
                        </a:xfrm>
                        <a:prstGeom prst="rect">
                          <a:avLst/>
                        </a:prstGeom>
                        <a:noFill/>
                        <a:ln w="28575">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78CD762D" id="Rectángulo 4" o:spid="_x0000_s1026" style="position:absolute;margin-left:68.7pt;margin-top:50.2pt;width:132.75pt;height:1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" filled="f" strokecolor="red" strokeweight="2.25pt">
                <v:shadow on="t" color="black" opacity="22937f" origin=",.5" offset="0,.63889mm"/>
              </v:rect>
            </w:pict>
          </mc:Fallback>
        </mc:AlternateContent>
      </w:r>
      <w:r w:rsidR="00CE1938">
        <w:rPr>
          <w:rFonts w:ascii="Palatino Linotype" w:eastAsia="Palatino Linotype" w:hAnsi="Palatino Linotype" w:cs="Palatino Linotype"/>
          <w:noProof/>
          <w:color w:val="000000"/>
          <w:lang w:val="es-MX"/>
        </w:rPr>
        <mc:AlternateContent>
          <mc:Choice Requires="wps">
            <w:drawing>
              <wp:anchor distT="0" distB="0" distL="114300" distR="114300" simplePos="0" relativeHeight="251659264" behindDoc="0" locked="0" layoutInCell="1" allowOverlap="1" wp14:anchorId="18C6697F" wp14:editId="0EC9DFA4">
                <wp:simplePos x="0" y="0"/>
                <wp:positionH relativeFrom="column">
                  <wp:posOffset>796290</wp:posOffset>
                </wp:positionH>
                <wp:positionV relativeFrom="paragraph">
                  <wp:posOffset>1847215</wp:posOffset>
                </wp:positionV>
                <wp:extent cx="2276475" cy="190500"/>
                <wp:effectExtent l="57150" t="19050" r="85725" b="95250"/>
                <wp:wrapNone/>
                <wp:docPr id="2" name="Rectángulo 2"/>
                <wp:cNvGraphicFramePr/>
                <a:graphic xmlns:a="http://schemas.openxmlformats.org/drawingml/2006/main">
                  <a:graphicData uri="http://schemas.microsoft.com/office/word/2010/wordprocessingShape">
                    <wps:wsp>
                      <wps:cNvSpPr/>
                      <wps:spPr>
                        <a:xfrm>
                          <a:off x="0" y="0"/>
                          <a:ext cx="2276475" cy="190500"/>
                        </a:xfrm>
                        <a:prstGeom prst="rect">
                          <a:avLst/>
                        </a:prstGeom>
                        <a:noFill/>
                        <a:ln w="19050">
                          <a:solidFill>
                            <a:srgbClr val="FF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55E5BD6E" id="Rectángulo 2" o:spid="_x0000_s1026" style="position:absolute;margin-left:62.7pt;margin-top:145.45pt;width:179.25pt;height: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" filled="f" strokecolor="red" strokeweight="1.5pt">
                <v:shadow on="t" color="black" opacity="22937f" origin=",.5" offset="0,.63889mm"/>
              </v:rect>
            </w:pict>
          </mc:Fallback>
        </mc:AlternateContent>
      </w:r>
      <w:r w:rsidR="00CE1938">
        <w:rPr>
          <w:rFonts w:ascii="Palatino Linotype" w:eastAsia="Palatino Linotype" w:hAnsi="Palatino Linotype" w:cs="Palatino Linotype"/>
          <w:noProof/>
          <w:color w:val="000000"/>
          <w:lang w:val="es-MX"/>
        </w:rPr>
        <w:drawing>
          <wp:inline distT="0" distB="0" distL="0" distR="0" wp14:anchorId="71955A63" wp14:editId="09B97092">
            <wp:extent cx="4058216" cy="2400635"/>
            <wp:effectExtent l="0" t="0" r="0" b="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058216" cy="2400635"/>
                    </a:xfrm>
                    <a:prstGeom prst="rect">
                      <a:avLst/>
                    </a:prstGeom>
                    <a:ln/>
                  </pic:spPr>
                </pic:pic>
              </a:graphicData>
            </a:graphic>
          </wp:inline>
        </w:drawing>
      </w:r>
    </w:p>
    <w:p w14:paraId="621EBA56" w14:textId="77777777" w:rsidR="00957BFC" w:rsidRDefault="00957BFC">
      <w:pPr>
        <w:spacing w:line="360" w:lineRule="auto"/>
        <w:ind w:right="48"/>
        <w:jc w:val="center"/>
        <w:rPr>
          <w:rFonts w:ascii="Palatino Linotype" w:eastAsia="Palatino Linotype" w:hAnsi="Palatino Linotype" w:cs="Palatino Linotype"/>
          <w:color w:val="000000"/>
        </w:rPr>
      </w:pPr>
    </w:p>
    <w:p w14:paraId="4FDF572C" w14:textId="77777777" w:rsidR="00957BFC" w:rsidRDefault="00CE1938">
      <w:pPr>
        <w:numPr>
          <w:ilvl w:val="0"/>
          <w:numId w:val="3"/>
        </w:numPr>
        <w:spacing w:line="360" w:lineRule="auto"/>
        <w:ind w:right="4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Reglamento Orgánico, refiere lo siguiente:</w:t>
      </w:r>
    </w:p>
    <w:p w14:paraId="46201C55" w14:textId="77777777" w:rsidR="00957BFC" w:rsidRDefault="00CE1938">
      <w:pPr>
        <w:spacing w:line="360" w:lineRule="auto"/>
        <w:ind w:right="48"/>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lang w:val="es-MX"/>
        </w:rPr>
        <w:drawing>
          <wp:inline distT="0" distB="0" distL="0" distR="0" wp14:anchorId="2A203408" wp14:editId="3078EA14">
            <wp:extent cx="4327946" cy="3060000"/>
            <wp:effectExtent l="0" t="0" r="0" b="0"/>
            <wp:docPr id="1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b="19408"/>
                    <a:stretch>
                      <a:fillRect/>
                    </a:stretch>
                  </pic:blipFill>
                  <pic:spPr>
                    <a:xfrm>
                      <a:off x="0" y="0"/>
                      <a:ext cx="4327946" cy="3060000"/>
                    </a:xfrm>
                    <a:prstGeom prst="rect">
                      <a:avLst/>
                    </a:prstGeom>
                    <a:ln/>
                  </pic:spPr>
                </pic:pic>
              </a:graphicData>
            </a:graphic>
          </wp:inline>
        </w:drawing>
      </w:r>
      <w:r>
        <w:rPr>
          <w:noProof/>
          <w:lang w:val="es-MX"/>
        </w:rPr>
        <mc:AlternateContent>
          <mc:Choice Requires="wps">
            <w:drawing>
              <wp:anchor distT="0" distB="0" distL="114300" distR="114300" simplePos="0" relativeHeight="251658240" behindDoc="0" locked="0" layoutInCell="1" hidden="0" allowOverlap="1" wp14:anchorId="29B8CC92" wp14:editId="318CC592">
                <wp:simplePos x="0" y="0"/>
                <wp:positionH relativeFrom="column">
                  <wp:posOffset>1015365</wp:posOffset>
                </wp:positionH>
                <wp:positionV relativeFrom="paragraph">
                  <wp:posOffset>2689860</wp:posOffset>
                </wp:positionV>
                <wp:extent cx="2505075" cy="228600"/>
                <wp:effectExtent l="0" t="0" r="0" b="0"/>
                <wp:wrapNone/>
                <wp:docPr id="15" name="Rectángulo 15"/>
                <wp:cNvGraphicFramePr/>
                <a:graphic xmlns:a="http://schemas.openxmlformats.org/drawingml/2006/main">
                  <a:graphicData uri="http://schemas.microsoft.com/office/word/2010/wordprocessingShape">
                    <wps:wsp>
                      <wps:cNvSpPr/>
                      <wps:spPr>
                        <a:xfrm>
                          <a:off x="4102988" y="3675225"/>
                          <a:ext cx="2486025" cy="209550"/>
                        </a:xfrm>
                        <a:prstGeom prst="rect">
                          <a:avLst/>
                        </a:prstGeom>
                        <a:noFill/>
                        <a:ln w="19050" cap="flat" cmpd="sng">
                          <a:solidFill>
                            <a:srgbClr val="FF0000"/>
                          </a:solidFill>
                          <a:prstDash val="solid"/>
                          <a:round/>
                          <a:headEnd type="none" w="sm" len="sm"/>
                          <a:tailEnd type="none" w="sm" len="sm"/>
                        </a:ln>
                      </wps:spPr>
                      <wps:txbx>
                        <w:txbxContent>
                          <w:p w14:paraId="340D453E" w14:textId="77777777" w:rsidR="00AC0632" w:rsidRDefault="00AC0632">
                            <w:pPr>
                              <w:textDirection w:val="btLr"/>
                            </w:pPr>
                          </w:p>
                        </w:txbxContent>
                      </wps:txbx>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id="Rectángulo 15" o:spid="_x0000_s1026" style="position:absolute;left:0;text-align:left;margin-left:79.95pt;margin-top:211.8pt;width:197.25pt;height:18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" filled="f" strokecolor="red" strokeweight="1.5pt">
                <v:stroke startarrowwidth="narrow" startarrowlength="short" endarrowwidth="narrow" endarrowlength="short" joinstyle="round"/>
                <v:textbox inset="2.53958mm,2.53958mm,2.53958mm,2.53958mm">
                  <w:txbxContent>
                    <w:p w:rsidR="00AC0632" w:rsidRDefault="00AC0632">
                      <w:pPr>
                        <w:textDirection w:val="btLr"/>
                      </w:pPr>
                    </w:p>
                  </w:txbxContent>
                </v:textbox>
              </v:rect>
            </w:pict>
          </mc:Fallback>
        </mc:AlternateContent>
      </w:r>
    </w:p>
    <w:p w14:paraId="58EBD18D" w14:textId="77777777" w:rsidR="00957BFC" w:rsidRDefault="00957BFC">
      <w:pPr>
        <w:spacing w:line="360" w:lineRule="auto"/>
        <w:ind w:right="48"/>
        <w:jc w:val="both"/>
        <w:rPr>
          <w:rFonts w:ascii="Palatino Linotype" w:eastAsia="Palatino Linotype" w:hAnsi="Palatino Linotype" w:cs="Palatino Linotype"/>
          <w:color w:val="000000"/>
        </w:rPr>
      </w:pPr>
    </w:p>
    <w:p w14:paraId="69D304E8" w14:textId="77777777" w:rsidR="00957BFC" w:rsidRDefault="00CE1938">
      <w:pPr>
        <w:numPr>
          <w:ilvl w:val="0"/>
          <w:numId w:val="3"/>
        </w:numPr>
        <w:spacing w:line="360" w:lineRule="auto"/>
        <w:ind w:right="4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Luego entonces, respecto la fuente obligacional se advierte que si bien es cierto se pronunció el Coordinador General de Comunicación Social, también cierto es que, dada la naturaleza de la información solicitada, es la Dirección de Administración </w:t>
      </w:r>
      <w:r w:rsidR="00E63AB6">
        <w:rPr>
          <w:rFonts w:ascii="Palatino Linotype" w:eastAsia="Palatino Linotype" w:hAnsi="Palatino Linotype" w:cs="Palatino Linotype"/>
          <w:color w:val="000000"/>
        </w:rPr>
        <w:t xml:space="preserve">y la </w:t>
      </w:r>
      <w:r w:rsidR="00E63AB6">
        <w:rPr>
          <w:rFonts w:ascii="Palatino Linotype" w:eastAsia="Palatino Linotype" w:hAnsi="Palatino Linotype" w:cs="Palatino Linotype"/>
          <w:color w:val="000000"/>
        </w:rPr>
        <w:lastRenderedPageBreak/>
        <w:t>Tesorería Municipal las</w:t>
      </w:r>
      <w:r>
        <w:rPr>
          <w:rFonts w:ascii="Palatino Linotype" w:eastAsia="Palatino Linotype" w:hAnsi="Palatino Linotype" w:cs="Palatino Linotype"/>
          <w:color w:val="000000"/>
        </w:rPr>
        <w:t xml:space="preserve"> área</w:t>
      </w:r>
      <w:r w:rsidR="00E63AB6">
        <w:rPr>
          <w:rFonts w:ascii="Palatino Linotype" w:eastAsia="Palatino Linotype" w:hAnsi="Palatino Linotype" w:cs="Palatino Linotype"/>
          <w:color w:val="000000"/>
        </w:rPr>
        <w:t>s</w:t>
      </w:r>
      <w:r>
        <w:rPr>
          <w:rFonts w:ascii="Palatino Linotype" w:eastAsia="Palatino Linotype" w:hAnsi="Palatino Linotype" w:cs="Palatino Linotype"/>
          <w:color w:val="000000"/>
        </w:rPr>
        <w:t xml:space="preserve"> encargada</w:t>
      </w:r>
      <w:r w:rsidR="00E63AB6">
        <w:rPr>
          <w:rFonts w:ascii="Palatino Linotype" w:eastAsia="Palatino Linotype" w:hAnsi="Palatino Linotype" w:cs="Palatino Linotype"/>
          <w:color w:val="000000"/>
        </w:rPr>
        <w:t>s</w:t>
      </w:r>
      <w:r>
        <w:rPr>
          <w:rFonts w:ascii="Palatino Linotype" w:eastAsia="Palatino Linotype" w:hAnsi="Palatino Linotype" w:cs="Palatino Linotype"/>
          <w:color w:val="000000"/>
        </w:rPr>
        <w:t xml:space="preserve"> de generar, poseer y/o administrar la información solicitada, por lo que se deberá turnar la solicitud de información que nos ocupa a efecto de que se dé cuenta de lo solicitado.</w:t>
      </w:r>
    </w:p>
    <w:p w14:paraId="5F702DB1" w14:textId="77777777" w:rsidR="00CE1938" w:rsidRDefault="00CE1938" w:rsidP="00CE1938">
      <w:pPr>
        <w:spacing w:line="360" w:lineRule="auto"/>
        <w:ind w:right="48"/>
        <w:jc w:val="both"/>
        <w:rPr>
          <w:rFonts w:ascii="Palatino Linotype" w:eastAsia="Palatino Linotype" w:hAnsi="Palatino Linotype" w:cs="Palatino Linotype"/>
          <w:color w:val="000000"/>
        </w:rPr>
      </w:pPr>
    </w:p>
    <w:p w14:paraId="6D95D157" w14:textId="77777777" w:rsidR="00CE1938" w:rsidRDefault="00CE1938">
      <w:pPr>
        <w:numPr>
          <w:ilvl w:val="0"/>
          <w:numId w:val="3"/>
        </w:numPr>
        <w:spacing w:line="360" w:lineRule="auto"/>
        <w:ind w:right="4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Ahora bien, de ser el caso de haberse realizado la búsqueda exhaustiva y razonable dentro de los archivos </w:t>
      </w:r>
      <w:r w:rsidR="00E63AB6">
        <w:rPr>
          <w:rFonts w:ascii="Palatino Linotype" w:eastAsia="Palatino Linotype" w:hAnsi="Palatino Linotype" w:cs="Palatino Linotype"/>
          <w:color w:val="000000"/>
        </w:rPr>
        <w:t>de la Dirección de Administración y de la Tesorería Municipal</w:t>
      </w:r>
      <w:r>
        <w:rPr>
          <w:rFonts w:ascii="Palatino Linotype" w:eastAsia="Palatino Linotype" w:hAnsi="Palatino Linotype" w:cs="Palatino Linotype"/>
          <w:color w:val="000000"/>
        </w:rPr>
        <w:t xml:space="preserve"> y no haberse localizado la información solicitada bastara con que lo haga de conocimiento de manera clara y precisa al Particular a través del SAIMEX.</w:t>
      </w:r>
    </w:p>
    <w:p w14:paraId="278CE1FB" w14:textId="77777777" w:rsidR="00CE1938" w:rsidRDefault="00CE1938" w:rsidP="00CE1938">
      <w:pPr>
        <w:spacing w:line="360" w:lineRule="auto"/>
        <w:ind w:right="48"/>
        <w:jc w:val="both"/>
        <w:rPr>
          <w:rFonts w:ascii="Palatino Linotype" w:eastAsia="Palatino Linotype" w:hAnsi="Palatino Linotype" w:cs="Palatino Linotype"/>
          <w:color w:val="000000"/>
        </w:rPr>
      </w:pPr>
    </w:p>
    <w:p w14:paraId="62C618E6" w14:textId="77777777" w:rsidR="00CE1938" w:rsidRDefault="00CE1938">
      <w:pPr>
        <w:numPr>
          <w:ilvl w:val="0"/>
          <w:numId w:val="3"/>
        </w:numPr>
        <w:spacing w:line="360" w:lineRule="auto"/>
        <w:ind w:right="4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 anterior, derivado de que el </w:t>
      </w:r>
      <w:r w:rsidRPr="00CE1938">
        <w:rPr>
          <w:rFonts w:ascii="Palatino Linotype" w:eastAsia="Palatino Linotype" w:hAnsi="Palatino Linotype" w:cs="Palatino Linotype"/>
          <w:color w:val="000000"/>
        </w:rPr>
        <w:t>Coordinador General de Comunicación Social</w:t>
      </w:r>
      <w:r>
        <w:rPr>
          <w:rFonts w:ascii="Palatino Linotype" w:eastAsia="Palatino Linotype" w:hAnsi="Palatino Linotype" w:cs="Palatino Linotype"/>
          <w:color w:val="000000"/>
        </w:rPr>
        <w:t xml:space="preserve"> informó que no se cuenta con medios de comunicación, sin embargo, existe la posibilidad de que estos sean contratados, mismos que se materializan a través de un </w:t>
      </w:r>
      <w:r w:rsidR="00B51882">
        <w:rPr>
          <w:rFonts w:ascii="Palatino Linotype" w:eastAsia="Palatino Linotype" w:hAnsi="Palatino Linotype" w:cs="Palatino Linotype"/>
          <w:color w:val="000000"/>
        </w:rPr>
        <w:t>contrato y anexos, los cuales</w:t>
      </w:r>
      <w:r>
        <w:rPr>
          <w:rFonts w:ascii="Palatino Linotype" w:eastAsia="Palatino Linotype" w:hAnsi="Palatino Linotype" w:cs="Palatino Linotype"/>
          <w:color w:val="000000"/>
        </w:rPr>
        <w:t xml:space="preserve"> de ser el caso de haberse generado, poseído y/o administrado, deben obrar en la Dirección de Administración.</w:t>
      </w:r>
    </w:p>
    <w:p w14:paraId="64B60AAA" w14:textId="77777777" w:rsidR="00E63AB6" w:rsidRDefault="00E63AB6" w:rsidP="00E63AB6">
      <w:pPr>
        <w:spacing w:line="360" w:lineRule="auto"/>
        <w:ind w:right="48"/>
        <w:jc w:val="both"/>
        <w:rPr>
          <w:rFonts w:ascii="Palatino Linotype" w:eastAsia="Palatino Linotype" w:hAnsi="Palatino Linotype" w:cs="Palatino Linotype"/>
          <w:color w:val="000000"/>
        </w:rPr>
      </w:pPr>
    </w:p>
    <w:p w14:paraId="36C4172A" w14:textId="77777777" w:rsidR="00E63AB6" w:rsidRDefault="00E63AB6">
      <w:pPr>
        <w:numPr>
          <w:ilvl w:val="0"/>
          <w:numId w:val="3"/>
        </w:numPr>
        <w:spacing w:line="360" w:lineRule="auto"/>
        <w:ind w:right="4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lo que hace a las p</w:t>
      </w:r>
      <w:r w:rsidRPr="00E63AB6">
        <w:rPr>
          <w:rFonts w:ascii="Palatino Linotype" w:eastAsia="Palatino Linotype" w:hAnsi="Palatino Linotype" w:cs="Palatino Linotype"/>
          <w:color w:val="000000"/>
        </w:rPr>
        <w:t>ólizas de egreso correspondientes (copia de cheques o comprobantes de trasferencia bancaria),</w:t>
      </w:r>
      <w:r>
        <w:rPr>
          <w:rFonts w:ascii="Palatino Linotype" w:eastAsia="Palatino Linotype" w:hAnsi="Palatino Linotype" w:cs="Palatino Linotype"/>
          <w:color w:val="000000"/>
        </w:rPr>
        <w:t xml:space="preserve"> se advierte que dada la naturaleza de la información es Tesorería Municipal, quien pudiera generar, poseer y/o administrar lo solicitado. </w:t>
      </w:r>
    </w:p>
    <w:p w14:paraId="1BB98652" w14:textId="77777777" w:rsidR="00CE1938" w:rsidRDefault="00CE1938" w:rsidP="00CE1938">
      <w:pPr>
        <w:spacing w:line="360" w:lineRule="auto"/>
        <w:ind w:right="48"/>
        <w:jc w:val="both"/>
        <w:rPr>
          <w:rFonts w:ascii="Palatino Linotype" w:eastAsia="Palatino Linotype" w:hAnsi="Palatino Linotype" w:cs="Palatino Linotype"/>
          <w:color w:val="000000"/>
        </w:rPr>
      </w:pPr>
    </w:p>
    <w:p w14:paraId="3762A605" w14:textId="77777777" w:rsidR="00B51882" w:rsidRPr="00B51882" w:rsidRDefault="00B51882" w:rsidP="00B51882">
      <w:pPr>
        <w:numPr>
          <w:ilvl w:val="0"/>
          <w:numId w:val="3"/>
        </w:numPr>
        <w:spacing w:line="360" w:lineRule="auto"/>
        <w:ind w:right="4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ese contexto, la Ley de </w:t>
      </w:r>
      <w:r w:rsidRPr="00B51882">
        <w:rPr>
          <w:rFonts w:ascii="Palatino Linotype" w:eastAsia="Palatino Linotype" w:hAnsi="Palatino Linotype" w:cs="Palatino Linotype"/>
        </w:rPr>
        <w:t xml:space="preserve">Contratación Pública del Estado de México y Municipios, las adquisiciones, arrendamientos y servicios se adjudicarán a través de licitaciones públicas mediante convocatoria pública o bien, a través de las excepciones a dicho procedimiento, como se observa a continuación: </w:t>
      </w:r>
    </w:p>
    <w:p w14:paraId="1F3944EC" w14:textId="77777777" w:rsidR="00B51882" w:rsidRPr="006E412F" w:rsidRDefault="00B51882" w:rsidP="00B51882">
      <w:pPr>
        <w:spacing w:line="276" w:lineRule="auto"/>
        <w:ind w:left="567" w:right="560"/>
        <w:jc w:val="center"/>
        <w:rPr>
          <w:rFonts w:ascii="Palatino Linotype" w:eastAsia="Palatino Linotype" w:hAnsi="Palatino Linotype" w:cs="Palatino Linotype"/>
          <w:b/>
          <w:i/>
        </w:rPr>
      </w:pPr>
      <w:r w:rsidRPr="006F4C17">
        <w:rPr>
          <w:rFonts w:ascii="Palatino Linotype" w:eastAsia="Palatino Linotype" w:hAnsi="Palatino Linotype" w:cs="Palatino Linotype"/>
          <w:b/>
          <w:i/>
        </w:rPr>
        <w:lastRenderedPageBreak/>
        <w:t>LEY DE CONTRATACIÓN PÚBLICA DEL ESTADO DE MÉXICO Y MUNICIPIO</w:t>
      </w:r>
    </w:p>
    <w:p w14:paraId="7315C5BB"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p>
    <w:p w14:paraId="254F9963"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b/>
          <w:i/>
        </w:rPr>
        <w:t>Artículo 26.-</w:t>
      </w:r>
      <w:r w:rsidRPr="006E412F">
        <w:rPr>
          <w:rFonts w:ascii="Palatino Linotype" w:eastAsia="Palatino Linotype" w:hAnsi="Palatino Linotype" w:cs="Palatino Linotype"/>
          <w:i/>
        </w:rPr>
        <w:t xml:space="preserve"> Las adquisiciones, arrendamientos y servicios se adjudicarán a través de licitaciones públicas, mediante convocatoria pública. </w:t>
      </w:r>
    </w:p>
    <w:p w14:paraId="79BC2794"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p>
    <w:p w14:paraId="424756F2"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b/>
          <w:i/>
        </w:rPr>
        <w:t>Artículo 27.-</w:t>
      </w:r>
      <w:r w:rsidRPr="006E412F">
        <w:rPr>
          <w:rFonts w:ascii="Palatino Linotype" w:eastAsia="Palatino Linotype" w:hAnsi="Palatino Linotype" w:cs="Palatino Linotype"/>
          <w:i/>
        </w:rPr>
        <w:t xml:space="preserve"> La Secretaría, las entidades, los tribunales administrativos y los ayuntamientos podrán adjudicar adquisiciones, arrendamientos y servicios, mediante las excepciones al procedimiento de licitación que a continuación se señalan: I. Invitación restringida. II. Adjudicación directa.</w:t>
      </w:r>
    </w:p>
    <w:p w14:paraId="45DF5742"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p>
    <w:p w14:paraId="2423548C" w14:textId="7ACD36DD" w:rsidR="00B51882" w:rsidRPr="006F4C17" w:rsidRDefault="00B51882" w:rsidP="006F4C17">
      <w:pPr>
        <w:pStyle w:val="Prrafodelista"/>
        <w:numPr>
          <w:ilvl w:val="0"/>
          <w:numId w:val="3"/>
        </w:numPr>
        <w:spacing w:line="360" w:lineRule="auto"/>
        <w:ind w:right="49"/>
        <w:jc w:val="both"/>
        <w:rPr>
          <w:rFonts w:ascii="Palatino Linotype" w:eastAsia="Palatino Linotype" w:hAnsi="Palatino Linotype" w:cs="Palatino Linotype"/>
        </w:rPr>
      </w:pPr>
      <w:r w:rsidRPr="006F4C17">
        <w:rPr>
          <w:rFonts w:ascii="Palatino Linotype" w:eastAsia="Palatino Linotype" w:hAnsi="Palatino Linotype" w:cs="Palatino Linotype"/>
        </w:rPr>
        <w:t xml:space="preserve">Respecto al procedimiento de </w:t>
      </w:r>
      <w:r w:rsidRPr="006F4C17">
        <w:rPr>
          <w:rFonts w:ascii="Palatino Linotype" w:eastAsia="Palatino Linotype" w:hAnsi="Palatino Linotype" w:cs="Palatino Linotype"/>
          <w:b/>
        </w:rPr>
        <w:t>licitación pública</w:t>
      </w:r>
      <w:r w:rsidRPr="006F4C17">
        <w:rPr>
          <w:rFonts w:ascii="Palatino Linotype" w:eastAsia="Palatino Linotype" w:hAnsi="Palatino Linotype" w:cs="Palatino Linotype"/>
        </w:rPr>
        <w:t>, es de mencionar que de acuerdo con el Banco Interamericano de Desarrollo, la licitación es un procedimiento formal y competitivo de adquisiciones, mediante el cual se solicitan, reciben y evalúan ofertas para la adquisición de bienes, obras o servicios y se adjudica el contrato correspondiente al licitador que ofrezca la propuesta más ventajosa. (Desarrollo, 1995)</w:t>
      </w:r>
    </w:p>
    <w:p w14:paraId="7A6F42F7" w14:textId="77777777" w:rsidR="00B51882" w:rsidRPr="006E412F" w:rsidRDefault="00B51882" w:rsidP="00B51882">
      <w:pPr>
        <w:spacing w:line="360" w:lineRule="auto"/>
        <w:ind w:right="49"/>
        <w:jc w:val="both"/>
        <w:rPr>
          <w:rFonts w:ascii="Palatino Linotype" w:eastAsia="Palatino Linotype" w:hAnsi="Palatino Linotype" w:cs="Palatino Linotype"/>
        </w:rPr>
      </w:pPr>
    </w:p>
    <w:p w14:paraId="19690235" w14:textId="48D7A58F" w:rsidR="00B51882" w:rsidRPr="006F4C17" w:rsidRDefault="00B51882" w:rsidP="006F4C17">
      <w:pPr>
        <w:pStyle w:val="Prrafodelista"/>
        <w:numPr>
          <w:ilvl w:val="0"/>
          <w:numId w:val="3"/>
        </w:numPr>
        <w:spacing w:line="360" w:lineRule="auto"/>
        <w:ind w:right="49"/>
        <w:jc w:val="both"/>
        <w:rPr>
          <w:rFonts w:ascii="Palatino Linotype" w:eastAsia="Palatino Linotype" w:hAnsi="Palatino Linotype" w:cs="Palatino Linotype"/>
        </w:rPr>
      </w:pPr>
      <w:r w:rsidRPr="006F4C17">
        <w:rPr>
          <w:rFonts w:ascii="Palatino Linotype" w:eastAsia="Palatino Linotype" w:hAnsi="Palatino Linotype" w:cs="Palatino Linotype"/>
        </w:rPr>
        <w:t xml:space="preserve">En cuando hace a la </w:t>
      </w:r>
      <w:r w:rsidRPr="006F4C17">
        <w:rPr>
          <w:rFonts w:ascii="Palatino Linotype" w:eastAsia="Palatino Linotype" w:hAnsi="Palatino Linotype" w:cs="Palatino Linotype"/>
          <w:b/>
        </w:rPr>
        <w:t>adjudicación directa</w:t>
      </w:r>
      <w:r w:rsidRPr="006F4C17">
        <w:rPr>
          <w:rFonts w:ascii="Palatino Linotype" w:eastAsia="Palatino Linotype" w:hAnsi="Palatino Linotype" w:cs="Palatino Linotype"/>
        </w:rPr>
        <w:t xml:space="preserve">, la Secretaría de la Función Pública, (consultable en </w:t>
      </w:r>
      <w:hyperlink r:id="rId10">
        <w:r w:rsidRPr="006F4C17">
          <w:rPr>
            <w:rFonts w:ascii="Palatino Linotype" w:eastAsia="Palatino Linotype" w:hAnsi="Palatino Linotype" w:cs="Palatino Linotype"/>
            <w:u w:val="single"/>
          </w:rPr>
          <w:t>https://www.gob.mx/sfp/acciones-y-programas/1-3-3-adjudicacion-directa</w:t>
        </w:r>
      </w:hyperlink>
      <w:r w:rsidRPr="006F4C17">
        <w:rPr>
          <w:rFonts w:ascii="Palatino Linotype" w:eastAsia="Palatino Linotype" w:hAnsi="Palatino Linotype" w:cs="Palatino Linotype"/>
        </w:rPr>
        <w:t xml:space="preserve">), establece que es un procedimiento que se realiza sin puesta en concurrencia y por ende, sin que exista competencia, adjudicándose el contrato a un proveedor que ha sido preseleccionado para tales efectos por la dependencia o entidad. </w:t>
      </w:r>
    </w:p>
    <w:p w14:paraId="6C86641F" w14:textId="77777777" w:rsidR="00B51882" w:rsidRPr="006E412F" w:rsidRDefault="00B51882" w:rsidP="00B51882">
      <w:pPr>
        <w:spacing w:line="360" w:lineRule="auto"/>
        <w:ind w:right="49"/>
        <w:jc w:val="both"/>
        <w:rPr>
          <w:rFonts w:ascii="Palatino Linotype" w:eastAsia="Palatino Linotype" w:hAnsi="Palatino Linotype" w:cs="Palatino Linotype"/>
        </w:rPr>
      </w:pPr>
    </w:p>
    <w:p w14:paraId="7ABBF44A" w14:textId="194C8241" w:rsidR="00B51882" w:rsidRPr="00441DD7" w:rsidRDefault="00B51882" w:rsidP="00441DD7">
      <w:pPr>
        <w:pStyle w:val="Prrafodelista"/>
        <w:numPr>
          <w:ilvl w:val="0"/>
          <w:numId w:val="3"/>
        </w:numPr>
        <w:spacing w:line="360" w:lineRule="auto"/>
        <w:ind w:right="49"/>
        <w:jc w:val="both"/>
        <w:rPr>
          <w:rFonts w:ascii="Palatino Linotype" w:eastAsia="Palatino Linotype" w:hAnsi="Palatino Linotype" w:cs="Palatino Linotype"/>
        </w:rPr>
      </w:pPr>
      <w:r w:rsidRPr="00441DD7">
        <w:rPr>
          <w:rFonts w:ascii="Palatino Linotype" w:eastAsia="Palatino Linotype" w:hAnsi="Palatino Linotype" w:cs="Palatino Linotype"/>
        </w:rPr>
        <w:t xml:space="preserve">Por último, respecto a la </w:t>
      </w:r>
      <w:r w:rsidRPr="00441DD7">
        <w:rPr>
          <w:rFonts w:ascii="Palatino Linotype" w:eastAsia="Palatino Linotype" w:hAnsi="Palatino Linotype" w:cs="Palatino Linotype"/>
          <w:b/>
        </w:rPr>
        <w:t>invitación restringida a cuando menos tres proveedores</w:t>
      </w:r>
      <w:r w:rsidRPr="00441DD7">
        <w:rPr>
          <w:rFonts w:ascii="Palatino Linotype" w:eastAsia="Palatino Linotype" w:hAnsi="Palatino Linotype" w:cs="Palatino Linotype"/>
        </w:rPr>
        <w:t xml:space="preserve">, la Secretaría de la Contraloría (consultable en </w:t>
      </w:r>
      <w:hyperlink r:id="rId11" w:anchor=":~:text=Es%20un%20procedimiento%20administrativo%2C%20de,tres%20oferentes%20a%20presentar%20propuestas%2C">
        <w:r w:rsidRPr="00441DD7">
          <w:rPr>
            <w:rFonts w:ascii="Palatino Linotype" w:eastAsia="Palatino Linotype" w:hAnsi="Palatino Linotype" w:cs="Palatino Linotype"/>
            <w:u w:val="single"/>
          </w:rPr>
          <w:t>http://www.contraloriadf.gob.mx/contraloria/cursos/ADQUISICIONES/paginas/32.php#:~:text=Es%20un%20procedimiento%20administrativo%2C%20de,tres%20oferentes%2</w:t>
        </w:r>
        <w:r w:rsidRPr="00441DD7">
          <w:rPr>
            <w:rFonts w:ascii="Palatino Linotype" w:eastAsia="Palatino Linotype" w:hAnsi="Palatino Linotype" w:cs="Palatino Linotype"/>
            <w:u w:val="single"/>
          </w:rPr>
          <w:lastRenderedPageBreak/>
          <w:t>0a%20presentar%20propuestas%2C</w:t>
        </w:r>
      </w:hyperlink>
      <w:r w:rsidRPr="00441DD7">
        <w:rPr>
          <w:rFonts w:ascii="Palatino Linotype" w:eastAsia="Palatino Linotype" w:hAnsi="Palatino Linotype" w:cs="Palatino Linotype"/>
        </w:rPr>
        <w:t>) precisa que es un procedimiento de excepción a la licitación pública que permite a las dependencias, unidades administrativas, órganos desconcentrados y entidades, en forma discrecional, realizar un procedimiento para adquirir, arrendar o contratar, invitando a por lo menos tres oferentes a presentar propuestas.</w:t>
      </w:r>
    </w:p>
    <w:p w14:paraId="1797C4FA" w14:textId="77777777" w:rsidR="00B51882" w:rsidRPr="006E412F" w:rsidRDefault="00B51882" w:rsidP="00B51882">
      <w:pPr>
        <w:spacing w:line="360" w:lineRule="auto"/>
        <w:ind w:right="49"/>
        <w:jc w:val="both"/>
        <w:rPr>
          <w:rFonts w:ascii="Palatino Linotype" w:eastAsia="Palatino Linotype" w:hAnsi="Palatino Linotype" w:cs="Palatino Linotype"/>
        </w:rPr>
      </w:pPr>
    </w:p>
    <w:p w14:paraId="346C7BAB" w14:textId="3C14E6DC" w:rsidR="00B51882" w:rsidRPr="00441DD7" w:rsidRDefault="00B51882" w:rsidP="00441DD7">
      <w:pPr>
        <w:pStyle w:val="Prrafodelista"/>
        <w:numPr>
          <w:ilvl w:val="0"/>
          <w:numId w:val="3"/>
        </w:numPr>
        <w:spacing w:line="360" w:lineRule="auto"/>
        <w:ind w:right="49"/>
        <w:jc w:val="both"/>
        <w:rPr>
          <w:rFonts w:ascii="Palatino Linotype" w:eastAsia="Palatino Linotype" w:hAnsi="Palatino Linotype" w:cs="Palatino Linotype"/>
        </w:rPr>
      </w:pPr>
      <w:r w:rsidRPr="00441DD7">
        <w:rPr>
          <w:rFonts w:ascii="Palatino Linotype" w:eastAsia="Palatino Linotype" w:hAnsi="Palatino Linotype" w:cs="Palatino Linotype"/>
        </w:rPr>
        <w:t xml:space="preserve">Ahora bien, es de precisar que la Ley Orgánica Municipal del Estado de México en su artículo 31 señala que son atribuciones de los ayuntamientos, las siguientes: </w:t>
      </w:r>
    </w:p>
    <w:p w14:paraId="330ED7B0"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b/>
          <w:i/>
        </w:rPr>
        <w:t>Artículo 31.-</w:t>
      </w:r>
      <w:r w:rsidRPr="006E412F">
        <w:rPr>
          <w:rFonts w:ascii="Palatino Linotype" w:eastAsia="Palatino Linotype" w:hAnsi="Palatino Linotype" w:cs="Palatino Linotype"/>
          <w:i/>
        </w:rPr>
        <w:t xml:space="preserve"> Son atribuciones de los ayuntamientos:</w:t>
      </w:r>
    </w:p>
    <w:p w14:paraId="5B754291"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w:t>
      </w:r>
    </w:p>
    <w:p w14:paraId="3C87A764"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VII. Convenir, contratar o concesionar, en términos de ley, la ejecución de obras y la prestación de servicios públicos, con el Estado, con otros municipios de la entidad o con particulares, recabando, cuando proceda, la autorización de la Legislatura del Estado;</w:t>
      </w:r>
    </w:p>
    <w:p w14:paraId="3B2D84B0"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w:t>
      </w:r>
    </w:p>
    <w:p w14:paraId="5C483A37" w14:textId="77777777" w:rsidR="00B51882" w:rsidRPr="006E412F" w:rsidRDefault="00B51882" w:rsidP="00B51882">
      <w:pPr>
        <w:spacing w:line="360" w:lineRule="auto"/>
        <w:ind w:right="49"/>
        <w:jc w:val="both"/>
        <w:rPr>
          <w:rFonts w:ascii="Palatino Linotype" w:eastAsia="Palatino Linotype" w:hAnsi="Palatino Linotype" w:cs="Palatino Linotype"/>
        </w:rPr>
      </w:pPr>
    </w:p>
    <w:p w14:paraId="59EE277F" w14:textId="40075F73" w:rsidR="00B51882" w:rsidRPr="00441DD7" w:rsidRDefault="00B51882" w:rsidP="00441DD7">
      <w:pPr>
        <w:pStyle w:val="Prrafodelista"/>
        <w:numPr>
          <w:ilvl w:val="0"/>
          <w:numId w:val="3"/>
        </w:numPr>
        <w:spacing w:line="360" w:lineRule="auto"/>
        <w:ind w:right="49"/>
        <w:jc w:val="both"/>
        <w:rPr>
          <w:rFonts w:ascii="Palatino Linotype" w:eastAsia="Palatino Linotype" w:hAnsi="Palatino Linotype" w:cs="Palatino Linotype"/>
        </w:rPr>
      </w:pPr>
      <w:r w:rsidRPr="00441DD7">
        <w:rPr>
          <w:rFonts w:ascii="Palatino Linotype" w:eastAsia="Palatino Linotype" w:hAnsi="Palatino Linotype" w:cs="Palatino Linotype"/>
        </w:rPr>
        <w:t xml:space="preserve">Por otro lado, en lo que respecta a nuestra materia, la Ley de Transparencia y Acceso a la Información Pública del Estado de México y Municipios, precisa en su artículo 92, fracción XXIX que la información relacionada con dichos procedimientos, incluyendo la versión pública del expediente respectivo y de los contratos celebrados, debe ser puesta a disposición de los particulares de manera actualizada y permanente, tal como se observa a continuación: </w:t>
      </w:r>
    </w:p>
    <w:p w14:paraId="39DA9A26"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b/>
          <w:i/>
        </w:rPr>
        <w:t>Artículo 92.</w:t>
      </w:r>
      <w:r w:rsidRPr="006E412F">
        <w:rPr>
          <w:rFonts w:ascii="Palatino Linotype" w:eastAsia="Palatino Linotype" w:hAnsi="Palatino Linotype" w:cs="Palatino Linotype"/>
          <w:i/>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1258666B"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lastRenderedPageBreak/>
        <w:t>…</w:t>
      </w:r>
    </w:p>
    <w:p w14:paraId="645DDCB4"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b/>
          <w:i/>
        </w:rPr>
        <w:t>XXIX.</w:t>
      </w:r>
      <w:r w:rsidRPr="006E412F">
        <w:rPr>
          <w:rFonts w:ascii="Palatino Linotype" w:eastAsia="Palatino Linotype" w:hAnsi="Palatino Linotype" w:cs="Palatino Linotype"/>
          <w:i/>
        </w:rPr>
        <w:t xml:space="preserve"> 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 </w:t>
      </w:r>
    </w:p>
    <w:p w14:paraId="7FE8CA51"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p>
    <w:p w14:paraId="20A678F8" w14:textId="77777777" w:rsidR="00B51882" w:rsidRPr="006E412F" w:rsidRDefault="00B51882" w:rsidP="00B51882">
      <w:pPr>
        <w:spacing w:line="276" w:lineRule="auto"/>
        <w:ind w:left="567" w:right="560"/>
        <w:jc w:val="both"/>
        <w:rPr>
          <w:rFonts w:ascii="Palatino Linotype" w:eastAsia="Palatino Linotype" w:hAnsi="Palatino Linotype" w:cs="Palatino Linotype"/>
          <w:b/>
          <w:i/>
        </w:rPr>
      </w:pPr>
      <w:r w:rsidRPr="006E412F">
        <w:rPr>
          <w:rFonts w:ascii="Palatino Linotype" w:eastAsia="Palatino Linotype" w:hAnsi="Palatino Linotype" w:cs="Palatino Linotype"/>
          <w:b/>
          <w:i/>
        </w:rPr>
        <w:t xml:space="preserve">a) De licitaciones públicas o procedimientos de invitación restringida: </w:t>
      </w:r>
    </w:p>
    <w:p w14:paraId="2D7B792B"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 xml:space="preserve">1) La convocatoria o invitación emitida, así como los fundamentos legales aplicados para llevarla a cabo; </w:t>
      </w:r>
    </w:p>
    <w:p w14:paraId="74E42D80"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 xml:space="preserve">2) Los nombres de los participantes o invitados; </w:t>
      </w:r>
    </w:p>
    <w:p w14:paraId="70B28141"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 xml:space="preserve">3) El nombre del ganador y las razones que lo justifican; </w:t>
      </w:r>
    </w:p>
    <w:p w14:paraId="0B15A143"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 xml:space="preserve">4) El área solicitante y la responsable de su ejecución; </w:t>
      </w:r>
    </w:p>
    <w:p w14:paraId="57D84A8D"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5) Las convocatorias e invitaciones emitidas;</w:t>
      </w:r>
    </w:p>
    <w:p w14:paraId="1FB0DA71"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 xml:space="preserve">6) Los dictámenes y fallo de adjudicación; </w:t>
      </w:r>
    </w:p>
    <w:p w14:paraId="5EB8E502" w14:textId="77777777" w:rsidR="00B51882" w:rsidRPr="006E412F" w:rsidRDefault="00B51882" w:rsidP="00B51882">
      <w:pPr>
        <w:spacing w:line="276" w:lineRule="auto"/>
        <w:ind w:left="567" w:right="560"/>
        <w:jc w:val="both"/>
        <w:rPr>
          <w:rFonts w:ascii="Palatino Linotype" w:eastAsia="Palatino Linotype" w:hAnsi="Palatino Linotype" w:cs="Palatino Linotype"/>
          <w:b/>
          <w:i/>
        </w:rPr>
      </w:pPr>
      <w:r w:rsidRPr="006E412F">
        <w:rPr>
          <w:rFonts w:ascii="Palatino Linotype" w:eastAsia="Palatino Linotype" w:hAnsi="Palatino Linotype" w:cs="Palatino Linotype"/>
          <w:b/>
          <w:i/>
        </w:rPr>
        <w:t xml:space="preserve">7) El contrato y, en su caso, sus anexos; </w:t>
      </w:r>
    </w:p>
    <w:p w14:paraId="76367443"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 xml:space="preserve">8) Los mecanismos de vigilancia y supervisión, incluyendo en su caso, los estudios de impacto urbano y ambiental, según corresponda; </w:t>
      </w:r>
    </w:p>
    <w:p w14:paraId="221715D1"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 xml:space="preserve">9) La partida presupuestal, de conformidad con el clasificador por objeto del gasto, en el caso de ser aplicable; </w:t>
      </w:r>
    </w:p>
    <w:p w14:paraId="6AACC6EB" w14:textId="77777777" w:rsidR="00B51882" w:rsidRPr="001566BA" w:rsidRDefault="00B51882" w:rsidP="00B51882">
      <w:pPr>
        <w:spacing w:line="276" w:lineRule="auto"/>
        <w:ind w:left="567" w:right="560"/>
        <w:jc w:val="both"/>
        <w:rPr>
          <w:rFonts w:ascii="Palatino Linotype" w:eastAsia="Palatino Linotype" w:hAnsi="Palatino Linotype" w:cs="Palatino Linotype"/>
          <w:b/>
          <w:i/>
        </w:rPr>
      </w:pPr>
      <w:r w:rsidRPr="001566BA">
        <w:rPr>
          <w:rFonts w:ascii="Palatino Linotype" w:eastAsia="Palatino Linotype" w:hAnsi="Palatino Linotype" w:cs="Palatino Linotype"/>
          <w:b/>
          <w:i/>
        </w:rPr>
        <w:t xml:space="preserve">10) Origen de los recursos especificando si son federales, estatales o municipales, así como el tipo de fondo de participación o aportación respectiva; </w:t>
      </w:r>
    </w:p>
    <w:p w14:paraId="015816F7"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 xml:space="preserve">11) Los convenios modificatorios que, en su caso, sean firmados, precisando el objeto y la fecha de celebración; </w:t>
      </w:r>
    </w:p>
    <w:p w14:paraId="2B75C34B" w14:textId="77777777" w:rsidR="00B51882" w:rsidRPr="006E412F" w:rsidRDefault="00B51882" w:rsidP="00B51882">
      <w:pPr>
        <w:spacing w:line="276" w:lineRule="auto"/>
        <w:ind w:left="567" w:right="560"/>
        <w:jc w:val="both"/>
        <w:rPr>
          <w:rFonts w:ascii="Palatino Linotype" w:eastAsia="Palatino Linotype" w:hAnsi="Palatino Linotype" w:cs="Palatino Linotype"/>
          <w:b/>
          <w:i/>
          <w:u w:val="single"/>
        </w:rPr>
      </w:pPr>
      <w:r w:rsidRPr="006E412F">
        <w:rPr>
          <w:rFonts w:ascii="Palatino Linotype" w:eastAsia="Palatino Linotype" w:hAnsi="Palatino Linotype" w:cs="Palatino Linotype"/>
          <w:b/>
          <w:i/>
          <w:u w:val="single"/>
        </w:rPr>
        <w:t xml:space="preserve">12) Los informes de avance físico y financiero sobre las obras o servicios contratados; </w:t>
      </w:r>
    </w:p>
    <w:p w14:paraId="5FD1EB9D"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 xml:space="preserve">13) El convenio de terminación; y </w:t>
      </w:r>
    </w:p>
    <w:p w14:paraId="1348C370"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 xml:space="preserve">14) El finiquito. </w:t>
      </w:r>
    </w:p>
    <w:p w14:paraId="697E4FF0" w14:textId="77777777" w:rsidR="00B51882" w:rsidRPr="006E412F" w:rsidRDefault="00B51882" w:rsidP="00B51882">
      <w:pPr>
        <w:spacing w:line="276" w:lineRule="auto"/>
        <w:ind w:left="567" w:right="560"/>
        <w:jc w:val="both"/>
        <w:rPr>
          <w:rFonts w:ascii="Palatino Linotype" w:eastAsia="Palatino Linotype" w:hAnsi="Palatino Linotype" w:cs="Palatino Linotype"/>
          <w:b/>
          <w:i/>
        </w:rPr>
      </w:pPr>
    </w:p>
    <w:p w14:paraId="2DCDA97E" w14:textId="77777777" w:rsidR="00B51882" w:rsidRPr="006E412F" w:rsidRDefault="00B51882" w:rsidP="00B51882">
      <w:pPr>
        <w:spacing w:line="276" w:lineRule="auto"/>
        <w:ind w:left="567" w:right="560"/>
        <w:jc w:val="both"/>
        <w:rPr>
          <w:rFonts w:ascii="Palatino Linotype" w:eastAsia="Palatino Linotype" w:hAnsi="Palatino Linotype" w:cs="Palatino Linotype"/>
          <w:b/>
          <w:i/>
        </w:rPr>
      </w:pPr>
      <w:r w:rsidRPr="006E412F">
        <w:rPr>
          <w:rFonts w:ascii="Palatino Linotype" w:eastAsia="Palatino Linotype" w:hAnsi="Palatino Linotype" w:cs="Palatino Linotype"/>
          <w:b/>
          <w:i/>
        </w:rPr>
        <w:t xml:space="preserve">b) De las adjudicaciones directas: </w:t>
      </w:r>
    </w:p>
    <w:p w14:paraId="45EC118D"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 xml:space="preserve">1) La propuesta enviada por el participante; </w:t>
      </w:r>
    </w:p>
    <w:p w14:paraId="0C6A32B4"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 xml:space="preserve">2) Los motivos y fundamentos legales aplicados para llevarla a cabo; </w:t>
      </w:r>
    </w:p>
    <w:p w14:paraId="6127ED1E"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lastRenderedPageBreak/>
        <w:t xml:space="preserve">3) La autorización del ejercicio de la opción; </w:t>
      </w:r>
    </w:p>
    <w:p w14:paraId="53C08DE9"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 xml:space="preserve">4) En su caso, las cotizaciones consideradas, especificando los nombres de los proveedores y sus montos; </w:t>
      </w:r>
    </w:p>
    <w:p w14:paraId="1D1100B5"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 xml:space="preserve">5) El nombre de la persona física o jurídica colectiva adjudicada; </w:t>
      </w:r>
    </w:p>
    <w:p w14:paraId="3054EA29"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 xml:space="preserve">6) La unidad administrativa solicitante y la responsable de su ejecución; </w:t>
      </w:r>
    </w:p>
    <w:p w14:paraId="44A7E888" w14:textId="77777777" w:rsidR="00B51882" w:rsidRPr="006E412F" w:rsidRDefault="00B51882" w:rsidP="00B51882">
      <w:pPr>
        <w:spacing w:line="276" w:lineRule="auto"/>
        <w:ind w:left="567" w:right="560"/>
        <w:jc w:val="both"/>
        <w:rPr>
          <w:rFonts w:ascii="Palatino Linotype" w:eastAsia="Palatino Linotype" w:hAnsi="Palatino Linotype" w:cs="Palatino Linotype"/>
          <w:b/>
          <w:i/>
        </w:rPr>
      </w:pPr>
      <w:r w:rsidRPr="006E412F">
        <w:rPr>
          <w:rFonts w:ascii="Palatino Linotype" w:eastAsia="Palatino Linotype" w:hAnsi="Palatino Linotype" w:cs="Palatino Linotype"/>
          <w:b/>
          <w:i/>
        </w:rPr>
        <w:t xml:space="preserve">7) El número, fecha, el monto del contrato y el plazo de entrega o de ejecución de los servicios u obra; </w:t>
      </w:r>
    </w:p>
    <w:p w14:paraId="789087BD"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 xml:space="preserve">8) Los mecanismos de vigilancia y supervisión, incluyendo, en su caso, los estudios de impacto urbano y ambiental, según corresponda; </w:t>
      </w:r>
    </w:p>
    <w:p w14:paraId="5BB451CC" w14:textId="77777777" w:rsidR="00B51882" w:rsidRPr="006E412F" w:rsidRDefault="00B51882" w:rsidP="00B51882">
      <w:pPr>
        <w:spacing w:line="276" w:lineRule="auto"/>
        <w:ind w:left="567" w:right="560"/>
        <w:jc w:val="both"/>
        <w:rPr>
          <w:rFonts w:ascii="Palatino Linotype" w:eastAsia="Palatino Linotype" w:hAnsi="Palatino Linotype" w:cs="Palatino Linotype"/>
          <w:b/>
          <w:i/>
        </w:rPr>
      </w:pPr>
      <w:r w:rsidRPr="006E412F">
        <w:rPr>
          <w:rFonts w:ascii="Palatino Linotype" w:eastAsia="Palatino Linotype" w:hAnsi="Palatino Linotype" w:cs="Palatino Linotype"/>
          <w:b/>
          <w:i/>
        </w:rPr>
        <w:t xml:space="preserve">9) Los informes de avance sobre las obras o servicios contratados; </w:t>
      </w:r>
    </w:p>
    <w:p w14:paraId="2FB2EDEE"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 xml:space="preserve">10) El convenio de terminación; y </w:t>
      </w:r>
    </w:p>
    <w:p w14:paraId="7E5E8FBC"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11) El finiquito.</w:t>
      </w:r>
    </w:p>
    <w:p w14:paraId="0CBD1C0E"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i/>
        </w:rPr>
        <w:t>…</w:t>
      </w:r>
    </w:p>
    <w:p w14:paraId="4DEA0932"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r w:rsidRPr="006E412F">
        <w:rPr>
          <w:rFonts w:ascii="Palatino Linotype" w:eastAsia="Palatino Linotype" w:hAnsi="Palatino Linotype" w:cs="Palatino Linotype"/>
          <w:b/>
          <w:i/>
        </w:rPr>
        <w:t>XXXVI. Padrón de proveedores y contratistas;</w:t>
      </w:r>
      <w:r w:rsidRPr="006E412F">
        <w:rPr>
          <w:rFonts w:ascii="Palatino Linotype" w:eastAsia="Palatino Linotype" w:hAnsi="Palatino Linotype" w:cs="Palatino Linotype"/>
          <w:b/>
          <w:i/>
        </w:rPr>
        <w:br/>
      </w:r>
      <w:r w:rsidRPr="006E412F">
        <w:rPr>
          <w:rFonts w:ascii="Palatino Linotype" w:eastAsia="Palatino Linotype" w:hAnsi="Palatino Linotype" w:cs="Palatino Linotype"/>
          <w:i/>
        </w:rPr>
        <w:t>…</w:t>
      </w:r>
    </w:p>
    <w:p w14:paraId="266FA147" w14:textId="77777777" w:rsidR="00B51882" w:rsidRPr="006E412F" w:rsidRDefault="00B51882" w:rsidP="00B51882">
      <w:pPr>
        <w:spacing w:line="276" w:lineRule="auto"/>
        <w:ind w:left="567" w:right="560"/>
        <w:jc w:val="both"/>
        <w:rPr>
          <w:rFonts w:ascii="Palatino Linotype" w:eastAsia="Palatino Linotype" w:hAnsi="Palatino Linotype" w:cs="Palatino Linotype"/>
          <w:i/>
        </w:rPr>
      </w:pPr>
    </w:p>
    <w:p w14:paraId="238AD9AA" w14:textId="40A61065" w:rsidR="00B51882" w:rsidRPr="00441DD7" w:rsidRDefault="00B51882" w:rsidP="00441DD7">
      <w:pPr>
        <w:pStyle w:val="Prrafodelista"/>
        <w:numPr>
          <w:ilvl w:val="0"/>
          <w:numId w:val="3"/>
        </w:numPr>
        <w:spacing w:line="360" w:lineRule="auto"/>
        <w:ind w:right="49"/>
        <w:jc w:val="both"/>
        <w:rPr>
          <w:rFonts w:ascii="Palatino Linotype" w:eastAsia="Palatino Linotype" w:hAnsi="Palatino Linotype" w:cs="Palatino Linotype"/>
        </w:rPr>
      </w:pPr>
      <w:r w:rsidRPr="00441DD7">
        <w:rPr>
          <w:rFonts w:ascii="Palatino Linotype" w:eastAsia="Palatino Linotype" w:hAnsi="Palatino Linotype" w:cs="Palatino Linotype"/>
        </w:rPr>
        <w:t xml:space="preserve">De lo anterior, se advierte que el Sujete Obligado es competente para conocer, generar y administrar la información solicitada, toda vez que esta forma parte de las atribuciones que tiene encomendadas, además de son obligaciones de transparencia, previstas en la Ley en la materia. </w:t>
      </w:r>
    </w:p>
    <w:p w14:paraId="20CD236E" w14:textId="77777777" w:rsidR="00167437" w:rsidRPr="00167437" w:rsidRDefault="00167437" w:rsidP="00167437">
      <w:pPr>
        <w:spacing w:line="360" w:lineRule="auto"/>
        <w:ind w:right="48"/>
        <w:jc w:val="both"/>
        <w:rPr>
          <w:rFonts w:ascii="Palatino Linotype" w:eastAsia="Palatino Linotype" w:hAnsi="Palatino Linotype" w:cs="Palatino Linotype"/>
          <w:color w:val="000000"/>
        </w:rPr>
      </w:pPr>
    </w:p>
    <w:p w14:paraId="78D4F02D" w14:textId="77777777" w:rsidR="00167437" w:rsidRPr="00167437" w:rsidRDefault="00167437" w:rsidP="00167437">
      <w:pPr>
        <w:numPr>
          <w:ilvl w:val="0"/>
          <w:numId w:val="3"/>
        </w:numPr>
        <w:spacing w:line="360" w:lineRule="auto"/>
        <w:ind w:right="48"/>
        <w:jc w:val="both"/>
        <w:rPr>
          <w:rFonts w:ascii="Palatino Linotype" w:hAnsi="Palatino Linotype"/>
          <w:color w:val="000000"/>
        </w:rPr>
      </w:pPr>
      <w:r w:rsidRPr="00167437">
        <w:rPr>
          <w:rFonts w:ascii="Palatino Linotype" w:hAnsi="Palatino Linotype"/>
          <w:color w:val="000000"/>
        </w:rPr>
        <w:t xml:space="preserve">Finalmente, no pasa desapercibido para este Instituto que los documentos, que den cuenta de lo solicitado, </w:t>
      </w:r>
      <w:r w:rsidR="004B3D68">
        <w:rPr>
          <w:rFonts w:ascii="Palatino Linotype" w:hAnsi="Palatino Linotype"/>
          <w:color w:val="000000"/>
        </w:rPr>
        <w:t xml:space="preserve">de manera enunciativa más no limitativa </w:t>
      </w:r>
      <w:r w:rsidRPr="00167437">
        <w:rPr>
          <w:rFonts w:ascii="Palatino Linotype" w:hAnsi="Palatino Linotype"/>
          <w:color w:val="000000"/>
        </w:rPr>
        <w:t xml:space="preserve">pudieran contener los siguientes datos: </w:t>
      </w:r>
    </w:p>
    <w:p w14:paraId="006FF09A" w14:textId="77777777" w:rsidR="00167437" w:rsidRPr="00167437" w:rsidRDefault="00167437" w:rsidP="00167437">
      <w:pPr>
        <w:numPr>
          <w:ilvl w:val="0"/>
          <w:numId w:val="7"/>
        </w:numPr>
        <w:spacing w:line="360" w:lineRule="auto"/>
        <w:ind w:left="993" w:hanging="426"/>
        <w:rPr>
          <w:rFonts w:ascii="Palatino Linotype" w:hAnsi="Palatino Linotype"/>
          <w:color w:val="000000"/>
        </w:rPr>
      </w:pPr>
      <w:r w:rsidRPr="00167437">
        <w:rPr>
          <w:rFonts w:ascii="Palatino Linotype" w:hAnsi="Palatino Linotype"/>
          <w:color w:val="000000"/>
        </w:rPr>
        <w:t>Nombre de contratista</w:t>
      </w:r>
    </w:p>
    <w:p w14:paraId="616DF625" w14:textId="77777777" w:rsidR="00167437" w:rsidRPr="00167437" w:rsidRDefault="00167437" w:rsidP="00167437">
      <w:pPr>
        <w:numPr>
          <w:ilvl w:val="0"/>
          <w:numId w:val="7"/>
        </w:numPr>
        <w:spacing w:line="360" w:lineRule="auto"/>
        <w:ind w:left="993" w:hanging="426"/>
        <w:rPr>
          <w:rFonts w:ascii="Palatino Linotype" w:hAnsi="Palatino Linotype"/>
          <w:color w:val="000000"/>
        </w:rPr>
      </w:pPr>
      <w:r w:rsidRPr="00167437">
        <w:rPr>
          <w:rFonts w:ascii="Palatino Linotype" w:hAnsi="Palatino Linotype"/>
          <w:color w:val="000000"/>
        </w:rPr>
        <w:t xml:space="preserve">Registro </w:t>
      </w:r>
      <w:r>
        <w:rPr>
          <w:rFonts w:ascii="Palatino Linotype" w:hAnsi="Palatino Linotype"/>
          <w:color w:val="000000"/>
        </w:rPr>
        <w:t>Federal de Contribuyentes (RFC)</w:t>
      </w:r>
    </w:p>
    <w:p w14:paraId="5288DE1B" w14:textId="77777777" w:rsidR="00167437" w:rsidRPr="00167437" w:rsidRDefault="00167437" w:rsidP="00167437">
      <w:pPr>
        <w:numPr>
          <w:ilvl w:val="0"/>
          <w:numId w:val="7"/>
        </w:numPr>
        <w:spacing w:line="360" w:lineRule="auto"/>
        <w:ind w:left="993" w:hanging="426"/>
        <w:rPr>
          <w:rFonts w:ascii="Palatino Linotype" w:hAnsi="Palatino Linotype"/>
          <w:color w:val="000000"/>
        </w:rPr>
      </w:pPr>
      <w:r w:rsidRPr="00167437">
        <w:rPr>
          <w:rFonts w:ascii="Palatino Linotype" w:hAnsi="Palatino Linotype"/>
          <w:color w:val="000000"/>
        </w:rPr>
        <w:t>Código Bidimensional o QR;</w:t>
      </w:r>
    </w:p>
    <w:p w14:paraId="67BD8FFE" w14:textId="77777777" w:rsidR="00167437" w:rsidRPr="00167437" w:rsidRDefault="00167437" w:rsidP="00167437">
      <w:pPr>
        <w:numPr>
          <w:ilvl w:val="0"/>
          <w:numId w:val="7"/>
        </w:numPr>
        <w:spacing w:line="360" w:lineRule="auto"/>
        <w:ind w:left="993" w:hanging="426"/>
        <w:rPr>
          <w:rFonts w:ascii="Palatino Linotype" w:hAnsi="Palatino Linotype"/>
          <w:color w:val="000000"/>
        </w:rPr>
      </w:pPr>
      <w:r w:rsidRPr="00167437">
        <w:rPr>
          <w:rFonts w:ascii="Palatino Linotype" w:hAnsi="Palatino Linotype"/>
          <w:color w:val="000000"/>
        </w:rPr>
        <w:t>Domicilio Fiscal del contratista;</w:t>
      </w:r>
    </w:p>
    <w:p w14:paraId="6E49E979" w14:textId="77777777" w:rsidR="00167437" w:rsidRPr="00167437" w:rsidRDefault="00167437" w:rsidP="00167437">
      <w:pPr>
        <w:numPr>
          <w:ilvl w:val="0"/>
          <w:numId w:val="7"/>
        </w:numPr>
        <w:spacing w:line="360" w:lineRule="auto"/>
        <w:ind w:left="993" w:hanging="426"/>
        <w:rPr>
          <w:rFonts w:ascii="Palatino Linotype" w:hAnsi="Palatino Linotype"/>
          <w:color w:val="000000"/>
        </w:rPr>
      </w:pPr>
      <w:r w:rsidRPr="00167437">
        <w:rPr>
          <w:rFonts w:ascii="Palatino Linotype" w:hAnsi="Palatino Linotype"/>
          <w:color w:val="000000"/>
        </w:rPr>
        <w:lastRenderedPageBreak/>
        <w:t>Cuenta o CLABE interbancaria, y</w:t>
      </w:r>
    </w:p>
    <w:p w14:paraId="248EBDDF" w14:textId="77777777" w:rsidR="00167437" w:rsidRPr="00167437" w:rsidRDefault="00167437" w:rsidP="00167437">
      <w:pPr>
        <w:numPr>
          <w:ilvl w:val="0"/>
          <w:numId w:val="7"/>
        </w:numPr>
        <w:spacing w:line="360" w:lineRule="auto"/>
        <w:ind w:left="993" w:hanging="426"/>
        <w:rPr>
          <w:rFonts w:ascii="Palatino Linotype" w:hAnsi="Palatino Linotype"/>
          <w:color w:val="000000"/>
        </w:rPr>
      </w:pPr>
      <w:r w:rsidRPr="00167437">
        <w:rPr>
          <w:rFonts w:ascii="Palatino Linotype" w:hAnsi="Palatino Linotype"/>
          <w:color w:val="000000"/>
        </w:rPr>
        <w:t>Nombre de institución financiera.</w:t>
      </w:r>
    </w:p>
    <w:p w14:paraId="1316D1AE" w14:textId="77777777" w:rsidR="00167437" w:rsidRPr="00167437" w:rsidRDefault="00167437" w:rsidP="00167437">
      <w:pPr>
        <w:spacing w:line="360" w:lineRule="auto"/>
        <w:rPr>
          <w:rFonts w:ascii="Palatino Linotype" w:hAnsi="Palatino Linotype"/>
          <w:color w:val="FF0000"/>
        </w:rPr>
      </w:pPr>
    </w:p>
    <w:p w14:paraId="6D76C67E" w14:textId="77777777" w:rsidR="00167437" w:rsidRPr="00167437" w:rsidRDefault="00167437" w:rsidP="00167437">
      <w:pPr>
        <w:numPr>
          <w:ilvl w:val="0"/>
          <w:numId w:val="3"/>
        </w:numPr>
        <w:spacing w:line="360" w:lineRule="auto"/>
        <w:ind w:right="48"/>
        <w:jc w:val="both"/>
        <w:rPr>
          <w:rFonts w:ascii="Palatino Linotype" w:hAnsi="Palatino Linotype"/>
          <w:color w:val="000000"/>
        </w:rPr>
      </w:pPr>
      <w:r w:rsidRPr="00167437">
        <w:rPr>
          <w:rFonts w:ascii="Palatino Linotype" w:hAnsi="Palatino Linotype"/>
          <w:color w:val="000000"/>
        </w:rPr>
        <w:t>De lo anterior, resulta procedente analizar si dichos datos son públicos o privados; para lo cual, el artículo 143, fracción I, de la Ley previamente citada, establece que la información privada y los datos personales, concernientes a una persona física o jurídica colectiva identificada o identificable son confidenciales.</w:t>
      </w:r>
    </w:p>
    <w:p w14:paraId="00A9B827" w14:textId="77777777" w:rsidR="00167437" w:rsidRPr="00167437" w:rsidRDefault="00167437" w:rsidP="00167437">
      <w:pPr>
        <w:spacing w:line="360" w:lineRule="auto"/>
        <w:jc w:val="both"/>
        <w:rPr>
          <w:rFonts w:ascii="Palatino Linotype" w:hAnsi="Palatino Linotype"/>
          <w:color w:val="000000"/>
        </w:rPr>
      </w:pPr>
    </w:p>
    <w:p w14:paraId="0A0A64B2" w14:textId="77777777" w:rsidR="00167437" w:rsidRPr="00167437" w:rsidRDefault="00167437" w:rsidP="00167437">
      <w:pPr>
        <w:numPr>
          <w:ilvl w:val="0"/>
          <w:numId w:val="3"/>
        </w:numPr>
        <w:spacing w:line="360" w:lineRule="auto"/>
        <w:ind w:right="48"/>
        <w:jc w:val="both"/>
        <w:rPr>
          <w:rFonts w:ascii="Palatino Linotype" w:hAnsi="Palatino Linotype"/>
          <w:color w:val="000000"/>
        </w:rPr>
      </w:pPr>
      <w:r w:rsidRPr="00167437">
        <w:rPr>
          <w:rFonts w:ascii="Palatino Linotype" w:hAnsi="Palatino Linotype"/>
          <w:color w:val="000000"/>
        </w:rPr>
        <w:t>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4BC5C0CE" w14:textId="77777777" w:rsidR="00167437" w:rsidRPr="00167437" w:rsidRDefault="00167437" w:rsidP="00167437">
      <w:pPr>
        <w:spacing w:line="360" w:lineRule="auto"/>
        <w:jc w:val="both"/>
        <w:rPr>
          <w:rFonts w:ascii="Palatino Linotype" w:hAnsi="Palatino Linotype"/>
          <w:color w:val="000000"/>
        </w:rPr>
      </w:pPr>
    </w:p>
    <w:p w14:paraId="7C827064" w14:textId="77777777" w:rsidR="00167437" w:rsidRPr="00167437" w:rsidRDefault="00167437" w:rsidP="00167437">
      <w:pPr>
        <w:numPr>
          <w:ilvl w:val="0"/>
          <w:numId w:val="3"/>
        </w:numPr>
        <w:spacing w:line="360" w:lineRule="auto"/>
        <w:ind w:right="48"/>
        <w:jc w:val="both"/>
        <w:rPr>
          <w:rFonts w:ascii="Palatino Linotype" w:hAnsi="Palatino Linotype"/>
          <w:color w:val="000000"/>
        </w:rPr>
      </w:pPr>
      <w:r w:rsidRPr="00167437">
        <w:rPr>
          <w:rFonts w:ascii="Palatino Linotype" w:hAnsi="Palatino Linotype"/>
          <w:color w:val="000000"/>
        </w:rPr>
        <w:t>En términos de lo expuesto, la documentación y aquellos datos que se consideren confidenciales, serán una limitante del derecho de acceso a la información, siempre y cuando:</w:t>
      </w:r>
    </w:p>
    <w:p w14:paraId="331EB4D9" w14:textId="77777777" w:rsidR="00167437" w:rsidRPr="00167437" w:rsidRDefault="00167437" w:rsidP="00167437">
      <w:pPr>
        <w:spacing w:line="360" w:lineRule="auto"/>
        <w:jc w:val="both"/>
        <w:rPr>
          <w:rFonts w:ascii="Palatino Linotype" w:hAnsi="Palatino Linotype"/>
          <w:color w:val="000000"/>
        </w:rPr>
      </w:pPr>
    </w:p>
    <w:p w14:paraId="3C0CC0E0" w14:textId="77777777" w:rsidR="00167437" w:rsidRPr="00167437" w:rsidRDefault="00167437" w:rsidP="00167437">
      <w:pPr>
        <w:numPr>
          <w:ilvl w:val="0"/>
          <w:numId w:val="8"/>
        </w:numPr>
        <w:pBdr>
          <w:top w:val="nil"/>
          <w:left w:val="nil"/>
          <w:bottom w:val="nil"/>
          <w:right w:val="nil"/>
          <w:between w:val="nil"/>
        </w:pBdr>
        <w:spacing w:line="360" w:lineRule="auto"/>
        <w:jc w:val="both"/>
        <w:rPr>
          <w:rFonts w:ascii="Palatino Linotype" w:hAnsi="Palatino Linotype"/>
          <w:color w:val="000000"/>
        </w:rPr>
      </w:pPr>
      <w:r w:rsidRPr="00167437">
        <w:rPr>
          <w:rFonts w:ascii="Palatino Linotype" w:hAnsi="Palatino Linotype"/>
          <w:color w:val="000000"/>
        </w:rPr>
        <w:lastRenderedPageBreak/>
        <w:t xml:space="preserve">Se trate de datos personales o información privada; esto es, información concerniente a una persona física o jurídico colectiva y que esta sea identificada o identificable. </w:t>
      </w:r>
    </w:p>
    <w:p w14:paraId="50501542" w14:textId="77777777" w:rsidR="00167437" w:rsidRPr="00167437" w:rsidRDefault="00167437" w:rsidP="00167437">
      <w:pPr>
        <w:numPr>
          <w:ilvl w:val="0"/>
          <w:numId w:val="8"/>
        </w:numPr>
        <w:pBdr>
          <w:top w:val="nil"/>
          <w:left w:val="nil"/>
          <w:bottom w:val="nil"/>
          <w:right w:val="nil"/>
          <w:between w:val="nil"/>
        </w:pBdr>
        <w:spacing w:line="360" w:lineRule="auto"/>
        <w:jc w:val="both"/>
        <w:rPr>
          <w:rFonts w:ascii="Palatino Linotype" w:hAnsi="Palatino Linotype"/>
          <w:color w:val="000000"/>
        </w:rPr>
      </w:pPr>
      <w:r w:rsidRPr="00167437">
        <w:rPr>
          <w:rFonts w:ascii="Palatino Linotype" w:hAnsi="Palatino Linotype"/>
          <w:color w:val="000000"/>
        </w:rPr>
        <w:t xml:space="preserve">Para la difusión de los datos, se requiera el consentimiento del titular. </w:t>
      </w:r>
    </w:p>
    <w:p w14:paraId="2B4C748C" w14:textId="77777777" w:rsidR="00167437" w:rsidRPr="00167437" w:rsidRDefault="00167437" w:rsidP="00167437">
      <w:pPr>
        <w:spacing w:line="360" w:lineRule="auto"/>
        <w:jc w:val="both"/>
        <w:rPr>
          <w:rFonts w:ascii="Palatino Linotype" w:hAnsi="Palatino Linotype"/>
          <w:color w:val="000000"/>
        </w:rPr>
      </w:pPr>
    </w:p>
    <w:p w14:paraId="2F1FE418" w14:textId="77777777" w:rsidR="00167437" w:rsidRPr="00167437" w:rsidRDefault="00167437" w:rsidP="00167437">
      <w:pPr>
        <w:numPr>
          <w:ilvl w:val="0"/>
          <w:numId w:val="3"/>
        </w:numPr>
        <w:spacing w:line="360" w:lineRule="auto"/>
        <w:ind w:right="48"/>
        <w:jc w:val="both"/>
        <w:rPr>
          <w:rFonts w:ascii="Palatino Linotype" w:hAnsi="Palatino Linotype"/>
          <w:color w:val="000000"/>
        </w:rPr>
      </w:pPr>
      <w:r w:rsidRPr="00167437">
        <w:rPr>
          <w:rFonts w:ascii="Palatino Linotype" w:hAnsi="Palatino Linotype"/>
          <w:color w:val="000000"/>
        </w:rPr>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w:t>
      </w:r>
    </w:p>
    <w:p w14:paraId="757E4043" w14:textId="77777777" w:rsidR="00167437" w:rsidRPr="00167437" w:rsidRDefault="00167437" w:rsidP="00167437">
      <w:pPr>
        <w:spacing w:line="360" w:lineRule="auto"/>
        <w:jc w:val="both"/>
        <w:rPr>
          <w:rFonts w:ascii="Palatino Linotype" w:hAnsi="Palatino Linotype"/>
          <w:color w:val="000000"/>
        </w:rPr>
      </w:pPr>
    </w:p>
    <w:p w14:paraId="0774387D" w14:textId="77777777" w:rsidR="00167437" w:rsidRPr="00167437" w:rsidRDefault="00167437" w:rsidP="00167437">
      <w:pPr>
        <w:numPr>
          <w:ilvl w:val="0"/>
          <w:numId w:val="3"/>
        </w:numPr>
        <w:spacing w:line="360" w:lineRule="auto"/>
        <w:ind w:right="48"/>
        <w:jc w:val="both"/>
        <w:rPr>
          <w:rFonts w:ascii="Palatino Linotype" w:hAnsi="Palatino Linotype"/>
          <w:color w:val="000000"/>
        </w:rPr>
      </w:pPr>
      <w:r w:rsidRPr="00167437">
        <w:rPr>
          <w:rFonts w:ascii="Palatino Linotype" w:hAnsi="Palatino Linotype"/>
          <w:color w:val="000000"/>
        </w:rPr>
        <w:t>Además, en el artículo 5° de dicho ordenamiento jurídico, establece que es la Ley aplicable para todo tratamiento de datos personales.</w:t>
      </w:r>
    </w:p>
    <w:p w14:paraId="10A7C77D" w14:textId="77777777" w:rsidR="00167437" w:rsidRPr="00167437" w:rsidRDefault="00167437" w:rsidP="00167437">
      <w:pPr>
        <w:spacing w:line="360" w:lineRule="auto"/>
        <w:jc w:val="both"/>
        <w:rPr>
          <w:rFonts w:ascii="Palatino Linotype" w:hAnsi="Palatino Linotype"/>
          <w:color w:val="000000"/>
        </w:rPr>
      </w:pPr>
    </w:p>
    <w:p w14:paraId="0F9CC31B" w14:textId="77777777" w:rsidR="00167437" w:rsidRPr="00167437" w:rsidRDefault="00167437" w:rsidP="00167437">
      <w:pPr>
        <w:numPr>
          <w:ilvl w:val="0"/>
          <w:numId w:val="3"/>
        </w:numPr>
        <w:spacing w:line="360" w:lineRule="auto"/>
        <w:ind w:right="48"/>
        <w:jc w:val="both"/>
        <w:rPr>
          <w:rFonts w:ascii="Palatino Linotype" w:hAnsi="Palatino Linotype"/>
          <w:color w:val="000000"/>
        </w:rPr>
      </w:pPr>
      <w:r w:rsidRPr="00167437">
        <w:rPr>
          <w:rFonts w:ascii="Palatino Linotype" w:hAnsi="Palatino Linotype"/>
          <w:color w:val="000000"/>
        </w:rPr>
        <w:t>En ese orden de ideas, los artículos 6°, 7°, 8° y 14 de la Ley de Protección de Datos Personales en Posesión de Sujetos Obligados del Estado de México y Municipios disponen que los responsables del tratamiento de datos personales, deben observar los principios de licitud, consentimiento, información, calidad, lealtad, finalidad, proporcionalidad y responsabilidad; además, que dicho tratamiento deberá obedecer exclusivamente a sus atribuciones legales y con el consentimiento de su titular, además de que debe estar justificado en ley (principio de finalidad).</w:t>
      </w:r>
    </w:p>
    <w:p w14:paraId="6850F7A7" w14:textId="77777777" w:rsidR="00167437" w:rsidRPr="00167437" w:rsidRDefault="00167437" w:rsidP="00167437">
      <w:pPr>
        <w:numPr>
          <w:ilvl w:val="0"/>
          <w:numId w:val="3"/>
        </w:numPr>
        <w:spacing w:line="360" w:lineRule="auto"/>
        <w:ind w:right="48"/>
        <w:jc w:val="both"/>
        <w:rPr>
          <w:rFonts w:ascii="Palatino Linotype" w:hAnsi="Palatino Linotype"/>
          <w:color w:val="000000"/>
        </w:rPr>
      </w:pPr>
      <w:r w:rsidRPr="00167437">
        <w:rPr>
          <w:rFonts w:ascii="Palatino Linotype" w:hAnsi="Palatino Linotype"/>
          <w:color w:val="000000"/>
        </w:rPr>
        <w:lastRenderedPageBreak/>
        <w:t>En este sentido, un dato personal es cualquier información que pueda hacer a una persona física o jurídica colectiva identificada e identificable; por lo que, bajo dicha circunstancia, se analizarán si los datos mencionados, deben ser considerados confidenciales, en términos del artículo 143, fracción I, de la Ley de Transparencia y Acceso a la Información Pública del Estado de México y Municipios, o públicos.</w:t>
      </w:r>
    </w:p>
    <w:p w14:paraId="0539BDFA" w14:textId="77777777" w:rsidR="00167437" w:rsidRPr="00167437" w:rsidRDefault="00167437" w:rsidP="00167437">
      <w:pPr>
        <w:spacing w:line="360" w:lineRule="auto"/>
        <w:jc w:val="both"/>
        <w:rPr>
          <w:rFonts w:ascii="Palatino Linotype" w:eastAsia="Calibri" w:hAnsi="Palatino Linotype" w:cs="Tahoma"/>
          <w:b/>
          <w:bCs/>
        </w:rPr>
      </w:pPr>
    </w:p>
    <w:p w14:paraId="1339E069" w14:textId="77777777" w:rsidR="00167437" w:rsidRPr="00167437" w:rsidRDefault="00167437" w:rsidP="00167437">
      <w:pPr>
        <w:numPr>
          <w:ilvl w:val="0"/>
          <w:numId w:val="6"/>
        </w:numPr>
        <w:spacing w:line="360" w:lineRule="auto"/>
        <w:contextualSpacing/>
        <w:jc w:val="both"/>
        <w:rPr>
          <w:rFonts w:ascii="Palatino Linotype" w:eastAsia="Calibri" w:hAnsi="Palatino Linotype" w:cs="Tahoma"/>
          <w:b/>
          <w:bCs/>
        </w:rPr>
      </w:pPr>
      <w:r w:rsidRPr="00167437">
        <w:rPr>
          <w:rFonts w:ascii="Palatino Linotype" w:eastAsia="Calibri" w:hAnsi="Palatino Linotype" w:cs="Tahoma"/>
          <w:b/>
          <w:bCs/>
        </w:rPr>
        <w:t>Denominación o razón Social personas morales.</w:t>
      </w:r>
    </w:p>
    <w:p w14:paraId="2310F26A" w14:textId="77777777" w:rsidR="00167437" w:rsidRPr="00167437" w:rsidRDefault="00167437" w:rsidP="00167437">
      <w:pPr>
        <w:numPr>
          <w:ilvl w:val="0"/>
          <w:numId w:val="3"/>
        </w:numPr>
        <w:spacing w:line="360" w:lineRule="auto"/>
        <w:ind w:right="48"/>
        <w:jc w:val="both"/>
        <w:rPr>
          <w:rFonts w:ascii="Palatino Linotype" w:eastAsia="Calibri" w:hAnsi="Palatino Linotype" w:cs="Tahoma"/>
          <w:bCs/>
        </w:rPr>
      </w:pPr>
      <w:r w:rsidRPr="00167437">
        <w:rPr>
          <w:rFonts w:ascii="Palatino Linotype" w:eastAsia="Calibri" w:hAnsi="Palatino Linotype" w:cs="Tahoma"/>
          <w:bCs/>
        </w:rPr>
        <w:t xml:space="preserve">Al respecto, se considera que la denominación o razón social de una persona moral, es pública, pues dichos datos se encuentran inscritos en el Registro Público del Comercio; lo anterior, toma sustento en el </w:t>
      </w:r>
      <w:r w:rsidRPr="00167437">
        <w:rPr>
          <w:rFonts w:ascii="Palatino Linotype" w:eastAsia="Calibri" w:hAnsi="Palatino Linotype" w:cs="Tahoma"/>
          <w:bCs/>
          <w:lang w:val="es-ES"/>
        </w:rPr>
        <w:t xml:space="preserve">Criterio de Interpretación, de la Segunda Época, con número de registro </w:t>
      </w:r>
      <w:r w:rsidRPr="00167437">
        <w:rPr>
          <w:rFonts w:ascii="Palatino Linotype" w:eastAsia="Calibri" w:hAnsi="Palatino Linotype" w:cs="Tahoma"/>
          <w:bCs/>
        </w:rPr>
        <w:t>SO/008/2019, emitido por el Instituto Nacional de Transparencia, Acceso a la Información y Protección de Datos Personales, que precisa lo siguiente:</w:t>
      </w:r>
    </w:p>
    <w:p w14:paraId="4E009D52" w14:textId="77777777" w:rsidR="00167437" w:rsidRPr="00167437" w:rsidRDefault="00167437" w:rsidP="00167437">
      <w:pPr>
        <w:spacing w:line="360" w:lineRule="auto"/>
        <w:ind w:left="567" w:right="567"/>
        <w:jc w:val="both"/>
        <w:rPr>
          <w:rFonts w:ascii="Palatino Linotype" w:eastAsia="Calibri" w:hAnsi="Palatino Linotype" w:cs="Tahoma"/>
          <w:bCs/>
          <w:i/>
        </w:rPr>
      </w:pPr>
      <w:r w:rsidRPr="00167437">
        <w:rPr>
          <w:rFonts w:ascii="Palatino Linotype" w:eastAsia="Calibri" w:hAnsi="Palatino Linotype" w:cs="Tahoma"/>
          <w:b/>
          <w:bCs/>
          <w:i/>
        </w:rPr>
        <w:t xml:space="preserve">“Razón social y RFC de personas morales. </w:t>
      </w:r>
      <w:r w:rsidRPr="00167437">
        <w:rPr>
          <w:rFonts w:ascii="Palatino Linotype" w:eastAsia="Calibri" w:hAnsi="Palatino Linotype" w:cs="Tahoma"/>
          <w:i/>
        </w:rPr>
        <w:t>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14:paraId="08A01EFF" w14:textId="77777777" w:rsidR="00167437" w:rsidRPr="00167437" w:rsidRDefault="00167437" w:rsidP="00167437">
      <w:pPr>
        <w:spacing w:line="360" w:lineRule="auto"/>
        <w:jc w:val="both"/>
        <w:rPr>
          <w:rFonts w:ascii="Palatino Linotype" w:eastAsia="Calibri" w:hAnsi="Palatino Linotype" w:cs="Tahoma"/>
          <w:b/>
          <w:bCs/>
        </w:rPr>
      </w:pPr>
    </w:p>
    <w:p w14:paraId="01D1C5B4" w14:textId="77777777" w:rsidR="00167437" w:rsidRPr="00167437" w:rsidRDefault="00167437" w:rsidP="00167437">
      <w:pPr>
        <w:numPr>
          <w:ilvl w:val="0"/>
          <w:numId w:val="3"/>
        </w:numPr>
        <w:spacing w:line="360" w:lineRule="auto"/>
        <w:ind w:right="48"/>
        <w:jc w:val="both"/>
        <w:rPr>
          <w:rFonts w:ascii="Palatino Linotype" w:eastAsia="Calibri" w:hAnsi="Palatino Linotype" w:cs="Tahoma"/>
          <w:bCs/>
        </w:rPr>
      </w:pPr>
      <w:r w:rsidRPr="00167437">
        <w:rPr>
          <w:rFonts w:ascii="Palatino Linotype" w:eastAsia="Calibri" w:hAnsi="Palatino Linotype" w:cs="Tahoma"/>
          <w:bCs/>
        </w:rPr>
        <w:t xml:space="preserve">Lo </w:t>
      </w:r>
      <w:r w:rsidRPr="00167437">
        <w:rPr>
          <w:rFonts w:ascii="Palatino Linotype" w:hAnsi="Palatino Linotype"/>
          <w:color w:val="000000"/>
        </w:rPr>
        <w:t>anterior</w:t>
      </w:r>
      <w:r w:rsidRPr="00167437">
        <w:rPr>
          <w:rFonts w:ascii="Palatino Linotype" w:eastAsia="Calibri" w:hAnsi="Palatino Linotype" w:cs="Tahoma"/>
          <w:bCs/>
        </w:rPr>
        <w:t xml:space="preserve">, se robustece con el hecho de que el Ente Recurrido tiene como obligación común de transparencia, poner a disposición del público el padrón de contratistas y contratistas, que como se advirtió en párrafos anteriores debe incluir la denominación o razón social del proveedor o contratista, de conformidad con los </w:t>
      </w:r>
      <w:r w:rsidRPr="00167437">
        <w:rPr>
          <w:rFonts w:ascii="Palatino Linotype" w:eastAsia="Calibri" w:hAnsi="Palatino Linotype" w:cs="Tahoma"/>
          <w:bCs/>
        </w:rPr>
        <w:lastRenderedPageBreak/>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w:t>
      </w:r>
    </w:p>
    <w:p w14:paraId="679A2C2E" w14:textId="77777777" w:rsidR="00167437" w:rsidRPr="00167437" w:rsidRDefault="00167437" w:rsidP="00167437">
      <w:pPr>
        <w:spacing w:line="360" w:lineRule="auto"/>
        <w:jc w:val="both"/>
        <w:rPr>
          <w:rFonts w:ascii="Palatino Linotype" w:eastAsia="Calibri" w:hAnsi="Palatino Linotype" w:cs="Tahoma"/>
          <w:bCs/>
        </w:rPr>
      </w:pPr>
    </w:p>
    <w:p w14:paraId="209DDDD9" w14:textId="77777777" w:rsidR="00167437" w:rsidRPr="00167437" w:rsidRDefault="00167437" w:rsidP="00167437">
      <w:pPr>
        <w:numPr>
          <w:ilvl w:val="0"/>
          <w:numId w:val="3"/>
        </w:numPr>
        <w:spacing w:line="360" w:lineRule="auto"/>
        <w:ind w:right="48"/>
        <w:jc w:val="both"/>
        <w:rPr>
          <w:rFonts w:ascii="Palatino Linotype" w:eastAsia="Calibri" w:hAnsi="Palatino Linotype" w:cs="Tahoma"/>
          <w:bCs/>
        </w:rPr>
      </w:pPr>
      <w:r w:rsidRPr="00167437">
        <w:rPr>
          <w:rFonts w:ascii="Palatino Linotype" w:hAnsi="Palatino Linotype"/>
          <w:color w:val="000000"/>
        </w:rPr>
        <w:t>Por</w:t>
      </w:r>
      <w:r w:rsidRPr="00167437">
        <w:rPr>
          <w:rFonts w:ascii="Palatino Linotype" w:eastAsia="Calibri" w:hAnsi="Palatino Linotype" w:cs="Tahoma"/>
          <w:bCs/>
        </w:rPr>
        <w:t xml:space="preserve"> lo tanto, no procede la clasificación de la denominación o razón social de los contratistas personas morales, en términos del artículo 143, fracción I de la Ley de Transparencia y Acceso a la Información Pública del Estado de México y Municipios.</w:t>
      </w:r>
    </w:p>
    <w:p w14:paraId="63547EFC" w14:textId="77777777" w:rsidR="00167437" w:rsidRPr="00167437" w:rsidRDefault="00167437" w:rsidP="00167437">
      <w:pPr>
        <w:spacing w:line="360" w:lineRule="auto"/>
        <w:jc w:val="both"/>
        <w:rPr>
          <w:rFonts w:ascii="Palatino Linotype" w:hAnsi="Palatino Linotype"/>
          <w:b/>
          <w:color w:val="000000"/>
        </w:rPr>
      </w:pPr>
    </w:p>
    <w:p w14:paraId="3B986961" w14:textId="77777777" w:rsidR="00167437" w:rsidRPr="00167437" w:rsidRDefault="00167437" w:rsidP="00167437">
      <w:pPr>
        <w:numPr>
          <w:ilvl w:val="0"/>
          <w:numId w:val="9"/>
        </w:numPr>
        <w:pBdr>
          <w:top w:val="nil"/>
          <w:left w:val="nil"/>
          <w:bottom w:val="nil"/>
          <w:right w:val="nil"/>
          <w:between w:val="nil"/>
        </w:pBdr>
        <w:spacing w:line="360" w:lineRule="auto"/>
        <w:jc w:val="both"/>
        <w:rPr>
          <w:rFonts w:ascii="Palatino Linotype" w:hAnsi="Palatino Linotype"/>
          <w:b/>
          <w:color w:val="000000"/>
        </w:rPr>
      </w:pPr>
      <w:r w:rsidRPr="00167437">
        <w:rPr>
          <w:rFonts w:ascii="Palatino Linotype" w:hAnsi="Palatino Linotype"/>
          <w:b/>
          <w:color w:val="000000"/>
        </w:rPr>
        <w:t>Reg</w:t>
      </w:r>
      <w:r>
        <w:rPr>
          <w:rFonts w:ascii="Palatino Linotype" w:hAnsi="Palatino Linotype"/>
          <w:b/>
          <w:color w:val="000000"/>
        </w:rPr>
        <w:t>istro Federal de Contribuyentes</w:t>
      </w:r>
    </w:p>
    <w:p w14:paraId="2DB8C3DC" w14:textId="77777777" w:rsidR="00167437" w:rsidRPr="00167437" w:rsidRDefault="00167437" w:rsidP="009C0EFB">
      <w:pPr>
        <w:spacing w:line="360" w:lineRule="auto"/>
        <w:jc w:val="both"/>
        <w:rPr>
          <w:rFonts w:ascii="Palatino Linotype" w:hAnsi="Palatino Linotype"/>
          <w:b/>
          <w:color w:val="000000"/>
        </w:rPr>
      </w:pPr>
      <w:r w:rsidRPr="00167437">
        <w:rPr>
          <w:rFonts w:ascii="Palatino Linotype" w:hAnsi="Palatino Linotype"/>
          <w:b/>
          <w:color w:val="000000"/>
        </w:rPr>
        <w:t>Persona física</w:t>
      </w:r>
    </w:p>
    <w:p w14:paraId="0FDD950C" w14:textId="77777777" w:rsidR="00167437" w:rsidRPr="00E63AB6" w:rsidRDefault="00167437" w:rsidP="00E63AB6">
      <w:pPr>
        <w:numPr>
          <w:ilvl w:val="0"/>
          <w:numId w:val="3"/>
        </w:numPr>
        <w:spacing w:line="360" w:lineRule="auto"/>
        <w:ind w:right="48"/>
        <w:jc w:val="both"/>
        <w:rPr>
          <w:rFonts w:ascii="Palatino Linotype" w:hAnsi="Palatino Linotype"/>
          <w:color w:val="000000"/>
        </w:rPr>
      </w:pPr>
      <w:r w:rsidRPr="00E63AB6">
        <w:rPr>
          <w:rFonts w:ascii="Palatino Linotype" w:hAnsi="Palatino Linotype"/>
          <w:color w:val="000000"/>
        </w:rPr>
        <w:t>Al respecto, es necesario precisar que el proveedor de cualquier Sujeto Obligado de la Ley de la materia, que sea una persona física, debe cumplir con los requisitos establecidos en los artículos 29 y 32 del Reglamento de la Ley de Contratación Pública del Estado de México y Municipios; es decir, para que los individuos puedan participar en actos de adquisición o de contratación de servicios que requieran las dependencias, organismos auxiliares y tribunales administrativos, así como los Gobiernos Municipales, deberán presentar, entre otras cosas, la cédula de identificación fiscal (Registro Federal de Contribuyentes); por lo que la entrega de dicho dato permite verificar cumplimiento de esta disposición legal.</w:t>
      </w:r>
    </w:p>
    <w:p w14:paraId="42AB942C" w14:textId="77777777" w:rsidR="00167437" w:rsidRPr="00E63AB6" w:rsidRDefault="00167437" w:rsidP="00E63AB6">
      <w:pPr>
        <w:spacing w:line="360" w:lineRule="auto"/>
        <w:jc w:val="both"/>
        <w:rPr>
          <w:rFonts w:ascii="Palatino Linotype" w:hAnsi="Palatino Linotype"/>
          <w:color w:val="000000"/>
        </w:rPr>
      </w:pPr>
    </w:p>
    <w:p w14:paraId="4B603945" w14:textId="77777777" w:rsidR="00167437" w:rsidRPr="00E63AB6" w:rsidRDefault="00167437" w:rsidP="00E63AB6">
      <w:pPr>
        <w:numPr>
          <w:ilvl w:val="0"/>
          <w:numId w:val="3"/>
        </w:numPr>
        <w:spacing w:line="360" w:lineRule="auto"/>
        <w:ind w:right="48"/>
        <w:jc w:val="both"/>
        <w:rPr>
          <w:rFonts w:ascii="Palatino Linotype" w:hAnsi="Palatino Linotype"/>
          <w:color w:val="000000"/>
        </w:rPr>
      </w:pPr>
      <w:r w:rsidRPr="00E63AB6">
        <w:rPr>
          <w:rFonts w:ascii="Palatino Linotype" w:hAnsi="Palatino Linotype"/>
          <w:color w:val="000000"/>
        </w:rPr>
        <w:t xml:space="preserve">Por lo tanto, en el presente caso, si bien el Registro Federal de Contribuyentes de personas físicas es un dato personal, también lo es, que corresponde a un requisito </w:t>
      </w:r>
      <w:r w:rsidRPr="00E63AB6">
        <w:rPr>
          <w:rFonts w:ascii="Palatino Linotype" w:hAnsi="Palatino Linotype"/>
          <w:color w:val="000000"/>
        </w:rPr>
        <w:lastRenderedPageBreak/>
        <w:t>indispensable para ser proveedor y poder llevar a cabo actividades comerciales con la Entidad, ya que, sin este, no se pueden realizar dichas acciones, por lo que su entrega es un elemento adicional que respalda la legalidad de los procesos adquisitivos.</w:t>
      </w:r>
    </w:p>
    <w:p w14:paraId="4581EB60" w14:textId="77777777" w:rsidR="00167437" w:rsidRPr="00E63AB6" w:rsidRDefault="00167437" w:rsidP="00E63AB6">
      <w:pPr>
        <w:spacing w:line="360" w:lineRule="auto"/>
        <w:jc w:val="both"/>
        <w:rPr>
          <w:rFonts w:ascii="Palatino Linotype" w:hAnsi="Palatino Linotype"/>
          <w:color w:val="000000"/>
        </w:rPr>
      </w:pPr>
    </w:p>
    <w:p w14:paraId="242F9D84" w14:textId="77777777" w:rsidR="00167437" w:rsidRPr="00E63AB6" w:rsidRDefault="00167437" w:rsidP="00E63AB6">
      <w:pPr>
        <w:numPr>
          <w:ilvl w:val="0"/>
          <w:numId w:val="3"/>
        </w:numPr>
        <w:spacing w:line="360" w:lineRule="auto"/>
        <w:ind w:right="48"/>
        <w:jc w:val="both"/>
        <w:rPr>
          <w:rFonts w:ascii="Palatino Linotype" w:hAnsi="Palatino Linotype"/>
          <w:color w:val="000000"/>
        </w:rPr>
      </w:pPr>
      <w:r w:rsidRPr="00E63AB6">
        <w:rPr>
          <w:rFonts w:ascii="Palatino Linotype" w:hAnsi="Palatino Linotype"/>
          <w:color w:val="000000"/>
        </w:rPr>
        <w:t>En ese contexto, entregar el Registro Federal de Contribuyentes aún de personas físicas cuando son contratistas de instituciones públicas, propiciaría la rendición de cuentas, al permitir verificar que se cumplió con uno de los requisitos necesarios conforme a la normatividad aplicable en materia de contrataciones, lo cual, transparenta el correcto ejercicio de recursos públicos por parte de los sujetos obligados, lo que es acorde con el principio de máxima publicidad.</w:t>
      </w:r>
    </w:p>
    <w:p w14:paraId="51BA8A0C" w14:textId="77777777" w:rsidR="00E63AB6" w:rsidRPr="00E63AB6" w:rsidRDefault="00E63AB6" w:rsidP="00E63AB6">
      <w:pPr>
        <w:spacing w:line="360" w:lineRule="auto"/>
        <w:ind w:right="48"/>
        <w:jc w:val="both"/>
        <w:rPr>
          <w:rFonts w:ascii="Palatino Linotype" w:hAnsi="Palatino Linotype"/>
          <w:color w:val="000000"/>
        </w:rPr>
      </w:pPr>
    </w:p>
    <w:p w14:paraId="7C4ED7EE" w14:textId="77777777" w:rsidR="00E63AB6" w:rsidRPr="00E63AB6" w:rsidRDefault="004B3D68" w:rsidP="00E63AB6">
      <w:pPr>
        <w:tabs>
          <w:tab w:val="center" w:pos="4522"/>
        </w:tabs>
        <w:spacing w:line="360" w:lineRule="auto"/>
        <w:jc w:val="both"/>
        <w:rPr>
          <w:rFonts w:ascii="Palatino Linotype" w:hAnsi="Palatino Linotype"/>
          <w:b/>
          <w:color w:val="000000"/>
        </w:rPr>
      </w:pPr>
      <w:r>
        <w:rPr>
          <w:rFonts w:ascii="Palatino Linotype" w:hAnsi="Palatino Linotype"/>
          <w:b/>
          <w:color w:val="000000"/>
        </w:rPr>
        <w:t xml:space="preserve">RFC </w:t>
      </w:r>
      <w:r w:rsidR="00E63AB6" w:rsidRPr="00E63AB6">
        <w:rPr>
          <w:rFonts w:ascii="Palatino Linotype" w:hAnsi="Palatino Linotype"/>
          <w:b/>
          <w:color w:val="000000"/>
        </w:rPr>
        <w:t>Persona Moral</w:t>
      </w:r>
    </w:p>
    <w:p w14:paraId="6C4D40F4" w14:textId="3E95FAB5" w:rsidR="00E63AB6" w:rsidRPr="00441DD7" w:rsidRDefault="00E63AB6" w:rsidP="00441DD7">
      <w:pPr>
        <w:pStyle w:val="Prrafodelista"/>
        <w:numPr>
          <w:ilvl w:val="0"/>
          <w:numId w:val="3"/>
        </w:numPr>
        <w:spacing w:line="360" w:lineRule="auto"/>
        <w:jc w:val="both"/>
        <w:rPr>
          <w:rFonts w:ascii="Palatino Linotype" w:hAnsi="Palatino Linotype"/>
          <w:color w:val="000000"/>
        </w:rPr>
      </w:pPr>
      <w:r w:rsidRPr="00441DD7">
        <w:rPr>
          <w:rFonts w:ascii="Palatino Linotype" w:hAnsi="Palatino Linotype"/>
          <w:color w:val="000000"/>
        </w:rPr>
        <w:t>Al respecto, el Registro Federal de Contribuyentes, inicia con un preinscripción por Internet y se concluye en cualquier Administración Desconcentrada de Servicios al Contribuyente, en donde aquellas personas que realicen el trámite tendrán que entregar ciertos documentos, que para las personas jurídico colectivas, serán, entre otros, la copia certificada del documento constitutivo debidamente protocolizado, comprobante de domicilio, identificación personal, número de folio asignado que se le proporcionó al realizar el envío de su preinscripción y copia certificada del poder notarial con el que se acredite la personalidad del representante legal, o carta poder firmada ante dos testigos y ratificadas las firmas ante las autoridades fiscales o ante notario o fedatario público. Derivado del trámite se obtiene, entre otros, la cédula de identificación fiscal o constancia de registro.</w:t>
      </w:r>
    </w:p>
    <w:p w14:paraId="6AC1C740" w14:textId="77777777" w:rsidR="00E63AB6" w:rsidRPr="00E63AB6" w:rsidRDefault="00E63AB6" w:rsidP="00E63AB6">
      <w:pPr>
        <w:tabs>
          <w:tab w:val="center" w:pos="4522"/>
        </w:tabs>
        <w:spacing w:line="360" w:lineRule="auto"/>
        <w:jc w:val="both"/>
        <w:rPr>
          <w:rFonts w:ascii="Palatino Linotype" w:hAnsi="Palatino Linotype"/>
          <w:color w:val="000000"/>
        </w:rPr>
      </w:pPr>
    </w:p>
    <w:p w14:paraId="2705D0C5" w14:textId="40823F8F" w:rsidR="00E63AB6" w:rsidRPr="00441DD7" w:rsidRDefault="00E63AB6" w:rsidP="00441DD7">
      <w:pPr>
        <w:pStyle w:val="Prrafodelista"/>
        <w:numPr>
          <w:ilvl w:val="0"/>
          <w:numId w:val="3"/>
        </w:numPr>
        <w:spacing w:line="360" w:lineRule="auto"/>
        <w:jc w:val="both"/>
        <w:rPr>
          <w:rFonts w:ascii="Palatino Linotype" w:hAnsi="Palatino Linotype"/>
          <w:color w:val="000000"/>
        </w:rPr>
      </w:pPr>
      <w:r w:rsidRPr="00441DD7">
        <w:rPr>
          <w:rFonts w:ascii="Palatino Linotype" w:hAnsi="Palatino Linotype"/>
          <w:color w:val="000000"/>
        </w:rPr>
        <w:lastRenderedPageBreak/>
        <w:t>Por ende, la información correspondiente al Registro Federal de Contribuyentes de una persona moral da cuenta del cumplimiento o no en sus obligaciones fiscales; por tanto, no se actualiza su clasificación como confidencial.</w:t>
      </w:r>
    </w:p>
    <w:p w14:paraId="2526EC56" w14:textId="77777777" w:rsidR="00E63AB6" w:rsidRPr="00E63AB6" w:rsidRDefault="00E63AB6" w:rsidP="00E63AB6">
      <w:pPr>
        <w:tabs>
          <w:tab w:val="center" w:pos="4522"/>
        </w:tabs>
        <w:spacing w:line="360" w:lineRule="auto"/>
        <w:jc w:val="both"/>
        <w:rPr>
          <w:rFonts w:ascii="Palatino Linotype" w:hAnsi="Palatino Linotype"/>
          <w:color w:val="000000"/>
        </w:rPr>
      </w:pPr>
    </w:p>
    <w:p w14:paraId="61455FC1" w14:textId="1A758EBD" w:rsidR="00E63AB6" w:rsidRPr="00441DD7" w:rsidRDefault="00E63AB6" w:rsidP="00441DD7">
      <w:pPr>
        <w:pStyle w:val="Prrafodelista"/>
        <w:numPr>
          <w:ilvl w:val="0"/>
          <w:numId w:val="3"/>
        </w:numPr>
        <w:spacing w:line="360" w:lineRule="auto"/>
        <w:jc w:val="both"/>
        <w:rPr>
          <w:rFonts w:ascii="Palatino Linotype" w:hAnsi="Palatino Linotype"/>
          <w:color w:val="000000"/>
        </w:rPr>
      </w:pPr>
      <w:r w:rsidRPr="00441DD7">
        <w:rPr>
          <w:rFonts w:ascii="Palatino Linotype" w:hAnsi="Palatino Linotype"/>
          <w:color w:val="000000"/>
        </w:rPr>
        <w:t>Además, resulta aplicable por analogía el Criterio Orientador, de la Segunda Época, con número de registro SO/008/2019, emitido por el entonces Instituto Nacional de Transparencia, Acceso a la Información y Protección de Datos Personales, vigente a la fecha de la solicitud, que precisa que el Registro Federal de Contribuyentes de personas morales, es público, al no referir a hechos o actos de carácter económico, contable, jurídico o administrativo que sean útiles o representen una ventaja a sus competidores.</w:t>
      </w:r>
    </w:p>
    <w:p w14:paraId="3D775803" w14:textId="77777777" w:rsidR="00E63AB6" w:rsidRPr="00E63AB6" w:rsidRDefault="00E63AB6" w:rsidP="00E63AB6">
      <w:pPr>
        <w:tabs>
          <w:tab w:val="center" w:pos="4522"/>
        </w:tabs>
        <w:spacing w:line="360" w:lineRule="auto"/>
        <w:jc w:val="both"/>
        <w:rPr>
          <w:rFonts w:ascii="Palatino Linotype" w:hAnsi="Palatino Linotype"/>
          <w:color w:val="000000"/>
        </w:rPr>
      </w:pPr>
    </w:p>
    <w:p w14:paraId="26785052" w14:textId="40ED29D8" w:rsidR="00E63AB6" w:rsidRPr="00441DD7" w:rsidRDefault="00E63AB6" w:rsidP="00441DD7">
      <w:pPr>
        <w:pStyle w:val="Prrafodelista"/>
        <w:numPr>
          <w:ilvl w:val="0"/>
          <w:numId w:val="3"/>
        </w:numPr>
        <w:spacing w:line="360" w:lineRule="auto"/>
        <w:jc w:val="both"/>
        <w:rPr>
          <w:rFonts w:ascii="Palatino Linotype" w:hAnsi="Palatino Linotype"/>
          <w:color w:val="000000"/>
        </w:rPr>
      </w:pPr>
      <w:r w:rsidRPr="00441DD7">
        <w:rPr>
          <w:rFonts w:ascii="Palatino Linotype" w:hAnsi="Palatino Linotype"/>
          <w:color w:val="000000"/>
        </w:rPr>
        <w:t>De tales circunstancias, el Registro Federal de Contribuyentes de personas morales, no actualizan la causal de clasificación, prevista en el artículo 143, fracción I de la Ley de Transparencia y Acceso a la Información Pública del Estado de México y Municipios, al ser de naturaleza pública.</w:t>
      </w:r>
    </w:p>
    <w:p w14:paraId="70AE1C79" w14:textId="77777777" w:rsidR="00E63AB6" w:rsidRPr="00E63AB6" w:rsidRDefault="00E63AB6" w:rsidP="00E63AB6">
      <w:pPr>
        <w:spacing w:line="360" w:lineRule="auto"/>
        <w:jc w:val="both"/>
        <w:rPr>
          <w:rFonts w:ascii="Palatino Linotype" w:hAnsi="Palatino Linotype"/>
          <w:b/>
          <w:color w:val="000000"/>
        </w:rPr>
      </w:pPr>
    </w:p>
    <w:p w14:paraId="6287411F" w14:textId="77777777" w:rsidR="00E63AB6" w:rsidRPr="00E63AB6" w:rsidRDefault="00E63AB6" w:rsidP="00E63AB6">
      <w:pPr>
        <w:numPr>
          <w:ilvl w:val="0"/>
          <w:numId w:val="9"/>
        </w:numPr>
        <w:pBdr>
          <w:top w:val="nil"/>
          <w:left w:val="nil"/>
          <w:bottom w:val="nil"/>
          <w:right w:val="nil"/>
          <w:between w:val="nil"/>
        </w:pBdr>
        <w:spacing w:line="360" w:lineRule="auto"/>
        <w:jc w:val="both"/>
        <w:rPr>
          <w:rFonts w:ascii="Palatino Linotype" w:hAnsi="Palatino Linotype"/>
          <w:b/>
          <w:color w:val="000000"/>
        </w:rPr>
      </w:pPr>
      <w:r w:rsidRPr="00E63AB6">
        <w:rPr>
          <w:rFonts w:ascii="Palatino Linotype" w:hAnsi="Palatino Linotype"/>
          <w:b/>
          <w:color w:val="000000"/>
        </w:rPr>
        <w:t>Domicilio Fiscal o legal para recibir y oír notificaciones (persona física o moral).</w:t>
      </w:r>
    </w:p>
    <w:p w14:paraId="408316F6" w14:textId="2B1017F8" w:rsidR="00E63AB6" w:rsidRPr="00441DD7" w:rsidRDefault="00E63AB6" w:rsidP="00441DD7">
      <w:pPr>
        <w:pStyle w:val="Prrafodelista"/>
        <w:numPr>
          <w:ilvl w:val="0"/>
          <w:numId w:val="3"/>
        </w:numPr>
        <w:spacing w:line="360" w:lineRule="auto"/>
        <w:jc w:val="both"/>
        <w:rPr>
          <w:rFonts w:ascii="Palatino Linotype" w:hAnsi="Palatino Linotype"/>
          <w:color w:val="000000"/>
        </w:rPr>
      </w:pPr>
      <w:r w:rsidRPr="00441DD7">
        <w:rPr>
          <w:rFonts w:ascii="Palatino Linotype" w:hAnsi="Palatino Linotype"/>
          <w:color w:val="000000"/>
        </w:rPr>
        <w:t>De acuerdo a lo señalado en los artículos 2.17 y 2.21 del Código Civil del Estado de México, el domicilio de una persona física, es el lugar donde reside, en donde tiene el principal asiente de negocios, o en su caso, el dónde se halle; mientras, que el de personas jurídicas colectivas, es aquel donde se halle establecida su administración o ejerza sus actividades.</w:t>
      </w:r>
    </w:p>
    <w:p w14:paraId="0014B104" w14:textId="77777777" w:rsidR="00E63AB6" w:rsidRPr="00E63AB6" w:rsidRDefault="00E63AB6" w:rsidP="00E63AB6">
      <w:pPr>
        <w:tabs>
          <w:tab w:val="center" w:pos="4522"/>
        </w:tabs>
        <w:spacing w:line="360" w:lineRule="auto"/>
        <w:jc w:val="both"/>
        <w:rPr>
          <w:rFonts w:ascii="Palatino Linotype" w:hAnsi="Palatino Linotype"/>
          <w:color w:val="000000"/>
        </w:rPr>
      </w:pPr>
    </w:p>
    <w:p w14:paraId="34D78B2B" w14:textId="63BC325B" w:rsidR="00E63AB6" w:rsidRPr="00441DD7" w:rsidRDefault="00E63AB6" w:rsidP="00441DD7">
      <w:pPr>
        <w:pStyle w:val="Prrafodelista"/>
        <w:numPr>
          <w:ilvl w:val="0"/>
          <w:numId w:val="3"/>
        </w:numPr>
        <w:spacing w:line="360" w:lineRule="auto"/>
        <w:jc w:val="both"/>
        <w:rPr>
          <w:rFonts w:ascii="Palatino Linotype" w:hAnsi="Palatino Linotype"/>
          <w:color w:val="000000"/>
        </w:rPr>
      </w:pPr>
      <w:r w:rsidRPr="00441DD7">
        <w:rPr>
          <w:rFonts w:ascii="Palatino Linotype" w:hAnsi="Palatino Linotype"/>
          <w:color w:val="000000"/>
        </w:rPr>
        <w:lastRenderedPageBreak/>
        <w:t>De la misma manera, lo establece los diversos 29 y 33 del Código Civil Federal, al precisar que el domicilio de personas físicas</w:t>
      </w:r>
      <w:r w:rsidRPr="00441DD7">
        <w:rPr>
          <w:rFonts w:ascii="Palatino Linotype" w:hAnsi="Palatino Linotype"/>
          <w:b/>
          <w:color w:val="000000"/>
        </w:rPr>
        <w:t xml:space="preserve">, es el lugar donde residen habitualmente, el lugar del centro principal de sus negocios, donde residan o el lugar donde se encuentren; </w:t>
      </w:r>
      <w:r w:rsidRPr="00441DD7">
        <w:rPr>
          <w:rFonts w:ascii="Palatino Linotype" w:hAnsi="Palatino Linotype"/>
          <w:color w:val="000000"/>
        </w:rPr>
        <w:t>mientras que, de las personas morales, aquel donde se halle su administración.</w:t>
      </w:r>
    </w:p>
    <w:p w14:paraId="4C02CA9C" w14:textId="77777777" w:rsidR="00E63AB6" w:rsidRPr="00E63AB6" w:rsidRDefault="00E63AB6" w:rsidP="00E63AB6">
      <w:pPr>
        <w:tabs>
          <w:tab w:val="center" w:pos="4522"/>
        </w:tabs>
        <w:spacing w:line="360" w:lineRule="auto"/>
        <w:jc w:val="both"/>
        <w:rPr>
          <w:rFonts w:ascii="Palatino Linotype" w:hAnsi="Palatino Linotype"/>
          <w:b/>
          <w:color w:val="000000"/>
        </w:rPr>
      </w:pPr>
    </w:p>
    <w:p w14:paraId="2223AFEB" w14:textId="22C2A14D" w:rsidR="00E63AB6" w:rsidRPr="00441DD7" w:rsidRDefault="00E63AB6" w:rsidP="00441DD7">
      <w:pPr>
        <w:pStyle w:val="Prrafodelista"/>
        <w:numPr>
          <w:ilvl w:val="0"/>
          <w:numId w:val="3"/>
        </w:numPr>
        <w:spacing w:line="360" w:lineRule="auto"/>
        <w:jc w:val="both"/>
        <w:rPr>
          <w:rFonts w:ascii="Palatino Linotype" w:hAnsi="Palatino Linotype"/>
          <w:color w:val="000000"/>
        </w:rPr>
      </w:pPr>
      <w:r w:rsidRPr="00441DD7">
        <w:rPr>
          <w:rFonts w:ascii="Palatino Linotype" w:hAnsi="Palatino Linotype"/>
          <w:color w:val="000000"/>
        </w:rPr>
        <w:t>Además, respecto al domicilio fiscal, resulta necesario traer el artículo 10 del Código Fiscal de la Federación, que establece que, tratándose de personas físicas, corresponderá dicho dato:</w:t>
      </w:r>
    </w:p>
    <w:p w14:paraId="54514869" w14:textId="77777777" w:rsidR="00E63AB6" w:rsidRPr="00E63AB6" w:rsidRDefault="00E63AB6" w:rsidP="00E63AB6">
      <w:pPr>
        <w:numPr>
          <w:ilvl w:val="0"/>
          <w:numId w:val="17"/>
        </w:numPr>
        <w:pBdr>
          <w:top w:val="nil"/>
          <w:left w:val="nil"/>
          <w:bottom w:val="nil"/>
          <w:right w:val="nil"/>
          <w:between w:val="nil"/>
        </w:pBdr>
        <w:tabs>
          <w:tab w:val="center" w:pos="4522"/>
        </w:tabs>
        <w:spacing w:line="360" w:lineRule="auto"/>
        <w:jc w:val="both"/>
        <w:rPr>
          <w:rFonts w:ascii="Palatino Linotype" w:hAnsi="Palatino Linotype"/>
          <w:color w:val="000000"/>
        </w:rPr>
      </w:pPr>
      <w:r w:rsidRPr="00E63AB6">
        <w:rPr>
          <w:rFonts w:ascii="Palatino Linotype" w:hAnsi="Palatino Linotype"/>
          <w:color w:val="000000"/>
        </w:rPr>
        <w:t>El lugar donde realizan actividades empresariales, el local, en que se encuentre el principal asiente de sus negocios, y</w:t>
      </w:r>
    </w:p>
    <w:p w14:paraId="21F9AF38" w14:textId="77777777" w:rsidR="00E63AB6" w:rsidRPr="00E63AB6" w:rsidRDefault="00E63AB6" w:rsidP="00E63AB6">
      <w:pPr>
        <w:numPr>
          <w:ilvl w:val="0"/>
          <w:numId w:val="17"/>
        </w:numPr>
        <w:pBdr>
          <w:top w:val="nil"/>
          <w:left w:val="nil"/>
          <w:bottom w:val="nil"/>
          <w:right w:val="nil"/>
          <w:between w:val="nil"/>
        </w:pBdr>
        <w:tabs>
          <w:tab w:val="center" w:pos="4522"/>
        </w:tabs>
        <w:spacing w:line="360" w:lineRule="auto"/>
        <w:jc w:val="both"/>
        <w:rPr>
          <w:rFonts w:ascii="Palatino Linotype" w:hAnsi="Palatino Linotype"/>
          <w:color w:val="000000"/>
        </w:rPr>
      </w:pPr>
      <w:r w:rsidRPr="00E63AB6">
        <w:rPr>
          <w:rFonts w:ascii="Palatino Linotype" w:hAnsi="Palatino Linotype"/>
          <w:color w:val="000000"/>
        </w:rPr>
        <w:t>La casa habitación, cuando no cuenta con un local o lugar donde realice las acciones previamente señaladas.</w:t>
      </w:r>
    </w:p>
    <w:p w14:paraId="02C3BF0E" w14:textId="77777777" w:rsidR="00E63AB6" w:rsidRPr="00E63AB6" w:rsidRDefault="00E63AB6" w:rsidP="00E63AB6">
      <w:pPr>
        <w:tabs>
          <w:tab w:val="center" w:pos="4522"/>
        </w:tabs>
        <w:spacing w:line="360" w:lineRule="auto"/>
        <w:jc w:val="both"/>
        <w:rPr>
          <w:rFonts w:ascii="Palatino Linotype" w:hAnsi="Palatino Linotype"/>
          <w:color w:val="000000"/>
        </w:rPr>
      </w:pPr>
    </w:p>
    <w:p w14:paraId="2A85290B" w14:textId="1AD2F5D1" w:rsidR="00E63AB6" w:rsidRPr="00441DD7" w:rsidRDefault="00E63AB6" w:rsidP="00441DD7">
      <w:pPr>
        <w:pStyle w:val="Prrafodelista"/>
        <w:numPr>
          <w:ilvl w:val="0"/>
          <w:numId w:val="3"/>
        </w:numPr>
        <w:spacing w:line="360" w:lineRule="auto"/>
        <w:jc w:val="both"/>
        <w:rPr>
          <w:rFonts w:ascii="Palatino Linotype" w:hAnsi="Palatino Linotype"/>
          <w:color w:val="000000"/>
        </w:rPr>
      </w:pPr>
      <w:r w:rsidRPr="00441DD7">
        <w:rPr>
          <w:rFonts w:ascii="Palatino Linotype" w:hAnsi="Palatino Linotype"/>
          <w:color w:val="000000"/>
        </w:rPr>
        <w:t>Mientras que, en el caso de personas morales, el domicilio fiscal, corresponderá al local donde se encuentra la administración principal del negocio. Como se logra observar, el domicilio fiscal de los contratistas personas físicas, se encuentra en dos supuestos, por lo que, se procede a su análisis.</w:t>
      </w:r>
    </w:p>
    <w:p w14:paraId="5184643D" w14:textId="77777777" w:rsidR="00E63AB6" w:rsidRPr="00E63AB6" w:rsidRDefault="00E63AB6" w:rsidP="00E63AB6">
      <w:pPr>
        <w:tabs>
          <w:tab w:val="center" w:pos="4522"/>
        </w:tabs>
        <w:spacing w:line="360" w:lineRule="auto"/>
        <w:jc w:val="both"/>
        <w:rPr>
          <w:rFonts w:ascii="Palatino Linotype" w:hAnsi="Palatino Linotype"/>
          <w:color w:val="000000"/>
        </w:rPr>
      </w:pPr>
    </w:p>
    <w:p w14:paraId="5F064F73" w14:textId="63149DFC" w:rsidR="00E63AB6" w:rsidRPr="00441DD7" w:rsidRDefault="00E63AB6" w:rsidP="00441DD7">
      <w:pPr>
        <w:pStyle w:val="Prrafodelista"/>
        <w:numPr>
          <w:ilvl w:val="0"/>
          <w:numId w:val="3"/>
        </w:numPr>
        <w:spacing w:line="360" w:lineRule="auto"/>
        <w:jc w:val="both"/>
        <w:rPr>
          <w:rFonts w:ascii="Palatino Linotype" w:hAnsi="Palatino Linotype"/>
          <w:color w:val="000000"/>
        </w:rPr>
      </w:pPr>
      <w:r w:rsidRPr="00441DD7">
        <w:rPr>
          <w:rFonts w:ascii="Palatino Linotype" w:hAnsi="Palatino Linotype"/>
          <w:color w:val="000000"/>
        </w:rPr>
        <w:t xml:space="preserve">Si bien es cierto que el primero, corresponde al lugar en donde reside habitualmente una persona en comento y, permite hacerlo identificable y ubicable, propiciando que pueda ser molestado en su casa, de este modo, los datos que permiten a cualquier individuo con esfuerzos mínimos identificar el lugar de residencia constituye un dato personal y, por ende, susceptible de clasificarse como confidencial, ya que incide </w:t>
      </w:r>
      <w:r w:rsidRPr="00441DD7">
        <w:rPr>
          <w:rFonts w:ascii="Palatino Linotype" w:hAnsi="Palatino Linotype"/>
          <w:color w:val="000000"/>
        </w:rPr>
        <w:lastRenderedPageBreak/>
        <w:t>directamente en la vida privada del individuo identificado, no debe dejarse de lado que, aquellas personas que deciden tener relaciones comerciales con las instituciones públicas, tienen una expectativa de privacidad menor, respecto del resto de las personas, en razón de obtener el beneficio de vender sus productos o servicios y recibir por ellos dinero del erario, situación que debe ser transparentada.</w:t>
      </w:r>
    </w:p>
    <w:p w14:paraId="1022E012" w14:textId="77777777" w:rsidR="00E63AB6" w:rsidRPr="00E63AB6" w:rsidRDefault="00E63AB6" w:rsidP="00E63AB6">
      <w:pPr>
        <w:tabs>
          <w:tab w:val="center" w:pos="4522"/>
        </w:tabs>
        <w:spacing w:line="360" w:lineRule="auto"/>
        <w:jc w:val="both"/>
        <w:rPr>
          <w:rFonts w:ascii="Palatino Linotype" w:hAnsi="Palatino Linotype"/>
          <w:color w:val="000000"/>
        </w:rPr>
      </w:pPr>
    </w:p>
    <w:p w14:paraId="24FADE98" w14:textId="0DCE08DB" w:rsidR="00E63AB6" w:rsidRPr="00441DD7" w:rsidRDefault="00E63AB6" w:rsidP="00441DD7">
      <w:pPr>
        <w:pStyle w:val="Prrafodelista"/>
        <w:numPr>
          <w:ilvl w:val="0"/>
          <w:numId w:val="3"/>
        </w:numPr>
        <w:spacing w:line="360" w:lineRule="auto"/>
        <w:jc w:val="both"/>
        <w:rPr>
          <w:rFonts w:ascii="Palatino Linotype" w:hAnsi="Palatino Linotype"/>
          <w:color w:val="000000"/>
        </w:rPr>
      </w:pPr>
      <w:r w:rsidRPr="00441DD7">
        <w:rPr>
          <w:rFonts w:ascii="Palatino Linotype" w:hAnsi="Palatino Linotype"/>
          <w:color w:val="000000"/>
        </w:rPr>
        <w:t>Como se logra observar, es obligación de transparencia proporcionar el domicilio fiscal de los contratistas, por lo que, se considera que, en el caso, de que dicho dato, corresponda a un local o lugar donde realice sus actividades empresariales, se debe entregar.</w:t>
      </w:r>
    </w:p>
    <w:p w14:paraId="473A2EB5" w14:textId="77777777" w:rsidR="00E63AB6" w:rsidRPr="00E63AB6" w:rsidRDefault="00E63AB6" w:rsidP="00E63AB6">
      <w:pPr>
        <w:tabs>
          <w:tab w:val="center" w:pos="4522"/>
        </w:tabs>
        <w:spacing w:line="360" w:lineRule="auto"/>
        <w:jc w:val="both"/>
        <w:rPr>
          <w:rFonts w:ascii="Palatino Linotype" w:hAnsi="Palatino Linotype"/>
          <w:color w:val="000000"/>
        </w:rPr>
      </w:pPr>
    </w:p>
    <w:p w14:paraId="1E1EA628" w14:textId="02447A93" w:rsidR="00E63AB6" w:rsidRPr="00441DD7" w:rsidRDefault="00E63AB6" w:rsidP="00441DD7">
      <w:pPr>
        <w:pStyle w:val="Prrafodelista"/>
        <w:numPr>
          <w:ilvl w:val="0"/>
          <w:numId w:val="3"/>
        </w:numPr>
        <w:spacing w:line="360" w:lineRule="auto"/>
        <w:jc w:val="both"/>
        <w:rPr>
          <w:rFonts w:ascii="Palatino Linotype" w:hAnsi="Palatino Linotype"/>
          <w:color w:val="000000"/>
        </w:rPr>
      </w:pPr>
      <w:r w:rsidRPr="00441DD7">
        <w:rPr>
          <w:rFonts w:ascii="Palatino Linotype" w:hAnsi="Palatino Linotype"/>
          <w:color w:val="000000"/>
        </w:rPr>
        <w:t>De tal suerte que, tratándose de contratistas (personas físicas o jurídico-colectivas), el domicilio fiscal, no actualiza la causal de clasificación, establecida en el artículo 143, fracción I de la Ley de Transparencia y Acceso a la Información Pública del Estado de México y Municipios.</w:t>
      </w:r>
    </w:p>
    <w:p w14:paraId="18D8FC30" w14:textId="77777777" w:rsidR="00E63AB6" w:rsidRPr="00E63AB6" w:rsidRDefault="00E63AB6" w:rsidP="00E63AB6">
      <w:pPr>
        <w:tabs>
          <w:tab w:val="center" w:pos="4522"/>
        </w:tabs>
        <w:spacing w:line="360" w:lineRule="auto"/>
        <w:jc w:val="both"/>
        <w:rPr>
          <w:rFonts w:ascii="Palatino Linotype" w:hAnsi="Palatino Linotype"/>
          <w:color w:val="000000"/>
        </w:rPr>
      </w:pPr>
    </w:p>
    <w:p w14:paraId="574F84FE" w14:textId="77777777" w:rsidR="00E63AB6" w:rsidRPr="00E63AB6" w:rsidRDefault="00E63AB6" w:rsidP="00E63AB6">
      <w:pPr>
        <w:numPr>
          <w:ilvl w:val="0"/>
          <w:numId w:val="16"/>
        </w:numPr>
        <w:pBdr>
          <w:top w:val="nil"/>
          <w:left w:val="nil"/>
          <w:bottom w:val="nil"/>
          <w:right w:val="nil"/>
          <w:between w:val="nil"/>
        </w:pBdr>
        <w:tabs>
          <w:tab w:val="center" w:pos="4522"/>
        </w:tabs>
        <w:spacing w:line="360" w:lineRule="auto"/>
        <w:jc w:val="both"/>
        <w:rPr>
          <w:rFonts w:ascii="Palatino Linotype" w:hAnsi="Palatino Linotype"/>
          <w:b/>
          <w:color w:val="000000"/>
        </w:rPr>
      </w:pPr>
      <w:r w:rsidRPr="00E63AB6">
        <w:rPr>
          <w:rFonts w:ascii="Palatino Linotype" w:hAnsi="Palatino Linotype"/>
          <w:b/>
          <w:color w:val="000000"/>
        </w:rPr>
        <w:t xml:space="preserve">Cuenta bancaria y CLABE interbancaria </w:t>
      </w:r>
      <w:r>
        <w:rPr>
          <w:rFonts w:ascii="Palatino Linotype" w:hAnsi="Palatino Linotype"/>
          <w:b/>
          <w:color w:val="000000"/>
        </w:rPr>
        <w:t>de persona moral</w:t>
      </w:r>
    </w:p>
    <w:p w14:paraId="4BDDD14C" w14:textId="4D92DF9A" w:rsidR="00E63AB6" w:rsidRPr="00441DD7" w:rsidRDefault="00E63AB6" w:rsidP="00441DD7">
      <w:pPr>
        <w:pStyle w:val="Prrafodelista"/>
        <w:numPr>
          <w:ilvl w:val="0"/>
          <w:numId w:val="3"/>
        </w:numPr>
        <w:spacing w:line="360" w:lineRule="auto"/>
        <w:jc w:val="both"/>
        <w:rPr>
          <w:rFonts w:ascii="Palatino Linotype" w:hAnsi="Palatino Linotype"/>
          <w:color w:val="000000"/>
        </w:rPr>
      </w:pPr>
      <w:r w:rsidRPr="00441DD7">
        <w:rPr>
          <w:rFonts w:ascii="Palatino Linotype" w:hAnsi="Palatino Linotype"/>
          <w:color w:val="000000"/>
        </w:rPr>
        <w:t xml:space="preserve">Al respecto, se estima que dichos datos se relacionan con hechos y actos de carácter económico, pues los mismos darían cuenta, de la relación que tiene una institución financiero con un particular, ya sea persona física o moral; además, que con dicha información se podría obtener los recursos enviados a las órdenes de cargo, pago o a las transferencias electrónicas de fondos interbancarios, entre otros movimientos que sean utilizados exclusivamente en la cuenta señalada por el cliente y, por lo tanto, los datos </w:t>
      </w:r>
      <w:r w:rsidRPr="00441DD7">
        <w:rPr>
          <w:rFonts w:ascii="Palatino Linotype" w:hAnsi="Palatino Linotype"/>
          <w:color w:val="000000"/>
        </w:rPr>
        <w:lastRenderedPageBreak/>
        <w:t>bancarios corresponden a información que se encuentra relacionada con el patrimonio de la persona titular de la cuenta.</w:t>
      </w:r>
    </w:p>
    <w:p w14:paraId="17B33684" w14:textId="77777777" w:rsidR="00E63AB6" w:rsidRPr="00E63AB6" w:rsidRDefault="00E63AB6" w:rsidP="00E63AB6">
      <w:pPr>
        <w:tabs>
          <w:tab w:val="center" w:pos="4522"/>
        </w:tabs>
        <w:spacing w:line="360" w:lineRule="auto"/>
        <w:jc w:val="both"/>
        <w:rPr>
          <w:rFonts w:ascii="Palatino Linotype" w:hAnsi="Palatino Linotype"/>
          <w:color w:val="000000"/>
        </w:rPr>
      </w:pPr>
      <w:r w:rsidRPr="00E63AB6">
        <w:rPr>
          <w:rFonts w:ascii="Palatino Linotype" w:hAnsi="Palatino Linotype"/>
          <w:color w:val="000000"/>
        </w:rPr>
        <w:t> </w:t>
      </w:r>
    </w:p>
    <w:p w14:paraId="513F1AA1" w14:textId="0A2B808C" w:rsidR="00E63AB6" w:rsidRPr="00441DD7" w:rsidRDefault="00E63AB6" w:rsidP="00441DD7">
      <w:pPr>
        <w:pStyle w:val="Prrafodelista"/>
        <w:numPr>
          <w:ilvl w:val="0"/>
          <w:numId w:val="3"/>
        </w:numPr>
        <w:spacing w:line="360" w:lineRule="auto"/>
        <w:jc w:val="both"/>
        <w:rPr>
          <w:rFonts w:ascii="Palatino Linotype" w:hAnsi="Palatino Linotype"/>
          <w:color w:val="000000"/>
        </w:rPr>
      </w:pPr>
      <w:r w:rsidRPr="00441DD7">
        <w:rPr>
          <w:rFonts w:ascii="Palatino Linotype" w:hAnsi="Palatino Linotype"/>
          <w:color w:val="000000"/>
        </w:rPr>
        <w:t>A mayor abundamiento, resulta necesario traer a colación el Criterio Orientador, de la Segunda Época, con número de registro SO/010/2017, emitido por el entonces Instituto Nacional de Transparencia, Acceso a la Información y Protección de Datos Personales, mismo que establece lo siguiente:</w:t>
      </w:r>
    </w:p>
    <w:p w14:paraId="399E587E" w14:textId="42ED8B65" w:rsidR="00E63AB6" w:rsidRPr="00E63AB6" w:rsidRDefault="00E63AB6" w:rsidP="00441DD7">
      <w:pPr>
        <w:spacing w:line="360" w:lineRule="auto"/>
        <w:ind w:left="720" w:firstLine="720"/>
        <w:jc w:val="both"/>
        <w:rPr>
          <w:rFonts w:ascii="Palatino Linotype" w:hAnsi="Palatino Linotype"/>
          <w:i/>
          <w:color w:val="000000"/>
        </w:rPr>
      </w:pPr>
      <w:r w:rsidRPr="00E63AB6">
        <w:rPr>
          <w:rFonts w:ascii="Palatino Linotype" w:hAnsi="Palatino Linotype"/>
          <w:i/>
          <w:color w:val="000000"/>
        </w:rPr>
        <w:t>“</w:t>
      </w:r>
      <w:r w:rsidRPr="00E63AB6">
        <w:rPr>
          <w:rFonts w:ascii="Palatino Linotype" w:hAnsi="Palatino Linotype"/>
          <w:b/>
          <w:i/>
          <w:color w:val="000000"/>
        </w:rPr>
        <w:t>Cuentas bancarias y/o CLABE interbancaria de personas físicas y morales privadas.</w:t>
      </w:r>
      <w:r w:rsidRPr="00E63AB6">
        <w:rPr>
          <w:rFonts w:ascii="Palatino Linotype" w:hAnsi="Palatino Linotype"/>
          <w:i/>
          <w:color w:val="000000"/>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0AB5AE12" w14:textId="77777777" w:rsidR="00E63AB6" w:rsidRPr="00E63AB6" w:rsidRDefault="00E63AB6" w:rsidP="00E63AB6">
      <w:pPr>
        <w:tabs>
          <w:tab w:val="center" w:pos="4522"/>
        </w:tabs>
        <w:spacing w:line="360" w:lineRule="auto"/>
        <w:jc w:val="both"/>
        <w:rPr>
          <w:rFonts w:ascii="Palatino Linotype" w:hAnsi="Palatino Linotype"/>
          <w:color w:val="000000"/>
        </w:rPr>
      </w:pPr>
      <w:r w:rsidRPr="00E63AB6">
        <w:rPr>
          <w:rFonts w:ascii="Palatino Linotype" w:hAnsi="Palatino Linotype"/>
          <w:color w:val="000000"/>
        </w:rPr>
        <w:t> </w:t>
      </w:r>
    </w:p>
    <w:p w14:paraId="76E3A946" w14:textId="406B24CA" w:rsidR="00E63AB6" w:rsidRPr="00441DD7" w:rsidRDefault="00E63AB6" w:rsidP="00441DD7">
      <w:pPr>
        <w:pStyle w:val="Prrafodelista"/>
        <w:numPr>
          <w:ilvl w:val="0"/>
          <w:numId w:val="3"/>
        </w:numPr>
        <w:spacing w:line="360" w:lineRule="auto"/>
        <w:jc w:val="both"/>
        <w:rPr>
          <w:rFonts w:ascii="Palatino Linotype" w:hAnsi="Palatino Linotype"/>
          <w:color w:val="000000"/>
        </w:rPr>
      </w:pPr>
      <w:r w:rsidRPr="00441DD7">
        <w:rPr>
          <w:rFonts w:ascii="Palatino Linotype" w:hAnsi="Palatino Linotype"/>
          <w:color w:val="000000"/>
        </w:rPr>
        <w:t xml:space="preserve">Por lo cual, se puede colegir que dichos datos no guardan relación con el servicio público ni con los recursos públicos, pues sólo corresponde a información, que le atañe a la institución financiera y al cliente; por lo que este número constituye información confidencial al pertenecer exclusivamente al ámbito de la vida privada del proveedor y procede su eliminación de conformidad con el artículo 143, fracción I, de la Ley de Transparencia y Acceso a la Información Pública del Estado de México y Municipios.  </w:t>
      </w:r>
    </w:p>
    <w:p w14:paraId="16E1E03D" w14:textId="77777777" w:rsidR="00E63AB6" w:rsidRDefault="00E63AB6" w:rsidP="00E63AB6">
      <w:pPr>
        <w:tabs>
          <w:tab w:val="center" w:pos="4522"/>
        </w:tabs>
        <w:spacing w:line="360" w:lineRule="auto"/>
        <w:jc w:val="both"/>
        <w:rPr>
          <w:rFonts w:ascii="Palatino Linotype" w:hAnsi="Palatino Linotype"/>
          <w:color w:val="000000"/>
        </w:rPr>
      </w:pPr>
    </w:p>
    <w:p w14:paraId="360F54D2" w14:textId="77777777" w:rsidR="00441DD7" w:rsidRPr="00E63AB6" w:rsidRDefault="00441DD7" w:rsidP="00E63AB6">
      <w:pPr>
        <w:tabs>
          <w:tab w:val="center" w:pos="4522"/>
        </w:tabs>
        <w:spacing w:line="360" w:lineRule="auto"/>
        <w:jc w:val="both"/>
        <w:rPr>
          <w:rFonts w:ascii="Palatino Linotype" w:hAnsi="Palatino Linotype"/>
          <w:color w:val="000000"/>
        </w:rPr>
      </w:pPr>
    </w:p>
    <w:p w14:paraId="726436BC" w14:textId="77777777" w:rsidR="00E63AB6" w:rsidRPr="00E63AB6" w:rsidRDefault="00E63AB6" w:rsidP="00E63AB6">
      <w:pPr>
        <w:numPr>
          <w:ilvl w:val="0"/>
          <w:numId w:val="16"/>
        </w:numPr>
        <w:pBdr>
          <w:top w:val="nil"/>
          <w:left w:val="nil"/>
          <w:bottom w:val="nil"/>
          <w:right w:val="nil"/>
          <w:between w:val="nil"/>
        </w:pBdr>
        <w:tabs>
          <w:tab w:val="center" w:pos="4522"/>
        </w:tabs>
        <w:spacing w:line="360" w:lineRule="auto"/>
        <w:jc w:val="both"/>
        <w:rPr>
          <w:rFonts w:ascii="Palatino Linotype" w:hAnsi="Palatino Linotype"/>
          <w:b/>
          <w:color w:val="000000"/>
        </w:rPr>
      </w:pPr>
      <w:r w:rsidRPr="00E63AB6">
        <w:rPr>
          <w:rFonts w:ascii="Palatino Linotype" w:hAnsi="Palatino Linotype"/>
          <w:b/>
          <w:color w:val="000000"/>
        </w:rPr>
        <w:lastRenderedPageBreak/>
        <w:t>Nombre de institución bancaria</w:t>
      </w:r>
    </w:p>
    <w:p w14:paraId="29E79C51" w14:textId="46758A0C" w:rsidR="00E63AB6" w:rsidRPr="00441DD7" w:rsidRDefault="00E63AB6" w:rsidP="00441DD7">
      <w:pPr>
        <w:pStyle w:val="Prrafodelista"/>
        <w:numPr>
          <w:ilvl w:val="0"/>
          <w:numId w:val="3"/>
        </w:numPr>
        <w:spacing w:line="360" w:lineRule="auto"/>
        <w:jc w:val="both"/>
        <w:rPr>
          <w:rFonts w:ascii="Palatino Linotype" w:hAnsi="Palatino Linotype"/>
          <w:color w:val="000000"/>
        </w:rPr>
      </w:pPr>
      <w:r w:rsidRPr="00441DD7">
        <w:rPr>
          <w:rFonts w:ascii="Palatino Linotype" w:hAnsi="Palatino Linotype"/>
          <w:color w:val="000000"/>
        </w:rPr>
        <w:t>En principio, es necesario señalar que conforme al artículo 2°, fracción IV  de la Ley de Protección y Defensa al Usuario de Servicios Financieros, establece que una institución financiera, se le denomina a las sociedades controladoras, instituciones de crédito, sociedades financieras de objeto múltiple, sociedades de información crediticia, casas de bolsa, especialistas bursátiles,  fondos de inversión, almacenes generales de depósito, uniones de crédito, casas de cambio, instituciones de seguros, sociedades mutualistas de seguros, instituciones de fianzas, administradoras de fondos para el retiro, PENSIONISSSTE, empresas operadoras de la base de datos nacional del sistema de ahorro para el retiro, Instituto del Fondo Nacional para el Consumo de los Trabajadores, sociedades cooperativas de ahorro y préstamo, sociedades financieras populares, sociedades financieras comunitarias, y cualquiera otra sociedad que requiera de la autorización de la Secretaría de Hacienda y Crédito Público o de cualesquiera de las Comisiones Nacionales para constituirse y funcionar como tales y ofrecer un producto o servicio financiero a los usuarios. </w:t>
      </w:r>
    </w:p>
    <w:p w14:paraId="3564A718" w14:textId="77777777" w:rsidR="00E63AB6" w:rsidRPr="00E63AB6" w:rsidRDefault="00E63AB6" w:rsidP="00E63AB6">
      <w:pPr>
        <w:tabs>
          <w:tab w:val="center" w:pos="4522"/>
        </w:tabs>
        <w:spacing w:line="360" w:lineRule="auto"/>
        <w:jc w:val="both"/>
        <w:rPr>
          <w:rFonts w:ascii="Palatino Linotype" w:hAnsi="Palatino Linotype"/>
          <w:color w:val="000000"/>
        </w:rPr>
      </w:pPr>
    </w:p>
    <w:p w14:paraId="716B0B1F" w14:textId="3CDA128E" w:rsidR="00E63AB6" w:rsidRPr="00441DD7" w:rsidRDefault="00E63AB6" w:rsidP="00441DD7">
      <w:pPr>
        <w:pStyle w:val="Prrafodelista"/>
        <w:numPr>
          <w:ilvl w:val="0"/>
          <w:numId w:val="3"/>
        </w:numPr>
        <w:spacing w:line="360" w:lineRule="auto"/>
        <w:jc w:val="both"/>
        <w:rPr>
          <w:rFonts w:ascii="Palatino Linotype" w:hAnsi="Palatino Linotype"/>
          <w:color w:val="000000"/>
        </w:rPr>
      </w:pPr>
      <w:r w:rsidRPr="00441DD7">
        <w:rPr>
          <w:rFonts w:ascii="Palatino Linotype" w:hAnsi="Palatino Linotype"/>
          <w:color w:val="000000"/>
        </w:rPr>
        <w:t xml:space="preserve">En ese orden de ideas, en el portal de la Comisión Nacional para la Protección y Defensa de los Usuarios de Servicios Financieros (consultadas el dieciocho de enero de dos mil veintitrés), en </w:t>
      </w:r>
      <w:hyperlink r:id="rId12">
        <w:r w:rsidRPr="00441DD7">
          <w:rPr>
            <w:rFonts w:ascii="Palatino Linotype" w:hAnsi="Palatino Linotype"/>
            <w:color w:val="0000FF"/>
            <w:u w:val="single"/>
          </w:rPr>
          <w:t>https://www.condusef.gob.mx/Revista/index.php/usuario-inteligente/condusef-responde/777-la-condusef-te-puede-ayudar</w:t>
        </w:r>
      </w:hyperlink>
      <w:r w:rsidRPr="00441DD7">
        <w:rPr>
          <w:rFonts w:ascii="Palatino Linotype" w:hAnsi="Palatino Linotype"/>
          <w:color w:val="000000"/>
        </w:rPr>
        <w:t>), se establece que los bancos son instituciones financieras; conforme a lo anterior, se puede advertir que las instituciones bancarias, son personas morales.</w:t>
      </w:r>
    </w:p>
    <w:p w14:paraId="3296A870" w14:textId="77777777" w:rsidR="00E63AB6" w:rsidRPr="00E63AB6" w:rsidRDefault="00E63AB6" w:rsidP="00E63AB6">
      <w:pPr>
        <w:tabs>
          <w:tab w:val="center" w:pos="4522"/>
        </w:tabs>
        <w:spacing w:line="360" w:lineRule="auto"/>
        <w:jc w:val="both"/>
        <w:rPr>
          <w:rFonts w:ascii="Palatino Linotype" w:hAnsi="Palatino Linotype"/>
          <w:color w:val="000000"/>
        </w:rPr>
      </w:pPr>
    </w:p>
    <w:p w14:paraId="58C8940C" w14:textId="4932CA6B" w:rsidR="00E63AB6" w:rsidRPr="00441DD7" w:rsidRDefault="00E63AB6" w:rsidP="00441DD7">
      <w:pPr>
        <w:pStyle w:val="Prrafodelista"/>
        <w:numPr>
          <w:ilvl w:val="0"/>
          <w:numId w:val="3"/>
        </w:numPr>
        <w:spacing w:line="360" w:lineRule="auto"/>
        <w:jc w:val="both"/>
        <w:rPr>
          <w:rFonts w:ascii="Palatino Linotype" w:hAnsi="Palatino Linotype"/>
          <w:color w:val="000000"/>
        </w:rPr>
      </w:pPr>
      <w:r w:rsidRPr="00441DD7">
        <w:rPr>
          <w:rFonts w:ascii="Palatino Linotype" w:hAnsi="Palatino Linotype"/>
          <w:color w:val="000000"/>
        </w:rPr>
        <w:lastRenderedPageBreak/>
        <w:t>En ese orden de ideas, se considera que la denominación o razón social de una persona moral, es pública, pues dichos datos se encuentran inscritos en el Registro Público del Comercio; lo anterior, toma sustento en el Criterio Orientador, de la Segunda Época, con número de registro SO/008/2019, emitido por el entonces Instituto Nacional de Transparencia, Acceso a la Información y Protección de Datos Personales, previamente referido.</w:t>
      </w:r>
    </w:p>
    <w:p w14:paraId="21E47584" w14:textId="77777777" w:rsidR="00E63AB6" w:rsidRPr="00E63AB6" w:rsidRDefault="00E63AB6" w:rsidP="00E63AB6">
      <w:pPr>
        <w:tabs>
          <w:tab w:val="center" w:pos="4522"/>
        </w:tabs>
        <w:spacing w:line="360" w:lineRule="auto"/>
        <w:jc w:val="both"/>
        <w:rPr>
          <w:rFonts w:ascii="Palatino Linotype" w:hAnsi="Palatino Linotype"/>
          <w:color w:val="000000"/>
        </w:rPr>
      </w:pPr>
    </w:p>
    <w:p w14:paraId="547D04AC" w14:textId="720C8FC5" w:rsidR="00E63AB6" w:rsidRPr="00441DD7" w:rsidRDefault="00E63AB6" w:rsidP="00441DD7">
      <w:pPr>
        <w:pStyle w:val="Prrafodelista"/>
        <w:numPr>
          <w:ilvl w:val="0"/>
          <w:numId w:val="3"/>
        </w:numPr>
        <w:spacing w:line="360" w:lineRule="auto"/>
        <w:jc w:val="both"/>
        <w:rPr>
          <w:rFonts w:ascii="Palatino Linotype" w:hAnsi="Palatino Linotype"/>
          <w:color w:val="000000"/>
        </w:rPr>
      </w:pPr>
      <w:r w:rsidRPr="00441DD7">
        <w:rPr>
          <w:rFonts w:ascii="Palatino Linotype" w:hAnsi="Palatino Linotype"/>
          <w:color w:val="000000"/>
        </w:rPr>
        <w:t xml:space="preserve">Lo anterior, se robustece con el hecho de que existe el Sistema de Registro de Prestadores de Servicios Financieros (consultadas el dieciocho de enero de dos mil veintitrés), a las trece horas, en la liga </w:t>
      </w:r>
      <w:hyperlink r:id="rId13">
        <w:r w:rsidRPr="00441DD7">
          <w:rPr>
            <w:rFonts w:ascii="Palatino Linotype" w:hAnsi="Palatino Linotype"/>
            <w:color w:val="0000FF"/>
            <w:u w:val="single"/>
          </w:rPr>
          <w:t>https://webapps.condusef.gob.mx/SIPRES/jsp/pub/index.jsp</w:t>
        </w:r>
      </w:hyperlink>
      <w:r w:rsidRPr="00441DD7">
        <w:rPr>
          <w:rFonts w:ascii="Palatino Linotype" w:hAnsi="Palatino Linotype"/>
          <w:color w:val="000000"/>
        </w:rPr>
        <w:t xml:space="preserve">), que es un registro de </w:t>
      </w:r>
      <w:r w:rsidRPr="00441DD7">
        <w:rPr>
          <w:rFonts w:ascii="Palatino Linotype" w:hAnsi="Palatino Linotype"/>
          <w:b/>
          <w:color w:val="000000"/>
        </w:rPr>
        <w:t xml:space="preserve">carácter público, </w:t>
      </w:r>
      <w:r w:rsidRPr="00441DD7">
        <w:rPr>
          <w:rFonts w:ascii="Palatino Linotype" w:hAnsi="Palatino Linotype"/>
          <w:color w:val="000000"/>
        </w:rPr>
        <w:t>cuyo objetivo principal, consiste en proporcionar información corporativa y general de las instituciones financieras</w:t>
      </w:r>
      <w:r w:rsidRPr="00441DD7">
        <w:rPr>
          <w:rFonts w:ascii="Palatino Linotype" w:hAnsi="Palatino Linotype"/>
          <w:b/>
          <w:color w:val="000000"/>
        </w:rPr>
        <w:t xml:space="preserve">; además, que permite conocer al público general, información de dichos entes, </w:t>
      </w:r>
      <w:r w:rsidRPr="00441DD7">
        <w:rPr>
          <w:rFonts w:ascii="Palatino Linotype" w:hAnsi="Palatino Linotype"/>
          <w:color w:val="000000"/>
        </w:rPr>
        <w:t xml:space="preserve">se muestra un ejemplo a continuación: </w:t>
      </w:r>
    </w:p>
    <w:p w14:paraId="5B290B68" w14:textId="77777777" w:rsidR="00E63AB6" w:rsidRPr="00E63AB6" w:rsidRDefault="00E63AB6" w:rsidP="00E63AB6">
      <w:pPr>
        <w:tabs>
          <w:tab w:val="center" w:pos="4522"/>
        </w:tabs>
        <w:spacing w:line="360" w:lineRule="auto"/>
        <w:jc w:val="both"/>
        <w:rPr>
          <w:rFonts w:ascii="Palatino Linotype" w:hAnsi="Palatino Linotype"/>
          <w:color w:val="000000"/>
        </w:rPr>
      </w:pPr>
    </w:p>
    <w:p w14:paraId="50A77537" w14:textId="77777777" w:rsidR="00E63AB6" w:rsidRPr="00E63AB6" w:rsidRDefault="00E63AB6" w:rsidP="00E63AB6">
      <w:pPr>
        <w:tabs>
          <w:tab w:val="center" w:pos="4522"/>
        </w:tabs>
        <w:spacing w:line="360" w:lineRule="auto"/>
        <w:jc w:val="center"/>
        <w:rPr>
          <w:rFonts w:ascii="Palatino Linotype" w:hAnsi="Palatino Linotype"/>
          <w:color w:val="000000"/>
        </w:rPr>
      </w:pPr>
      <w:r w:rsidRPr="00E63AB6">
        <w:rPr>
          <w:rFonts w:ascii="Palatino Linotype" w:hAnsi="Palatino Linotype"/>
          <w:noProof/>
          <w:color w:val="000000"/>
          <w:lang w:val="es-MX"/>
        </w:rPr>
        <w:drawing>
          <wp:inline distT="0" distB="0" distL="0" distR="0" wp14:anchorId="0084454A" wp14:editId="6D62D3CA">
            <wp:extent cx="4777740" cy="2476500"/>
            <wp:effectExtent l="0" t="0" r="0" b="0"/>
            <wp:docPr id="1432513720" name="image1.png" descr="Imagen que contiene 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magen que contiene Escala de tiempo&#10;&#10;Descripción generada automáticamente"/>
                    <pic:cNvPicPr preferRelativeResize="0"/>
                  </pic:nvPicPr>
                  <pic:blipFill>
                    <a:blip r:embed="rId14"/>
                    <a:srcRect t="2" b="379"/>
                    <a:stretch>
                      <a:fillRect/>
                    </a:stretch>
                  </pic:blipFill>
                  <pic:spPr>
                    <a:xfrm>
                      <a:off x="0" y="0"/>
                      <a:ext cx="4777740" cy="2476500"/>
                    </a:xfrm>
                    <a:prstGeom prst="rect">
                      <a:avLst/>
                    </a:prstGeom>
                    <a:ln/>
                  </pic:spPr>
                </pic:pic>
              </a:graphicData>
            </a:graphic>
          </wp:inline>
        </w:drawing>
      </w:r>
    </w:p>
    <w:p w14:paraId="4348900E" w14:textId="77777777" w:rsidR="00E63AB6" w:rsidRPr="00E63AB6" w:rsidRDefault="00E63AB6" w:rsidP="00E63AB6">
      <w:pPr>
        <w:tabs>
          <w:tab w:val="center" w:pos="4522"/>
        </w:tabs>
        <w:spacing w:line="360" w:lineRule="auto"/>
        <w:jc w:val="both"/>
        <w:rPr>
          <w:rFonts w:ascii="Palatino Linotype" w:hAnsi="Palatino Linotype"/>
          <w:color w:val="000000"/>
        </w:rPr>
      </w:pPr>
    </w:p>
    <w:p w14:paraId="51CB3117" w14:textId="4B5399F4" w:rsidR="00E63AB6" w:rsidRPr="00441DD7" w:rsidRDefault="00E63AB6" w:rsidP="00441DD7">
      <w:pPr>
        <w:pStyle w:val="Prrafodelista"/>
        <w:numPr>
          <w:ilvl w:val="0"/>
          <w:numId w:val="3"/>
        </w:numPr>
        <w:spacing w:line="360" w:lineRule="auto"/>
        <w:jc w:val="both"/>
        <w:rPr>
          <w:rFonts w:ascii="Palatino Linotype" w:hAnsi="Palatino Linotype"/>
          <w:color w:val="000000"/>
        </w:rPr>
      </w:pPr>
      <w:r w:rsidRPr="00441DD7">
        <w:rPr>
          <w:rFonts w:ascii="Palatino Linotype" w:hAnsi="Palatino Linotype"/>
          <w:color w:val="000000"/>
        </w:rPr>
        <w:lastRenderedPageBreak/>
        <w:t>Conforme a lo anterior, se logra vislumbrar que el nombre de las instituciones bancarias en primera instancia es de naturaleza pública; sin embargo, en el presente caso, se relacionada con el hecho de que corresponde al banco en el cual un proveedor o contratista decidió recibir el pago de sus servicios; es decir, daría cuenta de la decisión voluntaria de recibir el pago de sus servicios en una determinada institución; lo cual se relaciona con la cuenta y clave interbancaria, mismos que son confidenciales.</w:t>
      </w:r>
    </w:p>
    <w:p w14:paraId="7B272E8C" w14:textId="77777777" w:rsidR="00E63AB6" w:rsidRPr="00E63AB6" w:rsidRDefault="00E63AB6" w:rsidP="00E63AB6">
      <w:pPr>
        <w:tabs>
          <w:tab w:val="center" w:pos="4522"/>
        </w:tabs>
        <w:spacing w:line="360" w:lineRule="auto"/>
        <w:jc w:val="both"/>
        <w:rPr>
          <w:rFonts w:ascii="Palatino Linotype" w:hAnsi="Palatino Linotype"/>
          <w:color w:val="000000"/>
        </w:rPr>
      </w:pPr>
    </w:p>
    <w:p w14:paraId="29319FFB" w14:textId="5AD8E02B" w:rsidR="00E63AB6" w:rsidRPr="00441DD7" w:rsidRDefault="00E63AB6" w:rsidP="00441DD7">
      <w:pPr>
        <w:pStyle w:val="Prrafodelista"/>
        <w:numPr>
          <w:ilvl w:val="0"/>
          <w:numId w:val="3"/>
        </w:numPr>
        <w:spacing w:line="360" w:lineRule="auto"/>
        <w:jc w:val="both"/>
        <w:rPr>
          <w:rFonts w:ascii="Palatino Linotype" w:hAnsi="Palatino Linotype"/>
          <w:color w:val="000000"/>
        </w:rPr>
      </w:pPr>
      <w:r w:rsidRPr="00441DD7">
        <w:rPr>
          <w:rFonts w:ascii="Palatino Linotype" w:hAnsi="Palatino Linotype"/>
          <w:color w:val="000000"/>
        </w:rPr>
        <w:t>Además, revelaría el lugar en donde el proveedor recibió los recursos por prestar sus servicios, lo cual únicamente está relacionado a su vida íntima o privada de la persona moral; por lo que, este Instituto considera que el nombre de la institución bancaria, actualiza la causal de clasificación prevista en el artículo 143, fracción I, de la Ley de Transparencia y Acceso a la Información Pública del Estado de México y Municipios.</w:t>
      </w:r>
    </w:p>
    <w:p w14:paraId="6FD3220B" w14:textId="77777777" w:rsidR="00E63AB6" w:rsidRPr="00E63AB6" w:rsidRDefault="00E63AB6" w:rsidP="00E63AB6">
      <w:pPr>
        <w:tabs>
          <w:tab w:val="center" w:pos="4522"/>
        </w:tabs>
        <w:spacing w:line="360" w:lineRule="auto"/>
        <w:jc w:val="both"/>
        <w:rPr>
          <w:rFonts w:ascii="Palatino Linotype" w:hAnsi="Palatino Linotype"/>
          <w:color w:val="000000"/>
        </w:rPr>
      </w:pPr>
    </w:p>
    <w:p w14:paraId="11CDF33D" w14:textId="72F2184D" w:rsidR="00E63AB6" w:rsidRPr="00441DD7" w:rsidRDefault="00E63AB6" w:rsidP="00441DD7">
      <w:pPr>
        <w:pStyle w:val="Prrafodelista"/>
        <w:numPr>
          <w:ilvl w:val="0"/>
          <w:numId w:val="3"/>
        </w:numPr>
        <w:spacing w:line="360" w:lineRule="auto"/>
        <w:jc w:val="both"/>
        <w:rPr>
          <w:rFonts w:ascii="Palatino Linotype" w:hAnsi="Palatino Linotype"/>
          <w:color w:val="000000"/>
        </w:rPr>
      </w:pPr>
      <w:r w:rsidRPr="00441DD7">
        <w:rPr>
          <w:rFonts w:ascii="Palatino Linotype" w:hAnsi="Palatino Linotype"/>
          <w:color w:val="000000"/>
        </w:rPr>
        <w:t xml:space="preserve">Finalmente, el Sujeto Obligado, deberá elaborar la versión pública respectiva, tomando en consideración los datos analizados; al respecto, conforme al artículo 3°, fracción XLV, relacionado con el 137, ambos de la Ley de Transparencia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24F92CB9" w14:textId="77777777" w:rsidR="00E63AB6" w:rsidRPr="00E63AB6" w:rsidRDefault="00E63AB6" w:rsidP="00E63AB6">
      <w:pPr>
        <w:spacing w:line="360" w:lineRule="auto"/>
        <w:jc w:val="both"/>
        <w:rPr>
          <w:rFonts w:ascii="Palatino Linotype" w:hAnsi="Palatino Linotype"/>
          <w:color w:val="000000"/>
        </w:rPr>
      </w:pPr>
    </w:p>
    <w:p w14:paraId="06358C94" w14:textId="0DB06EF9" w:rsidR="00E63AB6" w:rsidRPr="00441DD7" w:rsidRDefault="00E63AB6" w:rsidP="00441DD7">
      <w:pPr>
        <w:pStyle w:val="Prrafodelista"/>
        <w:numPr>
          <w:ilvl w:val="0"/>
          <w:numId w:val="3"/>
        </w:numPr>
        <w:spacing w:line="360" w:lineRule="auto"/>
        <w:jc w:val="both"/>
        <w:rPr>
          <w:rFonts w:ascii="Palatino Linotype" w:hAnsi="Palatino Linotype"/>
          <w:color w:val="000000"/>
        </w:rPr>
      </w:pPr>
      <w:r w:rsidRPr="00441DD7">
        <w:rPr>
          <w:rFonts w:ascii="Palatino Linotype" w:hAnsi="Palatino Linotype"/>
          <w:color w:val="000000"/>
        </w:rPr>
        <w:t xml:space="preserve">Para tal situación, el Sujeto Obligado deberá seguir el procedimiento establecido en el artículo 168 de dicho ordenamiento jurídico; esto es, que el área competente deberá </w:t>
      </w:r>
      <w:r w:rsidRPr="00441DD7">
        <w:rPr>
          <w:rFonts w:ascii="Palatino Linotype" w:hAnsi="Palatino Linotype"/>
          <w:color w:val="000000"/>
        </w:rPr>
        <w:lastRenderedPageBreak/>
        <w:t>elaborar la versión pública, así como emitir el Acuerdo, por parte del Comité de Transparencia, donde confirme la clasificación de los datos, fundando y motivando la clasificación.</w:t>
      </w:r>
    </w:p>
    <w:p w14:paraId="4F5EB54C" w14:textId="77777777" w:rsidR="00E63AB6" w:rsidRDefault="00E63AB6" w:rsidP="00E63AB6">
      <w:pPr>
        <w:spacing w:line="360" w:lineRule="auto"/>
        <w:rPr>
          <w:rFonts w:eastAsia="Times New Roman" w:cs="Times New Roman"/>
          <w:lang w:eastAsia="es-ES"/>
        </w:rPr>
      </w:pPr>
    </w:p>
    <w:p w14:paraId="6B602864" w14:textId="62150F60" w:rsidR="00DE731B" w:rsidRPr="00441DD7" w:rsidRDefault="00DE731B" w:rsidP="00441DD7">
      <w:pPr>
        <w:pStyle w:val="Prrafodelista"/>
        <w:numPr>
          <w:ilvl w:val="0"/>
          <w:numId w:val="3"/>
        </w:numPr>
        <w:spacing w:line="360" w:lineRule="auto"/>
        <w:ind w:right="48"/>
        <w:jc w:val="both"/>
        <w:rPr>
          <w:rFonts w:ascii="Palatino Linotype" w:eastAsia="Times New Roman" w:hAnsi="Palatino Linotype" w:cs="Arial"/>
          <w:color w:val="0A0A0A"/>
          <w:lang w:val="es-MX"/>
        </w:rPr>
      </w:pPr>
      <w:r w:rsidRPr="00441DD7">
        <w:rPr>
          <w:rFonts w:ascii="Palatino Linotype" w:hAnsi="Palatino Linotype"/>
          <w:b/>
          <w:color w:val="000000"/>
        </w:rPr>
        <w:t>La Cédula de Identificación Fiscal (CIF)</w:t>
      </w:r>
      <w:r w:rsidRPr="00441DD7">
        <w:rPr>
          <w:rFonts w:ascii="Palatino Linotype" w:hAnsi="Palatino Linotype"/>
          <w:color w:val="000000"/>
        </w:rPr>
        <w:t xml:space="preserve"> de empresas en México es un documento</w:t>
      </w:r>
      <w:r w:rsidRPr="00441DD7">
        <w:rPr>
          <w:rFonts w:ascii="Palatino Linotype" w:eastAsia="Times New Roman" w:hAnsi="Palatino Linotype" w:cs="Arial"/>
          <w:color w:val="0A0A0A"/>
          <w:lang w:val="es-MX"/>
        </w:rPr>
        <w:t xml:space="preserve"> oficial expedido por el Servicio de Administración Tributaria (SAT) que certifica la inscripción en el Registro Federal de Contribuyentes (RFC) de una persona moral. Contiene datos clave como la razón social, régimen fiscal, domicilio fiscal y un código QR para validación, siendo esencial para trámites comerciales, financieros y fiscales. </w:t>
      </w:r>
    </w:p>
    <w:p w14:paraId="3D1D655D" w14:textId="77777777" w:rsidR="00DE731B" w:rsidRPr="00DE731B" w:rsidRDefault="00DE731B" w:rsidP="009C0EFB">
      <w:pPr>
        <w:pStyle w:val="Prrafodelista"/>
        <w:numPr>
          <w:ilvl w:val="0"/>
          <w:numId w:val="6"/>
        </w:numPr>
        <w:spacing w:line="360" w:lineRule="auto"/>
        <w:ind w:right="48"/>
        <w:jc w:val="both"/>
        <w:rPr>
          <w:rFonts w:ascii="Palatino Linotype" w:eastAsia="Times New Roman" w:hAnsi="Palatino Linotype" w:cs="Arial"/>
          <w:color w:val="0A0A0A"/>
          <w:lang w:val="es-MX"/>
        </w:rPr>
      </w:pPr>
      <w:r w:rsidRPr="00DE731B">
        <w:rPr>
          <w:rFonts w:ascii="Palatino Linotype" w:eastAsia="Times New Roman" w:hAnsi="Palatino Linotype" w:cs="Arial"/>
          <w:b/>
          <w:bCs/>
          <w:color w:val="0A0A0A"/>
          <w:lang w:val="es-MX"/>
        </w:rPr>
        <w:t xml:space="preserve">Componentes y Características </w:t>
      </w:r>
      <w:r w:rsidRPr="00DE731B">
        <w:rPr>
          <w:rFonts w:ascii="Palatino Linotype" w:hAnsi="Palatino Linotype"/>
          <w:color w:val="000000"/>
        </w:rPr>
        <w:t>Principales</w:t>
      </w:r>
      <w:r w:rsidRPr="00DE731B">
        <w:rPr>
          <w:rFonts w:ascii="Palatino Linotype" w:eastAsia="Times New Roman" w:hAnsi="Palatino Linotype" w:cs="Arial"/>
          <w:b/>
          <w:bCs/>
          <w:color w:val="0A0A0A"/>
          <w:lang w:val="es-MX"/>
        </w:rPr>
        <w:t xml:space="preserve"> de la CIF:</w:t>
      </w:r>
    </w:p>
    <w:p w14:paraId="2BC662E0" w14:textId="77777777" w:rsidR="00DE731B" w:rsidRPr="00DE731B" w:rsidRDefault="00DE731B" w:rsidP="009C0EFB">
      <w:pPr>
        <w:numPr>
          <w:ilvl w:val="0"/>
          <w:numId w:val="13"/>
        </w:numPr>
        <w:shd w:val="clear" w:color="auto" w:fill="FFFFFF"/>
        <w:spacing w:after="180" w:line="360" w:lineRule="auto"/>
        <w:ind w:left="284" w:right="567" w:firstLine="142"/>
        <w:jc w:val="both"/>
        <w:rPr>
          <w:rFonts w:ascii="Palatino Linotype" w:eastAsia="Times New Roman" w:hAnsi="Palatino Linotype" w:cs="Arial"/>
          <w:color w:val="0A0A0A"/>
          <w:lang w:val="es-MX"/>
        </w:rPr>
      </w:pPr>
      <w:r w:rsidRPr="00DE731B">
        <w:rPr>
          <w:rFonts w:ascii="Palatino Linotype" w:eastAsia="Times New Roman" w:hAnsi="Palatino Linotype" w:cs="Arial"/>
          <w:b/>
          <w:bCs/>
          <w:color w:val="0A0A0A"/>
          <w:lang w:val="es-MX"/>
        </w:rPr>
        <w:t>Identificación Única:</w:t>
      </w:r>
      <w:r w:rsidRPr="00DE731B">
        <w:rPr>
          <w:rFonts w:ascii="Palatino Linotype" w:eastAsia="Times New Roman" w:hAnsi="Palatino Linotype" w:cs="Arial"/>
          <w:color w:val="0A0A0A"/>
          <w:lang w:val="es-MX"/>
        </w:rPr>
        <w:t> Contiene el RFC de la empresa (12 caracteres para personas morales).</w:t>
      </w:r>
    </w:p>
    <w:p w14:paraId="74CBE6CA" w14:textId="77777777" w:rsidR="00DE731B" w:rsidRPr="00DE731B" w:rsidRDefault="00DE731B" w:rsidP="009C0EFB">
      <w:pPr>
        <w:numPr>
          <w:ilvl w:val="0"/>
          <w:numId w:val="13"/>
        </w:numPr>
        <w:shd w:val="clear" w:color="auto" w:fill="FFFFFF"/>
        <w:spacing w:after="180" w:line="360" w:lineRule="auto"/>
        <w:ind w:left="284" w:right="567" w:firstLine="142"/>
        <w:jc w:val="both"/>
        <w:rPr>
          <w:rFonts w:ascii="Palatino Linotype" w:eastAsia="Times New Roman" w:hAnsi="Palatino Linotype" w:cs="Arial"/>
          <w:color w:val="0A0A0A"/>
          <w:lang w:val="es-MX"/>
        </w:rPr>
      </w:pPr>
      <w:r w:rsidRPr="00DE731B">
        <w:rPr>
          <w:rFonts w:ascii="Palatino Linotype" w:eastAsia="Times New Roman" w:hAnsi="Palatino Linotype" w:cs="Arial"/>
          <w:b/>
          <w:bCs/>
          <w:color w:val="0A0A0A"/>
          <w:lang w:val="es-MX"/>
        </w:rPr>
        <w:t>Información de la Empresa:</w:t>
      </w:r>
      <w:r w:rsidRPr="00DE731B">
        <w:rPr>
          <w:rFonts w:ascii="Palatino Linotype" w:eastAsia="Times New Roman" w:hAnsi="Palatino Linotype" w:cs="Arial"/>
          <w:color w:val="0A0A0A"/>
          <w:lang w:val="es-MX"/>
        </w:rPr>
        <w:t> Razón social, fecha de inicio de operaciones y domicilio fiscal.</w:t>
      </w:r>
    </w:p>
    <w:p w14:paraId="4D61D528" w14:textId="77777777" w:rsidR="00DE731B" w:rsidRPr="00DE731B" w:rsidRDefault="00DE731B" w:rsidP="009C0EFB">
      <w:pPr>
        <w:numPr>
          <w:ilvl w:val="0"/>
          <w:numId w:val="13"/>
        </w:numPr>
        <w:shd w:val="clear" w:color="auto" w:fill="FFFFFF"/>
        <w:spacing w:after="180" w:line="360" w:lineRule="auto"/>
        <w:ind w:left="284" w:right="567" w:firstLine="142"/>
        <w:jc w:val="both"/>
        <w:rPr>
          <w:rFonts w:ascii="Palatino Linotype" w:eastAsia="Times New Roman" w:hAnsi="Palatino Linotype" w:cs="Arial"/>
          <w:color w:val="0A0A0A"/>
          <w:lang w:val="es-MX"/>
        </w:rPr>
      </w:pPr>
      <w:r w:rsidRPr="00DE731B">
        <w:rPr>
          <w:rFonts w:ascii="Palatino Linotype" w:eastAsia="Times New Roman" w:hAnsi="Palatino Linotype" w:cs="Arial"/>
          <w:b/>
          <w:bCs/>
          <w:color w:val="0A0A0A"/>
          <w:lang w:val="es-MX"/>
        </w:rPr>
        <w:t>Situación Fiscal:</w:t>
      </w:r>
      <w:r w:rsidRPr="00DE731B">
        <w:rPr>
          <w:rFonts w:ascii="Palatino Linotype" w:eastAsia="Times New Roman" w:hAnsi="Palatino Linotype" w:cs="Arial"/>
          <w:color w:val="0A0A0A"/>
          <w:lang w:val="es-MX"/>
        </w:rPr>
        <w:t> Régimen fiscal y obligaciones tributarias vigentes.</w:t>
      </w:r>
    </w:p>
    <w:p w14:paraId="3D3B5073" w14:textId="77777777" w:rsidR="00DE731B" w:rsidRPr="00DE731B" w:rsidRDefault="00DE731B" w:rsidP="009C0EFB">
      <w:pPr>
        <w:numPr>
          <w:ilvl w:val="0"/>
          <w:numId w:val="13"/>
        </w:numPr>
        <w:shd w:val="clear" w:color="auto" w:fill="FFFFFF"/>
        <w:spacing w:after="180" w:line="360" w:lineRule="auto"/>
        <w:ind w:left="284" w:right="567" w:firstLine="142"/>
        <w:jc w:val="both"/>
        <w:rPr>
          <w:rFonts w:ascii="Palatino Linotype" w:eastAsia="Times New Roman" w:hAnsi="Palatino Linotype" w:cs="Arial"/>
          <w:color w:val="0A0A0A"/>
          <w:lang w:val="es-MX"/>
        </w:rPr>
      </w:pPr>
      <w:r w:rsidRPr="00DE731B">
        <w:rPr>
          <w:rFonts w:ascii="Palatino Linotype" w:eastAsia="Times New Roman" w:hAnsi="Palatino Linotype" w:cs="Arial"/>
          <w:b/>
          <w:bCs/>
          <w:color w:val="0A0A0A"/>
          <w:lang w:val="es-MX"/>
        </w:rPr>
        <w:t>Código QR/Barras:</w:t>
      </w:r>
      <w:r w:rsidRPr="00DE731B">
        <w:rPr>
          <w:rFonts w:ascii="Palatino Linotype" w:eastAsia="Times New Roman" w:hAnsi="Palatino Linotype" w:cs="Arial"/>
          <w:color w:val="0A0A0A"/>
          <w:lang w:val="es-MX"/>
        </w:rPr>
        <w:t> Permite la verificación rápida de autenticidad y datos ante el SAT.</w:t>
      </w:r>
    </w:p>
    <w:p w14:paraId="278A1B5A" w14:textId="77777777" w:rsidR="00DE731B" w:rsidRDefault="00DE731B" w:rsidP="009C0EFB">
      <w:pPr>
        <w:numPr>
          <w:ilvl w:val="0"/>
          <w:numId w:val="13"/>
        </w:numPr>
        <w:shd w:val="clear" w:color="auto" w:fill="FFFFFF"/>
        <w:spacing w:after="180" w:line="360" w:lineRule="auto"/>
        <w:ind w:left="284" w:right="567" w:firstLine="142"/>
        <w:jc w:val="both"/>
        <w:rPr>
          <w:rFonts w:ascii="Palatino Linotype" w:eastAsia="Times New Roman" w:hAnsi="Palatino Linotype" w:cs="Arial"/>
          <w:color w:val="0A0A0A"/>
          <w:lang w:val="es-MX"/>
        </w:rPr>
      </w:pPr>
      <w:r w:rsidRPr="00DE731B">
        <w:rPr>
          <w:rFonts w:ascii="Palatino Linotype" w:eastAsia="Times New Roman" w:hAnsi="Palatino Linotype" w:cs="Arial"/>
          <w:b/>
          <w:bCs/>
          <w:color w:val="0A0A0A"/>
          <w:lang w:val="es-MX"/>
        </w:rPr>
        <w:t>Emisor:</w:t>
      </w:r>
      <w:r w:rsidRPr="00DE731B">
        <w:rPr>
          <w:rFonts w:ascii="Palatino Linotype" w:eastAsia="Times New Roman" w:hAnsi="Palatino Linotype" w:cs="Arial"/>
          <w:color w:val="0A0A0A"/>
          <w:lang w:val="es-MX"/>
        </w:rPr>
        <w:t> Emitida por la Secretaría de Hacienda y Crédito Público (SHCP) a través del SAT. </w:t>
      </w:r>
    </w:p>
    <w:p w14:paraId="784821C9" w14:textId="77777777" w:rsidR="00DE731B" w:rsidRDefault="00DE731B" w:rsidP="009C0EFB">
      <w:pPr>
        <w:shd w:val="clear" w:color="auto" w:fill="FFFFFF"/>
        <w:spacing w:after="180" w:line="360" w:lineRule="auto"/>
        <w:ind w:left="426" w:right="567"/>
        <w:jc w:val="both"/>
        <w:rPr>
          <w:rFonts w:ascii="Palatino Linotype" w:eastAsia="Times New Roman" w:hAnsi="Palatino Linotype" w:cs="Arial"/>
          <w:color w:val="0A0A0A"/>
          <w:lang w:val="es-MX"/>
        </w:rPr>
      </w:pPr>
    </w:p>
    <w:p w14:paraId="5B733060" w14:textId="77777777" w:rsidR="00441DD7" w:rsidRDefault="00441DD7" w:rsidP="009C0EFB">
      <w:pPr>
        <w:shd w:val="clear" w:color="auto" w:fill="FFFFFF"/>
        <w:spacing w:after="180" w:line="360" w:lineRule="auto"/>
        <w:ind w:left="426" w:right="567"/>
        <w:jc w:val="both"/>
        <w:rPr>
          <w:rFonts w:ascii="Palatino Linotype" w:eastAsia="Times New Roman" w:hAnsi="Palatino Linotype" w:cs="Arial"/>
          <w:color w:val="0A0A0A"/>
          <w:lang w:val="es-MX"/>
        </w:rPr>
      </w:pPr>
    </w:p>
    <w:p w14:paraId="024510E9" w14:textId="77777777" w:rsidR="00DE731B" w:rsidRDefault="00DE731B" w:rsidP="009C0EFB">
      <w:pPr>
        <w:shd w:val="clear" w:color="auto" w:fill="FFFFFF"/>
        <w:spacing w:after="180" w:line="360" w:lineRule="auto"/>
        <w:jc w:val="both"/>
        <w:rPr>
          <w:rFonts w:ascii="Palatino Linotype" w:eastAsia="Times New Roman" w:hAnsi="Palatino Linotype" w:cs="Arial"/>
          <w:b/>
          <w:lang w:val="es-MX"/>
        </w:rPr>
      </w:pPr>
      <w:r w:rsidRPr="00DE731B">
        <w:rPr>
          <w:rFonts w:ascii="Palatino Linotype" w:eastAsia="Times New Roman" w:hAnsi="Palatino Linotype" w:cs="Arial"/>
          <w:b/>
          <w:lang w:val="es-MX"/>
        </w:rPr>
        <w:lastRenderedPageBreak/>
        <w:t>Opinión del cumplimiento</w:t>
      </w:r>
    </w:p>
    <w:p w14:paraId="2EA67BE9" w14:textId="4B0B17A0" w:rsidR="00DE731B" w:rsidRPr="00441DD7" w:rsidRDefault="00DE731B" w:rsidP="00441DD7">
      <w:pPr>
        <w:pStyle w:val="Prrafodelista"/>
        <w:numPr>
          <w:ilvl w:val="0"/>
          <w:numId w:val="3"/>
        </w:numPr>
        <w:shd w:val="clear" w:color="auto" w:fill="FFFFFF"/>
        <w:spacing w:after="180" w:line="360" w:lineRule="auto"/>
        <w:jc w:val="both"/>
        <w:rPr>
          <w:rFonts w:ascii="Palatino Linotype" w:eastAsia="Times New Roman" w:hAnsi="Palatino Linotype" w:cs="Arial"/>
          <w:b/>
          <w:lang w:val="es-MX"/>
        </w:rPr>
      </w:pPr>
      <w:r w:rsidRPr="00441DD7">
        <w:rPr>
          <w:rFonts w:ascii="Palatino Linotype" w:eastAsia="Times New Roman" w:hAnsi="Palatino Linotype" w:cs="Times New Roman"/>
          <w:lang w:val="es-MX"/>
        </w:rPr>
        <w:t>La Opinión del cumplimiento es un documento emitido por el SAT que te permite consultar la situación del cumplimiento de tus obligaciones fiscales, de conformidad con lo establecido en el artículo 32-D del Código Fiscal de la Federación y de acuerdo a la regla 2.1.36., de la Resolución Miscelánea Fiscal. </w:t>
      </w:r>
    </w:p>
    <w:p w14:paraId="081087A1" w14:textId="77777777" w:rsidR="00441DD7" w:rsidRPr="00441DD7" w:rsidRDefault="00441DD7" w:rsidP="00441DD7">
      <w:pPr>
        <w:pStyle w:val="Prrafodelista"/>
        <w:shd w:val="clear" w:color="auto" w:fill="FFFFFF"/>
        <w:spacing w:after="180" w:line="360" w:lineRule="auto"/>
        <w:ind w:left="0"/>
        <w:jc w:val="both"/>
        <w:rPr>
          <w:rFonts w:ascii="Palatino Linotype" w:eastAsia="Times New Roman" w:hAnsi="Palatino Linotype" w:cs="Arial"/>
          <w:b/>
          <w:lang w:val="es-MX"/>
        </w:rPr>
      </w:pPr>
    </w:p>
    <w:p w14:paraId="43EC5524" w14:textId="308D4F7F" w:rsidR="00DE731B" w:rsidRPr="00441DD7" w:rsidRDefault="00DE731B" w:rsidP="00441DD7">
      <w:pPr>
        <w:pStyle w:val="Prrafodelista"/>
        <w:numPr>
          <w:ilvl w:val="0"/>
          <w:numId w:val="3"/>
        </w:numPr>
        <w:shd w:val="clear" w:color="auto" w:fill="FFFFFF"/>
        <w:spacing w:after="180" w:line="360" w:lineRule="auto"/>
        <w:jc w:val="both"/>
        <w:rPr>
          <w:rFonts w:ascii="Palatino Linotype" w:eastAsia="Times New Roman" w:hAnsi="Palatino Linotype" w:cs="Arial"/>
          <w:b/>
          <w:lang w:val="es-MX"/>
        </w:rPr>
      </w:pPr>
      <w:r w:rsidRPr="00441DD7">
        <w:rPr>
          <w:rFonts w:ascii="Palatino Linotype" w:eastAsia="Times New Roman" w:hAnsi="Palatino Linotype" w:cs="Times New Roman"/>
          <w:lang w:val="es-MX"/>
        </w:rPr>
        <w:t xml:space="preserve">Tener una Opinión de cumplimiento positiva te sirve para acceder a diversos beneficios, como contrataciones con el sector público, estímulos y subsidios, entre otros, por lo que se considera de carácter público, pues abona a la transparencia y a la rendición de cuentas. </w:t>
      </w:r>
    </w:p>
    <w:p w14:paraId="7794ABEF" w14:textId="77777777" w:rsidR="00441DD7" w:rsidRPr="00441DD7" w:rsidRDefault="00441DD7" w:rsidP="00441DD7">
      <w:pPr>
        <w:pStyle w:val="Prrafodelista"/>
        <w:shd w:val="clear" w:color="auto" w:fill="FFFFFF"/>
        <w:spacing w:after="180" w:line="360" w:lineRule="auto"/>
        <w:ind w:left="0"/>
        <w:jc w:val="both"/>
        <w:rPr>
          <w:rFonts w:ascii="Palatino Linotype" w:eastAsia="Times New Roman" w:hAnsi="Palatino Linotype" w:cs="Arial"/>
          <w:b/>
          <w:lang w:val="es-MX"/>
        </w:rPr>
      </w:pPr>
    </w:p>
    <w:p w14:paraId="5C8B1919" w14:textId="60BDB6F5" w:rsidR="00DE731B" w:rsidRDefault="00DE731B" w:rsidP="00441DD7">
      <w:pPr>
        <w:pStyle w:val="Prrafodelista"/>
        <w:numPr>
          <w:ilvl w:val="0"/>
          <w:numId w:val="3"/>
        </w:numPr>
        <w:shd w:val="clear" w:color="auto" w:fill="FFFFFF"/>
        <w:spacing w:line="360" w:lineRule="auto"/>
        <w:jc w:val="both"/>
        <w:rPr>
          <w:rFonts w:ascii="Palatino Linotype" w:hAnsi="Palatino Linotype" w:cs="Arial"/>
          <w:color w:val="0A0A0A"/>
        </w:rPr>
      </w:pPr>
      <w:r w:rsidRPr="00441DD7">
        <w:rPr>
          <w:rFonts w:ascii="Palatino Linotype" w:hAnsi="Palatino Linotype" w:cs="Arial"/>
          <w:color w:val="0A0A0A"/>
        </w:rPr>
        <w:t xml:space="preserve">El </w:t>
      </w:r>
      <w:r w:rsidRPr="00441DD7">
        <w:rPr>
          <w:rFonts w:ascii="Palatino Linotype" w:hAnsi="Palatino Linotype" w:cs="Arial"/>
          <w:b/>
          <w:color w:val="0A0A0A"/>
        </w:rPr>
        <w:t>alta en el Padrón Municipal de una empresa</w:t>
      </w:r>
      <w:r w:rsidRPr="00441DD7">
        <w:rPr>
          <w:rFonts w:ascii="Palatino Linotype" w:hAnsi="Palatino Linotype" w:cs="Arial"/>
          <w:color w:val="0A0A0A"/>
        </w:rPr>
        <w:t xml:space="preserve"> es el registro obligatorio y formal ante el ayuntamiento correspondiente para legalizar el inicio de actividades comerciales, permitiendo ejercer el comercio de forma regulada. </w:t>
      </w:r>
    </w:p>
    <w:p w14:paraId="7DA9D720" w14:textId="77777777" w:rsidR="00441DD7" w:rsidRPr="00441DD7" w:rsidRDefault="00441DD7" w:rsidP="00441DD7">
      <w:pPr>
        <w:pStyle w:val="Prrafodelista"/>
        <w:rPr>
          <w:rFonts w:ascii="Palatino Linotype" w:hAnsi="Palatino Linotype" w:cs="Arial"/>
          <w:color w:val="0A0A0A"/>
        </w:rPr>
      </w:pPr>
    </w:p>
    <w:p w14:paraId="5F4EB7CF" w14:textId="1EED677F" w:rsidR="00DE731B" w:rsidRPr="00441DD7" w:rsidRDefault="00DE731B" w:rsidP="00441DD7">
      <w:pPr>
        <w:pStyle w:val="Prrafodelista"/>
        <w:numPr>
          <w:ilvl w:val="0"/>
          <w:numId w:val="3"/>
        </w:numPr>
        <w:shd w:val="clear" w:color="auto" w:fill="FFFFFF"/>
        <w:spacing w:line="360" w:lineRule="auto"/>
        <w:jc w:val="both"/>
        <w:rPr>
          <w:rFonts w:ascii="Palatino Linotype" w:hAnsi="Palatino Linotype" w:cs="Arial"/>
          <w:color w:val="0A0A0A"/>
        </w:rPr>
      </w:pPr>
      <w:r w:rsidRPr="00441DD7">
        <w:rPr>
          <w:rFonts w:ascii="Palatino Linotype" w:hAnsi="Palatino Linotype" w:cs="Arial"/>
          <w:color w:val="0A0A0A"/>
        </w:rPr>
        <w:t>Este trámite, indispensable para obtener licencias de funcionamiento, generalmente requiere RFC, acta constitutiva, identificación del representante y comprobantes de domicilio</w:t>
      </w:r>
      <w:r w:rsidR="00AC0632" w:rsidRPr="00441DD7">
        <w:rPr>
          <w:rFonts w:ascii="Palatino Linotype" w:hAnsi="Palatino Linotype" w:cs="Arial"/>
          <w:color w:val="0A0A0A"/>
        </w:rPr>
        <w:t>, su finalidad es el registro por vez primera en el comercio, para su regulación local</w:t>
      </w:r>
      <w:r w:rsidRPr="00441DD7">
        <w:rPr>
          <w:rFonts w:ascii="Palatino Linotype" w:hAnsi="Palatino Linotype" w:cs="Arial"/>
          <w:color w:val="0A0A0A"/>
        </w:rPr>
        <w:t xml:space="preserve">, el registro se gestiona </w:t>
      </w:r>
      <w:r w:rsidRPr="00441DD7">
        <w:rPr>
          <w:rFonts w:ascii="Palatino Linotype" w:hAnsi="Palatino Linotype" w:cs="Arial"/>
        </w:rPr>
        <w:t>a través del </w:t>
      </w:r>
      <w:hyperlink r:id="rId15" w:tgtFrame="_blank" w:history="1">
        <w:r w:rsidRPr="00441DD7">
          <w:rPr>
            <w:rStyle w:val="Hipervnculo"/>
            <w:rFonts w:ascii="Palatino Linotype" w:hAnsi="Palatino Linotype" w:cs="Arial"/>
            <w:color w:val="auto"/>
          </w:rPr>
          <w:t>sistema electrónico de comercio</w:t>
        </w:r>
      </w:hyperlink>
      <w:r w:rsidRPr="00441DD7">
        <w:rPr>
          <w:rFonts w:ascii="Palatino Linotype" w:hAnsi="Palatino Linotype" w:cs="Arial"/>
        </w:rPr>
        <w:t> y </w:t>
      </w:r>
      <w:proofErr w:type="spellStart"/>
      <w:r w:rsidR="00FC3532" w:rsidRPr="00441DD7">
        <w:rPr>
          <w:rStyle w:val="Hipervnculo"/>
          <w:rFonts w:ascii="Palatino Linotype" w:hAnsi="Palatino Linotype" w:cs="Arial"/>
          <w:color w:val="auto"/>
        </w:rPr>
        <w:fldChar w:fldCharType="begin"/>
      </w:r>
      <w:r w:rsidR="00FC3532" w:rsidRPr="00441DD7">
        <w:rPr>
          <w:rStyle w:val="Hipervnculo"/>
          <w:rFonts w:ascii="Palatino Linotype" w:hAnsi="Palatino Linotype" w:cs="Arial"/>
          <w:color w:val="auto"/>
        </w:rPr>
        <w:instrText xml:space="preserve"> HYPERLINK "https://compramex.edomex.gob.mx/compramex/public/citas/REQUISITOS.pdf" \t "_blank" </w:instrText>
      </w:r>
      <w:r w:rsidR="00FC3532" w:rsidRPr="00441DD7">
        <w:rPr>
          <w:rStyle w:val="Hipervnculo"/>
          <w:rFonts w:ascii="Palatino Linotype" w:hAnsi="Palatino Linotype" w:cs="Arial"/>
          <w:color w:val="auto"/>
        </w:rPr>
        <w:fldChar w:fldCharType="separate"/>
      </w:r>
      <w:proofErr w:type="spellEnd"/>
      <w:r w:rsidRPr="00441DD7">
        <w:rPr>
          <w:rStyle w:val="Hipervnculo"/>
          <w:rFonts w:ascii="Palatino Linotype" w:hAnsi="Palatino Linotype" w:cs="Arial"/>
          <w:color w:val="auto"/>
        </w:rPr>
        <w:t>Compramex</w:t>
      </w:r>
      <w:r w:rsidR="00FC3532" w:rsidRPr="00441DD7">
        <w:rPr>
          <w:rStyle w:val="Hipervnculo"/>
          <w:rFonts w:ascii="Palatino Linotype" w:hAnsi="Palatino Linotype" w:cs="Arial"/>
          <w:color w:val="auto"/>
        </w:rPr>
        <w:fldChar w:fldCharType="end"/>
      </w:r>
      <w:r w:rsidRPr="00441DD7">
        <w:rPr>
          <w:rFonts w:ascii="Palatino Linotype" w:hAnsi="Palatino Linotype" w:cs="Arial"/>
        </w:rPr>
        <w:t>. Para la </w:t>
      </w:r>
      <w:r w:rsidRPr="00441DD7">
        <w:rPr>
          <w:rStyle w:val="Textoennegrita"/>
          <w:rFonts w:ascii="Palatino Linotype" w:hAnsi="Palatino Linotype" w:cs="Arial"/>
        </w:rPr>
        <w:t>CDMX</w:t>
      </w:r>
      <w:r w:rsidRPr="00441DD7">
        <w:rPr>
          <w:rFonts w:ascii="Palatino Linotype" w:hAnsi="Palatino Linotype" w:cs="Arial"/>
        </w:rPr>
        <w:t>, el proceso se puede iniciar en línea mediante el </w:t>
      </w:r>
      <w:hyperlink r:id="rId16" w:tgtFrame="_blank" w:history="1">
        <w:r w:rsidRPr="00441DD7">
          <w:rPr>
            <w:rStyle w:val="Hipervnculo"/>
            <w:rFonts w:ascii="Palatino Linotype" w:hAnsi="Palatino Linotype" w:cs="Arial"/>
            <w:color w:val="auto"/>
          </w:rPr>
          <w:t>Tianguis Digital</w:t>
        </w:r>
      </w:hyperlink>
      <w:r w:rsidR="00AC0632" w:rsidRPr="00441DD7">
        <w:rPr>
          <w:rFonts w:ascii="Palatino Linotype" w:hAnsi="Palatino Linotype" w:cs="Arial"/>
        </w:rPr>
        <w:t>, es información que dada su naturaleza es considerada de interés público.</w:t>
      </w:r>
    </w:p>
    <w:p w14:paraId="69EE7755" w14:textId="77777777" w:rsidR="00DE731B" w:rsidRDefault="00DE731B" w:rsidP="00DE731B">
      <w:pPr>
        <w:shd w:val="clear" w:color="auto" w:fill="FFFFFF"/>
        <w:spacing w:after="180" w:line="360" w:lineRule="auto"/>
        <w:jc w:val="both"/>
        <w:rPr>
          <w:rFonts w:ascii="Palatino Linotype" w:eastAsia="Times New Roman" w:hAnsi="Palatino Linotype" w:cs="Arial"/>
          <w:color w:val="0A0A0A"/>
          <w:lang w:val="es-MX"/>
        </w:rPr>
      </w:pPr>
    </w:p>
    <w:p w14:paraId="7C64F0BC" w14:textId="77777777" w:rsidR="009C0EFB" w:rsidRDefault="009C0EFB" w:rsidP="009C0EFB">
      <w:pPr>
        <w:numPr>
          <w:ilvl w:val="0"/>
          <w:numId w:val="3"/>
        </w:numPr>
        <w:spacing w:line="360" w:lineRule="auto"/>
        <w:ind w:right="48"/>
        <w:jc w:val="both"/>
        <w:rPr>
          <w:rFonts w:ascii="Palatino Linotype" w:eastAsia="Times New Roman" w:hAnsi="Palatino Linotype" w:cs="Arial"/>
          <w:color w:val="0A0A0A"/>
          <w:lang w:val="es-MX"/>
        </w:rPr>
      </w:pPr>
      <w:r w:rsidRPr="009C0EFB">
        <w:rPr>
          <w:rFonts w:ascii="Palatino Linotype" w:eastAsia="Times New Roman" w:hAnsi="Palatino Linotype" w:cs="Arial"/>
          <w:color w:val="0A0A0A"/>
          <w:lang w:val="es-MX"/>
        </w:rPr>
        <w:lastRenderedPageBreak/>
        <w:t>Ahora bien, respecto Pólizas de egreso correspondientes (copia de cheques o comprobantes de trasferencia bancaria),</w:t>
      </w:r>
    </w:p>
    <w:p w14:paraId="47745BF9" w14:textId="77777777" w:rsidR="009C0EFB" w:rsidRPr="00DE731B" w:rsidRDefault="009C0EFB" w:rsidP="009C0EFB">
      <w:pPr>
        <w:spacing w:line="360" w:lineRule="auto"/>
        <w:ind w:right="48"/>
        <w:jc w:val="both"/>
        <w:rPr>
          <w:rFonts w:ascii="Palatino Linotype" w:eastAsia="Times New Roman" w:hAnsi="Palatino Linotype" w:cs="Arial"/>
          <w:color w:val="0A0A0A"/>
          <w:lang w:val="es-MX"/>
        </w:rPr>
      </w:pPr>
    </w:p>
    <w:p w14:paraId="55F94D13" w14:textId="77777777" w:rsidR="00AC0632" w:rsidRDefault="00AC0632" w:rsidP="009C0EFB">
      <w:pPr>
        <w:numPr>
          <w:ilvl w:val="0"/>
          <w:numId w:val="3"/>
        </w:numPr>
        <w:spacing w:line="360" w:lineRule="auto"/>
        <w:ind w:right="48"/>
        <w:jc w:val="both"/>
        <w:rPr>
          <w:rFonts w:ascii="Palatino Linotype" w:eastAsia="Times New Roman" w:hAnsi="Palatino Linotype" w:cs="Times New Roman"/>
          <w:lang w:val="es-ES" w:eastAsia="es-ES"/>
        </w:rPr>
      </w:pPr>
      <w:r w:rsidRPr="009C0EFB">
        <w:rPr>
          <w:rFonts w:ascii="Palatino Linotype" w:hAnsi="Palatino Linotype"/>
          <w:color w:val="000000"/>
        </w:rPr>
        <w:t>En</w:t>
      </w:r>
      <w:r>
        <w:rPr>
          <w:rFonts w:ascii="Palatino Linotype" w:eastAsia="Times New Roman" w:hAnsi="Palatino Linotype" w:cs="Times New Roman"/>
          <w:lang w:val="es-ES" w:eastAsia="es-ES"/>
        </w:rPr>
        <w:t xml:space="preserve"> primer término,</w:t>
      </w:r>
      <w:r w:rsidRPr="00870CBA">
        <w:rPr>
          <w:rFonts w:ascii="Palatino Linotype" w:eastAsia="Times New Roman" w:hAnsi="Palatino Linotype" w:cs="Times New Roman"/>
          <w:lang w:val="es-ES" w:eastAsia="es-ES"/>
        </w:rPr>
        <w:t xml:space="preserve"> la Ley de Transparencia y Acceso a la Información Pública del Estado de México y Municipio</w:t>
      </w:r>
      <w:r>
        <w:rPr>
          <w:rFonts w:ascii="Palatino Linotype" w:eastAsia="Times New Roman" w:hAnsi="Palatino Linotype" w:cs="Times New Roman"/>
          <w:lang w:val="es-ES" w:eastAsia="es-ES"/>
        </w:rPr>
        <w:t>s, prevé en su artículo 23 fracción IV,</w:t>
      </w:r>
      <w:r w:rsidRPr="002C5676">
        <w:t xml:space="preserve"> </w:t>
      </w:r>
      <w:r w:rsidRPr="002C5676">
        <w:rPr>
          <w:rFonts w:ascii="Palatino Linotype" w:eastAsia="Times New Roman" w:hAnsi="Palatino Linotype" w:cs="Times New Roman"/>
          <w:lang w:val="es-ES" w:eastAsia="es-ES"/>
        </w:rPr>
        <w:t>que los Ayuntamientos se encuentran obligados a transparentar y permitir el acceso a la información que generen, posean o administren; de ahí que la Ley de la materia delimita perfectamente los alcances de las obligaciones que corresponden a los Ayuntamientos</w:t>
      </w:r>
      <w:r>
        <w:rPr>
          <w:rFonts w:ascii="Palatino Linotype" w:eastAsia="Times New Roman" w:hAnsi="Palatino Linotype" w:cs="Times New Roman"/>
          <w:lang w:val="es-ES" w:eastAsia="es-ES"/>
        </w:rPr>
        <w:t>, como se advierte enseguida:</w:t>
      </w:r>
    </w:p>
    <w:p w14:paraId="4A20D8AE" w14:textId="77777777" w:rsidR="00AC0632" w:rsidRPr="00870CBA" w:rsidRDefault="00AC0632" w:rsidP="00AC0632">
      <w:pPr>
        <w:ind w:left="567" w:right="567"/>
        <w:jc w:val="both"/>
        <w:rPr>
          <w:rFonts w:ascii="Palatino Linotype" w:eastAsia="Times New Roman" w:hAnsi="Palatino Linotype" w:cs="Arial"/>
          <w:i/>
          <w:lang w:val="es-ES" w:eastAsia="es-ES"/>
        </w:rPr>
      </w:pPr>
      <w:r w:rsidRPr="00870CBA">
        <w:rPr>
          <w:rFonts w:ascii="Palatino Linotype" w:eastAsia="Times New Roman" w:hAnsi="Palatino Linotype" w:cs="Arial"/>
          <w:b/>
          <w:i/>
          <w:lang w:val="es-ES" w:eastAsia="es-ES"/>
        </w:rPr>
        <w:t>“Artículo 23.</w:t>
      </w:r>
      <w:r w:rsidRPr="00870CBA">
        <w:rPr>
          <w:rFonts w:ascii="Palatino Linotype" w:eastAsia="Times New Roman" w:hAnsi="Palatino Linotype" w:cs="Arial"/>
          <w:i/>
          <w:lang w:val="es-ES" w:eastAsia="es-ES"/>
        </w:rPr>
        <w:t xml:space="preserve"> Son sujetos obligados a transparentar y permitir el acceso a su información y proteger los datos personales que obren en su poder:</w:t>
      </w:r>
    </w:p>
    <w:p w14:paraId="69256F9D" w14:textId="77777777" w:rsidR="00AC0632" w:rsidRPr="00870CBA" w:rsidRDefault="00AC0632" w:rsidP="00AC0632">
      <w:pPr>
        <w:ind w:left="567" w:right="567"/>
        <w:jc w:val="both"/>
        <w:rPr>
          <w:rFonts w:ascii="Palatino Linotype" w:eastAsia="Times New Roman" w:hAnsi="Palatino Linotype" w:cs="Arial"/>
          <w:i/>
          <w:lang w:val="es-ES" w:eastAsia="es-ES"/>
        </w:rPr>
      </w:pPr>
      <w:r w:rsidRPr="00870CBA">
        <w:rPr>
          <w:rFonts w:ascii="Palatino Linotype" w:eastAsia="Times New Roman" w:hAnsi="Palatino Linotype" w:cs="Arial"/>
          <w:b/>
          <w:i/>
          <w:lang w:val="es-ES" w:eastAsia="es-ES"/>
        </w:rPr>
        <w:t>IV. Los ayuntamientos y las dependencias, organismos, órganos y entidades de la administración municipal</w:t>
      </w:r>
      <w:r w:rsidRPr="00870CBA">
        <w:rPr>
          <w:rFonts w:ascii="Palatino Linotype" w:eastAsia="Times New Roman" w:hAnsi="Palatino Linotype" w:cs="Arial"/>
          <w:i/>
          <w:lang w:val="es-ES" w:eastAsia="es-ES"/>
        </w:rPr>
        <w:t>;</w:t>
      </w:r>
      <w:r>
        <w:rPr>
          <w:rFonts w:ascii="Palatino Linotype" w:eastAsia="Times New Roman" w:hAnsi="Palatino Linotype" w:cs="Arial"/>
          <w:i/>
          <w:lang w:val="es-ES" w:eastAsia="es-ES"/>
        </w:rPr>
        <w:t>”</w:t>
      </w:r>
    </w:p>
    <w:p w14:paraId="5C37C328" w14:textId="77777777" w:rsidR="00AC0632" w:rsidRPr="00870CBA" w:rsidRDefault="00AC0632" w:rsidP="00AC0632">
      <w:pPr>
        <w:ind w:left="567" w:right="567"/>
        <w:jc w:val="right"/>
        <w:rPr>
          <w:rFonts w:ascii="Palatino Linotype" w:eastAsia="Times New Roman" w:hAnsi="Palatino Linotype" w:cs="Arial"/>
          <w:i/>
          <w:lang w:val="es-ES" w:eastAsia="es-ES"/>
        </w:rPr>
      </w:pPr>
      <w:r w:rsidRPr="00870CBA">
        <w:rPr>
          <w:rFonts w:ascii="Palatino Linotype" w:eastAsia="Times New Roman" w:hAnsi="Palatino Linotype" w:cs="Arial"/>
          <w:i/>
          <w:lang w:val="es-ES" w:eastAsia="es-ES"/>
        </w:rPr>
        <w:t xml:space="preserve"> (Énfasis añadido)</w:t>
      </w:r>
    </w:p>
    <w:p w14:paraId="6246CFAA" w14:textId="77777777" w:rsidR="00AC0632" w:rsidRDefault="00AC0632" w:rsidP="00AC0632">
      <w:pPr>
        <w:autoSpaceDE w:val="0"/>
        <w:autoSpaceDN w:val="0"/>
        <w:adjustRightInd w:val="0"/>
        <w:spacing w:line="360" w:lineRule="auto"/>
        <w:ind w:right="51"/>
        <w:jc w:val="both"/>
        <w:rPr>
          <w:rFonts w:ascii="Palatino Linotype" w:eastAsia="Times New Roman" w:hAnsi="Palatino Linotype" w:cs="Arial"/>
          <w:lang w:val="es-ES" w:eastAsia="es-ES"/>
        </w:rPr>
      </w:pPr>
    </w:p>
    <w:p w14:paraId="51998972" w14:textId="77777777" w:rsidR="00AC0632" w:rsidRPr="00DF4530" w:rsidRDefault="00AC0632" w:rsidP="009C0EFB">
      <w:pPr>
        <w:numPr>
          <w:ilvl w:val="0"/>
          <w:numId w:val="3"/>
        </w:numPr>
        <w:spacing w:line="360" w:lineRule="auto"/>
        <w:ind w:right="48"/>
        <w:jc w:val="both"/>
        <w:rPr>
          <w:rFonts w:ascii="Palatino Linotype" w:hAnsi="Palatino Linotype" w:cs="Arial"/>
        </w:rPr>
      </w:pPr>
      <w:r w:rsidRPr="00DF4530">
        <w:rPr>
          <w:rFonts w:ascii="Palatino Linotype" w:eastAsia="Times New Roman" w:hAnsi="Palatino Linotype" w:cs="Arial"/>
          <w:lang w:val="es-ES" w:eastAsia="es-ES"/>
        </w:rPr>
        <w:t xml:space="preserve">Del </w:t>
      </w:r>
      <w:r w:rsidRPr="009C0EFB">
        <w:rPr>
          <w:rFonts w:ascii="Palatino Linotype" w:hAnsi="Palatino Linotype"/>
          <w:color w:val="000000"/>
        </w:rPr>
        <w:t>precepto</w:t>
      </w:r>
      <w:r w:rsidRPr="00DF4530">
        <w:rPr>
          <w:rFonts w:ascii="Palatino Linotype" w:eastAsia="Times New Roman" w:hAnsi="Palatino Linotype" w:cs="Arial"/>
          <w:lang w:val="es-ES" w:eastAsia="es-ES"/>
        </w:rPr>
        <w:t xml:space="preserve"> legal en cita se establece que los Ayuntamientos, y las dependencias, organismos, órganos y entidades de la administración municipal se encuentran obligados a transparentar y permitir el acceso a la información que generen, posean o administren; de ahí que la Ley de la materia delimita perfectamente los alcances de las obligaciones que corresponden a los Ayuntamientos y las dependencias, organismos, órganos y entidades de la administración municipal</w:t>
      </w:r>
      <w:r>
        <w:rPr>
          <w:rFonts w:ascii="Palatino Linotype" w:eastAsia="Times New Roman" w:hAnsi="Palatino Linotype" w:cs="Arial"/>
          <w:lang w:val="es-ES" w:eastAsia="es-ES"/>
        </w:rPr>
        <w:t>.</w:t>
      </w:r>
    </w:p>
    <w:p w14:paraId="0A3AA858" w14:textId="77777777" w:rsidR="00AC0632" w:rsidRDefault="00AC0632" w:rsidP="00AC0632">
      <w:pPr>
        <w:spacing w:line="360" w:lineRule="auto"/>
        <w:jc w:val="both"/>
        <w:rPr>
          <w:rFonts w:ascii="Palatino Linotype" w:hAnsi="Palatino Linotype" w:cs="Arial"/>
        </w:rPr>
      </w:pPr>
    </w:p>
    <w:p w14:paraId="0758E7DA" w14:textId="77777777" w:rsidR="00AC0632" w:rsidRPr="00902954" w:rsidRDefault="00AC0632" w:rsidP="009C0EFB">
      <w:pPr>
        <w:numPr>
          <w:ilvl w:val="0"/>
          <w:numId w:val="3"/>
        </w:numPr>
        <w:spacing w:line="360" w:lineRule="auto"/>
        <w:ind w:right="48"/>
        <w:jc w:val="both"/>
        <w:rPr>
          <w:rFonts w:ascii="Palatino Linotype" w:eastAsia="Times New Roman" w:hAnsi="Palatino Linotype" w:cs="Arial"/>
          <w:lang w:val="es-ES" w:eastAsia="es-ES"/>
        </w:rPr>
      </w:pPr>
      <w:r w:rsidRPr="009C0EFB">
        <w:rPr>
          <w:rFonts w:ascii="Palatino Linotype" w:hAnsi="Palatino Linotype"/>
          <w:color w:val="000000"/>
        </w:rPr>
        <w:t>Atento</w:t>
      </w:r>
      <w:r w:rsidRPr="00902954">
        <w:rPr>
          <w:rFonts w:ascii="Palatino Linotype" w:eastAsiaTheme="minorEastAsia" w:hAnsi="Palatino Linotype" w:cs="Arial"/>
          <w:lang w:eastAsia="es-ES"/>
        </w:rPr>
        <w:t xml:space="preserve"> a ello, en primer lugar se advierte que los artículos </w:t>
      </w:r>
      <w:r w:rsidRPr="00902954">
        <w:rPr>
          <w:rFonts w:ascii="Palatino Linotype" w:eastAsia="Times New Roman" w:hAnsi="Palatino Linotype" w:cs="Arial"/>
          <w:lang w:val="es-ES" w:eastAsia="es-ES"/>
        </w:rPr>
        <w:t>342, 343, 344 y 345 del Código Financiero del Estado de México y Municipios disponen el sistema y las políticas que deben seguirse para llevar el registro contable y presupuestal de las operaciones financieras, en los siguientes términos:</w:t>
      </w:r>
    </w:p>
    <w:p w14:paraId="7752B8A0" w14:textId="77777777" w:rsidR="00AC0632" w:rsidRPr="00902954" w:rsidRDefault="00AC0632" w:rsidP="00AC0632">
      <w:pPr>
        <w:ind w:left="567" w:right="567"/>
        <w:jc w:val="both"/>
        <w:rPr>
          <w:rFonts w:ascii="Palatino Linotype" w:eastAsia="Times New Roman" w:hAnsi="Palatino Linotype" w:cs="Times New Roman"/>
          <w:b/>
          <w:i/>
          <w:lang w:val="es-ES"/>
        </w:rPr>
      </w:pPr>
      <w:r w:rsidRPr="00902954">
        <w:rPr>
          <w:rFonts w:ascii="Palatino Linotype" w:eastAsia="Times New Roman" w:hAnsi="Palatino Linotype" w:cs="Arial"/>
          <w:bCs/>
          <w:i/>
          <w:color w:val="000000"/>
          <w:lang w:val="es-ES"/>
        </w:rPr>
        <w:lastRenderedPageBreak/>
        <w:t>“</w:t>
      </w:r>
      <w:r w:rsidRPr="00902954">
        <w:rPr>
          <w:rFonts w:ascii="Palatino Linotype" w:eastAsia="Times New Roman" w:hAnsi="Palatino Linotype" w:cs="Times New Roman"/>
          <w:b/>
          <w:i/>
          <w:lang w:val="es-ES"/>
        </w:rPr>
        <w:t>Artículo 342.-</w:t>
      </w:r>
      <w:r w:rsidRPr="00902954">
        <w:rPr>
          <w:rFonts w:ascii="Palatino Linotype" w:eastAsia="Times New Roman" w:hAnsi="Palatino Linotype" w:cs="Times New Roman"/>
          <w:i/>
          <w:lang w:val="es-ES"/>
        </w:rPr>
        <w:t xml:space="preserve"> El registro contable del efecto patrimonial y presupuestal de las operaciones financieras, se realizará conforme al sistema y a las disposiciones que se aprueben en materia de </w:t>
      </w:r>
      <w:r w:rsidRPr="00902954">
        <w:rPr>
          <w:rFonts w:ascii="Palatino Linotype" w:eastAsia="Times New Roman" w:hAnsi="Palatino Linotype" w:cs="Arial"/>
          <w:i/>
          <w:color w:val="000000"/>
          <w:lang w:val="es-ES"/>
        </w:rPr>
        <w:t>planeación</w:t>
      </w:r>
      <w:r w:rsidRPr="00902954">
        <w:rPr>
          <w:rFonts w:ascii="Palatino Linotype" w:eastAsia="Times New Roman" w:hAnsi="Palatino Linotype" w:cs="Times New Roman"/>
          <w:i/>
          <w:lang w:val="es-ES"/>
        </w:rPr>
        <w:t xml:space="preserve">, programación, presupuestación, evaluación y </w:t>
      </w:r>
      <w:r w:rsidRPr="00902954">
        <w:rPr>
          <w:rFonts w:ascii="Palatino Linotype" w:eastAsia="Times New Roman" w:hAnsi="Palatino Linotype" w:cs="Arial"/>
          <w:i/>
          <w:color w:val="000000"/>
          <w:lang w:val="es-ES"/>
        </w:rPr>
        <w:t>contabilidad</w:t>
      </w:r>
      <w:r w:rsidRPr="00902954">
        <w:rPr>
          <w:rFonts w:ascii="Palatino Linotype" w:eastAsia="Times New Roman" w:hAnsi="Palatino Linotype" w:cs="Times New Roman"/>
          <w:i/>
          <w:lang w:val="es-ES"/>
        </w:rPr>
        <w:t xml:space="preserve"> gubernamental. </w:t>
      </w:r>
    </w:p>
    <w:p w14:paraId="3B81DB2B" w14:textId="77777777" w:rsidR="00AC0632" w:rsidRPr="00902954" w:rsidRDefault="00AC0632" w:rsidP="00AC0632">
      <w:pPr>
        <w:ind w:left="567" w:right="567"/>
        <w:jc w:val="both"/>
        <w:rPr>
          <w:rFonts w:ascii="Palatino Linotype" w:eastAsia="Times New Roman" w:hAnsi="Palatino Linotype" w:cs="Times New Roman"/>
          <w:b/>
          <w:i/>
          <w:lang w:val="es-ES"/>
        </w:rPr>
      </w:pPr>
      <w:r w:rsidRPr="00902954">
        <w:rPr>
          <w:rFonts w:ascii="Palatino Linotype" w:eastAsia="Times New Roman" w:hAnsi="Palatino Linotype" w:cs="Arial"/>
          <w:b/>
          <w:bCs/>
          <w:i/>
          <w:color w:val="000000"/>
          <w:lang w:val="es-ES"/>
        </w:rPr>
        <w:t>…</w:t>
      </w:r>
    </w:p>
    <w:p w14:paraId="7FC1E300" w14:textId="77777777" w:rsidR="00AC0632" w:rsidRPr="00902954" w:rsidRDefault="00AC0632" w:rsidP="00AC0632">
      <w:pPr>
        <w:ind w:left="567" w:right="567"/>
        <w:jc w:val="both"/>
        <w:rPr>
          <w:rFonts w:ascii="Palatino Linotype" w:eastAsia="Times New Roman" w:hAnsi="Palatino Linotype" w:cs="Times New Roman"/>
          <w:i/>
          <w:lang w:val="es-ES"/>
        </w:rPr>
      </w:pPr>
    </w:p>
    <w:p w14:paraId="4C2E63CC" w14:textId="77777777" w:rsidR="00AC0632" w:rsidRPr="00902954" w:rsidRDefault="00AC0632" w:rsidP="00AC0632">
      <w:pPr>
        <w:ind w:left="567" w:right="567"/>
        <w:jc w:val="both"/>
        <w:rPr>
          <w:rFonts w:ascii="Palatino Linotype" w:eastAsia="Times New Roman" w:hAnsi="Palatino Linotype" w:cs="Times New Roman"/>
          <w:i/>
          <w:lang w:val="es-ES"/>
        </w:rPr>
      </w:pPr>
      <w:r w:rsidRPr="00902954">
        <w:rPr>
          <w:rFonts w:ascii="Palatino Linotype" w:eastAsia="Times New Roman" w:hAnsi="Palatino Linotype" w:cs="Times New Roman"/>
          <w:b/>
          <w:i/>
          <w:lang w:val="es-ES"/>
        </w:rPr>
        <w:t>Artículo 343.-</w:t>
      </w:r>
      <w:r w:rsidRPr="00902954">
        <w:rPr>
          <w:rFonts w:ascii="Palatino Linotype" w:eastAsia="Times New Roman" w:hAnsi="Palatino Linotype" w:cs="Times New Roman"/>
          <w:i/>
          <w:lang w:val="es-ES"/>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14:paraId="2AB7590F" w14:textId="77777777" w:rsidR="00AC0632" w:rsidRDefault="00AC0632" w:rsidP="00AC0632">
      <w:pPr>
        <w:ind w:left="567" w:right="567"/>
        <w:jc w:val="both"/>
        <w:rPr>
          <w:rFonts w:ascii="Palatino Linotype" w:eastAsia="Times New Roman" w:hAnsi="Palatino Linotype" w:cs="Times New Roman"/>
          <w:i/>
          <w:lang w:val="es-ES"/>
        </w:rPr>
      </w:pPr>
    </w:p>
    <w:p w14:paraId="56E06705" w14:textId="77777777" w:rsidR="00AC0632" w:rsidRDefault="00AC0632" w:rsidP="00AC0632">
      <w:pPr>
        <w:ind w:left="567" w:right="567"/>
        <w:jc w:val="both"/>
        <w:rPr>
          <w:rFonts w:ascii="Palatino Linotype" w:eastAsia="Times New Roman" w:hAnsi="Palatino Linotype" w:cs="Times New Roman"/>
          <w:i/>
          <w:lang w:val="es-ES"/>
        </w:rPr>
      </w:pPr>
    </w:p>
    <w:p w14:paraId="79DD0B19" w14:textId="77777777" w:rsidR="00AC0632" w:rsidRDefault="00AC0632" w:rsidP="00AC0632">
      <w:pPr>
        <w:ind w:left="567" w:right="567"/>
        <w:jc w:val="both"/>
        <w:rPr>
          <w:rFonts w:ascii="Palatino Linotype" w:eastAsia="Times New Roman" w:hAnsi="Palatino Linotype" w:cs="Times New Roman"/>
          <w:i/>
          <w:lang w:val="es-ES"/>
        </w:rPr>
      </w:pPr>
      <w:r w:rsidRPr="00902954">
        <w:rPr>
          <w:rFonts w:ascii="Palatino Linotype" w:eastAsia="Times New Roman" w:hAnsi="Palatino Linotype" w:cs="Times New Roman"/>
          <w:i/>
          <w:lang w:val="es-ES"/>
        </w:rPr>
        <w:t xml:space="preserve">El sistema de contabilidad sobre base acumulativa total se sustentará en los postulados básicos y el marco conceptual de la contabilidad gubernamental. </w:t>
      </w:r>
    </w:p>
    <w:p w14:paraId="2FFFA795" w14:textId="77777777" w:rsidR="004B3D68" w:rsidRPr="00902954" w:rsidRDefault="004B3D68" w:rsidP="00AC0632">
      <w:pPr>
        <w:ind w:left="567" w:right="567"/>
        <w:jc w:val="both"/>
        <w:rPr>
          <w:rFonts w:ascii="Palatino Linotype" w:eastAsia="Times New Roman" w:hAnsi="Palatino Linotype" w:cs="Times New Roman"/>
          <w:i/>
          <w:lang w:val="es-ES"/>
        </w:rPr>
      </w:pPr>
    </w:p>
    <w:p w14:paraId="7DCCCF60" w14:textId="77777777" w:rsidR="00AC0632" w:rsidRPr="00902954" w:rsidRDefault="00AC0632" w:rsidP="00AC0632">
      <w:pPr>
        <w:ind w:left="567" w:right="567"/>
        <w:jc w:val="both"/>
        <w:rPr>
          <w:rFonts w:ascii="Palatino Linotype" w:eastAsia="Times New Roman" w:hAnsi="Palatino Linotype" w:cs="Times New Roman"/>
          <w:i/>
          <w:lang w:val="es-ES"/>
        </w:rPr>
      </w:pPr>
      <w:r w:rsidRPr="00902954">
        <w:rPr>
          <w:rFonts w:ascii="Palatino Linotype" w:eastAsia="Times New Roman" w:hAnsi="Palatino Linotype" w:cs="Times New Roman"/>
          <w:b/>
          <w:i/>
          <w:lang w:val="es-ES"/>
        </w:rPr>
        <w:t xml:space="preserve">Artículo 344.- </w:t>
      </w:r>
      <w:r w:rsidRPr="00902954">
        <w:rPr>
          <w:rFonts w:ascii="Palatino Linotype" w:eastAsia="Times New Roman" w:hAnsi="Palatino Linotype" w:cs="Times New Roman"/>
          <w:i/>
          <w:lang w:val="es-ES"/>
        </w:rPr>
        <w:t>Las Dependencias, Entidades Públicas y unidades administrativas registrarán contablemente el efecto patrimonial y presupuestal de las operaciones financieras que realicen, en el momento en que ocurran, con base en el sistema y políticas de registro establecidas,</w:t>
      </w:r>
      <w:r w:rsidRPr="00902954">
        <w:rPr>
          <w:rFonts w:ascii="Palatino Linotype" w:eastAsia="Times New Roman" w:hAnsi="Palatino Linotype" w:cs="Times New Roman"/>
          <w:b/>
          <w:i/>
          <w:lang w:val="es-ES"/>
        </w:rPr>
        <w:t xml:space="preserve"> </w:t>
      </w:r>
      <w:r w:rsidRPr="00902954">
        <w:rPr>
          <w:rFonts w:ascii="Palatino Linotype" w:eastAsia="Times New Roman" w:hAnsi="Palatino Linotype" w:cs="Times New Roman"/>
          <w:i/>
          <w:lang w:val="es-ES"/>
        </w:rPr>
        <w:t xml:space="preserve">en el caso de los Municipios se hará por la Tesorería. </w:t>
      </w:r>
    </w:p>
    <w:p w14:paraId="353C8452" w14:textId="77777777" w:rsidR="00AC0632" w:rsidRDefault="00AC0632" w:rsidP="00AC0632">
      <w:pPr>
        <w:autoSpaceDE w:val="0"/>
        <w:autoSpaceDN w:val="0"/>
        <w:adjustRightInd w:val="0"/>
        <w:ind w:left="567" w:right="567"/>
        <w:jc w:val="both"/>
        <w:rPr>
          <w:rFonts w:ascii="Palatino Linotype" w:eastAsia="Times New Roman" w:hAnsi="Palatino Linotype" w:cs="Times New Roman"/>
          <w:i/>
          <w:lang w:val="es-ES"/>
        </w:rPr>
      </w:pPr>
      <w:r w:rsidRPr="00902954">
        <w:rPr>
          <w:rFonts w:ascii="Palatino Linotype" w:eastAsia="Times New Roman" w:hAnsi="Palatino Linotype" w:cs="Times New Roman"/>
          <w:i/>
          <w:lang w:val="es-ES"/>
        </w:rPr>
        <w:t xml:space="preserve">Derogado. </w:t>
      </w:r>
    </w:p>
    <w:p w14:paraId="6DAD0DBC" w14:textId="77777777" w:rsidR="004B3D68" w:rsidRPr="00902954" w:rsidRDefault="004B3D68" w:rsidP="00AC0632">
      <w:pPr>
        <w:autoSpaceDE w:val="0"/>
        <w:autoSpaceDN w:val="0"/>
        <w:adjustRightInd w:val="0"/>
        <w:ind w:left="567" w:right="567"/>
        <w:jc w:val="both"/>
        <w:rPr>
          <w:rFonts w:ascii="Palatino Linotype" w:eastAsia="Times New Roman" w:hAnsi="Palatino Linotype" w:cs="Times New Roman"/>
          <w:i/>
          <w:lang w:val="es-ES"/>
        </w:rPr>
      </w:pPr>
    </w:p>
    <w:p w14:paraId="22F4DE3C" w14:textId="77777777" w:rsidR="00AC0632" w:rsidRPr="00902954" w:rsidRDefault="00AC0632" w:rsidP="00AC0632">
      <w:pPr>
        <w:ind w:left="567" w:right="567"/>
        <w:jc w:val="both"/>
        <w:rPr>
          <w:rFonts w:ascii="Palatino Linotype" w:eastAsia="Times New Roman" w:hAnsi="Palatino Linotype" w:cs="Times New Roman"/>
          <w:i/>
          <w:lang w:val="es-ES"/>
        </w:rPr>
      </w:pPr>
      <w:r w:rsidRPr="00902954">
        <w:rPr>
          <w:rFonts w:ascii="Palatino Linotype" w:eastAsia="Times New Roman" w:hAnsi="Palatino Linotype" w:cs="Times New Roman"/>
          <w:b/>
          <w:i/>
          <w:u w:val="single"/>
          <w:lang w:val="es-ES"/>
        </w:rPr>
        <w:t>Todo registro contable y presupuestal deberá estar soportado con los documentos comprobatorios originales</w:t>
      </w:r>
      <w:r w:rsidRPr="00902954">
        <w:rPr>
          <w:rFonts w:ascii="Palatino Linotype" w:eastAsia="Times New Roman" w:hAnsi="Palatino Linotype" w:cs="Times New Roman"/>
          <w:b/>
          <w:i/>
          <w:lang w:val="es-ES"/>
        </w:rPr>
        <w:t>, los que deberán permanecer en custodia y conservación de las dependencias, entidades públicas y unidades administrativas que ejercieron el gasto, y a disposición del Órgano Superior de Fiscalización del Estado de México y de los órganos de control interno, por un término de cinco años contados</w:t>
      </w:r>
      <w:r w:rsidRPr="00902954">
        <w:rPr>
          <w:rFonts w:ascii="Palatino Linotype" w:eastAsia="Times New Roman" w:hAnsi="Palatino Linotype" w:cs="Times New Roman"/>
          <w:i/>
          <w:lang w:val="es-ES"/>
        </w:rPr>
        <w:t xml:space="preserve"> a partir del ejercicio presupuestal siguiente al que corresponda, en el caso de los municipios se hará por la Tesorería. </w:t>
      </w:r>
    </w:p>
    <w:p w14:paraId="26FE5DDE" w14:textId="77777777" w:rsidR="00AC0632" w:rsidRPr="00902954" w:rsidRDefault="00AC0632" w:rsidP="00AC0632">
      <w:pPr>
        <w:autoSpaceDE w:val="0"/>
        <w:autoSpaceDN w:val="0"/>
        <w:adjustRightInd w:val="0"/>
        <w:ind w:left="567" w:right="567"/>
        <w:jc w:val="both"/>
        <w:rPr>
          <w:rFonts w:ascii="Palatino Linotype" w:eastAsia="Times New Roman" w:hAnsi="Palatino Linotype" w:cs="Times New Roman"/>
          <w:i/>
          <w:lang w:val="es-ES"/>
        </w:rPr>
      </w:pPr>
      <w:r w:rsidRPr="00902954">
        <w:rPr>
          <w:rFonts w:ascii="Palatino Linotype" w:eastAsia="Times New Roman" w:hAnsi="Palatino Linotype" w:cs="Times New Roman"/>
          <w:i/>
          <w:lang w:val="es-ES"/>
        </w:rPr>
        <w:t>…</w:t>
      </w:r>
    </w:p>
    <w:p w14:paraId="0763DEBA" w14:textId="77777777" w:rsidR="00AC0632" w:rsidRPr="00902954" w:rsidRDefault="00AC0632" w:rsidP="00AC0632">
      <w:pPr>
        <w:ind w:left="567" w:right="567"/>
        <w:jc w:val="both"/>
        <w:rPr>
          <w:rFonts w:ascii="Palatino Linotype" w:eastAsia="Times New Roman" w:hAnsi="Palatino Linotype" w:cs="Times New Roman"/>
          <w:i/>
          <w:lang w:val="es-ES"/>
        </w:rPr>
      </w:pPr>
    </w:p>
    <w:p w14:paraId="1D642737" w14:textId="77777777" w:rsidR="00AC0632" w:rsidRPr="00902954" w:rsidRDefault="00AC0632" w:rsidP="00AC0632">
      <w:pPr>
        <w:ind w:left="567" w:right="567"/>
        <w:jc w:val="both"/>
        <w:rPr>
          <w:rFonts w:ascii="Palatino Linotype" w:eastAsia="Times New Roman" w:hAnsi="Palatino Linotype" w:cs="Times New Roman"/>
          <w:i/>
          <w:lang w:val="es-ES"/>
        </w:rPr>
      </w:pPr>
      <w:r w:rsidRPr="00902954">
        <w:rPr>
          <w:rFonts w:ascii="Palatino Linotype" w:eastAsia="Times New Roman" w:hAnsi="Palatino Linotype" w:cs="Times New Roman"/>
          <w:b/>
          <w:i/>
          <w:lang w:val="es-ES"/>
        </w:rPr>
        <w:t>Artículo 345.-</w:t>
      </w:r>
      <w:r w:rsidRPr="00902954">
        <w:rPr>
          <w:rFonts w:ascii="Palatino Linotype" w:eastAsia="Times New Roman" w:hAnsi="Palatino Linotype" w:cs="Times New Roman"/>
          <w:i/>
          <w:lang w:val="es-ES"/>
        </w:rPr>
        <w:t xml:space="preserve"> </w:t>
      </w:r>
      <w:r w:rsidRPr="00902954">
        <w:rPr>
          <w:rFonts w:ascii="Palatino Linotype" w:eastAsia="Times New Roman" w:hAnsi="Palatino Linotype" w:cs="Times New Roman"/>
          <w:b/>
          <w:i/>
          <w:lang w:val="es-ES"/>
        </w:rPr>
        <w:t>Las Dependencias, Entidades Públicas y unidades administrativas deberán conservar la documentación contable del año en curso y la de ejercicios anteriores cuyas cuentas públicas hayan sido revisadas y fiscalizadas por la Legislatura</w:t>
      </w:r>
      <w:r w:rsidRPr="00902954">
        <w:rPr>
          <w:rFonts w:ascii="Palatino Linotype" w:eastAsia="Times New Roman" w:hAnsi="Palatino Linotype" w:cs="Times New Roman"/>
          <w:i/>
          <w:lang w:val="es-ES"/>
        </w:rPr>
        <w:t xml:space="preserve">, la remitirán en un plazo que no excederá de seis meses al Archivo Contable Gubernamental. </w:t>
      </w:r>
      <w:r w:rsidRPr="00902954">
        <w:rPr>
          <w:rFonts w:ascii="Palatino Linotype" w:eastAsia="Times New Roman" w:hAnsi="Palatino Linotype" w:cs="Times New Roman"/>
          <w:b/>
          <w:i/>
          <w:lang w:val="es-ES"/>
        </w:rPr>
        <w:t xml:space="preserve">Tratándose de los comprobantes </w:t>
      </w:r>
      <w:r w:rsidRPr="00902954">
        <w:rPr>
          <w:rFonts w:ascii="Palatino Linotype" w:eastAsia="Times New Roman" w:hAnsi="Palatino Linotype" w:cs="Times New Roman"/>
          <w:b/>
          <w:i/>
          <w:lang w:val="es-ES"/>
        </w:rPr>
        <w:lastRenderedPageBreak/>
        <w:t>fiscales digitales, estos deberán estar agregados en forma electrónica en cada póliza de registro contable</w:t>
      </w:r>
      <w:r w:rsidRPr="00902954">
        <w:rPr>
          <w:rFonts w:ascii="Palatino Linotype" w:eastAsia="Times New Roman" w:hAnsi="Palatino Linotype" w:cs="Times New Roman"/>
          <w:i/>
          <w:lang w:val="es-ES"/>
        </w:rPr>
        <w:t xml:space="preserve">. </w:t>
      </w:r>
    </w:p>
    <w:p w14:paraId="264131D0" w14:textId="77777777" w:rsidR="00AC0632" w:rsidRPr="00902954" w:rsidRDefault="00AC0632" w:rsidP="00AC0632">
      <w:pPr>
        <w:ind w:left="567" w:right="567"/>
        <w:jc w:val="both"/>
        <w:rPr>
          <w:rFonts w:ascii="Palatino Linotype" w:eastAsia="Times New Roman" w:hAnsi="Palatino Linotype" w:cs="Arial"/>
          <w:bCs/>
          <w:i/>
          <w:color w:val="000000"/>
          <w:lang w:val="es-ES"/>
        </w:rPr>
      </w:pPr>
      <w:r w:rsidRPr="00902954">
        <w:rPr>
          <w:rFonts w:ascii="Palatino Linotype" w:eastAsia="Times New Roman" w:hAnsi="Palatino Linotype" w:cs="Times New Roman"/>
          <w:i/>
          <w:lang w:val="es-ES"/>
        </w:rPr>
        <w:t>El plazo señalado en el párrafo anterior, empezará a contar a partir de la publicación en el Periódico Oficial, del decreto correspondiente.</w:t>
      </w:r>
      <w:r w:rsidRPr="00902954">
        <w:rPr>
          <w:rFonts w:ascii="Palatino Linotype" w:eastAsia="Times New Roman" w:hAnsi="Palatino Linotype" w:cs="Arial"/>
          <w:bCs/>
          <w:i/>
          <w:color w:val="000000"/>
          <w:lang w:val="es-ES"/>
        </w:rPr>
        <w:t xml:space="preserve"> “</w:t>
      </w:r>
      <w:r w:rsidRPr="00902954">
        <w:rPr>
          <w:rFonts w:ascii="Palatino Linotype" w:eastAsia="Times New Roman" w:hAnsi="Palatino Linotype" w:cs="Arial"/>
          <w:i/>
          <w:lang w:val="es-ES"/>
        </w:rPr>
        <w:t>(Sic)</w:t>
      </w:r>
      <w:r w:rsidRPr="00902954">
        <w:rPr>
          <w:rFonts w:ascii="Palatino Linotype" w:eastAsia="Times New Roman" w:hAnsi="Palatino Linotype" w:cs="Arial"/>
          <w:bCs/>
          <w:i/>
          <w:color w:val="000000"/>
          <w:lang w:val="es-ES"/>
        </w:rPr>
        <w:t xml:space="preserve"> </w:t>
      </w:r>
    </w:p>
    <w:p w14:paraId="2E20C152" w14:textId="77777777" w:rsidR="00AC0632" w:rsidRPr="00902954" w:rsidRDefault="00AC0632" w:rsidP="00AC0632">
      <w:pPr>
        <w:ind w:left="567" w:right="567"/>
        <w:jc w:val="both"/>
        <w:rPr>
          <w:rFonts w:ascii="Palatino Linotype" w:eastAsia="Times New Roman" w:hAnsi="Palatino Linotype" w:cs="Arial"/>
          <w:bCs/>
          <w:i/>
          <w:color w:val="000000"/>
          <w:lang w:val="es-ES"/>
        </w:rPr>
      </w:pPr>
    </w:p>
    <w:p w14:paraId="39A52894" w14:textId="77777777" w:rsidR="00AC0632" w:rsidRPr="00902954" w:rsidRDefault="00AC0632" w:rsidP="00AC0632">
      <w:pPr>
        <w:ind w:left="567" w:right="567"/>
        <w:jc w:val="right"/>
        <w:rPr>
          <w:rFonts w:ascii="Palatino Linotype" w:eastAsia="Times New Roman" w:hAnsi="Palatino Linotype" w:cs="Arial"/>
          <w:bCs/>
          <w:color w:val="000000"/>
          <w:lang w:val="es-ES"/>
        </w:rPr>
      </w:pPr>
      <w:r w:rsidRPr="00902954">
        <w:rPr>
          <w:rFonts w:ascii="Palatino Linotype" w:eastAsia="Times New Roman" w:hAnsi="Palatino Linotype" w:cs="Arial"/>
          <w:bCs/>
          <w:color w:val="000000"/>
          <w:lang w:val="es-ES"/>
        </w:rPr>
        <w:t>(Énfasis añadido)</w:t>
      </w:r>
    </w:p>
    <w:p w14:paraId="10127BAD" w14:textId="77777777" w:rsidR="00AC0632" w:rsidRPr="00902954" w:rsidRDefault="00AC0632" w:rsidP="00AC0632">
      <w:pPr>
        <w:spacing w:line="360" w:lineRule="auto"/>
        <w:ind w:left="567" w:right="567"/>
        <w:jc w:val="both"/>
        <w:rPr>
          <w:rFonts w:ascii="Palatino Linotype" w:eastAsia="Times New Roman" w:hAnsi="Palatino Linotype" w:cs="Arial"/>
          <w:bCs/>
          <w:color w:val="000000"/>
          <w:lang w:val="es-ES"/>
        </w:rPr>
      </w:pPr>
    </w:p>
    <w:p w14:paraId="301F6162" w14:textId="77777777" w:rsidR="00AC0632" w:rsidRPr="00902954" w:rsidRDefault="00AC0632" w:rsidP="009C0EFB">
      <w:pPr>
        <w:numPr>
          <w:ilvl w:val="0"/>
          <w:numId w:val="3"/>
        </w:numPr>
        <w:spacing w:line="360" w:lineRule="auto"/>
        <w:ind w:right="48"/>
        <w:jc w:val="both"/>
        <w:rPr>
          <w:rFonts w:ascii="Palatino Linotype" w:eastAsia="Times New Roman" w:hAnsi="Palatino Linotype" w:cs="Arial"/>
          <w:bCs/>
          <w:color w:val="000000"/>
          <w:lang w:val="es-ES" w:eastAsia="es-ES"/>
        </w:rPr>
      </w:pPr>
      <w:r w:rsidRPr="00902954">
        <w:rPr>
          <w:rFonts w:ascii="Palatino Linotype" w:eastAsia="Times New Roman" w:hAnsi="Palatino Linotype" w:cs="Arial"/>
          <w:lang w:val="es-ES" w:eastAsia="es-ES"/>
        </w:rPr>
        <w:t xml:space="preserve">De </w:t>
      </w:r>
      <w:r>
        <w:rPr>
          <w:rFonts w:ascii="Palatino Linotype" w:eastAsia="Times New Roman" w:hAnsi="Palatino Linotype" w:cs="Arial"/>
          <w:lang w:val="es-ES" w:eastAsia="es-ES"/>
        </w:rPr>
        <w:t>la normatividad previamente plasmada</w:t>
      </w:r>
      <w:r w:rsidRPr="00902954">
        <w:rPr>
          <w:rFonts w:ascii="Palatino Linotype" w:eastAsia="Times New Roman" w:hAnsi="Palatino Linotype" w:cs="Arial"/>
          <w:lang w:val="es-ES" w:eastAsia="es-ES"/>
        </w:rPr>
        <w:t>, se desprende primeramente que el</w:t>
      </w:r>
      <w:r w:rsidRPr="00902954">
        <w:rPr>
          <w:rFonts w:ascii="Palatino Linotype" w:eastAsia="Times New Roman" w:hAnsi="Palatino Linotype" w:cs="Arial"/>
          <w:bCs/>
          <w:color w:val="000000"/>
          <w:lang w:val="es-ES" w:eastAsia="es-ES"/>
        </w:rPr>
        <w:t xml:space="preserve"> registro contable del efecto patrimonial y presupuestal de las operaciones financieras se realizará conforme al sistema y a las disposiciones que se aprueben en materia de planeación, programación, presupuestación, evaluación y contabilidad gubernamental.</w:t>
      </w:r>
    </w:p>
    <w:p w14:paraId="3EE7B5A8" w14:textId="77777777" w:rsidR="00AC0632" w:rsidRPr="00AC0632" w:rsidRDefault="00AC0632" w:rsidP="00AC0632">
      <w:pPr>
        <w:spacing w:line="360" w:lineRule="auto"/>
        <w:contextualSpacing/>
        <w:jc w:val="both"/>
        <w:rPr>
          <w:rFonts w:ascii="Palatino Linotype" w:eastAsia="Times New Roman" w:hAnsi="Palatino Linotype" w:cs="Arial"/>
          <w:lang w:val="es-ES" w:eastAsia="es-ES"/>
        </w:rPr>
      </w:pPr>
    </w:p>
    <w:p w14:paraId="5A30CBB1" w14:textId="77777777" w:rsidR="00AC0632" w:rsidRPr="00AC0632" w:rsidRDefault="00AC0632" w:rsidP="009C0EFB">
      <w:pPr>
        <w:numPr>
          <w:ilvl w:val="0"/>
          <w:numId w:val="3"/>
        </w:numPr>
        <w:spacing w:line="360" w:lineRule="auto"/>
        <w:ind w:right="48"/>
        <w:jc w:val="both"/>
        <w:rPr>
          <w:rFonts w:ascii="Palatino Linotype" w:eastAsia="Times New Roman" w:hAnsi="Palatino Linotype" w:cs="Arial"/>
          <w:bCs/>
          <w:color w:val="000000"/>
          <w:lang w:val="es-ES" w:eastAsia="es-ES"/>
        </w:rPr>
      </w:pPr>
      <w:r w:rsidRPr="00AC0632">
        <w:rPr>
          <w:rFonts w:ascii="Palatino Linotype" w:eastAsia="Times New Roman" w:hAnsi="Palatino Linotype" w:cs="Arial"/>
          <w:lang w:val="es-ES" w:eastAsia="es-ES"/>
        </w:rPr>
        <w:t>Al respecto, si bien es cierto que el Código Financiero del Estado de México y Municipios establece la obligación de los Municipios para llevar los registros contables y presupuestales; también lo es que, dicho ordenamiento jurídico no establece que debemos entender por registro contable y presupuestal</w:t>
      </w:r>
      <w:r w:rsidRPr="00AC0632">
        <w:rPr>
          <w:rFonts w:ascii="Palatino Linotype" w:eastAsia="Times New Roman" w:hAnsi="Palatino Linotype" w:cs="Arial"/>
          <w:lang w:val="es-ES"/>
        </w:rPr>
        <w:t xml:space="preserve">; sin embargo,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 </w:t>
      </w:r>
    </w:p>
    <w:p w14:paraId="1C193664" w14:textId="77777777" w:rsidR="00AC0632" w:rsidRPr="00AC0632" w:rsidRDefault="00AC0632" w:rsidP="00AC0632">
      <w:pPr>
        <w:spacing w:line="360" w:lineRule="auto"/>
        <w:ind w:left="567" w:right="567"/>
        <w:jc w:val="both"/>
        <w:rPr>
          <w:rFonts w:ascii="Palatino Linotype" w:eastAsia="Times New Roman" w:hAnsi="Palatino Linotype" w:cs="Arial"/>
          <w:b/>
          <w:i/>
          <w:lang w:val="es-ES"/>
        </w:rPr>
      </w:pPr>
      <w:r w:rsidRPr="00AC0632">
        <w:rPr>
          <w:rFonts w:ascii="Palatino Linotype" w:eastAsia="Times New Roman" w:hAnsi="Palatino Linotype" w:cs="Arial"/>
          <w:b/>
          <w:i/>
          <w:lang w:val="es-ES"/>
        </w:rPr>
        <w:t xml:space="preserve">“REGISTRO CONTABLE </w:t>
      </w:r>
    </w:p>
    <w:p w14:paraId="0E48554D" w14:textId="77777777" w:rsidR="00AC0632" w:rsidRPr="00AC0632" w:rsidRDefault="00AC0632" w:rsidP="00AC0632">
      <w:pPr>
        <w:spacing w:line="360" w:lineRule="auto"/>
        <w:ind w:left="567" w:right="567"/>
        <w:jc w:val="both"/>
        <w:rPr>
          <w:rFonts w:ascii="Palatino Linotype" w:eastAsia="Times New Roman" w:hAnsi="Palatino Linotype" w:cs="Arial"/>
          <w:i/>
          <w:lang w:val="es-ES"/>
        </w:rPr>
      </w:pPr>
      <w:r w:rsidRPr="00AC0632">
        <w:rPr>
          <w:rFonts w:ascii="Palatino Linotype" w:eastAsia="Times New Roman" w:hAnsi="Palatino Linotype" w:cs="Arial"/>
          <w:i/>
          <w:lang w:val="es-ES"/>
        </w:rPr>
        <w:t>Asiento que se realiza en los libros de contabilidad de las actividades relacionadas con el ingreso y egresos de un ente económico.” (Sic)</w:t>
      </w:r>
    </w:p>
    <w:p w14:paraId="07FD1C94" w14:textId="77777777" w:rsidR="00AC0632" w:rsidRPr="00AC0632" w:rsidRDefault="00AC0632" w:rsidP="00AC0632">
      <w:pPr>
        <w:spacing w:line="360" w:lineRule="auto"/>
        <w:ind w:left="567" w:right="567"/>
        <w:jc w:val="both"/>
        <w:rPr>
          <w:rFonts w:ascii="Palatino Linotype" w:eastAsia="Times New Roman" w:hAnsi="Palatino Linotype" w:cs="Arial"/>
          <w:i/>
          <w:lang w:val="es-ES"/>
        </w:rPr>
      </w:pPr>
    </w:p>
    <w:p w14:paraId="143E16AF" w14:textId="77777777" w:rsidR="00AC0632" w:rsidRPr="00AC0632" w:rsidRDefault="00AC0632" w:rsidP="00AC0632">
      <w:pPr>
        <w:spacing w:line="360" w:lineRule="auto"/>
        <w:ind w:left="567" w:right="567"/>
        <w:jc w:val="both"/>
        <w:rPr>
          <w:rFonts w:ascii="Palatino Linotype" w:eastAsia="Times New Roman" w:hAnsi="Palatino Linotype" w:cs="Arial"/>
          <w:b/>
          <w:i/>
          <w:lang w:val="es-ES"/>
        </w:rPr>
      </w:pPr>
      <w:r w:rsidRPr="00AC0632">
        <w:rPr>
          <w:rFonts w:ascii="Palatino Linotype" w:eastAsia="Times New Roman" w:hAnsi="Palatino Linotype" w:cs="Arial"/>
          <w:b/>
          <w:i/>
          <w:lang w:val="es-ES"/>
        </w:rPr>
        <w:t>“REGISTRO PRESUPUESTARIO</w:t>
      </w:r>
    </w:p>
    <w:p w14:paraId="2CF904E7" w14:textId="77777777" w:rsidR="00AC0632" w:rsidRPr="00AC0632" w:rsidRDefault="00AC0632" w:rsidP="00AC0632">
      <w:pPr>
        <w:spacing w:line="360" w:lineRule="auto"/>
        <w:ind w:left="567" w:right="567"/>
        <w:jc w:val="both"/>
        <w:rPr>
          <w:rFonts w:ascii="Palatino Linotype" w:eastAsia="Times New Roman" w:hAnsi="Palatino Linotype" w:cs="Arial"/>
          <w:i/>
          <w:lang w:val="es-ES"/>
        </w:rPr>
      </w:pPr>
      <w:r w:rsidRPr="00AC0632">
        <w:rPr>
          <w:rFonts w:ascii="Palatino Linotype" w:eastAsia="Times New Roman" w:hAnsi="Palatino Linotype" w:cs="Arial"/>
          <w:i/>
          <w:lang w:val="es-ES"/>
        </w:rPr>
        <w:t>Asiento contable de las erogaciones realizadas por las dependencias y entidades con relación a la asignación, modificación y ejercicio de los recursos presupuestarios que se les hayan autorizado.” (Sic)</w:t>
      </w:r>
    </w:p>
    <w:p w14:paraId="683DD6C6" w14:textId="77777777" w:rsidR="00AC0632" w:rsidRPr="00AC0632" w:rsidRDefault="00AC0632" w:rsidP="00AC0632">
      <w:pPr>
        <w:spacing w:line="360" w:lineRule="auto"/>
        <w:ind w:right="899"/>
        <w:jc w:val="both"/>
        <w:rPr>
          <w:rFonts w:ascii="Palatino Linotype" w:eastAsia="Times New Roman" w:hAnsi="Palatino Linotype" w:cs="Arial"/>
          <w:i/>
          <w:lang w:val="es-ES"/>
        </w:rPr>
      </w:pPr>
    </w:p>
    <w:p w14:paraId="2765675D" w14:textId="77777777" w:rsidR="00AC0632" w:rsidRPr="00AC0632" w:rsidRDefault="00AC0632" w:rsidP="009C0EFB">
      <w:pPr>
        <w:numPr>
          <w:ilvl w:val="0"/>
          <w:numId w:val="3"/>
        </w:numPr>
        <w:spacing w:line="360" w:lineRule="auto"/>
        <w:ind w:right="48"/>
        <w:jc w:val="both"/>
        <w:rPr>
          <w:rFonts w:ascii="Palatino Linotype" w:eastAsia="Times New Roman" w:hAnsi="Palatino Linotype" w:cs="Arial"/>
          <w:bCs/>
          <w:color w:val="000000"/>
          <w:lang w:val="es-ES" w:eastAsia="es-ES"/>
        </w:rPr>
      </w:pPr>
      <w:r w:rsidRPr="00AC0632">
        <w:rPr>
          <w:rFonts w:ascii="Palatino Linotype" w:eastAsia="Times New Roman" w:hAnsi="Palatino Linotype" w:cs="Arial"/>
          <w:bCs/>
          <w:color w:val="000000"/>
          <w:lang w:val="es-ES" w:eastAsia="es-ES"/>
        </w:rPr>
        <w:t>Por otra parte, se establece que el sistema de contabilidad sobre base acumulativa total se sustentará en los principios de contabilidad gubernamental, igualmente señalan que los sujetos obligados deben contar con una unidad administrativa que registra contablemente el efecto patrimonial y presupuestal de las operaciones financieras que realizan, en el momento en que ocurran, con base en el sistema y políticas de registro establecidas.</w:t>
      </w:r>
    </w:p>
    <w:p w14:paraId="783B10CE" w14:textId="77777777" w:rsidR="00AC0632" w:rsidRPr="00AC0632" w:rsidRDefault="00AC0632" w:rsidP="00AC0632">
      <w:pPr>
        <w:autoSpaceDE w:val="0"/>
        <w:autoSpaceDN w:val="0"/>
        <w:adjustRightInd w:val="0"/>
        <w:spacing w:line="360" w:lineRule="auto"/>
        <w:jc w:val="both"/>
        <w:rPr>
          <w:rFonts w:ascii="Palatino Linotype" w:eastAsia="Times New Roman" w:hAnsi="Palatino Linotype" w:cs="Arial"/>
          <w:lang w:val="es-ES"/>
        </w:rPr>
      </w:pPr>
    </w:p>
    <w:p w14:paraId="0D00AD9E" w14:textId="77777777" w:rsidR="00AC0632" w:rsidRPr="00AC0632" w:rsidRDefault="00AC0632" w:rsidP="009C0EFB">
      <w:pPr>
        <w:numPr>
          <w:ilvl w:val="0"/>
          <w:numId w:val="3"/>
        </w:numPr>
        <w:spacing w:line="360" w:lineRule="auto"/>
        <w:ind w:right="48"/>
        <w:jc w:val="both"/>
        <w:rPr>
          <w:rFonts w:ascii="Palatino Linotype" w:eastAsia="Times New Roman" w:hAnsi="Palatino Linotype" w:cs="Arial"/>
          <w:lang w:val="es-ES"/>
        </w:rPr>
      </w:pPr>
      <w:r w:rsidRPr="009C0EFB">
        <w:rPr>
          <w:rFonts w:ascii="Palatino Linotype" w:hAnsi="Palatino Linotype"/>
          <w:color w:val="000000"/>
        </w:rPr>
        <w:t>Correlativo</w:t>
      </w:r>
      <w:r w:rsidRPr="00AC0632">
        <w:rPr>
          <w:rFonts w:ascii="Palatino Linotype" w:eastAsia="Times New Roman" w:hAnsi="Palatino Linotype" w:cs="Arial"/>
          <w:lang w:val="es-ES"/>
        </w:rPr>
        <w:t xml:space="preserve"> a lo anterior, es preciso referir una definición de </w:t>
      </w:r>
      <w:r w:rsidRPr="00AC0632">
        <w:rPr>
          <w:rFonts w:ascii="Palatino Linotype" w:eastAsia="Times New Roman" w:hAnsi="Palatino Linotype" w:cs="Arial"/>
          <w:b/>
          <w:lang w:val="es-ES"/>
        </w:rPr>
        <w:t>póliza contable</w:t>
      </w:r>
      <w:r w:rsidRPr="00AC0632">
        <w:rPr>
          <w:rFonts w:ascii="Palatino Linotype" w:eastAsia="Times New Roman" w:hAnsi="Palatino Linotype" w:cs="Arial"/>
          <w:lang w:val="es-ES"/>
        </w:rPr>
        <w:t xml:space="preserve">, la cual, primeramente, no está definida en el Código Financiero del Estado de México y Municipios; no obstante, los ya mencionados Glosarios la definen como: </w:t>
      </w:r>
    </w:p>
    <w:p w14:paraId="27D481CE" w14:textId="77777777" w:rsidR="00AC0632" w:rsidRPr="00AC0632" w:rsidRDefault="00AC0632" w:rsidP="00AC0632">
      <w:pPr>
        <w:spacing w:line="360" w:lineRule="auto"/>
        <w:ind w:left="567" w:right="567"/>
        <w:jc w:val="both"/>
        <w:rPr>
          <w:rFonts w:ascii="Palatino Linotype" w:eastAsia="Times New Roman" w:hAnsi="Palatino Linotype" w:cs="Arial"/>
          <w:b/>
          <w:i/>
          <w:lang w:val="es-ES"/>
        </w:rPr>
      </w:pPr>
      <w:r w:rsidRPr="00AC0632">
        <w:rPr>
          <w:rFonts w:ascii="Palatino Linotype" w:eastAsia="Times New Roman" w:hAnsi="Palatino Linotype" w:cs="Arial"/>
          <w:i/>
          <w:lang w:val="es-ES"/>
        </w:rPr>
        <w:t>“</w:t>
      </w:r>
      <w:r w:rsidRPr="00AC0632">
        <w:rPr>
          <w:rFonts w:ascii="Palatino Linotype" w:eastAsia="Times New Roman" w:hAnsi="Palatino Linotype" w:cs="Arial"/>
          <w:b/>
          <w:i/>
          <w:lang w:val="es-ES"/>
        </w:rPr>
        <w:t>PÓLIZA CONTABLE</w:t>
      </w:r>
    </w:p>
    <w:p w14:paraId="1E848318" w14:textId="77777777" w:rsidR="00AC0632" w:rsidRPr="00AC0632" w:rsidRDefault="00AC0632" w:rsidP="00AC0632">
      <w:pPr>
        <w:spacing w:line="360" w:lineRule="auto"/>
        <w:ind w:left="567" w:right="567"/>
        <w:jc w:val="both"/>
        <w:rPr>
          <w:rFonts w:ascii="Palatino Linotype" w:eastAsia="Times New Roman" w:hAnsi="Palatino Linotype" w:cs="Arial"/>
          <w:i/>
          <w:lang w:val="es-ES"/>
        </w:rPr>
      </w:pPr>
      <w:r w:rsidRPr="00AC0632">
        <w:rPr>
          <w:rFonts w:ascii="Palatino Linotype" w:eastAsia="Times New Roman" w:hAnsi="Palatino Linotype" w:cs="Arial"/>
          <w:i/>
          <w:lang w:val="es-ES"/>
        </w:rPr>
        <w:t xml:space="preserve">Documento en el cual </w:t>
      </w:r>
      <w:r w:rsidRPr="00AC0632">
        <w:rPr>
          <w:rFonts w:ascii="Palatino Linotype" w:eastAsia="Times New Roman" w:hAnsi="Palatino Linotype" w:cs="Arial"/>
          <w:i/>
          <w:u w:val="single"/>
          <w:lang w:val="es-ES"/>
        </w:rPr>
        <w:t>se asientan en forma individual todas y cada una de las operaciones desarrolladas por una institución</w:t>
      </w:r>
      <w:r w:rsidRPr="00AC0632">
        <w:rPr>
          <w:rFonts w:ascii="Palatino Linotype" w:eastAsia="Times New Roman" w:hAnsi="Palatino Linotype" w:cs="Arial"/>
          <w:i/>
          <w:lang w:val="es-ES"/>
        </w:rPr>
        <w:t xml:space="preserve">, así como la </w:t>
      </w:r>
      <w:r w:rsidRPr="00AC0632">
        <w:rPr>
          <w:rFonts w:ascii="Palatino Linotype" w:eastAsia="Times New Roman" w:hAnsi="Palatino Linotype" w:cs="Arial"/>
          <w:i/>
          <w:u w:val="single"/>
          <w:lang w:val="es-ES"/>
        </w:rPr>
        <w:t xml:space="preserve">información necesaria para la identificación </w:t>
      </w:r>
      <w:r w:rsidRPr="00AC0632">
        <w:rPr>
          <w:rFonts w:ascii="Palatino Linotype" w:eastAsia="Times New Roman" w:hAnsi="Palatino Linotype" w:cs="Arial"/>
          <w:i/>
          <w:lang w:val="es-ES"/>
        </w:rPr>
        <w:t>de dichas operaciones.” (sic)</w:t>
      </w:r>
    </w:p>
    <w:p w14:paraId="5CA5FF97" w14:textId="77777777" w:rsidR="00AC0632" w:rsidRPr="00AC0632" w:rsidRDefault="00AC0632" w:rsidP="00AC0632">
      <w:pPr>
        <w:spacing w:line="360" w:lineRule="auto"/>
        <w:contextualSpacing/>
        <w:jc w:val="both"/>
        <w:rPr>
          <w:rFonts w:ascii="Palatino Linotype" w:eastAsia="Times New Roman" w:hAnsi="Palatino Linotype" w:cs="Arial"/>
          <w:lang w:val="es-ES"/>
        </w:rPr>
      </w:pPr>
    </w:p>
    <w:p w14:paraId="674B35D2" w14:textId="77777777" w:rsidR="00AC0632" w:rsidRPr="00AC0632" w:rsidRDefault="00AC0632" w:rsidP="009C0EFB">
      <w:pPr>
        <w:numPr>
          <w:ilvl w:val="0"/>
          <w:numId w:val="3"/>
        </w:numPr>
        <w:spacing w:line="360" w:lineRule="auto"/>
        <w:ind w:right="48"/>
        <w:jc w:val="both"/>
        <w:rPr>
          <w:rFonts w:ascii="Palatino Linotype" w:eastAsia="Times New Roman" w:hAnsi="Palatino Linotype" w:cs="Arial"/>
          <w:lang w:val="es-ES"/>
        </w:rPr>
      </w:pPr>
      <w:r w:rsidRPr="009C0EFB">
        <w:rPr>
          <w:rFonts w:ascii="Palatino Linotype" w:hAnsi="Palatino Linotype"/>
          <w:color w:val="000000"/>
        </w:rPr>
        <w:t>Así</w:t>
      </w:r>
      <w:r w:rsidRPr="00AC0632">
        <w:rPr>
          <w:rFonts w:ascii="Palatino Linotype" w:eastAsia="Times New Roman" w:hAnsi="Palatino Linotype" w:cs="Arial"/>
          <w:lang w:val="es-ES"/>
        </w:rPr>
        <w:t xml:space="preserve">, se advierte que la póliza contable constituye un registro contable y presupuestal con el que cuentan los Municipios para el registro de sus operaciones relacionadas con sus ingresos y egresos y se anexan los documentos o comprobantes que </w:t>
      </w:r>
      <w:r w:rsidRPr="00AC0632">
        <w:rPr>
          <w:rFonts w:ascii="Palatino Linotype" w:eastAsia="Times New Roman" w:hAnsi="Palatino Linotype" w:cs="Arial"/>
          <w:lang w:val="es-ES"/>
        </w:rPr>
        <w:lastRenderedPageBreak/>
        <w:t>justifiquen las anotaciones y cantidades en ellas registradas, lo que permite la identificación plena de dichas operaciones.</w:t>
      </w:r>
    </w:p>
    <w:p w14:paraId="4B5C9DB1" w14:textId="77777777" w:rsidR="00AC0632" w:rsidRPr="00AC0632" w:rsidRDefault="00AC0632" w:rsidP="00AC0632">
      <w:pPr>
        <w:spacing w:line="360" w:lineRule="auto"/>
        <w:jc w:val="both"/>
        <w:rPr>
          <w:rFonts w:ascii="Palatino Linotype" w:eastAsia="Times New Roman" w:hAnsi="Palatino Linotype" w:cs="Arial"/>
          <w:lang w:val="es-ES"/>
        </w:rPr>
      </w:pPr>
    </w:p>
    <w:p w14:paraId="3B1A786D" w14:textId="77777777" w:rsidR="00AC0632" w:rsidRDefault="00AC0632" w:rsidP="00AC0632">
      <w:pPr>
        <w:numPr>
          <w:ilvl w:val="0"/>
          <w:numId w:val="3"/>
        </w:numPr>
        <w:spacing w:line="360" w:lineRule="auto"/>
        <w:ind w:right="48"/>
        <w:jc w:val="both"/>
        <w:rPr>
          <w:rFonts w:ascii="Palatino Linotype" w:eastAsia="Times New Roman" w:hAnsi="Palatino Linotype" w:cs="Arial"/>
          <w:lang w:val="es-ES"/>
        </w:rPr>
      </w:pPr>
      <w:r w:rsidRPr="00AC0632">
        <w:rPr>
          <w:rFonts w:ascii="Palatino Linotype" w:eastAsia="Times New Roman" w:hAnsi="Palatino Linotype" w:cs="Arial"/>
          <w:lang w:val="es-ES"/>
        </w:rPr>
        <w:t xml:space="preserve">En este sentido, existen diversos tipos de pólizas contables de acuerdo a las operaciones realizadas, dentro de las cuales, encontramos las llamadas pólizas de egresos, en las cuales se anotan diariamente las operaciones que representan egresos, es decir, salidas de dinero para el </w:t>
      </w:r>
      <w:r w:rsidRPr="00AC0632">
        <w:rPr>
          <w:rFonts w:ascii="Palatino Linotype" w:eastAsia="Times New Roman" w:hAnsi="Palatino Linotype" w:cs="Arial"/>
          <w:b/>
          <w:lang w:val="es-ES"/>
        </w:rPr>
        <w:t>Sujeto Obligado</w:t>
      </w:r>
      <w:r w:rsidRPr="00AC0632">
        <w:rPr>
          <w:rFonts w:ascii="Palatino Linotype" w:eastAsia="Times New Roman" w:hAnsi="Palatino Linotype" w:cs="Arial"/>
          <w:lang w:val="es-ES"/>
        </w:rPr>
        <w:t xml:space="preserve">, la cual además, </w:t>
      </w:r>
      <w:r w:rsidRPr="00AC0632">
        <w:rPr>
          <w:rFonts w:ascii="Palatino Linotype" w:eastAsia="Times New Roman" w:hAnsi="Palatino Linotype" w:cs="Arial"/>
          <w:b/>
          <w:lang w:val="es-ES"/>
        </w:rPr>
        <w:t>debe encontrarse acompañada de las documentales que sirven de soporte de dicho movimiento</w:t>
      </w:r>
      <w:r w:rsidRPr="00AC0632">
        <w:rPr>
          <w:rFonts w:ascii="Palatino Linotype" w:eastAsia="Times New Roman" w:hAnsi="Palatino Linotype" w:cs="Arial"/>
          <w:lang w:val="es-ES"/>
        </w:rPr>
        <w:t xml:space="preserve">. </w:t>
      </w:r>
    </w:p>
    <w:p w14:paraId="018AC15F" w14:textId="77777777" w:rsidR="00E63AB6" w:rsidRPr="009C0EFB" w:rsidRDefault="00E63AB6" w:rsidP="00E63AB6">
      <w:pPr>
        <w:spacing w:line="360" w:lineRule="auto"/>
        <w:ind w:right="48"/>
        <w:jc w:val="both"/>
        <w:rPr>
          <w:rFonts w:ascii="Palatino Linotype" w:eastAsia="Times New Roman" w:hAnsi="Palatino Linotype" w:cs="Arial"/>
          <w:lang w:val="es-ES"/>
        </w:rPr>
      </w:pPr>
    </w:p>
    <w:p w14:paraId="43290FD6" w14:textId="77777777" w:rsidR="00AC0632" w:rsidRPr="00AC0632" w:rsidRDefault="00AC0632" w:rsidP="009C0EFB">
      <w:pPr>
        <w:numPr>
          <w:ilvl w:val="0"/>
          <w:numId w:val="3"/>
        </w:numPr>
        <w:spacing w:line="360" w:lineRule="auto"/>
        <w:ind w:right="48"/>
        <w:jc w:val="both"/>
        <w:rPr>
          <w:rFonts w:ascii="Palatino Linotype" w:eastAsia="Calibri" w:hAnsi="Palatino Linotype" w:cs="Times New Roman"/>
          <w:color w:val="000000"/>
        </w:rPr>
      </w:pPr>
      <w:r w:rsidRPr="00AC0632">
        <w:rPr>
          <w:rFonts w:ascii="Palatino Linotype" w:eastAsia="Calibri" w:hAnsi="Palatino Linotype" w:cs="Times New Roman"/>
          <w:color w:val="000000"/>
        </w:rPr>
        <w:t xml:space="preserve">En ese contexto, en seguimiento a lo previsto al artículo 2° del Código de Comercio, el artículo 2516, del Código Civil Federal establece que el deposito es un contrato por el cual el depositario se obliga hacia el depositante a recibir una cosa, mueble o inmueble que aquel confía, y a guardarla para restituirla cuando lo pida el depositante. En esa misma línea, el Capítulo II, de la Ley General de Títulos y Operaciones de Crédito, prevé tres tipos de operaciones de crédito de depósito que se pueden realizar, a saber: i) depósito bancario de dinero, ii) depósito bancario de títulos y iii) depósito de mercancías en almacenes generales. </w:t>
      </w:r>
    </w:p>
    <w:p w14:paraId="195152AC" w14:textId="77777777" w:rsidR="00AC0632" w:rsidRPr="00AC0632" w:rsidRDefault="00AC0632" w:rsidP="00AC0632">
      <w:pPr>
        <w:spacing w:line="360" w:lineRule="auto"/>
        <w:jc w:val="both"/>
        <w:rPr>
          <w:rFonts w:ascii="Palatino Linotype" w:eastAsia="Calibri" w:hAnsi="Palatino Linotype" w:cs="Times New Roman"/>
          <w:color w:val="000000"/>
        </w:rPr>
      </w:pPr>
    </w:p>
    <w:p w14:paraId="5FDD4BD3" w14:textId="77777777" w:rsidR="00DE731B" w:rsidRDefault="00AC0632" w:rsidP="00DE731B">
      <w:pPr>
        <w:numPr>
          <w:ilvl w:val="0"/>
          <w:numId w:val="3"/>
        </w:numPr>
        <w:spacing w:line="360" w:lineRule="auto"/>
        <w:ind w:right="48"/>
        <w:jc w:val="both"/>
        <w:rPr>
          <w:rFonts w:ascii="Palatino Linotype" w:eastAsia="Times New Roman" w:hAnsi="Palatino Linotype" w:cs="Tahoma"/>
          <w:bCs/>
          <w:lang w:eastAsia="es-ES"/>
        </w:rPr>
      </w:pPr>
      <w:r w:rsidRPr="00AC0632">
        <w:rPr>
          <w:rFonts w:ascii="Palatino Linotype" w:eastAsia="Times New Roman" w:hAnsi="Palatino Linotype" w:cs="Tahoma"/>
          <w:bCs/>
          <w:lang w:eastAsia="es-ES"/>
        </w:rPr>
        <w:t>Por otra parte, en seguimiento al artículo 32, de la multicitada Ley de Fiscalización, y lo previsto por el artículo 350, del Código Financiero del Estado de México y Municipios, el cual establece que, dentro de los primeros veinte días hábiles, las Tesorerías Municipales, enviarán para su análisis y evaluación al Órgano Superior de Fiscalización del Estado de México, la información Patrimonial, Presupuestal, de la Obra Pública y de Nómina.</w:t>
      </w:r>
    </w:p>
    <w:p w14:paraId="3326F58B" w14:textId="77777777" w:rsidR="009C0EFB" w:rsidRPr="00AD24C5" w:rsidRDefault="009C0EFB" w:rsidP="009C0EFB">
      <w:pPr>
        <w:numPr>
          <w:ilvl w:val="0"/>
          <w:numId w:val="3"/>
        </w:numPr>
        <w:spacing w:line="360" w:lineRule="auto"/>
        <w:ind w:right="48"/>
        <w:jc w:val="both"/>
        <w:rPr>
          <w:rFonts w:ascii="Palatino Linotype" w:eastAsia="Palatino Linotype" w:hAnsi="Palatino Linotype" w:cs="Palatino Linotype"/>
        </w:rPr>
      </w:pPr>
      <w:r w:rsidRPr="00AD24C5">
        <w:rPr>
          <w:rFonts w:ascii="Palatino Linotype" w:eastAsia="Palatino Linotype" w:hAnsi="Palatino Linotype" w:cs="Palatino Linotype"/>
        </w:rPr>
        <w:lastRenderedPageBreak/>
        <w:t xml:space="preserve">De lo anterior, se advierte que toda institución pública o dependencia pública del Estado de México debe conservar los recibos o constancias de pago </w:t>
      </w:r>
      <w:r>
        <w:rPr>
          <w:rFonts w:ascii="Palatino Linotype" w:eastAsia="Palatino Linotype" w:hAnsi="Palatino Linotype" w:cs="Palatino Linotype"/>
        </w:rPr>
        <w:t xml:space="preserve">que </w:t>
      </w:r>
      <w:r w:rsidRPr="00AD24C5">
        <w:rPr>
          <w:rFonts w:ascii="Palatino Linotype" w:eastAsia="Palatino Linotype" w:hAnsi="Palatino Linotype" w:cs="Palatino Linotype"/>
        </w:rPr>
        <w:t xml:space="preserve">haya realizado el pago, es decir, en efectivo, </w:t>
      </w:r>
      <w:r w:rsidRPr="00AD24C5">
        <w:rPr>
          <w:rFonts w:ascii="Palatino Linotype" w:eastAsia="Palatino Linotype" w:hAnsi="Palatino Linotype" w:cs="Palatino Linotype"/>
          <w:u w:val="single"/>
        </w:rPr>
        <w:t>cheque,</w:t>
      </w:r>
      <w:r w:rsidRPr="00AD24C5">
        <w:rPr>
          <w:rFonts w:ascii="Palatino Linotype" w:eastAsia="Palatino Linotype" w:hAnsi="Palatino Linotype" w:cs="Palatino Linotype"/>
        </w:rPr>
        <w:t xml:space="preserve"> depósito, </w:t>
      </w:r>
      <w:r w:rsidRPr="00AD24C5">
        <w:rPr>
          <w:rFonts w:ascii="Palatino Linotype" w:eastAsia="Palatino Linotype" w:hAnsi="Palatino Linotype" w:cs="Palatino Linotype"/>
          <w:u w:val="single"/>
        </w:rPr>
        <w:t>transferencia</w:t>
      </w:r>
      <w:r w:rsidRPr="00AD24C5">
        <w:rPr>
          <w:rFonts w:ascii="Palatino Linotype" w:eastAsia="Palatino Linotype" w:hAnsi="Palatino Linotype" w:cs="Palatino Linotype"/>
        </w:rPr>
        <w:t xml:space="preserve"> u otra, </w:t>
      </w:r>
      <w:r w:rsidRPr="00AD24C5">
        <w:rPr>
          <w:rFonts w:ascii="Palatino Linotype" w:eastAsia="Palatino Linotype" w:hAnsi="Palatino Linotype" w:cs="Palatino Linotype"/>
          <w:color w:val="000000"/>
        </w:rPr>
        <w:t>debiendo</w:t>
      </w:r>
      <w:r w:rsidR="0024754D">
        <w:rPr>
          <w:rFonts w:ascii="Palatino Linotype" w:eastAsia="Palatino Linotype" w:hAnsi="Palatino Linotype" w:cs="Palatino Linotype"/>
        </w:rPr>
        <w:t xml:space="preserve"> conservar dicha documentación</w:t>
      </w:r>
      <w:r w:rsidRPr="00AD24C5">
        <w:rPr>
          <w:rFonts w:ascii="Palatino Linotype" w:eastAsia="Palatino Linotype" w:hAnsi="Palatino Linotype" w:cs="Palatino Linotype"/>
        </w:rPr>
        <w:t xml:space="preserve"> a través de los sistemas de digitalización o de información magnética o electrónica.</w:t>
      </w:r>
    </w:p>
    <w:p w14:paraId="78A6A4B1" w14:textId="77777777" w:rsidR="009C0EFB" w:rsidRPr="00AD24C5" w:rsidRDefault="009C0EFB" w:rsidP="009C0EFB">
      <w:pPr>
        <w:spacing w:before="120" w:after="120"/>
        <w:ind w:right="1106"/>
        <w:jc w:val="both"/>
        <w:rPr>
          <w:rFonts w:ascii="Palatino Linotype" w:eastAsia="Palatino Linotype" w:hAnsi="Palatino Linotype" w:cs="Palatino Linotype"/>
        </w:rPr>
      </w:pPr>
    </w:p>
    <w:p w14:paraId="2C091A48" w14:textId="77777777" w:rsidR="009C0EFB" w:rsidRDefault="009C0EFB" w:rsidP="009C0EFB">
      <w:pPr>
        <w:numPr>
          <w:ilvl w:val="0"/>
          <w:numId w:val="3"/>
        </w:numPr>
        <w:spacing w:line="360" w:lineRule="auto"/>
        <w:ind w:right="48"/>
        <w:jc w:val="both"/>
        <w:rPr>
          <w:rFonts w:ascii="Palatino Linotype" w:eastAsia="Palatino Linotype" w:hAnsi="Palatino Linotype" w:cs="Palatino Linotype"/>
        </w:rPr>
      </w:pPr>
      <w:r w:rsidRPr="00AD24C5">
        <w:rPr>
          <w:rFonts w:ascii="Palatino Linotype" w:eastAsia="Palatino Linotype" w:hAnsi="Palatino Linotype" w:cs="Palatino Linotype"/>
        </w:rPr>
        <w:t xml:space="preserve">De igual forma, las disposiciones administrativas que rigen a las Entidades </w:t>
      </w:r>
      <w:r w:rsidRPr="00AD24C5">
        <w:rPr>
          <w:rFonts w:ascii="Palatino Linotype" w:eastAsia="Palatino Linotype" w:hAnsi="Palatino Linotype" w:cs="Palatino Linotype"/>
          <w:color w:val="000000"/>
        </w:rPr>
        <w:t>Fiscalizables</w:t>
      </w:r>
      <w:r w:rsidRPr="00AD24C5">
        <w:rPr>
          <w:rFonts w:ascii="Palatino Linotype" w:eastAsia="Palatino Linotype" w:hAnsi="Palatino Linotype" w:cs="Palatino Linotype"/>
        </w:rPr>
        <w:t xml:space="preserve"> en el Estado de México, se encuentran los Lineamientos para la integración del Informe Mensual emitidos anualmente por el Órgano Superior de Fiscalización del Estado de México (OSFEM) en ejercicio de sus atribuciones, los cuales representan una herramienta para elaborar y presentar los Informes Mensuales por parte de las Entidades Fiscalizables, en cuanto a los requerimientos financieros, contables, patrimoniales, presupuestales, programáticos y administrativos que nos señalan los ordenamientos legales respectivos, que entre otros destacan: la Ley Orgánica Municipal, Ley de Ingresos de los Municipios, Presupuesto de Egresos y Manual Único de Contabilidad Gubernamental para las Dependencias y Entidades Públicas del Gobierno y Municipios, todos del Estado de México.</w:t>
      </w:r>
    </w:p>
    <w:p w14:paraId="7441F8EC" w14:textId="77777777" w:rsidR="00E63AB6" w:rsidRDefault="00E63AB6" w:rsidP="00E63AB6">
      <w:pPr>
        <w:spacing w:line="360" w:lineRule="auto"/>
        <w:ind w:right="48"/>
        <w:jc w:val="both"/>
        <w:rPr>
          <w:rFonts w:ascii="Palatino Linotype" w:eastAsia="Palatino Linotype" w:hAnsi="Palatino Linotype" w:cs="Palatino Linotype"/>
        </w:rPr>
      </w:pPr>
    </w:p>
    <w:p w14:paraId="21F75B7D" w14:textId="77777777" w:rsidR="00E63AB6" w:rsidRPr="00E63AB6" w:rsidRDefault="00E63AB6" w:rsidP="009C0EFB">
      <w:pPr>
        <w:numPr>
          <w:ilvl w:val="0"/>
          <w:numId w:val="3"/>
        </w:numPr>
        <w:spacing w:line="360" w:lineRule="auto"/>
        <w:ind w:right="48"/>
        <w:jc w:val="both"/>
        <w:rPr>
          <w:rFonts w:ascii="Palatino Linotype" w:eastAsia="Palatino Linotype" w:hAnsi="Palatino Linotype" w:cs="Palatino Linotype"/>
        </w:rPr>
      </w:pPr>
      <w:r>
        <w:rPr>
          <w:rFonts w:ascii="Palatino Linotype" w:eastAsia="Palatino Linotype" w:hAnsi="Palatino Linotype" w:cs="Palatino Linotype"/>
        </w:rPr>
        <w:t xml:space="preserve">De lo anterior, queda plasmada la información que </w:t>
      </w:r>
      <w:r w:rsidRPr="00E63AB6">
        <w:rPr>
          <w:rFonts w:ascii="Palatino Linotype" w:eastAsia="Palatino Linotype" w:hAnsi="Palatino Linotype" w:cs="Palatino Linotype"/>
          <w:u w:val="single"/>
        </w:rPr>
        <w:t>de manera enunciativa más no limitativa</w:t>
      </w:r>
      <w:r>
        <w:rPr>
          <w:rFonts w:ascii="Palatino Linotype" w:eastAsia="Palatino Linotype" w:hAnsi="Palatino Linotype" w:cs="Palatino Linotype"/>
        </w:rPr>
        <w:t xml:space="preserve"> pudiera obrar dentro de la información que se ordena remitir</w:t>
      </w:r>
      <w:r w:rsidR="004B3D68">
        <w:rPr>
          <w:rFonts w:ascii="Palatino Linotype" w:eastAsia="Palatino Linotype" w:hAnsi="Palatino Linotype" w:cs="Palatino Linotype"/>
        </w:rPr>
        <w:t>.</w:t>
      </w:r>
    </w:p>
    <w:p w14:paraId="297D97AA" w14:textId="77777777" w:rsidR="00167437" w:rsidRDefault="00167437" w:rsidP="00167437">
      <w:pPr>
        <w:spacing w:line="360" w:lineRule="auto"/>
        <w:ind w:right="48"/>
        <w:jc w:val="both"/>
        <w:rPr>
          <w:rFonts w:ascii="Palatino Linotype" w:eastAsia="Palatino Linotype" w:hAnsi="Palatino Linotype" w:cs="Palatino Linotype"/>
          <w:color w:val="000000"/>
        </w:rPr>
      </w:pPr>
    </w:p>
    <w:p w14:paraId="523012A6" w14:textId="77777777" w:rsidR="00957BFC" w:rsidRPr="004B3D68" w:rsidRDefault="00CE1938" w:rsidP="004B3D68">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consecuencia de lo anterior, se colige que con la información proporcionada por el </w:t>
      </w:r>
      <w:r w:rsidR="004B3D68">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w:t>
      </w:r>
      <w:r w:rsidR="00167437">
        <w:rPr>
          <w:rFonts w:ascii="Palatino Linotype" w:eastAsia="Palatino Linotype" w:hAnsi="Palatino Linotype" w:cs="Palatino Linotype"/>
          <w:color w:val="000000"/>
        </w:rPr>
        <w:t xml:space="preserve"> no</w:t>
      </w:r>
      <w:r>
        <w:rPr>
          <w:rFonts w:ascii="Palatino Linotype" w:eastAsia="Palatino Linotype" w:hAnsi="Palatino Linotype" w:cs="Palatino Linotype"/>
          <w:color w:val="000000"/>
        </w:rPr>
        <w:t xml:space="preserve"> se tiene por colmada en su totalidad la solicitud de información </w:t>
      </w:r>
      <w:r>
        <w:rPr>
          <w:rFonts w:ascii="Palatino Linotype" w:eastAsia="Palatino Linotype" w:hAnsi="Palatino Linotype" w:cs="Palatino Linotype"/>
          <w:b/>
          <w:bCs/>
          <w:color w:val="000000"/>
        </w:rPr>
        <w:t>01216/CUAUTIZC/IP/2025</w:t>
      </w:r>
      <w:r w:rsidR="00167437">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y en consecuencia devienen </w:t>
      </w:r>
      <w:r w:rsidR="00167437">
        <w:rPr>
          <w:rFonts w:ascii="Palatino Linotype" w:eastAsia="Palatino Linotype" w:hAnsi="Palatino Linotype" w:cs="Palatino Linotype"/>
          <w:color w:val="000000"/>
        </w:rPr>
        <w:t xml:space="preserve">parcialmente </w:t>
      </w:r>
      <w:r w:rsidR="00167437">
        <w:rPr>
          <w:rFonts w:ascii="Palatino Linotype" w:eastAsia="Palatino Linotype" w:hAnsi="Palatino Linotype" w:cs="Palatino Linotype"/>
          <w:color w:val="000000"/>
        </w:rPr>
        <w:lastRenderedPageBreak/>
        <w:t>fundado</w:t>
      </w:r>
      <w:r>
        <w:rPr>
          <w:rFonts w:ascii="Palatino Linotype" w:eastAsia="Palatino Linotype" w:hAnsi="Palatino Linotype" w:cs="Palatino Linotype"/>
          <w:color w:val="000000"/>
        </w:rPr>
        <w:t xml:space="preserve">s los motivos de inconformidad planteados por el ahora </w:t>
      </w:r>
      <w:r w:rsidR="004B3D68">
        <w:rPr>
          <w:rFonts w:ascii="Palatino Linotype" w:eastAsia="Palatino Linotype" w:hAnsi="Palatino Linotype" w:cs="Palatino Linotype"/>
          <w:b/>
          <w:bCs/>
          <w:color w:val="000000"/>
        </w:rPr>
        <w:t xml:space="preserve">RECURRENTE, </w:t>
      </w:r>
      <w:r w:rsidR="004B3D68">
        <w:rPr>
          <w:rFonts w:ascii="Palatino Linotype" w:eastAsia="Palatino Linotype" w:hAnsi="Palatino Linotype" w:cs="Palatino Linotype"/>
          <w:bCs/>
          <w:color w:val="000000"/>
        </w:rPr>
        <w:t xml:space="preserve">resultando dable ordenar se turne la solicitud de información en comento a la Dirección de Administración y a Tesorería Municipal en los términos precisados. </w:t>
      </w:r>
    </w:p>
    <w:p w14:paraId="1948457F" w14:textId="77777777" w:rsidR="00167437" w:rsidRPr="00F31F80" w:rsidRDefault="00167437" w:rsidP="00167437">
      <w:pPr>
        <w:pStyle w:val="Ttulo1"/>
        <w:rPr>
          <w:b w:val="0"/>
        </w:rPr>
      </w:pPr>
      <w:r w:rsidRPr="00F31F80">
        <w:t>QUINTO. De la versión pública.</w:t>
      </w:r>
    </w:p>
    <w:p w14:paraId="049ECECA" w14:textId="77777777" w:rsidR="00167437" w:rsidRPr="00F31F80" w:rsidRDefault="00167437" w:rsidP="00167437">
      <w:pPr>
        <w:rPr>
          <w:rFonts w:ascii="Palatino Linotype" w:eastAsia="Palatino Linotype" w:hAnsi="Palatino Linotype" w:cs="Palatino Linotype"/>
          <w:b/>
        </w:rPr>
      </w:pPr>
    </w:p>
    <w:p w14:paraId="5B6FD0F5" w14:textId="77777777" w:rsidR="00167437" w:rsidRPr="00F31F80" w:rsidRDefault="00167437" w:rsidP="00167437">
      <w:pPr>
        <w:pStyle w:val="Ttulo1"/>
        <w:numPr>
          <w:ilvl w:val="0"/>
          <w:numId w:val="11"/>
        </w:numPr>
        <w:tabs>
          <w:tab w:val="left" w:pos="284"/>
        </w:tabs>
        <w:spacing w:before="0" w:line="360" w:lineRule="auto"/>
        <w:ind w:left="0" w:firstLine="0"/>
        <w:rPr>
          <w:b w:val="0"/>
        </w:rPr>
      </w:pPr>
      <w:bookmarkStart w:id="9" w:name="_heading=h.c8fzhl6r4ycf" w:colFirst="0" w:colLast="0"/>
      <w:bookmarkEnd w:id="9"/>
      <w:r w:rsidRPr="00F31F80">
        <w:t xml:space="preserve">Nociones generales. </w:t>
      </w:r>
    </w:p>
    <w:p w14:paraId="5E2DF88C" w14:textId="77777777" w:rsidR="00167437" w:rsidRPr="00F31F80" w:rsidRDefault="00167437" w:rsidP="004B3D68">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F31F80">
        <w:rPr>
          <w:rFonts w:ascii="Palatino Linotype" w:eastAsia="Palatino Linotype" w:hAnsi="Palatino Linotype" w:cs="Palatino Linotype"/>
          <w:color w:val="000000"/>
        </w:rPr>
        <w:t>Debe destacarse que, debido a la naturaleza de la información solicitada,</w:t>
      </w:r>
      <w:r w:rsidRPr="00F31F80">
        <w:rPr>
          <w:rFonts w:ascii="Palatino Linotype" w:eastAsia="Palatino Linotype" w:hAnsi="Palatino Linotype" w:cs="Palatino Linotype"/>
          <w:b/>
          <w:color w:val="000000"/>
        </w:rPr>
        <w:t xml:space="preserve"> </w:t>
      </w:r>
      <w:r w:rsidRPr="00F31F80">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F31F80">
        <w:rPr>
          <w:rFonts w:ascii="Palatino Linotype" w:eastAsia="Palatino Linotype" w:hAnsi="Palatino Linotype" w:cs="Palatino Linotype"/>
          <w:b/>
          <w:color w:val="000000"/>
        </w:rPr>
        <w:t xml:space="preserve">Sujeto Obligado </w:t>
      </w:r>
      <w:r w:rsidRPr="00F31F80">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24A4EBA7" w14:textId="77777777" w:rsidR="00167437" w:rsidRPr="00F31F80" w:rsidRDefault="00167437" w:rsidP="00167437">
      <w:pPr>
        <w:pBdr>
          <w:top w:val="nil"/>
          <w:left w:val="nil"/>
          <w:bottom w:val="nil"/>
          <w:right w:val="nil"/>
          <w:between w:val="nil"/>
        </w:pBdr>
        <w:tabs>
          <w:tab w:val="left" w:pos="0"/>
          <w:tab w:val="left" w:pos="284"/>
        </w:tabs>
        <w:spacing w:line="360" w:lineRule="auto"/>
        <w:ind w:right="49"/>
        <w:jc w:val="both"/>
        <w:rPr>
          <w:rFonts w:ascii="Palatino Linotype" w:eastAsia="Palatino Linotype" w:hAnsi="Palatino Linotype" w:cs="Palatino Linotype"/>
          <w:color w:val="000000"/>
        </w:rPr>
      </w:pPr>
    </w:p>
    <w:p w14:paraId="65F12282" w14:textId="77777777" w:rsidR="00167437" w:rsidRPr="00F31F80" w:rsidRDefault="00167437" w:rsidP="004B3D68">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F31F80">
        <w:rPr>
          <w:rFonts w:ascii="Palatino Linotype" w:eastAsia="Palatino Linotype" w:hAnsi="Palatino Linotype" w:cs="Palatino Linotype"/>
          <w:color w:val="000000"/>
        </w:rPr>
        <w:t xml:space="preserve">No pasa desapercibido para este Órgano Garante que los </w:t>
      </w:r>
      <w:r w:rsidRPr="00F31F80">
        <w:rPr>
          <w:rFonts w:ascii="Palatino Linotype" w:eastAsia="Palatino Linotype" w:hAnsi="Palatino Linotype" w:cs="Palatino Linotype"/>
          <w:b/>
          <w:color w:val="000000"/>
        </w:rPr>
        <w:t xml:space="preserve">Sujetos Obligados </w:t>
      </w:r>
      <w:r w:rsidRPr="00F31F80">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6EC5C1F2" w14:textId="77777777" w:rsidR="00167437" w:rsidRPr="00F31F80" w:rsidRDefault="00167437" w:rsidP="00167437">
      <w:pPr>
        <w:tabs>
          <w:tab w:val="left" w:pos="284"/>
        </w:tabs>
        <w:spacing w:line="360" w:lineRule="auto"/>
        <w:ind w:right="49"/>
        <w:jc w:val="both"/>
        <w:rPr>
          <w:rFonts w:ascii="Palatino Linotype" w:eastAsia="Palatino Linotype" w:hAnsi="Palatino Linotype" w:cs="Palatino Linotype"/>
          <w:color w:val="000000"/>
        </w:rPr>
      </w:pPr>
    </w:p>
    <w:tbl>
      <w:tblPr>
        <w:tblStyle w:val="3"/>
        <w:tblW w:w="9497" w:type="dxa"/>
        <w:tblInd w:w="13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93"/>
        <w:gridCol w:w="6804"/>
      </w:tblGrid>
      <w:tr w:rsidR="00167437" w:rsidRPr="00F31F80" w14:paraId="50E2C691" w14:textId="77777777" w:rsidTr="00441D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Borders>
              <w:top w:val="single" w:sz="4" w:space="0" w:color="BFBFBF"/>
              <w:left w:val="single" w:sz="4" w:space="0" w:color="BFBFBF"/>
              <w:bottom w:val="single" w:sz="4" w:space="0" w:color="BFBFBF"/>
              <w:right w:val="single" w:sz="4" w:space="0" w:color="BFBFBF"/>
            </w:tcBorders>
          </w:tcPr>
          <w:p w14:paraId="33AE5042" w14:textId="77777777" w:rsidR="00167437" w:rsidRPr="00F31F80" w:rsidRDefault="00167437" w:rsidP="00441DD7">
            <w:pPr>
              <w:spacing w:line="360" w:lineRule="auto"/>
              <w:ind w:right="-308"/>
              <w:rPr>
                <w:rFonts w:ascii="Palatino Linotype" w:eastAsia="Palatino Linotype" w:hAnsi="Palatino Linotype" w:cs="Palatino Linotype"/>
              </w:rPr>
            </w:pPr>
            <w:r w:rsidRPr="00F31F80">
              <w:rPr>
                <w:rFonts w:ascii="Palatino Linotype" w:eastAsia="Palatino Linotype" w:hAnsi="Palatino Linotype" w:cs="Palatino Linotype"/>
              </w:rPr>
              <w:t>a) Requisitos previos.</w:t>
            </w:r>
          </w:p>
        </w:tc>
        <w:tc>
          <w:tcPr>
            <w:tcW w:w="6804" w:type="dxa"/>
            <w:tcBorders>
              <w:top w:val="single" w:sz="4" w:space="0" w:color="BFBFBF"/>
              <w:left w:val="single" w:sz="4" w:space="0" w:color="BFBFBF"/>
              <w:bottom w:val="single" w:sz="4" w:space="0" w:color="BFBFBF"/>
              <w:right w:val="single" w:sz="4" w:space="0" w:color="BFBFBF"/>
            </w:tcBorders>
          </w:tcPr>
          <w:p w14:paraId="4149CAD2" w14:textId="77777777" w:rsidR="00167437" w:rsidRPr="00F31F80" w:rsidRDefault="00167437" w:rsidP="00441DD7">
            <w:pPr>
              <w:spacing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sidRPr="00F31F80">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w:t>
            </w:r>
            <w:r w:rsidRPr="00F31F80">
              <w:rPr>
                <w:rFonts w:ascii="Palatino Linotype" w:eastAsia="Palatino Linotype" w:hAnsi="Palatino Linotype" w:cs="Palatino Linotype"/>
                <w:color w:val="000000"/>
              </w:rPr>
              <w:lastRenderedPageBreak/>
              <w:t xml:space="preserve">áreas proponer su clasificación y no del Comité de Transparencia. </w:t>
            </w:r>
          </w:p>
          <w:p w14:paraId="46F6A1C5" w14:textId="77777777" w:rsidR="00167437" w:rsidRPr="00F31F80" w:rsidRDefault="00167437" w:rsidP="00441DD7">
            <w:pPr>
              <w:spacing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sidRPr="00F31F80">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7EA8E757" w14:textId="77777777" w:rsidR="00167437" w:rsidRPr="00F31F80" w:rsidRDefault="00167437" w:rsidP="00441DD7">
            <w:pPr>
              <w:spacing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sidRPr="00F31F80">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30C00093" w14:textId="77777777" w:rsidR="00167437" w:rsidRPr="00F31F80" w:rsidRDefault="00167437" w:rsidP="00441DD7">
            <w:pPr>
              <w:spacing w:line="360" w:lineRule="auto"/>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F31F80">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F31F80">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F31F80">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167437" w:rsidRPr="00F31F80" w14:paraId="04BEF8B7" w14:textId="77777777" w:rsidTr="00441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Borders>
              <w:top w:val="single" w:sz="4" w:space="0" w:color="BFBFBF"/>
              <w:left w:val="single" w:sz="4" w:space="0" w:color="BFBFBF"/>
              <w:bottom w:val="single" w:sz="4" w:space="0" w:color="BFBFBF"/>
              <w:right w:val="single" w:sz="4" w:space="0" w:color="BFBFBF"/>
            </w:tcBorders>
          </w:tcPr>
          <w:p w14:paraId="26E8873D" w14:textId="77777777" w:rsidR="00167437" w:rsidRPr="00F31F80" w:rsidRDefault="00167437" w:rsidP="00441DD7">
            <w:pPr>
              <w:spacing w:line="360" w:lineRule="auto"/>
              <w:ind w:right="-308"/>
              <w:rPr>
                <w:rFonts w:ascii="Palatino Linotype" w:eastAsia="Palatino Linotype" w:hAnsi="Palatino Linotype" w:cs="Palatino Linotype"/>
              </w:rPr>
            </w:pPr>
            <w:r w:rsidRPr="00F31F80">
              <w:rPr>
                <w:rFonts w:ascii="Palatino Linotype" w:eastAsia="Palatino Linotype" w:hAnsi="Palatino Linotype" w:cs="Palatino Linotype"/>
              </w:rPr>
              <w:lastRenderedPageBreak/>
              <w:t>b) Supuestos de clasificación.</w:t>
            </w:r>
          </w:p>
        </w:tc>
        <w:tc>
          <w:tcPr>
            <w:tcW w:w="6804" w:type="dxa"/>
            <w:tcBorders>
              <w:top w:val="single" w:sz="4" w:space="0" w:color="BFBFBF"/>
              <w:left w:val="single" w:sz="4" w:space="0" w:color="BFBFBF"/>
              <w:bottom w:val="single" w:sz="4" w:space="0" w:color="BFBFBF"/>
              <w:right w:val="single" w:sz="4" w:space="0" w:color="BFBFBF"/>
            </w:tcBorders>
          </w:tcPr>
          <w:p w14:paraId="4198EB7A" w14:textId="77777777" w:rsidR="00167437" w:rsidRPr="00F31F80" w:rsidRDefault="00167437" w:rsidP="00441DD7">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rPr>
            </w:pPr>
            <w:r w:rsidRPr="00F31F80">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228E89A1" w14:textId="77777777" w:rsidR="00167437" w:rsidRPr="00F31F80" w:rsidRDefault="00167437" w:rsidP="00441DD7">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rPr>
            </w:pPr>
            <w:r w:rsidRPr="00F31F80">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w:t>
            </w:r>
            <w:r w:rsidRPr="00F31F80">
              <w:rPr>
                <w:rFonts w:ascii="Palatino Linotype" w:eastAsia="Palatino Linotype" w:hAnsi="Palatino Linotype" w:cs="Palatino Linotype"/>
                <w:color w:val="000000"/>
              </w:rPr>
              <w:lastRenderedPageBreak/>
              <w:t>debe realizarse de manera restrictiva y limitada, por lo que debe acreditarse que se cumple con esta condición y no se pueden ampliar las excepciones o supuestos de clasificación aduciendo analogía o mayoría de razón.</w:t>
            </w:r>
          </w:p>
          <w:p w14:paraId="5142A4F4" w14:textId="77777777" w:rsidR="00167437" w:rsidRPr="00F31F80" w:rsidRDefault="00167437" w:rsidP="00441DD7">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F31F80">
              <w:rPr>
                <w:rFonts w:ascii="Palatino Linotype" w:eastAsia="Palatino Linotype" w:hAnsi="Palatino Linotype" w:cs="Palatino Linotype"/>
                <w:color w:val="000000"/>
              </w:rPr>
              <w:t xml:space="preserve">El </w:t>
            </w:r>
            <w:r w:rsidRPr="00F31F80">
              <w:rPr>
                <w:rFonts w:ascii="Palatino Linotype" w:eastAsia="Palatino Linotype" w:hAnsi="Palatino Linotype" w:cs="Palatino Linotype"/>
                <w:b/>
                <w:color w:val="000000"/>
              </w:rPr>
              <w:t>Sujeto Obligado</w:t>
            </w:r>
            <w:r w:rsidRPr="00F31F80">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167437" w:rsidRPr="00F31F80" w14:paraId="70E7C114" w14:textId="77777777" w:rsidTr="00441DD7">
        <w:tc>
          <w:tcPr>
            <w:cnfStyle w:val="001000000000" w:firstRow="0" w:lastRow="0" w:firstColumn="1" w:lastColumn="0" w:oddVBand="0" w:evenVBand="0" w:oddHBand="0" w:evenHBand="0" w:firstRowFirstColumn="0" w:firstRowLastColumn="0" w:lastRowFirstColumn="0" w:lastRowLastColumn="0"/>
            <w:tcW w:w="2693" w:type="dxa"/>
            <w:tcBorders>
              <w:top w:val="single" w:sz="4" w:space="0" w:color="BFBFBF"/>
              <w:left w:val="single" w:sz="4" w:space="0" w:color="BFBFBF"/>
              <w:bottom w:val="single" w:sz="4" w:space="0" w:color="BFBFBF"/>
              <w:right w:val="single" w:sz="4" w:space="0" w:color="BFBFBF"/>
            </w:tcBorders>
          </w:tcPr>
          <w:p w14:paraId="2D583051" w14:textId="77777777" w:rsidR="00167437" w:rsidRPr="00F31F80" w:rsidRDefault="00167437" w:rsidP="00441DD7">
            <w:pPr>
              <w:spacing w:line="360" w:lineRule="auto"/>
              <w:ind w:right="-308"/>
              <w:rPr>
                <w:rFonts w:ascii="Palatino Linotype" w:eastAsia="Palatino Linotype" w:hAnsi="Palatino Linotype" w:cs="Palatino Linotype"/>
              </w:rPr>
            </w:pPr>
            <w:r w:rsidRPr="00F31F80">
              <w:rPr>
                <w:rFonts w:ascii="Palatino Linotype" w:eastAsia="Palatino Linotype" w:hAnsi="Palatino Linotype" w:cs="Palatino Linotype"/>
              </w:rPr>
              <w:lastRenderedPageBreak/>
              <w:t>c) Formalidades para emitir el acuerdo de clasificación.</w:t>
            </w:r>
          </w:p>
        </w:tc>
        <w:tc>
          <w:tcPr>
            <w:tcW w:w="6804" w:type="dxa"/>
            <w:tcBorders>
              <w:top w:val="single" w:sz="4" w:space="0" w:color="BFBFBF"/>
              <w:left w:val="single" w:sz="4" w:space="0" w:color="BFBFBF"/>
              <w:bottom w:val="single" w:sz="4" w:space="0" w:color="BFBFBF"/>
              <w:right w:val="single" w:sz="4" w:space="0" w:color="BFBFBF"/>
            </w:tcBorders>
          </w:tcPr>
          <w:p w14:paraId="2B4250DE" w14:textId="77777777" w:rsidR="00167437" w:rsidRPr="00F31F80" w:rsidRDefault="00167437" w:rsidP="00441DD7">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sidRPr="00F31F80">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2A252C64" w14:textId="77777777" w:rsidR="00167437" w:rsidRPr="00F31F80" w:rsidRDefault="00167437" w:rsidP="00441DD7">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sidRPr="00F31F80">
              <w:rPr>
                <w:rFonts w:ascii="Palatino Linotype" w:eastAsia="Palatino Linotype" w:hAnsi="Palatino Linotype" w:cs="Palatino Linotype"/>
                <w:color w:val="000000"/>
              </w:rPr>
              <w:t xml:space="preserve">Es necesario que </w:t>
            </w:r>
            <w:r w:rsidRPr="00F31F80">
              <w:rPr>
                <w:rFonts w:ascii="Palatino Linotype" w:eastAsia="Palatino Linotype" w:hAnsi="Palatino Linotype" w:cs="Palatino Linotype"/>
                <w:b/>
                <w:color w:val="000000"/>
                <w:u w:val="single"/>
              </w:rPr>
              <w:t>el acto reúna con los requisitos elementales</w:t>
            </w:r>
            <w:r w:rsidRPr="00F31F80">
              <w:rPr>
                <w:rFonts w:ascii="Palatino Linotype" w:eastAsia="Palatino Linotype" w:hAnsi="Palatino Linotype" w:cs="Palatino Linotype"/>
                <w:color w:val="000000"/>
              </w:rPr>
              <w:t>, entre ellos, que la autoridad que va a emitir el acto de autoridad sea la legalmente facultada para ello.</w:t>
            </w:r>
          </w:p>
          <w:p w14:paraId="6F24C6B3" w14:textId="77777777" w:rsidR="00167437" w:rsidRPr="00F31F80" w:rsidRDefault="00167437" w:rsidP="00441DD7">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F31F80">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w:t>
            </w:r>
            <w:r w:rsidRPr="00F31F80">
              <w:rPr>
                <w:rFonts w:ascii="Palatino Linotype" w:eastAsia="Palatino Linotype" w:hAnsi="Palatino Linotype" w:cs="Palatino Linotype"/>
                <w:color w:val="000000"/>
              </w:rPr>
              <w:lastRenderedPageBreak/>
              <w:t>áreas y que son sujetas a control, en primera instancia, por el Comité de Transparencia.</w:t>
            </w:r>
          </w:p>
        </w:tc>
      </w:tr>
      <w:tr w:rsidR="00167437" w:rsidRPr="00F31F80" w14:paraId="62C2B403" w14:textId="77777777" w:rsidTr="00441D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3" w:type="dxa"/>
            <w:tcBorders>
              <w:top w:val="single" w:sz="4" w:space="0" w:color="BFBFBF"/>
              <w:left w:val="single" w:sz="4" w:space="0" w:color="BFBFBF"/>
              <w:bottom w:val="single" w:sz="4" w:space="0" w:color="BFBFBF"/>
              <w:right w:val="single" w:sz="4" w:space="0" w:color="BFBFBF"/>
            </w:tcBorders>
          </w:tcPr>
          <w:p w14:paraId="05E70671" w14:textId="77777777" w:rsidR="00167437" w:rsidRPr="00F31F80" w:rsidRDefault="00167437" w:rsidP="00441DD7">
            <w:pPr>
              <w:spacing w:line="360" w:lineRule="auto"/>
              <w:ind w:right="-308"/>
              <w:rPr>
                <w:rFonts w:ascii="Palatino Linotype" w:eastAsia="Palatino Linotype" w:hAnsi="Palatino Linotype" w:cs="Palatino Linotype"/>
              </w:rPr>
            </w:pPr>
          </w:p>
          <w:p w14:paraId="0AEEDF5E" w14:textId="77777777" w:rsidR="00167437" w:rsidRPr="00F31F80" w:rsidRDefault="00167437" w:rsidP="00441DD7">
            <w:pPr>
              <w:spacing w:line="360" w:lineRule="auto"/>
              <w:ind w:right="-308"/>
              <w:jc w:val="both"/>
              <w:rPr>
                <w:rFonts w:ascii="Palatino Linotype" w:eastAsia="Palatino Linotype" w:hAnsi="Palatino Linotype" w:cs="Palatino Linotype"/>
              </w:rPr>
            </w:pPr>
            <w:r w:rsidRPr="00F31F80">
              <w:rPr>
                <w:rFonts w:ascii="Palatino Linotype" w:eastAsia="Palatino Linotype" w:hAnsi="Palatino Linotype" w:cs="Palatino Linotype"/>
                <w:color w:val="000000"/>
              </w:rPr>
              <w:t xml:space="preserve">d) Requisitos de fondo del acuerdo de clasificación. </w:t>
            </w:r>
          </w:p>
        </w:tc>
        <w:tc>
          <w:tcPr>
            <w:tcW w:w="6804" w:type="dxa"/>
            <w:tcBorders>
              <w:top w:val="single" w:sz="4" w:space="0" w:color="BFBFBF"/>
              <w:left w:val="single" w:sz="4" w:space="0" w:color="BFBFBF"/>
              <w:bottom w:val="single" w:sz="4" w:space="0" w:color="BFBFBF"/>
              <w:right w:val="single" w:sz="4" w:space="0" w:color="BFBFBF"/>
            </w:tcBorders>
          </w:tcPr>
          <w:p w14:paraId="08FBC31D" w14:textId="77777777" w:rsidR="00167437" w:rsidRPr="00F31F80" w:rsidRDefault="00167437" w:rsidP="00441DD7">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rPr>
            </w:pPr>
            <w:r w:rsidRPr="00F31F80">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F31F80">
              <w:rPr>
                <w:rFonts w:ascii="Palatino Linotype" w:eastAsia="Palatino Linotype" w:hAnsi="Palatino Linotype" w:cs="Palatino Linotype"/>
                <w:b/>
                <w:color w:val="000000"/>
              </w:rPr>
              <w:t>Sujetos Obligados</w:t>
            </w:r>
            <w:r w:rsidRPr="00F31F80">
              <w:rPr>
                <w:rFonts w:ascii="Palatino Linotype" w:eastAsia="Palatino Linotype" w:hAnsi="Palatino Linotype" w:cs="Palatino Linotype"/>
                <w:color w:val="000000"/>
              </w:rPr>
              <w:t xml:space="preserve">, por lo que deberán fundar y motivar debidamente la clasificación. </w:t>
            </w:r>
          </w:p>
          <w:p w14:paraId="3D78D839" w14:textId="77777777" w:rsidR="00167437" w:rsidRPr="00F31F80" w:rsidRDefault="00167437" w:rsidP="00441DD7">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rPr>
            </w:pPr>
            <w:r w:rsidRPr="00F31F80">
              <w:rPr>
                <w:rFonts w:ascii="Palatino Linotype" w:eastAsia="Palatino Linotype" w:hAnsi="Palatino Linotype" w:cs="Palatino Linotype"/>
                <w:color w:val="000000"/>
              </w:rPr>
              <w:t xml:space="preserve">De lo anterior, se desprende que para una correcta </w:t>
            </w:r>
            <w:r w:rsidRPr="00F31F80">
              <w:rPr>
                <w:rFonts w:ascii="Palatino Linotype" w:eastAsia="Palatino Linotype" w:hAnsi="Palatino Linotype" w:cs="Palatino Linotype"/>
                <w:b/>
                <w:color w:val="000000"/>
              </w:rPr>
              <w:t>clasificación total o parcial</w:t>
            </w:r>
            <w:r w:rsidRPr="00F31F80">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600BCE62" w14:textId="77777777" w:rsidR="00167437" w:rsidRPr="00F31F80" w:rsidRDefault="00167437" w:rsidP="00441DD7">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rPr>
            </w:pPr>
            <w:r w:rsidRPr="00F31F80">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w:t>
            </w:r>
            <w:r w:rsidRPr="00F31F80">
              <w:rPr>
                <w:rFonts w:ascii="Palatino Linotype" w:eastAsia="Palatino Linotype" w:hAnsi="Palatino Linotype" w:cs="Palatino Linotype"/>
                <w:color w:val="000000"/>
              </w:rPr>
              <w:lastRenderedPageBreak/>
              <w:t>impugnar la decisión, permitiéndole una real y auténtica defensa.</w:t>
            </w:r>
          </w:p>
          <w:p w14:paraId="3FF970F9" w14:textId="77777777" w:rsidR="00167437" w:rsidRPr="00F31F80" w:rsidRDefault="00167437" w:rsidP="00441DD7">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rPr>
            </w:pPr>
            <w:r w:rsidRPr="00F31F80">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5F6FE575" w14:textId="77777777" w:rsidR="00167437" w:rsidRPr="00F31F80" w:rsidRDefault="00167437" w:rsidP="00441DD7">
            <w:pPr>
              <w:spacing w:line="360" w:lineRule="auto"/>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color w:val="000000"/>
              </w:rPr>
            </w:pPr>
            <w:r w:rsidRPr="00F31F80">
              <w:rPr>
                <w:rFonts w:ascii="Palatino Linotype" w:eastAsia="Palatino Linotype" w:hAnsi="Palatino Linotype" w:cs="Palatino Linotype"/>
                <w:color w:val="000000"/>
              </w:rPr>
              <w:t xml:space="preserve">Ahora bien, </w:t>
            </w:r>
            <w:r w:rsidRPr="00F31F80">
              <w:rPr>
                <w:rFonts w:ascii="Palatino Linotype" w:eastAsia="Palatino Linotype" w:hAnsi="Palatino Linotype" w:cs="Palatino Linotype"/>
                <w:b/>
                <w:color w:val="000000"/>
                <w:u w:val="single"/>
              </w:rPr>
              <w:t>para cada caso además de fundar y motivar</w:t>
            </w:r>
            <w:r w:rsidRPr="00F31F80">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167437" w:rsidRPr="00F31F80" w14:paraId="7BACF0C1" w14:textId="77777777" w:rsidTr="00441DD7">
        <w:tc>
          <w:tcPr>
            <w:cnfStyle w:val="001000000000" w:firstRow="0" w:lastRow="0" w:firstColumn="1" w:lastColumn="0" w:oddVBand="0" w:evenVBand="0" w:oddHBand="0" w:evenHBand="0" w:firstRowFirstColumn="0" w:firstRowLastColumn="0" w:lastRowFirstColumn="0" w:lastRowLastColumn="0"/>
            <w:tcW w:w="2693" w:type="dxa"/>
            <w:tcBorders>
              <w:top w:val="single" w:sz="4" w:space="0" w:color="BFBFBF"/>
              <w:left w:val="single" w:sz="4" w:space="0" w:color="BFBFBF"/>
              <w:bottom w:val="single" w:sz="4" w:space="0" w:color="BFBFBF"/>
              <w:right w:val="single" w:sz="4" w:space="0" w:color="BFBFBF"/>
            </w:tcBorders>
          </w:tcPr>
          <w:p w14:paraId="6280B041" w14:textId="77777777" w:rsidR="00167437" w:rsidRPr="00F31F80" w:rsidRDefault="00167437" w:rsidP="00441DD7">
            <w:pPr>
              <w:spacing w:line="360" w:lineRule="auto"/>
              <w:ind w:right="-308"/>
              <w:jc w:val="both"/>
              <w:rPr>
                <w:rFonts w:ascii="Palatino Linotype" w:eastAsia="Palatino Linotype" w:hAnsi="Palatino Linotype" w:cs="Palatino Linotype"/>
              </w:rPr>
            </w:pPr>
            <w:r w:rsidRPr="00F31F80">
              <w:rPr>
                <w:rFonts w:ascii="Palatino Linotype" w:eastAsia="Palatino Linotype" w:hAnsi="Palatino Linotype" w:cs="Palatino Linotype"/>
              </w:rPr>
              <w:lastRenderedPageBreak/>
              <w:t xml:space="preserve">e) Condiciones especiales de la clasificación de la información como confidencial. </w:t>
            </w:r>
          </w:p>
        </w:tc>
        <w:tc>
          <w:tcPr>
            <w:tcW w:w="6804" w:type="dxa"/>
            <w:tcBorders>
              <w:top w:val="single" w:sz="4" w:space="0" w:color="BFBFBF"/>
              <w:left w:val="single" w:sz="4" w:space="0" w:color="BFBFBF"/>
              <w:bottom w:val="single" w:sz="4" w:space="0" w:color="BFBFBF"/>
              <w:right w:val="single" w:sz="4" w:space="0" w:color="BFBFBF"/>
            </w:tcBorders>
          </w:tcPr>
          <w:p w14:paraId="7DF68D4B" w14:textId="77777777" w:rsidR="00167437" w:rsidRPr="00F31F80" w:rsidRDefault="00167437" w:rsidP="00441DD7">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sidRPr="00F31F80">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769774B9" w14:textId="77777777" w:rsidR="00167437" w:rsidRPr="00F31F80" w:rsidRDefault="00167437" w:rsidP="00441DD7">
            <w:pPr>
              <w:spacing w:line="360" w:lineRule="auto"/>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000000"/>
              </w:rPr>
            </w:pPr>
            <w:r w:rsidRPr="00F31F80">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2B65CE6D" w14:textId="77777777" w:rsidR="00167437" w:rsidRPr="00F31F80" w:rsidRDefault="00167437" w:rsidP="00441DD7">
            <w:pPr>
              <w:spacing w:line="360" w:lineRule="auto"/>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F31F80">
              <w:rPr>
                <w:rFonts w:ascii="Palatino Linotype" w:eastAsia="Palatino Linotype" w:hAnsi="Palatino Linotype" w:cs="Palatino Linotype"/>
                <w:color w:val="000000"/>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349D0F0E" w14:textId="77777777" w:rsidR="00167437" w:rsidRPr="00F31F80" w:rsidRDefault="00167437" w:rsidP="00167437">
      <w:pPr>
        <w:pBdr>
          <w:top w:val="nil"/>
          <w:left w:val="nil"/>
          <w:bottom w:val="nil"/>
          <w:right w:val="nil"/>
          <w:between w:val="nil"/>
        </w:pBdr>
        <w:tabs>
          <w:tab w:val="left" w:pos="284"/>
        </w:tabs>
        <w:rPr>
          <w:rFonts w:ascii="Palatino Linotype" w:eastAsia="Palatino Linotype" w:hAnsi="Palatino Linotype" w:cs="Palatino Linotype"/>
          <w:color w:val="000000"/>
        </w:rPr>
      </w:pPr>
    </w:p>
    <w:p w14:paraId="08575824" w14:textId="77777777" w:rsidR="00167437" w:rsidRPr="00F31F80" w:rsidRDefault="00167437" w:rsidP="004B3D68">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F31F80">
        <w:rPr>
          <w:rFonts w:ascii="Palatino Linotype" w:eastAsia="Palatino Linotype" w:hAnsi="Palatino Linotype" w:cs="Palatino Linotype"/>
          <w:color w:val="000000"/>
        </w:rPr>
        <w:t xml:space="preserve">Si el servidor público incumple con estas formalidades y entrega la información sin proteger los datos personales incumple con lo que estipula las disposiciones legales establecidas, asimismo que si entrega un documento testado sin el debido acuerdo de clasificación. </w:t>
      </w:r>
    </w:p>
    <w:p w14:paraId="19DD1E91" w14:textId="77777777" w:rsidR="00167437" w:rsidRPr="00F31F80" w:rsidRDefault="00167437" w:rsidP="00167437">
      <w:pPr>
        <w:spacing w:line="360" w:lineRule="auto"/>
        <w:jc w:val="both"/>
        <w:rPr>
          <w:rFonts w:ascii="Palatino Linotype" w:eastAsia="Palatino Linotype" w:hAnsi="Palatino Linotype" w:cs="Palatino Linotype"/>
          <w:color w:val="000000"/>
        </w:rPr>
      </w:pPr>
    </w:p>
    <w:p w14:paraId="52EA7113" w14:textId="24DE80F7" w:rsidR="00167437" w:rsidRDefault="00167437" w:rsidP="004B3D68">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F31F80">
        <w:rPr>
          <w:rFonts w:ascii="Palatino Linotype" w:eastAsia="Palatino Linotype" w:hAnsi="Palatino Linotype" w:cs="Palatino Linotype"/>
        </w:rPr>
        <w:t>Por lo anteriormente expuesto, este Órgano Garante considera fundadas las razones o motivos de inconformidad que plantea el</w:t>
      </w:r>
      <w:r w:rsidRPr="00F31F80">
        <w:rPr>
          <w:rFonts w:ascii="Palatino Linotype" w:eastAsia="Palatino Linotype" w:hAnsi="Palatino Linotype" w:cs="Palatino Linotype"/>
          <w:b/>
        </w:rPr>
        <w:t xml:space="preserve"> RECURRENTE</w:t>
      </w:r>
      <w:r w:rsidRPr="00F31F80">
        <w:rPr>
          <w:rFonts w:ascii="Palatino Linotype" w:eastAsia="Palatino Linotype" w:hAnsi="Palatino Linotype" w:cs="Palatino Linotype"/>
        </w:rPr>
        <w:t xml:space="preserve">, determinando </w:t>
      </w:r>
      <w:r w:rsidRPr="00F31F80">
        <w:rPr>
          <w:rFonts w:ascii="Palatino Linotype" w:eastAsia="Palatino Linotype" w:hAnsi="Palatino Linotype" w:cs="Palatino Linotype"/>
          <w:b/>
        </w:rPr>
        <w:t>MODIFICAR</w:t>
      </w:r>
      <w:r>
        <w:rPr>
          <w:rFonts w:ascii="Palatino Linotype" w:eastAsia="Palatino Linotype" w:hAnsi="Palatino Linotype" w:cs="Palatino Linotype"/>
        </w:rPr>
        <w:t xml:space="preserve"> la respuesta </w:t>
      </w:r>
      <w:r w:rsidRPr="00F31F80">
        <w:rPr>
          <w:rFonts w:ascii="Palatino Linotype" w:eastAsia="Palatino Linotype" w:hAnsi="Palatino Linotype" w:cs="Palatino Linotype"/>
        </w:rPr>
        <w:t xml:space="preserve">del </w:t>
      </w:r>
      <w:r w:rsidRPr="00F31F80">
        <w:rPr>
          <w:rFonts w:ascii="Palatino Linotype" w:eastAsia="Palatino Linotype" w:hAnsi="Palatino Linotype" w:cs="Palatino Linotype"/>
          <w:b/>
        </w:rPr>
        <w:t>SUJETO OBLIGADO</w:t>
      </w:r>
      <w:r w:rsidRPr="00F31F80">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F31F80">
        <w:rPr>
          <w:rFonts w:ascii="Palatino Linotype" w:eastAsia="Palatino Linotype" w:hAnsi="Palatino Linotype" w:cs="Palatino Linotype"/>
          <w:color w:val="000000"/>
        </w:rPr>
        <w:t xml:space="preserve">este </w:t>
      </w:r>
      <w:r w:rsidRPr="00F31F80">
        <w:rPr>
          <w:rFonts w:ascii="Palatino Linotype" w:eastAsia="Palatino Linotype" w:hAnsi="Palatino Linotype" w:cs="Palatino Linotype"/>
          <w:b/>
          <w:color w:val="000000"/>
        </w:rPr>
        <w:t>ÓRGANO GARANTE</w:t>
      </w:r>
      <w:r w:rsidRPr="00F31F80">
        <w:rPr>
          <w:rFonts w:ascii="Palatino Linotype" w:eastAsia="Palatino Linotype" w:hAnsi="Palatino Linotype" w:cs="Palatino Linotype"/>
          <w:color w:val="000000"/>
        </w:rPr>
        <w:t xml:space="preserve"> emite los siguientes.</w:t>
      </w:r>
      <w:r w:rsidR="00441DD7">
        <w:rPr>
          <w:rFonts w:ascii="Palatino Linotype" w:eastAsia="Palatino Linotype" w:hAnsi="Palatino Linotype" w:cs="Palatino Linotype"/>
          <w:color w:val="000000"/>
        </w:rPr>
        <w:t xml:space="preserve"> -----------------------------------------------------------------------------------------</w:t>
      </w:r>
    </w:p>
    <w:p w14:paraId="188E6F3E" w14:textId="77777777" w:rsidR="00441DD7" w:rsidRDefault="00441DD7" w:rsidP="00441DD7">
      <w:pPr>
        <w:pStyle w:val="Prrafodelista"/>
        <w:rPr>
          <w:rFonts w:ascii="Palatino Linotype" w:eastAsia="Palatino Linotype" w:hAnsi="Palatino Linotype" w:cs="Palatino Linotype"/>
          <w:color w:val="000000"/>
        </w:rPr>
      </w:pPr>
    </w:p>
    <w:p w14:paraId="07065242" w14:textId="77777777" w:rsidR="00441DD7" w:rsidRDefault="00441DD7" w:rsidP="00441DD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B4E5905" w14:textId="77777777" w:rsidR="00441DD7" w:rsidRPr="00F31F80" w:rsidRDefault="00441DD7" w:rsidP="00441DD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700BBEC" w14:textId="77777777" w:rsidR="00167437" w:rsidRPr="00F31F80" w:rsidRDefault="00167437" w:rsidP="00167437">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14:paraId="4236144B" w14:textId="77777777" w:rsidR="00167437" w:rsidRPr="00A83FBF" w:rsidRDefault="00167437" w:rsidP="00167437">
      <w:pPr>
        <w:pStyle w:val="Ttulo1"/>
        <w:spacing w:before="0" w:line="360" w:lineRule="auto"/>
        <w:jc w:val="center"/>
        <w:rPr>
          <w:b w:val="0"/>
        </w:rPr>
      </w:pPr>
      <w:r w:rsidRPr="00A83FBF">
        <w:lastRenderedPageBreak/>
        <w:t>R E S O L U T I V O S</w:t>
      </w:r>
    </w:p>
    <w:p w14:paraId="2FB546A2" w14:textId="77777777" w:rsidR="00167437" w:rsidRPr="00A83FBF" w:rsidRDefault="00167437" w:rsidP="00167437">
      <w:pPr>
        <w:spacing w:line="360" w:lineRule="auto"/>
        <w:rPr>
          <w:rFonts w:ascii="Palatino Linotype" w:eastAsia="Palatino Linotype" w:hAnsi="Palatino Linotype" w:cs="Palatino Linotype"/>
        </w:rPr>
      </w:pPr>
    </w:p>
    <w:p w14:paraId="58636FF8" w14:textId="77777777" w:rsidR="00167437" w:rsidRPr="00A83FBF" w:rsidRDefault="00167437" w:rsidP="00167437">
      <w:pPr>
        <w:spacing w:line="360" w:lineRule="auto"/>
        <w:jc w:val="both"/>
        <w:rPr>
          <w:rFonts w:ascii="Palatino Linotype" w:eastAsia="Palatino Linotype" w:hAnsi="Palatino Linotype" w:cs="Palatino Linotype"/>
        </w:rPr>
      </w:pPr>
      <w:r w:rsidRPr="00A83FBF">
        <w:rPr>
          <w:rFonts w:ascii="Palatino Linotype" w:eastAsia="Palatino Linotype" w:hAnsi="Palatino Linotype" w:cs="Palatino Linotype"/>
          <w:b/>
        </w:rPr>
        <w:t>PRIMERO</w:t>
      </w:r>
      <w:r w:rsidRPr="00A83FBF">
        <w:rPr>
          <w:rFonts w:ascii="Palatino Linotype" w:eastAsia="Palatino Linotype" w:hAnsi="Palatino Linotype" w:cs="Palatino Linotype"/>
        </w:rPr>
        <w:t>. Resultan fundadas las razones o motivos de inconformidad hechos valer en el recurso de Revisión</w:t>
      </w:r>
      <w:r w:rsidRPr="00A83FBF">
        <w:rPr>
          <w:rFonts w:ascii="Palatino Linotype" w:eastAsia="Palatino Linotype" w:hAnsi="Palatino Linotype" w:cs="Palatino Linotype"/>
          <w:b/>
        </w:rPr>
        <w:t xml:space="preserve"> </w:t>
      </w:r>
      <w:r w:rsidRPr="00A83FBF">
        <w:rPr>
          <w:rFonts w:ascii="Palatino Linotype" w:eastAsia="Palatino Linotype" w:hAnsi="Palatino Linotype" w:cs="Palatino Linotype"/>
          <w:b/>
          <w:bCs/>
        </w:rPr>
        <w:t xml:space="preserve">09283/INFOEM/IP/RR/2025, </w:t>
      </w:r>
      <w:r w:rsidRPr="00A83FBF">
        <w:rPr>
          <w:rFonts w:ascii="Palatino Linotype" w:eastAsia="Palatino Linotype" w:hAnsi="Palatino Linotype" w:cs="Palatino Linotype"/>
          <w:bCs/>
        </w:rPr>
        <w:t xml:space="preserve">en </w:t>
      </w:r>
      <w:r w:rsidRPr="00A83FBF">
        <w:rPr>
          <w:rFonts w:ascii="Palatino Linotype" w:eastAsia="Palatino Linotype" w:hAnsi="Palatino Linotype" w:cs="Palatino Linotype"/>
        </w:rPr>
        <w:t xml:space="preserve">términos de los Considerandos </w:t>
      </w:r>
      <w:r w:rsidRPr="00A83FBF">
        <w:rPr>
          <w:rFonts w:ascii="Palatino Linotype" w:eastAsia="Palatino Linotype" w:hAnsi="Palatino Linotype" w:cs="Palatino Linotype"/>
          <w:b/>
        </w:rPr>
        <w:t xml:space="preserve">Cuarto y Quinto </w:t>
      </w:r>
      <w:r w:rsidRPr="00A83FBF">
        <w:rPr>
          <w:rFonts w:ascii="Palatino Linotype" w:eastAsia="Palatino Linotype" w:hAnsi="Palatino Linotype" w:cs="Palatino Linotype"/>
        </w:rPr>
        <w:t xml:space="preserve">de la presente resolución. </w:t>
      </w:r>
    </w:p>
    <w:p w14:paraId="79CB62FE" w14:textId="77777777" w:rsidR="00167437" w:rsidRPr="00A83FBF" w:rsidRDefault="00167437" w:rsidP="00167437">
      <w:pPr>
        <w:spacing w:line="360" w:lineRule="auto"/>
        <w:jc w:val="both"/>
        <w:rPr>
          <w:rFonts w:ascii="Palatino Linotype" w:eastAsia="Palatino Linotype" w:hAnsi="Palatino Linotype" w:cs="Palatino Linotype"/>
        </w:rPr>
      </w:pPr>
    </w:p>
    <w:p w14:paraId="0AA1ABAE" w14:textId="77777777" w:rsidR="00167437" w:rsidRPr="00A83FBF" w:rsidRDefault="00167437" w:rsidP="00167437">
      <w:pPr>
        <w:spacing w:line="360" w:lineRule="auto"/>
        <w:jc w:val="both"/>
        <w:rPr>
          <w:rFonts w:ascii="Palatino Linotype" w:eastAsia="Palatino Linotype" w:hAnsi="Palatino Linotype" w:cs="Palatino Linotype"/>
          <w:b/>
          <w:color w:val="000000"/>
        </w:rPr>
      </w:pPr>
      <w:bookmarkStart w:id="10" w:name="_heading=h.ve9rqz5z63x" w:colFirst="0" w:colLast="0"/>
      <w:bookmarkEnd w:id="10"/>
      <w:r w:rsidRPr="00A83FBF">
        <w:rPr>
          <w:rFonts w:ascii="Palatino Linotype" w:eastAsia="Palatino Linotype" w:hAnsi="Palatino Linotype" w:cs="Palatino Linotype"/>
          <w:b/>
        </w:rPr>
        <w:t xml:space="preserve">SEGUNDO. </w:t>
      </w:r>
      <w:r w:rsidRPr="00A83FBF">
        <w:rPr>
          <w:rFonts w:ascii="Palatino Linotype" w:eastAsia="Palatino Linotype" w:hAnsi="Palatino Linotype" w:cs="Palatino Linotype"/>
          <w:color w:val="000000"/>
        </w:rPr>
        <w:t xml:space="preserve">Se </w:t>
      </w:r>
      <w:r w:rsidRPr="00A83FBF">
        <w:rPr>
          <w:rFonts w:ascii="Palatino Linotype" w:eastAsia="Palatino Linotype" w:hAnsi="Palatino Linotype" w:cs="Palatino Linotype"/>
          <w:b/>
          <w:color w:val="000000"/>
        </w:rPr>
        <w:t xml:space="preserve">MODIFICA </w:t>
      </w:r>
      <w:r w:rsidRPr="00A83FBF">
        <w:rPr>
          <w:rFonts w:ascii="Palatino Linotype" w:eastAsia="Palatino Linotype" w:hAnsi="Palatino Linotype" w:cs="Palatino Linotype"/>
          <w:color w:val="000000"/>
        </w:rPr>
        <w:t xml:space="preserve">la respuesta emitida por el </w:t>
      </w:r>
      <w:r w:rsidRPr="00A83FBF">
        <w:rPr>
          <w:rFonts w:ascii="Palatino Linotype" w:eastAsia="Palatino Linotype" w:hAnsi="Palatino Linotype" w:cs="Palatino Linotype"/>
          <w:b/>
          <w:bCs/>
          <w:color w:val="000000"/>
        </w:rPr>
        <w:t xml:space="preserve">Ayuntamiento de Cuautitlán Izcalli </w:t>
      </w:r>
      <w:r w:rsidRPr="00A83FBF">
        <w:rPr>
          <w:rFonts w:ascii="Palatino Linotype" w:eastAsia="Palatino Linotype" w:hAnsi="Palatino Linotype" w:cs="Palatino Linotype"/>
          <w:color w:val="000000"/>
        </w:rPr>
        <w:t xml:space="preserve">y se </w:t>
      </w:r>
      <w:r w:rsidRPr="00A83FBF">
        <w:rPr>
          <w:rFonts w:ascii="Palatino Linotype" w:eastAsia="Palatino Linotype" w:hAnsi="Palatino Linotype" w:cs="Palatino Linotype"/>
          <w:b/>
          <w:color w:val="000000"/>
        </w:rPr>
        <w:t>ORDENA</w:t>
      </w:r>
      <w:r w:rsidRPr="00A83FBF">
        <w:rPr>
          <w:rFonts w:ascii="Palatino Linotype" w:eastAsia="Palatino Linotype" w:hAnsi="Palatino Linotype" w:cs="Palatino Linotype"/>
          <w:color w:val="000000"/>
        </w:rPr>
        <w:t xml:space="preserve"> entregar vía Sistema de Acceso a la Información Mexiquense </w:t>
      </w:r>
      <w:r w:rsidRPr="00A83FBF">
        <w:rPr>
          <w:rFonts w:ascii="Palatino Linotype" w:eastAsia="Palatino Linotype" w:hAnsi="Palatino Linotype" w:cs="Palatino Linotype"/>
          <w:b/>
          <w:color w:val="000000"/>
        </w:rPr>
        <w:t>(SAIMEX)</w:t>
      </w:r>
      <w:r w:rsidRPr="00A83FBF">
        <w:rPr>
          <w:rFonts w:ascii="Palatino Linotype" w:eastAsia="Palatino Linotype" w:hAnsi="Palatino Linotype" w:cs="Palatino Linotype"/>
          <w:color w:val="000000"/>
        </w:rPr>
        <w:t>, previa búsqueda exhaustiva y razonable, de ser procedente en versión pública, la siguiente información:</w:t>
      </w:r>
    </w:p>
    <w:p w14:paraId="7743D9FF" w14:textId="77777777" w:rsidR="00167437" w:rsidRPr="00A83FBF" w:rsidRDefault="00167437" w:rsidP="001566BA">
      <w:pPr>
        <w:jc w:val="both"/>
        <w:rPr>
          <w:rFonts w:ascii="Palatino Linotype" w:eastAsia="Palatino Linotype" w:hAnsi="Palatino Linotype" w:cs="Palatino Linotype"/>
          <w:b/>
          <w:color w:val="000000"/>
        </w:rPr>
      </w:pPr>
    </w:p>
    <w:p w14:paraId="010EF6CA" w14:textId="040E7272" w:rsidR="00167437" w:rsidRPr="00A83FBF" w:rsidRDefault="001566BA" w:rsidP="001566BA">
      <w:pPr>
        <w:tabs>
          <w:tab w:val="left" w:pos="8222"/>
        </w:tabs>
        <w:ind w:left="426" w:right="567"/>
        <w:jc w:val="both"/>
        <w:rPr>
          <w:rFonts w:ascii="Palatino Linotype" w:eastAsia="Palatino Linotype" w:hAnsi="Palatino Linotype" w:cs="Palatino Linotype"/>
          <w:b/>
          <w:color w:val="000000"/>
        </w:rPr>
      </w:pPr>
      <w:bookmarkStart w:id="11" w:name="_heading=h.gtwq8mhqueg3" w:colFirst="0" w:colLast="0"/>
      <w:bookmarkEnd w:id="11"/>
      <w:r w:rsidRPr="00A83FBF">
        <w:rPr>
          <w:rFonts w:ascii="Palatino Linotype" w:eastAsia="Palatino Linotype" w:hAnsi="Palatino Linotype" w:cs="Palatino Linotype"/>
          <w:b/>
          <w:color w:val="000000"/>
        </w:rPr>
        <w:t>D</w:t>
      </w:r>
      <w:r w:rsidR="00167437" w:rsidRPr="00A83FBF">
        <w:rPr>
          <w:rFonts w:ascii="Palatino Linotype" w:eastAsia="Palatino Linotype" w:hAnsi="Palatino Linotype" w:cs="Palatino Linotype"/>
          <w:b/>
          <w:color w:val="000000"/>
        </w:rPr>
        <w:t>el uno de enero a</w:t>
      </w:r>
      <w:r w:rsidRPr="00A83FBF">
        <w:rPr>
          <w:rFonts w:ascii="Palatino Linotype" w:eastAsia="Palatino Linotype" w:hAnsi="Palatino Linotype" w:cs="Palatino Linotype"/>
          <w:b/>
          <w:color w:val="000000"/>
        </w:rPr>
        <w:t xml:space="preserve">l veintitrés de junio de dos mil veinticinco, respecto los medios de comunicación </w:t>
      </w:r>
      <w:r w:rsidR="00875D87" w:rsidRPr="00A83FBF">
        <w:rPr>
          <w:rFonts w:ascii="Palatino Linotype" w:eastAsia="Palatino Linotype" w:hAnsi="Palatino Linotype" w:cs="Palatino Linotype"/>
          <w:b/>
          <w:color w:val="000000"/>
        </w:rPr>
        <w:t>contratados por el Ayuntamiento</w:t>
      </w:r>
      <w:r w:rsidRPr="00A83FBF">
        <w:rPr>
          <w:rFonts w:ascii="Palatino Linotype" w:eastAsia="Palatino Linotype" w:hAnsi="Palatino Linotype" w:cs="Palatino Linotype"/>
          <w:b/>
          <w:color w:val="000000"/>
        </w:rPr>
        <w:t>, lo siguiente:</w:t>
      </w:r>
    </w:p>
    <w:p w14:paraId="361E4D45" w14:textId="77777777" w:rsidR="001566BA" w:rsidRPr="00A83FBF" w:rsidRDefault="001566BA" w:rsidP="001566BA">
      <w:pPr>
        <w:tabs>
          <w:tab w:val="left" w:pos="8222"/>
        </w:tabs>
        <w:ind w:right="567"/>
        <w:jc w:val="both"/>
        <w:rPr>
          <w:rFonts w:ascii="Palatino Linotype" w:eastAsia="Palatino Linotype" w:hAnsi="Palatino Linotype" w:cs="Palatino Linotype"/>
          <w:b/>
          <w:color w:val="000000"/>
        </w:rPr>
      </w:pPr>
    </w:p>
    <w:p w14:paraId="43871826" w14:textId="77777777" w:rsidR="001566BA" w:rsidRPr="00A83FBF" w:rsidRDefault="001566BA" w:rsidP="001566BA">
      <w:pPr>
        <w:pStyle w:val="Prrafodelista"/>
        <w:numPr>
          <w:ilvl w:val="0"/>
          <w:numId w:val="12"/>
        </w:numPr>
        <w:tabs>
          <w:tab w:val="left" w:pos="8222"/>
        </w:tabs>
        <w:spacing w:line="276" w:lineRule="auto"/>
        <w:ind w:right="567"/>
        <w:jc w:val="both"/>
        <w:rPr>
          <w:rFonts w:ascii="Palatino Linotype" w:eastAsia="Palatino Linotype" w:hAnsi="Palatino Linotype" w:cs="Palatino Linotype"/>
          <w:b/>
          <w:color w:val="000000"/>
        </w:rPr>
      </w:pPr>
      <w:r w:rsidRPr="00A83FBF">
        <w:rPr>
          <w:rFonts w:ascii="Palatino Linotype" w:eastAsia="Palatino Linotype" w:hAnsi="Palatino Linotype" w:cs="Palatino Linotype"/>
          <w:b/>
          <w:color w:val="000000"/>
        </w:rPr>
        <w:t xml:space="preserve">Identificación y documento fiscal del proveedor o empresa adjudicada (RFC, </w:t>
      </w:r>
      <w:r w:rsidR="00DE731B" w:rsidRPr="00A83FBF">
        <w:rPr>
          <w:rFonts w:ascii="Palatino Linotype" w:eastAsia="Palatino Linotype" w:hAnsi="Palatino Linotype" w:cs="Palatino Linotype"/>
          <w:b/>
          <w:color w:val="000000"/>
        </w:rPr>
        <w:t>Cédula Fiscal, Opinión de Cumplimiento Servicio de Administración Tributaria, Alta en Padrón Municipal),</w:t>
      </w:r>
    </w:p>
    <w:p w14:paraId="30B64512" w14:textId="77777777" w:rsidR="001566BA" w:rsidRPr="00A83FBF" w:rsidRDefault="001566BA" w:rsidP="001566BA">
      <w:pPr>
        <w:pStyle w:val="Prrafodelista"/>
        <w:numPr>
          <w:ilvl w:val="0"/>
          <w:numId w:val="12"/>
        </w:numPr>
        <w:tabs>
          <w:tab w:val="left" w:pos="8222"/>
        </w:tabs>
        <w:spacing w:line="276" w:lineRule="auto"/>
        <w:ind w:right="567"/>
        <w:jc w:val="both"/>
        <w:rPr>
          <w:rFonts w:ascii="Palatino Linotype" w:eastAsia="Palatino Linotype" w:hAnsi="Palatino Linotype" w:cs="Palatino Linotype"/>
          <w:b/>
          <w:color w:val="000000"/>
        </w:rPr>
      </w:pPr>
      <w:r w:rsidRPr="00A83FBF">
        <w:rPr>
          <w:rFonts w:ascii="Palatino Linotype" w:eastAsia="Palatino Linotype" w:hAnsi="Palatino Linotype" w:cs="Palatino Linotype"/>
          <w:b/>
          <w:color w:val="000000"/>
        </w:rPr>
        <w:t xml:space="preserve"> Justificación normativa y técnica de la contratación,</w:t>
      </w:r>
    </w:p>
    <w:p w14:paraId="5B848028" w14:textId="77777777" w:rsidR="001566BA" w:rsidRPr="00A83FBF" w:rsidRDefault="001566BA" w:rsidP="001566BA">
      <w:pPr>
        <w:pStyle w:val="Prrafodelista"/>
        <w:numPr>
          <w:ilvl w:val="0"/>
          <w:numId w:val="12"/>
        </w:numPr>
        <w:tabs>
          <w:tab w:val="left" w:pos="8222"/>
        </w:tabs>
        <w:spacing w:line="276" w:lineRule="auto"/>
        <w:ind w:right="567"/>
        <w:jc w:val="both"/>
        <w:rPr>
          <w:rFonts w:ascii="Palatino Linotype" w:eastAsia="Palatino Linotype" w:hAnsi="Palatino Linotype" w:cs="Palatino Linotype"/>
          <w:b/>
          <w:color w:val="000000"/>
        </w:rPr>
      </w:pPr>
      <w:r w:rsidRPr="00A83FBF">
        <w:rPr>
          <w:rFonts w:ascii="Palatino Linotype" w:eastAsia="Palatino Linotype" w:hAnsi="Palatino Linotype" w:cs="Palatino Linotype"/>
          <w:b/>
          <w:color w:val="000000"/>
        </w:rPr>
        <w:t xml:space="preserve">Pólizas de egreso correspondientes (copia de cheques o comprobantes de trasferencia bancaria), </w:t>
      </w:r>
    </w:p>
    <w:p w14:paraId="0535565A" w14:textId="77777777" w:rsidR="001566BA" w:rsidRPr="00A83FBF" w:rsidRDefault="001566BA" w:rsidP="001566BA">
      <w:pPr>
        <w:pStyle w:val="Prrafodelista"/>
        <w:numPr>
          <w:ilvl w:val="0"/>
          <w:numId w:val="12"/>
        </w:numPr>
        <w:tabs>
          <w:tab w:val="left" w:pos="8222"/>
        </w:tabs>
        <w:spacing w:line="276" w:lineRule="auto"/>
        <w:ind w:right="567"/>
        <w:jc w:val="both"/>
        <w:rPr>
          <w:rFonts w:ascii="Palatino Linotype" w:eastAsia="Palatino Linotype" w:hAnsi="Palatino Linotype" w:cs="Palatino Linotype"/>
          <w:b/>
          <w:color w:val="000000"/>
        </w:rPr>
      </w:pPr>
      <w:r w:rsidRPr="00A83FBF">
        <w:rPr>
          <w:rFonts w:ascii="Palatino Linotype" w:eastAsia="Palatino Linotype" w:hAnsi="Palatino Linotype" w:cs="Palatino Linotype"/>
          <w:b/>
          <w:color w:val="000000"/>
        </w:rPr>
        <w:t>Numero de partida presupuestal, monto ejercido y fuente de financiamiento,</w:t>
      </w:r>
    </w:p>
    <w:p w14:paraId="6A3E69AC" w14:textId="77777777" w:rsidR="001566BA" w:rsidRPr="00A83FBF" w:rsidRDefault="001566BA" w:rsidP="001566BA">
      <w:pPr>
        <w:pStyle w:val="Prrafodelista"/>
        <w:numPr>
          <w:ilvl w:val="0"/>
          <w:numId w:val="12"/>
        </w:numPr>
        <w:tabs>
          <w:tab w:val="left" w:pos="8222"/>
        </w:tabs>
        <w:spacing w:line="276" w:lineRule="auto"/>
        <w:ind w:right="567"/>
        <w:jc w:val="both"/>
        <w:rPr>
          <w:rFonts w:ascii="Palatino Linotype" w:eastAsia="Palatino Linotype" w:hAnsi="Palatino Linotype" w:cs="Palatino Linotype"/>
          <w:b/>
          <w:color w:val="000000"/>
        </w:rPr>
      </w:pPr>
      <w:r w:rsidRPr="00A83FBF">
        <w:rPr>
          <w:rFonts w:ascii="Palatino Linotype" w:eastAsia="Palatino Linotype" w:hAnsi="Palatino Linotype" w:cs="Palatino Linotype"/>
          <w:b/>
          <w:color w:val="000000"/>
        </w:rPr>
        <w:t xml:space="preserve"> Documentos y anexos completos de licitación, adjudicación directa o invitación restringida.</w:t>
      </w:r>
    </w:p>
    <w:p w14:paraId="7768E76A" w14:textId="77777777" w:rsidR="00167437" w:rsidRPr="00A83FBF" w:rsidRDefault="00167437" w:rsidP="001566BA">
      <w:pPr>
        <w:tabs>
          <w:tab w:val="left" w:pos="8222"/>
        </w:tabs>
        <w:spacing w:line="360" w:lineRule="auto"/>
        <w:ind w:right="567"/>
        <w:jc w:val="both"/>
        <w:rPr>
          <w:rFonts w:ascii="Palatino Linotype" w:eastAsia="Palatino Linotype" w:hAnsi="Palatino Linotype" w:cs="Palatino Linotype"/>
          <w:color w:val="000000"/>
        </w:rPr>
      </w:pPr>
    </w:p>
    <w:p w14:paraId="0E82B7FC" w14:textId="77777777" w:rsidR="00167437" w:rsidRPr="00A83FBF" w:rsidRDefault="00167437" w:rsidP="00167437">
      <w:pPr>
        <w:spacing w:line="360" w:lineRule="auto"/>
        <w:jc w:val="both"/>
        <w:rPr>
          <w:rFonts w:ascii="Palatino Linotype" w:eastAsia="Palatino Linotype" w:hAnsi="Palatino Linotype" w:cs="Palatino Linotype"/>
        </w:rPr>
      </w:pPr>
      <w:r w:rsidRPr="00A83FBF">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w:t>
      </w:r>
      <w:r w:rsidRPr="00A83FBF">
        <w:rPr>
          <w:rFonts w:ascii="Palatino Linotype" w:eastAsia="Palatino Linotype" w:hAnsi="Palatino Linotype" w:cs="Palatino Linotype"/>
        </w:rPr>
        <w:lastRenderedPageBreak/>
        <w:t>motive las razones sobre los datos que se supriman o eliminen dentro del soporte documental respectivo objeto de las versiones públicas que se formulen y se ponga a disposición de la parte recurrente.</w:t>
      </w:r>
    </w:p>
    <w:p w14:paraId="47D8F65E" w14:textId="77777777" w:rsidR="00167437" w:rsidRPr="00A83FBF" w:rsidRDefault="00167437" w:rsidP="00167437">
      <w:pPr>
        <w:spacing w:line="360" w:lineRule="auto"/>
        <w:jc w:val="both"/>
        <w:rPr>
          <w:rFonts w:ascii="Palatino Linotype" w:eastAsia="Palatino Linotype" w:hAnsi="Palatino Linotype" w:cs="Palatino Linotype"/>
        </w:rPr>
      </w:pPr>
    </w:p>
    <w:p w14:paraId="69705A59" w14:textId="77777777" w:rsidR="001566BA" w:rsidRPr="00A83FBF" w:rsidRDefault="001566BA" w:rsidP="001566BA">
      <w:pPr>
        <w:spacing w:line="360" w:lineRule="auto"/>
        <w:jc w:val="both"/>
        <w:rPr>
          <w:rFonts w:ascii="Palatino Linotype" w:hAnsi="Palatino Linotype" w:cs="Arial"/>
          <w:color w:val="000000" w:themeColor="text1"/>
          <w:lang w:eastAsia="es-ES"/>
        </w:rPr>
      </w:pPr>
      <w:r w:rsidRPr="00A83FBF">
        <w:rPr>
          <w:rFonts w:ascii="Palatino Linotype" w:hAnsi="Palatino Linotype" w:cs="Arial"/>
          <w:color w:val="000000" w:themeColor="text1"/>
          <w:lang w:eastAsia="es-ES"/>
        </w:rPr>
        <w:t xml:space="preserve">Para el caso de que la información que se ordena entregar no haya sido generada, poseída o administrada </w:t>
      </w:r>
      <w:r w:rsidR="004B3D68" w:rsidRPr="00A83FBF">
        <w:rPr>
          <w:rFonts w:ascii="Palatino Linotype" w:hAnsi="Palatino Linotype" w:cs="Arial"/>
          <w:color w:val="000000" w:themeColor="text1"/>
          <w:lang w:eastAsia="es-ES"/>
        </w:rPr>
        <w:t xml:space="preserve">por no </w:t>
      </w:r>
      <w:r w:rsidRPr="00A83FBF">
        <w:rPr>
          <w:rFonts w:ascii="Palatino Linotype" w:hAnsi="Palatino Linotype" w:cs="Arial"/>
          <w:color w:val="000000" w:themeColor="text1"/>
          <w:lang w:eastAsia="es-ES"/>
        </w:rPr>
        <w:t>haber contratado medios de comunicación en la temporalidad señalada, bastará que, de forma clara y precisa, se haga del conocimiento del Particular.</w:t>
      </w:r>
    </w:p>
    <w:p w14:paraId="1646FF3F" w14:textId="77777777" w:rsidR="001566BA" w:rsidRPr="00A83FBF" w:rsidRDefault="001566BA" w:rsidP="00167437">
      <w:pPr>
        <w:spacing w:line="360" w:lineRule="auto"/>
        <w:jc w:val="both"/>
        <w:rPr>
          <w:rFonts w:ascii="Palatino Linotype" w:eastAsia="Palatino Linotype" w:hAnsi="Palatino Linotype" w:cs="Palatino Linotype"/>
        </w:rPr>
      </w:pPr>
    </w:p>
    <w:p w14:paraId="3CBAD17A" w14:textId="77777777" w:rsidR="00167437" w:rsidRPr="00A83FBF" w:rsidRDefault="00167437" w:rsidP="00167437">
      <w:pPr>
        <w:spacing w:line="360" w:lineRule="auto"/>
        <w:jc w:val="both"/>
        <w:rPr>
          <w:rFonts w:ascii="Palatino Linotype" w:hAnsi="Palatino Linotype"/>
        </w:rPr>
      </w:pPr>
      <w:bookmarkStart w:id="12" w:name="_Toc511647758"/>
      <w:bookmarkStart w:id="13" w:name="_Toc511647819"/>
      <w:r w:rsidRPr="00A83FBF">
        <w:rPr>
          <w:rFonts w:ascii="Palatino Linotype" w:hAnsi="Palatino Linotype"/>
          <w:b/>
        </w:rPr>
        <w:t>TERCERO.</w:t>
      </w:r>
      <w:bookmarkEnd w:id="12"/>
      <w:bookmarkEnd w:id="13"/>
      <w:r w:rsidRPr="00A83FBF">
        <w:rPr>
          <w:rFonts w:ascii="Palatino Linotype" w:hAnsi="Palatino Linotype"/>
          <w:b/>
        </w:rPr>
        <w:t xml:space="preserve"> Notifíquese </w:t>
      </w:r>
      <w:r w:rsidRPr="00A83FBF">
        <w:rPr>
          <w:rFonts w:ascii="Palatino Linotype" w:hAnsi="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A83FBF">
        <w:rPr>
          <w:rFonts w:ascii="Palatino Linotype" w:hAnsi="Palatino Linotype"/>
          <w:b/>
        </w:rPr>
        <w:t>dé cumplimiento a lo ordenado dentro del plazo de diez días hábiles</w:t>
      </w:r>
      <w:r w:rsidRPr="00A83FBF">
        <w:rPr>
          <w:rFonts w:ascii="Palatino Linotype" w:hAnsi="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6031AFF" w14:textId="77777777" w:rsidR="00167437" w:rsidRPr="00A83FBF" w:rsidRDefault="00167437" w:rsidP="00167437">
      <w:pPr>
        <w:spacing w:line="360" w:lineRule="auto"/>
        <w:jc w:val="both"/>
        <w:rPr>
          <w:rFonts w:ascii="Palatino Linotype" w:hAnsi="Palatino Linotype" w:cs="Arial"/>
          <w:b/>
        </w:rPr>
      </w:pPr>
    </w:p>
    <w:p w14:paraId="202F9523" w14:textId="77777777" w:rsidR="00167437" w:rsidRPr="00A83FBF" w:rsidRDefault="00167437" w:rsidP="00167437">
      <w:pPr>
        <w:spacing w:line="360" w:lineRule="auto"/>
        <w:jc w:val="both"/>
        <w:rPr>
          <w:rFonts w:ascii="Palatino Linotype" w:eastAsia="Calibri" w:hAnsi="Palatino Linotype" w:cs="Arial"/>
          <w:bCs/>
        </w:rPr>
      </w:pPr>
      <w:r w:rsidRPr="00A83FBF">
        <w:rPr>
          <w:rFonts w:ascii="Palatino Linotype" w:hAnsi="Palatino Linotype" w:cs="Arial"/>
          <w:b/>
        </w:rPr>
        <w:t xml:space="preserve">CUARTO. </w:t>
      </w:r>
      <w:r w:rsidRPr="00A83FBF">
        <w:rPr>
          <w:rFonts w:ascii="Palatino Linotype" w:eastAsia="Calibri" w:hAnsi="Palatino Linotype" w:cs="Arial"/>
          <w:bCs/>
        </w:rPr>
        <w:t xml:space="preserve">De conformidad con el artículo 198 de la Ley de Transparencia y Acceso a la Información Pública del Estado de México y Municipios, de considerarlo procedente, el </w:t>
      </w:r>
      <w:r w:rsidRPr="00A83FBF">
        <w:rPr>
          <w:rFonts w:ascii="Palatino Linotype" w:eastAsia="Calibri" w:hAnsi="Palatino Linotype" w:cs="Arial"/>
          <w:b/>
          <w:bCs/>
        </w:rPr>
        <w:t>SUJETO OBLIGADO</w:t>
      </w:r>
      <w:r w:rsidRPr="00A83FBF">
        <w:rPr>
          <w:rFonts w:ascii="Palatino Linotype" w:eastAsia="Calibri" w:hAnsi="Palatino Linotype" w:cs="Arial"/>
          <w:bCs/>
        </w:rPr>
        <w:t xml:space="preserve"> de manera fundada y motivada, podrá solicitar una ampliación de plazo para el cumplimiento de la presente resolución.</w:t>
      </w:r>
    </w:p>
    <w:p w14:paraId="5C7913CA" w14:textId="77777777" w:rsidR="00167437" w:rsidRPr="00A83FBF" w:rsidRDefault="00167437" w:rsidP="00167437">
      <w:pPr>
        <w:spacing w:line="360" w:lineRule="auto"/>
        <w:jc w:val="both"/>
        <w:rPr>
          <w:rFonts w:ascii="Palatino Linotype" w:eastAsia="Calibri" w:hAnsi="Palatino Linotype" w:cs="Arial"/>
          <w:bCs/>
        </w:rPr>
      </w:pPr>
    </w:p>
    <w:p w14:paraId="2BF90F71" w14:textId="77777777" w:rsidR="00167437" w:rsidRPr="00A83FBF" w:rsidRDefault="00167437" w:rsidP="00167437">
      <w:pPr>
        <w:tabs>
          <w:tab w:val="left" w:pos="8080"/>
        </w:tabs>
        <w:spacing w:line="360" w:lineRule="auto"/>
        <w:ind w:right="49"/>
        <w:jc w:val="both"/>
        <w:rPr>
          <w:rFonts w:ascii="Palatino Linotype" w:hAnsi="Palatino Linotype"/>
          <w:lang w:val="es-ES"/>
        </w:rPr>
      </w:pPr>
      <w:bookmarkStart w:id="14" w:name="_Toc492590393"/>
      <w:bookmarkStart w:id="15" w:name="_Toc503891611"/>
      <w:bookmarkStart w:id="16" w:name="_Toc511647759"/>
      <w:bookmarkStart w:id="17" w:name="_Toc511647820"/>
      <w:r w:rsidRPr="00A83FBF">
        <w:rPr>
          <w:rFonts w:ascii="Palatino Linotype" w:hAnsi="Palatino Linotype"/>
          <w:b/>
        </w:rPr>
        <w:lastRenderedPageBreak/>
        <w:t xml:space="preserve">QUINTO. </w:t>
      </w:r>
      <w:r w:rsidRPr="00A83FBF">
        <w:rPr>
          <w:rFonts w:ascii="Palatino Linotype" w:hAnsi="Palatino Linotype"/>
        </w:rPr>
        <w:t>Notifíquese</w:t>
      </w:r>
      <w:bookmarkEnd w:id="14"/>
      <w:bookmarkEnd w:id="15"/>
      <w:bookmarkEnd w:id="16"/>
      <w:bookmarkEnd w:id="17"/>
      <w:r w:rsidRPr="00A83FBF">
        <w:rPr>
          <w:rFonts w:ascii="Palatino Linotype" w:hAnsi="Palatino Linotype"/>
        </w:rPr>
        <w:t xml:space="preserve"> a </w:t>
      </w:r>
      <w:r w:rsidRPr="00A83FBF">
        <w:rPr>
          <w:rFonts w:ascii="Palatino Linotype" w:hAnsi="Palatino Linotype"/>
          <w:b/>
        </w:rPr>
        <w:t>EL RECURRENTE</w:t>
      </w:r>
      <w:r w:rsidRPr="00A83FBF">
        <w:rPr>
          <w:rFonts w:ascii="Palatino Linotype" w:hAnsi="Palatino Linotype"/>
        </w:rPr>
        <w:t xml:space="preserve"> la presente</w:t>
      </w:r>
      <w:r w:rsidRPr="00A83FBF">
        <w:rPr>
          <w:rFonts w:ascii="Palatino Linotype" w:hAnsi="Palatino Linotype"/>
          <w:lang w:val="es-ES"/>
        </w:rPr>
        <w:t xml:space="preserve"> resolución, vía SAIMEX.</w:t>
      </w:r>
    </w:p>
    <w:p w14:paraId="0CD21A7A" w14:textId="77777777" w:rsidR="00167437" w:rsidRPr="00A83FBF" w:rsidRDefault="00167437" w:rsidP="00167437">
      <w:pPr>
        <w:tabs>
          <w:tab w:val="left" w:pos="8080"/>
        </w:tabs>
        <w:spacing w:line="360" w:lineRule="auto"/>
        <w:ind w:right="49"/>
        <w:jc w:val="both"/>
        <w:rPr>
          <w:rFonts w:ascii="Palatino Linotype" w:hAnsi="Palatino Linotype"/>
          <w:lang w:val="es-ES"/>
        </w:rPr>
      </w:pPr>
    </w:p>
    <w:p w14:paraId="734E652D" w14:textId="77777777" w:rsidR="00167437" w:rsidRPr="00F31F80" w:rsidRDefault="00167437" w:rsidP="00167437">
      <w:pPr>
        <w:shd w:val="clear" w:color="auto" w:fill="FFFFFF"/>
        <w:spacing w:line="360" w:lineRule="auto"/>
        <w:jc w:val="both"/>
        <w:rPr>
          <w:rFonts w:ascii="Palatino Linotype" w:hAnsi="Palatino Linotype"/>
          <w:lang w:val="es-ES"/>
        </w:rPr>
      </w:pPr>
      <w:r w:rsidRPr="00A83FBF">
        <w:rPr>
          <w:rFonts w:ascii="Palatino Linotype" w:eastAsia="Calibri" w:hAnsi="Palatino Linotype"/>
          <w:b/>
          <w:lang w:eastAsia="en-US"/>
        </w:rPr>
        <w:t>SEXTO.</w:t>
      </w:r>
      <w:r w:rsidRPr="00A83FBF">
        <w:rPr>
          <w:rFonts w:ascii="Palatino Linotype" w:eastAsia="Calibri" w:hAnsi="Palatino Linotype"/>
          <w:lang w:eastAsia="en-US"/>
        </w:rPr>
        <w:t xml:space="preserve"> </w:t>
      </w:r>
      <w:r w:rsidRPr="00A83FBF">
        <w:rPr>
          <w:rFonts w:ascii="Palatino Linotype" w:hAnsi="Palatino Linotype"/>
          <w:lang w:val="es-ES"/>
        </w:rPr>
        <w:t xml:space="preserve">Se hace del conocimiento de </w:t>
      </w:r>
      <w:r w:rsidRPr="00A83FBF">
        <w:rPr>
          <w:rFonts w:ascii="Palatino Linotype" w:hAnsi="Palatino Linotype"/>
          <w:b/>
          <w:lang w:val="es-ES"/>
        </w:rPr>
        <w:t>EL RECURRENTE</w:t>
      </w:r>
      <w:r w:rsidRPr="00A83FBF">
        <w:rPr>
          <w:rFonts w:ascii="Palatino Linotype" w:hAnsi="Palatino Linotype"/>
          <w:lang w:val="es-ES"/>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A83FBF">
        <w:rPr>
          <w:rFonts w:ascii="Palatino Linotype" w:hAnsi="Palatino Linotype"/>
          <w:bCs/>
          <w:lang w:val="es-ES"/>
        </w:rPr>
        <w:t>vía juicio de amparo</w:t>
      </w:r>
      <w:r w:rsidRPr="00A83FBF">
        <w:rPr>
          <w:rFonts w:ascii="Palatino Linotype" w:hAnsi="Palatino Linotype"/>
          <w:lang w:val="es-ES"/>
        </w:rPr>
        <w:t> en los términos de las leyes aplicables.</w:t>
      </w:r>
    </w:p>
    <w:p w14:paraId="218C6BA8" w14:textId="77777777" w:rsidR="00167437" w:rsidRDefault="00167437">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color w:val="000000"/>
        </w:rPr>
      </w:pPr>
    </w:p>
    <w:p w14:paraId="77358738" w14:textId="77777777" w:rsidR="00A93C0B" w:rsidRDefault="00A93C0B" w:rsidP="00A93C0B">
      <w:pPr>
        <w:spacing w:before="240" w:after="240" w:line="360" w:lineRule="auto"/>
        <w:ind w:firstLine="1"/>
        <w:jc w:val="both"/>
        <w:rPr>
          <w:rFonts w:ascii="Palatino Linotype" w:hAnsi="Palatino Linotype" w:cs="Palatino Linotype"/>
          <w:color w:val="000000" w:themeColor="text1"/>
        </w:rPr>
      </w:pPr>
      <w:bookmarkStart w:id="18" w:name="_heading=h.ijrbrht47mz4" w:colFirst="0" w:colLast="0"/>
      <w:bookmarkStart w:id="19" w:name="_Hlk99014733"/>
      <w:bookmarkEnd w:id="18"/>
      <w:r>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QUINTA SESIÓN ORDINARIA, CELEBRADA EL ONCE (11) DE FEBRERO DE DOS MIL VEINTISÉIS, ANTE EL SECRETARIO TÉCNICO DEL PLENO </w:t>
      </w:r>
      <w:r w:rsidRPr="008304B6">
        <w:rPr>
          <w:rFonts w:ascii="Palatino Linotype" w:hAnsi="Palatino Linotype" w:cs="Palatino Linotype"/>
          <w:color w:val="000000" w:themeColor="text1"/>
        </w:rPr>
        <w:t>ALEXIS TAPIA RAMÍREZ.</w:t>
      </w:r>
    </w:p>
    <w:p w14:paraId="5B915F83" w14:textId="77777777" w:rsidR="00A93C0B" w:rsidRDefault="00A93C0B" w:rsidP="00A93C0B">
      <w:pPr>
        <w:spacing w:before="240" w:after="240" w:line="360" w:lineRule="auto"/>
        <w:ind w:firstLine="1"/>
        <w:jc w:val="both"/>
        <w:rPr>
          <w:rFonts w:ascii="Palatino Linotype" w:hAnsi="Palatino Linotype" w:cs="Palatino Linotype"/>
          <w:color w:val="000000" w:themeColor="text1"/>
        </w:rPr>
      </w:pPr>
    </w:p>
    <w:p w14:paraId="35A1360D" w14:textId="77777777" w:rsidR="00B4088D" w:rsidRDefault="00B4088D" w:rsidP="00A93C0B">
      <w:pPr>
        <w:spacing w:before="240" w:after="240" w:line="360" w:lineRule="auto"/>
        <w:ind w:firstLine="1"/>
        <w:jc w:val="both"/>
        <w:rPr>
          <w:rFonts w:ascii="Palatino Linotype" w:hAnsi="Palatino Linotype" w:cs="Palatino Linotype"/>
          <w:color w:val="000000" w:themeColor="text1"/>
        </w:rPr>
      </w:pPr>
    </w:p>
    <w:p w14:paraId="04A366BF" w14:textId="77777777" w:rsidR="00B4088D" w:rsidRDefault="00B4088D" w:rsidP="00A93C0B">
      <w:pPr>
        <w:spacing w:before="240" w:after="240" w:line="360" w:lineRule="auto"/>
        <w:ind w:firstLine="1"/>
        <w:jc w:val="both"/>
        <w:rPr>
          <w:rFonts w:ascii="Palatino Linotype" w:hAnsi="Palatino Linotype" w:cs="Palatino Linotype"/>
          <w:color w:val="000000" w:themeColor="text1"/>
        </w:rPr>
      </w:pPr>
    </w:p>
    <w:p w14:paraId="0BA94E95" w14:textId="77777777" w:rsidR="00B4088D" w:rsidRDefault="00B4088D" w:rsidP="00A93C0B">
      <w:pPr>
        <w:spacing w:before="240" w:after="240" w:line="360" w:lineRule="auto"/>
        <w:ind w:firstLine="1"/>
        <w:jc w:val="both"/>
        <w:rPr>
          <w:rFonts w:ascii="Palatino Linotype" w:hAnsi="Palatino Linotype" w:cs="Palatino Linotype"/>
          <w:color w:val="000000" w:themeColor="text1"/>
        </w:rPr>
      </w:pPr>
    </w:p>
    <w:p w14:paraId="79386F82" w14:textId="77777777" w:rsidR="00B4088D" w:rsidRDefault="00B4088D" w:rsidP="00A93C0B">
      <w:pPr>
        <w:spacing w:before="240" w:after="240" w:line="360" w:lineRule="auto"/>
        <w:ind w:firstLine="1"/>
        <w:jc w:val="both"/>
        <w:rPr>
          <w:rFonts w:ascii="Palatino Linotype" w:hAnsi="Palatino Linotype" w:cs="Palatino Linotype"/>
          <w:color w:val="000000" w:themeColor="text1"/>
        </w:rPr>
      </w:pPr>
    </w:p>
    <w:p w14:paraId="051AD613" w14:textId="77777777" w:rsidR="00B4088D" w:rsidRDefault="00B4088D" w:rsidP="00A93C0B">
      <w:pPr>
        <w:spacing w:before="240" w:after="240" w:line="360" w:lineRule="auto"/>
        <w:ind w:firstLine="1"/>
        <w:jc w:val="both"/>
        <w:rPr>
          <w:rFonts w:ascii="Palatino Linotype" w:hAnsi="Palatino Linotype" w:cs="Palatino Linotype"/>
          <w:color w:val="000000" w:themeColor="text1"/>
        </w:rPr>
      </w:pPr>
    </w:p>
    <w:p w14:paraId="71935684" w14:textId="77777777" w:rsidR="00B4088D" w:rsidRDefault="00B4088D" w:rsidP="00A93C0B">
      <w:pPr>
        <w:spacing w:before="240" w:after="240" w:line="360" w:lineRule="auto"/>
        <w:ind w:firstLine="1"/>
        <w:jc w:val="both"/>
        <w:rPr>
          <w:rFonts w:ascii="Palatino Linotype" w:hAnsi="Palatino Linotype" w:cs="Palatino Linotype"/>
          <w:color w:val="000000" w:themeColor="text1"/>
        </w:rPr>
      </w:pPr>
    </w:p>
    <w:p w14:paraId="3C6AE7F6" w14:textId="77777777" w:rsidR="00B4088D" w:rsidRDefault="00B4088D" w:rsidP="00A93C0B">
      <w:pPr>
        <w:spacing w:before="240" w:after="240" w:line="360" w:lineRule="auto"/>
        <w:ind w:firstLine="1"/>
        <w:jc w:val="both"/>
        <w:rPr>
          <w:rFonts w:ascii="Palatino Linotype" w:hAnsi="Palatino Linotype" w:cs="Palatino Linotype"/>
          <w:color w:val="000000" w:themeColor="text1"/>
        </w:rPr>
      </w:pPr>
    </w:p>
    <w:p w14:paraId="6C519252" w14:textId="77777777" w:rsidR="00B4088D" w:rsidRDefault="00B4088D" w:rsidP="00A93C0B">
      <w:pPr>
        <w:spacing w:before="240" w:after="240" w:line="360" w:lineRule="auto"/>
        <w:ind w:firstLine="1"/>
        <w:jc w:val="both"/>
        <w:rPr>
          <w:rFonts w:ascii="Palatino Linotype" w:hAnsi="Palatino Linotype" w:cs="Palatino Linotype"/>
          <w:color w:val="000000" w:themeColor="text1"/>
        </w:rPr>
      </w:pPr>
    </w:p>
    <w:p w14:paraId="3649FB3C" w14:textId="77777777" w:rsidR="00A93C0B" w:rsidRDefault="00A93C0B" w:rsidP="00A93C0B">
      <w:pPr>
        <w:spacing w:before="240" w:after="240" w:line="360" w:lineRule="auto"/>
        <w:ind w:firstLine="1"/>
        <w:jc w:val="both"/>
        <w:rPr>
          <w:rFonts w:ascii="Palatino Linotype" w:hAnsi="Palatino Linotype"/>
        </w:rPr>
      </w:pPr>
    </w:p>
    <w:bookmarkEnd w:id="19"/>
    <w:p w14:paraId="4878CA58" w14:textId="77777777" w:rsidR="00957BFC" w:rsidRDefault="00957BFC">
      <w:pPr>
        <w:spacing w:line="360" w:lineRule="auto"/>
        <w:ind w:right="48"/>
        <w:jc w:val="both"/>
        <w:rPr>
          <w:rFonts w:ascii="Palatino Linotype" w:eastAsia="Palatino Linotype" w:hAnsi="Palatino Linotype" w:cs="Palatino Linotype"/>
        </w:rPr>
      </w:pPr>
    </w:p>
    <w:sectPr w:rsidR="00957BFC">
      <w:headerReference w:type="default" r:id="rId17"/>
      <w:footerReference w:type="default" r:id="rId18"/>
      <w:headerReference w:type="first" r:id="rId19"/>
      <w:footerReference w:type="first" r:id="rId20"/>
      <w:pgSz w:w="12240" w:h="15840"/>
      <w:pgMar w:top="1691" w:right="1183"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5B6DC6" w14:textId="77777777" w:rsidR="007257A6" w:rsidRDefault="007257A6">
      <w:r>
        <w:separator/>
      </w:r>
    </w:p>
  </w:endnote>
  <w:endnote w:type="continuationSeparator" w:id="0">
    <w:p w14:paraId="1EDE2EC2" w14:textId="77777777" w:rsidR="007257A6" w:rsidRDefault="00725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19FD8F77-426C-4244-B386-81369B400FF8}"/>
    <w:embedBold r:id="rId2" w:fontKey="{39EA9DB3-8728-4111-A32C-D8E2C4F3D322}"/>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3" w:fontKey="{ABEB1D7B-2EC1-4F96-A6C6-81D4DFBAD104}"/>
    <w:embedBold r:id="rId4" w:fontKey="{862900DB-B35F-4D6E-859A-C6512B4AA1D7}"/>
    <w:embedItalic r:id="rId5" w:fontKey="{0891D486-00C9-44CF-B065-CA67C3E7DE61}"/>
    <w:embedBoldItalic r:id="rId6" w:fontKey="{D21B0E8D-DF44-42F2-951E-9DF9F10BE0D7}"/>
  </w:font>
  <w:font w:name="Cambria">
    <w:panose1 w:val="02040503050406030204"/>
    <w:charset w:val="00"/>
    <w:family w:val="roman"/>
    <w:pitch w:val="variable"/>
    <w:sig w:usb0="E00006FF" w:usb1="420024FF" w:usb2="02000000" w:usb3="00000000" w:csb0="0000019F" w:csb1="00000000"/>
    <w:embedRegular r:id="rId7" w:fontKey="{15809264-13B1-4103-9381-FD71FADC3F89}"/>
    <w:embedBold r:id="rId8" w:fontKey="{90B9A546-A5C2-49C7-BCA3-DB509CF701EE}"/>
    <w:embedItalic r:id="rId9" w:fontKey="{66A76EBC-3CF9-4E98-96E9-481FFCCD4F85}"/>
    <w:embedBoldItalic r:id="rId10" w:fontKey="{71ACB0F4-8378-4C13-BE96-F63F0B807198}"/>
  </w:font>
  <w:font w:name="Calibri">
    <w:panose1 w:val="020F0502020204030204"/>
    <w:charset w:val="00"/>
    <w:family w:val="swiss"/>
    <w:pitch w:val="variable"/>
    <w:sig w:usb0="E4002EFF" w:usb1="C200247B" w:usb2="00000009" w:usb3="00000000" w:csb0="000001FF" w:csb1="00000000"/>
    <w:embedRegular r:id="rId11" w:fontKey="{104D9E4D-3B66-46DB-B966-31D4180507B2}"/>
    <w:embedBold r:id="rId12" w:fontKey="{4E40568B-3B4F-41F8-8B0A-F7C358E457DB}"/>
    <w:embedItalic r:id="rId13" w:fontKey="{7ACBAAB8-6D2E-4AF3-972B-45DD833678B3}"/>
    <w:embedBoldItalic r:id="rId14" w:fontKey="{47B3E23A-DE02-4910-BFF8-1F4FC40E34DD}"/>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5" w:fontKey="{9DB145D2-E727-4FBA-B053-C3E462F5D49F}"/>
  </w:font>
  <w:font w:name="Tahoma">
    <w:panose1 w:val="020B0604030504040204"/>
    <w:charset w:val="00"/>
    <w:family w:val="swiss"/>
    <w:pitch w:val="variable"/>
    <w:sig w:usb0="E1002EFF" w:usb1="C000605B" w:usb2="00000029" w:usb3="00000000" w:csb0="000101FF" w:csb1="00000000"/>
    <w:embedRegular r:id="rId16" w:fontKey="{D1F9F738-B492-413A-9267-F89433CC49C9}"/>
    <w:embedBold r:id="rId17" w:fontKey="{E0B2C342-1A43-4D10-AC84-173D3B8FBE5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35D1D" w14:textId="77777777" w:rsidR="00AC0632" w:rsidRPr="006F4C17" w:rsidRDefault="00AC0632">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bCs/>
        <w:color w:val="000000"/>
        <w:sz w:val="22"/>
        <w:szCs w:val="22"/>
      </w:rPr>
    </w:pPr>
    <w:r w:rsidRPr="006F4C17">
      <w:rPr>
        <w:rFonts w:ascii="Palatino Linotype" w:eastAsia="Palatino Linotype" w:hAnsi="Palatino Linotype" w:cs="Palatino Linotype"/>
        <w:b/>
        <w:color w:val="000000"/>
        <w:sz w:val="22"/>
        <w:szCs w:val="22"/>
      </w:rPr>
      <w:t xml:space="preserve">Página </w:t>
    </w:r>
    <w:r w:rsidRPr="006F4C17">
      <w:rPr>
        <w:rFonts w:ascii="Palatino Linotype" w:eastAsia="Palatino Linotype" w:hAnsi="Palatino Linotype" w:cs="Palatino Linotype"/>
        <w:b/>
        <w:bCs/>
        <w:color w:val="000000"/>
        <w:sz w:val="22"/>
        <w:szCs w:val="22"/>
      </w:rPr>
      <w:fldChar w:fldCharType="begin"/>
    </w:r>
    <w:r w:rsidRPr="006F4C17">
      <w:rPr>
        <w:rFonts w:ascii="Palatino Linotype" w:eastAsia="Palatino Linotype" w:hAnsi="Palatino Linotype" w:cs="Palatino Linotype"/>
        <w:b/>
        <w:bCs/>
        <w:color w:val="000000"/>
        <w:sz w:val="22"/>
        <w:szCs w:val="22"/>
      </w:rPr>
      <w:instrText>PAGE</w:instrText>
    </w:r>
    <w:r w:rsidRPr="006F4C17">
      <w:rPr>
        <w:rFonts w:ascii="Palatino Linotype" w:eastAsia="Palatino Linotype" w:hAnsi="Palatino Linotype" w:cs="Palatino Linotype"/>
        <w:b/>
        <w:bCs/>
        <w:color w:val="000000"/>
        <w:sz w:val="22"/>
        <w:szCs w:val="22"/>
      </w:rPr>
      <w:fldChar w:fldCharType="separate"/>
    </w:r>
    <w:r w:rsidR="00DC6DFC">
      <w:rPr>
        <w:rFonts w:ascii="Palatino Linotype" w:eastAsia="Palatino Linotype" w:hAnsi="Palatino Linotype" w:cs="Palatino Linotype"/>
        <w:b/>
        <w:bCs/>
        <w:noProof/>
        <w:color w:val="000000"/>
        <w:sz w:val="22"/>
        <w:szCs w:val="22"/>
      </w:rPr>
      <w:t>21</w:t>
    </w:r>
    <w:r w:rsidRPr="006F4C17">
      <w:rPr>
        <w:rFonts w:ascii="Palatino Linotype" w:eastAsia="Palatino Linotype" w:hAnsi="Palatino Linotype" w:cs="Palatino Linotype"/>
        <w:b/>
        <w:bCs/>
        <w:color w:val="000000"/>
        <w:sz w:val="22"/>
        <w:szCs w:val="22"/>
      </w:rPr>
      <w:fldChar w:fldCharType="end"/>
    </w:r>
    <w:r w:rsidRPr="006F4C17">
      <w:rPr>
        <w:rFonts w:ascii="Palatino Linotype" w:eastAsia="Palatino Linotype" w:hAnsi="Palatino Linotype" w:cs="Palatino Linotype"/>
        <w:b/>
        <w:color w:val="000000"/>
        <w:sz w:val="22"/>
        <w:szCs w:val="22"/>
      </w:rPr>
      <w:t xml:space="preserve"> de </w:t>
    </w:r>
    <w:r w:rsidRPr="006F4C17">
      <w:rPr>
        <w:rFonts w:ascii="Palatino Linotype" w:eastAsia="Palatino Linotype" w:hAnsi="Palatino Linotype" w:cs="Palatino Linotype"/>
        <w:b/>
        <w:bCs/>
        <w:color w:val="000000"/>
        <w:sz w:val="22"/>
        <w:szCs w:val="22"/>
      </w:rPr>
      <w:fldChar w:fldCharType="begin"/>
    </w:r>
    <w:r w:rsidRPr="006F4C17">
      <w:rPr>
        <w:rFonts w:ascii="Palatino Linotype" w:eastAsia="Palatino Linotype" w:hAnsi="Palatino Linotype" w:cs="Palatino Linotype"/>
        <w:b/>
        <w:bCs/>
        <w:color w:val="000000"/>
        <w:sz w:val="22"/>
        <w:szCs w:val="22"/>
      </w:rPr>
      <w:instrText>NUMPAGES</w:instrText>
    </w:r>
    <w:r w:rsidRPr="006F4C17">
      <w:rPr>
        <w:rFonts w:ascii="Palatino Linotype" w:eastAsia="Palatino Linotype" w:hAnsi="Palatino Linotype" w:cs="Palatino Linotype"/>
        <w:b/>
        <w:bCs/>
        <w:color w:val="000000"/>
        <w:sz w:val="22"/>
        <w:szCs w:val="22"/>
      </w:rPr>
      <w:fldChar w:fldCharType="separate"/>
    </w:r>
    <w:r w:rsidR="00DC6DFC">
      <w:rPr>
        <w:rFonts w:ascii="Palatino Linotype" w:eastAsia="Palatino Linotype" w:hAnsi="Palatino Linotype" w:cs="Palatino Linotype"/>
        <w:b/>
        <w:bCs/>
        <w:noProof/>
        <w:color w:val="000000"/>
        <w:sz w:val="22"/>
        <w:szCs w:val="22"/>
      </w:rPr>
      <w:t>43</w:t>
    </w:r>
    <w:r w:rsidRPr="006F4C17">
      <w:rPr>
        <w:rFonts w:ascii="Palatino Linotype" w:eastAsia="Palatino Linotype" w:hAnsi="Palatino Linotype" w:cs="Palatino Linotype"/>
        <w:b/>
        <w:bCs/>
        <w:color w:val="000000"/>
        <w:sz w:val="22"/>
        <w:szCs w:val="22"/>
      </w:rPr>
      <w:fldChar w:fldCharType="end"/>
    </w:r>
  </w:p>
  <w:p w14:paraId="66C819CB" w14:textId="77777777" w:rsidR="00AC0632" w:rsidRDefault="00AC0632">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14:paraId="25926F0B" w14:textId="77777777" w:rsidR="00AC0632" w:rsidRDefault="00AC063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03840" w14:textId="77777777" w:rsidR="00AC0632" w:rsidRPr="006F4C17" w:rsidRDefault="00AC0632">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sidRPr="006F4C17">
      <w:rPr>
        <w:rFonts w:ascii="Palatino Linotype" w:eastAsia="Palatino Linotype" w:hAnsi="Palatino Linotype" w:cs="Palatino Linotype"/>
        <w:b/>
        <w:color w:val="000000"/>
        <w:sz w:val="22"/>
        <w:szCs w:val="22"/>
      </w:rPr>
      <w:t xml:space="preserve">Página </w:t>
    </w:r>
    <w:r w:rsidRPr="006F4C17">
      <w:rPr>
        <w:rFonts w:ascii="Palatino Linotype" w:eastAsia="Palatino Linotype" w:hAnsi="Palatino Linotype" w:cs="Palatino Linotype"/>
        <w:b/>
        <w:color w:val="000000"/>
        <w:sz w:val="22"/>
        <w:szCs w:val="22"/>
      </w:rPr>
      <w:fldChar w:fldCharType="begin"/>
    </w:r>
    <w:r w:rsidRPr="006F4C17">
      <w:rPr>
        <w:rFonts w:ascii="Palatino Linotype" w:eastAsia="Palatino Linotype" w:hAnsi="Palatino Linotype" w:cs="Palatino Linotype"/>
        <w:b/>
        <w:color w:val="000000"/>
        <w:sz w:val="22"/>
        <w:szCs w:val="22"/>
      </w:rPr>
      <w:instrText>PAGE</w:instrText>
    </w:r>
    <w:r w:rsidRPr="006F4C17">
      <w:rPr>
        <w:rFonts w:ascii="Palatino Linotype" w:eastAsia="Palatino Linotype" w:hAnsi="Palatino Linotype" w:cs="Palatino Linotype"/>
        <w:b/>
        <w:color w:val="000000"/>
        <w:sz w:val="22"/>
        <w:szCs w:val="22"/>
      </w:rPr>
      <w:fldChar w:fldCharType="separate"/>
    </w:r>
    <w:r w:rsidR="00DC6DFC">
      <w:rPr>
        <w:rFonts w:ascii="Palatino Linotype" w:eastAsia="Palatino Linotype" w:hAnsi="Palatino Linotype" w:cs="Palatino Linotype"/>
        <w:b/>
        <w:noProof/>
        <w:color w:val="000000"/>
        <w:sz w:val="22"/>
        <w:szCs w:val="22"/>
      </w:rPr>
      <w:t>1</w:t>
    </w:r>
    <w:r w:rsidRPr="006F4C17">
      <w:rPr>
        <w:rFonts w:ascii="Palatino Linotype" w:eastAsia="Palatino Linotype" w:hAnsi="Palatino Linotype" w:cs="Palatino Linotype"/>
        <w:b/>
        <w:color w:val="000000"/>
        <w:sz w:val="22"/>
        <w:szCs w:val="22"/>
      </w:rPr>
      <w:fldChar w:fldCharType="end"/>
    </w:r>
    <w:r w:rsidRPr="006F4C17">
      <w:rPr>
        <w:rFonts w:ascii="Palatino Linotype" w:eastAsia="Palatino Linotype" w:hAnsi="Palatino Linotype" w:cs="Palatino Linotype"/>
        <w:b/>
        <w:color w:val="000000"/>
        <w:sz w:val="22"/>
        <w:szCs w:val="22"/>
      </w:rPr>
      <w:t xml:space="preserve"> de </w:t>
    </w:r>
    <w:r w:rsidRPr="006F4C17">
      <w:rPr>
        <w:rFonts w:ascii="Palatino Linotype" w:eastAsia="Palatino Linotype" w:hAnsi="Palatino Linotype" w:cs="Palatino Linotype"/>
        <w:b/>
        <w:color w:val="000000"/>
        <w:sz w:val="22"/>
        <w:szCs w:val="22"/>
      </w:rPr>
      <w:fldChar w:fldCharType="begin"/>
    </w:r>
    <w:r w:rsidRPr="006F4C17">
      <w:rPr>
        <w:rFonts w:ascii="Palatino Linotype" w:eastAsia="Palatino Linotype" w:hAnsi="Palatino Linotype" w:cs="Palatino Linotype"/>
        <w:b/>
        <w:color w:val="000000"/>
        <w:sz w:val="22"/>
        <w:szCs w:val="22"/>
      </w:rPr>
      <w:instrText>NUMPAGES</w:instrText>
    </w:r>
    <w:r w:rsidRPr="006F4C17">
      <w:rPr>
        <w:rFonts w:ascii="Palatino Linotype" w:eastAsia="Palatino Linotype" w:hAnsi="Palatino Linotype" w:cs="Palatino Linotype"/>
        <w:b/>
        <w:color w:val="000000"/>
        <w:sz w:val="22"/>
        <w:szCs w:val="22"/>
      </w:rPr>
      <w:fldChar w:fldCharType="separate"/>
    </w:r>
    <w:r w:rsidR="00DC6DFC">
      <w:rPr>
        <w:rFonts w:ascii="Palatino Linotype" w:eastAsia="Palatino Linotype" w:hAnsi="Palatino Linotype" w:cs="Palatino Linotype"/>
        <w:b/>
        <w:noProof/>
        <w:color w:val="000000"/>
        <w:sz w:val="22"/>
        <w:szCs w:val="22"/>
      </w:rPr>
      <w:t>43</w:t>
    </w:r>
    <w:r w:rsidRPr="006F4C17">
      <w:rPr>
        <w:rFonts w:ascii="Palatino Linotype" w:eastAsia="Palatino Linotype" w:hAnsi="Palatino Linotype" w:cs="Palatino Linotype"/>
        <w:b/>
        <w:color w:val="000000"/>
        <w:sz w:val="22"/>
        <w:szCs w:val="22"/>
      </w:rPr>
      <w:fldChar w:fldCharType="end"/>
    </w:r>
  </w:p>
  <w:p w14:paraId="6D6AE449" w14:textId="77777777" w:rsidR="00AC0632" w:rsidRDefault="00AC0632">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14:paraId="38C4BA3C" w14:textId="3CC0EDFA" w:rsidR="00AC0632" w:rsidRDefault="00AC063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1623C" w14:textId="77777777" w:rsidR="007257A6" w:rsidRDefault="007257A6">
      <w:r>
        <w:separator/>
      </w:r>
    </w:p>
  </w:footnote>
  <w:footnote w:type="continuationSeparator" w:id="0">
    <w:p w14:paraId="1C44DF08" w14:textId="77777777" w:rsidR="007257A6" w:rsidRDefault="007257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7128" w:type="dxa"/>
      <w:tblInd w:w="3078" w:type="dxa"/>
      <w:tblBorders>
        <w:top w:val="nil"/>
        <w:left w:val="nil"/>
        <w:bottom w:val="nil"/>
        <w:right w:val="nil"/>
        <w:insideH w:val="nil"/>
        <w:insideV w:val="nil"/>
      </w:tblBorders>
      <w:tblLayout w:type="fixed"/>
      <w:tblLook w:val="0400" w:firstRow="0" w:lastRow="0" w:firstColumn="0" w:lastColumn="0" w:noHBand="0" w:noVBand="1"/>
    </w:tblPr>
    <w:tblGrid>
      <w:gridCol w:w="2734"/>
      <w:gridCol w:w="4394"/>
    </w:tblGrid>
    <w:tr w:rsidR="00AC0632" w:rsidRPr="006F4C17" w14:paraId="5129237F" w14:textId="77777777" w:rsidTr="006F4C17">
      <w:trPr>
        <w:trHeight w:val="138"/>
      </w:trPr>
      <w:tc>
        <w:tcPr>
          <w:tcW w:w="2734" w:type="dxa"/>
          <w:vAlign w:val="center"/>
        </w:tcPr>
        <w:p w14:paraId="26425E0E" w14:textId="5BF1553F" w:rsidR="00AC0632" w:rsidRPr="006F4C17" w:rsidRDefault="00AC0632">
          <w:pPr>
            <w:rPr>
              <w:rFonts w:ascii="Palatino Linotype" w:eastAsia="Palatino Linotype" w:hAnsi="Palatino Linotype" w:cs="Palatino Linotype"/>
              <w:b/>
              <w:bCs/>
              <w:sz w:val="24"/>
            </w:rPr>
          </w:pPr>
          <w:r w:rsidRPr="006F4C17">
            <w:rPr>
              <w:rFonts w:ascii="Palatino Linotype" w:eastAsia="Palatino Linotype" w:hAnsi="Palatino Linotype" w:cs="Palatino Linotype"/>
              <w:b/>
              <w:bCs/>
              <w:sz w:val="24"/>
            </w:rPr>
            <w:t>Recurso de Revisión:</w:t>
          </w:r>
        </w:p>
      </w:tc>
      <w:tc>
        <w:tcPr>
          <w:tcW w:w="4394" w:type="dxa"/>
          <w:vAlign w:val="center"/>
        </w:tcPr>
        <w:p w14:paraId="5B1F0C56" w14:textId="77777777" w:rsidR="00AC0632" w:rsidRPr="006F4C17" w:rsidRDefault="00AC0632">
          <w:pPr>
            <w:pBdr>
              <w:top w:val="nil"/>
              <w:left w:val="nil"/>
              <w:bottom w:val="nil"/>
              <w:right w:val="nil"/>
              <w:between w:val="nil"/>
            </w:pBdr>
            <w:tabs>
              <w:tab w:val="center" w:pos="4252"/>
              <w:tab w:val="right" w:pos="8504"/>
            </w:tabs>
            <w:rPr>
              <w:rFonts w:ascii="Palatino Linotype" w:eastAsia="Palatino Linotype" w:hAnsi="Palatino Linotype" w:cs="Palatino Linotype"/>
              <w:bCs/>
              <w:color w:val="000000"/>
              <w:sz w:val="24"/>
            </w:rPr>
          </w:pPr>
          <w:r w:rsidRPr="006F4C17">
            <w:rPr>
              <w:rFonts w:ascii="Palatino Linotype" w:eastAsia="Palatino Linotype" w:hAnsi="Palatino Linotype" w:cs="Palatino Linotype"/>
              <w:bCs/>
              <w:color w:val="000000"/>
              <w:sz w:val="24"/>
            </w:rPr>
            <w:t> 09283/INFOEM/IP/RR/2025</w:t>
          </w:r>
        </w:p>
      </w:tc>
    </w:tr>
    <w:tr w:rsidR="00AC0632" w:rsidRPr="006F4C17" w14:paraId="7A51AD31" w14:textId="77777777" w:rsidTr="006F4C17">
      <w:trPr>
        <w:trHeight w:val="321"/>
      </w:trPr>
      <w:tc>
        <w:tcPr>
          <w:tcW w:w="2734" w:type="dxa"/>
          <w:vAlign w:val="center"/>
        </w:tcPr>
        <w:p w14:paraId="32439A53" w14:textId="77777777" w:rsidR="00AC0632" w:rsidRPr="006F4C17" w:rsidRDefault="00AC0632">
          <w:pPr>
            <w:rPr>
              <w:rFonts w:ascii="Palatino Linotype" w:eastAsia="Palatino Linotype" w:hAnsi="Palatino Linotype" w:cs="Palatino Linotype"/>
              <w:b/>
              <w:bCs/>
              <w:sz w:val="24"/>
            </w:rPr>
          </w:pPr>
          <w:r w:rsidRPr="006F4C17">
            <w:rPr>
              <w:rFonts w:ascii="Palatino Linotype" w:eastAsia="Palatino Linotype" w:hAnsi="Palatino Linotype" w:cs="Palatino Linotype"/>
              <w:b/>
              <w:bCs/>
              <w:sz w:val="24"/>
            </w:rPr>
            <w:t>Sujeto Obligado:</w:t>
          </w:r>
        </w:p>
      </w:tc>
      <w:tc>
        <w:tcPr>
          <w:tcW w:w="4394" w:type="dxa"/>
          <w:vAlign w:val="center"/>
        </w:tcPr>
        <w:p w14:paraId="66843E2A" w14:textId="77777777" w:rsidR="00AC0632" w:rsidRPr="006F4C17" w:rsidRDefault="00AC0632">
          <w:pPr>
            <w:rPr>
              <w:rFonts w:ascii="Palatino Linotype" w:eastAsia="Palatino Linotype" w:hAnsi="Palatino Linotype" w:cs="Palatino Linotype"/>
              <w:sz w:val="24"/>
            </w:rPr>
          </w:pPr>
          <w:r w:rsidRPr="006F4C17">
            <w:rPr>
              <w:rFonts w:ascii="Palatino Linotype" w:eastAsia="Palatino Linotype" w:hAnsi="Palatino Linotype" w:cs="Palatino Linotype"/>
              <w:bCs/>
              <w:sz w:val="24"/>
            </w:rPr>
            <w:t>Ayuntamiento de Cuautitlán Izcalli</w:t>
          </w:r>
        </w:p>
      </w:tc>
    </w:tr>
    <w:tr w:rsidR="00AC0632" w:rsidRPr="006F4C17" w14:paraId="156AA083" w14:textId="77777777" w:rsidTr="006F4C17">
      <w:trPr>
        <w:trHeight w:val="321"/>
      </w:trPr>
      <w:tc>
        <w:tcPr>
          <w:tcW w:w="2734" w:type="dxa"/>
          <w:vAlign w:val="center"/>
        </w:tcPr>
        <w:p w14:paraId="2A6E2C22" w14:textId="77777777" w:rsidR="00AC0632" w:rsidRPr="006F4C17" w:rsidRDefault="00AC0632">
          <w:pPr>
            <w:rPr>
              <w:rFonts w:ascii="Palatino Linotype" w:eastAsia="Palatino Linotype" w:hAnsi="Palatino Linotype" w:cs="Palatino Linotype"/>
              <w:b/>
              <w:bCs/>
              <w:sz w:val="24"/>
            </w:rPr>
          </w:pPr>
          <w:r w:rsidRPr="006F4C17">
            <w:rPr>
              <w:rFonts w:ascii="Palatino Linotype" w:eastAsia="Palatino Linotype" w:hAnsi="Palatino Linotype" w:cs="Palatino Linotype"/>
              <w:b/>
              <w:bCs/>
              <w:sz w:val="24"/>
            </w:rPr>
            <w:t>Comisionada Ponente:</w:t>
          </w:r>
        </w:p>
      </w:tc>
      <w:tc>
        <w:tcPr>
          <w:tcW w:w="4394" w:type="dxa"/>
          <w:vAlign w:val="center"/>
        </w:tcPr>
        <w:p w14:paraId="5F9FED97" w14:textId="77777777" w:rsidR="00AC0632" w:rsidRPr="006F4C17" w:rsidRDefault="00AC0632">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rPr>
          </w:pPr>
          <w:r w:rsidRPr="006F4C17">
            <w:rPr>
              <w:rFonts w:ascii="Palatino Linotype" w:eastAsia="Palatino Linotype" w:hAnsi="Palatino Linotype" w:cs="Palatino Linotype"/>
              <w:color w:val="000000"/>
              <w:sz w:val="24"/>
            </w:rPr>
            <w:t>María del Rosario Mejía Ayala</w:t>
          </w:r>
        </w:p>
      </w:tc>
    </w:tr>
  </w:tbl>
  <w:p w14:paraId="369C6F39" w14:textId="50765F65" w:rsidR="00AC0632" w:rsidRDefault="006F4C17">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58240" behindDoc="1" locked="0" layoutInCell="1" hidden="0" allowOverlap="1" wp14:anchorId="1CBB28DE" wp14:editId="200549F3">
          <wp:simplePos x="0" y="0"/>
          <wp:positionH relativeFrom="column">
            <wp:posOffset>-949409</wp:posOffset>
          </wp:positionH>
          <wp:positionV relativeFrom="paragraph">
            <wp:posOffset>-1154658</wp:posOffset>
          </wp:positionV>
          <wp:extent cx="7809876" cy="10165823"/>
          <wp:effectExtent l="0" t="0" r="0" b="0"/>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14:paraId="2A63A8F0" w14:textId="77777777" w:rsidR="00AC0632" w:rsidRDefault="00AC063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4"/>
      <w:tblW w:w="7171" w:type="dxa"/>
      <w:tblInd w:w="268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866"/>
      <w:gridCol w:w="255"/>
      <w:gridCol w:w="4050"/>
    </w:tblGrid>
    <w:tr w:rsidR="00AC0632" w14:paraId="0EA5B583" w14:textId="77777777" w:rsidTr="006F4C17">
      <w:trPr>
        <w:trHeight w:val="138"/>
      </w:trPr>
      <w:tc>
        <w:tcPr>
          <w:tcW w:w="2866" w:type="dxa"/>
          <w:vAlign w:val="center"/>
        </w:tcPr>
        <w:p w14:paraId="1ED1B80A" w14:textId="36B2FF15" w:rsidR="00AC0632" w:rsidRPr="006F4C17" w:rsidRDefault="00AC0632">
          <w:pPr>
            <w:rPr>
              <w:rFonts w:ascii="Palatino Linotype" w:eastAsia="Palatino Linotype" w:hAnsi="Palatino Linotype" w:cs="Palatino Linotype"/>
              <w:b/>
              <w:bCs/>
              <w:sz w:val="24"/>
            </w:rPr>
          </w:pPr>
          <w:r w:rsidRPr="006F4C17">
            <w:rPr>
              <w:rFonts w:ascii="Palatino Linotype" w:eastAsia="Palatino Linotype" w:hAnsi="Palatino Linotype" w:cs="Palatino Linotype"/>
              <w:b/>
              <w:bCs/>
              <w:sz w:val="24"/>
            </w:rPr>
            <w:t>Recurso de Revisión:</w:t>
          </w:r>
        </w:p>
      </w:tc>
      <w:tc>
        <w:tcPr>
          <w:tcW w:w="255" w:type="dxa"/>
          <w:vAlign w:val="center"/>
        </w:tcPr>
        <w:p w14:paraId="6E8E08B5" w14:textId="77777777" w:rsidR="00AC0632" w:rsidRDefault="00AC0632">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rPr>
          </w:pPr>
        </w:p>
      </w:tc>
      <w:tc>
        <w:tcPr>
          <w:tcW w:w="4050" w:type="dxa"/>
          <w:vAlign w:val="center"/>
        </w:tcPr>
        <w:p w14:paraId="59F106FB" w14:textId="77777777" w:rsidR="00AC0632" w:rsidRPr="006F4C17" w:rsidRDefault="00AC0632">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6F4C17">
            <w:rPr>
              <w:rFonts w:ascii="Palatino Linotype" w:eastAsia="Palatino Linotype" w:hAnsi="Palatino Linotype" w:cs="Palatino Linotype"/>
              <w:bCs/>
              <w:color w:val="000000"/>
              <w:sz w:val="24"/>
            </w:rPr>
            <w:t> 09283/INFOEM/IP/RR/2025</w:t>
          </w:r>
        </w:p>
      </w:tc>
    </w:tr>
    <w:tr w:rsidR="00AC0632" w14:paraId="20EE87C7" w14:textId="77777777" w:rsidTr="006F4C17">
      <w:trPr>
        <w:trHeight w:val="227"/>
      </w:trPr>
      <w:tc>
        <w:tcPr>
          <w:tcW w:w="2866" w:type="dxa"/>
          <w:vAlign w:val="center"/>
        </w:tcPr>
        <w:p w14:paraId="06310C67" w14:textId="6AAA3987" w:rsidR="00AC0632" w:rsidRPr="006F4C17" w:rsidRDefault="00AC0632">
          <w:pPr>
            <w:rPr>
              <w:rFonts w:ascii="Palatino Linotype" w:eastAsia="Palatino Linotype" w:hAnsi="Palatino Linotype" w:cs="Palatino Linotype"/>
              <w:b/>
              <w:bCs/>
              <w:sz w:val="24"/>
            </w:rPr>
          </w:pPr>
          <w:r w:rsidRPr="006F4C17">
            <w:rPr>
              <w:rFonts w:ascii="Palatino Linotype" w:eastAsia="Palatino Linotype" w:hAnsi="Palatino Linotype" w:cs="Palatino Linotype"/>
              <w:b/>
              <w:bCs/>
              <w:sz w:val="24"/>
            </w:rPr>
            <w:t>Recurrente:</w:t>
          </w:r>
        </w:p>
      </w:tc>
      <w:tc>
        <w:tcPr>
          <w:tcW w:w="255" w:type="dxa"/>
          <w:vAlign w:val="center"/>
        </w:tcPr>
        <w:p w14:paraId="22B58C88" w14:textId="57C5F222" w:rsidR="00AC0632" w:rsidRDefault="00AC0632">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rPr>
          </w:pPr>
        </w:p>
      </w:tc>
      <w:tc>
        <w:tcPr>
          <w:tcW w:w="4050" w:type="dxa"/>
          <w:vAlign w:val="center"/>
        </w:tcPr>
        <w:p w14:paraId="29DD1154" w14:textId="37A78305" w:rsidR="00AC0632" w:rsidRPr="006F4C17" w:rsidRDefault="00DC6DFC">
          <w:pPr>
            <w:pBdr>
              <w:top w:val="nil"/>
              <w:left w:val="nil"/>
              <w:bottom w:val="nil"/>
              <w:right w:val="nil"/>
              <w:between w:val="nil"/>
            </w:pBdr>
            <w:tabs>
              <w:tab w:val="center" w:pos="4252"/>
              <w:tab w:val="right" w:pos="8504"/>
            </w:tabs>
            <w:ind w:right="-73"/>
            <w:rPr>
              <w:rFonts w:ascii="Palatino Linotype" w:eastAsia="Palatino Linotype" w:hAnsi="Palatino Linotype" w:cs="Palatino Linotype"/>
              <w:bCs/>
              <w:color w:val="000000"/>
              <w:sz w:val="24"/>
            </w:rPr>
          </w:pPr>
          <w:r>
            <w:rPr>
              <w:rFonts w:ascii="Palatino Linotype" w:eastAsia="Palatino Linotype" w:hAnsi="Palatino Linotype" w:cs="Palatino Linotype"/>
              <w:bCs/>
              <w:color w:val="000000"/>
              <w:sz w:val="24"/>
            </w:rPr>
            <w:t>XXXX</w:t>
          </w:r>
        </w:p>
      </w:tc>
    </w:tr>
    <w:tr w:rsidR="00AC0632" w14:paraId="7062F8AA" w14:textId="77777777" w:rsidTr="006F4C17">
      <w:trPr>
        <w:trHeight w:val="232"/>
      </w:trPr>
      <w:tc>
        <w:tcPr>
          <w:tcW w:w="2866" w:type="dxa"/>
          <w:vAlign w:val="center"/>
        </w:tcPr>
        <w:p w14:paraId="79DBA2F9" w14:textId="77777777" w:rsidR="00AC0632" w:rsidRPr="006F4C17" w:rsidRDefault="00AC0632">
          <w:pPr>
            <w:rPr>
              <w:rFonts w:ascii="Palatino Linotype" w:eastAsia="Palatino Linotype" w:hAnsi="Palatino Linotype" w:cs="Palatino Linotype"/>
              <w:b/>
              <w:bCs/>
              <w:sz w:val="24"/>
            </w:rPr>
          </w:pPr>
          <w:r w:rsidRPr="006F4C17">
            <w:rPr>
              <w:rFonts w:ascii="Palatino Linotype" w:eastAsia="Palatino Linotype" w:hAnsi="Palatino Linotype" w:cs="Palatino Linotype"/>
              <w:b/>
              <w:bCs/>
              <w:sz w:val="24"/>
            </w:rPr>
            <w:t>Sujeto Obligado:</w:t>
          </w:r>
        </w:p>
      </w:tc>
      <w:tc>
        <w:tcPr>
          <w:tcW w:w="255" w:type="dxa"/>
          <w:vAlign w:val="center"/>
        </w:tcPr>
        <w:p w14:paraId="7A0827CF" w14:textId="77777777" w:rsidR="00AC0632" w:rsidRDefault="00AC0632">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rPr>
          </w:pPr>
        </w:p>
      </w:tc>
      <w:tc>
        <w:tcPr>
          <w:tcW w:w="4050" w:type="dxa"/>
          <w:vAlign w:val="center"/>
        </w:tcPr>
        <w:p w14:paraId="25EC2C0F" w14:textId="77777777" w:rsidR="00AC0632" w:rsidRPr="006F4C17" w:rsidRDefault="00AC0632">
          <w:pPr>
            <w:ind w:right="-73"/>
            <w:rPr>
              <w:sz w:val="24"/>
            </w:rPr>
          </w:pPr>
          <w:r w:rsidRPr="006F4C17">
            <w:rPr>
              <w:rFonts w:ascii="Palatino Linotype" w:eastAsia="Palatino Linotype" w:hAnsi="Palatino Linotype" w:cs="Palatino Linotype"/>
              <w:bCs/>
              <w:sz w:val="24"/>
            </w:rPr>
            <w:t>Ayuntamiento de Cuautitlán Izcalli</w:t>
          </w:r>
        </w:p>
      </w:tc>
    </w:tr>
    <w:tr w:rsidR="00AC0632" w14:paraId="19081729" w14:textId="77777777" w:rsidTr="006F4C17">
      <w:trPr>
        <w:trHeight w:val="320"/>
      </w:trPr>
      <w:tc>
        <w:tcPr>
          <w:tcW w:w="2866" w:type="dxa"/>
          <w:vAlign w:val="center"/>
        </w:tcPr>
        <w:p w14:paraId="1FEA7AF6" w14:textId="77777777" w:rsidR="00AC0632" w:rsidRPr="006F4C17" w:rsidRDefault="00AC0632">
          <w:pPr>
            <w:rPr>
              <w:rFonts w:ascii="Palatino Linotype" w:eastAsia="Palatino Linotype" w:hAnsi="Palatino Linotype" w:cs="Palatino Linotype"/>
              <w:b/>
              <w:bCs/>
              <w:sz w:val="24"/>
            </w:rPr>
          </w:pPr>
          <w:r w:rsidRPr="006F4C17">
            <w:rPr>
              <w:rFonts w:ascii="Palatino Linotype" w:eastAsia="Palatino Linotype" w:hAnsi="Palatino Linotype" w:cs="Palatino Linotype"/>
              <w:b/>
              <w:bCs/>
              <w:sz w:val="24"/>
            </w:rPr>
            <w:t>Comisionada Ponente:</w:t>
          </w:r>
        </w:p>
      </w:tc>
      <w:tc>
        <w:tcPr>
          <w:tcW w:w="255" w:type="dxa"/>
          <w:vAlign w:val="center"/>
        </w:tcPr>
        <w:p w14:paraId="017BE3BF" w14:textId="77777777" w:rsidR="00AC0632" w:rsidRDefault="00AC0632">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rPr>
          </w:pPr>
        </w:p>
      </w:tc>
      <w:tc>
        <w:tcPr>
          <w:tcW w:w="4050" w:type="dxa"/>
          <w:vAlign w:val="center"/>
        </w:tcPr>
        <w:p w14:paraId="08DCC898" w14:textId="77777777" w:rsidR="00AC0632" w:rsidRPr="006F4C17" w:rsidRDefault="00AC0632">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6F4C17">
            <w:rPr>
              <w:rFonts w:ascii="Palatino Linotype" w:eastAsia="Palatino Linotype" w:hAnsi="Palatino Linotype" w:cs="Palatino Linotype"/>
              <w:color w:val="000000"/>
              <w:sz w:val="24"/>
            </w:rPr>
            <w:t>María del Rosario Mejía Ayala</w:t>
          </w:r>
        </w:p>
      </w:tc>
    </w:tr>
  </w:tbl>
  <w:p w14:paraId="0700BD9F" w14:textId="58DCCAB9" w:rsidR="00AC0632" w:rsidRDefault="006F4C17" w:rsidP="006F4C17">
    <w:pPr>
      <w:pBdr>
        <w:top w:val="nil"/>
        <w:left w:val="nil"/>
        <w:bottom w:val="nil"/>
        <w:right w:val="nil"/>
        <w:between w:val="nil"/>
      </w:pBdr>
      <w:tabs>
        <w:tab w:val="center" w:pos="4252"/>
        <w:tab w:val="right" w:pos="8504"/>
      </w:tabs>
    </w:pPr>
    <w:r>
      <w:rPr>
        <w:noProof/>
        <w:lang w:val="es-MX"/>
      </w:rPr>
      <w:drawing>
        <wp:anchor distT="0" distB="0" distL="0" distR="0" simplePos="0" relativeHeight="251659264" behindDoc="1" locked="0" layoutInCell="1" hidden="0" allowOverlap="1" wp14:anchorId="65FD0485" wp14:editId="6EB64F31">
          <wp:simplePos x="0" y="0"/>
          <wp:positionH relativeFrom="margin">
            <wp:align>center</wp:align>
          </wp:positionH>
          <wp:positionV relativeFrom="paragraph">
            <wp:posOffset>-1246673</wp:posOffset>
          </wp:positionV>
          <wp:extent cx="7809876" cy="10165823"/>
          <wp:effectExtent l="0" t="0" r="635" b="6985"/>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30375"/>
    <w:multiLevelType w:val="multilevel"/>
    <w:tmpl w:val="8346BA5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70176E"/>
    <w:multiLevelType w:val="multilevel"/>
    <w:tmpl w:val="3EBC42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C454567"/>
    <w:multiLevelType w:val="multilevel"/>
    <w:tmpl w:val="9F1C5F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F2345DF"/>
    <w:multiLevelType w:val="multilevel"/>
    <w:tmpl w:val="A148C9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FBA60E1"/>
    <w:multiLevelType w:val="hybridMultilevel"/>
    <w:tmpl w:val="8302665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22A72A60"/>
    <w:multiLevelType w:val="multilevel"/>
    <w:tmpl w:val="DFCE67D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A164502"/>
    <w:multiLevelType w:val="multilevel"/>
    <w:tmpl w:val="66961B02"/>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32331AD6"/>
    <w:multiLevelType w:val="multilevel"/>
    <w:tmpl w:val="6A12C5A2"/>
    <w:lvl w:ilvl="0">
      <w:start w:val="1"/>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6DE20D3"/>
    <w:multiLevelType w:val="multilevel"/>
    <w:tmpl w:val="DFE4CA82"/>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9" w15:restartNumberingAfterBreak="0">
    <w:nsid w:val="42BC7537"/>
    <w:multiLevelType w:val="multilevel"/>
    <w:tmpl w:val="FFD4FF5A"/>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6AC05C1"/>
    <w:multiLevelType w:val="multilevel"/>
    <w:tmpl w:val="D5FA6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796900"/>
    <w:multiLevelType w:val="hybridMultilevel"/>
    <w:tmpl w:val="47D418C6"/>
    <w:lvl w:ilvl="0" w:tplc="080A0001">
      <w:start w:val="1"/>
      <w:numFmt w:val="bullet"/>
      <w:lvlText w:val=""/>
      <w:lvlJc w:val="left"/>
      <w:pPr>
        <w:ind w:left="720" w:hanging="360"/>
      </w:pPr>
      <w:rPr>
        <w:rFonts w:ascii="Symbol" w:hAnsi="Symbol" w:hint="default"/>
      </w:rPr>
    </w:lvl>
    <w:lvl w:ilvl="1" w:tplc="7AA0B6C0">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0643563"/>
    <w:multiLevelType w:val="multilevel"/>
    <w:tmpl w:val="C2EC5326"/>
    <w:lvl w:ilvl="0">
      <w:start w:val="1"/>
      <w:numFmt w:val="bullet"/>
      <w:lvlText w:val="●"/>
      <w:lvlJc w:val="left"/>
      <w:pPr>
        <w:ind w:left="720" w:hanging="360"/>
      </w:pPr>
      <w:rPr>
        <w:rFonts w:ascii="Noto Sans Symbols" w:eastAsia="Noto Sans Symbols" w:hAnsi="Noto Sans Symbols" w:cs="Noto Sans Symbols"/>
        <w:b/>
        <w:bC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3004D81"/>
    <w:multiLevelType w:val="hybridMultilevel"/>
    <w:tmpl w:val="4412CE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9F95082"/>
    <w:multiLevelType w:val="multilevel"/>
    <w:tmpl w:val="8710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F02FDB"/>
    <w:multiLevelType w:val="multilevel"/>
    <w:tmpl w:val="1D8861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7375022"/>
    <w:multiLevelType w:val="multilevel"/>
    <w:tmpl w:val="DEDE6B06"/>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2"/>
  </w:num>
  <w:num w:numId="3">
    <w:abstractNumId w:val="7"/>
  </w:num>
  <w:num w:numId="4">
    <w:abstractNumId w:val="8"/>
  </w:num>
  <w:num w:numId="5">
    <w:abstractNumId w:val="9"/>
  </w:num>
  <w:num w:numId="6">
    <w:abstractNumId w:val="4"/>
  </w:num>
  <w:num w:numId="7">
    <w:abstractNumId w:val="6"/>
  </w:num>
  <w:num w:numId="8">
    <w:abstractNumId w:val="5"/>
  </w:num>
  <w:num w:numId="9">
    <w:abstractNumId w:val="2"/>
  </w:num>
  <w:num w:numId="10">
    <w:abstractNumId w:val="16"/>
  </w:num>
  <w:num w:numId="11">
    <w:abstractNumId w:val="0"/>
  </w:num>
  <w:num w:numId="12">
    <w:abstractNumId w:val="13"/>
  </w:num>
  <w:num w:numId="13">
    <w:abstractNumId w:val="10"/>
  </w:num>
  <w:num w:numId="14">
    <w:abstractNumId w:val="14"/>
  </w:num>
  <w:num w:numId="15">
    <w:abstractNumId w:val="11"/>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BFC"/>
    <w:rsid w:val="001566BA"/>
    <w:rsid w:val="00167437"/>
    <w:rsid w:val="001A35FB"/>
    <w:rsid w:val="0024754D"/>
    <w:rsid w:val="002A458E"/>
    <w:rsid w:val="00441DD7"/>
    <w:rsid w:val="004B3D68"/>
    <w:rsid w:val="004B5428"/>
    <w:rsid w:val="006F4C17"/>
    <w:rsid w:val="007223BC"/>
    <w:rsid w:val="007257A6"/>
    <w:rsid w:val="00875D87"/>
    <w:rsid w:val="00957BFC"/>
    <w:rsid w:val="009C0EFB"/>
    <w:rsid w:val="00A8123B"/>
    <w:rsid w:val="00A83FBF"/>
    <w:rsid w:val="00A93C0B"/>
    <w:rsid w:val="00AC0632"/>
    <w:rsid w:val="00AE49E3"/>
    <w:rsid w:val="00B4088D"/>
    <w:rsid w:val="00B51882"/>
    <w:rsid w:val="00CB3A21"/>
    <w:rsid w:val="00CE1938"/>
    <w:rsid w:val="00D527B7"/>
    <w:rsid w:val="00DC6DFC"/>
    <w:rsid w:val="00DE731B"/>
    <w:rsid w:val="00E63AB6"/>
    <w:rsid w:val="00E96852"/>
    <w:rsid w:val="00FC35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9FF926"/>
  <w15:docId w15:val="{CAA6A7CD-260E-49B7-A526-49EC768E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line="259" w:lineRule="auto"/>
      <w:outlineLvl w:val="0"/>
    </w:pPr>
    <w:rPr>
      <w:rFonts w:ascii="Palatino Linotype" w:eastAsia="Palatino Linotype" w:hAnsi="Palatino Linotype" w:cs="Palatino Linotype"/>
      <w:b/>
      <w:bCs/>
      <w:color w:val="000000"/>
    </w:rPr>
  </w:style>
  <w:style w:type="paragraph" w:styleId="Ttulo2">
    <w:name w:val="heading 2"/>
    <w:basedOn w:val="Normal"/>
    <w:next w:val="Normal"/>
    <w:pPr>
      <w:keepNext/>
      <w:keepLines/>
      <w:spacing w:before="40" w:line="259" w:lineRule="auto"/>
      <w:outlineLvl w:val="1"/>
    </w:pPr>
    <w:rPr>
      <w:rFonts w:ascii="Palatino Linotype" w:eastAsia="Palatino Linotype" w:hAnsi="Palatino Linotype" w:cs="Palatino Linotype"/>
      <w:b/>
      <w:bCs/>
      <w:color w:val="000000"/>
    </w:rPr>
  </w:style>
  <w:style w:type="paragraph" w:styleId="Ttulo3">
    <w:name w:val="heading 3"/>
    <w:basedOn w:val="Normal"/>
    <w:next w:val="Normal"/>
    <w:pPr>
      <w:keepNext/>
      <w:keepLines/>
      <w:spacing w:before="40"/>
      <w:outlineLvl w:val="2"/>
    </w:pPr>
    <w:rPr>
      <w:rFonts w:ascii="Calibri" w:eastAsia="Calibri" w:hAnsi="Calibri" w:cs="Calibri"/>
      <w:color w:val="243F61"/>
    </w:rPr>
  </w:style>
  <w:style w:type="paragraph" w:styleId="Ttulo4">
    <w:name w:val="heading 4"/>
    <w:basedOn w:val="Normal"/>
    <w:next w:val="Normal"/>
    <w:pPr>
      <w:keepNext/>
      <w:keepLines/>
      <w:spacing w:before="40"/>
      <w:outlineLvl w:val="3"/>
    </w:pPr>
    <w:rPr>
      <w:rFonts w:ascii="Calibri" w:eastAsia="Calibri" w:hAnsi="Calibri" w:cs="Calibri"/>
      <w:i/>
      <w:iCs/>
      <w:color w:val="366091"/>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87366"/>
    <w:pPr>
      <w:tabs>
        <w:tab w:val="center" w:pos="4252"/>
        <w:tab w:val="right" w:pos="8504"/>
      </w:tabs>
    </w:pPr>
  </w:style>
  <w:style w:type="character" w:customStyle="1" w:styleId="EncabezadoCar">
    <w:name w:val="Encabezado Car"/>
    <w:basedOn w:val="Fuentedeprrafopredeter"/>
    <w:link w:val="Encabezado"/>
    <w:uiPriority w:val="99"/>
    <w:rsid w:val="00587366"/>
  </w:style>
  <w:style w:type="paragraph" w:styleId="Piedepgina">
    <w:name w:val="footer"/>
    <w:basedOn w:val="Normal"/>
    <w:link w:val="PiedepginaCar"/>
    <w:uiPriority w:val="99"/>
    <w:unhideWhenUsed/>
    <w:rsid w:val="00587366"/>
    <w:pPr>
      <w:tabs>
        <w:tab w:val="center" w:pos="4252"/>
        <w:tab w:val="right" w:pos="8504"/>
      </w:tabs>
    </w:pPr>
  </w:style>
  <w:style w:type="character" w:customStyle="1" w:styleId="PiedepginaCar">
    <w:name w:val="Pie de página Car"/>
    <w:basedOn w:val="Fuentedeprrafopredeter"/>
    <w:link w:val="Piedepgina"/>
    <w:uiPriority w:val="99"/>
    <w:rsid w:val="00587366"/>
  </w:style>
  <w:style w:type="table" w:styleId="Tablaconcuadrcula">
    <w:name w:val="Table Grid"/>
    <w:basedOn w:val="Tablanormal"/>
    <w:uiPriority w:val="39"/>
    <w:rsid w:val="00587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8736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87366"/>
    <w:rPr>
      <w:rFonts w:ascii="Lucida Grande" w:hAnsi="Lucida Grande" w:cs="Lucida Grande"/>
      <w:sz w:val="18"/>
      <w:szCs w:val="1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2C69"/>
    <w:pPr>
      <w:ind w:left="720"/>
      <w:contextualSpacing/>
    </w:pPr>
  </w:style>
  <w:style w:type="paragraph" w:styleId="Sinespaciado">
    <w:name w:val="No Spacing"/>
    <w:aliases w:val="Francesa"/>
    <w:link w:val="SinespaciadoCar"/>
    <w:uiPriority w:val="1"/>
    <w:qFormat/>
    <w:rsid w:val="00166794"/>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A3513"/>
  </w:style>
  <w:style w:type="character" w:styleId="Hipervnculo">
    <w:name w:val="Hyperlink"/>
    <w:aliases w:val="Hipervínculo1,Hipervínculo11,Hipervínculo12,Hipervínculo13,Hipervínculo14,Hipervínculo15"/>
    <w:basedOn w:val="Fuentedeprrafopredeter"/>
    <w:uiPriority w:val="99"/>
    <w:unhideWhenUsed/>
    <w:rsid w:val="008167F5"/>
    <w:rPr>
      <w:color w:val="0000FF" w:themeColor="hyperlink"/>
      <w:u w:val="single"/>
    </w:rPr>
  </w:style>
  <w:style w:type="paragraph" w:styleId="TDC1">
    <w:name w:val="toc 1"/>
    <w:basedOn w:val="Normal"/>
    <w:next w:val="Normal"/>
    <w:autoRedefine/>
    <w:uiPriority w:val="39"/>
    <w:unhideWhenUsed/>
    <w:rsid w:val="008826F4"/>
    <w:pPr>
      <w:tabs>
        <w:tab w:val="right" w:leader="dot" w:pos="8779"/>
      </w:tabs>
      <w:spacing w:after="100" w:line="360" w:lineRule="auto"/>
      <w:ind w:left="284"/>
    </w:pPr>
  </w:style>
  <w:style w:type="paragraph" w:styleId="TDC2">
    <w:name w:val="toc 2"/>
    <w:basedOn w:val="Normal"/>
    <w:next w:val="Normal"/>
    <w:autoRedefine/>
    <w:uiPriority w:val="39"/>
    <w:unhideWhenUsed/>
    <w:rsid w:val="00B37AEC"/>
    <w:pPr>
      <w:tabs>
        <w:tab w:val="left" w:pos="709"/>
        <w:tab w:val="right" w:leader="dot" w:pos="8779"/>
      </w:tabs>
      <w:spacing w:after="100" w:line="480" w:lineRule="auto"/>
      <w:ind w:left="284"/>
    </w:pPr>
  </w:style>
  <w:style w:type="character" w:styleId="Refdecomentario">
    <w:name w:val="annotation reference"/>
    <w:basedOn w:val="Fuentedeprrafopredeter"/>
    <w:uiPriority w:val="99"/>
    <w:semiHidden/>
    <w:unhideWhenUsed/>
    <w:rsid w:val="00750A80"/>
    <w:rPr>
      <w:sz w:val="16"/>
      <w:szCs w:val="16"/>
    </w:rPr>
  </w:style>
  <w:style w:type="paragraph" w:styleId="Textocomentario">
    <w:name w:val="annotation text"/>
    <w:basedOn w:val="Normal"/>
    <w:link w:val="TextocomentarioCar"/>
    <w:uiPriority w:val="99"/>
    <w:semiHidden/>
    <w:unhideWhenUsed/>
    <w:rsid w:val="00750A80"/>
    <w:rPr>
      <w:sz w:val="20"/>
      <w:szCs w:val="20"/>
    </w:rPr>
  </w:style>
  <w:style w:type="character" w:customStyle="1" w:styleId="TextocomentarioCar">
    <w:name w:val="Texto comentario Car"/>
    <w:basedOn w:val="Fuentedeprrafopredeter"/>
    <w:link w:val="Textocomentario"/>
    <w:uiPriority w:val="99"/>
    <w:semiHidden/>
    <w:rsid w:val="00750A80"/>
    <w:rPr>
      <w:sz w:val="20"/>
      <w:szCs w:val="20"/>
    </w:rPr>
  </w:style>
  <w:style w:type="paragraph" w:styleId="Asuntodelcomentario">
    <w:name w:val="annotation subject"/>
    <w:basedOn w:val="Textocomentario"/>
    <w:next w:val="Textocomentario"/>
    <w:link w:val="AsuntodelcomentarioCar"/>
    <w:uiPriority w:val="99"/>
    <w:semiHidden/>
    <w:unhideWhenUsed/>
    <w:rsid w:val="00750A80"/>
    <w:rPr>
      <w:b/>
      <w:bCs/>
    </w:rPr>
  </w:style>
  <w:style w:type="character" w:customStyle="1" w:styleId="AsuntodelcomentarioCar">
    <w:name w:val="Asunto del comentario Car"/>
    <w:basedOn w:val="TextocomentarioCar"/>
    <w:link w:val="Asuntodelcomentario"/>
    <w:uiPriority w:val="99"/>
    <w:semiHidden/>
    <w:rsid w:val="00750A80"/>
    <w:rPr>
      <w:b/>
      <w:bCs/>
      <w:sz w:val="20"/>
      <w:szCs w:val="20"/>
    </w:rPr>
  </w:style>
  <w:style w:type="character" w:customStyle="1" w:styleId="Ttulo1Car">
    <w:name w:val="Título 1 Car"/>
    <w:basedOn w:val="Fuentedeprrafopredeter"/>
    <w:uiPriority w:val="9"/>
    <w:rsid w:val="00F214E5"/>
    <w:rPr>
      <w:rFonts w:ascii="Palatino Linotype" w:eastAsiaTheme="majorEastAsia" w:hAnsi="Palatino Linotype" w:cstheme="majorBidi"/>
      <w:b/>
      <w:color w:val="000000" w:themeColor="text1"/>
      <w:szCs w:val="32"/>
      <w:lang w:val="es-MX" w:eastAsia="en-US"/>
    </w:rPr>
  </w:style>
  <w:style w:type="character" w:customStyle="1" w:styleId="Ttulo2Car">
    <w:name w:val="Título 2 Car"/>
    <w:basedOn w:val="Fuentedeprrafopredeter"/>
    <w:uiPriority w:val="9"/>
    <w:rsid w:val="008E2E89"/>
    <w:rPr>
      <w:rFonts w:ascii="Palatino Linotype" w:eastAsiaTheme="majorEastAsia" w:hAnsi="Palatino Linotype" w:cstheme="majorBidi"/>
      <w:b/>
      <w:color w:val="000000" w:themeColor="text1"/>
      <w:szCs w:val="26"/>
      <w:lang w:val="es-MX" w:eastAsia="en-US"/>
    </w:rPr>
  </w:style>
  <w:style w:type="character" w:customStyle="1" w:styleId="apple-converted-space">
    <w:name w:val="apple-converted-space"/>
    <w:basedOn w:val="Fuentedeprrafopredeter"/>
    <w:rsid w:val="00E43ABE"/>
  </w:style>
  <w:style w:type="paragraph" w:styleId="Textoindependiente">
    <w:name w:val="Body Text"/>
    <w:basedOn w:val="Normal"/>
    <w:link w:val="TextoindependienteCar"/>
    <w:rsid w:val="00A8769A"/>
    <w:pPr>
      <w:jc w:val="both"/>
    </w:pPr>
    <w:rPr>
      <w:rFonts w:ascii="Arial" w:eastAsia="Times New Roman" w:hAnsi="Arial" w:cs="Times New Roman"/>
      <w:szCs w:val="20"/>
    </w:rPr>
  </w:style>
  <w:style w:type="character" w:customStyle="1" w:styleId="TextoindependienteCar">
    <w:name w:val="Texto independiente Car"/>
    <w:basedOn w:val="Fuentedeprrafopredeter"/>
    <w:link w:val="Textoindependiente"/>
    <w:rsid w:val="00A8769A"/>
    <w:rPr>
      <w:rFonts w:ascii="Arial" w:eastAsia="Times New Roman" w:hAnsi="Arial" w:cs="Times New Roman"/>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6C563A"/>
    <w:rPr>
      <w:rFonts w:eastAsiaTheme="minorHAns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6C563A"/>
    <w:rPr>
      <w:rFonts w:eastAsiaTheme="minorHAnsi"/>
      <w:sz w:val="20"/>
      <w:szCs w:val="20"/>
      <w:lang w:val="es-MX"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nhideWhenUsed/>
    <w:qFormat/>
    <w:rsid w:val="006C563A"/>
    <w:rPr>
      <w:vertAlign w:val="superscript"/>
    </w:rPr>
  </w:style>
  <w:style w:type="paragraph" w:customStyle="1" w:styleId="p">
    <w:name w:val="p"/>
    <w:basedOn w:val="Normal"/>
    <w:rsid w:val="006C563A"/>
    <w:pPr>
      <w:spacing w:before="100" w:beforeAutospacing="1" w:after="100" w:afterAutospacing="1"/>
    </w:pPr>
    <w:rPr>
      <w:rFonts w:ascii="Times New Roman" w:eastAsia="Times New Roman" w:hAnsi="Times New Roman" w:cs="Times New Roman"/>
      <w:lang w:val="es-MX"/>
    </w:rPr>
  </w:style>
  <w:style w:type="character" w:customStyle="1" w:styleId="f">
    <w:name w:val="f"/>
    <w:basedOn w:val="Fuentedeprrafopredeter"/>
    <w:rsid w:val="006C563A"/>
  </w:style>
  <w:style w:type="character" w:customStyle="1" w:styleId="a">
    <w:name w:val="a"/>
    <w:basedOn w:val="Fuentedeprrafopredeter"/>
    <w:rsid w:val="006C563A"/>
  </w:style>
  <w:style w:type="character" w:customStyle="1" w:styleId="d">
    <w:name w:val="d"/>
    <w:basedOn w:val="Fuentedeprrafopredeter"/>
    <w:rsid w:val="006C563A"/>
  </w:style>
  <w:style w:type="character" w:customStyle="1" w:styleId="b">
    <w:name w:val="b"/>
    <w:basedOn w:val="Fuentedeprrafopredeter"/>
    <w:rsid w:val="006C563A"/>
  </w:style>
  <w:style w:type="character" w:customStyle="1" w:styleId="g">
    <w:name w:val="g"/>
    <w:basedOn w:val="Fuentedeprrafopredeter"/>
    <w:rsid w:val="006C563A"/>
  </w:style>
  <w:style w:type="table" w:customStyle="1" w:styleId="Tablaconcuadrcula1">
    <w:name w:val="Tabla con cuadrícula1"/>
    <w:basedOn w:val="Tablanormal"/>
    <w:next w:val="Tablaconcuadrcula"/>
    <w:uiPriority w:val="59"/>
    <w:rsid w:val="00E0324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next w:val="Normal"/>
    <w:uiPriority w:val="39"/>
    <w:unhideWhenUsed/>
    <w:qFormat/>
    <w:rsid w:val="00CD7893"/>
  </w:style>
  <w:style w:type="character" w:styleId="Hipervnculovisitado">
    <w:name w:val="FollowedHyperlink"/>
    <w:basedOn w:val="Fuentedeprrafopredeter"/>
    <w:uiPriority w:val="99"/>
    <w:semiHidden/>
    <w:unhideWhenUsed/>
    <w:rsid w:val="00A575AA"/>
    <w:rPr>
      <w:color w:val="800080" w:themeColor="followedHyperlink"/>
      <w:u w:val="single"/>
    </w:rPr>
  </w:style>
  <w:style w:type="paragraph" w:customStyle="1" w:styleId="Default">
    <w:name w:val="Default"/>
    <w:qFormat/>
    <w:rsid w:val="00946F09"/>
    <w:pPr>
      <w:autoSpaceDE w:val="0"/>
      <w:autoSpaceDN w:val="0"/>
      <w:adjustRightInd w:val="0"/>
    </w:pPr>
    <w:rPr>
      <w:rFonts w:ascii="Palatino Linotype" w:eastAsiaTheme="minorHAnsi" w:hAnsi="Palatino Linotype" w:cs="Palatino Linotype"/>
      <w:color w:val="000000"/>
      <w:lang w:val="es-MX" w:eastAsia="en-US"/>
    </w:rPr>
  </w:style>
  <w:style w:type="paragraph" w:styleId="NormalWeb">
    <w:name w:val="Normal (Web)"/>
    <w:basedOn w:val="Normal"/>
    <w:uiPriority w:val="99"/>
    <w:unhideWhenUsed/>
    <w:rsid w:val="0033477F"/>
    <w:pPr>
      <w:spacing w:before="100" w:beforeAutospacing="1" w:after="100" w:afterAutospacing="1"/>
    </w:pPr>
    <w:rPr>
      <w:rFonts w:ascii="Times New Roman" w:eastAsia="Times New Roman" w:hAnsi="Times New Roman" w:cs="Times New Roman"/>
      <w:lang w:val="es-ES"/>
    </w:rPr>
  </w:style>
  <w:style w:type="character" w:customStyle="1" w:styleId="nacep">
    <w:name w:val="n_acep"/>
    <w:basedOn w:val="Fuentedeprrafopredeter"/>
    <w:rsid w:val="0033477F"/>
  </w:style>
  <w:style w:type="character" w:customStyle="1" w:styleId="apple-style-span">
    <w:name w:val="apple-style-span"/>
    <w:rsid w:val="00E53334"/>
  </w:style>
  <w:style w:type="paragraph" w:customStyle="1" w:styleId="FootnoteTextCharCharChar1">
    <w:name w:val="Footnote Text Char Char Char1"/>
    <w:basedOn w:val="Normal"/>
    <w:next w:val="Textonotapie"/>
    <w:unhideWhenUsed/>
    <w:rsid w:val="00A4327F"/>
    <w:rPr>
      <w:sz w:val="20"/>
      <w:szCs w:val="20"/>
      <w:lang w:val="es-MX" w:eastAsia="en-US"/>
    </w:rPr>
  </w:style>
  <w:style w:type="character" w:customStyle="1" w:styleId="il">
    <w:name w:val="il"/>
    <w:basedOn w:val="Fuentedeprrafopredeter"/>
    <w:rsid w:val="0052151F"/>
  </w:style>
  <w:style w:type="character" w:customStyle="1" w:styleId="Ttulo3Car">
    <w:name w:val="Título 3 Car"/>
    <w:basedOn w:val="Fuentedeprrafopredeter"/>
    <w:uiPriority w:val="9"/>
    <w:rsid w:val="004D215D"/>
    <w:rPr>
      <w:rFonts w:asciiTheme="majorHAnsi" w:eastAsiaTheme="majorEastAsia" w:hAnsiTheme="majorHAnsi" w:cstheme="majorBidi"/>
      <w:color w:val="243F60" w:themeColor="accent1" w:themeShade="7F"/>
    </w:rPr>
  </w:style>
  <w:style w:type="paragraph" w:styleId="TDC3">
    <w:name w:val="toc 3"/>
    <w:basedOn w:val="Normal"/>
    <w:next w:val="Normal"/>
    <w:autoRedefine/>
    <w:uiPriority w:val="39"/>
    <w:unhideWhenUsed/>
    <w:rsid w:val="00756F43"/>
    <w:pPr>
      <w:spacing w:after="100"/>
      <w:ind w:left="480"/>
    </w:pPr>
  </w:style>
  <w:style w:type="paragraph" w:styleId="Textoindependiente2">
    <w:name w:val="Body Text 2"/>
    <w:basedOn w:val="Normal"/>
    <w:link w:val="Textoindependiente2Car"/>
    <w:uiPriority w:val="99"/>
    <w:semiHidden/>
    <w:unhideWhenUsed/>
    <w:rsid w:val="00967CE6"/>
    <w:pPr>
      <w:spacing w:after="120" w:line="480" w:lineRule="auto"/>
    </w:pPr>
  </w:style>
  <w:style w:type="character" w:customStyle="1" w:styleId="Textoindependiente2Car">
    <w:name w:val="Texto independiente 2 Car"/>
    <w:basedOn w:val="Fuentedeprrafopredeter"/>
    <w:link w:val="Textoindependiente2"/>
    <w:uiPriority w:val="99"/>
    <w:semiHidden/>
    <w:rsid w:val="00967CE6"/>
  </w:style>
  <w:style w:type="character" w:styleId="Textoennegrita">
    <w:name w:val="Strong"/>
    <w:uiPriority w:val="22"/>
    <w:qFormat/>
    <w:rsid w:val="009C113B"/>
    <w:rPr>
      <w:b/>
      <w:bCs/>
    </w:rPr>
  </w:style>
  <w:style w:type="character" w:customStyle="1" w:styleId="SinespaciadoCar">
    <w:name w:val="Sin espaciado Car"/>
    <w:aliases w:val="Francesa Car"/>
    <w:link w:val="Sinespaciado"/>
    <w:uiPriority w:val="1"/>
    <w:locked/>
    <w:rsid w:val="009C113B"/>
  </w:style>
  <w:style w:type="paragraph" w:customStyle="1" w:styleId="q">
    <w:name w:val="q"/>
    <w:basedOn w:val="Normal"/>
    <w:rsid w:val="00732EA5"/>
    <w:pPr>
      <w:spacing w:before="100" w:beforeAutospacing="1" w:after="100" w:afterAutospacing="1"/>
    </w:pPr>
    <w:rPr>
      <w:rFonts w:ascii="Times New Roman" w:eastAsia="Times New Roman" w:hAnsi="Times New Roman" w:cs="Times New Roman"/>
      <w:lang w:val="es-MX"/>
    </w:rPr>
  </w:style>
  <w:style w:type="character" w:customStyle="1" w:styleId="k">
    <w:name w:val="k"/>
    <w:basedOn w:val="Fuentedeprrafopredeter"/>
    <w:rsid w:val="00732EA5"/>
  </w:style>
  <w:style w:type="character" w:customStyle="1" w:styleId="h">
    <w:name w:val="h"/>
    <w:basedOn w:val="Fuentedeprrafopredeter"/>
    <w:rsid w:val="00732EA5"/>
  </w:style>
  <w:style w:type="character" w:customStyle="1" w:styleId="titulorubrolgt">
    <w:name w:val="titulorubrolgt"/>
    <w:basedOn w:val="Fuentedeprrafopredeter"/>
    <w:rsid w:val="00CA063C"/>
  </w:style>
  <w:style w:type="character" w:customStyle="1" w:styleId="ctr">
    <w:name w:val="ctr"/>
    <w:basedOn w:val="Fuentedeprrafopredeter"/>
    <w:rsid w:val="00CA063C"/>
  </w:style>
  <w:style w:type="paragraph" w:customStyle="1" w:styleId="Textonotapie1">
    <w:name w:val="Texto nota pie1"/>
    <w:basedOn w:val="Normal"/>
    <w:next w:val="Textonotapie"/>
    <w:uiPriority w:val="99"/>
    <w:unhideWhenUsed/>
    <w:rsid w:val="00EC6B99"/>
    <w:rPr>
      <w:sz w:val="20"/>
      <w:szCs w:val="20"/>
      <w:lang w:val="es-MX" w:eastAsia="en-US"/>
    </w:rPr>
  </w:style>
  <w:style w:type="paragraph" w:customStyle="1" w:styleId="n2">
    <w:name w:val="n2"/>
    <w:basedOn w:val="Normal"/>
    <w:rsid w:val="009E1584"/>
    <w:pPr>
      <w:spacing w:before="100" w:beforeAutospacing="1" w:after="100" w:afterAutospacing="1"/>
    </w:pPr>
    <w:rPr>
      <w:rFonts w:ascii="Times New Roman" w:eastAsia="Times New Roman" w:hAnsi="Times New Roman" w:cs="Times New Roman"/>
      <w:lang w:val="es-MX"/>
    </w:rPr>
  </w:style>
  <w:style w:type="character" w:styleId="nfasis">
    <w:name w:val="Emphasis"/>
    <w:basedOn w:val="Fuentedeprrafopredeter"/>
    <w:uiPriority w:val="20"/>
    <w:qFormat/>
    <w:rsid w:val="009E1584"/>
    <w:rPr>
      <w:i/>
      <w:iCs/>
    </w:rPr>
  </w:style>
  <w:style w:type="paragraph" w:customStyle="1" w:styleId="j">
    <w:name w:val="j"/>
    <w:basedOn w:val="Normal"/>
    <w:rsid w:val="009E1584"/>
    <w:pPr>
      <w:spacing w:before="100" w:beforeAutospacing="1" w:after="100" w:afterAutospacing="1"/>
    </w:pPr>
    <w:rPr>
      <w:rFonts w:ascii="Times New Roman" w:eastAsia="Times New Roman" w:hAnsi="Times New Roman" w:cs="Times New Roman"/>
      <w:lang w:val="es-MX"/>
    </w:rPr>
  </w:style>
  <w:style w:type="paragraph" w:customStyle="1" w:styleId="j1">
    <w:name w:val="j1"/>
    <w:basedOn w:val="Normal"/>
    <w:rsid w:val="009E1584"/>
    <w:pPr>
      <w:spacing w:before="100" w:beforeAutospacing="1" w:after="100" w:afterAutospacing="1"/>
    </w:pPr>
    <w:rPr>
      <w:rFonts w:ascii="Times New Roman" w:eastAsia="Times New Roman" w:hAnsi="Times New Roman" w:cs="Times New Roman"/>
      <w:lang w:val="es-MX"/>
    </w:rPr>
  </w:style>
  <w:style w:type="table" w:customStyle="1" w:styleId="Cuadrculadetablaclara1">
    <w:name w:val="Cuadrícula de tabla clara1"/>
    <w:basedOn w:val="Tablanormal"/>
    <w:uiPriority w:val="40"/>
    <w:rsid w:val="00226E61"/>
    <w:rPr>
      <w:rFonts w:eastAsiaTheme="minorHAnsi"/>
      <w:sz w:val="22"/>
      <w:szCs w:val="22"/>
      <w:lang w:val="es-MX"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o">
    <w:name w:val="Texto"/>
    <w:basedOn w:val="Normal"/>
    <w:link w:val="TextoCar"/>
    <w:rsid w:val="00041C72"/>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locked/>
    <w:rsid w:val="00041C72"/>
    <w:rPr>
      <w:rFonts w:ascii="Arial" w:eastAsia="Times New Roman" w:hAnsi="Arial" w:cs="Arial"/>
      <w:sz w:val="18"/>
      <w:szCs w:val="20"/>
      <w:lang w:val="es-ES"/>
    </w:rPr>
  </w:style>
  <w:style w:type="paragraph" w:styleId="Textosinformato">
    <w:name w:val="Plain Text"/>
    <w:basedOn w:val="Normal"/>
    <w:link w:val="TextosinformatoCar"/>
    <w:rsid w:val="00D4338A"/>
    <w:rPr>
      <w:rFonts w:ascii="Courier New" w:eastAsia="Times New Roman" w:hAnsi="Courier New" w:cs="Times New Roman"/>
      <w:sz w:val="20"/>
      <w:szCs w:val="20"/>
      <w:lang w:val="es-ES"/>
    </w:rPr>
  </w:style>
  <w:style w:type="character" w:customStyle="1" w:styleId="TextosinformatoCar">
    <w:name w:val="Texto sin formato Car"/>
    <w:basedOn w:val="Fuentedeprrafopredeter"/>
    <w:link w:val="Textosinformato"/>
    <w:rsid w:val="00D4338A"/>
    <w:rPr>
      <w:rFonts w:ascii="Courier New" w:eastAsia="Times New Roman" w:hAnsi="Courier New" w:cs="Times New Roman"/>
      <w:sz w:val="20"/>
      <w:szCs w:val="20"/>
      <w:lang w:val="es-ES"/>
    </w:rPr>
  </w:style>
  <w:style w:type="table" w:customStyle="1" w:styleId="Tablanormal11">
    <w:name w:val="Tabla normal 11"/>
    <w:basedOn w:val="Tablanormal"/>
    <w:uiPriority w:val="41"/>
    <w:rsid w:val="00962626"/>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3468294172500300143gmail-msolistparagraph">
    <w:name w:val="m_3468294172500300143gmail-msolistparagraph"/>
    <w:basedOn w:val="Normal"/>
    <w:rsid w:val="00480BA2"/>
    <w:pPr>
      <w:spacing w:before="100" w:beforeAutospacing="1" w:after="100" w:afterAutospacing="1"/>
    </w:pPr>
    <w:rPr>
      <w:rFonts w:ascii="Times New Roman" w:eastAsia="Times New Roman" w:hAnsi="Times New Roman" w:cs="Times New Roman"/>
      <w:lang w:val="es-MX"/>
    </w:rPr>
  </w:style>
  <w:style w:type="paragraph" w:customStyle="1" w:styleId="m7640689326625126977gmail-msolistparagraph">
    <w:name w:val="m_7640689326625126977gmail-msolistparagraph"/>
    <w:basedOn w:val="Normal"/>
    <w:rsid w:val="00631337"/>
    <w:pPr>
      <w:spacing w:before="100" w:beforeAutospacing="1" w:after="100" w:afterAutospacing="1"/>
    </w:pPr>
    <w:rPr>
      <w:rFonts w:ascii="Times New Roman" w:eastAsia="Times New Roman" w:hAnsi="Times New Roman" w:cs="Times New Roman"/>
      <w:lang w:val="es-MX"/>
    </w:rPr>
  </w:style>
  <w:style w:type="character" w:customStyle="1" w:styleId="stytxtare">
    <w:name w:val="stytxtare"/>
    <w:rsid w:val="005B0EC2"/>
  </w:style>
  <w:style w:type="character" w:customStyle="1" w:styleId="Ttulo4Car">
    <w:name w:val="Título 4 Car"/>
    <w:basedOn w:val="Fuentedeprrafopredeter"/>
    <w:uiPriority w:val="9"/>
    <w:rsid w:val="00D55B7A"/>
    <w:rPr>
      <w:rFonts w:asciiTheme="majorHAnsi" w:eastAsiaTheme="majorEastAsia" w:hAnsiTheme="majorHAnsi" w:cstheme="majorBidi"/>
      <w:i/>
      <w:iCs/>
      <w:color w:val="365F91" w:themeColor="accent1" w:themeShade="BF"/>
    </w:rPr>
  </w:style>
  <w:style w:type="paragraph" w:customStyle="1" w:styleId="paragraph">
    <w:name w:val="paragraph"/>
    <w:basedOn w:val="Normal"/>
    <w:uiPriority w:val="99"/>
    <w:rsid w:val="00BC13F7"/>
    <w:pPr>
      <w:spacing w:before="100" w:beforeAutospacing="1" w:after="100" w:afterAutospacing="1"/>
    </w:pPr>
    <w:rPr>
      <w:rFonts w:ascii="Times New Roman" w:eastAsia="Times New Roman" w:hAnsi="Times New Roman" w:cs="Times New Roman"/>
      <w:lang w:val="es-MX"/>
    </w:rPr>
  </w:style>
  <w:style w:type="paragraph" w:customStyle="1" w:styleId="yiv6449924580ydp7ca81294msonormal">
    <w:name w:val="yiv6449924580ydp7ca81294msonormal"/>
    <w:basedOn w:val="Normal"/>
    <w:rsid w:val="003B7B09"/>
    <w:pPr>
      <w:spacing w:before="100" w:beforeAutospacing="1" w:after="100" w:afterAutospacing="1"/>
    </w:pPr>
    <w:rPr>
      <w:rFonts w:ascii="Times New Roman" w:eastAsia="Times New Roman" w:hAnsi="Times New Roman" w:cs="Times New Roman"/>
      <w:lang w:val="es-MX"/>
    </w:rPr>
  </w:style>
  <w:style w:type="paragraph" w:customStyle="1" w:styleId="gmail-msolistparagraph">
    <w:name w:val="gmail-msolistparagraph"/>
    <w:basedOn w:val="Normal"/>
    <w:rsid w:val="00CA1CD0"/>
    <w:pPr>
      <w:spacing w:before="100" w:beforeAutospacing="1" w:after="100" w:afterAutospacing="1"/>
    </w:pPr>
    <w:rPr>
      <w:rFonts w:ascii="Times New Roman" w:eastAsia="Times New Roman" w:hAnsi="Times New Roman" w:cs="Times New Roman"/>
      <w:lang w:val="es-MX"/>
    </w:rPr>
  </w:style>
  <w:style w:type="character" w:customStyle="1" w:styleId="vidspn">
    <w:name w:val="vid_spn"/>
    <w:basedOn w:val="Fuentedeprrafopredeter"/>
    <w:rsid w:val="006B78BA"/>
  </w:style>
  <w:style w:type="table" w:styleId="Tablanormal1">
    <w:name w:val="Plain Table 1"/>
    <w:basedOn w:val="Tablanormal"/>
    <w:uiPriority w:val="41"/>
    <w:rsid w:val="00BE721C"/>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as">
    <w:name w:val="Citas"/>
    <w:basedOn w:val="Normal"/>
    <w:qFormat/>
    <w:rsid w:val="000E0EF6"/>
    <w:pPr>
      <w:spacing w:before="240" w:after="160" w:line="360" w:lineRule="auto"/>
      <w:ind w:left="851" w:right="851"/>
      <w:jc w:val="both"/>
    </w:pPr>
    <w:rPr>
      <w:rFonts w:ascii="Palatino Linotype" w:eastAsia="Times New Roman" w:hAnsi="Palatino Linotype" w:cs="Arial"/>
      <w:i/>
      <w:sz w:val="22"/>
      <w:szCs w:val="22"/>
      <w:lang w:val="es-MX" w:eastAsia="en-US"/>
    </w:rPr>
  </w:style>
  <w:style w:type="table" w:customStyle="1" w:styleId="Tablanormal12">
    <w:name w:val="Tabla normal 12"/>
    <w:basedOn w:val="Tablanormal"/>
    <w:next w:val="Tablanormal1"/>
    <w:uiPriority w:val="41"/>
    <w:rsid w:val="00F82B3B"/>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bject">
    <w:name w:val="object"/>
    <w:basedOn w:val="Fuentedeprrafopredeter"/>
    <w:rsid w:val="00977AFF"/>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rPr>
      <w:sz w:val="22"/>
      <w:szCs w:val="22"/>
    </w:rPr>
    <w:tblPr>
      <w:tblStyleRowBandSize w:val="1"/>
      <w:tblStyleColBandSize w:val="1"/>
      <w:tblCellMar>
        <w:left w:w="108" w:type="dxa"/>
        <w:right w:w="108" w:type="dxa"/>
      </w:tblCellMar>
    </w:tblPr>
  </w:style>
  <w:style w:type="table" w:customStyle="1" w:styleId="a2">
    <w:basedOn w:val="TableNormal0"/>
    <w:rPr>
      <w:sz w:val="22"/>
      <w:szCs w:val="22"/>
    </w:rPr>
    <w:tblPr>
      <w:tblStyleRowBandSize w:val="1"/>
      <w:tblStyleColBandSize w:val="1"/>
      <w:tblCellMar>
        <w:left w:w="108" w:type="dxa"/>
        <w:right w:w="108" w:type="dxa"/>
      </w:tblCellMar>
    </w:tblPr>
  </w:style>
  <w:style w:type="paragraph" w:styleId="Listaconvietas2">
    <w:name w:val="List Bullet 2"/>
    <w:basedOn w:val="Normal"/>
    <w:uiPriority w:val="99"/>
    <w:unhideWhenUsed/>
    <w:rsid w:val="00FF115C"/>
    <w:pPr>
      <w:numPr>
        <w:numId w:val="5"/>
      </w:numPr>
      <w:contextualSpacing/>
    </w:pPr>
    <w:rPr>
      <w:rFonts w:ascii="Times New Roman" w:eastAsia="Times New Roman" w:hAnsi="Times New Roman" w:cs="Times New Roman"/>
      <w:sz w:val="20"/>
      <w:szCs w:val="20"/>
      <w:lang w:val="es-MX"/>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3">
    <w:basedOn w:val="TableNormal0"/>
    <w:rPr>
      <w:sz w:val="22"/>
      <w:szCs w:val="22"/>
    </w:rPr>
    <w:tblPr>
      <w:tblStyleRowBandSize w:val="1"/>
      <w:tblStyleColBandSize w:val="1"/>
      <w:tblCellMar>
        <w:left w:w="108" w:type="dxa"/>
        <w:right w:w="108" w:type="dxa"/>
      </w:tblCellMar>
    </w:tblPr>
  </w:style>
  <w:style w:type="table" w:customStyle="1" w:styleId="a4">
    <w:basedOn w:val="TableNormal0"/>
    <w:rPr>
      <w:sz w:val="22"/>
      <w:szCs w:val="22"/>
    </w:rPr>
    <w:tblPr>
      <w:tblStyleRowBandSize w:val="1"/>
      <w:tblStyleColBandSize w:val="1"/>
      <w:tblCellMar>
        <w:left w:w="108" w:type="dxa"/>
        <w:right w:w="108" w:type="dxa"/>
      </w:tblCellMar>
    </w:tblPr>
  </w:style>
  <w:style w:type="table" w:customStyle="1" w:styleId="3">
    <w:name w:val="3"/>
    <w:basedOn w:val="Tablanormal"/>
    <w:rsid w:val="00167437"/>
    <w:rPr>
      <w:rFonts w:ascii="Calibri" w:eastAsia="Calibri" w:hAnsi="Calibri" w:cs="Calibri"/>
    </w:r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character" w:customStyle="1" w:styleId="vkekvd">
    <w:name w:val="vkekvd"/>
    <w:basedOn w:val="Fuentedeprrafopredeter"/>
    <w:rsid w:val="00DE731B"/>
  </w:style>
  <w:style w:type="character" w:customStyle="1" w:styleId="t286pc">
    <w:name w:val="t286pc"/>
    <w:basedOn w:val="Fuentedeprrafopredeter"/>
    <w:rsid w:val="00DE73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92230">
      <w:bodyDiv w:val="1"/>
      <w:marLeft w:val="0"/>
      <w:marRight w:val="0"/>
      <w:marTop w:val="0"/>
      <w:marBottom w:val="0"/>
      <w:divBdr>
        <w:top w:val="none" w:sz="0" w:space="0" w:color="auto"/>
        <w:left w:val="none" w:sz="0" w:space="0" w:color="auto"/>
        <w:bottom w:val="none" w:sz="0" w:space="0" w:color="auto"/>
        <w:right w:val="none" w:sz="0" w:space="0" w:color="auto"/>
      </w:divBdr>
      <w:divsChild>
        <w:div w:id="605235629">
          <w:marLeft w:val="0"/>
          <w:marRight w:val="0"/>
          <w:marTop w:val="0"/>
          <w:marBottom w:val="0"/>
          <w:divBdr>
            <w:top w:val="none" w:sz="0" w:space="0" w:color="auto"/>
            <w:left w:val="none" w:sz="0" w:space="0" w:color="auto"/>
            <w:bottom w:val="none" w:sz="0" w:space="0" w:color="auto"/>
            <w:right w:val="none" w:sz="0" w:space="0" w:color="auto"/>
          </w:divBdr>
        </w:div>
        <w:div w:id="1800756954">
          <w:marLeft w:val="0"/>
          <w:marRight w:val="0"/>
          <w:marTop w:val="0"/>
          <w:marBottom w:val="0"/>
          <w:divBdr>
            <w:top w:val="none" w:sz="0" w:space="0" w:color="auto"/>
            <w:left w:val="none" w:sz="0" w:space="0" w:color="auto"/>
            <w:bottom w:val="none" w:sz="0" w:space="0" w:color="auto"/>
            <w:right w:val="none" w:sz="0" w:space="0" w:color="auto"/>
          </w:divBdr>
        </w:div>
        <w:div w:id="569536363">
          <w:marLeft w:val="0"/>
          <w:marRight w:val="0"/>
          <w:marTop w:val="0"/>
          <w:marBottom w:val="0"/>
          <w:divBdr>
            <w:top w:val="none" w:sz="0" w:space="0" w:color="auto"/>
            <w:left w:val="none" w:sz="0" w:space="0" w:color="auto"/>
            <w:bottom w:val="none" w:sz="0" w:space="0" w:color="auto"/>
            <w:right w:val="none" w:sz="0" w:space="0" w:color="auto"/>
          </w:divBdr>
        </w:div>
      </w:divsChild>
    </w:div>
    <w:div w:id="1351561680">
      <w:bodyDiv w:val="1"/>
      <w:marLeft w:val="0"/>
      <w:marRight w:val="0"/>
      <w:marTop w:val="0"/>
      <w:marBottom w:val="0"/>
      <w:divBdr>
        <w:top w:val="none" w:sz="0" w:space="0" w:color="auto"/>
        <w:left w:val="none" w:sz="0" w:space="0" w:color="auto"/>
        <w:bottom w:val="none" w:sz="0" w:space="0" w:color="auto"/>
        <w:right w:val="none" w:sz="0" w:space="0" w:color="auto"/>
      </w:divBdr>
      <w:divsChild>
        <w:div w:id="1141270777">
          <w:marLeft w:val="0"/>
          <w:marRight w:val="0"/>
          <w:marTop w:val="975"/>
          <w:marBottom w:val="375"/>
          <w:divBdr>
            <w:top w:val="none" w:sz="0" w:space="0" w:color="auto"/>
            <w:left w:val="none" w:sz="0" w:space="0" w:color="auto"/>
            <w:bottom w:val="none" w:sz="0" w:space="0" w:color="auto"/>
            <w:right w:val="none" w:sz="0" w:space="0" w:color="auto"/>
          </w:divBdr>
          <w:divsChild>
            <w:div w:id="870144041">
              <w:marLeft w:val="0"/>
              <w:marRight w:val="0"/>
              <w:marTop w:val="0"/>
              <w:marBottom w:val="0"/>
              <w:divBdr>
                <w:top w:val="none" w:sz="0" w:space="0" w:color="auto"/>
                <w:left w:val="none" w:sz="0" w:space="0" w:color="auto"/>
                <w:bottom w:val="none" w:sz="0" w:space="0" w:color="auto"/>
                <w:right w:val="none" w:sz="0" w:space="0" w:color="auto"/>
              </w:divBdr>
              <w:divsChild>
                <w:div w:id="172853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966334">
      <w:bodyDiv w:val="1"/>
      <w:marLeft w:val="0"/>
      <w:marRight w:val="0"/>
      <w:marTop w:val="0"/>
      <w:marBottom w:val="0"/>
      <w:divBdr>
        <w:top w:val="none" w:sz="0" w:space="0" w:color="auto"/>
        <w:left w:val="none" w:sz="0" w:space="0" w:color="auto"/>
        <w:bottom w:val="none" w:sz="0" w:space="0" w:color="auto"/>
        <w:right w:val="none" w:sz="0" w:space="0" w:color="auto"/>
      </w:divBdr>
      <w:divsChild>
        <w:div w:id="36123073">
          <w:marLeft w:val="0"/>
          <w:marRight w:val="0"/>
          <w:marTop w:val="0"/>
          <w:marBottom w:val="0"/>
          <w:divBdr>
            <w:top w:val="none" w:sz="0" w:space="0" w:color="auto"/>
            <w:left w:val="none" w:sz="0" w:space="0" w:color="auto"/>
            <w:bottom w:val="none" w:sz="0" w:space="0" w:color="auto"/>
            <w:right w:val="none" w:sz="0" w:space="0" w:color="auto"/>
          </w:divBdr>
        </w:div>
        <w:div w:id="159162103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ebapps.condusef.gob.mx/SIPRES/jsp/pub/index.jsp"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ondusef.gob.mx/Revista/index.php/usuario-inteligente/condusef-responde/777-la-condusef-te-puede-ayuda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ianguisdigital.finanzas.cdmx.gob.mx/"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traloriadf.gob.mx/contraloria/cursos/ADQUISICIONES/paginas/32.php" TargetMode="External"/><Relationship Id="rId5" Type="http://schemas.openxmlformats.org/officeDocument/2006/relationships/webSettings" Target="webSettings.xml"/><Relationship Id="rId15" Type="http://schemas.openxmlformats.org/officeDocument/2006/relationships/hyperlink" Target="https://sistemas2.edomex.gob.mx/TramitesyServicios/Tramite?tram=14299&amp;cont=0" TargetMode="External"/><Relationship Id="rId10" Type="http://schemas.openxmlformats.org/officeDocument/2006/relationships/hyperlink" Target="https://www.gob.mx/sfp/acciones-y-programas/1-3-3-adjudicacion-directa"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1TkRpoHUWpUnBaJ2ejLIQx7dig==">CgMxLjAyCGguZ2pkZ3hzMgloLjMwajB6bGwyCWguMWZvYjl0ZTIJaC4zem55c2g3MgloLjJldDkycDAyCGgudHlqY3d0MgloLjNkeTZ2a20yCWguMXQzaDVzZjIOaC5qM2U5N3V1amViamMyDmguaWpyYnJodDQ3bXo0Mg5oLjdrM3hrZTc5d3g3czIOaC5iaHpzeG9ib3d5bXI4AHIhMVA2TExoRDgtZk9sUFJmQXBZTGhvTTV4cTVETkJxZVRK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43</Pages>
  <Words>9452</Words>
  <Characters>51991</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61321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iMac</dc:creator>
  <cp:lastModifiedBy>Cuenta Microsoft</cp:lastModifiedBy>
  <cp:revision>8</cp:revision>
  <cp:lastPrinted>2026-02-13T15:53:00Z</cp:lastPrinted>
  <dcterms:created xsi:type="dcterms:W3CDTF">2026-02-10T18:08:00Z</dcterms:created>
  <dcterms:modified xsi:type="dcterms:W3CDTF">2026-02-24T00:23:00Z</dcterms:modified>
</cp:coreProperties>
</file>