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7B2" w:rsidRDefault="00794414">
      <w:pPr>
        <w:tabs>
          <w:tab w:val="left" w:pos="3465"/>
        </w:tabs>
        <w:spacing w:line="360" w:lineRule="auto"/>
        <w:ind w:right="-787"/>
        <w:jc w:val="both"/>
        <w:rPr>
          <w:rFonts w:ascii="Palatino Linotype" w:eastAsia="Palatino Linotype" w:hAnsi="Palatino Linotype" w:cs="Palatino Linotype"/>
          <w:b/>
          <w:bCs/>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Pr>
          <w:rFonts w:ascii="Palatino Linotype" w:eastAsia="Palatino Linotype" w:hAnsi="Palatino Linotype" w:cs="Palatino Linotype"/>
          <w:b/>
          <w:bCs/>
        </w:rPr>
        <w:t>tres (03) de junio de dos mil veintiséis.</w:t>
      </w:r>
    </w:p>
    <w:p w:rsidR="008857B2" w:rsidRDefault="008857B2">
      <w:pPr>
        <w:tabs>
          <w:tab w:val="left" w:pos="3465"/>
        </w:tabs>
        <w:spacing w:line="360" w:lineRule="auto"/>
        <w:ind w:right="-787"/>
        <w:jc w:val="both"/>
        <w:rPr>
          <w:rFonts w:ascii="Palatino Linotype" w:eastAsia="Palatino Linotype" w:hAnsi="Palatino Linotype" w:cs="Palatino Linotype"/>
          <w:b/>
          <w:bCs/>
        </w:rPr>
      </w:pPr>
    </w:p>
    <w:p w:rsidR="008857B2" w:rsidRDefault="00794414">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VISTAS </w:t>
      </w:r>
      <w:r>
        <w:rPr>
          <w:rFonts w:ascii="Palatino Linotype" w:eastAsia="Palatino Linotype" w:hAnsi="Palatino Linotype" w:cs="Palatino Linotype"/>
        </w:rPr>
        <w:t xml:space="preserve">las constancias para resolver </w:t>
      </w:r>
      <w:r>
        <w:rPr>
          <w:rFonts w:ascii="Palatino Linotype" w:eastAsia="Palatino Linotype" w:hAnsi="Palatino Linotype" w:cs="Palatino Linotype"/>
          <w:color w:val="000000"/>
        </w:rPr>
        <w:t xml:space="preserve">el Recurso de Revisión </w:t>
      </w:r>
      <w:r>
        <w:rPr>
          <w:rFonts w:ascii="Palatino Linotype" w:eastAsia="Palatino Linotype" w:hAnsi="Palatino Linotype" w:cs="Palatino Linotype"/>
          <w:b/>
          <w:bCs/>
          <w:color w:val="000000"/>
        </w:rPr>
        <w:t>01208/INFOEM/IP/RR/2026</w:t>
      </w:r>
      <w:r>
        <w:rPr>
          <w:rFonts w:ascii="Palatino Linotype" w:eastAsia="Palatino Linotype" w:hAnsi="Palatino Linotype" w:cs="Palatino Linotype"/>
          <w:color w:val="000000"/>
        </w:rPr>
        <w:t xml:space="preserve">, promovido por </w:t>
      </w:r>
      <w:r w:rsidR="00F565A9">
        <w:rPr>
          <w:rFonts w:ascii="Palatino Linotype" w:eastAsia="Palatino Linotype" w:hAnsi="Palatino Linotype" w:cs="Palatino Linotype"/>
          <w:b/>
          <w:bCs/>
          <w:color w:val="000000"/>
        </w:rPr>
        <w:t>XXXX</w:t>
      </w:r>
      <w:r>
        <w:rPr>
          <w:rFonts w:ascii="Palatino Linotype" w:eastAsia="Palatino Linotype" w:hAnsi="Palatino Linotype" w:cs="Palatino Linotype"/>
          <w:color w:val="000000"/>
        </w:rPr>
        <w:t>,</w:t>
      </w:r>
      <w:r>
        <w:rPr>
          <w:rFonts w:ascii="Palatino Linotype" w:eastAsia="Palatino Linotype" w:hAnsi="Palatino Linotype" w:cs="Palatino Linotype"/>
        </w:rPr>
        <w:t xml:space="preserve"> en lo sucesivo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otorgada a la solicitud de información </w:t>
      </w:r>
      <w:r>
        <w:rPr>
          <w:rFonts w:ascii="Palatino Linotype" w:eastAsia="Palatino Linotype" w:hAnsi="Palatino Linotype" w:cs="Palatino Linotype"/>
          <w:b/>
          <w:bCs/>
        </w:rPr>
        <w:t>07046/TOLUCA/IP/2025</w:t>
      </w:r>
      <w:r>
        <w:rPr>
          <w:rFonts w:ascii="Palatino Linotype" w:eastAsia="Palatino Linotype" w:hAnsi="Palatino Linotype" w:cs="Palatino Linotype"/>
        </w:rPr>
        <w:t xml:space="preserve">, por parte del </w:t>
      </w:r>
      <w:r>
        <w:rPr>
          <w:rFonts w:ascii="Palatino Linotype" w:eastAsia="Palatino Linotype" w:hAnsi="Palatino Linotype" w:cs="Palatino Linotype"/>
          <w:b/>
          <w:bCs/>
        </w:rPr>
        <w:t xml:space="preserve">Ayuntamiento de Toluca, </w:t>
      </w:r>
      <w:r>
        <w:rPr>
          <w:rFonts w:ascii="Palatino Linotype" w:eastAsia="Palatino Linotype" w:hAnsi="Palatino Linotype" w:cs="Palatino Linotype"/>
        </w:rPr>
        <w:t xml:space="preserve">en adelante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se emite la presente resolución con base en los siguientes:</w:t>
      </w:r>
    </w:p>
    <w:p w:rsidR="008857B2" w:rsidRDefault="008857B2">
      <w:pPr>
        <w:spacing w:line="360" w:lineRule="auto"/>
        <w:ind w:right="-787"/>
        <w:jc w:val="both"/>
        <w:rPr>
          <w:rFonts w:ascii="Palatino Linotype" w:eastAsia="Palatino Linotype" w:hAnsi="Palatino Linotype" w:cs="Palatino Linotype"/>
        </w:rPr>
      </w:pPr>
    </w:p>
    <w:p w:rsidR="008857B2" w:rsidRDefault="00794414">
      <w:pPr>
        <w:pStyle w:val="Ttulo1"/>
        <w:spacing w:before="0" w:line="360" w:lineRule="auto"/>
        <w:ind w:right="-787"/>
        <w:jc w:val="center"/>
        <w:rPr>
          <w:rFonts w:ascii="Palatino Linotype" w:eastAsia="Palatino Linotype" w:hAnsi="Palatino Linotype" w:cs="Palatino Linotype"/>
          <w:b/>
          <w:bCs/>
          <w:color w:val="000000"/>
          <w:sz w:val="24"/>
          <w:szCs w:val="24"/>
        </w:rPr>
      </w:pPr>
      <w:bookmarkStart w:id="0" w:name="_heading=h.gjdgxs" w:colFirst="0" w:colLast="0"/>
      <w:bookmarkEnd w:id="0"/>
      <w:r>
        <w:rPr>
          <w:rFonts w:ascii="Palatino Linotype" w:eastAsia="Palatino Linotype" w:hAnsi="Palatino Linotype" w:cs="Palatino Linotype"/>
          <w:b/>
          <w:bCs/>
          <w:color w:val="000000"/>
          <w:sz w:val="24"/>
          <w:szCs w:val="24"/>
        </w:rPr>
        <w:t>A N T E C E D E N T E S</w:t>
      </w:r>
    </w:p>
    <w:p w:rsidR="008857B2" w:rsidRDefault="008857B2">
      <w:pPr>
        <w:pBdr>
          <w:top w:val="nil"/>
          <w:left w:val="nil"/>
          <w:bottom w:val="nil"/>
          <w:right w:val="nil"/>
          <w:between w:val="nil"/>
        </w:pBdr>
        <w:spacing w:line="360" w:lineRule="auto"/>
        <w:ind w:left="720" w:right="-787"/>
        <w:jc w:val="both"/>
        <w:rPr>
          <w:rFonts w:ascii="Palatino Linotype" w:eastAsia="Palatino Linotype" w:hAnsi="Palatino Linotype" w:cs="Palatino Linotype"/>
          <w:b/>
          <w:bCs/>
          <w:color w:val="000000"/>
          <w:u w:val="single"/>
        </w:rPr>
      </w:pPr>
    </w:p>
    <w:p w:rsidR="008857B2" w:rsidRDefault="00794414">
      <w:pPr>
        <w:numPr>
          <w:ilvl w:val="0"/>
          <w:numId w:val="5"/>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ocho de diciembre de dos mil veinticinco</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Pr>
          <w:rFonts w:ascii="Palatino Linotype" w:eastAsia="Palatino Linotype" w:hAnsi="Palatino Linotype" w:cs="Palatino Linotype"/>
          <w:b/>
          <w:bCs/>
          <w:color w:val="000000"/>
        </w:rPr>
        <w:t>solicitud de información</w:t>
      </w:r>
      <w:r>
        <w:rPr>
          <w:rFonts w:ascii="Palatino Linotype" w:eastAsia="Palatino Linotype" w:hAnsi="Palatino Linotype" w:cs="Palatino Linotype"/>
          <w:color w:val="000000"/>
        </w:rPr>
        <w:t xml:space="preserve"> pública:</w:t>
      </w:r>
    </w:p>
    <w:p w:rsidR="008857B2" w:rsidRDefault="008857B2">
      <w:pPr>
        <w:pBdr>
          <w:top w:val="nil"/>
          <w:left w:val="nil"/>
          <w:bottom w:val="nil"/>
          <w:right w:val="nil"/>
          <w:between w:val="nil"/>
        </w:pBdr>
        <w:ind w:right="-788"/>
        <w:jc w:val="both"/>
        <w:rPr>
          <w:rFonts w:ascii="Palatino Linotype" w:eastAsia="Palatino Linotype" w:hAnsi="Palatino Linotype" w:cs="Palatino Linotype"/>
          <w:color w:val="000000"/>
        </w:rPr>
      </w:pPr>
    </w:p>
    <w:p w:rsidR="008857B2" w:rsidRDefault="00794414">
      <w:pPr>
        <w:pBdr>
          <w:top w:val="nil"/>
          <w:left w:val="nil"/>
          <w:bottom w:val="nil"/>
          <w:right w:val="nil"/>
          <w:between w:val="nil"/>
        </w:pBdr>
        <w:ind w:left="567" w:right="-788"/>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“08 DE DICIEMBRE DE 2025 EN APEGO A LA LEY DE TRANSPARENCIA Y ACCESO A LA INFORMACIÓN PÚBLICA DEL ESTADO DE MÉXICO Y MUNICIPIOS, CONSTITUCIÓN POLÍTICA DE LOS ESTADOS UNIDOS MEXICANOS, CONVENCIÓN AMERICANA SOBRE DERECHOS HUMANOS "PACTO DE SAN JOSÉ DE COSTA RICA" ESTÁNDARES DE PROTECCIÓN DE DATOS PERSONALES PARA LOS ESTADOS IBEROAMERICANOS. CONSTITUCIÓN POLÍTICA DEL ESTADO LIBRE Y SOBERANO DE MÉXICO Y LA LEY DE RESPONSABILIDADES ADMINISTRATIVAS DEL ESTADO DE MÉXICO Y MUNICIPIOS, EN SUS DIVERSOS ARTÍCULOS, SOLICITO LO SIGUIENTE: 1. SOLICITO SABER DEL PARQUE VEHICULAR QUE CONSTA DE 974 UNIDADES VEHICULARES Y MAQUINARIA SEGÚN INFORMACIÓN VERTIDA POR EL DEPARTAMENTO DE MANTENIMIENTO VEHICULAR Y CONTROL DE COMBUSTIBLE, MEDIANTE LA SOLICITUD DE </w:t>
      </w:r>
      <w:r>
        <w:rPr>
          <w:rFonts w:ascii="Palatino Linotype" w:eastAsia="Palatino Linotype" w:hAnsi="Palatino Linotype" w:cs="Palatino Linotype"/>
          <w:i/>
          <w:iCs/>
          <w:color w:val="000000"/>
        </w:rPr>
        <w:lastRenderedPageBreak/>
        <w:t>INFORMACIÓN A TRAVÉS DEL SAIMEX NÚMERO 06560. 2. ¿CUANTOS ODÓMETROS O CUENTA KILÓMETROS FUNCIONAN EN TOTAL DE LAS 974 UNIDADES VEHICULARES O MAQUINARIA? DEL MES DE ENERO AL MES DE NOVIEMBRE DEL EJERCICIO 2025 3. EN CASO DE QUE NO FUNCIONE ALGUNO, SOLICITO QUE EL TITULAR DEL DEPARTAMENTO DE MANTENIMIENTO VEHICULAR Y CONTROL DE COMBUSTIBLE, ME FUNDAMENTE BAJO QUÉ LEY, NORMA, CÓDIGO, ARTICULO, REGLAMENTO O PROCEDIMIENTO ADMINISTRATIVO OFICIAL. PUEDE DISPERSAR LOS DIFERENTES COMBUSTIBLES AL PARQUE VEHICULAR O MAQUINARIA DEL MUNICIPIO O EN SU CASO EL ACUERDO DE CABILDO DONDE SE APROBÓ DICHA DISPERSIÓN A PESAR DE QUE LOS ODÓMETROS O CUENTA KILÓMETROS NO FUNCIONEN. 4. SABER CUÁL ES EL MÉTODO DE COMPROBACIÓN “OFICIAL” 5. SABER CUÁNTOS ODÓMETROS O CUENTA KILÓMETROS NO FUNCIONAN DEL MES DE ENERO AL MES DE NOVIEMBRE DEL EJERCICIO 2025” (Sic)</w:t>
      </w:r>
    </w:p>
    <w:p w:rsidR="008857B2" w:rsidRDefault="008857B2">
      <w:pPr>
        <w:pBdr>
          <w:top w:val="nil"/>
          <w:left w:val="nil"/>
          <w:bottom w:val="nil"/>
          <w:right w:val="nil"/>
          <w:between w:val="nil"/>
        </w:pBdr>
        <w:ind w:right="-787"/>
        <w:jc w:val="both"/>
        <w:rPr>
          <w:rFonts w:ascii="Palatino Linotype" w:eastAsia="Palatino Linotype" w:hAnsi="Palatino Linotype" w:cs="Palatino Linotype"/>
          <w:i/>
          <w:iCs/>
          <w:color w:val="000000"/>
        </w:rPr>
      </w:pPr>
    </w:p>
    <w:p w:rsidR="008857B2" w:rsidRDefault="00794414">
      <w:pPr>
        <w:numPr>
          <w:ilvl w:val="0"/>
          <w:numId w:val="3"/>
        </w:numPr>
        <w:pBdr>
          <w:top w:val="nil"/>
          <w:left w:val="nil"/>
          <w:bottom w:val="nil"/>
          <w:right w:val="nil"/>
          <w:between w:val="nil"/>
        </w:pBdr>
        <w:tabs>
          <w:tab w:val="left" w:pos="0"/>
        </w:tabs>
        <w:spacing w:line="360" w:lineRule="auto"/>
        <w:ind w:left="709" w:right="-78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A través del </w:t>
      </w:r>
      <w:r>
        <w:rPr>
          <w:rFonts w:ascii="Palatino Linotype" w:eastAsia="Palatino Linotype" w:hAnsi="Palatino Linotype" w:cs="Palatino Linotype"/>
          <w:b/>
          <w:bCs/>
          <w:color w:val="000000"/>
        </w:rPr>
        <w:t>SAIMEX.</w:t>
      </w:r>
    </w:p>
    <w:p w:rsidR="008857B2" w:rsidRDefault="008857B2">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color w:val="000000"/>
        </w:rPr>
      </w:pPr>
    </w:p>
    <w:p w:rsidR="008857B2" w:rsidRDefault="00794414">
      <w:pPr>
        <w:numPr>
          <w:ilvl w:val="0"/>
          <w:numId w:val="5"/>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En fecha </w:t>
      </w:r>
      <w:r>
        <w:rPr>
          <w:rFonts w:ascii="Palatino Linotype" w:eastAsia="Palatino Linotype" w:hAnsi="Palatino Linotype" w:cs="Palatino Linotype"/>
          <w:b/>
          <w:bCs/>
          <w:color w:val="000000"/>
        </w:rPr>
        <w:t>diecinueve de enero de dos mil veintiséis</w:t>
      </w:r>
      <w:r>
        <w:rPr>
          <w:rFonts w:ascii="Palatino Linotype" w:eastAsia="Palatino Linotype" w:hAnsi="Palatino Linotype" w:cs="Palatino Linotype"/>
          <w:color w:val="000000"/>
        </w:rPr>
        <w:t xml:space="preserve">, el Sujeto Obligado notificó </w:t>
      </w:r>
      <w:r>
        <w:rPr>
          <w:rFonts w:ascii="Palatino Linotype" w:eastAsia="Palatino Linotype" w:hAnsi="Palatino Linotype" w:cs="Palatino Linotype"/>
          <w:b/>
          <w:bCs/>
          <w:color w:val="000000"/>
        </w:rPr>
        <w:t>prórroga</w:t>
      </w:r>
      <w:r>
        <w:rPr>
          <w:rFonts w:ascii="Palatino Linotype" w:eastAsia="Palatino Linotype" w:hAnsi="Palatino Linotype" w:cs="Palatino Linotype"/>
          <w:color w:val="000000"/>
        </w:rPr>
        <w:t xml:space="preserve"> por siete días, misma que fue procedente bajo el acuerdo CT/SE/1468/05/2025 en la Milésima Cuadragésima Sexagésima Octava Sesión Extraordinaria 2025 del Comité de Transparencia, en razón que se </w:t>
      </w:r>
      <w:r>
        <w:rPr>
          <w:rFonts w:ascii="Palatino Linotype" w:eastAsia="Palatino Linotype" w:hAnsi="Palatino Linotype" w:cs="Palatino Linotype"/>
        </w:rPr>
        <w:t>continúa</w:t>
      </w:r>
      <w:r>
        <w:rPr>
          <w:rFonts w:ascii="Palatino Linotype" w:eastAsia="Palatino Linotype" w:hAnsi="Palatino Linotype" w:cs="Palatino Linotype"/>
          <w:color w:val="000000"/>
        </w:rPr>
        <w:t xml:space="preserve"> con la minuciosa búsqueda de información, sin que se haya anexado el acuerdo del Comité de Transparencia correspondiente, como se establece en el artículo 163 de la Ley de Transparencia estatal.</w:t>
      </w:r>
    </w:p>
    <w:p w:rsidR="008857B2" w:rsidRDefault="008857B2">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b/>
          <w:bCs/>
          <w:color w:val="000000"/>
        </w:rPr>
      </w:pPr>
    </w:p>
    <w:p w:rsidR="008857B2" w:rsidRDefault="00794414">
      <w:pPr>
        <w:numPr>
          <w:ilvl w:val="0"/>
          <w:numId w:val="5"/>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veintiocho de enero de dos mil veintiséis</w:t>
      </w:r>
      <w:r>
        <w:rPr>
          <w:rFonts w:ascii="Palatino Linotype" w:eastAsia="Palatino Linotype" w:hAnsi="Palatino Linotype" w:cs="Palatino Linotype"/>
          <w:color w:val="000000"/>
        </w:rPr>
        <w:t xml:space="preserve">, el Sujeto Obligado emitió </w:t>
      </w:r>
      <w:r>
        <w:rPr>
          <w:rFonts w:ascii="Palatino Linotype" w:eastAsia="Palatino Linotype" w:hAnsi="Palatino Linotype" w:cs="Palatino Linotype"/>
          <w:b/>
          <w:bCs/>
          <w:color w:val="000000"/>
        </w:rPr>
        <w:t>respuesta</w:t>
      </w:r>
      <w:r>
        <w:rPr>
          <w:rFonts w:ascii="Palatino Linotype" w:eastAsia="Palatino Linotype" w:hAnsi="Palatino Linotype" w:cs="Palatino Linotype"/>
          <w:color w:val="000000"/>
        </w:rPr>
        <w:t xml:space="preserve"> a través de los archivos digitales siguientes:</w:t>
      </w:r>
    </w:p>
    <w:p w:rsidR="008857B2" w:rsidRDefault="00794414">
      <w:pPr>
        <w:numPr>
          <w:ilvl w:val="0"/>
          <w:numId w:val="8"/>
        </w:numPr>
        <w:pBdr>
          <w:top w:val="nil"/>
          <w:left w:val="nil"/>
          <w:bottom w:val="nil"/>
          <w:right w:val="nil"/>
          <w:between w:val="nil"/>
        </w:pBdr>
        <w:tabs>
          <w:tab w:val="left" w:pos="567"/>
        </w:tabs>
        <w:ind w:right="-787"/>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NOTIF. CIUDADANO S. 7046.pdf</w:t>
      </w:r>
    </w:p>
    <w:p w:rsidR="008857B2" w:rsidRDefault="00794414">
      <w:pPr>
        <w:pBdr>
          <w:top w:val="nil"/>
          <w:left w:val="nil"/>
          <w:bottom w:val="nil"/>
          <w:right w:val="nil"/>
          <w:between w:val="nil"/>
        </w:pBdr>
        <w:tabs>
          <w:tab w:val="left" w:pos="567"/>
        </w:tabs>
        <w:ind w:left="567" w:right="-787"/>
        <w:jc w:val="both"/>
        <w:rPr>
          <w:rFonts w:ascii="Palatino Linotype" w:eastAsia="Palatino Linotype" w:hAnsi="Palatino Linotype" w:cs="Palatino Linotype"/>
        </w:rPr>
      </w:pPr>
      <w:r>
        <w:rPr>
          <w:rFonts w:ascii="Palatino Linotype" w:eastAsia="Palatino Linotype" w:hAnsi="Palatino Linotype" w:cs="Palatino Linotype"/>
        </w:rPr>
        <w:t xml:space="preserve">- Número de Oficio: 206010000/0644/2026 de fecha 26 de enero de 2026, firmado por la </w:t>
      </w:r>
      <w:r>
        <w:rPr>
          <w:rFonts w:ascii="Palatino Linotype" w:eastAsia="Palatino Linotype" w:hAnsi="Palatino Linotype" w:cs="Palatino Linotype"/>
          <w:b/>
          <w:bCs/>
        </w:rPr>
        <w:t>Directora General de Administración</w:t>
      </w:r>
      <w:r>
        <w:rPr>
          <w:rFonts w:ascii="Palatino Linotype" w:eastAsia="Palatino Linotype" w:hAnsi="Palatino Linotype" w:cs="Palatino Linotype"/>
        </w:rPr>
        <w:t>, a través del cual remite la respuesta del Departamento de Mantenimiento y Control de Combustible.</w:t>
      </w:r>
    </w:p>
    <w:p w:rsidR="008857B2" w:rsidRDefault="008857B2">
      <w:pPr>
        <w:pBdr>
          <w:top w:val="nil"/>
          <w:left w:val="nil"/>
          <w:bottom w:val="nil"/>
          <w:right w:val="nil"/>
          <w:between w:val="nil"/>
        </w:pBdr>
        <w:tabs>
          <w:tab w:val="left" w:pos="567"/>
        </w:tabs>
        <w:ind w:left="567" w:right="-787"/>
        <w:jc w:val="both"/>
        <w:rPr>
          <w:rFonts w:ascii="Palatino Linotype" w:eastAsia="Palatino Linotype" w:hAnsi="Palatino Linotype" w:cs="Palatino Linotype"/>
        </w:rPr>
      </w:pPr>
    </w:p>
    <w:p w:rsidR="008857B2" w:rsidRDefault="00794414">
      <w:pPr>
        <w:pBdr>
          <w:top w:val="nil"/>
          <w:left w:val="nil"/>
          <w:bottom w:val="nil"/>
          <w:right w:val="nil"/>
          <w:between w:val="nil"/>
        </w:pBdr>
        <w:tabs>
          <w:tab w:val="left" w:pos="567"/>
        </w:tabs>
        <w:ind w:left="567" w:right="-787"/>
        <w:jc w:val="both"/>
        <w:rPr>
          <w:rFonts w:ascii="Palatino Linotype" w:eastAsia="Palatino Linotype" w:hAnsi="Palatino Linotype" w:cs="Palatino Linotype"/>
        </w:rPr>
      </w:pPr>
      <w:r>
        <w:rPr>
          <w:rFonts w:ascii="Palatino Linotype" w:eastAsia="Palatino Linotype" w:hAnsi="Palatino Linotype" w:cs="Palatino Linotype"/>
        </w:rPr>
        <w:t xml:space="preserve">- No. de oficio 206013002/140/2025 de fecha 15 de diciembre de 2026, firmado por el </w:t>
      </w:r>
      <w:r>
        <w:rPr>
          <w:rFonts w:ascii="Palatino Linotype" w:eastAsia="Palatino Linotype" w:hAnsi="Palatino Linotype" w:cs="Palatino Linotype"/>
          <w:b/>
          <w:bCs/>
        </w:rPr>
        <w:t>Jefe del Departamento de Mantenimiento y Control de Combustible</w:t>
      </w:r>
      <w:r>
        <w:rPr>
          <w:rFonts w:ascii="Palatino Linotype" w:eastAsia="Palatino Linotype" w:hAnsi="Palatino Linotype" w:cs="Palatino Linotype"/>
        </w:rPr>
        <w:t xml:space="preserve">, a través del cual del cual refiere que </w:t>
      </w:r>
      <w:r>
        <w:rPr>
          <w:rFonts w:ascii="Palatino Linotype" w:eastAsia="Palatino Linotype" w:hAnsi="Palatino Linotype" w:cs="Palatino Linotype"/>
          <w:i/>
          <w:iCs/>
        </w:rPr>
        <w:t xml:space="preserve">del mes de enero a noviembre del año en curso se cuenta con </w:t>
      </w:r>
      <w:r>
        <w:rPr>
          <w:rFonts w:ascii="Palatino Linotype" w:eastAsia="Palatino Linotype" w:hAnsi="Palatino Linotype" w:cs="Palatino Linotype"/>
          <w:b/>
          <w:bCs/>
          <w:i/>
          <w:iCs/>
        </w:rPr>
        <w:t>un 85% de los odómetros funcionando</w:t>
      </w:r>
      <w:r>
        <w:rPr>
          <w:rFonts w:ascii="Palatino Linotype" w:eastAsia="Palatino Linotype" w:hAnsi="Palatino Linotype" w:cs="Palatino Linotype"/>
          <w:i/>
          <w:iCs/>
        </w:rPr>
        <w:t xml:space="preserve"> correctamente. Cabe mencionar que </w:t>
      </w:r>
      <w:r>
        <w:rPr>
          <w:rFonts w:ascii="Palatino Linotype" w:eastAsia="Palatino Linotype" w:hAnsi="Palatino Linotype" w:cs="Palatino Linotype"/>
          <w:b/>
          <w:bCs/>
          <w:i/>
          <w:iCs/>
        </w:rPr>
        <w:t>la maquinaria no utiliza odómetros</w:t>
      </w:r>
      <w:r>
        <w:rPr>
          <w:rFonts w:ascii="Palatino Linotype" w:eastAsia="Palatino Linotype" w:hAnsi="Palatino Linotype" w:cs="Palatino Linotype"/>
          <w:i/>
          <w:iCs/>
        </w:rPr>
        <w:t>.</w:t>
      </w:r>
    </w:p>
    <w:p w:rsidR="008857B2" w:rsidRDefault="008857B2">
      <w:pPr>
        <w:pBdr>
          <w:top w:val="nil"/>
          <w:left w:val="nil"/>
          <w:bottom w:val="nil"/>
          <w:right w:val="nil"/>
          <w:between w:val="nil"/>
        </w:pBdr>
        <w:tabs>
          <w:tab w:val="left" w:pos="567"/>
        </w:tabs>
        <w:ind w:left="567" w:right="-787"/>
        <w:jc w:val="both"/>
        <w:rPr>
          <w:rFonts w:ascii="Palatino Linotype" w:eastAsia="Palatino Linotype" w:hAnsi="Palatino Linotype" w:cs="Palatino Linotype"/>
        </w:rPr>
      </w:pPr>
    </w:p>
    <w:p w:rsidR="008857B2" w:rsidRDefault="00794414">
      <w:pPr>
        <w:pBdr>
          <w:top w:val="nil"/>
          <w:left w:val="nil"/>
          <w:bottom w:val="nil"/>
          <w:right w:val="nil"/>
          <w:between w:val="nil"/>
        </w:pBdr>
        <w:tabs>
          <w:tab w:val="left" w:pos="567"/>
        </w:tabs>
        <w:ind w:left="567" w:right="-787"/>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7046.pdf</w:t>
      </w:r>
    </w:p>
    <w:p w:rsidR="008857B2" w:rsidRDefault="00794414">
      <w:pPr>
        <w:pBdr>
          <w:top w:val="nil"/>
          <w:left w:val="nil"/>
          <w:bottom w:val="nil"/>
          <w:right w:val="nil"/>
          <w:between w:val="nil"/>
        </w:pBdr>
        <w:tabs>
          <w:tab w:val="left" w:pos="567"/>
        </w:tabs>
        <w:ind w:left="567" w:right="-787"/>
        <w:jc w:val="both"/>
        <w:rPr>
          <w:rFonts w:ascii="Palatino Linotype" w:eastAsia="Palatino Linotype" w:hAnsi="Palatino Linotype" w:cs="Palatino Linotype"/>
        </w:rPr>
      </w:pPr>
      <w:r>
        <w:rPr>
          <w:rFonts w:ascii="Palatino Linotype" w:eastAsia="Palatino Linotype" w:hAnsi="Palatino Linotype" w:cs="Palatino Linotype"/>
        </w:rPr>
        <w:t xml:space="preserve">Oficio: 202010000/00198/2026 de fecha 26 de enero de 2026, firmado por el </w:t>
      </w:r>
      <w:r>
        <w:rPr>
          <w:rFonts w:ascii="Palatino Linotype" w:eastAsia="Palatino Linotype" w:hAnsi="Palatino Linotype" w:cs="Palatino Linotype"/>
          <w:b/>
          <w:bCs/>
        </w:rPr>
        <w:t>Tesorero Municipal</w:t>
      </w:r>
      <w:r>
        <w:rPr>
          <w:rFonts w:ascii="Palatino Linotype" w:eastAsia="Palatino Linotype" w:hAnsi="Palatino Linotype" w:cs="Palatino Linotype"/>
        </w:rPr>
        <w:t>, a través del cual refiere que esta unidad administrativa no cuenta con la información solicitada, debido a que no forma parte de nuestras atribuciones.</w:t>
      </w:r>
    </w:p>
    <w:p w:rsidR="008857B2" w:rsidRDefault="008857B2">
      <w:pPr>
        <w:pBdr>
          <w:top w:val="nil"/>
          <w:left w:val="nil"/>
          <w:bottom w:val="nil"/>
          <w:right w:val="nil"/>
          <w:between w:val="nil"/>
        </w:pBdr>
        <w:tabs>
          <w:tab w:val="left" w:pos="567"/>
        </w:tabs>
        <w:ind w:left="567" w:right="-787"/>
        <w:jc w:val="both"/>
        <w:rPr>
          <w:rFonts w:ascii="Palatino Linotype" w:eastAsia="Palatino Linotype" w:hAnsi="Palatino Linotype" w:cs="Palatino Linotype"/>
        </w:rPr>
      </w:pPr>
    </w:p>
    <w:p w:rsidR="008857B2" w:rsidRDefault="008857B2">
      <w:pPr>
        <w:pBdr>
          <w:top w:val="nil"/>
          <w:left w:val="nil"/>
          <w:bottom w:val="nil"/>
          <w:right w:val="nil"/>
          <w:between w:val="nil"/>
        </w:pBdr>
        <w:tabs>
          <w:tab w:val="left" w:pos="567"/>
        </w:tabs>
        <w:ind w:left="567" w:right="-787"/>
        <w:jc w:val="both"/>
        <w:rPr>
          <w:rFonts w:ascii="Palatino Linotype" w:eastAsia="Palatino Linotype" w:hAnsi="Palatino Linotype" w:cs="Palatino Linotype"/>
          <w:color w:val="000000"/>
        </w:rPr>
      </w:pPr>
    </w:p>
    <w:p w:rsidR="008857B2" w:rsidRDefault="00794414">
      <w:pPr>
        <w:numPr>
          <w:ilvl w:val="0"/>
          <w:numId w:val="5"/>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treinta de enero de dos mil veintiséis</w:t>
      </w:r>
      <w:r>
        <w:rPr>
          <w:rFonts w:ascii="Palatino Linotype" w:eastAsia="Palatino Linotype" w:hAnsi="Palatino Linotype" w:cs="Palatino Linotype"/>
          <w:color w:val="000000"/>
        </w:rPr>
        <w:t xml:space="preserve">, el particular interpuso el Recurso de Revisión al que se le asignó el folio </w:t>
      </w:r>
      <w:r>
        <w:rPr>
          <w:rFonts w:ascii="Palatino Linotype" w:eastAsia="Palatino Linotype" w:hAnsi="Palatino Linotype" w:cs="Palatino Linotype"/>
          <w:b/>
          <w:bCs/>
          <w:color w:val="000000"/>
        </w:rPr>
        <w:t xml:space="preserve">01208/INFOEM/IP/RR/2026, </w:t>
      </w:r>
      <w:r>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rsidR="008857B2" w:rsidRDefault="008857B2">
      <w:pPr>
        <w:pBdr>
          <w:top w:val="nil"/>
          <w:left w:val="nil"/>
          <w:bottom w:val="nil"/>
          <w:right w:val="nil"/>
          <w:between w:val="nil"/>
        </w:pBdr>
        <w:ind w:left="1571" w:right="-787"/>
        <w:jc w:val="both"/>
        <w:rPr>
          <w:rFonts w:ascii="Palatino Linotype" w:eastAsia="Palatino Linotype" w:hAnsi="Palatino Linotype" w:cs="Palatino Linotype"/>
          <w:b/>
          <w:bCs/>
          <w:color w:val="000000"/>
        </w:rPr>
      </w:pPr>
      <w:bookmarkStart w:id="1" w:name="_heading=h.30j0zll" w:colFirst="0" w:colLast="0"/>
      <w:bookmarkEnd w:id="1"/>
    </w:p>
    <w:p w:rsidR="008857B2" w:rsidRDefault="00794414">
      <w:pPr>
        <w:numPr>
          <w:ilvl w:val="0"/>
          <w:numId w:val="1"/>
        </w:numPr>
        <w:pBdr>
          <w:top w:val="nil"/>
          <w:left w:val="nil"/>
          <w:bottom w:val="nil"/>
          <w:right w:val="nil"/>
          <w:between w:val="nil"/>
        </w:pBdr>
        <w:ind w:right="-57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Ac</w:t>
      </w:r>
      <w:bookmarkStart w:id="2" w:name="_GoBack"/>
      <w:bookmarkEnd w:id="2"/>
      <w:r>
        <w:rPr>
          <w:rFonts w:ascii="Palatino Linotype" w:eastAsia="Palatino Linotype" w:hAnsi="Palatino Linotype" w:cs="Palatino Linotype"/>
          <w:b/>
          <w:bCs/>
          <w:color w:val="000000"/>
        </w:rPr>
        <w:t xml:space="preserve">to impugnado: </w:t>
      </w:r>
    </w:p>
    <w:p w:rsidR="008857B2" w:rsidRDefault="00794414">
      <w:pPr>
        <w:pBdr>
          <w:top w:val="nil"/>
          <w:left w:val="nil"/>
          <w:bottom w:val="nil"/>
          <w:right w:val="nil"/>
          <w:between w:val="nil"/>
        </w:pBdr>
        <w:ind w:left="851" w:right="-57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“NIEGAN INFORMACION SOLICITO AL INFOEM dé vista al Órgano Interno de Control del Municipio de Toluca, toda vez que la negativa de información y la falta de entrega del método de comprobación de combustible sugieren una omisión en las obligaciones de control patrimonial y financiero, contraviniendo la Ley de Responsabilidades Administrativas vigente."” (Sic)</w:t>
      </w:r>
    </w:p>
    <w:p w:rsidR="008857B2" w:rsidRDefault="008857B2">
      <w:pPr>
        <w:pBdr>
          <w:top w:val="nil"/>
          <w:left w:val="nil"/>
          <w:bottom w:val="nil"/>
          <w:right w:val="nil"/>
          <w:between w:val="nil"/>
        </w:pBdr>
        <w:ind w:left="851" w:right="-574"/>
        <w:jc w:val="both"/>
        <w:rPr>
          <w:rFonts w:ascii="Palatino Linotype" w:eastAsia="Palatino Linotype" w:hAnsi="Palatino Linotype" w:cs="Palatino Linotype"/>
          <w:i/>
          <w:iCs/>
          <w:color w:val="000000"/>
        </w:rPr>
      </w:pPr>
    </w:p>
    <w:p w:rsidR="008857B2" w:rsidRDefault="00794414">
      <w:pPr>
        <w:numPr>
          <w:ilvl w:val="0"/>
          <w:numId w:val="2"/>
        </w:numPr>
        <w:pBdr>
          <w:top w:val="nil"/>
          <w:left w:val="nil"/>
          <w:bottom w:val="nil"/>
          <w:right w:val="nil"/>
          <w:between w:val="nil"/>
        </w:pBdr>
        <w:ind w:right="-574"/>
        <w:jc w:val="both"/>
        <w:rPr>
          <w:rFonts w:ascii="Palatino Linotype" w:eastAsia="Palatino Linotype" w:hAnsi="Palatino Linotype" w:cs="Palatino Linotype"/>
          <w:b/>
          <w:bCs/>
          <w:color w:val="000000"/>
        </w:rPr>
      </w:pPr>
      <w:bookmarkStart w:id="3" w:name="_heading=h.1fob9te" w:colFirst="0" w:colLast="0"/>
      <w:bookmarkEnd w:id="3"/>
      <w:r>
        <w:rPr>
          <w:rFonts w:ascii="Palatino Linotype" w:eastAsia="Palatino Linotype" w:hAnsi="Palatino Linotype" w:cs="Palatino Linotype"/>
          <w:b/>
          <w:bCs/>
          <w:color w:val="000000"/>
        </w:rPr>
        <w:t xml:space="preserve">Razones o Motivos de inconformidad: </w:t>
      </w:r>
    </w:p>
    <w:p w:rsidR="008857B2" w:rsidRDefault="00794414">
      <w:pPr>
        <w:pBdr>
          <w:top w:val="nil"/>
          <w:left w:val="nil"/>
          <w:bottom w:val="nil"/>
          <w:right w:val="nil"/>
          <w:between w:val="nil"/>
        </w:pBdr>
        <w:ind w:left="851" w:right="-574"/>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 xml:space="preserve">“En atención a la solicitud de información PUBLICA Folio 07046/TOLUCA/IP/2025. Me permito señalar la ACEPTACIÓN IMPLÍCITA DE LA INFORMACIÓN. Al responderme que "el 85% de los odómetros funcionan", el Municipio rompió su propio argumento. Para dar un porcentaje, forzosamente tuvieron que consultar un documento (bitácora, reporte de taller o inventario). Al proporcionar un dato estadístico, esa autoridad confiesa poseer los registros documentales; por tanto, LA NEGATIVA DE ENTREGAR EL SOPORTE DE DICHO CÁLCULO ES INFUNDADA Y DOLOSA. Violación al Principio de Máxima Publicidad. De acuerdo con el Artículo 6° Constitucional, toda información en posesión de </w:t>
      </w:r>
      <w:r>
        <w:rPr>
          <w:rFonts w:ascii="Palatino Linotype" w:eastAsia="Palatino Linotype" w:hAnsi="Palatino Linotype" w:cs="Palatino Linotype"/>
          <w:i/>
          <w:iCs/>
          <w:color w:val="000000"/>
        </w:rPr>
        <w:lastRenderedPageBreak/>
        <w:t xml:space="preserve">cualquier autoridad es pública. El municipio tiene la carga de la prueba; ellos deben demostrar legalmente por qué no pueden darme el método de comprobación (punto 4 de mi solicitud), no simplemente decir que "no procede". Cabe señalar el negar información que por ley deben generar (control de combustible y vehículos) tiene consecuencias graves bajo la Ley de Responsabilidades Administrativas del Estado de México y Municipios. Por lo que solicito al INFOEM, determine que la negativa fue injustificada, y que puedan emitir una amonestación pública o imponer una multa al titular de la Unidad de Transparencia o al Director de Administración (de 150 a 1500 veces el valor de la UMA). PENDIENTE Presumo una Falta Administrativa, derivado de la negativa a informar sobre cómo se dispersa el combustible (dinero público) sugiero una falta de controles. Lo que en breve denunciare ante el Órgano Superior de Fiscalización del Estado de México (OSFEM) por posible "Desvío de Recursos" o "Abuso de Funciones", ya que no acreditaron el método "oficial" de comprobación. CABE SEÑALAR LA RESPONSABILIDAD POR OMISIÓN DE DOCUMENTAR. El Artículo 12 de la Ley de Transparencia obliga a documentar todo acto. Si mencionan que no tienen el método de comprobación, están admitiendo que operan fuera de la norma, lo cual es una falta grave. SOLICITO AL INFOEM dé vista al Órgano Interno de Control del Municipio de Toluca, toda vez que la negativa de información y la falta de entrega del método de comprobación de combustible sugieren una omisión en las obligaciones de control patrimonial y financiero, contraviniendo la Ley de Responsabilidades Administrativas vigente."” </w:t>
      </w:r>
      <w:r>
        <w:rPr>
          <w:rFonts w:ascii="Palatino Linotype" w:eastAsia="Palatino Linotype" w:hAnsi="Palatino Linotype" w:cs="Palatino Linotype"/>
          <w:color w:val="000000"/>
        </w:rPr>
        <w:t>(Sic)</w:t>
      </w:r>
    </w:p>
    <w:p w:rsidR="008857B2" w:rsidRDefault="008857B2">
      <w:pPr>
        <w:pBdr>
          <w:top w:val="nil"/>
          <w:left w:val="nil"/>
          <w:bottom w:val="nil"/>
          <w:right w:val="nil"/>
          <w:between w:val="nil"/>
        </w:pBdr>
        <w:ind w:right="-574"/>
        <w:jc w:val="both"/>
        <w:rPr>
          <w:rFonts w:ascii="Palatino Linotype" w:eastAsia="Palatino Linotype" w:hAnsi="Palatino Linotype" w:cs="Palatino Linotype"/>
          <w:color w:val="000000"/>
        </w:rPr>
      </w:pPr>
    </w:p>
    <w:p w:rsidR="008857B2" w:rsidRDefault="008857B2">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u w:val="single"/>
        </w:rPr>
      </w:pPr>
    </w:p>
    <w:p w:rsidR="008857B2" w:rsidRDefault="00794414">
      <w:pPr>
        <w:numPr>
          <w:ilvl w:val="0"/>
          <w:numId w:val="5"/>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Pr>
          <w:rFonts w:ascii="Palatino Linotype" w:eastAsia="Palatino Linotype" w:hAnsi="Palatino Linotype" w:cs="Palatino Linotype"/>
          <w:b/>
          <w:bCs/>
          <w:color w:val="000000"/>
        </w:rPr>
        <w:t xml:space="preserve">acuerdo de admisión </w:t>
      </w:r>
      <w:r>
        <w:rPr>
          <w:rFonts w:ascii="Palatino Linotype" w:eastAsia="Palatino Linotype" w:hAnsi="Palatino Linotype" w:cs="Palatino Linotype"/>
          <w:color w:val="000000"/>
        </w:rPr>
        <w:t xml:space="preserve">de fecha </w:t>
      </w:r>
      <w:r>
        <w:rPr>
          <w:rFonts w:ascii="Palatino Linotype" w:eastAsia="Palatino Linotype" w:hAnsi="Palatino Linotype" w:cs="Palatino Linotype"/>
          <w:b/>
          <w:bCs/>
          <w:color w:val="000000"/>
        </w:rPr>
        <w:t xml:space="preserve">tres de febrero de dos mil veintiséis, </w:t>
      </w:r>
      <w:r>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Pr>
          <w:rFonts w:ascii="Palatino Linotype" w:eastAsia="Palatino Linotype" w:hAnsi="Palatino Linotype" w:cs="Palatino Linotype"/>
        </w:rPr>
        <w:t>manifestara</w:t>
      </w:r>
      <w:r>
        <w:rPr>
          <w:rFonts w:ascii="Palatino Linotype" w:eastAsia="Palatino Linotype" w:hAnsi="Palatino Linotype" w:cs="Palatino Linotype"/>
          <w:color w:val="000000"/>
        </w:rPr>
        <w:t xml:space="preserve"> lo que a su derecho conviniera, </w:t>
      </w:r>
      <w:r>
        <w:rPr>
          <w:rFonts w:ascii="Palatino Linotype" w:eastAsia="Palatino Linotype" w:hAnsi="Palatino Linotype" w:cs="Palatino Linotype"/>
        </w:rPr>
        <w:t>ofreciera</w:t>
      </w:r>
      <w:r>
        <w:rPr>
          <w:rFonts w:ascii="Palatino Linotype" w:eastAsia="Palatino Linotype" w:hAnsi="Palatino Linotype" w:cs="Palatino Linotype"/>
          <w:color w:val="000000"/>
        </w:rPr>
        <w:t xml:space="preserve"> pruebas y alegatos según corresponda al caso concreto, de esta forma para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8857B2" w:rsidRDefault="008857B2">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8857B2" w:rsidRDefault="00794414">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El Recurrente dejó de realizar manifestaciones que a su derecho conviniera y asistiera. Por su parte, el Sujeto Obligado,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en fechas</w:t>
      </w:r>
      <w:r>
        <w:rPr>
          <w:rFonts w:ascii="Palatino Linotype" w:eastAsia="Palatino Linotype" w:hAnsi="Palatino Linotype" w:cs="Palatino Linotype"/>
          <w:b/>
          <w:bCs/>
          <w:color w:val="000000"/>
        </w:rPr>
        <w:t xml:space="preserve"> doce, trece y diecisiete de febrero de dos mil veintiséis </w:t>
      </w:r>
      <w:r>
        <w:rPr>
          <w:rFonts w:ascii="Palatino Linotype" w:eastAsia="Palatino Linotype" w:hAnsi="Palatino Linotype" w:cs="Palatino Linotype"/>
          <w:color w:val="000000"/>
        </w:rPr>
        <w:t xml:space="preserve">presentó </w:t>
      </w:r>
      <w:r>
        <w:rPr>
          <w:rFonts w:ascii="Palatino Linotype" w:eastAsia="Palatino Linotype" w:hAnsi="Palatino Linotype" w:cs="Palatino Linotype"/>
          <w:b/>
          <w:bCs/>
          <w:color w:val="000000"/>
        </w:rPr>
        <w:t>informe justificado</w:t>
      </w:r>
      <w:r>
        <w:rPr>
          <w:rFonts w:ascii="Palatino Linotype" w:eastAsia="Palatino Linotype" w:hAnsi="Palatino Linotype" w:cs="Palatino Linotype"/>
          <w:color w:val="000000"/>
        </w:rPr>
        <w:t xml:space="preserve"> a través de los siguientes archivos electrónicos: </w:t>
      </w:r>
    </w:p>
    <w:p w:rsidR="008857B2" w:rsidRDefault="00794414">
      <w:pPr>
        <w:pBdr>
          <w:top w:val="nil"/>
          <w:left w:val="nil"/>
          <w:bottom w:val="nil"/>
          <w:right w:val="nil"/>
          <w:between w:val="nil"/>
        </w:pBdr>
        <w:ind w:left="567" w:right="-7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Ratificación1208.pdf</w:t>
      </w:r>
    </w:p>
    <w:p w:rsidR="008857B2" w:rsidRDefault="00794414">
      <w:pPr>
        <w:pBdr>
          <w:top w:val="nil"/>
          <w:left w:val="nil"/>
          <w:bottom w:val="nil"/>
          <w:right w:val="nil"/>
          <w:between w:val="nil"/>
        </w:pBdr>
        <w:ind w:left="567" w:right="-7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Documento suscrito por el Titular de la Unidad de Transparencia a través del cual ratifica la respuesta emitida por la DIRECCIÓN GENERAL DE ADMINISTRACIÓN y la TESORERÍA MUNICIPAL.</w:t>
      </w:r>
    </w:p>
    <w:p w:rsidR="008857B2" w:rsidRDefault="008857B2">
      <w:pPr>
        <w:pBdr>
          <w:top w:val="nil"/>
          <w:left w:val="nil"/>
          <w:bottom w:val="nil"/>
          <w:right w:val="nil"/>
          <w:between w:val="nil"/>
        </w:pBdr>
        <w:ind w:left="567" w:right="-79"/>
        <w:jc w:val="both"/>
        <w:rPr>
          <w:rFonts w:ascii="Palatino Linotype" w:eastAsia="Palatino Linotype" w:hAnsi="Palatino Linotype" w:cs="Palatino Linotype"/>
          <w:b/>
          <w:bCs/>
          <w:i/>
          <w:iCs/>
          <w:color w:val="000000"/>
        </w:rPr>
      </w:pPr>
    </w:p>
    <w:p w:rsidR="008857B2" w:rsidRDefault="00794414">
      <w:pPr>
        <w:pBdr>
          <w:top w:val="nil"/>
          <w:left w:val="nil"/>
          <w:bottom w:val="nil"/>
          <w:right w:val="nil"/>
          <w:between w:val="nil"/>
        </w:pBdr>
        <w:ind w:left="567" w:right="-7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1208-2026-DGA.pdf</w:t>
      </w:r>
    </w:p>
    <w:p w:rsidR="008857B2" w:rsidRDefault="00794414">
      <w:pPr>
        <w:pBdr>
          <w:top w:val="nil"/>
          <w:left w:val="nil"/>
          <w:bottom w:val="nil"/>
          <w:right w:val="nil"/>
          <w:between w:val="nil"/>
        </w:pBdr>
        <w:ind w:left="567" w:right="-7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Número de Oficio: 206010000/997/2026 de fecha 10 de febrero de 2026, firmado por la </w:t>
      </w:r>
      <w:r>
        <w:rPr>
          <w:rFonts w:ascii="Palatino Linotype" w:eastAsia="Palatino Linotype" w:hAnsi="Palatino Linotype" w:cs="Palatino Linotype"/>
          <w:b/>
          <w:bCs/>
          <w:color w:val="000000"/>
        </w:rPr>
        <w:t>Directora de Administración</w:t>
      </w:r>
      <w:r>
        <w:rPr>
          <w:rFonts w:ascii="Palatino Linotype" w:eastAsia="Palatino Linotype" w:hAnsi="Palatino Linotype" w:cs="Palatino Linotype"/>
          <w:color w:val="000000"/>
        </w:rPr>
        <w:t xml:space="preserve">, a través del cual </w:t>
      </w:r>
      <w:r>
        <w:rPr>
          <w:rFonts w:ascii="Palatino Linotype" w:eastAsia="Palatino Linotype" w:hAnsi="Palatino Linotype" w:cs="Palatino Linotype"/>
          <w:b/>
          <w:bCs/>
          <w:color w:val="000000"/>
        </w:rPr>
        <w:t>ratifica su respuesta</w:t>
      </w:r>
      <w:r>
        <w:rPr>
          <w:rFonts w:ascii="Palatino Linotype" w:eastAsia="Palatino Linotype" w:hAnsi="Palatino Linotype" w:cs="Palatino Linotype"/>
          <w:color w:val="000000"/>
        </w:rPr>
        <w:t xml:space="preserve"> inicial.</w:t>
      </w:r>
    </w:p>
    <w:p w:rsidR="008857B2" w:rsidRDefault="008857B2">
      <w:pPr>
        <w:pBdr>
          <w:top w:val="nil"/>
          <w:left w:val="nil"/>
          <w:bottom w:val="nil"/>
          <w:right w:val="nil"/>
          <w:between w:val="nil"/>
        </w:pBdr>
        <w:ind w:left="567" w:right="-79"/>
        <w:jc w:val="both"/>
        <w:rPr>
          <w:rFonts w:ascii="Palatino Linotype" w:eastAsia="Palatino Linotype" w:hAnsi="Palatino Linotype" w:cs="Palatino Linotype"/>
          <w:color w:val="000000"/>
        </w:rPr>
      </w:pPr>
    </w:p>
    <w:p w:rsidR="008857B2" w:rsidRDefault="00794414">
      <w:pPr>
        <w:pBdr>
          <w:top w:val="nil"/>
          <w:left w:val="nil"/>
          <w:bottom w:val="nil"/>
          <w:right w:val="nil"/>
          <w:between w:val="nil"/>
        </w:pBdr>
        <w:ind w:left="567" w:right="-7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1208-ANEXOS-2026-DGA.pdf</w:t>
      </w:r>
    </w:p>
    <w:p w:rsidR="008857B2" w:rsidRDefault="00794414">
      <w:pPr>
        <w:pBdr>
          <w:top w:val="nil"/>
          <w:left w:val="nil"/>
          <w:bottom w:val="nil"/>
          <w:right w:val="nil"/>
          <w:between w:val="nil"/>
        </w:pBdr>
        <w:ind w:left="567" w:right="-7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Mismo documento referido anteriormente.</w:t>
      </w:r>
    </w:p>
    <w:p w:rsidR="008857B2" w:rsidRDefault="008857B2">
      <w:pPr>
        <w:pBdr>
          <w:top w:val="nil"/>
          <w:left w:val="nil"/>
          <w:bottom w:val="nil"/>
          <w:right w:val="nil"/>
          <w:between w:val="nil"/>
        </w:pBdr>
        <w:ind w:right="-79"/>
        <w:jc w:val="both"/>
        <w:rPr>
          <w:rFonts w:ascii="Palatino Linotype" w:eastAsia="Palatino Linotype" w:hAnsi="Palatino Linotype" w:cs="Palatino Linotype"/>
          <w:color w:val="000000"/>
        </w:rPr>
      </w:pPr>
    </w:p>
    <w:p w:rsidR="008857B2" w:rsidRDefault="00794414">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En fecha</w:t>
      </w:r>
      <w:r>
        <w:rPr>
          <w:rFonts w:ascii="Palatino Linotype" w:eastAsia="Palatino Linotype" w:hAnsi="Palatino Linotype" w:cs="Palatino Linotype"/>
          <w:b/>
          <w:bCs/>
          <w:color w:val="000000"/>
        </w:rPr>
        <w:t xml:space="preserve"> diecinueve de marzo de dos mil veintiséis</w:t>
      </w:r>
      <w:r>
        <w:rPr>
          <w:rFonts w:ascii="Palatino Linotype" w:eastAsia="Palatino Linotype" w:hAnsi="Palatino Linotype" w:cs="Palatino Linotype"/>
          <w:color w:val="000000"/>
        </w:rPr>
        <w:t xml:space="preserve">, se acordó ampliar el </w:t>
      </w:r>
      <w:r>
        <w:rPr>
          <w:rFonts w:ascii="Palatino Linotype" w:eastAsia="Palatino Linotype" w:hAnsi="Palatino Linotype" w:cs="Palatino Linotype"/>
        </w:rPr>
        <w:t>plazo</w:t>
      </w:r>
      <w:r>
        <w:rPr>
          <w:rFonts w:ascii="Palatino Linotype" w:eastAsia="Palatino Linotype" w:hAnsi="Palatino Linotype" w:cs="Palatino Linotype"/>
          <w:color w:val="000000"/>
        </w:rPr>
        <w:t xml:space="preserve"> para resolver el presente Recurso de Revisión.</w:t>
      </w:r>
    </w:p>
    <w:p w:rsidR="008857B2" w:rsidRDefault="008857B2">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8857B2" w:rsidRDefault="00794414">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4" w:name="_heading=h.3znysh7" w:colFirst="0" w:colLast="0"/>
      <w:bookmarkEnd w:id="4"/>
      <w:r>
        <w:rPr>
          <w:rFonts w:ascii="Palatino Linotype" w:eastAsia="Palatino Linotype" w:hAnsi="Palatino Linotype" w:cs="Palatino Linotype"/>
          <w:color w:val="000000"/>
        </w:rPr>
        <w:t xml:space="preserve">Seguidamente, en fecha </w:t>
      </w:r>
      <w:r>
        <w:rPr>
          <w:rFonts w:ascii="Palatino Linotype" w:eastAsia="Palatino Linotype" w:hAnsi="Palatino Linotype" w:cs="Palatino Linotype"/>
          <w:b/>
          <w:bCs/>
          <w:color w:val="000000"/>
        </w:rPr>
        <w:t>veintiocho de mayo de dos mil veintiséis</w:t>
      </w:r>
      <w:r>
        <w:rPr>
          <w:rFonts w:ascii="Palatino Linotype" w:eastAsia="Palatino Linotype" w:hAnsi="Palatino Linotype" w:cs="Palatino Linotype"/>
          <w:color w:val="000000"/>
        </w:rPr>
        <w:t xml:space="preserve">, la Comisionada Ponente dictó el </w:t>
      </w:r>
      <w:r>
        <w:rPr>
          <w:rFonts w:ascii="Palatino Linotype" w:eastAsia="Palatino Linotype" w:hAnsi="Palatino Linotype" w:cs="Palatino Linotype"/>
          <w:b/>
          <w:bCs/>
          <w:color w:val="000000"/>
        </w:rPr>
        <w:t>cierre del periodo de instrucción</w:t>
      </w:r>
      <w:r>
        <w:rPr>
          <w:rFonts w:ascii="Palatino Linotype" w:eastAsia="Palatino Linotype" w:hAnsi="Palatino Linotype" w:cs="Palatino Linotype"/>
          <w:color w:val="000000"/>
        </w:rPr>
        <w:t xml:space="preserve"> y, ordenó la resolución que conforme a Derecho proceda:</w:t>
      </w:r>
    </w:p>
    <w:p w:rsidR="008857B2" w:rsidRDefault="008857B2">
      <w:pPr>
        <w:pBdr>
          <w:top w:val="nil"/>
          <w:left w:val="nil"/>
          <w:bottom w:val="nil"/>
          <w:right w:val="nil"/>
          <w:between w:val="nil"/>
        </w:pBdr>
        <w:ind w:left="720" w:right="-787"/>
        <w:rPr>
          <w:rFonts w:ascii="Palatino Linotype" w:eastAsia="Palatino Linotype" w:hAnsi="Palatino Linotype" w:cs="Palatino Linotype"/>
          <w:b/>
          <w:bCs/>
          <w:color w:val="000000"/>
        </w:rPr>
      </w:pPr>
    </w:p>
    <w:p w:rsidR="008857B2" w:rsidRDefault="00794414">
      <w:pPr>
        <w:keepNext/>
        <w:keepLines/>
        <w:spacing w:line="360" w:lineRule="auto"/>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C O N S I D E R A N D O </w:t>
      </w:r>
    </w:p>
    <w:p w:rsidR="008857B2" w:rsidRDefault="008857B2">
      <w:pPr>
        <w:spacing w:line="360" w:lineRule="auto"/>
        <w:rPr>
          <w:rFonts w:ascii="Palatino Linotype" w:eastAsia="Palatino Linotype" w:hAnsi="Palatino Linotype" w:cs="Palatino Linotype"/>
        </w:rPr>
      </w:pPr>
    </w:p>
    <w:p w:rsidR="008857B2" w:rsidRDefault="00794414">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PRIMERO. De la competencia</w:t>
      </w:r>
    </w:p>
    <w:p w:rsidR="008857B2" w:rsidRDefault="00794414">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Este Instituto </w:t>
      </w:r>
      <w:r>
        <w:rPr>
          <w:rFonts w:ascii="Palatino Linotype" w:eastAsia="Palatino Linotype" w:hAnsi="Palatino Linotype" w:cs="Palatino Linotype"/>
        </w:rPr>
        <w:t>de</w:t>
      </w:r>
      <w:r>
        <w:rPr>
          <w:rFonts w:ascii="Palatino Linotype" w:eastAsia="Palatino Linotype" w:hAnsi="Palatino Linotype" w:cs="Palatino Linotype"/>
          <w:color w:val="000000"/>
        </w:rPr>
        <w:t xml:space="preserv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w:t>
      </w:r>
      <w:r>
        <w:rPr>
          <w:rFonts w:ascii="Palatino Linotype" w:eastAsia="Palatino Linotype" w:hAnsi="Palatino Linotype" w:cs="Palatino Linotype"/>
          <w:color w:val="000000"/>
        </w:rPr>
        <w:lastRenderedPageBreak/>
        <w:t>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8857B2" w:rsidRDefault="008857B2">
      <w:pPr>
        <w:tabs>
          <w:tab w:val="left" w:pos="426"/>
        </w:tabs>
        <w:spacing w:line="360" w:lineRule="auto"/>
        <w:jc w:val="both"/>
        <w:rPr>
          <w:rFonts w:ascii="Palatino Linotype" w:eastAsia="Palatino Linotype" w:hAnsi="Palatino Linotype" w:cs="Palatino Linotype"/>
          <w:color w:val="000000"/>
        </w:rPr>
      </w:pPr>
    </w:p>
    <w:p w:rsidR="008857B2" w:rsidRDefault="00794414">
      <w:pPr>
        <w:keepNext/>
        <w:keepLines/>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SEGUNDO. De la oportunidad y procedencia.</w:t>
      </w:r>
    </w:p>
    <w:p w:rsidR="008857B2" w:rsidRDefault="00794414">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bookmarkStart w:id="5" w:name="_heading=h.2et92p0" w:colFirst="0" w:colLast="0"/>
      <w:bookmarkEnd w:id="5"/>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w:t>
      </w:r>
      <w:r>
        <w:rPr>
          <w:rFonts w:ascii="Palatino Linotype" w:eastAsia="Palatino Linotype" w:hAnsi="Palatino Linotype" w:cs="Palatino Linotype"/>
          <w:b/>
          <w:bCs/>
        </w:rPr>
        <w:t>veintiocho de enero de dos mil veintiséis</w:t>
      </w:r>
      <w:r>
        <w:rPr>
          <w:rFonts w:ascii="Palatino Linotype" w:eastAsia="Palatino Linotype" w:hAnsi="Palatino Linotype" w:cs="Palatino Linotype"/>
        </w:rPr>
        <w:t xml:space="preserve">, de tal forma que el plazo para interponer el recurso transcurrió del </w:t>
      </w:r>
      <w:r>
        <w:rPr>
          <w:rFonts w:ascii="Palatino Linotype" w:eastAsia="Palatino Linotype" w:hAnsi="Palatino Linotype" w:cs="Palatino Linotype"/>
          <w:b/>
          <w:bCs/>
        </w:rPr>
        <w:t xml:space="preserve">veintinueve de enero al diecinueve de febrero de dos mil veintiséis , </w:t>
      </w:r>
      <w:r>
        <w:rPr>
          <w:rFonts w:ascii="Palatino Linotype" w:eastAsia="Palatino Linotype" w:hAnsi="Palatino Linotype" w:cs="Palatino Linotype"/>
        </w:rPr>
        <w:t xml:space="preserve">en consecuencia, si el </w:t>
      </w:r>
      <w:r>
        <w:rPr>
          <w:rFonts w:ascii="Palatino Linotype" w:eastAsia="Palatino Linotype" w:hAnsi="Palatino Linotype" w:cs="Palatino Linotype"/>
          <w:b/>
          <w:bCs/>
        </w:rPr>
        <w:t>PARTICULAR</w:t>
      </w:r>
      <w:r>
        <w:rPr>
          <w:rFonts w:ascii="Palatino Linotype" w:eastAsia="Palatino Linotype" w:hAnsi="Palatino Linotype" w:cs="Palatino Linotype"/>
        </w:rPr>
        <w:t xml:space="preserve"> presentó su inconformidad el </w:t>
      </w:r>
      <w:r>
        <w:rPr>
          <w:rFonts w:ascii="Palatino Linotype" w:eastAsia="Palatino Linotype" w:hAnsi="Palatino Linotype" w:cs="Palatino Linotype"/>
          <w:b/>
          <w:bCs/>
        </w:rPr>
        <w:t>treinta de enero de dos mil veintiséis</w:t>
      </w:r>
      <w:r>
        <w:rPr>
          <w:rFonts w:ascii="Palatino Linotype" w:eastAsia="Palatino Linotype" w:hAnsi="Palatino Linotype" w:cs="Palatino Linotype"/>
        </w:rPr>
        <w:t xml:space="preserve">, este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vigente. </w:t>
      </w:r>
    </w:p>
    <w:p w:rsidR="008857B2" w:rsidRDefault="008857B2">
      <w:pPr>
        <w:spacing w:line="360" w:lineRule="auto"/>
        <w:ind w:right="49"/>
        <w:jc w:val="both"/>
        <w:rPr>
          <w:rFonts w:ascii="Palatino Linotype" w:eastAsia="Palatino Linotype" w:hAnsi="Palatino Linotype" w:cs="Palatino Linotype"/>
        </w:rPr>
      </w:pPr>
    </w:p>
    <w:p w:rsidR="008857B2" w:rsidRDefault="00794414">
      <w:pPr>
        <w:pStyle w:val="Ttulo2"/>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color w:val="000000"/>
          <w:sz w:val="24"/>
          <w:szCs w:val="24"/>
        </w:rPr>
        <w:t xml:space="preserve">TERCERO. Del planteamiento de la </w:t>
      </w:r>
      <w:r>
        <w:rPr>
          <w:rFonts w:ascii="Palatino Linotype" w:eastAsia="Palatino Linotype" w:hAnsi="Palatino Linotype" w:cs="Palatino Linotype"/>
          <w:b/>
          <w:bCs/>
          <w:i/>
          <w:iCs/>
          <w:color w:val="000000"/>
          <w:sz w:val="24"/>
          <w:szCs w:val="24"/>
        </w:rPr>
        <w:t>Litis.</w:t>
      </w:r>
    </w:p>
    <w:p w:rsidR="008857B2" w:rsidRDefault="00794414">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Se</w:t>
      </w:r>
      <w:r>
        <w:rPr>
          <w:rFonts w:ascii="Palatino Linotype" w:eastAsia="Palatino Linotype" w:hAnsi="Palatino Linotype" w:cs="Palatino Linotype"/>
          <w:color w:val="000000"/>
        </w:rPr>
        <w:t xml:space="preserve"> solicitó tener acceso, a la información que a continuación se simplifica:</w:t>
      </w:r>
    </w:p>
    <w:p w:rsidR="008857B2" w:rsidRDefault="00794414">
      <w:pPr>
        <w:numPr>
          <w:ilvl w:val="0"/>
          <w:numId w:val="9"/>
        </w:numPr>
        <w:pBdr>
          <w:top w:val="nil"/>
          <w:left w:val="nil"/>
          <w:bottom w:val="nil"/>
          <w:right w:val="nil"/>
          <w:between w:val="nil"/>
        </w:pBdr>
        <w:ind w:right="-14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¿Cuantos odómetros o cuenta kilómetros funcionan y cuantos no funcionan de las 974 unidades vehiculares o maquinaria? del mes de enero al mes de noviembre del ejercicio 2025 </w:t>
      </w:r>
    </w:p>
    <w:p w:rsidR="008857B2" w:rsidRDefault="00794414">
      <w:pPr>
        <w:numPr>
          <w:ilvl w:val="0"/>
          <w:numId w:val="9"/>
        </w:numPr>
        <w:pBdr>
          <w:top w:val="nil"/>
          <w:left w:val="nil"/>
          <w:bottom w:val="nil"/>
          <w:right w:val="nil"/>
          <w:between w:val="nil"/>
        </w:pBdr>
        <w:ind w:right="-14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caso de que no funcione alguno, fundamento legal o acuerdo de cabildo, que autorice la dispersión de combustible.</w:t>
      </w:r>
    </w:p>
    <w:p w:rsidR="008857B2" w:rsidRDefault="00794414">
      <w:pPr>
        <w:numPr>
          <w:ilvl w:val="0"/>
          <w:numId w:val="9"/>
        </w:numPr>
        <w:pBdr>
          <w:top w:val="nil"/>
          <w:left w:val="nil"/>
          <w:bottom w:val="nil"/>
          <w:right w:val="nil"/>
          <w:between w:val="nil"/>
        </w:pBdr>
        <w:ind w:right="-14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Cuál es el método de comprobación “oficial” </w:t>
      </w:r>
    </w:p>
    <w:p w:rsidR="008857B2" w:rsidRDefault="008857B2">
      <w:pPr>
        <w:pBdr>
          <w:top w:val="nil"/>
          <w:left w:val="nil"/>
          <w:bottom w:val="nil"/>
          <w:right w:val="nil"/>
          <w:between w:val="nil"/>
        </w:pBdr>
        <w:ind w:left="720" w:right="-788"/>
        <w:jc w:val="both"/>
        <w:rPr>
          <w:rFonts w:ascii="Palatino Linotype" w:eastAsia="Palatino Linotype" w:hAnsi="Palatino Linotype" w:cs="Palatino Linotype"/>
          <w:color w:val="000000"/>
        </w:rPr>
      </w:pPr>
    </w:p>
    <w:p w:rsidR="008857B2" w:rsidRDefault="00794414">
      <w:pPr>
        <w:numPr>
          <w:ilvl w:val="0"/>
          <w:numId w:val="5"/>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lastRenderedPageBreak/>
        <w:t>En respuesta, el Sujeto Obligado</w:t>
      </w:r>
      <w:r>
        <w:rPr>
          <w:rFonts w:ascii="Palatino Linotype" w:eastAsia="Palatino Linotype" w:hAnsi="Palatino Linotype" w:cs="Palatino Linotype"/>
          <w:b/>
          <w:bCs/>
        </w:rPr>
        <w:t xml:space="preserve"> </w:t>
      </w:r>
      <w:r>
        <w:rPr>
          <w:rFonts w:ascii="Palatino Linotype" w:eastAsia="Palatino Linotype" w:hAnsi="Palatino Linotype" w:cs="Palatino Linotype"/>
        </w:rPr>
        <w:t>remitió el archivo ya descrito en el párrafo 3, inconforme con la respuesta, se interpuso recurso de revisión argumentando sustancialmente la negativa de la información solicitada.</w:t>
      </w:r>
    </w:p>
    <w:p w:rsidR="008857B2" w:rsidRDefault="008857B2">
      <w:pPr>
        <w:ind w:left="720" w:right="-788"/>
        <w:jc w:val="both"/>
        <w:rPr>
          <w:rFonts w:ascii="Palatino Linotype" w:eastAsia="Palatino Linotype" w:hAnsi="Palatino Linotype" w:cs="Palatino Linotype"/>
          <w:i/>
          <w:iCs/>
          <w:color w:val="000000"/>
        </w:rPr>
      </w:pPr>
    </w:p>
    <w:p w:rsidR="008857B2" w:rsidRDefault="00794414">
      <w:pPr>
        <w:numPr>
          <w:ilvl w:val="0"/>
          <w:numId w:val="5"/>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Pr>
          <w:rFonts w:ascii="Palatino Linotype" w:eastAsia="Palatino Linotype" w:hAnsi="Palatino Linotype" w:cs="Palatino Linotype"/>
          <w:b/>
          <w:bCs/>
        </w:rPr>
        <w:t>artículo 179, fracción I, de la Ley de Transparencia y Acceso a la Información Pública del Estado de México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fracción que determina la </w:t>
      </w:r>
      <w:r>
        <w:rPr>
          <w:rFonts w:ascii="Palatino Linotype" w:eastAsia="Palatino Linotype" w:hAnsi="Palatino Linotype" w:cs="Palatino Linotype"/>
          <w:b/>
          <w:bCs/>
          <w:color w:val="000000"/>
        </w:rPr>
        <w:t>hipótesis relativa a la negativa a la información solicitada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contexto del cual se dolió el Recurrente al momento de interponer su inconformidad.</w:t>
      </w:r>
      <w:r>
        <w:rPr>
          <w:rFonts w:ascii="Palatino Linotype" w:eastAsia="Palatino Linotype" w:hAnsi="Palatino Linotype" w:cs="Palatino Linotype"/>
          <w:color w:val="000000"/>
        </w:rPr>
        <w:t xml:space="preserve"> De modo tal que el presente recurso de revisión se </w:t>
      </w:r>
      <w:r>
        <w:rPr>
          <w:rFonts w:ascii="Palatino Linotype" w:eastAsia="Palatino Linotype" w:hAnsi="Palatino Linotype" w:cs="Palatino Linotype"/>
        </w:rPr>
        <w:t>abocará</w:t>
      </w:r>
      <w:r>
        <w:rPr>
          <w:rFonts w:ascii="Palatino Linotype" w:eastAsia="Palatino Linotype" w:hAnsi="Palatino Linotype" w:cs="Palatino Linotype"/>
          <w:color w:val="000000"/>
        </w:rPr>
        <w:t xml:space="preserve"> en determinar si el Sujeto Obligado con sus respuestas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señalada. </w:t>
      </w:r>
    </w:p>
    <w:p w:rsidR="008857B2" w:rsidRDefault="008857B2">
      <w:pPr>
        <w:spacing w:line="360" w:lineRule="auto"/>
        <w:ind w:right="-787"/>
        <w:rPr>
          <w:rFonts w:ascii="Palatino Linotype" w:eastAsia="Palatino Linotype" w:hAnsi="Palatino Linotype" w:cs="Palatino Linotype"/>
        </w:rPr>
      </w:pPr>
    </w:p>
    <w:p w:rsidR="008857B2" w:rsidRDefault="00794414">
      <w:pPr>
        <w:pStyle w:val="Ttulo2"/>
        <w:rPr>
          <w:rFonts w:ascii="Palatino Linotype" w:eastAsia="Palatino Linotype" w:hAnsi="Palatino Linotype" w:cs="Palatino Linotype"/>
          <w:b/>
          <w:bCs/>
          <w:color w:val="000000"/>
          <w:sz w:val="24"/>
          <w:szCs w:val="24"/>
        </w:rPr>
      </w:pPr>
      <w:bookmarkStart w:id="6" w:name="_heading=h.1t3h5sf" w:colFirst="0" w:colLast="0"/>
      <w:bookmarkEnd w:id="6"/>
      <w:r>
        <w:rPr>
          <w:rFonts w:ascii="Palatino Linotype" w:eastAsia="Palatino Linotype" w:hAnsi="Palatino Linotype" w:cs="Palatino Linotype"/>
          <w:b/>
          <w:bCs/>
          <w:color w:val="000000"/>
          <w:sz w:val="24"/>
          <w:szCs w:val="24"/>
        </w:rPr>
        <w:t>CUARTO. Del estudio y resolución del asunto.</w:t>
      </w:r>
    </w:p>
    <w:p w:rsidR="008857B2" w:rsidRDefault="00794414">
      <w:pPr>
        <w:numPr>
          <w:ilvl w:val="0"/>
          <w:numId w:val="5"/>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8857B2" w:rsidRDefault="008857B2">
      <w:pPr>
        <w:spacing w:line="360" w:lineRule="auto"/>
        <w:ind w:right="-787"/>
        <w:jc w:val="both"/>
        <w:rPr>
          <w:rFonts w:ascii="Palatino Linotype" w:eastAsia="Palatino Linotype" w:hAnsi="Palatino Linotype" w:cs="Palatino Linotype"/>
        </w:rPr>
      </w:pPr>
    </w:p>
    <w:p w:rsidR="008857B2" w:rsidRDefault="00794414">
      <w:pPr>
        <w:numPr>
          <w:ilvl w:val="0"/>
          <w:numId w:val="5"/>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Asimismo, es relevante mencionar que el artículo 19, del ordenamiento local de la materia señala que se presume que la información debe existir si se refiere a las facultades, </w:t>
      </w:r>
      <w:r>
        <w:rPr>
          <w:rFonts w:ascii="Palatino Linotype" w:eastAsia="Palatino Linotype" w:hAnsi="Palatino Linotype" w:cs="Palatino Linotype"/>
        </w:rPr>
        <w:lastRenderedPageBreak/>
        <w:t>competencias y funciones que los ordenamientos jurídicos aplicables otorgan a los sujetos obligados y en caso de que dichas facultades no se hayan ejercido, se deberá motivar la respuesta en función de las causas que motivaron tal circunstancia.</w:t>
      </w:r>
    </w:p>
    <w:p w:rsidR="008857B2" w:rsidRDefault="008857B2">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8857B2" w:rsidRDefault="00794414">
      <w:pPr>
        <w:numPr>
          <w:ilvl w:val="0"/>
          <w:numId w:val="5"/>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8857B2" w:rsidRDefault="008857B2">
      <w:pPr>
        <w:spacing w:line="360" w:lineRule="auto"/>
        <w:ind w:right="-787"/>
        <w:jc w:val="both"/>
        <w:rPr>
          <w:rFonts w:ascii="Palatino Linotype" w:eastAsia="Palatino Linotype" w:hAnsi="Palatino Linotype" w:cs="Palatino Linotype"/>
        </w:rPr>
      </w:pPr>
    </w:p>
    <w:p w:rsidR="008857B2" w:rsidRDefault="00794414">
      <w:pPr>
        <w:numPr>
          <w:ilvl w:val="0"/>
          <w:numId w:val="6"/>
        </w:numPr>
        <w:pBdr>
          <w:top w:val="nil"/>
          <w:left w:val="nil"/>
          <w:bottom w:val="nil"/>
          <w:right w:val="nil"/>
          <w:between w:val="nil"/>
        </w:pBdr>
        <w:spacing w:line="360" w:lineRule="auto"/>
        <w:ind w:right="-787"/>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Del Sujeto Obligado.</w:t>
      </w:r>
    </w:p>
    <w:p w:rsidR="008857B2" w:rsidRDefault="00794414">
      <w:pPr>
        <w:numPr>
          <w:ilvl w:val="0"/>
          <w:numId w:val="5"/>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El ejercicio del gobierno municipal se deposita en un cuerpo colegiado denominado Ayuntamiento. La ejecución de las atribuciones corresponde al Presidente Municipal, quien dirige la Administración Pública Municipal, misma que será centralizada, descentralizada y autónoma, dentro de sus dependencias se encuentra la Dirección General de Administración,  de conformidad con el artículo 90, fracción I, numeral 10, del Bando Municipal 2025:</w:t>
      </w:r>
    </w:p>
    <w:p w:rsidR="008857B2" w:rsidRDefault="00794414">
      <w:pPr>
        <w:ind w:left="1134" w:right="-220"/>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Bando Municipal 2025</w:t>
      </w:r>
    </w:p>
    <w:p w:rsidR="008857B2" w:rsidRDefault="008857B2">
      <w:pPr>
        <w:ind w:left="1134" w:right="-220"/>
        <w:jc w:val="center"/>
        <w:rPr>
          <w:rFonts w:ascii="Palatino Linotype" w:eastAsia="Palatino Linotype" w:hAnsi="Palatino Linotype" w:cs="Palatino Linotype"/>
          <w:b/>
          <w:bCs/>
          <w:i/>
          <w:iCs/>
        </w:rPr>
      </w:pPr>
    </w:p>
    <w:p w:rsidR="008857B2" w:rsidRDefault="00794414">
      <w:pPr>
        <w:ind w:left="1134" w:right="-78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90. </w:t>
      </w:r>
      <w:r>
        <w:rPr>
          <w:rFonts w:ascii="Palatino Linotype" w:eastAsia="Palatino Linotype" w:hAnsi="Palatino Linotype" w:cs="Palatino Linotype"/>
          <w:i/>
          <w:iCs/>
        </w:rPr>
        <w:t xml:space="preserve">Para la consulta, estudio, planeación, gestión y ejecución en los diferentes ámbitos de aplicación de la Administración Pública Municipal, la o el Presidente Municipal </w:t>
      </w:r>
      <w:r>
        <w:rPr>
          <w:rFonts w:ascii="Palatino Linotype" w:eastAsia="Palatino Linotype" w:hAnsi="Palatino Linotype" w:cs="Palatino Linotype"/>
          <w:i/>
          <w:iCs/>
        </w:rPr>
        <w:lastRenderedPageBreak/>
        <w:t>se regirá por la Constitución Política de los Estados Unidos Mexicanos, la Constitución Política del Estado Libre y Soberano de México, la Ley Orgánica Municipal, el presente Bando y demás disposiciones aplicables, y se auxiliará de las siguientes:</w:t>
      </w:r>
    </w:p>
    <w:p w:rsidR="008857B2" w:rsidRDefault="008857B2">
      <w:pPr>
        <w:ind w:left="1134" w:right="-788"/>
        <w:jc w:val="both"/>
        <w:rPr>
          <w:rFonts w:ascii="Palatino Linotype" w:eastAsia="Palatino Linotype" w:hAnsi="Palatino Linotype" w:cs="Palatino Linotype"/>
          <w:i/>
          <w:iCs/>
        </w:rPr>
      </w:pPr>
    </w:p>
    <w:p w:rsidR="008857B2" w:rsidRDefault="00794414">
      <w:pPr>
        <w:ind w:left="1134" w:right="-78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I. DEPENDENCIAS: </w:t>
      </w:r>
    </w:p>
    <w:p w:rsidR="008857B2" w:rsidRDefault="00794414">
      <w:pPr>
        <w:ind w:left="1134"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 Secretaría del Ayuntamiento; </w:t>
      </w:r>
    </w:p>
    <w:p w:rsidR="008857B2" w:rsidRDefault="00794414">
      <w:pPr>
        <w:ind w:left="1134"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2. Tesorería Municipal; </w:t>
      </w:r>
    </w:p>
    <w:p w:rsidR="008857B2" w:rsidRDefault="00794414">
      <w:pPr>
        <w:ind w:left="1134"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3. Órgano Interno de Control; </w:t>
      </w:r>
    </w:p>
    <w:p w:rsidR="008857B2" w:rsidRDefault="00794414">
      <w:pPr>
        <w:ind w:left="1134"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4. Dirección General de Gobierno; </w:t>
      </w:r>
    </w:p>
    <w:p w:rsidR="008857B2" w:rsidRDefault="00794414">
      <w:pPr>
        <w:ind w:left="1134"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5. Dirección General de Seguridad y Protección; </w:t>
      </w:r>
    </w:p>
    <w:p w:rsidR="008857B2" w:rsidRDefault="00794414">
      <w:pPr>
        <w:ind w:left="1134" w:right="-788"/>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6. Dirección General de Administración; </w:t>
      </w:r>
    </w:p>
    <w:p w:rsidR="008857B2" w:rsidRDefault="00794414">
      <w:pPr>
        <w:ind w:left="1134"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7. Dirección General de Medio Ambiente; </w:t>
      </w:r>
    </w:p>
    <w:p w:rsidR="008857B2" w:rsidRDefault="00794414">
      <w:pPr>
        <w:ind w:left="1134"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8. Dirección General de Servicios Públicos; </w:t>
      </w:r>
    </w:p>
    <w:p w:rsidR="008857B2" w:rsidRDefault="00794414">
      <w:pPr>
        <w:ind w:left="1134"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9. Dirección General de Innovación, Planeación y Gestión Urbana; </w:t>
      </w:r>
    </w:p>
    <w:p w:rsidR="008857B2" w:rsidRDefault="00794414">
      <w:pPr>
        <w:ind w:left="1134"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10. Dirección General de Obras Públicas; </w:t>
      </w:r>
    </w:p>
    <w:p w:rsidR="008857B2" w:rsidRDefault="00794414">
      <w:pPr>
        <w:ind w:left="1134" w:right="-788"/>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11. Dirección General de Desarrollo Económico; </w:t>
      </w:r>
    </w:p>
    <w:p w:rsidR="008857B2" w:rsidRDefault="00794414">
      <w:pPr>
        <w:ind w:left="1134" w:right="-788"/>
        <w:jc w:val="both"/>
        <w:rPr>
          <w:rFonts w:ascii="Palatino Linotype" w:eastAsia="Palatino Linotype" w:hAnsi="Palatino Linotype" w:cs="Palatino Linotype"/>
          <w:i/>
          <w:iCs/>
        </w:rPr>
      </w:pPr>
      <w:r>
        <w:rPr>
          <w:rFonts w:ascii="Palatino Linotype" w:eastAsia="Palatino Linotype" w:hAnsi="Palatino Linotype" w:cs="Palatino Linotype"/>
          <w:i/>
          <w:iCs/>
        </w:rPr>
        <w:t>12. Dirección General de Bienestar; y 13.Dirección General de Educación, Cultura y Turismo.</w:t>
      </w:r>
    </w:p>
    <w:p w:rsidR="008857B2" w:rsidRDefault="008857B2">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8857B2" w:rsidRDefault="00794414">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w:t>
      </w:r>
      <w:r>
        <w:rPr>
          <w:rFonts w:ascii="Palatino Linotype" w:eastAsia="Palatino Linotype" w:hAnsi="Palatino Linotype" w:cs="Palatino Linotype"/>
          <w:b/>
          <w:bCs/>
          <w:color w:val="000000"/>
        </w:rPr>
        <w:t>Dirección General de Administración</w:t>
      </w:r>
      <w:r>
        <w:rPr>
          <w:rFonts w:ascii="Palatino Linotype" w:eastAsia="Palatino Linotype" w:hAnsi="Palatino Linotype" w:cs="Palatino Linotype"/>
          <w:color w:val="000000"/>
        </w:rPr>
        <w:t xml:space="preserve"> es responsable de la gestión integral del capital humano del Ayuntamiento, coordinando el reclutamiento, contratación, capacitación y desarrollo del personal, así como la aplicación de las disposiciones laborales y sindicales. </w:t>
      </w:r>
      <w:r>
        <w:rPr>
          <w:rFonts w:ascii="Palatino Linotype" w:eastAsia="Palatino Linotype" w:hAnsi="Palatino Linotype" w:cs="Palatino Linotype"/>
        </w:rPr>
        <w:t>Supervisar</w:t>
      </w:r>
      <w:r>
        <w:rPr>
          <w:rFonts w:ascii="Palatino Linotype" w:eastAsia="Palatino Linotype" w:hAnsi="Palatino Linotype" w:cs="Palatino Linotype"/>
          <w:color w:val="000000"/>
        </w:rPr>
        <w:t xml:space="preserve"> la elaboración y distribución de la nómina, garantizando su apego a la normatividad y el presupuesto autorizado. Dirigirá los procesos de adquisición, arrendamiento y contratación de servicios, asegurando la eficiencia y transparencia en el uso de los recursos públicos. Administrará el parque vehicular, los bienes municipales y la logística de eventos públicos e implementará políticas de gobierno digital y normativas para el uso de tecnologías de la información, promoviendo la eficiencia operativa de la administración pública municipal, de conformidad con el artículo 92, fracción VI, del Bando Municipal.</w:t>
      </w:r>
    </w:p>
    <w:p w:rsidR="008857B2" w:rsidRDefault="008857B2">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8857B2" w:rsidRDefault="00794414">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De conformidad con el Código Reglamentario Municipal de Toluca, en su artículo 3.40. establece dentro de las atribuciones de la Dirección General de Administración, las siguientes:</w:t>
      </w:r>
    </w:p>
    <w:p w:rsidR="008857B2" w:rsidRDefault="00794414">
      <w:pPr>
        <w:ind w:left="567" w:right="-716"/>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DE LA DIRECCIÓN GENERAL DE ADMINISTRACIÓN </w:t>
      </w:r>
    </w:p>
    <w:p w:rsidR="008857B2" w:rsidRDefault="008857B2">
      <w:pPr>
        <w:ind w:left="567" w:right="-716"/>
        <w:jc w:val="center"/>
        <w:rPr>
          <w:rFonts w:ascii="Palatino Linotype" w:eastAsia="Palatino Linotype" w:hAnsi="Palatino Linotype" w:cs="Palatino Linotype"/>
          <w:i/>
          <w:iCs/>
        </w:rPr>
      </w:pP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3.40</w:t>
      </w:r>
      <w:r>
        <w:rPr>
          <w:rFonts w:ascii="Palatino Linotype" w:eastAsia="Palatino Linotype" w:hAnsi="Palatino Linotype" w:cs="Palatino Linotype"/>
          <w:i/>
          <w:iCs/>
        </w:rPr>
        <w:t>. La o el titular de la Dirección General de Administración, tiene las siguientes atribuciones:</w:t>
      </w:r>
    </w:p>
    <w:p w:rsidR="008857B2" w:rsidRDefault="008857B2">
      <w:pPr>
        <w:ind w:left="567" w:right="-716"/>
        <w:jc w:val="both"/>
        <w:rPr>
          <w:rFonts w:ascii="Palatino Linotype" w:eastAsia="Palatino Linotype" w:hAnsi="Palatino Linotype" w:cs="Palatino Linotype"/>
          <w:i/>
          <w:iCs/>
        </w:rPr>
      </w:pP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IXVI. Crear los mecanismos para dotar de combustible al parque vehicular y maquinaria del Ayuntamiento, conforme a los controles establecidos;</w:t>
      </w: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XVII. Establecer los mecanismos y procesos administrativos necesarios para el diagnóstico, mantenimiento y reparación del parque vehicular del Ayuntamiento, definir los requisitos para ingresar los vehículos al taller municipal o en su caso canalizarlos a talleres externos;</w:t>
      </w: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8857B2" w:rsidRDefault="008857B2">
      <w:pPr>
        <w:ind w:left="567" w:right="-716"/>
        <w:jc w:val="both"/>
        <w:rPr>
          <w:rFonts w:ascii="Palatino Linotype" w:eastAsia="Palatino Linotype" w:hAnsi="Palatino Linotype" w:cs="Palatino Linotype"/>
          <w:i/>
          <w:iCs/>
        </w:rPr>
      </w:pP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3.41</w:t>
      </w:r>
      <w:r>
        <w:rPr>
          <w:rFonts w:ascii="Palatino Linotype" w:eastAsia="Palatino Linotype" w:hAnsi="Palatino Linotype" w:cs="Palatino Linotype"/>
          <w:i/>
          <w:iCs/>
        </w:rPr>
        <w:t xml:space="preserve">. La Dirección General de Administración, para el cumplimiento de sus atribuciones, se auxiliará de la Dirección de Recursos Humanos, de la Dirección de Recursos Materiales, de la </w:t>
      </w:r>
      <w:r>
        <w:rPr>
          <w:rFonts w:ascii="Palatino Linotype" w:eastAsia="Palatino Linotype" w:hAnsi="Palatino Linotype" w:cs="Palatino Linotype"/>
          <w:b/>
          <w:bCs/>
          <w:i/>
          <w:iCs/>
        </w:rPr>
        <w:t>Dirección de Servicios Generales</w:t>
      </w:r>
      <w:r>
        <w:rPr>
          <w:rFonts w:ascii="Palatino Linotype" w:eastAsia="Palatino Linotype" w:hAnsi="Palatino Linotype" w:cs="Palatino Linotype"/>
          <w:i/>
          <w:iCs/>
        </w:rPr>
        <w:t xml:space="preserve"> y de la Dirección de Tecnologías de la Información y Gobierno Digital.</w:t>
      </w:r>
    </w:p>
    <w:p w:rsidR="008857B2" w:rsidRDefault="008857B2">
      <w:pPr>
        <w:ind w:left="567" w:right="-716"/>
        <w:jc w:val="both"/>
        <w:rPr>
          <w:rFonts w:ascii="Palatino Linotype" w:eastAsia="Palatino Linotype" w:hAnsi="Palatino Linotype" w:cs="Palatino Linotype"/>
          <w:i/>
          <w:iCs/>
        </w:rPr>
      </w:pPr>
    </w:p>
    <w:p w:rsidR="008857B2" w:rsidRDefault="008857B2">
      <w:pPr>
        <w:ind w:left="567" w:right="-716"/>
        <w:jc w:val="both"/>
        <w:rPr>
          <w:rFonts w:ascii="Palatino Linotype" w:eastAsia="Palatino Linotype" w:hAnsi="Palatino Linotype" w:cs="Palatino Linotype"/>
          <w:i/>
          <w:iCs/>
        </w:rPr>
      </w:pPr>
    </w:p>
    <w:p w:rsidR="008857B2" w:rsidRDefault="00794414">
      <w:pPr>
        <w:ind w:left="567" w:right="-716"/>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SUBSECCIÓN TERCERA DE LA DIRECCIÓN DE SERVICIOS GENERALES</w:t>
      </w:r>
    </w:p>
    <w:p w:rsidR="008857B2" w:rsidRDefault="008857B2">
      <w:pPr>
        <w:ind w:left="567" w:right="-716"/>
        <w:jc w:val="both"/>
        <w:rPr>
          <w:rFonts w:ascii="Palatino Linotype" w:eastAsia="Palatino Linotype" w:hAnsi="Palatino Linotype" w:cs="Palatino Linotype"/>
          <w:b/>
          <w:bCs/>
          <w:i/>
          <w:iCs/>
        </w:rPr>
      </w:pP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3.44. </w:t>
      </w:r>
      <w:r>
        <w:rPr>
          <w:rFonts w:ascii="Palatino Linotype" w:eastAsia="Palatino Linotype" w:hAnsi="Palatino Linotype" w:cs="Palatino Linotype"/>
          <w:i/>
          <w:iCs/>
        </w:rPr>
        <w:t>La o el titular de la Dirección de Servicios Generales cuenta con las siguientes atribuciones:</w:t>
      </w: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III. Desarrollar, implementar y supervisar las actividades relativas a la dotación de combustible, gasolina y diésel al parque vehicular del Ayuntamiento, solicitar se realicen las contrataciones pertinentes con el propósito de establecer los mecanismos que coadyuven al control para la dotación de combustible;</w:t>
      </w: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IV. Dar el mantenimiento preventivo y correctivo al parque vehicular propiedad del Ayuntamiento, establecer los mecanismos para la canalización y diagnóstico de las unidades, establecer los procedimientos administrativos para el diagnóstico y las reparaciones en el taller autorizado;</w:t>
      </w: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8857B2" w:rsidRDefault="008857B2">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8857B2" w:rsidRDefault="00794414">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conformidad con el Manual General de Organización de la Dirección General de Administración, la Dirección de Servicios Generales cuenta con diversas unidades administrativas, entre ellas el </w:t>
      </w:r>
      <w:r>
        <w:rPr>
          <w:rFonts w:ascii="Palatino Linotype" w:eastAsia="Palatino Linotype" w:hAnsi="Palatino Linotype" w:cs="Palatino Linotype"/>
          <w:b/>
          <w:bCs/>
        </w:rPr>
        <w:t xml:space="preserve">Departamento de Mantenimiento Vehicular y Control de Combustible, </w:t>
      </w:r>
      <w:r>
        <w:rPr>
          <w:rFonts w:ascii="Palatino Linotype" w:eastAsia="Palatino Linotype" w:hAnsi="Palatino Linotype" w:cs="Palatino Linotype"/>
        </w:rPr>
        <w:t>mismo que tiene como objetivo Administrar y supervisar el uso y mantenimiento de los vehículos del Ayuntamiento, en apoyo a las unidades administrativas, asegurando su correcto funcionamiento y disponibilidad para las actividades requeridas de la Administración pública municipal, garantizando la dotación de combustible con un enfoque de austeridad y el aseguramiento correspondiente, y cuyas funciones son las siguientes:</w:t>
      </w: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Funciones:</w:t>
      </w: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2. Llevar el control del parque vehicular, supervisando las unidades, los niveles de líquidos, estado de las unidades, para en su caso, programar mantenimientos preventivos y/o correctivos.</w:t>
      </w: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5. Entregar los vehículos reparados a las unidades administrativas solicitantes, integrando el expediente por cada solicitud recibida y/o atendida ya sea de mantenimiento preventivo y/o reparación correctiva;</w:t>
      </w: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7. Organizar y revisar las solicitudes de combustible enviadas mediante oficio a la Dirección General de Administración por las unidades administrativas del Ayuntamiento; </w:t>
      </w: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8. Controlar y validar la asignación del suministro de combustible a las unidades vehiculares de acuerdo a las necesidades y operatividad de cada unidad administrativa, conforme a su solicitud, dicha asignación es enviada a la estación de servicio especificando los días e importe de carga; </w:t>
      </w: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9. Revisar y cotejar los tickets de combustible de las cargas realizadas contra los consumos enviados por la estación de servicio; </w:t>
      </w: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10. Conjuntar y organizar las cargas realizadas, para la elaboración de las bitácoras de comprobación de combustible; las cuales son firmadas por las unidades administrativos y los usuarios de las unidades vehiculares;</w:t>
      </w: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8857B2" w:rsidRDefault="008857B2">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8857B2" w:rsidRDefault="00794414">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lastRenderedPageBreak/>
        <w:t xml:space="preserve">De lo expuesto se advierte que la </w:t>
      </w:r>
      <w:r>
        <w:rPr>
          <w:rFonts w:ascii="Palatino Linotype" w:eastAsia="Palatino Linotype" w:hAnsi="Palatino Linotype" w:cs="Palatino Linotype"/>
          <w:b/>
          <w:bCs/>
        </w:rPr>
        <w:t>Dirección General de Administración</w:t>
      </w:r>
      <w:r>
        <w:rPr>
          <w:rFonts w:ascii="Palatino Linotype" w:eastAsia="Palatino Linotype" w:hAnsi="Palatino Linotype" w:cs="Palatino Linotype"/>
        </w:rPr>
        <w:t xml:space="preserve"> es la unidad administrativa de encargada de supervisar las actividades relativas a la dotación de combustible, gasolina y diésel al parque vehicular, y establecer los mecanismos y procesos administrativos necesarios para el diagnóstico, mantenimiento y reparación del parque vehicular, </w:t>
      </w:r>
      <w:r>
        <w:rPr>
          <w:rFonts w:ascii="Palatino Linotype" w:eastAsia="Palatino Linotype" w:hAnsi="Palatino Linotype" w:cs="Palatino Linotype"/>
          <w:b/>
          <w:bCs/>
        </w:rPr>
        <w:t>área competente para conocer de la información requerida.</w:t>
      </w:r>
    </w:p>
    <w:p w:rsidR="008857B2" w:rsidRDefault="008857B2">
      <w:pPr>
        <w:pBdr>
          <w:top w:val="nil"/>
          <w:left w:val="nil"/>
          <w:bottom w:val="nil"/>
          <w:right w:val="nil"/>
          <w:between w:val="nil"/>
        </w:pBdr>
        <w:spacing w:line="360" w:lineRule="auto"/>
        <w:ind w:right="-787"/>
        <w:jc w:val="both"/>
        <w:rPr>
          <w:rFonts w:ascii="Palatino Linotype" w:eastAsia="Palatino Linotype" w:hAnsi="Palatino Linotype" w:cs="Palatino Linotype"/>
        </w:rPr>
      </w:pPr>
    </w:p>
    <w:p w:rsidR="008857B2" w:rsidRDefault="00794414">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 lo expuesto es de precisar que la respuesta fue emitida por la </w:t>
      </w:r>
      <w:r>
        <w:rPr>
          <w:rFonts w:ascii="Palatino Linotype" w:eastAsia="Palatino Linotype" w:hAnsi="Palatino Linotype" w:cs="Palatino Linotype"/>
          <w:b/>
          <w:bCs/>
        </w:rPr>
        <w:t>Dirección General de Administración</w:t>
      </w:r>
      <w:r>
        <w:rPr>
          <w:rFonts w:ascii="Palatino Linotype" w:eastAsia="Palatino Linotype" w:hAnsi="Palatino Linotype" w:cs="Palatino Linotype"/>
        </w:rPr>
        <w:t xml:space="preserve">, a través del </w:t>
      </w:r>
      <w:r>
        <w:rPr>
          <w:rFonts w:ascii="Palatino Linotype" w:eastAsia="Palatino Linotype" w:hAnsi="Palatino Linotype" w:cs="Palatino Linotype"/>
          <w:b/>
          <w:bCs/>
        </w:rPr>
        <w:t>Departamento de Mantenimiento y Control de Combustible,</w:t>
      </w:r>
      <w:r>
        <w:rPr>
          <w:rFonts w:ascii="Palatino Linotype" w:eastAsia="Palatino Linotype" w:hAnsi="Palatino Linotype" w:cs="Palatino Linotype"/>
        </w:rPr>
        <w:t xml:space="preserve"> por lo que podemos advertir que </w:t>
      </w:r>
      <w:r>
        <w:rPr>
          <w:rFonts w:ascii="Palatino Linotype" w:eastAsia="Palatino Linotype" w:hAnsi="Palatino Linotype" w:cs="Palatino Linotype"/>
          <w:b/>
          <w:bCs/>
        </w:rPr>
        <w:t xml:space="preserve">EL SUJETO OBLIGADO </w:t>
      </w:r>
      <w:r>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8857B2" w:rsidRDefault="00794414">
      <w:pPr>
        <w:ind w:left="567" w:right="62"/>
        <w:jc w:val="both"/>
        <w:rPr>
          <w:rFonts w:ascii="Palatino Linotype" w:eastAsia="Palatino Linotype" w:hAnsi="Palatino Linotype" w:cs="Palatino Linotype"/>
          <w:i/>
          <w:iCs/>
        </w:rPr>
      </w:pPr>
      <w:r>
        <w:rPr>
          <w:rFonts w:ascii="Palatino Linotype" w:eastAsia="Palatino Linotype" w:hAnsi="Palatino Linotype" w:cs="Palatino Linotype"/>
          <w:b/>
          <w:bCs/>
          <w:i/>
          <w:iCs/>
        </w:rPr>
        <w:t>XXXIX.</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Servidor público habilitado</w:t>
      </w:r>
      <w:r>
        <w:rPr>
          <w:rFonts w:ascii="Palatino Linotype" w:eastAsia="Palatino Linotype" w:hAnsi="Palatino Linotype" w:cs="Palatino Linotype"/>
          <w:i/>
          <w:iC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8857B2" w:rsidRDefault="008857B2">
      <w:pPr>
        <w:spacing w:line="360" w:lineRule="auto"/>
        <w:ind w:left="708" w:right="62"/>
        <w:jc w:val="both"/>
        <w:rPr>
          <w:rFonts w:ascii="Palatino Linotype" w:eastAsia="Palatino Linotype" w:hAnsi="Palatino Linotype" w:cs="Palatino Linotype"/>
        </w:rPr>
      </w:pPr>
    </w:p>
    <w:p w:rsidR="008857B2" w:rsidRDefault="00794414">
      <w:pPr>
        <w:numPr>
          <w:ilvl w:val="0"/>
          <w:numId w:val="5"/>
        </w:numPr>
        <w:pBdr>
          <w:top w:val="nil"/>
          <w:left w:val="nil"/>
          <w:bottom w:val="nil"/>
          <w:right w:val="nil"/>
          <w:between w:val="nil"/>
        </w:pBdr>
        <w:spacing w:line="360" w:lineRule="auto"/>
        <w:ind w:left="0" w:right="-787" w:firstLine="0"/>
        <w:jc w:val="both"/>
      </w:pPr>
      <w:r>
        <w:rPr>
          <w:rFonts w:ascii="Palatino Linotype" w:eastAsia="Palatino Linotype" w:hAnsi="Palatino Linotype" w:cs="Palatino Linotype"/>
        </w:rPr>
        <w:t>Así las cosas, se advierte que efectivamente la Unidad de Transparencia cumplió con lo establecido en el artículo 162 de la Ley de Transparencia y Acceso a la Información Pública del Estado de México y Municipios, el cual menciona lo siguiente:</w:t>
      </w:r>
    </w:p>
    <w:p w:rsidR="008857B2" w:rsidRDefault="00794414">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162.</w:t>
      </w:r>
      <w:r>
        <w:rPr>
          <w:rFonts w:ascii="Palatino Linotype" w:eastAsia="Palatino Linotype" w:hAnsi="Palatino Linotype" w:cs="Palatino Linotype"/>
          <w:i/>
          <w:iCs/>
        </w:rPr>
        <w:t xml:space="preserve"> Las unidades de transparencia deberán garantizar que las solicitudes se turnen a </w:t>
      </w:r>
      <w:r>
        <w:rPr>
          <w:rFonts w:ascii="Palatino Linotype" w:eastAsia="Palatino Linotype" w:hAnsi="Palatino Linotype" w:cs="Palatino Linotype"/>
          <w:b/>
          <w:bCs/>
          <w:i/>
          <w:iCs/>
        </w:rPr>
        <w:t>todas las Áreas competentes</w:t>
      </w:r>
      <w:r>
        <w:rPr>
          <w:rFonts w:ascii="Palatino Linotype" w:eastAsia="Palatino Linotype" w:hAnsi="Palatino Linotype" w:cs="Palatino Linotype"/>
          <w:i/>
          <w:iCs/>
        </w:rPr>
        <w:t xml:space="preserve"> que cuenten con la información o deban tenerla de </w:t>
      </w:r>
      <w:r>
        <w:rPr>
          <w:rFonts w:ascii="Palatino Linotype" w:eastAsia="Palatino Linotype" w:hAnsi="Palatino Linotype" w:cs="Palatino Linotype"/>
          <w:i/>
          <w:iCs/>
        </w:rPr>
        <w:lastRenderedPageBreak/>
        <w:t>acuerdo a sus facultades, competencias y funciones, con el objeto de que realicen una búsqueda exhaustiva y razonable de la información solicitada.”</w:t>
      </w:r>
    </w:p>
    <w:p w:rsidR="008857B2" w:rsidRDefault="008857B2">
      <w:pPr>
        <w:spacing w:line="360" w:lineRule="auto"/>
        <w:ind w:right="-787"/>
        <w:jc w:val="both"/>
        <w:rPr>
          <w:rFonts w:ascii="Palatino Linotype" w:eastAsia="Palatino Linotype" w:hAnsi="Palatino Linotype" w:cs="Palatino Linotype"/>
          <w:color w:val="000000"/>
        </w:rPr>
      </w:pPr>
    </w:p>
    <w:p w:rsidR="008857B2" w:rsidRDefault="00794414">
      <w:pPr>
        <w:numPr>
          <w:ilvl w:val="0"/>
          <w:numId w:val="5"/>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rPr>
        <w:t>Es</w:t>
      </w:r>
      <w:r>
        <w:rPr>
          <w:rFonts w:ascii="Palatino Linotype" w:eastAsia="Palatino Linotype" w:hAnsi="Palatino Linotype" w:cs="Palatino Linotype"/>
          <w:color w:val="000000"/>
        </w:rPr>
        <w:t xml:space="preserve"> de </w:t>
      </w:r>
      <w:r>
        <w:rPr>
          <w:rFonts w:ascii="Palatino Linotype" w:eastAsia="Palatino Linotype" w:hAnsi="Palatino Linotype" w:cs="Palatino Linotype"/>
        </w:rPr>
        <w:t>subrayar</w:t>
      </w:r>
      <w:r>
        <w:rPr>
          <w:rFonts w:ascii="Palatino Linotype" w:eastAsia="Palatino Linotype" w:hAnsi="Palatino Linotype" w:cs="Palatino Linotype"/>
          <w:color w:val="000000"/>
        </w:rPr>
        <w:t xml:space="preserve">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8857B2" w:rsidRDefault="00794414">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 xml:space="preserve">Artículo 3. </w:t>
      </w:r>
      <w:r>
        <w:rPr>
          <w:rFonts w:ascii="Palatino Linotype" w:eastAsia="Palatino Linotype" w:hAnsi="Palatino Linotype" w:cs="Palatino Linotype"/>
          <w:i/>
          <w:iCs/>
          <w:color w:val="000000"/>
        </w:rPr>
        <w:t>Para los efectos de la presente Ley se entenderá por:</w:t>
      </w:r>
    </w:p>
    <w:p w:rsidR="008857B2" w:rsidRDefault="00794414">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8857B2" w:rsidRDefault="00794414">
      <w:pPr>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XI. Documento:</w:t>
      </w:r>
      <w:r>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8857B2" w:rsidRDefault="00794414">
      <w:pPr>
        <w:spacing w:line="360" w:lineRule="auto"/>
        <w:ind w:left="567" w:right="-220"/>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8857B2" w:rsidRDefault="008857B2">
      <w:pPr>
        <w:ind w:right="-787"/>
        <w:jc w:val="both"/>
        <w:rPr>
          <w:rFonts w:ascii="Palatino Linotype" w:eastAsia="Palatino Linotype" w:hAnsi="Palatino Linotype" w:cs="Palatino Linotype"/>
        </w:rPr>
      </w:pPr>
    </w:p>
    <w:p w:rsidR="008857B2" w:rsidRDefault="00794414">
      <w:pPr>
        <w:numPr>
          <w:ilvl w:val="0"/>
          <w:numId w:val="5"/>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rPr>
        <w:t>Siendo</w:t>
      </w:r>
      <w:r>
        <w:rPr>
          <w:rFonts w:ascii="Palatino Linotype" w:eastAsia="Palatino Linotype" w:hAnsi="Palatino Linotype" w:cs="Palatino Linotype"/>
          <w:color w:val="000000"/>
        </w:rPr>
        <w:t xml:space="preserve">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8857B2" w:rsidRDefault="00794414">
      <w:pPr>
        <w:ind w:left="567"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rPr>
        <w:t>“</w:t>
      </w:r>
      <w:r>
        <w:rPr>
          <w:rFonts w:ascii="Palatino Linotype" w:eastAsia="Palatino Linotype" w:hAnsi="Palatino Linotype" w:cs="Palatino Linotype"/>
          <w:b/>
          <w:bCs/>
          <w:i/>
          <w:iCs/>
        </w:rPr>
        <w:t>CRITERIO 0002-11</w:t>
      </w:r>
    </w:p>
    <w:p w:rsidR="008857B2" w:rsidRDefault="00794414">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INFORMACIÓN PÚBLICA, CONCEPTO DE, EN MATERIA DE TRANSPARENCIA. INTERPRETACIÓN SISTEMÁTICA DE LOS ARTÍCULOS 2°, FRACCIÓN V, XV, Y XVI, 3°, 4°, 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8857B2" w:rsidRDefault="00794414">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rsidR="008857B2" w:rsidRDefault="00794414">
      <w:pPr>
        <w:ind w:left="567" w:right="-220"/>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w:t>
      </w:r>
      <w:r>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8857B2" w:rsidRDefault="00794414">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rsidR="008857B2" w:rsidRDefault="00794414">
      <w:pPr>
        <w:ind w:left="567" w:right="-220"/>
        <w:jc w:val="both"/>
        <w:rPr>
          <w:rFonts w:ascii="Palatino Linotype" w:eastAsia="Palatino Linotype" w:hAnsi="Palatino Linotype" w:cs="Palatino Linotype"/>
          <w:i/>
          <w:iCs/>
        </w:rPr>
      </w:pPr>
      <w:r>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8857B2" w:rsidRDefault="00794414">
      <w:pPr>
        <w:tabs>
          <w:tab w:val="left" w:pos="851"/>
        </w:tabs>
        <w:spacing w:line="360" w:lineRule="auto"/>
        <w:ind w:left="567" w:right="-220"/>
        <w:rPr>
          <w:rFonts w:ascii="Palatino Linotype" w:eastAsia="Palatino Linotype" w:hAnsi="Palatino Linotype" w:cs="Palatino Linotype"/>
        </w:rPr>
      </w:pPr>
      <w:r>
        <w:rPr>
          <w:rFonts w:ascii="Palatino Linotype" w:eastAsia="Palatino Linotype" w:hAnsi="Palatino Linotype" w:cs="Palatino Linotype"/>
        </w:rPr>
        <w:t>(Énfasis Añadido)</w:t>
      </w:r>
    </w:p>
    <w:p w:rsidR="008857B2" w:rsidRDefault="008857B2">
      <w:pPr>
        <w:pBdr>
          <w:top w:val="nil"/>
          <w:left w:val="nil"/>
          <w:bottom w:val="nil"/>
          <w:right w:val="nil"/>
          <w:between w:val="nil"/>
        </w:pBdr>
        <w:ind w:right="-787"/>
        <w:jc w:val="both"/>
        <w:rPr>
          <w:rFonts w:ascii="Palatino Linotype" w:eastAsia="Palatino Linotype" w:hAnsi="Palatino Linotype" w:cs="Palatino Linotype"/>
          <w:color w:val="000000"/>
        </w:rPr>
      </w:pPr>
    </w:p>
    <w:p w:rsidR="008857B2" w:rsidRDefault="00794414">
      <w:pPr>
        <w:numPr>
          <w:ilvl w:val="0"/>
          <w:numId w:val="5"/>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t xml:space="preserve">Por </w:t>
      </w:r>
      <w:r>
        <w:rPr>
          <w:rFonts w:ascii="Palatino Linotype" w:eastAsia="Palatino Linotype" w:hAnsi="Palatino Linotype" w:cs="Palatino Linotype"/>
        </w:rPr>
        <w:t>su</w:t>
      </w:r>
      <w:r>
        <w:rPr>
          <w:rFonts w:ascii="Palatino Linotype" w:eastAsia="Palatino Linotype" w:hAnsi="Palatino Linotype" w:cs="Palatino Linotype"/>
          <w:color w:val="000000"/>
        </w:rPr>
        <w:t xml:space="preserve"> parte los artículos 160 y 166, de la Ley local en la materia, que se reproduce de la siguiente forma:</w:t>
      </w:r>
    </w:p>
    <w:p w:rsidR="008857B2" w:rsidRDefault="00794414">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160.</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Pr>
          <w:rFonts w:ascii="Palatino Linotype" w:eastAsia="Palatino Linotype" w:hAnsi="Palatino Linotype" w:cs="Palatino Linotype"/>
          <w:i/>
          <w:iCs/>
        </w:rPr>
        <w:t>.</w:t>
      </w:r>
    </w:p>
    <w:p w:rsidR="008857B2" w:rsidRDefault="008857B2">
      <w:pPr>
        <w:ind w:left="566" w:right="-220"/>
        <w:jc w:val="both"/>
        <w:rPr>
          <w:rFonts w:ascii="Palatino Linotype" w:eastAsia="Palatino Linotype" w:hAnsi="Palatino Linotype" w:cs="Palatino Linotype"/>
          <w:i/>
          <w:iCs/>
        </w:rPr>
      </w:pPr>
    </w:p>
    <w:p w:rsidR="008857B2" w:rsidRDefault="00794414">
      <w:pPr>
        <w:ind w:left="566" w:right="-220"/>
        <w:jc w:val="both"/>
        <w:rPr>
          <w:rFonts w:ascii="Palatino Linotype" w:eastAsia="Palatino Linotype" w:hAnsi="Palatino Linotype" w:cs="Palatino Linotype"/>
          <w:i/>
          <w:iCs/>
        </w:rPr>
      </w:pPr>
      <w:r>
        <w:rPr>
          <w:rFonts w:ascii="Palatino Linotype" w:eastAsia="Palatino Linotype" w:hAnsi="Palatino Linotype" w:cs="Palatino Linotype"/>
          <w:i/>
          <w:iCs/>
        </w:rPr>
        <w:t>En caso que la información solicitada consista en bases de datos se deberá privilegiar la entrega de la misma en formatos abiertos.</w:t>
      </w:r>
    </w:p>
    <w:p w:rsidR="008857B2" w:rsidRDefault="008857B2">
      <w:pPr>
        <w:ind w:left="566" w:right="-220"/>
        <w:jc w:val="both"/>
        <w:rPr>
          <w:rFonts w:ascii="Palatino Linotype" w:eastAsia="Palatino Linotype" w:hAnsi="Palatino Linotype" w:cs="Palatino Linotype"/>
          <w:i/>
          <w:iCs/>
        </w:rPr>
      </w:pPr>
    </w:p>
    <w:p w:rsidR="008857B2" w:rsidRDefault="00794414">
      <w:pPr>
        <w:ind w:left="566" w:right="-220"/>
        <w:jc w:val="both"/>
        <w:rPr>
          <w:rFonts w:ascii="Palatino Linotype" w:eastAsia="Palatino Linotype" w:hAnsi="Palatino Linotype" w:cs="Palatino Linotype"/>
          <w:i/>
          <w:iCs/>
          <w:u w:val="single"/>
        </w:rPr>
      </w:pPr>
      <w:r>
        <w:rPr>
          <w:rFonts w:ascii="Palatino Linotype" w:eastAsia="Palatino Linotype" w:hAnsi="Palatino Linotype" w:cs="Palatino Linotype"/>
          <w:b/>
          <w:bCs/>
          <w:i/>
          <w:iCs/>
        </w:rPr>
        <w:t>Artículo 166.</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8857B2" w:rsidRDefault="00794414">
      <w:pPr>
        <w:spacing w:line="360" w:lineRule="auto"/>
        <w:ind w:left="566" w:right="-220"/>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8857B2" w:rsidRDefault="008857B2">
      <w:pPr>
        <w:ind w:right="-787"/>
        <w:jc w:val="both"/>
        <w:rPr>
          <w:rFonts w:ascii="Palatino Linotype" w:eastAsia="Palatino Linotype" w:hAnsi="Palatino Linotype" w:cs="Palatino Linotype"/>
        </w:rPr>
      </w:pPr>
    </w:p>
    <w:p w:rsidR="008857B2" w:rsidRDefault="00794414">
      <w:pPr>
        <w:numPr>
          <w:ilvl w:val="0"/>
          <w:numId w:val="5"/>
        </w:numPr>
        <w:pBdr>
          <w:top w:val="nil"/>
          <w:left w:val="nil"/>
          <w:bottom w:val="nil"/>
          <w:right w:val="nil"/>
          <w:between w:val="nil"/>
        </w:pBdr>
        <w:spacing w:line="360" w:lineRule="auto"/>
        <w:ind w:left="0" w:right="-787" w:firstLine="0"/>
        <w:jc w:val="both"/>
        <w:rPr>
          <w:color w:val="000000"/>
        </w:rPr>
      </w:pPr>
      <w:r>
        <w:rPr>
          <w:rFonts w:ascii="Palatino Linotype" w:eastAsia="Palatino Linotype" w:hAnsi="Palatino Linotype" w:cs="Palatino Linotype"/>
          <w:color w:val="000000"/>
        </w:rPr>
        <w:lastRenderedPageBreak/>
        <w:t xml:space="preserve">Así que </w:t>
      </w:r>
      <w:r>
        <w:rPr>
          <w:rFonts w:ascii="Palatino Linotype" w:eastAsia="Palatino Linotype" w:hAnsi="Palatino Linotype" w:cs="Palatino Linotype"/>
        </w:rPr>
        <w:t>la</w:t>
      </w:r>
      <w:r>
        <w:rPr>
          <w:rFonts w:ascii="Palatino Linotype" w:eastAsia="Palatino Linotype" w:hAnsi="Palatino Linotype" w:cs="Palatino Linotype"/>
          <w:color w:val="000000"/>
        </w:rPr>
        <w:t xml:space="preserve">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8857B2" w:rsidRDefault="008857B2">
      <w:pPr>
        <w:spacing w:line="360" w:lineRule="auto"/>
        <w:ind w:right="-787"/>
        <w:jc w:val="both"/>
        <w:rPr>
          <w:rFonts w:ascii="Palatino Linotype" w:eastAsia="Palatino Linotype" w:hAnsi="Palatino Linotype" w:cs="Palatino Linotype"/>
          <w:color w:val="000000"/>
        </w:rPr>
      </w:pPr>
    </w:p>
    <w:p w:rsidR="008857B2" w:rsidRDefault="00794414">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Con el objetivo de profundizar en el análisis del presente medio de impugnación, y proporcionar una comprensión integral, la siguiente tabla detalla la información requerida y la respuesta proporcionada, a fin de determinar si el Sujeto Obligado colma con el requerimiento hecho por el particular, ya que los motivos de inconformidad radicaron en la negativa de la información proporcionada y posteriormente el Sujeto Obligado ratificó su respuesta inicial.</w:t>
      </w:r>
    </w:p>
    <w:p w:rsidR="008857B2" w:rsidRDefault="008857B2">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tbl>
      <w:tblPr>
        <w:tblStyle w:val="a"/>
        <w:tblW w:w="9765" w:type="dxa"/>
        <w:jc w:val="center"/>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3960"/>
        <w:gridCol w:w="3555"/>
        <w:gridCol w:w="2250"/>
      </w:tblGrid>
      <w:tr w:rsidR="008857B2">
        <w:trPr>
          <w:trHeight w:val="426"/>
          <w:tblHeader/>
          <w:jc w:val="center"/>
        </w:trPr>
        <w:tc>
          <w:tcPr>
            <w:tcW w:w="3960" w:type="dxa"/>
            <w:shd w:val="clear" w:color="auto" w:fill="D9D9D9"/>
            <w:vAlign w:val="center"/>
          </w:tcPr>
          <w:p w:rsidR="008857B2" w:rsidRDefault="00794414">
            <w:pPr>
              <w:pBdr>
                <w:top w:val="nil"/>
                <w:left w:val="nil"/>
                <w:bottom w:val="nil"/>
                <w:right w:val="nil"/>
                <w:between w:val="nil"/>
              </w:pBdr>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Información solicitada</w:t>
            </w:r>
          </w:p>
        </w:tc>
        <w:tc>
          <w:tcPr>
            <w:tcW w:w="3555" w:type="dxa"/>
            <w:shd w:val="clear" w:color="auto" w:fill="D9D9D9"/>
            <w:vAlign w:val="center"/>
          </w:tcPr>
          <w:p w:rsidR="008857B2" w:rsidRDefault="00794414">
            <w:pPr>
              <w:pBdr>
                <w:top w:val="nil"/>
                <w:left w:val="nil"/>
                <w:bottom w:val="nil"/>
                <w:right w:val="nil"/>
                <w:between w:val="nil"/>
              </w:pBdr>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Información proporcionada</w:t>
            </w:r>
          </w:p>
        </w:tc>
        <w:tc>
          <w:tcPr>
            <w:tcW w:w="2250" w:type="dxa"/>
            <w:shd w:val="clear" w:color="auto" w:fill="D9D9D9"/>
            <w:vAlign w:val="center"/>
          </w:tcPr>
          <w:p w:rsidR="008857B2" w:rsidRDefault="00794414">
            <w:pPr>
              <w:pBdr>
                <w:top w:val="nil"/>
                <w:left w:val="nil"/>
                <w:bottom w:val="nil"/>
                <w:right w:val="nil"/>
                <w:between w:val="nil"/>
              </w:pBdr>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¿Colma?</w:t>
            </w:r>
          </w:p>
        </w:tc>
      </w:tr>
      <w:tr w:rsidR="008857B2">
        <w:trPr>
          <w:jc w:val="center"/>
        </w:trPr>
        <w:tc>
          <w:tcPr>
            <w:tcW w:w="3960" w:type="dxa"/>
            <w:vAlign w:val="center"/>
          </w:tcPr>
          <w:p w:rsidR="008857B2" w:rsidRDefault="00794414">
            <w:pPr>
              <w:numPr>
                <w:ilvl w:val="0"/>
                <w:numId w:val="10"/>
              </w:numPr>
              <w:pBdr>
                <w:top w:val="nil"/>
                <w:left w:val="nil"/>
                <w:bottom w:val="nil"/>
                <w:right w:val="nil"/>
                <w:between w:val="nil"/>
              </w:pBdr>
              <w:ind w:left="31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¿Cuantos odómetros o cuenta kilómetros funcionan y cuantos no funcionan de las 974 unidades vehiculares o maquinaria? del mes de enero al mes de noviembre del ejercicio 2025.</w:t>
            </w:r>
          </w:p>
        </w:tc>
        <w:tc>
          <w:tcPr>
            <w:tcW w:w="3555" w:type="dxa"/>
            <w:vAlign w:val="center"/>
          </w:tcPr>
          <w:p w:rsidR="008857B2" w:rsidRDefault="00794414">
            <w:pPr>
              <w:pBdr>
                <w:top w:val="nil"/>
                <w:left w:val="nil"/>
                <w:bottom w:val="nil"/>
                <w:right w:val="nil"/>
                <w:between w:val="nil"/>
              </w:pBdr>
              <w:jc w:val="both"/>
              <w:rPr>
                <w:rFonts w:ascii="Palatino Linotype" w:eastAsia="Palatino Linotype" w:hAnsi="Palatino Linotype" w:cs="Palatino Linotype"/>
                <w:b/>
                <w:bCs/>
                <w:color w:val="000000"/>
              </w:rPr>
            </w:pPr>
            <w:r>
              <w:rPr>
                <w:rFonts w:ascii="Palatino Linotype" w:eastAsia="Palatino Linotype" w:hAnsi="Palatino Linotype" w:cs="Palatino Linotype"/>
                <w:i/>
                <w:iCs/>
                <w:color w:val="000000"/>
              </w:rPr>
              <w:t xml:space="preserve">Del mes de enero a noviembre del año en curso se cuenta con </w:t>
            </w:r>
            <w:r>
              <w:rPr>
                <w:rFonts w:ascii="Palatino Linotype" w:eastAsia="Palatino Linotype" w:hAnsi="Palatino Linotype" w:cs="Palatino Linotype"/>
                <w:b/>
                <w:bCs/>
                <w:i/>
                <w:iCs/>
                <w:color w:val="000000"/>
              </w:rPr>
              <w:t>un 85% de los odómetros funcionando</w:t>
            </w:r>
            <w:r>
              <w:rPr>
                <w:rFonts w:ascii="Palatino Linotype" w:eastAsia="Palatino Linotype" w:hAnsi="Palatino Linotype" w:cs="Palatino Linotype"/>
                <w:i/>
                <w:iCs/>
                <w:color w:val="000000"/>
              </w:rPr>
              <w:t xml:space="preserve"> correctamente. Cabe mencionar que </w:t>
            </w:r>
            <w:r>
              <w:rPr>
                <w:rFonts w:ascii="Palatino Linotype" w:eastAsia="Palatino Linotype" w:hAnsi="Palatino Linotype" w:cs="Palatino Linotype"/>
                <w:b/>
                <w:bCs/>
                <w:i/>
                <w:iCs/>
                <w:color w:val="000000"/>
              </w:rPr>
              <w:t>la maquinaria no utiliza odómetros.</w:t>
            </w:r>
          </w:p>
        </w:tc>
        <w:tc>
          <w:tcPr>
            <w:tcW w:w="2250" w:type="dxa"/>
            <w:vAlign w:val="center"/>
          </w:tcPr>
          <w:p w:rsidR="008857B2" w:rsidRDefault="00794414">
            <w:pPr>
              <w:pBdr>
                <w:top w:val="nil"/>
                <w:left w:val="nil"/>
                <w:bottom w:val="nil"/>
                <w:right w:val="nil"/>
                <w:between w:val="nil"/>
              </w:pBdr>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SI</w:t>
            </w:r>
          </w:p>
          <w:p w:rsidR="008857B2" w:rsidRDefault="008857B2">
            <w:pPr>
              <w:pBdr>
                <w:top w:val="nil"/>
                <w:left w:val="nil"/>
                <w:bottom w:val="nil"/>
                <w:right w:val="nil"/>
                <w:between w:val="nil"/>
              </w:pBdr>
              <w:jc w:val="center"/>
              <w:rPr>
                <w:rFonts w:ascii="Palatino Linotype" w:eastAsia="Palatino Linotype" w:hAnsi="Palatino Linotype" w:cs="Palatino Linotype"/>
                <w:b/>
                <w:bCs/>
                <w:color w:val="000000"/>
              </w:rPr>
            </w:pPr>
          </w:p>
          <w:p w:rsidR="008857B2" w:rsidRDefault="00794414">
            <w:pPr>
              <w:pBdr>
                <w:top w:val="nil"/>
                <w:left w:val="nil"/>
                <w:bottom w:val="nil"/>
                <w:right w:val="nil"/>
                <w:between w:val="nil"/>
              </w:pBdr>
              <w:jc w:val="center"/>
              <w:rPr>
                <w:rFonts w:ascii="Palatino Linotype" w:eastAsia="Palatino Linotype" w:hAnsi="Palatino Linotype" w:cs="Palatino Linotype"/>
                <w:color w:val="000000"/>
              </w:rPr>
            </w:pPr>
            <w:r>
              <w:rPr>
                <w:rFonts w:ascii="Palatino Linotype" w:eastAsia="Palatino Linotype" w:hAnsi="Palatino Linotype" w:cs="Palatino Linotype"/>
                <w:color w:val="000000"/>
              </w:rPr>
              <w:t>Al referir el porcentaje de odómetros funcionando correctamente se puede obtener el dato de los que no funcionan y realizar el cálculo de las cantidades requeridas.</w:t>
            </w:r>
          </w:p>
        </w:tc>
      </w:tr>
      <w:tr w:rsidR="008857B2">
        <w:trPr>
          <w:jc w:val="center"/>
        </w:trPr>
        <w:tc>
          <w:tcPr>
            <w:tcW w:w="3960" w:type="dxa"/>
            <w:vAlign w:val="center"/>
          </w:tcPr>
          <w:p w:rsidR="008857B2" w:rsidRDefault="00794414">
            <w:pPr>
              <w:numPr>
                <w:ilvl w:val="0"/>
                <w:numId w:val="10"/>
              </w:numPr>
              <w:pBdr>
                <w:top w:val="nil"/>
                <w:left w:val="nil"/>
                <w:bottom w:val="nil"/>
                <w:right w:val="nil"/>
                <w:between w:val="nil"/>
              </w:pBdr>
              <w:ind w:left="31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caso de que no funcione alguno, fundamento legal o acuerdo de cabildo, que autorice la dispersión de combustible.</w:t>
            </w:r>
          </w:p>
        </w:tc>
        <w:tc>
          <w:tcPr>
            <w:tcW w:w="3555" w:type="dxa"/>
            <w:vAlign w:val="center"/>
          </w:tcPr>
          <w:p w:rsidR="008857B2" w:rsidRDefault="00794414">
            <w:pPr>
              <w:pBdr>
                <w:top w:val="nil"/>
                <w:left w:val="nil"/>
                <w:bottom w:val="nil"/>
                <w:right w:val="nil"/>
                <w:between w:val="nil"/>
              </w:pBd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Sin pronunciamiento</w:t>
            </w:r>
          </w:p>
        </w:tc>
        <w:tc>
          <w:tcPr>
            <w:tcW w:w="2250" w:type="dxa"/>
            <w:vAlign w:val="center"/>
          </w:tcPr>
          <w:p w:rsidR="008857B2" w:rsidRDefault="00794414">
            <w:pPr>
              <w:pBdr>
                <w:top w:val="nil"/>
                <w:left w:val="nil"/>
                <w:bottom w:val="nil"/>
                <w:right w:val="nil"/>
                <w:between w:val="nil"/>
              </w:pBdr>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NO</w:t>
            </w:r>
          </w:p>
        </w:tc>
      </w:tr>
      <w:tr w:rsidR="008857B2">
        <w:trPr>
          <w:jc w:val="center"/>
        </w:trPr>
        <w:tc>
          <w:tcPr>
            <w:tcW w:w="3960" w:type="dxa"/>
            <w:vAlign w:val="center"/>
          </w:tcPr>
          <w:p w:rsidR="008857B2" w:rsidRDefault="00794414">
            <w:pPr>
              <w:numPr>
                <w:ilvl w:val="0"/>
                <w:numId w:val="10"/>
              </w:numPr>
              <w:pBdr>
                <w:top w:val="nil"/>
                <w:left w:val="nil"/>
                <w:bottom w:val="nil"/>
                <w:right w:val="nil"/>
                <w:between w:val="nil"/>
              </w:pBdr>
              <w:ind w:left="313"/>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Cuál es el método de comprobación “oficial” </w:t>
            </w:r>
          </w:p>
        </w:tc>
        <w:tc>
          <w:tcPr>
            <w:tcW w:w="3555" w:type="dxa"/>
            <w:vAlign w:val="center"/>
          </w:tcPr>
          <w:p w:rsidR="008857B2" w:rsidRDefault="00794414">
            <w:pPr>
              <w:pBdr>
                <w:top w:val="nil"/>
                <w:left w:val="nil"/>
                <w:bottom w:val="nil"/>
                <w:right w:val="nil"/>
                <w:between w:val="nil"/>
              </w:pBd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Sin pronunciamiento</w:t>
            </w:r>
          </w:p>
        </w:tc>
        <w:tc>
          <w:tcPr>
            <w:tcW w:w="2250" w:type="dxa"/>
            <w:vAlign w:val="center"/>
          </w:tcPr>
          <w:p w:rsidR="008857B2" w:rsidRDefault="00794414">
            <w:pPr>
              <w:pBdr>
                <w:top w:val="nil"/>
                <w:left w:val="nil"/>
                <w:bottom w:val="nil"/>
                <w:right w:val="nil"/>
                <w:between w:val="nil"/>
              </w:pBdr>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NO</w:t>
            </w:r>
          </w:p>
        </w:tc>
      </w:tr>
    </w:tbl>
    <w:p w:rsidR="008857B2" w:rsidRDefault="008857B2">
      <w:pPr>
        <w:pBdr>
          <w:top w:val="nil"/>
          <w:left w:val="nil"/>
          <w:bottom w:val="nil"/>
          <w:right w:val="nil"/>
          <w:between w:val="nil"/>
        </w:pBdr>
        <w:spacing w:line="360" w:lineRule="auto"/>
        <w:ind w:right="-787"/>
        <w:jc w:val="both"/>
        <w:rPr>
          <w:rFonts w:ascii="Palatino Linotype" w:eastAsia="Palatino Linotype" w:hAnsi="Palatino Linotype" w:cs="Palatino Linotype"/>
          <w:i/>
          <w:iCs/>
        </w:rPr>
      </w:pPr>
    </w:p>
    <w:p w:rsidR="008857B2" w:rsidRDefault="008857B2">
      <w:pPr>
        <w:spacing w:line="360" w:lineRule="auto"/>
        <w:ind w:right="-787"/>
        <w:jc w:val="both"/>
        <w:rPr>
          <w:rFonts w:ascii="Palatino Linotype" w:eastAsia="Palatino Linotype" w:hAnsi="Palatino Linotype" w:cs="Palatino Linotype"/>
        </w:rPr>
      </w:pPr>
    </w:p>
    <w:p w:rsidR="008857B2" w:rsidRDefault="00794414">
      <w:pPr>
        <w:numPr>
          <w:ilvl w:val="0"/>
          <w:numId w:val="5"/>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Respecto del punto de solicitud </w:t>
      </w:r>
      <w:r>
        <w:rPr>
          <w:rFonts w:ascii="Palatino Linotype" w:eastAsia="Palatino Linotype" w:hAnsi="Palatino Linotype" w:cs="Palatino Linotype"/>
          <w:i/>
          <w:iCs/>
          <w:color w:val="000000"/>
        </w:rPr>
        <w:t>¿Cuantos odómetros o cuenta kilómetros funcionan y cuantos no funcionan de las 974 unidades vehiculares o maquinaria? del mes de enero al mes de noviembre del ejercicio 2025,</w:t>
      </w:r>
      <w:r>
        <w:rPr>
          <w:rFonts w:ascii="Palatino Linotype" w:eastAsia="Palatino Linotype" w:hAnsi="Palatino Linotype" w:cs="Palatino Linotype"/>
          <w:color w:val="000000"/>
        </w:rPr>
        <w:t xml:space="preserve"> el Sujeto Obligado respondió que </w:t>
      </w:r>
      <w:r>
        <w:rPr>
          <w:rFonts w:ascii="Palatino Linotype" w:eastAsia="Palatino Linotype" w:hAnsi="Palatino Linotype" w:cs="Palatino Linotype"/>
          <w:i/>
          <w:iCs/>
          <w:color w:val="000000"/>
        </w:rPr>
        <w:t xml:space="preserve">Del mes de enero a noviembre del año en curso se cuenta con </w:t>
      </w:r>
      <w:r>
        <w:rPr>
          <w:rFonts w:ascii="Palatino Linotype" w:eastAsia="Palatino Linotype" w:hAnsi="Palatino Linotype" w:cs="Palatino Linotype"/>
          <w:b/>
          <w:bCs/>
          <w:i/>
          <w:iCs/>
          <w:color w:val="000000"/>
        </w:rPr>
        <w:t>un 85% de los odómetros funcionando</w:t>
      </w:r>
      <w:r>
        <w:rPr>
          <w:rFonts w:ascii="Palatino Linotype" w:eastAsia="Palatino Linotype" w:hAnsi="Palatino Linotype" w:cs="Palatino Linotype"/>
          <w:i/>
          <w:iCs/>
          <w:color w:val="000000"/>
        </w:rPr>
        <w:t xml:space="preserve"> correctamente. Cabe mencionar que </w:t>
      </w:r>
      <w:r>
        <w:rPr>
          <w:rFonts w:ascii="Palatino Linotype" w:eastAsia="Palatino Linotype" w:hAnsi="Palatino Linotype" w:cs="Palatino Linotype"/>
          <w:b/>
          <w:bCs/>
          <w:i/>
          <w:iCs/>
          <w:color w:val="000000"/>
        </w:rPr>
        <w:t>la maquinaria no utiliza odómetros</w:t>
      </w:r>
      <w:r>
        <w:rPr>
          <w:rFonts w:ascii="Palatino Linotype" w:eastAsia="Palatino Linotype" w:hAnsi="Palatino Linotype" w:cs="Palatino Linotype"/>
          <w:color w:val="000000"/>
        </w:rPr>
        <w:t xml:space="preserve">, por lo que se considera </w:t>
      </w:r>
      <w:r>
        <w:rPr>
          <w:rFonts w:ascii="Palatino Linotype" w:eastAsia="Palatino Linotype" w:hAnsi="Palatino Linotype" w:cs="Palatino Linotype"/>
        </w:rPr>
        <w:t>de</w:t>
      </w:r>
      <w:r>
        <w:rPr>
          <w:rFonts w:ascii="Palatino Linotype" w:eastAsia="Palatino Linotype" w:hAnsi="Palatino Linotype" w:cs="Palatino Linotype"/>
          <w:color w:val="000000"/>
        </w:rPr>
        <w:t xml:space="preserve"> atención al requerimiento de información al señalar una cantidad en porcentaje de las unidades vehiculares que tienen un correcto funcionamiento del odómetro. De la citada cantidad se puede obtener entonces la relativa a las unidades que no tienen un funcionamiento correcto del odómetro. De los mencionados porcentajes el particular puede hacer el cálculo de las cantidades que necesita.</w:t>
      </w:r>
    </w:p>
    <w:p w:rsidR="008857B2" w:rsidRDefault="008857B2">
      <w:pPr>
        <w:spacing w:line="360" w:lineRule="auto"/>
        <w:ind w:right="-787"/>
        <w:jc w:val="both"/>
        <w:rPr>
          <w:rFonts w:ascii="Palatino Linotype" w:eastAsia="Palatino Linotype" w:hAnsi="Palatino Linotype" w:cs="Palatino Linotype"/>
          <w:color w:val="000000"/>
        </w:rPr>
      </w:pPr>
    </w:p>
    <w:p w:rsidR="008857B2" w:rsidRDefault="00794414">
      <w:pPr>
        <w:numPr>
          <w:ilvl w:val="0"/>
          <w:numId w:val="5"/>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Por lo expuesto,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este Organismo considera que se ha</w:t>
      </w:r>
      <w:r>
        <w:rPr>
          <w:rFonts w:ascii="Palatino Linotype" w:eastAsia="Palatino Linotype" w:hAnsi="Palatino Linotype" w:cs="Palatino Linotype"/>
          <w:b/>
          <w:bCs/>
        </w:rPr>
        <w:t xml:space="preserve"> colmado </w:t>
      </w:r>
      <w:r>
        <w:rPr>
          <w:rFonts w:ascii="Palatino Linotype" w:eastAsia="Palatino Linotype" w:hAnsi="Palatino Linotype" w:cs="Palatino Linotype"/>
        </w:rPr>
        <w:t>el punto de solicitud en referencia</w:t>
      </w:r>
      <w:r>
        <w:rPr>
          <w:rFonts w:ascii="Palatino Linotype" w:eastAsia="Palatino Linotype" w:hAnsi="Palatino Linotype" w:cs="Palatino Linotype"/>
          <w:color w:val="000000"/>
        </w:rPr>
        <w:t>, al haber entregado la información que es de interés para el particular. Asimismo, es de recalcar lo establecido en el artículo 12 de la Ley de Transparencia Local:</w:t>
      </w:r>
    </w:p>
    <w:p w:rsidR="008857B2" w:rsidRDefault="008857B2">
      <w:pPr>
        <w:spacing w:line="360" w:lineRule="auto"/>
        <w:ind w:right="-787"/>
        <w:jc w:val="both"/>
        <w:rPr>
          <w:rFonts w:ascii="Palatino Linotype" w:eastAsia="Palatino Linotype" w:hAnsi="Palatino Linotype" w:cs="Palatino Linotype"/>
          <w:color w:val="000000"/>
        </w:rPr>
      </w:pPr>
    </w:p>
    <w:p w:rsidR="008857B2" w:rsidRDefault="00794414">
      <w:pPr>
        <w:pBdr>
          <w:top w:val="nil"/>
          <w:left w:val="nil"/>
          <w:bottom w:val="nil"/>
          <w:right w:val="nil"/>
          <w:between w:val="nil"/>
        </w:pBdr>
        <w:ind w:left="56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 </w:t>
      </w:r>
    </w:p>
    <w:p w:rsidR="008857B2" w:rsidRDefault="008857B2">
      <w:pPr>
        <w:pBdr>
          <w:top w:val="nil"/>
          <w:left w:val="nil"/>
          <w:bottom w:val="nil"/>
          <w:right w:val="nil"/>
          <w:between w:val="nil"/>
        </w:pBdr>
        <w:ind w:left="567"/>
        <w:jc w:val="both"/>
        <w:rPr>
          <w:rFonts w:ascii="Palatino Linotype" w:eastAsia="Palatino Linotype" w:hAnsi="Palatino Linotype" w:cs="Palatino Linotype"/>
          <w:i/>
          <w:iCs/>
          <w:color w:val="000000"/>
        </w:rPr>
      </w:pPr>
    </w:p>
    <w:p w:rsidR="008857B2" w:rsidRDefault="00794414">
      <w:pPr>
        <w:pBdr>
          <w:top w:val="nil"/>
          <w:left w:val="nil"/>
          <w:bottom w:val="nil"/>
          <w:right w:val="nil"/>
          <w:between w:val="nil"/>
        </w:pBdr>
        <w:ind w:left="567"/>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La obligación de proporcionar información no comprende el procesamiento de la misma, ni el presentarla conforme al interés del solicitante; no estarán obligados a generarla, resumirla, efectuar cálculos o practicar investigaciones</w:t>
      </w:r>
      <w:r>
        <w:rPr>
          <w:rFonts w:ascii="Palatino Linotype" w:eastAsia="Palatino Linotype" w:hAnsi="Palatino Linotype" w:cs="Palatino Linotype"/>
          <w:i/>
          <w:iCs/>
          <w:color w:val="000000"/>
        </w:rPr>
        <w:t>.</w:t>
      </w:r>
    </w:p>
    <w:p w:rsidR="008857B2" w:rsidRDefault="008857B2">
      <w:pPr>
        <w:spacing w:line="360" w:lineRule="auto"/>
        <w:ind w:right="-787"/>
        <w:jc w:val="both"/>
        <w:rPr>
          <w:rFonts w:ascii="Palatino Linotype" w:eastAsia="Palatino Linotype" w:hAnsi="Palatino Linotype" w:cs="Palatino Linotype"/>
          <w:b/>
          <w:bCs/>
          <w:i/>
          <w:iCs/>
          <w:u w:val="single"/>
        </w:rPr>
      </w:pPr>
    </w:p>
    <w:p w:rsidR="008857B2" w:rsidRDefault="00794414">
      <w:pPr>
        <w:numPr>
          <w:ilvl w:val="0"/>
          <w:numId w:val="5"/>
        </w:numPr>
        <w:spacing w:line="360" w:lineRule="auto"/>
        <w:ind w:left="0" w:right="-787" w:firstLine="0"/>
        <w:jc w:val="both"/>
        <w:rPr>
          <w:color w:val="000000"/>
        </w:rPr>
      </w:pPr>
      <w:r>
        <w:rPr>
          <w:rFonts w:ascii="Palatino Linotype" w:eastAsia="Palatino Linotype" w:hAnsi="Palatino Linotype" w:cs="Palatino Linotype"/>
          <w:color w:val="000000"/>
        </w:rPr>
        <w:t xml:space="preserve">De esta manera, el derecho de acceso a la información pública se satisface en aquellos casos en que se entregue el soporte documental en el que conste la información solicitada, sin necesidad de elaborar documentos </w:t>
      </w:r>
      <w:r>
        <w:rPr>
          <w:rFonts w:ascii="Palatino Linotype" w:eastAsia="Palatino Linotype" w:hAnsi="Palatino Linotype" w:cs="Palatino Linotype"/>
          <w:i/>
          <w:iCs/>
          <w:color w:val="000000"/>
        </w:rPr>
        <w:t>ad hoc</w:t>
      </w:r>
      <w:r>
        <w:rPr>
          <w:rFonts w:ascii="Palatino Linotype" w:eastAsia="Palatino Linotype" w:hAnsi="Palatino Linotype" w:cs="Palatino Linotype"/>
          <w:color w:val="000000"/>
        </w:rPr>
        <w:t>; lo cual, toma sustento en el artículo 160 de la Ley de Transparencia y Acceso a la Información Pública del Estado de México y Municipios, el cual refiere que los sujetos obligados deberán entregar la información que obre en sus archivos. Además, resulta aplicable el Criterio 03/17 del Instituto Nacional de Transparencia, Acceso a la Información y Protección de Datos Personales que a continuación se cita:</w:t>
      </w:r>
    </w:p>
    <w:p w:rsidR="008857B2" w:rsidRDefault="00794414">
      <w:pPr>
        <w:ind w:left="567" w:right="-518"/>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No existe obligación de elaborar documentos ad hoc para atender las solicitudes de acceso a la información. </w:t>
      </w:r>
      <w:r>
        <w:rPr>
          <w:rFonts w:ascii="Palatino Linotype" w:eastAsia="Palatino Linotype" w:hAnsi="Palatino Linotype" w:cs="Palatino Linotype"/>
          <w:i/>
          <w:iCs/>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8857B2" w:rsidRDefault="008857B2">
      <w:pPr>
        <w:spacing w:line="360" w:lineRule="auto"/>
        <w:jc w:val="both"/>
        <w:rPr>
          <w:rFonts w:ascii="Palatino Linotype" w:eastAsia="Palatino Linotype" w:hAnsi="Palatino Linotype" w:cs="Palatino Linotype"/>
        </w:rPr>
      </w:pPr>
    </w:p>
    <w:p w:rsidR="008857B2" w:rsidRDefault="00794414">
      <w:pPr>
        <w:numPr>
          <w:ilvl w:val="0"/>
          <w:numId w:val="5"/>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También lo es que no existe normatividad o precepto legal </w:t>
      </w:r>
      <w:r>
        <w:rPr>
          <w:rFonts w:ascii="Palatino Linotype" w:eastAsia="Palatino Linotype" w:hAnsi="Palatino Linotype" w:cs="Palatino Linotype"/>
          <w:b/>
          <w:bCs/>
          <w:color w:val="000000"/>
        </w:rPr>
        <w:t>que lo impida</w:t>
      </w:r>
      <w:r>
        <w:rPr>
          <w:rFonts w:ascii="Palatino Linotype" w:eastAsia="Palatino Linotype" w:hAnsi="Palatino Linotype" w:cs="Palatino Linotype"/>
          <w:color w:val="000000"/>
        </w:rPr>
        <w:t xml:space="preserve">, de modo tal que un pronunciamiento que de atención a lo requerido eventualmente puede colmar el cumplimiento de la presente resolución, lo cual no implica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procese la información.</w:t>
      </w:r>
    </w:p>
    <w:p w:rsidR="008857B2" w:rsidRDefault="008857B2">
      <w:pPr>
        <w:spacing w:line="360" w:lineRule="auto"/>
        <w:ind w:right="-787"/>
        <w:jc w:val="both"/>
        <w:rPr>
          <w:rFonts w:ascii="Palatino Linotype" w:eastAsia="Palatino Linotype" w:hAnsi="Palatino Linotype" w:cs="Palatino Linotype"/>
          <w:i/>
          <w:iCs/>
          <w:color w:val="000000"/>
        </w:rPr>
      </w:pPr>
    </w:p>
    <w:p w:rsidR="008857B2" w:rsidRDefault="00794414">
      <w:pPr>
        <w:numPr>
          <w:ilvl w:val="0"/>
          <w:numId w:val="5"/>
        </w:numP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rPr>
        <w:t xml:space="preserve">Por lo anterior  resulta necesario </w:t>
      </w:r>
      <w:r>
        <w:rPr>
          <w:rFonts w:ascii="Palatino Linotype" w:eastAsia="Palatino Linotype" w:hAnsi="Palatino Linotype" w:cs="Palatino Linotype"/>
          <w:color w:val="000000"/>
        </w:rPr>
        <w:t>puntualizar</w:t>
      </w:r>
      <w:r>
        <w:rPr>
          <w:rFonts w:ascii="Palatino Linotype" w:eastAsia="Palatino Linotype" w:hAnsi="Palatino Linotype" w:cs="Palatino Linotype"/>
        </w:rPr>
        <w:t xml:space="preserve"> con claridad que éste Órgano Protector del Derecho de Acceso a la Información no está facultado para pronunciarse sobre la veracidad de la información que los Sujetos Obligados ponen a disposición de los solicitantes; situación que se aleja de las atribuciones de este Instituto.</w:t>
      </w:r>
    </w:p>
    <w:p w:rsidR="008857B2" w:rsidRDefault="008857B2">
      <w:pPr>
        <w:pBdr>
          <w:top w:val="nil"/>
          <w:left w:val="nil"/>
          <w:bottom w:val="nil"/>
          <w:right w:val="nil"/>
          <w:between w:val="nil"/>
        </w:pBdr>
        <w:spacing w:line="360" w:lineRule="auto"/>
        <w:ind w:left="851" w:right="850"/>
        <w:jc w:val="both"/>
        <w:rPr>
          <w:rFonts w:ascii="Palatino Linotype" w:eastAsia="Palatino Linotype" w:hAnsi="Palatino Linotype" w:cs="Palatino Linotype"/>
          <w:i/>
          <w:iCs/>
          <w:color w:val="000000"/>
        </w:rPr>
      </w:pPr>
    </w:p>
    <w:p w:rsidR="008857B2" w:rsidRDefault="00794414">
      <w:pPr>
        <w:numPr>
          <w:ilvl w:val="0"/>
          <w:numId w:val="5"/>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mismo, la </w:t>
      </w:r>
      <w:r>
        <w:rPr>
          <w:rFonts w:ascii="Palatino Linotype" w:eastAsia="Palatino Linotype" w:hAnsi="Palatino Linotype" w:cs="Palatino Linotype"/>
          <w:b/>
          <w:bCs/>
        </w:rPr>
        <w:t>Ley de Transparencia y Acceso a la Información Pública del Estado de México y Municipios</w:t>
      </w:r>
      <w:r>
        <w:rPr>
          <w:rFonts w:ascii="Palatino Linotype" w:eastAsia="Palatino Linotype" w:hAnsi="Palatino Linotype" w:cs="Palatino Linotype"/>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w:t>
      </w:r>
      <w:r>
        <w:rPr>
          <w:rFonts w:ascii="Palatino Linotype" w:eastAsia="Palatino Linotype" w:hAnsi="Palatino Linotype" w:cs="Palatino Linotype"/>
          <w:b/>
          <w:bCs/>
        </w:rPr>
        <w:t>veracidad</w:t>
      </w:r>
      <w:r>
        <w:rPr>
          <w:rFonts w:ascii="Palatino Linotype" w:eastAsia="Palatino Linotype" w:hAnsi="Palatino Linotype" w:cs="Palatino Linotype"/>
        </w:rPr>
        <w:t>, oportunidad entre otros, numeral en comento que a la letra señala;</w:t>
      </w:r>
    </w:p>
    <w:p w:rsidR="008857B2" w:rsidRDefault="00794414">
      <w:pPr>
        <w:pBdr>
          <w:top w:val="nil"/>
          <w:left w:val="nil"/>
          <w:bottom w:val="nil"/>
          <w:right w:val="nil"/>
          <w:between w:val="nil"/>
        </w:pBdr>
        <w:ind w:left="646" w:right="-57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Pr>
          <w:rFonts w:ascii="Palatino Linotype" w:eastAsia="Palatino Linotype" w:hAnsi="Palatino Linotype" w:cs="Palatino Linotype"/>
          <w:b/>
          <w:bCs/>
          <w:i/>
          <w:iCs/>
          <w:color w:val="000000"/>
        </w:rPr>
        <w:t>Los Sujetos Obligados deben poner en práctica, políticas y programas de acceso a la información que se apeguen a criterios de publicidad, veracidad, oportunidad, precisión y suficiencia en beneficio de los solicitantes.</w:t>
      </w:r>
    </w:p>
    <w:p w:rsidR="008857B2" w:rsidRDefault="008857B2">
      <w:pPr>
        <w:spacing w:line="360" w:lineRule="auto"/>
        <w:jc w:val="both"/>
      </w:pPr>
    </w:p>
    <w:p w:rsidR="008857B2" w:rsidRDefault="00794414">
      <w:pPr>
        <w:numPr>
          <w:ilvl w:val="0"/>
          <w:numId w:val="5"/>
        </w:numPr>
        <w:spacing w:line="360" w:lineRule="auto"/>
        <w:ind w:left="0" w:right="-787" w:firstLine="0"/>
        <w:jc w:val="both"/>
      </w:pPr>
      <w:r>
        <w:rPr>
          <w:rFonts w:ascii="Palatino Linotype" w:eastAsia="Palatino Linotype" w:hAnsi="Palatino Linotype" w:cs="Palatino Linotype"/>
        </w:rPr>
        <w:t>Por lo anterior, éste Órgano Protector del Derecho de Acceso a la Información no está facultado para pronunciarse sobre la veracidad de la información que los Sujetos Obligados ponen a disposición de los solicitantes; situación que se aleja de las atribuciones de este Instituto.</w:t>
      </w:r>
    </w:p>
    <w:p w:rsidR="008857B2" w:rsidRDefault="008857B2">
      <w:pPr>
        <w:spacing w:line="360" w:lineRule="auto"/>
        <w:ind w:right="-787"/>
        <w:jc w:val="both"/>
      </w:pPr>
    </w:p>
    <w:p w:rsidR="008857B2" w:rsidRDefault="00794414">
      <w:pPr>
        <w:numPr>
          <w:ilvl w:val="0"/>
          <w:numId w:val="5"/>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Luego entonces la obligación</w:t>
      </w:r>
      <w:r>
        <w:rPr>
          <w:rFonts w:ascii="Palatino Linotype" w:eastAsia="Palatino Linotype" w:hAnsi="Palatino Linotype" w:cs="Palatino Linotype"/>
          <w:color w:val="000000"/>
        </w:rPr>
        <w:t xml:space="preserve"> de los Sujetos Obligados de dar acceso a la información pública que </w:t>
      </w:r>
      <w:r>
        <w:rPr>
          <w:rFonts w:ascii="Palatino Linotype" w:eastAsia="Palatino Linotype" w:hAnsi="Palatino Linotype" w:cs="Palatino Linotype"/>
        </w:rPr>
        <w:t>generen</w:t>
      </w:r>
      <w:r>
        <w:rPr>
          <w:rFonts w:ascii="Palatino Linotype" w:eastAsia="Palatino Linotype" w:hAnsi="Palatino Linotype" w:cs="Palatino Linotype"/>
          <w:color w:val="000000"/>
        </w:rPr>
        <w:t xml:space="preserve">, administren o posean, se tendrá por cumplida cuando </w:t>
      </w:r>
      <w:r>
        <w:rPr>
          <w:rFonts w:ascii="Palatino Linotype" w:eastAsia="Palatino Linotype" w:hAnsi="Palatino Linotype" w:cs="Palatino Linotype"/>
          <w:b/>
          <w:bCs/>
          <w:color w:val="000000"/>
        </w:rPr>
        <w:t>el solicitante tenga a su disposición la información requerida, como ha sucedido al caso concreto</w:t>
      </w:r>
      <w:r>
        <w:rPr>
          <w:rFonts w:ascii="Palatino Linotype" w:eastAsia="Palatino Linotype" w:hAnsi="Palatino Linotype" w:cs="Palatino Linotype"/>
          <w:color w:val="000000"/>
        </w:rPr>
        <w:t xml:space="preserve">, en consecuencia, </w:t>
      </w:r>
      <w:r>
        <w:rPr>
          <w:rFonts w:ascii="Palatino Linotype" w:eastAsia="Palatino Linotype" w:hAnsi="Palatino Linotype" w:cs="Palatino Linotype"/>
        </w:rPr>
        <w:t>el punto de</w:t>
      </w:r>
      <w:r>
        <w:rPr>
          <w:rFonts w:ascii="Palatino Linotype" w:eastAsia="Palatino Linotype" w:hAnsi="Palatino Linotype" w:cs="Palatino Linotype"/>
          <w:color w:val="000000"/>
        </w:rPr>
        <w:t xml:space="preserve"> solicitud de información </w:t>
      </w:r>
      <w:r>
        <w:rPr>
          <w:rFonts w:ascii="Palatino Linotype" w:eastAsia="Palatino Linotype" w:hAnsi="Palatino Linotype" w:cs="Palatino Linotype"/>
          <w:b/>
          <w:bCs/>
          <w:color w:val="000000"/>
        </w:rPr>
        <w:t>ha quedado satisfecho</w:t>
      </w:r>
      <w:r>
        <w:rPr>
          <w:rFonts w:ascii="Palatino Linotype" w:eastAsia="Palatino Linotype" w:hAnsi="Palatino Linotype" w:cs="Palatino Linotype"/>
          <w:color w:val="000000"/>
        </w:rPr>
        <w:t>.</w:t>
      </w:r>
      <w:r>
        <w:rPr>
          <w:rFonts w:ascii="Palatino Linotype" w:eastAsia="Palatino Linotype" w:hAnsi="Palatino Linotype" w:cs="Palatino Linotype"/>
          <w:i/>
          <w:iCs/>
          <w:color w:val="000000"/>
        </w:rPr>
        <w:t xml:space="preserve"> </w:t>
      </w:r>
    </w:p>
    <w:p w:rsidR="008857B2" w:rsidRDefault="008857B2">
      <w:pPr>
        <w:spacing w:line="360" w:lineRule="auto"/>
        <w:ind w:right="-787"/>
        <w:jc w:val="both"/>
        <w:rPr>
          <w:rFonts w:ascii="Palatino Linotype" w:eastAsia="Palatino Linotype" w:hAnsi="Palatino Linotype" w:cs="Palatino Linotype"/>
          <w:color w:val="000000"/>
        </w:rPr>
      </w:pPr>
    </w:p>
    <w:p w:rsidR="008857B2" w:rsidRDefault="00794414">
      <w:pPr>
        <w:numPr>
          <w:ilvl w:val="0"/>
          <w:numId w:val="5"/>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lo que respecta al punto de solicitud </w:t>
      </w:r>
      <w:r>
        <w:rPr>
          <w:rFonts w:ascii="Palatino Linotype" w:eastAsia="Palatino Linotype" w:hAnsi="Palatino Linotype" w:cs="Palatino Linotype"/>
          <w:i/>
          <w:iCs/>
          <w:color w:val="000000"/>
          <w:u w:val="single"/>
        </w:rPr>
        <w:t>En caso de que no funcione alguno, fundamento legal o acuerdo de cabildo, que autorice la dispersión de combustible</w:t>
      </w:r>
      <w:r>
        <w:rPr>
          <w:rFonts w:ascii="Palatino Linotype" w:eastAsia="Palatino Linotype" w:hAnsi="Palatino Linotype" w:cs="Palatino Linotype"/>
          <w:color w:val="000000"/>
        </w:rPr>
        <w:t xml:space="preserve">, el Sujeto Obligado no emitió </w:t>
      </w:r>
      <w:r>
        <w:rPr>
          <w:rFonts w:ascii="Palatino Linotype" w:eastAsia="Palatino Linotype" w:hAnsi="Palatino Linotype" w:cs="Palatino Linotype"/>
          <w:color w:val="000000"/>
        </w:rPr>
        <w:lastRenderedPageBreak/>
        <w:t>pronunciamiento alguno al respecto, por lo que reiterando que la Dirección General de Administración es la unidad administrativa encargada de crear los mecanismos para dotar de combustible al parque vehicular y maquinaria del Ayuntamiento, conforme a los controles establecidos, y la Dirección de Servicios Generales de desarrollar, implementar y supervisar las actividades relativas a la dotación de combustible, gasolina y diésel al parque vehicular del Ayuntamiento.</w:t>
      </w:r>
    </w:p>
    <w:p w:rsidR="008857B2" w:rsidRDefault="008857B2">
      <w:pPr>
        <w:spacing w:line="360" w:lineRule="auto"/>
        <w:ind w:right="-787"/>
        <w:jc w:val="both"/>
        <w:rPr>
          <w:rFonts w:ascii="Palatino Linotype" w:eastAsia="Palatino Linotype" w:hAnsi="Palatino Linotype" w:cs="Palatino Linotype"/>
          <w:color w:val="000000"/>
        </w:rPr>
      </w:pPr>
    </w:p>
    <w:p w:rsidR="008857B2" w:rsidRDefault="00794414">
      <w:pPr>
        <w:numPr>
          <w:ilvl w:val="0"/>
          <w:numId w:val="5"/>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 de mencionar que, el ACUERDO POR EL QUE SE ESTABLECEN LAS POLÍTICAS, BASES Y LINEAMIENTOS, EN MATERIA DE ADQUISICIONES, ENAJENACIONES, ARRENDAMIENTOS Y SERVICIOS DE LAS DEPENDENCIAS, ORGANISMOS AUXILIARES Y TRIBUNALES ADMINISTRATIVOS DEL PODER EJECUTIVO DEL ESTADO DE MEXICO, en el lineamiento relativo a COMBUSTIBLES, LUBRICANTES Y ADITIVOS, específicamente el POBALIN-103 establece que lo siguiente:</w:t>
      </w:r>
    </w:p>
    <w:p w:rsidR="008857B2" w:rsidRDefault="00794414">
      <w:pPr>
        <w:pBdr>
          <w:top w:val="nil"/>
          <w:left w:val="nil"/>
          <w:bottom w:val="nil"/>
          <w:right w:val="nil"/>
          <w:between w:val="nil"/>
        </w:pBdr>
        <w:ind w:left="646" w:right="-574"/>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POBALI N-103 </w:t>
      </w:r>
    </w:p>
    <w:p w:rsidR="008857B2" w:rsidRDefault="008857B2">
      <w:pPr>
        <w:pBdr>
          <w:top w:val="nil"/>
          <w:left w:val="nil"/>
          <w:bottom w:val="nil"/>
          <w:right w:val="nil"/>
          <w:between w:val="nil"/>
        </w:pBdr>
        <w:ind w:left="646" w:right="-574"/>
        <w:jc w:val="both"/>
        <w:rPr>
          <w:rFonts w:ascii="Palatino Linotype" w:eastAsia="Palatino Linotype" w:hAnsi="Palatino Linotype" w:cs="Palatino Linotype"/>
          <w:i/>
          <w:iCs/>
          <w:color w:val="000000"/>
        </w:rPr>
      </w:pPr>
    </w:p>
    <w:p w:rsidR="008857B2" w:rsidRDefault="00794414">
      <w:pPr>
        <w:pBdr>
          <w:top w:val="nil"/>
          <w:left w:val="nil"/>
          <w:bottom w:val="nil"/>
          <w:right w:val="nil"/>
          <w:between w:val="nil"/>
        </w:pBdr>
        <w:ind w:left="646" w:right="-57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Los titulares de las unidades administrativas serán responsables de supervisar que los odómetros de los vehículos de trabajo se encuentren en condiciones óptimas de funcionamiento, y que las lecturas de los mismos correspondan a los registrados por los usuarios en el sistema que opera para el control del combustible. </w:t>
      </w:r>
    </w:p>
    <w:p w:rsidR="008857B2" w:rsidRDefault="008857B2">
      <w:pPr>
        <w:pBdr>
          <w:top w:val="nil"/>
          <w:left w:val="nil"/>
          <w:bottom w:val="nil"/>
          <w:right w:val="nil"/>
          <w:between w:val="nil"/>
        </w:pBdr>
        <w:ind w:left="646" w:right="-574"/>
        <w:jc w:val="both"/>
        <w:rPr>
          <w:rFonts w:ascii="Palatino Linotype" w:eastAsia="Palatino Linotype" w:hAnsi="Palatino Linotype" w:cs="Palatino Linotype"/>
          <w:i/>
          <w:iCs/>
          <w:color w:val="000000"/>
        </w:rPr>
      </w:pPr>
    </w:p>
    <w:p w:rsidR="008857B2" w:rsidRDefault="00794414">
      <w:pPr>
        <w:pBdr>
          <w:top w:val="nil"/>
          <w:left w:val="nil"/>
          <w:bottom w:val="nil"/>
          <w:right w:val="nil"/>
          <w:between w:val="nil"/>
        </w:pBdr>
        <w:ind w:left="646" w:right="-57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Si de las supervisiones que se realicen, se desprende que los odómetros de los vehículos de trabajo no funcionan, se ordenará su reparación inmediata. </w:t>
      </w:r>
    </w:p>
    <w:p w:rsidR="008857B2" w:rsidRDefault="008857B2">
      <w:pPr>
        <w:pBdr>
          <w:top w:val="nil"/>
          <w:left w:val="nil"/>
          <w:bottom w:val="nil"/>
          <w:right w:val="nil"/>
          <w:between w:val="nil"/>
        </w:pBdr>
        <w:ind w:left="646" w:right="-574"/>
        <w:jc w:val="both"/>
        <w:rPr>
          <w:rFonts w:ascii="Palatino Linotype" w:eastAsia="Palatino Linotype" w:hAnsi="Palatino Linotype" w:cs="Palatino Linotype"/>
          <w:i/>
          <w:iCs/>
          <w:color w:val="000000"/>
        </w:rPr>
      </w:pPr>
    </w:p>
    <w:p w:rsidR="008857B2" w:rsidRDefault="00794414">
      <w:pPr>
        <w:pBdr>
          <w:top w:val="nil"/>
          <w:left w:val="nil"/>
          <w:bottom w:val="nil"/>
          <w:right w:val="nil"/>
          <w:between w:val="nil"/>
        </w:pBdr>
        <w:ind w:left="646" w:right="-574"/>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De no acreditarse las reparaciones dentro de tres días hábiles siguientes contados a partir de la fecha de la supervisión, la Coordinación Administrativa o su equivalente podrán suspender la dotación del suministro que corresponda a dicho vehículo.</w:t>
      </w:r>
    </w:p>
    <w:p w:rsidR="008857B2" w:rsidRDefault="008857B2">
      <w:pPr>
        <w:spacing w:line="360" w:lineRule="auto"/>
        <w:ind w:right="-787"/>
        <w:jc w:val="both"/>
        <w:rPr>
          <w:rFonts w:ascii="Palatino Linotype" w:eastAsia="Palatino Linotype" w:hAnsi="Palatino Linotype" w:cs="Palatino Linotype"/>
          <w:color w:val="000000"/>
        </w:rPr>
      </w:pPr>
    </w:p>
    <w:p w:rsidR="008857B2" w:rsidRDefault="00794414">
      <w:pPr>
        <w:numPr>
          <w:ilvl w:val="0"/>
          <w:numId w:val="5"/>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decir que las unidades administrativas serán las responsables de supervisar el funcionamiento de los odómetros y las lecturas correspondan al control del combustible, </w:t>
      </w:r>
      <w:r>
        <w:rPr>
          <w:rFonts w:ascii="Palatino Linotype" w:eastAsia="Palatino Linotype" w:hAnsi="Palatino Linotype" w:cs="Palatino Linotype"/>
          <w:color w:val="000000"/>
        </w:rPr>
        <w:lastRenderedPageBreak/>
        <w:t xml:space="preserve">especificando que cuando no funcionen se deberán reparar de manera inmediata, dejando a arbitrio de las unidades administrativas </w:t>
      </w:r>
      <w:r>
        <w:rPr>
          <w:rFonts w:ascii="Palatino Linotype" w:eastAsia="Palatino Linotype" w:hAnsi="Palatino Linotype" w:cs="Palatino Linotype"/>
        </w:rPr>
        <w:t>encargadas</w:t>
      </w:r>
      <w:r>
        <w:rPr>
          <w:rFonts w:ascii="Palatino Linotype" w:eastAsia="Palatino Linotype" w:hAnsi="Palatino Linotype" w:cs="Palatino Linotype"/>
          <w:color w:val="000000"/>
        </w:rPr>
        <w:t xml:space="preserve"> de la dotación de combustible, suspender la dotación de suministro de combustible, cuando no se haya realizado la reparación.</w:t>
      </w:r>
    </w:p>
    <w:p w:rsidR="008857B2" w:rsidRDefault="008857B2">
      <w:pPr>
        <w:spacing w:line="360" w:lineRule="auto"/>
        <w:ind w:right="-787"/>
        <w:jc w:val="both"/>
        <w:rPr>
          <w:rFonts w:ascii="Palatino Linotype" w:eastAsia="Palatino Linotype" w:hAnsi="Palatino Linotype" w:cs="Palatino Linotype"/>
          <w:color w:val="000000"/>
        </w:rPr>
      </w:pPr>
    </w:p>
    <w:p w:rsidR="008857B2" w:rsidRDefault="00794414">
      <w:pPr>
        <w:numPr>
          <w:ilvl w:val="0"/>
          <w:numId w:val="5"/>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lo que la suspensión del suministro de combustible en el caso expuesto, no es una obligación legal administrativa, sino por el contrario, una decisión de la autoridad competente.</w:t>
      </w:r>
    </w:p>
    <w:p w:rsidR="008857B2" w:rsidRDefault="008857B2">
      <w:pPr>
        <w:spacing w:line="360" w:lineRule="auto"/>
        <w:ind w:right="-787"/>
        <w:jc w:val="both"/>
        <w:rPr>
          <w:rFonts w:ascii="Palatino Linotype" w:eastAsia="Palatino Linotype" w:hAnsi="Palatino Linotype" w:cs="Palatino Linotype"/>
          <w:color w:val="000000"/>
        </w:rPr>
      </w:pPr>
    </w:p>
    <w:p w:rsidR="008857B2" w:rsidRDefault="00794414">
      <w:pPr>
        <w:numPr>
          <w:ilvl w:val="0"/>
          <w:numId w:val="5"/>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Ahora bien, al no haber pronunciamiento por el Sujeto Obligado respecto de este punto de solicitud es dable </w:t>
      </w:r>
      <w:r>
        <w:rPr>
          <w:rFonts w:ascii="Palatino Linotype" w:eastAsia="Palatino Linotype" w:hAnsi="Palatino Linotype" w:cs="Palatino Linotype"/>
          <w:b/>
          <w:bCs/>
          <w:color w:val="000000"/>
        </w:rPr>
        <w:t xml:space="preserve">ORDENAR </w:t>
      </w:r>
      <w:r>
        <w:rPr>
          <w:rFonts w:ascii="Palatino Linotype" w:eastAsia="Palatino Linotype" w:hAnsi="Palatino Linotype" w:cs="Palatino Linotype"/>
          <w:color w:val="000000"/>
        </w:rPr>
        <w:t xml:space="preserve">previa búsqueda exhaustiva y razonable, de ser procedente en versión pública, la entrega del </w:t>
      </w:r>
      <w:r>
        <w:rPr>
          <w:rFonts w:ascii="Palatino Linotype" w:eastAsia="Palatino Linotype" w:hAnsi="Palatino Linotype" w:cs="Palatino Linotype"/>
          <w:b/>
          <w:bCs/>
          <w:color w:val="000000"/>
        </w:rPr>
        <w:t>documento en el que conste o se advierta el</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 xml:space="preserve">fundamento legal o acuerdo de cabildo, que autorice la dispersión de combustible a unidades vehiculares con odómetro inoperante. </w:t>
      </w:r>
      <w:r>
        <w:rPr>
          <w:rFonts w:ascii="Palatino Linotype" w:eastAsia="Palatino Linotype" w:hAnsi="Palatino Linotype" w:cs="Palatino Linotype"/>
        </w:rPr>
        <w:t xml:space="preserve">Para el caso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luego de la búsqueda exhaustiva y razonable no cuente con la información que se ordena su entrega por no haberse generado, poseído o administrado, bastará que lo haga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al momento de dar cumplimiento a la presente Resolución, en términos del artículo 19, párrafo segundo, de la Ley de Transparencia y Acceso a la Información Pública del Estado de México y Municipios.</w:t>
      </w:r>
    </w:p>
    <w:p w:rsidR="008857B2" w:rsidRDefault="008857B2">
      <w:pPr>
        <w:spacing w:line="360" w:lineRule="auto"/>
        <w:ind w:right="-787"/>
        <w:jc w:val="both"/>
        <w:rPr>
          <w:rFonts w:ascii="Palatino Linotype" w:eastAsia="Palatino Linotype" w:hAnsi="Palatino Linotype" w:cs="Palatino Linotype"/>
        </w:rPr>
      </w:pPr>
    </w:p>
    <w:p w:rsidR="008857B2" w:rsidRDefault="00794414">
      <w:pPr>
        <w:numPr>
          <w:ilvl w:val="0"/>
          <w:numId w:val="5"/>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En cuanto al punto de solicitud </w:t>
      </w:r>
      <w:r>
        <w:rPr>
          <w:rFonts w:ascii="Palatino Linotype" w:eastAsia="Palatino Linotype" w:hAnsi="Palatino Linotype" w:cs="Palatino Linotype"/>
          <w:i/>
          <w:iCs/>
          <w:color w:val="000000"/>
          <w:u w:val="single"/>
        </w:rPr>
        <w:t>Cuál es el método de comprobación oficial</w:t>
      </w:r>
      <w:r>
        <w:rPr>
          <w:rFonts w:ascii="Palatino Linotype" w:eastAsia="Palatino Linotype" w:hAnsi="Palatino Linotype" w:cs="Palatino Linotype"/>
          <w:color w:val="000000"/>
        </w:rPr>
        <w:t xml:space="preserve">, es de recordar que el Sujeto Obligado no emitió pronunciamiento al respecto, por lo que del análisis de la normatividad abordada previamente, el </w:t>
      </w:r>
      <w:r>
        <w:rPr>
          <w:rFonts w:ascii="Palatino Linotype" w:eastAsia="Palatino Linotype" w:hAnsi="Palatino Linotype" w:cs="Palatino Linotype"/>
          <w:b/>
          <w:bCs/>
        </w:rPr>
        <w:t xml:space="preserve">Departamento de Mantenimiento Vehicular y Control de Combustible, </w:t>
      </w:r>
      <w:r>
        <w:rPr>
          <w:rFonts w:ascii="Palatino Linotype" w:eastAsia="Palatino Linotype" w:hAnsi="Palatino Linotype" w:cs="Palatino Linotype"/>
        </w:rPr>
        <w:t xml:space="preserve">tiene como objetivo Administrar y supervisar el uso y mantenimiento de los vehículos del Ayuntamiento, asegurando su correcto funcionamiento y </w:t>
      </w:r>
      <w:r>
        <w:rPr>
          <w:rFonts w:ascii="Palatino Linotype" w:eastAsia="Palatino Linotype" w:hAnsi="Palatino Linotype" w:cs="Palatino Linotype"/>
        </w:rPr>
        <w:lastRenderedPageBreak/>
        <w:t>disponibilidad para las actividades requeridas, garantizando la dotación de combustible, y cuyas funciones son las siguientes:</w:t>
      </w: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Funciones:</w:t>
      </w: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7. Organizar y revisar las solicitudes de combustible enviadas mediante oficio a la Dirección General de Administración por las unidades administrativas del Ayuntamiento; </w:t>
      </w: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8. Controlar y validar la asignación del suministro de combustible a las unidades vehiculares de acuerdo a las necesidades y operatividad de cada unidad administrativa, conforme a su solicitud, dicha asignación es enviada a la estación de servicio especificando los días e importe de carga; </w:t>
      </w: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9. Revisar y cotejar los tickets de combustible de las cargas realizadas contra los consumos enviados por la estación de servicio; </w:t>
      </w: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10. Conjuntar y organizar las cargas realizadas, para la elaboración de las bitácoras de comprobación de combustible; las cuales son firmadas por las unidades administrativos y los usuarios de las unidades vehiculares;</w:t>
      </w:r>
    </w:p>
    <w:p w:rsidR="008857B2" w:rsidRDefault="00794414">
      <w:pPr>
        <w:ind w:left="567" w:right="-716"/>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8857B2" w:rsidRDefault="008857B2">
      <w:pPr>
        <w:ind w:left="567" w:right="-716"/>
        <w:jc w:val="both"/>
        <w:rPr>
          <w:rFonts w:ascii="Palatino Linotype" w:eastAsia="Palatino Linotype" w:hAnsi="Palatino Linotype" w:cs="Palatino Linotype"/>
          <w:i/>
          <w:iCs/>
        </w:rPr>
      </w:pPr>
    </w:p>
    <w:p w:rsidR="008857B2" w:rsidRDefault="00794414">
      <w:pPr>
        <w:numPr>
          <w:ilvl w:val="0"/>
          <w:numId w:val="5"/>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 así que en el Departamento de Mantenimiento Vehicular y Control de Combustible, respecto del control del suministro de combustible tiene las funciones de:</w:t>
      </w:r>
    </w:p>
    <w:p w:rsidR="008857B2" w:rsidRDefault="00794414">
      <w:pPr>
        <w:numPr>
          <w:ilvl w:val="1"/>
          <w:numId w:val="11"/>
        </w:numP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Organizar y revisar las solicitudes de combustible.</w:t>
      </w:r>
    </w:p>
    <w:p w:rsidR="008857B2" w:rsidRDefault="00794414">
      <w:pPr>
        <w:numPr>
          <w:ilvl w:val="1"/>
          <w:numId w:val="11"/>
        </w:numP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Controlar y validar la asignación del suministro de combustible.</w:t>
      </w:r>
    </w:p>
    <w:p w:rsidR="008857B2" w:rsidRDefault="00794414">
      <w:pPr>
        <w:numPr>
          <w:ilvl w:val="1"/>
          <w:numId w:val="11"/>
        </w:numP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Revisar y cotejar los tickets de combustible de las cargas realizadas contra los consumos enviados por la estación de servicio.</w:t>
      </w:r>
    </w:p>
    <w:p w:rsidR="008857B2" w:rsidRDefault="00794414">
      <w:pPr>
        <w:numPr>
          <w:ilvl w:val="1"/>
          <w:numId w:val="11"/>
        </w:numP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Conjuntar y organizar las cargas realizadas, para la elaboración de las bitácoras de comprobación de combustible.</w:t>
      </w:r>
    </w:p>
    <w:p w:rsidR="008857B2" w:rsidRDefault="008857B2">
      <w:pPr>
        <w:spacing w:line="360" w:lineRule="auto"/>
        <w:ind w:left="1440" w:right="-787"/>
        <w:jc w:val="both"/>
        <w:rPr>
          <w:rFonts w:ascii="Palatino Linotype" w:eastAsia="Palatino Linotype" w:hAnsi="Palatino Linotype" w:cs="Palatino Linotype"/>
          <w:color w:val="000000"/>
        </w:rPr>
      </w:pPr>
    </w:p>
    <w:p w:rsidR="008857B2" w:rsidRDefault="00794414">
      <w:pPr>
        <w:numPr>
          <w:ilvl w:val="0"/>
          <w:numId w:val="5"/>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lo que se advierte que el Departamento de Mantenimiento Vehicular y Control de Combustible, es la unidad administrativa encargada de elaborar las bitácoras de comprobación de combustible.</w:t>
      </w:r>
    </w:p>
    <w:p w:rsidR="008857B2" w:rsidRDefault="008857B2">
      <w:pPr>
        <w:spacing w:line="360" w:lineRule="auto"/>
        <w:ind w:right="-787"/>
        <w:jc w:val="both"/>
        <w:rPr>
          <w:rFonts w:ascii="Palatino Linotype" w:eastAsia="Palatino Linotype" w:hAnsi="Palatino Linotype" w:cs="Palatino Linotype"/>
          <w:color w:val="000000"/>
        </w:rPr>
      </w:pPr>
    </w:p>
    <w:p w:rsidR="008857B2" w:rsidRDefault="00794414">
      <w:pPr>
        <w:numPr>
          <w:ilvl w:val="0"/>
          <w:numId w:val="5"/>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Asimismo el POBALIN-101 de los lineamientos antes citados, precisa que será responsabilidad de los titulares de las unidades administrativas vigilar el adecuado consumo de combustibles, lubricantes y aditivos, cotejando los ticket que emite el sistema para el control de combustibles, con el que emite la bomba de las estaciones de servicio.</w:t>
      </w:r>
    </w:p>
    <w:p w:rsidR="008857B2" w:rsidRDefault="008857B2">
      <w:pPr>
        <w:spacing w:line="360" w:lineRule="auto"/>
        <w:ind w:right="-787"/>
        <w:jc w:val="both"/>
        <w:rPr>
          <w:rFonts w:ascii="Palatino Linotype" w:eastAsia="Palatino Linotype" w:hAnsi="Palatino Linotype" w:cs="Palatino Linotype"/>
          <w:color w:val="000000"/>
        </w:rPr>
      </w:pPr>
    </w:p>
    <w:p w:rsidR="008857B2" w:rsidRDefault="00794414">
      <w:pPr>
        <w:numPr>
          <w:ilvl w:val="0"/>
          <w:numId w:val="5"/>
        </w:numP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Es así que se presume que la información debe existir al </w:t>
      </w:r>
      <w:r>
        <w:rPr>
          <w:rFonts w:ascii="Palatino Linotype" w:eastAsia="Palatino Linotype" w:hAnsi="Palatino Linotype" w:cs="Palatino Linotype"/>
        </w:rPr>
        <w:t>referirse</w:t>
      </w:r>
      <w:r>
        <w:rPr>
          <w:rFonts w:ascii="Palatino Linotype" w:eastAsia="Palatino Linotype" w:hAnsi="Palatino Linotype" w:cs="Palatino Linotype"/>
          <w:color w:val="000000"/>
        </w:rPr>
        <w:t xml:space="preserve"> a las facultades, competencias y funciones que los ordenamientos jurídicos aplicables otorgan a los sujetos obligados. Por lo que es dable </w:t>
      </w:r>
      <w:r>
        <w:rPr>
          <w:rFonts w:ascii="Palatino Linotype" w:eastAsia="Palatino Linotype" w:hAnsi="Palatino Linotype" w:cs="Palatino Linotype"/>
          <w:b/>
          <w:bCs/>
          <w:color w:val="000000"/>
        </w:rPr>
        <w:t>ORDENAR</w:t>
      </w:r>
      <w:r>
        <w:rPr>
          <w:rFonts w:ascii="Palatino Linotype" w:eastAsia="Palatino Linotype" w:hAnsi="Palatino Linotype" w:cs="Palatino Linotype"/>
          <w:color w:val="000000"/>
        </w:rPr>
        <w:t xml:space="preserve"> el </w:t>
      </w:r>
      <w:r>
        <w:rPr>
          <w:rFonts w:ascii="Palatino Linotype" w:eastAsia="Palatino Linotype" w:hAnsi="Palatino Linotype" w:cs="Palatino Linotype"/>
          <w:b/>
          <w:bCs/>
          <w:color w:val="000000"/>
        </w:rPr>
        <w:t>documento en el que conste o se advierta el método de comprobación de combustible.</w:t>
      </w:r>
    </w:p>
    <w:p w:rsidR="008857B2" w:rsidRDefault="008857B2">
      <w:pPr>
        <w:spacing w:line="360" w:lineRule="auto"/>
        <w:ind w:right="-787"/>
        <w:jc w:val="both"/>
        <w:rPr>
          <w:rFonts w:ascii="Palatino Linotype" w:eastAsia="Palatino Linotype" w:hAnsi="Palatino Linotype" w:cs="Palatino Linotype"/>
          <w:color w:val="000000"/>
        </w:rPr>
      </w:pPr>
    </w:p>
    <w:p w:rsidR="008857B2" w:rsidRDefault="00794414">
      <w:pPr>
        <w:numPr>
          <w:ilvl w:val="0"/>
          <w:numId w:val="5"/>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Bajo</w:t>
      </w:r>
      <w:r>
        <w:rPr>
          <w:rFonts w:ascii="Palatino Linotype" w:eastAsia="Palatino Linotype" w:hAnsi="Palatino Linotype" w:cs="Palatino Linotype"/>
          <w:color w:val="000000"/>
        </w:rPr>
        <w:t xml:space="preserve"> ese </w:t>
      </w:r>
      <w:r>
        <w:rPr>
          <w:rFonts w:ascii="Palatino Linotype" w:eastAsia="Palatino Linotype" w:hAnsi="Palatino Linotype" w:cs="Palatino Linotype"/>
        </w:rPr>
        <w:t>contexto</w:t>
      </w:r>
      <w:r>
        <w:rPr>
          <w:rFonts w:ascii="Palatino Linotype" w:eastAsia="Palatino Linotype" w:hAnsi="Palatino Linotype" w:cs="Palatino Linotype"/>
          <w:color w:val="000000"/>
        </w:rPr>
        <w:t xml:space="preserve">, se considera que, el Sujeto Obligado deberá hacer una </w:t>
      </w:r>
      <w:r>
        <w:rPr>
          <w:rFonts w:ascii="Palatino Linotype" w:eastAsia="Palatino Linotype" w:hAnsi="Palatino Linotype" w:cs="Palatino Linotype"/>
          <w:b/>
          <w:bCs/>
          <w:color w:val="000000"/>
        </w:rPr>
        <w:t>nueva búsqueda exhaustiva y razonable</w:t>
      </w:r>
      <w:r>
        <w:rPr>
          <w:rFonts w:ascii="Palatino Linotype" w:eastAsia="Palatino Linotype" w:hAnsi="Palatino Linotype" w:cs="Palatino Linotype"/>
          <w:color w:val="000000"/>
        </w:rPr>
        <w:t xml:space="preserve"> de la información en las unidades administrativas competentes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pues se presume que la información debe existir ya que se refiere a facultades, competencias y funciones que los ordenamientos jurídicos aplicables otorgan al Sujeto Obligado; por lo tanto </w:t>
      </w:r>
      <w:r>
        <w:rPr>
          <w:rFonts w:ascii="Palatino Linotype" w:eastAsia="Palatino Linotype" w:hAnsi="Palatino Linotype" w:cs="Palatino Linotype"/>
          <w:b/>
          <w:bCs/>
          <w:color w:val="000000"/>
        </w:rPr>
        <w:t>deberá realizar una nueva búsqueda con la finalidad de entregar la información que resulta de interés para</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con la finalidad de dar certeza que se realizó una correcta búsqueda de la información requerida.</w:t>
      </w:r>
    </w:p>
    <w:p w:rsidR="008857B2" w:rsidRDefault="008857B2">
      <w:pPr>
        <w:spacing w:line="360" w:lineRule="auto"/>
        <w:ind w:right="-787"/>
        <w:jc w:val="both"/>
        <w:rPr>
          <w:rFonts w:ascii="Palatino Linotype" w:eastAsia="Palatino Linotype" w:hAnsi="Palatino Linotype" w:cs="Palatino Linotype"/>
          <w:color w:val="000000"/>
        </w:rPr>
      </w:pPr>
    </w:p>
    <w:p w:rsidR="008857B2" w:rsidRDefault="00794414">
      <w:pPr>
        <w:numPr>
          <w:ilvl w:val="0"/>
          <w:numId w:val="5"/>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Resultando </w:t>
      </w:r>
      <w:r>
        <w:rPr>
          <w:rFonts w:ascii="Palatino Linotype" w:eastAsia="Palatino Linotype" w:hAnsi="Palatino Linotype" w:cs="Palatino Linotype"/>
        </w:rPr>
        <w:t>aplicable</w:t>
      </w:r>
      <w:r>
        <w:rPr>
          <w:rFonts w:ascii="Palatino Linotype" w:eastAsia="Palatino Linotype" w:hAnsi="Palatino Linotype" w:cs="Palatino Linotype"/>
          <w:color w:val="000000"/>
        </w:rPr>
        <w:t xml:space="preserve"> el Criterio orientador 02/17 emitido por el Pleno del Instituto Nacional de Transparencia y Acceso a la Información y Protección de Datos Personales, de título y texto siguientes:</w:t>
      </w:r>
    </w:p>
    <w:p w:rsidR="008857B2" w:rsidRDefault="00794414">
      <w:pPr>
        <w:pBdr>
          <w:top w:val="nil"/>
          <w:left w:val="nil"/>
          <w:bottom w:val="nil"/>
          <w:right w:val="nil"/>
          <w:between w:val="nil"/>
        </w:pBdr>
        <w:ind w:left="851" w:right="-433"/>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 “Congruencia y exhaustividad. Sus alcances para garantizar el derecho de acceso a la información. </w:t>
      </w:r>
      <w:r>
        <w:rPr>
          <w:rFonts w:ascii="Palatino Linotype" w:eastAsia="Palatino Linotype" w:hAnsi="Palatino Linotype" w:cs="Palatino Linotype"/>
          <w:i/>
          <w:iCs/>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w:t>
      </w:r>
      <w:r>
        <w:rPr>
          <w:rFonts w:ascii="Palatino Linotype" w:eastAsia="Palatino Linotype" w:hAnsi="Palatino Linotype" w:cs="Palatino Linotype"/>
          <w:i/>
          <w:iCs/>
        </w:rPr>
        <w:lastRenderedPageBreak/>
        <w:t xml:space="preserve">acceso a la información, </w:t>
      </w:r>
      <w:r>
        <w:rPr>
          <w:rFonts w:ascii="Palatino Linotype" w:eastAsia="Palatino Linotype" w:hAnsi="Palatino Linotype" w:cs="Palatino Linotype"/>
          <w:b/>
          <w:bCs/>
          <w:i/>
          <w:iCs/>
        </w:rPr>
        <w:t>la congruencia implica que exista concordancia entre el requerimiento formulado por el particular y la respuesta proporcionada por el sujeto obligado</w:t>
      </w:r>
      <w:r>
        <w:rPr>
          <w:rFonts w:ascii="Palatino Linotype" w:eastAsia="Palatino Linotype" w:hAnsi="Palatino Linotype" w:cs="Palatino Linotype"/>
          <w:i/>
          <w:iCs/>
        </w:rPr>
        <w:t xml:space="preserve">; mientras que </w:t>
      </w:r>
      <w:r>
        <w:rPr>
          <w:rFonts w:ascii="Palatino Linotype" w:eastAsia="Palatino Linotype" w:hAnsi="Palatino Linotype" w:cs="Palatino Linotype"/>
          <w:b/>
          <w:bCs/>
          <w:i/>
          <w:iCs/>
        </w:rPr>
        <w:t>la exhaustividad significa que dicha respuesta se refiera expresamente a cada uno de los puntos solicitados</w:t>
      </w:r>
      <w:r>
        <w:rPr>
          <w:rFonts w:ascii="Palatino Linotype" w:eastAsia="Palatino Linotype" w:hAnsi="Palatino Linotype" w:cs="Palatino Linotype"/>
          <w:i/>
          <w:iCs/>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8857B2" w:rsidRDefault="008857B2">
      <w:pPr>
        <w:pBdr>
          <w:top w:val="nil"/>
          <w:left w:val="nil"/>
          <w:bottom w:val="nil"/>
          <w:right w:val="nil"/>
          <w:between w:val="nil"/>
        </w:pBdr>
        <w:ind w:right="-433"/>
        <w:jc w:val="both"/>
        <w:rPr>
          <w:rFonts w:ascii="Palatino Linotype" w:eastAsia="Palatino Linotype" w:hAnsi="Palatino Linotype" w:cs="Palatino Linotype"/>
          <w:i/>
          <w:iCs/>
        </w:rPr>
      </w:pPr>
    </w:p>
    <w:p w:rsidR="008857B2" w:rsidRDefault="008857B2">
      <w:pPr>
        <w:pBdr>
          <w:top w:val="nil"/>
          <w:left w:val="nil"/>
          <w:bottom w:val="nil"/>
          <w:right w:val="nil"/>
          <w:between w:val="nil"/>
        </w:pBdr>
        <w:ind w:right="-433"/>
        <w:jc w:val="both"/>
        <w:rPr>
          <w:rFonts w:ascii="Palatino Linotype" w:eastAsia="Palatino Linotype" w:hAnsi="Palatino Linotype" w:cs="Palatino Linotype"/>
          <w:i/>
          <w:iCs/>
        </w:rPr>
      </w:pPr>
    </w:p>
    <w:p w:rsidR="008857B2" w:rsidRDefault="00794414">
      <w:pPr>
        <w:numPr>
          <w:ilvl w:val="0"/>
          <w:numId w:val="5"/>
        </w:numPr>
        <w:spacing w:line="360" w:lineRule="auto"/>
        <w:ind w:left="0" w:right="-787"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Por </w:t>
      </w:r>
      <w:r>
        <w:rPr>
          <w:rFonts w:ascii="Palatino Linotype" w:eastAsia="Palatino Linotype" w:hAnsi="Palatino Linotype" w:cs="Palatino Linotype"/>
        </w:rPr>
        <w:t>lo</w:t>
      </w:r>
      <w:r>
        <w:rPr>
          <w:rFonts w:ascii="Palatino Linotype" w:eastAsia="Palatino Linotype" w:hAnsi="Palatino Linotype" w:cs="Palatino Linotype"/>
          <w:color w:val="000000"/>
        </w:rPr>
        <w:t xml:space="preserve"> anterior, este Organismo Garante, con la finalidad de garantizar el derecho humano de acceso a la información de la parte Recurrente, y a fin de reparar el agravio causado ante la omisión en que incurriera el Sujeto Obligado, ya que, como se señaló, su respuesta careció de los principios de congruencia y exhaustividad, por las consideraciones ya expuestas, se consideran </w:t>
      </w:r>
      <w:r>
        <w:rPr>
          <w:rFonts w:ascii="Palatino Linotype" w:eastAsia="Palatino Linotype" w:hAnsi="Palatino Linotype" w:cs="Palatino Linotype"/>
          <w:b/>
          <w:bCs/>
          <w:color w:val="000000"/>
        </w:rPr>
        <w:t>PARCIALMENTE</w:t>
      </w:r>
      <w:r>
        <w:rPr>
          <w:rFonts w:ascii="Palatino Linotype" w:eastAsia="Palatino Linotype" w:hAnsi="Palatino Linotype" w:cs="Palatino Linotype"/>
          <w:b/>
          <w:bCs/>
        </w:rPr>
        <w:t xml:space="preserve"> FUNDADAS</w:t>
      </w:r>
      <w:r>
        <w:rPr>
          <w:rFonts w:ascii="Palatino Linotype" w:eastAsia="Palatino Linotype" w:hAnsi="Palatino Linotype" w:cs="Palatino Linotype"/>
        </w:rPr>
        <w:t xml:space="preserve"> las razones o motivos de inconformidad que plantea el</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 xml:space="preserve">en el Recurso de Revisión </w:t>
      </w:r>
      <w:r>
        <w:rPr>
          <w:rFonts w:ascii="Palatino Linotype" w:eastAsia="Palatino Linotype" w:hAnsi="Palatino Linotype" w:cs="Palatino Linotype"/>
          <w:b/>
          <w:bCs/>
          <w:color w:val="000000"/>
        </w:rPr>
        <w:t>01208/INFOEM/IP/RR/2026</w:t>
      </w:r>
      <w:r>
        <w:rPr>
          <w:rFonts w:ascii="Palatino Linotype" w:eastAsia="Palatino Linotype" w:hAnsi="Palatino Linotype" w:cs="Palatino Linotype"/>
        </w:rPr>
        <w:t xml:space="preserve">, determinando </w:t>
      </w:r>
      <w:r>
        <w:rPr>
          <w:rFonts w:ascii="Palatino Linotype" w:eastAsia="Palatino Linotype" w:hAnsi="Palatino Linotype" w:cs="Palatino Linotype"/>
          <w:b/>
          <w:bCs/>
          <w:smallCaps/>
        </w:rPr>
        <w:t>MODIFICAR</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la respuesta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y </w:t>
      </w:r>
      <w:r>
        <w:rPr>
          <w:rFonts w:ascii="Palatino Linotype" w:eastAsia="Palatino Linotype" w:hAnsi="Palatino Linotype" w:cs="Palatino Linotype"/>
          <w:b/>
          <w:bCs/>
          <w:color w:val="000000"/>
        </w:rPr>
        <w:t>ORDENAR</w:t>
      </w:r>
      <w:r>
        <w:rPr>
          <w:rFonts w:ascii="Palatino Linotype" w:eastAsia="Palatino Linotype" w:hAnsi="Palatino Linotype" w:cs="Palatino Linotype"/>
          <w:color w:val="000000"/>
        </w:rPr>
        <w:t xml:space="preserve"> que, previa búsqueda exhaustiva y razonable, de ser procedente en versión pública, haga entrega de la información siguiente: </w:t>
      </w:r>
      <w:r>
        <w:rPr>
          <w:rFonts w:ascii="Palatino Linotype" w:eastAsia="Palatino Linotype" w:hAnsi="Palatino Linotype" w:cs="Palatino Linotype"/>
          <w:b/>
          <w:bCs/>
          <w:color w:val="000000"/>
        </w:rPr>
        <w:t xml:space="preserve"> del parque vehicular, al 08 de diciembre de 2025: el documento en el que conste o se advierta, el</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fundamento legal o acuerdo de cabildo, que autorice la dispersión de combustible a unidades vehiculares con odómetro inoperante; y el método de comprobación de combustible.</w:t>
      </w:r>
    </w:p>
    <w:p w:rsidR="008857B2" w:rsidRDefault="008857B2">
      <w:pPr>
        <w:spacing w:line="360" w:lineRule="auto"/>
        <w:ind w:right="-787"/>
        <w:jc w:val="both"/>
        <w:rPr>
          <w:rFonts w:ascii="Palatino Linotype" w:eastAsia="Palatino Linotype" w:hAnsi="Palatino Linotype" w:cs="Palatino Linotype"/>
          <w:b/>
          <w:bCs/>
          <w:color w:val="000000"/>
        </w:rPr>
      </w:pPr>
    </w:p>
    <w:p w:rsidR="008857B2" w:rsidRDefault="00794414">
      <w:pPr>
        <w:numPr>
          <w:ilvl w:val="0"/>
          <w:numId w:val="5"/>
        </w:numPr>
        <w:spacing w:line="360" w:lineRule="auto"/>
        <w:ind w:left="0" w:right="-787" w:firstLine="0"/>
        <w:jc w:val="both"/>
        <w:rPr>
          <w:color w:val="000000"/>
        </w:rPr>
      </w:pPr>
      <w:r>
        <w:rPr>
          <w:rFonts w:ascii="Palatino Linotype" w:eastAsia="Palatino Linotype" w:hAnsi="Palatino Linotype" w:cs="Palatino Linotype"/>
          <w:color w:val="000000"/>
        </w:rPr>
        <w:t xml:space="preserve">Por otro lado, no pasa desapercibido para este Órgano Garante, que la información que se ordena entregar puede contener información susceptible de clasificarse; para lo cual,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deberá atender al siguiente Considerando.</w:t>
      </w:r>
    </w:p>
    <w:p w:rsidR="008857B2" w:rsidRDefault="00794414">
      <w:pPr>
        <w:keepNext/>
        <w:keepLines/>
        <w:spacing w:after="160" w:line="360" w:lineRule="auto"/>
        <w:ind w:right="-518"/>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QUINTO. De la versión pública.</w:t>
      </w:r>
    </w:p>
    <w:p w:rsidR="008857B2" w:rsidRDefault="00794414">
      <w:pPr>
        <w:keepNext/>
        <w:keepLines/>
        <w:numPr>
          <w:ilvl w:val="0"/>
          <w:numId w:val="7"/>
        </w:numPr>
        <w:tabs>
          <w:tab w:val="left" w:pos="284"/>
        </w:tabs>
        <w:spacing w:after="160" w:line="360" w:lineRule="auto"/>
        <w:ind w:right="-518"/>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Nociones generales. </w:t>
      </w:r>
    </w:p>
    <w:p w:rsidR="008857B2" w:rsidRDefault="00794414">
      <w:pPr>
        <w:numPr>
          <w:ilvl w:val="0"/>
          <w:numId w:val="5"/>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Debido</w:t>
      </w:r>
      <w:r>
        <w:rPr>
          <w:rFonts w:ascii="Palatino Linotype" w:eastAsia="Palatino Linotype" w:hAnsi="Palatino Linotype" w:cs="Palatino Linotype"/>
        </w:rPr>
        <w:t xml:space="preserve"> a la </w:t>
      </w:r>
      <w:r>
        <w:rPr>
          <w:rFonts w:ascii="Palatino Linotype" w:eastAsia="Palatino Linotype" w:hAnsi="Palatino Linotype" w:cs="Palatino Linotype"/>
          <w:color w:val="000000"/>
        </w:rPr>
        <w:t>información</w:t>
      </w:r>
      <w:r>
        <w:rPr>
          <w:rFonts w:ascii="Palatino Linotype" w:eastAsia="Palatino Linotype" w:hAnsi="Palatino Linotype" w:cs="Palatino Linotype"/>
        </w:rPr>
        <w:t xml:space="preserve"> solicitada por 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en el caso de obrar datos personales susceptibles de protegerse, así como información susceptible de clasificarse como confidencial,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deberá de hacer la adecuada versión pública, protegiendo los datos que no son susceptibles de ser proporcionados. </w:t>
      </w:r>
    </w:p>
    <w:p w:rsidR="008857B2" w:rsidRDefault="008857B2">
      <w:pPr>
        <w:tabs>
          <w:tab w:val="left" w:pos="0"/>
          <w:tab w:val="left" w:pos="284"/>
        </w:tabs>
        <w:spacing w:line="360" w:lineRule="auto"/>
        <w:ind w:right="-518"/>
        <w:jc w:val="both"/>
        <w:rPr>
          <w:rFonts w:ascii="Palatino Linotype" w:eastAsia="Palatino Linotype" w:hAnsi="Palatino Linotype" w:cs="Palatino Linotype"/>
          <w:highlight w:val="yellow"/>
        </w:rPr>
      </w:pPr>
    </w:p>
    <w:p w:rsidR="008857B2" w:rsidRDefault="00794414">
      <w:pPr>
        <w:numPr>
          <w:ilvl w:val="0"/>
          <w:numId w:val="5"/>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8857B2" w:rsidRDefault="008857B2">
      <w:pPr>
        <w:tabs>
          <w:tab w:val="left" w:pos="284"/>
        </w:tabs>
        <w:spacing w:after="160" w:line="360" w:lineRule="auto"/>
        <w:ind w:right="-518"/>
        <w:jc w:val="both"/>
        <w:rPr>
          <w:rFonts w:ascii="Palatino Linotype" w:eastAsia="Palatino Linotype" w:hAnsi="Palatino Linotype" w:cs="Palatino Linotype"/>
          <w:color w:val="000000"/>
        </w:rPr>
      </w:pPr>
    </w:p>
    <w:tbl>
      <w:tblPr>
        <w:tblStyle w:val="a0"/>
        <w:tblW w:w="978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799"/>
        <w:gridCol w:w="6981"/>
      </w:tblGrid>
      <w:tr w:rsidR="008857B2">
        <w:tc>
          <w:tcPr>
            <w:tcW w:w="2799" w:type="dxa"/>
          </w:tcPr>
          <w:p w:rsidR="008857B2" w:rsidRDefault="00794414">
            <w:pPr>
              <w:tabs>
                <w:tab w:val="left" w:pos="284"/>
              </w:tabs>
              <w:spacing w:line="360" w:lineRule="auto"/>
              <w:ind w:right="-127"/>
              <w:rPr>
                <w:rFonts w:ascii="Palatino Linotype" w:eastAsia="Palatino Linotype" w:hAnsi="Palatino Linotype" w:cs="Palatino Linotype"/>
                <w:b/>
                <w:bCs/>
              </w:rPr>
            </w:pPr>
            <w:r>
              <w:rPr>
                <w:rFonts w:ascii="Palatino Linotype" w:eastAsia="Palatino Linotype" w:hAnsi="Palatino Linotype" w:cs="Palatino Linotype"/>
                <w:b/>
                <w:bCs/>
              </w:rPr>
              <w:t>a) Requisitos previos.</w:t>
            </w:r>
          </w:p>
        </w:tc>
        <w:tc>
          <w:tcPr>
            <w:tcW w:w="6981" w:type="dxa"/>
          </w:tcPr>
          <w:p w:rsidR="008857B2" w:rsidRDefault="00794414" w:rsidP="002B2B78">
            <w:pPr>
              <w:tabs>
                <w:tab w:val="left" w:pos="284"/>
              </w:tabs>
              <w:spacing w:line="276"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8857B2" w:rsidRDefault="00794414" w:rsidP="002B2B78">
            <w:pPr>
              <w:tabs>
                <w:tab w:val="left" w:pos="284"/>
              </w:tabs>
              <w:spacing w:line="276"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8857B2" w:rsidRDefault="00794414" w:rsidP="002B2B78">
            <w:pPr>
              <w:tabs>
                <w:tab w:val="left" w:pos="284"/>
              </w:tabs>
              <w:spacing w:line="276"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Además, se debe señalar el procedimiento, de los tres que </w:t>
            </w:r>
            <w:r>
              <w:rPr>
                <w:rFonts w:ascii="Palatino Linotype" w:eastAsia="Palatino Linotype" w:hAnsi="Palatino Linotype" w:cs="Palatino Linotype"/>
              </w:rPr>
              <w:t>establece</w:t>
            </w:r>
            <w:r>
              <w:rPr>
                <w:rFonts w:ascii="Palatino Linotype" w:eastAsia="Palatino Linotype" w:hAnsi="Palatino Linotype" w:cs="Palatino Linotype"/>
                <w:color w:val="000000"/>
              </w:rPr>
              <w:t xml:space="preserve"> el artículo 132 de la Ley Estatal.</w:t>
            </w:r>
          </w:p>
          <w:p w:rsidR="008857B2" w:rsidRDefault="00794414" w:rsidP="002B2B78">
            <w:pPr>
              <w:tabs>
                <w:tab w:val="left" w:pos="284"/>
              </w:tabs>
              <w:spacing w:line="276" w:lineRule="auto"/>
              <w:ind w:right="31"/>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color w:val="000000"/>
                <w:u w:val="single"/>
              </w:rPr>
              <w:t xml:space="preserve">no se puede hacer un acuerdo para clasificar de manera </w:t>
            </w:r>
            <w:r>
              <w:rPr>
                <w:rFonts w:ascii="Palatino Linotype" w:eastAsia="Palatino Linotype" w:hAnsi="Palatino Linotype" w:cs="Palatino Linotype"/>
                <w:color w:val="000000"/>
                <w:u w:val="single"/>
              </w:rPr>
              <w:lastRenderedPageBreak/>
              <w:t>general todos los documentos de un expediente o área, sin</w:t>
            </w:r>
            <w:r>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8857B2">
        <w:tc>
          <w:tcPr>
            <w:tcW w:w="2799" w:type="dxa"/>
            <w:shd w:val="clear" w:color="auto" w:fill="F2F2F2"/>
          </w:tcPr>
          <w:p w:rsidR="008857B2" w:rsidRDefault="00794414">
            <w:pPr>
              <w:tabs>
                <w:tab w:val="left" w:pos="284"/>
              </w:tabs>
              <w:spacing w:line="360" w:lineRule="auto"/>
              <w:ind w:right="-127"/>
              <w:rPr>
                <w:rFonts w:ascii="Palatino Linotype" w:eastAsia="Palatino Linotype" w:hAnsi="Palatino Linotype" w:cs="Palatino Linotype"/>
                <w:b/>
                <w:bCs/>
              </w:rPr>
            </w:pPr>
            <w:r>
              <w:rPr>
                <w:rFonts w:ascii="Palatino Linotype" w:eastAsia="Palatino Linotype" w:hAnsi="Palatino Linotype" w:cs="Palatino Linotype"/>
                <w:b/>
                <w:bCs/>
              </w:rPr>
              <w:lastRenderedPageBreak/>
              <w:t>b) Supuestos de clasificación.</w:t>
            </w:r>
          </w:p>
        </w:tc>
        <w:tc>
          <w:tcPr>
            <w:tcW w:w="6981" w:type="dxa"/>
            <w:shd w:val="clear" w:color="auto" w:fill="F2F2F2"/>
          </w:tcPr>
          <w:p w:rsidR="008857B2" w:rsidRDefault="00794414" w:rsidP="002B2B78">
            <w:pPr>
              <w:tabs>
                <w:tab w:val="left" w:pos="284"/>
              </w:tabs>
              <w:spacing w:line="276"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8857B2" w:rsidRDefault="00794414" w:rsidP="002B2B78">
            <w:pPr>
              <w:tabs>
                <w:tab w:val="left" w:pos="284"/>
              </w:tabs>
              <w:spacing w:line="276"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8857B2" w:rsidRDefault="00794414" w:rsidP="002B2B78">
            <w:pPr>
              <w:tabs>
                <w:tab w:val="left" w:pos="284"/>
              </w:tabs>
              <w:spacing w:line="276" w:lineRule="auto"/>
              <w:ind w:right="31"/>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8857B2">
        <w:tc>
          <w:tcPr>
            <w:tcW w:w="2799" w:type="dxa"/>
          </w:tcPr>
          <w:p w:rsidR="008857B2" w:rsidRDefault="00794414">
            <w:pPr>
              <w:tabs>
                <w:tab w:val="left" w:pos="284"/>
              </w:tabs>
              <w:spacing w:line="360" w:lineRule="auto"/>
              <w:ind w:right="-127"/>
              <w:rPr>
                <w:rFonts w:ascii="Palatino Linotype" w:eastAsia="Palatino Linotype" w:hAnsi="Palatino Linotype" w:cs="Palatino Linotype"/>
                <w:b/>
                <w:bCs/>
              </w:rPr>
            </w:pPr>
            <w:r>
              <w:rPr>
                <w:rFonts w:ascii="Palatino Linotype" w:eastAsia="Palatino Linotype" w:hAnsi="Palatino Linotype" w:cs="Palatino Linotype"/>
                <w:b/>
                <w:bCs/>
              </w:rPr>
              <w:t>c) Formalidades para emitir el acuerdo de clasificación.</w:t>
            </w:r>
          </w:p>
        </w:tc>
        <w:tc>
          <w:tcPr>
            <w:tcW w:w="6981" w:type="dxa"/>
          </w:tcPr>
          <w:p w:rsidR="008857B2" w:rsidRDefault="00794414" w:rsidP="002B2B78">
            <w:pPr>
              <w:tabs>
                <w:tab w:val="left" w:pos="284"/>
              </w:tabs>
              <w:spacing w:line="276"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8857B2" w:rsidRDefault="00794414" w:rsidP="002B2B78">
            <w:pPr>
              <w:tabs>
                <w:tab w:val="left" w:pos="284"/>
              </w:tabs>
              <w:spacing w:line="276"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 necesario que </w:t>
            </w:r>
            <w:r>
              <w:rPr>
                <w:rFonts w:ascii="Palatino Linotype" w:eastAsia="Palatino Linotype" w:hAnsi="Palatino Linotype" w:cs="Palatino Linotype"/>
                <w:b/>
                <w:bCs/>
                <w:color w:val="000000"/>
                <w:u w:val="single"/>
              </w:rPr>
              <w:t>el acto reúna con los requisitos elementales</w:t>
            </w:r>
            <w:r>
              <w:rPr>
                <w:rFonts w:ascii="Palatino Linotype" w:eastAsia="Palatino Linotype" w:hAnsi="Palatino Linotype" w:cs="Palatino Linotype"/>
                <w:color w:val="000000"/>
              </w:rPr>
              <w:t>, entre ellos, que la autoridad que va a emitir el acto de autoridad sea la legalmente facultada para ello.</w:t>
            </w:r>
          </w:p>
          <w:p w:rsidR="008857B2" w:rsidRDefault="00794414" w:rsidP="002B2B78">
            <w:pPr>
              <w:tabs>
                <w:tab w:val="left" w:pos="284"/>
              </w:tabs>
              <w:spacing w:line="276" w:lineRule="auto"/>
              <w:ind w:right="31"/>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rPr>
              <w:t>El área</w:t>
            </w:r>
            <w:r>
              <w:rPr>
                <w:rFonts w:ascii="Palatino Linotype" w:eastAsia="Palatino Linotype" w:hAnsi="Palatino Linotype" w:cs="Palatino Linotype"/>
                <w:color w:val="000000"/>
              </w:rPr>
              <w:t xml:space="preserve"> que administra la información, cuyo análisis debe integrarse en </w:t>
            </w:r>
            <w:r>
              <w:rPr>
                <w:rFonts w:ascii="Palatino Linotype" w:eastAsia="Palatino Linotype" w:hAnsi="Palatino Linotype" w:cs="Palatino Linotype"/>
                <w:color w:val="000000"/>
              </w:rPr>
              <w:lastRenderedPageBreak/>
              <w:t>la agenda de los asuntos a tratar en las sesiones, se insiste, a partir de las decisiones adoptadas previamente por los titulares de áreas y que son sujetas a control, en primera instancia, por el Comité de Transparencia.</w:t>
            </w:r>
          </w:p>
        </w:tc>
      </w:tr>
      <w:tr w:rsidR="008857B2">
        <w:tc>
          <w:tcPr>
            <w:tcW w:w="2799" w:type="dxa"/>
            <w:shd w:val="clear" w:color="auto" w:fill="F2F2F2"/>
          </w:tcPr>
          <w:p w:rsidR="008857B2" w:rsidRDefault="008857B2">
            <w:pPr>
              <w:tabs>
                <w:tab w:val="left" w:pos="284"/>
              </w:tabs>
              <w:spacing w:line="360" w:lineRule="auto"/>
              <w:ind w:right="-127"/>
              <w:rPr>
                <w:rFonts w:ascii="Palatino Linotype" w:eastAsia="Palatino Linotype" w:hAnsi="Palatino Linotype" w:cs="Palatino Linotype"/>
                <w:b/>
                <w:bCs/>
              </w:rPr>
            </w:pPr>
          </w:p>
          <w:p w:rsidR="008857B2" w:rsidRDefault="00794414">
            <w:pPr>
              <w:tabs>
                <w:tab w:val="left" w:pos="284"/>
              </w:tabs>
              <w:spacing w:line="360" w:lineRule="auto"/>
              <w:ind w:right="-127"/>
              <w:jc w:val="both"/>
              <w:rPr>
                <w:rFonts w:ascii="Palatino Linotype" w:eastAsia="Palatino Linotype" w:hAnsi="Palatino Linotype" w:cs="Palatino Linotype"/>
                <w:b/>
                <w:bCs/>
              </w:rPr>
            </w:pPr>
            <w:r>
              <w:rPr>
                <w:rFonts w:ascii="Palatino Linotype" w:eastAsia="Palatino Linotype" w:hAnsi="Palatino Linotype" w:cs="Palatino Linotype"/>
                <w:b/>
                <w:bCs/>
                <w:color w:val="000000"/>
              </w:rPr>
              <w:t xml:space="preserve">d) Requisitos de fondo del acuerdo de clasificación. </w:t>
            </w:r>
          </w:p>
        </w:tc>
        <w:tc>
          <w:tcPr>
            <w:tcW w:w="6981" w:type="dxa"/>
            <w:shd w:val="clear" w:color="auto" w:fill="F2F2F2"/>
          </w:tcPr>
          <w:p w:rsidR="008857B2" w:rsidRDefault="00794414" w:rsidP="002B2B78">
            <w:pPr>
              <w:tabs>
                <w:tab w:val="left" w:pos="284"/>
              </w:tabs>
              <w:spacing w:line="276"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por lo que deberán fundar y motivar debidamente la clasificación. </w:t>
            </w:r>
          </w:p>
          <w:p w:rsidR="008857B2" w:rsidRDefault="00794414" w:rsidP="002B2B78">
            <w:pPr>
              <w:tabs>
                <w:tab w:val="left" w:pos="284"/>
              </w:tabs>
              <w:spacing w:line="276"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se desprende que para una correcta </w:t>
            </w:r>
            <w:r>
              <w:rPr>
                <w:rFonts w:ascii="Palatino Linotype" w:eastAsia="Palatino Linotype" w:hAnsi="Palatino Linotype" w:cs="Palatino Linotype"/>
                <w:b/>
                <w:bCs/>
                <w:color w:val="000000"/>
              </w:rPr>
              <w:t>clasificación total o parcial</w:t>
            </w:r>
            <w:r>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8857B2" w:rsidRDefault="00794414" w:rsidP="002B2B78">
            <w:pPr>
              <w:tabs>
                <w:tab w:val="left" w:pos="284"/>
              </w:tabs>
              <w:spacing w:line="276"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8857B2" w:rsidRDefault="00794414" w:rsidP="002B2B78">
            <w:pPr>
              <w:tabs>
                <w:tab w:val="left" w:pos="284"/>
              </w:tabs>
              <w:spacing w:line="276"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8857B2" w:rsidRDefault="00794414" w:rsidP="002B2B78">
            <w:pPr>
              <w:tabs>
                <w:tab w:val="left" w:pos="284"/>
              </w:tabs>
              <w:spacing w:line="276"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Ahora bien, </w:t>
            </w:r>
            <w:r>
              <w:rPr>
                <w:rFonts w:ascii="Palatino Linotype" w:eastAsia="Palatino Linotype" w:hAnsi="Palatino Linotype" w:cs="Palatino Linotype"/>
                <w:b/>
                <w:bCs/>
                <w:color w:val="000000"/>
                <w:u w:val="single"/>
              </w:rPr>
              <w:t>para cada caso además de fundar y motivar</w:t>
            </w:r>
            <w:r>
              <w:rPr>
                <w:rFonts w:ascii="Palatino Linotype" w:eastAsia="Palatino Linotype" w:hAnsi="Palatino Linotype" w:cs="Palatino Linotype"/>
                <w:color w:val="000000"/>
              </w:rPr>
              <w:t xml:space="preserve">, se debe identificar con claridad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8857B2">
        <w:tc>
          <w:tcPr>
            <w:tcW w:w="2799" w:type="dxa"/>
          </w:tcPr>
          <w:p w:rsidR="008857B2" w:rsidRDefault="00794414">
            <w:pPr>
              <w:tabs>
                <w:tab w:val="left" w:pos="284"/>
              </w:tabs>
              <w:spacing w:line="360" w:lineRule="auto"/>
              <w:ind w:right="-127"/>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e) Condiciones especiales de la clasificación de la información como confidencial. </w:t>
            </w:r>
          </w:p>
        </w:tc>
        <w:tc>
          <w:tcPr>
            <w:tcW w:w="6981" w:type="dxa"/>
          </w:tcPr>
          <w:p w:rsidR="008857B2" w:rsidRDefault="00794414" w:rsidP="002B2B78">
            <w:pPr>
              <w:tabs>
                <w:tab w:val="left" w:pos="284"/>
              </w:tabs>
              <w:spacing w:line="276"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Los artículos 148 de la Ley Estatal establece que aun tratándose de datos personales, se podrán proporcionar, incluso sin solicitar el consentimiento de su titular. </w:t>
            </w:r>
          </w:p>
          <w:p w:rsidR="008857B2" w:rsidRDefault="00794414" w:rsidP="002B2B78">
            <w:pPr>
              <w:tabs>
                <w:tab w:val="left" w:pos="284"/>
              </w:tabs>
              <w:spacing w:line="276" w:lineRule="auto"/>
              <w:ind w:right="3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8857B2" w:rsidRDefault="00794414" w:rsidP="002B2B78">
            <w:pPr>
              <w:tabs>
                <w:tab w:val="left" w:pos="284"/>
              </w:tabs>
              <w:spacing w:line="276" w:lineRule="auto"/>
              <w:ind w:right="31"/>
              <w:rPr>
                <w:rFonts w:ascii="Palatino Linotype" w:eastAsia="Palatino Linotype" w:hAnsi="Palatino Linotype" w:cs="Palatino Linotype"/>
              </w:rPr>
            </w:pPr>
            <w:r>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8857B2" w:rsidRDefault="008857B2">
      <w:pPr>
        <w:tabs>
          <w:tab w:val="left" w:pos="284"/>
        </w:tabs>
        <w:spacing w:line="360" w:lineRule="auto"/>
        <w:ind w:right="-518"/>
        <w:rPr>
          <w:rFonts w:ascii="Palatino Linotype" w:eastAsia="Palatino Linotype" w:hAnsi="Palatino Linotype" w:cs="Palatino Linotype"/>
          <w:color w:val="000000"/>
        </w:rPr>
      </w:pPr>
    </w:p>
    <w:p w:rsidR="008857B2" w:rsidRDefault="00794414">
      <w:pPr>
        <w:numPr>
          <w:ilvl w:val="0"/>
          <w:numId w:val="5"/>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w:t>
      </w:r>
      <w:r>
        <w:rPr>
          <w:rFonts w:ascii="Palatino Linotype" w:eastAsia="Palatino Linotype" w:hAnsi="Palatino Linotype" w:cs="Palatino Linotype"/>
          <w:color w:val="000000"/>
        </w:rPr>
        <w:t>ese</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sentido</w:t>
      </w:r>
      <w:r>
        <w:rPr>
          <w:rFonts w:ascii="Palatino Linotype" w:eastAsia="Palatino Linotype" w:hAnsi="Palatino Linotype" w:cs="Palatino Linotype"/>
        </w:rPr>
        <w:t xml:space="preserv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deberá de emitir el Acuerdo del Comité de Transparencia, </w:t>
      </w:r>
      <w:r>
        <w:rPr>
          <w:rFonts w:ascii="Palatino Linotype" w:eastAsia="Palatino Linotype" w:hAnsi="Palatino Linotype" w:cs="Palatino Linotype"/>
          <w:color w:val="000000"/>
        </w:rPr>
        <w:t>mediante</w:t>
      </w:r>
      <w:r>
        <w:rPr>
          <w:rFonts w:ascii="Palatino Linotype" w:eastAsia="Palatino Linotype" w:hAnsi="Palatino Linotype" w:cs="Palatino Linotype"/>
        </w:rPr>
        <w:t xml:space="preserve"> el cual de manera fundada y motivada establezca las razones que llevaron al Sujeto </w:t>
      </w:r>
      <w:r>
        <w:rPr>
          <w:rFonts w:ascii="Palatino Linotype" w:eastAsia="Palatino Linotype" w:hAnsi="Palatino Linotype" w:cs="Palatino Linotype"/>
          <w:color w:val="000000"/>
        </w:rPr>
        <w:t>Obligado</w:t>
      </w:r>
      <w:r>
        <w:rPr>
          <w:rFonts w:ascii="Palatino Linotype" w:eastAsia="Palatino Linotype" w:hAnsi="Palatino Linotype" w:cs="Palatino Linotype"/>
        </w:rPr>
        <w:t xml:space="preserve"> a testar, suprimir o eliminar datos de dicho soporte documental, ya que no hacerlo, se </w:t>
      </w:r>
      <w:r>
        <w:rPr>
          <w:rFonts w:ascii="Palatino Linotype" w:eastAsia="Palatino Linotype" w:hAnsi="Palatino Linotype" w:cs="Palatino Linotype"/>
          <w:color w:val="000000"/>
        </w:rPr>
        <w:t>reitera</w:t>
      </w:r>
      <w:r>
        <w:rPr>
          <w:rFonts w:ascii="Palatino Linotype" w:eastAsia="Palatino Linotype" w:hAnsi="Palatino Linotype" w:cs="Palatino Linotype"/>
        </w:rPr>
        <w:t xml:space="preserve"> que lo entregado no tendría un sustento jurídico ni resultaría ser una versión pública, sino más bien una documentación ilegible, incompleta o tachada; ya que el no justificar las causas o </w:t>
      </w:r>
      <w:r>
        <w:rPr>
          <w:rFonts w:ascii="Palatino Linotype" w:eastAsia="Palatino Linotype" w:hAnsi="Palatino Linotype" w:cs="Palatino Linotype"/>
          <w:color w:val="000000"/>
        </w:rPr>
        <w:t>motivos</w:t>
      </w:r>
      <w:r>
        <w:rPr>
          <w:rFonts w:ascii="Palatino Linotype" w:eastAsia="Palatino Linotype" w:hAnsi="Palatino Linotype" w:cs="Palatino Linotype"/>
        </w:rPr>
        <w:t xml:space="preserve"> por las que no se aprecian determinados datos -ya sea </w:t>
      </w:r>
      <w:r>
        <w:rPr>
          <w:rFonts w:ascii="Palatino Linotype" w:eastAsia="Palatino Linotype" w:hAnsi="Palatino Linotype" w:cs="Palatino Linotype"/>
        </w:rPr>
        <w:lastRenderedPageBreak/>
        <w:t>porque se testan o suprimen- deja al solicitante en estado de incertidumbre, al no conocer o comprender porque no aparecen en la documentación respectiva.</w:t>
      </w:r>
    </w:p>
    <w:p w:rsidR="008857B2" w:rsidRDefault="008857B2">
      <w:pPr>
        <w:tabs>
          <w:tab w:val="left" w:pos="284"/>
        </w:tabs>
        <w:spacing w:line="360" w:lineRule="auto"/>
        <w:ind w:right="276"/>
        <w:jc w:val="both"/>
        <w:rPr>
          <w:rFonts w:ascii="Palatino Linotype" w:eastAsia="Palatino Linotype" w:hAnsi="Palatino Linotype" w:cs="Palatino Linotype"/>
          <w:color w:val="000000"/>
        </w:rPr>
      </w:pPr>
    </w:p>
    <w:p w:rsidR="008857B2" w:rsidRDefault="00794414">
      <w:pPr>
        <w:numPr>
          <w:ilvl w:val="0"/>
          <w:numId w:val="5"/>
        </w:numP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Derivado de lo establecido en párrafos anteriores,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incumple con estas </w:t>
      </w:r>
      <w:r>
        <w:rPr>
          <w:rFonts w:ascii="Palatino Linotype" w:eastAsia="Palatino Linotype" w:hAnsi="Palatino Linotype" w:cs="Palatino Linotype"/>
          <w:color w:val="000000"/>
        </w:rPr>
        <w:t>formalidades</w:t>
      </w:r>
      <w:r>
        <w:rPr>
          <w:rFonts w:ascii="Palatino Linotype" w:eastAsia="Palatino Linotype" w:hAnsi="Palatino Linotype" w:cs="Palatino Linotype"/>
        </w:rPr>
        <w:t xml:space="preserve"> y entrega la información sin proteger los datos personales o testando </w:t>
      </w:r>
      <w:r>
        <w:rPr>
          <w:rFonts w:ascii="Palatino Linotype" w:eastAsia="Palatino Linotype" w:hAnsi="Palatino Linotype" w:cs="Palatino Linotype"/>
          <w:color w:val="000000"/>
        </w:rPr>
        <w:t>datos</w:t>
      </w:r>
      <w:r>
        <w:rPr>
          <w:rFonts w:ascii="Palatino Linotype" w:eastAsia="Palatino Linotype" w:hAnsi="Palatino Linotype" w:cs="Palatino Linotype"/>
        </w:rPr>
        <w:t xml:space="preserve"> considerados como públicos incumple con lo que estipulan las disposiciones legales establecidas, </w:t>
      </w:r>
      <w:r>
        <w:rPr>
          <w:rFonts w:ascii="Palatino Linotype" w:eastAsia="Palatino Linotype" w:hAnsi="Palatino Linotype" w:cs="Palatino Linotype"/>
          <w:color w:val="000000"/>
        </w:rPr>
        <w:t>asimismo</w:t>
      </w:r>
      <w:r>
        <w:rPr>
          <w:rFonts w:ascii="Palatino Linotype" w:eastAsia="Palatino Linotype" w:hAnsi="Palatino Linotype" w:cs="Palatino Linotype"/>
        </w:rPr>
        <w:t xml:space="preserve"> que si entrega un documento testado sin el debido acuerdo de clasificación.</w:t>
      </w:r>
    </w:p>
    <w:p w:rsidR="008857B2" w:rsidRDefault="008857B2">
      <w:pPr>
        <w:spacing w:line="360" w:lineRule="auto"/>
        <w:jc w:val="both"/>
        <w:rPr>
          <w:color w:val="000000"/>
        </w:rPr>
      </w:pPr>
    </w:p>
    <w:p w:rsidR="008857B2" w:rsidRDefault="00794414">
      <w:pPr>
        <w:numPr>
          <w:ilvl w:val="0"/>
          <w:numId w:val="5"/>
        </w:numPr>
        <w:spacing w:line="360" w:lineRule="auto"/>
        <w:ind w:left="0" w:right="-787"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lo </w:t>
      </w:r>
      <w:r>
        <w:rPr>
          <w:color w:val="000000"/>
        </w:rPr>
        <w:t>expuesto</w:t>
      </w:r>
      <w:r>
        <w:rPr>
          <w:rFonts w:ascii="Palatino Linotype" w:eastAsia="Palatino Linotype" w:hAnsi="Palatino Linotype" w:cs="Palatino Linotype"/>
        </w:rPr>
        <w:t xml:space="preserve">, y con fundamento en lo prescrito en los artículos </w:t>
      </w:r>
      <w:r>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2B2B78" w:rsidRDefault="002B2B78">
      <w:pPr>
        <w:ind w:right="278"/>
        <w:rPr>
          <w:rFonts w:ascii="Palatino Linotype" w:eastAsia="Palatino Linotype" w:hAnsi="Palatino Linotype" w:cs="Palatino Linotype"/>
        </w:rPr>
      </w:pPr>
    </w:p>
    <w:p w:rsidR="008857B2" w:rsidRDefault="00794414">
      <w:pPr>
        <w:spacing w:line="360" w:lineRule="auto"/>
        <w:ind w:right="-858"/>
        <w:jc w:val="center"/>
        <w:rPr>
          <w:rFonts w:ascii="Palatino Linotype" w:eastAsia="Palatino Linotype" w:hAnsi="Palatino Linotype" w:cs="Palatino Linotype"/>
          <w:b/>
          <w:bCs/>
        </w:rPr>
      </w:pPr>
      <w:r>
        <w:rPr>
          <w:rFonts w:ascii="Palatino Linotype" w:eastAsia="Palatino Linotype" w:hAnsi="Palatino Linotype" w:cs="Palatino Linotype"/>
          <w:b/>
          <w:bCs/>
        </w:rPr>
        <w:t>R E S U E L V E</w:t>
      </w:r>
    </w:p>
    <w:p w:rsidR="008857B2" w:rsidRDefault="008857B2">
      <w:pPr>
        <w:spacing w:line="360" w:lineRule="auto"/>
        <w:ind w:right="-787"/>
        <w:jc w:val="center"/>
        <w:rPr>
          <w:rFonts w:ascii="Palatino Linotype" w:eastAsia="Palatino Linotype" w:hAnsi="Palatino Linotype" w:cs="Palatino Linotype"/>
          <w:b/>
          <w:bCs/>
        </w:rPr>
      </w:pPr>
    </w:p>
    <w:p w:rsidR="008857B2" w:rsidRDefault="00794414">
      <w:pPr>
        <w:spacing w:line="360" w:lineRule="auto"/>
        <w:ind w:right="-787"/>
        <w:jc w:val="both"/>
        <w:rPr>
          <w:rFonts w:ascii="Palatino Linotype" w:eastAsia="Palatino Linotype" w:hAnsi="Palatino Linotype" w:cs="Palatino Linotype"/>
          <w:b/>
          <w:bCs/>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w:t>
      </w:r>
      <w:r>
        <w:rPr>
          <w:rFonts w:ascii="Palatino Linotype" w:eastAsia="Palatino Linotype" w:hAnsi="Palatino Linotype" w:cs="Palatino Linotype"/>
          <w:b/>
          <w:bCs/>
        </w:rPr>
        <w:t>PARCIALMENTE</w:t>
      </w:r>
      <w:r>
        <w:rPr>
          <w:rFonts w:ascii="Palatino Linotype" w:eastAsia="Palatino Linotype" w:hAnsi="Palatino Linotype" w:cs="Palatino Linotype"/>
        </w:rPr>
        <w:t xml:space="preserve"> </w:t>
      </w:r>
      <w:r>
        <w:rPr>
          <w:rFonts w:ascii="Palatino Linotype" w:eastAsia="Palatino Linotype" w:hAnsi="Palatino Linotype" w:cs="Palatino Linotype"/>
          <w:b/>
          <w:bCs/>
        </w:rPr>
        <w:t>FUNDADAS</w:t>
      </w:r>
      <w:r>
        <w:rPr>
          <w:rFonts w:ascii="Palatino Linotype" w:eastAsia="Palatino Linotype" w:hAnsi="Palatino Linotype" w:cs="Palatino Linotype"/>
        </w:rPr>
        <w:t xml:space="preserve"> las razones o motivos de inconformidad hechos valer en el recurso de revisión </w:t>
      </w:r>
      <w:r>
        <w:rPr>
          <w:rFonts w:ascii="Palatino Linotype" w:eastAsia="Palatino Linotype" w:hAnsi="Palatino Linotype" w:cs="Palatino Linotype"/>
          <w:b/>
          <w:bCs/>
          <w:color w:val="000000"/>
        </w:rPr>
        <w:t>01208/INFOEM/IP/RR/2026</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 xml:space="preserve">Considerando CUARTO </w:t>
      </w:r>
      <w:r>
        <w:rPr>
          <w:rFonts w:ascii="Palatino Linotype" w:eastAsia="Palatino Linotype" w:hAnsi="Palatino Linotype" w:cs="Palatino Linotype"/>
        </w:rPr>
        <w:t>de la presente resolución</w:t>
      </w:r>
      <w:r>
        <w:rPr>
          <w:rFonts w:ascii="Palatino Linotype" w:eastAsia="Palatino Linotype" w:hAnsi="Palatino Linotype" w:cs="Palatino Linotype"/>
          <w:b/>
          <w:bCs/>
        </w:rPr>
        <w:t>.</w:t>
      </w:r>
    </w:p>
    <w:p w:rsidR="008857B2" w:rsidRDefault="008857B2">
      <w:pPr>
        <w:spacing w:line="360" w:lineRule="auto"/>
        <w:ind w:right="276"/>
        <w:jc w:val="both"/>
        <w:rPr>
          <w:rFonts w:ascii="Palatino Linotype" w:eastAsia="Palatino Linotype" w:hAnsi="Palatino Linotype" w:cs="Palatino Linotype"/>
          <w:b/>
          <w:bCs/>
        </w:rPr>
      </w:pPr>
    </w:p>
    <w:p w:rsidR="008857B2" w:rsidRDefault="00794414">
      <w:pPr>
        <w:spacing w:line="360" w:lineRule="auto"/>
        <w:ind w:right="-787"/>
        <w:jc w:val="both"/>
        <w:rPr>
          <w:rFonts w:ascii="Palatino Linotype" w:eastAsia="Palatino Linotype" w:hAnsi="Palatino Linotype" w:cs="Palatino Linotype"/>
        </w:rPr>
      </w:pPr>
      <w:bookmarkStart w:id="7" w:name="_heading=h.1ksv4uv" w:colFirst="0" w:colLast="0"/>
      <w:bookmarkEnd w:id="7"/>
      <w:r>
        <w:rPr>
          <w:rFonts w:ascii="Palatino Linotype" w:eastAsia="Palatino Linotype" w:hAnsi="Palatino Linotype" w:cs="Palatino Linotype"/>
          <w:b/>
          <w:bCs/>
        </w:rPr>
        <w:t>SEGUNDO.</w:t>
      </w:r>
      <w:r>
        <w:rPr>
          <w:rFonts w:ascii="Palatino Linotype" w:eastAsia="Palatino Linotype" w:hAnsi="Palatino Linotype" w:cs="Palatino Linotype"/>
          <w:color w:val="2F5496"/>
        </w:rPr>
        <w:t xml:space="preserve">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MODIFICA </w:t>
      </w:r>
      <w:r>
        <w:rPr>
          <w:rFonts w:ascii="Palatino Linotype" w:eastAsia="Palatino Linotype" w:hAnsi="Palatino Linotype" w:cs="Palatino Linotype"/>
          <w:color w:val="000000"/>
        </w:rPr>
        <w:t xml:space="preserve">la respuesta emitida por el </w:t>
      </w:r>
      <w:r>
        <w:rPr>
          <w:rFonts w:ascii="Palatino Linotype" w:eastAsia="Palatino Linotype" w:hAnsi="Palatino Linotype" w:cs="Palatino Linotype"/>
          <w:b/>
          <w:bCs/>
        </w:rPr>
        <w:t xml:space="preserve">Ayuntamiento de Toluca </w:t>
      </w:r>
      <w:r>
        <w:rPr>
          <w:rFonts w:ascii="Palatino Linotype" w:eastAsia="Palatino Linotype" w:hAnsi="Palatino Linotype" w:cs="Palatino Linotype"/>
          <w:color w:val="000000"/>
        </w:rPr>
        <w:t xml:space="preserve">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Acceso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rPr>
        <w:t xml:space="preserve"> previa búsqueda exhaustiva y razonable, de ser procedente en versión pública, la siguiente información:</w:t>
      </w:r>
    </w:p>
    <w:p w:rsidR="008857B2" w:rsidRDefault="008857B2">
      <w:pPr>
        <w:spacing w:line="360" w:lineRule="auto"/>
        <w:ind w:right="-787"/>
        <w:jc w:val="both"/>
        <w:rPr>
          <w:rFonts w:ascii="Palatino Linotype" w:eastAsia="Palatino Linotype" w:hAnsi="Palatino Linotype" w:cs="Palatino Linotype"/>
        </w:rPr>
      </w:pPr>
    </w:p>
    <w:p w:rsidR="008857B2" w:rsidRDefault="00794414">
      <w:pPr>
        <w:numPr>
          <w:ilvl w:val="0"/>
          <w:numId w:val="8"/>
        </w:numPr>
        <w:pBdr>
          <w:top w:val="nil"/>
          <w:left w:val="nil"/>
          <w:bottom w:val="nil"/>
          <w:right w:val="nil"/>
          <w:between w:val="nil"/>
        </w:pBdr>
        <w:tabs>
          <w:tab w:val="left" w:pos="8080"/>
        </w:tabs>
        <w:spacing w:line="360" w:lineRule="auto"/>
        <w:ind w:left="851" w:right="-433"/>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Del parque vehicular, el documento en el que conste o se advierta, al 08 de diciembre de 2025:</w:t>
      </w:r>
    </w:p>
    <w:p w:rsidR="008857B2" w:rsidRDefault="00794414">
      <w:pPr>
        <w:numPr>
          <w:ilvl w:val="0"/>
          <w:numId w:val="4"/>
        </w:numPr>
        <w:pBdr>
          <w:top w:val="nil"/>
          <w:left w:val="nil"/>
          <w:bottom w:val="nil"/>
          <w:right w:val="nil"/>
          <w:between w:val="nil"/>
        </w:pBdr>
        <w:tabs>
          <w:tab w:val="left" w:pos="8080"/>
        </w:tabs>
        <w:spacing w:line="360" w:lineRule="auto"/>
        <w:ind w:left="1134" w:right="-433"/>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El fundamento legal o acuerdo de cabildo, que autorice la dispersión de combustible a unidades vehiculares con odómetro inoperante.</w:t>
      </w:r>
    </w:p>
    <w:p w:rsidR="008857B2" w:rsidRDefault="00794414">
      <w:pPr>
        <w:numPr>
          <w:ilvl w:val="0"/>
          <w:numId w:val="4"/>
        </w:numPr>
        <w:pBdr>
          <w:top w:val="nil"/>
          <w:left w:val="nil"/>
          <w:bottom w:val="nil"/>
          <w:right w:val="nil"/>
          <w:between w:val="nil"/>
        </w:pBdr>
        <w:tabs>
          <w:tab w:val="left" w:pos="8080"/>
        </w:tabs>
        <w:spacing w:line="360" w:lineRule="auto"/>
        <w:ind w:left="1134" w:right="-433"/>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El método de comprobación de combustible.</w:t>
      </w:r>
    </w:p>
    <w:p w:rsidR="008857B2" w:rsidRDefault="008857B2">
      <w:pPr>
        <w:pBdr>
          <w:top w:val="nil"/>
          <w:left w:val="nil"/>
          <w:bottom w:val="nil"/>
          <w:right w:val="nil"/>
          <w:between w:val="nil"/>
        </w:pBdr>
        <w:tabs>
          <w:tab w:val="left" w:pos="8080"/>
        </w:tabs>
        <w:spacing w:line="360" w:lineRule="auto"/>
        <w:ind w:right="-433"/>
        <w:jc w:val="both"/>
        <w:rPr>
          <w:rFonts w:ascii="Palatino Linotype" w:eastAsia="Palatino Linotype" w:hAnsi="Palatino Linotype" w:cs="Palatino Linotype"/>
          <w:color w:val="000000"/>
        </w:rPr>
      </w:pPr>
    </w:p>
    <w:p w:rsidR="008857B2" w:rsidRDefault="00794414">
      <w:pPr>
        <w:pBdr>
          <w:top w:val="nil"/>
          <w:left w:val="nil"/>
          <w:bottom w:val="nil"/>
          <w:right w:val="nil"/>
          <w:between w:val="nil"/>
        </w:pBdr>
        <w:tabs>
          <w:tab w:val="left" w:pos="8080"/>
        </w:tabs>
        <w:spacing w:line="360" w:lineRule="auto"/>
        <w:ind w:left="851" w:right="-433"/>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Para efectos de lo anterior, de ser procedente,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Pr>
          <w:rFonts w:ascii="Palatino Linotype" w:eastAsia="Palatino Linotype" w:hAnsi="Palatino Linotype" w:cs="Palatino Linotype"/>
          <w:b/>
          <w:bCs/>
          <w:color w:val="000000"/>
        </w:rPr>
        <w:t>RECURRENTE.</w:t>
      </w:r>
    </w:p>
    <w:p w:rsidR="008857B2" w:rsidRDefault="008857B2">
      <w:pPr>
        <w:pBdr>
          <w:top w:val="nil"/>
          <w:left w:val="nil"/>
          <w:bottom w:val="nil"/>
          <w:right w:val="nil"/>
          <w:between w:val="nil"/>
        </w:pBdr>
        <w:tabs>
          <w:tab w:val="left" w:pos="8080"/>
        </w:tabs>
        <w:spacing w:line="360" w:lineRule="auto"/>
        <w:ind w:left="851" w:right="-433"/>
        <w:jc w:val="both"/>
        <w:rPr>
          <w:rFonts w:ascii="Palatino Linotype" w:eastAsia="Palatino Linotype" w:hAnsi="Palatino Linotype" w:cs="Palatino Linotype"/>
          <w:b/>
          <w:bCs/>
          <w:color w:val="000000"/>
        </w:rPr>
      </w:pPr>
    </w:p>
    <w:p w:rsidR="008857B2" w:rsidRDefault="008857B2">
      <w:pPr>
        <w:pBdr>
          <w:top w:val="nil"/>
          <w:left w:val="nil"/>
          <w:bottom w:val="nil"/>
          <w:right w:val="nil"/>
          <w:between w:val="nil"/>
        </w:pBdr>
        <w:tabs>
          <w:tab w:val="left" w:pos="8080"/>
        </w:tabs>
        <w:spacing w:line="360" w:lineRule="auto"/>
        <w:ind w:left="851" w:right="-433"/>
        <w:jc w:val="both"/>
        <w:rPr>
          <w:rFonts w:ascii="Palatino Linotype" w:eastAsia="Palatino Linotype" w:hAnsi="Palatino Linotype" w:cs="Palatino Linotype"/>
          <w:color w:val="000000"/>
        </w:rPr>
      </w:pPr>
    </w:p>
    <w:p w:rsidR="008857B2" w:rsidRDefault="00794414">
      <w:pPr>
        <w:pBdr>
          <w:top w:val="nil"/>
          <w:left w:val="nil"/>
          <w:bottom w:val="nil"/>
          <w:right w:val="nil"/>
          <w:between w:val="nil"/>
        </w:pBdr>
        <w:tabs>
          <w:tab w:val="left" w:pos="8080"/>
        </w:tabs>
        <w:spacing w:line="360" w:lineRule="auto"/>
        <w:ind w:left="851" w:right="-433"/>
        <w:jc w:val="both"/>
        <w:rPr>
          <w:rFonts w:ascii="Palatino Linotype" w:eastAsia="Palatino Linotype" w:hAnsi="Palatino Linotype" w:cs="Palatino Linotype"/>
        </w:rPr>
      </w:pPr>
      <w:r>
        <w:rPr>
          <w:rFonts w:ascii="Palatino Linotype" w:eastAsia="Palatino Linotype" w:hAnsi="Palatino Linotype" w:cs="Palatino Linotype"/>
        </w:rPr>
        <w:t xml:space="preserve">Para el caso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luego de la búsqueda exhaustiva y razonable no cuente con la información que se ordena su entrega en el inciso 1) por no haberse generado, poseído o administrado, bastará que lo haga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al momento de dar cumplimiento a la presente Resolución, en términos del artículo 19, párrafo segundo, de la Ley de Transparencia y Acceso a la Información Pública del Estado de México y Municipios.</w:t>
      </w:r>
    </w:p>
    <w:p w:rsidR="008857B2" w:rsidRDefault="008857B2">
      <w:pPr>
        <w:spacing w:line="360" w:lineRule="auto"/>
        <w:jc w:val="both"/>
        <w:rPr>
          <w:rFonts w:ascii="Palatino Linotype" w:eastAsia="Palatino Linotype" w:hAnsi="Palatino Linotype" w:cs="Palatino Linotype"/>
          <w:b/>
          <w:bCs/>
        </w:rPr>
      </w:pPr>
    </w:p>
    <w:p w:rsidR="008857B2" w:rsidRDefault="00794414">
      <w:pPr>
        <w:spacing w:line="360" w:lineRule="auto"/>
        <w:ind w:right="-787"/>
        <w:jc w:val="both"/>
        <w:rPr>
          <w:rFonts w:ascii="Palatino Linotype" w:eastAsia="Palatino Linotype" w:hAnsi="Palatino Linotype" w:cs="Palatino Linotype"/>
          <w:color w:val="000000"/>
          <w:highlight w:val="white"/>
        </w:rPr>
      </w:pPr>
      <w:r>
        <w:rPr>
          <w:rFonts w:ascii="Palatino Linotype" w:eastAsia="Palatino Linotype" w:hAnsi="Palatino Linotype" w:cs="Palatino Linotype"/>
          <w:b/>
          <w:bCs/>
        </w:rPr>
        <w:lastRenderedPageBreak/>
        <w:t xml:space="preserve">TERCERO. </w:t>
      </w:r>
      <w:r>
        <w:rPr>
          <w:rFonts w:ascii="Palatino Linotype" w:eastAsia="Palatino Linotype" w:hAnsi="Palatino Linotype" w:cs="Palatino Linotype"/>
          <w:b/>
          <w:bCs/>
          <w:color w:val="222222"/>
        </w:rPr>
        <w:t>NOTIFÍQUESE</w:t>
      </w:r>
      <w:r>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222222"/>
        </w:rPr>
        <w:t xml:space="preserve">dé cumplimiento a lo ordenado dentro del plazo </w:t>
      </w:r>
      <w:r>
        <w:rPr>
          <w:rFonts w:ascii="Palatino Linotype" w:eastAsia="Palatino Linotype" w:hAnsi="Palatino Linotype" w:cs="Palatino Linotype"/>
        </w:rPr>
        <w:t>de</w:t>
      </w:r>
      <w:r>
        <w:rPr>
          <w:rFonts w:ascii="Palatino Linotype" w:eastAsia="Palatino Linotype" w:hAnsi="Palatino Linotype" w:cs="Palatino Linotype"/>
          <w:b/>
          <w:bCs/>
          <w:color w:val="222222"/>
        </w:rPr>
        <w:t xml:space="preserve"> diez días hábiles, </w:t>
      </w:r>
      <w:r>
        <w:rPr>
          <w:rFonts w:ascii="Palatino Linotype" w:eastAsia="Palatino Linotype" w:hAnsi="Palatino Linotype" w:cs="Palatino Linotype"/>
          <w:color w:val="222222"/>
        </w:rPr>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8857B2" w:rsidRDefault="008857B2">
      <w:pPr>
        <w:spacing w:line="360" w:lineRule="auto"/>
        <w:jc w:val="both"/>
        <w:rPr>
          <w:rFonts w:ascii="Palatino Linotype" w:eastAsia="Palatino Linotype" w:hAnsi="Palatino Linotype" w:cs="Palatino Linotype"/>
        </w:rPr>
      </w:pPr>
    </w:p>
    <w:p w:rsidR="008857B2" w:rsidRDefault="00794414">
      <w:pPr>
        <w:spacing w:line="360" w:lineRule="auto"/>
        <w:ind w:right="-787"/>
        <w:jc w:val="both"/>
        <w:rPr>
          <w:rFonts w:ascii="Palatino Linotype" w:eastAsia="Palatino Linotype" w:hAnsi="Palatino Linotype" w:cs="Palatino Linotype"/>
        </w:rPr>
      </w:pPr>
      <w:bookmarkStart w:id="8" w:name="_heading=h.3rdcrjn" w:colFirst="0" w:colLast="0"/>
      <w:bookmarkEnd w:id="8"/>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8857B2" w:rsidRDefault="008857B2">
      <w:pPr>
        <w:spacing w:line="360" w:lineRule="auto"/>
        <w:ind w:right="276"/>
        <w:jc w:val="both"/>
        <w:rPr>
          <w:rFonts w:ascii="Palatino Linotype" w:eastAsia="Palatino Linotype" w:hAnsi="Palatino Linotype" w:cs="Palatino Linotype"/>
        </w:rPr>
      </w:pPr>
    </w:p>
    <w:p w:rsidR="008857B2" w:rsidRDefault="00794414">
      <w:pPr>
        <w:spacing w:line="360" w:lineRule="auto"/>
        <w:ind w:right="-787"/>
        <w:jc w:val="both"/>
        <w:rPr>
          <w:rFonts w:ascii="Palatino Linotype" w:eastAsia="Palatino Linotype" w:hAnsi="Palatino Linotype" w:cs="Palatino Linotype"/>
        </w:rPr>
      </w:pPr>
      <w:r>
        <w:rPr>
          <w:rFonts w:ascii="Palatino Linotype" w:eastAsia="Palatino Linotype" w:hAnsi="Palatino Linotype" w:cs="Palatino Linotype"/>
          <w:b/>
          <w:bCs/>
        </w:rPr>
        <w:t xml:space="preserve">QUINTO. </w:t>
      </w:r>
      <w:r>
        <w:rPr>
          <w:rFonts w:ascii="Palatino Linotype" w:eastAsia="Palatino Linotype" w:hAnsi="Palatino Linotype" w:cs="Palatino Linotype"/>
        </w:rPr>
        <w:t>Notifíquese</w:t>
      </w:r>
      <w:r>
        <w:rPr>
          <w:rFonts w:ascii="Palatino Linotype" w:eastAsia="Palatino Linotype" w:hAnsi="Palatino Linotype" w:cs="Palatino Linotype"/>
          <w:b/>
          <w:bCs/>
          <w:color w:val="222222"/>
        </w:rPr>
        <w:t xml:space="preserve"> </w:t>
      </w:r>
      <w:r>
        <w:rPr>
          <w:rFonts w:ascii="Palatino Linotype" w:eastAsia="Palatino Linotype" w:hAnsi="Palatino Linotype" w:cs="Palatino Linotype"/>
          <w:color w:val="222222"/>
        </w:rPr>
        <w:t xml:space="preserve">a </w:t>
      </w:r>
      <w:r>
        <w:rPr>
          <w:rFonts w:ascii="Palatino Linotype" w:eastAsia="Palatino Linotype" w:hAnsi="Palatino Linotype" w:cs="Palatino Linotype"/>
          <w:b/>
          <w:bCs/>
          <w:color w:val="222222"/>
        </w:rPr>
        <w:t>EL RECURRENTE</w:t>
      </w:r>
      <w:r>
        <w:rPr>
          <w:rFonts w:ascii="Palatino Linotype" w:eastAsia="Palatino Linotype" w:hAnsi="Palatino Linotype" w:cs="Palatino Linotype"/>
          <w:color w:val="222222"/>
        </w:rPr>
        <w:t xml:space="preserve"> la presente resolución vía SAIMEX</w:t>
      </w:r>
      <w:r>
        <w:rPr>
          <w:rFonts w:ascii="Palatino Linotype" w:eastAsia="Palatino Linotype" w:hAnsi="Palatino Linotype" w:cs="Palatino Linotype"/>
        </w:rPr>
        <w:t>.</w:t>
      </w:r>
    </w:p>
    <w:p w:rsidR="008857B2" w:rsidRDefault="008857B2">
      <w:pPr>
        <w:tabs>
          <w:tab w:val="left" w:pos="8080"/>
        </w:tabs>
        <w:spacing w:line="360" w:lineRule="auto"/>
        <w:jc w:val="both"/>
        <w:rPr>
          <w:rFonts w:ascii="Palatino Linotype" w:eastAsia="Palatino Linotype" w:hAnsi="Palatino Linotype" w:cs="Palatino Linotype"/>
        </w:rPr>
      </w:pPr>
    </w:p>
    <w:p w:rsidR="008857B2" w:rsidRDefault="00794414">
      <w:pPr>
        <w:spacing w:line="360" w:lineRule="auto"/>
        <w:ind w:right="-787"/>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SEXTO. </w:t>
      </w:r>
      <w:r>
        <w:rPr>
          <w:rFonts w:ascii="Palatino Linotype" w:eastAsia="Palatino Linotype" w:hAnsi="Palatino Linotype" w:cs="Palatino Linotype"/>
          <w:color w:val="000000"/>
        </w:rPr>
        <w:t xml:space="preserve">Se hace del conocimiento de </w:t>
      </w:r>
      <w:r>
        <w:rPr>
          <w:rFonts w:ascii="Palatino Linotype" w:eastAsia="Palatino Linotype" w:hAnsi="Palatino Linotype" w:cs="Palatino Linotype"/>
          <w:b/>
          <w:bCs/>
          <w:color w:val="000000"/>
        </w:rPr>
        <w:t>EL RECURRENTE</w:t>
      </w:r>
      <w:r>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w:t>
      </w:r>
      <w:r>
        <w:rPr>
          <w:rFonts w:ascii="Palatino Linotype" w:eastAsia="Palatino Linotype" w:hAnsi="Palatino Linotype" w:cs="Palatino Linotype"/>
        </w:rPr>
        <w:t>México</w:t>
      </w:r>
      <w:r>
        <w:rPr>
          <w:rFonts w:ascii="Palatino Linotype" w:eastAsia="Palatino Linotype" w:hAnsi="Palatino Linotype" w:cs="Palatino Linotype"/>
          <w:color w:val="000000"/>
        </w:rPr>
        <w:t xml:space="preserve"> y Municipios, en caso de que considere que la resolución le cause algún perjuicio podrá </w:t>
      </w:r>
      <w:r>
        <w:rPr>
          <w:rFonts w:ascii="Palatino Linotype" w:eastAsia="Palatino Linotype" w:hAnsi="Palatino Linotype" w:cs="Palatino Linotype"/>
        </w:rPr>
        <w:t>impugnar vía</w:t>
      </w:r>
      <w:r>
        <w:rPr>
          <w:rFonts w:ascii="Palatino Linotype" w:eastAsia="Palatino Linotype" w:hAnsi="Palatino Linotype" w:cs="Palatino Linotype"/>
          <w:color w:val="000000"/>
        </w:rPr>
        <w:t xml:space="preserve"> Juicio de Amparo en los términos de las leyes aplicables.</w:t>
      </w:r>
    </w:p>
    <w:p w:rsidR="008857B2" w:rsidRDefault="008857B2">
      <w:pPr>
        <w:spacing w:line="360" w:lineRule="auto"/>
        <w:ind w:right="-787"/>
        <w:jc w:val="both"/>
        <w:rPr>
          <w:rFonts w:ascii="Palatino Linotype" w:eastAsia="Palatino Linotype" w:hAnsi="Palatino Linotype" w:cs="Palatino Linotype"/>
          <w:color w:val="000000"/>
        </w:rPr>
      </w:pPr>
    </w:p>
    <w:p w:rsidR="003B41C0" w:rsidRPr="003E2295" w:rsidRDefault="003B41C0" w:rsidP="003B41C0">
      <w:pPr>
        <w:spacing w:before="240" w:after="240" w:line="360" w:lineRule="auto"/>
        <w:ind w:right="-716" w:firstLine="1"/>
        <w:jc w:val="both"/>
        <w:rPr>
          <w:rFonts w:ascii="Palatino Linotype" w:hAnsi="Palatino Linotype"/>
        </w:rPr>
      </w:pPr>
      <w:bookmarkStart w:id="9" w:name="_Hlk99014733"/>
      <w:r w:rsidRPr="003E2295">
        <w:rPr>
          <w:rFonts w:ascii="Palatino Linotype" w:hAnsi="Palatino Linotype" w:cs="Palatino Linotype"/>
        </w:rPr>
        <w:t xml:space="preserve">ASÍ LO RESUELVE, POR UNANIMIDAD DE VOTOS, EL PLENO DEL INSTITUTO DE TRANSPARENCIA, ACCESO A LA INFORMACIÓN PÚBLICA Y PROTECCIÓN DE </w:t>
      </w:r>
      <w:r w:rsidRPr="003E2295">
        <w:rPr>
          <w:rFonts w:ascii="Palatino Linotype" w:hAnsi="Palatino Linotype" w:cs="Palatino Linotype"/>
        </w:rPr>
        <w:lastRenderedPageBreak/>
        <w:t xml:space="preserve">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w:t>
      </w:r>
      <w:r w:rsidRPr="003E2295">
        <w:rPr>
          <w:rFonts w:ascii="Palatino Linotype" w:hAnsi="Palatino Linotype" w:cs="Palatino Linotype"/>
        </w:rPr>
        <w:t>SESIÓN O</w:t>
      </w:r>
      <w:r>
        <w:rPr>
          <w:rFonts w:ascii="Palatino Linotype" w:hAnsi="Palatino Linotype" w:cs="Palatino Linotype"/>
        </w:rPr>
        <w:t>RDINARIA, CELEBRADA EL TRES (03</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9"/>
    <w:p w:rsidR="008857B2" w:rsidRDefault="008857B2" w:rsidP="003B41C0">
      <w:pPr>
        <w:spacing w:line="360" w:lineRule="auto"/>
        <w:ind w:right="-716"/>
        <w:jc w:val="both"/>
        <w:rPr>
          <w:rFonts w:ascii="Palatino Linotype" w:eastAsia="Palatino Linotype" w:hAnsi="Palatino Linotype" w:cs="Palatino Linotype"/>
        </w:rPr>
      </w:pPr>
    </w:p>
    <w:p w:rsidR="008857B2" w:rsidRDefault="008857B2" w:rsidP="003B41C0">
      <w:pPr>
        <w:spacing w:line="360" w:lineRule="auto"/>
        <w:ind w:right="-716"/>
        <w:jc w:val="both"/>
        <w:rPr>
          <w:rFonts w:ascii="Palatino Linotype" w:eastAsia="Palatino Linotype" w:hAnsi="Palatino Linotype" w:cs="Palatino Linotype"/>
        </w:rPr>
      </w:pPr>
    </w:p>
    <w:p w:rsidR="008857B2" w:rsidRDefault="008857B2" w:rsidP="003B41C0">
      <w:pPr>
        <w:spacing w:line="360" w:lineRule="auto"/>
        <w:ind w:right="-716"/>
        <w:jc w:val="both"/>
        <w:rPr>
          <w:rFonts w:ascii="Palatino Linotype" w:eastAsia="Palatino Linotype" w:hAnsi="Palatino Linotype" w:cs="Palatino Linotype"/>
        </w:rPr>
      </w:pPr>
    </w:p>
    <w:p w:rsidR="008857B2" w:rsidRDefault="008857B2">
      <w:pPr>
        <w:spacing w:line="360" w:lineRule="auto"/>
        <w:ind w:right="-787"/>
        <w:jc w:val="both"/>
        <w:rPr>
          <w:rFonts w:ascii="Palatino Linotype" w:eastAsia="Palatino Linotype" w:hAnsi="Palatino Linotype" w:cs="Palatino Linotype"/>
        </w:rPr>
      </w:pPr>
    </w:p>
    <w:p w:rsidR="008857B2" w:rsidRDefault="008857B2">
      <w:pPr>
        <w:spacing w:line="360" w:lineRule="auto"/>
        <w:ind w:right="-787"/>
        <w:jc w:val="both"/>
        <w:rPr>
          <w:rFonts w:ascii="Palatino Linotype" w:eastAsia="Palatino Linotype" w:hAnsi="Palatino Linotype" w:cs="Palatino Linotype"/>
        </w:rPr>
      </w:pPr>
    </w:p>
    <w:p w:rsidR="008857B2" w:rsidRDefault="008857B2">
      <w:pPr>
        <w:spacing w:line="360" w:lineRule="auto"/>
        <w:ind w:right="-787"/>
        <w:jc w:val="both"/>
        <w:rPr>
          <w:rFonts w:ascii="Palatino Linotype" w:eastAsia="Palatino Linotype" w:hAnsi="Palatino Linotype" w:cs="Palatino Linotype"/>
        </w:rPr>
      </w:pPr>
    </w:p>
    <w:p w:rsidR="008857B2" w:rsidRDefault="008857B2">
      <w:pPr>
        <w:spacing w:line="360" w:lineRule="auto"/>
        <w:ind w:right="-787"/>
        <w:jc w:val="both"/>
        <w:rPr>
          <w:rFonts w:ascii="Palatino Linotype" w:eastAsia="Palatino Linotype" w:hAnsi="Palatino Linotype" w:cs="Palatino Linotype"/>
        </w:rPr>
      </w:pPr>
    </w:p>
    <w:p w:rsidR="008857B2" w:rsidRDefault="008857B2">
      <w:pPr>
        <w:spacing w:line="360" w:lineRule="auto"/>
        <w:ind w:right="-787"/>
        <w:jc w:val="both"/>
        <w:rPr>
          <w:rFonts w:ascii="Palatino Linotype" w:eastAsia="Palatino Linotype" w:hAnsi="Palatino Linotype" w:cs="Palatino Linotype"/>
        </w:rPr>
      </w:pPr>
    </w:p>
    <w:p w:rsidR="008857B2" w:rsidRDefault="008857B2">
      <w:pPr>
        <w:spacing w:line="360" w:lineRule="auto"/>
        <w:ind w:right="-787"/>
        <w:jc w:val="both"/>
        <w:rPr>
          <w:rFonts w:ascii="Palatino Linotype" w:eastAsia="Palatino Linotype" w:hAnsi="Palatino Linotype" w:cs="Palatino Linotype"/>
        </w:rPr>
      </w:pPr>
    </w:p>
    <w:p w:rsidR="008857B2" w:rsidRDefault="008857B2">
      <w:pPr>
        <w:spacing w:line="360" w:lineRule="auto"/>
        <w:ind w:right="-787"/>
        <w:jc w:val="both"/>
        <w:rPr>
          <w:rFonts w:ascii="Palatino Linotype" w:eastAsia="Palatino Linotype" w:hAnsi="Palatino Linotype" w:cs="Palatino Linotype"/>
        </w:rPr>
      </w:pPr>
    </w:p>
    <w:p w:rsidR="008857B2" w:rsidRDefault="008857B2">
      <w:pPr>
        <w:spacing w:line="360" w:lineRule="auto"/>
        <w:ind w:right="-787"/>
        <w:jc w:val="both"/>
        <w:rPr>
          <w:rFonts w:ascii="Palatino Linotype" w:eastAsia="Palatino Linotype" w:hAnsi="Palatino Linotype" w:cs="Palatino Linotype"/>
        </w:rPr>
      </w:pPr>
    </w:p>
    <w:p w:rsidR="008857B2" w:rsidRDefault="008857B2">
      <w:pPr>
        <w:spacing w:line="360" w:lineRule="auto"/>
        <w:ind w:right="-787"/>
        <w:jc w:val="both"/>
        <w:rPr>
          <w:rFonts w:ascii="Palatino Linotype" w:eastAsia="Palatino Linotype" w:hAnsi="Palatino Linotype" w:cs="Palatino Linotype"/>
        </w:rPr>
      </w:pPr>
    </w:p>
    <w:p w:rsidR="008857B2" w:rsidRDefault="008857B2">
      <w:pPr>
        <w:spacing w:line="360" w:lineRule="auto"/>
        <w:ind w:right="-787"/>
        <w:jc w:val="both"/>
        <w:rPr>
          <w:rFonts w:ascii="Palatino Linotype" w:eastAsia="Palatino Linotype" w:hAnsi="Palatino Linotype" w:cs="Palatino Linotype"/>
        </w:rPr>
      </w:pPr>
    </w:p>
    <w:p w:rsidR="008857B2" w:rsidRDefault="008857B2">
      <w:pPr>
        <w:spacing w:line="360" w:lineRule="auto"/>
        <w:ind w:right="-787"/>
        <w:jc w:val="both"/>
        <w:rPr>
          <w:rFonts w:ascii="Palatino Linotype" w:eastAsia="Palatino Linotype" w:hAnsi="Palatino Linotype" w:cs="Palatino Linotype"/>
        </w:rPr>
      </w:pPr>
    </w:p>
    <w:p w:rsidR="008857B2" w:rsidRDefault="008857B2">
      <w:pPr>
        <w:spacing w:line="360" w:lineRule="auto"/>
        <w:ind w:right="-787"/>
        <w:rPr>
          <w:rFonts w:ascii="Palatino Linotype" w:eastAsia="Palatino Linotype" w:hAnsi="Palatino Linotype" w:cs="Palatino Linotype"/>
        </w:rPr>
      </w:pPr>
    </w:p>
    <w:p w:rsidR="008857B2" w:rsidRDefault="008857B2">
      <w:pPr>
        <w:spacing w:line="360" w:lineRule="auto"/>
        <w:ind w:right="-787"/>
        <w:rPr>
          <w:rFonts w:ascii="Palatino Linotype" w:eastAsia="Palatino Linotype" w:hAnsi="Palatino Linotype" w:cs="Palatino Linotype"/>
        </w:rPr>
      </w:pPr>
    </w:p>
    <w:p w:rsidR="008857B2" w:rsidRDefault="008857B2">
      <w:pPr>
        <w:spacing w:line="360" w:lineRule="auto"/>
        <w:ind w:right="-787"/>
        <w:rPr>
          <w:rFonts w:ascii="Palatino Linotype" w:eastAsia="Palatino Linotype" w:hAnsi="Palatino Linotype" w:cs="Palatino Linotype"/>
        </w:rPr>
      </w:pPr>
    </w:p>
    <w:p w:rsidR="008857B2" w:rsidRDefault="008857B2">
      <w:pPr>
        <w:tabs>
          <w:tab w:val="left" w:pos="3374"/>
        </w:tabs>
        <w:spacing w:line="360" w:lineRule="auto"/>
        <w:ind w:right="-787"/>
        <w:rPr>
          <w:rFonts w:ascii="Palatino Linotype" w:eastAsia="Palatino Linotype" w:hAnsi="Palatino Linotype" w:cs="Palatino Linotype"/>
        </w:rPr>
      </w:pPr>
      <w:bookmarkStart w:id="10" w:name="_heading=h.lnxbz9" w:colFirst="0" w:colLast="0"/>
      <w:bookmarkEnd w:id="10"/>
    </w:p>
    <w:p w:rsidR="008857B2" w:rsidRDefault="008857B2">
      <w:pPr>
        <w:tabs>
          <w:tab w:val="left" w:pos="3374"/>
        </w:tabs>
        <w:spacing w:line="360" w:lineRule="auto"/>
        <w:ind w:right="-787"/>
        <w:rPr>
          <w:rFonts w:ascii="Palatino Linotype" w:eastAsia="Palatino Linotype" w:hAnsi="Palatino Linotype" w:cs="Palatino Linotype"/>
        </w:rPr>
      </w:pPr>
    </w:p>
    <w:p w:rsidR="008857B2" w:rsidRDefault="008857B2">
      <w:pPr>
        <w:tabs>
          <w:tab w:val="left" w:pos="3374"/>
        </w:tabs>
        <w:spacing w:line="360" w:lineRule="auto"/>
        <w:ind w:right="-787"/>
        <w:rPr>
          <w:rFonts w:ascii="Palatino Linotype" w:eastAsia="Palatino Linotype" w:hAnsi="Palatino Linotype" w:cs="Palatino Linotype"/>
        </w:rPr>
      </w:pPr>
    </w:p>
    <w:sectPr w:rsidR="008857B2">
      <w:headerReference w:type="even" r:id="rId9"/>
      <w:headerReference w:type="default" r:id="rId10"/>
      <w:footerReference w:type="default" r:id="rId11"/>
      <w:headerReference w:type="first" r:id="rId12"/>
      <w:footerReference w:type="first" r:id="rId13"/>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952" w:rsidRDefault="00CC7952">
      <w:r>
        <w:separator/>
      </w:r>
    </w:p>
  </w:endnote>
  <w:endnote w:type="continuationSeparator" w:id="0">
    <w:p w:rsidR="00CC7952" w:rsidRDefault="00CC7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embedRegular r:id="rId1" w:fontKey="{A306DB79-F916-4F45-B925-806A57D9B6FD}"/>
    <w:embedBold r:id="rId2" w:fontKey="{225480E2-F0D0-4600-BE07-37EAE51856F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3" w:fontKey="{8CE508BB-8A3D-4B08-8932-D99812D6278F}"/>
    <w:embedBold r:id="rId4" w:fontKey="{08BEF73F-3747-480D-A769-71BB31993303}"/>
    <w:embedItalic r:id="rId5" w:fontKey="{AC2DE071-D5EC-465E-86CB-7A9807444170}"/>
    <w:embedBoldItalic r:id="rId6" w:fontKey="{E9614FEF-C5C4-4D3F-8677-815188453F58}"/>
  </w:font>
  <w:font w:name="Calibri">
    <w:panose1 w:val="020F0502020204030204"/>
    <w:charset w:val="00"/>
    <w:family w:val="swiss"/>
    <w:pitch w:val="variable"/>
    <w:sig w:usb0="E4002EFF" w:usb1="C200247B" w:usb2="00000009" w:usb3="00000000" w:csb0="000001FF" w:csb1="00000000"/>
    <w:embedRegular r:id="rId7" w:fontKey="{3E44A38C-6525-40D2-BCBA-3129EF600E45}"/>
    <w:embedBold r:id="rId8" w:fontKey="{756044B3-0D75-4EE6-888E-640FB8505DFE}"/>
  </w:font>
  <w:font w:name="Georgia">
    <w:panose1 w:val="02040502050405020303"/>
    <w:charset w:val="00"/>
    <w:family w:val="roman"/>
    <w:pitch w:val="variable"/>
    <w:sig w:usb0="00000287" w:usb1="00000000" w:usb2="00000000" w:usb3="00000000" w:csb0="0000009F" w:csb1="00000000"/>
    <w:embedItalic r:id="rId9" w:fontKey="{51046E00-2953-4801-8CB4-9FF8B5DBE3E5}"/>
  </w:font>
  <w:font w:name="Cambria">
    <w:panose1 w:val="02040503050406030204"/>
    <w:charset w:val="00"/>
    <w:family w:val="roman"/>
    <w:pitch w:val="variable"/>
    <w:sig w:usb0="E00006FF" w:usb1="420024FF" w:usb2="02000000" w:usb3="00000000" w:csb0="0000019F" w:csb1="00000000"/>
    <w:embedRegular r:id="rId10" w:fontKey="{C0BE163A-2E46-4BCA-BD71-A89D26BC940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7B2" w:rsidRDefault="00794414">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F565A9">
      <w:rPr>
        <w:rFonts w:ascii="Palatino Linotype" w:eastAsia="Palatino Linotype" w:hAnsi="Palatino Linotype" w:cs="Palatino Linotype"/>
        <w:noProof/>
        <w:color w:val="000000"/>
        <w:sz w:val="22"/>
        <w:szCs w:val="22"/>
      </w:rPr>
      <w:t>9</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F565A9">
      <w:rPr>
        <w:rFonts w:ascii="Palatino Linotype" w:eastAsia="Palatino Linotype" w:hAnsi="Palatino Linotype" w:cs="Palatino Linotype"/>
        <w:noProof/>
        <w:color w:val="000000"/>
        <w:sz w:val="22"/>
        <w:szCs w:val="22"/>
      </w:rPr>
      <w:t>32</w:t>
    </w:r>
    <w:r>
      <w:rPr>
        <w:rFonts w:ascii="Palatino Linotype" w:eastAsia="Palatino Linotype" w:hAnsi="Palatino Linotype" w:cs="Palatino Linotype"/>
        <w:color w:val="000000"/>
        <w:sz w:val="22"/>
        <w:szCs w:val="22"/>
      </w:rPr>
      <w:fldChar w:fldCharType="end"/>
    </w:r>
  </w:p>
  <w:p w:rsidR="008857B2" w:rsidRDefault="008857B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7B2" w:rsidRDefault="00794414">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F565A9">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F565A9">
      <w:rPr>
        <w:rFonts w:ascii="Palatino Linotype" w:eastAsia="Palatino Linotype" w:hAnsi="Palatino Linotype" w:cs="Palatino Linotype"/>
        <w:noProof/>
        <w:color w:val="000000"/>
        <w:sz w:val="22"/>
        <w:szCs w:val="22"/>
      </w:rPr>
      <w:t>32</w:t>
    </w:r>
    <w:r>
      <w:rPr>
        <w:rFonts w:ascii="Palatino Linotype" w:eastAsia="Palatino Linotype" w:hAnsi="Palatino Linotype" w:cs="Palatino Linotype"/>
        <w:color w:val="000000"/>
        <w:sz w:val="22"/>
        <w:szCs w:val="22"/>
      </w:rPr>
      <w:fldChar w:fldCharType="end"/>
    </w:r>
  </w:p>
  <w:p w:rsidR="008857B2" w:rsidRDefault="008857B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952" w:rsidRDefault="00CC7952">
      <w:r>
        <w:separator/>
      </w:r>
    </w:p>
  </w:footnote>
  <w:footnote w:type="continuationSeparator" w:id="0">
    <w:p w:rsidR="00CC7952" w:rsidRDefault="00CC79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7B2" w:rsidRDefault="00CC7952">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7B2" w:rsidRDefault="008857B2">
    <w:pPr>
      <w:widowControl w:val="0"/>
      <w:pBdr>
        <w:top w:val="nil"/>
        <w:left w:val="nil"/>
        <w:bottom w:val="nil"/>
        <w:right w:val="nil"/>
        <w:between w:val="nil"/>
      </w:pBdr>
      <w:spacing w:line="276" w:lineRule="auto"/>
      <w:rPr>
        <w:color w:val="000000"/>
      </w:rPr>
    </w:pPr>
  </w:p>
  <w:tbl>
    <w:tblPr>
      <w:tblStyle w:val="a1"/>
      <w:tblW w:w="6750" w:type="dxa"/>
      <w:tblInd w:w="3261" w:type="dxa"/>
      <w:tblLayout w:type="fixed"/>
      <w:tblLook w:val="0400" w:firstRow="0" w:lastRow="0" w:firstColumn="0" w:lastColumn="0" w:noHBand="0" w:noVBand="1"/>
    </w:tblPr>
    <w:tblGrid>
      <w:gridCol w:w="3039"/>
      <w:gridCol w:w="3711"/>
    </w:tblGrid>
    <w:tr w:rsidR="008857B2">
      <w:trPr>
        <w:trHeight w:val="227"/>
      </w:trPr>
      <w:tc>
        <w:tcPr>
          <w:tcW w:w="3039" w:type="dxa"/>
        </w:tcPr>
        <w:p w:rsidR="008857B2" w:rsidRDefault="00794414">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710" w:type="dxa"/>
        </w:tcPr>
        <w:p w:rsidR="008857B2" w:rsidRDefault="00794414">
          <w:pPr>
            <w:pBdr>
              <w:top w:val="nil"/>
              <w:left w:val="nil"/>
              <w:bottom w:val="nil"/>
              <w:right w:val="nil"/>
              <w:between w:val="nil"/>
            </w:pBdr>
            <w:tabs>
              <w:tab w:val="right" w:pos="8838"/>
            </w:tabs>
            <w:ind w:right="-128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01208/INFOEM/IP/RR/2026</w:t>
          </w:r>
        </w:p>
      </w:tc>
    </w:tr>
    <w:tr w:rsidR="008857B2">
      <w:trPr>
        <w:trHeight w:val="342"/>
      </w:trPr>
      <w:tc>
        <w:tcPr>
          <w:tcW w:w="3039" w:type="dxa"/>
        </w:tcPr>
        <w:p w:rsidR="008857B2" w:rsidRDefault="00794414">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710" w:type="dxa"/>
        </w:tcPr>
        <w:p w:rsidR="008857B2" w:rsidRDefault="00794414">
          <w:pPr>
            <w:pBdr>
              <w:top w:val="nil"/>
              <w:left w:val="nil"/>
              <w:bottom w:val="nil"/>
              <w:right w:val="nil"/>
              <w:between w:val="nil"/>
            </w:pBdr>
            <w:tabs>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Toluca</w:t>
          </w:r>
        </w:p>
      </w:tc>
    </w:tr>
    <w:tr w:rsidR="008857B2">
      <w:trPr>
        <w:trHeight w:val="342"/>
      </w:trPr>
      <w:tc>
        <w:tcPr>
          <w:tcW w:w="3039" w:type="dxa"/>
        </w:tcPr>
        <w:p w:rsidR="008857B2" w:rsidRDefault="00794414">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710" w:type="dxa"/>
        </w:tcPr>
        <w:p w:rsidR="008857B2" w:rsidRDefault="00794414">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8857B2" w:rsidRDefault="00CC7952">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7B2" w:rsidRDefault="008857B2">
    <w:pPr>
      <w:widowControl w:val="0"/>
      <w:pBdr>
        <w:top w:val="nil"/>
        <w:left w:val="nil"/>
        <w:bottom w:val="nil"/>
        <w:right w:val="nil"/>
        <w:between w:val="nil"/>
      </w:pBdr>
      <w:spacing w:line="276" w:lineRule="auto"/>
      <w:rPr>
        <w:color w:val="000000"/>
        <w:sz w:val="14"/>
        <w:szCs w:val="14"/>
      </w:rPr>
    </w:pPr>
  </w:p>
  <w:tbl>
    <w:tblPr>
      <w:tblStyle w:val="a2"/>
      <w:tblW w:w="6750" w:type="dxa"/>
      <w:tblInd w:w="3261" w:type="dxa"/>
      <w:tblLayout w:type="fixed"/>
      <w:tblLook w:val="0400" w:firstRow="0" w:lastRow="0" w:firstColumn="0" w:lastColumn="0" w:noHBand="0" w:noVBand="1"/>
    </w:tblPr>
    <w:tblGrid>
      <w:gridCol w:w="3174"/>
      <w:gridCol w:w="3576"/>
    </w:tblGrid>
    <w:tr w:rsidR="008857B2">
      <w:trPr>
        <w:trHeight w:val="227"/>
      </w:trPr>
      <w:tc>
        <w:tcPr>
          <w:tcW w:w="3174" w:type="dxa"/>
        </w:tcPr>
        <w:p w:rsidR="008857B2" w:rsidRDefault="00794414">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3575" w:type="dxa"/>
        </w:tcPr>
        <w:p w:rsidR="008857B2" w:rsidRDefault="00794414">
          <w:pPr>
            <w:pBdr>
              <w:top w:val="nil"/>
              <w:left w:val="nil"/>
              <w:bottom w:val="nil"/>
              <w:right w:val="nil"/>
              <w:between w:val="nil"/>
            </w:pBdr>
            <w:tabs>
              <w:tab w:val="right" w:pos="8838"/>
            </w:tabs>
            <w:ind w:right="-128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01208/INFOEM/IP/RR/2026</w:t>
          </w:r>
        </w:p>
      </w:tc>
    </w:tr>
    <w:tr w:rsidR="008857B2">
      <w:trPr>
        <w:trHeight w:val="242"/>
      </w:trPr>
      <w:tc>
        <w:tcPr>
          <w:tcW w:w="3174" w:type="dxa"/>
        </w:tcPr>
        <w:p w:rsidR="008857B2" w:rsidRDefault="00794414">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3575" w:type="dxa"/>
        </w:tcPr>
        <w:p w:rsidR="008857B2" w:rsidRDefault="00F565A9">
          <w:pPr>
            <w:pBdr>
              <w:top w:val="nil"/>
              <w:left w:val="nil"/>
              <w:bottom w:val="nil"/>
              <w:right w:val="nil"/>
              <w:between w:val="nil"/>
            </w:pBdr>
            <w:tabs>
              <w:tab w:val="right" w:pos="8838"/>
              <w:tab w:val="left" w:pos="521"/>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XXXX</w:t>
          </w:r>
          <w:r w:rsidR="003B41C0">
            <w:rPr>
              <w:rFonts w:ascii="Palatino Linotype" w:eastAsia="Palatino Linotype" w:hAnsi="Palatino Linotype" w:cs="Palatino Linotype"/>
              <w:color w:val="000000"/>
            </w:rPr>
            <w:t xml:space="preserve"> </w:t>
          </w:r>
        </w:p>
      </w:tc>
    </w:tr>
    <w:tr w:rsidR="008857B2">
      <w:trPr>
        <w:trHeight w:val="342"/>
      </w:trPr>
      <w:tc>
        <w:tcPr>
          <w:tcW w:w="3174" w:type="dxa"/>
        </w:tcPr>
        <w:p w:rsidR="008857B2" w:rsidRDefault="00794414">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3575" w:type="dxa"/>
        </w:tcPr>
        <w:p w:rsidR="008857B2" w:rsidRDefault="00794414">
          <w:pPr>
            <w:pBdr>
              <w:top w:val="nil"/>
              <w:left w:val="nil"/>
              <w:bottom w:val="nil"/>
              <w:right w:val="nil"/>
              <w:between w:val="nil"/>
            </w:pBdr>
            <w:tabs>
              <w:tab w:val="right" w:pos="8838"/>
            </w:tabs>
            <w:jc w:val="both"/>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Toluca</w:t>
          </w:r>
        </w:p>
      </w:tc>
    </w:tr>
    <w:tr w:rsidR="008857B2">
      <w:trPr>
        <w:trHeight w:val="342"/>
      </w:trPr>
      <w:tc>
        <w:tcPr>
          <w:tcW w:w="3174" w:type="dxa"/>
        </w:tcPr>
        <w:p w:rsidR="008857B2" w:rsidRDefault="00794414">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3575" w:type="dxa"/>
        </w:tcPr>
        <w:p w:rsidR="008857B2" w:rsidRDefault="00794414">
          <w:pPr>
            <w:pBdr>
              <w:top w:val="nil"/>
              <w:left w:val="nil"/>
              <w:bottom w:val="nil"/>
              <w:right w:val="nil"/>
              <w:between w:val="nil"/>
            </w:pBdr>
            <w:tabs>
              <w:tab w:val="right" w:pos="8838"/>
            </w:tabs>
            <w:ind w:right="-128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8857B2" w:rsidRDefault="00CC7952">
    <w:pPr>
      <w:pBdr>
        <w:top w:val="nil"/>
        <w:left w:val="nil"/>
        <w:bottom w:val="nil"/>
        <w:right w:val="nil"/>
        <w:between w:val="nil"/>
      </w:pBdr>
      <w:tabs>
        <w:tab w:val="center" w:pos="4419"/>
        <w:tab w:val="right" w:pos="8838"/>
      </w:tabs>
      <w:rPr>
        <w:color w:val="000000"/>
        <w:sz w:val="18"/>
        <w:szCs w:val="18"/>
      </w:rPr>
    </w:pPr>
    <w:r>
      <w:rPr>
        <w:color w:val="000000"/>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5794D"/>
    <w:multiLevelType w:val="multilevel"/>
    <w:tmpl w:val="C78E382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 w15:restartNumberingAfterBreak="0">
    <w:nsid w:val="104257DF"/>
    <w:multiLevelType w:val="multilevel"/>
    <w:tmpl w:val="8C146198"/>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2" w15:restartNumberingAfterBreak="0">
    <w:nsid w:val="15E06661"/>
    <w:multiLevelType w:val="multilevel"/>
    <w:tmpl w:val="E7EE51C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DEC2BE6"/>
    <w:multiLevelType w:val="multilevel"/>
    <w:tmpl w:val="820C69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49A7411"/>
    <w:multiLevelType w:val="multilevel"/>
    <w:tmpl w:val="F36AE184"/>
    <w:lvl w:ilvl="0">
      <w:start w:val="1"/>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89B6A7F"/>
    <w:multiLevelType w:val="multilevel"/>
    <w:tmpl w:val="C2AE40AE"/>
    <w:lvl w:ilvl="0">
      <w:start w:val="1"/>
      <w:numFmt w:val="decimal"/>
      <w:lvlText w:val="%1."/>
      <w:lvlJc w:val="left"/>
      <w:pPr>
        <w:ind w:left="1495" w:hanging="360"/>
      </w:pPr>
      <w:rPr>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2731F8B"/>
    <w:multiLevelType w:val="multilevel"/>
    <w:tmpl w:val="78280A9A"/>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7" w15:restartNumberingAfterBreak="0">
    <w:nsid w:val="401E0B97"/>
    <w:multiLevelType w:val="multilevel"/>
    <w:tmpl w:val="A1B88D0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8407859"/>
    <w:multiLevelType w:val="multilevel"/>
    <w:tmpl w:val="A70A94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FFD2C04"/>
    <w:multiLevelType w:val="multilevel"/>
    <w:tmpl w:val="A32077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6F7F2C41"/>
    <w:multiLevelType w:val="multilevel"/>
    <w:tmpl w:val="DDF0F70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abstractNumId w:val="2"/>
  </w:num>
  <w:num w:numId="2">
    <w:abstractNumId w:val="9"/>
  </w:num>
  <w:num w:numId="3">
    <w:abstractNumId w:val="6"/>
  </w:num>
  <w:num w:numId="4">
    <w:abstractNumId w:val="3"/>
  </w:num>
  <w:num w:numId="5">
    <w:abstractNumId w:val="4"/>
  </w:num>
  <w:num w:numId="6">
    <w:abstractNumId w:val="1"/>
  </w:num>
  <w:num w:numId="7">
    <w:abstractNumId w:val="7"/>
  </w:num>
  <w:num w:numId="8">
    <w:abstractNumId w:val="10"/>
  </w:num>
  <w:num w:numId="9">
    <w:abstractNumId w:val="0"/>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7B2"/>
    <w:rsid w:val="001B7335"/>
    <w:rsid w:val="002B2B78"/>
    <w:rsid w:val="003B41C0"/>
    <w:rsid w:val="00794414"/>
    <w:rsid w:val="008857B2"/>
    <w:rsid w:val="00B14124"/>
    <w:rsid w:val="00CC7952"/>
    <w:rsid w:val="00CE4E3E"/>
    <w:rsid w:val="00F565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2C07AD79-322F-4CB6-BBA4-E87092B1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3B41C0"/>
    <w:pPr>
      <w:tabs>
        <w:tab w:val="center" w:pos="4419"/>
        <w:tab w:val="right" w:pos="8838"/>
      </w:tabs>
    </w:pPr>
  </w:style>
  <w:style w:type="character" w:customStyle="1" w:styleId="PiedepginaCar">
    <w:name w:val="Pie de página Car"/>
    <w:basedOn w:val="Fuentedeprrafopredeter"/>
    <w:link w:val="Piedepgina"/>
    <w:uiPriority w:val="99"/>
    <w:rsid w:val="003B4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EguwZRaeqn1B+FKdq0z9Mo769w==">CgMxLjAyCGguZ2pkZ3hzMgloLjMwajB6bGwyCWguMWZvYjl0ZTIJaC4zem55c2g3MgloLjJldDkycDAyCWguMXQzaDVzZjIJaC4xa3N2NHV2MgloLjNyZGNyam4yDmguaDJwMmM3c2QxemQxMghoLmxueGJ6OTgAciExSlJYbVRmRG0yYmRkbENfQXlQdjA1cG1uZE1RZFh6V0M=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8C8E214-9A14-45D5-80E3-744279945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32</Pages>
  <Words>8205</Words>
  <Characters>45129</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53228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6</cp:revision>
  <cp:lastPrinted>2026-06-05T16:39:00Z</cp:lastPrinted>
  <dcterms:created xsi:type="dcterms:W3CDTF">2026-06-03T19:33:00Z</dcterms:created>
  <dcterms:modified xsi:type="dcterms:W3CDTF">2026-06-09T22:56:00Z</dcterms:modified>
</cp:coreProperties>
</file>