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78FD30" w14:textId="708AD28C" w:rsidR="006D3F24" w:rsidRDefault="005C2B11">
      <w:pPr>
        <w:tabs>
          <w:tab w:val="left" w:pos="0"/>
        </w:tabs>
        <w:spacing w:line="360" w:lineRule="auto"/>
        <w:ind w:right="-981"/>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BD78D4">
        <w:rPr>
          <w:rFonts w:ascii="Palatino Linotype" w:eastAsia="Palatino Linotype" w:hAnsi="Palatino Linotype" w:cs="Palatino Linotype"/>
          <w:b/>
          <w:bCs/>
        </w:rPr>
        <w:t>tres</w:t>
      </w:r>
      <w:r w:rsidR="0082122D">
        <w:rPr>
          <w:rFonts w:ascii="Palatino Linotype" w:eastAsia="Palatino Linotype" w:hAnsi="Palatino Linotype" w:cs="Palatino Linotype"/>
          <w:b/>
          <w:bCs/>
        </w:rPr>
        <w:t xml:space="preserve"> (03)</w:t>
      </w:r>
      <w:r w:rsidR="00385882">
        <w:rPr>
          <w:rFonts w:ascii="Palatino Linotype" w:eastAsia="Palatino Linotype" w:hAnsi="Palatino Linotype" w:cs="Palatino Linotype"/>
          <w:b/>
          <w:bCs/>
        </w:rPr>
        <w:t xml:space="preserve"> </w:t>
      </w:r>
      <w:r w:rsidR="00BD78D4">
        <w:rPr>
          <w:rFonts w:ascii="Palatino Linotype" w:eastAsia="Palatino Linotype" w:hAnsi="Palatino Linotype" w:cs="Palatino Linotype"/>
          <w:b/>
          <w:bCs/>
        </w:rPr>
        <w:t>de junio</w:t>
      </w:r>
      <w:r>
        <w:rPr>
          <w:rFonts w:ascii="Palatino Linotype" w:eastAsia="Palatino Linotype" w:hAnsi="Palatino Linotype" w:cs="Palatino Linotype"/>
          <w:b/>
          <w:bCs/>
        </w:rPr>
        <w:t xml:space="preserve"> de dos mil veintiséis.</w:t>
      </w:r>
      <w:r>
        <w:rPr>
          <w:rFonts w:ascii="Palatino Linotype" w:eastAsia="Palatino Linotype" w:hAnsi="Palatino Linotype" w:cs="Palatino Linotype"/>
        </w:rPr>
        <w:t xml:space="preserve"> </w:t>
      </w:r>
    </w:p>
    <w:p w14:paraId="259620A3" w14:textId="77777777" w:rsidR="006D3F24" w:rsidRDefault="006D3F24">
      <w:pPr>
        <w:tabs>
          <w:tab w:val="left" w:pos="0"/>
        </w:tabs>
        <w:spacing w:line="360" w:lineRule="auto"/>
        <w:ind w:right="-981"/>
        <w:jc w:val="both"/>
        <w:rPr>
          <w:rFonts w:ascii="Palatino Linotype" w:eastAsia="Palatino Linotype" w:hAnsi="Palatino Linotype" w:cs="Palatino Linotype"/>
        </w:rPr>
      </w:pPr>
    </w:p>
    <w:p w14:paraId="0B6ECCFB" w14:textId="6563E195" w:rsidR="006D3F24" w:rsidRDefault="005C2B11">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 de revisión </w:t>
      </w:r>
      <w:r>
        <w:rPr>
          <w:rFonts w:ascii="Palatino Linotype" w:eastAsia="Palatino Linotype" w:hAnsi="Palatino Linotype" w:cs="Palatino Linotype"/>
          <w:b/>
          <w:bCs/>
          <w:color w:val="000000"/>
        </w:rPr>
        <w:t xml:space="preserve">02428/INFOEM/IP/RR/2026, </w:t>
      </w:r>
      <w:r>
        <w:rPr>
          <w:rFonts w:ascii="Palatino Linotype" w:eastAsia="Palatino Linotype" w:hAnsi="Palatino Linotype" w:cs="Palatino Linotype"/>
          <w:color w:val="000000"/>
        </w:rPr>
        <w:t xml:space="preserve">promovido por </w:t>
      </w:r>
      <w:r w:rsidR="00723EBA">
        <w:rPr>
          <w:rFonts w:ascii="Palatino Linotype" w:eastAsia="Palatino Linotype" w:hAnsi="Palatino Linotype" w:cs="Palatino Linotype"/>
          <w:b/>
        </w:rPr>
        <w:t>XXXX</w:t>
      </w:r>
      <w:r>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contra de la respuesta del </w:t>
      </w:r>
      <w:r>
        <w:rPr>
          <w:rFonts w:ascii="Palatino Linotype" w:eastAsia="Palatino Linotype" w:hAnsi="Palatino Linotype" w:cs="Palatino Linotype"/>
          <w:b/>
          <w:bCs/>
          <w:color w:val="000000"/>
        </w:rPr>
        <w:t>Ayuntamiento de Toluca</w:t>
      </w:r>
      <w:r>
        <w:rPr>
          <w:rFonts w:ascii="Palatino Linotype" w:eastAsia="Palatino Linotype" w:hAnsi="Palatino Linotype" w:cs="Palatino Linotype"/>
          <w:color w:val="000000"/>
        </w:rPr>
        <w:t>, en</w:t>
      </w:r>
      <w:r>
        <w:rPr>
          <w:rFonts w:ascii="Palatino Linotype" w:eastAsia="Palatino Linotype" w:hAnsi="Palatino Linotype" w:cs="Palatino Linotype"/>
        </w:rPr>
        <w:t xml:space="preserve"> adelante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p>
    <w:p w14:paraId="34BA82C4" w14:textId="77777777" w:rsidR="006D3F24" w:rsidRDefault="006D3F24">
      <w:pPr>
        <w:spacing w:line="360" w:lineRule="auto"/>
        <w:ind w:right="-981"/>
        <w:jc w:val="both"/>
        <w:rPr>
          <w:rFonts w:ascii="Palatino Linotype" w:eastAsia="Palatino Linotype" w:hAnsi="Palatino Linotype" w:cs="Palatino Linotype"/>
        </w:rPr>
      </w:pPr>
    </w:p>
    <w:p w14:paraId="72375AEA" w14:textId="77777777" w:rsidR="006D3F24" w:rsidRDefault="005C2B11">
      <w:pPr>
        <w:keepNext/>
        <w:keepLines/>
        <w:tabs>
          <w:tab w:val="left" w:pos="0"/>
        </w:tabs>
        <w:spacing w:line="360" w:lineRule="auto"/>
        <w:ind w:right="-981"/>
        <w:jc w:val="center"/>
        <w:rPr>
          <w:rFonts w:ascii="Palatino Linotype" w:eastAsia="Palatino Linotype" w:hAnsi="Palatino Linotype" w:cs="Palatino Linotype"/>
          <w:b/>
          <w:bCs/>
        </w:rPr>
      </w:pPr>
      <w:bookmarkStart w:id="0" w:name="_heading=h.ay4udxsecrj1" w:colFirst="0" w:colLast="0"/>
      <w:bookmarkEnd w:id="0"/>
      <w:r>
        <w:rPr>
          <w:rFonts w:ascii="Palatino Linotype" w:eastAsia="Palatino Linotype" w:hAnsi="Palatino Linotype" w:cs="Palatino Linotype"/>
          <w:b/>
          <w:bCs/>
        </w:rPr>
        <w:t>A N T E C E D E N T E S</w:t>
      </w:r>
    </w:p>
    <w:p w14:paraId="50A7A84F" w14:textId="77777777" w:rsidR="006D3F24" w:rsidRDefault="006D3F24">
      <w:pPr>
        <w:keepNext/>
        <w:keepLines/>
        <w:tabs>
          <w:tab w:val="left" w:pos="0"/>
        </w:tabs>
        <w:spacing w:line="360" w:lineRule="auto"/>
        <w:ind w:right="-981"/>
        <w:jc w:val="center"/>
        <w:rPr>
          <w:rFonts w:ascii="Palatino Linotype" w:eastAsia="Palatino Linotype" w:hAnsi="Palatino Linotype" w:cs="Palatino Linotype"/>
          <w:b/>
          <w:bCs/>
        </w:rPr>
      </w:pPr>
    </w:p>
    <w:p w14:paraId="4AF0CEB7" w14:textId="77777777" w:rsidR="006D3F24" w:rsidRDefault="005C2B11">
      <w:pPr>
        <w:numPr>
          <w:ilvl w:val="0"/>
          <w:numId w:val="2"/>
        </w:numPr>
        <w:tabs>
          <w:tab w:val="left" w:pos="0"/>
        </w:tabs>
        <w:spacing w:line="360" w:lineRule="auto"/>
        <w:ind w:left="0" w:right="-981"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veintiocho de enero de dos mil veintiséis </w:t>
      </w:r>
      <w:r>
        <w:rPr>
          <w:rFonts w:ascii="Palatino Linotype" w:eastAsia="Palatino Linotype" w:hAnsi="Palatino Linotype" w:cs="Palatino Linotype"/>
        </w:rPr>
        <w:t>, el</w:t>
      </w:r>
      <w:r>
        <w:rPr>
          <w:rFonts w:ascii="Palatino Linotype" w:eastAsia="Palatino Linotype" w:hAnsi="Palatino Linotype" w:cs="Palatino Linotype"/>
          <w:b/>
          <w:bCs/>
        </w:rPr>
        <w:t xml:space="preserve"> </w:t>
      </w:r>
      <w:r>
        <w:rPr>
          <w:rFonts w:ascii="Palatino Linotype" w:eastAsia="Palatino Linotype" w:hAnsi="Palatino Linotype" w:cs="Palatino Linotype"/>
        </w:rPr>
        <w:t>solicitante</w:t>
      </w:r>
      <w:r>
        <w:rPr>
          <w:rFonts w:ascii="Palatino Linotype" w:eastAsia="Palatino Linotype" w:hAnsi="Palatino Linotype" w:cs="Palatino Linotype"/>
          <w:b/>
          <w:bCs/>
        </w:rPr>
        <w:t xml:space="preserve"> </w:t>
      </w:r>
      <w:r>
        <w:rPr>
          <w:rFonts w:ascii="Palatino Linotype" w:eastAsia="Palatino Linotype" w:hAnsi="Palatino Linotype" w:cs="Palatino Linotype"/>
        </w:rPr>
        <w:t>presentó</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Sistema de Acceso a la Información Mexiquense (SAIMEX), la solicitud de información pública registrada con el número </w:t>
      </w:r>
      <w:r>
        <w:rPr>
          <w:rFonts w:ascii="Palatino Linotype" w:eastAsia="Palatino Linotype" w:hAnsi="Palatino Linotype" w:cs="Palatino Linotype"/>
          <w:b/>
          <w:bCs/>
        </w:rPr>
        <w:t>00928/TOLUCA/IP/2026</w:t>
      </w:r>
      <w:r>
        <w:rPr>
          <w:rFonts w:ascii="Palatino Linotype" w:eastAsia="Palatino Linotype" w:hAnsi="Palatino Linotype" w:cs="Palatino Linotype"/>
        </w:rPr>
        <w:t>, mediante la cual se solicitó:</w:t>
      </w:r>
    </w:p>
    <w:p w14:paraId="13373187" w14:textId="77777777" w:rsidR="006D3F24" w:rsidRDefault="006D3F24">
      <w:pPr>
        <w:pBdr>
          <w:top w:val="nil"/>
          <w:left w:val="nil"/>
          <w:bottom w:val="nil"/>
          <w:right w:val="nil"/>
          <w:between w:val="nil"/>
        </w:pBdr>
        <w:tabs>
          <w:tab w:val="left" w:pos="1005"/>
        </w:tabs>
        <w:ind w:left="567" w:right="-981"/>
        <w:jc w:val="both"/>
        <w:rPr>
          <w:rFonts w:ascii="Palatino Linotype" w:eastAsia="Palatino Linotype" w:hAnsi="Palatino Linotype" w:cs="Palatino Linotype"/>
          <w:b/>
          <w:bCs/>
          <w:i/>
          <w:iCs/>
          <w:color w:val="000000"/>
        </w:rPr>
      </w:pPr>
    </w:p>
    <w:p w14:paraId="4773C2DD"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“Solicito amablemente me puede proporcionar la siguiente información en sus versiones públicas. 1.Recibos de nómina desde la primera quincena de enero 2025 hasta la primera quincena de enero del 2026 del servidor público de nombre Carmelo Belmonte Salas. 2. Expediente Laboral y curriculum del servidor público Carmelo Belmonte Salas. 3. Nombramiento expedido por autoridad competente en donde se señale el nombre, cargo y temporalidad en funciones en caso de contar con uno del Servidor Público de nombre Carmelo Belmonte Salas. 4. Documento en donde conste el área de adscripción del Servidor Público Carmelo Belmonte Salas. 5. Documento de la Contraloría Interna del Ayuntamiento de Toluca de Lerdo en el que señale la existencia de algún procedimiento interno en donde intervenga el Servidor Público Carmelo Belmonte Salas. 6. Gafete de identificación como servidor público del Servidor Público Carmelo Belmonte Salas. 7. Documento en donde se señale si el Servidor Público Carmelo Belmonte Salas cuenta con unidad vehicular del Ayuntamiento de Toluca de Lerdo a su disposición. 8. Documento expedido por la </w:t>
      </w:r>
      <w:r>
        <w:rPr>
          <w:rFonts w:ascii="Palatino Linotype" w:eastAsia="Palatino Linotype" w:hAnsi="Palatino Linotype" w:cs="Palatino Linotype"/>
          <w:i/>
          <w:iCs/>
          <w:color w:val="000000"/>
        </w:rPr>
        <w:lastRenderedPageBreak/>
        <w:t>tesorería municipal en donde se señale si el Servidor Público Carmelo Belmonte Salas cuenta con algún bono o gratificación por concepto de servicios personales, gasolina o comidas. 9. Documento expedido por autoridad competente en donde se especifique turno, horarios y días habilitados de servicio público del Servidor Público Carmelo Belmonte Salas. 10.Documento en donde conste el registro de entradas y salidas o de checador del Servidor Público Carmelo González Salas especificando horario de entrada y salida del area de trabajo en el perdido del 1 de septiembre a la fecha de la recepción de la presente solicitud. Muchas gracias (Sic.)</w:t>
      </w:r>
    </w:p>
    <w:p w14:paraId="3F076251" w14:textId="77777777" w:rsidR="006D3F24" w:rsidRDefault="006D3F24">
      <w:pPr>
        <w:tabs>
          <w:tab w:val="left" w:pos="0"/>
        </w:tabs>
        <w:spacing w:line="360" w:lineRule="auto"/>
        <w:ind w:right="-981"/>
        <w:jc w:val="both"/>
        <w:rPr>
          <w:rFonts w:ascii="Palatino Linotype" w:eastAsia="Palatino Linotype" w:hAnsi="Palatino Linotype" w:cs="Palatino Linotype"/>
          <w:i/>
          <w:iCs/>
          <w:color w:val="000000"/>
        </w:rPr>
      </w:pPr>
    </w:p>
    <w:p w14:paraId="19538296"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Se hace constar que se señaló como modalidad de entrega de la información a través de SAIMEX.</w:t>
      </w:r>
    </w:p>
    <w:p w14:paraId="33C58112" w14:textId="77777777" w:rsidR="006D3F24" w:rsidRDefault="006D3F24">
      <w:pPr>
        <w:ind w:right="-981"/>
        <w:rPr>
          <w:rFonts w:ascii="Palatino Linotype" w:eastAsia="Palatino Linotype" w:hAnsi="Palatino Linotype" w:cs="Palatino Linotype"/>
        </w:rPr>
      </w:pPr>
    </w:p>
    <w:p w14:paraId="3AF55B71" w14:textId="77777777" w:rsidR="006D3F24" w:rsidRDefault="005C2B11">
      <w:pPr>
        <w:numPr>
          <w:ilvl w:val="0"/>
          <w:numId w:val="2"/>
        </w:numPr>
        <w:tabs>
          <w:tab w:val="left" w:pos="0"/>
        </w:tabs>
        <w:spacing w:line="360" w:lineRule="auto"/>
        <w:ind w:left="0" w:right="-981"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diecinueve de febrero de dos mil veintiséis</w:t>
      </w:r>
      <w:r>
        <w:rPr>
          <w:rFonts w:ascii="Palatino Linotype" w:eastAsia="Palatino Linotype" w:hAnsi="Palatino Linotype" w:cs="Palatino Linotype"/>
        </w:rPr>
        <w:t>, el Sujeto Obligado dio respuesta a la solicitud de información en el siguiente sentido:</w:t>
      </w:r>
    </w:p>
    <w:p w14:paraId="71C1D7F6" w14:textId="77777777" w:rsidR="006D3F24" w:rsidRDefault="005C2B11">
      <w:pPr>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486F75F" w14:textId="77777777" w:rsidR="006D3F24" w:rsidRDefault="005C2B11">
      <w:pPr>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se adjunta respuesta” (Sic)</w:t>
      </w:r>
    </w:p>
    <w:p w14:paraId="38CCCCDB" w14:textId="77777777" w:rsidR="006D3F24" w:rsidRDefault="006D3F24">
      <w:pPr>
        <w:ind w:left="567" w:right="-981"/>
        <w:jc w:val="both"/>
        <w:rPr>
          <w:rFonts w:ascii="Palatino Linotype" w:eastAsia="Palatino Linotype" w:hAnsi="Palatino Linotype" w:cs="Palatino Linotype"/>
          <w:i/>
          <w:iCs/>
        </w:rPr>
      </w:pPr>
    </w:p>
    <w:p w14:paraId="23DBC321" w14:textId="77777777" w:rsidR="006D3F24" w:rsidRDefault="005C2B11">
      <w:pPr>
        <w:numPr>
          <w:ilvl w:val="0"/>
          <w:numId w:val="24"/>
        </w:numPr>
        <w:pBdr>
          <w:top w:val="nil"/>
          <w:left w:val="nil"/>
          <w:bottom w:val="nil"/>
          <w:right w:val="nil"/>
          <w:between w:val="nil"/>
        </w:pBdr>
        <w:spacing w:line="360" w:lineRule="auto"/>
        <w:ind w:left="0" w:right="-981" w:firstLine="0"/>
        <w:jc w:val="both"/>
        <w:rPr>
          <w:rFonts w:ascii="Palatino Linotype" w:eastAsia="Palatino Linotype" w:hAnsi="Palatino Linotype" w:cs="Palatino Linotype"/>
          <w:b/>
          <w:bCs/>
          <w:color w:val="000000"/>
        </w:rPr>
      </w:pPr>
      <w:bookmarkStart w:id="1" w:name="_heading=h.fwkpf61w69tg" w:colFirst="0" w:colLast="0"/>
      <w:bookmarkEnd w:id="1"/>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adjuntan</w:t>
      </w:r>
      <w:r>
        <w:rPr>
          <w:rFonts w:ascii="Palatino Linotype" w:eastAsia="Palatino Linotype" w:hAnsi="Palatino Linotype" w:cs="Palatino Linotype"/>
          <w:color w:val="000000"/>
        </w:rPr>
        <w:t xml:space="preserve"> los archivos electrónicos siguientes:</w:t>
      </w:r>
    </w:p>
    <w:p w14:paraId="40D98D19" w14:textId="77777777" w:rsidR="006D3F24" w:rsidRDefault="005C2B11">
      <w:pPr>
        <w:numPr>
          <w:ilvl w:val="1"/>
          <w:numId w:val="24"/>
        </w:numPr>
        <w:pBdr>
          <w:top w:val="nil"/>
          <w:left w:val="nil"/>
          <w:bottom w:val="nil"/>
          <w:right w:val="nil"/>
          <w:between w:val="nil"/>
        </w:pBdr>
        <w:spacing w:line="360" w:lineRule="auto"/>
        <w:ind w:left="567" w:right="-981"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color w:val="000000"/>
        </w:rPr>
        <w:t>928.pdf</w:t>
      </w:r>
      <w:r>
        <w:rPr>
          <w:rFonts w:ascii="Palatino Linotype" w:eastAsia="Palatino Linotype" w:hAnsi="Palatino Linotype" w:cs="Palatino Linotype"/>
          <w:color w:val="000000"/>
        </w:rPr>
        <w:t>; Oficio 202010000/297/2026 de fecha cinco de febrero de dos mil veintiséis, signado por el Tesorero Municipal, a través del cual informa que esa Unidad Administrativa no cuenta con la información solicitada.</w:t>
      </w:r>
    </w:p>
    <w:p w14:paraId="7506D630" w14:textId="77777777" w:rsidR="006D3F24" w:rsidRDefault="005C2B11">
      <w:pPr>
        <w:numPr>
          <w:ilvl w:val="1"/>
          <w:numId w:val="24"/>
        </w:numPr>
        <w:pBdr>
          <w:top w:val="nil"/>
          <w:left w:val="nil"/>
          <w:bottom w:val="nil"/>
          <w:right w:val="nil"/>
          <w:between w:val="nil"/>
        </w:pBdr>
        <w:spacing w:line="360" w:lineRule="auto"/>
        <w:ind w:left="567" w:right="-981"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NOT CIU 928</w:t>
      </w:r>
      <w:r>
        <w:rPr>
          <w:rFonts w:ascii="Palatino Linotype" w:eastAsia="Palatino Linotype" w:hAnsi="Palatino Linotype" w:cs="Palatino Linotype"/>
          <w:b/>
          <w:bCs/>
          <w:i/>
          <w:iCs/>
          <w:color w:val="000000"/>
        </w:rPr>
        <w:t>.</w:t>
      </w:r>
      <w:r>
        <w:rPr>
          <w:rFonts w:ascii="Palatino Linotype" w:eastAsia="Palatino Linotype" w:hAnsi="Palatino Linotype" w:cs="Palatino Linotype"/>
          <w:b/>
          <w:bCs/>
          <w:color w:val="000000"/>
        </w:rPr>
        <w:t xml:space="preserve">pdf: </w:t>
      </w:r>
      <w:r>
        <w:rPr>
          <w:rFonts w:ascii="Palatino Linotype" w:eastAsia="Palatino Linotype" w:hAnsi="Palatino Linotype" w:cs="Palatino Linotype"/>
          <w:color w:val="000000"/>
        </w:rPr>
        <w:t>Archivo que contiene los siguientes documentos:</w:t>
      </w:r>
    </w:p>
    <w:p w14:paraId="2253F509" w14:textId="77777777" w:rsidR="006D3F24" w:rsidRDefault="005C2B11">
      <w:pPr>
        <w:numPr>
          <w:ilvl w:val="2"/>
          <w:numId w:val="24"/>
        </w:num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206010000/1008/2026 de fecha diez de febrero de dos mil veintiséis, signado por la Directora General de Administración, a través del cual remite las respuesta de la Dirección de Recursos Humanos, Departamento de Control Patrimonial y Departamento de Mantenimiento Vehicular y Control de Combustibles</w:t>
      </w:r>
    </w:p>
    <w:p w14:paraId="09EC2F04" w14:textId="77777777" w:rsidR="006D3F24" w:rsidRDefault="005C2B11">
      <w:pPr>
        <w:numPr>
          <w:ilvl w:val="2"/>
          <w:numId w:val="24"/>
        </w:num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Nota informativa 0043/2026 de fecha tres de febrero de dos mil veintiséis, suscrito por la Directora de Recursos Humanos, mediante el cual informa que después de realizar una búsqueda exhaustiva dentro de sus archivos de nómina, no localizó documental que tenga relación con lo requerido.</w:t>
      </w:r>
    </w:p>
    <w:p w14:paraId="44D470A3" w14:textId="77777777" w:rsidR="006D3F24" w:rsidRDefault="005C2B11">
      <w:pPr>
        <w:numPr>
          <w:ilvl w:val="2"/>
          <w:numId w:val="24"/>
        </w:num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206013004/022/2026 de fecha tres de febrero de dos mil veintiséis, suscrito por el Jefe del Departamento de Control Patrimonial, a través del cual informa que dentro de los archivos que obran en esa Unidad Administrativa no obra documental que contenga la información requerida por el particular, toda vez que el servidor público en cuestión durante el periodo señalado no tuvo vehículos asignados.</w:t>
      </w:r>
    </w:p>
    <w:p w14:paraId="24F2024C" w14:textId="77777777" w:rsidR="006D3F24" w:rsidRDefault="005C2B11">
      <w:pPr>
        <w:numPr>
          <w:ilvl w:val="2"/>
          <w:numId w:val="24"/>
        </w:num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Similar 206013002/011/2026 de fecha veintinueve de enero de dos mil veintiséis, firmado por el Jefe del Departamento de Mantenimiento Vehicular y Control de Combustible, por medio del cual informa que el servidor público referido en la solicitud de información no laboral en la actual administración.</w:t>
      </w:r>
    </w:p>
    <w:p w14:paraId="734ED25B" w14:textId="77777777" w:rsidR="006D3F24" w:rsidRDefault="006D3F24">
      <w:pPr>
        <w:pBdr>
          <w:top w:val="nil"/>
          <w:left w:val="nil"/>
          <w:bottom w:val="nil"/>
          <w:right w:val="nil"/>
          <w:between w:val="nil"/>
        </w:pBdr>
        <w:spacing w:line="360" w:lineRule="auto"/>
        <w:ind w:left="360" w:right="-981"/>
        <w:jc w:val="both"/>
        <w:rPr>
          <w:rFonts w:ascii="Palatino Linotype" w:eastAsia="Palatino Linotype" w:hAnsi="Palatino Linotype" w:cs="Palatino Linotype"/>
          <w:color w:val="000000"/>
        </w:rPr>
      </w:pPr>
    </w:p>
    <w:p w14:paraId="31E8E877" w14:textId="77777777" w:rsidR="006D3F24" w:rsidRPr="00723EBA" w:rsidRDefault="005C2B11" w:rsidP="00723EBA">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veintitrés de febrero de dos mil veintiséis</w:t>
      </w:r>
      <w:r>
        <w:rPr>
          <w:rFonts w:ascii="Palatino Linotype" w:eastAsia="Palatino Linotype" w:hAnsi="Palatino Linotype" w:cs="Palatino Linotype"/>
          <w:color w:val="000000"/>
        </w:rPr>
        <w:t xml:space="preserve">, el solicitante interpuso recurso de revisión en la solicitud de información </w:t>
      </w:r>
      <w:r>
        <w:rPr>
          <w:rFonts w:ascii="Palatino Linotype" w:eastAsia="Palatino Linotype" w:hAnsi="Palatino Linotype" w:cs="Palatino Linotype"/>
          <w:b/>
          <w:bCs/>
          <w:color w:val="000000"/>
        </w:rPr>
        <w:t xml:space="preserve">00928/TOLUCA/IP/2026, </w:t>
      </w:r>
      <w:r>
        <w:rPr>
          <w:rFonts w:ascii="Palatino Linotype" w:eastAsia="Palatino Linotype" w:hAnsi="Palatino Linotype" w:cs="Palatino Linotype"/>
          <w:color w:val="000000"/>
        </w:rPr>
        <w:t xml:space="preserve">en contra de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14:paraId="43D1EB0B" w14:textId="77777777" w:rsidR="00723EBA" w:rsidRDefault="00723EBA" w:rsidP="00723EBA">
      <w:pPr>
        <w:pBdr>
          <w:top w:val="nil"/>
          <w:left w:val="nil"/>
          <w:bottom w:val="nil"/>
          <w:right w:val="nil"/>
          <w:between w:val="nil"/>
        </w:pBdr>
        <w:spacing w:line="360" w:lineRule="auto"/>
        <w:ind w:left="360" w:right="-981"/>
        <w:jc w:val="both"/>
      </w:pPr>
    </w:p>
    <w:p w14:paraId="3F46B459" w14:textId="77777777" w:rsidR="006D3F24" w:rsidRDefault="005C2B11">
      <w:pPr>
        <w:numPr>
          <w:ilvl w:val="0"/>
          <w:numId w:val="26"/>
        </w:numPr>
        <w:pBdr>
          <w:top w:val="nil"/>
          <w:left w:val="nil"/>
          <w:bottom w:val="nil"/>
          <w:right w:val="nil"/>
          <w:between w:val="nil"/>
        </w:pBdr>
        <w:spacing w:line="360" w:lineRule="auto"/>
        <w:ind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Acto Impugnado</w:t>
      </w:r>
    </w:p>
    <w:p w14:paraId="168192D3"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“La respuesta emitida por el titular de la unidad de transparencia del ayuntamiento de Toluca de Lerdo y la negativa de proporcionar información pública.” (Sic.)</w:t>
      </w:r>
    </w:p>
    <w:p w14:paraId="03EA6FFD" w14:textId="77777777" w:rsidR="006D3F24" w:rsidRDefault="006D3F24">
      <w:pPr>
        <w:pBdr>
          <w:top w:val="nil"/>
          <w:left w:val="nil"/>
          <w:bottom w:val="nil"/>
          <w:right w:val="nil"/>
          <w:between w:val="nil"/>
        </w:pBdr>
        <w:ind w:left="567" w:right="-981"/>
        <w:jc w:val="both"/>
        <w:rPr>
          <w:rFonts w:ascii="Palatino Linotype" w:eastAsia="Palatino Linotype" w:hAnsi="Palatino Linotype" w:cs="Palatino Linotype"/>
          <w:i/>
          <w:iCs/>
        </w:rPr>
      </w:pPr>
    </w:p>
    <w:p w14:paraId="53D6ED63" w14:textId="77777777" w:rsidR="006D3F24" w:rsidRDefault="005C2B11">
      <w:pPr>
        <w:numPr>
          <w:ilvl w:val="0"/>
          <w:numId w:val="1"/>
        </w:numPr>
        <w:pBdr>
          <w:top w:val="nil"/>
          <w:left w:val="nil"/>
          <w:bottom w:val="nil"/>
          <w:right w:val="nil"/>
          <w:between w:val="nil"/>
        </w:pBdr>
        <w:spacing w:line="360" w:lineRule="auto"/>
        <w:ind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p>
    <w:p w14:paraId="775DDCCF"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Ayuntamiento de Toluca señala la clasificación de la información, no obstante de la información solicitada existen elementos documentales que no se clasifican y que no me son proporcionados, me emiten una respuesta sin adjuntar algun cuadro de clasificación o acta mediante la cual se pruebe la clasificación de dicha información, exponiendo la impresicion de la infromación que se clasificó, lo cual violenta mi derecho de accesos a la información pública. Solicito que la autoridad superior encargada de ser garante de hacer valer el derecho de acceso a la información salvaguarde mi derecho de accesos al información.” (Sic.)</w:t>
      </w:r>
    </w:p>
    <w:p w14:paraId="66ECD5FA" w14:textId="77777777" w:rsidR="006D3F24" w:rsidRDefault="006D3F24">
      <w:pPr>
        <w:pBdr>
          <w:top w:val="nil"/>
          <w:left w:val="nil"/>
          <w:bottom w:val="nil"/>
          <w:right w:val="nil"/>
          <w:between w:val="nil"/>
        </w:pBdr>
        <w:tabs>
          <w:tab w:val="left" w:pos="851"/>
        </w:tabs>
        <w:spacing w:line="360" w:lineRule="auto"/>
        <w:ind w:left="720" w:right="-981"/>
        <w:jc w:val="both"/>
        <w:rPr>
          <w:rFonts w:ascii="Palatino Linotype" w:eastAsia="Palatino Linotype" w:hAnsi="Palatino Linotype" w:cs="Palatino Linotype"/>
          <w:color w:val="000000"/>
        </w:rPr>
      </w:pPr>
    </w:p>
    <w:p w14:paraId="26D9BD80"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turna a la </w:t>
      </w:r>
      <w:r>
        <w:rPr>
          <w:rFonts w:ascii="Palatino Linotype" w:eastAsia="Palatino Linotype" w:hAnsi="Palatino Linotype" w:cs="Palatino Linotype"/>
          <w:b/>
          <w:bCs/>
        </w:rPr>
        <w:t>Comisionada María del Rosario Mejía Ayala,</w:t>
      </w:r>
      <w:r>
        <w:rPr>
          <w:rFonts w:ascii="Palatino Linotype" w:eastAsia="Palatino Linotype" w:hAnsi="Palatino Linotype" w:cs="Palatino Linotype"/>
        </w:rPr>
        <w:t xml:space="preserve"> para su análisis.</w:t>
      </w:r>
    </w:p>
    <w:p w14:paraId="0A479DA3" w14:textId="77777777" w:rsidR="006D3F24" w:rsidRDefault="006D3F24">
      <w:pPr>
        <w:spacing w:line="360" w:lineRule="auto"/>
        <w:ind w:right="-981"/>
        <w:jc w:val="both"/>
        <w:rPr>
          <w:rFonts w:ascii="Palatino Linotype" w:eastAsia="Palatino Linotype" w:hAnsi="Palatino Linotype" w:cs="Palatino Linotype"/>
          <w:i/>
          <w:iCs/>
          <w:color w:val="000000"/>
        </w:rPr>
      </w:pPr>
    </w:p>
    <w:p w14:paraId="78772A49"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color w:val="000000"/>
        </w:rPr>
        <w:t xml:space="preserve">La Comisionada Ponente con fundamento en lo dispuesto por el artículo 185 </w:t>
      </w:r>
      <w:r>
        <w:rPr>
          <w:rFonts w:ascii="Palatino Linotype" w:eastAsia="Palatino Linotype" w:hAnsi="Palatino Linotype" w:cs="Palatino Linotype"/>
        </w:rPr>
        <w:t>fracción</w:t>
      </w:r>
      <w:r>
        <w:rPr>
          <w:rFonts w:ascii="Palatino Linotype" w:eastAsia="Palatino Linotype" w:hAnsi="Palatino Linotype" w:cs="Palatino Linotype"/>
          <w:color w:val="000000"/>
        </w:rPr>
        <w:t xml:space="preserve">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veintisiete de febrero de dos mil veintiséis</w:t>
      </w:r>
      <w:r>
        <w:rPr>
          <w:rFonts w:ascii="Palatino Linotype" w:eastAsia="Palatino Linotype" w:hAnsi="Palatino Linotype" w:cs="Palatino Linotype"/>
          <w:color w:val="000000"/>
        </w:rPr>
        <w:t xml:space="preserve">, puso a disposición de las partes el expediente electrónico vía SAIMEX a efecto de que en un plazo máximo de siete días manifestaran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14:paraId="0E9E3BF1"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676E451F"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 xml:space="preserve">De lo anterior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 en fechas </w:t>
      </w:r>
      <w:r>
        <w:rPr>
          <w:rFonts w:ascii="Palatino Linotype" w:eastAsia="Palatino Linotype" w:hAnsi="Palatino Linotype" w:cs="Palatino Linotype"/>
          <w:b/>
          <w:bCs/>
        </w:rPr>
        <w:t>cinco, diez y once de marzo</w:t>
      </w:r>
      <w:r>
        <w:rPr>
          <w:rFonts w:ascii="Palatino Linotype" w:eastAsia="Palatino Linotype" w:hAnsi="Palatino Linotype" w:cs="Palatino Linotype"/>
        </w:rPr>
        <w:t>, remitió documentos, mediante el cual ratifica respuesta; así mismo; así mismo adjunta los archivos denominado “</w:t>
      </w:r>
      <w:r>
        <w:rPr>
          <w:rFonts w:ascii="Palatino Linotype" w:eastAsia="Palatino Linotype" w:hAnsi="Palatino Linotype" w:cs="Palatino Linotype"/>
          <w:b/>
          <w:bCs/>
        </w:rPr>
        <w:t>2428-OIC.pdf</w:t>
      </w:r>
      <w:r>
        <w:rPr>
          <w:rFonts w:ascii="Palatino Linotype" w:eastAsia="Palatino Linotype" w:hAnsi="Palatino Linotype" w:cs="Palatino Linotype"/>
        </w:rPr>
        <w:t>” y ”</w:t>
      </w:r>
      <w:r>
        <w:rPr>
          <w:rFonts w:ascii="Palatino Linotype" w:eastAsia="Palatino Linotype" w:hAnsi="Palatino Linotype" w:cs="Palatino Linotype"/>
          <w:b/>
          <w:bCs/>
        </w:rPr>
        <w:t>2428-2026_ACTA084-2026,pdf</w:t>
      </w:r>
      <w:r>
        <w:rPr>
          <w:rFonts w:ascii="Palatino Linotype" w:eastAsia="Palatino Linotype" w:hAnsi="Palatino Linotype" w:cs="Palatino Linotype"/>
        </w:rPr>
        <w:t>”, mismos que no se pone a la vista por contener información clasificada como confidencial.</w:t>
      </w:r>
    </w:p>
    <w:p w14:paraId="23971DF0" w14:textId="77777777" w:rsidR="006D3F24" w:rsidRDefault="005C2B11">
      <w:pPr>
        <w:numPr>
          <w:ilvl w:val="0"/>
          <w:numId w:val="2"/>
        </w:numPr>
        <w:spacing w:line="360" w:lineRule="auto"/>
        <w:ind w:left="0" w:right="-981" w:firstLine="0"/>
        <w:jc w:val="both"/>
      </w:pPr>
      <w:bookmarkStart w:id="2" w:name="_GoBack"/>
      <w:bookmarkEnd w:id="2"/>
      <w:r>
        <w:rPr>
          <w:rFonts w:ascii="Palatino Linotype" w:eastAsia="Palatino Linotype" w:hAnsi="Palatino Linotype" w:cs="Palatino Linotype"/>
        </w:rPr>
        <w:lastRenderedPageBreak/>
        <w:t>Por su parte</w:t>
      </w:r>
      <w:r>
        <w:rPr>
          <w:rFonts w:ascii="Palatino Linotype" w:eastAsia="Palatino Linotype" w:hAnsi="Palatino Linotype" w:cs="Palatino Linotype"/>
          <w:b/>
          <w:bCs/>
        </w:rPr>
        <w:t xml:space="preserve"> el RECURRENTE </w:t>
      </w:r>
      <w:r>
        <w:rPr>
          <w:rFonts w:ascii="Palatino Linotype" w:eastAsia="Palatino Linotype" w:hAnsi="Palatino Linotype" w:cs="Palatino Linotype"/>
        </w:rPr>
        <w:t xml:space="preserve">dejó de realizar manifestaciones que a su derecho conviniera y asistiera, respectivamente en el presente Recurso de Revisión. </w:t>
      </w:r>
    </w:p>
    <w:p w14:paraId="77644186" w14:textId="77777777" w:rsidR="006D3F24" w:rsidRDefault="006D3F24">
      <w:pPr>
        <w:spacing w:line="360" w:lineRule="auto"/>
        <w:ind w:right="-981"/>
        <w:jc w:val="both"/>
        <w:rPr>
          <w:rFonts w:ascii="Palatino Linotype" w:eastAsia="Palatino Linotype" w:hAnsi="Palatino Linotype" w:cs="Palatino Linotype"/>
          <w:i/>
          <w:iCs/>
          <w:color w:val="000000"/>
        </w:rPr>
      </w:pPr>
    </w:p>
    <w:p w14:paraId="5C329A81"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veintiuno de abril de dos mil veintiséis</w:t>
      </w:r>
      <w:r>
        <w:rPr>
          <w:rFonts w:ascii="Palatino Linotype" w:eastAsia="Palatino Linotype" w:hAnsi="Palatino Linotype" w:cs="Palatino Linotype"/>
        </w:rPr>
        <w:t>, se notificó el acuerdo mediante el cual se amplió el plazo para emitir resolución por un término de 15 días adicionales.</w:t>
      </w:r>
    </w:p>
    <w:p w14:paraId="1C5E2533"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i/>
          <w:iCs/>
          <w:color w:val="000000"/>
        </w:rPr>
      </w:pPr>
    </w:p>
    <w:p w14:paraId="62C5E34D"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 xml:space="preserve">Finalmente, la Comisionada Ponente mediante acuerdo del </w:t>
      </w:r>
      <w:r>
        <w:rPr>
          <w:rFonts w:ascii="Palatino Linotype" w:eastAsia="Palatino Linotype" w:hAnsi="Palatino Linotype" w:cs="Palatino Linotype"/>
          <w:b/>
          <w:bCs/>
        </w:rPr>
        <w:t>veintidós de mayo de dos mil veintiséis</w:t>
      </w:r>
      <w:r>
        <w:rPr>
          <w:rFonts w:ascii="Palatino Linotype" w:eastAsia="Palatino Linotype" w:hAnsi="Palatino Linotype" w:cs="Palatino Linotype"/>
        </w:rPr>
        <w:t>, decretó el cierre de instrucción del expediente, por lo que no habiendo más que hacer constar, y</w:t>
      </w:r>
    </w:p>
    <w:p w14:paraId="5CADEFA4" w14:textId="77777777" w:rsidR="006D3F24" w:rsidRDefault="005C2B11">
      <w:pPr>
        <w:pBdr>
          <w:top w:val="nil"/>
          <w:left w:val="nil"/>
          <w:bottom w:val="nil"/>
          <w:right w:val="nil"/>
          <w:between w:val="nil"/>
        </w:pBdr>
        <w:ind w:left="360" w:right="-98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14:paraId="17CF4B49" w14:textId="77777777" w:rsidR="006D3F24" w:rsidRDefault="006D3F24">
      <w:pPr>
        <w:pBdr>
          <w:top w:val="nil"/>
          <w:left w:val="nil"/>
          <w:bottom w:val="nil"/>
          <w:right w:val="nil"/>
          <w:between w:val="nil"/>
        </w:pBdr>
        <w:ind w:left="360" w:right="-981"/>
        <w:rPr>
          <w:rFonts w:ascii="Palatino Linotype" w:eastAsia="Palatino Linotype" w:hAnsi="Palatino Linotype" w:cs="Palatino Linotype"/>
          <w:b/>
          <w:bCs/>
          <w:color w:val="000000"/>
        </w:rPr>
      </w:pPr>
    </w:p>
    <w:p w14:paraId="0687E7CB" w14:textId="77777777" w:rsidR="006D3F24" w:rsidRDefault="005C2B11">
      <w:pPr>
        <w:ind w:right="-981"/>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14:paraId="26D41A09"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color w:val="000000"/>
          <w:highlight w:val="white"/>
        </w:rPr>
        <w:t>Este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highlight w:val="white"/>
        </w:rPr>
        <w:t>Constitución Política de los Estados Unidos Mexicanos</w:t>
      </w:r>
      <w:r>
        <w:rPr>
          <w:rFonts w:ascii="Palatino Linotype" w:eastAsia="Palatino Linotype" w:hAnsi="Palatino Linotype" w:cs="Palatino Linotype"/>
          <w:color w:val="000000"/>
          <w:highlight w:val="white"/>
        </w:rPr>
        <w:t>; 5, párrafos trigésimo segundo, trigésimo tercero y trigésimo cuarto fracciones IV y V de la </w:t>
      </w:r>
      <w:r>
        <w:rPr>
          <w:rFonts w:ascii="Palatino Linotype" w:eastAsia="Palatino Linotype" w:hAnsi="Palatino Linotype" w:cs="Palatino Linotype"/>
          <w:b/>
          <w:bCs/>
          <w:color w:val="000000"/>
          <w:highlight w:val="white"/>
        </w:rPr>
        <w:t>Constitución Política del Estado Libre y Soberano de México</w:t>
      </w:r>
      <w:r>
        <w:rPr>
          <w:rFonts w:ascii="Palatino Linotype" w:eastAsia="Palatino Linotype" w:hAnsi="Palatino Linotype" w:cs="Palatino Linotype"/>
          <w:color w:val="000000"/>
          <w:highlight w:val="white"/>
        </w:rPr>
        <w:t>; artículos 1, 2 fracción II, 13, 29, 36 fracciones I y II, 176, 178, 179, 181 párrafo tercero y 185 de la </w:t>
      </w:r>
      <w:r>
        <w:rPr>
          <w:rFonts w:ascii="Palatino Linotype" w:eastAsia="Palatino Linotype" w:hAnsi="Palatino Linotype" w:cs="Palatino Linotype"/>
          <w:b/>
          <w:bCs/>
          <w:color w:val="000000"/>
          <w:highlight w:val="white"/>
        </w:rPr>
        <w:t>Ley de Transparencia y Acceso a la Información Pública del Estado de México y Municipios</w:t>
      </w:r>
      <w:r>
        <w:rPr>
          <w:rFonts w:ascii="Palatino Linotype" w:eastAsia="Palatino Linotype" w:hAnsi="Palatino Linotype" w:cs="Palatino Linotype"/>
          <w:color w:val="000000"/>
          <w:highlight w:val="white"/>
        </w:rPr>
        <w:t>; y 7, 9 fracciones I y XXIII, y 11 del </w:t>
      </w:r>
      <w:r>
        <w:rPr>
          <w:rFonts w:ascii="Palatino Linotype" w:eastAsia="Palatino Linotype" w:hAnsi="Palatino Linotype" w:cs="Palatino Linotype"/>
          <w:b/>
          <w:bCs/>
          <w:color w:val="000000"/>
          <w:highlight w:val="white"/>
        </w:rPr>
        <w:t>Reglamento Interior del Instituto de Transparencia, Acceso a la Información Pública y Protección de Datos Personales del Estado de México y Municipios</w:t>
      </w:r>
      <w:r>
        <w:rPr>
          <w:rFonts w:ascii="Palatino Linotype" w:eastAsia="Palatino Linotype" w:hAnsi="Palatino Linotype" w:cs="Palatino Linotype"/>
          <w:color w:val="000000"/>
          <w:highlight w:val="white"/>
        </w:rPr>
        <w:t>.</w:t>
      </w:r>
    </w:p>
    <w:p w14:paraId="31F78318"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b/>
          <w:bCs/>
          <w:color w:val="000000"/>
        </w:rPr>
      </w:pPr>
    </w:p>
    <w:p w14:paraId="18BC47E9" w14:textId="77777777" w:rsidR="0082122D" w:rsidRDefault="0082122D">
      <w:pPr>
        <w:pBdr>
          <w:top w:val="nil"/>
          <w:left w:val="nil"/>
          <w:bottom w:val="nil"/>
          <w:right w:val="nil"/>
          <w:between w:val="nil"/>
        </w:pBdr>
        <w:ind w:left="720" w:right="-981"/>
        <w:rPr>
          <w:rFonts w:ascii="Palatino Linotype" w:eastAsia="Palatino Linotype" w:hAnsi="Palatino Linotype" w:cs="Palatino Linotype"/>
          <w:b/>
          <w:bCs/>
          <w:color w:val="000000"/>
        </w:rPr>
      </w:pPr>
    </w:p>
    <w:p w14:paraId="7F6CEF8E" w14:textId="77777777" w:rsidR="006D3F24" w:rsidRDefault="005C2B11">
      <w:pPr>
        <w:pBdr>
          <w:top w:val="nil"/>
          <w:left w:val="nil"/>
          <w:bottom w:val="nil"/>
          <w:right w:val="nil"/>
          <w:between w:val="nil"/>
        </w:pBdr>
        <w:ind w:right="-98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SEGUNDO. De la Oportunidad y Procedencia</w:t>
      </w:r>
    </w:p>
    <w:p w14:paraId="112F1180"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w:t>
      </w:r>
      <w:r>
        <w:rPr>
          <w:rFonts w:ascii="Palatino Linotype" w:eastAsia="Palatino Linotype" w:hAnsi="Palatino Linotype" w:cs="Palatino Linotype"/>
        </w:rPr>
        <w:lastRenderedPageBreak/>
        <w:t xml:space="preserve">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día </w:t>
      </w:r>
      <w:r>
        <w:rPr>
          <w:rFonts w:ascii="Palatino Linotype" w:eastAsia="Palatino Linotype" w:hAnsi="Palatino Linotype" w:cs="Palatino Linotype"/>
          <w:b/>
          <w:bCs/>
        </w:rPr>
        <w:t>diecinueve de febrero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veinte de febrero al trece de marzo de dos mil veintiséis de dos mil veinticinco</w:t>
      </w:r>
      <w:r>
        <w:rPr>
          <w:rFonts w:ascii="Palatino Linotype" w:eastAsia="Palatino Linotype" w:hAnsi="Palatino Linotype" w:cs="Palatino Linotype"/>
        </w:rPr>
        <w:t xml:space="preserve">, de acuerdo al calendario oficial del Instituto de Transparencia del Estado de México y Municipios; en consecuencia, si el particular presentó su inconformidad el día </w:t>
      </w:r>
      <w:r>
        <w:rPr>
          <w:rFonts w:ascii="Palatino Linotype" w:eastAsia="Palatino Linotype" w:hAnsi="Palatino Linotype" w:cs="Palatino Linotype"/>
          <w:b/>
          <w:bCs/>
        </w:rPr>
        <w:t>veintitrés de febrero de dos mil veintiséis</w:t>
      </w:r>
      <w:r>
        <w:rPr>
          <w:rFonts w:ascii="Palatino Linotype" w:eastAsia="Palatino Linotype" w:hAnsi="Palatino Linotype" w:cs="Palatino Linotype"/>
        </w:rPr>
        <w:t xml:space="preserv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14:paraId="55BF192A" w14:textId="77777777" w:rsidR="006D3F24" w:rsidRDefault="006D3F24">
      <w:pPr>
        <w:spacing w:line="360" w:lineRule="auto"/>
        <w:ind w:right="-981"/>
        <w:jc w:val="both"/>
        <w:rPr>
          <w:rFonts w:ascii="Palatino Linotype" w:eastAsia="Palatino Linotype" w:hAnsi="Palatino Linotype" w:cs="Palatino Linotype"/>
        </w:rPr>
      </w:pPr>
    </w:p>
    <w:p w14:paraId="1F354CE8"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5AD4224B" w14:textId="77777777" w:rsidR="006D3F24" w:rsidRDefault="005C2B11">
      <w:pPr>
        <w:pBdr>
          <w:top w:val="nil"/>
          <w:left w:val="nil"/>
          <w:bottom w:val="nil"/>
          <w:right w:val="nil"/>
          <w:between w:val="nil"/>
        </w:pBdr>
        <w:tabs>
          <w:tab w:val="left" w:pos="7655"/>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Las solicitudes anónimas</w:t>
      </w:r>
      <w:r>
        <w:rPr>
          <w:rFonts w:ascii="Palatino Linotype" w:eastAsia="Palatino Linotype" w:hAnsi="Palatino Linotype" w:cs="Palatino Linotype"/>
          <w:i/>
          <w:iCs/>
          <w:color w:val="000000"/>
        </w:rPr>
        <w:t xml:space="preserve">, con nombre incompleto o seudónimo </w:t>
      </w:r>
      <w:r>
        <w:rPr>
          <w:rFonts w:ascii="Palatino Linotype" w:eastAsia="Palatino Linotype" w:hAnsi="Palatino Linotype" w:cs="Palatino Linotype"/>
          <w:b/>
          <w:bCs/>
          <w:i/>
          <w:iCs/>
          <w:color w:val="000000"/>
        </w:rPr>
        <w:t>serán procedentes para su trámite por parte del sujeto obligado ante quien se presente</w:t>
      </w:r>
      <w:r>
        <w:rPr>
          <w:rFonts w:ascii="Palatino Linotype" w:eastAsia="Palatino Linotype" w:hAnsi="Palatino Linotype" w:cs="Palatino Linotype"/>
          <w:i/>
          <w:iCs/>
          <w:color w:val="000000"/>
        </w:rPr>
        <w:t>. No podrá requerirse información adicional con motivo del nombre proporcionado por el solicitante."</w:t>
      </w:r>
    </w:p>
    <w:p w14:paraId="17347210"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520888FB"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14:paraId="2C7BF5BA"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6.-</w:t>
      </w:r>
      <w:r>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A8EB3AB" w14:textId="77777777" w:rsidR="006D3F24" w:rsidRDefault="006D3F24">
      <w:pPr>
        <w:pBdr>
          <w:top w:val="nil"/>
          <w:left w:val="nil"/>
          <w:bottom w:val="nil"/>
          <w:right w:val="nil"/>
          <w:between w:val="nil"/>
        </w:pBdr>
        <w:ind w:left="567" w:right="-981"/>
        <w:jc w:val="both"/>
        <w:rPr>
          <w:rFonts w:ascii="Palatino Linotype" w:eastAsia="Palatino Linotype" w:hAnsi="Palatino Linotype" w:cs="Palatino Linotype"/>
          <w:i/>
          <w:iCs/>
          <w:color w:val="000000"/>
        </w:rPr>
      </w:pPr>
    </w:p>
    <w:p w14:paraId="3F8F6B75"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efectos de lo dispuesto en el presente artículo se observará lo siguiente:</w:t>
      </w:r>
    </w:p>
    <w:p w14:paraId="7C1A3427" w14:textId="77777777" w:rsidR="006D3F24" w:rsidRDefault="006D3F24">
      <w:pPr>
        <w:pBdr>
          <w:top w:val="nil"/>
          <w:left w:val="nil"/>
          <w:bottom w:val="nil"/>
          <w:right w:val="nil"/>
          <w:between w:val="nil"/>
        </w:pBdr>
        <w:ind w:left="567" w:right="-981"/>
        <w:jc w:val="both"/>
        <w:rPr>
          <w:rFonts w:ascii="Palatino Linotype" w:eastAsia="Palatino Linotype" w:hAnsi="Palatino Linotype" w:cs="Palatino Linotype"/>
          <w:i/>
          <w:iCs/>
          <w:color w:val="000000"/>
        </w:rPr>
      </w:pPr>
    </w:p>
    <w:p w14:paraId="144FB568"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A. Para el ejercicio del derecho de acceso a la información, la Federación, los Estados y el Distrito Federal, en el ámbito de sus respectivas competencias, se regirán por los siguientes principios y bases:</w:t>
      </w:r>
    </w:p>
    <w:p w14:paraId="50EF065C" w14:textId="77777777" w:rsidR="006D3F24" w:rsidRDefault="006D3F24">
      <w:pPr>
        <w:pBdr>
          <w:top w:val="nil"/>
          <w:left w:val="nil"/>
          <w:bottom w:val="nil"/>
          <w:right w:val="nil"/>
          <w:between w:val="nil"/>
        </w:pBdr>
        <w:ind w:left="567" w:right="-981"/>
        <w:jc w:val="both"/>
        <w:rPr>
          <w:rFonts w:ascii="Palatino Linotype" w:eastAsia="Palatino Linotype" w:hAnsi="Palatino Linotype" w:cs="Palatino Linotype"/>
          <w:i/>
          <w:iCs/>
          <w:color w:val="000000"/>
        </w:rPr>
      </w:pPr>
    </w:p>
    <w:p w14:paraId="7CD3DE5F"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Toda persona, sin necesidad de acreditar interés alguno o justificar su utilización, tendrá acceso gratuito a la información pública, a sus datos personales o a la rectificación de éstos.” </w:t>
      </w:r>
      <w:r>
        <w:rPr>
          <w:rFonts w:ascii="Palatino Linotype" w:eastAsia="Palatino Linotype" w:hAnsi="Palatino Linotype" w:cs="Palatino Linotype"/>
          <w:color w:val="000000"/>
        </w:rPr>
        <w:t>(Sic)</w:t>
      </w:r>
    </w:p>
    <w:p w14:paraId="6706D261"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0BC1B46C"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14:paraId="21335D44"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5.-</w:t>
      </w:r>
      <w:r>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14:paraId="4A8DBEDD"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3ADFF0DD"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en el Estado de México, tiene derecho al libre acceso a la información plural y oportuna, así como a buscar recibir y difundir información e ideas de toda índole por cualquier medio de expresión.</w:t>
      </w:r>
    </w:p>
    <w:p w14:paraId="3C281A30"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69817D59"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14:paraId="27B2BE56"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0F3CBE84"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p>
    <w:p w14:paraId="28657631"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5773FE08"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w:t>
      </w:r>
      <w:r>
        <w:rPr>
          <w:rFonts w:ascii="Palatino Linotype" w:eastAsia="Palatino Linotype" w:hAnsi="Palatino Linotype" w:cs="Palatino Linotype"/>
          <w:i/>
          <w:iCs/>
          <w:color w:val="000000"/>
        </w:rPr>
        <w:lastRenderedPageBreak/>
        <w:t xml:space="preserve">pública y a la protección de datos personales en posesión de los sujetos obligados en los términos que establezca la ley.” </w:t>
      </w:r>
      <w:r>
        <w:rPr>
          <w:rFonts w:ascii="Palatino Linotype" w:eastAsia="Palatino Linotype" w:hAnsi="Palatino Linotype" w:cs="Palatino Linotype"/>
          <w:color w:val="000000"/>
        </w:rPr>
        <w:t>(Sic)</w:t>
      </w:r>
    </w:p>
    <w:p w14:paraId="17E556A5" w14:textId="77777777" w:rsidR="006D3F24" w:rsidRDefault="006D3F24">
      <w:pPr>
        <w:tabs>
          <w:tab w:val="left" w:pos="7655"/>
        </w:tabs>
        <w:ind w:left="567" w:right="-981"/>
        <w:jc w:val="both"/>
        <w:rPr>
          <w:rFonts w:ascii="Palatino Linotype" w:eastAsia="Palatino Linotype" w:hAnsi="Palatino Linotype" w:cs="Palatino Linotype"/>
          <w:i/>
          <w:iCs/>
        </w:rPr>
      </w:pPr>
    </w:p>
    <w:p w14:paraId="5439B455"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Por otra parte, del contenido del artículo 1 de la Constitución Política de los Estados Unidos mexicanos, se destaca lo siguiente:</w:t>
      </w:r>
    </w:p>
    <w:p w14:paraId="44C80A27"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w:t>
      </w:r>
      <w:r>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93A5BE0"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14:paraId="5EE374D1"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14:paraId="57056AF6" w14:textId="77777777" w:rsidR="006D3F24" w:rsidRDefault="006D3F24">
      <w:pPr>
        <w:spacing w:line="360" w:lineRule="auto"/>
        <w:ind w:right="-981"/>
        <w:jc w:val="both"/>
        <w:rPr>
          <w:rFonts w:ascii="Palatino Linotype" w:eastAsia="Palatino Linotype" w:hAnsi="Palatino Linotype" w:cs="Palatino Linotype"/>
        </w:rPr>
      </w:pPr>
    </w:p>
    <w:p w14:paraId="05E554EF"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Pr>
          <w:rFonts w:ascii="Palatino Linotype" w:eastAsia="Palatino Linotype" w:hAnsi="Palatino Linotype" w:cs="Palatino Linotype"/>
          <w:i/>
          <w:iCs/>
        </w:rPr>
        <w:t>derecho fundamental exime a quien lo ejerce</w:t>
      </w:r>
      <w:r>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49F80813" w14:textId="77777777" w:rsidR="006D3F24" w:rsidRDefault="006D3F24">
      <w:pPr>
        <w:spacing w:line="360" w:lineRule="auto"/>
        <w:ind w:right="-981"/>
        <w:jc w:val="both"/>
        <w:rPr>
          <w:rFonts w:ascii="Palatino Linotype" w:eastAsia="Palatino Linotype" w:hAnsi="Palatino Linotype" w:cs="Palatino Linotype"/>
          <w:b/>
          <w:bCs/>
        </w:rPr>
      </w:pPr>
    </w:p>
    <w:p w14:paraId="4B5AA408" w14:textId="77777777" w:rsidR="006D3F24" w:rsidRPr="0082122D" w:rsidRDefault="005C2B11">
      <w:pPr>
        <w:numPr>
          <w:ilvl w:val="0"/>
          <w:numId w:val="2"/>
        </w:numPr>
        <w:spacing w:line="360" w:lineRule="auto"/>
        <w:ind w:left="0" w:right="-981" w:firstLine="0"/>
        <w:jc w:val="both"/>
      </w:pPr>
      <w:r>
        <w:rPr>
          <w:rFonts w:ascii="Palatino Linotype" w:eastAsia="Palatino Linotype" w:hAnsi="Palatino Linotype" w:cs="Palatino Linotype"/>
        </w:rPr>
        <w:t xml:space="preserve">En consecuencia, dado lo expuesto y fundado con anterioridad, se estima que el requisito relativo al nombre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w:t>
      </w:r>
      <w:r>
        <w:rPr>
          <w:rFonts w:ascii="Palatino Linotype" w:eastAsia="Palatino Linotype" w:hAnsi="Palatino Linotype" w:cs="Palatino Linotype"/>
        </w:rPr>
        <w:lastRenderedPageBreak/>
        <w:t>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14:paraId="0A1F83A6" w14:textId="77777777" w:rsidR="0082122D" w:rsidRDefault="0082122D" w:rsidP="0082122D">
      <w:pPr>
        <w:spacing w:line="360" w:lineRule="auto"/>
        <w:ind w:right="-981"/>
        <w:jc w:val="both"/>
      </w:pPr>
    </w:p>
    <w:p w14:paraId="6F53ACA8" w14:textId="77777777" w:rsidR="006D3F24" w:rsidRDefault="005C2B11">
      <w:pPr>
        <w:numPr>
          <w:ilvl w:val="0"/>
          <w:numId w:val="2"/>
        </w:numPr>
        <w:spacing w:line="360" w:lineRule="auto"/>
        <w:ind w:left="0" w:right="-981" w:firstLine="0"/>
        <w:jc w:val="both"/>
        <w:rPr>
          <w:rFonts w:ascii="Palatino Linotype" w:eastAsia="Palatino Linotype" w:hAnsi="Palatino Linotype" w:cs="Palatino Linotype"/>
          <w:b/>
          <w:bCs/>
        </w:rPr>
      </w:pPr>
      <w:r>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78139C7E" w14:textId="77777777" w:rsidR="006D3F24" w:rsidRDefault="006D3F24">
      <w:pPr>
        <w:keepNext/>
        <w:keepLines/>
        <w:spacing w:line="360" w:lineRule="auto"/>
        <w:ind w:right="-981"/>
        <w:rPr>
          <w:rFonts w:ascii="Palatino Linotype" w:eastAsia="Palatino Linotype" w:hAnsi="Palatino Linotype" w:cs="Palatino Linotype"/>
          <w:b/>
          <w:bCs/>
        </w:rPr>
      </w:pPr>
      <w:bookmarkStart w:id="3" w:name="_heading=h.34jj1gv50vtu" w:colFirst="0" w:colLast="0"/>
      <w:bookmarkEnd w:id="3"/>
    </w:p>
    <w:p w14:paraId="23678A88" w14:textId="77777777" w:rsidR="006D3F24" w:rsidRDefault="005C2B11">
      <w:pPr>
        <w:keepNext/>
        <w:keepLines/>
        <w:spacing w:line="360" w:lineRule="auto"/>
        <w:ind w:right="-981"/>
        <w:rPr>
          <w:rFonts w:ascii="Palatino Linotype" w:eastAsia="Palatino Linotype" w:hAnsi="Palatino Linotype" w:cs="Palatino Linotype"/>
          <w:b/>
          <w:bCs/>
        </w:rPr>
      </w:pPr>
      <w:r>
        <w:rPr>
          <w:rFonts w:ascii="Palatino Linotype" w:eastAsia="Palatino Linotype" w:hAnsi="Palatino Linotype" w:cs="Palatino Linotype"/>
          <w:b/>
          <w:bCs/>
        </w:rPr>
        <w:t>TERCERO. Planteamiento de la Litis.</w:t>
      </w:r>
    </w:p>
    <w:p w14:paraId="563A4784"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El particular solicitó del </w:t>
      </w:r>
      <w:r>
        <w:rPr>
          <w:rFonts w:ascii="Palatino Linotype" w:eastAsia="Palatino Linotype" w:hAnsi="Palatino Linotype" w:cs="Palatino Linotype"/>
          <w:b/>
          <w:bCs/>
          <w:color w:val="000000"/>
        </w:rPr>
        <w:t xml:space="preserve">servidor público referido en la solicitud, </w:t>
      </w:r>
      <w:r>
        <w:rPr>
          <w:rFonts w:ascii="Palatino Linotype" w:eastAsia="Palatino Linotype" w:hAnsi="Palatino Linotype" w:cs="Palatino Linotype"/>
          <w:color w:val="000000"/>
        </w:rPr>
        <w:t>lo siguiente:</w:t>
      </w:r>
    </w:p>
    <w:p w14:paraId="14D67111" w14:textId="77777777" w:rsidR="006D3F24" w:rsidRDefault="005C2B11">
      <w:pPr>
        <w:numPr>
          <w:ilvl w:val="0"/>
          <w:numId w:val="3"/>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Recibos de nómina del 01 de enero al 31 de diciembre de 2025 y de la primera quincena de enero del 2026. </w:t>
      </w:r>
    </w:p>
    <w:p w14:paraId="01BC520D" w14:textId="77777777" w:rsidR="006D3F24" w:rsidRDefault="005C2B11">
      <w:pPr>
        <w:numPr>
          <w:ilvl w:val="0"/>
          <w:numId w:val="3"/>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Expediente Laboral y currículum</w:t>
      </w:r>
    </w:p>
    <w:p w14:paraId="30A46B08" w14:textId="77777777" w:rsidR="006D3F24" w:rsidRDefault="005C2B11">
      <w:pPr>
        <w:numPr>
          <w:ilvl w:val="0"/>
          <w:numId w:val="3"/>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Nombramiento expedido por autoridad competente en donde se señale el nombre, cargo y temporalidad en funciones. </w:t>
      </w:r>
    </w:p>
    <w:p w14:paraId="2EAACF20" w14:textId="77777777" w:rsidR="006D3F24" w:rsidRDefault="005C2B11">
      <w:pPr>
        <w:numPr>
          <w:ilvl w:val="0"/>
          <w:numId w:val="3"/>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Área de adscripción. </w:t>
      </w:r>
    </w:p>
    <w:p w14:paraId="69D8D876" w14:textId="77777777" w:rsidR="006D3F24" w:rsidRDefault="005C2B11">
      <w:pPr>
        <w:numPr>
          <w:ilvl w:val="0"/>
          <w:numId w:val="3"/>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Documento en el que el Órgano Interno de Control </w:t>
      </w:r>
      <w:r>
        <w:rPr>
          <w:rFonts w:ascii="Palatino Linotype" w:eastAsia="Palatino Linotype" w:hAnsi="Palatino Linotype" w:cs="Palatino Linotype"/>
          <w:b/>
          <w:bCs/>
        </w:rPr>
        <w:t>señala</w:t>
      </w:r>
      <w:r>
        <w:rPr>
          <w:rFonts w:ascii="Palatino Linotype" w:eastAsia="Palatino Linotype" w:hAnsi="Palatino Linotype" w:cs="Palatino Linotype"/>
          <w:b/>
          <w:bCs/>
          <w:color w:val="000000"/>
        </w:rPr>
        <w:t xml:space="preserve"> la existencia de algún procedimiento interno en donde intervenga el Servidor Público de referencia. </w:t>
      </w:r>
    </w:p>
    <w:p w14:paraId="3EF51EE7" w14:textId="77777777" w:rsidR="006D3F24" w:rsidRDefault="005C2B11">
      <w:pPr>
        <w:numPr>
          <w:ilvl w:val="0"/>
          <w:numId w:val="3"/>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Gafete de identificación como servidor público. </w:t>
      </w:r>
    </w:p>
    <w:p w14:paraId="5CAF5D4E" w14:textId="77777777" w:rsidR="006D3F24" w:rsidRDefault="005C2B11">
      <w:pPr>
        <w:numPr>
          <w:ilvl w:val="0"/>
          <w:numId w:val="3"/>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Documento en donde se señale si el servidor público cuenta con unidad vehicular del Ayuntamiento de Toluca a su disposición. </w:t>
      </w:r>
    </w:p>
    <w:p w14:paraId="4E9B6DEC" w14:textId="77777777" w:rsidR="006D3F24" w:rsidRDefault="005C2B11">
      <w:pPr>
        <w:numPr>
          <w:ilvl w:val="0"/>
          <w:numId w:val="3"/>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Documento expedido por la Tesorería Municipal en donde se señale si el servidor público, cuenta con algún bono o gratificación por concepto de servicios personales, gasolina o comidas. </w:t>
      </w:r>
    </w:p>
    <w:p w14:paraId="3BD4E8DA" w14:textId="77777777" w:rsidR="006D3F24" w:rsidRDefault="005C2B11">
      <w:pPr>
        <w:numPr>
          <w:ilvl w:val="0"/>
          <w:numId w:val="3"/>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Documento en donde se especifique turno, horarios y días habilitados de servicio público.</w:t>
      </w:r>
    </w:p>
    <w:p w14:paraId="71F5BF2B" w14:textId="77777777" w:rsidR="006D3F24" w:rsidRDefault="005C2B11">
      <w:pPr>
        <w:numPr>
          <w:ilvl w:val="0"/>
          <w:numId w:val="3"/>
        </w:numPr>
        <w:pBdr>
          <w:top w:val="nil"/>
          <w:left w:val="nil"/>
          <w:bottom w:val="nil"/>
          <w:right w:val="nil"/>
          <w:between w:val="nil"/>
        </w:pBdr>
        <w:spacing w:after="160"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Documento en donde conste el registro de entradas y salidas o de checador del servidor público, especificando horario de entrada y salida del área de trabajo en el </w:t>
      </w:r>
      <w:r>
        <w:rPr>
          <w:rFonts w:ascii="Palatino Linotype" w:eastAsia="Palatino Linotype" w:hAnsi="Palatino Linotype" w:cs="Palatino Linotype"/>
          <w:b/>
          <w:bCs/>
        </w:rPr>
        <w:t>periodo</w:t>
      </w:r>
      <w:r>
        <w:rPr>
          <w:rFonts w:ascii="Palatino Linotype" w:eastAsia="Palatino Linotype" w:hAnsi="Palatino Linotype" w:cs="Palatino Linotype"/>
          <w:b/>
          <w:bCs/>
          <w:color w:val="000000"/>
        </w:rPr>
        <w:t xml:space="preserve"> del 01 de septiembre de 2025 al 28 de enero de 2026.</w:t>
      </w:r>
    </w:p>
    <w:p w14:paraId="7BB3DBDD"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3E06A83E"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En consecuencia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emitió respuesta en términos del numeral tres de la presente resolución.</w:t>
      </w:r>
    </w:p>
    <w:p w14:paraId="20712F36"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312CF88B"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Posteriormente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se </w:t>
      </w:r>
      <w:r>
        <w:rPr>
          <w:rFonts w:ascii="Palatino Linotype" w:eastAsia="Palatino Linotype" w:hAnsi="Palatino Linotype" w:cs="Palatino Linotype"/>
        </w:rPr>
        <w:t>inconforma</w:t>
      </w:r>
      <w:r>
        <w:rPr>
          <w:rFonts w:ascii="Palatino Linotype" w:eastAsia="Palatino Linotype" w:hAnsi="Palatino Linotype" w:cs="Palatino Linotype"/>
          <w:color w:val="000000"/>
        </w:rPr>
        <w:t xml:space="preserve"> por la </w:t>
      </w:r>
      <w:r>
        <w:rPr>
          <w:rFonts w:ascii="Palatino Linotype" w:eastAsia="Palatino Linotype" w:hAnsi="Palatino Linotype" w:cs="Palatino Linotype"/>
          <w:b/>
          <w:bCs/>
          <w:color w:val="000000"/>
        </w:rPr>
        <w:t>negativa a la información solicitada</w:t>
      </w:r>
      <w:r>
        <w:rPr>
          <w:rFonts w:ascii="Palatino Linotype" w:eastAsia="Palatino Linotype" w:hAnsi="Palatino Linotype" w:cs="Palatino Linotype"/>
          <w:color w:val="000000"/>
        </w:rPr>
        <w:t>, en los siguientes términos</w:t>
      </w:r>
      <w:r>
        <w:rPr>
          <w:rFonts w:ascii="Palatino Linotype" w:eastAsia="Palatino Linotype" w:hAnsi="Palatino Linotype" w:cs="Palatino Linotype"/>
          <w:i/>
          <w:iCs/>
          <w:color w:val="000000"/>
        </w:rPr>
        <w:t>: “La respuesta emitida por el titular de la unidad de transparencia del ayuntamiento de Toluca de Lerdo y la negativa de proporcionar información pública.” (Sic)</w:t>
      </w:r>
    </w:p>
    <w:p w14:paraId="2547C2BE"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FF0000"/>
        </w:rPr>
      </w:pPr>
    </w:p>
    <w:p w14:paraId="4D06A91F"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w:t>
      </w:r>
      <w:r>
        <w:rPr>
          <w:rFonts w:ascii="Palatino Linotype" w:eastAsia="Palatino Linotype" w:hAnsi="Palatino Linotype" w:cs="Palatino Linotype"/>
          <w:b/>
          <w:bCs/>
          <w:color w:val="000000"/>
        </w:rPr>
        <w:t xml:space="preserve">la negativa de la información solicitada, </w:t>
      </w:r>
      <w:r>
        <w:rPr>
          <w:rFonts w:ascii="Palatino Linotype" w:eastAsia="Palatino Linotype" w:hAnsi="Palatino Linotype" w:cs="Palatino Linotype"/>
          <w:color w:val="000000"/>
        </w:rPr>
        <w:t xml:space="preserve">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14:paraId="1392E9A6"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i/>
          <w:iCs/>
          <w:color w:val="000000"/>
        </w:rPr>
      </w:pPr>
    </w:p>
    <w:p w14:paraId="061A418D" w14:textId="77777777" w:rsidR="006D3F24" w:rsidRDefault="005C2B11">
      <w:pPr>
        <w:pStyle w:val="Ttulo1"/>
        <w:spacing w:before="0" w:line="360" w:lineRule="auto"/>
        <w:ind w:right="-981"/>
        <w:rPr>
          <w:rFonts w:ascii="Palatino Linotype" w:eastAsia="Palatino Linotype" w:hAnsi="Palatino Linotype" w:cs="Palatino Linotype"/>
          <w:b/>
          <w:bCs/>
          <w:color w:val="000000"/>
          <w:sz w:val="24"/>
          <w:szCs w:val="24"/>
        </w:rPr>
      </w:pPr>
      <w:bookmarkStart w:id="4" w:name="_heading=h.natle5937rum" w:colFirst="0" w:colLast="0"/>
      <w:bookmarkEnd w:id="4"/>
      <w:r>
        <w:rPr>
          <w:rFonts w:ascii="Palatino Linotype" w:eastAsia="Palatino Linotype" w:hAnsi="Palatino Linotype" w:cs="Palatino Linotype"/>
          <w:b/>
          <w:bCs/>
          <w:color w:val="000000"/>
          <w:sz w:val="24"/>
          <w:szCs w:val="24"/>
        </w:rPr>
        <w:t>CUARTO. Del estudio y resolución del recurso de revisión.</w:t>
      </w:r>
    </w:p>
    <w:p w14:paraId="38517333" w14:textId="77777777" w:rsidR="006D3F24" w:rsidRDefault="005C2B11">
      <w:pPr>
        <w:keepNext/>
        <w:keepLines/>
        <w:numPr>
          <w:ilvl w:val="0"/>
          <w:numId w:val="25"/>
        </w:numPr>
        <w:spacing w:after="240" w:line="360" w:lineRule="auto"/>
        <w:ind w:left="786" w:right="-981"/>
        <w:rPr>
          <w:rFonts w:ascii="Palatino Linotype" w:eastAsia="Palatino Linotype" w:hAnsi="Palatino Linotype" w:cs="Palatino Linotype"/>
          <w:b/>
          <w:bCs/>
        </w:rPr>
      </w:pPr>
      <w:r>
        <w:rPr>
          <w:rFonts w:ascii="Palatino Linotype" w:eastAsia="Palatino Linotype" w:hAnsi="Palatino Linotype" w:cs="Palatino Linotype"/>
          <w:b/>
          <w:bCs/>
        </w:rPr>
        <w:t>Del derecho de acceso a la información.</w:t>
      </w:r>
    </w:p>
    <w:p w14:paraId="27BD2F1D"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w:t>
      </w:r>
      <w:r>
        <w:rPr>
          <w:rFonts w:ascii="Palatino Linotype" w:eastAsia="Palatino Linotype" w:hAnsi="Palatino Linotype" w:cs="Palatino Linotype"/>
          <w:color w:val="000000"/>
        </w:rPr>
        <w:lastRenderedPageBreak/>
        <w:t xml:space="preserve">Derechos Humanos en su artículo 13.1; en el artículo sexto de la Constitución Política de los Estados Unidos Mexicanos y en el artículo quinto de la Particular del Estado de México. </w:t>
      </w:r>
    </w:p>
    <w:p w14:paraId="1FC53F3B"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6D179026"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Century Gothic" w:eastAsia="Century Gothic" w:hAnsi="Century Gothic" w:cs="Century Gothic"/>
          <w:i/>
          <w:iCs/>
          <w:color w:val="000000"/>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Century Gothic" w:eastAsia="Century Gothic" w:hAnsi="Century Gothic" w:cs="Century Gothic"/>
          <w:i/>
          <w:iCs/>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Century Gothic" w:eastAsia="Century Gothic" w:hAnsi="Century Gothic" w:cs="Century Gothic"/>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Century Gothic" w:eastAsia="Century Gothic" w:hAnsi="Century Gothic" w:cs="Century Gothic"/>
          <w:i/>
          <w:iCs/>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3C01FA37"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32E8E5ED"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2BC975B0" w14:textId="77777777" w:rsidR="006D3F24" w:rsidRDefault="005C2B11">
      <w:pPr>
        <w:tabs>
          <w:tab w:val="left" w:pos="7655"/>
        </w:tabs>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14:paraId="6AB4AA71" w14:textId="77777777" w:rsidR="006D3F24" w:rsidRDefault="005C2B11">
      <w:pPr>
        <w:tabs>
          <w:tab w:val="left" w:pos="7655"/>
        </w:tabs>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2FFB9229" w14:textId="77777777" w:rsidR="006D3F24" w:rsidRDefault="005C2B11">
      <w:pPr>
        <w:tabs>
          <w:tab w:val="left" w:pos="7655"/>
        </w:tabs>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 xml:space="preserve">autoridades, en el ámbito de sus competencias, tienen la obligación de promover, respetar, proteger y garantizar los derechos humanos de conformidad con los principios de universalidad, interdependencia, indivisibilidad y progresividad. En consecuencia, el Estado deberá prevenir, </w:t>
      </w:r>
      <w:r>
        <w:rPr>
          <w:rFonts w:ascii="Palatino Linotype" w:eastAsia="Palatino Linotype" w:hAnsi="Palatino Linotype" w:cs="Palatino Linotype"/>
          <w:i/>
          <w:iCs/>
        </w:rPr>
        <w:lastRenderedPageBreak/>
        <w:t>investigar, sancionar y reparar las violaciones a los derechos humanos, en los términos que establezca la ley.</w:t>
      </w:r>
    </w:p>
    <w:p w14:paraId="6122F1F4" w14:textId="77777777" w:rsidR="006D3F24" w:rsidRDefault="005C2B11">
      <w:pPr>
        <w:tabs>
          <w:tab w:val="left" w:pos="7655"/>
        </w:tabs>
        <w:ind w:left="567" w:right="-981"/>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14:paraId="14A90D49" w14:textId="77777777" w:rsidR="006D3F24" w:rsidRDefault="006D3F24">
      <w:pPr>
        <w:spacing w:line="360" w:lineRule="auto"/>
        <w:ind w:right="-981"/>
        <w:jc w:val="both"/>
        <w:rPr>
          <w:rFonts w:ascii="Palatino Linotype" w:eastAsia="Palatino Linotype" w:hAnsi="Palatino Linotype" w:cs="Palatino Linotype"/>
        </w:rPr>
      </w:pPr>
    </w:p>
    <w:p w14:paraId="346F75B9"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330409A2"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3CF25402"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378DA77F" w14:textId="77777777" w:rsidR="006D3F24" w:rsidRDefault="005C2B11">
      <w:pPr>
        <w:spacing w:after="240"/>
        <w:ind w:left="567" w:right="-98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14:paraId="505F73A6" w14:textId="77777777" w:rsidR="006D3F24" w:rsidRDefault="005C2B11">
      <w:pPr>
        <w:spacing w:before="240" w:after="240"/>
        <w:ind w:left="567" w:right="-98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14:paraId="78E49033"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737D001E"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14:paraId="1D7A6806" w14:textId="77777777" w:rsidR="006D3F24" w:rsidRDefault="005C2B11">
      <w:pPr>
        <w:spacing w:before="240" w:after="240"/>
        <w:ind w:left="567" w:right="-98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14:paraId="7BF58205"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 xml:space="preserve">En la interpretación de este derecho deberá prevalecer el principio de máxima publicidad. Los sujetos obligados deberán documentar todo acto </w:t>
      </w:r>
      <w:r>
        <w:rPr>
          <w:rFonts w:ascii="Palatino Linotype" w:eastAsia="Palatino Linotype" w:hAnsi="Palatino Linotype" w:cs="Palatino Linotype"/>
          <w:b/>
          <w:bCs/>
          <w:i/>
          <w:iCs/>
        </w:rPr>
        <w:lastRenderedPageBreak/>
        <w:t>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14:paraId="148A03D6" w14:textId="77777777" w:rsidR="006D3F24" w:rsidRDefault="006D3F24">
      <w:pPr>
        <w:tabs>
          <w:tab w:val="left" w:pos="567"/>
        </w:tabs>
        <w:spacing w:before="240"/>
        <w:ind w:left="567" w:right="-981"/>
        <w:jc w:val="both"/>
        <w:rPr>
          <w:rFonts w:ascii="Palatino Linotype" w:eastAsia="Palatino Linotype" w:hAnsi="Palatino Linotype" w:cs="Palatino Linotype"/>
          <w:b/>
          <w:bCs/>
          <w:i/>
          <w:iCs/>
        </w:rPr>
      </w:pPr>
    </w:p>
    <w:p w14:paraId="0DC1F2B3" w14:textId="77777777" w:rsidR="006D3F24" w:rsidRDefault="005C2B11">
      <w:pPr>
        <w:spacing w:after="240"/>
        <w:ind w:left="567" w:right="-98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14:paraId="64887B37"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14:paraId="62EBE40A"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0E984587"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14:paraId="02B0031F"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5745CC8"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14:paraId="4C18380E"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14:paraId="582B41EF" w14:textId="77777777" w:rsidR="006D3F24" w:rsidRDefault="005C2B11">
      <w:pPr>
        <w:numPr>
          <w:ilvl w:val="0"/>
          <w:numId w:val="2"/>
        </w:numPr>
        <w:spacing w:before="240" w:line="360" w:lineRule="auto"/>
        <w:ind w:left="0" w:right="-981" w:firstLine="0"/>
        <w:jc w:val="both"/>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14:paraId="0E8D474B" w14:textId="77777777" w:rsidR="006D3F24" w:rsidRDefault="006D3F24">
      <w:pPr>
        <w:spacing w:before="240" w:line="360" w:lineRule="auto"/>
        <w:ind w:right="-981"/>
        <w:jc w:val="both"/>
        <w:rPr>
          <w:rFonts w:ascii="Palatino Linotype" w:eastAsia="Palatino Linotype" w:hAnsi="Palatino Linotype" w:cs="Palatino Linotype"/>
        </w:rPr>
      </w:pPr>
    </w:p>
    <w:p w14:paraId="5CF4B713"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14:paraId="332041E6"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778CE0E7"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729D01A4"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0C54D702" w14:textId="77777777" w:rsidR="006D3F24" w:rsidRDefault="005C2B11">
      <w:pPr>
        <w:keepNext/>
        <w:keepLines/>
        <w:spacing w:after="240" w:line="360" w:lineRule="auto"/>
        <w:ind w:right="-981"/>
        <w:rPr>
          <w:rFonts w:ascii="Palatino Linotype" w:eastAsia="Palatino Linotype" w:hAnsi="Palatino Linotype" w:cs="Palatino Linotype"/>
          <w:b/>
          <w:bCs/>
        </w:rPr>
      </w:pPr>
      <w:r>
        <w:rPr>
          <w:rFonts w:ascii="Palatino Linotype" w:eastAsia="Palatino Linotype" w:hAnsi="Palatino Linotype" w:cs="Palatino Linotype"/>
          <w:b/>
          <w:bCs/>
        </w:rPr>
        <w:t>II. De la información solicitada y la respuesta del SUJETO OBLIGADO</w:t>
      </w:r>
    </w:p>
    <w:p w14:paraId="2DC926E4"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4484D3A5"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Para efectos de estudio es conveniente reiterar que el solicitante requirió del servidor público referido en la solicitud de información, lo siguiente:</w:t>
      </w:r>
    </w:p>
    <w:p w14:paraId="36B84340" w14:textId="77777777" w:rsidR="006D3F24" w:rsidRDefault="005C2B11">
      <w:pPr>
        <w:numPr>
          <w:ilvl w:val="0"/>
          <w:numId w:val="4"/>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Recibos de nómina del 01 de enero al 31 de diciembre de 2025 y de la primera quincena de enero del 2026. </w:t>
      </w:r>
    </w:p>
    <w:p w14:paraId="55F8ADB7" w14:textId="77777777" w:rsidR="006D3F24" w:rsidRDefault="005C2B11">
      <w:pPr>
        <w:numPr>
          <w:ilvl w:val="0"/>
          <w:numId w:val="4"/>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Expediente Laboral y currículum</w:t>
      </w:r>
    </w:p>
    <w:p w14:paraId="402D198D" w14:textId="77777777" w:rsidR="006D3F24" w:rsidRDefault="005C2B11">
      <w:pPr>
        <w:numPr>
          <w:ilvl w:val="0"/>
          <w:numId w:val="4"/>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Nombramiento expedido por autoridad competente en donde se señale el nombre, cargo y temporalidad en funciones. </w:t>
      </w:r>
    </w:p>
    <w:p w14:paraId="1D3A086C" w14:textId="77777777" w:rsidR="006D3F24" w:rsidRDefault="005C2B11">
      <w:pPr>
        <w:numPr>
          <w:ilvl w:val="0"/>
          <w:numId w:val="4"/>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Área de adscripción. </w:t>
      </w:r>
    </w:p>
    <w:p w14:paraId="5661D4AD" w14:textId="77777777" w:rsidR="006D3F24" w:rsidRDefault="005C2B11">
      <w:pPr>
        <w:numPr>
          <w:ilvl w:val="0"/>
          <w:numId w:val="4"/>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Documento en el que el Órgano Interno de Control </w:t>
      </w:r>
      <w:r>
        <w:rPr>
          <w:rFonts w:ascii="Palatino Linotype" w:eastAsia="Palatino Linotype" w:hAnsi="Palatino Linotype" w:cs="Palatino Linotype"/>
          <w:b/>
          <w:bCs/>
        </w:rPr>
        <w:t>señala</w:t>
      </w:r>
      <w:r>
        <w:rPr>
          <w:rFonts w:ascii="Palatino Linotype" w:eastAsia="Palatino Linotype" w:hAnsi="Palatino Linotype" w:cs="Palatino Linotype"/>
          <w:b/>
          <w:bCs/>
          <w:color w:val="000000"/>
        </w:rPr>
        <w:t xml:space="preserve"> la existencia de algún procedimiento interno en donde intervenga el Servidor Público de referencia. </w:t>
      </w:r>
    </w:p>
    <w:p w14:paraId="0228C898" w14:textId="77777777" w:rsidR="006D3F24" w:rsidRDefault="005C2B11">
      <w:pPr>
        <w:numPr>
          <w:ilvl w:val="0"/>
          <w:numId w:val="4"/>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Gafete de identificación como servidor público. </w:t>
      </w:r>
    </w:p>
    <w:p w14:paraId="71A4173A" w14:textId="77777777" w:rsidR="006D3F24" w:rsidRDefault="005C2B11">
      <w:pPr>
        <w:numPr>
          <w:ilvl w:val="0"/>
          <w:numId w:val="4"/>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Documento en donde se señale si el servidor público cuenta con unidad vehicular del Ayuntamiento de Toluca a su disposición. </w:t>
      </w:r>
    </w:p>
    <w:p w14:paraId="3F1C0C20" w14:textId="77777777" w:rsidR="006D3F24" w:rsidRDefault="005C2B11">
      <w:pPr>
        <w:numPr>
          <w:ilvl w:val="0"/>
          <w:numId w:val="4"/>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Documento expedido por la Tesorería Municipal en donde se señale si el servidor público, cuenta con algún bono o gratificación por concepto de servicios personales, gasolina o comidas. </w:t>
      </w:r>
    </w:p>
    <w:p w14:paraId="320A025D" w14:textId="77777777" w:rsidR="006D3F24" w:rsidRDefault="005C2B11">
      <w:pPr>
        <w:numPr>
          <w:ilvl w:val="0"/>
          <w:numId w:val="4"/>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Documento en donde se especifique turno, horarios y días habilitados de servicio público.</w:t>
      </w:r>
    </w:p>
    <w:p w14:paraId="4509825A" w14:textId="77777777" w:rsidR="006D3F24" w:rsidRDefault="005C2B11">
      <w:pPr>
        <w:numPr>
          <w:ilvl w:val="0"/>
          <w:numId w:val="4"/>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Documento en donde conste el registro de entradas y salidas o de checador del servidor público, especificando horario de entrada y salida del área de trabajo en el </w:t>
      </w:r>
      <w:r>
        <w:rPr>
          <w:rFonts w:ascii="Palatino Linotype" w:eastAsia="Palatino Linotype" w:hAnsi="Palatino Linotype" w:cs="Palatino Linotype"/>
          <w:b/>
          <w:bCs/>
        </w:rPr>
        <w:t>periodo</w:t>
      </w:r>
      <w:r>
        <w:rPr>
          <w:rFonts w:ascii="Palatino Linotype" w:eastAsia="Palatino Linotype" w:hAnsi="Palatino Linotype" w:cs="Palatino Linotype"/>
          <w:b/>
          <w:bCs/>
          <w:color w:val="000000"/>
        </w:rPr>
        <w:t xml:space="preserve"> del 01 de septiembre de 2025 al 28 de enero de 2026.</w:t>
      </w:r>
    </w:p>
    <w:p w14:paraId="18DA8500"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122CFD5C"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color w:val="000000"/>
        </w:rPr>
        <w:t xml:space="preserve">Al respecto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a través de la Dirección de Recursos Humanos, después de realizar un búsqueda en los archivos de esa área, no se localizó nómina a nombre de la persona referida en la solicitud; así mismo el Departamento de Control Patrimonial, refirió que de la búsqueda realizada no obra documental que contenga la información requerida, requerida por el particular, toda vez que el servidor público de referencia durante el periodo señalado por el particular no tuvo vehículos asignados, por su parte el Departamento de Mantenimiento Vehicular y Control de Combustible, refiere que el servidor público de referencia, no labora en l actual administración (2025-2027)</w:t>
      </w:r>
    </w:p>
    <w:p w14:paraId="245FD70D"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color w:val="000000"/>
        </w:rPr>
        <w:t xml:space="preserve">Al respecto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inconforma</w:t>
      </w:r>
      <w:r>
        <w:rPr>
          <w:rFonts w:ascii="Palatino Linotype" w:eastAsia="Palatino Linotype" w:hAnsi="Palatino Linotype" w:cs="Palatino Linotype"/>
          <w:color w:val="000000"/>
        </w:rPr>
        <w:t xml:space="preserve"> por la negativa de la información solicitada.</w:t>
      </w:r>
    </w:p>
    <w:p w14:paraId="0BC9DEB9"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5A72203E"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En ese sentido se inserta el siguiente cuadro de análisis:</w:t>
      </w:r>
    </w:p>
    <w:tbl>
      <w:tblPr>
        <w:tblStyle w:val="a"/>
        <w:tblpPr w:leftFromText="141" w:rightFromText="141" w:vertAnchor="text" w:tblpY="344"/>
        <w:tblW w:w="97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5"/>
        <w:gridCol w:w="2697"/>
        <w:gridCol w:w="1984"/>
        <w:gridCol w:w="2559"/>
      </w:tblGrid>
      <w:tr w:rsidR="006D3F24" w14:paraId="30EF1315" w14:textId="77777777">
        <w:tc>
          <w:tcPr>
            <w:tcW w:w="2547" w:type="dxa"/>
          </w:tcPr>
          <w:p w14:paraId="674BDDD6" w14:textId="77777777" w:rsidR="006D3F24" w:rsidRDefault="005C2B11">
            <w:pPr>
              <w:ind w:right="-6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SOLICITUD DE INFORMACIÓN</w:t>
            </w:r>
          </w:p>
        </w:tc>
        <w:tc>
          <w:tcPr>
            <w:tcW w:w="2698" w:type="dxa"/>
          </w:tcPr>
          <w:p w14:paraId="648A497C" w14:textId="77777777" w:rsidR="006D3F24" w:rsidRDefault="005C2B11">
            <w:pPr>
              <w:ind w:right="-6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RESPUESTA</w:t>
            </w:r>
          </w:p>
        </w:tc>
        <w:tc>
          <w:tcPr>
            <w:tcW w:w="1980" w:type="dxa"/>
          </w:tcPr>
          <w:p w14:paraId="283205B8" w14:textId="77777777" w:rsidR="006D3F24" w:rsidRDefault="005C2B11">
            <w:pPr>
              <w:spacing w:line="360" w:lineRule="auto"/>
              <w:ind w:right="-6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INFORME JUSTIFICADO</w:t>
            </w:r>
          </w:p>
        </w:tc>
        <w:tc>
          <w:tcPr>
            <w:tcW w:w="2560" w:type="dxa"/>
          </w:tcPr>
          <w:p w14:paraId="22123E5C" w14:textId="77777777" w:rsidR="006D3F24" w:rsidRDefault="005C2B11">
            <w:pPr>
              <w:spacing w:line="360" w:lineRule="auto"/>
              <w:ind w:right="-6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COMENTARIO</w:t>
            </w:r>
          </w:p>
        </w:tc>
      </w:tr>
      <w:tr w:rsidR="006D3F24" w14:paraId="488831F1" w14:textId="77777777">
        <w:tc>
          <w:tcPr>
            <w:tcW w:w="2547" w:type="dxa"/>
          </w:tcPr>
          <w:p w14:paraId="5EBBE74A" w14:textId="77777777" w:rsidR="006D3F24" w:rsidRDefault="005C2B11">
            <w:pPr>
              <w:numPr>
                <w:ilvl w:val="0"/>
                <w:numId w:val="5"/>
              </w:numPr>
              <w:pBdr>
                <w:top w:val="nil"/>
                <w:left w:val="nil"/>
                <w:bottom w:val="nil"/>
                <w:right w:val="nil"/>
                <w:between w:val="nil"/>
              </w:pBdr>
              <w:spacing w:after="160" w:line="259" w:lineRule="auto"/>
              <w:ind w:left="29" w:right="-6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Recibos de nómina del 01 de enero al 31 de diciembre de 2025 y de la primera quincena de enero del 2026. </w:t>
            </w:r>
          </w:p>
          <w:p w14:paraId="69A4F9D7" w14:textId="77777777" w:rsidR="006D3F24" w:rsidRDefault="006D3F24">
            <w:pPr>
              <w:ind w:left="29" w:right="-69"/>
              <w:jc w:val="center"/>
              <w:rPr>
                <w:rFonts w:ascii="Palatino Linotype" w:eastAsia="Palatino Linotype" w:hAnsi="Palatino Linotype" w:cs="Palatino Linotype"/>
                <w:color w:val="000000"/>
              </w:rPr>
            </w:pPr>
          </w:p>
        </w:tc>
        <w:tc>
          <w:tcPr>
            <w:tcW w:w="2698" w:type="dxa"/>
          </w:tcPr>
          <w:p w14:paraId="7911A5E3" w14:textId="77777777" w:rsidR="006D3F24" w:rsidRDefault="005C2B11">
            <w:pPr>
              <w:ind w:right="-69"/>
              <w:rPr>
                <w:rFonts w:ascii="Palatino Linotype" w:eastAsia="Palatino Linotype" w:hAnsi="Palatino Linotype" w:cs="Palatino Linotype"/>
                <w:color w:val="000000"/>
              </w:rPr>
            </w:pPr>
            <w:r>
              <w:rPr>
                <w:rFonts w:ascii="Palatino Linotype" w:eastAsia="Palatino Linotype" w:hAnsi="Palatino Linotype" w:cs="Palatino Linotype"/>
                <w:color w:val="000000"/>
              </w:rPr>
              <w:t>El servidor público habilitado, informó que después de realizar una búsqueda exhaustiva no se localizaron recibos de nómina a nombre del servidor público en mención</w:t>
            </w:r>
          </w:p>
        </w:tc>
        <w:tc>
          <w:tcPr>
            <w:tcW w:w="1980" w:type="dxa"/>
          </w:tcPr>
          <w:p w14:paraId="3515EE2D"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Ratificó Respuesta</w:t>
            </w:r>
          </w:p>
        </w:tc>
        <w:tc>
          <w:tcPr>
            <w:tcW w:w="2560" w:type="dxa"/>
          </w:tcPr>
          <w:p w14:paraId="255EFFCD"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colma</w:t>
            </w:r>
          </w:p>
        </w:tc>
      </w:tr>
      <w:tr w:rsidR="006D3F24" w14:paraId="5D024D47" w14:textId="77777777">
        <w:tc>
          <w:tcPr>
            <w:tcW w:w="2547" w:type="dxa"/>
          </w:tcPr>
          <w:p w14:paraId="2BF0B58E" w14:textId="77777777" w:rsidR="006D3F24" w:rsidRDefault="005C2B11">
            <w:pPr>
              <w:numPr>
                <w:ilvl w:val="0"/>
                <w:numId w:val="5"/>
              </w:numPr>
              <w:pBdr>
                <w:top w:val="nil"/>
                <w:left w:val="nil"/>
                <w:bottom w:val="nil"/>
                <w:right w:val="nil"/>
                <w:between w:val="nil"/>
              </w:pBdr>
              <w:spacing w:after="160" w:line="259" w:lineRule="auto"/>
              <w:ind w:left="29" w:right="-6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Expediente Laboral y currículum</w:t>
            </w:r>
          </w:p>
          <w:p w14:paraId="4C71DB9B" w14:textId="77777777" w:rsidR="006D3F24" w:rsidRDefault="006D3F24">
            <w:pPr>
              <w:ind w:left="29" w:right="-69"/>
              <w:jc w:val="center"/>
              <w:rPr>
                <w:rFonts w:ascii="Palatino Linotype" w:eastAsia="Palatino Linotype" w:hAnsi="Palatino Linotype" w:cs="Palatino Linotype"/>
                <w:color w:val="000000"/>
              </w:rPr>
            </w:pPr>
          </w:p>
        </w:tc>
        <w:tc>
          <w:tcPr>
            <w:tcW w:w="4678" w:type="dxa"/>
            <w:gridSpan w:val="2"/>
          </w:tcPr>
          <w:p w14:paraId="4702AD0A"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se pronunció</w:t>
            </w:r>
          </w:p>
        </w:tc>
        <w:tc>
          <w:tcPr>
            <w:tcW w:w="2560" w:type="dxa"/>
          </w:tcPr>
          <w:p w14:paraId="4CB52968"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colma</w:t>
            </w:r>
          </w:p>
        </w:tc>
      </w:tr>
      <w:tr w:rsidR="006D3F24" w14:paraId="5A95735F" w14:textId="77777777">
        <w:tc>
          <w:tcPr>
            <w:tcW w:w="2547" w:type="dxa"/>
          </w:tcPr>
          <w:p w14:paraId="3C5B761C" w14:textId="77777777" w:rsidR="006D3F24" w:rsidRDefault="005C2B11">
            <w:pPr>
              <w:numPr>
                <w:ilvl w:val="0"/>
                <w:numId w:val="5"/>
              </w:numPr>
              <w:pBdr>
                <w:top w:val="nil"/>
                <w:left w:val="nil"/>
                <w:bottom w:val="nil"/>
                <w:right w:val="nil"/>
                <w:between w:val="nil"/>
              </w:pBdr>
              <w:spacing w:after="160" w:line="259" w:lineRule="auto"/>
              <w:ind w:left="29" w:right="-6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Nombramiento expedido por autoridad competente en donde se señale el nombre, cargo y temporalidad en funciones. </w:t>
            </w:r>
          </w:p>
          <w:p w14:paraId="1BCED76E" w14:textId="77777777" w:rsidR="006D3F24" w:rsidRDefault="006D3F24">
            <w:pPr>
              <w:ind w:left="29" w:right="-69"/>
              <w:jc w:val="center"/>
              <w:rPr>
                <w:rFonts w:ascii="Palatino Linotype" w:eastAsia="Palatino Linotype" w:hAnsi="Palatino Linotype" w:cs="Palatino Linotype"/>
                <w:color w:val="000000"/>
              </w:rPr>
            </w:pPr>
          </w:p>
        </w:tc>
        <w:tc>
          <w:tcPr>
            <w:tcW w:w="4678" w:type="dxa"/>
            <w:gridSpan w:val="2"/>
          </w:tcPr>
          <w:p w14:paraId="692B66D5"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se pronunció</w:t>
            </w:r>
          </w:p>
        </w:tc>
        <w:tc>
          <w:tcPr>
            <w:tcW w:w="2560" w:type="dxa"/>
          </w:tcPr>
          <w:p w14:paraId="4114EB58"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colma</w:t>
            </w:r>
          </w:p>
        </w:tc>
      </w:tr>
      <w:tr w:rsidR="006D3F24" w14:paraId="1EAADA74" w14:textId="77777777">
        <w:tc>
          <w:tcPr>
            <w:tcW w:w="2547" w:type="dxa"/>
          </w:tcPr>
          <w:p w14:paraId="3277ECA3" w14:textId="77777777" w:rsidR="006D3F24" w:rsidRDefault="005C2B11">
            <w:pPr>
              <w:numPr>
                <w:ilvl w:val="0"/>
                <w:numId w:val="5"/>
              </w:numPr>
              <w:pBdr>
                <w:top w:val="nil"/>
                <w:left w:val="nil"/>
                <w:bottom w:val="nil"/>
                <w:right w:val="nil"/>
                <w:between w:val="nil"/>
              </w:pBdr>
              <w:spacing w:after="160" w:line="259" w:lineRule="auto"/>
              <w:ind w:left="29" w:right="-6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Área de adscripción. </w:t>
            </w:r>
          </w:p>
          <w:p w14:paraId="3DBDFCFC" w14:textId="77777777" w:rsidR="006D3F24" w:rsidRDefault="006D3F24">
            <w:pPr>
              <w:ind w:left="29" w:right="-69"/>
              <w:jc w:val="center"/>
              <w:rPr>
                <w:rFonts w:ascii="Palatino Linotype" w:eastAsia="Palatino Linotype" w:hAnsi="Palatino Linotype" w:cs="Palatino Linotype"/>
                <w:color w:val="000000"/>
              </w:rPr>
            </w:pPr>
          </w:p>
        </w:tc>
        <w:tc>
          <w:tcPr>
            <w:tcW w:w="4678" w:type="dxa"/>
            <w:gridSpan w:val="2"/>
          </w:tcPr>
          <w:p w14:paraId="3C9F2C3C"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se pronunció</w:t>
            </w:r>
          </w:p>
        </w:tc>
        <w:tc>
          <w:tcPr>
            <w:tcW w:w="2560" w:type="dxa"/>
          </w:tcPr>
          <w:p w14:paraId="4170C7B9"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colma</w:t>
            </w:r>
          </w:p>
        </w:tc>
      </w:tr>
      <w:tr w:rsidR="006D3F24" w14:paraId="2197CA9B" w14:textId="77777777">
        <w:tc>
          <w:tcPr>
            <w:tcW w:w="2547" w:type="dxa"/>
          </w:tcPr>
          <w:p w14:paraId="1B8B4A3E" w14:textId="77777777" w:rsidR="006D3F24" w:rsidRPr="0082122D" w:rsidRDefault="005C2B11">
            <w:pPr>
              <w:numPr>
                <w:ilvl w:val="0"/>
                <w:numId w:val="5"/>
              </w:numPr>
              <w:pBdr>
                <w:top w:val="nil"/>
                <w:left w:val="nil"/>
                <w:bottom w:val="nil"/>
                <w:right w:val="nil"/>
                <w:between w:val="nil"/>
              </w:pBdr>
              <w:spacing w:after="160" w:line="259" w:lineRule="auto"/>
              <w:ind w:left="29" w:right="-69" w:firstLine="0"/>
              <w:jc w:val="both"/>
              <w:rPr>
                <w:rFonts w:ascii="Palatino Linotype" w:eastAsia="Palatino Linotype" w:hAnsi="Palatino Linotype" w:cs="Palatino Linotype"/>
                <w:color w:val="000000"/>
              </w:rPr>
            </w:pPr>
            <w:r w:rsidRPr="0082122D">
              <w:rPr>
                <w:rFonts w:ascii="Palatino Linotype" w:eastAsia="Palatino Linotype" w:hAnsi="Palatino Linotype" w:cs="Palatino Linotype"/>
                <w:color w:val="000000"/>
              </w:rPr>
              <w:t xml:space="preserve">Documento en el que el Órgano Interno de Control </w:t>
            </w:r>
            <w:r w:rsidRPr="0082122D">
              <w:rPr>
                <w:rFonts w:ascii="Palatino Linotype" w:eastAsia="Palatino Linotype" w:hAnsi="Palatino Linotype" w:cs="Palatino Linotype"/>
              </w:rPr>
              <w:t>señala</w:t>
            </w:r>
            <w:r w:rsidRPr="0082122D">
              <w:rPr>
                <w:rFonts w:ascii="Palatino Linotype" w:eastAsia="Palatino Linotype" w:hAnsi="Palatino Linotype" w:cs="Palatino Linotype"/>
                <w:color w:val="000000"/>
              </w:rPr>
              <w:t xml:space="preserve"> la existencia de algún procedimiento interno en donde intervenga el Servidor Público de referencia. </w:t>
            </w:r>
          </w:p>
          <w:p w14:paraId="49ABE58B" w14:textId="77777777" w:rsidR="006D3F24" w:rsidRPr="0082122D" w:rsidRDefault="006D3F24">
            <w:pPr>
              <w:ind w:left="29" w:right="-69"/>
              <w:jc w:val="center"/>
              <w:rPr>
                <w:rFonts w:ascii="Palatino Linotype" w:eastAsia="Palatino Linotype" w:hAnsi="Palatino Linotype" w:cs="Palatino Linotype"/>
                <w:color w:val="000000"/>
              </w:rPr>
            </w:pPr>
          </w:p>
        </w:tc>
        <w:tc>
          <w:tcPr>
            <w:tcW w:w="4678" w:type="dxa"/>
            <w:gridSpan w:val="2"/>
          </w:tcPr>
          <w:p w14:paraId="6291E81A" w14:textId="77777777" w:rsidR="006D3F24" w:rsidRPr="0082122D" w:rsidRDefault="00E60895" w:rsidP="00E60895">
            <w:pPr>
              <w:ind w:right="-69"/>
              <w:jc w:val="both"/>
              <w:rPr>
                <w:rFonts w:ascii="Palatino Linotype" w:eastAsia="Palatino Linotype" w:hAnsi="Palatino Linotype" w:cs="Palatino Linotype"/>
                <w:color w:val="000000"/>
              </w:rPr>
            </w:pPr>
            <w:r w:rsidRPr="0082122D">
              <w:rPr>
                <w:rFonts w:ascii="Palatino Linotype" w:eastAsia="Palatino Linotype" w:hAnsi="Palatino Linotype" w:cs="Palatino Linotype"/>
                <w:color w:val="000000"/>
              </w:rPr>
              <w:t>El servidor público habilitado, proporcionó los números de expediente iniciados, no obstante es información que debió de clasificarse.</w:t>
            </w:r>
          </w:p>
        </w:tc>
        <w:tc>
          <w:tcPr>
            <w:tcW w:w="2560" w:type="dxa"/>
          </w:tcPr>
          <w:p w14:paraId="128208C9" w14:textId="77777777" w:rsidR="006D3F24" w:rsidRPr="0082122D" w:rsidRDefault="00E60895" w:rsidP="00E60895">
            <w:pPr>
              <w:ind w:right="-69"/>
              <w:jc w:val="both"/>
              <w:rPr>
                <w:rFonts w:ascii="Palatino Linotype" w:eastAsia="Palatino Linotype" w:hAnsi="Palatino Linotype" w:cs="Palatino Linotype"/>
                <w:color w:val="000000"/>
              </w:rPr>
            </w:pPr>
            <w:r w:rsidRPr="0082122D">
              <w:rPr>
                <w:rFonts w:ascii="Palatino Linotype" w:eastAsia="Palatino Linotype" w:hAnsi="Palatino Linotype" w:cs="Palatino Linotype"/>
                <w:color w:val="000000"/>
              </w:rPr>
              <w:t>Se dará vista a la Dirección General de Protección de Datos Personales, toda vez que el SUJETO OBLIGADO, proporcionó información que debió de haberse clasificado</w:t>
            </w:r>
          </w:p>
        </w:tc>
      </w:tr>
      <w:tr w:rsidR="006D3F24" w14:paraId="32FFF169" w14:textId="77777777">
        <w:tc>
          <w:tcPr>
            <w:tcW w:w="2547" w:type="dxa"/>
          </w:tcPr>
          <w:p w14:paraId="57447001" w14:textId="77777777" w:rsidR="006D3F24" w:rsidRDefault="005C2B11">
            <w:pPr>
              <w:numPr>
                <w:ilvl w:val="0"/>
                <w:numId w:val="5"/>
              </w:numPr>
              <w:pBdr>
                <w:top w:val="nil"/>
                <w:left w:val="nil"/>
                <w:bottom w:val="nil"/>
                <w:right w:val="nil"/>
                <w:between w:val="nil"/>
              </w:pBdr>
              <w:spacing w:after="160" w:line="259" w:lineRule="auto"/>
              <w:ind w:left="29" w:right="-6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Gafete de identificación como servidor público. </w:t>
            </w:r>
          </w:p>
          <w:p w14:paraId="7789AC14" w14:textId="77777777" w:rsidR="006D3F24" w:rsidRDefault="006D3F24">
            <w:pPr>
              <w:ind w:left="29" w:right="-69"/>
              <w:jc w:val="center"/>
              <w:rPr>
                <w:rFonts w:ascii="Palatino Linotype" w:eastAsia="Palatino Linotype" w:hAnsi="Palatino Linotype" w:cs="Palatino Linotype"/>
                <w:color w:val="000000"/>
              </w:rPr>
            </w:pPr>
          </w:p>
        </w:tc>
        <w:tc>
          <w:tcPr>
            <w:tcW w:w="4678" w:type="dxa"/>
            <w:gridSpan w:val="2"/>
          </w:tcPr>
          <w:p w14:paraId="779B73AC"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se pronunció</w:t>
            </w:r>
          </w:p>
        </w:tc>
        <w:tc>
          <w:tcPr>
            <w:tcW w:w="2560" w:type="dxa"/>
          </w:tcPr>
          <w:p w14:paraId="21B189CB"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colma</w:t>
            </w:r>
          </w:p>
        </w:tc>
      </w:tr>
      <w:tr w:rsidR="006D3F24" w14:paraId="2E47A42B" w14:textId="77777777">
        <w:tc>
          <w:tcPr>
            <w:tcW w:w="2547" w:type="dxa"/>
          </w:tcPr>
          <w:p w14:paraId="1FDD199F" w14:textId="77777777" w:rsidR="006D3F24" w:rsidRDefault="005C2B11">
            <w:pPr>
              <w:numPr>
                <w:ilvl w:val="0"/>
                <w:numId w:val="5"/>
              </w:numPr>
              <w:pBdr>
                <w:top w:val="nil"/>
                <w:left w:val="nil"/>
                <w:bottom w:val="nil"/>
                <w:right w:val="nil"/>
                <w:between w:val="nil"/>
              </w:pBdr>
              <w:spacing w:after="160" w:line="259" w:lineRule="auto"/>
              <w:ind w:left="29" w:right="-6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Documento en donde se señale si el servidor público cuenta con unidad vehicular del Ayuntamiento de Toluca a su disposición. </w:t>
            </w:r>
          </w:p>
          <w:p w14:paraId="002C9F63" w14:textId="77777777" w:rsidR="006D3F24" w:rsidRDefault="006D3F24">
            <w:pPr>
              <w:ind w:left="29" w:right="-69"/>
              <w:jc w:val="center"/>
              <w:rPr>
                <w:rFonts w:ascii="Palatino Linotype" w:eastAsia="Palatino Linotype" w:hAnsi="Palatino Linotype" w:cs="Palatino Linotype"/>
                <w:color w:val="000000"/>
              </w:rPr>
            </w:pPr>
          </w:p>
        </w:tc>
        <w:tc>
          <w:tcPr>
            <w:tcW w:w="2698" w:type="dxa"/>
          </w:tcPr>
          <w:p w14:paraId="4AEB5C66" w14:textId="77777777" w:rsidR="006D3F24" w:rsidRDefault="005C2B11">
            <w:pPr>
              <w:ind w:right="-6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servidor público habilitado, refirió que durante el periodo señalado por el particular, el servidor público en mención no tuvo vehículos asignados. </w:t>
            </w:r>
          </w:p>
        </w:tc>
        <w:tc>
          <w:tcPr>
            <w:tcW w:w="1980" w:type="dxa"/>
          </w:tcPr>
          <w:p w14:paraId="4244A12E"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Ratifica Respuesta</w:t>
            </w:r>
          </w:p>
        </w:tc>
        <w:tc>
          <w:tcPr>
            <w:tcW w:w="2560" w:type="dxa"/>
          </w:tcPr>
          <w:p w14:paraId="5DE827B1"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Si colma</w:t>
            </w:r>
          </w:p>
        </w:tc>
      </w:tr>
      <w:tr w:rsidR="0067622C" w14:paraId="60A39259" w14:textId="77777777" w:rsidTr="0067622C">
        <w:tc>
          <w:tcPr>
            <w:tcW w:w="2547" w:type="dxa"/>
          </w:tcPr>
          <w:p w14:paraId="0D71CA8F" w14:textId="77777777" w:rsidR="0067622C" w:rsidRPr="0082122D" w:rsidRDefault="0067622C" w:rsidP="00F243C4">
            <w:pPr>
              <w:numPr>
                <w:ilvl w:val="0"/>
                <w:numId w:val="5"/>
              </w:numPr>
              <w:pBdr>
                <w:top w:val="nil"/>
                <w:left w:val="nil"/>
                <w:bottom w:val="nil"/>
                <w:right w:val="nil"/>
                <w:between w:val="nil"/>
              </w:pBdr>
              <w:spacing w:after="160" w:line="259" w:lineRule="auto"/>
              <w:ind w:left="29" w:right="-69" w:firstLine="0"/>
              <w:jc w:val="both"/>
              <w:rPr>
                <w:rFonts w:ascii="Palatino Linotype" w:eastAsia="Palatino Linotype" w:hAnsi="Palatino Linotype" w:cs="Palatino Linotype"/>
                <w:color w:val="000000"/>
              </w:rPr>
            </w:pPr>
            <w:r w:rsidRPr="0082122D">
              <w:rPr>
                <w:rFonts w:ascii="Palatino Linotype" w:eastAsia="Palatino Linotype" w:hAnsi="Palatino Linotype" w:cs="Palatino Linotype"/>
                <w:color w:val="000000"/>
              </w:rPr>
              <w:t xml:space="preserve">Documento expedido por la Tesorería Municipal en donde se señale si el servidor público, cuenta con algún bono o gratificación por concepto de servicios personales, gasolina o comidas. </w:t>
            </w:r>
          </w:p>
          <w:p w14:paraId="6174879F" w14:textId="77777777" w:rsidR="0067622C" w:rsidRPr="0082122D" w:rsidRDefault="0067622C">
            <w:pPr>
              <w:ind w:left="29" w:right="-69"/>
              <w:jc w:val="center"/>
              <w:rPr>
                <w:rFonts w:ascii="Palatino Linotype" w:eastAsia="Palatino Linotype" w:hAnsi="Palatino Linotype" w:cs="Palatino Linotype"/>
                <w:color w:val="000000"/>
              </w:rPr>
            </w:pPr>
          </w:p>
        </w:tc>
        <w:tc>
          <w:tcPr>
            <w:tcW w:w="2693" w:type="dxa"/>
          </w:tcPr>
          <w:p w14:paraId="4E83B707" w14:textId="77777777" w:rsidR="0067622C" w:rsidRPr="0082122D" w:rsidRDefault="0067622C" w:rsidP="0067622C">
            <w:pPr>
              <w:ind w:right="-69"/>
              <w:jc w:val="both"/>
              <w:rPr>
                <w:rFonts w:ascii="Palatino Linotype" w:eastAsia="Palatino Linotype" w:hAnsi="Palatino Linotype" w:cs="Palatino Linotype"/>
                <w:color w:val="000000"/>
              </w:rPr>
            </w:pPr>
            <w:r w:rsidRPr="0082122D">
              <w:rPr>
                <w:rFonts w:ascii="Palatino Linotype" w:eastAsia="Palatino Linotype" w:hAnsi="Palatino Linotype" w:cs="Palatino Linotype"/>
                <w:color w:val="000000"/>
              </w:rPr>
              <w:t>El servidor público habilitado, refirió que durante el periodo señalado por el particular, el servidor público en mención no tuvo vehículos asignados, por lo que da cuenta sobre el bono o gratificación por concepto de gasolina</w:t>
            </w:r>
          </w:p>
        </w:tc>
        <w:tc>
          <w:tcPr>
            <w:tcW w:w="1985" w:type="dxa"/>
          </w:tcPr>
          <w:p w14:paraId="2E116056" w14:textId="77777777" w:rsidR="0067622C" w:rsidRPr="0082122D" w:rsidRDefault="0067622C">
            <w:pPr>
              <w:spacing w:line="360" w:lineRule="auto"/>
              <w:ind w:right="-69"/>
              <w:jc w:val="center"/>
              <w:rPr>
                <w:rFonts w:ascii="Palatino Linotype" w:eastAsia="Palatino Linotype" w:hAnsi="Palatino Linotype" w:cs="Palatino Linotype"/>
                <w:color w:val="000000"/>
              </w:rPr>
            </w:pPr>
            <w:r w:rsidRPr="0082122D">
              <w:rPr>
                <w:rFonts w:ascii="Palatino Linotype" w:eastAsia="Palatino Linotype" w:hAnsi="Palatino Linotype" w:cs="Palatino Linotype"/>
                <w:color w:val="000000"/>
              </w:rPr>
              <w:t>Ratifica respuesta</w:t>
            </w:r>
          </w:p>
        </w:tc>
        <w:tc>
          <w:tcPr>
            <w:tcW w:w="2560" w:type="dxa"/>
          </w:tcPr>
          <w:p w14:paraId="6BA98015" w14:textId="77777777" w:rsidR="0067622C" w:rsidRPr="0082122D" w:rsidRDefault="0067622C">
            <w:pPr>
              <w:spacing w:line="360" w:lineRule="auto"/>
              <w:ind w:right="-69"/>
              <w:jc w:val="center"/>
              <w:rPr>
                <w:rFonts w:ascii="Palatino Linotype" w:eastAsia="Palatino Linotype" w:hAnsi="Palatino Linotype" w:cs="Palatino Linotype"/>
                <w:color w:val="000000"/>
              </w:rPr>
            </w:pPr>
            <w:r w:rsidRPr="0082122D">
              <w:rPr>
                <w:rFonts w:ascii="Palatino Linotype" w:eastAsia="Palatino Linotype" w:hAnsi="Palatino Linotype" w:cs="Palatino Linotype"/>
                <w:color w:val="000000"/>
              </w:rPr>
              <w:t>Colma Parcialmente</w:t>
            </w:r>
          </w:p>
        </w:tc>
      </w:tr>
      <w:tr w:rsidR="006D3F24" w14:paraId="29BF7E8B" w14:textId="77777777">
        <w:tc>
          <w:tcPr>
            <w:tcW w:w="2547" w:type="dxa"/>
          </w:tcPr>
          <w:p w14:paraId="7E324FBF" w14:textId="77777777" w:rsidR="006D3F24" w:rsidRDefault="005C2B11">
            <w:pPr>
              <w:numPr>
                <w:ilvl w:val="0"/>
                <w:numId w:val="5"/>
              </w:numPr>
              <w:pBdr>
                <w:top w:val="nil"/>
                <w:left w:val="nil"/>
                <w:bottom w:val="nil"/>
                <w:right w:val="nil"/>
                <w:between w:val="nil"/>
              </w:pBdr>
              <w:spacing w:after="160" w:line="259" w:lineRule="auto"/>
              <w:ind w:left="29" w:right="-6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en donde se especifique turno, horarios y días habilitados de servicio público.</w:t>
            </w:r>
          </w:p>
          <w:p w14:paraId="6B2A5668" w14:textId="77777777" w:rsidR="006D3F24" w:rsidRDefault="006D3F24">
            <w:pPr>
              <w:ind w:left="29" w:right="-69"/>
              <w:jc w:val="center"/>
              <w:rPr>
                <w:rFonts w:ascii="Palatino Linotype" w:eastAsia="Palatino Linotype" w:hAnsi="Palatino Linotype" w:cs="Palatino Linotype"/>
                <w:color w:val="000000"/>
              </w:rPr>
            </w:pPr>
          </w:p>
        </w:tc>
        <w:tc>
          <w:tcPr>
            <w:tcW w:w="4678" w:type="dxa"/>
            <w:gridSpan w:val="2"/>
          </w:tcPr>
          <w:p w14:paraId="5241D615"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se Pronunció</w:t>
            </w:r>
          </w:p>
        </w:tc>
        <w:tc>
          <w:tcPr>
            <w:tcW w:w="2560" w:type="dxa"/>
          </w:tcPr>
          <w:p w14:paraId="42BEB8AC"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colma</w:t>
            </w:r>
          </w:p>
        </w:tc>
      </w:tr>
      <w:tr w:rsidR="006D3F24" w14:paraId="748CFF14" w14:textId="77777777">
        <w:tc>
          <w:tcPr>
            <w:tcW w:w="2547" w:type="dxa"/>
          </w:tcPr>
          <w:p w14:paraId="32666F17" w14:textId="77777777" w:rsidR="006D3F24" w:rsidRDefault="005C2B11">
            <w:pPr>
              <w:numPr>
                <w:ilvl w:val="0"/>
                <w:numId w:val="5"/>
              </w:numPr>
              <w:pBdr>
                <w:top w:val="nil"/>
                <w:left w:val="nil"/>
                <w:bottom w:val="nil"/>
                <w:right w:val="nil"/>
                <w:between w:val="nil"/>
              </w:pBdr>
              <w:spacing w:after="160" w:line="259" w:lineRule="auto"/>
              <w:ind w:left="29" w:right="-6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Documento en donde conste el </w:t>
            </w:r>
            <w:r>
              <w:rPr>
                <w:rFonts w:ascii="Palatino Linotype" w:eastAsia="Palatino Linotype" w:hAnsi="Palatino Linotype" w:cs="Palatino Linotype"/>
                <w:color w:val="000000"/>
              </w:rPr>
              <w:lastRenderedPageBreak/>
              <w:t xml:space="preserve">registro de entradas y salidas o de checador del servidor público, especificando horario de entrada y salida del área de trabajo en el </w:t>
            </w:r>
            <w:r>
              <w:rPr>
                <w:rFonts w:ascii="Palatino Linotype" w:eastAsia="Palatino Linotype" w:hAnsi="Palatino Linotype" w:cs="Palatino Linotype"/>
              </w:rPr>
              <w:t>periodo</w:t>
            </w:r>
            <w:r>
              <w:rPr>
                <w:rFonts w:ascii="Palatino Linotype" w:eastAsia="Palatino Linotype" w:hAnsi="Palatino Linotype" w:cs="Palatino Linotype"/>
                <w:color w:val="000000"/>
              </w:rPr>
              <w:t xml:space="preserve"> del 01 de septiembre de 2025 al 28 de enero de 2026.</w:t>
            </w:r>
          </w:p>
          <w:p w14:paraId="1EC0A1F8" w14:textId="77777777" w:rsidR="006D3F24" w:rsidRDefault="006D3F24">
            <w:pPr>
              <w:ind w:left="29" w:right="-69"/>
              <w:jc w:val="center"/>
              <w:rPr>
                <w:rFonts w:ascii="Palatino Linotype" w:eastAsia="Palatino Linotype" w:hAnsi="Palatino Linotype" w:cs="Palatino Linotype"/>
                <w:color w:val="000000"/>
              </w:rPr>
            </w:pPr>
          </w:p>
        </w:tc>
        <w:tc>
          <w:tcPr>
            <w:tcW w:w="4678" w:type="dxa"/>
            <w:gridSpan w:val="2"/>
          </w:tcPr>
          <w:p w14:paraId="5F126E0D"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No se pronunció</w:t>
            </w:r>
          </w:p>
        </w:tc>
        <w:tc>
          <w:tcPr>
            <w:tcW w:w="2560" w:type="dxa"/>
          </w:tcPr>
          <w:p w14:paraId="6114C316" w14:textId="77777777" w:rsidR="006D3F24" w:rsidRDefault="005C2B11">
            <w:pPr>
              <w:spacing w:line="360" w:lineRule="auto"/>
              <w:ind w:right="-69"/>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No colma</w:t>
            </w:r>
          </w:p>
        </w:tc>
      </w:tr>
    </w:tbl>
    <w:p w14:paraId="6022852B"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275BB9D5"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De lo expuesto en el cuadro descriptivo, se advierte que se atendió el puntos marcados con el número 7, toda vez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refirió que durante el periodo señalado, el servidor público en mención no tuvo vehículos asignados, motivo por el cual, resulta viable realizar el estudio respecto a los puntos marcados con los números 1, 2, 3, 4, 5, 6, 8, 9, 10 del cuadro descriptivo.</w:t>
      </w:r>
    </w:p>
    <w:p w14:paraId="04F4F9D9"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4521A8AA" w14:textId="77777777" w:rsidR="006D3F24" w:rsidRDefault="005C2B11">
      <w:pPr>
        <w:numPr>
          <w:ilvl w:val="0"/>
          <w:numId w:val="6"/>
        </w:numPr>
        <w:pBdr>
          <w:top w:val="nil"/>
          <w:left w:val="nil"/>
          <w:bottom w:val="nil"/>
          <w:right w:val="nil"/>
          <w:between w:val="nil"/>
        </w:pBdr>
        <w:spacing w:line="360" w:lineRule="auto"/>
        <w:ind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Puntos 1, 2, 3, 4, 6, 8, 9, 10</w:t>
      </w:r>
    </w:p>
    <w:p w14:paraId="37504964"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A fin de realizar el análisis de referencia, es menester determinar si la solicitud de información fue turnada a la Unidad Administrativa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que de acuerdo a sus facultades pudiera poseer lo requerido por el particular.</w:t>
      </w:r>
    </w:p>
    <w:p w14:paraId="1E1C4DAF"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3EDCE992"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rPr>
        <w:t>Es así que resulta viable traer a colación lo establecido en el artículo 115 y 116 del Bando Municipal de Tepetlaoxtoc, que la letra refiere:</w:t>
      </w:r>
    </w:p>
    <w:p w14:paraId="3BF96C51"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115. La Dirección General de Administración del Municipio de Tepetlaoxtoc será el órgano responsable de gestionar las siguientes áreas dentro de la administración pública municipal: </w:t>
      </w:r>
    </w:p>
    <w:p w14:paraId="6ABD36F1"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 Recursos Humanos; </w:t>
      </w:r>
    </w:p>
    <w:p w14:paraId="77F19B62"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II. Licitaciones y Adquisiciones; </w:t>
      </w:r>
    </w:p>
    <w:p w14:paraId="0AE2E4A8"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III. Parque Vehícular y Combustible; </w:t>
      </w:r>
    </w:p>
    <w:p w14:paraId="3D6AC3CB"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IV. Almacén.</w:t>
      </w:r>
    </w:p>
    <w:p w14:paraId="43E61684" w14:textId="77777777" w:rsidR="006D3F24" w:rsidRDefault="006D3F24">
      <w:pPr>
        <w:pBdr>
          <w:top w:val="nil"/>
          <w:left w:val="nil"/>
          <w:bottom w:val="nil"/>
          <w:right w:val="nil"/>
          <w:between w:val="nil"/>
        </w:pBdr>
        <w:ind w:left="567" w:right="-981"/>
        <w:jc w:val="both"/>
        <w:rPr>
          <w:rFonts w:ascii="Palatino Linotype" w:eastAsia="Palatino Linotype" w:hAnsi="Palatino Linotype" w:cs="Palatino Linotype"/>
          <w:i/>
          <w:iCs/>
          <w:color w:val="000000"/>
        </w:rPr>
      </w:pPr>
    </w:p>
    <w:p w14:paraId="6CFAA2A3"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Artículo 116. Son funciones de la Dirección General de Administración del Municipio de Tepetlaoxtoc las siguientes:</w:t>
      </w:r>
    </w:p>
    <w:p w14:paraId="663E3B80" w14:textId="77777777" w:rsidR="006D3F24" w:rsidRDefault="006D3F24">
      <w:pPr>
        <w:pBdr>
          <w:top w:val="nil"/>
          <w:left w:val="nil"/>
          <w:bottom w:val="nil"/>
          <w:right w:val="nil"/>
          <w:between w:val="nil"/>
        </w:pBdr>
        <w:ind w:left="567" w:right="-981"/>
        <w:jc w:val="both"/>
        <w:rPr>
          <w:rFonts w:ascii="Palatino Linotype" w:eastAsia="Palatino Linotype" w:hAnsi="Palatino Linotype" w:cs="Palatino Linotype"/>
          <w:i/>
          <w:iCs/>
          <w:color w:val="000000"/>
        </w:rPr>
      </w:pPr>
    </w:p>
    <w:p w14:paraId="7C7D9A1A"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798DDA44"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Desarrollo organizacional y profesionalización: Organizar, coordinar y dar seguimiento al desarrollo organizacional del municipio, buscando la implementación de programas de capacitación y profesionalización para los servidores públicos municipales, conforme a lo estipulado en la Ley de Profesionalización del Servicio Público del Estado de México. </w:t>
      </w:r>
    </w:p>
    <w:p w14:paraId="51FB6899"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Vigilancia de contratación de bienes y servicios: Coordinar, en colaboración con las demás dependencias y la Contraloría Municipal, la supervisión de la contratación de bienes muebles e inmuebles y servicios, asegurando que estos sean aplicados correctamente y destinados al uso adecuado, conforme a la Ley de Adquisiciones, Arrendamientos y Servicios del Estado de México y Municipios. </w:t>
      </w:r>
    </w:p>
    <w:p w14:paraId="34E8A633"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b/>
          <w:bCs/>
          <w:i/>
          <w:iCs/>
          <w:color w:val="000000"/>
          <w:u w:val="single"/>
        </w:rPr>
      </w:pPr>
      <w:r>
        <w:rPr>
          <w:rFonts w:ascii="Palatino Linotype" w:eastAsia="Palatino Linotype" w:hAnsi="Palatino Linotype" w:cs="Palatino Linotype"/>
          <w:b/>
          <w:bCs/>
          <w:i/>
          <w:iCs/>
          <w:color w:val="000000"/>
          <w:u w:val="single"/>
        </w:rPr>
        <w:t>VI. Convenios y contratos de trabajo: Celebrar, en colaboración con la Consejería Jurídica, los convenios y contratos de trabajo, conforme a los lineamientos establecidos por la Presidenta Municipal y la legislación aplicable en materia laboral, y dar seguimiento a su cumplimiento.</w:t>
      </w:r>
    </w:p>
    <w:p w14:paraId="5C3CCC97" w14:textId="77777777" w:rsidR="006D3F24" w:rsidRDefault="006D3F24">
      <w:pPr>
        <w:pBdr>
          <w:top w:val="nil"/>
          <w:left w:val="nil"/>
          <w:bottom w:val="nil"/>
          <w:right w:val="nil"/>
          <w:between w:val="nil"/>
        </w:pBdr>
        <w:ind w:left="567" w:right="-981"/>
        <w:jc w:val="both"/>
        <w:rPr>
          <w:rFonts w:ascii="Palatino Linotype" w:eastAsia="Palatino Linotype" w:hAnsi="Palatino Linotype" w:cs="Palatino Linotype"/>
          <w:b/>
          <w:bCs/>
          <w:i/>
          <w:iCs/>
          <w:color w:val="000000"/>
          <w:u w:val="single"/>
        </w:rPr>
      </w:pPr>
    </w:p>
    <w:p w14:paraId="2381A36F"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VII. Nombramientos de servidores públicos: Solicitar, de acuerdo con las necesidades del servicio público, los nombramientos correspondientes de los servidores públicos dentro de las dependencias de la Administración Pública Municipal, conforme a los procedimientos establecidos por la Ley del Servicio Público del Estado de México y Municipios</w:t>
      </w:r>
      <w:r>
        <w:rPr>
          <w:rFonts w:ascii="Palatino Linotype" w:eastAsia="Palatino Linotype" w:hAnsi="Palatino Linotype" w:cs="Palatino Linotype"/>
          <w:i/>
          <w:iCs/>
          <w:color w:val="000000"/>
        </w:rPr>
        <w:t xml:space="preserve">. </w:t>
      </w:r>
    </w:p>
    <w:p w14:paraId="3F67A65A"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Comunicación con los sindicatos: Mantener una comunicación continua y efectiva con las organizaciones sindicales de los servidores públicos municipales, en conformidad con las disposiciones de la Ley de los Trabajadores al Servicio del Estado y la Ley Federal del Trabajo. </w:t>
      </w:r>
    </w:p>
    <w:p w14:paraId="06659A0C"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02D37F8D"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06D0F8C0"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Ahora bien, de lo anterior, se advierte que para el cumplimiento de funciones cuenta con el área de Recursos Humanos, misma que tiene como funciones seleccionar, contratar, capacitar y supervisar al personal de la Administración Pública Municipal, previa autorización </w:t>
      </w:r>
      <w:r>
        <w:rPr>
          <w:rFonts w:ascii="Palatino Linotype" w:eastAsia="Palatino Linotype" w:hAnsi="Palatino Linotype" w:cs="Palatino Linotype"/>
          <w:color w:val="000000"/>
        </w:rPr>
        <w:lastRenderedPageBreak/>
        <w:t xml:space="preserve">del Presidente Municipal y del Ayuntamiento; así mismo, tramitar las altas, bajas, remociones, renuncias, licencias y jubilaciones, de los servidores públicos, actualizando el registro de los mismos teniendo a su cargo los expedientes personales de cada empleado de la administración, por lo que tiene competencia para generar, poseer y administrar la información requerida por el particular, no obstante se limitó a informar que de la búsqueda exhaustiva dentro de sus archivos, no se localizaron recibos de nómina a nombre del servidor público del que se requiere la información; sin embargo omitió pronunciarse respecto a los puntos marcados con los números 2, 3, 4, 5, 6, 8, 9, 10; del cuadro descriptivo. </w:t>
      </w:r>
    </w:p>
    <w:p w14:paraId="19E39DE5"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4C2D10E1"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En continuidad, resulta necesario reiterar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refirió que después de realizar una búsqueda exhaustiva, no se localizaron recibos de nómina a favor del servidor público de referencia, lo que podría advertir que posiblemente no pertenezca o perteneciera a la plantilla de personal, no obstante se localizó el documento de Integración de las Mesas Receptora del Voto para la Jornada Electoral del domingo 30 de marzo de 2025, del que se advierte que el servidor público aludido si laboró y/o labora dentro de la administración 2025/2027, tal como se muestra con la siguiente captura de pantalla: </w:t>
      </w:r>
    </w:p>
    <w:p w14:paraId="77ED6941" w14:textId="77777777" w:rsidR="006D3F24" w:rsidRDefault="005C2B11">
      <w:pPr>
        <w:pBdr>
          <w:top w:val="nil"/>
          <w:left w:val="nil"/>
          <w:bottom w:val="nil"/>
          <w:right w:val="nil"/>
          <w:between w:val="nil"/>
        </w:pBdr>
        <w:ind w:left="720" w:right="-981"/>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rPr>
        <w:drawing>
          <wp:inline distT="0" distB="0" distL="0" distR="0" wp14:anchorId="19EC64AA" wp14:editId="1CDE8A87">
            <wp:extent cx="4624734" cy="2489297"/>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4624734" cy="2489297"/>
                    </a:xfrm>
                    <a:prstGeom prst="rect">
                      <a:avLst/>
                    </a:prstGeom>
                    <a:ln/>
                  </pic:spPr>
                </pic:pic>
              </a:graphicData>
            </a:graphic>
          </wp:inline>
        </w:drawing>
      </w:r>
    </w:p>
    <w:p w14:paraId="69EBDF24"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lastRenderedPageBreak/>
        <w:t xml:space="preserve">De lo anterior, se advierte que hasta el mes de marzo pertenecía a la plantilla de personal del </w:t>
      </w:r>
      <w:r>
        <w:rPr>
          <w:rFonts w:ascii="Palatino Linotype" w:eastAsia="Palatino Linotype" w:hAnsi="Palatino Linotype" w:cs="Palatino Linotype"/>
          <w:b/>
          <w:bCs/>
          <w:color w:val="000000"/>
        </w:rPr>
        <w:t xml:space="preserve">SUJETO BLIGADO, </w:t>
      </w:r>
      <w:r>
        <w:rPr>
          <w:rFonts w:ascii="Palatino Linotype" w:eastAsia="Palatino Linotype" w:hAnsi="Palatino Linotype" w:cs="Palatino Linotype"/>
          <w:color w:val="000000"/>
        </w:rPr>
        <w:t xml:space="preserve">ya que del documento expuesto se advierte que se encontraba adscrito a la Dirección General de Servicios Públicos; sin embargo solo se limitaron a referir que no se localizó documento alguno que </w:t>
      </w:r>
      <w:r>
        <w:rPr>
          <w:rFonts w:ascii="Palatino Linotype" w:eastAsia="Palatino Linotype" w:hAnsi="Palatino Linotype" w:cs="Palatino Linotype"/>
        </w:rPr>
        <w:t>dé cuenta</w:t>
      </w:r>
      <w:r>
        <w:rPr>
          <w:rFonts w:ascii="Palatino Linotype" w:eastAsia="Palatino Linotype" w:hAnsi="Palatino Linotype" w:cs="Palatino Linotype"/>
          <w:color w:val="000000"/>
        </w:rPr>
        <w:t xml:space="preserve"> de lo solicitado, ello a pesar de que se pronunció el servidor público habilitado de la Unidad Administrativa competente, lo que advierte que no se llevó a cabo la búsqueda exhaustiva exigida por la ley de la materia.</w:t>
      </w:r>
    </w:p>
    <w:p w14:paraId="18DC6416"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59F86B12" w14:textId="2018CA15" w:rsidR="006D3F24" w:rsidRDefault="0082122D">
      <w:pPr>
        <w:numPr>
          <w:ilvl w:val="0"/>
          <w:numId w:val="2"/>
        </w:numPr>
        <w:pBdr>
          <w:top w:val="nil"/>
          <w:left w:val="nil"/>
          <w:bottom w:val="nil"/>
          <w:right w:val="nil"/>
          <w:between w:val="nil"/>
        </w:pBdr>
        <w:tabs>
          <w:tab w:val="left" w:pos="0"/>
          <w:tab w:val="left" w:pos="567"/>
        </w:tabs>
        <w:spacing w:line="360" w:lineRule="auto"/>
        <w:ind w:left="0" w:right="-981" w:firstLine="0"/>
        <w:jc w:val="both"/>
      </w:pPr>
      <w:r>
        <w:rPr>
          <w:rFonts w:ascii="Palatino Linotype" w:eastAsia="Palatino Linotype" w:hAnsi="Palatino Linotype" w:cs="Palatino Linotype"/>
          <w:color w:val="000000"/>
        </w:rPr>
        <w:t xml:space="preserve">Así las cosas, cabe </w:t>
      </w:r>
      <w:r w:rsidR="005C2B11">
        <w:rPr>
          <w:rFonts w:ascii="Palatino Linotype" w:eastAsia="Palatino Linotype" w:hAnsi="Palatino Linotype" w:cs="Palatino Linotype"/>
          <w:color w:val="000000"/>
        </w:rPr>
        <w:t>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2A306B88" w14:textId="77777777" w:rsidR="006D3F24" w:rsidRDefault="005C2B11">
      <w:pPr>
        <w:pBdr>
          <w:top w:val="nil"/>
          <w:left w:val="nil"/>
          <w:bottom w:val="nil"/>
          <w:right w:val="nil"/>
          <w:between w:val="nil"/>
        </w:pBdr>
        <w:tabs>
          <w:tab w:val="left" w:pos="2475"/>
        </w:tabs>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b/>
      </w:r>
    </w:p>
    <w:p w14:paraId="1E99F9A7" w14:textId="77777777" w:rsidR="006D3F24" w:rsidRDefault="005C2B11">
      <w:pPr>
        <w:numPr>
          <w:ilvl w:val="0"/>
          <w:numId w:val="2"/>
        </w:numPr>
        <w:pBdr>
          <w:top w:val="nil"/>
          <w:left w:val="nil"/>
          <w:bottom w:val="nil"/>
          <w:right w:val="nil"/>
          <w:between w:val="nil"/>
        </w:pBdr>
        <w:tabs>
          <w:tab w:val="left" w:pos="426"/>
          <w:tab w:val="left" w:pos="567"/>
        </w:tabs>
        <w:spacing w:line="360" w:lineRule="auto"/>
        <w:ind w:left="0" w:right="-981" w:firstLine="0"/>
        <w:jc w:val="both"/>
      </w:pPr>
      <w:r>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Pr>
          <w:rFonts w:ascii="Palatino Linotype" w:eastAsia="Palatino Linotype" w:hAnsi="Palatino Linotype" w:cs="Palatino Linotype"/>
          <w:color w:val="000000"/>
          <w:vertAlign w:val="superscript"/>
        </w:rPr>
        <w:footnoteReference w:id="5"/>
      </w:r>
      <w:r>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los términos de la Ley General y la Ley de Transparencia y Acceso a la Información Pública del Estado de México y Municipios</w:t>
      </w:r>
      <w:r>
        <w:rPr>
          <w:rFonts w:ascii="Palatino Linotype" w:eastAsia="Palatino Linotype" w:hAnsi="Palatino Linotype" w:cs="Palatino Linotype"/>
          <w:color w:val="000000"/>
          <w:vertAlign w:val="superscript"/>
        </w:rPr>
        <w:footnoteReference w:id="6"/>
      </w:r>
      <w:r>
        <w:rPr>
          <w:rFonts w:ascii="Palatino Linotype" w:eastAsia="Palatino Linotype" w:hAnsi="Palatino Linotype" w:cs="Palatino Linotype"/>
          <w:color w:val="000000"/>
        </w:rPr>
        <w:t>.</w:t>
      </w:r>
    </w:p>
    <w:p w14:paraId="140B4CD1" w14:textId="77777777" w:rsidR="006D3F24" w:rsidRDefault="006D3F24">
      <w:pPr>
        <w:ind w:right="-981"/>
        <w:rPr>
          <w:rFonts w:ascii="Palatino Linotype" w:eastAsia="Palatino Linotype" w:hAnsi="Palatino Linotype" w:cs="Palatino Linotype"/>
          <w:color w:val="000000"/>
        </w:rPr>
      </w:pPr>
    </w:p>
    <w:p w14:paraId="108EBCE7" w14:textId="77777777" w:rsidR="006D3F24" w:rsidRDefault="005C2B11">
      <w:pPr>
        <w:numPr>
          <w:ilvl w:val="0"/>
          <w:numId w:val="2"/>
        </w:numPr>
        <w:pBdr>
          <w:top w:val="nil"/>
          <w:left w:val="nil"/>
          <w:bottom w:val="nil"/>
          <w:right w:val="nil"/>
          <w:between w:val="nil"/>
        </w:pBdr>
        <w:tabs>
          <w:tab w:val="left" w:pos="426"/>
          <w:tab w:val="left" w:pos="567"/>
        </w:tabs>
        <w:spacing w:line="360" w:lineRule="auto"/>
        <w:ind w:left="0" w:right="-981" w:firstLine="0"/>
        <w:jc w:val="both"/>
      </w:pPr>
      <w:r>
        <w:rPr>
          <w:rFonts w:ascii="Palatino Linotype" w:eastAsia="Palatino Linotype" w:hAnsi="Palatino Linotype" w:cs="Palatino Linotype"/>
          <w:color w:val="000000"/>
        </w:rPr>
        <w:lastRenderedPageBreak/>
        <w:t>De conformidad con lo dispuesto en la Ley de Transparencia y Acceso a la Información Pública del Estado de México y Municipios, las Unidades de Transparencia tendrán, entre sus atribuciones, las siguientes:</w:t>
      </w:r>
    </w:p>
    <w:p w14:paraId="4EF1AEA0" w14:textId="77777777" w:rsidR="006D3F24" w:rsidRDefault="005C2B11">
      <w:pPr>
        <w:numPr>
          <w:ilvl w:val="1"/>
          <w:numId w:val="8"/>
        </w:numPr>
        <w:pBdr>
          <w:top w:val="nil"/>
          <w:left w:val="nil"/>
          <w:bottom w:val="nil"/>
          <w:right w:val="nil"/>
          <w:between w:val="nil"/>
        </w:pBdr>
        <w:ind w:left="567" w:right="-98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Recibir, tramitar y dar respuesta a las solicitudes de acceso a la información;</w:t>
      </w:r>
    </w:p>
    <w:p w14:paraId="28C51F9F" w14:textId="77777777" w:rsidR="006D3F24" w:rsidRDefault="005C2B11">
      <w:pPr>
        <w:numPr>
          <w:ilvl w:val="1"/>
          <w:numId w:val="8"/>
        </w:numPr>
        <w:pBdr>
          <w:top w:val="nil"/>
          <w:left w:val="nil"/>
          <w:bottom w:val="nil"/>
          <w:right w:val="nil"/>
          <w:between w:val="nil"/>
        </w:pBdr>
        <w:ind w:left="567" w:right="-98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2D5AD507" w14:textId="77777777" w:rsidR="006D3F24" w:rsidRDefault="005C2B11">
      <w:pPr>
        <w:numPr>
          <w:ilvl w:val="1"/>
          <w:numId w:val="8"/>
        </w:numPr>
        <w:pBdr>
          <w:top w:val="nil"/>
          <w:left w:val="nil"/>
          <w:bottom w:val="nil"/>
          <w:right w:val="nil"/>
          <w:between w:val="nil"/>
        </w:pBdr>
        <w:ind w:left="567" w:right="-98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Entregar, en su caso, a los particulares la información solicitada; y </w:t>
      </w:r>
    </w:p>
    <w:p w14:paraId="10AB4536" w14:textId="77777777" w:rsidR="006D3F24" w:rsidRDefault="005C2B11">
      <w:pPr>
        <w:numPr>
          <w:ilvl w:val="1"/>
          <w:numId w:val="8"/>
        </w:numPr>
        <w:pBdr>
          <w:top w:val="nil"/>
          <w:left w:val="nil"/>
          <w:bottom w:val="nil"/>
          <w:right w:val="nil"/>
          <w:between w:val="nil"/>
        </w:pBdr>
        <w:spacing w:after="240"/>
        <w:ind w:left="567" w:right="-98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Efectuar las notificaciones a los solicitantes.</w:t>
      </w:r>
    </w:p>
    <w:p w14:paraId="158AF007" w14:textId="77777777" w:rsidR="006D3F24" w:rsidRDefault="006D3F24">
      <w:pPr>
        <w:spacing w:before="240" w:after="240"/>
        <w:ind w:right="-981"/>
        <w:jc w:val="both"/>
        <w:rPr>
          <w:rFonts w:ascii="Palatino Linotype" w:eastAsia="Palatino Linotype" w:hAnsi="Palatino Linotype" w:cs="Palatino Linotype"/>
          <w:color w:val="000000"/>
        </w:rPr>
      </w:pPr>
    </w:p>
    <w:p w14:paraId="0E26F3FE" w14:textId="77777777" w:rsidR="006D3F24" w:rsidRDefault="005C2B11">
      <w:pPr>
        <w:numPr>
          <w:ilvl w:val="0"/>
          <w:numId w:val="2"/>
        </w:numPr>
        <w:pBdr>
          <w:top w:val="nil"/>
          <w:left w:val="nil"/>
          <w:bottom w:val="nil"/>
          <w:right w:val="nil"/>
          <w:between w:val="nil"/>
        </w:pBdr>
        <w:tabs>
          <w:tab w:val="left" w:pos="426"/>
          <w:tab w:val="left" w:pos="567"/>
        </w:tabs>
        <w:spacing w:line="360" w:lineRule="auto"/>
        <w:ind w:left="0" w:right="-981" w:firstLine="0"/>
        <w:jc w:val="both"/>
      </w:pPr>
      <w:r>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a propuesta del responsable de la Unidad de Transparencia</w:t>
      </w:r>
      <w:r>
        <w:rPr>
          <w:rFonts w:ascii="Palatino Linotype" w:eastAsia="Palatino Linotype" w:hAnsi="Palatino Linotype" w:cs="Palatino Linotype"/>
          <w:color w:val="000000"/>
          <w:vertAlign w:val="superscript"/>
        </w:rPr>
        <w:footnoteReference w:id="7"/>
      </w:r>
      <w:r>
        <w:rPr>
          <w:rFonts w:ascii="Palatino Linotype" w:eastAsia="Palatino Linotype" w:hAnsi="Palatino Linotype" w:cs="Palatino Linotype"/>
          <w:color w:val="000000"/>
        </w:rPr>
        <w:t xml:space="preserve"> y tendrán, entre sus atribuciones, las siguientes</w:t>
      </w:r>
      <w:r>
        <w:rPr>
          <w:rFonts w:ascii="Palatino Linotype" w:eastAsia="Palatino Linotype" w:hAnsi="Palatino Linotype" w:cs="Palatino Linotype"/>
          <w:color w:val="000000"/>
          <w:vertAlign w:val="superscript"/>
        </w:rPr>
        <w:footnoteReference w:id="8"/>
      </w:r>
      <w:r>
        <w:rPr>
          <w:rFonts w:ascii="Palatino Linotype" w:eastAsia="Palatino Linotype" w:hAnsi="Palatino Linotype" w:cs="Palatino Linotype"/>
          <w:color w:val="000000"/>
        </w:rPr>
        <w:t>:</w:t>
      </w:r>
    </w:p>
    <w:p w14:paraId="076B1AA3" w14:textId="77777777" w:rsidR="006D3F24" w:rsidRDefault="005C2B11">
      <w:pPr>
        <w:numPr>
          <w:ilvl w:val="1"/>
          <w:numId w:val="9"/>
        </w:numPr>
        <w:pBdr>
          <w:top w:val="nil"/>
          <w:left w:val="nil"/>
          <w:bottom w:val="nil"/>
          <w:right w:val="nil"/>
          <w:between w:val="nil"/>
        </w:pBdr>
        <w:spacing w:before="240"/>
        <w:ind w:left="709" w:right="-981"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Localizar la información que le solicite la Unidad de Transparencia; y</w:t>
      </w:r>
    </w:p>
    <w:p w14:paraId="32E99E02" w14:textId="77777777" w:rsidR="006D3F24" w:rsidRDefault="005C2B11">
      <w:pPr>
        <w:numPr>
          <w:ilvl w:val="1"/>
          <w:numId w:val="9"/>
        </w:numPr>
        <w:pBdr>
          <w:top w:val="nil"/>
          <w:left w:val="nil"/>
          <w:bottom w:val="nil"/>
          <w:right w:val="nil"/>
          <w:between w:val="nil"/>
        </w:pBdr>
        <w:spacing w:after="240"/>
        <w:ind w:left="709" w:right="-981"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Proporcionar la información que obre en los archivos y que le sea solicitada por la Unidad de Transparencia.</w:t>
      </w:r>
    </w:p>
    <w:p w14:paraId="475F6E72" w14:textId="77777777" w:rsidR="006D3F24" w:rsidRDefault="006D3F24">
      <w:pPr>
        <w:tabs>
          <w:tab w:val="left" w:pos="426"/>
          <w:tab w:val="left" w:pos="567"/>
        </w:tabs>
        <w:ind w:right="-981"/>
        <w:jc w:val="both"/>
        <w:rPr>
          <w:rFonts w:ascii="Palatino Linotype" w:eastAsia="Palatino Linotype" w:hAnsi="Palatino Linotype" w:cs="Palatino Linotype"/>
          <w:color w:val="000000"/>
        </w:rPr>
      </w:pPr>
    </w:p>
    <w:p w14:paraId="331CDC56" w14:textId="77777777" w:rsidR="006D3F24" w:rsidRDefault="005C2B11">
      <w:pPr>
        <w:numPr>
          <w:ilvl w:val="0"/>
          <w:numId w:val="2"/>
        </w:numPr>
        <w:pBdr>
          <w:top w:val="nil"/>
          <w:left w:val="nil"/>
          <w:bottom w:val="nil"/>
          <w:right w:val="nil"/>
          <w:between w:val="nil"/>
        </w:pBdr>
        <w:tabs>
          <w:tab w:val="left" w:pos="426"/>
          <w:tab w:val="left" w:pos="567"/>
        </w:tabs>
        <w:spacing w:line="360" w:lineRule="auto"/>
        <w:ind w:left="0" w:right="-981" w:firstLine="0"/>
        <w:jc w:val="both"/>
      </w:pPr>
      <w:r>
        <w:rPr>
          <w:rFonts w:ascii="Palatino Linotype" w:eastAsia="Palatino Linotype" w:hAnsi="Palatino Linotype" w:cs="Palatino Linotype"/>
          <w:color w:val="000000"/>
        </w:rPr>
        <w:t xml:space="preserve">De tal manera que cada una de las áreas administrativas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753DAFAC" w14:textId="77777777" w:rsidR="006D3F24" w:rsidRDefault="006D3F24">
      <w:pPr>
        <w:ind w:right="-981"/>
        <w:rPr>
          <w:rFonts w:ascii="Palatino Linotype" w:eastAsia="Palatino Linotype" w:hAnsi="Palatino Linotype" w:cs="Palatino Linotype"/>
          <w:color w:val="000000"/>
        </w:rPr>
      </w:pPr>
    </w:p>
    <w:p w14:paraId="5A8950EB" w14:textId="77777777" w:rsidR="006D3F24" w:rsidRDefault="005C2B11">
      <w:pPr>
        <w:numPr>
          <w:ilvl w:val="0"/>
          <w:numId w:val="2"/>
        </w:numPr>
        <w:pBdr>
          <w:top w:val="nil"/>
          <w:left w:val="nil"/>
          <w:bottom w:val="nil"/>
          <w:right w:val="nil"/>
          <w:between w:val="nil"/>
        </w:pBdr>
        <w:tabs>
          <w:tab w:val="left" w:pos="426"/>
          <w:tab w:val="left" w:pos="567"/>
        </w:tabs>
        <w:spacing w:line="360" w:lineRule="auto"/>
        <w:ind w:left="0" w:right="-981" w:firstLine="0"/>
        <w:jc w:val="both"/>
      </w:pPr>
      <w:r>
        <w:rPr>
          <w:rFonts w:ascii="Palatino Linotype" w:eastAsia="Palatino Linotype" w:hAnsi="Palatino Linotype" w:cs="Palatino Linotype"/>
          <w:color w:val="000000"/>
        </w:rPr>
        <w:lastRenderedPageBreak/>
        <w:t>Aunado a lo anterior, la Ley de Transparencia y Acceso a la Información Pública del Estado de México y Municipios, en su artículo 53, establece las funciones correspondientes a esta Unidad; mismas que se inserta a continuación:</w:t>
      </w:r>
    </w:p>
    <w:p w14:paraId="60F235E3"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53</w:t>
      </w:r>
      <w:r>
        <w:rPr>
          <w:rFonts w:ascii="Palatino Linotype" w:eastAsia="Palatino Linotype" w:hAnsi="Palatino Linotype" w:cs="Palatino Linotype"/>
          <w:i/>
          <w:iCs/>
          <w:color w:val="000000"/>
        </w:rPr>
        <w:t xml:space="preserve">. Las Unidades de Transparencia tendrán las siguientes funciones: </w:t>
      </w:r>
    </w:p>
    <w:p w14:paraId="470A4298" w14:textId="77777777" w:rsidR="006D3F24" w:rsidRDefault="006D3F24">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p>
    <w:p w14:paraId="6FA9A818"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5AA2899E"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 Recibir, tramitar y dar respuesta a las solicitudes de acceso a la información; </w:t>
      </w:r>
    </w:p>
    <w:p w14:paraId="288657A1"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14:paraId="44DC7E2D"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14:paraId="59E15126"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Entregar, en su caso, a los particulares la información solicitada; </w:t>
      </w:r>
    </w:p>
    <w:p w14:paraId="33F2FF9D"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Efectuar las notificaciones a los solicitantes; </w:t>
      </w:r>
    </w:p>
    <w:p w14:paraId="0C44F797"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14:paraId="4CDB0F41"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14:paraId="0AE521AF"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1349EDB9"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 Presentar ante el Comité, el proyecto de clasificación de información; </w:t>
      </w:r>
    </w:p>
    <w:p w14:paraId="1631A00F"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Promover e implementar políticas de transparencia proactiva procurando su accesibilidad; </w:t>
      </w:r>
    </w:p>
    <w:p w14:paraId="08D62EBA"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 Fomentar la transparencia y accesibilidad al interior del sujeto obligado; </w:t>
      </w:r>
    </w:p>
    <w:p w14:paraId="1BCB4FCB"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14:paraId="61C0D764" w14:textId="77777777" w:rsidR="006D3F24" w:rsidRDefault="005C2B11">
      <w:pPr>
        <w:pBdr>
          <w:top w:val="nil"/>
          <w:left w:val="nil"/>
          <w:bottom w:val="nil"/>
          <w:right w:val="nil"/>
          <w:between w:val="nil"/>
        </w:pBdr>
        <w:tabs>
          <w:tab w:val="left" w:pos="426"/>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14:paraId="3E13FD75" w14:textId="77777777" w:rsidR="006D3F24" w:rsidRDefault="005C2B11">
      <w:pPr>
        <w:pBdr>
          <w:top w:val="nil"/>
          <w:left w:val="nil"/>
          <w:bottom w:val="nil"/>
          <w:right w:val="nil"/>
          <w:between w:val="nil"/>
        </w:pBdr>
        <w:tabs>
          <w:tab w:val="left" w:pos="426"/>
        </w:tabs>
        <w:spacing w:after="24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w:t>
      </w:r>
      <w:r>
        <w:rPr>
          <w:rFonts w:ascii="Palatino Linotype" w:eastAsia="Palatino Linotype" w:hAnsi="Palatino Linotype" w:cs="Palatino Linotype"/>
          <w:i/>
          <w:iCs/>
          <w:color w:val="000000"/>
        </w:rPr>
        <w:lastRenderedPageBreak/>
        <w:t xml:space="preserve">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1FEF3B16" w14:textId="77777777" w:rsidR="006D3F24" w:rsidRDefault="005C2B11">
      <w:pPr>
        <w:numPr>
          <w:ilvl w:val="0"/>
          <w:numId w:val="2"/>
        </w:numPr>
        <w:pBdr>
          <w:top w:val="nil"/>
          <w:left w:val="nil"/>
          <w:bottom w:val="nil"/>
          <w:right w:val="nil"/>
          <w:between w:val="nil"/>
        </w:pBdr>
        <w:tabs>
          <w:tab w:val="left" w:pos="426"/>
          <w:tab w:val="left" w:pos="567"/>
        </w:tabs>
        <w:spacing w:line="360" w:lineRule="auto"/>
        <w:ind w:left="0" w:right="-981" w:firstLine="0"/>
        <w:jc w:val="both"/>
      </w:pPr>
      <w:r>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14:paraId="37BA7CB5" w14:textId="77777777" w:rsidR="006D3F24" w:rsidRDefault="006D3F24">
      <w:pPr>
        <w:pBdr>
          <w:top w:val="nil"/>
          <w:left w:val="nil"/>
          <w:bottom w:val="nil"/>
          <w:right w:val="nil"/>
          <w:between w:val="nil"/>
        </w:pBdr>
        <w:tabs>
          <w:tab w:val="left" w:pos="426"/>
          <w:tab w:val="left" w:pos="567"/>
        </w:tabs>
        <w:spacing w:line="360" w:lineRule="auto"/>
        <w:ind w:right="-981"/>
        <w:jc w:val="both"/>
        <w:rPr>
          <w:rFonts w:ascii="Palatino Linotype" w:eastAsia="Palatino Linotype" w:hAnsi="Palatino Linotype" w:cs="Palatino Linotype"/>
        </w:rPr>
      </w:pPr>
    </w:p>
    <w:p w14:paraId="084EEAB3" w14:textId="77777777" w:rsidR="006D3F24" w:rsidRDefault="005C2B11">
      <w:pPr>
        <w:numPr>
          <w:ilvl w:val="0"/>
          <w:numId w:val="2"/>
        </w:numPr>
        <w:pBdr>
          <w:top w:val="nil"/>
          <w:left w:val="nil"/>
          <w:bottom w:val="nil"/>
          <w:right w:val="nil"/>
          <w:between w:val="nil"/>
        </w:pBdr>
        <w:tabs>
          <w:tab w:val="left" w:pos="426"/>
          <w:tab w:val="left" w:pos="567"/>
        </w:tabs>
        <w:spacing w:line="360" w:lineRule="auto"/>
        <w:ind w:left="0" w:right="-981" w:firstLine="0"/>
        <w:jc w:val="both"/>
      </w:pPr>
      <w:r>
        <w:rPr>
          <w:rFonts w:ascii="Palatino Linotype" w:eastAsia="Palatino Linotype" w:hAnsi="Palatino Linotype" w:cs="Palatino Linotype"/>
        </w:rPr>
        <w:t xml:space="preserve">En seguimiento y toda vez que el particular requiere diversa información se procede al análisis del documento que de manera enunciativa, más no limitativa podría colmar la pretensión del </w:t>
      </w:r>
      <w:r>
        <w:rPr>
          <w:rFonts w:ascii="Palatino Linotype" w:eastAsia="Palatino Linotype" w:hAnsi="Palatino Linotype" w:cs="Palatino Linotype"/>
          <w:b/>
          <w:bCs/>
        </w:rPr>
        <w:t>RECURRENTE.</w:t>
      </w:r>
    </w:p>
    <w:p w14:paraId="568E7851" w14:textId="77777777" w:rsidR="006D3F24" w:rsidRDefault="006D3F24">
      <w:pPr>
        <w:pBdr>
          <w:top w:val="nil"/>
          <w:left w:val="nil"/>
          <w:bottom w:val="nil"/>
          <w:right w:val="nil"/>
          <w:between w:val="nil"/>
        </w:pBdr>
        <w:tabs>
          <w:tab w:val="left" w:pos="426"/>
          <w:tab w:val="left" w:pos="567"/>
        </w:tabs>
        <w:spacing w:line="360" w:lineRule="auto"/>
        <w:ind w:right="-981"/>
        <w:jc w:val="both"/>
        <w:rPr>
          <w:rFonts w:ascii="Palatino Linotype" w:eastAsia="Palatino Linotype" w:hAnsi="Palatino Linotype" w:cs="Palatino Linotype"/>
        </w:rPr>
      </w:pPr>
    </w:p>
    <w:p w14:paraId="32AAAA78" w14:textId="77777777" w:rsidR="006D3F24" w:rsidRDefault="005C2B11">
      <w:pPr>
        <w:numPr>
          <w:ilvl w:val="0"/>
          <w:numId w:val="6"/>
        </w:numPr>
        <w:pBdr>
          <w:top w:val="nil"/>
          <w:left w:val="nil"/>
          <w:bottom w:val="nil"/>
          <w:right w:val="nil"/>
          <w:between w:val="nil"/>
        </w:pBdr>
        <w:spacing w:line="360" w:lineRule="auto"/>
        <w:ind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Recibos de Nómina (Punto 1 del cuadro comparativo)</w:t>
      </w:r>
    </w:p>
    <w:p w14:paraId="585A9EC6"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En ese sentido, sobre la nómina nos lleva a precisar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14:paraId="278A0253" w14:textId="77777777" w:rsidR="006D3F24" w:rsidRDefault="005C2B11">
      <w:pPr>
        <w:pBdr>
          <w:top w:val="nil"/>
          <w:left w:val="nil"/>
          <w:bottom w:val="nil"/>
          <w:right w:val="nil"/>
          <w:between w:val="nil"/>
        </w:pBdr>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“NÓMINA </w:t>
      </w:r>
      <w:r>
        <w:rPr>
          <w:rFonts w:ascii="Palatino Linotype" w:eastAsia="Palatino Linotype" w:hAnsi="Palatino Linotype" w:cs="Palatino Linotype"/>
          <w:i/>
          <w:iCs/>
          <w:color w:val="000000"/>
        </w:rPr>
        <w:t>Listado general de los trabajadores de una institución, en</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i/>
          <w:iCs/>
          <w:color w:val="000000"/>
        </w:rPr>
        <w:t>el cual se asientan las percepciones brutas, deducciones y</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i/>
          <w:iCs/>
          <w:color w:val="000000"/>
        </w:rPr>
        <w:t>alcance neto de las mismas; la nómina es utilizada para</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i/>
          <w:iCs/>
          <w:color w:val="000000"/>
        </w:rPr>
        <w:t>efectuar los pagos periódicos (semanales, quincenales o</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i/>
          <w:iCs/>
          <w:color w:val="000000"/>
        </w:rPr>
        <w:t>mensuales) a los trabajadores por concepto de sueldos y</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i/>
          <w:iCs/>
          <w:color w:val="000000"/>
        </w:rPr>
        <w:t>salarios.”(Sic)</w:t>
      </w:r>
    </w:p>
    <w:p w14:paraId="7487EF4F" w14:textId="77777777" w:rsidR="006D3F24" w:rsidRDefault="006D3F24">
      <w:pPr>
        <w:spacing w:line="360" w:lineRule="auto"/>
        <w:ind w:left="851" w:right="-981"/>
        <w:jc w:val="both"/>
        <w:rPr>
          <w:rFonts w:ascii="Palatino Linotype" w:eastAsia="Palatino Linotype" w:hAnsi="Palatino Linotype" w:cs="Palatino Linotype"/>
        </w:rPr>
      </w:pPr>
    </w:p>
    <w:p w14:paraId="1DF49CA4"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lastRenderedPageBreak/>
        <w:t xml:space="preserve">En base a lo anterior, conviene a traer lo establecido por el artículo 804, fracción II, de la Ley Federal de Trabajo, el cual a la letra establece: </w:t>
      </w:r>
    </w:p>
    <w:p w14:paraId="4C2A0BA1" w14:textId="77777777" w:rsidR="006D3F24" w:rsidRDefault="005C2B11">
      <w:pPr>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804.-</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El patrón tiene obligación de conservar y exhibir en juicio los documentos que a continuación se precisan</w:t>
      </w:r>
      <w:r>
        <w:rPr>
          <w:rFonts w:ascii="Palatino Linotype" w:eastAsia="Palatino Linotype" w:hAnsi="Palatino Linotype" w:cs="Palatino Linotype"/>
          <w:i/>
          <w:iCs/>
        </w:rPr>
        <w:t>:</w:t>
      </w:r>
    </w:p>
    <w:p w14:paraId="040D0758" w14:textId="77777777" w:rsidR="006D3F24" w:rsidRDefault="006D3F24">
      <w:pPr>
        <w:ind w:left="567" w:right="-981"/>
        <w:jc w:val="both"/>
        <w:rPr>
          <w:rFonts w:ascii="Palatino Linotype" w:eastAsia="Palatino Linotype" w:hAnsi="Palatino Linotype" w:cs="Palatino Linotype"/>
          <w:i/>
          <w:iCs/>
        </w:rPr>
      </w:pPr>
    </w:p>
    <w:p w14:paraId="02DF6502" w14:textId="77777777" w:rsidR="006D3F24" w:rsidRDefault="005C2B11">
      <w:pPr>
        <w:ind w:left="567" w:right="-98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Listas de raya o nómina de personal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cuando se lleven en el centro de trabajo; o recibos de pagos de salarios; </w:t>
      </w:r>
    </w:p>
    <w:p w14:paraId="4F32AD61" w14:textId="77777777" w:rsidR="006D3F24" w:rsidRDefault="005C2B11">
      <w:pPr>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66325029" w14:textId="77777777" w:rsidR="006D3F24" w:rsidRDefault="005C2B11">
      <w:pPr>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documentos señalados en la fracción I deberán conservarse mientras dure la relación laboral y hasta un año después; </w:t>
      </w:r>
      <w:r>
        <w:rPr>
          <w:rFonts w:ascii="Palatino Linotype" w:eastAsia="Palatino Linotype" w:hAnsi="Palatino Linotype" w:cs="Palatino Linotype"/>
          <w:b/>
          <w:bCs/>
          <w:i/>
          <w:iCs/>
        </w:rPr>
        <w:t>los señalados en las fracciones II, III y IV, durante el último año y un año después de que se extinga la relación laboral</w:t>
      </w:r>
      <w:r>
        <w:rPr>
          <w:rFonts w:ascii="Palatino Linotype" w:eastAsia="Palatino Linotype" w:hAnsi="Palatino Linotype" w:cs="Palatino Linotype"/>
          <w:i/>
          <w:iCs/>
        </w:rPr>
        <w:t>; y los mencionados en la fracción V, conforme lo señalen las Leyes que los rijan.” (Sic)</w:t>
      </w:r>
    </w:p>
    <w:p w14:paraId="333A1148" w14:textId="77777777" w:rsidR="006D3F24" w:rsidRDefault="006D3F24">
      <w:pPr>
        <w:spacing w:line="360" w:lineRule="auto"/>
        <w:ind w:left="851" w:right="-981"/>
        <w:jc w:val="both"/>
        <w:rPr>
          <w:rFonts w:ascii="Palatino Linotype" w:eastAsia="Palatino Linotype" w:hAnsi="Palatino Linotype" w:cs="Palatino Linotype"/>
        </w:rPr>
      </w:pPr>
    </w:p>
    <w:p w14:paraId="55B5CF92"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14:paraId="3AE8FAC4"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16E90C2B"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En ese contexto, tratándose de servidores públicos de los Municipios la Ley del Trabajo de los Servidores Públicos del Estado y Municipios, en su artículo 220-K, establece lo siguiente:</w:t>
      </w:r>
    </w:p>
    <w:p w14:paraId="058494BB" w14:textId="77777777" w:rsidR="006D3F24" w:rsidRDefault="005C2B11">
      <w:pPr>
        <w:tabs>
          <w:tab w:val="left" w:pos="9072"/>
        </w:tabs>
        <w:spacing w:before="240"/>
        <w:ind w:left="851"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220 K.-</w:t>
      </w:r>
      <w:r>
        <w:rPr>
          <w:rFonts w:ascii="Palatino Linotype" w:eastAsia="Palatino Linotype" w:hAnsi="Palatino Linotype" w:cs="Palatino Linotype"/>
          <w:i/>
          <w:iCs/>
        </w:rPr>
        <w:t xml:space="preserve"> La </w:t>
      </w:r>
      <w:r>
        <w:rPr>
          <w:rFonts w:ascii="Palatino Linotype" w:eastAsia="Palatino Linotype" w:hAnsi="Palatino Linotype" w:cs="Palatino Linotype"/>
          <w:b/>
          <w:bCs/>
          <w:i/>
          <w:iCs/>
        </w:rPr>
        <w:t>institución o dependencia pública tiene la obligación de conservar y exhibir en el proceso los documentos que a continuación</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 precisan</w:t>
      </w:r>
      <w:r>
        <w:rPr>
          <w:rFonts w:ascii="Palatino Linotype" w:eastAsia="Palatino Linotype" w:hAnsi="Palatino Linotype" w:cs="Palatino Linotype"/>
          <w:i/>
          <w:iCs/>
        </w:rPr>
        <w:t>:</w:t>
      </w:r>
    </w:p>
    <w:p w14:paraId="4A4A8BDF" w14:textId="77777777" w:rsidR="006D3F24" w:rsidRDefault="005C2B11">
      <w:pPr>
        <w:tabs>
          <w:tab w:val="left" w:pos="9072"/>
        </w:tabs>
        <w:ind w:left="851"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28E4BDDC" w14:textId="77777777" w:rsidR="006D3F24" w:rsidRDefault="005C2B11">
      <w:pPr>
        <w:tabs>
          <w:tab w:val="left" w:pos="9072"/>
        </w:tabs>
        <w:ind w:left="851" w:right="-981"/>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II. </w:t>
      </w:r>
      <w:r>
        <w:rPr>
          <w:rFonts w:ascii="Palatino Linotype" w:eastAsia="Palatino Linotype" w:hAnsi="Palatino Linotype" w:cs="Palatino Linotype"/>
          <w:b/>
          <w:bCs/>
          <w:i/>
          <w:iCs/>
        </w:rPr>
        <w:t>Recibos de pagos de salarios o</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las constancias documentales del pago de salario</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cuando </w:t>
      </w:r>
      <w:r>
        <w:rPr>
          <w:rFonts w:ascii="Palatino Linotype" w:eastAsia="Palatino Linotype" w:hAnsi="Palatino Linotype" w:cs="Palatino Linotype"/>
          <w:b/>
          <w:bCs/>
          <w:i/>
          <w:iCs/>
          <w:u w:val="single"/>
        </w:rPr>
        <w:t>sea por depósito o mediante información electrónica</w:t>
      </w:r>
      <w:r>
        <w:rPr>
          <w:rFonts w:ascii="Palatino Linotype" w:eastAsia="Palatino Linotype" w:hAnsi="Palatino Linotype" w:cs="Palatino Linotype"/>
          <w:b/>
          <w:bCs/>
          <w:i/>
          <w:iCs/>
        </w:rPr>
        <w:t>;</w:t>
      </w:r>
    </w:p>
    <w:p w14:paraId="6A545E36" w14:textId="77777777" w:rsidR="006D3F24" w:rsidRDefault="005C2B11">
      <w:pPr>
        <w:tabs>
          <w:tab w:val="left" w:pos="9072"/>
        </w:tabs>
        <w:ind w:left="851"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41AF2DC9" w14:textId="77777777" w:rsidR="006D3F24" w:rsidRDefault="005C2B11">
      <w:pPr>
        <w:tabs>
          <w:tab w:val="left" w:pos="9072"/>
        </w:tabs>
        <w:ind w:left="851" w:right="-981"/>
        <w:jc w:val="both"/>
        <w:rPr>
          <w:rFonts w:ascii="Palatino Linotype" w:eastAsia="Palatino Linotype" w:hAnsi="Palatino Linotype" w:cs="Palatino Linotype"/>
          <w:i/>
          <w:iCs/>
        </w:rPr>
      </w:pPr>
      <w:r>
        <w:rPr>
          <w:rFonts w:ascii="Palatino Linotype" w:eastAsia="Palatino Linotype" w:hAnsi="Palatino Linotype" w:cs="Palatino Linotype"/>
          <w:i/>
          <w:iCs/>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787C4EA2" w14:textId="77777777" w:rsidR="006D3F24" w:rsidRDefault="005C2B11">
      <w:pPr>
        <w:tabs>
          <w:tab w:val="left" w:pos="9072"/>
        </w:tabs>
        <w:ind w:left="851" w:right="-98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14:paraId="53E19C27" w14:textId="77777777" w:rsidR="006D3F24" w:rsidRDefault="006D3F24">
      <w:pPr>
        <w:spacing w:line="360" w:lineRule="auto"/>
        <w:ind w:left="851" w:right="-981"/>
        <w:jc w:val="both"/>
        <w:rPr>
          <w:rFonts w:ascii="Palatino Linotype" w:eastAsia="Palatino Linotype" w:hAnsi="Palatino Linotype" w:cs="Palatino Linotype"/>
        </w:rPr>
      </w:pPr>
    </w:p>
    <w:p w14:paraId="11307563"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Luego entonces, tenemos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14:paraId="0B141C0D"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1D84E455" w14:textId="77777777" w:rsidR="006D3F24" w:rsidRPr="002002A1" w:rsidRDefault="005C2B11" w:rsidP="0082122D">
      <w:pPr>
        <w:numPr>
          <w:ilvl w:val="0"/>
          <w:numId w:val="6"/>
        </w:numPr>
        <w:pBdr>
          <w:top w:val="nil"/>
          <w:left w:val="nil"/>
          <w:bottom w:val="nil"/>
          <w:right w:val="nil"/>
          <w:between w:val="nil"/>
        </w:pBdr>
        <w:spacing w:line="360" w:lineRule="auto"/>
        <w:ind w:left="426" w:right="-981"/>
        <w:jc w:val="both"/>
        <w:rPr>
          <w:rFonts w:ascii="Palatino Linotype" w:eastAsia="Palatino Linotype" w:hAnsi="Palatino Linotype" w:cs="Palatino Linotype"/>
          <w:b/>
          <w:bCs/>
          <w:color w:val="000000"/>
        </w:rPr>
      </w:pPr>
      <w:r w:rsidRPr="002002A1">
        <w:rPr>
          <w:rFonts w:ascii="Palatino Linotype" w:eastAsia="Palatino Linotype" w:hAnsi="Palatino Linotype" w:cs="Palatino Linotype"/>
          <w:b/>
          <w:bCs/>
          <w:color w:val="000000"/>
        </w:rPr>
        <w:t>Curriculum y Expediente Laboral (Punto 2 del cuadro comparativo)</w:t>
      </w:r>
    </w:p>
    <w:p w14:paraId="23EA5776" w14:textId="77777777" w:rsidR="00AB716F" w:rsidRPr="002002A1" w:rsidRDefault="00AB716F" w:rsidP="0052231F">
      <w:pPr>
        <w:pStyle w:val="Prrafodelista"/>
        <w:numPr>
          <w:ilvl w:val="0"/>
          <w:numId w:val="2"/>
        </w:numPr>
        <w:tabs>
          <w:tab w:val="left" w:pos="142"/>
        </w:tabs>
        <w:spacing w:line="360" w:lineRule="auto"/>
        <w:ind w:left="0" w:right="-992" w:firstLine="0"/>
        <w:jc w:val="both"/>
        <w:rPr>
          <w:rFonts w:ascii="Palatino Linotype" w:eastAsia="Palatino Linotype" w:hAnsi="Palatino Linotype" w:cs="Palatino Linotype"/>
          <w:lang w:val="es-ES"/>
        </w:rPr>
      </w:pPr>
      <w:r w:rsidRPr="002002A1">
        <w:rPr>
          <w:rFonts w:ascii="Palatino Linotype" w:eastAsia="Palatino Linotype" w:hAnsi="Palatino Linotype" w:cs="Palatino Linotype"/>
          <w:lang w:val="es-ES"/>
        </w:rPr>
        <w:t xml:space="preserve">En este orden de ideas, resulta conveniente traer a colación lo establecido por el artículo 47 de la Ley del Trabajo de los Servidores Públicos del Estado y Municipios, mismo que se inserta a continuación para mejor proveer del presente estudio: </w:t>
      </w:r>
    </w:p>
    <w:p w14:paraId="164206A2"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w:t>
      </w:r>
      <w:r w:rsidRPr="002002A1">
        <w:rPr>
          <w:rFonts w:ascii="Palatino Linotype" w:eastAsia="Palatino Linotype" w:hAnsi="Palatino Linotype" w:cs="Palatino Linotype"/>
          <w:b/>
          <w:i/>
          <w:sz w:val="22"/>
          <w:lang w:val="es-ES"/>
        </w:rPr>
        <w:t>ARTÍCULO 47. Para ingresar al servicio público se requiere:</w:t>
      </w:r>
    </w:p>
    <w:p w14:paraId="7E0541A6"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I. Presentar una solicitud utilizando la forma oficial que se autorice por la institución pública o dependencia correspondiente;</w:t>
      </w:r>
    </w:p>
    <w:p w14:paraId="2AB4847A"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II. Ser de nacionalidad mexicana, con la excepción prevista en el artículo 17 de la presente ley;</w:t>
      </w:r>
    </w:p>
    <w:p w14:paraId="6A4B09DE"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III. Estar en pleno ejercicio de sus derechos civiles y políticos, en su caso;</w:t>
      </w:r>
    </w:p>
    <w:p w14:paraId="5BC689C6"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IV. Acreditar, cuando proceda, el cumplimiento de la Ley del Servicio Militar Nacional;</w:t>
      </w:r>
    </w:p>
    <w:p w14:paraId="6AA061FF"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V. Derogada.</w:t>
      </w:r>
    </w:p>
    <w:p w14:paraId="25DC5126"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VI. No haber sido separado anteriormente del servicio por las causas previstas en el artículo 93 de la presente ley;</w:t>
      </w:r>
    </w:p>
    <w:p w14:paraId="1021ECA9"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VII. Tener buena salud, lo que se comprobará con los certificados médicos correspondientes, en la forma en que se establezca en cada institución pública;</w:t>
      </w:r>
    </w:p>
    <w:p w14:paraId="0080B84F"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VIII. Cumplir con los requisitos que se establezcan para los diferentes puestos;</w:t>
      </w:r>
    </w:p>
    <w:p w14:paraId="652B68EB"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lastRenderedPageBreak/>
        <w:t>IX. Acreditar por medio de los exámenes correspondientes los conocimientos y aptitudes necesarios para el desempeño del puesto; y</w:t>
      </w:r>
    </w:p>
    <w:p w14:paraId="4D64DE61"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X. No estar inhabilitado para el ejercicio del servicio público.</w:t>
      </w:r>
    </w:p>
    <w:p w14:paraId="31B420D5"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XI. Presentar certificado expedido por la Unidad del Registro de Deudores Alimentarios Morosos en el que conste, si se encuentra inscrito o no en el mismo.</w:t>
      </w:r>
    </w:p>
    <w:p w14:paraId="665C4CF0"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14:paraId="7E0090EA" w14:textId="77777777" w:rsidR="00AB716F" w:rsidRPr="002002A1" w:rsidRDefault="00AB716F" w:rsidP="00AB716F">
      <w:pPr>
        <w:tabs>
          <w:tab w:val="left" w:pos="709"/>
        </w:tabs>
        <w:spacing w:line="360" w:lineRule="auto"/>
        <w:jc w:val="both"/>
        <w:rPr>
          <w:rFonts w:ascii="Palatino Linotype" w:eastAsia="Calibri" w:hAnsi="Palatino Linotype" w:cs="Arial"/>
          <w:lang w:eastAsia="en-US"/>
        </w:rPr>
      </w:pPr>
    </w:p>
    <w:p w14:paraId="76C45944" w14:textId="77777777" w:rsidR="00AB716F" w:rsidRPr="002002A1" w:rsidRDefault="00AB716F" w:rsidP="0052231F">
      <w:pPr>
        <w:pStyle w:val="Prrafodelista"/>
        <w:numPr>
          <w:ilvl w:val="0"/>
          <w:numId w:val="2"/>
        </w:numPr>
        <w:tabs>
          <w:tab w:val="left" w:pos="142"/>
          <w:tab w:val="left" w:pos="709"/>
        </w:tabs>
        <w:spacing w:line="360" w:lineRule="auto"/>
        <w:ind w:left="0" w:right="-992" w:firstLine="0"/>
        <w:jc w:val="both"/>
        <w:rPr>
          <w:rFonts w:ascii="Palatino Linotype" w:eastAsia="Calibri" w:hAnsi="Palatino Linotype" w:cs="Arial"/>
          <w:lang w:eastAsia="en-US"/>
        </w:rPr>
      </w:pPr>
      <w:r w:rsidRPr="002002A1">
        <w:rPr>
          <w:rFonts w:ascii="Palatino Linotype" w:eastAsia="Calibri" w:hAnsi="Palatino Linotype" w:cs="Arial"/>
          <w:lang w:eastAsia="en-US"/>
        </w:rPr>
        <w:t xml:space="preserve">Ahora bien, tocante a los </w:t>
      </w:r>
      <w:r w:rsidRPr="002002A1">
        <w:rPr>
          <w:rFonts w:ascii="Palatino Linotype" w:eastAsia="Calibri" w:hAnsi="Palatino Linotype" w:cs="Arial"/>
          <w:b/>
          <w:u w:val="single"/>
          <w:lang w:eastAsia="en-US"/>
        </w:rPr>
        <w:t>documentos probatorios</w:t>
      </w:r>
      <w:r w:rsidRPr="002002A1">
        <w:rPr>
          <w:rFonts w:ascii="Palatino Linotype" w:eastAsia="Calibri" w:hAnsi="Palatino Linotype" w:cs="Arial"/>
          <w:lang w:eastAsia="en-US"/>
        </w:rPr>
        <w:t xml:space="preserve"> solicitados, se procede a señalar los requisitos generales contenidos en los articulados 47, 48 y 49, de la Ley del Trabado de los Servidores Públicos del Estado de México y Municipios, así como el documento idóneo con el que se pudiera acreditar, son los siguientes:</w:t>
      </w:r>
    </w:p>
    <w:p w14:paraId="65A17412" w14:textId="77777777" w:rsidR="00AB716F" w:rsidRPr="002002A1" w:rsidRDefault="00AB716F" w:rsidP="00AB716F">
      <w:pPr>
        <w:rPr>
          <w:lang w:eastAsia="es-ES"/>
        </w:rPr>
      </w:pPr>
    </w:p>
    <w:tbl>
      <w:tblPr>
        <w:tblStyle w:val="Tablaconcuadrcula2"/>
        <w:tblW w:w="8784" w:type="dxa"/>
        <w:tblLook w:val="04A0" w:firstRow="1" w:lastRow="0" w:firstColumn="1" w:lastColumn="0" w:noHBand="0" w:noVBand="1"/>
      </w:tblPr>
      <w:tblGrid>
        <w:gridCol w:w="3767"/>
        <w:gridCol w:w="2607"/>
        <w:gridCol w:w="2410"/>
      </w:tblGrid>
      <w:tr w:rsidR="00AB716F" w:rsidRPr="002002A1" w14:paraId="60D70F7C" w14:textId="77777777" w:rsidTr="00AB716F">
        <w:trPr>
          <w:tblHeader/>
        </w:trPr>
        <w:tc>
          <w:tcPr>
            <w:tcW w:w="3767" w:type="dxa"/>
            <w:shd w:val="clear" w:color="auto" w:fill="DDD9C3"/>
            <w:vAlign w:val="center"/>
          </w:tcPr>
          <w:p w14:paraId="7DEEC5CE" w14:textId="77777777" w:rsidR="00AB716F" w:rsidRPr="002002A1" w:rsidRDefault="00AB716F" w:rsidP="00AB716F">
            <w:pPr>
              <w:tabs>
                <w:tab w:val="left" w:pos="284"/>
                <w:tab w:val="left" w:pos="426"/>
              </w:tabs>
              <w:ind w:right="49"/>
              <w:jc w:val="center"/>
              <w:rPr>
                <w:rFonts w:ascii="Palatino Linotype" w:hAnsi="Palatino Linotype" w:cs="Arial"/>
                <w:b/>
                <w:sz w:val="20"/>
                <w:lang w:val="es-ES" w:eastAsia="es-ES"/>
              </w:rPr>
            </w:pPr>
            <w:r w:rsidRPr="002002A1">
              <w:rPr>
                <w:rFonts w:ascii="Palatino Linotype" w:hAnsi="Palatino Linotype" w:cs="Arial"/>
                <w:b/>
                <w:sz w:val="20"/>
                <w:lang w:val="es-ES" w:eastAsia="es-ES"/>
              </w:rPr>
              <w:t>Requisito establecido en la Ley del Trabajo de los Servidores Públicos del Estado y Municipios</w:t>
            </w:r>
          </w:p>
        </w:tc>
        <w:tc>
          <w:tcPr>
            <w:tcW w:w="2607" w:type="dxa"/>
            <w:shd w:val="clear" w:color="auto" w:fill="DDD9C3"/>
            <w:vAlign w:val="center"/>
          </w:tcPr>
          <w:p w14:paraId="4C2765EC" w14:textId="77777777" w:rsidR="00AB716F" w:rsidRPr="002002A1" w:rsidRDefault="00AB716F" w:rsidP="00AB716F">
            <w:pPr>
              <w:tabs>
                <w:tab w:val="left" w:pos="284"/>
                <w:tab w:val="left" w:pos="426"/>
              </w:tabs>
              <w:ind w:right="49"/>
              <w:jc w:val="center"/>
              <w:rPr>
                <w:rFonts w:ascii="Palatino Linotype" w:hAnsi="Palatino Linotype" w:cs="Arial"/>
                <w:b/>
                <w:sz w:val="20"/>
                <w:lang w:val="es-ES" w:eastAsia="es-ES"/>
              </w:rPr>
            </w:pPr>
            <w:r w:rsidRPr="002002A1">
              <w:rPr>
                <w:rFonts w:ascii="Palatino Linotype" w:hAnsi="Palatino Linotype" w:cs="Arial"/>
                <w:b/>
                <w:sz w:val="20"/>
                <w:lang w:val="es-ES" w:eastAsia="es-ES"/>
              </w:rPr>
              <w:t>Documento que lo acredita</w:t>
            </w:r>
          </w:p>
        </w:tc>
        <w:tc>
          <w:tcPr>
            <w:tcW w:w="2410" w:type="dxa"/>
            <w:shd w:val="clear" w:color="auto" w:fill="DDD9C3"/>
            <w:vAlign w:val="center"/>
          </w:tcPr>
          <w:p w14:paraId="1E7DF2C4" w14:textId="77777777" w:rsidR="00AB716F" w:rsidRPr="002002A1" w:rsidRDefault="00AB716F" w:rsidP="00AB716F">
            <w:pPr>
              <w:tabs>
                <w:tab w:val="left" w:pos="284"/>
                <w:tab w:val="left" w:pos="426"/>
              </w:tabs>
              <w:ind w:right="49"/>
              <w:jc w:val="center"/>
              <w:rPr>
                <w:rFonts w:ascii="Palatino Linotype" w:hAnsi="Palatino Linotype" w:cs="Arial"/>
                <w:b/>
                <w:sz w:val="20"/>
                <w:lang w:val="es-ES" w:eastAsia="es-ES"/>
              </w:rPr>
            </w:pPr>
            <w:r w:rsidRPr="002002A1">
              <w:rPr>
                <w:rFonts w:ascii="Palatino Linotype" w:hAnsi="Palatino Linotype" w:cs="Arial"/>
                <w:b/>
                <w:sz w:val="20"/>
                <w:lang w:val="es-ES" w:eastAsia="es-ES"/>
              </w:rPr>
              <w:t>Clasificación de la Información</w:t>
            </w:r>
          </w:p>
        </w:tc>
      </w:tr>
      <w:tr w:rsidR="00AB716F" w:rsidRPr="002002A1" w14:paraId="6BF5C45E" w14:textId="77777777" w:rsidTr="00997049">
        <w:tc>
          <w:tcPr>
            <w:tcW w:w="3767" w:type="dxa"/>
            <w:vAlign w:val="center"/>
          </w:tcPr>
          <w:p w14:paraId="3579F06C"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Presentar una solicitud utilizando la forma oficial que se autorice por la institución pública o dependencia correspondiente.</w:t>
            </w:r>
          </w:p>
        </w:tc>
        <w:tc>
          <w:tcPr>
            <w:tcW w:w="2607" w:type="dxa"/>
            <w:vAlign w:val="center"/>
          </w:tcPr>
          <w:p w14:paraId="22093A0D"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Solicitud de empleo, ficha curricular, curriculum vitae o documento análogo</w:t>
            </w:r>
          </w:p>
        </w:tc>
        <w:tc>
          <w:tcPr>
            <w:tcW w:w="2410" w:type="dxa"/>
            <w:vAlign w:val="center"/>
          </w:tcPr>
          <w:p w14:paraId="5704BDE4" w14:textId="77777777" w:rsidR="00AB716F" w:rsidRPr="002002A1" w:rsidRDefault="00AB716F" w:rsidP="00AB716F">
            <w:pPr>
              <w:tabs>
                <w:tab w:val="left" w:pos="284"/>
                <w:tab w:val="left" w:pos="426"/>
              </w:tabs>
              <w:ind w:right="49"/>
              <w:jc w:val="center"/>
              <w:rPr>
                <w:rFonts w:ascii="Palatino Linotype" w:hAnsi="Palatino Linotype" w:cs="Arial"/>
                <w:sz w:val="18"/>
                <w:lang w:val="es-ES" w:eastAsia="es-ES"/>
              </w:rPr>
            </w:pPr>
            <w:r w:rsidRPr="002002A1">
              <w:rPr>
                <w:rFonts w:ascii="Palatino Linotype" w:hAnsi="Palatino Linotype" w:cs="Arial"/>
                <w:sz w:val="18"/>
                <w:lang w:val="es-ES" w:eastAsia="es-ES"/>
              </w:rPr>
              <w:t>En versión Pública.</w:t>
            </w:r>
          </w:p>
        </w:tc>
      </w:tr>
      <w:tr w:rsidR="00AB716F" w:rsidRPr="002002A1" w14:paraId="764C36FF" w14:textId="77777777" w:rsidTr="00997049">
        <w:trPr>
          <w:trHeight w:val="517"/>
        </w:trPr>
        <w:tc>
          <w:tcPr>
            <w:tcW w:w="3767" w:type="dxa"/>
            <w:vAlign w:val="center"/>
          </w:tcPr>
          <w:p w14:paraId="4E7B439B"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Ser de nacionalidad mexicana.</w:t>
            </w:r>
          </w:p>
        </w:tc>
        <w:tc>
          <w:tcPr>
            <w:tcW w:w="2607" w:type="dxa"/>
            <w:vAlign w:val="center"/>
          </w:tcPr>
          <w:p w14:paraId="69DD7C14"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Acta de nacimiento</w:t>
            </w:r>
          </w:p>
        </w:tc>
        <w:tc>
          <w:tcPr>
            <w:tcW w:w="2410" w:type="dxa"/>
            <w:vAlign w:val="center"/>
          </w:tcPr>
          <w:p w14:paraId="70EE053F" w14:textId="77777777" w:rsidR="00AB716F" w:rsidRPr="002002A1" w:rsidRDefault="00AB716F" w:rsidP="00AB716F">
            <w:pPr>
              <w:tabs>
                <w:tab w:val="left" w:pos="284"/>
                <w:tab w:val="left" w:pos="426"/>
              </w:tabs>
              <w:ind w:right="49"/>
              <w:jc w:val="center"/>
              <w:rPr>
                <w:rFonts w:ascii="Palatino Linotype" w:hAnsi="Palatino Linotype" w:cs="Arial"/>
                <w:sz w:val="18"/>
                <w:lang w:val="es-ES" w:eastAsia="es-ES"/>
              </w:rPr>
            </w:pPr>
            <w:r w:rsidRPr="002002A1">
              <w:rPr>
                <w:rFonts w:ascii="Palatino Linotype" w:hAnsi="Palatino Linotype" w:cs="Arial"/>
                <w:sz w:val="18"/>
                <w:lang w:val="es-ES" w:eastAsia="es-ES"/>
              </w:rPr>
              <w:t>Confidencial</w:t>
            </w:r>
          </w:p>
        </w:tc>
      </w:tr>
      <w:tr w:rsidR="00AB716F" w:rsidRPr="002002A1" w14:paraId="7623BBF4" w14:textId="77777777" w:rsidTr="00997049">
        <w:tc>
          <w:tcPr>
            <w:tcW w:w="3767" w:type="dxa"/>
            <w:vAlign w:val="center"/>
          </w:tcPr>
          <w:p w14:paraId="64E6D13E"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Estar en pleno ejercicio de sus derechos civiles y políticos.</w:t>
            </w:r>
          </w:p>
        </w:tc>
        <w:tc>
          <w:tcPr>
            <w:tcW w:w="2607" w:type="dxa"/>
            <w:vAlign w:val="center"/>
          </w:tcPr>
          <w:p w14:paraId="05F61410"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Derogado</w:t>
            </w:r>
          </w:p>
        </w:tc>
        <w:tc>
          <w:tcPr>
            <w:tcW w:w="2410" w:type="dxa"/>
            <w:vAlign w:val="center"/>
          </w:tcPr>
          <w:p w14:paraId="4C6C69CD" w14:textId="77777777" w:rsidR="00AB716F" w:rsidRPr="002002A1" w:rsidRDefault="00AB716F" w:rsidP="00AB716F">
            <w:pPr>
              <w:tabs>
                <w:tab w:val="left" w:pos="284"/>
                <w:tab w:val="left" w:pos="426"/>
              </w:tabs>
              <w:ind w:right="49"/>
              <w:jc w:val="center"/>
              <w:rPr>
                <w:rFonts w:ascii="Palatino Linotype" w:hAnsi="Palatino Linotype" w:cs="Arial"/>
                <w:sz w:val="18"/>
                <w:lang w:val="es-ES" w:eastAsia="es-ES"/>
              </w:rPr>
            </w:pPr>
            <w:r w:rsidRPr="002002A1">
              <w:rPr>
                <w:rFonts w:ascii="Palatino Linotype" w:hAnsi="Palatino Linotype" w:cs="Arial"/>
                <w:sz w:val="18"/>
                <w:lang w:val="es-ES" w:eastAsia="es-ES"/>
              </w:rPr>
              <w:t>N/A</w:t>
            </w:r>
          </w:p>
        </w:tc>
      </w:tr>
      <w:tr w:rsidR="00AB716F" w:rsidRPr="002002A1" w14:paraId="1F32500A" w14:textId="77777777" w:rsidTr="00997049">
        <w:tc>
          <w:tcPr>
            <w:tcW w:w="3767" w:type="dxa"/>
            <w:vAlign w:val="center"/>
          </w:tcPr>
          <w:p w14:paraId="53EE81B7"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Acreditar, cuando proceda, el cumplimiento de la Ley del Servicio Militar Nacional.</w:t>
            </w:r>
          </w:p>
        </w:tc>
        <w:tc>
          <w:tcPr>
            <w:tcW w:w="2607" w:type="dxa"/>
            <w:vAlign w:val="center"/>
          </w:tcPr>
          <w:p w14:paraId="7FF32FE7"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Cartilla de Servicio Militar</w:t>
            </w:r>
          </w:p>
        </w:tc>
        <w:tc>
          <w:tcPr>
            <w:tcW w:w="2410" w:type="dxa"/>
            <w:vAlign w:val="center"/>
          </w:tcPr>
          <w:p w14:paraId="2F81BCBC" w14:textId="77777777" w:rsidR="00AB716F" w:rsidRPr="002002A1" w:rsidRDefault="00AB716F" w:rsidP="00AB716F">
            <w:pPr>
              <w:tabs>
                <w:tab w:val="left" w:pos="284"/>
                <w:tab w:val="left" w:pos="426"/>
              </w:tabs>
              <w:ind w:right="49"/>
              <w:jc w:val="center"/>
              <w:rPr>
                <w:rFonts w:ascii="Palatino Linotype" w:hAnsi="Palatino Linotype" w:cs="Arial"/>
                <w:sz w:val="18"/>
                <w:lang w:val="es-ES" w:eastAsia="es-ES"/>
              </w:rPr>
            </w:pPr>
            <w:r w:rsidRPr="002002A1">
              <w:rPr>
                <w:rFonts w:ascii="Palatino Linotype" w:hAnsi="Palatino Linotype" w:cs="Arial"/>
                <w:sz w:val="18"/>
                <w:lang w:val="es-ES" w:eastAsia="es-ES"/>
              </w:rPr>
              <w:t>Confidencial</w:t>
            </w:r>
          </w:p>
        </w:tc>
      </w:tr>
      <w:tr w:rsidR="00AB716F" w:rsidRPr="002002A1" w14:paraId="3BBDE3F1" w14:textId="77777777" w:rsidTr="00997049">
        <w:tc>
          <w:tcPr>
            <w:tcW w:w="3767" w:type="dxa"/>
            <w:vAlign w:val="center"/>
          </w:tcPr>
          <w:p w14:paraId="68355E01"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No haber sido separado anteriormente del servicio por las causas previstas en el artículo 93 de la presente ley.</w:t>
            </w:r>
          </w:p>
        </w:tc>
        <w:tc>
          <w:tcPr>
            <w:tcW w:w="2607" w:type="dxa"/>
            <w:vAlign w:val="center"/>
          </w:tcPr>
          <w:p w14:paraId="62644C6A"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Manifestación bajo protesta de decir verdad.</w:t>
            </w:r>
          </w:p>
        </w:tc>
        <w:tc>
          <w:tcPr>
            <w:tcW w:w="2410" w:type="dxa"/>
            <w:vAlign w:val="center"/>
          </w:tcPr>
          <w:p w14:paraId="3CD4689B" w14:textId="77777777" w:rsidR="00AB716F" w:rsidRPr="002002A1" w:rsidRDefault="00AB716F" w:rsidP="00AB716F">
            <w:pPr>
              <w:tabs>
                <w:tab w:val="left" w:pos="284"/>
                <w:tab w:val="left" w:pos="426"/>
              </w:tabs>
              <w:ind w:right="49"/>
              <w:jc w:val="center"/>
              <w:rPr>
                <w:rFonts w:ascii="Palatino Linotype" w:hAnsi="Palatino Linotype" w:cs="Arial"/>
                <w:sz w:val="18"/>
                <w:lang w:val="es-ES" w:eastAsia="es-ES"/>
              </w:rPr>
            </w:pPr>
            <w:r w:rsidRPr="002002A1">
              <w:rPr>
                <w:rFonts w:ascii="Palatino Linotype" w:hAnsi="Palatino Linotype" w:cs="Arial"/>
                <w:sz w:val="18"/>
                <w:lang w:val="es-ES" w:eastAsia="es-ES"/>
              </w:rPr>
              <w:t>Documento íntegro</w:t>
            </w:r>
          </w:p>
        </w:tc>
      </w:tr>
      <w:tr w:rsidR="00AB716F" w:rsidRPr="002002A1" w14:paraId="2302B1F8" w14:textId="77777777" w:rsidTr="00997049">
        <w:tc>
          <w:tcPr>
            <w:tcW w:w="3767" w:type="dxa"/>
            <w:vAlign w:val="center"/>
          </w:tcPr>
          <w:p w14:paraId="7EDE6206"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Tener buena salud, lo que se comprobará con los certificados médicos.</w:t>
            </w:r>
          </w:p>
        </w:tc>
        <w:tc>
          <w:tcPr>
            <w:tcW w:w="2607" w:type="dxa"/>
            <w:vAlign w:val="center"/>
          </w:tcPr>
          <w:p w14:paraId="34637957"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Certificado Médico</w:t>
            </w:r>
          </w:p>
        </w:tc>
        <w:tc>
          <w:tcPr>
            <w:tcW w:w="2410" w:type="dxa"/>
            <w:vAlign w:val="center"/>
          </w:tcPr>
          <w:p w14:paraId="6732CD81" w14:textId="77777777" w:rsidR="00AB716F" w:rsidRPr="002002A1" w:rsidRDefault="00AB716F" w:rsidP="00AB716F">
            <w:pPr>
              <w:tabs>
                <w:tab w:val="left" w:pos="284"/>
                <w:tab w:val="left" w:pos="426"/>
              </w:tabs>
              <w:ind w:right="49"/>
              <w:jc w:val="center"/>
              <w:rPr>
                <w:rFonts w:ascii="Palatino Linotype" w:hAnsi="Palatino Linotype" w:cs="Arial"/>
                <w:sz w:val="18"/>
                <w:lang w:val="es-ES" w:eastAsia="es-ES"/>
              </w:rPr>
            </w:pPr>
            <w:r w:rsidRPr="002002A1">
              <w:rPr>
                <w:rFonts w:ascii="Palatino Linotype" w:hAnsi="Palatino Linotype" w:cs="Arial"/>
                <w:sz w:val="18"/>
                <w:lang w:val="es-ES" w:eastAsia="es-ES"/>
              </w:rPr>
              <w:t>Confidencial</w:t>
            </w:r>
          </w:p>
        </w:tc>
      </w:tr>
      <w:tr w:rsidR="00AB716F" w:rsidRPr="002002A1" w14:paraId="038BE648" w14:textId="77777777" w:rsidTr="00997049">
        <w:tc>
          <w:tcPr>
            <w:tcW w:w="3767" w:type="dxa"/>
            <w:vAlign w:val="center"/>
          </w:tcPr>
          <w:p w14:paraId="39724458"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Cumplir con los requisitos que se establezcan para los diferentes puestos.</w:t>
            </w:r>
          </w:p>
        </w:tc>
        <w:tc>
          <w:tcPr>
            <w:tcW w:w="2607" w:type="dxa"/>
            <w:vAlign w:val="center"/>
          </w:tcPr>
          <w:p w14:paraId="6FB4C838"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En este caso, son aplicables  los documentos previstos por la Ley Orgánica Municipal del Estado de México y Municipios, en virtud de que se trata de ayuntamientos.</w:t>
            </w:r>
          </w:p>
        </w:tc>
        <w:tc>
          <w:tcPr>
            <w:tcW w:w="2410" w:type="dxa"/>
            <w:vAlign w:val="center"/>
          </w:tcPr>
          <w:p w14:paraId="05720DE6" w14:textId="77777777" w:rsidR="00AB716F" w:rsidRPr="002002A1" w:rsidRDefault="00AB716F" w:rsidP="00AB716F">
            <w:pPr>
              <w:tabs>
                <w:tab w:val="left" w:pos="284"/>
                <w:tab w:val="left" w:pos="426"/>
              </w:tabs>
              <w:ind w:right="49"/>
              <w:jc w:val="center"/>
              <w:rPr>
                <w:rFonts w:ascii="Palatino Linotype" w:hAnsi="Palatino Linotype" w:cs="Arial"/>
                <w:sz w:val="18"/>
                <w:lang w:val="es-ES" w:eastAsia="es-ES"/>
              </w:rPr>
            </w:pPr>
            <w:r w:rsidRPr="002002A1">
              <w:rPr>
                <w:rFonts w:ascii="Palatino Linotype" w:hAnsi="Palatino Linotype" w:cs="Arial"/>
                <w:sz w:val="18"/>
                <w:lang w:val="es-ES" w:eastAsia="es-ES"/>
              </w:rPr>
              <w:t>Documento íntegro</w:t>
            </w:r>
          </w:p>
        </w:tc>
      </w:tr>
      <w:tr w:rsidR="00AB716F" w:rsidRPr="002002A1" w14:paraId="5A21EE4C" w14:textId="77777777" w:rsidTr="00997049">
        <w:tc>
          <w:tcPr>
            <w:tcW w:w="3767" w:type="dxa"/>
            <w:vAlign w:val="center"/>
          </w:tcPr>
          <w:p w14:paraId="290E14B3"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 xml:space="preserve">Acreditar por medio de los exámenes correspondientes los conocimientos y </w:t>
            </w:r>
            <w:r w:rsidRPr="002002A1">
              <w:rPr>
                <w:rFonts w:ascii="Palatino Linotype" w:hAnsi="Palatino Linotype" w:cs="Arial"/>
                <w:sz w:val="18"/>
                <w:lang w:val="es-ES" w:eastAsia="es-ES"/>
              </w:rPr>
              <w:lastRenderedPageBreak/>
              <w:t>aptitudes necesarios para el desempeño del puesto.</w:t>
            </w:r>
          </w:p>
        </w:tc>
        <w:tc>
          <w:tcPr>
            <w:tcW w:w="2607" w:type="dxa"/>
            <w:vAlign w:val="center"/>
          </w:tcPr>
          <w:p w14:paraId="1C3CE7E1"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lastRenderedPageBreak/>
              <w:t xml:space="preserve">El documento obtenido por haber acreditado los </w:t>
            </w:r>
            <w:r w:rsidRPr="002002A1">
              <w:rPr>
                <w:rFonts w:ascii="Palatino Linotype" w:hAnsi="Palatino Linotype" w:cs="Arial"/>
                <w:sz w:val="18"/>
                <w:lang w:val="es-ES" w:eastAsia="es-ES"/>
              </w:rPr>
              <w:lastRenderedPageBreak/>
              <w:t>exámenes de oposición o de conocimientos o aptitudes necesarios para ejercer el cargo.</w:t>
            </w:r>
          </w:p>
        </w:tc>
        <w:tc>
          <w:tcPr>
            <w:tcW w:w="2410" w:type="dxa"/>
            <w:vAlign w:val="center"/>
          </w:tcPr>
          <w:p w14:paraId="679855D6" w14:textId="77777777" w:rsidR="00AB716F" w:rsidRPr="002002A1" w:rsidRDefault="00AB716F" w:rsidP="00AB716F">
            <w:pPr>
              <w:tabs>
                <w:tab w:val="left" w:pos="284"/>
                <w:tab w:val="left" w:pos="426"/>
              </w:tabs>
              <w:ind w:right="49"/>
              <w:jc w:val="center"/>
              <w:rPr>
                <w:rFonts w:ascii="Palatino Linotype" w:hAnsi="Palatino Linotype" w:cs="Arial"/>
                <w:sz w:val="18"/>
                <w:lang w:val="es-ES" w:eastAsia="es-ES"/>
              </w:rPr>
            </w:pPr>
            <w:r w:rsidRPr="002002A1">
              <w:rPr>
                <w:rFonts w:ascii="Palatino Linotype" w:hAnsi="Palatino Linotype" w:cs="Arial"/>
                <w:sz w:val="18"/>
                <w:lang w:val="es-ES" w:eastAsia="es-ES"/>
              </w:rPr>
              <w:lastRenderedPageBreak/>
              <w:t>En versión Pública.</w:t>
            </w:r>
          </w:p>
        </w:tc>
      </w:tr>
      <w:tr w:rsidR="00AB716F" w:rsidRPr="002002A1" w14:paraId="4B16DB8A" w14:textId="77777777" w:rsidTr="00997049">
        <w:tc>
          <w:tcPr>
            <w:tcW w:w="3767" w:type="dxa"/>
            <w:vAlign w:val="center"/>
          </w:tcPr>
          <w:p w14:paraId="62BFC79A"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No estar inhabilitado para el ejercicio del servicio público.</w:t>
            </w:r>
          </w:p>
        </w:tc>
        <w:tc>
          <w:tcPr>
            <w:tcW w:w="2607" w:type="dxa"/>
            <w:vAlign w:val="center"/>
          </w:tcPr>
          <w:p w14:paraId="725951A8"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Constancia de no inhabilitación.</w:t>
            </w:r>
          </w:p>
        </w:tc>
        <w:tc>
          <w:tcPr>
            <w:tcW w:w="2410" w:type="dxa"/>
            <w:vAlign w:val="center"/>
          </w:tcPr>
          <w:p w14:paraId="679E9DC1" w14:textId="77777777" w:rsidR="00AB716F" w:rsidRPr="002002A1" w:rsidRDefault="00AB716F" w:rsidP="00AB716F">
            <w:pPr>
              <w:tabs>
                <w:tab w:val="left" w:pos="284"/>
                <w:tab w:val="left" w:pos="426"/>
              </w:tabs>
              <w:ind w:right="49"/>
              <w:jc w:val="center"/>
              <w:rPr>
                <w:rFonts w:ascii="Palatino Linotype" w:hAnsi="Palatino Linotype" w:cs="Arial"/>
                <w:sz w:val="18"/>
                <w:lang w:val="es-ES" w:eastAsia="es-ES"/>
              </w:rPr>
            </w:pPr>
            <w:r w:rsidRPr="002002A1">
              <w:rPr>
                <w:rFonts w:ascii="Palatino Linotype" w:hAnsi="Palatino Linotype" w:cs="Arial"/>
                <w:sz w:val="18"/>
                <w:lang w:val="es-ES" w:eastAsia="es-ES"/>
              </w:rPr>
              <w:t>Documento íntegro</w:t>
            </w:r>
          </w:p>
        </w:tc>
      </w:tr>
      <w:tr w:rsidR="00AB716F" w:rsidRPr="002002A1" w14:paraId="2D44C5E5" w14:textId="77777777" w:rsidTr="00997049">
        <w:tc>
          <w:tcPr>
            <w:tcW w:w="3767" w:type="dxa"/>
            <w:vAlign w:val="center"/>
          </w:tcPr>
          <w:p w14:paraId="46F12296"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Presentar certificado expedido por la Unidad del Registro de Deudores Alimentarios Morosos en el que conste, si se encuentra inscrito o no en el mismo.</w:t>
            </w:r>
          </w:p>
        </w:tc>
        <w:tc>
          <w:tcPr>
            <w:tcW w:w="2607" w:type="dxa"/>
            <w:vAlign w:val="center"/>
          </w:tcPr>
          <w:p w14:paraId="2BC8AC16"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Certificado de No Deudor Alimentario Moroso.</w:t>
            </w:r>
          </w:p>
        </w:tc>
        <w:tc>
          <w:tcPr>
            <w:tcW w:w="2410" w:type="dxa"/>
            <w:vAlign w:val="center"/>
          </w:tcPr>
          <w:p w14:paraId="4C7E886E" w14:textId="77777777" w:rsidR="00AB716F" w:rsidRPr="002002A1" w:rsidRDefault="00AB716F" w:rsidP="00AB716F">
            <w:pPr>
              <w:tabs>
                <w:tab w:val="left" w:pos="284"/>
                <w:tab w:val="left" w:pos="426"/>
              </w:tabs>
              <w:ind w:right="49"/>
              <w:jc w:val="center"/>
              <w:rPr>
                <w:rFonts w:ascii="Palatino Linotype" w:hAnsi="Palatino Linotype" w:cs="Arial"/>
                <w:sz w:val="18"/>
                <w:lang w:val="es-ES" w:eastAsia="es-ES"/>
              </w:rPr>
            </w:pPr>
            <w:r w:rsidRPr="002002A1">
              <w:rPr>
                <w:rFonts w:ascii="Palatino Linotype" w:hAnsi="Palatino Linotype" w:cs="Arial"/>
                <w:sz w:val="18"/>
                <w:lang w:val="es-ES" w:eastAsia="es-ES"/>
              </w:rPr>
              <w:t>En versión Pública.</w:t>
            </w:r>
          </w:p>
        </w:tc>
      </w:tr>
      <w:tr w:rsidR="00AB716F" w:rsidRPr="002002A1" w14:paraId="61CB99E9" w14:textId="77777777" w:rsidTr="00997049">
        <w:tc>
          <w:tcPr>
            <w:tcW w:w="3767" w:type="dxa"/>
            <w:shd w:val="clear" w:color="auto" w:fill="auto"/>
            <w:vAlign w:val="center"/>
          </w:tcPr>
          <w:p w14:paraId="4268A52D"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Para iniciar la prestación de los servicios</w:t>
            </w:r>
          </w:p>
        </w:tc>
        <w:tc>
          <w:tcPr>
            <w:tcW w:w="2607" w:type="dxa"/>
            <w:shd w:val="clear" w:color="auto" w:fill="auto"/>
            <w:vAlign w:val="center"/>
          </w:tcPr>
          <w:p w14:paraId="43959806" w14:textId="77777777" w:rsidR="00AB716F" w:rsidRPr="002002A1" w:rsidRDefault="00AB716F" w:rsidP="00AB716F">
            <w:pPr>
              <w:tabs>
                <w:tab w:val="left" w:pos="284"/>
                <w:tab w:val="left" w:pos="426"/>
              </w:tabs>
              <w:ind w:right="49"/>
              <w:jc w:val="both"/>
              <w:rPr>
                <w:rFonts w:ascii="Palatino Linotype" w:hAnsi="Palatino Linotype" w:cs="Arial"/>
                <w:sz w:val="18"/>
                <w:lang w:val="es-ES" w:eastAsia="es-ES"/>
              </w:rPr>
            </w:pPr>
            <w:r w:rsidRPr="002002A1">
              <w:rPr>
                <w:rFonts w:ascii="Palatino Linotype" w:hAnsi="Palatino Linotype" w:cs="Arial"/>
                <w:sz w:val="18"/>
                <w:lang w:val="es-ES" w:eastAsia="es-ES"/>
              </w:rPr>
              <w:t>Nombramiento, contrato o formato único de Movimientos de Personal.</w:t>
            </w:r>
          </w:p>
        </w:tc>
        <w:tc>
          <w:tcPr>
            <w:tcW w:w="2410" w:type="dxa"/>
            <w:vAlign w:val="center"/>
          </w:tcPr>
          <w:p w14:paraId="5CF5EE80" w14:textId="77777777" w:rsidR="00AB716F" w:rsidRPr="002002A1" w:rsidRDefault="00AB716F" w:rsidP="00AB716F">
            <w:pPr>
              <w:tabs>
                <w:tab w:val="left" w:pos="284"/>
                <w:tab w:val="left" w:pos="426"/>
              </w:tabs>
              <w:ind w:right="49"/>
              <w:jc w:val="center"/>
              <w:rPr>
                <w:rFonts w:ascii="Palatino Linotype" w:hAnsi="Palatino Linotype" w:cs="Arial"/>
                <w:sz w:val="18"/>
                <w:lang w:val="es-ES" w:eastAsia="es-ES"/>
              </w:rPr>
            </w:pPr>
            <w:r w:rsidRPr="002002A1">
              <w:rPr>
                <w:rFonts w:ascii="Palatino Linotype" w:hAnsi="Palatino Linotype" w:cs="Arial"/>
                <w:sz w:val="18"/>
                <w:lang w:val="es-ES" w:eastAsia="es-ES"/>
              </w:rPr>
              <w:t>En versión Pública.</w:t>
            </w:r>
          </w:p>
        </w:tc>
      </w:tr>
    </w:tbl>
    <w:p w14:paraId="5ADC71AF" w14:textId="77777777" w:rsidR="00AB716F" w:rsidRPr="002002A1" w:rsidRDefault="00AB716F" w:rsidP="00AB716F">
      <w:pPr>
        <w:tabs>
          <w:tab w:val="left" w:pos="8222"/>
        </w:tabs>
        <w:spacing w:line="360" w:lineRule="auto"/>
        <w:ind w:right="49"/>
        <w:jc w:val="both"/>
        <w:rPr>
          <w:rFonts w:ascii="Palatino Linotype" w:eastAsia="Palatino Linotype" w:hAnsi="Palatino Linotype" w:cs="Palatino Linotype"/>
          <w:lang w:val="es-ES"/>
        </w:rPr>
      </w:pPr>
    </w:p>
    <w:p w14:paraId="560231F2" w14:textId="532A5679" w:rsidR="00AB716F" w:rsidRPr="002002A1" w:rsidRDefault="00AB716F" w:rsidP="0052231F">
      <w:pPr>
        <w:pStyle w:val="Prrafodelista"/>
        <w:numPr>
          <w:ilvl w:val="0"/>
          <w:numId w:val="2"/>
        </w:numPr>
        <w:tabs>
          <w:tab w:val="left" w:pos="0"/>
        </w:tabs>
        <w:spacing w:line="360" w:lineRule="auto"/>
        <w:ind w:left="0" w:right="-992" w:firstLine="0"/>
        <w:jc w:val="both"/>
        <w:rPr>
          <w:rFonts w:ascii="Palatino Linotype" w:eastAsia="Palatino Linotype" w:hAnsi="Palatino Linotype" w:cs="Palatino Linotype"/>
          <w:lang w:val="es-ES"/>
        </w:rPr>
      </w:pPr>
      <w:r w:rsidRPr="002002A1">
        <w:rPr>
          <w:rFonts w:ascii="Palatino Linotype" w:eastAsia="Palatino Linotype" w:hAnsi="Palatino Linotype" w:cs="Palatino Linotype"/>
          <w:lang w:val="es-ES"/>
        </w:rPr>
        <w:t>Correlativo a lo anterior, el artículo 11.11 del Código Reg</w:t>
      </w:r>
      <w:r w:rsidR="009A0893" w:rsidRPr="002002A1">
        <w:rPr>
          <w:rFonts w:ascii="Palatino Linotype" w:eastAsia="Palatino Linotype" w:hAnsi="Palatino Linotype" w:cs="Palatino Linotype"/>
          <w:lang w:val="es-ES"/>
        </w:rPr>
        <w:t>lamentario Municipal de Toluca</w:t>
      </w:r>
      <w:r w:rsidRPr="002002A1">
        <w:rPr>
          <w:rFonts w:ascii="Palatino Linotype" w:eastAsia="Palatino Linotype" w:hAnsi="Palatino Linotype" w:cs="Palatino Linotype"/>
          <w:lang w:val="es-ES"/>
        </w:rPr>
        <w:t>, dispone que se contratará al aspirante que r</w:t>
      </w:r>
      <w:r w:rsidR="0082122D">
        <w:rPr>
          <w:rFonts w:ascii="Palatino Linotype" w:eastAsia="Palatino Linotype" w:hAnsi="Palatino Linotype" w:cs="Palatino Linotype"/>
          <w:lang w:val="es-ES"/>
        </w:rPr>
        <w:t>eúna los siguientes requisitos:</w:t>
      </w:r>
    </w:p>
    <w:p w14:paraId="2D42F5EB"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i/>
          <w:sz w:val="22"/>
          <w:lang w:val="es-ES"/>
        </w:rPr>
        <w:t xml:space="preserve">“Artículo 11.11. </w:t>
      </w:r>
      <w:r w:rsidRPr="002002A1">
        <w:rPr>
          <w:rFonts w:ascii="Palatino Linotype" w:eastAsia="Palatino Linotype" w:hAnsi="Palatino Linotype" w:cs="Palatino Linotype"/>
          <w:b/>
          <w:i/>
          <w:sz w:val="22"/>
          <w:lang w:val="es-ES"/>
        </w:rPr>
        <w:t>Para ingresar a laborar a las dependencias de la administración pública municipal de Toluca, los aspirantes deberán satisfacer los siguientes requisitos</w:t>
      </w:r>
      <w:r w:rsidRPr="002002A1">
        <w:rPr>
          <w:rFonts w:ascii="Palatino Linotype" w:eastAsia="Palatino Linotype" w:hAnsi="Palatino Linotype" w:cs="Palatino Linotype"/>
          <w:i/>
          <w:sz w:val="22"/>
          <w:lang w:val="es-ES"/>
        </w:rPr>
        <w:t>, además de los establecidos en el artículo 47 de la Ley.</w:t>
      </w:r>
    </w:p>
    <w:p w14:paraId="7CE10C83"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I.Cedula del RFC;</w:t>
      </w:r>
    </w:p>
    <w:p w14:paraId="60A9FD1E"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II.Cedula del CURP;</w:t>
      </w:r>
    </w:p>
    <w:p w14:paraId="746047BB"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III.Copia del documento que acredite clave del ISSEMYM;</w:t>
      </w:r>
    </w:p>
    <w:p w14:paraId="2CACB6FD"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IV. Solicitud de empleo o Currículum;</w:t>
      </w:r>
    </w:p>
    <w:p w14:paraId="78F4CAAB"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V.Copia del comprobante del grado máximo de estudios;</w:t>
      </w:r>
    </w:p>
    <w:p w14:paraId="620FFC41"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VI. Copia del comprobante de domicilio no mayor a 60 días;</w:t>
      </w:r>
    </w:p>
    <w:p w14:paraId="1A4D2674"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VII. Copia de la cartilla del servicio militar con liberación, en su caso;</w:t>
      </w:r>
    </w:p>
    <w:p w14:paraId="1CC8E5A4"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VIII. 2 fotografías tamaño infantil a color;</w:t>
      </w:r>
    </w:p>
    <w:p w14:paraId="621E9294"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IX. Original del certificado médico;</w:t>
      </w:r>
    </w:p>
    <w:p w14:paraId="49EA14FA"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X. Copia del acta de nacimiento;</w:t>
      </w:r>
    </w:p>
    <w:p w14:paraId="34339329"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XI. Copia de identificación oficial vigente con fotografía;</w:t>
      </w:r>
    </w:p>
    <w:p w14:paraId="39A16BA7"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XII. Examen diagnostico proporcionado por la autoridad administrativa;</w:t>
      </w:r>
    </w:p>
    <w:p w14:paraId="00ABC4C2"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b/>
          <w:i/>
          <w:sz w:val="22"/>
          <w:lang w:val="es-ES"/>
        </w:rPr>
      </w:pPr>
      <w:r w:rsidRPr="002002A1">
        <w:rPr>
          <w:rFonts w:ascii="Palatino Linotype" w:eastAsia="Palatino Linotype" w:hAnsi="Palatino Linotype" w:cs="Palatino Linotype"/>
          <w:b/>
          <w:i/>
          <w:sz w:val="22"/>
          <w:lang w:val="es-ES"/>
        </w:rPr>
        <w:t>XIII. Certificado de no Deudor Alimentario; y</w:t>
      </w:r>
    </w:p>
    <w:p w14:paraId="58A7E6D8" w14:textId="77777777" w:rsidR="00AB716F" w:rsidRPr="002002A1" w:rsidRDefault="00AB716F" w:rsidP="00AB716F">
      <w:pPr>
        <w:tabs>
          <w:tab w:val="left" w:pos="8222"/>
        </w:tabs>
        <w:spacing w:line="276" w:lineRule="auto"/>
        <w:ind w:left="567" w:right="900"/>
        <w:jc w:val="both"/>
        <w:rPr>
          <w:rFonts w:ascii="Palatino Linotype" w:eastAsia="Palatino Linotype" w:hAnsi="Palatino Linotype" w:cs="Palatino Linotype"/>
          <w:i/>
          <w:sz w:val="22"/>
          <w:lang w:val="es-ES"/>
        </w:rPr>
      </w:pPr>
      <w:r w:rsidRPr="002002A1">
        <w:rPr>
          <w:rFonts w:ascii="Palatino Linotype" w:eastAsia="Palatino Linotype" w:hAnsi="Palatino Linotype" w:cs="Palatino Linotype"/>
          <w:b/>
          <w:i/>
          <w:sz w:val="22"/>
          <w:lang w:val="es-ES"/>
        </w:rPr>
        <w:t>XIV. Constancia de no Inhabilitación</w:t>
      </w:r>
      <w:r w:rsidRPr="002002A1">
        <w:rPr>
          <w:rFonts w:ascii="Palatino Linotype" w:eastAsia="Palatino Linotype" w:hAnsi="Palatino Linotype" w:cs="Palatino Linotype"/>
          <w:i/>
          <w:sz w:val="22"/>
          <w:lang w:val="es-ES"/>
        </w:rPr>
        <w:t>.” (Énfasis añadido)</w:t>
      </w:r>
    </w:p>
    <w:p w14:paraId="3C4FD84B" w14:textId="77777777" w:rsidR="00AB716F" w:rsidRPr="002002A1" w:rsidRDefault="00AB716F" w:rsidP="00AB716F">
      <w:pPr>
        <w:tabs>
          <w:tab w:val="left" w:pos="8222"/>
        </w:tabs>
        <w:spacing w:line="360" w:lineRule="auto"/>
        <w:ind w:right="49"/>
        <w:jc w:val="both"/>
        <w:rPr>
          <w:rFonts w:ascii="Palatino Linotype" w:eastAsia="Palatino Linotype" w:hAnsi="Palatino Linotype" w:cs="Palatino Linotype"/>
          <w:lang w:val="es-ES"/>
        </w:rPr>
      </w:pPr>
    </w:p>
    <w:p w14:paraId="5E2982CC" w14:textId="77777777" w:rsidR="00D636D3" w:rsidRPr="002002A1" w:rsidRDefault="00AB716F" w:rsidP="00D636D3">
      <w:pPr>
        <w:pStyle w:val="Prrafodelista"/>
        <w:numPr>
          <w:ilvl w:val="0"/>
          <w:numId w:val="2"/>
        </w:numPr>
        <w:tabs>
          <w:tab w:val="left" w:pos="0"/>
        </w:tabs>
        <w:spacing w:line="360" w:lineRule="auto"/>
        <w:ind w:left="0" w:right="-992" w:firstLine="0"/>
        <w:jc w:val="both"/>
        <w:rPr>
          <w:rFonts w:ascii="Palatino Linotype" w:eastAsia="Palatino Linotype" w:hAnsi="Palatino Linotype" w:cs="Palatino Linotype"/>
          <w:lang w:val="es-ES"/>
        </w:rPr>
      </w:pPr>
      <w:r w:rsidRPr="002002A1">
        <w:rPr>
          <w:rFonts w:ascii="Palatino Linotype" w:eastAsia="Palatino Linotype" w:hAnsi="Palatino Linotype" w:cs="Palatino Linotype"/>
          <w:lang w:val="es-ES"/>
        </w:rPr>
        <w:lastRenderedPageBreak/>
        <w:t>De este modo, es de referir que es de interés público de la ciudadanía, conocer que los trabajadores gubernamentales cumplen con todos los requisitos establecidos en la  normatividad respectiva, pues solo así, se puede saber, si los empleados, son aptos para ocupar determinados puestos; por otra parte, la publicidad de la información ayuda a rendir cuentas a la población, respecto a que las dependencias gubernamentales cumplen con lo establecido en los ordenamientos jurídicos, ya que permite a las personas verificar que una Dependencia o Ayuntamiento, contrata a servidores públicos capaces e idóneos para cumplir con sus funciones y cumplen con los requisitos respectivos.</w:t>
      </w:r>
    </w:p>
    <w:p w14:paraId="798BA5DF" w14:textId="77777777" w:rsidR="00D636D3" w:rsidRPr="002002A1" w:rsidRDefault="00D636D3" w:rsidP="00D636D3">
      <w:pPr>
        <w:pStyle w:val="Prrafodelista"/>
        <w:tabs>
          <w:tab w:val="left" w:pos="8222"/>
        </w:tabs>
        <w:spacing w:line="360" w:lineRule="auto"/>
        <w:ind w:left="0" w:right="-992"/>
        <w:jc w:val="both"/>
        <w:rPr>
          <w:rFonts w:ascii="Palatino Linotype" w:eastAsia="Palatino Linotype" w:hAnsi="Palatino Linotype" w:cs="Palatino Linotype"/>
          <w:lang w:val="es-ES"/>
        </w:rPr>
      </w:pPr>
    </w:p>
    <w:p w14:paraId="7D674D13" w14:textId="77777777" w:rsidR="00AB716F" w:rsidRPr="002002A1" w:rsidRDefault="00AB716F" w:rsidP="00D636D3">
      <w:pPr>
        <w:pStyle w:val="Prrafodelista"/>
        <w:numPr>
          <w:ilvl w:val="0"/>
          <w:numId w:val="2"/>
        </w:numPr>
        <w:tabs>
          <w:tab w:val="left" w:pos="0"/>
        </w:tabs>
        <w:spacing w:line="360" w:lineRule="auto"/>
        <w:ind w:left="0" w:right="-992" w:firstLine="0"/>
        <w:jc w:val="both"/>
        <w:rPr>
          <w:rFonts w:ascii="Palatino Linotype" w:eastAsia="Palatino Linotype" w:hAnsi="Palatino Linotype" w:cs="Palatino Linotype"/>
          <w:lang w:val="es-ES"/>
        </w:rPr>
      </w:pPr>
      <w:r w:rsidRPr="002002A1">
        <w:rPr>
          <w:rFonts w:ascii="Palatino Linotype" w:eastAsia="Palatino Linotype" w:hAnsi="Palatino Linotype" w:cs="Palatino Linotype"/>
          <w:lang w:val="es-ES"/>
        </w:rPr>
        <w:t>En atención a lo anterior, se procede al análisis pormenorizado de las documentales que conforman los expedientes laborales del personal para efecto de determinar la procedencia de su entrega:</w:t>
      </w:r>
    </w:p>
    <w:p w14:paraId="7F04D5D9" w14:textId="77777777" w:rsidR="00AB716F" w:rsidRDefault="00AB716F" w:rsidP="00AB716F">
      <w:pPr>
        <w:tabs>
          <w:tab w:val="left" w:pos="8222"/>
        </w:tabs>
        <w:spacing w:line="360" w:lineRule="auto"/>
        <w:ind w:right="49"/>
        <w:jc w:val="both"/>
        <w:rPr>
          <w:rFonts w:ascii="Palatino Linotype" w:eastAsia="Palatino Linotype" w:hAnsi="Palatino Linotype" w:cs="Palatino Linotype"/>
          <w:lang w:val="es-ES"/>
        </w:rPr>
      </w:pPr>
    </w:p>
    <w:p w14:paraId="1A4452E6" w14:textId="77777777" w:rsidR="0082122D" w:rsidRDefault="0082122D" w:rsidP="00AB716F">
      <w:pPr>
        <w:tabs>
          <w:tab w:val="left" w:pos="8222"/>
        </w:tabs>
        <w:spacing w:line="360" w:lineRule="auto"/>
        <w:ind w:right="49"/>
        <w:jc w:val="both"/>
        <w:rPr>
          <w:rFonts w:ascii="Palatino Linotype" w:eastAsia="Palatino Linotype" w:hAnsi="Palatino Linotype" w:cs="Palatino Linotype"/>
          <w:lang w:val="es-ES"/>
        </w:rPr>
      </w:pPr>
    </w:p>
    <w:p w14:paraId="4A2D0D75" w14:textId="77777777" w:rsidR="0082122D" w:rsidRPr="002002A1" w:rsidRDefault="0082122D" w:rsidP="00AB716F">
      <w:pPr>
        <w:tabs>
          <w:tab w:val="left" w:pos="8222"/>
        </w:tabs>
        <w:spacing w:line="360" w:lineRule="auto"/>
        <w:ind w:right="49"/>
        <w:jc w:val="both"/>
        <w:rPr>
          <w:rFonts w:ascii="Palatino Linotype" w:eastAsia="Palatino Linotype" w:hAnsi="Palatino Linotype" w:cs="Palatino Linotype"/>
          <w:lang w:val="es-ES"/>
        </w:rPr>
      </w:pPr>
    </w:p>
    <w:p w14:paraId="778CE116" w14:textId="77777777" w:rsidR="00AB716F" w:rsidRPr="002002A1" w:rsidRDefault="00AB716F" w:rsidP="00AB716F">
      <w:pPr>
        <w:tabs>
          <w:tab w:val="left" w:pos="8222"/>
        </w:tabs>
        <w:spacing w:line="360" w:lineRule="auto"/>
        <w:ind w:right="49"/>
        <w:jc w:val="both"/>
        <w:rPr>
          <w:rFonts w:ascii="Palatino Linotype" w:eastAsia="Palatino Linotype" w:hAnsi="Palatino Linotype" w:cs="Palatino Linotype"/>
          <w:b/>
          <w:lang w:val="es-ES"/>
        </w:rPr>
      </w:pPr>
      <w:r w:rsidRPr="002002A1">
        <w:rPr>
          <w:rFonts w:ascii="Palatino Linotype" w:eastAsia="Palatino Linotype" w:hAnsi="Palatino Linotype" w:cs="Palatino Linotype"/>
          <w:b/>
          <w:lang w:val="es-ES"/>
        </w:rPr>
        <w:t>Solicitud de empleo.</w:t>
      </w:r>
    </w:p>
    <w:p w14:paraId="18DC621B" w14:textId="77777777" w:rsidR="00AB716F" w:rsidRPr="002002A1" w:rsidRDefault="00AB716F" w:rsidP="00D636D3">
      <w:pPr>
        <w:pStyle w:val="Prrafodelista"/>
        <w:numPr>
          <w:ilvl w:val="0"/>
          <w:numId w:val="2"/>
        </w:numPr>
        <w:tabs>
          <w:tab w:val="left" w:pos="142"/>
        </w:tabs>
        <w:spacing w:line="360" w:lineRule="auto"/>
        <w:ind w:left="0" w:right="-992" w:firstLine="0"/>
        <w:jc w:val="both"/>
        <w:rPr>
          <w:rFonts w:ascii="Palatino Linotype" w:hAnsi="Palatino Linotype"/>
          <w:lang w:val="es-ES"/>
        </w:rPr>
      </w:pPr>
      <w:r w:rsidRPr="002002A1">
        <w:rPr>
          <w:rFonts w:ascii="Palatino Linotype" w:hAnsi="Palatino Linotype"/>
          <w:lang w:val="es-ES"/>
        </w:rPr>
        <w:t>La solicitud de empleo es un documento físico o digital, que se estructura a modo de formulario y tiene como finalidad recoger información que el empleador requiere conocer del aspirante. En ese sentido, es importante mencionar que este documento se constituye por diversos datos personales como: nombre, domicilio particular, correo electrónico y número de teléfono particular e incluso, en ciertos formatos, información de estado de salud, hábitos personales o de consanguíneos, sin embargo, también da cuenta de información que en el presente caso resulta ser de interés público, como experiencia laboral y grados de estudio.</w:t>
      </w:r>
    </w:p>
    <w:p w14:paraId="59AC5E3A" w14:textId="77777777" w:rsidR="00AB716F" w:rsidRPr="002002A1" w:rsidRDefault="00AB716F" w:rsidP="00AB716F">
      <w:pPr>
        <w:tabs>
          <w:tab w:val="left" w:pos="8222"/>
        </w:tabs>
        <w:spacing w:line="360" w:lineRule="auto"/>
        <w:ind w:right="49"/>
        <w:jc w:val="both"/>
        <w:rPr>
          <w:rFonts w:ascii="Palatino Linotype" w:hAnsi="Palatino Linotype"/>
          <w:lang w:val="es-ES"/>
        </w:rPr>
      </w:pPr>
    </w:p>
    <w:p w14:paraId="44A7CEA8" w14:textId="77777777" w:rsidR="00AB716F" w:rsidRPr="002002A1" w:rsidRDefault="00AB716F" w:rsidP="00D636D3">
      <w:pPr>
        <w:pStyle w:val="Prrafodelista"/>
        <w:numPr>
          <w:ilvl w:val="0"/>
          <w:numId w:val="2"/>
        </w:numPr>
        <w:tabs>
          <w:tab w:val="left" w:pos="0"/>
        </w:tabs>
        <w:spacing w:line="360" w:lineRule="auto"/>
        <w:ind w:left="0" w:right="-992" w:firstLine="0"/>
        <w:jc w:val="both"/>
        <w:rPr>
          <w:rFonts w:ascii="Palatino Linotype" w:hAnsi="Palatino Linotype"/>
          <w:lang w:val="es-ES"/>
        </w:rPr>
      </w:pPr>
      <w:r w:rsidRPr="002002A1">
        <w:rPr>
          <w:rFonts w:ascii="Palatino Linotype" w:hAnsi="Palatino Linotype"/>
          <w:lang w:val="es-ES"/>
        </w:rPr>
        <w:lastRenderedPageBreak/>
        <w:t>Por otro lado, es necesario referir que de acuerdo con el artículo 47 de la Ley de Trabajo de los Servidores Públicos del Estado de México y el artículo 11.11 del Código Reglamentario del Ayuntamiento de Toluca,  para ingresar al servicio público se requiere presentar una solicitud por escrito, es decir, la entrega de este documento resulta ser un requisito indispensable para poder prestar servicios dentro de la Administración Pública.</w:t>
      </w:r>
    </w:p>
    <w:p w14:paraId="74AFD8F9" w14:textId="77777777" w:rsidR="00AB716F" w:rsidRPr="002002A1" w:rsidRDefault="00AB716F" w:rsidP="00D636D3">
      <w:pPr>
        <w:tabs>
          <w:tab w:val="left" w:pos="0"/>
        </w:tabs>
        <w:spacing w:line="360" w:lineRule="auto"/>
        <w:ind w:right="-992"/>
        <w:jc w:val="both"/>
        <w:rPr>
          <w:rFonts w:ascii="Palatino Linotype" w:hAnsi="Palatino Linotype"/>
          <w:lang w:val="es-ES"/>
        </w:rPr>
      </w:pPr>
    </w:p>
    <w:p w14:paraId="1923AF69" w14:textId="77777777" w:rsidR="00AB716F" w:rsidRPr="002002A1" w:rsidRDefault="00AB716F" w:rsidP="00D636D3">
      <w:pPr>
        <w:pStyle w:val="Prrafodelista"/>
        <w:numPr>
          <w:ilvl w:val="0"/>
          <w:numId w:val="2"/>
        </w:numPr>
        <w:tabs>
          <w:tab w:val="left" w:pos="0"/>
        </w:tabs>
        <w:spacing w:line="360" w:lineRule="auto"/>
        <w:ind w:left="0" w:right="-992" w:firstLine="0"/>
        <w:jc w:val="both"/>
        <w:rPr>
          <w:rFonts w:ascii="Palatino Linotype" w:hAnsi="Palatino Linotype"/>
          <w:lang w:val="es-ES"/>
        </w:rPr>
      </w:pPr>
      <w:r w:rsidRPr="002002A1">
        <w:rPr>
          <w:rFonts w:ascii="Palatino Linotype" w:hAnsi="Palatino Linotype"/>
          <w:lang w:val="es-ES"/>
        </w:rPr>
        <w:t>Bajo este orden de ideas, este documento si bien, cuenta con datos personales que en nada abonan a la transparencia y rendición de cuentas, ya que atañen únicamente a la esfera privada del servidor público, también lo es que además de contener información que acredita el nivel académico o preparación de los servidores públicos, es un requisito indispensable de ingreso al servicio público, por lo que, su acceso toma relevancia al guardar relación directa con la contratación del servidor público y con el ejercicio de sus atribuciones.</w:t>
      </w:r>
    </w:p>
    <w:p w14:paraId="090D18CD" w14:textId="77777777" w:rsidR="00AB716F" w:rsidRPr="002002A1" w:rsidRDefault="00AB716F" w:rsidP="00AB716F">
      <w:pPr>
        <w:tabs>
          <w:tab w:val="left" w:pos="8222"/>
        </w:tabs>
        <w:spacing w:line="360" w:lineRule="auto"/>
        <w:ind w:right="49"/>
        <w:jc w:val="both"/>
        <w:rPr>
          <w:rFonts w:ascii="Palatino Linotype" w:hAnsi="Palatino Linotype"/>
          <w:lang w:val="es-ES"/>
        </w:rPr>
      </w:pPr>
    </w:p>
    <w:p w14:paraId="567D3927" w14:textId="77777777" w:rsidR="00AB716F" w:rsidRPr="002002A1" w:rsidRDefault="00AB716F" w:rsidP="00D636D3">
      <w:pPr>
        <w:pStyle w:val="Prrafodelista"/>
        <w:numPr>
          <w:ilvl w:val="0"/>
          <w:numId w:val="2"/>
        </w:numPr>
        <w:tabs>
          <w:tab w:val="left" w:pos="0"/>
        </w:tabs>
        <w:spacing w:line="360" w:lineRule="auto"/>
        <w:ind w:left="0" w:right="-992" w:firstLine="0"/>
        <w:jc w:val="both"/>
        <w:rPr>
          <w:rFonts w:ascii="Palatino Linotype" w:hAnsi="Palatino Linotype"/>
          <w:lang w:val="es-ES"/>
        </w:rPr>
      </w:pPr>
      <w:r w:rsidRPr="002002A1">
        <w:rPr>
          <w:rFonts w:ascii="Palatino Linotype" w:hAnsi="Palatino Linotype"/>
          <w:lang w:val="es-ES"/>
        </w:rPr>
        <w:t xml:space="preserve">De esta manera, se trata de un documento de interés público, que contiene datos que actualizan la causal de clasificación establecida en el artículo 143, fracción I, de la Ley de Transparencia y Acceso a la Información Pública del Estado de México y Municipios, por lo tanto, deben proporcionarse en versión pública, toda vez que no fue adjuntado en respuesta </w:t>
      </w:r>
    </w:p>
    <w:p w14:paraId="1D066E5A" w14:textId="77777777" w:rsidR="00AB716F" w:rsidRPr="002002A1" w:rsidRDefault="00AB716F" w:rsidP="00AB716F">
      <w:pPr>
        <w:tabs>
          <w:tab w:val="left" w:pos="8222"/>
        </w:tabs>
        <w:spacing w:line="360" w:lineRule="auto"/>
        <w:ind w:right="49"/>
        <w:jc w:val="both"/>
        <w:rPr>
          <w:rFonts w:ascii="Palatino Linotype" w:eastAsia="Palatino Linotype" w:hAnsi="Palatino Linotype" w:cs="Palatino Linotype"/>
          <w:b/>
          <w:lang w:val="es-ES"/>
        </w:rPr>
      </w:pPr>
    </w:p>
    <w:p w14:paraId="1AC43CBA" w14:textId="77777777" w:rsidR="00AB716F" w:rsidRPr="002002A1" w:rsidRDefault="00AB716F" w:rsidP="00AB716F">
      <w:pPr>
        <w:tabs>
          <w:tab w:val="left" w:pos="8222"/>
        </w:tabs>
        <w:spacing w:line="360" w:lineRule="auto"/>
        <w:ind w:right="49"/>
        <w:jc w:val="both"/>
        <w:rPr>
          <w:rFonts w:ascii="Palatino Linotype" w:eastAsia="Palatino Linotype" w:hAnsi="Palatino Linotype" w:cs="Palatino Linotype"/>
          <w:b/>
          <w:lang w:val="es-ES"/>
        </w:rPr>
      </w:pPr>
      <w:r w:rsidRPr="002002A1">
        <w:rPr>
          <w:rFonts w:ascii="Palatino Linotype" w:eastAsia="Palatino Linotype" w:hAnsi="Palatino Linotype" w:cs="Palatino Linotype"/>
          <w:b/>
          <w:lang w:val="es-ES"/>
        </w:rPr>
        <w:t>Curriculum vitae.</w:t>
      </w:r>
    </w:p>
    <w:p w14:paraId="755A70BA" w14:textId="2AAAB083"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El acreditar los conocimientos o aptitudes </w:t>
      </w:r>
      <w:r w:rsidR="0082122D" w:rsidRPr="002002A1">
        <w:rPr>
          <w:rFonts w:ascii="Palatino Linotype" w:eastAsia="Palatino Linotype" w:hAnsi="Palatino Linotype" w:cs="Palatino Linotype"/>
        </w:rPr>
        <w:t>necesarias</w:t>
      </w:r>
      <w:r w:rsidRPr="002002A1">
        <w:rPr>
          <w:rFonts w:ascii="Palatino Linotype" w:eastAsia="Palatino Linotype" w:hAnsi="Palatino Linotype" w:cs="Palatino Linotype"/>
        </w:rPr>
        <w:t xml:space="preserve"> para el desempeño del puesto mediante exámenes correspondientes debe ponderarse según el caso en concreto, amerita mencionar que el documento que colmaría de manera enunciativa más no limitativa a lo relacionado a los conocimientos y aptitudes con los que cuenta para desempeñar sus funciones sería el Curriculum Vitae.</w:t>
      </w:r>
    </w:p>
    <w:p w14:paraId="29A38283" w14:textId="77777777" w:rsidR="00D636D3" w:rsidRPr="002002A1" w:rsidRDefault="00D636D3" w:rsidP="00D636D3">
      <w:pPr>
        <w:pStyle w:val="Prrafodelista"/>
        <w:spacing w:before="240" w:after="240" w:line="360" w:lineRule="auto"/>
        <w:ind w:left="0" w:right="-992"/>
        <w:jc w:val="both"/>
        <w:rPr>
          <w:rFonts w:ascii="Palatino Linotype" w:eastAsia="Palatino Linotype" w:hAnsi="Palatino Linotype" w:cs="Palatino Linotype"/>
        </w:rPr>
      </w:pPr>
    </w:p>
    <w:p w14:paraId="00D2A7A5"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En ese orden de ideas, respecto al nivel académico, es susceptible señalar el artículo 47 de la Ley del Trabajo de los Servidores Públicos del Estado y Municipios, refiere que para ingresar al servicio público se requiere, entre otras cosas, cumplir con los requisitos que se establezcan para los diferentes puestos, como es el nivel académico. </w:t>
      </w:r>
    </w:p>
    <w:p w14:paraId="2C76266E" w14:textId="77777777" w:rsidR="00D636D3" w:rsidRPr="002002A1" w:rsidRDefault="00D636D3" w:rsidP="00D636D3">
      <w:pPr>
        <w:pStyle w:val="Prrafodelista"/>
        <w:rPr>
          <w:rFonts w:ascii="Palatino Linotype" w:eastAsia="Palatino Linotype" w:hAnsi="Palatino Linotype" w:cs="Palatino Linotype"/>
        </w:rPr>
      </w:pPr>
    </w:p>
    <w:p w14:paraId="4BAD1A5C"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Por su parte, el </w:t>
      </w:r>
      <w:r w:rsidRPr="002002A1">
        <w:rPr>
          <w:rFonts w:ascii="Palatino Linotype" w:eastAsia="Palatino Linotype" w:hAnsi="Palatino Linotype" w:cs="Palatino Linotype"/>
          <w:i/>
        </w:rPr>
        <w:t>curriculum vitae</w:t>
      </w:r>
      <w:r w:rsidRPr="002002A1">
        <w:rPr>
          <w:rFonts w:ascii="Palatino Linotype" w:eastAsia="Palatino Linotype" w:hAnsi="Palatino Linotype" w:cs="Palatino Linotype"/>
        </w:rPr>
        <w:t>, es el documento que las personas elaboran con los datos de identificación y contacto</w:t>
      </w:r>
      <w:r w:rsidRPr="002002A1">
        <w:rPr>
          <w:rFonts w:ascii="Palatino Linotype" w:eastAsia="Palatino Linotype" w:hAnsi="Palatino Linotype" w:cs="Palatino Linotype"/>
          <w:u w:val="single"/>
        </w:rPr>
        <w:t xml:space="preserve">, </w:t>
      </w:r>
      <w:r w:rsidRPr="002002A1">
        <w:rPr>
          <w:rFonts w:ascii="Palatino Linotype" w:eastAsia="Palatino Linotype" w:hAnsi="Palatino Linotype" w:cs="Palatino Linotype"/>
          <w:b/>
          <w:u w:val="single"/>
        </w:rPr>
        <w:t>preparación académica y experiencia profesion</w:t>
      </w:r>
      <w:r w:rsidRPr="002002A1">
        <w:rPr>
          <w:rFonts w:ascii="Palatino Linotype" w:eastAsia="Palatino Linotype" w:hAnsi="Palatino Linotype" w:cs="Palatino Linotype"/>
          <w:b/>
        </w:rPr>
        <w:t>al,</w:t>
      </w:r>
      <w:r w:rsidRPr="002002A1">
        <w:rPr>
          <w:rFonts w:ascii="Palatino Linotype" w:eastAsia="Palatino Linotype" w:hAnsi="Palatino Linotype" w:cs="Palatino Linotype"/>
        </w:rPr>
        <w:t xml:space="preserve"> para presentarse ante un posible empleador. En este sentido, los documentos que dan cuenta de la preparación académica sirven como medios de identificación para que a su titular lo relacionen con el nivel de estudios con que cuenta y, por lo que hace al </w:t>
      </w:r>
      <w:r w:rsidRPr="002002A1">
        <w:rPr>
          <w:rFonts w:ascii="Palatino Linotype" w:eastAsia="Palatino Linotype" w:hAnsi="Palatino Linotype" w:cs="Palatino Linotype"/>
          <w:i/>
        </w:rPr>
        <w:t>curriculum vitae</w:t>
      </w:r>
      <w:r w:rsidRPr="002002A1">
        <w:rPr>
          <w:rFonts w:ascii="Palatino Linotype" w:eastAsia="Palatino Linotype" w:hAnsi="Palatino Linotype" w:cs="Palatino Linotype"/>
          <w:b/>
          <w:u w:val="single"/>
        </w:rPr>
        <w:t>, se le suma la experiencia laboral</w:t>
      </w:r>
      <w:r w:rsidRPr="002002A1">
        <w:rPr>
          <w:rFonts w:ascii="Palatino Linotype" w:eastAsia="Palatino Linotype" w:hAnsi="Palatino Linotype" w:cs="Palatino Linotype"/>
        </w:rPr>
        <w:t xml:space="preserve"> </w:t>
      </w:r>
      <w:r w:rsidRPr="002002A1">
        <w:rPr>
          <w:rFonts w:ascii="Palatino Linotype" w:eastAsia="Palatino Linotype" w:hAnsi="Palatino Linotype" w:cs="Palatino Linotype"/>
          <w:b/>
          <w:u w:val="single"/>
        </w:rPr>
        <w:t xml:space="preserve">pues permiten identificar el nivel y tipo de preparación de su titular y en su caso su perfil profesional </w:t>
      </w:r>
      <w:r w:rsidRPr="002002A1">
        <w:rPr>
          <w:rFonts w:ascii="Palatino Linotype" w:eastAsia="Palatino Linotype" w:hAnsi="Palatino Linotype" w:cs="Palatino Linotype"/>
        </w:rPr>
        <w:t>o laboral.</w:t>
      </w:r>
    </w:p>
    <w:p w14:paraId="4AD91CF1" w14:textId="77777777" w:rsidR="00D636D3" w:rsidRPr="002002A1" w:rsidRDefault="00D636D3" w:rsidP="00D636D3">
      <w:pPr>
        <w:pStyle w:val="Prrafodelista"/>
        <w:rPr>
          <w:rFonts w:ascii="Palatino Linotype" w:eastAsia="Palatino Linotype" w:hAnsi="Palatino Linotype" w:cs="Palatino Linotype"/>
        </w:rPr>
      </w:pPr>
    </w:p>
    <w:p w14:paraId="06381FB9"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b/>
        </w:rPr>
      </w:pPr>
      <w:r w:rsidRPr="002002A1">
        <w:rPr>
          <w:rFonts w:ascii="Palatino Linotype" w:eastAsia="Palatino Linotype" w:hAnsi="Palatino Linotype" w:cs="Palatino Linotype"/>
        </w:rPr>
        <w:t xml:space="preserve">El </w:t>
      </w:r>
      <w:r w:rsidRPr="002002A1">
        <w:rPr>
          <w:rFonts w:ascii="Palatino Linotype" w:eastAsia="Palatino Linotype" w:hAnsi="Palatino Linotype" w:cs="Palatino Linotype"/>
          <w:i/>
        </w:rPr>
        <w:t>curriculum vitae</w:t>
      </w:r>
      <w:r w:rsidRPr="002002A1">
        <w:rPr>
          <w:rFonts w:ascii="Palatino Linotype" w:eastAsia="Palatino Linotype" w:hAnsi="Palatino Linotype" w:cs="Palatino Linotype"/>
        </w:rPr>
        <w:t xml:space="preserve">, proporciona información valiosa sobre la experiencia académica de quienes ocupan cargos en la administración pública, permite conocer con toda certeza y de manera indudable si las personas que se desempeñan como servidores públicos </w:t>
      </w:r>
      <w:r w:rsidRPr="002002A1">
        <w:rPr>
          <w:rFonts w:ascii="Palatino Linotype" w:eastAsia="Palatino Linotype" w:hAnsi="Palatino Linotype" w:cs="Palatino Linotype"/>
          <w:b/>
          <w:u w:val="single"/>
        </w:rPr>
        <w:t>tienen el perfil idóneo para desarrollar las actividades y atribuciones que se deriven de su encargo</w:t>
      </w:r>
      <w:r w:rsidRPr="002002A1">
        <w:rPr>
          <w:rFonts w:ascii="Palatino Linotype" w:eastAsia="Palatino Linotype" w:hAnsi="Palatino Linotype" w:cs="Palatino Linotype"/>
        </w:rPr>
        <w:t>.</w:t>
      </w:r>
      <w:r w:rsidRPr="002002A1">
        <w:rPr>
          <w:rFonts w:ascii="Palatino Linotype" w:eastAsia="Palatino Linotype" w:hAnsi="Palatino Linotype" w:cs="Palatino Linotype"/>
          <w:b/>
        </w:rPr>
        <w:t xml:space="preserve"> </w:t>
      </w:r>
    </w:p>
    <w:p w14:paraId="3225AB57" w14:textId="77777777" w:rsidR="00D636D3" w:rsidRPr="002002A1" w:rsidRDefault="00D636D3" w:rsidP="00D636D3">
      <w:pPr>
        <w:pStyle w:val="Prrafodelista"/>
        <w:rPr>
          <w:rFonts w:ascii="Palatino Linotype" w:eastAsia="Palatino Linotype" w:hAnsi="Palatino Linotype" w:cs="Palatino Linotype"/>
          <w:b/>
        </w:rPr>
      </w:pPr>
    </w:p>
    <w:p w14:paraId="6A2AE5BF"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El </w:t>
      </w:r>
      <w:r w:rsidRPr="002002A1">
        <w:rPr>
          <w:rFonts w:ascii="Palatino Linotype" w:eastAsia="Palatino Linotype" w:hAnsi="Palatino Linotype" w:cs="Palatino Linotype"/>
          <w:i/>
        </w:rPr>
        <w:t>curriculum vitae</w:t>
      </w:r>
      <w:r w:rsidRPr="002002A1">
        <w:rPr>
          <w:rFonts w:ascii="Palatino Linotype" w:eastAsia="Palatino Linotype" w:hAnsi="Palatino Linotype" w:cs="Palatino Linotype"/>
        </w:rPr>
        <w:t xml:space="preserve">, si bien, se trata de un documento elaborado por cada persona, sin ninguna validez oficial, este documento también tiene por objetivo que las personas puedan conocer la trayectoria de quien lo presenta; por lo que, existe un interés público para dar a conocer dicha información, pues transparenta que el personal que labora para el </w:t>
      </w:r>
      <w:r w:rsidRPr="002002A1">
        <w:rPr>
          <w:rFonts w:ascii="Palatino Linotype" w:eastAsia="Palatino Linotype" w:hAnsi="Palatino Linotype" w:cs="Palatino Linotype"/>
          <w:b/>
        </w:rPr>
        <w:t>Sujeto Obligado</w:t>
      </w:r>
      <w:r w:rsidRPr="002002A1">
        <w:rPr>
          <w:rFonts w:ascii="Palatino Linotype" w:eastAsia="Palatino Linotype" w:hAnsi="Palatino Linotype" w:cs="Palatino Linotype"/>
        </w:rPr>
        <w:t xml:space="preserve"> cuenta con las capacidades, conocimientos y experiencia necesaria para cumplir con sus funciones.</w:t>
      </w:r>
    </w:p>
    <w:p w14:paraId="0ABCB29F" w14:textId="77777777" w:rsidR="00D636D3" w:rsidRPr="002002A1" w:rsidRDefault="00D636D3" w:rsidP="00D636D3">
      <w:pPr>
        <w:pStyle w:val="Prrafodelista"/>
        <w:rPr>
          <w:rFonts w:ascii="Palatino Linotype" w:eastAsia="Palatino Linotype" w:hAnsi="Palatino Linotype" w:cs="Palatino Linotype"/>
        </w:rPr>
      </w:pPr>
    </w:p>
    <w:p w14:paraId="041D3643"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lastRenderedPageBreak/>
        <w:t xml:space="preserve">Lo anterior, se robustece con la fracción XXI, del artículo 92, de la Ley de Transparencia y Acceso a la Información Pública del Estado de México y Municipios, que establece que la información curricular es información que deben de poner a disposición del público los sujetos obligados, en el presente caso, la Secretaría de Desarrollo Social. </w:t>
      </w:r>
    </w:p>
    <w:p w14:paraId="6FB75A2A" w14:textId="77777777" w:rsidR="00D636D3" w:rsidRPr="002002A1" w:rsidRDefault="00D636D3" w:rsidP="00D636D3">
      <w:pPr>
        <w:pStyle w:val="Prrafodelista"/>
        <w:rPr>
          <w:rFonts w:ascii="Palatino Linotype" w:eastAsia="Palatino Linotype" w:hAnsi="Palatino Linotype" w:cs="Palatino Linotype"/>
        </w:rPr>
      </w:pPr>
    </w:p>
    <w:p w14:paraId="680AF571"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Asimismo, toma relevancia, pues conforme al formato 17 LGT_Art_70_Fr_XVII (Información curricular y las sanciones administrativas definitivas de los(as) servidores(as) públicas(os) y/o personas que desempeñen un empleo, cargo o comisión) de los Lineamientos técnicos generales para la publicación, homologación y estandarización de la información de las obligaciones establecidas en el título quinto y en la fracción IV del artículo 31 de la </w:t>
      </w:r>
      <w:r w:rsidR="009A0893" w:rsidRPr="002002A1">
        <w:rPr>
          <w:rFonts w:ascii="Palatino Linotype" w:eastAsia="Palatino Linotype" w:hAnsi="Palatino Linotype" w:cs="Palatino Linotype"/>
        </w:rPr>
        <w:t xml:space="preserve">entonces </w:t>
      </w:r>
      <w:r w:rsidRPr="002002A1">
        <w:rPr>
          <w:rFonts w:ascii="Palatino Linotype" w:eastAsia="Palatino Linotype" w:hAnsi="Palatino Linotype" w:cs="Palatino Linotype"/>
        </w:rPr>
        <w:t xml:space="preserve">Ley General de Transparencia y Acceso a la Información Pública, que deben de difundir los sujetos obligados en los portales de Internet y en la Plataforma Nacional de Transparencia, establece como datos a publicar, de los servidores públicos, </w:t>
      </w:r>
      <w:r w:rsidRPr="002002A1">
        <w:rPr>
          <w:rFonts w:ascii="Palatino Linotype" w:eastAsia="Palatino Linotype" w:hAnsi="Palatino Linotype" w:cs="Palatino Linotype"/>
          <w:b/>
          <w:u w:val="single"/>
        </w:rPr>
        <w:t>el nivel máximo de estudios concluido y comprobable, así como la experiencia laboral</w:t>
      </w:r>
      <w:r w:rsidRPr="002002A1">
        <w:rPr>
          <w:rFonts w:ascii="Palatino Linotype" w:eastAsia="Palatino Linotype" w:hAnsi="Palatino Linotype" w:cs="Palatino Linotype"/>
        </w:rPr>
        <w:t>, concerniente a los tres últimos empleos, tal como se muestra continuación:</w:t>
      </w:r>
    </w:p>
    <w:p w14:paraId="0776D761" w14:textId="77777777" w:rsidR="00AB716F" w:rsidRPr="002002A1" w:rsidRDefault="00AB716F" w:rsidP="00AB716F">
      <w:pPr>
        <w:spacing w:before="240" w:after="240" w:line="360" w:lineRule="auto"/>
        <w:jc w:val="center"/>
        <w:rPr>
          <w:rFonts w:ascii="Palatino Linotype" w:eastAsia="Palatino Linotype" w:hAnsi="Palatino Linotype" w:cs="Palatino Linotype"/>
          <w:sz w:val="22"/>
          <w:szCs w:val="22"/>
        </w:rPr>
      </w:pPr>
      <w:r w:rsidRPr="002002A1">
        <w:rPr>
          <w:rFonts w:ascii="Palatino Linotype" w:eastAsia="Palatino Linotype" w:hAnsi="Palatino Linotype" w:cs="Palatino Linotype"/>
          <w:noProof/>
          <w:sz w:val="22"/>
          <w:szCs w:val="22"/>
        </w:rPr>
        <w:drawing>
          <wp:inline distT="0" distB="0" distL="0" distR="0" wp14:anchorId="207527F0" wp14:editId="4989D793">
            <wp:extent cx="4280250" cy="1476600"/>
            <wp:effectExtent l="0" t="0" r="0" b="0"/>
            <wp:docPr id="119" name="image5.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Tabla&#10;&#10;Descripción generada automáticamente"/>
                    <pic:cNvPicPr preferRelativeResize="0"/>
                  </pic:nvPicPr>
                  <pic:blipFill>
                    <a:blip r:embed="rId9"/>
                    <a:srcRect t="24638"/>
                    <a:stretch>
                      <a:fillRect/>
                    </a:stretch>
                  </pic:blipFill>
                  <pic:spPr>
                    <a:xfrm>
                      <a:off x="0" y="0"/>
                      <a:ext cx="4280250" cy="1476600"/>
                    </a:xfrm>
                    <a:prstGeom prst="rect">
                      <a:avLst/>
                    </a:prstGeom>
                    <a:ln/>
                  </pic:spPr>
                </pic:pic>
              </a:graphicData>
            </a:graphic>
          </wp:inline>
        </w:drawing>
      </w:r>
      <w:r w:rsidRPr="002002A1">
        <w:rPr>
          <w:rFonts w:ascii="Calibri" w:eastAsia="Calibri" w:hAnsi="Calibri" w:cs="Calibri"/>
          <w:noProof/>
          <w:sz w:val="22"/>
          <w:szCs w:val="22"/>
        </w:rPr>
        <mc:AlternateContent>
          <mc:Choice Requires="wps">
            <w:drawing>
              <wp:anchor distT="0" distB="0" distL="114300" distR="114300" simplePos="0" relativeHeight="251659264" behindDoc="0" locked="0" layoutInCell="1" hidden="0" allowOverlap="1" wp14:anchorId="481FF922" wp14:editId="0DA55D87">
                <wp:simplePos x="0" y="0"/>
                <wp:positionH relativeFrom="column">
                  <wp:posOffset>711200</wp:posOffset>
                </wp:positionH>
                <wp:positionV relativeFrom="paragraph">
                  <wp:posOffset>444500</wp:posOffset>
                </wp:positionV>
                <wp:extent cx="4311650" cy="965620"/>
                <wp:effectExtent l="0" t="0" r="0" b="0"/>
                <wp:wrapNone/>
                <wp:docPr id="114" name="Rectángulo 114"/>
                <wp:cNvGraphicFramePr/>
                <a:graphic xmlns:a="http://schemas.openxmlformats.org/drawingml/2006/main">
                  <a:graphicData uri="http://schemas.microsoft.com/office/word/2010/wordprocessingShape">
                    <wps:wsp>
                      <wps:cNvSpPr/>
                      <wps:spPr>
                        <a:xfrm>
                          <a:off x="3233038" y="3340053"/>
                          <a:ext cx="4225925" cy="879895"/>
                        </a:xfrm>
                        <a:prstGeom prst="rect">
                          <a:avLst/>
                        </a:prstGeom>
                        <a:noFill/>
                        <a:ln w="28575" cap="flat" cmpd="sng">
                          <a:solidFill>
                            <a:srgbClr val="000000"/>
                          </a:solidFill>
                          <a:prstDash val="solid"/>
                          <a:miter lim="800000"/>
                          <a:headEnd type="none" w="sm" len="sm"/>
                          <a:tailEnd type="none" w="sm" len="sm"/>
                        </a:ln>
                      </wps:spPr>
                      <wps:txbx>
                        <w:txbxContent>
                          <w:p w14:paraId="57D94F3E" w14:textId="77777777" w:rsidR="0082122D" w:rsidRDefault="0082122D" w:rsidP="00AB716F">
                            <w:pPr>
                              <w:textDirection w:val="btLr"/>
                            </w:pPr>
                          </w:p>
                        </w:txbxContent>
                      </wps:txbx>
                      <wps:bodyPr spcFirstLastPara="1" wrap="square" lIns="91425" tIns="91425" rIns="91425" bIns="91425" anchor="ctr" anchorCtr="0">
                        <a:noAutofit/>
                      </wps:bodyPr>
                    </wps:wsp>
                  </a:graphicData>
                </a:graphic>
              </wp:anchor>
            </w:drawing>
          </mc:Choice>
          <mc:Fallback>
            <w:pict>
              <v:rect w14:anchorId="481FF922" id="Rectángulo 114" o:spid="_x0000_s1026" style="position:absolute;left:0;text-align:left;margin-left:56pt;margin-top:35pt;width:339.5pt;height:76.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" filled="f" strokeweight="2.25pt">
                <v:stroke startarrowwidth="narrow" startarrowlength="short" endarrowwidth="narrow" endarrowlength="short"/>
                <v:textbox inset="2.53958mm,2.53958mm,2.53958mm,2.53958mm">
                  <w:txbxContent>
                    <w:p w14:paraId="57D94F3E" w14:textId="77777777" w:rsidR="0082122D" w:rsidRDefault="0082122D" w:rsidP="00AB716F">
                      <w:pPr>
                        <w:textDirection w:val="btLr"/>
                      </w:pPr>
                    </w:p>
                  </w:txbxContent>
                </v:textbox>
              </v:rect>
            </w:pict>
          </mc:Fallback>
        </mc:AlternateContent>
      </w:r>
    </w:p>
    <w:p w14:paraId="75316A38"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En ese contexto, según Islas, Jorge (2016), en la </w:t>
      </w:r>
      <w:r w:rsidR="009A0893" w:rsidRPr="002002A1">
        <w:rPr>
          <w:rFonts w:ascii="Palatino Linotype" w:eastAsia="Palatino Linotype" w:hAnsi="Palatino Linotype" w:cs="Palatino Linotype"/>
        </w:rPr>
        <w:t xml:space="preserve">entonces </w:t>
      </w:r>
      <w:r w:rsidRPr="002002A1">
        <w:rPr>
          <w:rFonts w:ascii="Palatino Linotype" w:eastAsia="Palatino Linotype" w:hAnsi="Palatino Linotype" w:cs="Palatino Linotype"/>
        </w:rPr>
        <w:t xml:space="preserve">“Ley General de Transparencia y Acceso a la Información Pública Comentada” (p. 244), refirió que el </w:t>
      </w:r>
      <w:r w:rsidRPr="002002A1">
        <w:rPr>
          <w:rFonts w:ascii="Palatino Linotype" w:eastAsia="Palatino Linotype" w:hAnsi="Palatino Linotype" w:cs="Palatino Linotype"/>
          <w:b/>
          <w:i/>
        </w:rPr>
        <w:t>curriculum vitae</w:t>
      </w:r>
      <w:r w:rsidRPr="002002A1">
        <w:rPr>
          <w:rFonts w:ascii="Palatino Linotype" w:eastAsia="Palatino Linotype" w:hAnsi="Palatino Linotype" w:cs="Palatino Linotype"/>
          <w:b/>
        </w:rPr>
        <w:t xml:space="preserve"> </w:t>
      </w:r>
      <w:r w:rsidRPr="002002A1">
        <w:rPr>
          <w:rFonts w:ascii="Palatino Linotype" w:eastAsia="Palatino Linotype" w:hAnsi="Palatino Linotype" w:cs="Palatino Linotype"/>
        </w:rPr>
        <w:t>d</w:t>
      </w:r>
      <w:r w:rsidRPr="002002A1">
        <w:rPr>
          <w:rFonts w:ascii="Palatino Linotype" w:eastAsia="Palatino Linotype" w:hAnsi="Palatino Linotype" w:cs="Palatino Linotype"/>
          <w:b/>
        </w:rPr>
        <w:t xml:space="preserve">e un servidor público, justifica que su formación académica resulta viable para el desempeño </w:t>
      </w:r>
      <w:r w:rsidRPr="002002A1">
        <w:rPr>
          <w:rFonts w:ascii="Palatino Linotype" w:eastAsia="Palatino Linotype" w:hAnsi="Palatino Linotype" w:cs="Palatino Linotype"/>
          <w:b/>
        </w:rPr>
        <w:lastRenderedPageBreak/>
        <w:t>eficiente y correcto de su encargo; lo anterior, con el fin de acreditar que dichos trabajadores sean los más capacitados acordes al área solicitada.</w:t>
      </w:r>
    </w:p>
    <w:p w14:paraId="03C4D936" w14:textId="77777777" w:rsidR="00D636D3" w:rsidRPr="002002A1" w:rsidRDefault="00D636D3" w:rsidP="00D636D3">
      <w:pPr>
        <w:pStyle w:val="Prrafodelista"/>
        <w:spacing w:before="240" w:after="240" w:line="360" w:lineRule="auto"/>
        <w:ind w:left="0" w:right="-992"/>
        <w:jc w:val="both"/>
        <w:rPr>
          <w:rFonts w:ascii="Palatino Linotype" w:eastAsia="Palatino Linotype" w:hAnsi="Palatino Linotype" w:cs="Palatino Linotype"/>
        </w:rPr>
      </w:pPr>
    </w:p>
    <w:p w14:paraId="31CDB1A1"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Se robustece lo anterior, con el </w:t>
      </w:r>
      <w:r w:rsidRPr="002002A1">
        <w:rPr>
          <w:rFonts w:ascii="Palatino Linotype" w:eastAsia="Palatino Linotype" w:hAnsi="Palatino Linotype" w:cs="Palatino Linotype"/>
          <w:b/>
        </w:rPr>
        <w:t>Criterio 03/09</w:t>
      </w:r>
      <w:r w:rsidRPr="002002A1">
        <w:rPr>
          <w:rFonts w:ascii="Palatino Linotype" w:eastAsia="Palatino Linotype" w:hAnsi="Palatino Linotype" w:cs="Palatino Linotype"/>
        </w:rPr>
        <w:t>, emitido por el Pleno del entonces Instituto Federal de Acceso a la Información y Protección de Datos, que prevé lo siguiente:</w:t>
      </w:r>
    </w:p>
    <w:p w14:paraId="3B242C21" w14:textId="77777777" w:rsidR="00AB716F" w:rsidRPr="002002A1" w:rsidRDefault="00AB716F" w:rsidP="00AB716F">
      <w:pPr>
        <w:spacing w:before="240" w:after="240" w:line="276" w:lineRule="auto"/>
        <w:ind w:left="567" w:right="567"/>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b/>
          <w:i/>
          <w:sz w:val="20"/>
          <w:szCs w:val="20"/>
        </w:rPr>
        <w:t>“</w:t>
      </w:r>
      <w:r w:rsidRPr="002002A1">
        <w:rPr>
          <w:rFonts w:ascii="Palatino Linotype" w:eastAsia="Palatino Linotype" w:hAnsi="Palatino Linotype" w:cs="Palatino Linotype"/>
          <w:b/>
          <w:i/>
          <w:sz w:val="22"/>
          <w:szCs w:val="22"/>
        </w:rPr>
        <w:t>Curriculum Vitae de servidores públicos. Es obligación de los sujetos obligados otorgar acceso a versiones públicas de los mismos ante una solicitud de acceso.</w:t>
      </w:r>
      <w:r w:rsidRPr="002002A1">
        <w:rPr>
          <w:rFonts w:ascii="Palatino Linotype" w:eastAsia="Palatino Linotype" w:hAnsi="Palatino Linotype" w:cs="Palatino Linotype"/>
          <w:i/>
          <w:sz w:val="22"/>
          <w:szCs w:val="22"/>
        </w:rPr>
        <w:t xml:space="preserve">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curriculum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w:t>
      </w:r>
      <w:r w:rsidRPr="002002A1">
        <w:rPr>
          <w:rFonts w:ascii="Palatino Linotype" w:eastAsia="Palatino Linotype" w:hAnsi="Palatino Linotype" w:cs="Palatino Linotype"/>
          <w:b/>
          <w:i/>
          <w:sz w:val="22"/>
          <w:szCs w:val="22"/>
          <w:u w:val="single"/>
        </w:rPr>
        <w:t>se encuentran los relativos a su trayectoria académic</w:t>
      </w:r>
      <w:r w:rsidRPr="002002A1">
        <w:rPr>
          <w:rFonts w:ascii="Palatino Linotype" w:eastAsia="Palatino Linotype" w:hAnsi="Palatino Linotype" w:cs="Palatino Linotype"/>
          <w:i/>
          <w:sz w:val="22"/>
          <w:szCs w:val="22"/>
        </w:rPr>
        <w:t>a, profesional, laboral, así como todos aquellos que acrediten su capacidad, habilidades o pericia para ocupar el cargo público.”</w:t>
      </w:r>
    </w:p>
    <w:p w14:paraId="75BDC221"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Del citado criterio, se desprende que una de las formas en que los ciudadanos pueden evaluar las aptitudes para desempeñar un cargo público determinado, es mediante la publicidad de ciertos datos contenidos en el </w:t>
      </w:r>
      <w:r w:rsidRPr="002002A1">
        <w:rPr>
          <w:rFonts w:ascii="Palatino Linotype" w:eastAsia="Palatino Linotype" w:hAnsi="Palatino Linotype" w:cs="Palatino Linotype"/>
          <w:i/>
        </w:rPr>
        <w:t xml:space="preserve">curriculum vitae, </w:t>
      </w:r>
      <w:r w:rsidRPr="002002A1">
        <w:rPr>
          <w:rFonts w:ascii="Palatino Linotype" w:eastAsia="Palatino Linotype" w:hAnsi="Palatino Linotype" w:cs="Palatino Linotype"/>
        </w:rPr>
        <w:t xml:space="preserve">tales como, </w:t>
      </w:r>
      <w:r w:rsidRPr="002002A1">
        <w:rPr>
          <w:rFonts w:ascii="Palatino Linotype" w:eastAsia="Palatino Linotype" w:hAnsi="Palatino Linotype" w:cs="Palatino Linotype"/>
          <w:b/>
          <w:u w:val="single"/>
        </w:rPr>
        <w:t>la trayectoria académica, profesional, laboral, así como todos aquellos que acrediten su capacidad, habilidades pericia para ocupar el puesto público</w:t>
      </w:r>
      <w:r w:rsidRPr="002002A1">
        <w:rPr>
          <w:rFonts w:ascii="Palatino Linotype" w:eastAsia="Palatino Linotype" w:hAnsi="Palatino Linotype" w:cs="Palatino Linotype"/>
        </w:rPr>
        <w:t xml:space="preserve">. Lo anterior, para favorecer la rendición de </w:t>
      </w:r>
      <w:r w:rsidRPr="002002A1">
        <w:rPr>
          <w:rFonts w:ascii="Palatino Linotype" w:eastAsia="Palatino Linotype" w:hAnsi="Palatino Linotype" w:cs="Palatino Linotype"/>
        </w:rPr>
        <w:lastRenderedPageBreak/>
        <w:t xml:space="preserve">cuentas, pues la publicidad de lo anterior tiene como fin verificar el correcto desempeño de los sujetos obligados. Asimismo, es importante señalar, tal como ha expuesto en párrafos anteriores, que datos como el nombre y cargo de mandos medios y superiores, que se insertan en el </w:t>
      </w:r>
      <w:r w:rsidRPr="002002A1">
        <w:rPr>
          <w:rFonts w:ascii="Palatino Linotype" w:eastAsia="Palatino Linotype" w:hAnsi="Palatino Linotype" w:cs="Palatino Linotype"/>
          <w:i/>
        </w:rPr>
        <w:t xml:space="preserve">curriculum vitae </w:t>
      </w:r>
      <w:r w:rsidRPr="002002A1">
        <w:rPr>
          <w:rFonts w:ascii="Palatino Linotype" w:eastAsia="Palatino Linotype" w:hAnsi="Palatino Linotype" w:cs="Palatino Linotype"/>
        </w:rPr>
        <w:t xml:space="preserve">de servidores públicos del Sujeto Obligado tiene naturaleza pública, por lo que se observa que en el </w:t>
      </w:r>
      <w:r w:rsidRPr="002002A1">
        <w:rPr>
          <w:rFonts w:ascii="Palatino Linotype" w:eastAsia="Palatino Linotype" w:hAnsi="Palatino Linotype" w:cs="Palatino Linotype"/>
          <w:i/>
        </w:rPr>
        <w:t xml:space="preserve">curriculum vitae </w:t>
      </w:r>
      <w:r w:rsidRPr="002002A1">
        <w:rPr>
          <w:rFonts w:ascii="Palatino Linotype" w:eastAsia="Palatino Linotype" w:hAnsi="Palatino Linotype" w:cs="Palatino Linotype"/>
        </w:rPr>
        <w:t>se advierten los conocimientos o aptitudes necesarios para el desempeño del puesto, no obstante a esto,  los documentos que también pueden dar cuenta de ello, d</w:t>
      </w:r>
      <w:r w:rsidR="009A0893" w:rsidRPr="002002A1">
        <w:rPr>
          <w:rFonts w:ascii="Palatino Linotype" w:eastAsia="Palatino Linotype" w:hAnsi="Palatino Linotype" w:cs="Palatino Linotype"/>
        </w:rPr>
        <w:t>e conformidad con el artículo 139</w:t>
      </w:r>
      <w:r w:rsidRPr="002002A1">
        <w:rPr>
          <w:rFonts w:ascii="Palatino Linotype" w:eastAsia="Palatino Linotype" w:hAnsi="Palatino Linotype" w:cs="Palatino Linotype"/>
        </w:rPr>
        <w:t xml:space="preserve"> de la Ley de Educación del Estado de México, pudiera ser en efecto el certificado, constancias, diplomas. </w:t>
      </w:r>
    </w:p>
    <w:p w14:paraId="0BCD6B85" w14:textId="77777777" w:rsidR="00D636D3" w:rsidRPr="002002A1" w:rsidRDefault="00D636D3" w:rsidP="00D636D3">
      <w:pPr>
        <w:pStyle w:val="Prrafodelista"/>
        <w:spacing w:before="240" w:after="240" w:line="360" w:lineRule="auto"/>
        <w:ind w:left="0" w:right="-992"/>
        <w:jc w:val="both"/>
        <w:rPr>
          <w:rFonts w:ascii="Palatino Linotype" w:eastAsia="Palatino Linotype" w:hAnsi="Palatino Linotype" w:cs="Palatino Linotype"/>
        </w:rPr>
      </w:pPr>
    </w:p>
    <w:p w14:paraId="62A286C9" w14:textId="77777777" w:rsidR="00AB716F" w:rsidRPr="002002A1" w:rsidRDefault="00AB716F" w:rsidP="00AB716F">
      <w:pPr>
        <w:tabs>
          <w:tab w:val="left" w:pos="8222"/>
        </w:tabs>
        <w:spacing w:line="360" w:lineRule="auto"/>
        <w:ind w:right="49"/>
        <w:jc w:val="both"/>
        <w:rPr>
          <w:rFonts w:ascii="Palatino Linotype" w:eastAsia="Palatino Linotype" w:hAnsi="Palatino Linotype" w:cs="Palatino Linotype"/>
          <w:b/>
          <w:lang w:val="es-ES"/>
        </w:rPr>
      </w:pPr>
      <w:r w:rsidRPr="002002A1">
        <w:rPr>
          <w:rFonts w:ascii="Palatino Linotype" w:eastAsia="Palatino Linotype" w:hAnsi="Palatino Linotype" w:cs="Palatino Linotype"/>
          <w:b/>
          <w:lang w:val="es-ES"/>
        </w:rPr>
        <w:t>Documento que acredite la nacionalidad (acta de nacimiento)</w:t>
      </w:r>
    </w:p>
    <w:p w14:paraId="1019B313"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lang w:val="es-ES"/>
        </w:rPr>
        <w:t xml:space="preserve">Dentro de la fracción II del artículo 47 de la Ley del Trabajo de los Servidores Públicos del Estado de México, </w:t>
      </w:r>
      <w:r w:rsidRPr="002002A1">
        <w:rPr>
          <w:rFonts w:ascii="Palatino Linotype" w:eastAsia="Palatino Linotype" w:hAnsi="Palatino Linotype" w:cs="Palatino Linotype"/>
        </w:rPr>
        <w:t xml:space="preserve">el requisito consiste en ser de nacionalidad mexicana, por lo que el documento que colmaría este punto de la solicitud de manera enunciativa más no limitativa sería el acta de nacimiento, es por ello que conviene precisar que las actas emitidas por el Registro Civil dan cuenta de un atributo de la personalidad, tal como lo establece el artículo 2.3 del Código Civil del Estado México. En ese orden de ideas, el artículo 3.5 del citado Código Civil establece que el estado civil de las personas sólo se comprueba con las constancias relativas del Registro Civil, tal como lo es el Acta de Nacimiento. </w:t>
      </w:r>
    </w:p>
    <w:p w14:paraId="44F7A283" w14:textId="77777777" w:rsidR="00D636D3" w:rsidRPr="002002A1" w:rsidRDefault="00D636D3" w:rsidP="00D636D3">
      <w:pPr>
        <w:pStyle w:val="Prrafodelista"/>
        <w:spacing w:before="240" w:after="240" w:line="360" w:lineRule="auto"/>
        <w:ind w:left="0" w:right="-992"/>
        <w:jc w:val="both"/>
        <w:rPr>
          <w:rFonts w:ascii="Palatino Linotype" w:eastAsia="Palatino Linotype" w:hAnsi="Palatino Linotype" w:cs="Palatino Linotype"/>
        </w:rPr>
      </w:pPr>
    </w:p>
    <w:p w14:paraId="6B2267C9"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Ahora bien, de acuerdo con el Formato Único del Acta de Nacimiento publicado por la Secretaría de Gobernación en el enlace </w:t>
      </w:r>
      <w:hyperlink r:id="rId10" w:history="1">
        <w:r w:rsidRPr="002002A1">
          <w:rPr>
            <w:rFonts w:ascii="Palatino Linotype" w:eastAsia="Palatino Linotype" w:hAnsi="Palatino Linotype" w:cs="Palatino Linotype"/>
            <w:color w:val="0000FF"/>
            <w:u w:val="single"/>
          </w:rPr>
          <w:t>http://www.diputados.gob.mx/documentos/N_Acta_Nacimiento.pdf</w:t>
        </w:r>
      </w:hyperlink>
      <w:r w:rsidRPr="002002A1">
        <w:rPr>
          <w:rFonts w:ascii="Palatino Linotype" w:eastAsia="Palatino Linotype" w:hAnsi="Palatino Linotype" w:cs="Palatino Linotype"/>
        </w:rPr>
        <w:t xml:space="preserve"> , se advierte que el Acta de Nacimiento se componte de quince elementos siendo los siguientes: </w:t>
      </w:r>
    </w:p>
    <w:p w14:paraId="21F46EF3"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lastRenderedPageBreak/>
        <w:t>a) Folio de Impresión.</w:t>
      </w:r>
    </w:p>
    <w:p w14:paraId="39512D87"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b) Denominación del Documento.</w:t>
      </w:r>
    </w:p>
    <w:p w14:paraId="7A4C784B"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c) Identificador Electrónico. </w:t>
      </w:r>
    </w:p>
    <w:p w14:paraId="62AFD6CC"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d) Elementos del Registro. </w:t>
      </w:r>
    </w:p>
    <w:p w14:paraId="0ED02C33"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e) Datos de la Persona Registrada. </w:t>
      </w:r>
    </w:p>
    <w:p w14:paraId="633C5D11"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f) Datos de Filiación de la Persona Registrada. </w:t>
      </w:r>
    </w:p>
    <w:p w14:paraId="1DCB4C64"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g) Anotaciones Marginales. </w:t>
      </w:r>
    </w:p>
    <w:p w14:paraId="1B3E4B6F"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h) Certificación. </w:t>
      </w:r>
    </w:p>
    <w:p w14:paraId="3FE09028"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i) Código Bidimensional QR que contiene información encriptada del acta. </w:t>
      </w:r>
    </w:p>
    <w:p w14:paraId="2507162A"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j) Leyenda “Soy México” </w:t>
      </w:r>
    </w:p>
    <w:p w14:paraId="1BEA159D"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k) Firma Electrónica Avanzada. </w:t>
      </w:r>
    </w:p>
    <w:p w14:paraId="7E4BDF07"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l) Firma y datos de la autoridad emisora. </w:t>
      </w:r>
    </w:p>
    <w:p w14:paraId="3FB81C2F"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m) Código QR. </w:t>
      </w:r>
    </w:p>
    <w:p w14:paraId="151E0EAB"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n) Código de Verificación.</w:t>
      </w:r>
    </w:p>
    <w:p w14:paraId="3D25768F" w14:textId="77777777" w:rsidR="00AB716F" w:rsidRPr="002002A1" w:rsidRDefault="00AB716F" w:rsidP="00D636D3">
      <w:pPr>
        <w:spacing w:before="24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o) Leyenda de instrucciones para la verificación del documento. </w:t>
      </w:r>
    </w:p>
    <w:p w14:paraId="61422DE1" w14:textId="77777777" w:rsidR="00D636D3" w:rsidRPr="002002A1" w:rsidRDefault="00D636D3" w:rsidP="00D636D3">
      <w:pPr>
        <w:spacing w:before="240"/>
        <w:jc w:val="both"/>
        <w:rPr>
          <w:rFonts w:ascii="Palatino Linotype" w:eastAsia="Palatino Linotype" w:hAnsi="Palatino Linotype" w:cs="Palatino Linotype"/>
        </w:rPr>
      </w:pPr>
    </w:p>
    <w:p w14:paraId="42E6FA16"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Siendo de suma importancia mencionar que la información relativa a los incisos </w:t>
      </w:r>
      <w:r w:rsidRPr="002002A1">
        <w:rPr>
          <w:rFonts w:ascii="Palatino Linotype" w:eastAsia="Palatino Linotype" w:hAnsi="Palatino Linotype" w:cs="Palatino Linotype"/>
          <w:b/>
        </w:rPr>
        <w:t>d) elementos de registro, e) datos de la persona registrada, f) datos de filiación de la persona registrada</w:t>
      </w:r>
      <w:r w:rsidRPr="002002A1">
        <w:rPr>
          <w:rFonts w:ascii="Palatino Linotype" w:eastAsia="Palatino Linotype" w:hAnsi="Palatino Linotype" w:cs="Palatino Linotype"/>
        </w:rPr>
        <w:t xml:space="preserve">, </w:t>
      </w:r>
      <w:r w:rsidRPr="002002A1">
        <w:rPr>
          <w:rFonts w:ascii="Palatino Linotype" w:eastAsia="Palatino Linotype" w:hAnsi="Palatino Linotype" w:cs="Palatino Linotype"/>
          <w:b/>
        </w:rPr>
        <w:t xml:space="preserve">g), anotaciones marginales </w:t>
      </w:r>
      <w:r w:rsidRPr="002002A1">
        <w:rPr>
          <w:rFonts w:ascii="Palatino Linotype" w:eastAsia="Palatino Linotype" w:hAnsi="Palatino Linotype" w:cs="Palatino Linotype"/>
        </w:rPr>
        <w:t>y</w:t>
      </w:r>
      <w:r w:rsidRPr="002002A1">
        <w:rPr>
          <w:rFonts w:ascii="Palatino Linotype" w:eastAsia="Palatino Linotype" w:hAnsi="Palatino Linotype" w:cs="Palatino Linotype"/>
          <w:b/>
        </w:rPr>
        <w:t xml:space="preserve"> m) Código QR, </w:t>
      </w:r>
      <w:r w:rsidRPr="002002A1">
        <w:rPr>
          <w:rFonts w:ascii="Palatino Linotype" w:eastAsia="Palatino Linotype" w:hAnsi="Palatino Linotype" w:cs="Palatino Linotype"/>
        </w:rPr>
        <w:t>se encuentra intrínsecamente relacionada con la esfera privada de una persona haciéndole identificada o identificable, como al contener los siguientes datos:</w:t>
      </w:r>
    </w:p>
    <w:p w14:paraId="321506AB" w14:textId="77777777" w:rsidR="00AB716F" w:rsidRPr="002002A1" w:rsidRDefault="00AB716F" w:rsidP="009A0893">
      <w:pPr>
        <w:spacing w:before="240" w:after="240" w:line="360" w:lineRule="auto"/>
        <w:jc w:val="center"/>
        <w:rPr>
          <w:rFonts w:ascii="Palatino Linotype" w:eastAsia="Palatino Linotype" w:hAnsi="Palatino Linotype" w:cs="Palatino Linotype"/>
          <w:sz w:val="22"/>
          <w:szCs w:val="22"/>
        </w:rPr>
      </w:pPr>
      <w:r w:rsidRPr="002002A1">
        <w:rPr>
          <w:rFonts w:ascii="Palatino Linotype" w:eastAsia="Palatino Linotype" w:hAnsi="Palatino Linotype" w:cs="Palatino Linotype"/>
          <w:noProof/>
          <w:sz w:val="22"/>
          <w:szCs w:val="22"/>
        </w:rPr>
        <w:lastRenderedPageBreak/>
        <w:drawing>
          <wp:inline distT="0" distB="0" distL="0" distR="0" wp14:anchorId="1C01C528" wp14:editId="0AF56374">
            <wp:extent cx="5610225" cy="2933700"/>
            <wp:effectExtent l="19050" t="19050" r="28575" b="19050"/>
            <wp:docPr id="1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610225" cy="2933700"/>
                    </a:xfrm>
                    <a:prstGeom prst="rect">
                      <a:avLst/>
                    </a:prstGeom>
                    <a:ln>
                      <a:solidFill>
                        <a:sysClr val="windowText" lastClr="000000"/>
                      </a:solidFill>
                    </a:ln>
                  </pic:spPr>
                </pic:pic>
              </a:graphicData>
            </a:graphic>
          </wp:inline>
        </w:drawing>
      </w:r>
    </w:p>
    <w:p w14:paraId="6BAD9E71" w14:textId="77777777" w:rsidR="00AB716F" w:rsidRPr="002002A1" w:rsidRDefault="00AB716F" w:rsidP="009A0893">
      <w:pPr>
        <w:spacing w:before="240" w:after="240" w:line="360" w:lineRule="auto"/>
        <w:jc w:val="center"/>
        <w:rPr>
          <w:rFonts w:ascii="Palatino Linotype" w:eastAsia="Palatino Linotype" w:hAnsi="Palatino Linotype" w:cs="Palatino Linotype"/>
          <w:sz w:val="22"/>
          <w:szCs w:val="22"/>
        </w:rPr>
      </w:pPr>
      <w:r w:rsidRPr="002002A1">
        <w:rPr>
          <w:rFonts w:ascii="Palatino Linotype" w:eastAsia="Palatino Linotype" w:hAnsi="Palatino Linotype" w:cs="Palatino Linotype"/>
          <w:noProof/>
          <w:sz w:val="22"/>
          <w:szCs w:val="22"/>
        </w:rPr>
        <w:drawing>
          <wp:inline distT="0" distB="0" distL="0" distR="0" wp14:anchorId="02F51D68" wp14:editId="1075BE1B">
            <wp:extent cx="5610225" cy="1695450"/>
            <wp:effectExtent l="19050" t="19050" r="28575" b="19050"/>
            <wp:docPr id="1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b="60179"/>
                    <a:stretch>
                      <a:fillRect/>
                    </a:stretch>
                  </pic:blipFill>
                  <pic:spPr>
                    <a:xfrm>
                      <a:off x="0" y="0"/>
                      <a:ext cx="5610225" cy="1695450"/>
                    </a:xfrm>
                    <a:prstGeom prst="rect">
                      <a:avLst/>
                    </a:prstGeom>
                    <a:ln>
                      <a:solidFill>
                        <a:sysClr val="windowText" lastClr="000000"/>
                      </a:solidFill>
                    </a:ln>
                  </pic:spPr>
                </pic:pic>
              </a:graphicData>
            </a:graphic>
          </wp:inline>
        </w:drawing>
      </w:r>
    </w:p>
    <w:p w14:paraId="7EA44A76" w14:textId="77777777" w:rsidR="00AB716F" w:rsidRPr="002002A1" w:rsidRDefault="00AB716F" w:rsidP="00AB716F">
      <w:pPr>
        <w:spacing w:before="240" w:after="240" w:line="360" w:lineRule="auto"/>
        <w:jc w:val="both"/>
        <w:rPr>
          <w:rFonts w:ascii="Palatino Linotype" w:eastAsia="Palatino Linotype" w:hAnsi="Palatino Linotype" w:cs="Palatino Linotype"/>
          <w:sz w:val="22"/>
          <w:szCs w:val="22"/>
        </w:rPr>
      </w:pPr>
      <w:r w:rsidRPr="002002A1">
        <w:rPr>
          <w:rFonts w:ascii="Palatino Linotype" w:eastAsia="Palatino Linotype" w:hAnsi="Palatino Linotype" w:cs="Palatino Linotype"/>
          <w:noProof/>
          <w:sz w:val="22"/>
          <w:szCs w:val="22"/>
        </w:rPr>
        <w:lastRenderedPageBreak/>
        <w:drawing>
          <wp:inline distT="0" distB="0" distL="0" distR="0" wp14:anchorId="100AC271" wp14:editId="07D22F1D">
            <wp:extent cx="5610225" cy="2466975"/>
            <wp:effectExtent l="19050" t="19050" r="28575" b="28575"/>
            <wp:docPr id="1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t="42282" b="-223"/>
                    <a:stretch>
                      <a:fillRect/>
                    </a:stretch>
                  </pic:blipFill>
                  <pic:spPr>
                    <a:xfrm>
                      <a:off x="0" y="0"/>
                      <a:ext cx="5610225" cy="2466975"/>
                    </a:xfrm>
                    <a:prstGeom prst="rect">
                      <a:avLst/>
                    </a:prstGeom>
                    <a:ln>
                      <a:solidFill>
                        <a:sysClr val="windowText" lastClr="000000"/>
                      </a:solidFill>
                    </a:ln>
                  </pic:spPr>
                </pic:pic>
              </a:graphicData>
            </a:graphic>
          </wp:inline>
        </w:drawing>
      </w:r>
    </w:p>
    <w:p w14:paraId="7FC982FB" w14:textId="77777777" w:rsidR="00AB716F" w:rsidRPr="002002A1" w:rsidRDefault="00AB716F" w:rsidP="00AB716F">
      <w:pPr>
        <w:spacing w:before="240" w:after="240" w:line="360" w:lineRule="auto"/>
        <w:jc w:val="both"/>
        <w:rPr>
          <w:rFonts w:ascii="Palatino Linotype" w:eastAsia="Palatino Linotype" w:hAnsi="Palatino Linotype" w:cs="Palatino Linotype"/>
          <w:sz w:val="22"/>
          <w:szCs w:val="22"/>
        </w:rPr>
      </w:pPr>
      <w:r w:rsidRPr="002002A1">
        <w:rPr>
          <w:rFonts w:ascii="Palatino Linotype" w:eastAsia="Palatino Linotype" w:hAnsi="Palatino Linotype" w:cs="Palatino Linotype"/>
          <w:noProof/>
          <w:sz w:val="22"/>
          <w:szCs w:val="22"/>
        </w:rPr>
        <w:drawing>
          <wp:inline distT="0" distB="0" distL="0" distR="0" wp14:anchorId="256618A5" wp14:editId="58CC32C1">
            <wp:extent cx="5577840" cy="914400"/>
            <wp:effectExtent l="19050" t="19050" r="22860" b="19050"/>
            <wp:docPr id="1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577840" cy="914400"/>
                    </a:xfrm>
                    <a:prstGeom prst="rect">
                      <a:avLst/>
                    </a:prstGeom>
                    <a:ln>
                      <a:solidFill>
                        <a:sysClr val="windowText" lastClr="000000"/>
                      </a:solidFill>
                    </a:ln>
                  </pic:spPr>
                </pic:pic>
              </a:graphicData>
            </a:graphic>
          </wp:inline>
        </w:drawing>
      </w:r>
    </w:p>
    <w:p w14:paraId="70B2C999"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Dada esta relevancia, al ser el acta de nacimiento un documento mediante el cual se le otorga identidad a una persona, además de tratarse de información que no se encuentra relacionada con el ejercicio de un cargo público, sino con el ejercicio de los derechos personales de su titular, se estima que dicho documento debe ser clasificado como información confidencial en su totalidad, al considerar que actualiza la causal de clasificación establecida en el artículo 143, fracción I, de la Ley de Transparencia y Acceso a la Información Pública del Estado de México y Municipios.</w:t>
      </w:r>
    </w:p>
    <w:p w14:paraId="15ECDA83" w14:textId="77777777" w:rsidR="00AB716F" w:rsidRPr="002002A1" w:rsidRDefault="00AB716F" w:rsidP="00AB716F">
      <w:pPr>
        <w:spacing w:before="240" w:after="240" w:line="360" w:lineRule="auto"/>
        <w:jc w:val="both"/>
        <w:rPr>
          <w:rFonts w:ascii="Palatino Linotype" w:eastAsia="Palatino Linotype" w:hAnsi="Palatino Linotype" w:cs="Palatino Linotype"/>
          <w:b/>
        </w:rPr>
      </w:pPr>
      <w:r w:rsidRPr="002002A1">
        <w:rPr>
          <w:rFonts w:ascii="Palatino Linotype" w:eastAsia="Palatino Linotype" w:hAnsi="Palatino Linotype" w:cs="Palatino Linotype"/>
          <w:b/>
        </w:rPr>
        <w:t>Certificado de no antecedentes penales.</w:t>
      </w:r>
    </w:p>
    <w:p w14:paraId="3A8784AB" w14:textId="77777777" w:rsidR="00AB716F" w:rsidRPr="002002A1" w:rsidRDefault="00AB716F" w:rsidP="00D636D3">
      <w:pPr>
        <w:pStyle w:val="Prrafodelista"/>
        <w:numPr>
          <w:ilvl w:val="0"/>
          <w:numId w:val="2"/>
        </w:numPr>
        <w:spacing w:line="360" w:lineRule="auto"/>
        <w:ind w:left="0" w:right="-992" w:firstLine="0"/>
        <w:jc w:val="both"/>
        <w:rPr>
          <w:rFonts w:ascii="Palatino Linotype" w:eastAsia="Palatino Linotype" w:hAnsi="Palatino Linotype" w:cs="Palatino Linotype"/>
          <w:lang w:eastAsia="es-ES"/>
        </w:rPr>
      </w:pPr>
      <w:r w:rsidRPr="002002A1">
        <w:rPr>
          <w:rFonts w:ascii="Palatino Linotype" w:eastAsia="Palatino Linotype" w:hAnsi="Palatino Linotype" w:cs="Palatino Linotype"/>
          <w:lang w:eastAsia="es-ES"/>
        </w:rPr>
        <w:t xml:space="preserve">Para abordar este punto, debe tenerse en cuenta que el artículo 47 de la Ley del Trabajo de los Servidores Públicos del Estado y Municipios, refiere en la fracción III que para ingresar </w:t>
      </w:r>
      <w:r w:rsidRPr="002002A1">
        <w:rPr>
          <w:rFonts w:ascii="Palatino Linotype" w:eastAsia="Palatino Linotype" w:hAnsi="Palatino Linotype" w:cs="Palatino Linotype"/>
          <w:lang w:eastAsia="es-ES"/>
        </w:rPr>
        <w:lastRenderedPageBreak/>
        <w:t>al servicio público, se requiere, estar en pleno ejercicio de sus derechos civiles y políticos, en su caso.</w:t>
      </w:r>
    </w:p>
    <w:p w14:paraId="7BF96CFC" w14:textId="77777777" w:rsidR="00AB716F" w:rsidRPr="002002A1" w:rsidRDefault="00AB716F" w:rsidP="00AB716F">
      <w:pPr>
        <w:spacing w:line="360" w:lineRule="auto"/>
        <w:jc w:val="both"/>
        <w:rPr>
          <w:rFonts w:ascii="Palatino Linotype" w:eastAsia="Palatino Linotype" w:hAnsi="Palatino Linotype" w:cs="Palatino Linotype"/>
          <w:i/>
          <w:sz w:val="22"/>
          <w:szCs w:val="22"/>
          <w:lang w:eastAsia="es-ES"/>
        </w:rPr>
      </w:pPr>
    </w:p>
    <w:p w14:paraId="2AD6E9B9" w14:textId="77777777" w:rsidR="00AB716F" w:rsidRPr="002002A1" w:rsidRDefault="00AB716F" w:rsidP="00D636D3">
      <w:pPr>
        <w:pStyle w:val="Prrafodelista"/>
        <w:numPr>
          <w:ilvl w:val="0"/>
          <w:numId w:val="2"/>
        </w:numPr>
        <w:spacing w:line="360" w:lineRule="auto"/>
        <w:ind w:left="0" w:right="-992" w:firstLine="0"/>
        <w:jc w:val="both"/>
        <w:rPr>
          <w:rFonts w:ascii="Palatino Linotype" w:eastAsia="Palatino Linotype" w:hAnsi="Palatino Linotype" w:cs="Palatino Linotype"/>
          <w:lang w:eastAsia="es-ES"/>
        </w:rPr>
      </w:pPr>
      <w:r w:rsidRPr="002002A1">
        <w:rPr>
          <w:rFonts w:ascii="Palatino Linotype" w:eastAsia="Palatino Linotype" w:hAnsi="Palatino Linotype" w:cs="Palatino Linotype"/>
          <w:lang w:eastAsia="es-ES"/>
        </w:rPr>
        <w:t xml:space="preserve">En tal tesitura, se advierte que mediante el Decreto Número 109, publicado en el periódico oficial “Gaceta de Gobierno” el 3 de agosto de 2016, se derogó la fracción V del artículo previamente citado, por lo que derivado de esta reforma ya no se mandata a las personas que deseen ingresar al servicio público a presentar el documento en el que acrediten “no contar con antecedentes penales por delitos intencionales”, lo anterior en virtud de que se contempla como una forma de discriminación, dicha premisa encuentra sustento en el dictamen que obra en la exposición de motivos de dicho decreto, mismo que se inserta a continuación: </w:t>
      </w:r>
    </w:p>
    <w:p w14:paraId="11D12086" w14:textId="77777777" w:rsidR="00AB716F" w:rsidRPr="002002A1" w:rsidRDefault="00AB716F" w:rsidP="00AB716F">
      <w:pPr>
        <w:spacing w:line="276" w:lineRule="auto"/>
        <w:ind w:left="567" w:right="851"/>
        <w:jc w:val="both"/>
        <w:rPr>
          <w:rFonts w:ascii="Palatino Linotype" w:eastAsia="Palatino Linotype" w:hAnsi="Palatino Linotype" w:cs="Palatino Linotype"/>
          <w:i/>
          <w:sz w:val="22"/>
          <w:szCs w:val="22"/>
          <w:lang w:eastAsia="es-ES"/>
        </w:rPr>
      </w:pPr>
      <w:r w:rsidRPr="002002A1">
        <w:rPr>
          <w:rFonts w:ascii="Palatino Linotype" w:eastAsia="Palatino Linotype" w:hAnsi="Palatino Linotype" w:cs="Palatino Linotype"/>
          <w:i/>
          <w:sz w:val="22"/>
          <w:szCs w:val="22"/>
          <w:lang w:eastAsia="es-ES"/>
        </w:rPr>
        <w:t xml:space="preserve"> “</w:t>
      </w:r>
      <w:r w:rsidRPr="002002A1">
        <w:rPr>
          <w:rFonts w:ascii="Palatino Linotype" w:eastAsia="Palatino Linotype" w:hAnsi="Palatino Linotype" w:cs="Palatino Linotype"/>
          <w:b/>
          <w:i/>
          <w:sz w:val="22"/>
          <w:szCs w:val="22"/>
          <w:u w:val="single"/>
          <w:lang w:eastAsia="es-ES"/>
        </w:rPr>
        <w:t>Por otra parte, como se menciona en la iniciativa de decreto, reconocemos que el artículo 47 de la Ley del Trabajo para los Servidores Públicos del Estado y Municipios contempla una forma de discriminación que se traduce en lo dispuesto por su fracción V, en virtud que  dicho precepto establece como requisito para ingresar al servicio público el no contar con antecedentes penales por delitos intencionales</w:t>
      </w:r>
      <w:r w:rsidRPr="002002A1">
        <w:rPr>
          <w:rFonts w:ascii="Palatino Linotype" w:eastAsia="Palatino Linotype" w:hAnsi="Palatino Linotype" w:cs="Palatino Linotype"/>
          <w:i/>
          <w:sz w:val="22"/>
          <w:szCs w:val="22"/>
          <w:lang w:eastAsia="es-ES"/>
        </w:rPr>
        <w:t>, lo que se traduce en una violación de derecho y libertades consagrados en nuestra Carta Magna y en la propia Ley Federal para Prevenir y Eliminar la Discriminación, específicamente en su artículo 1, fracción III.</w:t>
      </w:r>
    </w:p>
    <w:p w14:paraId="1ED95EA4" w14:textId="77777777" w:rsidR="00AB716F" w:rsidRPr="002002A1" w:rsidRDefault="00AB716F" w:rsidP="00AB716F">
      <w:pPr>
        <w:spacing w:line="276" w:lineRule="auto"/>
        <w:ind w:left="567" w:right="851"/>
        <w:jc w:val="both"/>
        <w:rPr>
          <w:rFonts w:ascii="Palatino Linotype" w:eastAsia="Palatino Linotype" w:hAnsi="Palatino Linotype" w:cs="Palatino Linotype"/>
          <w:i/>
          <w:sz w:val="22"/>
          <w:szCs w:val="22"/>
          <w:lang w:eastAsia="es-ES"/>
        </w:rPr>
      </w:pPr>
      <w:r w:rsidRPr="002002A1">
        <w:rPr>
          <w:rFonts w:ascii="Palatino Linotype" w:eastAsia="Palatino Linotype" w:hAnsi="Palatino Linotype" w:cs="Palatino Linotype"/>
          <w:b/>
          <w:i/>
          <w:color w:val="000000"/>
          <w:sz w:val="22"/>
          <w:szCs w:val="22"/>
          <w:u w:val="single"/>
          <w:lang w:eastAsia="es-ES"/>
        </w:rPr>
        <w:t>Por ello, resulta procedente derogar la fracción del citado precepto normativo de la Ley del Trabajo de los Servidores Públicos del Estado y Municipios, y suprimir este requisito</w:t>
      </w:r>
      <w:r w:rsidRPr="002002A1">
        <w:rPr>
          <w:rFonts w:ascii="Palatino Linotype" w:eastAsia="Palatino Linotype" w:hAnsi="Palatino Linotype" w:cs="Palatino Linotype"/>
          <w:b/>
          <w:i/>
          <w:sz w:val="22"/>
          <w:szCs w:val="22"/>
          <w:u w:val="single"/>
          <w:lang w:eastAsia="es-ES"/>
        </w:rPr>
        <w:t>, y de esta manera, no se distinga negativamente a las personas que deseen ingresar a laborar al  servicio público, ya que quienes hayan compurgado una pena son aptos de reinserción social y deben contar con la oportunidad de obtener  un trabajo que les permita ejercer una forma digna de vida, sin ningún tipo de distinción o discriminación y con ello garantizar el pleno respeto de sus derechos de igualdad y trabajo…</w:t>
      </w:r>
      <w:r w:rsidRPr="002002A1">
        <w:rPr>
          <w:rFonts w:ascii="Palatino Linotype" w:eastAsia="Palatino Linotype" w:hAnsi="Palatino Linotype" w:cs="Palatino Linotype"/>
          <w:i/>
          <w:sz w:val="22"/>
          <w:szCs w:val="22"/>
          <w:lang w:eastAsia="es-ES"/>
        </w:rPr>
        <w:t>” (Énfasis añadido)</w:t>
      </w:r>
    </w:p>
    <w:p w14:paraId="141088A1" w14:textId="77777777" w:rsidR="00AB716F" w:rsidRPr="002002A1" w:rsidRDefault="00AB716F" w:rsidP="00AB716F">
      <w:pPr>
        <w:spacing w:line="360" w:lineRule="auto"/>
        <w:jc w:val="both"/>
        <w:rPr>
          <w:rFonts w:ascii="Palatino Linotype" w:eastAsia="Palatino Linotype" w:hAnsi="Palatino Linotype" w:cs="Palatino Linotype"/>
          <w:lang w:eastAsia="es-ES"/>
        </w:rPr>
      </w:pPr>
    </w:p>
    <w:p w14:paraId="5956542A" w14:textId="77777777" w:rsidR="00AB716F" w:rsidRPr="002002A1" w:rsidRDefault="00AB716F" w:rsidP="00D636D3">
      <w:pPr>
        <w:pStyle w:val="Prrafodelista"/>
        <w:numPr>
          <w:ilvl w:val="0"/>
          <w:numId w:val="2"/>
        </w:numPr>
        <w:spacing w:line="360" w:lineRule="auto"/>
        <w:ind w:left="0" w:right="-992" w:firstLine="0"/>
        <w:jc w:val="both"/>
        <w:rPr>
          <w:lang w:eastAsia="es-ES"/>
        </w:rPr>
      </w:pPr>
      <w:r w:rsidRPr="002002A1">
        <w:rPr>
          <w:rFonts w:ascii="Palatino Linotype" w:eastAsia="Palatino Linotype" w:hAnsi="Palatino Linotype" w:cs="Palatino Linotype"/>
          <w:lang w:eastAsia="es-ES"/>
        </w:rPr>
        <w:lastRenderedPageBreak/>
        <w:t xml:space="preserve">Es por ello que al encontrarse derogada esta disposición normativa, se estima que su análisis resultaría innecesario pues como se sostuvo en líneas anteriores, a partir de la publicación de la derogación de este precepto legal en el periódico oficial “Gaceta de Gobierno”, la obligación de requerir a los servidores públicos este documento como condicionante para ingresar al servicio público es inexistente, sin embargo, para el caso en el que los servidores públicos referidos en la solicitud de información se encontraran dados de alta previa derogación de esta porción normativa,  y por ello se encontraron obligados a proporcionar dicho documento el Sujeto Obligado deberá hacer entrega del mismo </w:t>
      </w:r>
      <w:r w:rsidRPr="002002A1">
        <w:rPr>
          <w:rFonts w:ascii="Palatino Linotype" w:hAnsi="Palatino Linotype"/>
          <w:color w:val="000000"/>
          <w:lang w:eastAsia="es-ES"/>
        </w:rPr>
        <w:t>en versión pública, al contener información confidencial en términos de los artículos 143, fracción I de la Ley de Transparencia del Estado de México y Municipios y 4, fracciones VII y VIII de la Ley de Protección de Datos Personales del Estado de México.</w:t>
      </w:r>
    </w:p>
    <w:p w14:paraId="5FE7BAA1" w14:textId="77777777" w:rsidR="00D636D3" w:rsidRPr="002002A1" w:rsidRDefault="00D636D3" w:rsidP="00D636D3">
      <w:pPr>
        <w:pStyle w:val="Prrafodelista"/>
        <w:spacing w:line="360" w:lineRule="auto"/>
        <w:ind w:left="0" w:right="-992"/>
        <w:jc w:val="both"/>
        <w:rPr>
          <w:lang w:eastAsia="es-ES"/>
        </w:rPr>
      </w:pPr>
    </w:p>
    <w:p w14:paraId="57EF977E" w14:textId="77777777" w:rsidR="00AB716F" w:rsidRPr="002002A1" w:rsidRDefault="00AB716F" w:rsidP="00D636D3">
      <w:pPr>
        <w:pStyle w:val="Prrafodelista"/>
        <w:numPr>
          <w:ilvl w:val="0"/>
          <w:numId w:val="2"/>
        </w:numPr>
        <w:spacing w:before="240" w:after="240" w:line="360" w:lineRule="auto"/>
        <w:ind w:left="0" w:right="-992" w:firstLine="0"/>
        <w:jc w:val="both"/>
      </w:pPr>
      <w:r w:rsidRPr="002002A1">
        <w:rPr>
          <w:rFonts w:ascii="Palatino Linotype" w:hAnsi="Palatino Linotype"/>
          <w:color w:val="000000"/>
        </w:rPr>
        <w:t>Ahora bien, el Certificado de no antecedentes penales es un documento que debe ser considerado como confidencial por regla general; sin embargo, cuando el interés público de conocer dicha información esté por encima del interés particular de protegerla, en dicha ponderación se deberá acreditar que el beneficio que reporta dar a conocer la información confidencial pedida o solicitada es mayor a la invasión que su divulgación genera en los derechos de las personas, considerando la legitimidad del derecho adoptado como preferente que sea el adecuado para el logro de un fin constitucionalmente válido o apto para conseguir el fin pretendido (idoneidad), la falta de un medio alternativo menos lesivo a la apertura de la información para satisfacer el interés público (necesidad) y el equilibrio entre perjuicio y beneficio a favor del interés público, a fin de que la decisión tomada represente un beneficio mayor al perjuicio que podría causar a la población (proporcionalidad).</w:t>
      </w:r>
    </w:p>
    <w:p w14:paraId="1D9390EC" w14:textId="77777777" w:rsidR="00D636D3" w:rsidRPr="002002A1" w:rsidRDefault="00D636D3" w:rsidP="00D636D3">
      <w:pPr>
        <w:pStyle w:val="Prrafodelista"/>
      </w:pPr>
    </w:p>
    <w:p w14:paraId="412B6089" w14:textId="77777777" w:rsidR="00AB716F" w:rsidRPr="002002A1" w:rsidRDefault="00AB716F" w:rsidP="00D636D3">
      <w:pPr>
        <w:pStyle w:val="Prrafodelista"/>
        <w:numPr>
          <w:ilvl w:val="0"/>
          <w:numId w:val="2"/>
        </w:numPr>
        <w:tabs>
          <w:tab w:val="left" w:pos="142"/>
        </w:tabs>
        <w:spacing w:before="240" w:after="240" w:line="360" w:lineRule="auto"/>
        <w:ind w:left="0" w:right="-992" w:firstLine="0"/>
        <w:jc w:val="both"/>
        <w:rPr>
          <w:rFonts w:ascii="Palatino Linotype" w:eastAsia="Palatino Linotype" w:hAnsi="Palatino Linotype" w:cs="Palatino Linotype"/>
        </w:rPr>
      </w:pPr>
      <w:r w:rsidRPr="002002A1">
        <w:rPr>
          <w:rFonts w:ascii="Palatino Linotype" w:hAnsi="Palatino Linotype"/>
          <w:color w:val="000000"/>
        </w:rPr>
        <w:lastRenderedPageBreak/>
        <w:t xml:space="preserve">En consecuencia, el </w:t>
      </w:r>
      <w:r w:rsidRPr="002002A1">
        <w:rPr>
          <w:rFonts w:ascii="Palatino Linotype" w:hAnsi="Palatino Linotype"/>
          <w:b/>
          <w:bCs/>
          <w:color w:val="000000"/>
        </w:rPr>
        <w:t>Sujeto Obligado</w:t>
      </w:r>
      <w:r w:rsidRPr="002002A1">
        <w:rPr>
          <w:rFonts w:ascii="Palatino Linotype" w:hAnsi="Palatino Linotype"/>
          <w:color w:val="000000"/>
        </w:rPr>
        <w:t xml:space="preserve"> tiene la posibilidad de otorgar satisfacción al presente requerimiento, toda vez que de la revisión a los expedientes remitidos en respuesta, se advirtieron servidores públicos cuya alta data de una fecha previa a la derogación de dicha norma, por lo que resulta procedente ordenar la entrega de los certificados de no antecedentes no penales de los servidores públicos que en su caso hayan ingresado previo a la derogación de la Porción normativa antes señalada, en versión pública de acuerdo a lo señalado por el considerando siguiente, </w:t>
      </w:r>
      <w:r w:rsidRPr="002002A1">
        <w:rPr>
          <w:rFonts w:ascii="Palatino Linotype" w:eastAsia="Palatino Linotype" w:hAnsi="Palatino Linotype" w:cs="Palatino Linotype"/>
          <w:color w:val="000000"/>
        </w:rPr>
        <w:t xml:space="preserve">no obstante, en </w:t>
      </w:r>
      <w:r w:rsidRPr="002002A1">
        <w:rPr>
          <w:rFonts w:ascii="Palatino Linotype" w:eastAsia="Palatino Linotype" w:hAnsi="Palatino Linotype" w:cs="Palatino Linotype"/>
        </w:rPr>
        <w:t xml:space="preserve">el supuesto en el que derivado de la búsqueda exhaustiva y razonable practicada al patrimonio documental del </w:t>
      </w:r>
      <w:r w:rsidRPr="002002A1">
        <w:rPr>
          <w:rFonts w:ascii="Palatino Linotype" w:eastAsia="Palatino Linotype" w:hAnsi="Palatino Linotype" w:cs="Palatino Linotype"/>
          <w:b/>
        </w:rPr>
        <w:t>Sujeto Obligado,</w:t>
      </w:r>
      <w:r w:rsidRPr="002002A1">
        <w:rPr>
          <w:rFonts w:ascii="Palatino Linotype" w:eastAsia="Palatino Linotype" w:hAnsi="Palatino Linotype" w:cs="Palatino Linotype"/>
        </w:rPr>
        <w:t xml:space="preserve"> no se localizaran certificados de no antecedentes penales de servidores públicos cuya alta data de manera posterior a la reforma y por ende, ya no estuvieran obligados a proporcionarlo, bastará con que así se haga del conocimiento de la persona solicitante para tener por colmado su derecho de acceso a la información, atendiendo las formalidades que establece el artículo 19, párrafo segundo de la Ley de Transparencia y Acceso a la Información Pública del Estado de México y Municipios.</w:t>
      </w:r>
    </w:p>
    <w:p w14:paraId="38234774" w14:textId="77777777" w:rsidR="00AB716F" w:rsidRPr="002002A1" w:rsidRDefault="00AB716F" w:rsidP="00AB716F">
      <w:pPr>
        <w:spacing w:before="240" w:after="240" w:line="360" w:lineRule="auto"/>
        <w:ind w:right="51"/>
        <w:jc w:val="both"/>
        <w:rPr>
          <w:rFonts w:ascii="Palatino Linotype" w:eastAsia="Palatino Linotype" w:hAnsi="Palatino Linotype" w:cs="Palatino Linotype"/>
          <w:b/>
          <w:lang w:val="es-ES"/>
        </w:rPr>
      </w:pPr>
      <w:r w:rsidRPr="002002A1">
        <w:rPr>
          <w:rFonts w:ascii="Palatino Linotype" w:eastAsia="Palatino Linotype" w:hAnsi="Palatino Linotype" w:cs="Palatino Linotype"/>
          <w:b/>
          <w:lang w:val="es-ES"/>
        </w:rPr>
        <w:t xml:space="preserve">Aviso de Movimientos de alta ISSEMyM. </w:t>
      </w:r>
    </w:p>
    <w:p w14:paraId="3C790542" w14:textId="77777777" w:rsidR="00AB716F" w:rsidRPr="002002A1" w:rsidRDefault="00AB716F" w:rsidP="00D636D3">
      <w:pPr>
        <w:pStyle w:val="Prrafodelista"/>
        <w:numPr>
          <w:ilvl w:val="0"/>
          <w:numId w:val="2"/>
        </w:numPr>
        <w:spacing w:before="240" w:after="240" w:line="360" w:lineRule="auto"/>
        <w:ind w:left="0" w:right="-850" w:firstLine="0"/>
        <w:jc w:val="both"/>
        <w:rPr>
          <w:rFonts w:ascii="Palatino Linotype" w:eastAsia="Palatino Linotype" w:hAnsi="Palatino Linotype" w:cs="Palatino Linotype"/>
        </w:rPr>
      </w:pPr>
      <w:r w:rsidRPr="002002A1">
        <w:rPr>
          <w:rFonts w:ascii="Palatino Linotype" w:eastAsia="Palatino Linotype" w:hAnsi="Palatino Linotype" w:cs="Palatino Linotype"/>
          <w:lang w:val="es-ES"/>
        </w:rPr>
        <w:t xml:space="preserve">El Aviso de Movimientos, es un documento que debe expedir la dependencia pública a la cual se ingresa y que indica el alta en el sistema como servidor público, este documento deberá ser presentado ante el Instituto de Seguridad Social del Estado de México y Municipios, con la finalidad de llevar a cabo diversos trámites para obtener los beneficios de seguridad social. Ahora bien, de acuerdo con lo que establece el artículo 3.42, fracción V del Código Reglamentario del Ayuntamiento de Toluca, la Dirección de Recursos Humanos tiene dentro de sus atribuciones aplicar en el Sistema del ISSEMyM, los movimientos de la nómina (altas, bajas y modificaciones), es decir, derivado del ingreso al servicio público, esta unidad administrativa deberá registrar los datos correspondientes con la finalidad de desempeñar </w:t>
      </w:r>
      <w:r w:rsidRPr="002002A1">
        <w:rPr>
          <w:rFonts w:ascii="Palatino Linotype" w:eastAsia="Palatino Linotype" w:hAnsi="Palatino Linotype" w:cs="Palatino Linotype"/>
          <w:lang w:val="es-ES"/>
        </w:rPr>
        <w:lastRenderedPageBreak/>
        <w:t xml:space="preserve">sus atribuciones y en cumplimiento de las obligaciones y derechos laborales a favor de los servidores públicos que emplea; es decir, la inscripción de los trabajadores a alguna institución de salud. Por lo anterior, toda vez que este documento es generado en ejercicio de funciones del </w:t>
      </w:r>
      <w:r w:rsidRPr="002002A1">
        <w:rPr>
          <w:rFonts w:ascii="Palatino Linotype" w:eastAsia="Palatino Linotype" w:hAnsi="Palatino Linotype" w:cs="Palatino Linotype"/>
          <w:b/>
          <w:lang w:val="es-ES"/>
        </w:rPr>
        <w:t>Sujeto Obligado</w:t>
      </w:r>
      <w:r w:rsidRPr="002002A1">
        <w:rPr>
          <w:rFonts w:ascii="Palatino Linotype" w:eastAsia="Palatino Linotype" w:hAnsi="Palatino Linotype" w:cs="Palatino Linotype"/>
          <w:lang w:val="es-ES"/>
        </w:rPr>
        <w:t>, es de naturaleza pública, sin embargo, no pasa desapercibido mencionar que puede contener datos que actualizan la causal prevista en la fracción I del artículo 143 de la Ley de Transparencia del Estado de México y Municipios, por lo tanto, deberá ser p</w:t>
      </w:r>
      <w:r w:rsidR="00D242F8" w:rsidRPr="002002A1">
        <w:rPr>
          <w:rFonts w:ascii="Palatino Linotype" w:eastAsia="Palatino Linotype" w:hAnsi="Palatino Linotype" w:cs="Palatino Linotype"/>
          <w:lang w:val="es-ES"/>
        </w:rPr>
        <w:t>roporcionado en versión pública</w:t>
      </w:r>
      <w:r w:rsidRPr="002002A1">
        <w:rPr>
          <w:rFonts w:ascii="Palatino Linotype" w:eastAsia="Palatino Linotype" w:hAnsi="Palatino Linotype" w:cs="Palatino Linotype"/>
          <w:lang w:val="es-ES"/>
        </w:rPr>
        <w:t>.</w:t>
      </w:r>
    </w:p>
    <w:p w14:paraId="09CB7FD5" w14:textId="77777777" w:rsidR="00AB716F" w:rsidRPr="002002A1" w:rsidRDefault="00AB716F" w:rsidP="00AB716F">
      <w:pPr>
        <w:spacing w:before="240" w:after="240" w:line="360" w:lineRule="auto"/>
        <w:ind w:right="51"/>
        <w:jc w:val="both"/>
        <w:rPr>
          <w:rFonts w:ascii="Palatino Linotype" w:eastAsia="Palatino Linotype" w:hAnsi="Palatino Linotype" w:cs="Palatino Linotype"/>
          <w:b/>
          <w:lang w:val="es-ES"/>
        </w:rPr>
      </w:pPr>
      <w:r w:rsidRPr="002002A1">
        <w:rPr>
          <w:rFonts w:ascii="Palatino Linotype" w:eastAsia="Palatino Linotype" w:hAnsi="Palatino Linotype" w:cs="Palatino Linotype"/>
          <w:b/>
          <w:lang w:val="es-ES"/>
        </w:rPr>
        <w:t xml:space="preserve">Constancia o certificado médico </w:t>
      </w:r>
    </w:p>
    <w:p w14:paraId="5EF3D376" w14:textId="77777777" w:rsidR="00AB716F"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lang w:val="es-ES"/>
        </w:rPr>
      </w:pPr>
      <w:r w:rsidRPr="002002A1">
        <w:rPr>
          <w:rFonts w:ascii="Palatino Linotype" w:eastAsia="Palatino Linotype" w:hAnsi="Palatino Linotype" w:cs="Palatino Linotype"/>
          <w:lang w:val="es-ES"/>
        </w:rPr>
        <w:t>En principio, es de señalar que cualquier información que dé cuenta del estado de salud de una persona, concierne a su vida íntima y privada; lo anterior, pues el artículo 4°, fracción XII, de la Ley de Protección de Datos Personales en Posesión de Sujetos Obligados del Estado de México y Municipios, establece que los datos personales sensibles, son aquellos cuya utilización indebida, puedan dar origen a discriminación o conlleven a un riesgo grave para éste, entre los cuales se encuentran los que den cuenta del estado de salud, ya sea físico o mental.</w:t>
      </w:r>
    </w:p>
    <w:p w14:paraId="714266DB" w14:textId="77777777" w:rsidR="0082122D" w:rsidRPr="002002A1" w:rsidRDefault="0082122D" w:rsidP="0082122D">
      <w:pPr>
        <w:pStyle w:val="Prrafodelista"/>
        <w:spacing w:before="240" w:after="240" w:line="360" w:lineRule="auto"/>
        <w:ind w:left="0" w:right="-992"/>
        <w:jc w:val="both"/>
        <w:rPr>
          <w:rFonts w:ascii="Palatino Linotype" w:eastAsia="Palatino Linotype" w:hAnsi="Palatino Linotype" w:cs="Palatino Linotype"/>
          <w:lang w:val="es-ES"/>
        </w:rPr>
      </w:pPr>
    </w:p>
    <w:p w14:paraId="4B0441D7"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lang w:val="es-ES"/>
        </w:rPr>
        <w:t>De tales circunstancias, se considera que la información contenida en el certificado médico únicamente identifica el estado de salud físico y mental de la servidora pública, lo cual guarda el carácter confidencial, en términos del artículo 143, fracción I, de la Ley de Transparencia y Acceso a la Información Pública del Estado de México y Municipios</w:t>
      </w:r>
      <w:r w:rsidRPr="002002A1">
        <w:rPr>
          <w:rFonts w:ascii="Palatino Linotype" w:eastAsia="Palatino Linotype" w:hAnsi="Palatino Linotype" w:cs="Palatino Linotype"/>
        </w:rPr>
        <w:t>.</w:t>
      </w:r>
    </w:p>
    <w:p w14:paraId="7D5EA520" w14:textId="77777777" w:rsidR="00AB716F" w:rsidRPr="002002A1" w:rsidRDefault="00AB716F" w:rsidP="00AB716F">
      <w:pPr>
        <w:spacing w:before="240" w:after="240" w:line="360" w:lineRule="auto"/>
        <w:ind w:right="51"/>
        <w:jc w:val="both"/>
        <w:rPr>
          <w:rFonts w:ascii="Palatino Linotype" w:eastAsia="Palatino Linotype" w:hAnsi="Palatino Linotype" w:cs="Palatino Linotype"/>
          <w:b/>
          <w:lang w:val="es-ES"/>
        </w:rPr>
      </w:pPr>
      <w:r w:rsidRPr="002002A1">
        <w:rPr>
          <w:rFonts w:ascii="Palatino Linotype" w:eastAsia="Palatino Linotype" w:hAnsi="Palatino Linotype" w:cs="Palatino Linotype"/>
          <w:b/>
          <w:lang w:val="es-ES"/>
        </w:rPr>
        <w:t xml:space="preserve">Constancia domiciliaria </w:t>
      </w:r>
    </w:p>
    <w:p w14:paraId="32F1BC87"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lang w:val="es-ES"/>
        </w:rPr>
      </w:pPr>
      <w:r w:rsidRPr="002002A1">
        <w:rPr>
          <w:rFonts w:ascii="Palatino Linotype" w:eastAsia="Palatino Linotype" w:hAnsi="Palatino Linotype" w:cs="Palatino Linotype"/>
          <w:lang w:val="es-ES"/>
        </w:rPr>
        <w:t xml:space="preserve">De acuerdo a lo señalado en los artículos 2.3 y 2.5 del Código Civil del Estado de México, el domicilio es un atributo de la personalidad y un derecho de las personas; además que tiene </w:t>
      </w:r>
      <w:r w:rsidRPr="002002A1">
        <w:rPr>
          <w:rFonts w:ascii="Palatino Linotype" w:eastAsia="Palatino Linotype" w:hAnsi="Palatino Linotype" w:cs="Palatino Linotype"/>
          <w:lang w:val="es-ES"/>
        </w:rPr>
        <w:lastRenderedPageBreak/>
        <w:t xml:space="preserve">como propósito que una persona pueda establecerse temporal o permanentemente en un lugar determinado, para habitar, establecer su centro de trabajo o negocios. De la misma manera, lo establece el artículo 29 del Código Civil Federal, al precisar que el domicilio de personas físicas, es el lugar donde residen habitualmente, el lugar del centro principal de sus negocios, donde residan o el lugar donde se encuentren. 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7EDA6347" w14:textId="77777777" w:rsidR="00D242F8" w:rsidRPr="002002A1" w:rsidRDefault="00D242F8" w:rsidP="00D242F8">
      <w:pPr>
        <w:pStyle w:val="Prrafodelista"/>
        <w:spacing w:before="240" w:after="240" w:line="360" w:lineRule="auto"/>
        <w:ind w:left="0" w:right="-992"/>
        <w:jc w:val="both"/>
        <w:rPr>
          <w:rFonts w:ascii="Palatino Linotype" w:eastAsia="Palatino Linotype" w:hAnsi="Palatino Linotype" w:cs="Palatino Linotype"/>
          <w:lang w:val="es-ES"/>
        </w:rPr>
      </w:pPr>
    </w:p>
    <w:p w14:paraId="1B1F8BA3" w14:textId="77777777" w:rsidR="00AB716F" w:rsidRPr="002002A1" w:rsidRDefault="00AB716F" w:rsidP="00D636D3">
      <w:pPr>
        <w:pStyle w:val="Prrafodelista"/>
        <w:numPr>
          <w:ilvl w:val="0"/>
          <w:numId w:val="2"/>
        </w:numPr>
        <w:tabs>
          <w:tab w:val="left" w:pos="0"/>
        </w:tabs>
        <w:spacing w:before="240" w:after="240" w:line="360" w:lineRule="auto"/>
        <w:ind w:left="0" w:right="-992" w:firstLine="0"/>
        <w:jc w:val="both"/>
        <w:rPr>
          <w:rFonts w:ascii="Palatino Linotype" w:eastAsia="Palatino Linotype" w:hAnsi="Palatino Linotype" w:cs="Palatino Linotype"/>
          <w:lang w:val="es-ES"/>
        </w:rPr>
      </w:pPr>
      <w:r w:rsidRPr="002002A1">
        <w:rPr>
          <w:rFonts w:ascii="Palatino Linotype" w:eastAsia="Palatino Linotype" w:hAnsi="Palatino Linotype" w:cs="Palatino Linotype"/>
          <w:lang w:val="es-ES"/>
        </w:rPr>
        <w:t xml:space="preserve">La misma suerte corre el comprobante de domicilio, pues mediante este se acredita que los servidores públicos viven donde señalan en los documentos que entregan; sin embargo, es de señalar que este documento guarda la naturaleza de privado, pues no abona en nada a la transparencia, ni rinde cuentas de la forma de actuar de la trabajadora, al contrario la hace ubicable en su carácter de particular, por lo que, se concluye que el comprobante guarda la naturaleza de privado. </w:t>
      </w:r>
    </w:p>
    <w:p w14:paraId="243CB4F9" w14:textId="77777777" w:rsidR="00D636D3" w:rsidRPr="002002A1" w:rsidRDefault="00D636D3" w:rsidP="00D636D3">
      <w:pPr>
        <w:pStyle w:val="Prrafodelista"/>
        <w:tabs>
          <w:tab w:val="left" w:pos="0"/>
        </w:tabs>
        <w:spacing w:before="240" w:after="240" w:line="360" w:lineRule="auto"/>
        <w:ind w:left="0" w:right="-992"/>
        <w:jc w:val="both"/>
        <w:rPr>
          <w:rFonts w:ascii="Palatino Linotype" w:eastAsia="Palatino Linotype" w:hAnsi="Palatino Linotype" w:cs="Palatino Linotype"/>
          <w:lang w:val="es-ES"/>
        </w:rPr>
      </w:pPr>
    </w:p>
    <w:p w14:paraId="47F7763E" w14:textId="77777777" w:rsidR="00D242F8" w:rsidRPr="002002A1" w:rsidRDefault="00AB716F" w:rsidP="00D636D3">
      <w:pPr>
        <w:pStyle w:val="Prrafodelista"/>
        <w:numPr>
          <w:ilvl w:val="0"/>
          <w:numId w:val="2"/>
        </w:numPr>
        <w:tabs>
          <w:tab w:val="left" w:pos="0"/>
        </w:tabs>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lang w:val="es-ES"/>
        </w:rPr>
        <w:t>Por lo tanto, se actualiza la clasificación del domicilio y su comprobante, de conformidad con la fracción I, del artículo 143 de la Ley de Transparencia y Acceso a la Información Pública del Estado de México y Municipios</w:t>
      </w:r>
      <w:r w:rsidR="00D242F8" w:rsidRPr="002002A1">
        <w:rPr>
          <w:rFonts w:ascii="Palatino Linotype" w:eastAsia="Palatino Linotype" w:hAnsi="Palatino Linotype" w:cs="Palatino Linotype"/>
          <w:lang w:val="es-ES"/>
        </w:rPr>
        <w:t>.</w:t>
      </w:r>
    </w:p>
    <w:p w14:paraId="7B8014CB" w14:textId="77777777" w:rsidR="00D242F8" w:rsidRDefault="00D242F8" w:rsidP="00D242F8">
      <w:pPr>
        <w:pStyle w:val="Prrafodelista"/>
        <w:rPr>
          <w:rFonts w:ascii="Palatino Linotype" w:eastAsia="Palatino Linotype" w:hAnsi="Palatino Linotype" w:cs="Palatino Linotype"/>
        </w:rPr>
      </w:pPr>
    </w:p>
    <w:p w14:paraId="5D6DF3EF" w14:textId="77777777" w:rsidR="0082122D" w:rsidRDefault="0082122D" w:rsidP="00D242F8">
      <w:pPr>
        <w:pStyle w:val="Prrafodelista"/>
        <w:rPr>
          <w:rFonts w:ascii="Palatino Linotype" w:eastAsia="Palatino Linotype" w:hAnsi="Palatino Linotype" w:cs="Palatino Linotype"/>
        </w:rPr>
      </w:pPr>
    </w:p>
    <w:p w14:paraId="5E33FE06" w14:textId="77777777" w:rsidR="0082122D" w:rsidRPr="002002A1" w:rsidRDefault="0082122D" w:rsidP="00D242F8">
      <w:pPr>
        <w:pStyle w:val="Prrafodelista"/>
        <w:rPr>
          <w:rFonts w:ascii="Palatino Linotype" w:eastAsia="Palatino Linotype" w:hAnsi="Palatino Linotype" w:cs="Palatino Linotype"/>
        </w:rPr>
      </w:pPr>
    </w:p>
    <w:p w14:paraId="7BAA9BA4" w14:textId="77777777" w:rsidR="00AB716F" w:rsidRPr="002002A1" w:rsidRDefault="00AB716F" w:rsidP="00AB716F">
      <w:pPr>
        <w:spacing w:before="240" w:after="240" w:line="360" w:lineRule="auto"/>
        <w:jc w:val="both"/>
        <w:rPr>
          <w:rFonts w:ascii="Palatino Linotype" w:eastAsia="Palatino Linotype" w:hAnsi="Palatino Linotype" w:cs="Palatino Linotype"/>
          <w:b/>
        </w:rPr>
      </w:pPr>
      <w:r w:rsidRPr="002002A1">
        <w:rPr>
          <w:rFonts w:ascii="Palatino Linotype" w:eastAsia="Palatino Linotype" w:hAnsi="Palatino Linotype" w:cs="Palatino Linotype"/>
          <w:b/>
        </w:rPr>
        <w:lastRenderedPageBreak/>
        <w:t>Cartilla militar.</w:t>
      </w:r>
    </w:p>
    <w:p w14:paraId="5B21D1FF" w14:textId="77777777" w:rsidR="00AB716F" w:rsidRPr="002002A1" w:rsidRDefault="00AB716F" w:rsidP="00D636D3">
      <w:pPr>
        <w:pStyle w:val="Prrafodelista"/>
        <w:numPr>
          <w:ilvl w:val="0"/>
          <w:numId w:val="2"/>
        </w:numPr>
        <w:pBdr>
          <w:top w:val="nil"/>
          <w:left w:val="nil"/>
          <w:bottom w:val="nil"/>
          <w:right w:val="nil"/>
          <w:between w:val="nil"/>
        </w:pBd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Respecto del cumplimiento a la Ley del Servicios Militar Nacional se tiene que el artículo 1º de esta Ley establece que el servicio de las armas para todos los mexicanos por nacimiento o naturalización es obligatorio y de orden público. Asimismo, el artículo 151 del Reglamento de la Ley establece que la cartilla de identificación que acredita la identidad y el cumplimiento de los deberes militares contendrá lo siguiente:</w:t>
      </w:r>
    </w:p>
    <w:p w14:paraId="3B82015F" w14:textId="77777777" w:rsidR="00AB716F" w:rsidRPr="002002A1" w:rsidRDefault="00AB716F" w:rsidP="00AB716F">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b/>
          <w:i/>
          <w:sz w:val="22"/>
          <w:szCs w:val="22"/>
        </w:rPr>
        <w:t>“ARTÍCULO 151.-</w:t>
      </w:r>
      <w:r w:rsidRPr="002002A1">
        <w:rPr>
          <w:rFonts w:ascii="Palatino Linotype" w:eastAsia="Palatino Linotype" w:hAnsi="Palatino Linotype" w:cs="Palatino Linotype"/>
          <w:i/>
          <w:sz w:val="22"/>
          <w:szCs w:val="22"/>
        </w:rPr>
        <w:t xml:space="preserve"> Una vez inscritos los mexicanos, se les expedirá gratuitamente la cartilla de identificación que acreditará su identidad y el cumplimiento de sus deberes militares, y contendrá:</w:t>
      </w:r>
    </w:p>
    <w:p w14:paraId="057B7C45" w14:textId="77777777" w:rsidR="00AB716F" w:rsidRPr="002002A1" w:rsidRDefault="00AB716F" w:rsidP="00AB716F">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i/>
          <w:sz w:val="22"/>
          <w:szCs w:val="22"/>
        </w:rPr>
        <w:t>I.- Un retrato de frente;</w:t>
      </w:r>
    </w:p>
    <w:p w14:paraId="6D5B25FA" w14:textId="77777777" w:rsidR="00AB716F" w:rsidRPr="002002A1" w:rsidRDefault="00AB716F" w:rsidP="00AB716F">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i/>
          <w:sz w:val="22"/>
          <w:szCs w:val="22"/>
        </w:rPr>
        <w:t>II.- Sus generales (nombre y apellidos paterno y materno, edad, ocupación, estado civil y domicilio);</w:t>
      </w:r>
    </w:p>
    <w:p w14:paraId="5CCCC986" w14:textId="77777777" w:rsidR="00AB716F" w:rsidRPr="002002A1" w:rsidRDefault="00AB716F" w:rsidP="00AB716F">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i/>
          <w:sz w:val="22"/>
          <w:szCs w:val="22"/>
        </w:rPr>
        <w:t>III.- Matrícula;</w:t>
      </w:r>
    </w:p>
    <w:p w14:paraId="375C147D" w14:textId="77777777" w:rsidR="00AB716F" w:rsidRPr="002002A1" w:rsidRDefault="00AB716F" w:rsidP="00AB716F">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i/>
          <w:sz w:val="22"/>
          <w:szCs w:val="22"/>
        </w:rPr>
        <w:t>IV.- Clase a que pertenece;</w:t>
      </w:r>
    </w:p>
    <w:p w14:paraId="628ACE15" w14:textId="77777777" w:rsidR="00AB716F" w:rsidRPr="002002A1" w:rsidRDefault="00AB716F" w:rsidP="00AB716F">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i/>
          <w:sz w:val="22"/>
          <w:szCs w:val="22"/>
        </w:rPr>
        <w:t>V.- Corporación a que se le destine;</w:t>
      </w:r>
    </w:p>
    <w:p w14:paraId="0210F132" w14:textId="77777777" w:rsidR="00AB716F" w:rsidRPr="002002A1" w:rsidRDefault="00AB716F" w:rsidP="00AB716F">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i/>
          <w:sz w:val="22"/>
          <w:szCs w:val="22"/>
        </w:rPr>
        <w:t>VI.- Unidad a la que deba incorporarse en caso de movilización;</w:t>
      </w:r>
    </w:p>
    <w:p w14:paraId="5F01BE6A" w14:textId="77777777" w:rsidR="00AB716F" w:rsidRPr="002002A1" w:rsidRDefault="00AB716F" w:rsidP="00AB716F">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i/>
          <w:sz w:val="22"/>
          <w:szCs w:val="22"/>
        </w:rPr>
        <w:t>VII.- Firma de la autoridad que la expida;</w:t>
      </w:r>
    </w:p>
    <w:p w14:paraId="60F2CBA3" w14:textId="77777777" w:rsidR="00AB716F" w:rsidRPr="002002A1" w:rsidRDefault="00AB716F" w:rsidP="00AB716F">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i/>
          <w:sz w:val="22"/>
          <w:szCs w:val="22"/>
        </w:rPr>
        <w:t>VIII.- Firma del interesado, si sabe hacerlo;</w:t>
      </w:r>
    </w:p>
    <w:p w14:paraId="5D7B28F8" w14:textId="77777777" w:rsidR="00AB716F" w:rsidRPr="002002A1" w:rsidRDefault="00AB716F" w:rsidP="00AB716F">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i/>
          <w:sz w:val="22"/>
          <w:szCs w:val="22"/>
        </w:rPr>
        <w:t>IX.- Sello de la Junta Municipal de Reclutamiento o Consulado;</w:t>
      </w:r>
    </w:p>
    <w:p w14:paraId="58DF9C7E" w14:textId="77777777" w:rsidR="00AB716F" w:rsidRPr="002002A1" w:rsidRDefault="00AB716F" w:rsidP="00AB716F">
      <w:pPr>
        <w:pBdr>
          <w:top w:val="nil"/>
          <w:left w:val="nil"/>
          <w:bottom w:val="nil"/>
          <w:right w:val="nil"/>
          <w:between w:val="nil"/>
        </w:pBdr>
        <w:spacing w:before="240" w:after="240" w:line="276" w:lineRule="auto"/>
        <w:ind w:left="567" w:right="559"/>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i/>
          <w:sz w:val="22"/>
          <w:szCs w:val="22"/>
        </w:rPr>
        <w:t>X.- Huella digital.</w:t>
      </w:r>
    </w:p>
    <w:p w14:paraId="158364EB" w14:textId="77777777" w:rsidR="00AB716F" w:rsidRPr="002002A1" w:rsidRDefault="00AB716F" w:rsidP="00D242F8">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Mientras que el artículo 17 y 18 del Reglamento de la Ley del Servicio Militar, rezan así:</w:t>
      </w:r>
    </w:p>
    <w:p w14:paraId="6CC3485C" w14:textId="77777777" w:rsidR="00AB716F" w:rsidRPr="002002A1" w:rsidRDefault="00AB716F" w:rsidP="00AB716F">
      <w:pPr>
        <w:spacing w:before="240" w:after="240" w:line="276" w:lineRule="auto"/>
        <w:ind w:left="567" w:right="902"/>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b/>
          <w:i/>
          <w:sz w:val="22"/>
          <w:szCs w:val="22"/>
        </w:rPr>
        <w:lastRenderedPageBreak/>
        <w:t>“ARTÍCULO 17.</w:t>
      </w:r>
      <w:r w:rsidRPr="002002A1">
        <w:rPr>
          <w:rFonts w:ascii="Palatino Linotype" w:eastAsia="Palatino Linotype" w:hAnsi="Palatino Linotype" w:cs="Palatino Linotype"/>
          <w:i/>
          <w:sz w:val="22"/>
          <w:szCs w:val="22"/>
        </w:rPr>
        <w:t>- La inscripción de cada mexicano se hará una sola vez, entregándole gratuitamente una cartilla de identificación según modelo número uno.</w:t>
      </w:r>
    </w:p>
    <w:p w14:paraId="1ABBEC15" w14:textId="77777777" w:rsidR="00AB716F" w:rsidRPr="002002A1" w:rsidRDefault="00AB716F" w:rsidP="00AB716F">
      <w:pPr>
        <w:spacing w:before="240" w:after="240" w:line="276" w:lineRule="auto"/>
        <w:ind w:left="567" w:right="902"/>
        <w:jc w:val="both"/>
        <w:rPr>
          <w:rFonts w:ascii="Palatino Linotype" w:eastAsia="Palatino Linotype" w:hAnsi="Palatino Linotype" w:cs="Palatino Linotype"/>
          <w:i/>
          <w:sz w:val="22"/>
          <w:szCs w:val="22"/>
        </w:rPr>
      </w:pPr>
      <w:r w:rsidRPr="002002A1">
        <w:rPr>
          <w:rFonts w:ascii="Palatino Linotype" w:eastAsia="Palatino Linotype" w:hAnsi="Palatino Linotype" w:cs="Palatino Linotype"/>
          <w:i/>
          <w:sz w:val="22"/>
          <w:szCs w:val="22"/>
        </w:rPr>
        <w:t> </w:t>
      </w:r>
      <w:r w:rsidRPr="002002A1">
        <w:rPr>
          <w:rFonts w:ascii="Palatino Linotype" w:eastAsia="Palatino Linotype" w:hAnsi="Palatino Linotype" w:cs="Palatino Linotype"/>
          <w:b/>
          <w:i/>
          <w:sz w:val="22"/>
          <w:szCs w:val="22"/>
        </w:rPr>
        <w:t>ARTÍCULO 18.-</w:t>
      </w:r>
      <w:r w:rsidRPr="002002A1">
        <w:rPr>
          <w:rFonts w:ascii="Palatino Linotype" w:eastAsia="Palatino Linotype" w:hAnsi="Palatino Linotype" w:cs="Palatino Linotype"/>
          <w:i/>
          <w:sz w:val="22"/>
          <w:szCs w:val="22"/>
        </w:rPr>
        <w:t> Una vez hecha la inscripción ante las juntas municipales de reclutamiento o consulados y como consecuencia inmediata, se formarán en dichas oficinas los siguientes documentos:</w:t>
      </w:r>
    </w:p>
    <w:p w14:paraId="365CA271" w14:textId="77777777" w:rsidR="00AB716F" w:rsidRDefault="00AB716F" w:rsidP="00AB716F">
      <w:pPr>
        <w:spacing w:before="240" w:after="240" w:line="276" w:lineRule="auto"/>
        <w:ind w:left="567" w:right="902"/>
        <w:jc w:val="both"/>
        <w:rPr>
          <w:rFonts w:ascii="Palatino Linotype" w:eastAsia="Palatino Linotype" w:hAnsi="Palatino Linotype" w:cs="Palatino Linotype"/>
          <w:i/>
          <w:sz w:val="20"/>
          <w:szCs w:val="20"/>
        </w:rPr>
      </w:pPr>
      <w:r w:rsidRPr="002002A1">
        <w:rPr>
          <w:rFonts w:ascii="Palatino Linotype" w:eastAsia="Palatino Linotype" w:hAnsi="Palatino Linotype" w:cs="Palatino Linotype"/>
          <w:b/>
          <w:i/>
          <w:sz w:val="22"/>
          <w:szCs w:val="22"/>
        </w:rPr>
        <w:t>I.-</w:t>
      </w:r>
      <w:r w:rsidRPr="002002A1">
        <w:rPr>
          <w:rFonts w:ascii="Palatino Linotype" w:eastAsia="Palatino Linotype" w:hAnsi="Palatino Linotype" w:cs="Palatino Linotype"/>
          <w:i/>
          <w:sz w:val="22"/>
          <w:szCs w:val="22"/>
        </w:rPr>
        <w:t> Cartilla de identificación que se entregará al interesado...”</w:t>
      </w:r>
      <w:r w:rsidRPr="002002A1">
        <w:rPr>
          <w:rFonts w:ascii="Palatino Linotype" w:eastAsia="Palatino Linotype" w:hAnsi="Palatino Linotype" w:cs="Palatino Linotype"/>
          <w:i/>
          <w:sz w:val="20"/>
          <w:szCs w:val="20"/>
        </w:rPr>
        <w:t> </w:t>
      </w:r>
    </w:p>
    <w:p w14:paraId="0BA52318" w14:textId="77777777" w:rsidR="0082122D" w:rsidRPr="002002A1" w:rsidRDefault="0082122D" w:rsidP="00AB716F">
      <w:pPr>
        <w:spacing w:before="240" w:after="240" w:line="276" w:lineRule="auto"/>
        <w:ind w:left="567" w:right="902"/>
        <w:jc w:val="both"/>
        <w:rPr>
          <w:rFonts w:ascii="Palatino Linotype" w:eastAsia="Palatino Linotype" w:hAnsi="Palatino Linotype" w:cs="Palatino Linotype"/>
          <w:i/>
          <w:sz w:val="22"/>
          <w:szCs w:val="22"/>
        </w:rPr>
      </w:pPr>
    </w:p>
    <w:p w14:paraId="1AD0A777" w14:textId="77777777" w:rsidR="00AB716F" w:rsidRPr="002002A1" w:rsidRDefault="00AB716F" w:rsidP="00D636D3">
      <w:pPr>
        <w:pStyle w:val="Prrafodelista"/>
        <w:numPr>
          <w:ilvl w:val="0"/>
          <w:numId w:val="2"/>
        </w:numPr>
        <w:spacing w:before="240" w:after="240" w:line="360" w:lineRule="auto"/>
        <w:ind w:left="-142" w:right="-992" w:firstLine="142"/>
        <w:jc w:val="both"/>
        <w:rPr>
          <w:rFonts w:ascii="Palatino Linotype" w:eastAsia="Palatino Linotype" w:hAnsi="Palatino Linotype" w:cs="Palatino Linotype"/>
        </w:rPr>
      </w:pPr>
      <w:r w:rsidRPr="002002A1">
        <w:rPr>
          <w:rFonts w:ascii="Palatino Linotype" w:eastAsia="Palatino Linotype" w:hAnsi="Palatino Linotype" w:cs="Palatino Linotype"/>
        </w:rPr>
        <w:t>De los preceptos legales trascritos, se obtiene que el documento que permite acreditar la inscripción de cada mexicano, en cumplimiento a la Ley del Servicio Militar, lo es la cartilla de identificación que se entrega al interesado.</w:t>
      </w:r>
    </w:p>
    <w:p w14:paraId="51B52E9C" w14:textId="77777777" w:rsidR="00D636D3" w:rsidRPr="002002A1" w:rsidRDefault="00D636D3" w:rsidP="00D636D3">
      <w:pPr>
        <w:pStyle w:val="Prrafodelista"/>
        <w:spacing w:before="240" w:after="240" w:line="360" w:lineRule="auto"/>
        <w:ind w:left="0" w:right="-992"/>
        <w:jc w:val="both"/>
        <w:rPr>
          <w:rFonts w:ascii="Palatino Linotype" w:eastAsia="Palatino Linotype" w:hAnsi="Palatino Linotype" w:cs="Palatino Linotype"/>
        </w:rPr>
      </w:pPr>
    </w:p>
    <w:p w14:paraId="2ECA0139"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La cual contiene entre otra información, el retrato de frente; sus generales (nombre y apellidos paterno y materno, edad, ocupación, estado civil y domicilio); matrícula; clase a que pertenece; corporación a que se le destine; unidad a la que deba incorporarse en caso de movilización; firma de la autoridad que la expida; firma del interesado, si sabe hacerlo; sello de la Junta Municipal de Reclutamiento o Consulado; y huella digital, por lo que se puede observar, el dato que puede considerarse de interés público es el nombre del servidor público, puesto que el resto consiste en información que no abona a la transparencia ni a la correcta rendición de cuentas de los sujetos obligados, pues es relativa a la relación que se tiene en cuanto a la obligación de realizar el servicios militar, y no así de las funciones que ejerza como servidor público, por lo que dicho documento debe tener  el mismo tratamiento que el acta de nacimiento referida en la fracción II, es decir con la clasificación total de la cartilla militar, motivo por el </w:t>
      </w:r>
      <w:r w:rsidRPr="002002A1">
        <w:rPr>
          <w:rFonts w:ascii="Palatino Linotype" w:eastAsia="Palatino Linotype" w:hAnsi="Palatino Linotype" w:cs="Palatino Linotype"/>
          <w:color w:val="000000"/>
        </w:rPr>
        <w:t xml:space="preserve">cual, de contar con este documento, deberá clasificarse mediante el acuerdo del Comité de Transparencia mediante el que clasifica en su totalidad la cartilla </w:t>
      </w:r>
      <w:r w:rsidRPr="002002A1">
        <w:rPr>
          <w:rFonts w:ascii="Palatino Linotype" w:eastAsia="Palatino Linotype" w:hAnsi="Palatino Linotype" w:cs="Palatino Linotype"/>
        </w:rPr>
        <w:t>militar.</w:t>
      </w:r>
    </w:p>
    <w:p w14:paraId="169DA66D" w14:textId="77777777" w:rsidR="00AB716F" w:rsidRPr="002002A1" w:rsidRDefault="00AB716F" w:rsidP="00AB716F">
      <w:pPr>
        <w:spacing w:before="240" w:after="240" w:line="360" w:lineRule="auto"/>
        <w:jc w:val="both"/>
        <w:rPr>
          <w:rFonts w:ascii="Palatino Linotype" w:eastAsia="Palatino Linotype" w:hAnsi="Palatino Linotype" w:cs="Palatino Linotype"/>
          <w:b/>
        </w:rPr>
      </w:pPr>
      <w:r w:rsidRPr="002002A1">
        <w:rPr>
          <w:rFonts w:ascii="Palatino Linotype" w:eastAsia="Palatino Linotype" w:hAnsi="Palatino Linotype" w:cs="Palatino Linotype"/>
          <w:b/>
        </w:rPr>
        <w:lastRenderedPageBreak/>
        <w:t>Constancia de no inhabilitación.</w:t>
      </w:r>
    </w:p>
    <w:p w14:paraId="39065859"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lang w:val="es-ES"/>
        </w:rPr>
      </w:pPr>
      <w:r w:rsidRPr="002002A1">
        <w:rPr>
          <w:rFonts w:ascii="Palatino Linotype" w:eastAsia="Palatino Linotype" w:hAnsi="Palatino Linotype" w:cs="Palatino Linotype"/>
          <w:lang w:val="es-ES"/>
        </w:rPr>
        <w:t xml:space="preserve">Al respecto dicho documento se encuentra regulado en el artículo 27 y 28 de la Ley General de Responsabilidades Administrativas, 28 de la Ley de Responsabilidades Administrativas, 28 quinto párrafo de la Ley de Responsabilidades Administrativas del Estado de México, con relación al 47, fracción X de la Ley del Trabajo de los Servidores públicos del Estado de México y Municipios. </w:t>
      </w:r>
    </w:p>
    <w:p w14:paraId="43782360" w14:textId="77777777" w:rsidR="00D636D3" w:rsidRPr="002002A1" w:rsidRDefault="00D636D3" w:rsidP="00D636D3">
      <w:pPr>
        <w:pStyle w:val="Prrafodelista"/>
        <w:spacing w:before="240" w:after="240" w:line="360" w:lineRule="auto"/>
        <w:ind w:left="0" w:right="-992"/>
        <w:jc w:val="both"/>
        <w:rPr>
          <w:rFonts w:ascii="Palatino Linotype" w:eastAsia="Palatino Linotype" w:hAnsi="Palatino Linotype" w:cs="Palatino Linotype"/>
          <w:lang w:val="es-ES"/>
        </w:rPr>
      </w:pPr>
    </w:p>
    <w:p w14:paraId="72F1F9EE"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lang w:val="es-ES"/>
        </w:rPr>
      </w:pPr>
      <w:r w:rsidRPr="002002A1">
        <w:rPr>
          <w:rFonts w:ascii="Palatino Linotype" w:eastAsia="Palatino Linotype" w:hAnsi="Palatino Linotype" w:cs="Palatino Linotype"/>
          <w:lang w:val="es-ES"/>
        </w:rPr>
        <w:t xml:space="preserve">Es el documento que expide la Secretaría de la Contraloría del Estado de México por medio del sistema electrónico extranet </w:t>
      </w:r>
      <w:hyperlink r:id="rId14" w:history="1">
        <w:r w:rsidRPr="002002A1">
          <w:rPr>
            <w:rFonts w:ascii="Palatino Linotype" w:eastAsia="Palatino Linotype" w:hAnsi="Palatino Linotype" w:cs="Palatino Linotype"/>
            <w:color w:val="0000FF"/>
            <w:u w:val="single"/>
            <w:lang w:val="es-ES"/>
          </w:rPr>
          <w:t>www.secogem.gob.mx/constancias/</w:t>
        </w:r>
      </w:hyperlink>
      <w:r w:rsidRPr="002002A1">
        <w:rPr>
          <w:rFonts w:ascii="Palatino Linotype" w:eastAsia="Palatino Linotype" w:hAnsi="Palatino Linotype" w:cs="Palatino Linotype"/>
          <w:lang w:val="es-ES"/>
        </w:rPr>
        <w:t xml:space="preserve"> en el cual se informa si las personas físicas cuentan con alguna sanción o inhabilitación para ocupar un empleo, cargo o comisión de carácter público. </w:t>
      </w:r>
    </w:p>
    <w:p w14:paraId="480E1A6B" w14:textId="77777777" w:rsidR="00D636D3" w:rsidRPr="002002A1" w:rsidRDefault="00D636D3" w:rsidP="00D636D3">
      <w:pPr>
        <w:pStyle w:val="Prrafodelista"/>
        <w:rPr>
          <w:rFonts w:ascii="Palatino Linotype" w:eastAsia="Palatino Linotype" w:hAnsi="Palatino Linotype" w:cs="Palatino Linotype"/>
          <w:lang w:val="es-ES"/>
        </w:rPr>
      </w:pPr>
    </w:p>
    <w:p w14:paraId="6018578E"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lang w:val="es-ES"/>
        </w:rPr>
      </w:pPr>
      <w:r w:rsidRPr="002002A1">
        <w:rPr>
          <w:rFonts w:ascii="Palatino Linotype" w:eastAsia="Palatino Linotype" w:hAnsi="Palatino Linotype" w:cs="Palatino Linotype"/>
          <w:lang w:val="es-ES"/>
        </w:rPr>
        <w:t>Por lo anterior, toda vez que este documento es generado en ejercicio de funciones del Sujeto Obligado, es de naturaleza pública, sin embargo, no pasa desapercibido mencionar que puede contener datos que actualizan la causal prevista en la fracción I del artículo 143 de la Ley de Transparencia del Estado de México y Municipios, por lo tanto, deberá ser p</w:t>
      </w:r>
      <w:r w:rsidR="00F11EBB" w:rsidRPr="002002A1">
        <w:rPr>
          <w:rFonts w:ascii="Palatino Linotype" w:eastAsia="Palatino Linotype" w:hAnsi="Palatino Linotype" w:cs="Palatino Linotype"/>
          <w:lang w:val="es-ES"/>
        </w:rPr>
        <w:t>roporcionado en versión pública</w:t>
      </w:r>
      <w:r w:rsidRPr="002002A1">
        <w:rPr>
          <w:rFonts w:ascii="Palatino Linotype" w:eastAsia="Palatino Linotype" w:hAnsi="Palatino Linotype" w:cs="Palatino Linotype"/>
          <w:lang w:val="es-ES"/>
        </w:rPr>
        <w:t>.</w:t>
      </w:r>
    </w:p>
    <w:p w14:paraId="20E3D6E0" w14:textId="77777777" w:rsidR="00AB716F" w:rsidRPr="002002A1" w:rsidRDefault="00AB716F" w:rsidP="00AB716F">
      <w:pPr>
        <w:spacing w:before="240" w:after="240" w:line="360" w:lineRule="auto"/>
        <w:jc w:val="both"/>
        <w:rPr>
          <w:rFonts w:ascii="Palatino Linotype" w:hAnsi="Palatino Linotype"/>
          <w:b/>
          <w:lang w:val="es-ES"/>
        </w:rPr>
      </w:pPr>
      <w:r w:rsidRPr="002002A1">
        <w:rPr>
          <w:rFonts w:ascii="Palatino Linotype" w:hAnsi="Palatino Linotype"/>
          <w:b/>
          <w:lang w:val="es-ES"/>
        </w:rPr>
        <w:t xml:space="preserve">Certificado de no deudor alimentario moroso </w:t>
      </w:r>
    </w:p>
    <w:p w14:paraId="5FB7259E"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hAnsi="Palatino Linotype"/>
          <w:b/>
          <w:lang w:val="es-ES"/>
        </w:rPr>
      </w:pPr>
      <w:r w:rsidRPr="002002A1">
        <w:rPr>
          <w:rFonts w:ascii="Palatino Linotype" w:eastAsia="Palatino Linotype" w:hAnsi="Palatino Linotype" w:cs="Palatino Linotype"/>
        </w:rPr>
        <w:t>Mediante el Decreto número 325 publicado en el Periódico Oficial “Gaceta del Gobierno” el catorce de noviembre de dos mil catorce, en la exposición de motivos de ese decreto se observa que, como una medida para garantizar el interés superior de los menores, se creó el Registro de Deudores Alimentarios del Estado de México, con la finalidad de asegurar el cumplimiento de las obligaciones alimentarias de los padres para con sus hijos.</w:t>
      </w:r>
    </w:p>
    <w:p w14:paraId="102AFADD" w14:textId="77777777" w:rsidR="00D636D3" w:rsidRPr="002002A1" w:rsidRDefault="00D636D3" w:rsidP="00D636D3">
      <w:pPr>
        <w:pStyle w:val="Prrafodelista"/>
        <w:spacing w:before="240" w:after="240" w:line="360" w:lineRule="auto"/>
        <w:ind w:left="0" w:right="-992"/>
        <w:jc w:val="both"/>
        <w:rPr>
          <w:rFonts w:ascii="Palatino Linotype" w:hAnsi="Palatino Linotype"/>
          <w:b/>
          <w:lang w:val="es-ES"/>
        </w:rPr>
      </w:pPr>
    </w:p>
    <w:p w14:paraId="5BE6A94E" w14:textId="77777777" w:rsidR="00AB716F" w:rsidRPr="002002A1" w:rsidRDefault="00AB716F" w:rsidP="00D636D3">
      <w:pPr>
        <w:pStyle w:val="Prrafodelista"/>
        <w:numPr>
          <w:ilvl w:val="0"/>
          <w:numId w:val="2"/>
        </w:numPr>
        <w:pBdr>
          <w:top w:val="nil"/>
          <w:left w:val="nil"/>
          <w:bottom w:val="nil"/>
          <w:right w:val="nil"/>
          <w:between w:val="nil"/>
        </w:pBdr>
        <w:spacing w:before="240" w:after="240"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lastRenderedPageBreak/>
        <w:t xml:space="preserve">Es decir, la inscripción en dicho registro tiene impacto única y exclusivamente en la vida privada de las personas, pues en nada tiene que ver su inscripción en dicho registro con las funciones que se tiene como servidor público; por lo que lejos de abonar a la transparencia y correcta rendición de cuentas de los entes públicos, </w:t>
      </w:r>
      <w:r w:rsidR="00F11EBB" w:rsidRPr="002002A1">
        <w:rPr>
          <w:rFonts w:ascii="Palatino Linotype" w:eastAsia="Palatino Linotype" w:hAnsi="Palatino Linotype" w:cs="Palatino Linotype"/>
        </w:rPr>
        <w:t xml:space="preserve">ello aunado a que </w:t>
      </w:r>
      <w:r w:rsidRPr="002002A1">
        <w:rPr>
          <w:rFonts w:ascii="Palatino Linotype" w:hAnsi="Palatino Linotype"/>
          <w:lang w:val="es-ES"/>
        </w:rPr>
        <w:t>regula de manera enunciativa y no limitativa, entre otros derechos, garantizar el pleno ejercicio, respeto, protección y promoción de los derechos humanos, derecho a la vida, a la paz, a la supervivencia y al desarrollo, el recibir alimentos para lograr el sano desarrollo del menor en su ámbito, bio-psico-social, y establece como obligación de los progenitores para con sus hijos, el proporcionarles, apoyo, cuidados, educación y protección a su salud.</w:t>
      </w:r>
    </w:p>
    <w:p w14:paraId="3AF9F7F1" w14:textId="77777777" w:rsidR="00D636D3" w:rsidRPr="002002A1" w:rsidRDefault="00D636D3" w:rsidP="00D636D3">
      <w:pPr>
        <w:pStyle w:val="Prrafodelista"/>
        <w:pBdr>
          <w:top w:val="nil"/>
          <w:left w:val="nil"/>
          <w:bottom w:val="nil"/>
          <w:right w:val="nil"/>
          <w:between w:val="nil"/>
        </w:pBdr>
        <w:spacing w:before="240" w:after="240" w:line="360" w:lineRule="auto"/>
        <w:ind w:left="0" w:right="-992"/>
        <w:jc w:val="both"/>
        <w:rPr>
          <w:rFonts w:ascii="Palatino Linotype" w:eastAsia="Palatino Linotype" w:hAnsi="Palatino Linotype" w:cs="Palatino Linotype"/>
        </w:rPr>
      </w:pPr>
    </w:p>
    <w:p w14:paraId="22A9B3E4"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hAnsi="Palatino Linotype"/>
          <w:lang w:val="es-ES"/>
        </w:rPr>
      </w:pPr>
      <w:r w:rsidRPr="002002A1">
        <w:rPr>
          <w:rFonts w:ascii="Palatino Linotype" w:hAnsi="Palatino Linotype"/>
          <w:lang w:val="es-ES"/>
        </w:rPr>
        <w:t>De ahí que, se crea el Registro Nacional de Obligaciones Alimentarias cuyo objeto es concentrar la información de deudores y acreedores de obligaciones alimentarias, a fin de dar efectiva protección y restitución de los derechos de niñas, niños y adolescentes. Los Tribunales Superiores de las entidades federativas y de la Ciudad de México suministrarán, intercambiarán, sistematizarán, consultarán, analizarán y actualizarán, la información que se genere sobre el incumplimiento de las obligaciones alimentarias en el ámbito de sus competencias utilizando los sistemas e instrumentos tecnológicos del Sistema Nacional DIF para que con ella integre al Registro Nacional de Obligaciones.</w:t>
      </w:r>
    </w:p>
    <w:p w14:paraId="6366F569" w14:textId="77777777" w:rsidR="00D636D3" w:rsidRPr="002002A1" w:rsidRDefault="00D636D3" w:rsidP="00D636D3">
      <w:pPr>
        <w:pStyle w:val="Prrafodelista"/>
        <w:rPr>
          <w:rFonts w:ascii="Palatino Linotype" w:hAnsi="Palatino Linotype"/>
          <w:lang w:val="es-ES"/>
        </w:rPr>
      </w:pPr>
    </w:p>
    <w:p w14:paraId="7FE1B733"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hAnsi="Palatino Linotype"/>
          <w:lang w:val="es-ES"/>
        </w:rPr>
      </w:pPr>
      <w:r w:rsidRPr="002002A1">
        <w:rPr>
          <w:rFonts w:ascii="Palatino Linotype" w:hAnsi="Palatino Linotype"/>
          <w:lang w:val="es-ES"/>
        </w:rPr>
        <w:t xml:space="preserve">La calidad de deudor moroso se difundirá en el Registro Nacional de Obligaciones Alimentarias, el cual, será público con base en lo dispuesto en la </w:t>
      </w:r>
      <w:r w:rsidR="00F11EBB" w:rsidRPr="002002A1">
        <w:rPr>
          <w:rFonts w:ascii="Palatino Linotype" w:hAnsi="Palatino Linotype"/>
          <w:lang w:val="es-ES"/>
        </w:rPr>
        <w:t xml:space="preserve">entonces </w:t>
      </w:r>
      <w:r w:rsidRPr="002002A1">
        <w:rPr>
          <w:rFonts w:ascii="Palatino Linotype" w:hAnsi="Palatino Linotype"/>
          <w:lang w:val="es-ES"/>
        </w:rPr>
        <w:t xml:space="preserve">Ley General de Protección de Datos Personales en Posesión de Sujetos Obligados. Es de recalcar que las Autoridades de los tres órdenes de gobierno (Federal, Estatal y Municipal) en el ámbito de sus competencias, dispondrán lo necesario a fin de establecer como requisito la presentación del certificado de no inscripción en el Registro Nacional de Obligaciones Alimentarias; es decir, la </w:t>
      </w:r>
      <w:r w:rsidRPr="002002A1">
        <w:rPr>
          <w:rFonts w:ascii="Palatino Linotype" w:hAnsi="Palatino Linotype"/>
          <w:lang w:val="es-ES"/>
        </w:rPr>
        <w:lastRenderedPageBreak/>
        <w:t>denominación que se le dio fue el de Registro de Deudores Alimentarios Morosos, ya que, la palabra moroso deriva de mora; la mora es el retraso en el cumplimiento de las obligaciones y se incurre en ella desde el momento en que feneció el plazo que se señaló para el cumplimiento de una obligación.</w:t>
      </w:r>
    </w:p>
    <w:p w14:paraId="113E1B9D" w14:textId="77777777" w:rsidR="00D636D3" w:rsidRPr="002002A1" w:rsidRDefault="00D636D3" w:rsidP="00D636D3">
      <w:pPr>
        <w:pStyle w:val="Prrafodelista"/>
        <w:rPr>
          <w:rFonts w:ascii="Palatino Linotype" w:hAnsi="Palatino Linotype"/>
          <w:lang w:val="es-ES"/>
        </w:rPr>
      </w:pPr>
    </w:p>
    <w:p w14:paraId="16B601B9" w14:textId="77777777" w:rsidR="00AB716F" w:rsidRPr="002002A1" w:rsidRDefault="00AB716F" w:rsidP="00D636D3">
      <w:pPr>
        <w:pStyle w:val="Prrafodelista"/>
        <w:numPr>
          <w:ilvl w:val="0"/>
          <w:numId w:val="2"/>
        </w:numPr>
        <w:spacing w:before="240" w:after="240" w:line="360" w:lineRule="auto"/>
        <w:ind w:left="0" w:right="-992" w:firstLine="0"/>
        <w:jc w:val="both"/>
        <w:rPr>
          <w:rFonts w:ascii="Palatino Linotype" w:hAnsi="Palatino Linotype"/>
          <w:lang w:val="es-ES"/>
        </w:rPr>
      </w:pPr>
      <w:r w:rsidRPr="002002A1">
        <w:rPr>
          <w:rFonts w:ascii="Palatino Linotype" w:hAnsi="Palatino Linotype"/>
          <w:lang w:val="es-ES"/>
        </w:rPr>
        <w:t xml:space="preserve">Al respecto, en el Proyecto de Decreto por el que se Reforman y Adicionan Diversas Disposiciones para crear el Registro de Deudores Alimentarios del Estado de México, disponible en la dirección electrónica https://legislacion.edomex.gob.mx/sites/legislacion.edomex.gob.mx/files/files/pdf/gct/2014 /nov144.PDF, advierte lo siguiente: </w:t>
      </w:r>
    </w:p>
    <w:p w14:paraId="5F6CC5B6"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“4.146 Bis.- El área del Registro de Deudores Alimentarios Morosos, es una unidad administrativa del Registro Civil. Actos inscribibles en el Registro de Deudores Alimentarios Morosos </w:t>
      </w:r>
    </w:p>
    <w:p w14:paraId="6AE9B719"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4.146 Ter.- En el Registro de Deudores Alimentarios Morosos se inscriben a las personas que el Juez de lo Familiar determina en términos del artículo 4.136 del presente Código. Serán objeto de registro los empleadores que incumplan una orden de descuento para alimentos ordenada por el órgano jurisdiccional. </w:t>
      </w:r>
    </w:p>
    <w:p w14:paraId="23222E13" w14:textId="77777777" w:rsidR="00AB716F" w:rsidRPr="002002A1" w:rsidRDefault="00AB716F" w:rsidP="00AB716F">
      <w:pPr>
        <w:spacing w:before="240" w:after="240" w:line="276" w:lineRule="auto"/>
        <w:ind w:left="567" w:right="900"/>
        <w:jc w:val="both"/>
        <w:rPr>
          <w:rFonts w:ascii="Palatino Linotype" w:hAnsi="Palatino Linotype"/>
          <w:b/>
          <w:i/>
          <w:sz w:val="22"/>
          <w:lang w:val="es-ES"/>
        </w:rPr>
      </w:pPr>
      <w:r w:rsidRPr="002002A1">
        <w:rPr>
          <w:rFonts w:ascii="Palatino Linotype" w:hAnsi="Palatino Linotype"/>
          <w:b/>
          <w:i/>
          <w:sz w:val="22"/>
          <w:lang w:val="es-ES"/>
        </w:rPr>
        <w:t xml:space="preserve">De los datos que contendrá el Registro de Deudores Alimentarios Morosos </w:t>
      </w:r>
    </w:p>
    <w:p w14:paraId="714E4945"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Artículo. 4.146 Quáter.- El Registro de Deudores Alimentarios Morosos contendrá: </w:t>
      </w:r>
    </w:p>
    <w:p w14:paraId="635DC903"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I. Nombre y Clave Única del Registro de Población del deudor alimentario; </w:t>
      </w:r>
    </w:p>
    <w:p w14:paraId="1FF55621"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II. Nombre del acreedor o acreedores alimentarios;</w:t>
      </w:r>
    </w:p>
    <w:p w14:paraId="21F5E1E5"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III. Datos del acta que acredite el vínculo entre deudor y acreedor alimentario, en su caso; IV. Monto de la pensión decretada o convenida, en su caso, número de pagos incumplidos y monto del adeudo alimentario; </w:t>
      </w:r>
    </w:p>
    <w:p w14:paraId="70E7C09E"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V. Órgano jurisdiccional que ordenó el registro; </w:t>
      </w:r>
    </w:p>
    <w:p w14:paraId="05D5509B"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lastRenderedPageBreak/>
        <w:t xml:space="preserve">VI. Datos del expediente jurisdiccional de la que deriva su inscripción. </w:t>
      </w:r>
    </w:p>
    <w:p w14:paraId="638210AA"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Una vez hecha la inscripción a que se refiere el párrafo anterior se girará oficio al Instituto de la Función Registral del Estado de México, a efecto de que se anote el certificado de deudor</w:t>
      </w:r>
      <w:r w:rsidRPr="002002A1">
        <w:rPr>
          <w:rFonts w:ascii="Palatino Linotype" w:eastAsia="Palatino Linotype" w:hAnsi="Palatino Linotype" w:cs="Palatino Linotype"/>
          <w:b/>
          <w:i/>
          <w:sz w:val="22"/>
        </w:rPr>
        <w:t xml:space="preserve"> </w:t>
      </w:r>
      <w:r w:rsidRPr="002002A1">
        <w:rPr>
          <w:rFonts w:ascii="Palatino Linotype" w:hAnsi="Palatino Linotype"/>
          <w:i/>
          <w:sz w:val="22"/>
          <w:lang w:val="es-ES"/>
        </w:rPr>
        <w:t xml:space="preserve">alimentario en los folios reales de que sea propietario el deudor alimentario. </w:t>
      </w:r>
    </w:p>
    <w:p w14:paraId="0FC6391B"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El Instituto de la Función Registral informará al Registro Civil si fue procedente la anotación, en cuyo caso dará aviso al Juez del conocimiento para que el acreedor alimentario haga cobrable las cantidades adeudadas en la vía judicial respectiva. </w:t>
      </w:r>
    </w:p>
    <w:p w14:paraId="42897123"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Datos del Certificado expedido por la Unidad del Registro de Deudores Alimentarios Morosos </w:t>
      </w:r>
    </w:p>
    <w:p w14:paraId="2DC62BA0"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Artículo 4.146 Quinquies.- El Certificado expedido por la Unidad del Registro de Deudores Alimentarios Morosos contendrá lo siguiente: </w:t>
      </w:r>
    </w:p>
    <w:p w14:paraId="26845FC9"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I. Nombre y Clave Única de Registro de Población del solicitante; </w:t>
      </w:r>
    </w:p>
    <w:p w14:paraId="3F5B6083"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II. La información sobre su inscripción o no en el registro de deudores alimentarios morosos. </w:t>
      </w:r>
    </w:p>
    <w:p w14:paraId="2F9247CD"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De ser el caso que el solicitante se encuentre inscrito en el registro, la constancia incluirá además lo siguiente: </w:t>
      </w:r>
    </w:p>
    <w:p w14:paraId="19D93E85"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I. Número de acreedores alimentarios; </w:t>
      </w:r>
    </w:p>
    <w:p w14:paraId="3E402CE3"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II. Monto de la pensión alimenticia decretada o convenida; </w:t>
      </w:r>
    </w:p>
    <w:p w14:paraId="3F06DFA0"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III. Órgano jurisdiccional que ordenó el registro; </w:t>
      </w:r>
    </w:p>
    <w:p w14:paraId="05BDCAD4"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IV. Datos del expediente jurisdiccional de la que deriva su inscripción. </w:t>
      </w:r>
    </w:p>
    <w:p w14:paraId="5D1AE85A"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El Certificado a que se refiere el presente artículo será expedido el mismo día hábil de su solicitud. </w:t>
      </w:r>
    </w:p>
    <w:p w14:paraId="6C50AD85" w14:textId="77777777" w:rsidR="00AB716F" w:rsidRPr="002002A1" w:rsidRDefault="00AB716F" w:rsidP="00AB716F">
      <w:pPr>
        <w:spacing w:before="240" w:after="240" w:line="276" w:lineRule="auto"/>
        <w:ind w:left="567" w:right="900"/>
        <w:jc w:val="both"/>
        <w:rPr>
          <w:rFonts w:ascii="Palatino Linotype" w:hAnsi="Palatino Linotype"/>
          <w:i/>
          <w:sz w:val="22"/>
          <w:lang w:val="es-ES"/>
        </w:rPr>
      </w:pPr>
      <w:r w:rsidRPr="002002A1">
        <w:rPr>
          <w:rFonts w:ascii="Palatino Linotype" w:hAnsi="Palatino Linotype"/>
          <w:i/>
          <w:sz w:val="22"/>
          <w:lang w:val="es-ES"/>
        </w:rPr>
        <w:t xml:space="preserve">…” </w:t>
      </w:r>
    </w:p>
    <w:p w14:paraId="6E1DA593" w14:textId="77777777" w:rsidR="00AB716F" w:rsidRPr="002002A1" w:rsidRDefault="00AB716F" w:rsidP="00F11EBB">
      <w:pPr>
        <w:pStyle w:val="Prrafodelista"/>
        <w:numPr>
          <w:ilvl w:val="0"/>
          <w:numId w:val="2"/>
        </w:numPr>
        <w:spacing w:before="240" w:after="240" w:line="360" w:lineRule="auto"/>
        <w:ind w:left="0" w:right="-992" w:firstLine="0"/>
        <w:jc w:val="both"/>
        <w:rPr>
          <w:rFonts w:ascii="Palatino Linotype" w:eastAsia="Palatino Linotype" w:hAnsi="Palatino Linotype" w:cs="Palatino Linotype"/>
          <w:b/>
        </w:rPr>
      </w:pPr>
      <w:r w:rsidRPr="002002A1">
        <w:rPr>
          <w:rFonts w:ascii="Palatino Linotype" w:hAnsi="Palatino Linotype"/>
          <w:lang w:val="es-ES"/>
        </w:rPr>
        <w:lastRenderedPageBreak/>
        <w:t xml:space="preserve">Ahora bien, respecto a aquellos servidores públicos que se encuentren o no inscritos en dicho </w:t>
      </w:r>
      <w:r w:rsidRPr="002002A1">
        <w:rPr>
          <w:rFonts w:ascii="Palatino Linotype" w:hAnsi="Palatino Linotype"/>
          <w:color w:val="000000"/>
          <w:lang w:val="es-ES"/>
        </w:rPr>
        <w:t xml:space="preserve">registro, procedería su entrega en versión pública, </w:t>
      </w:r>
      <w:r w:rsidRPr="002002A1">
        <w:rPr>
          <w:rFonts w:ascii="Palatino Linotype" w:hAnsi="Palatino Linotype"/>
          <w:lang w:val="es-ES"/>
        </w:rPr>
        <w:t>ya que al ser un requisito sine qua non para ingresar al servicio público, se convierte en información que da certeza a la ciudadanía de que el Servidor Público cumplió con los requisitos señalados</w:t>
      </w:r>
      <w:r w:rsidRPr="002002A1">
        <w:rPr>
          <w:rFonts w:ascii="Palatino Linotype" w:eastAsia="Palatino Linotype" w:hAnsi="Palatino Linotype" w:cs="Palatino Linotype"/>
          <w:b/>
        </w:rPr>
        <w:t xml:space="preserve"> </w:t>
      </w:r>
      <w:r w:rsidRPr="002002A1">
        <w:rPr>
          <w:rFonts w:ascii="Palatino Linotype" w:hAnsi="Palatino Linotype"/>
          <w:lang w:val="es-ES"/>
        </w:rPr>
        <w:t>por el artículo 3</w:t>
      </w:r>
      <w:r w:rsidR="00F11EBB" w:rsidRPr="002002A1">
        <w:rPr>
          <w:rFonts w:ascii="Palatino Linotype" w:hAnsi="Palatino Linotype"/>
          <w:lang w:val="es-ES"/>
        </w:rPr>
        <w:t>2 de la Ley Orgánica Municipal.</w:t>
      </w:r>
    </w:p>
    <w:p w14:paraId="0265E5BA" w14:textId="77777777" w:rsidR="00F11EBB" w:rsidRPr="002002A1" w:rsidRDefault="00F11EBB" w:rsidP="00F11EBB">
      <w:pPr>
        <w:pStyle w:val="Prrafodelista"/>
        <w:spacing w:line="360" w:lineRule="auto"/>
        <w:ind w:left="0" w:right="-992"/>
        <w:jc w:val="both"/>
        <w:rPr>
          <w:rFonts w:ascii="Palatino Linotype" w:eastAsia="Palatino Linotype" w:hAnsi="Palatino Linotype" w:cs="Palatino Linotype"/>
          <w:lang w:val="es-ES"/>
        </w:rPr>
      </w:pPr>
    </w:p>
    <w:p w14:paraId="1A2AC4A6" w14:textId="77777777" w:rsidR="00AB716F" w:rsidRPr="002002A1" w:rsidRDefault="00AB716F" w:rsidP="00D636D3">
      <w:pPr>
        <w:pStyle w:val="Prrafodelista"/>
        <w:numPr>
          <w:ilvl w:val="0"/>
          <w:numId w:val="2"/>
        </w:numPr>
        <w:spacing w:line="360" w:lineRule="auto"/>
        <w:ind w:left="0" w:right="-992" w:firstLine="0"/>
        <w:jc w:val="both"/>
        <w:rPr>
          <w:rFonts w:ascii="Palatino Linotype" w:eastAsia="Palatino Linotype" w:hAnsi="Palatino Linotype" w:cs="Palatino Linotype"/>
          <w:lang w:val="es-ES"/>
        </w:rPr>
      </w:pPr>
      <w:r w:rsidRPr="002002A1">
        <w:rPr>
          <w:rFonts w:ascii="Palatino Linotype" w:eastAsia="Palatino Linotype" w:hAnsi="Palatino Linotype" w:cs="Palatino Linotype"/>
          <w:lang w:val="es-ES"/>
        </w:rPr>
        <w:t xml:space="preserve">Derivado de lo anterior, cualquier ciudadano que desee obtener dicha información, podrá ingresar a la Ventanilla Electrónica Única, en la que accederá con su CUTS y contraseña, capturando los datos como son CURP, nombre, primer y segundo apellido, y se comenzará la búsqueda de lo solicitado, en el que arrojará si se encuentra en calidad de deudor o no. </w:t>
      </w:r>
    </w:p>
    <w:p w14:paraId="75C6D0FF" w14:textId="77777777" w:rsidR="00D636D3" w:rsidRPr="002002A1" w:rsidRDefault="00D636D3" w:rsidP="00D636D3">
      <w:pPr>
        <w:pStyle w:val="Prrafodelista"/>
        <w:spacing w:line="360" w:lineRule="auto"/>
        <w:ind w:left="360" w:right="-992"/>
        <w:jc w:val="both"/>
        <w:rPr>
          <w:rFonts w:ascii="Palatino Linotype" w:eastAsia="Palatino Linotype" w:hAnsi="Palatino Linotype" w:cs="Palatino Linotype"/>
          <w:lang w:val="es-ES"/>
        </w:rPr>
      </w:pPr>
    </w:p>
    <w:p w14:paraId="674CBC6C" w14:textId="77777777" w:rsidR="00AB716F" w:rsidRPr="002002A1" w:rsidRDefault="00AB716F" w:rsidP="00D636D3">
      <w:pPr>
        <w:pStyle w:val="Prrafodelista"/>
        <w:numPr>
          <w:ilvl w:val="0"/>
          <w:numId w:val="2"/>
        </w:numPr>
        <w:spacing w:line="360" w:lineRule="auto"/>
        <w:ind w:left="0" w:right="-992" w:firstLine="0"/>
        <w:jc w:val="both"/>
        <w:rPr>
          <w:rFonts w:ascii="Palatino Linotype" w:eastAsia="Palatino Linotype" w:hAnsi="Palatino Linotype" w:cs="Palatino Linotype"/>
          <w:lang w:val="es-ES"/>
        </w:rPr>
      </w:pPr>
      <w:r w:rsidRPr="002002A1">
        <w:rPr>
          <w:rFonts w:ascii="Palatino Linotype" w:eastAsia="Palatino Linotype" w:hAnsi="Palatino Linotype" w:cs="Palatino Linotype"/>
          <w:lang w:val="es-ES"/>
        </w:rPr>
        <w:t xml:space="preserve">En este sentido, se advierte que al ser un requisito indispensable y preponderante, de actualizarse dicho supuesto en futuras ocasiones, </w:t>
      </w:r>
      <w:r w:rsidRPr="002002A1">
        <w:rPr>
          <w:rFonts w:ascii="Palatino Linotype" w:eastAsia="Palatino Linotype" w:hAnsi="Palatino Linotype" w:cs="Palatino Linotype"/>
          <w:color w:val="000000"/>
          <w:lang w:val="es-ES"/>
        </w:rPr>
        <w:t xml:space="preserve">el </w:t>
      </w:r>
      <w:r w:rsidRPr="002002A1">
        <w:rPr>
          <w:rFonts w:ascii="Palatino Linotype" w:eastAsia="Palatino Linotype" w:hAnsi="Palatino Linotype" w:cs="Palatino Linotype"/>
          <w:b/>
          <w:color w:val="000000"/>
          <w:lang w:val="es-ES"/>
        </w:rPr>
        <w:t>Sujeto Obligado</w:t>
      </w:r>
      <w:r w:rsidRPr="002002A1">
        <w:rPr>
          <w:rFonts w:ascii="Palatino Linotype" w:eastAsia="Palatino Linotype" w:hAnsi="Palatino Linotype" w:cs="Palatino Linotype"/>
          <w:color w:val="000000"/>
          <w:lang w:val="es-ES"/>
        </w:rPr>
        <w:t xml:space="preserve"> deberá hacer entrega de dicho documento que dé cuenta de que no es una persona que ha</w:t>
      </w:r>
      <w:r w:rsidRPr="002002A1">
        <w:rPr>
          <w:color w:val="000000"/>
          <w:lang w:val="es-ES"/>
        </w:rPr>
        <w:t xml:space="preserve"> </w:t>
      </w:r>
      <w:r w:rsidRPr="002002A1">
        <w:rPr>
          <w:rFonts w:ascii="Palatino Linotype" w:eastAsia="Palatino Linotype" w:hAnsi="Palatino Linotype" w:cs="Palatino Linotype"/>
          <w:color w:val="000000"/>
          <w:lang w:val="es-ES"/>
        </w:rPr>
        <w:t xml:space="preserve">incumplido con las obligaciones alimentarias, </w:t>
      </w:r>
      <w:r w:rsidRPr="002002A1">
        <w:rPr>
          <w:rFonts w:ascii="Palatino Linotype" w:eastAsia="Palatino Linotype" w:hAnsi="Palatino Linotype" w:cs="Palatino Linotype"/>
          <w:lang w:val="es-ES"/>
        </w:rPr>
        <w:t>en caso de que estas existan, toda vez que si bien, debe considerarse que se trata del ámbito privado, esta determinación se toma en función de la preponderancia del interés superior del menor, por tal motivo, un requisito para que las personas puedan laborar en el servicio público es justamente, cumplir con las obligaciones que adquieran con sus menores hijos, porque al haberlas cubierto, no formarán parte de ese registro, no pasa desapercibido, que el Certificado de No Deudor Alimentario, pudiere contener información confidencial, como lo es el CURP y R.F.C.</w:t>
      </w:r>
    </w:p>
    <w:p w14:paraId="05E569C2"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59400D4F" w14:textId="77777777" w:rsidR="0082122D" w:rsidRDefault="0082122D">
      <w:pPr>
        <w:pBdr>
          <w:top w:val="nil"/>
          <w:left w:val="nil"/>
          <w:bottom w:val="nil"/>
          <w:right w:val="nil"/>
          <w:between w:val="nil"/>
        </w:pBdr>
        <w:ind w:left="720" w:right="-981"/>
        <w:rPr>
          <w:rFonts w:ascii="Palatino Linotype" w:eastAsia="Palatino Linotype" w:hAnsi="Palatino Linotype" w:cs="Palatino Linotype"/>
          <w:color w:val="000000"/>
        </w:rPr>
      </w:pPr>
    </w:p>
    <w:p w14:paraId="094B7561" w14:textId="77777777" w:rsidR="0082122D" w:rsidRDefault="0082122D">
      <w:pPr>
        <w:pBdr>
          <w:top w:val="nil"/>
          <w:left w:val="nil"/>
          <w:bottom w:val="nil"/>
          <w:right w:val="nil"/>
          <w:between w:val="nil"/>
        </w:pBdr>
        <w:ind w:left="720" w:right="-981"/>
        <w:rPr>
          <w:rFonts w:ascii="Palatino Linotype" w:eastAsia="Palatino Linotype" w:hAnsi="Palatino Linotype" w:cs="Palatino Linotype"/>
          <w:color w:val="000000"/>
        </w:rPr>
      </w:pPr>
    </w:p>
    <w:p w14:paraId="2EE2D05F" w14:textId="77777777" w:rsidR="0082122D" w:rsidRDefault="0082122D">
      <w:pPr>
        <w:pBdr>
          <w:top w:val="nil"/>
          <w:left w:val="nil"/>
          <w:bottom w:val="nil"/>
          <w:right w:val="nil"/>
          <w:between w:val="nil"/>
        </w:pBdr>
        <w:ind w:left="720" w:right="-981"/>
        <w:rPr>
          <w:rFonts w:ascii="Palatino Linotype" w:eastAsia="Palatino Linotype" w:hAnsi="Palatino Linotype" w:cs="Palatino Linotype"/>
          <w:color w:val="000000"/>
        </w:rPr>
      </w:pPr>
    </w:p>
    <w:p w14:paraId="4E60A6F3" w14:textId="77777777" w:rsidR="0082122D" w:rsidRDefault="0082122D">
      <w:pPr>
        <w:pBdr>
          <w:top w:val="nil"/>
          <w:left w:val="nil"/>
          <w:bottom w:val="nil"/>
          <w:right w:val="nil"/>
          <w:between w:val="nil"/>
        </w:pBdr>
        <w:ind w:left="720" w:right="-981"/>
        <w:rPr>
          <w:rFonts w:ascii="Palatino Linotype" w:eastAsia="Palatino Linotype" w:hAnsi="Palatino Linotype" w:cs="Palatino Linotype"/>
          <w:color w:val="000000"/>
        </w:rPr>
      </w:pPr>
    </w:p>
    <w:p w14:paraId="4D16E7E1" w14:textId="77777777" w:rsidR="006D3F24" w:rsidRDefault="005C2B11" w:rsidP="0082122D">
      <w:pPr>
        <w:numPr>
          <w:ilvl w:val="0"/>
          <w:numId w:val="6"/>
        </w:numPr>
        <w:pBdr>
          <w:top w:val="nil"/>
          <w:left w:val="nil"/>
          <w:bottom w:val="nil"/>
          <w:right w:val="nil"/>
          <w:between w:val="nil"/>
        </w:pBdr>
        <w:spacing w:line="360" w:lineRule="auto"/>
        <w:ind w:left="284"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Nombramiento (Punto 3 del cuadro comparativo)</w:t>
      </w:r>
    </w:p>
    <w:p w14:paraId="02CA899E" w14:textId="77777777" w:rsidR="006D3F24" w:rsidRDefault="005C2B11">
      <w:pPr>
        <w:numPr>
          <w:ilvl w:val="0"/>
          <w:numId w:val="2"/>
        </w:numPr>
        <w:pBdr>
          <w:top w:val="nil"/>
          <w:left w:val="nil"/>
          <w:bottom w:val="nil"/>
          <w:right w:val="nil"/>
          <w:between w:val="nil"/>
        </w:pBdr>
        <w:tabs>
          <w:tab w:val="left" w:pos="709"/>
        </w:tabs>
        <w:spacing w:before="240" w:line="360" w:lineRule="auto"/>
        <w:ind w:left="0" w:right="-981" w:firstLine="0"/>
        <w:jc w:val="both"/>
      </w:pPr>
      <w:r>
        <w:rPr>
          <w:rFonts w:ascii="Palatino Linotype" w:eastAsia="Palatino Linotype" w:hAnsi="Palatino Linotype" w:cs="Palatino Linotype"/>
          <w:color w:val="000000"/>
        </w:rPr>
        <w:t>Ahora bien, por cuanto hace al requerimiento consistente en el “nombramiento”, resulta necesario señalar, lo que establece la Ley del Trabajo de los Servidores Públicos del Estado de México, misma que tiene por objeto regular las relaciones de trabajo comprendidas entre los poderes públicos del Estado y los Municipios, y sus respectivos servidores públicos</w:t>
      </w:r>
      <w:r>
        <w:rPr>
          <w:rFonts w:ascii="Palatino Linotype" w:eastAsia="Palatino Linotype" w:hAnsi="Palatino Linotype" w:cs="Palatino Linotype"/>
          <w:color w:val="000000"/>
          <w:vertAlign w:val="superscript"/>
        </w:rPr>
        <w:footnoteReference w:id="9"/>
      </w:r>
      <w:r>
        <w:rPr>
          <w:rFonts w:ascii="Palatino Linotype" w:eastAsia="Palatino Linotype" w:hAnsi="Palatino Linotype" w:cs="Palatino Linotype"/>
          <w:color w:val="000000"/>
        </w:rPr>
        <w:t xml:space="preserve">, establecidas mediante nombramiento, formato único de movimiento de personal, contrato o por cualquier otro acto que tenga como consecuencia la prestación personal subordinada del servicio y la percepción de un sueldo, de conformidad con el artículo 5 de la Ley en análisis, que versa al tenor de lo siguiente:  </w:t>
      </w:r>
    </w:p>
    <w:p w14:paraId="2F0E34F0" w14:textId="77777777" w:rsidR="006D3F24" w:rsidRDefault="005C2B11">
      <w:pPr>
        <w:pBdr>
          <w:top w:val="nil"/>
          <w:left w:val="nil"/>
          <w:bottom w:val="nil"/>
          <w:right w:val="nil"/>
          <w:between w:val="nil"/>
        </w:pBdr>
        <w:tabs>
          <w:tab w:val="left" w:pos="709"/>
        </w:tabs>
        <w:spacing w:line="360" w:lineRule="auto"/>
        <w:ind w:left="720"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5.-</w:t>
      </w:r>
      <w:r>
        <w:rPr>
          <w:rFonts w:ascii="Palatino Linotype" w:eastAsia="Palatino Linotype" w:hAnsi="Palatino Linotype" w:cs="Palatino Linotype"/>
          <w:i/>
          <w:iCs/>
          <w:color w:val="000000"/>
        </w:rPr>
        <w:t xml:space="preserve"> La relación de trabajo entre las instituciones públicas y sus servidores públicos se entiende establecida </w:t>
      </w:r>
      <w:r>
        <w:rPr>
          <w:rFonts w:ascii="Palatino Linotype" w:eastAsia="Palatino Linotype" w:hAnsi="Palatino Linotype" w:cs="Palatino Linotype"/>
          <w:b/>
          <w:bCs/>
          <w:i/>
          <w:iCs/>
          <w:color w:val="000000"/>
          <w:u w:val="single"/>
        </w:rPr>
        <w:t>mediante nombramiento,</w:t>
      </w:r>
      <w:r>
        <w:rPr>
          <w:rFonts w:ascii="Palatino Linotype" w:eastAsia="Palatino Linotype" w:hAnsi="Palatino Linotype" w:cs="Palatino Linotype"/>
          <w:i/>
          <w:iCs/>
          <w:color w:val="000000"/>
        </w:rPr>
        <w:t xml:space="preserve"> formato único de movimiento de personal, contrato o por cualquier otro acto que tenga como consecuencia la prestación personal subordinada del servicio y la percepción de un sueldo. </w:t>
      </w:r>
    </w:p>
    <w:p w14:paraId="7B6469A4" w14:textId="77777777" w:rsidR="0082122D" w:rsidRDefault="0082122D">
      <w:pPr>
        <w:pBdr>
          <w:top w:val="nil"/>
          <w:left w:val="nil"/>
          <w:bottom w:val="nil"/>
          <w:right w:val="nil"/>
          <w:between w:val="nil"/>
        </w:pBdr>
        <w:tabs>
          <w:tab w:val="left" w:pos="709"/>
        </w:tabs>
        <w:spacing w:line="360" w:lineRule="auto"/>
        <w:ind w:left="720" w:right="-981"/>
        <w:jc w:val="both"/>
        <w:rPr>
          <w:rFonts w:ascii="Palatino Linotype" w:eastAsia="Palatino Linotype" w:hAnsi="Palatino Linotype" w:cs="Palatino Linotype"/>
          <w:i/>
          <w:iCs/>
          <w:color w:val="000000"/>
        </w:rPr>
      </w:pPr>
    </w:p>
    <w:p w14:paraId="4F119A0E" w14:textId="77777777" w:rsidR="006D3F24" w:rsidRDefault="005C2B11">
      <w:pPr>
        <w:numPr>
          <w:ilvl w:val="0"/>
          <w:numId w:val="2"/>
        </w:numPr>
        <w:pBdr>
          <w:top w:val="nil"/>
          <w:left w:val="nil"/>
          <w:bottom w:val="nil"/>
          <w:right w:val="nil"/>
          <w:between w:val="nil"/>
        </w:pBdr>
        <w:tabs>
          <w:tab w:val="left" w:pos="709"/>
        </w:tabs>
        <w:spacing w:line="360" w:lineRule="auto"/>
        <w:ind w:left="0" w:right="-981" w:firstLine="0"/>
        <w:jc w:val="both"/>
      </w:pPr>
      <w:r>
        <w:rPr>
          <w:rFonts w:ascii="Palatino Linotype" w:eastAsia="Palatino Linotype" w:hAnsi="Palatino Linotype" w:cs="Palatino Linotype"/>
          <w:color w:val="000000"/>
        </w:rPr>
        <w:t xml:space="preserve">En tal contexto, y en relación a la solicitud encausada por el particular, mediante la cual requiere el nombramiento, debemos destacar lo establecido en el  artículo 98 fracción XVII, de la Ley anteriormente mencionada que a la letra dice: </w:t>
      </w:r>
    </w:p>
    <w:p w14:paraId="714FE4C6" w14:textId="77777777" w:rsidR="006D3F24" w:rsidRDefault="005C2B11">
      <w:pPr>
        <w:pBdr>
          <w:top w:val="nil"/>
          <w:left w:val="nil"/>
          <w:bottom w:val="nil"/>
          <w:right w:val="nil"/>
          <w:between w:val="nil"/>
        </w:pBdr>
        <w:tabs>
          <w:tab w:val="left" w:pos="630"/>
          <w:tab w:val="left" w:pos="709"/>
        </w:tabs>
        <w:spacing w:line="360" w:lineRule="auto"/>
        <w:ind w:left="720"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98</w:t>
      </w:r>
      <w:r>
        <w:rPr>
          <w:rFonts w:ascii="Palatino Linotype" w:eastAsia="Palatino Linotype" w:hAnsi="Palatino Linotype" w:cs="Palatino Linotype"/>
          <w:i/>
          <w:iCs/>
          <w:color w:val="000000"/>
        </w:rPr>
        <w:t>. Son obligaciones de las instituciones públicas:</w:t>
      </w:r>
    </w:p>
    <w:p w14:paraId="21086A08" w14:textId="77777777" w:rsidR="006D3F24" w:rsidRDefault="006D3F24">
      <w:pPr>
        <w:pBdr>
          <w:top w:val="nil"/>
          <w:left w:val="nil"/>
          <w:bottom w:val="nil"/>
          <w:right w:val="nil"/>
          <w:between w:val="nil"/>
        </w:pBdr>
        <w:tabs>
          <w:tab w:val="left" w:pos="630"/>
          <w:tab w:val="left" w:pos="709"/>
        </w:tabs>
        <w:spacing w:line="360" w:lineRule="auto"/>
        <w:ind w:left="720" w:right="-981"/>
        <w:jc w:val="both"/>
        <w:rPr>
          <w:rFonts w:ascii="Palatino Linotype" w:eastAsia="Palatino Linotype" w:hAnsi="Palatino Linotype" w:cs="Palatino Linotype"/>
          <w:i/>
          <w:iCs/>
          <w:color w:val="000000"/>
        </w:rPr>
      </w:pPr>
    </w:p>
    <w:p w14:paraId="5AD8702C" w14:textId="77777777" w:rsidR="006D3F24" w:rsidRDefault="005C2B11">
      <w:pPr>
        <w:pBdr>
          <w:top w:val="nil"/>
          <w:left w:val="nil"/>
          <w:bottom w:val="nil"/>
          <w:right w:val="nil"/>
          <w:between w:val="nil"/>
        </w:pBdr>
        <w:tabs>
          <w:tab w:val="left" w:pos="630"/>
          <w:tab w:val="left" w:pos="709"/>
        </w:tabs>
        <w:spacing w:line="360" w:lineRule="auto"/>
        <w:ind w:left="720"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3C543BD3" w14:textId="77777777" w:rsidR="006D3F24" w:rsidRDefault="005C2B11">
      <w:pPr>
        <w:pBdr>
          <w:top w:val="nil"/>
          <w:left w:val="nil"/>
          <w:bottom w:val="nil"/>
          <w:right w:val="nil"/>
          <w:between w:val="nil"/>
        </w:pBdr>
        <w:tabs>
          <w:tab w:val="left" w:pos="630"/>
          <w:tab w:val="left" w:pos="709"/>
        </w:tabs>
        <w:spacing w:line="360" w:lineRule="auto"/>
        <w:ind w:left="720"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XVII.</w:t>
      </w:r>
      <w:r>
        <w:rPr>
          <w:rFonts w:ascii="Palatino Linotype" w:eastAsia="Palatino Linotype" w:hAnsi="Palatino Linotype" w:cs="Palatino Linotype"/>
          <w:i/>
          <w:iCs/>
          <w:color w:val="000000"/>
        </w:rPr>
        <w:t xml:space="preserve"> Integrar los expedientes de los servidores públicos y proporcionar las constancias que éstos soliciten para el trámite de los asuntos de su interés en los términos que señalen los ordenamientos respectivos.</w:t>
      </w:r>
    </w:p>
    <w:p w14:paraId="0687E074" w14:textId="77777777" w:rsidR="006D3F24" w:rsidRDefault="005C2B11">
      <w:pPr>
        <w:pBdr>
          <w:top w:val="nil"/>
          <w:left w:val="nil"/>
          <w:bottom w:val="nil"/>
          <w:right w:val="nil"/>
          <w:between w:val="nil"/>
        </w:pBdr>
        <w:tabs>
          <w:tab w:val="left" w:pos="630"/>
          <w:tab w:val="left" w:pos="709"/>
        </w:tabs>
        <w:spacing w:line="360" w:lineRule="auto"/>
        <w:ind w:left="720"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(Sic)</w:t>
      </w:r>
    </w:p>
    <w:p w14:paraId="25BA6A9B" w14:textId="77777777" w:rsidR="006D3F24" w:rsidRDefault="006D3F24">
      <w:pPr>
        <w:pBdr>
          <w:top w:val="nil"/>
          <w:left w:val="nil"/>
          <w:bottom w:val="nil"/>
          <w:right w:val="nil"/>
          <w:between w:val="nil"/>
        </w:pBdr>
        <w:tabs>
          <w:tab w:val="left" w:pos="630"/>
          <w:tab w:val="left" w:pos="709"/>
        </w:tabs>
        <w:spacing w:line="360" w:lineRule="auto"/>
        <w:ind w:left="720" w:right="-981"/>
        <w:jc w:val="both"/>
        <w:rPr>
          <w:rFonts w:ascii="Palatino Linotype" w:eastAsia="Palatino Linotype" w:hAnsi="Palatino Linotype" w:cs="Palatino Linotype"/>
          <w:i/>
          <w:iCs/>
          <w:color w:val="000000"/>
        </w:rPr>
      </w:pPr>
    </w:p>
    <w:p w14:paraId="7B987314" w14:textId="77777777" w:rsidR="006D3F24" w:rsidRDefault="005C2B11">
      <w:pPr>
        <w:numPr>
          <w:ilvl w:val="0"/>
          <w:numId w:val="2"/>
        </w:numPr>
        <w:pBdr>
          <w:top w:val="nil"/>
          <w:left w:val="nil"/>
          <w:bottom w:val="nil"/>
          <w:right w:val="nil"/>
          <w:between w:val="nil"/>
        </w:pBdr>
        <w:tabs>
          <w:tab w:val="left" w:pos="709"/>
        </w:tabs>
        <w:spacing w:line="360" w:lineRule="auto"/>
        <w:ind w:left="0" w:right="-981" w:firstLine="0"/>
        <w:jc w:val="both"/>
      </w:pPr>
      <w:r>
        <w:rPr>
          <w:rFonts w:ascii="Palatino Linotype" w:eastAsia="Palatino Linotype" w:hAnsi="Palatino Linotype" w:cs="Palatino Linotype"/>
          <w:color w:val="000000"/>
        </w:rPr>
        <w:t xml:space="preserve">Así las cosas, de la normatividad anteriormente referida, se puede observar que el nombramiento constituye un documento contenido en el expediente laboral del servidor público y que resulta ser el documento  por medio del cual una persona acepta y protesta un cargo o comisión, por lo que a fin de garantizar el derecho de acceso a la información del particular, el </w:t>
      </w:r>
      <w:r>
        <w:rPr>
          <w:rFonts w:ascii="Palatino Linotype" w:eastAsia="Palatino Linotype" w:hAnsi="Palatino Linotype" w:cs="Palatino Linotype"/>
          <w:b/>
          <w:bCs/>
          <w:color w:val="000000"/>
        </w:rPr>
        <w:t xml:space="preserve">SUJETO BOLIGADO, </w:t>
      </w:r>
      <w:r>
        <w:rPr>
          <w:rFonts w:ascii="Palatino Linotype" w:eastAsia="Palatino Linotype" w:hAnsi="Palatino Linotype" w:cs="Palatino Linotype"/>
          <w:color w:val="000000"/>
        </w:rPr>
        <w:t xml:space="preserve">deberá hacer la entrega del </w:t>
      </w:r>
      <w:r>
        <w:rPr>
          <w:rFonts w:ascii="Palatino Linotype" w:eastAsia="Palatino Linotype" w:hAnsi="Palatino Linotype" w:cs="Palatino Linotype"/>
          <w:b/>
          <w:bCs/>
          <w:color w:val="000000"/>
        </w:rPr>
        <w:t>nombramiento mediante el cual se acredite la relación de trabajo del servidor público con la institución pública</w:t>
      </w:r>
      <w:r>
        <w:rPr>
          <w:rFonts w:ascii="Palatino Linotype" w:eastAsia="Palatino Linotype" w:hAnsi="Palatino Linotype" w:cs="Palatino Linotype"/>
          <w:color w:val="000000"/>
        </w:rPr>
        <w:t>.</w:t>
      </w:r>
    </w:p>
    <w:p w14:paraId="2283BE01" w14:textId="77777777" w:rsidR="006D3F24" w:rsidRDefault="006D3F24">
      <w:pPr>
        <w:spacing w:line="360" w:lineRule="auto"/>
        <w:ind w:right="-981"/>
        <w:jc w:val="both"/>
        <w:rPr>
          <w:rFonts w:ascii="Palatino Linotype" w:eastAsia="Palatino Linotype" w:hAnsi="Palatino Linotype" w:cs="Palatino Linotype"/>
        </w:rPr>
      </w:pPr>
    </w:p>
    <w:p w14:paraId="331CEA08" w14:textId="77777777" w:rsidR="006D3F24" w:rsidRDefault="005C2B11" w:rsidP="0082122D">
      <w:pPr>
        <w:numPr>
          <w:ilvl w:val="0"/>
          <w:numId w:val="6"/>
        </w:numPr>
        <w:pBdr>
          <w:top w:val="nil"/>
          <w:left w:val="nil"/>
          <w:bottom w:val="nil"/>
          <w:right w:val="nil"/>
          <w:between w:val="nil"/>
        </w:pBdr>
        <w:spacing w:line="360" w:lineRule="auto"/>
        <w:ind w:left="426"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Gafete (Punto 6 del cuadro comparativo)</w:t>
      </w:r>
    </w:p>
    <w:p w14:paraId="774AFB30" w14:textId="77777777" w:rsidR="006D3F24" w:rsidRDefault="005C2B11">
      <w:pPr>
        <w:numPr>
          <w:ilvl w:val="0"/>
          <w:numId w:val="2"/>
        </w:numPr>
        <w:pBdr>
          <w:top w:val="nil"/>
          <w:left w:val="nil"/>
          <w:bottom w:val="nil"/>
          <w:right w:val="nil"/>
          <w:between w:val="nil"/>
        </w:pBdr>
        <w:tabs>
          <w:tab w:val="left" w:pos="709"/>
        </w:tabs>
        <w:spacing w:line="360" w:lineRule="auto"/>
        <w:ind w:left="0" w:right="-981" w:firstLine="0"/>
        <w:jc w:val="both"/>
      </w:pPr>
      <w:r>
        <w:rPr>
          <w:rFonts w:ascii="Palatino Linotype" w:eastAsia="Palatino Linotype" w:hAnsi="Palatino Linotype" w:cs="Palatino Linotype"/>
          <w:color w:val="000000"/>
        </w:rPr>
        <w:t xml:space="preserve">Apuntado lo anterior, por cuanto hace al requerimiento consistente en el “Gafete” del personal referido en la solicitud de información, es necesario precisar que la Constitución Política del Estado Libre y soberano de México en su diverso 130 establece que  se considera como servidor público a toda persona que desempeñe empleo, cargo o comisión en los municipios como a continuación se observa: </w:t>
      </w:r>
    </w:p>
    <w:p w14:paraId="129348D1" w14:textId="77777777" w:rsidR="006D3F24" w:rsidRDefault="005C2B11">
      <w:pPr>
        <w:pBdr>
          <w:top w:val="nil"/>
          <w:left w:val="nil"/>
          <w:bottom w:val="nil"/>
          <w:right w:val="nil"/>
          <w:between w:val="nil"/>
        </w:pBdr>
        <w:tabs>
          <w:tab w:val="left" w:pos="709"/>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130.</w:t>
      </w:r>
      <w:r>
        <w:rPr>
          <w:rFonts w:ascii="Palatino Linotype" w:eastAsia="Palatino Linotype" w:hAnsi="Palatino Linotype" w:cs="Palatino Linotype"/>
          <w:i/>
          <w:iCs/>
          <w:color w:val="000000"/>
        </w:rPr>
        <w:t xml:space="preserve"> Para los efectos de las responsabilidades a que alude este título, se considera </w:t>
      </w:r>
      <w:r>
        <w:rPr>
          <w:rFonts w:ascii="Palatino Linotype" w:eastAsia="Palatino Linotype" w:hAnsi="Palatino Linotype" w:cs="Palatino Linotype"/>
          <w:b/>
          <w:bCs/>
          <w:i/>
          <w:iCs/>
          <w:color w:val="000000"/>
        </w:rPr>
        <w:t>como servidor público a toda persona que desempeñe un empleo, cargo o comisión en alguno de los poderes del Estado, organismos autónomos, en los municipios y organismos auxiliares</w:t>
      </w:r>
      <w:r>
        <w:rPr>
          <w:rFonts w:ascii="Palatino Linotype" w:eastAsia="Palatino Linotype" w:hAnsi="Palatino Linotype" w:cs="Palatino Linotype"/>
          <w:i/>
          <w:iCs/>
          <w:color w:val="000000"/>
        </w:rPr>
        <w:t>, así como los titulares o quienes hagan sus veces en empresas de participación estatal o municipal, sociedades o asociaciones asimiladas a éstas y en los fideicomisos públicos. Por lo que toca a las y los demás trabajadores del sector auxiliar, su calidad de servidores públicos estará determinada por los ordenamientos legales respectivos. Las y los servidores públicos a que se refiere el presente artículo estarán obligados a presentar, bajo protesta de decir verdad, su declaración patrimonial, de intereses ante las autoridades competentes y constancia de presentación de la declaración fiscal y en los términos que determine la ley.</w:t>
      </w:r>
    </w:p>
    <w:p w14:paraId="375D2E74" w14:textId="77777777" w:rsidR="006D3F24" w:rsidRDefault="006D3F24">
      <w:pPr>
        <w:pBdr>
          <w:top w:val="nil"/>
          <w:left w:val="nil"/>
          <w:bottom w:val="nil"/>
          <w:right w:val="nil"/>
          <w:between w:val="nil"/>
        </w:pBdr>
        <w:tabs>
          <w:tab w:val="left" w:pos="709"/>
        </w:tabs>
        <w:ind w:left="567" w:right="-981"/>
        <w:jc w:val="both"/>
        <w:rPr>
          <w:rFonts w:ascii="Palatino Linotype" w:eastAsia="Palatino Linotype" w:hAnsi="Palatino Linotype" w:cs="Palatino Linotype"/>
          <w:i/>
          <w:iCs/>
          <w:color w:val="000000"/>
        </w:rPr>
      </w:pPr>
    </w:p>
    <w:p w14:paraId="0CCBD848" w14:textId="77777777" w:rsidR="006D3F24" w:rsidRDefault="005C2B11">
      <w:pPr>
        <w:pBdr>
          <w:top w:val="nil"/>
          <w:left w:val="nil"/>
          <w:bottom w:val="nil"/>
          <w:right w:val="nil"/>
          <w:between w:val="nil"/>
        </w:pBdr>
        <w:tabs>
          <w:tab w:val="left" w:pos="709"/>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w:t>
      </w:r>
    </w:p>
    <w:p w14:paraId="03350838" w14:textId="77777777" w:rsidR="006D3F24" w:rsidRDefault="006D3F24">
      <w:pPr>
        <w:pBdr>
          <w:top w:val="nil"/>
          <w:left w:val="nil"/>
          <w:bottom w:val="nil"/>
          <w:right w:val="nil"/>
          <w:between w:val="nil"/>
        </w:pBdr>
        <w:tabs>
          <w:tab w:val="left" w:pos="709"/>
        </w:tabs>
        <w:spacing w:line="360" w:lineRule="auto"/>
        <w:ind w:right="-981"/>
        <w:jc w:val="both"/>
        <w:rPr>
          <w:rFonts w:ascii="Palatino Linotype" w:eastAsia="Palatino Linotype" w:hAnsi="Palatino Linotype" w:cs="Palatino Linotype"/>
          <w:color w:val="000000"/>
        </w:rPr>
      </w:pPr>
    </w:p>
    <w:p w14:paraId="2488F974" w14:textId="77777777" w:rsidR="006D3F24" w:rsidRDefault="005C2B11">
      <w:pPr>
        <w:numPr>
          <w:ilvl w:val="0"/>
          <w:numId w:val="2"/>
        </w:numPr>
        <w:pBdr>
          <w:top w:val="nil"/>
          <w:left w:val="nil"/>
          <w:bottom w:val="nil"/>
          <w:right w:val="nil"/>
          <w:between w:val="nil"/>
        </w:pBdr>
        <w:tabs>
          <w:tab w:val="left" w:pos="709"/>
        </w:tabs>
        <w:spacing w:line="360" w:lineRule="auto"/>
        <w:ind w:left="0" w:right="-981" w:firstLine="0"/>
        <w:jc w:val="both"/>
        <w:rPr>
          <w:color w:val="000000"/>
        </w:rPr>
      </w:pPr>
      <w:r>
        <w:rPr>
          <w:rFonts w:ascii="Palatino Linotype" w:eastAsia="Palatino Linotype" w:hAnsi="Palatino Linotype" w:cs="Palatino Linotype"/>
          <w:color w:val="000000"/>
        </w:rPr>
        <w:t xml:space="preserve">En ese contexto, la Ley del Trabajo de los Servidores Públicos del Estado y Municipios señala en su diverso 98 fracciones VII y XVII que comprende una obligación de las instituciones públicas proporcionar a los servidores públicos los elementos necesario para el cumplimiento de sus atribuciones, así como proporcionar las constancias que estos soliciten, como a continuación se observa: </w:t>
      </w:r>
    </w:p>
    <w:p w14:paraId="35D697F5" w14:textId="77777777" w:rsidR="006D3F24" w:rsidRDefault="005C2B11">
      <w:pPr>
        <w:pBdr>
          <w:top w:val="nil"/>
          <w:left w:val="nil"/>
          <w:bottom w:val="nil"/>
          <w:right w:val="nil"/>
          <w:between w:val="nil"/>
        </w:pBdr>
        <w:tabs>
          <w:tab w:val="left" w:pos="709"/>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98</w:t>
      </w:r>
      <w:r>
        <w:rPr>
          <w:rFonts w:ascii="Palatino Linotype" w:eastAsia="Palatino Linotype" w:hAnsi="Palatino Linotype" w:cs="Palatino Linotype"/>
          <w:i/>
          <w:iCs/>
          <w:color w:val="000000"/>
        </w:rPr>
        <w:t>. Son obligaciones de las instituciones públicas:</w:t>
      </w:r>
    </w:p>
    <w:p w14:paraId="0490610F" w14:textId="77777777" w:rsidR="006D3F24" w:rsidRDefault="005C2B11">
      <w:pPr>
        <w:pBdr>
          <w:top w:val="nil"/>
          <w:left w:val="nil"/>
          <w:bottom w:val="nil"/>
          <w:right w:val="nil"/>
          <w:between w:val="nil"/>
        </w:pBdr>
        <w:tabs>
          <w:tab w:val="left" w:pos="709"/>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31E821C4" w14:textId="77777777" w:rsidR="006D3F24" w:rsidRDefault="005C2B11">
      <w:pPr>
        <w:pBdr>
          <w:top w:val="nil"/>
          <w:left w:val="nil"/>
          <w:bottom w:val="nil"/>
          <w:right w:val="nil"/>
          <w:between w:val="nil"/>
        </w:pBdr>
        <w:tabs>
          <w:tab w:val="left" w:pos="709"/>
        </w:tabs>
        <w:ind w:left="567"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VII. Proporcionar a los servidores públicos, los útiles, equipo y materiales necesarios para el cumplimiento de sus funciones, así como los reglamentos a observar;</w:t>
      </w:r>
    </w:p>
    <w:p w14:paraId="31642137" w14:textId="77777777" w:rsidR="006D3F24" w:rsidRDefault="006D3F24">
      <w:pPr>
        <w:pBdr>
          <w:top w:val="nil"/>
          <w:left w:val="nil"/>
          <w:bottom w:val="nil"/>
          <w:right w:val="nil"/>
          <w:between w:val="nil"/>
        </w:pBdr>
        <w:tabs>
          <w:tab w:val="left" w:pos="709"/>
        </w:tabs>
        <w:ind w:left="567" w:right="-981"/>
        <w:jc w:val="both"/>
        <w:rPr>
          <w:rFonts w:ascii="Palatino Linotype" w:eastAsia="Palatino Linotype" w:hAnsi="Palatino Linotype" w:cs="Palatino Linotype"/>
          <w:i/>
          <w:iCs/>
          <w:color w:val="000000"/>
        </w:rPr>
      </w:pPr>
    </w:p>
    <w:p w14:paraId="695AF99E" w14:textId="77777777" w:rsidR="006D3F24" w:rsidRDefault="005C2B11">
      <w:pPr>
        <w:pBdr>
          <w:top w:val="nil"/>
          <w:left w:val="nil"/>
          <w:bottom w:val="nil"/>
          <w:right w:val="nil"/>
          <w:between w:val="nil"/>
        </w:pBdr>
        <w:tabs>
          <w:tab w:val="left" w:pos="709"/>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62271CE8" w14:textId="77777777" w:rsidR="006D3F24" w:rsidRDefault="005C2B11">
      <w:pPr>
        <w:pBdr>
          <w:top w:val="nil"/>
          <w:left w:val="nil"/>
          <w:bottom w:val="nil"/>
          <w:right w:val="nil"/>
          <w:between w:val="nil"/>
        </w:pBdr>
        <w:tabs>
          <w:tab w:val="left" w:pos="709"/>
        </w:tabs>
        <w:ind w:left="567"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XVII. Integrar los expedientes de los servidores públicos y proporcionar las constancias que éstos soliciten para el trámite de los asuntos de su interés en los términos que señalen los ordenamientos respectivos.</w:t>
      </w:r>
    </w:p>
    <w:p w14:paraId="118CC973" w14:textId="77777777" w:rsidR="006D3F24" w:rsidRDefault="005C2B11">
      <w:pPr>
        <w:pBdr>
          <w:top w:val="nil"/>
          <w:left w:val="nil"/>
          <w:bottom w:val="nil"/>
          <w:right w:val="nil"/>
          <w:between w:val="nil"/>
        </w:pBdr>
        <w:tabs>
          <w:tab w:val="left" w:pos="709"/>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6118FA19" w14:textId="77777777" w:rsidR="006D3F24" w:rsidRDefault="005C2B11">
      <w:pPr>
        <w:pBdr>
          <w:top w:val="nil"/>
          <w:left w:val="nil"/>
          <w:bottom w:val="nil"/>
          <w:right w:val="nil"/>
          <w:between w:val="nil"/>
        </w:pBdr>
        <w:tabs>
          <w:tab w:val="left" w:pos="709"/>
        </w:tabs>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(Énfasis añadido) </w:t>
      </w:r>
    </w:p>
    <w:p w14:paraId="163F6933" w14:textId="77777777" w:rsidR="006D3F24" w:rsidRDefault="006D3F24">
      <w:pPr>
        <w:pBdr>
          <w:top w:val="nil"/>
          <w:left w:val="nil"/>
          <w:bottom w:val="nil"/>
          <w:right w:val="nil"/>
          <w:between w:val="nil"/>
        </w:pBdr>
        <w:tabs>
          <w:tab w:val="left" w:pos="709"/>
        </w:tabs>
        <w:spacing w:line="360" w:lineRule="auto"/>
        <w:ind w:right="-981"/>
        <w:jc w:val="both"/>
        <w:rPr>
          <w:rFonts w:ascii="Palatino Linotype" w:eastAsia="Palatino Linotype" w:hAnsi="Palatino Linotype" w:cs="Palatino Linotype"/>
          <w:color w:val="000000"/>
        </w:rPr>
      </w:pPr>
    </w:p>
    <w:p w14:paraId="19B39462" w14:textId="77777777" w:rsidR="006D3F24" w:rsidRDefault="005C2B11">
      <w:pPr>
        <w:numPr>
          <w:ilvl w:val="0"/>
          <w:numId w:val="2"/>
        </w:numPr>
        <w:pBdr>
          <w:top w:val="nil"/>
          <w:left w:val="nil"/>
          <w:bottom w:val="nil"/>
          <w:right w:val="nil"/>
          <w:between w:val="nil"/>
        </w:pBdr>
        <w:tabs>
          <w:tab w:val="left" w:pos="709"/>
        </w:tabs>
        <w:spacing w:line="360" w:lineRule="auto"/>
        <w:ind w:left="0" w:right="-981" w:firstLine="0"/>
        <w:jc w:val="both"/>
        <w:rPr>
          <w:color w:val="000000"/>
        </w:rPr>
      </w:pPr>
      <w:r>
        <w:rPr>
          <w:rFonts w:ascii="Palatino Linotype" w:eastAsia="Palatino Linotype" w:hAnsi="Palatino Linotype" w:cs="Palatino Linotype"/>
          <w:color w:val="000000"/>
        </w:rPr>
        <w:t xml:space="preserve">En ese mismo contexto, por cuanto hace a la Ley de Responsabilidades Administrativas del Estado de México y Municipios, el diverso 7 señala que todo servidor público en el desempeño de su cargo deberá de observar los principios de rendición de cuentas y eficiencia que rigen  el servicio público, como a continuación se observa:  </w:t>
      </w:r>
    </w:p>
    <w:p w14:paraId="195038B0" w14:textId="77777777" w:rsidR="006D3F24" w:rsidRDefault="005C2B11">
      <w:pPr>
        <w:tabs>
          <w:tab w:val="left" w:pos="709"/>
        </w:tabs>
        <w:spacing w:before="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7.</w:t>
      </w:r>
      <w:r>
        <w:rPr>
          <w:rFonts w:ascii="Palatino Linotype" w:eastAsia="Palatino Linotype" w:hAnsi="Palatino Linotype" w:cs="Palatino Linotype"/>
          <w:i/>
          <w:iCs/>
        </w:rPr>
        <w:t xml:space="preserve"> Todo servidor público sin perjuicio de sus derechos y obligaciones laborales deberá observar en el desempeño de su empleo, cargo o comisión, los principios de disciplina, legalidad, objetividad, profesionalismo, honradez, lealtad, imparcialidad, integridad, rendición de cuentas, eficacia y eficiencia que rigen el servicio público. Para la efectiva aplicación de dichos principios, los Servidores Públicos observarán las siguientes directrices:</w:t>
      </w:r>
    </w:p>
    <w:p w14:paraId="359B7D8C" w14:textId="77777777" w:rsidR="006D3F24" w:rsidRDefault="006D3F24">
      <w:pPr>
        <w:tabs>
          <w:tab w:val="left" w:pos="709"/>
        </w:tabs>
        <w:ind w:left="567" w:right="-981"/>
        <w:jc w:val="both"/>
        <w:rPr>
          <w:rFonts w:ascii="Palatino Linotype" w:eastAsia="Palatino Linotype" w:hAnsi="Palatino Linotype" w:cs="Palatino Linotype"/>
          <w:i/>
          <w:iCs/>
        </w:rPr>
      </w:pPr>
    </w:p>
    <w:p w14:paraId="292C33E2" w14:textId="77777777" w:rsidR="006D3F24" w:rsidRDefault="005C2B11">
      <w:pPr>
        <w:tabs>
          <w:tab w:val="left" w:pos="709"/>
        </w:tabs>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I. Actuar conforme a lo que las leyes, reglamentos y demás disposiciones jurídicas les atribuyen a su empleo, cargo o comisión, por lo que deben conocer y cumplir las disposiciones que regulan el ejercicio de sus funciones, facultades y atribuciones.</w:t>
      </w:r>
    </w:p>
    <w:p w14:paraId="1FCF3EA5" w14:textId="77777777" w:rsidR="006D3F24" w:rsidRDefault="006D3F24">
      <w:pPr>
        <w:tabs>
          <w:tab w:val="left" w:pos="709"/>
        </w:tabs>
        <w:ind w:left="567" w:right="-981"/>
        <w:jc w:val="both"/>
        <w:rPr>
          <w:rFonts w:ascii="Palatino Linotype" w:eastAsia="Palatino Linotype" w:hAnsi="Palatino Linotype" w:cs="Palatino Linotype"/>
          <w:i/>
          <w:iCs/>
        </w:rPr>
      </w:pPr>
    </w:p>
    <w:p w14:paraId="6CA2F5BD" w14:textId="77777777" w:rsidR="006D3F24" w:rsidRDefault="005C2B11">
      <w:pPr>
        <w:tabs>
          <w:tab w:val="left" w:pos="709"/>
        </w:tabs>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II. Conducirse con rectitud sin utilizar su empleo, cargo o comisión para obtener o pretender obtener algún beneficio, provecho o ventaja personal o a favor de terceros, ni buscar o aceptar compensaciones, prestaciones, dádivas, obsequios o regalos de cualquier persona u organización.</w:t>
      </w:r>
    </w:p>
    <w:p w14:paraId="42BA3D89" w14:textId="77777777" w:rsidR="006D3F24" w:rsidRDefault="005C2B11">
      <w:pPr>
        <w:tabs>
          <w:tab w:val="left" w:pos="709"/>
        </w:tabs>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III. Satisfacer el interés superior de las necesidades colectivas por encima de intereses particulares, personales o ajenos al interés general y bienestar de la población. </w:t>
      </w:r>
    </w:p>
    <w:p w14:paraId="7DD77D91" w14:textId="77777777" w:rsidR="006D3F24" w:rsidRDefault="005C2B11">
      <w:pPr>
        <w:tabs>
          <w:tab w:val="left" w:pos="709"/>
        </w:tabs>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Dar a las personas en general el mismo trato, por lo que no concederán privilegios o preferencias a organizaciones o personas, ni permitirán que influencias, intereses o prejuicios indebidos afecten su compromiso para tomar decisiones o ejercer sus funciones de manera objetiva. </w:t>
      </w:r>
    </w:p>
    <w:p w14:paraId="4EF92AD9" w14:textId="77777777" w:rsidR="006D3F24" w:rsidRDefault="005C2B11">
      <w:pPr>
        <w:tabs>
          <w:tab w:val="left" w:pos="709"/>
        </w:tabs>
        <w:ind w:left="567" w:right="-98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 Actuar conforme a una cultura de servicio orientada al logro de resultados, procurando en todo momento un mejor desempeño de sus funciones a fin de alcanzar las metas institucionales según sus responsabilidades. </w:t>
      </w:r>
    </w:p>
    <w:p w14:paraId="47ED9462" w14:textId="77777777" w:rsidR="006D3F24" w:rsidRDefault="005C2B11">
      <w:pPr>
        <w:tabs>
          <w:tab w:val="left" w:pos="709"/>
        </w:tabs>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Administrar los recursos públicos que estén bajo su responsabilidad, sujetándose a los principios de eficiencia, eficacia, economía, transparencia y honradez para satisfacer los objetivos a los que estén destinados. </w:t>
      </w:r>
    </w:p>
    <w:p w14:paraId="00624D5F" w14:textId="77777777" w:rsidR="006D3F24" w:rsidRDefault="005C2B11">
      <w:pPr>
        <w:tabs>
          <w:tab w:val="left" w:pos="709"/>
        </w:tabs>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Promover, respetar, proteger y garantizar los derechos humanos establecidos en la Constituciones Federal y Local, así como en los Tratados Internacionales ratificados por el Estado Mexicano. </w:t>
      </w:r>
    </w:p>
    <w:p w14:paraId="563ED9DA" w14:textId="77777777" w:rsidR="006D3F24" w:rsidRDefault="005C2B11">
      <w:pPr>
        <w:tabs>
          <w:tab w:val="left" w:pos="709"/>
        </w:tabs>
        <w:ind w:left="567" w:right="-98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VIII. Corresponder a la confianza que la sociedad les ha conferido, tendrán una vocación absoluta de servicio a la sociedad y preservarán el interés superior de las necesidades colectivas por encima de intereses particulares, personales o ajenos al interés general. </w:t>
      </w:r>
    </w:p>
    <w:p w14:paraId="44385DB5" w14:textId="77777777" w:rsidR="006D3F24" w:rsidRDefault="005C2B11">
      <w:pPr>
        <w:tabs>
          <w:tab w:val="left" w:pos="709"/>
        </w:tabs>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Evitar y dar cuenta de los intereses que puedan entrar en conflicto con el desempeño responsable y objetivo de sus facultades y obligaciones. </w:t>
      </w:r>
    </w:p>
    <w:p w14:paraId="416FC4FE" w14:textId="77777777" w:rsidR="006D3F24" w:rsidRDefault="005C2B11">
      <w:pPr>
        <w:tabs>
          <w:tab w:val="left" w:pos="709"/>
        </w:tabs>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X. Abstenerse de realizar cualquier trato o promesa privada que comprometa al Estado de México.” (Sic)</w:t>
      </w:r>
    </w:p>
    <w:p w14:paraId="77E50EC0" w14:textId="77777777" w:rsidR="006D3F24" w:rsidRDefault="006D3F24">
      <w:pPr>
        <w:spacing w:line="360" w:lineRule="auto"/>
        <w:ind w:right="-981"/>
        <w:jc w:val="both"/>
        <w:rPr>
          <w:rFonts w:ascii="Palatino Linotype" w:eastAsia="Palatino Linotype" w:hAnsi="Palatino Linotype" w:cs="Palatino Linotype"/>
        </w:rPr>
      </w:pPr>
    </w:p>
    <w:p w14:paraId="2973CAB8" w14:textId="77777777" w:rsidR="006D3F24" w:rsidRDefault="005C2B11">
      <w:pPr>
        <w:numPr>
          <w:ilvl w:val="0"/>
          <w:numId w:val="2"/>
        </w:numPr>
        <w:pBdr>
          <w:top w:val="nil"/>
          <w:left w:val="nil"/>
          <w:bottom w:val="nil"/>
          <w:right w:val="nil"/>
          <w:between w:val="nil"/>
        </w:pBdr>
        <w:tabs>
          <w:tab w:val="left" w:pos="0"/>
        </w:tabs>
        <w:spacing w:before="240" w:line="360" w:lineRule="auto"/>
        <w:ind w:left="0" w:right="-981" w:firstLine="0"/>
        <w:jc w:val="both"/>
      </w:pPr>
      <w:r>
        <w:rPr>
          <w:rFonts w:ascii="Palatino Linotype" w:eastAsia="Palatino Linotype" w:hAnsi="Palatino Linotype" w:cs="Palatino Linotype"/>
          <w:color w:val="000000"/>
        </w:rPr>
        <w:t xml:space="preserve">Así, y para tal efecto, la Dirección de Administración, tiene como objetivo brindar apoyo administrativo a los servidores públicos que conforman la Administración Pública Municipal dentro de los cuales se puede destacar el de emitir gafetes que los </w:t>
      </w:r>
      <w:r>
        <w:rPr>
          <w:rFonts w:ascii="Palatino Linotype" w:eastAsia="Palatino Linotype" w:hAnsi="Palatino Linotype" w:cs="Palatino Linotype"/>
        </w:rPr>
        <w:t>acreditan</w:t>
      </w:r>
      <w:r>
        <w:rPr>
          <w:rFonts w:ascii="Palatino Linotype" w:eastAsia="Palatino Linotype" w:hAnsi="Palatino Linotype" w:cs="Palatino Linotype"/>
          <w:color w:val="000000"/>
        </w:rPr>
        <w:t xml:space="preserve"> como funcionarios adscritos a la Dependencia, por tanto resulta viable ordenar la entrega del gafete del servidor público aludido de ser procedente en versión pública. </w:t>
      </w:r>
    </w:p>
    <w:p w14:paraId="36FB2079" w14:textId="77777777" w:rsidR="006D3F24" w:rsidRDefault="005C2B11" w:rsidP="0082122D">
      <w:pPr>
        <w:numPr>
          <w:ilvl w:val="0"/>
          <w:numId w:val="6"/>
        </w:numPr>
        <w:pBdr>
          <w:top w:val="nil"/>
          <w:left w:val="nil"/>
          <w:bottom w:val="nil"/>
          <w:right w:val="nil"/>
          <w:between w:val="nil"/>
        </w:pBdr>
        <w:spacing w:line="360" w:lineRule="auto"/>
        <w:ind w:left="426"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Bono o gratificación por concepto de </w:t>
      </w:r>
      <w:r w:rsidR="007B44CF">
        <w:rPr>
          <w:rFonts w:ascii="Palatino Linotype" w:eastAsia="Palatino Linotype" w:hAnsi="Palatino Linotype" w:cs="Palatino Linotype"/>
          <w:b/>
          <w:bCs/>
          <w:color w:val="000000"/>
        </w:rPr>
        <w:t xml:space="preserve">servicios personales </w:t>
      </w:r>
      <w:r>
        <w:rPr>
          <w:rFonts w:ascii="Palatino Linotype" w:eastAsia="Palatino Linotype" w:hAnsi="Palatino Linotype" w:cs="Palatino Linotype"/>
          <w:b/>
          <w:bCs/>
          <w:color w:val="000000"/>
        </w:rPr>
        <w:t>o comida (Punto 8 del cuadro comparativo)</w:t>
      </w:r>
    </w:p>
    <w:p w14:paraId="5B19829E"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En relación a esta solicitud de información, el SUJETO OBLIGADO, omitió pronunciarse al respecto, no obstante cabe traer a colación lo establecido en el Manual para la Planeación, Programación y Presupuesto de Egresos Municipal para el Ejercicio Fiscal 2025, en el cual se establece la estructura del Calificador por Objeto de Gasto, lo que permite que las cuentas faciliten el registro de las transacciones con incidencia económica, tal y como se demuestra a continuación:</w:t>
      </w:r>
    </w:p>
    <w:p w14:paraId="41BE80C8" w14:textId="77777777" w:rsidR="006D3F24" w:rsidRDefault="005C2B11">
      <w:pPr>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La armonización se realiza a tercer digito que corresponde a la partida genérica, dejando en poder de las entidades federativas, la desagregación e identificación de la partida específica, dando origen a la siguiente estructura:</w:t>
      </w:r>
    </w:p>
    <w:p w14:paraId="445F6288" w14:textId="77777777" w:rsidR="006D3F24" w:rsidRDefault="006D3F24">
      <w:pPr>
        <w:spacing w:line="360" w:lineRule="auto"/>
        <w:ind w:right="-981"/>
        <w:jc w:val="both"/>
      </w:pPr>
    </w:p>
    <w:p w14:paraId="1A53C823" w14:textId="77777777" w:rsidR="006D3F24" w:rsidRDefault="005C2B11">
      <w:pPr>
        <w:spacing w:line="360" w:lineRule="auto"/>
        <w:ind w:right="-981"/>
        <w:jc w:val="both"/>
      </w:pPr>
      <w:r>
        <w:rPr>
          <w:noProof/>
        </w:rPr>
        <w:drawing>
          <wp:inline distT="0" distB="0" distL="0" distR="0" wp14:anchorId="2CC3F486" wp14:editId="74888D6C">
            <wp:extent cx="5468113" cy="1267002"/>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468113" cy="1267002"/>
                    </a:xfrm>
                    <a:prstGeom prst="rect">
                      <a:avLst/>
                    </a:prstGeom>
                    <a:ln/>
                  </pic:spPr>
                </pic:pic>
              </a:graphicData>
            </a:graphic>
          </wp:inline>
        </w:drawing>
      </w:r>
    </w:p>
    <w:p w14:paraId="1B319A31" w14:textId="77777777" w:rsidR="006D3F24" w:rsidRDefault="006D3F24">
      <w:pPr>
        <w:spacing w:line="360" w:lineRule="auto"/>
        <w:ind w:right="-981"/>
        <w:jc w:val="both"/>
        <w:rPr>
          <w:rFonts w:ascii="Palatino Linotype" w:eastAsia="Palatino Linotype" w:hAnsi="Palatino Linotype" w:cs="Palatino Linotype"/>
          <w:b/>
          <w:bCs/>
        </w:rPr>
      </w:pPr>
    </w:p>
    <w:p w14:paraId="58F51B79" w14:textId="77777777" w:rsidR="006D3F24" w:rsidRDefault="005C2B11">
      <w:pPr>
        <w:ind w:left="567"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Capítulo:</w:t>
      </w:r>
      <w:r>
        <w:rPr>
          <w:rFonts w:ascii="Palatino Linotype" w:eastAsia="Palatino Linotype" w:hAnsi="Palatino Linotype" w:cs="Palatino Linotype"/>
          <w:i/>
          <w:iCs/>
        </w:rPr>
        <w:t xml:space="preserve"> Es el mayor nivel de agregación que identifica el conjunto homogéneo y ordenado de los bienes y/o servicios requeridos por los entes públicos. </w:t>
      </w:r>
    </w:p>
    <w:p w14:paraId="4E2BCA59" w14:textId="77777777" w:rsidR="006D3F24" w:rsidRDefault="005C2B11">
      <w:pPr>
        <w:ind w:left="567"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Concepto:</w:t>
      </w:r>
      <w:r>
        <w:rPr>
          <w:rFonts w:ascii="Palatino Linotype" w:eastAsia="Palatino Linotype" w:hAnsi="Palatino Linotype" w:cs="Palatino Linotype"/>
          <w:i/>
          <w:iCs/>
        </w:rPr>
        <w:t xml:space="preserve"> Son subconjuntos homogéneos y ordenados en forma específica, producto de la desagregación de los bienes y/o servicios, incluidos en cada capítulo. </w:t>
      </w:r>
    </w:p>
    <w:p w14:paraId="00FE8690" w14:textId="77777777" w:rsidR="006D3F24" w:rsidRDefault="005C2B11">
      <w:pPr>
        <w:ind w:left="567"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Partida:</w:t>
      </w:r>
      <w:r>
        <w:rPr>
          <w:rFonts w:ascii="Palatino Linotype" w:eastAsia="Palatino Linotype" w:hAnsi="Palatino Linotype" w:cs="Palatino Linotype"/>
          <w:i/>
          <w:iCs/>
        </w:rPr>
        <w:t xml:space="preserve"> Es el nivel de agregación más específico en el cual se describen las expresiones concretas y detalladas de los bienes y/o servicios que se adquieren y se compone de: </w:t>
      </w:r>
    </w:p>
    <w:p w14:paraId="3F7CE7B4" w14:textId="77777777" w:rsidR="006D3F24" w:rsidRDefault="005C2B11">
      <w:pPr>
        <w:ind w:left="567"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Partida Genérica</w:t>
      </w:r>
      <w:r>
        <w:rPr>
          <w:rFonts w:ascii="Palatino Linotype" w:eastAsia="Palatino Linotype" w:hAnsi="Palatino Linotype" w:cs="Palatino Linotype"/>
          <w:i/>
          <w:iCs/>
        </w:rPr>
        <w:t xml:space="preserve"> se refiere al tercer dígito, el cual logrará la armonización a todos los niveles de gobierno. </w:t>
      </w:r>
    </w:p>
    <w:p w14:paraId="35D1B05F" w14:textId="77777777" w:rsidR="006D3F24" w:rsidRDefault="005C2B11">
      <w:pPr>
        <w:ind w:left="567"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b)</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Partida Específica</w:t>
      </w:r>
      <w:r>
        <w:rPr>
          <w:rFonts w:ascii="Palatino Linotype" w:eastAsia="Palatino Linotype" w:hAnsi="Palatino Linotype" w:cs="Palatino Linotype"/>
          <w:i/>
          <w:iCs/>
        </w:rPr>
        <w:t xml:space="preserve"> corresponde al cuarto dígito, el cual permitirá que las unidades administrativas o instancias competentes en materia de Contabilidad Gubernamental y de Presupuesto de cada orden de gobierno, con base en sus necesidades, generen su apertura, </w:t>
      </w:r>
      <w:r>
        <w:rPr>
          <w:rFonts w:ascii="Palatino Linotype" w:eastAsia="Palatino Linotype" w:hAnsi="Palatino Linotype" w:cs="Palatino Linotype"/>
          <w:i/>
          <w:iCs/>
        </w:rPr>
        <w:lastRenderedPageBreak/>
        <w:t xml:space="preserve">conservando la estructura básica (capítulo, concepto y partida genérica), con el fin de mantener la armonización con el Plan de Cuenta. </w:t>
      </w:r>
    </w:p>
    <w:p w14:paraId="4867F27F" w14:textId="77777777" w:rsidR="006D3F24" w:rsidRDefault="005C2B11">
      <w:pPr>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De acuerdo con este nivel de desagregación del Clasificador por Objeto del Gasto Estatal y Municipal, la definición de los Capítulos de gasto es la siguiente:</w:t>
      </w:r>
    </w:p>
    <w:p w14:paraId="56CEBEA3" w14:textId="77777777" w:rsidR="006D3F24" w:rsidRDefault="006D3F24">
      <w:pPr>
        <w:spacing w:line="360" w:lineRule="auto"/>
        <w:ind w:right="-981"/>
        <w:jc w:val="both"/>
        <w:rPr>
          <w:rFonts w:ascii="Palatino Linotype" w:eastAsia="Palatino Linotype" w:hAnsi="Palatino Linotype" w:cs="Palatino Linotype"/>
          <w:i/>
          <w:iCs/>
        </w:rPr>
      </w:pPr>
    </w:p>
    <w:p w14:paraId="54745E83" w14:textId="77777777" w:rsidR="006D3F24" w:rsidRDefault="005C2B11">
      <w:pPr>
        <w:spacing w:line="360" w:lineRule="auto"/>
        <w:ind w:right="-981"/>
        <w:jc w:val="both"/>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14:anchorId="35A652C9" wp14:editId="48C2A7E2">
            <wp:extent cx="5687219" cy="4096322"/>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687219" cy="4096322"/>
                    </a:xfrm>
                    <a:prstGeom prst="rect">
                      <a:avLst/>
                    </a:prstGeom>
                    <a:ln/>
                  </pic:spPr>
                </pic:pic>
              </a:graphicData>
            </a:graphic>
          </wp:inline>
        </w:drawing>
      </w:r>
    </w:p>
    <w:p w14:paraId="0F5AA5A1" w14:textId="77777777" w:rsidR="006D3F24" w:rsidRDefault="005C2B11">
      <w:pPr>
        <w:ind w:left="567" w:right="-981"/>
        <w:jc w:val="both"/>
        <w:rPr>
          <w:i/>
          <w:iCs/>
        </w:rPr>
      </w:pPr>
      <w:r>
        <w:rPr>
          <w:i/>
          <w:iCs/>
        </w:rPr>
        <w:t>De la estructura de codificación, se derivan los siguientes subcapítulos, partidas genéricas y partidas específicas:</w:t>
      </w:r>
    </w:p>
    <w:p w14:paraId="2390C365" w14:textId="77777777" w:rsidR="006D3F24" w:rsidRDefault="006D3F24">
      <w:pPr>
        <w:ind w:left="567" w:right="-981"/>
        <w:jc w:val="both"/>
        <w:rPr>
          <w:i/>
          <w:iCs/>
        </w:rPr>
      </w:pPr>
    </w:p>
    <w:p w14:paraId="03A4AC1F" w14:textId="77777777" w:rsidR="006D3F24" w:rsidRDefault="005C2B11">
      <w:pPr>
        <w:ind w:left="567" w:right="-981"/>
        <w:jc w:val="both"/>
        <w:rPr>
          <w:i/>
          <w:iCs/>
        </w:rPr>
      </w:pPr>
      <w:r>
        <w:rPr>
          <w:i/>
          <w:iCs/>
          <w:noProof/>
        </w:rPr>
        <w:drawing>
          <wp:inline distT="0" distB="0" distL="0" distR="0" wp14:anchorId="6EAF7226" wp14:editId="5BBB0EF8">
            <wp:extent cx="5267325" cy="37274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l="5152"/>
                    <a:stretch>
                      <a:fillRect/>
                    </a:stretch>
                  </pic:blipFill>
                  <pic:spPr>
                    <a:xfrm>
                      <a:off x="0" y="0"/>
                      <a:ext cx="5267325" cy="372745"/>
                    </a:xfrm>
                    <a:prstGeom prst="rect">
                      <a:avLst/>
                    </a:prstGeom>
                    <a:ln/>
                  </pic:spPr>
                </pic:pic>
              </a:graphicData>
            </a:graphic>
          </wp:inline>
        </w:drawing>
      </w:r>
    </w:p>
    <w:p w14:paraId="5F6BDE1A" w14:textId="77777777" w:rsidR="006D3F24" w:rsidRDefault="006D3F24">
      <w:pPr>
        <w:ind w:left="567" w:right="-981"/>
        <w:jc w:val="both"/>
        <w:rPr>
          <w:i/>
          <w:iCs/>
        </w:rPr>
      </w:pPr>
    </w:p>
    <w:p w14:paraId="4834782B" w14:textId="77777777" w:rsidR="006D3F24" w:rsidRDefault="005C2B11">
      <w:pPr>
        <w:spacing w:line="360" w:lineRule="auto"/>
        <w:ind w:right="-981"/>
        <w:jc w:val="both"/>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14:anchorId="323A20FA" wp14:editId="7B0FEB56">
            <wp:extent cx="5742940" cy="65849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742940" cy="658495"/>
                    </a:xfrm>
                    <a:prstGeom prst="rect">
                      <a:avLst/>
                    </a:prstGeom>
                    <a:ln/>
                  </pic:spPr>
                </pic:pic>
              </a:graphicData>
            </a:graphic>
          </wp:inline>
        </w:drawing>
      </w:r>
    </w:p>
    <w:p w14:paraId="1FF2D29B" w14:textId="77777777" w:rsidR="006D3F24" w:rsidRDefault="006D3F24">
      <w:pPr>
        <w:spacing w:line="360" w:lineRule="auto"/>
        <w:ind w:right="-981"/>
        <w:jc w:val="both"/>
        <w:rPr>
          <w:rFonts w:ascii="Palatino Linotype" w:eastAsia="Palatino Linotype" w:hAnsi="Palatino Linotype" w:cs="Palatino Linotype"/>
        </w:rPr>
      </w:pPr>
    </w:p>
    <w:p w14:paraId="418634A3"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lastRenderedPageBreak/>
        <w:t xml:space="preserve">Con lo antes descrito se vislumbra que en el Capítulo 1000 Servicios Generales, otorga al personal de carácter permanente, la asignación destinadas a cubrir percepciones, de entre las cuales se encuentran las dietas, las cuales son asignadas a los Diputados de la H. Legislatura Local y en el caso de los </w:t>
      </w:r>
      <w:r>
        <w:rPr>
          <w:rFonts w:ascii="Palatino Linotype" w:eastAsia="Palatino Linotype" w:hAnsi="Palatino Linotype" w:cs="Palatino Linotype"/>
          <w:b/>
          <w:bCs/>
        </w:rPr>
        <w:t>municipios a los integrantes del H. Ayuntamiento;</w:t>
      </w:r>
      <w:r>
        <w:rPr>
          <w:rFonts w:ascii="Palatino Linotype" w:eastAsia="Palatino Linotype" w:hAnsi="Palatino Linotype" w:cs="Palatino Linotype"/>
        </w:rPr>
        <w:t xml:space="preserve"> así mismo en el Subcapítulo 1593, del mismo ordenamiento legal, establece asignaciones destinadas a cubrir viáticos asignados a servidores públicos que desarrollan funciones inherentes a su puesto fuera de su lugar permanente de trabajo.</w:t>
      </w:r>
    </w:p>
    <w:p w14:paraId="549E311F" w14:textId="77777777" w:rsidR="006D3F24" w:rsidRDefault="006D3F24">
      <w:pPr>
        <w:spacing w:line="360" w:lineRule="auto"/>
        <w:ind w:right="-981"/>
        <w:jc w:val="both"/>
        <w:rPr>
          <w:rFonts w:ascii="Palatino Linotype" w:eastAsia="Palatino Linotype" w:hAnsi="Palatino Linotype" w:cs="Palatino Linotype"/>
        </w:rPr>
      </w:pPr>
    </w:p>
    <w:p w14:paraId="53CF5F48"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En ese tenor, se percibe que el Manual para la Planeación, Programación y Presupuesto de Egresos Municipal, para el Ejercicio Fiscal 2025, integra un fondo destinado a los Gastos de Servicios Personales, de entro los cuales se puede desglosar lo solicitado por el RECURRENTE, por tanto de manera enunciativa, más no limitativa el documento que da cuenta de lo solicitado por el particular, podría ser el Presupuesto de Egresos Municipal 2025.</w:t>
      </w:r>
    </w:p>
    <w:p w14:paraId="55873202" w14:textId="77777777" w:rsidR="006D3F24" w:rsidRDefault="006D3F24">
      <w:pPr>
        <w:spacing w:line="360" w:lineRule="auto"/>
        <w:ind w:right="-981"/>
        <w:jc w:val="both"/>
        <w:rPr>
          <w:rFonts w:ascii="Palatino Linotype" w:eastAsia="Palatino Linotype" w:hAnsi="Palatino Linotype" w:cs="Palatino Linotype"/>
        </w:rPr>
      </w:pPr>
    </w:p>
    <w:p w14:paraId="3E96634C"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En el supuesto que la información ordenada no obre en los archivos del Sujeto Obligado por no haberse generado, bastará con que así lo haga del conocimiento de la parte Recurrente, de manera fundada y motivada, en términos del artículo 19, párrafo segundo de la Ley de Transparencia y Acceso a la Información Pública del Estado de México y Municipios, para tener por colmado el requerimiento de información.</w:t>
      </w:r>
    </w:p>
    <w:p w14:paraId="2A6C3C05" w14:textId="77777777" w:rsidR="006D3F24" w:rsidRDefault="006D3F24">
      <w:pPr>
        <w:spacing w:line="360" w:lineRule="auto"/>
        <w:ind w:right="-981"/>
        <w:jc w:val="both"/>
        <w:rPr>
          <w:rFonts w:ascii="Palatino Linotype" w:eastAsia="Palatino Linotype" w:hAnsi="Palatino Linotype" w:cs="Palatino Linotype"/>
        </w:rPr>
      </w:pPr>
    </w:p>
    <w:p w14:paraId="15474464" w14:textId="77777777" w:rsidR="006D3F24" w:rsidRDefault="005C2B11" w:rsidP="0082122D">
      <w:pPr>
        <w:numPr>
          <w:ilvl w:val="0"/>
          <w:numId w:val="6"/>
        </w:numPr>
        <w:pBdr>
          <w:top w:val="nil"/>
          <w:left w:val="nil"/>
          <w:bottom w:val="nil"/>
          <w:right w:val="nil"/>
          <w:between w:val="nil"/>
        </w:pBdr>
        <w:spacing w:line="259" w:lineRule="auto"/>
        <w:ind w:left="284" w:right="-98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Documento en donde se especifique turno, horarios y días habilitados y Área de Adscripción (Punto 9 del cuadro comparativo)</w:t>
      </w:r>
    </w:p>
    <w:p w14:paraId="6A17691F" w14:textId="77777777" w:rsidR="006D3F24" w:rsidRDefault="005C2B11">
      <w:pPr>
        <w:numPr>
          <w:ilvl w:val="0"/>
          <w:numId w:val="2"/>
        </w:numPr>
        <w:pBdr>
          <w:top w:val="nil"/>
          <w:left w:val="nil"/>
          <w:bottom w:val="nil"/>
          <w:right w:val="nil"/>
          <w:between w:val="nil"/>
        </w:pBdr>
        <w:spacing w:after="240" w:line="360" w:lineRule="auto"/>
        <w:ind w:left="0" w:right="-981" w:firstLine="0"/>
        <w:jc w:val="both"/>
      </w:pPr>
      <w:r>
        <w:rPr>
          <w:rFonts w:ascii="Palatino Linotype" w:eastAsia="Palatino Linotype" w:hAnsi="Palatino Linotype" w:cs="Palatino Linotype"/>
          <w:color w:val="000000"/>
        </w:rPr>
        <w:t>Atendiendo a la información requerida resulta oportuno traer a colación los numerales 5, 48 y 49 de la Ley del Trabajo de los Servidores Públicos del Estado de México y Municipios, porciones normativas que disponen a la literalidad lo siguiente:</w:t>
      </w:r>
    </w:p>
    <w:p w14:paraId="1F28BE54"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w:t>
      </w:r>
      <w:r>
        <w:rPr>
          <w:rFonts w:ascii="Palatino Linotype" w:eastAsia="Palatino Linotype" w:hAnsi="Palatino Linotype" w:cs="Palatino Linotype"/>
          <w:b/>
          <w:bCs/>
          <w:i/>
          <w:iCs/>
          <w:color w:val="000000"/>
        </w:rPr>
        <w:t>ARTÍCULO 5.-</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u w:val="single"/>
        </w:rPr>
        <w:t>La relación de trabajo entre las instituciones públicas y sus servidores públicos se entiende establecida mediante nombramiento, formato único de movimiento de personal, contrato o por cualquier otro acto</w:t>
      </w:r>
      <w:r>
        <w:rPr>
          <w:rFonts w:ascii="Palatino Linotype" w:eastAsia="Palatino Linotype" w:hAnsi="Palatino Linotype" w:cs="Palatino Linotype"/>
          <w:i/>
          <w:iCs/>
          <w:color w:val="000000"/>
        </w:rPr>
        <w:t xml:space="preserve"> que tenga como consecuencia la prestación personal subordinada del servicio y la percepción de un sueldo.</w:t>
      </w:r>
    </w:p>
    <w:p w14:paraId="791A5DDA"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los efectos de esta ley, las instituciones públicas estarán representadas por sus titulares.</w:t>
      </w:r>
    </w:p>
    <w:p w14:paraId="038F5D06"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48.</w:t>
      </w:r>
      <w:r>
        <w:rPr>
          <w:rFonts w:ascii="Palatino Linotype" w:eastAsia="Palatino Linotype" w:hAnsi="Palatino Linotype" w:cs="Palatino Linotype"/>
          <w:i/>
          <w:iCs/>
          <w:color w:val="000000"/>
        </w:rPr>
        <w:t xml:space="preserve"> Para iniciar la prestación de los servicios se requiere:</w:t>
      </w:r>
    </w:p>
    <w:p w14:paraId="2DF06727"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b/>
          <w:bCs/>
          <w:i/>
          <w:iCs/>
          <w:color w:val="000000"/>
          <w:u w:val="single"/>
        </w:rPr>
      </w:pPr>
      <w:r>
        <w:rPr>
          <w:rFonts w:ascii="Palatino Linotype" w:eastAsia="Palatino Linotype" w:hAnsi="Palatino Linotype" w:cs="Palatino Linotype"/>
          <w:b/>
          <w:bCs/>
          <w:i/>
          <w:iCs/>
          <w:color w:val="000000"/>
          <w:u w:val="single"/>
        </w:rPr>
        <w:t>I. Tener conferido el nombramiento, contrato respectivo o formato único de Movimientos de Personal;</w:t>
      </w:r>
    </w:p>
    <w:p w14:paraId="7AB210F1"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 Rendir la protesta de ley en caso de nombramiento; y</w:t>
      </w:r>
    </w:p>
    <w:p w14:paraId="1C40DC39"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Tomar posesión del cargo. </w:t>
      </w:r>
    </w:p>
    <w:p w14:paraId="7F4D351E"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49.-</w:t>
      </w:r>
      <w:r>
        <w:rPr>
          <w:rFonts w:ascii="Palatino Linotype" w:eastAsia="Palatino Linotype" w:hAnsi="Palatino Linotype" w:cs="Palatino Linotype"/>
          <w:i/>
          <w:iCs/>
          <w:color w:val="000000"/>
        </w:rPr>
        <w:t xml:space="preserve"> Los nombramientos, contratos o formato único de Movimientos de Personal de los servidores públicos deberá contener:</w:t>
      </w:r>
    </w:p>
    <w:p w14:paraId="4FFBCBDD"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Nombre completo del servidor público; </w:t>
      </w:r>
    </w:p>
    <w:p w14:paraId="09C8C2D1"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Cargo para el que es designado, fecha de inicio de sus servicios y lugar de adscripción; </w:t>
      </w:r>
    </w:p>
    <w:p w14:paraId="75E6841E"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Carácter del nombramiento, ya sea de servidores públicos generales o de confianza, así como la temporalidad del mismo; </w:t>
      </w:r>
    </w:p>
    <w:p w14:paraId="27677BF2"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Remuneración correspondiente al puesto; </w:t>
      </w:r>
    </w:p>
    <w:p w14:paraId="480AAEEE"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Jornada de trabajo; </w:t>
      </w:r>
    </w:p>
    <w:p w14:paraId="5CE5CD41"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Derogada; </w:t>
      </w:r>
    </w:p>
    <w:p w14:paraId="77002CEC" w14:textId="77777777" w:rsidR="006D3F24" w:rsidRDefault="005C2B11">
      <w:pPr>
        <w:pBdr>
          <w:top w:val="nil"/>
          <w:left w:val="nil"/>
          <w:bottom w:val="nil"/>
          <w:right w:val="nil"/>
          <w:between w:val="nil"/>
        </w:pBdr>
        <w:tabs>
          <w:tab w:val="left" w:pos="8193"/>
        </w:tabs>
        <w:spacing w:before="240" w:after="160"/>
        <w:ind w:left="567"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VII. Firma del servidor público autorizado para emitir el nombramiento, contrato o formato único de Movimientos de PersonaI, así como el fundamento legal de esa atribución.” </w:t>
      </w:r>
      <w:r>
        <w:rPr>
          <w:rFonts w:ascii="Palatino Linotype" w:eastAsia="Palatino Linotype" w:hAnsi="Palatino Linotype" w:cs="Palatino Linotype"/>
          <w:b/>
          <w:bCs/>
          <w:i/>
          <w:iCs/>
          <w:color w:val="000000"/>
        </w:rPr>
        <w:t>(Sic)</w:t>
      </w:r>
    </w:p>
    <w:p w14:paraId="5CC852AB" w14:textId="77777777" w:rsidR="006D3F24" w:rsidRDefault="006D3F24">
      <w:pPr>
        <w:pBdr>
          <w:top w:val="nil"/>
          <w:left w:val="nil"/>
          <w:bottom w:val="nil"/>
          <w:right w:val="nil"/>
          <w:between w:val="nil"/>
        </w:pBdr>
        <w:spacing w:before="240" w:after="160" w:line="360" w:lineRule="auto"/>
        <w:ind w:left="851" w:right="-981"/>
        <w:jc w:val="both"/>
        <w:rPr>
          <w:rFonts w:ascii="Palatino Linotype" w:eastAsia="Palatino Linotype" w:hAnsi="Palatino Linotype" w:cs="Palatino Linotype"/>
          <w:i/>
          <w:iCs/>
          <w:color w:val="000000"/>
        </w:rPr>
      </w:pPr>
    </w:p>
    <w:p w14:paraId="0C184A8F" w14:textId="77777777" w:rsidR="006D3F24" w:rsidRDefault="005C2B11">
      <w:pPr>
        <w:numPr>
          <w:ilvl w:val="0"/>
          <w:numId w:val="2"/>
        </w:numPr>
        <w:pBdr>
          <w:top w:val="nil"/>
          <w:left w:val="nil"/>
          <w:bottom w:val="nil"/>
          <w:right w:val="nil"/>
          <w:between w:val="nil"/>
        </w:pBdr>
        <w:spacing w:before="240" w:after="160" w:line="360" w:lineRule="auto"/>
        <w:ind w:left="0" w:right="-981" w:firstLine="0"/>
        <w:jc w:val="both"/>
      </w:pPr>
      <w:r>
        <w:rPr>
          <w:rFonts w:ascii="Palatino Linotype" w:eastAsia="Palatino Linotype" w:hAnsi="Palatino Linotype" w:cs="Palatino Linotype"/>
          <w:color w:val="000000"/>
        </w:rPr>
        <w:lastRenderedPageBreak/>
        <w:t xml:space="preserve">En efecto, la normatividad en cita consagra las distintas modalidades en que se formaliza la relación laboral con los servidores públicos. Asimismo, las modalidades para formalizar las relaciones laborales deberán de contener como elementos mínimos: </w:t>
      </w:r>
    </w:p>
    <w:p w14:paraId="1AF0FAA9" w14:textId="77777777" w:rsidR="006D3F24" w:rsidRDefault="005C2B11">
      <w:pPr>
        <w:numPr>
          <w:ilvl w:val="0"/>
          <w:numId w:val="10"/>
        </w:numPr>
        <w:pBdr>
          <w:top w:val="nil"/>
          <w:left w:val="nil"/>
          <w:bottom w:val="nil"/>
          <w:right w:val="nil"/>
          <w:between w:val="nil"/>
        </w:pBdr>
        <w:spacing w:before="240" w:after="160"/>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Nombre del servidor público</w:t>
      </w:r>
    </w:p>
    <w:p w14:paraId="29CCED67" w14:textId="77777777" w:rsidR="006D3F24" w:rsidRDefault="005C2B11">
      <w:pPr>
        <w:numPr>
          <w:ilvl w:val="0"/>
          <w:numId w:val="10"/>
        </w:numPr>
        <w:pBdr>
          <w:top w:val="nil"/>
          <w:left w:val="nil"/>
          <w:bottom w:val="nil"/>
          <w:right w:val="nil"/>
          <w:between w:val="nil"/>
        </w:pBdr>
        <w:spacing w:before="240" w:after="160"/>
        <w:ind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Cargo para el que es designado, fecha de inicio de sus servicios y lugar de adscripción. </w:t>
      </w:r>
    </w:p>
    <w:p w14:paraId="35BC5140" w14:textId="77777777" w:rsidR="006D3F24" w:rsidRDefault="005C2B11">
      <w:pPr>
        <w:numPr>
          <w:ilvl w:val="0"/>
          <w:numId w:val="10"/>
        </w:numPr>
        <w:pBdr>
          <w:top w:val="nil"/>
          <w:left w:val="nil"/>
          <w:bottom w:val="nil"/>
          <w:right w:val="nil"/>
          <w:between w:val="nil"/>
        </w:pBdr>
        <w:spacing w:before="240" w:after="160"/>
        <w:ind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Carácter del nombramiento, ya sea de servidores públicos generales o de confianza, así como la temporalidad del mismo. </w:t>
      </w:r>
    </w:p>
    <w:p w14:paraId="1485CD02" w14:textId="77777777" w:rsidR="006D3F24" w:rsidRDefault="005C2B11">
      <w:pPr>
        <w:numPr>
          <w:ilvl w:val="0"/>
          <w:numId w:val="10"/>
        </w:numPr>
        <w:pBdr>
          <w:top w:val="nil"/>
          <w:left w:val="nil"/>
          <w:bottom w:val="nil"/>
          <w:right w:val="nil"/>
          <w:between w:val="nil"/>
        </w:pBdr>
        <w:spacing w:before="240" w:after="160"/>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Remuneración correspondiente al puesto</w:t>
      </w:r>
    </w:p>
    <w:p w14:paraId="6C168783" w14:textId="77777777" w:rsidR="006D3F24" w:rsidRDefault="005C2B11">
      <w:pPr>
        <w:numPr>
          <w:ilvl w:val="0"/>
          <w:numId w:val="10"/>
        </w:numPr>
        <w:pBdr>
          <w:top w:val="nil"/>
          <w:left w:val="nil"/>
          <w:bottom w:val="nil"/>
          <w:right w:val="nil"/>
          <w:between w:val="nil"/>
        </w:pBdr>
        <w:spacing w:before="240" w:after="160"/>
        <w:ind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Jornada de trabajo (horario, turno y días a laborar)</w:t>
      </w:r>
    </w:p>
    <w:p w14:paraId="375998DD" w14:textId="77777777" w:rsidR="006D3F24" w:rsidRDefault="005C2B11">
      <w:pPr>
        <w:numPr>
          <w:ilvl w:val="0"/>
          <w:numId w:val="10"/>
        </w:numPr>
        <w:pBdr>
          <w:top w:val="nil"/>
          <w:left w:val="nil"/>
          <w:bottom w:val="nil"/>
          <w:right w:val="nil"/>
          <w:between w:val="nil"/>
        </w:pBdr>
        <w:spacing w:before="240" w:after="160"/>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Firma del servidor público autorizado para emitir el nombramiento, contrato o formato único de movimientos de personal, así como el fundamento legal de esa atribución. </w:t>
      </w:r>
    </w:p>
    <w:p w14:paraId="034A1BE6" w14:textId="77777777" w:rsidR="006D3F24" w:rsidRDefault="006D3F24">
      <w:pPr>
        <w:pBdr>
          <w:top w:val="nil"/>
          <w:left w:val="nil"/>
          <w:bottom w:val="nil"/>
          <w:right w:val="nil"/>
          <w:between w:val="nil"/>
        </w:pBdr>
        <w:spacing w:before="240" w:after="160"/>
        <w:ind w:left="720" w:right="-981"/>
        <w:jc w:val="both"/>
        <w:rPr>
          <w:rFonts w:ascii="Palatino Linotype" w:eastAsia="Palatino Linotype" w:hAnsi="Palatino Linotype" w:cs="Palatino Linotype"/>
        </w:rPr>
      </w:pPr>
    </w:p>
    <w:p w14:paraId="4D1CF037"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En este sentido,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6A384785" w14:textId="77777777" w:rsidR="006D3F24" w:rsidRDefault="005C2B11">
      <w:pPr>
        <w:pBdr>
          <w:top w:val="nil"/>
          <w:left w:val="nil"/>
          <w:bottom w:val="nil"/>
          <w:right w:val="nil"/>
          <w:between w:val="nil"/>
        </w:pBdr>
        <w:spacing w:before="240" w:after="160"/>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18. Los sujetos obligados deberán documentar todo acto que derive del ejercicio de sus facultades, competencias o funciones, considerando desde su origen la eventual publicidad y reutilización de la información que generen. </w:t>
      </w:r>
    </w:p>
    <w:p w14:paraId="0C1CAC7C" w14:textId="77777777" w:rsidR="006D3F24" w:rsidRDefault="005C2B11">
      <w:pPr>
        <w:pBdr>
          <w:top w:val="nil"/>
          <w:left w:val="nil"/>
          <w:bottom w:val="nil"/>
          <w:right w:val="nil"/>
          <w:between w:val="nil"/>
        </w:pBdr>
        <w:spacing w:before="240" w:after="160"/>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19. Se presume que la información debe existir si se refiere a las facultades, competencias y funciones que los ordenamientos jurídicos aplicables otorgan a los sujetos obligados. </w:t>
      </w:r>
    </w:p>
    <w:p w14:paraId="4311CB7E" w14:textId="77777777" w:rsidR="006D3F24" w:rsidRDefault="005C2B11">
      <w:pPr>
        <w:pBdr>
          <w:top w:val="nil"/>
          <w:left w:val="nil"/>
          <w:bottom w:val="nil"/>
          <w:right w:val="nil"/>
          <w:between w:val="nil"/>
        </w:pBdr>
        <w:spacing w:before="240" w:after="160"/>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En los casos en que ciertas facultades, competencias o funciones no se hayan ejercido, se debe motivar la respuesta en función de las causas que motiven tal circunstancia. </w:t>
      </w:r>
    </w:p>
    <w:p w14:paraId="1CB86E54" w14:textId="77777777" w:rsidR="006D3F24" w:rsidRDefault="005C2B11">
      <w:pPr>
        <w:pBdr>
          <w:top w:val="nil"/>
          <w:left w:val="nil"/>
          <w:bottom w:val="nil"/>
          <w:right w:val="nil"/>
          <w:between w:val="nil"/>
        </w:pBdr>
        <w:spacing w:before="240" w:after="160"/>
        <w:ind w:left="851"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Pr>
          <w:rFonts w:ascii="Palatino Linotype" w:eastAsia="Palatino Linotype" w:hAnsi="Palatino Linotype" w:cs="Palatino Linotype"/>
          <w:b/>
          <w:bCs/>
          <w:i/>
          <w:iCs/>
          <w:color w:val="000000"/>
        </w:rPr>
        <w:t>(Sic)</w:t>
      </w:r>
    </w:p>
    <w:p w14:paraId="6A6D3FEA" w14:textId="77777777" w:rsidR="006D3F24" w:rsidRDefault="006D3F24">
      <w:pPr>
        <w:spacing w:line="360" w:lineRule="auto"/>
        <w:ind w:right="-981"/>
        <w:jc w:val="both"/>
        <w:rPr>
          <w:rFonts w:ascii="Palatino Linotype" w:eastAsia="Palatino Linotype" w:hAnsi="Palatino Linotype" w:cs="Palatino Linotype"/>
        </w:rPr>
      </w:pPr>
    </w:p>
    <w:p w14:paraId="7C39E512" w14:textId="77777777" w:rsidR="006D3F24" w:rsidRDefault="005C2B11">
      <w:pPr>
        <w:numPr>
          <w:ilvl w:val="0"/>
          <w:numId w:val="2"/>
        </w:numPr>
        <w:pBdr>
          <w:top w:val="nil"/>
          <w:left w:val="nil"/>
          <w:bottom w:val="nil"/>
          <w:right w:val="nil"/>
          <w:between w:val="nil"/>
        </w:pBdr>
        <w:spacing w:line="360" w:lineRule="auto"/>
        <w:ind w:left="0" w:right="-981"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En virtud de lo anterior, es de destacar que la información requerida es susceptible de ser generada, poseída y administrada por </w:t>
      </w:r>
      <w:r>
        <w:rPr>
          <w:rFonts w:ascii="Palatino Linotype" w:eastAsia="Palatino Linotype" w:hAnsi="Palatino Linotype" w:cs="Palatino Linotype"/>
          <w:b/>
          <w:bCs/>
          <w:color w:val="000000"/>
        </w:rPr>
        <w:t xml:space="preserve">El Sujeto Obligado. </w:t>
      </w:r>
    </w:p>
    <w:p w14:paraId="5415E769" w14:textId="77777777" w:rsidR="006D3F24" w:rsidRDefault="006D3F24">
      <w:pPr>
        <w:spacing w:line="360" w:lineRule="auto"/>
        <w:ind w:right="-981"/>
        <w:jc w:val="both"/>
        <w:rPr>
          <w:rFonts w:ascii="Palatino Linotype" w:eastAsia="Palatino Linotype" w:hAnsi="Palatino Linotype" w:cs="Palatino Linotype"/>
        </w:rPr>
      </w:pPr>
    </w:p>
    <w:p w14:paraId="675B9B5B" w14:textId="77777777" w:rsidR="006D3F24" w:rsidRDefault="005C2B11" w:rsidP="0082122D">
      <w:pPr>
        <w:numPr>
          <w:ilvl w:val="0"/>
          <w:numId w:val="6"/>
        </w:numPr>
        <w:pBdr>
          <w:top w:val="nil"/>
          <w:left w:val="nil"/>
          <w:bottom w:val="nil"/>
          <w:right w:val="nil"/>
          <w:between w:val="nil"/>
        </w:pBdr>
        <w:spacing w:line="360" w:lineRule="auto"/>
        <w:ind w:left="426"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Registro de entradas y salidas (Punto 10 del cuadro comparativo)</w:t>
      </w:r>
    </w:p>
    <w:p w14:paraId="4063E7B2" w14:textId="77777777" w:rsidR="006D3F24" w:rsidRDefault="005C2B11">
      <w:pPr>
        <w:numPr>
          <w:ilvl w:val="0"/>
          <w:numId w:val="2"/>
        </w:numPr>
        <w:pBdr>
          <w:top w:val="nil"/>
          <w:left w:val="nil"/>
          <w:bottom w:val="nil"/>
          <w:right w:val="nil"/>
          <w:between w:val="nil"/>
        </w:pBdr>
        <w:tabs>
          <w:tab w:val="left" w:pos="0"/>
        </w:tabs>
        <w:spacing w:line="360" w:lineRule="auto"/>
        <w:ind w:left="0" w:right="-981" w:firstLine="0"/>
        <w:jc w:val="both"/>
      </w:pPr>
      <w:r>
        <w:rPr>
          <w:rFonts w:ascii="Palatino Linotype" w:eastAsia="Palatino Linotype" w:hAnsi="Palatino Linotype" w:cs="Palatino Linotype"/>
          <w:color w:val="000000"/>
        </w:rPr>
        <w:t xml:space="preserve">En seguimiento, resulta conveniente traer a colación el artículo 4°, fracción VI, de la Ley del Trabajo de los Servidores Públicos del Estado y Municipios, precisa que son </w:t>
      </w:r>
      <w:r>
        <w:rPr>
          <w:rFonts w:ascii="Palatino Linotype" w:eastAsia="Palatino Linotype" w:hAnsi="Palatino Linotype" w:cs="Palatino Linotype"/>
          <w:b/>
          <w:bCs/>
          <w:color w:val="000000"/>
        </w:rPr>
        <w:t>servidores públicos</w:t>
      </w:r>
      <w:r>
        <w:rPr>
          <w:rFonts w:ascii="Palatino Linotype" w:eastAsia="Palatino Linotype" w:hAnsi="Palatino Linotype" w:cs="Palatino Linotype"/>
          <w:color w:val="000000"/>
        </w:rPr>
        <w:t xml:space="preserve">, todas las personas físicas que preste a una institución pública un trabajo personal subordinado, mediante el pago de un sueldo. </w:t>
      </w:r>
    </w:p>
    <w:p w14:paraId="53BC783F"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005DE7E6" w14:textId="77777777" w:rsidR="006D3F24" w:rsidRDefault="005C2B11">
      <w:pPr>
        <w:numPr>
          <w:ilvl w:val="0"/>
          <w:numId w:val="2"/>
        </w:numPr>
        <w:pBdr>
          <w:top w:val="nil"/>
          <w:left w:val="nil"/>
          <w:bottom w:val="nil"/>
          <w:right w:val="nil"/>
          <w:between w:val="nil"/>
        </w:pBdr>
        <w:tabs>
          <w:tab w:val="left" w:pos="426"/>
          <w:tab w:val="left" w:pos="567"/>
        </w:tabs>
        <w:spacing w:line="360" w:lineRule="auto"/>
        <w:ind w:left="0" w:right="-981" w:firstLine="0"/>
        <w:jc w:val="both"/>
      </w:pPr>
      <w:r>
        <w:rPr>
          <w:rFonts w:ascii="Palatino Linotype" w:eastAsia="Palatino Linotype" w:hAnsi="Palatino Linotype" w:cs="Palatino Linotype"/>
          <w:color w:val="000000"/>
        </w:rPr>
        <w:t xml:space="preserve">En ese contexto, los artículos 59 y 84 de dicha normatividad, establece que la </w:t>
      </w:r>
      <w:r>
        <w:rPr>
          <w:rFonts w:ascii="Palatino Linotype" w:eastAsia="Palatino Linotype" w:hAnsi="Palatino Linotype" w:cs="Palatino Linotype"/>
          <w:b/>
          <w:bCs/>
          <w:color w:val="000000"/>
        </w:rPr>
        <w:t>jornada de trabajo, es el tiempo durante el cual la o el servidor público está a disposición del Ayuntamiento o Unidad Administrativa</w:t>
      </w:r>
      <w:r>
        <w:rPr>
          <w:rFonts w:ascii="Palatino Linotype" w:eastAsia="Palatino Linotype" w:hAnsi="Palatino Linotype" w:cs="Palatino Linotype"/>
          <w:color w:val="000000"/>
        </w:rPr>
        <w:t xml:space="preserve"> para prestar sus servicios, y el horario estará determinado en las condiciones generales de trabajo de conformidad con las necesidades de la institución o dependencia, así mismo se harán retenciones, descuentos o deducciones al sueldo, por faltas de puntualidad o de asistencia injustificada. </w:t>
      </w:r>
    </w:p>
    <w:p w14:paraId="2D962252"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73AF6D5E" w14:textId="77777777" w:rsidR="006D3F24" w:rsidRDefault="005C2B11">
      <w:pPr>
        <w:numPr>
          <w:ilvl w:val="0"/>
          <w:numId w:val="2"/>
        </w:numPr>
        <w:pBdr>
          <w:top w:val="nil"/>
          <w:left w:val="nil"/>
          <w:bottom w:val="nil"/>
          <w:right w:val="nil"/>
          <w:between w:val="nil"/>
        </w:pBdr>
        <w:tabs>
          <w:tab w:val="left" w:pos="426"/>
          <w:tab w:val="left" w:pos="567"/>
        </w:tabs>
        <w:spacing w:line="360" w:lineRule="auto"/>
        <w:ind w:left="0" w:right="-981" w:firstLine="0"/>
        <w:jc w:val="both"/>
      </w:pPr>
      <w:r>
        <w:rPr>
          <w:rFonts w:ascii="Palatino Linotype" w:eastAsia="Palatino Linotype" w:hAnsi="Palatino Linotype" w:cs="Palatino Linotype"/>
          <w:color w:val="000000"/>
        </w:rPr>
        <w:t xml:space="preserve">Además, los artículos 88, fracción III, y 220 K de la Ley de referencia, estipula como </w:t>
      </w:r>
      <w:r>
        <w:rPr>
          <w:rFonts w:ascii="Palatino Linotype" w:eastAsia="Palatino Linotype" w:hAnsi="Palatino Linotype" w:cs="Palatino Linotype"/>
          <w:b/>
          <w:bCs/>
          <w:color w:val="000000"/>
        </w:rPr>
        <w:t>obligación de los servidores públicos asistir a sus labores y no faltar sin causa justificada o sin permiso</w:t>
      </w:r>
      <w:r>
        <w:rPr>
          <w:rFonts w:ascii="Palatino Linotype" w:eastAsia="Palatino Linotype" w:hAnsi="Palatino Linotype" w:cs="Palatino Linotype"/>
          <w:color w:val="000000"/>
        </w:rPr>
        <w:t xml:space="preserve">, por otro lado, las instituciones o dependencias tienen </w:t>
      </w:r>
      <w:r>
        <w:rPr>
          <w:rFonts w:ascii="Palatino Linotype" w:eastAsia="Palatino Linotype" w:hAnsi="Palatino Linotype" w:cs="Palatino Linotype"/>
          <w:b/>
          <w:bCs/>
          <w:color w:val="000000"/>
        </w:rPr>
        <w:t xml:space="preserve">la obligación de conservar </w:t>
      </w:r>
      <w:r>
        <w:rPr>
          <w:rFonts w:ascii="Palatino Linotype" w:eastAsia="Palatino Linotype" w:hAnsi="Palatino Linotype" w:cs="Palatino Linotype"/>
          <w:b/>
          <w:bCs/>
          <w:color w:val="000000"/>
        </w:rPr>
        <w:lastRenderedPageBreak/>
        <w:t>y exhibir los controles de asistencia o la información electrónica de asistencia de los servidores públicos.</w:t>
      </w:r>
    </w:p>
    <w:p w14:paraId="2C03A59D"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22F53242" w14:textId="77777777" w:rsidR="006D3F24" w:rsidRDefault="005C2B11">
      <w:pPr>
        <w:numPr>
          <w:ilvl w:val="0"/>
          <w:numId w:val="2"/>
        </w:numPr>
        <w:pBdr>
          <w:top w:val="nil"/>
          <w:left w:val="nil"/>
          <w:bottom w:val="nil"/>
          <w:right w:val="nil"/>
          <w:between w:val="nil"/>
        </w:pBdr>
        <w:tabs>
          <w:tab w:val="left" w:pos="426"/>
          <w:tab w:val="left" w:pos="567"/>
        </w:tabs>
        <w:spacing w:line="360" w:lineRule="auto"/>
        <w:ind w:left="0" w:right="-981" w:firstLine="0"/>
        <w:jc w:val="both"/>
      </w:pPr>
      <w:r>
        <w:rPr>
          <w:rFonts w:ascii="Palatino Linotype" w:eastAsia="Palatino Linotype" w:hAnsi="Palatino Linotype" w:cs="Palatino Linotype"/>
          <w:color w:val="000000"/>
        </w:rPr>
        <w:t xml:space="preserve">De lo anterior, se colige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cuenta con obligación normativa para general listas de asistencia, por lo que se logra advertir que deberá proporcionar las listas o registros de asistencia del servidor público aludido; en este sentido, bajo el entendido de que el registro de asistencia se debe realizar una sola vez por cada salida y entrada, de tal forma que se tenga seguimiento de que la persona trabajadora cumple con su horario, se entiende que la solicitud consiste en acceder al documento como se haya generado, ya sea una hoja impresa o la impresión directa del reloj checador, por lo que procede ordenar el registro de asistencia como obre en los archivos del Sujeto Obligado del servidor público de referencia, del 01 de septiembre de 2025 al 28 de enero de 2026.</w:t>
      </w:r>
    </w:p>
    <w:p w14:paraId="3395C6A0"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13F1A7E4" w14:textId="77777777" w:rsidR="006D3F24" w:rsidRDefault="005C2B11" w:rsidP="00997049">
      <w:pPr>
        <w:numPr>
          <w:ilvl w:val="0"/>
          <w:numId w:val="2"/>
        </w:numPr>
        <w:pBdr>
          <w:top w:val="nil"/>
          <w:left w:val="nil"/>
          <w:bottom w:val="nil"/>
          <w:right w:val="nil"/>
          <w:between w:val="nil"/>
        </w:pBdr>
        <w:tabs>
          <w:tab w:val="left" w:pos="426"/>
          <w:tab w:val="left" w:pos="567"/>
        </w:tabs>
        <w:spacing w:line="360" w:lineRule="auto"/>
        <w:ind w:left="0" w:right="-981" w:firstLine="0"/>
        <w:jc w:val="both"/>
      </w:pPr>
      <w:r>
        <w:rPr>
          <w:rFonts w:ascii="Palatino Linotype" w:eastAsia="Palatino Linotype" w:hAnsi="Palatino Linotype" w:cs="Palatino Linotype"/>
          <w:color w:val="000000"/>
        </w:rPr>
        <w:t xml:space="preserve">No pasa desapercibido, que el cargo del servidor público del que se requiere la información, pudiera ser un mando medio pudiera estar exceptuada del registro de asistencia, por lo que para el caso de que actualice dicha circunstancia, deberá proporcionar el documento que </w:t>
      </w:r>
      <w:r>
        <w:rPr>
          <w:rFonts w:ascii="Palatino Linotype" w:eastAsia="Palatino Linotype" w:hAnsi="Palatino Linotype" w:cs="Palatino Linotype"/>
        </w:rPr>
        <w:t>exceptúa</w:t>
      </w:r>
      <w:r>
        <w:rPr>
          <w:rFonts w:ascii="Palatino Linotype" w:eastAsia="Palatino Linotype" w:hAnsi="Palatino Linotype" w:cs="Palatino Linotype"/>
          <w:color w:val="000000"/>
        </w:rPr>
        <w:t xml:space="preserve"> del registro de asistencia generada por el área competente.</w:t>
      </w:r>
    </w:p>
    <w:p w14:paraId="38C29F69" w14:textId="77777777" w:rsidR="00997049" w:rsidRDefault="00997049" w:rsidP="00997049">
      <w:pPr>
        <w:pStyle w:val="Prrafodelista"/>
      </w:pPr>
    </w:p>
    <w:p w14:paraId="1D6A40DC"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Al respecto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w:t>
      </w:r>
      <w:r>
        <w:rPr>
          <w:rFonts w:ascii="Palatino Linotype" w:eastAsia="Palatino Linotype" w:hAnsi="Palatino Linotype" w:cs="Palatino Linotype"/>
          <w:color w:val="000000"/>
        </w:rPr>
        <w:lastRenderedPageBreak/>
        <w:t>como así lo establece dicha determinación, que a continuación se transcribe para un mejor entendimiento:</w:t>
      </w:r>
    </w:p>
    <w:p w14:paraId="1046F6DD"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0D7945F1" w14:textId="77777777" w:rsidR="006D3F24" w:rsidRDefault="005C2B11">
      <w:pPr>
        <w:spacing w:before="240" w:after="240"/>
        <w:ind w:left="567" w:right="-98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07CF73C"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solicitantes.”(Sic)</w:t>
      </w:r>
    </w:p>
    <w:p w14:paraId="5525739D" w14:textId="77777777" w:rsidR="006D3F24" w:rsidRDefault="006D3F24">
      <w:pPr>
        <w:spacing w:before="240" w:after="240"/>
        <w:ind w:left="567" w:right="-981"/>
        <w:jc w:val="both"/>
        <w:rPr>
          <w:rFonts w:ascii="Palatino Linotype" w:eastAsia="Palatino Linotype" w:hAnsi="Palatino Linotype" w:cs="Palatino Linotype"/>
          <w:i/>
          <w:iCs/>
        </w:rPr>
      </w:pPr>
    </w:p>
    <w:p w14:paraId="18D13E6E" w14:textId="77777777" w:rsidR="006D3F24" w:rsidRDefault="005C2B11">
      <w:pPr>
        <w:numPr>
          <w:ilvl w:val="0"/>
          <w:numId w:val="2"/>
        </w:numPr>
        <w:pBdr>
          <w:top w:val="nil"/>
          <w:left w:val="nil"/>
          <w:bottom w:val="nil"/>
          <w:right w:val="nil"/>
          <w:between w:val="nil"/>
        </w:pBdr>
        <w:spacing w:before="240" w:after="240" w:line="360" w:lineRule="auto"/>
        <w:ind w:left="0" w:right="-981" w:firstLine="0"/>
        <w:jc w:val="both"/>
      </w:pPr>
      <w:r>
        <w:rPr>
          <w:rFonts w:ascii="Palatino Linotype" w:eastAsia="Palatino Linotype" w:hAnsi="Palatino Linotype" w:cs="Palatino Linotype"/>
          <w:color w:val="000000"/>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14:paraId="2E54D296"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14:paraId="071F890E"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La obligación de proporcionar información no </w:t>
      </w:r>
      <w:r>
        <w:rPr>
          <w:rFonts w:ascii="Palatino Linotype" w:eastAsia="Palatino Linotype" w:hAnsi="Palatino Linotype" w:cs="Palatino Linotype"/>
          <w:i/>
          <w:iCs/>
        </w:rPr>
        <w:lastRenderedPageBreak/>
        <w:t>comprende el procesamiento de la misma, ni el presentarla conforme al interés del solicitante; no estarán obligados a generarla, resumirla, efectuar cálculos o practicar investigaciones.” (Sic)</w:t>
      </w:r>
    </w:p>
    <w:p w14:paraId="734CCA52" w14:textId="77777777" w:rsidR="0082122D" w:rsidRDefault="0082122D">
      <w:pPr>
        <w:spacing w:before="240" w:after="240"/>
        <w:ind w:left="567" w:right="-981"/>
        <w:jc w:val="both"/>
        <w:rPr>
          <w:rFonts w:ascii="Palatino Linotype" w:eastAsia="Palatino Linotype" w:hAnsi="Palatino Linotype" w:cs="Palatino Linotype"/>
          <w:i/>
          <w:iCs/>
        </w:rPr>
      </w:pPr>
    </w:p>
    <w:p w14:paraId="5FD99947" w14:textId="77777777" w:rsidR="006D3F24" w:rsidRDefault="005C2B11">
      <w:pPr>
        <w:numPr>
          <w:ilvl w:val="0"/>
          <w:numId w:val="2"/>
        </w:numPr>
        <w:spacing w:before="240" w:line="360" w:lineRule="auto"/>
        <w:ind w:left="0" w:right="-981" w:firstLine="0"/>
        <w:jc w:val="both"/>
      </w:pPr>
      <w:r>
        <w:rPr>
          <w:rFonts w:ascii="Palatino Linotype" w:eastAsia="Palatino Linotype" w:hAnsi="Palatino Linotype" w:cs="Palatino Linotype"/>
        </w:rPr>
        <w:t>Es decir, que el derecho de acceso a la información pública se satisface en aquellos casos en que se entregue documento en que conste la información requerida, toda vez que, los Sujetos Obligados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no tienen el deber de generar, poseer o administrar la información pública con el grado de detalle solicitado; esto es, que no tienen el deber de generar un documento </w:t>
      </w:r>
      <w:r>
        <w:rPr>
          <w:rFonts w:ascii="Palatino Linotype" w:eastAsia="Palatino Linotype" w:hAnsi="Palatino Linotype" w:cs="Palatino Linotype"/>
          <w:i/>
          <w:iCs/>
        </w:rPr>
        <w:t>ad hoc</w:t>
      </w:r>
      <w:r>
        <w:rPr>
          <w:rFonts w:ascii="Palatino Linotype" w:eastAsia="Palatino Linotype" w:hAnsi="Palatino Linotype" w:cs="Palatino Linotype"/>
        </w:rPr>
        <w:t>, para satisfacer el derecho de acceso a la información pública, como así lo establece</w:t>
      </w:r>
      <w:r>
        <w:rPr>
          <w:rFonts w:ascii="Palatino Linotype" w:eastAsia="Palatino Linotype" w:hAnsi="Palatino Linotype" w:cs="Palatino Linotype"/>
          <w:strike/>
          <w:color w:val="FF0000"/>
        </w:rPr>
        <w:t xml:space="preserve"> </w:t>
      </w:r>
      <w:r>
        <w:rPr>
          <w:rFonts w:ascii="Palatino Linotype" w:eastAsia="Palatino Linotype" w:hAnsi="Palatino Linotype" w:cs="Palatino Linotype"/>
        </w:rPr>
        <w:t>el criterio 03/17 emitido por el Instituto Nacional de Transparencia, Acceso a la Información Pública y Protección de Datos Personales, los cuales señalan lo siguiente:</w:t>
      </w:r>
    </w:p>
    <w:p w14:paraId="39DA25AA" w14:textId="77777777" w:rsidR="006D3F24" w:rsidRDefault="005C2B11">
      <w:pPr>
        <w:spacing w:after="240"/>
        <w:ind w:left="567" w:right="-98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03/17</w:t>
      </w:r>
    </w:p>
    <w:p w14:paraId="00E3C1AE" w14:textId="77777777" w:rsidR="006D3F24" w:rsidRDefault="005C2B11">
      <w:pPr>
        <w:spacing w:before="240" w:after="240"/>
        <w:ind w:left="567" w:right="-98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“NO EXISTE OBLIGACIÓN DE ELABORAR DOCUMENTOS AD HOC PARA ATENDER LAS SOLICITUDES DE ACCESO A LA INFORMACIÓN.</w:t>
      </w:r>
    </w:p>
    <w:p w14:paraId="3C89D84C"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14:paraId="0F3BBC45" w14:textId="77777777" w:rsidR="006D3F24" w:rsidRDefault="006D3F24">
      <w:pPr>
        <w:spacing w:before="240" w:after="240"/>
        <w:ind w:left="567" w:right="-981"/>
        <w:jc w:val="both"/>
        <w:rPr>
          <w:rFonts w:ascii="Palatino Linotype" w:eastAsia="Palatino Linotype" w:hAnsi="Palatino Linotype" w:cs="Palatino Linotype"/>
          <w:i/>
          <w:iCs/>
        </w:rPr>
      </w:pPr>
    </w:p>
    <w:p w14:paraId="01B26E26" w14:textId="77777777" w:rsidR="006D3F24" w:rsidRDefault="005C2B11">
      <w:pPr>
        <w:numPr>
          <w:ilvl w:val="0"/>
          <w:numId w:val="2"/>
        </w:numPr>
        <w:spacing w:before="240" w:line="360" w:lineRule="auto"/>
        <w:ind w:left="0" w:right="-981" w:firstLine="0"/>
        <w:jc w:val="both"/>
      </w:pPr>
      <w:r>
        <w:rPr>
          <w:rFonts w:ascii="Palatino Linotype" w:eastAsia="Palatino Linotype" w:hAnsi="Palatino Linotype" w:cs="Palatino Linotype"/>
        </w:rPr>
        <w:t xml:space="preserve">Por otra parte, y aunado a lo antepuesto, el último párrafo del artículo 24 de la Ley de la materia, dispone que los Sujetos Obligados sólo proporcionarán la información pública que generen, administren o posean en el ejercicio de sus atribuciones; por consiguiente, la </w:t>
      </w:r>
      <w:r>
        <w:rPr>
          <w:rFonts w:ascii="Palatino Linotype" w:eastAsia="Palatino Linotype" w:hAnsi="Palatino Linotype" w:cs="Palatino Linotype"/>
        </w:rPr>
        <w:lastRenderedPageBreak/>
        <w:t>información pública se encuentra a disposición de cualquier persona, lo que implica que es deber de los Sujetos Obligados, garantizar el Derecho de Acceso a la Información Pública.</w:t>
      </w:r>
    </w:p>
    <w:p w14:paraId="35385B6E" w14:textId="77777777" w:rsidR="006D3F24" w:rsidRDefault="006D3F24">
      <w:pPr>
        <w:spacing w:after="240" w:line="360" w:lineRule="auto"/>
        <w:ind w:right="-981"/>
        <w:jc w:val="both"/>
        <w:rPr>
          <w:rFonts w:ascii="Palatino Linotype" w:eastAsia="Palatino Linotype" w:hAnsi="Palatino Linotype" w:cs="Palatino Linotype"/>
        </w:rPr>
      </w:pPr>
    </w:p>
    <w:p w14:paraId="4E186A92" w14:textId="77777777" w:rsidR="006D3F24" w:rsidRDefault="005C2B11">
      <w:pPr>
        <w:numPr>
          <w:ilvl w:val="0"/>
          <w:numId w:val="2"/>
        </w:numPr>
        <w:spacing w:before="240" w:line="360" w:lineRule="auto"/>
        <w:ind w:left="0" w:right="-981" w:firstLine="0"/>
        <w:jc w:val="both"/>
      </w:pPr>
      <w:r>
        <w:rPr>
          <w:rFonts w:ascii="Palatino Linotype" w:eastAsia="Palatino Linotype" w:hAnsi="Palatino Linotype" w:cs="Palatino Linotype"/>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19BD4B31" w14:textId="77777777" w:rsidR="006D3F24" w:rsidRDefault="006D3F24">
      <w:pPr>
        <w:spacing w:line="360" w:lineRule="auto"/>
        <w:ind w:left="708" w:right="-981"/>
        <w:rPr>
          <w:rFonts w:ascii="Palatino Linotype" w:eastAsia="Palatino Linotype" w:hAnsi="Palatino Linotype" w:cs="Palatino Linotype"/>
        </w:rPr>
      </w:pPr>
    </w:p>
    <w:p w14:paraId="0DFA5CB6"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 xml:space="preserve">En conclusión, el derecho de acceso a la información pública, consiste en que la información solicitada conste en un documento en cualquiera de sus formas, a saber: expedientes, reportes, estudios, actas, resoluciones, </w:t>
      </w:r>
      <w:r>
        <w:rPr>
          <w:rFonts w:ascii="Palatino Linotype" w:eastAsia="Palatino Linotype" w:hAnsi="Palatino Linotype" w:cs="Palatino Linotype"/>
          <w:b/>
          <w:bCs/>
          <w:u w:val="single"/>
        </w:rPr>
        <w:t>oficios</w:t>
      </w:r>
      <w:r>
        <w:rPr>
          <w:rFonts w:ascii="Palatino Linotype" w:eastAsia="Palatino Linotype" w:hAnsi="Palatino Linotype" w:cs="Palatino Linotype"/>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58C377A6" w14:textId="77777777" w:rsidR="006D3F24" w:rsidRDefault="005C2B11">
      <w:pPr>
        <w:spacing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Artículo 3. </w:t>
      </w:r>
      <w:r>
        <w:rPr>
          <w:rFonts w:ascii="Palatino Linotype" w:eastAsia="Palatino Linotype" w:hAnsi="Palatino Linotype" w:cs="Palatino Linotype"/>
          <w:i/>
          <w:iCs/>
        </w:rPr>
        <w:t>Para los efectos de la presente Ley se entenderá por:</w:t>
      </w:r>
    </w:p>
    <w:p w14:paraId="5DD20AB9"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5DF238DE"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XI. Documento:</w:t>
      </w:r>
      <w:r>
        <w:rPr>
          <w:rFonts w:ascii="Palatino Linotype" w:eastAsia="Palatino Linotype" w:hAnsi="Palatino Linotype" w:cs="Palatino Linotype"/>
          <w:i/>
          <w:iCs/>
        </w:rPr>
        <w:t xml:space="preserve"> Los expedientes, reportes, estudios, </w:t>
      </w:r>
      <w:r>
        <w:rPr>
          <w:rFonts w:ascii="Palatino Linotype" w:eastAsia="Palatino Linotype" w:hAnsi="Palatino Linotype" w:cs="Palatino Linotype"/>
          <w:b/>
          <w:bCs/>
          <w:i/>
          <w:iCs/>
        </w:rPr>
        <w:t>actas,</w:t>
      </w:r>
      <w:r>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Pr>
          <w:rFonts w:ascii="Palatino Linotype" w:eastAsia="Palatino Linotype" w:hAnsi="Palatino Linotype" w:cs="Palatino Linotype"/>
          <w:b/>
          <w:bCs/>
          <w:i/>
          <w:iCs/>
        </w:rPr>
        <w:t>…</w:t>
      </w:r>
      <w:r>
        <w:rPr>
          <w:rFonts w:ascii="Palatino Linotype" w:eastAsia="Palatino Linotype" w:hAnsi="Palatino Linotype" w:cs="Palatino Linotype"/>
          <w:i/>
          <w:iCs/>
        </w:rPr>
        <w:t>” (Sic)</w:t>
      </w:r>
    </w:p>
    <w:p w14:paraId="322527B8" w14:textId="77777777" w:rsidR="006D3F24" w:rsidRDefault="005C2B11">
      <w:pPr>
        <w:numPr>
          <w:ilvl w:val="0"/>
          <w:numId w:val="2"/>
        </w:numPr>
        <w:spacing w:before="240" w:line="360" w:lineRule="auto"/>
        <w:ind w:left="0" w:right="-981" w:firstLine="0"/>
        <w:jc w:val="both"/>
      </w:pPr>
      <w:r>
        <w:rPr>
          <w:rFonts w:ascii="Palatino Linotype" w:eastAsia="Palatino Linotype" w:hAnsi="Palatino Linotype" w:cs="Palatino Linotype"/>
        </w:rPr>
        <w:lastRenderedPageBreak/>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56719F2D" w14:textId="77777777" w:rsidR="006D3F24" w:rsidRDefault="005C2B11">
      <w:pPr>
        <w:spacing w:after="240"/>
        <w:ind w:left="567" w:right="-981"/>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14:paraId="5FF45950"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C133558" w14:textId="77777777" w:rsidR="006D3F24" w:rsidRDefault="005C2B11">
      <w:p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14:paraId="47F23E4B" w14:textId="77777777" w:rsidR="006D3F24" w:rsidRDefault="005C2B11">
      <w:pPr>
        <w:numPr>
          <w:ilvl w:val="0"/>
          <w:numId w:val="20"/>
        </w:numPr>
        <w:spacing w:before="240" w:after="240"/>
        <w:ind w:left="567" w:right="-98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Que se trate de información registrada en cualquier soporte documental, que en ejercicio de las atribuciones conferidas, sea generada por los Sujetos Obligados;</w:t>
      </w:r>
    </w:p>
    <w:p w14:paraId="334CAE78" w14:textId="77777777" w:rsidR="006D3F24" w:rsidRDefault="005C2B11">
      <w:pPr>
        <w:numPr>
          <w:ilvl w:val="0"/>
          <w:numId w:val="20"/>
        </w:numPr>
        <w:spacing w:before="240" w:after="240"/>
        <w:ind w:left="567" w:right="-981"/>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14:paraId="1FCE08AA" w14:textId="77777777" w:rsidR="006D3F24" w:rsidRDefault="005C2B11">
      <w:pPr>
        <w:spacing w:before="240" w:after="240"/>
        <w:ind w:left="567" w:right="-981" w:hanging="284"/>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 (Sic)</w:t>
      </w:r>
    </w:p>
    <w:p w14:paraId="3E2F17C8" w14:textId="77777777" w:rsidR="006D3F24" w:rsidRDefault="006D3F24">
      <w:pPr>
        <w:spacing w:before="240" w:after="240"/>
        <w:ind w:left="567" w:right="-981" w:hanging="284"/>
        <w:jc w:val="both"/>
        <w:rPr>
          <w:rFonts w:ascii="Palatino Linotype" w:eastAsia="Palatino Linotype" w:hAnsi="Palatino Linotype" w:cs="Palatino Linotype"/>
          <w:i/>
          <w:iCs/>
        </w:rPr>
      </w:pPr>
    </w:p>
    <w:p w14:paraId="2FB02C13" w14:textId="77777777" w:rsidR="006D3F24" w:rsidRDefault="005C2B11">
      <w:pPr>
        <w:numPr>
          <w:ilvl w:val="0"/>
          <w:numId w:val="2"/>
        </w:numPr>
        <w:spacing w:line="360" w:lineRule="auto"/>
        <w:ind w:left="0" w:right="-981" w:firstLine="0"/>
        <w:jc w:val="both"/>
      </w:pPr>
      <w:r>
        <w:rPr>
          <w:rFonts w:ascii="Palatino Linotype" w:eastAsia="Palatino Linotype" w:hAnsi="Palatino Linotype" w:cs="Palatino Linotype"/>
        </w:rPr>
        <w:t xml:space="preserve">De ahí que </w:t>
      </w:r>
      <w:r>
        <w:rPr>
          <w:rFonts w:ascii="Palatino Linotype" w:eastAsia="Palatino Linotype" w:hAnsi="Palatino Linotype" w:cs="Palatino Linotype"/>
          <w:b/>
          <w:bCs/>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w:t>
      </w:r>
      <w:r>
        <w:rPr>
          <w:rFonts w:ascii="Palatino Linotype" w:eastAsia="Palatino Linotype" w:hAnsi="Palatino Linotype" w:cs="Palatino Linotype"/>
        </w:rPr>
        <w:lastRenderedPageBreak/>
        <w:t>la materia</w:t>
      </w:r>
      <w:r>
        <w:rPr>
          <w:rFonts w:ascii="Palatino Linotype" w:eastAsia="Palatino Linotype" w:hAnsi="Palatino Linotype" w:cs="Palatino Linotype"/>
          <w:vertAlign w:val="superscript"/>
        </w:rPr>
        <w:footnoteReference w:id="10"/>
      </w:r>
      <w:r>
        <w:rPr>
          <w:rFonts w:ascii="Palatino Linotype" w:eastAsia="Palatino Linotype" w:hAnsi="Palatino Linotype" w:cs="Palatino Linotype"/>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Pr>
          <w:rFonts w:ascii="Palatino Linotype" w:eastAsia="Palatino Linotype" w:hAnsi="Palatino Linotype" w:cs="Palatino Linotype"/>
          <w:vertAlign w:val="superscript"/>
        </w:rPr>
        <w:footnoteReference w:id="11"/>
      </w:r>
      <w:r>
        <w:rPr>
          <w:rFonts w:ascii="Palatino Linotype" w:eastAsia="Palatino Linotype" w:hAnsi="Palatino Linotype" w:cs="Palatino Linotype"/>
        </w:rPr>
        <w:t>.</w:t>
      </w:r>
    </w:p>
    <w:p w14:paraId="14979545"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16462CAB" w14:textId="77777777" w:rsidR="006D3F24" w:rsidRPr="005906F9"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Por lo anteriormente señalado, y en mérito de lo expuesto en líneas anteriores, resultan fundadas las razones o motivos de inconformidad hechos valer por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dentro del recurso de revisión </w:t>
      </w:r>
      <w:r>
        <w:rPr>
          <w:rFonts w:ascii="Palatino Linotype" w:eastAsia="Palatino Linotype" w:hAnsi="Palatino Linotype" w:cs="Palatino Linotype"/>
          <w:b/>
          <w:bCs/>
          <w:color w:val="000000"/>
        </w:rPr>
        <w:t>02428/INFOEM/IP/RR/2026</w:t>
      </w:r>
      <w:r>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Pr>
          <w:rFonts w:ascii="Palatino Linotype" w:eastAsia="Palatino Linotype" w:hAnsi="Palatino Linotype" w:cs="Palatino Linotype"/>
          <w:b/>
          <w:bCs/>
          <w:color w:val="000000"/>
        </w:rPr>
        <w:t>MODIFICA</w:t>
      </w:r>
      <w:r>
        <w:rPr>
          <w:rFonts w:ascii="Palatino Linotype" w:eastAsia="Palatino Linotype" w:hAnsi="Palatino Linotype" w:cs="Palatino Linotype"/>
          <w:color w:val="000000"/>
        </w:rPr>
        <w:t xml:space="preserve"> la respuesta del Sujeto Obligado. </w:t>
      </w:r>
    </w:p>
    <w:p w14:paraId="1D2C633B" w14:textId="77777777" w:rsidR="005906F9" w:rsidRDefault="005906F9" w:rsidP="005906F9">
      <w:pPr>
        <w:pStyle w:val="Prrafodelista"/>
      </w:pPr>
    </w:p>
    <w:p w14:paraId="4AE7905F" w14:textId="77777777" w:rsidR="005906F9" w:rsidRPr="002002A1" w:rsidRDefault="005906F9" w:rsidP="005906F9">
      <w:pPr>
        <w:keepNext/>
        <w:keepLines/>
        <w:spacing w:line="360" w:lineRule="auto"/>
        <w:ind w:right="48"/>
        <w:outlineLvl w:val="0"/>
        <w:rPr>
          <w:rFonts w:ascii="Palatino Linotype" w:eastAsia="Palatino Linotype" w:hAnsi="Palatino Linotype" w:cs="Palatino Linotype"/>
          <w:b/>
        </w:rPr>
      </w:pPr>
      <w:r w:rsidRPr="002002A1">
        <w:rPr>
          <w:rFonts w:ascii="Palatino Linotype" w:eastAsia="Palatino Linotype" w:hAnsi="Palatino Linotype" w:cs="Palatino Linotype"/>
          <w:b/>
        </w:rPr>
        <w:t xml:space="preserve">QUINTO. </w:t>
      </w:r>
      <w:r w:rsidRPr="002002A1">
        <w:rPr>
          <w:rFonts w:ascii="Palatino Linotype" w:hAnsi="Palatino Linotype"/>
          <w:b/>
        </w:rPr>
        <w:t>Vista a la Dirección de Protección de Datos Personales.</w:t>
      </w:r>
    </w:p>
    <w:p w14:paraId="2D6F66B7" w14:textId="77777777" w:rsidR="005906F9" w:rsidRPr="002002A1" w:rsidRDefault="005906F9" w:rsidP="005906F9">
      <w:pPr>
        <w:pStyle w:val="Prrafodelista"/>
        <w:numPr>
          <w:ilvl w:val="0"/>
          <w:numId w:val="2"/>
        </w:numPr>
        <w:spacing w:line="360" w:lineRule="auto"/>
        <w:ind w:left="0" w:right="-992" w:firstLine="0"/>
        <w:jc w:val="both"/>
        <w:rPr>
          <w:rFonts w:ascii="Palatino Linotype" w:eastAsia="Palatino Linotype" w:hAnsi="Palatino Linotype" w:cs="Palatino Linotype"/>
        </w:rPr>
      </w:pPr>
      <w:r w:rsidRPr="002002A1">
        <w:rPr>
          <w:rFonts w:ascii="Palatino Linotype" w:eastAsia="Palatino Linotype" w:hAnsi="Palatino Linotype" w:cs="Palatino Linotype"/>
        </w:rPr>
        <w:t xml:space="preserve">Es </w:t>
      </w:r>
      <w:r w:rsidRPr="002002A1">
        <w:rPr>
          <w:rFonts w:ascii="Palatino Linotype" w:hAnsi="Palatino Linotype"/>
        </w:rPr>
        <w:t xml:space="preserve">necesario resaltar que el recurso de revisión previsto en la Ley de la materia no es el medio para investigar y, en su caso, sancionar a servidores públicos por la falta de cuidado de la protección de datos personales; es así que, </w:t>
      </w:r>
      <w:r w:rsidRPr="002002A1">
        <w:rPr>
          <w:rFonts w:ascii="Palatino Linotype" w:hAnsi="Palatino Linotype"/>
          <w:b/>
          <w:bCs/>
        </w:rPr>
        <w:t>con el pronunciamiento realizado en respuesta a solicitud de información</w:t>
      </w:r>
      <w:r w:rsidRPr="002002A1">
        <w:rPr>
          <w:rFonts w:ascii="Palatino Linotype" w:hAnsi="Palatino Linotype"/>
        </w:rPr>
        <w:t xml:space="preserve">, se aprecia que se vulneraron datos personales de un particular; por lo que, es necesario dar vista al área competente para que en ejercicio de sus atribuciones realice las investigaciones pertinentes por las omisiones detectadas atribuibles al </w:t>
      </w:r>
      <w:r w:rsidRPr="002002A1">
        <w:rPr>
          <w:rFonts w:ascii="Palatino Linotype" w:hAnsi="Palatino Linotype"/>
          <w:b/>
        </w:rPr>
        <w:t>SUJETO OBLIGADO.</w:t>
      </w:r>
    </w:p>
    <w:p w14:paraId="25C44449" w14:textId="77777777" w:rsidR="005906F9" w:rsidRPr="002002A1" w:rsidRDefault="005906F9" w:rsidP="005906F9">
      <w:pPr>
        <w:spacing w:line="360" w:lineRule="auto"/>
        <w:ind w:right="-992"/>
        <w:jc w:val="both"/>
        <w:rPr>
          <w:rFonts w:ascii="Palatino Linotype" w:eastAsia="Palatino Linotype" w:hAnsi="Palatino Linotype" w:cs="Palatino Linotype"/>
          <w:i/>
        </w:rPr>
      </w:pPr>
    </w:p>
    <w:p w14:paraId="757C7B22" w14:textId="77777777" w:rsidR="005906F9" w:rsidRPr="002002A1" w:rsidRDefault="005906F9" w:rsidP="005906F9">
      <w:pPr>
        <w:numPr>
          <w:ilvl w:val="0"/>
          <w:numId w:val="2"/>
        </w:numPr>
        <w:spacing w:line="360" w:lineRule="auto"/>
        <w:ind w:left="0" w:right="-992" w:firstLine="0"/>
        <w:jc w:val="both"/>
        <w:rPr>
          <w:rFonts w:ascii="Palatino Linotype" w:eastAsia="Palatino Linotype" w:hAnsi="Palatino Linotype" w:cs="Palatino Linotype"/>
          <w:i/>
        </w:rPr>
      </w:pPr>
      <w:r w:rsidRPr="002002A1">
        <w:rPr>
          <w:rFonts w:ascii="Palatino Linotype" w:hAnsi="Palatino Linotype"/>
          <w:color w:val="000000" w:themeColor="text1"/>
        </w:rPr>
        <w:lastRenderedPageBreak/>
        <w:t xml:space="preserve">Por </w:t>
      </w:r>
      <w:r w:rsidRPr="002002A1">
        <w:rPr>
          <w:rFonts w:ascii="Palatino Linotype" w:hAnsi="Palatino Linotype"/>
        </w:rPr>
        <w:t>ello, es conveniente señalar las fracciones XIV, XXII, XXIII y XXV, del artículo 82, de la Ley de Protección de Datos Personales en Posesión de Sujetos Obligados del Estado de México y Municipios, que establece:</w:t>
      </w:r>
    </w:p>
    <w:p w14:paraId="0AADE5E3" w14:textId="77777777" w:rsidR="005906F9" w:rsidRPr="002002A1" w:rsidRDefault="005906F9" w:rsidP="005906F9">
      <w:pPr>
        <w:pStyle w:val="Prrafodelista"/>
        <w:tabs>
          <w:tab w:val="left" w:pos="426"/>
        </w:tabs>
        <w:spacing w:before="240" w:after="240"/>
        <w:ind w:left="567" w:right="-992"/>
        <w:jc w:val="both"/>
        <w:rPr>
          <w:rFonts w:ascii="Palatino Linotype" w:hAnsi="Palatino Linotype"/>
          <w:b/>
          <w:i/>
        </w:rPr>
      </w:pPr>
      <w:r w:rsidRPr="002002A1">
        <w:rPr>
          <w:rFonts w:ascii="Palatino Linotype" w:hAnsi="Palatino Linotype"/>
          <w:b/>
          <w:i/>
        </w:rPr>
        <w:t xml:space="preserve">Atribuciones del Instituto </w:t>
      </w:r>
    </w:p>
    <w:p w14:paraId="4C58FA8C" w14:textId="77777777" w:rsidR="005906F9" w:rsidRPr="002002A1" w:rsidRDefault="005906F9" w:rsidP="005906F9">
      <w:pPr>
        <w:pStyle w:val="Prrafodelista"/>
        <w:tabs>
          <w:tab w:val="left" w:pos="426"/>
        </w:tabs>
        <w:spacing w:before="240" w:after="240"/>
        <w:ind w:left="567" w:right="-992"/>
        <w:jc w:val="both"/>
        <w:rPr>
          <w:rFonts w:ascii="Palatino Linotype" w:hAnsi="Palatino Linotype"/>
          <w:i/>
        </w:rPr>
      </w:pPr>
      <w:r w:rsidRPr="002002A1">
        <w:rPr>
          <w:rFonts w:ascii="Palatino Linotype" w:hAnsi="Palatino Linotype"/>
          <w:b/>
          <w:i/>
        </w:rPr>
        <w:t>“Artículo 82.</w:t>
      </w:r>
      <w:r w:rsidRPr="002002A1">
        <w:rPr>
          <w:rFonts w:ascii="Palatino Linotype" w:hAnsi="Palatino Linotype"/>
          <w:i/>
        </w:rPr>
        <w:t xml:space="preserve"> El Instituto, además de las atribuciones encomendadas por la Ley de Transparencia y normatividad aplicable, tendrá las atribuciones siguientes: </w:t>
      </w:r>
    </w:p>
    <w:p w14:paraId="0C90B8D6" w14:textId="77777777" w:rsidR="005906F9" w:rsidRPr="002002A1" w:rsidRDefault="005906F9" w:rsidP="005906F9">
      <w:pPr>
        <w:pStyle w:val="Prrafodelista"/>
        <w:tabs>
          <w:tab w:val="left" w:pos="426"/>
        </w:tabs>
        <w:spacing w:before="240" w:after="240"/>
        <w:ind w:left="567" w:right="-992"/>
        <w:jc w:val="both"/>
        <w:rPr>
          <w:rFonts w:ascii="Palatino Linotype" w:hAnsi="Palatino Linotype"/>
          <w:i/>
        </w:rPr>
      </w:pPr>
      <w:r w:rsidRPr="002002A1">
        <w:rPr>
          <w:rFonts w:ascii="Palatino Linotype" w:hAnsi="Palatino Linotype"/>
          <w:i/>
        </w:rPr>
        <w:t xml:space="preserve">(…) </w:t>
      </w:r>
    </w:p>
    <w:p w14:paraId="270F9367" w14:textId="77777777" w:rsidR="005906F9" w:rsidRPr="002002A1" w:rsidRDefault="005906F9" w:rsidP="005906F9">
      <w:pPr>
        <w:pStyle w:val="Prrafodelista"/>
        <w:tabs>
          <w:tab w:val="left" w:pos="426"/>
        </w:tabs>
        <w:spacing w:before="240" w:after="240"/>
        <w:ind w:left="567" w:right="-992"/>
        <w:jc w:val="both"/>
        <w:rPr>
          <w:rFonts w:ascii="Palatino Linotype" w:hAnsi="Palatino Linotype"/>
          <w:i/>
        </w:rPr>
      </w:pPr>
      <w:r w:rsidRPr="002002A1">
        <w:rPr>
          <w:rFonts w:ascii="Palatino Linotype" w:hAnsi="Palatino Linotype"/>
          <w:b/>
          <w:i/>
        </w:rPr>
        <w:t>XIV. Formular observaciones y recomendaciones</w:t>
      </w:r>
      <w:r w:rsidRPr="002002A1">
        <w:rPr>
          <w:rFonts w:ascii="Palatino Linotype" w:hAnsi="Palatino Linotype"/>
          <w:i/>
        </w:rPr>
        <w:t xml:space="preserve"> a los sujetos obligados que incumplan esta Ley. </w:t>
      </w:r>
    </w:p>
    <w:p w14:paraId="1B96AFF6" w14:textId="77777777" w:rsidR="005906F9" w:rsidRPr="002002A1" w:rsidRDefault="005906F9" w:rsidP="005906F9">
      <w:pPr>
        <w:pStyle w:val="Prrafodelista"/>
        <w:tabs>
          <w:tab w:val="left" w:pos="426"/>
        </w:tabs>
        <w:spacing w:before="240" w:after="240"/>
        <w:ind w:left="567" w:right="-992"/>
        <w:jc w:val="both"/>
        <w:rPr>
          <w:rFonts w:ascii="Palatino Linotype" w:hAnsi="Palatino Linotype"/>
          <w:i/>
        </w:rPr>
      </w:pPr>
      <w:r w:rsidRPr="002002A1">
        <w:rPr>
          <w:rFonts w:ascii="Palatino Linotype" w:hAnsi="Palatino Linotype"/>
          <w:i/>
        </w:rPr>
        <w:t xml:space="preserve">(…) </w:t>
      </w:r>
    </w:p>
    <w:p w14:paraId="7EE9262A" w14:textId="77777777" w:rsidR="005906F9" w:rsidRPr="002002A1" w:rsidRDefault="005906F9" w:rsidP="005906F9">
      <w:pPr>
        <w:pStyle w:val="Prrafodelista"/>
        <w:tabs>
          <w:tab w:val="left" w:pos="426"/>
        </w:tabs>
        <w:spacing w:before="240" w:after="240"/>
        <w:ind w:left="567" w:right="-992"/>
        <w:jc w:val="both"/>
        <w:rPr>
          <w:rFonts w:ascii="Palatino Linotype" w:hAnsi="Palatino Linotype"/>
          <w:i/>
        </w:rPr>
      </w:pPr>
      <w:r w:rsidRPr="002002A1">
        <w:rPr>
          <w:rFonts w:ascii="Palatino Linotype" w:hAnsi="Palatino Linotype"/>
          <w:b/>
          <w:i/>
        </w:rPr>
        <w:t>XXII. Verificar el cumplimiento</w:t>
      </w:r>
      <w:r w:rsidRPr="002002A1">
        <w:rPr>
          <w:rFonts w:ascii="Palatino Linotype" w:hAnsi="Palatino Linotype"/>
          <w:i/>
        </w:rPr>
        <w:t xml:space="preserve"> de las disposiciones previstas en esta Ley a través de los procedimientos de revisión que resulten compatibles con las disposiciones de esta Ley. </w:t>
      </w:r>
    </w:p>
    <w:p w14:paraId="516A0321" w14:textId="77777777" w:rsidR="005906F9" w:rsidRPr="002002A1" w:rsidRDefault="005906F9" w:rsidP="005906F9">
      <w:pPr>
        <w:pStyle w:val="Prrafodelista"/>
        <w:tabs>
          <w:tab w:val="left" w:pos="426"/>
        </w:tabs>
        <w:spacing w:before="240" w:after="240"/>
        <w:ind w:left="567" w:right="-992"/>
        <w:jc w:val="both"/>
        <w:rPr>
          <w:rFonts w:ascii="Palatino Linotype" w:hAnsi="Palatino Linotype"/>
          <w:i/>
        </w:rPr>
      </w:pPr>
      <w:r w:rsidRPr="002002A1">
        <w:rPr>
          <w:rFonts w:ascii="Palatino Linotype" w:hAnsi="Palatino Linotype"/>
          <w:b/>
          <w:i/>
        </w:rPr>
        <w:t>XXIII. Implementar los procedimientos</w:t>
      </w:r>
      <w:r w:rsidRPr="002002A1">
        <w:rPr>
          <w:rFonts w:ascii="Palatino Linotype" w:hAnsi="Palatino Linotype"/>
          <w:i/>
        </w:rPr>
        <w:t xml:space="preserve"> que resulten necesarios para el cumplimiento de las disposiciones de esta Ley y para asegurar la protección de datos personales de los titulares. </w:t>
      </w:r>
    </w:p>
    <w:p w14:paraId="6B06FC27" w14:textId="77777777" w:rsidR="005906F9" w:rsidRPr="002002A1" w:rsidRDefault="005906F9" w:rsidP="005906F9">
      <w:pPr>
        <w:pStyle w:val="Prrafodelista"/>
        <w:tabs>
          <w:tab w:val="left" w:pos="426"/>
        </w:tabs>
        <w:spacing w:before="240" w:after="240"/>
        <w:ind w:left="567" w:right="-992"/>
        <w:jc w:val="both"/>
        <w:rPr>
          <w:rFonts w:ascii="Palatino Linotype" w:hAnsi="Palatino Linotype"/>
          <w:i/>
        </w:rPr>
      </w:pPr>
      <w:r w:rsidRPr="002002A1">
        <w:rPr>
          <w:rFonts w:ascii="Palatino Linotype" w:hAnsi="Palatino Linotype"/>
          <w:i/>
        </w:rPr>
        <w:t xml:space="preserve">(…) </w:t>
      </w:r>
    </w:p>
    <w:p w14:paraId="060444FB" w14:textId="77777777" w:rsidR="005906F9" w:rsidRPr="002002A1" w:rsidRDefault="005906F9" w:rsidP="005906F9">
      <w:pPr>
        <w:pStyle w:val="Prrafodelista"/>
        <w:tabs>
          <w:tab w:val="left" w:pos="426"/>
        </w:tabs>
        <w:spacing w:before="240" w:after="240"/>
        <w:ind w:left="567" w:right="-992"/>
        <w:jc w:val="both"/>
        <w:rPr>
          <w:rFonts w:ascii="Palatino Linotype" w:hAnsi="Palatino Linotype"/>
          <w:i/>
        </w:rPr>
      </w:pPr>
      <w:r w:rsidRPr="002002A1">
        <w:rPr>
          <w:rFonts w:ascii="Palatino Linotype" w:hAnsi="Palatino Linotype"/>
          <w:b/>
          <w:i/>
        </w:rPr>
        <w:t>XXV. Investigar las posibles violaciones</w:t>
      </w:r>
      <w:r w:rsidRPr="002002A1">
        <w:rPr>
          <w:rFonts w:ascii="Palatino Linotype" w:hAnsi="Palatino Linotype"/>
          <w:i/>
        </w:rPr>
        <w:t xml:space="preserve"> a la seguridad de los datos personales a fin de determinar la práctica de verificaciones. </w:t>
      </w:r>
    </w:p>
    <w:p w14:paraId="6CD6F85E" w14:textId="77777777" w:rsidR="005906F9" w:rsidRPr="002002A1" w:rsidRDefault="005906F9" w:rsidP="005906F9">
      <w:pPr>
        <w:pStyle w:val="Prrafodelista"/>
        <w:tabs>
          <w:tab w:val="left" w:pos="426"/>
        </w:tabs>
        <w:spacing w:before="240" w:after="240"/>
        <w:ind w:left="567" w:right="-992"/>
        <w:jc w:val="both"/>
        <w:rPr>
          <w:rFonts w:ascii="Palatino Linotype" w:hAnsi="Palatino Linotype"/>
          <w:i/>
        </w:rPr>
      </w:pPr>
      <w:r w:rsidRPr="002002A1">
        <w:rPr>
          <w:rFonts w:ascii="Palatino Linotype" w:hAnsi="Palatino Linotype"/>
          <w:i/>
        </w:rPr>
        <w:t xml:space="preserve">(…)” </w:t>
      </w:r>
    </w:p>
    <w:p w14:paraId="0E032E47" w14:textId="77777777" w:rsidR="005906F9" w:rsidRPr="002002A1" w:rsidRDefault="005906F9" w:rsidP="005906F9">
      <w:pPr>
        <w:spacing w:line="360" w:lineRule="auto"/>
        <w:ind w:right="-992"/>
        <w:jc w:val="both"/>
        <w:rPr>
          <w:rFonts w:ascii="Palatino Linotype" w:eastAsia="Palatino Linotype" w:hAnsi="Palatino Linotype" w:cs="Palatino Linotype"/>
          <w:i/>
        </w:rPr>
      </w:pPr>
    </w:p>
    <w:p w14:paraId="2B1324A6" w14:textId="77777777" w:rsidR="005906F9" w:rsidRPr="002002A1" w:rsidRDefault="005906F9" w:rsidP="005906F9">
      <w:pPr>
        <w:numPr>
          <w:ilvl w:val="0"/>
          <w:numId w:val="2"/>
        </w:numPr>
        <w:spacing w:line="360" w:lineRule="auto"/>
        <w:ind w:left="0" w:right="-992" w:firstLine="0"/>
        <w:jc w:val="both"/>
        <w:rPr>
          <w:rFonts w:ascii="Palatino Linotype" w:eastAsia="Palatino Linotype" w:hAnsi="Palatino Linotype" w:cs="Palatino Linotype"/>
          <w:i/>
        </w:rPr>
      </w:pPr>
      <w:r w:rsidRPr="002002A1">
        <w:rPr>
          <w:rFonts w:ascii="Palatino Linotype" w:eastAsia="MS Mincho" w:hAnsi="Palatino Linotype" w:cs="Arial"/>
          <w:lang w:eastAsia="es-ES"/>
        </w:rPr>
        <w:t>Por l</w:t>
      </w:r>
      <w:r w:rsidRPr="002002A1">
        <w:rPr>
          <w:rFonts w:ascii="Palatino Linotype" w:hAnsi="Palatino Linotype"/>
        </w:rPr>
        <w:t xml:space="preserve">o tanto, es menester dar vista a la Dirección de Protección de Datos Personales de este Instituto para que en ejercicio de sus atribuciones atienda las directivas marcadas en la propia Ley de la materia, con fundamento en el artículo 82 de la Ley de la materia, el cual señala la atribución de este Órgano Garante para Investigar las posibles violaciones a la seguridad de los datos personales a fin de determinar la práctica de verificaciones. </w:t>
      </w:r>
    </w:p>
    <w:p w14:paraId="1871B964" w14:textId="77777777" w:rsidR="005906F9" w:rsidRPr="002002A1" w:rsidRDefault="005906F9" w:rsidP="005906F9">
      <w:pPr>
        <w:spacing w:line="360" w:lineRule="auto"/>
        <w:ind w:right="-992"/>
        <w:jc w:val="both"/>
        <w:rPr>
          <w:rFonts w:ascii="Palatino Linotype" w:eastAsia="Palatino Linotype" w:hAnsi="Palatino Linotype" w:cs="Palatino Linotype"/>
          <w:i/>
        </w:rPr>
      </w:pPr>
    </w:p>
    <w:p w14:paraId="5DE1F6EF" w14:textId="77777777" w:rsidR="005906F9" w:rsidRPr="002002A1" w:rsidRDefault="005906F9" w:rsidP="005906F9">
      <w:pPr>
        <w:numPr>
          <w:ilvl w:val="0"/>
          <w:numId w:val="2"/>
        </w:numPr>
        <w:spacing w:line="360" w:lineRule="auto"/>
        <w:ind w:left="0" w:right="-992" w:firstLine="0"/>
        <w:jc w:val="both"/>
        <w:rPr>
          <w:rFonts w:ascii="Palatino Linotype" w:eastAsia="Palatino Linotype" w:hAnsi="Palatino Linotype" w:cs="Palatino Linotype"/>
          <w:i/>
        </w:rPr>
      </w:pPr>
      <w:r w:rsidRPr="002002A1">
        <w:rPr>
          <w:rFonts w:ascii="Palatino Linotype" w:hAnsi="Palatino Linotype"/>
        </w:rPr>
        <w:t xml:space="preserve">Por último y no menos importante, se debe enfatizar que tal y como se mencionó en este considerando, el </w:t>
      </w:r>
      <w:r w:rsidRPr="002002A1">
        <w:rPr>
          <w:rFonts w:ascii="Palatino Linotype" w:hAnsi="Palatino Linotype"/>
          <w:b/>
        </w:rPr>
        <w:t>SUJETO OBLIGADO</w:t>
      </w:r>
      <w:r w:rsidRPr="002002A1">
        <w:rPr>
          <w:rFonts w:ascii="Palatino Linotype" w:hAnsi="Palatino Linotype"/>
        </w:rPr>
        <w:t xml:space="preserve"> realizó un pronunciamiento que debió ser clasificado como confidencial. Por dicha información, es menester hacer del conocimiento de la persona que solicitó la información, que ahora se encuentra sujeto a la </w:t>
      </w:r>
      <w:r w:rsidRPr="002002A1">
        <w:rPr>
          <w:rFonts w:ascii="Palatino Linotype" w:hAnsi="Palatino Linotype"/>
          <w:b/>
        </w:rPr>
        <w:t xml:space="preserve">LEY FEDERAL DE </w:t>
      </w:r>
      <w:r w:rsidRPr="002002A1">
        <w:rPr>
          <w:rFonts w:ascii="Palatino Linotype" w:hAnsi="Palatino Linotype"/>
          <w:b/>
        </w:rPr>
        <w:lastRenderedPageBreak/>
        <w:t>PROTECCIÓN DE DATOS PERSONALES EN POSESIÓN DE LOS PARTICULARES</w:t>
      </w:r>
      <w:r w:rsidRPr="002002A1">
        <w:rPr>
          <w:rFonts w:ascii="Palatino Linotype" w:hAnsi="Palatino Linotype"/>
        </w:rPr>
        <w:t xml:space="preserve"> que señala puntualmente en su artículo lo siguiente: </w:t>
      </w:r>
    </w:p>
    <w:p w14:paraId="4C5F6228" w14:textId="77777777" w:rsidR="005906F9" w:rsidRPr="0082122D" w:rsidRDefault="005906F9" w:rsidP="005906F9">
      <w:pPr>
        <w:ind w:left="567" w:right="-992"/>
        <w:jc w:val="both"/>
        <w:rPr>
          <w:rFonts w:ascii="Palatino Linotype" w:eastAsia="Palatino Linotype" w:hAnsi="Palatino Linotype" w:cs="Palatino Linotype"/>
          <w:i/>
          <w:sz w:val="28"/>
        </w:rPr>
      </w:pPr>
      <w:r w:rsidRPr="0082122D">
        <w:rPr>
          <w:rFonts w:ascii="Palatino Linotype" w:hAnsi="Palatino Linotype"/>
          <w:b/>
          <w:i/>
        </w:rPr>
        <w:t>“Artículo 1.-</w:t>
      </w:r>
      <w:r w:rsidRPr="0082122D">
        <w:rPr>
          <w:rFonts w:ascii="Palatino Linotype" w:hAnsi="Palatino Linotype"/>
          <w:i/>
        </w:rPr>
        <w:t xml:space="preserve"> La presente Ley es de orden público y de observancia general en toda la República y tiene por objeto la protección de los datos personales en posesión de los particulares, con la finalidad de regular su tratamiento legítimo, controlado e informado, a efecto de garantizar la privacidad y el derecho a la autodeterminación informativa de las personas.”</w:t>
      </w:r>
    </w:p>
    <w:p w14:paraId="024574B2" w14:textId="77777777" w:rsidR="005906F9" w:rsidRPr="002002A1" w:rsidRDefault="005906F9">
      <w:pPr>
        <w:pBdr>
          <w:top w:val="nil"/>
          <w:left w:val="nil"/>
          <w:bottom w:val="nil"/>
          <w:right w:val="nil"/>
          <w:between w:val="nil"/>
        </w:pBdr>
        <w:tabs>
          <w:tab w:val="left" w:pos="426"/>
        </w:tabs>
        <w:spacing w:line="360" w:lineRule="auto"/>
        <w:ind w:right="-981"/>
        <w:jc w:val="both"/>
        <w:rPr>
          <w:rFonts w:ascii="Palatino Linotype" w:eastAsia="Palatino Linotype" w:hAnsi="Palatino Linotype" w:cs="Palatino Linotype"/>
          <w:b/>
          <w:bCs/>
          <w:color w:val="000000"/>
        </w:rPr>
      </w:pPr>
    </w:p>
    <w:p w14:paraId="3D9A942D" w14:textId="77777777" w:rsidR="006D3F24" w:rsidRPr="002002A1" w:rsidRDefault="005906F9">
      <w:pPr>
        <w:pBdr>
          <w:top w:val="nil"/>
          <w:left w:val="nil"/>
          <w:bottom w:val="nil"/>
          <w:right w:val="nil"/>
          <w:between w:val="nil"/>
        </w:pBdr>
        <w:tabs>
          <w:tab w:val="left" w:pos="426"/>
        </w:tabs>
        <w:spacing w:line="360" w:lineRule="auto"/>
        <w:ind w:right="-981"/>
        <w:jc w:val="both"/>
        <w:rPr>
          <w:rFonts w:ascii="Palatino Linotype" w:eastAsia="Palatino Linotype" w:hAnsi="Palatino Linotype" w:cs="Palatino Linotype"/>
          <w:b/>
          <w:bCs/>
          <w:color w:val="000000"/>
        </w:rPr>
      </w:pPr>
      <w:r w:rsidRPr="002002A1">
        <w:rPr>
          <w:rFonts w:ascii="Palatino Linotype" w:eastAsia="Palatino Linotype" w:hAnsi="Palatino Linotype" w:cs="Palatino Linotype"/>
          <w:b/>
          <w:bCs/>
          <w:color w:val="000000"/>
        </w:rPr>
        <w:t>SEXTO</w:t>
      </w:r>
      <w:r w:rsidR="005C2B11" w:rsidRPr="002002A1">
        <w:rPr>
          <w:rFonts w:ascii="Palatino Linotype" w:eastAsia="Palatino Linotype" w:hAnsi="Palatino Linotype" w:cs="Palatino Linotype"/>
          <w:b/>
          <w:bCs/>
          <w:color w:val="000000"/>
        </w:rPr>
        <w:t>. De la versión pública.</w:t>
      </w:r>
    </w:p>
    <w:p w14:paraId="6E334F13" w14:textId="77777777" w:rsidR="006D3F24" w:rsidRPr="002002A1" w:rsidRDefault="005C2B11">
      <w:pPr>
        <w:numPr>
          <w:ilvl w:val="0"/>
          <w:numId w:val="2"/>
        </w:numPr>
        <w:pBdr>
          <w:top w:val="nil"/>
          <w:left w:val="nil"/>
          <w:bottom w:val="nil"/>
          <w:right w:val="nil"/>
          <w:between w:val="nil"/>
        </w:pBdr>
        <w:tabs>
          <w:tab w:val="left" w:pos="0"/>
        </w:tabs>
        <w:spacing w:line="360" w:lineRule="auto"/>
        <w:ind w:left="0" w:right="-981" w:firstLine="0"/>
        <w:jc w:val="both"/>
      </w:pPr>
      <w:r w:rsidRPr="002002A1">
        <w:rPr>
          <w:rFonts w:ascii="Palatino Linotype" w:eastAsia="Palatino Linotype" w:hAnsi="Palatino Linotype" w:cs="Palatino Linotype"/>
          <w:color w:val="000000"/>
        </w:rPr>
        <w:t>Debe destacarse que, debido a la naturaleza de la información solicitada</w:t>
      </w:r>
      <w:r w:rsidRPr="002002A1">
        <w:rPr>
          <w:rFonts w:ascii="Palatino Linotype" w:eastAsia="Palatino Linotype" w:hAnsi="Palatino Linotype" w:cs="Palatino Linotype"/>
          <w:b/>
          <w:bCs/>
          <w:color w:val="000000"/>
        </w:rPr>
        <w:t xml:space="preserve"> </w:t>
      </w:r>
      <w:r w:rsidRPr="002002A1">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14:paraId="416D7CBF" w14:textId="77777777" w:rsidR="006D3F24" w:rsidRPr="002002A1" w:rsidRDefault="006D3F24">
      <w:pPr>
        <w:pBdr>
          <w:top w:val="nil"/>
          <w:left w:val="nil"/>
          <w:bottom w:val="nil"/>
          <w:right w:val="nil"/>
          <w:between w:val="nil"/>
        </w:pBdr>
        <w:tabs>
          <w:tab w:val="left" w:pos="426"/>
        </w:tabs>
        <w:spacing w:line="360" w:lineRule="auto"/>
        <w:ind w:right="-981"/>
        <w:jc w:val="both"/>
        <w:rPr>
          <w:rFonts w:ascii="Palatino Linotype" w:eastAsia="Palatino Linotype" w:hAnsi="Palatino Linotype" w:cs="Palatino Linotype"/>
          <w:color w:val="000000"/>
        </w:rPr>
      </w:pPr>
    </w:p>
    <w:p w14:paraId="20577425" w14:textId="77777777" w:rsidR="006D3F24" w:rsidRDefault="005C2B11">
      <w:pPr>
        <w:numPr>
          <w:ilvl w:val="0"/>
          <w:numId w:val="2"/>
        </w:numPr>
        <w:pBdr>
          <w:top w:val="nil"/>
          <w:left w:val="nil"/>
          <w:bottom w:val="nil"/>
          <w:right w:val="nil"/>
          <w:between w:val="nil"/>
        </w:pBdr>
        <w:tabs>
          <w:tab w:val="left" w:pos="0"/>
        </w:tabs>
        <w:spacing w:line="360" w:lineRule="auto"/>
        <w:ind w:left="0" w:right="-981" w:firstLine="0"/>
        <w:jc w:val="both"/>
      </w:pPr>
      <w:r w:rsidRPr="002002A1">
        <w:rPr>
          <w:rFonts w:ascii="Palatino Linotype" w:eastAsia="Palatino Linotype" w:hAnsi="Palatino Linotype" w:cs="Palatino Linotype"/>
          <w:color w:val="000000"/>
        </w:rPr>
        <w:t>La clasific</w:t>
      </w:r>
      <w:r>
        <w:rPr>
          <w:rFonts w:ascii="Palatino Linotype" w:eastAsia="Palatino Linotype" w:hAnsi="Palatino Linotype" w:cs="Palatino Linotype"/>
          <w:color w:val="000000"/>
        </w:rPr>
        <w:t>ación total o parcial de la información requerida, mediante solicitud de acceso a la información pública, constituye una restricción al derecho humano de acceso a la información, por lo que es menester reiterar los mismos:</w:t>
      </w:r>
    </w:p>
    <w:p w14:paraId="560F713A" w14:textId="77777777" w:rsidR="006D3F24" w:rsidRDefault="006D3F24">
      <w:pPr>
        <w:pBdr>
          <w:top w:val="nil"/>
          <w:left w:val="nil"/>
          <w:bottom w:val="nil"/>
          <w:right w:val="nil"/>
          <w:between w:val="nil"/>
        </w:pBdr>
        <w:tabs>
          <w:tab w:val="left" w:pos="426"/>
        </w:tabs>
        <w:spacing w:line="360" w:lineRule="auto"/>
        <w:ind w:right="-981"/>
        <w:jc w:val="both"/>
        <w:rPr>
          <w:rFonts w:ascii="Palatino Linotype" w:eastAsia="Palatino Linotype" w:hAnsi="Palatino Linotype" w:cs="Palatino Linotype"/>
          <w:color w:val="000000"/>
        </w:rPr>
      </w:pPr>
    </w:p>
    <w:tbl>
      <w:tblPr>
        <w:tblStyle w:val="a0"/>
        <w:tblW w:w="984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700"/>
        <w:gridCol w:w="7140"/>
      </w:tblGrid>
      <w:tr w:rsidR="006D3F24" w14:paraId="7E8B6895" w14:textId="77777777">
        <w:tc>
          <w:tcPr>
            <w:tcW w:w="2700" w:type="dxa"/>
          </w:tcPr>
          <w:p w14:paraId="2977AA58" w14:textId="77777777" w:rsidR="006D3F24" w:rsidRDefault="005C2B11">
            <w:pPr>
              <w:spacing w:line="360" w:lineRule="auto"/>
              <w:ind w:right="-92"/>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140" w:type="dxa"/>
          </w:tcPr>
          <w:p w14:paraId="6ECEB780"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0B6298EC"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lastRenderedPageBreak/>
              <w:t>Al hacerlo tienen que precisar de qué información se trata, señalando el supuesto de clasificación (confidencialidad o reserva).</w:t>
            </w:r>
          </w:p>
          <w:p w14:paraId="60914D1B"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Además, se debe señalar el procedimiento, de los tres que establecen los artículos 132 y 106 de la Ley Estatal y General, respectivamente.</w:t>
            </w:r>
          </w:p>
          <w:p w14:paraId="4147E790"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El último de estos requisitos previos consiste en que no se pueden emitir acuerdos de carácter general ni particular, esto es, </w:t>
            </w:r>
            <w:r>
              <w:rPr>
                <w:rFonts w:ascii="Palatino Linotype" w:eastAsia="Palatino Linotype" w:hAnsi="Palatino Linotype" w:cs="Palatino Linotype"/>
                <w:u w:val="single"/>
              </w:rPr>
              <w:t xml:space="preserve">no se puede hacer un acuerdo para clasificar de manera general todos los documentos de un expediente o área,  </w:t>
            </w:r>
            <w:r>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6D3F24" w14:paraId="1BA1F8D7" w14:textId="77777777">
        <w:tc>
          <w:tcPr>
            <w:tcW w:w="2700" w:type="dxa"/>
          </w:tcPr>
          <w:p w14:paraId="45382433" w14:textId="77777777" w:rsidR="006D3F24" w:rsidRDefault="005C2B11">
            <w:pPr>
              <w:spacing w:line="360" w:lineRule="auto"/>
              <w:ind w:right="-92"/>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7140" w:type="dxa"/>
          </w:tcPr>
          <w:p w14:paraId="15D18CF9"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14:paraId="2319FB22"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w:t>
            </w:r>
            <w:r>
              <w:rPr>
                <w:rFonts w:ascii="Palatino Linotype" w:eastAsia="Palatino Linotype" w:hAnsi="Palatino Linotype" w:cs="Palatino Linotype"/>
              </w:rPr>
              <w:lastRenderedPageBreak/>
              <w:t>o supuestos de clasificación aduciendo analogía o mayoría de razón.</w:t>
            </w:r>
          </w:p>
          <w:p w14:paraId="36C4168D"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D3F24" w14:paraId="64E75FF7" w14:textId="77777777">
        <w:tc>
          <w:tcPr>
            <w:tcW w:w="2700" w:type="dxa"/>
          </w:tcPr>
          <w:p w14:paraId="2FD40CE0" w14:textId="77777777" w:rsidR="006D3F24" w:rsidRDefault="005C2B11">
            <w:pPr>
              <w:spacing w:line="360" w:lineRule="auto"/>
              <w:ind w:right="-92"/>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7140" w:type="dxa"/>
          </w:tcPr>
          <w:p w14:paraId="74FEACC3"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14:paraId="6936A84D"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Es necesario que </w:t>
            </w:r>
            <w:r>
              <w:rPr>
                <w:rFonts w:ascii="Palatino Linotype" w:eastAsia="Palatino Linotype" w:hAnsi="Palatino Linotype" w:cs="Palatino Linotype"/>
                <w:b/>
                <w:bCs/>
                <w:u w:val="single"/>
              </w:rPr>
              <w:t>el acto reúna con los requisitos elementales</w:t>
            </w:r>
            <w:r>
              <w:rPr>
                <w:rFonts w:ascii="Palatino Linotype" w:eastAsia="Palatino Linotype" w:hAnsi="Palatino Linotype" w:cs="Palatino Linotype"/>
              </w:rPr>
              <w:t>, entre ellos, que la autoridad que va a emitir el acto de autoridad sea la legalmente facultada para ello.</w:t>
            </w:r>
          </w:p>
          <w:p w14:paraId="70E38EBA"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6D3F24" w14:paraId="6937AEC7" w14:textId="77777777">
        <w:tc>
          <w:tcPr>
            <w:tcW w:w="2700" w:type="dxa"/>
          </w:tcPr>
          <w:p w14:paraId="1B59843D" w14:textId="77777777" w:rsidR="006D3F24" w:rsidRDefault="006D3F24">
            <w:pPr>
              <w:spacing w:line="360" w:lineRule="auto"/>
              <w:ind w:right="-92"/>
              <w:rPr>
                <w:rFonts w:ascii="Palatino Linotype" w:eastAsia="Palatino Linotype" w:hAnsi="Palatino Linotype" w:cs="Palatino Linotype"/>
              </w:rPr>
            </w:pPr>
          </w:p>
          <w:p w14:paraId="5432D527"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 Requisitos de fondo del acuerdo de clasificación. </w:t>
            </w:r>
          </w:p>
        </w:tc>
        <w:tc>
          <w:tcPr>
            <w:tcW w:w="7140" w:type="dxa"/>
          </w:tcPr>
          <w:p w14:paraId="3D280D76"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Como se ha señalado antes, al hacer el juicio de subsunción o encaje entre el supuesto de hecho y la hipótesis jurídica, se debe </w:t>
            </w:r>
            <w:r>
              <w:rPr>
                <w:rFonts w:ascii="Palatino Linotype" w:eastAsia="Palatino Linotype" w:hAnsi="Palatino Linotype" w:cs="Palatino Linotype"/>
              </w:rPr>
              <w:lastRenderedPageBreak/>
              <w:t xml:space="preserve">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por lo que deberán fundar y motivar debidamente la clasificación. </w:t>
            </w:r>
          </w:p>
          <w:p w14:paraId="44994EF8"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desprende que para una correcta </w:t>
            </w:r>
            <w:r>
              <w:rPr>
                <w:rFonts w:ascii="Palatino Linotype" w:eastAsia="Palatino Linotype" w:hAnsi="Palatino Linotype" w:cs="Palatino Linotype"/>
                <w:b/>
                <w:bCs/>
              </w:rPr>
              <w:t>clasificación total o parcial</w:t>
            </w:r>
            <w:r>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48775789"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2565FBA3"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14:paraId="54736006"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Ahora bien, </w:t>
            </w:r>
            <w:r>
              <w:rPr>
                <w:rFonts w:ascii="Palatino Linotype" w:eastAsia="Palatino Linotype" w:hAnsi="Palatino Linotype" w:cs="Palatino Linotype"/>
                <w:b/>
                <w:bCs/>
                <w:u w:val="single"/>
              </w:rPr>
              <w:t>para cada caso además de fundar y motivar</w:t>
            </w:r>
            <w:r>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D3F24" w14:paraId="79D6AE29" w14:textId="77777777">
        <w:tc>
          <w:tcPr>
            <w:tcW w:w="2700" w:type="dxa"/>
          </w:tcPr>
          <w:p w14:paraId="1838F804"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p w14:paraId="5C8F5E42" w14:textId="77777777" w:rsidR="006D3F24" w:rsidRDefault="006D3F24">
            <w:pPr>
              <w:spacing w:line="360" w:lineRule="auto"/>
              <w:ind w:right="-92"/>
              <w:rPr>
                <w:rFonts w:ascii="Palatino Linotype" w:eastAsia="Palatino Linotype" w:hAnsi="Palatino Linotype" w:cs="Palatino Linotype"/>
              </w:rPr>
            </w:pPr>
          </w:p>
        </w:tc>
        <w:tc>
          <w:tcPr>
            <w:tcW w:w="7140" w:type="dxa"/>
          </w:tcPr>
          <w:p w14:paraId="031FFBA6"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14:paraId="7D05B178" w14:textId="77777777" w:rsidR="006D3F24" w:rsidRDefault="005C2B11">
            <w:pPr>
              <w:spacing w:line="360" w:lineRule="auto"/>
              <w:ind w:right="-92"/>
              <w:jc w:val="both"/>
              <w:rPr>
                <w:rFonts w:ascii="Palatino Linotype" w:eastAsia="Palatino Linotype" w:hAnsi="Palatino Linotype" w:cs="Palatino Linotype"/>
              </w:rPr>
            </w:pPr>
            <w:r>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5E764234" w14:textId="77777777" w:rsidR="006D3F24" w:rsidRDefault="005C2B11">
            <w:pPr>
              <w:spacing w:line="360" w:lineRule="auto"/>
              <w:ind w:right="-92"/>
              <w:rPr>
                <w:rFonts w:ascii="Palatino Linotype" w:eastAsia="Palatino Linotype" w:hAnsi="Palatino Linotype" w:cs="Palatino Linotype"/>
              </w:rPr>
            </w:pPr>
            <w:r>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3BE462F7"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43B5722D"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Si el servidor público incumple con estas formalidades y entrega la información sin proteger los datos personales incumple con lo que estipula las disposiciones legales </w:t>
      </w:r>
      <w:r>
        <w:rPr>
          <w:rFonts w:ascii="Palatino Linotype" w:eastAsia="Palatino Linotype" w:hAnsi="Palatino Linotype" w:cs="Palatino Linotype"/>
          <w:color w:val="000000"/>
        </w:rPr>
        <w:lastRenderedPageBreak/>
        <w:t>establecidas, asimismo que si entrega un documento testado sin el debido acuerdo de clasificación.</w:t>
      </w:r>
    </w:p>
    <w:p w14:paraId="22E9F706"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04B67062" w14:textId="77777777" w:rsidR="006D3F24" w:rsidRDefault="005C2B11">
      <w:pPr>
        <w:numPr>
          <w:ilvl w:val="0"/>
          <w:numId w:val="21"/>
        </w:numPr>
        <w:pBdr>
          <w:top w:val="nil"/>
          <w:left w:val="nil"/>
          <w:bottom w:val="nil"/>
          <w:right w:val="nil"/>
          <w:between w:val="nil"/>
        </w:pBdr>
        <w:spacing w:line="360" w:lineRule="auto"/>
        <w:ind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Firma de los servidores públicos </w:t>
      </w:r>
    </w:p>
    <w:p w14:paraId="660212DA" w14:textId="77777777" w:rsidR="006D3F24" w:rsidRDefault="005C2B11">
      <w:pPr>
        <w:numPr>
          <w:ilvl w:val="0"/>
          <w:numId w:val="2"/>
        </w:numPr>
        <w:pBdr>
          <w:top w:val="nil"/>
          <w:left w:val="nil"/>
          <w:bottom w:val="nil"/>
          <w:right w:val="nil"/>
          <w:between w:val="nil"/>
        </w:pBdr>
        <w:tabs>
          <w:tab w:val="left" w:pos="0"/>
        </w:tabs>
        <w:spacing w:line="360" w:lineRule="auto"/>
        <w:ind w:left="0" w:right="-981" w:firstLine="0"/>
        <w:jc w:val="both"/>
      </w:pPr>
      <w:r>
        <w:rPr>
          <w:rFonts w:ascii="Palatino Linotype" w:eastAsia="Palatino Linotype" w:hAnsi="Palatino Linotype" w:cs="Palatino Linotype"/>
          <w:color w:val="000000"/>
        </w:rPr>
        <w:t>Sobre dicho dato, cabe precisar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w:t>
      </w:r>
    </w:p>
    <w:p w14:paraId="789A1853" w14:textId="77777777" w:rsidR="006D3F24" w:rsidRDefault="006D3F24">
      <w:pPr>
        <w:tabs>
          <w:tab w:val="left" w:pos="567"/>
        </w:tabs>
        <w:spacing w:line="360" w:lineRule="auto"/>
        <w:ind w:right="-981"/>
        <w:jc w:val="both"/>
        <w:rPr>
          <w:rFonts w:ascii="Palatino Linotype" w:eastAsia="Palatino Linotype" w:hAnsi="Palatino Linotype" w:cs="Palatino Linotype"/>
        </w:rPr>
      </w:pPr>
    </w:p>
    <w:p w14:paraId="4AA40DE8" w14:textId="77777777" w:rsidR="006D3F24" w:rsidRDefault="005C2B11">
      <w:pPr>
        <w:numPr>
          <w:ilvl w:val="0"/>
          <w:numId w:val="2"/>
        </w:numPr>
        <w:tabs>
          <w:tab w:val="left" w:pos="567"/>
        </w:tabs>
        <w:spacing w:line="360" w:lineRule="auto"/>
        <w:ind w:left="0" w:right="-981" w:firstLine="0"/>
        <w:jc w:val="both"/>
      </w:pPr>
      <w:r>
        <w:rPr>
          <w:rFonts w:ascii="Palatino Linotype" w:eastAsia="Palatino Linotype" w:hAnsi="Palatino Linotype" w:cs="Palatino Linotype"/>
        </w:rPr>
        <w:t>Lo anterior, es así, toda vez que la firma de servidores públicos, vinculada al ejercicio de la función pública es información de naturaleza pública, pues documenta y rinde cuentas sobre el debido ejercicio de sus atribuciones, lo cual acontece en el presente caso, pues garantiza que los trabajadores recibieron sus remuneraciones quincenales.</w:t>
      </w:r>
    </w:p>
    <w:p w14:paraId="12B64A89" w14:textId="77777777" w:rsidR="006D3F24" w:rsidRDefault="006D3F24">
      <w:pPr>
        <w:ind w:right="-981"/>
        <w:rPr>
          <w:rFonts w:ascii="Palatino Linotype" w:eastAsia="Palatino Linotype" w:hAnsi="Palatino Linotype" w:cs="Palatino Linotype"/>
        </w:rPr>
      </w:pPr>
    </w:p>
    <w:p w14:paraId="765627A8" w14:textId="77777777" w:rsidR="006D3F24" w:rsidRDefault="005C2B11">
      <w:pPr>
        <w:numPr>
          <w:ilvl w:val="0"/>
          <w:numId w:val="2"/>
        </w:numPr>
        <w:tabs>
          <w:tab w:val="left" w:pos="567"/>
        </w:tabs>
        <w:spacing w:line="360" w:lineRule="auto"/>
        <w:ind w:left="0" w:right="-981" w:firstLine="0"/>
        <w:jc w:val="both"/>
      </w:pPr>
      <w:r>
        <w:rPr>
          <w:rFonts w:ascii="Palatino Linotype" w:eastAsia="Palatino Linotype" w:hAnsi="Palatino Linotype" w:cs="Palatino Linotype"/>
        </w:rPr>
        <w:t>La publicidad de dichos datos, se robustece, con el Criterio de Interpretación, de la Segunda Época, con clave de control SO/002/2019, emitido por el Instituto Nacional de Transparencia, Acceso a la Información y Protección de Datos Personales, que establece lo siguiente:</w:t>
      </w:r>
    </w:p>
    <w:p w14:paraId="623C5995" w14:textId="77777777" w:rsidR="006D3F24" w:rsidRDefault="005C2B11">
      <w:pPr>
        <w:shd w:val="clear" w:color="auto" w:fill="FFFFFF"/>
        <w:spacing w:line="360" w:lineRule="auto"/>
        <w:ind w:left="708" w:right="-981"/>
        <w:jc w:val="both"/>
        <w:rPr>
          <w:rFonts w:ascii="Palatino Linotype" w:eastAsia="Palatino Linotype" w:hAnsi="Palatino Linotype" w:cs="Palatino Linotype"/>
        </w:rPr>
      </w:pPr>
      <w:r>
        <w:rPr>
          <w:rFonts w:ascii="Palatino Linotype" w:eastAsia="Palatino Linotype" w:hAnsi="Palatino Linotype" w:cs="Palatino Linotype"/>
        </w:rPr>
        <w:t> </w:t>
      </w:r>
      <w:r>
        <w:rPr>
          <w:rFonts w:ascii="Palatino Linotype" w:eastAsia="Palatino Linotype" w:hAnsi="Palatino Linotype" w:cs="Palatino Linotype"/>
          <w:b/>
          <w:bCs/>
          <w:i/>
          <w:iCs/>
        </w:rPr>
        <w:t>“Firma y rúbrica de servidores públicos.</w:t>
      </w:r>
      <w:r>
        <w:rPr>
          <w:rFonts w:ascii="Palatino Linotype" w:eastAsia="Palatino Linotype" w:hAnsi="Palatino Linotype" w:cs="Palatino Linotype"/>
          <w:i/>
          <w:iCs/>
        </w:rPr>
        <w:t> Si bien la firma y la rúbrica son datos personales confidenciales, cuando un servidor público emite un acto como autoridad, en ejercicio de las funciones que tiene conferidas, la firma o rúbrica mediante la cual se valida dicho acto es pública.”</w:t>
      </w:r>
    </w:p>
    <w:p w14:paraId="40458537" w14:textId="77777777" w:rsidR="006D3F24" w:rsidRDefault="005C2B11">
      <w:pPr>
        <w:tabs>
          <w:tab w:val="left" w:pos="4962"/>
        </w:tabs>
        <w:spacing w:line="360" w:lineRule="auto"/>
        <w:ind w:right="-981"/>
        <w:jc w:val="both"/>
        <w:rPr>
          <w:rFonts w:ascii="Palatino Linotype" w:eastAsia="Palatino Linotype" w:hAnsi="Palatino Linotype" w:cs="Palatino Linotype"/>
        </w:rPr>
      </w:pPr>
      <w:r>
        <w:rPr>
          <w:rFonts w:ascii="Palatino Linotype" w:eastAsia="Palatino Linotype" w:hAnsi="Palatino Linotype" w:cs="Palatino Linotype"/>
        </w:rPr>
        <w:t> </w:t>
      </w:r>
    </w:p>
    <w:p w14:paraId="461471E3" w14:textId="77777777" w:rsidR="006D3F24" w:rsidRDefault="005C2B11">
      <w:pPr>
        <w:numPr>
          <w:ilvl w:val="0"/>
          <w:numId w:val="2"/>
        </w:numPr>
        <w:tabs>
          <w:tab w:val="left" w:pos="0"/>
        </w:tabs>
        <w:spacing w:line="360" w:lineRule="auto"/>
        <w:ind w:left="0" w:right="-981" w:firstLine="0"/>
        <w:jc w:val="both"/>
      </w:pPr>
      <w:r>
        <w:rPr>
          <w:rFonts w:ascii="Palatino Linotype" w:eastAsia="Palatino Linotype" w:hAnsi="Palatino Linotype" w:cs="Palatino Linotype"/>
        </w:rPr>
        <w:t>Conforme a lo expuesto, en el presente caso, procede la clasificación, en términos del artículo 143, fracción I de la Ley de Transparencia y Acceso a la Información Pública del Estado de México y Municipios. </w:t>
      </w:r>
    </w:p>
    <w:p w14:paraId="5B33F087" w14:textId="77777777" w:rsidR="006D3F24" w:rsidRDefault="005C2B11">
      <w:pPr>
        <w:numPr>
          <w:ilvl w:val="0"/>
          <w:numId w:val="2"/>
        </w:numPr>
        <w:tabs>
          <w:tab w:val="left" w:pos="0"/>
          <w:tab w:val="left" w:pos="284"/>
        </w:tabs>
        <w:spacing w:line="360" w:lineRule="auto"/>
        <w:ind w:left="0" w:right="-981" w:firstLine="0"/>
        <w:jc w:val="both"/>
      </w:pPr>
      <w:r>
        <w:rPr>
          <w:rFonts w:ascii="Palatino Linotype" w:eastAsia="Palatino Linotype" w:hAnsi="Palatino Linotype" w:cs="Palatino Linotype"/>
        </w:rPr>
        <w:lastRenderedPageBreak/>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729F403C" w14:textId="77777777" w:rsidR="006D3F24" w:rsidRDefault="005C2B11">
      <w:pPr>
        <w:numPr>
          <w:ilvl w:val="0"/>
          <w:numId w:val="21"/>
        </w:numPr>
        <w:pBdr>
          <w:top w:val="nil"/>
          <w:left w:val="nil"/>
          <w:bottom w:val="nil"/>
          <w:right w:val="nil"/>
          <w:between w:val="nil"/>
        </w:pBdr>
        <w:shd w:val="clear" w:color="auto" w:fill="FFFFFF"/>
        <w:spacing w:before="240" w:line="360" w:lineRule="auto"/>
        <w:ind w:right="-981"/>
        <w:jc w:val="both"/>
        <w:rPr>
          <w:rFonts w:ascii="Palatino Linotype" w:eastAsia="Palatino Linotype" w:hAnsi="Palatino Linotype" w:cs="Palatino Linotype"/>
          <w:b/>
          <w:bCs/>
          <w:color w:val="222222"/>
        </w:rPr>
      </w:pPr>
      <w:r>
        <w:rPr>
          <w:rFonts w:ascii="Palatino Linotype" w:eastAsia="Palatino Linotype" w:hAnsi="Palatino Linotype" w:cs="Palatino Linotype"/>
          <w:b/>
          <w:bCs/>
          <w:color w:val="222222"/>
        </w:rPr>
        <w:t>De la fotografía</w:t>
      </w:r>
    </w:p>
    <w:p w14:paraId="62702BCA"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b/>
          <w:bCs/>
          <w:color w:val="000000"/>
        </w:rPr>
        <w:t>Fotografía de servidores públicos</w:t>
      </w:r>
      <w:r>
        <w:rPr>
          <w:rFonts w:ascii="Palatino Linotype" w:eastAsia="Palatino Linotype" w:hAnsi="Palatino Linotype" w:cs="Palatino Linotype"/>
          <w:color w:val="000000"/>
        </w:rPr>
        <w:t>: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44CD71A" w14:textId="77777777" w:rsidR="006D3F24" w:rsidRDefault="006D3F24">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12E4B772"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acreditará e identificaría a una persona como servidor público, por lo que es posible advertir que existe cierto interés público, cuando la fotografía obra en documentos de servidores públicos vinculados con el cumplimiento de disposiciones legales.</w:t>
      </w:r>
    </w:p>
    <w:p w14:paraId="6B5E5053"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1C3C7E09"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Por lo anterior, cuando las fotografías de los servidores públicos obran en documentos que dan cuenta del cumplimiento de funciones, requisitos legales o los acredita como servidores públicos, no puede ser clasificado como confidencial, pues en este caso, es superado por el interés público de conocer si en realidad, la persona que se ostenta en carácter de </w:t>
      </w:r>
      <w:r>
        <w:rPr>
          <w:rFonts w:ascii="Palatino Linotype" w:eastAsia="Palatino Linotype" w:hAnsi="Palatino Linotype" w:cs="Palatino Linotype"/>
          <w:color w:val="000000"/>
        </w:rPr>
        <w:lastRenderedPageBreak/>
        <w:t>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57BBD8BD"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5C76B0B6"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50661F17" w14:textId="77777777" w:rsidR="006D3F24" w:rsidRDefault="006D3F24">
      <w:pPr>
        <w:pBdr>
          <w:top w:val="nil"/>
          <w:left w:val="nil"/>
          <w:bottom w:val="nil"/>
          <w:right w:val="nil"/>
          <w:between w:val="nil"/>
        </w:pBdr>
        <w:ind w:left="720" w:right="-981"/>
        <w:rPr>
          <w:rFonts w:ascii="Palatino Linotype" w:eastAsia="Palatino Linotype" w:hAnsi="Palatino Linotype" w:cs="Palatino Linotype"/>
          <w:color w:val="000000"/>
        </w:rPr>
      </w:pPr>
    </w:p>
    <w:p w14:paraId="78C3A18C" w14:textId="77777777"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Además, no escapa de la óptica de éste órgano garante que el documento que da cuenta de lo requerido es un título o cédula profesional, por lo que resulta conveniente traer a contexto el criterio 001/2013 y 015/2017 del Instituto Nacional de Transparencia, Acceso a la Información y Protección de Datos Personales, cuyo rubro y contenido son los siguientes:</w:t>
      </w:r>
    </w:p>
    <w:p w14:paraId="04198328" w14:textId="77777777" w:rsidR="006D3F24" w:rsidRDefault="005C2B11">
      <w:pP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Fotografía de una persona física que conste en su título o cédula profesional no es susceptible de clasificarse con carácter de confidencial. </w:t>
      </w:r>
      <w:r>
        <w:rPr>
          <w:rFonts w:ascii="Palatino Linotype" w:eastAsia="Palatino Linotype" w:hAnsi="Palatino Linotype" w:cs="Palatino Linotype"/>
          <w:i/>
          <w:iCs/>
          <w:color w:val="000000"/>
        </w:rPr>
        <w:t xml:space="preserve">La fotografía contenida en un título o cédula profesional no es susceptible de clasificarse con el carácter de confidencial, en términos de lo dispuesto en el artículo 18, fracción II de la Ley Federal de Transparencia y Acceso a la información Pública Gubernamental, no obstante ser un dato personal, en virtud del interés público que existe de conocer que la persona que se ostenta con una calidad profesional determinada es la misma que aparece en los documentos oficiales de referencia. Lo anterior es así, ya que en el momento en que una persona se somete a un registro fotográfico con el objetivo de recibir una identificación oficial que lo avala como profesionista, consiente </w:t>
      </w:r>
      <w:r>
        <w:rPr>
          <w:rFonts w:ascii="Palatino Linotype" w:eastAsia="Palatino Linotype" w:hAnsi="Palatino Linotype" w:cs="Palatino Linotype"/>
          <w:i/>
          <w:iCs/>
          <w:color w:val="000000"/>
        </w:rPr>
        <w:lastRenderedPageBreak/>
        <w:t>que tanto la imagen de su rostro como su nombre y profesión, sean elementos de acreditación e identificación frente a terceros.</w:t>
      </w:r>
    </w:p>
    <w:p w14:paraId="61C93C6B" w14:textId="77777777" w:rsidR="006D3F24" w:rsidRDefault="006D3F24">
      <w:pPr>
        <w:spacing w:line="360" w:lineRule="auto"/>
        <w:ind w:left="851" w:right="-981"/>
        <w:jc w:val="both"/>
        <w:rPr>
          <w:rFonts w:ascii="Palatino Linotype" w:eastAsia="Palatino Linotype" w:hAnsi="Palatino Linotype" w:cs="Palatino Linotype"/>
          <w:i/>
          <w:iCs/>
          <w:color w:val="000000"/>
        </w:rPr>
      </w:pPr>
    </w:p>
    <w:p w14:paraId="001FB921" w14:textId="77777777" w:rsidR="006D3F24" w:rsidRDefault="005C2B11">
      <w:pPr>
        <w:spacing w:line="360" w:lineRule="auto"/>
        <w:ind w:left="851" w:right="-981"/>
        <w:jc w:val="both"/>
        <w:rPr>
          <w:rFonts w:ascii="Palatino Linotype" w:eastAsia="Palatino Linotype" w:hAnsi="Palatino Linotype" w:cs="Palatino Linotype"/>
          <w:i/>
          <w:iCs/>
        </w:rPr>
      </w:pPr>
      <w:r>
        <w:rPr>
          <w:rFonts w:ascii="Palatino Linotype" w:eastAsia="Palatino Linotype" w:hAnsi="Palatino Linotype" w:cs="Palatino Linotype"/>
          <w:b/>
          <w:bCs/>
          <w:i/>
          <w:iCs/>
        </w:rPr>
        <w:t>Fotografía en título o cédula profesional es de acceso público.</w:t>
      </w:r>
      <w:r>
        <w:rPr>
          <w:rFonts w:ascii="Palatino Linotype" w:eastAsia="Palatino Linotype" w:hAnsi="Palatino Linotype" w:cs="Palatino Linotype"/>
          <w:i/>
          <w:iCs/>
        </w:rPr>
        <w:t xml:space="preserve"> Si bien la fotografía de una persona física es un dato personal, cuando se encuentra en un título o cédula profesional no es susceptible de clasificarse como confidencial, en virtud del interés público que existe de conocer que la persona que se ostenta con una calidad profesional determinada es la misma que aparece en dichos documentos oficiales. De esta manera, la fotografía contenida en el título o cédula profesional es pública y susceptible de divulgación.</w:t>
      </w:r>
    </w:p>
    <w:p w14:paraId="5C0DDBD0" w14:textId="77777777" w:rsidR="006D3F24" w:rsidRDefault="006D3F24">
      <w:pPr>
        <w:ind w:right="-981"/>
        <w:jc w:val="both"/>
        <w:rPr>
          <w:rFonts w:ascii="Arial" w:eastAsia="Arial" w:hAnsi="Arial" w:cs="Arial"/>
          <w:b/>
          <w:bCs/>
          <w:color w:val="000000"/>
        </w:rPr>
      </w:pPr>
    </w:p>
    <w:p w14:paraId="1AB69694" w14:textId="77777777" w:rsidR="006D3F24" w:rsidRDefault="005C2B11">
      <w:pPr>
        <w:numPr>
          <w:ilvl w:val="0"/>
          <w:numId w:val="2"/>
        </w:numPr>
        <w:pBdr>
          <w:top w:val="nil"/>
          <w:left w:val="nil"/>
          <w:bottom w:val="nil"/>
          <w:right w:val="nil"/>
          <w:between w:val="nil"/>
        </w:pBdr>
        <w:tabs>
          <w:tab w:val="left" w:pos="284"/>
        </w:tabs>
        <w:spacing w:line="360" w:lineRule="auto"/>
        <w:ind w:left="0" w:right="-981" w:firstLine="0"/>
        <w:jc w:val="both"/>
      </w:pPr>
      <w:r>
        <w:rPr>
          <w:rFonts w:ascii="Palatino Linotype" w:eastAsia="Palatino Linotype" w:hAnsi="Palatino Linotype" w:cs="Palatino Linotype"/>
          <w:color w:val="000000"/>
        </w:rPr>
        <w:t>Resultando así que, la fotografía de los servidores públicos, cuando obre en título o cédula profesional es de acceso público y no procede su clasificación como información confidencial, aún y cuando corresponde a un dato personal.</w:t>
      </w:r>
    </w:p>
    <w:p w14:paraId="69BB6FB9" w14:textId="77777777" w:rsidR="006D3F24" w:rsidRDefault="006D3F24">
      <w:pPr>
        <w:pBdr>
          <w:top w:val="nil"/>
          <w:left w:val="nil"/>
          <w:bottom w:val="nil"/>
          <w:right w:val="nil"/>
          <w:between w:val="nil"/>
        </w:pBdr>
        <w:tabs>
          <w:tab w:val="left" w:pos="284"/>
        </w:tabs>
        <w:spacing w:line="360" w:lineRule="auto"/>
        <w:ind w:right="-981"/>
        <w:jc w:val="both"/>
        <w:rPr>
          <w:rFonts w:ascii="Palatino Linotype" w:eastAsia="Palatino Linotype" w:hAnsi="Palatino Linotype" w:cs="Palatino Linotype"/>
          <w:color w:val="000000"/>
        </w:rPr>
      </w:pPr>
    </w:p>
    <w:p w14:paraId="56BA02BE" w14:textId="77777777" w:rsidR="006D3F24" w:rsidRDefault="005C2B11">
      <w:pPr>
        <w:numPr>
          <w:ilvl w:val="0"/>
          <w:numId w:val="2"/>
        </w:numPr>
        <w:pBdr>
          <w:top w:val="nil"/>
          <w:left w:val="nil"/>
          <w:bottom w:val="nil"/>
          <w:right w:val="nil"/>
          <w:between w:val="nil"/>
        </w:pBdr>
        <w:tabs>
          <w:tab w:val="left" w:pos="284"/>
        </w:tabs>
        <w:spacing w:line="360" w:lineRule="auto"/>
        <w:ind w:left="0" w:right="-981" w:firstLine="0"/>
        <w:jc w:val="both"/>
      </w:pPr>
      <w:r>
        <w:rPr>
          <w:rFonts w:ascii="Palatino Linotype" w:eastAsia="Palatino Linotype" w:hAnsi="Palatino Linotype" w:cs="Palatino Linotype"/>
          <w:color w:val="222222"/>
        </w:rPr>
        <w:t>Por otro lado, de manera enunciativa mas no limitativas, dentro de los elementos que integran los recibos de nómina se pueden encontrar los siguientes:</w:t>
      </w:r>
    </w:p>
    <w:p w14:paraId="39081A80" w14:textId="77777777" w:rsidR="006D3F24" w:rsidRDefault="005C2B11">
      <w:pPr>
        <w:numPr>
          <w:ilvl w:val="0"/>
          <w:numId w:val="7"/>
        </w:numPr>
        <w:pBdr>
          <w:top w:val="nil"/>
          <w:left w:val="nil"/>
          <w:bottom w:val="nil"/>
          <w:right w:val="nil"/>
          <w:between w:val="nil"/>
        </w:pBdr>
        <w:tabs>
          <w:tab w:val="left" w:pos="567"/>
        </w:tabs>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Clave Única de Registro de Población (CURP);</w:t>
      </w:r>
    </w:p>
    <w:p w14:paraId="06ED746C" w14:textId="77777777" w:rsidR="006D3F24" w:rsidRDefault="005C2B11">
      <w:pPr>
        <w:numPr>
          <w:ilvl w:val="0"/>
          <w:numId w:val="7"/>
        </w:numPr>
        <w:pBdr>
          <w:top w:val="nil"/>
          <w:left w:val="nil"/>
          <w:bottom w:val="nil"/>
          <w:right w:val="nil"/>
          <w:between w:val="nil"/>
        </w:pBdr>
        <w:tabs>
          <w:tab w:val="left" w:pos="567"/>
        </w:tabs>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Número de ISSEMyM;</w:t>
      </w:r>
    </w:p>
    <w:p w14:paraId="5E98177E" w14:textId="77777777" w:rsidR="006D3F24" w:rsidRDefault="005C2B11">
      <w:pPr>
        <w:numPr>
          <w:ilvl w:val="0"/>
          <w:numId w:val="7"/>
        </w:numPr>
        <w:pBdr>
          <w:top w:val="nil"/>
          <w:left w:val="nil"/>
          <w:bottom w:val="nil"/>
          <w:right w:val="nil"/>
          <w:between w:val="nil"/>
        </w:pBdr>
        <w:tabs>
          <w:tab w:val="left" w:pos="567"/>
        </w:tabs>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Número de empleado;</w:t>
      </w:r>
    </w:p>
    <w:p w14:paraId="0BCA28D3" w14:textId="77777777" w:rsidR="006D3F24" w:rsidRDefault="005C2B11">
      <w:pPr>
        <w:numPr>
          <w:ilvl w:val="0"/>
          <w:numId w:val="7"/>
        </w:numPr>
        <w:pBdr>
          <w:top w:val="nil"/>
          <w:left w:val="nil"/>
          <w:bottom w:val="nil"/>
          <w:right w:val="nil"/>
          <w:between w:val="nil"/>
        </w:pBdr>
        <w:tabs>
          <w:tab w:val="left" w:pos="567"/>
        </w:tabs>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Registro Federal de Contribuyentes (RFC);</w:t>
      </w:r>
    </w:p>
    <w:p w14:paraId="658CD747" w14:textId="77777777" w:rsidR="006D3F24" w:rsidRDefault="005C2B11">
      <w:pPr>
        <w:numPr>
          <w:ilvl w:val="0"/>
          <w:numId w:val="7"/>
        </w:numPr>
        <w:pBdr>
          <w:top w:val="nil"/>
          <w:left w:val="nil"/>
          <w:bottom w:val="nil"/>
          <w:right w:val="nil"/>
          <w:between w:val="nil"/>
        </w:pBdr>
        <w:tabs>
          <w:tab w:val="left" w:pos="567"/>
        </w:tabs>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Número de Serie del CSD del SAT;</w:t>
      </w:r>
    </w:p>
    <w:p w14:paraId="672BBA93" w14:textId="77777777" w:rsidR="006D3F24" w:rsidRDefault="005C2B11">
      <w:pPr>
        <w:numPr>
          <w:ilvl w:val="0"/>
          <w:numId w:val="7"/>
        </w:numPr>
        <w:pBdr>
          <w:top w:val="nil"/>
          <w:left w:val="nil"/>
          <w:bottom w:val="nil"/>
          <w:right w:val="nil"/>
          <w:between w:val="nil"/>
        </w:pBdr>
        <w:tabs>
          <w:tab w:val="left" w:pos="567"/>
        </w:tabs>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Número de Serie del CDS del emisor;</w:t>
      </w:r>
    </w:p>
    <w:p w14:paraId="13A175F1" w14:textId="77777777" w:rsidR="006D3F24" w:rsidRDefault="005C2B11">
      <w:pPr>
        <w:numPr>
          <w:ilvl w:val="0"/>
          <w:numId w:val="7"/>
        </w:numPr>
        <w:pBdr>
          <w:top w:val="nil"/>
          <w:left w:val="nil"/>
          <w:bottom w:val="nil"/>
          <w:right w:val="nil"/>
          <w:between w:val="nil"/>
        </w:pBdr>
        <w:tabs>
          <w:tab w:val="left" w:pos="567"/>
        </w:tabs>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Serie y folio;</w:t>
      </w:r>
    </w:p>
    <w:p w14:paraId="34365E8A" w14:textId="77777777" w:rsidR="006D3F24" w:rsidRDefault="005C2B11">
      <w:pPr>
        <w:numPr>
          <w:ilvl w:val="0"/>
          <w:numId w:val="7"/>
        </w:numPr>
        <w:pBdr>
          <w:top w:val="nil"/>
          <w:left w:val="nil"/>
          <w:bottom w:val="nil"/>
          <w:right w:val="nil"/>
          <w:between w:val="nil"/>
        </w:pBdr>
        <w:tabs>
          <w:tab w:val="left" w:pos="567"/>
        </w:tabs>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Firma;</w:t>
      </w:r>
    </w:p>
    <w:p w14:paraId="24D5B29F" w14:textId="77777777" w:rsidR="006D3F24" w:rsidRDefault="005C2B11">
      <w:pPr>
        <w:numPr>
          <w:ilvl w:val="0"/>
          <w:numId w:val="7"/>
        </w:numPr>
        <w:pBdr>
          <w:top w:val="nil"/>
          <w:left w:val="nil"/>
          <w:bottom w:val="nil"/>
          <w:right w:val="nil"/>
          <w:between w:val="nil"/>
        </w:pBdr>
        <w:tabs>
          <w:tab w:val="left" w:pos="567"/>
        </w:tabs>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Código QR;</w:t>
      </w:r>
    </w:p>
    <w:p w14:paraId="3532331D" w14:textId="77777777" w:rsidR="006D3F24" w:rsidRDefault="005C2B11">
      <w:pPr>
        <w:numPr>
          <w:ilvl w:val="0"/>
          <w:numId w:val="7"/>
        </w:numPr>
        <w:pBdr>
          <w:top w:val="nil"/>
          <w:left w:val="nil"/>
          <w:bottom w:val="nil"/>
          <w:right w:val="nil"/>
          <w:between w:val="nil"/>
        </w:pBdr>
        <w:tabs>
          <w:tab w:val="left" w:pos="567"/>
        </w:tabs>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Sello Digital del Contribuyente; y</w:t>
      </w:r>
    </w:p>
    <w:p w14:paraId="61DF9F99" w14:textId="77777777" w:rsidR="006D3F24" w:rsidRDefault="005C2B11">
      <w:pPr>
        <w:numPr>
          <w:ilvl w:val="0"/>
          <w:numId w:val="7"/>
        </w:numPr>
        <w:pBdr>
          <w:top w:val="nil"/>
          <w:left w:val="nil"/>
          <w:bottom w:val="nil"/>
          <w:right w:val="nil"/>
          <w:between w:val="nil"/>
        </w:pBdr>
        <w:tabs>
          <w:tab w:val="left" w:pos="567"/>
        </w:tabs>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Sello Digital del SAT.</w:t>
      </w:r>
    </w:p>
    <w:p w14:paraId="5AFA9609" w14:textId="77777777" w:rsidR="006D3F24" w:rsidRDefault="006D3F24">
      <w:pPr>
        <w:pBdr>
          <w:top w:val="nil"/>
          <w:left w:val="nil"/>
          <w:bottom w:val="nil"/>
          <w:right w:val="nil"/>
          <w:between w:val="nil"/>
        </w:pBdr>
        <w:tabs>
          <w:tab w:val="left" w:pos="567"/>
        </w:tabs>
        <w:spacing w:line="360" w:lineRule="auto"/>
        <w:ind w:left="720" w:right="-981"/>
        <w:jc w:val="both"/>
        <w:rPr>
          <w:rFonts w:ascii="Palatino Linotype" w:eastAsia="Palatino Linotype" w:hAnsi="Palatino Linotype" w:cs="Palatino Linotype"/>
          <w:color w:val="000000"/>
        </w:rPr>
      </w:pPr>
    </w:p>
    <w:p w14:paraId="5A5AAEDC" w14:textId="77777777" w:rsidR="006D3F24" w:rsidRDefault="005C2B11">
      <w:pPr>
        <w:pStyle w:val="Ttulo3"/>
        <w:numPr>
          <w:ilvl w:val="0"/>
          <w:numId w:val="7"/>
        </w:numPr>
        <w:ind w:right="-98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Clave Única de Registro de Población (CURP).</w:t>
      </w:r>
    </w:p>
    <w:p w14:paraId="63F314B9" w14:textId="77777777" w:rsidR="006D3F24" w:rsidRDefault="005C2B11" w:rsidP="00BF3C97">
      <w:pPr>
        <w:numPr>
          <w:ilvl w:val="0"/>
          <w:numId w:val="2"/>
        </w:numPr>
        <w:pBdr>
          <w:top w:val="nil"/>
          <w:left w:val="nil"/>
          <w:bottom w:val="nil"/>
          <w:right w:val="nil"/>
          <w:between w:val="nil"/>
        </w:pBdr>
        <w:shd w:val="clear" w:color="auto" w:fill="FFFFFF"/>
        <w:spacing w:before="240" w:after="240" w:line="360" w:lineRule="auto"/>
        <w:ind w:left="720" w:right="-981" w:hanging="720"/>
        <w:jc w:val="both"/>
      </w:pPr>
      <w:r>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14:paraId="7F6EDF22" w14:textId="77777777" w:rsidR="006D3F24" w:rsidRDefault="005C2B11" w:rsidP="00F91E99">
      <w:pPr>
        <w:shd w:val="clear" w:color="auto" w:fill="FFFFFF"/>
        <w:spacing w:before="240" w:after="240" w:line="360" w:lineRule="auto"/>
        <w:ind w:right="-981"/>
        <w:jc w:val="center"/>
        <w:rPr>
          <w:rFonts w:ascii="Palatino Linotype" w:eastAsia="Palatino Linotype" w:hAnsi="Palatino Linotype" w:cs="Palatino Linotype"/>
          <w:color w:val="222222"/>
        </w:rPr>
      </w:pPr>
      <w:r>
        <w:rPr>
          <w:noProof/>
        </w:rPr>
        <w:lastRenderedPageBreak/>
        <w:drawing>
          <wp:inline distT="0" distB="0" distL="0" distR="0" wp14:anchorId="2CC43E40" wp14:editId="7F94E866">
            <wp:extent cx="5305425" cy="4676775"/>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l="25747" t="8269" r="41253" b="18081"/>
                    <a:stretch>
                      <a:fillRect/>
                    </a:stretch>
                  </pic:blipFill>
                  <pic:spPr>
                    <a:xfrm>
                      <a:off x="0" y="0"/>
                      <a:ext cx="5305425" cy="4676775"/>
                    </a:xfrm>
                    <a:prstGeom prst="rect">
                      <a:avLst/>
                    </a:prstGeom>
                    <a:ln/>
                  </pic:spPr>
                </pic:pic>
              </a:graphicData>
            </a:graphic>
          </wp:inline>
        </w:drawing>
      </w:r>
    </w:p>
    <w:p w14:paraId="5B732B10"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14:paraId="6C47EDA3"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 xml:space="preserve">Entre las características de la CURP, se encuentra: </w:t>
      </w:r>
    </w:p>
    <w:p w14:paraId="1E74647A" w14:textId="77777777" w:rsidR="006D3F24" w:rsidRDefault="005C2B11">
      <w:pPr>
        <w:pBdr>
          <w:top w:val="nil"/>
          <w:left w:val="nil"/>
          <w:bottom w:val="nil"/>
          <w:right w:val="nil"/>
          <w:between w:val="nil"/>
        </w:pBdr>
        <w:tabs>
          <w:tab w:val="left" w:pos="426"/>
          <w:tab w:val="left" w:pos="567"/>
        </w:tabs>
        <w:spacing w:line="360" w:lineRule="auto"/>
        <w:ind w:left="851" w:right="-98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Composición. </w:t>
      </w:r>
      <w:r>
        <w:rPr>
          <w:rFonts w:ascii="Palatino Linotype" w:eastAsia="Palatino Linotype" w:hAnsi="Palatino Linotype" w:cs="Palatino Linotype"/>
          <w:color w:val="000000"/>
        </w:rPr>
        <w:t>Alfanumérica.</w:t>
      </w:r>
    </w:p>
    <w:p w14:paraId="723F6346" w14:textId="77777777" w:rsidR="006D3F24" w:rsidRDefault="005C2B11">
      <w:pPr>
        <w:pBdr>
          <w:top w:val="nil"/>
          <w:left w:val="nil"/>
          <w:bottom w:val="nil"/>
          <w:right w:val="nil"/>
          <w:between w:val="nil"/>
        </w:pBdr>
        <w:tabs>
          <w:tab w:val="left" w:pos="426"/>
          <w:tab w:val="left" w:pos="567"/>
        </w:tabs>
        <w:spacing w:line="360" w:lineRule="auto"/>
        <w:ind w:left="851" w:right="-98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Longitud. </w:t>
      </w:r>
      <w:r>
        <w:rPr>
          <w:rFonts w:ascii="Palatino Linotype" w:eastAsia="Palatino Linotype" w:hAnsi="Palatino Linotype" w:cs="Palatino Linotype"/>
          <w:color w:val="000000"/>
        </w:rPr>
        <w:t xml:space="preserve"> 18 caracteres.</w:t>
      </w:r>
    </w:p>
    <w:p w14:paraId="04D07529" w14:textId="77777777" w:rsidR="006D3F24" w:rsidRDefault="005C2B11">
      <w:pPr>
        <w:pBdr>
          <w:top w:val="nil"/>
          <w:left w:val="nil"/>
          <w:bottom w:val="nil"/>
          <w:right w:val="nil"/>
          <w:between w:val="nil"/>
        </w:pBdr>
        <w:tabs>
          <w:tab w:val="left" w:pos="426"/>
          <w:tab w:val="left" w:pos="567"/>
        </w:tabs>
        <w:spacing w:line="360" w:lineRule="auto"/>
        <w:ind w:left="851" w:right="-98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Naturaleza. </w:t>
      </w:r>
      <w:r>
        <w:rPr>
          <w:rFonts w:ascii="Palatino Linotype" w:eastAsia="Palatino Linotype" w:hAnsi="Palatino Linotype" w:cs="Palatino Linotype"/>
          <w:color w:val="000000"/>
        </w:rPr>
        <w:t>Biunívoca.</w:t>
      </w:r>
    </w:p>
    <w:p w14:paraId="4C2B5BC4" w14:textId="77777777" w:rsidR="006D3F24" w:rsidRDefault="005C2B11">
      <w:pPr>
        <w:pBdr>
          <w:top w:val="nil"/>
          <w:left w:val="nil"/>
          <w:bottom w:val="nil"/>
          <w:right w:val="nil"/>
          <w:between w:val="nil"/>
        </w:pBdr>
        <w:tabs>
          <w:tab w:val="left" w:pos="426"/>
          <w:tab w:val="left" w:pos="567"/>
        </w:tabs>
        <w:spacing w:line="360" w:lineRule="auto"/>
        <w:ind w:left="851" w:right="-98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 xml:space="preserve">Universalidad. </w:t>
      </w:r>
      <w:r>
        <w:rPr>
          <w:rFonts w:ascii="Palatino Linotype" w:eastAsia="Palatino Linotype" w:hAnsi="Palatino Linotype" w:cs="Palatino Linotype"/>
          <w:color w:val="000000"/>
        </w:rPr>
        <w:t>Se asigna a todas las personas que conforman la población.</w:t>
      </w:r>
    </w:p>
    <w:p w14:paraId="366C5F0C" w14:textId="77777777" w:rsidR="006D3F24" w:rsidRDefault="005C2B11">
      <w:pPr>
        <w:pBdr>
          <w:top w:val="nil"/>
          <w:left w:val="nil"/>
          <w:bottom w:val="nil"/>
          <w:right w:val="nil"/>
          <w:between w:val="nil"/>
        </w:pBdr>
        <w:tabs>
          <w:tab w:val="left" w:pos="426"/>
          <w:tab w:val="left" w:pos="567"/>
        </w:tabs>
        <w:spacing w:line="360" w:lineRule="auto"/>
        <w:ind w:left="851"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14:paraId="768717F6"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37AF38F2"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58286A10"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14:paraId="2179D2F6" w14:textId="77777777" w:rsidR="006D3F24" w:rsidRDefault="005C2B11">
      <w:pPr>
        <w:pBdr>
          <w:top w:val="nil"/>
          <w:left w:val="nil"/>
          <w:bottom w:val="nil"/>
          <w:right w:val="nil"/>
          <w:between w:val="nil"/>
        </w:pBdr>
        <w:tabs>
          <w:tab w:val="left" w:pos="567"/>
        </w:tabs>
        <w:spacing w:line="360" w:lineRule="auto"/>
        <w:ind w:left="360" w:right="-981"/>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Clave Única de Registro de Población (CURP). </w:t>
      </w:r>
      <w:r>
        <w:rPr>
          <w:rFonts w:ascii="Palatino Linotype" w:eastAsia="Palatino Linotype" w:hAnsi="Palatino Linotype" w:cs="Palatino Linotype"/>
          <w:i/>
          <w:iCs/>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w:t>
      </w:r>
    </w:p>
    <w:p w14:paraId="428870BD" w14:textId="77777777" w:rsidR="006D3F24" w:rsidRDefault="005C2B11">
      <w:pPr>
        <w:pStyle w:val="Ttulo3"/>
        <w:numPr>
          <w:ilvl w:val="0"/>
          <w:numId w:val="19"/>
        </w:numPr>
        <w:ind w:right="-98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Clave ISSEMyM</w:t>
      </w:r>
    </w:p>
    <w:p w14:paraId="0759DAB4"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1D27EF47"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20134000" w14:textId="77777777" w:rsidR="006D3F24" w:rsidRDefault="005C2B11">
      <w:pPr>
        <w:numPr>
          <w:ilvl w:val="0"/>
          <w:numId w:val="2"/>
        </w:numPr>
        <w:shd w:val="clear" w:color="auto" w:fill="FFFFFF"/>
        <w:spacing w:before="240" w:after="240" w:line="360" w:lineRule="auto"/>
        <w:ind w:left="0" w:right="-981" w:firstLine="0"/>
        <w:jc w:val="both"/>
      </w:pPr>
      <w:bookmarkStart w:id="5" w:name="_heading=h.26in1rg" w:colFirst="0" w:colLast="0"/>
      <w:bookmarkEnd w:id="5"/>
      <w:r>
        <w:rPr>
          <w:rFonts w:ascii="Palatino Linotype" w:eastAsia="Palatino Linotype" w:hAnsi="Palatino Linotype" w:cs="Palatino Linotype"/>
          <w:color w:val="000000"/>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1D8B053C" w14:textId="77777777" w:rsidR="006D3F24" w:rsidRDefault="005C2B11">
      <w:pPr>
        <w:pStyle w:val="Ttulo3"/>
        <w:numPr>
          <w:ilvl w:val="0"/>
          <w:numId w:val="19"/>
        </w:numPr>
        <w:ind w:right="-98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Número de empleado.</w:t>
      </w:r>
    </w:p>
    <w:p w14:paraId="7954A257" w14:textId="77777777" w:rsidR="006D3F24" w:rsidRDefault="005C2B11">
      <w:pPr>
        <w:numPr>
          <w:ilvl w:val="0"/>
          <w:numId w:val="2"/>
        </w:numPr>
        <w:shd w:val="clear" w:color="auto" w:fill="FFFFFF"/>
        <w:spacing w:before="240" w:after="240" w:line="360" w:lineRule="auto"/>
        <w:ind w:left="0" w:right="-981" w:hanging="142"/>
        <w:jc w:val="both"/>
      </w:pPr>
      <w:r>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14:paraId="3EE4D1C0" w14:textId="77777777" w:rsidR="006D3F24" w:rsidRDefault="005C2B11">
      <w:pPr>
        <w:numPr>
          <w:ilvl w:val="0"/>
          <w:numId w:val="2"/>
        </w:numPr>
        <w:shd w:val="clear" w:color="auto" w:fill="FFFFFF"/>
        <w:spacing w:before="240" w:after="240" w:line="360" w:lineRule="auto"/>
        <w:ind w:left="0" w:right="-981" w:hanging="142"/>
        <w:jc w:val="both"/>
      </w:pPr>
      <w:r>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14:paraId="6B4F8D30"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Número de empleado.</w:t>
      </w:r>
      <w:r>
        <w:rPr>
          <w:rFonts w:ascii="Palatino Linotype" w:eastAsia="Palatino Linotype" w:hAnsi="Palatino Linotype" w:cs="Palatino Linotype"/>
          <w:i/>
          <w:iCs/>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14:paraId="65E84D7E"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14:paraId="1BF1B9B6" w14:textId="77777777" w:rsidR="006D3F24" w:rsidRDefault="005C2B11">
      <w:pPr>
        <w:pStyle w:val="Ttulo3"/>
        <w:numPr>
          <w:ilvl w:val="0"/>
          <w:numId w:val="19"/>
        </w:numPr>
        <w:ind w:right="-98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Registro Federal de Contribuyentes (RFC)</w:t>
      </w:r>
    </w:p>
    <w:p w14:paraId="236E33EA"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 xml:space="preserve">El RFC es el Registro Federal de Contribuyentes, esta inscripción es realizada por el Servicio de Administración Tributaria, quien entrega una cédula de identificación fiscal en </w:t>
      </w:r>
      <w:r>
        <w:rPr>
          <w:rFonts w:ascii="Palatino Linotype" w:eastAsia="Palatino Linotype" w:hAnsi="Palatino Linotype" w:cs="Palatino Linotype"/>
          <w:color w:val="000000"/>
        </w:rPr>
        <w:lastRenderedPageBreak/>
        <w:t>donde consta la clave que asigna este órgano desconcentrado de la Secretaría de Hacienda y Crédito Público, de acuerdo al artículo 27 del Código Fiscal de la Federación.</w:t>
      </w:r>
    </w:p>
    <w:p w14:paraId="55CA65B5"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50ACB874"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0D2D22F8"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17A33BFE"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14:paraId="6C414614"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Registro Federal de Contribuyentes (RFC) de personas físicas. </w:t>
      </w:r>
    </w:p>
    <w:p w14:paraId="1F2A600F"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El RFC es una clave de carácter fiscal, única e irrepetible, que permite identificar al titular, su edad y fecha de nacimiento, por lo que es un dato personal de carácter confidencial.</w:t>
      </w:r>
    </w:p>
    <w:p w14:paraId="37B3DD6A" w14:textId="77777777" w:rsidR="006D3F24" w:rsidRDefault="005C2B11">
      <w:pPr>
        <w:numPr>
          <w:ilvl w:val="0"/>
          <w:numId w:val="2"/>
        </w:numPr>
        <w:shd w:val="clear" w:color="auto" w:fill="FFFFFF"/>
        <w:spacing w:before="240" w:after="240" w:line="360" w:lineRule="auto"/>
        <w:ind w:left="0" w:right="-981" w:firstLine="0"/>
        <w:jc w:val="both"/>
      </w:pPr>
      <w:bookmarkStart w:id="6" w:name="_heading=h.35nkun2" w:colFirst="0" w:colLast="0"/>
      <w:bookmarkEnd w:id="6"/>
      <w:r>
        <w:rPr>
          <w:rFonts w:ascii="Palatino Linotype" w:eastAsia="Palatino Linotype" w:hAnsi="Palatino Linotype" w:cs="Palatino Linotype"/>
          <w:b/>
          <w:bCs/>
          <w:color w:val="000000"/>
        </w:rPr>
        <w:t>De tal suerte, el Registro Federal de Contribuyentes de las personas físicas no guarda relación con la transparencia de los recursos públicos</w:t>
      </w:r>
      <w:r>
        <w:rPr>
          <w:rFonts w:ascii="Palatino Linotype" w:eastAsia="Palatino Linotype" w:hAnsi="Palatino Linotype" w:cs="Palatino Linotype"/>
          <w:color w:val="000000"/>
        </w:rPr>
        <w:t>, así como tampoco con el desempeño laboral que pueda tener una persona.</w:t>
      </w:r>
    </w:p>
    <w:p w14:paraId="0A420DAB" w14:textId="77777777" w:rsidR="006D3F24" w:rsidRDefault="005C2B11">
      <w:pPr>
        <w:pStyle w:val="Ttulo3"/>
        <w:numPr>
          <w:ilvl w:val="0"/>
          <w:numId w:val="19"/>
        </w:numPr>
        <w:ind w:right="-98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Deducciones personales</w:t>
      </w:r>
    </w:p>
    <w:p w14:paraId="23130AA7"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Pr>
          <w:rFonts w:ascii="Palatino Linotype" w:eastAsia="Palatino Linotype" w:hAnsi="Palatino Linotype" w:cs="Palatino Linotype"/>
          <w:b/>
          <w:bCs/>
          <w:color w:val="000000"/>
          <w:u w:val="single"/>
        </w:rPr>
        <w:t>cuotas sindicales y fondo de resistencia del Sindicato Único de Trabajadores de los Poderes, Municipios e Institución Descentralizadas del Estado de México</w:t>
      </w:r>
      <w:r>
        <w:rPr>
          <w:rFonts w:ascii="Palatino Linotype" w:eastAsia="Palatino Linotype" w:hAnsi="Palatino Linotype" w:cs="Palatino Linotype"/>
          <w:color w:val="000000"/>
        </w:rPr>
        <w:t>, seguro de vida, accidentes y enfermedades.</w:t>
      </w:r>
    </w:p>
    <w:p w14:paraId="2C8C5E9E"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14:paraId="2016A4D9"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14:paraId="1FBEDD52" w14:textId="77777777" w:rsidR="006D3F24" w:rsidRDefault="005C2B11">
      <w:pPr>
        <w:numPr>
          <w:ilvl w:val="0"/>
          <w:numId w:val="2"/>
        </w:numPr>
        <w:shd w:val="clear" w:color="auto" w:fill="FFFFFF"/>
        <w:spacing w:before="240" w:after="240" w:line="360" w:lineRule="auto"/>
        <w:ind w:left="0" w:right="-981" w:firstLine="0"/>
        <w:jc w:val="both"/>
      </w:pPr>
      <w:bookmarkStart w:id="7" w:name="_heading=h.1ksv4uv" w:colFirst="0" w:colLast="0"/>
      <w:bookmarkEnd w:id="7"/>
      <w:r>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p>
    <w:p w14:paraId="783D4703" w14:textId="77777777" w:rsidR="006D3F24" w:rsidRDefault="005C2B11">
      <w:pPr>
        <w:pStyle w:val="Ttulo3"/>
        <w:numPr>
          <w:ilvl w:val="0"/>
          <w:numId w:val="19"/>
        </w:numPr>
        <w:ind w:right="-98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CÓDIGO QR</w:t>
      </w:r>
    </w:p>
    <w:p w14:paraId="61DA2F14"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 xml:space="preserve">En principio, resulta necesario señalar que los comprobantes fiscales digitales por Internet, deben de incluir un código bidimensional conforme al formato </w:t>
      </w:r>
      <w:r>
        <w:rPr>
          <w:rFonts w:ascii="Palatino Linotype" w:eastAsia="Palatino Linotype" w:hAnsi="Palatino Linotype" w:cs="Palatino Linotype"/>
          <w:i/>
          <w:iCs/>
          <w:color w:val="000000"/>
        </w:rPr>
        <w:t>QR Code (Quick Response Code)</w:t>
      </w:r>
      <w:r>
        <w:rPr>
          <w:rFonts w:ascii="Palatino Linotype" w:eastAsia="Palatino Linotype" w:hAnsi="Palatino Linotype" w:cs="Palatino Linotype"/>
          <w:color w:val="000000"/>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20">
        <w:r>
          <w:rPr>
            <w:rFonts w:ascii="Palatino Linotype" w:eastAsia="Palatino Linotype" w:hAnsi="Palatino Linotype" w:cs="Palatino Linotype"/>
            <w:color w:val="0563C1"/>
            <w:u w:val="single"/>
          </w:rPr>
          <w:t>http://dof.gob.mx/nota_detalle.php?codigo=5492254&amp;fecha=28/07/2017</w:t>
        </w:r>
      </w:hyperlink>
      <w:r>
        <w:rPr>
          <w:rFonts w:ascii="Palatino Linotype" w:eastAsia="Palatino Linotype" w:hAnsi="Palatino Linotype" w:cs="Palatino Linotype"/>
          <w:color w:val="000000"/>
        </w:rPr>
        <w:t>. Incluso con la captura de dicho código, a través de la aplicación móvil del Servicio de Administración Tributaria, permite el acceso al Registro Federal de Contribuyentes, como del Sujeto Obligado, como de los servidores públicos.</w:t>
      </w:r>
    </w:p>
    <w:p w14:paraId="0A4D0F2D"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14:paraId="494BDCF5"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Hasta este punto, se considera que la información relacionada con los siguientes puntos actualiza una causal de confidencialidad, toda vez que identifica o hace identificable a su titular.</w:t>
      </w:r>
    </w:p>
    <w:p w14:paraId="7E6871E6" w14:textId="77777777" w:rsidR="006D3F24" w:rsidRDefault="005C2B11">
      <w:pPr>
        <w:numPr>
          <w:ilvl w:val="0"/>
          <w:numId w:val="11"/>
        </w:num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Clave Única de Registro de Población (CURP)</w:t>
      </w:r>
    </w:p>
    <w:p w14:paraId="07E68F07" w14:textId="77777777" w:rsidR="006D3F24" w:rsidRDefault="005C2B11">
      <w:pPr>
        <w:numPr>
          <w:ilvl w:val="0"/>
          <w:numId w:val="11"/>
        </w:num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Clave ISSEMyM</w:t>
      </w:r>
    </w:p>
    <w:p w14:paraId="3309A66F" w14:textId="77777777" w:rsidR="006D3F24" w:rsidRDefault="005C2B11">
      <w:pPr>
        <w:numPr>
          <w:ilvl w:val="0"/>
          <w:numId w:val="11"/>
        </w:num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Número de empleado </w:t>
      </w:r>
      <w:r>
        <w:rPr>
          <w:rFonts w:ascii="Palatino Linotype" w:eastAsia="Palatino Linotype" w:hAnsi="Palatino Linotype" w:cs="Palatino Linotype"/>
          <w:b/>
          <w:bCs/>
          <w:color w:val="000000"/>
        </w:rPr>
        <w:t>(sólo en el caso de que contenga datos personales o se relacione con los mismos, de lo contrario es información pública)</w:t>
      </w:r>
    </w:p>
    <w:p w14:paraId="1442AE38" w14:textId="77777777" w:rsidR="006D3F24" w:rsidRDefault="005C2B11">
      <w:pPr>
        <w:numPr>
          <w:ilvl w:val="0"/>
          <w:numId w:val="11"/>
        </w:num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Registro Federal de Contribuyentes (RFC)</w:t>
      </w:r>
    </w:p>
    <w:p w14:paraId="5D224F2B" w14:textId="77777777" w:rsidR="006D3F24" w:rsidRDefault="005C2B11">
      <w:pPr>
        <w:numPr>
          <w:ilvl w:val="0"/>
          <w:numId w:val="11"/>
        </w:num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Deducciones personales</w:t>
      </w:r>
    </w:p>
    <w:p w14:paraId="084400A3" w14:textId="77777777" w:rsidR="006D3F24" w:rsidRDefault="005C2B11">
      <w:pPr>
        <w:numPr>
          <w:ilvl w:val="0"/>
          <w:numId w:val="11"/>
        </w:numPr>
        <w:pBdr>
          <w:top w:val="nil"/>
          <w:left w:val="nil"/>
          <w:bottom w:val="nil"/>
          <w:right w:val="nil"/>
          <w:between w:val="nil"/>
        </w:pBdr>
        <w:spacing w:line="360" w:lineRule="auto"/>
        <w:ind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Código QR</w:t>
      </w:r>
    </w:p>
    <w:p w14:paraId="33D922CA"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14:paraId="2C18745A"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14:paraId="413479C9" w14:textId="77777777" w:rsidR="006D3F24" w:rsidRDefault="005C2B11">
      <w:pPr>
        <w:numPr>
          <w:ilvl w:val="0"/>
          <w:numId w:val="2"/>
        </w:numPr>
        <w:shd w:val="clear" w:color="auto" w:fill="FFFFFF"/>
        <w:spacing w:before="240" w:after="240" w:line="360" w:lineRule="auto"/>
        <w:ind w:left="0" w:right="-981" w:firstLine="0"/>
        <w:jc w:val="both"/>
      </w:pPr>
      <w:bookmarkStart w:id="8" w:name="_heading=h.44sinio" w:colFirst="0" w:colLast="0"/>
      <w:bookmarkEnd w:id="8"/>
      <w:r>
        <w:rPr>
          <w:rFonts w:ascii="Palatino Linotype" w:eastAsia="Palatino Linotype" w:hAnsi="Palatino Linotype" w:cs="Palatino Linotype"/>
          <w:color w:val="000000"/>
        </w:rPr>
        <w:t>Ahora bien, siguiendo con el análisis de los datos que contienen los recibos remitidos, siguen los siguientes:</w:t>
      </w:r>
    </w:p>
    <w:p w14:paraId="1530ECBD" w14:textId="77777777" w:rsidR="006D3F24" w:rsidRDefault="005C2B11">
      <w:pPr>
        <w:pStyle w:val="Ttulo3"/>
        <w:numPr>
          <w:ilvl w:val="0"/>
          <w:numId w:val="23"/>
        </w:numPr>
        <w:spacing w:line="360" w:lineRule="auto"/>
        <w:ind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Sellos digitales del emisor y del Servicio de Administración Tributaria y cadena original del complemento de certificación digital del órgano previamente señalado; así como folio fiscal. (PUBLICOS)</w:t>
      </w:r>
    </w:p>
    <w:p w14:paraId="10F6C489"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 xml:space="preserve">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w:t>
      </w:r>
      <w:r>
        <w:rPr>
          <w:rFonts w:ascii="Palatino Linotype" w:eastAsia="Palatino Linotype" w:hAnsi="Palatino Linotype" w:cs="Palatino Linotype"/>
          <w:color w:val="000000"/>
        </w:rPr>
        <w:lastRenderedPageBreak/>
        <w:t>directa a la Secretaría de Hacienda y Crédito Público y si bien, dichas cadenas sí derivan de la información personal de los contribuyentes, esta se encuentra encriptada como se verá a continuación.</w:t>
      </w:r>
    </w:p>
    <w:p w14:paraId="65DE863F"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Las cadenas originales y sellos que se agregan a las facturas</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14:paraId="24D10DDC"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“Elementos utilizados en la generación de Sellos Digitales:</w:t>
      </w:r>
    </w:p>
    <w:p w14:paraId="030D64C7"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•Cadena Original, el elemento a sellar, en este caso de un comprobante fiscal digital a través de Internet.</w:t>
      </w:r>
    </w:p>
    <w:p w14:paraId="33DFCE15"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•Certificado de Sello Digital y su correspondiente clave privada.</w:t>
      </w:r>
    </w:p>
    <w:p w14:paraId="2BF1C06B"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•Algoritmos de criptografía de clave pública para firma electrónica avanzada.</w:t>
      </w:r>
    </w:p>
    <w:p w14:paraId="746F899B"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•Especificaciones de conversión de la firma electrónica avanzada a Base 64.</w:t>
      </w:r>
    </w:p>
    <w:p w14:paraId="75FEFD1C" w14:textId="77777777" w:rsidR="006D3F24" w:rsidRDefault="005C2B11">
      <w:pPr>
        <w:spacing w:line="360" w:lineRule="auto"/>
        <w:ind w:left="851" w:right="-981"/>
        <w:jc w:val="both"/>
        <w:rPr>
          <w:rFonts w:ascii="Palatino Linotype" w:eastAsia="Palatino Linotype" w:hAnsi="Palatino Linotype" w:cs="Palatino Linotype"/>
          <w:i/>
          <w:iCs/>
        </w:rPr>
      </w:pPr>
      <w:r>
        <w:rPr>
          <w:rFonts w:ascii="Palatino Linotype" w:eastAsia="Palatino Linotype" w:hAnsi="Palatino Linotype" w:cs="Palatino Linotype"/>
          <w:i/>
          <w:iCs/>
        </w:rPr>
        <w:t>Para la generación de sellos digitales se utiliza criptografía de clave pública aplicada a una cadena original.</w:t>
      </w:r>
    </w:p>
    <w:p w14:paraId="52411A79"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Criptografía de la Clave Pública</w:t>
      </w:r>
    </w:p>
    <w:p w14:paraId="26A1852D"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1D7ED46F"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lastRenderedPageBreak/>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25A86BEF"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Por otra parte,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14:paraId="49417FD9" w14:textId="77777777" w:rsidR="006D3F24" w:rsidRDefault="005C2B11">
      <w:pPr>
        <w:shd w:val="clear" w:color="auto" w:fill="FFFFFF"/>
        <w:spacing w:before="240" w:after="240" w:line="360" w:lineRule="auto"/>
        <w:ind w:right="-981"/>
        <w:jc w:val="both"/>
        <w:rPr>
          <w:rFonts w:ascii="Palatino Linotype" w:eastAsia="Palatino Linotype" w:hAnsi="Palatino Linotype" w:cs="Palatino Linotype"/>
          <w:color w:val="222222"/>
        </w:rPr>
      </w:pPr>
      <w:r>
        <w:rPr>
          <w:rFonts w:ascii="Palatino Linotype" w:eastAsia="Palatino Linotype" w:hAnsi="Palatino Linotype" w:cs="Palatino Linotype"/>
          <w:noProof/>
        </w:rPr>
        <w:drawing>
          <wp:inline distT="0" distB="0" distL="0" distR="0" wp14:anchorId="0EA49861" wp14:editId="5B767683">
            <wp:extent cx="5612130" cy="424735"/>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t="40505" r="32587" b="47481"/>
                    <a:stretch>
                      <a:fillRect/>
                    </a:stretch>
                  </pic:blipFill>
                  <pic:spPr>
                    <a:xfrm>
                      <a:off x="0" y="0"/>
                      <a:ext cx="5612130" cy="424735"/>
                    </a:xfrm>
                    <a:prstGeom prst="rect">
                      <a:avLst/>
                    </a:prstGeom>
                    <a:ln/>
                  </pic:spPr>
                </pic:pic>
              </a:graphicData>
            </a:graphic>
          </wp:inline>
        </w:drawing>
      </w:r>
    </w:p>
    <w:p w14:paraId="70D2815E"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14:paraId="56B9F5AC"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color w:val="000000"/>
        </w:rPr>
        <w:lastRenderedPageBreak/>
        <w:t>De lo anteriormente transcrito, se aprecia que la versión pública que remitió el Sujeto Obligado resulta excesiva, pues se pretende clasificar información que es de carácter pública, tal como las deducciones, total de deducciones, otros pagos, así como sellos y cadenas digitales. Además, de que la información que se proporcione en la atención de las solicitudes debe ser la más actualizada, es decir, la solicitud de acceso a la información corresponde al veintinueve (29) de mayo de dos mil veintitrés, por lo que, en un correcto actuar, el Sujeto Obligado debió proporcionar la información relativa a la primera quince del mes de mayo, situación que no ocurrió, en consecuencia, se ORDENA entregar esta última en una correcta versión pública.</w:t>
      </w:r>
    </w:p>
    <w:p w14:paraId="3712B182" w14:textId="77777777" w:rsidR="006D3F24" w:rsidRDefault="005C2B11">
      <w:pPr>
        <w:pBdr>
          <w:top w:val="nil"/>
          <w:left w:val="nil"/>
          <w:bottom w:val="nil"/>
          <w:right w:val="nil"/>
          <w:between w:val="nil"/>
        </w:pBdr>
        <w:spacing w:line="360" w:lineRule="auto"/>
        <w:ind w:right="-98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Deducciones que no son personales.</w:t>
      </w:r>
    </w:p>
    <w:p w14:paraId="6330A2E3"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rPr>
        <w:t>La Ley del Trabajo de los Servidores Públicos del Estado y Municipios</w:t>
      </w:r>
      <w:r>
        <w:rPr>
          <w:rFonts w:ascii="Palatino Linotype" w:eastAsia="Palatino Linotype" w:hAnsi="Palatino Linotype" w:cs="Palatino Linotype"/>
          <w:vertAlign w:val="superscript"/>
        </w:rPr>
        <w:footnoteReference w:id="12"/>
      </w:r>
      <w:r>
        <w:rPr>
          <w:rFonts w:ascii="Palatino Linotype" w:eastAsia="Palatino Linotype" w:hAnsi="Palatino Linotype" w:cs="Palatino Linotype"/>
        </w:rPr>
        <w:t xml:space="preserve"> en el artículo 84 establece lo siguiente:</w:t>
      </w:r>
    </w:p>
    <w:p w14:paraId="5BE5D66C"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84. Sólo podrán hacerse retenciones, descuentos o deducciones al sueldo de los servidores públicos por concepto de: </w:t>
      </w:r>
    </w:p>
    <w:p w14:paraId="1B5FE605"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 Gravámenes fiscales relacionados con el sueldo;</w:t>
      </w:r>
    </w:p>
    <w:p w14:paraId="4908202A"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Deudas contraídas con las instituciones públicas o dependencias por concepto de anticipos de sueldo, pagos hechos con exceso, errores o pérdidas debidamente comprobados; </w:t>
      </w:r>
    </w:p>
    <w:p w14:paraId="57C6B6A2"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Cuotas sindicales; </w:t>
      </w:r>
    </w:p>
    <w:p w14:paraId="7D595AB6"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IV. Cuotas de aportación a fondos para la constitución de cooperativas y de cajas de ahorro, siempre que el servidor público hubiese manifestado previamente, de manera expresa, su conformidad; </w:t>
      </w:r>
    </w:p>
    <w:p w14:paraId="67F9ED9A"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V. Descuentos ordenados por el Instituto de Seguridad Social del Estado de México y Municipios, con motivo de cuotas y obligaciones contraídas con éste por los servidores públicos; </w:t>
      </w:r>
    </w:p>
    <w:p w14:paraId="7A1D25F4"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Obligaciones a cargo del servidor público con las que haya consentido, derivadas de la adquisición o del uso de habitaciones consideradas como de interés social; </w:t>
      </w:r>
    </w:p>
    <w:p w14:paraId="4B45E8E4"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Faltas de puntualidad o de asistencia injustificadas; </w:t>
      </w:r>
    </w:p>
    <w:p w14:paraId="5404585B"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Pensiones alimenticias ordenadas por la autoridad judicial; o </w:t>
      </w:r>
    </w:p>
    <w:p w14:paraId="45BE799E" w14:textId="77777777" w:rsidR="006D3F24" w:rsidRDefault="005C2B11">
      <w:pPr>
        <w:pBdr>
          <w:top w:val="nil"/>
          <w:left w:val="nil"/>
          <w:bottom w:val="nil"/>
          <w:right w:val="nil"/>
          <w:between w:val="nil"/>
        </w:pBdr>
        <w:spacing w:line="360" w:lineRule="auto"/>
        <w:ind w:left="851"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IX. Cualquier otro convenido con instituciones de servicios y aceptado por el servidor público.</w:t>
      </w:r>
    </w:p>
    <w:p w14:paraId="374C8514"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rPr>
        <w:t>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públicos contrario a las deducciones personales que son por voluntad de cada servidor público.</w:t>
      </w:r>
    </w:p>
    <w:p w14:paraId="0D9A3293" w14:textId="77777777" w:rsidR="006D3F24" w:rsidRDefault="005C2B11">
      <w:pPr>
        <w:numPr>
          <w:ilvl w:val="0"/>
          <w:numId w:val="23"/>
        </w:num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Seguro de Capitalización Individualizado.</w:t>
      </w:r>
    </w:p>
    <w:p w14:paraId="6F92F0DD"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rPr>
        <w:t>El Sistema de Capitalización Individualizado es el mecanismo mediante el cual, un servidor público y la Institución en la que labora, acumulan recursos, adicionales a su pensión; mismo que se integra hasta por tres rubros, los cuales son los siguientes:</w:t>
      </w:r>
    </w:p>
    <w:p w14:paraId="732F48B7" w14:textId="77777777" w:rsidR="006D3F24" w:rsidRDefault="005C2B11">
      <w:pPr>
        <w:pBdr>
          <w:top w:val="nil"/>
          <w:left w:val="nil"/>
          <w:bottom w:val="nil"/>
          <w:right w:val="nil"/>
          <w:between w:val="nil"/>
        </w:pBdr>
        <w:spacing w:line="360" w:lineRule="auto"/>
        <w:ind w:left="720"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w:t>
      </w:r>
      <w:r>
        <w:rPr>
          <w:rFonts w:ascii="Palatino Linotype" w:eastAsia="Palatino Linotype" w:hAnsi="Palatino Linotype" w:cs="Palatino Linotype"/>
          <w:color w:val="000000"/>
        </w:rPr>
        <w:tab/>
        <w:t>Subcuenta de cuota obligatoria; que corresponde a un porcentaje del sueldo sujeto a cotización, que se descuenta al servir público de manera automática.</w:t>
      </w:r>
    </w:p>
    <w:p w14:paraId="78058D30" w14:textId="77777777" w:rsidR="006D3F24" w:rsidRDefault="005C2B11">
      <w:pPr>
        <w:pBdr>
          <w:top w:val="nil"/>
          <w:left w:val="nil"/>
          <w:bottom w:val="nil"/>
          <w:right w:val="nil"/>
          <w:between w:val="nil"/>
        </w:pBdr>
        <w:spacing w:line="360" w:lineRule="auto"/>
        <w:ind w:left="720"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w:t>
      </w:r>
      <w:r>
        <w:rPr>
          <w:rFonts w:ascii="Palatino Linotype" w:eastAsia="Palatino Linotype" w:hAnsi="Palatino Linotype" w:cs="Palatino Linotype"/>
          <w:color w:val="000000"/>
        </w:rPr>
        <w:tab/>
        <w:t>Subcuenta de aportación obligatoria: que es la aportación que realiza la Institución a favor del servidor público, el cual equivale a un porcentaje del sueldo sujeto a cotización.</w:t>
      </w:r>
    </w:p>
    <w:p w14:paraId="08065C42" w14:textId="77777777" w:rsidR="006D3F24" w:rsidRDefault="005C2B11">
      <w:pPr>
        <w:pBdr>
          <w:top w:val="nil"/>
          <w:left w:val="nil"/>
          <w:bottom w:val="nil"/>
          <w:right w:val="nil"/>
          <w:between w:val="nil"/>
        </w:pBdr>
        <w:spacing w:line="360" w:lineRule="auto"/>
        <w:ind w:left="720"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w:t>
      </w:r>
      <w:r>
        <w:rPr>
          <w:rFonts w:ascii="Palatino Linotype" w:eastAsia="Palatino Linotype" w:hAnsi="Palatino Linotype" w:cs="Palatino Linotype"/>
          <w:color w:val="000000"/>
        </w:rPr>
        <w:tab/>
        <w:t xml:space="preserve">Subcuenta voluntaria: que es la cantidad que cada servidor público decide ahorrar de acuerdo con sus aportaciones, permitiendo acumular mayores ingresos para su retiro. </w:t>
      </w:r>
    </w:p>
    <w:p w14:paraId="770E0027"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rPr>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14:paraId="6F28D080" w14:textId="77777777" w:rsidR="006D3F24" w:rsidRDefault="005C2B11">
      <w:pPr>
        <w:pBdr>
          <w:top w:val="nil"/>
          <w:left w:val="nil"/>
          <w:bottom w:val="nil"/>
          <w:right w:val="nil"/>
          <w:between w:val="nil"/>
        </w:pBdr>
        <w:spacing w:line="360" w:lineRule="auto"/>
        <w:ind w:left="567" w:right="-98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w:t>
      </w:r>
      <w:r>
        <w:rPr>
          <w:rFonts w:ascii="Palatino Linotype" w:eastAsia="Palatino Linotype" w:hAnsi="Palatino Linotype" w:cs="Palatino Linotype"/>
          <w:i/>
          <w:iCs/>
          <w:color w:val="000000"/>
        </w:rPr>
        <w:lastRenderedPageBreak/>
        <w:t>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Pr>
          <w:rFonts w:ascii="Palatino Linotype" w:eastAsia="Palatino Linotype" w:hAnsi="Palatino Linotype" w:cs="Palatino Linotype"/>
          <w:color w:val="000000"/>
        </w:rPr>
        <w:t xml:space="preserve"> </w:t>
      </w:r>
    </w:p>
    <w:p w14:paraId="0BD3B3EB" w14:textId="77777777" w:rsidR="006D3F24" w:rsidRDefault="005C2B11">
      <w:pPr>
        <w:numPr>
          <w:ilvl w:val="0"/>
          <w:numId w:val="2"/>
        </w:numPr>
        <w:shd w:val="clear" w:color="auto" w:fill="FFFFFF"/>
        <w:spacing w:before="240" w:after="240" w:line="360" w:lineRule="auto"/>
        <w:ind w:left="0" w:right="-981" w:firstLine="0"/>
        <w:jc w:val="both"/>
      </w:pPr>
      <w:r>
        <w:rPr>
          <w:rFonts w:ascii="Palatino Linotype" w:eastAsia="Palatino Linotype" w:hAnsi="Palatino Linotype" w:cs="Palatino Linotype"/>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14:paraId="53A9E3C2" w14:textId="1B0B5E6F" w:rsidR="006D3F24" w:rsidRDefault="005C2B11">
      <w:pPr>
        <w:numPr>
          <w:ilvl w:val="0"/>
          <w:numId w:val="2"/>
        </w:numPr>
        <w:pBdr>
          <w:top w:val="nil"/>
          <w:left w:val="nil"/>
          <w:bottom w:val="nil"/>
          <w:right w:val="nil"/>
          <w:between w:val="nil"/>
        </w:pBdr>
        <w:spacing w:line="360" w:lineRule="auto"/>
        <w:ind w:left="0" w:right="-981" w:firstLine="0"/>
        <w:jc w:val="both"/>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 </w:t>
      </w:r>
      <w:r>
        <w:rPr>
          <w:rFonts w:ascii="Palatino Linotype" w:eastAsia="Palatino Linotype" w:hAnsi="Palatino Linotype" w:cs="Palatino Linotype"/>
        </w:rPr>
        <w:t>—---------------------------------------------------------------------------------------------------------</w:t>
      </w:r>
      <w:r w:rsidR="00F91E99">
        <w:rPr>
          <w:rFonts w:ascii="Palatino Linotype" w:eastAsia="Palatino Linotype" w:hAnsi="Palatino Linotype" w:cs="Palatino Linotype"/>
        </w:rPr>
        <w:t>-</w:t>
      </w:r>
    </w:p>
    <w:p w14:paraId="37937BD1" w14:textId="77777777" w:rsidR="006D3F24" w:rsidRDefault="005C2B11">
      <w:pPr>
        <w:keepNext/>
        <w:keepLines/>
        <w:spacing w:line="360" w:lineRule="auto"/>
        <w:ind w:right="-981"/>
        <w:jc w:val="center"/>
        <w:rPr>
          <w:rFonts w:ascii="Palatino Linotype" w:eastAsia="Palatino Linotype" w:hAnsi="Palatino Linotype" w:cs="Palatino Linotype"/>
          <w:b/>
          <w:bCs/>
          <w:color w:val="000000"/>
        </w:rPr>
      </w:pPr>
      <w:bookmarkStart w:id="9" w:name="_heading=h.etb0luvaauth" w:colFirst="0" w:colLast="0"/>
      <w:bookmarkEnd w:id="9"/>
      <w:r>
        <w:rPr>
          <w:rFonts w:ascii="Palatino Linotype" w:eastAsia="Palatino Linotype" w:hAnsi="Palatino Linotype" w:cs="Palatino Linotype"/>
          <w:b/>
          <w:bCs/>
          <w:color w:val="000000"/>
        </w:rPr>
        <w:lastRenderedPageBreak/>
        <w:t>R E S O L U T I V O S</w:t>
      </w:r>
    </w:p>
    <w:p w14:paraId="3001E1CF" w14:textId="77777777" w:rsidR="006D3F24" w:rsidRDefault="006D3F24">
      <w:pPr>
        <w:keepNext/>
        <w:keepLines/>
        <w:spacing w:line="360" w:lineRule="auto"/>
        <w:ind w:right="-981"/>
        <w:jc w:val="center"/>
        <w:rPr>
          <w:rFonts w:ascii="Palatino Linotype" w:eastAsia="Palatino Linotype" w:hAnsi="Palatino Linotype" w:cs="Palatino Linotype"/>
          <w:b/>
          <w:bCs/>
          <w:color w:val="000000"/>
        </w:rPr>
      </w:pPr>
    </w:p>
    <w:p w14:paraId="534096B8" w14:textId="77777777" w:rsidR="006D3F24" w:rsidRDefault="005C2B11">
      <w:pPr>
        <w:spacing w:line="360" w:lineRule="auto"/>
        <w:ind w:right="-981"/>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02428/INFOEM/IP/RR/2026,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14:paraId="6FE2E67C" w14:textId="77777777" w:rsidR="006D3F24" w:rsidRDefault="006D3F24">
      <w:pPr>
        <w:spacing w:line="360" w:lineRule="auto"/>
        <w:ind w:right="-981"/>
        <w:jc w:val="both"/>
        <w:rPr>
          <w:rFonts w:ascii="Palatino Linotype" w:eastAsia="Palatino Linotype" w:hAnsi="Palatino Linotype" w:cs="Palatino Linotype"/>
        </w:rPr>
      </w:pPr>
    </w:p>
    <w:p w14:paraId="6EB1147C" w14:textId="77777777" w:rsidR="006D3F24" w:rsidRDefault="005C2B11">
      <w:pPr>
        <w:spacing w:line="360" w:lineRule="auto"/>
        <w:ind w:right="-981"/>
        <w:jc w:val="both"/>
        <w:rPr>
          <w:rFonts w:ascii="Palatino Linotype" w:eastAsia="Palatino Linotype" w:hAnsi="Palatino Linotype" w:cs="Palatino Linotype"/>
        </w:rPr>
      </w:pPr>
      <w:bookmarkStart w:id="10" w:name="_heading=h.p3y12bvpksq" w:colFirst="0" w:colLast="0"/>
      <w:bookmarkEnd w:id="10"/>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rPr>
        <w:t>Se</w:t>
      </w:r>
      <w:r>
        <w:rPr>
          <w:rFonts w:ascii="Palatino Linotype" w:eastAsia="Palatino Linotype" w:hAnsi="Palatino Linotype" w:cs="Palatino Linotype"/>
          <w:b/>
          <w:bCs/>
        </w:rPr>
        <w:t xml:space="preserve"> MODIFICA </w:t>
      </w:r>
      <w:r>
        <w:rPr>
          <w:rFonts w:ascii="Palatino Linotype" w:eastAsia="Palatino Linotype" w:hAnsi="Palatino Linotype" w:cs="Palatino Linotype"/>
        </w:rPr>
        <w:t xml:space="preserve">la respuesta emitida por 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y se</w:t>
      </w:r>
      <w:r>
        <w:rPr>
          <w:rFonts w:ascii="Palatino Linotype" w:eastAsia="Palatino Linotype" w:hAnsi="Palatino Linotype" w:cs="Palatino Linotype"/>
          <w:b/>
          <w:bCs/>
        </w:rPr>
        <w:t xml:space="preserve"> ORDENA </w:t>
      </w:r>
      <w:r>
        <w:rPr>
          <w:rFonts w:ascii="Palatino Linotype" w:eastAsia="Palatino Linotype" w:hAnsi="Palatino Linotype" w:cs="Palatino Linotype"/>
        </w:rPr>
        <w:t xml:space="preserve">entregar vía Sistema de Accesos a la Información Mexiquense (SAIMEX), previa búsqueda exhaustiva y en versión pública, </w:t>
      </w:r>
      <w:r>
        <w:rPr>
          <w:rFonts w:ascii="Palatino Linotype" w:eastAsia="Palatino Linotype" w:hAnsi="Palatino Linotype" w:cs="Palatino Linotype"/>
          <w:b/>
          <w:bCs/>
        </w:rPr>
        <w:t xml:space="preserve">del servidor público referido en la solicitud de información </w:t>
      </w:r>
      <w:r>
        <w:rPr>
          <w:rFonts w:ascii="Palatino Linotype" w:eastAsia="Palatino Linotype" w:hAnsi="Palatino Linotype" w:cs="Palatino Linotype"/>
        </w:rPr>
        <w:t>la siguiente información:</w:t>
      </w:r>
    </w:p>
    <w:p w14:paraId="1A6BD98D" w14:textId="77777777" w:rsidR="006D3F24" w:rsidRDefault="006D3F24">
      <w:pPr>
        <w:spacing w:line="360" w:lineRule="auto"/>
        <w:ind w:right="-981"/>
        <w:jc w:val="both"/>
        <w:rPr>
          <w:rFonts w:ascii="Palatino Linotype" w:eastAsia="Palatino Linotype" w:hAnsi="Palatino Linotype" w:cs="Palatino Linotype"/>
        </w:rPr>
      </w:pPr>
    </w:p>
    <w:p w14:paraId="3685BD7B" w14:textId="77777777" w:rsidR="006D3F24" w:rsidRDefault="005C2B11" w:rsidP="0067622C">
      <w:pPr>
        <w:numPr>
          <w:ilvl w:val="0"/>
          <w:numId w:val="22"/>
        </w:numPr>
        <w:pBdr>
          <w:top w:val="nil"/>
          <w:left w:val="nil"/>
          <w:bottom w:val="nil"/>
          <w:right w:val="nil"/>
          <w:between w:val="nil"/>
        </w:pBdr>
        <w:spacing w:line="259" w:lineRule="auto"/>
        <w:ind w:left="720" w:right="-981" w:hanging="15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Recibos de nómina del 01 de enero al 31 de diciembre de 2025; así como, de la primera quincena de enero del 2026. </w:t>
      </w:r>
    </w:p>
    <w:p w14:paraId="43C2E78F" w14:textId="77777777" w:rsidR="006D3F24" w:rsidRDefault="005C2B11">
      <w:pPr>
        <w:numPr>
          <w:ilvl w:val="0"/>
          <w:numId w:val="22"/>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Expediente Laboral </w:t>
      </w:r>
    </w:p>
    <w:p w14:paraId="273A248E" w14:textId="77777777" w:rsidR="006D3F24" w:rsidRDefault="005C2B11">
      <w:pPr>
        <w:numPr>
          <w:ilvl w:val="0"/>
          <w:numId w:val="22"/>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Currículum</w:t>
      </w:r>
    </w:p>
    <w:p w14:paraId="7C9919A0" w14:textId="77777777" w:rsidR="006D3F24" w:rsidRPr="002002A1" w:rsidRDefault="005C2B11" w:rsidP="000943D7">
      <w:pPr>
        <w:numPr>
          <w:ilvl w:val="0"/>
          <w:numId w:val="22"/>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sidRPr="002002A1">
        <w:rPr>
          <w:rFonts w:ascii="Palatino Linotype" w:eastAsia="Palatino Linotype" w:hAnsi="Palatino Linotype" w:cs="Palatino Linotype"/>
          <w:b/>
          <w:bCs/>
          <w:color w:val="000000"/>
        </w:rPr>
        <w:t>Nombramiento</w:t>
      </w:r>
      <w:r w:rsidR="007B44CF" w:rsidRPr="002002A1">
        <w:rPr>
          <w:rFonts w:ascii="Palatino Linotype" w:eastAsia="Palatino Linotype" w:hAnsi="Palatino Linotype" w:cs="Palatino Linotype"/>
          <w:b/>
          <w:bCs/>
          <w:color w:val="000000"/>
        </w:rPr>
        <w:t xml:space="preserve">, Contrato, Formato Único de Movimientos de Personal o documento análogo vigente a la fecha de </w:t>
      </w:r>
      <w:r w:rsidR="000943D7" w:rsidRPr="002002A1">
        <w:rPr>
          <w:rFonts w:ascii="Palatino Linotype" w:eastAsia="Palatino Linotype" w:hAnsi="Palatino Linotype" w:cs="Palatino Linotype"/>
          <w:b/>
          <w:bCs/>
          <w:color w:val="000000"/>
        </w:rPr>
        <w:t>la presentación de la solicitud, en el que se advierta el</w:t>
      </w:r>
      <w:r w:rsidRPr="002002A1">
        <w:rPr>
          <w:rFonts w:ascii="Palatino Linotype" w:eastAsia="Palatino Linotype" w:hAnsi="Palatino Linotype" w:cs="Palatino Linotype"/>
          <w:b/>
          <w:bCs/>
          <w:color w:val="000000"/>
        </w:rPr>
        <w:t xml:space="preserve"> Área de adscripción. </w:t>
      </w:r>
    </w:p>
    <w:p w14:paraId="1878F841" w14:textId="77777777" w:rsidR="006D3F24" w:rsidRPr="002002A1" w:rsidRDefault="005C2B11">
      <w:pPr>
        <w:numPr>
          <w:ilvl w:val="0"/>
          <w:numId w:val="22"/>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sidRPr="002002A1">
        <w:rPr>
          <w:rFonts w:ascii="Palatino Linotype" w:eastAsia="Palatino Linotype" w:hAnsi="Palatino Linotype" w:cs="Palatino Linotype"/>
          <w:b/>
          <w:bCs/>
          <w:color w:val="000000"/>
        </w:rPr>
        <w:t>Gafete de identificación</w:t>
      </w:r>
    </w:p>
    <w:p w14:paraId="73D88318" w14:textId="77777777" w:rsidR="006D3F24" w:rsidRPr="002002A1" w:rsidRDefault="005C2B11">
      <w:pPr>
        <w:numPr>
          <w:ilvl w:val="0"/>
          <w:numId w:val="22"/>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sidRPr="002002A1">
        <w:rPr>
          <w:rFonts w:ascii="Palatino Linotype" w:eastAsia="Palatino Linotype" w:hAnsi="Palatino Linotype" w:cs="Palatino Linotype"/>
          <w:b/>
          <w:bCs/>
          <w:color w:val="000000"/>
        </w:rPr>
        <w:t xml:space="preserve">El o los documentos donde se especifique </w:t>
      </w:r>
      <w:r w:rsidR="000943D7" w:rsidRPr="002002A1">
        <w:rPr>
          <w:rFonts w:ascii="Palatino Linotype" w:eastAsia="Palatino Linotype" w:hAnsi="Palatino Linotype" w:cs="Palatino Linotype"/>
          <w:b/>
          <w:bCs/>
          <w:color w:val="000000"/>
        </w:rPr>
        <w:t xml:space="preserve">si al último año laborado, </w:t>
      </w:r>
      <w:r w:rsidRPr="002002A1">
        <w:rPr>
          <w:rFonts w:ascii="Palatino Linotype" w:eastAsia="Palatino Linotype" w:hAnsi="Palatino Linotype" w:cs="Palatino Linotype"/>
          <w:b/>
          <w:bCs/>
          <w:color w:val="000000"/>
        </w:rPr>
        <w:t>contaba con algún bono o gratificación por c</w:t>
      </w:r>
      <w:r w:rsidR="007B44CF" w:rsidRPr="002002A1">
        <w:rPr>
          <w:rFonts w:ascii="Palatino Linotype" w:eastAsia="Palatino Linotype" w:hAnsi="Palatino Linotype" w:cs="Palatino Linotype"/>
          <w:b/>
          <w:bCs/>
          <w:color w:val="000000"/>
        </w:rPr>
        <w:t>oncepto de servicios personales</w:t>
      </w:r>
      <w:r w:rsidRPr="002002A1">
        <w:rPr>
          <w:rFonts w:ascii="Palatino Linotype" w:eastAsia="Palatino Linotype" w:hAnsi="Palatino Linotype" w:cs="Palatino Linotype"/>
          <w:b/>
          <w:bCs/>
          <w:color w:val="000000"/>
        </w:rPr>
        <w:t xml:space="preserve"> o comidas. </w:t>
      </w:r>
    </w:p>
    <w:p w14:paraId="542A135F" w14:textId="77777777" w:rsidR="006D3F24" w:rsidRPr="002002A1" w:rsidRDefault="005C2B11">
      <w:pPr>
        <w:numPr>
          <w:ilvl w:val="0"/>
          <w:numId w:val="22"/>
        </w:numPr>
        <w:pBdr>
          <w:top w:val="nil"/>
          <w:left w:val="nil"/>
          <w:bottom w:val="nil"/>
          <w:right w:val="nil"/>
          <w:between w:val="nil"/>
        </w:pBdr>
        <w:spacing w:line="259" w:lineRule="auto"/>
        <w:ind w:left="567" w:right="-981" w:firstLine="0"/>
        <w:jc w:val="both"/>
        <w:rPr>
          <w:rFonts w:ascii="Palatino Linotype" w:eastAsia="Palatino Linotype" w:hAnsi="Palatino Linotype" w:cs="Palatino Linotype"/>
          <w:b/>
          <w:bCs/>
          <w:color w:val="000000"/>
        </w:rPr>
      </w:pPr>
      <w:r w:rsidRPr="002002A1">
        <w:rPr>
          <w:rFonts w:ascii="Palatino Linotype" w:eastAsia="Palatino Linotype" w:hAnsi="Palatino Linotype" w:cs="Palatino Linotype"/>
          <w:b/>
          <w:bCs/>
          <w:color w:val="000000"/>
        </w:rPr>
        <w:t>El o los documentos, que den cuenta del turno, horarios y días habilitados de servicio público</w:t>
      </w:r>
      <w:r w:rsidR="000943D7" w:rsidRPr="002002A1">
        <w:rPr>
          <w:rFonts w:ascii="Palatino Linotype" w:eastAsia="Palatino Linotype" w:hAnsi="Palatino Linotype" w:cs="Palatino Linotype"/>
          <w:b/>
          <w:bCs/>
          <w:color w:val="000000"/>
        </w:rPr>
        <w:t xml:space="preserve"> al último año laborado</w:t>
      </w:r>
      <w:r w:rsidRPr="002002A1">
        <w:rPr>
          <w:rFonts w:ascii="Palatino Linotype" w:eastAsia="Palatino Linotype" w:hAnsi="Palatino Linotype" w:cs="Palatino Linotype"/>
          <w:b/>
          <w:bCs/>
          <w:color w:val="000000"/>
        </w:rPr>
        <w:t>.</w:t>
      </w:r>
    </w:p>
    <w:p w14:paraId="6D3613D4" w14:textId="58675204" w:rsidR="006D3F24" w:rsidRPr="002002A1" w:rsidRDefault="00385882" w:rsidP="00385882">
      <w:pPr>
        <w:numPr>
          <w:ilvl w:val="0"/>
          <w:numId w:val="22"/>
        </w:numPr>
        <w:pBdr>
          <w:top w:val="nil"/>
          <w:left w:val="nil"/>
          <w:bottom w:val="nil"/>
          <w:right w:val="nil"/>
          <w:between w:val="nil"/>
        </w:pBdr>
        <w:spacing w:line="259" w:lineRule="auto"/>
        <w:ind w:left="851" w:right="-981"/>
        <w:jc w:val="both"/>
        <w:rPr>
          <w:rFonts w:ascii="Palatino Linotype" w:eastAsia="Palatino Linotype" w:hAnsi="Palatino Linotype" w:cs="Palatino Linotype"/>
          <w:b/>
          <w:bCs/>
          <w:color w:val="000000"/>
        </w:rPr>
      </w:pPr>
      <w:r w:rsidRPr="002002A1">
        <w:rPr>
          <w:rFonts w:ascii="Palatino Linotype" w:eastAsia="Palatino Linotype" w:hAnsi="Palatino Linotype" w:cs="Palatino Linotype"/>
          <w:b/>
          <w:bCs/>
          <w:color w:val="000000"/>
        </w:rPr>
        <w:t>El o los documentos donde conste el registro de entradas y salidas o de checador del 01 de septiembre de 2025 al 28 de enero de 2026</w:t>
      </w:r>
    </w:p>
    <w:p w14:paraId="4EA39092" w14:textId="77777777" w:rsidR="005906F9" w:rsidRDefault="005906F9" w:rsidP="005906F9">
      <w:pPr>
        <w:pBdr>
          <w:top w:val="nil"/>
          <w:left w:val="nil"/>
          <w:bottom w:val="nil"/>
          <w:right w:val="nil"/>
          <w:between w:val="nil"/>
        </w:pBdr>
        <w:spacing w:line="259" w:lineRule="auto"/>
        <w:ind w:left="567" w:right="-981"/>
        <w:jc w:val="both"/>
        <w:rPr>
          <w:rFonts w:ascii="Palatino Linotype" w:eastAsia="Palatino Linotype" w:hAnsi="Palatino Linotype" w:cs="Palatino Linotype"/>
          <w:b/>
          <w:bCs/>
          <w:color w:val="000000"/>
        </w:rPr>
      </w:pPr>
    </w:p>
    <w:p w14:paraId="73EE01E2" w14:textId="77777777" w:rsidR="006D3F24" w:rsidRDefault="005C2B11">
      <w:pPr>
        <w:spacing w:line="360" w:lineRule="auto"/>
        <w:ind w:right="-981"/>
        <w:jc w:val="both"/>
        <w:rPr>
          <w:rFonts w:ascii="Palatino Linotype" w:eastAsia="Palatino Linotype" w:hAnsi="Palatino Linotype" w:cs="Palatino Linotype"/>
        </w:rPr>
      </w:pPr>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w:t>
      </w:r>
      <w:r>
        <w:rPr>
          <w:rFonts w:ascii="Palatino Linotype" w:eastAsia="Palatino Linotype" w:hAnsi="Palatino Linotype" w:cs="Palatino Linotype"/>
        </w:rPr>
        <w:lastRenderedPageBreak/>
        <w:t>razones sobre los datos que se supriman o eliminen dentro del soporte documental respectivo objeto de las versiones públicas que se formulen y se ponga a disposición de la parte recurrente.</w:t>
      </w:r>
    </w:p>
    <w:p w14:paraId="0CCB3AEF" w14:textId="77777777" w:rsidR="006D3F24" w:rsidRDefault="006D3F24">
      <w:pPr>
        <w:spacing w:line="360" w:lineRule="auto"/>
        <w:ind w:right="-981"/>
        <w:jc w:val="both"/>
        <w:rPr>
          <w:rFonts w:ascii="Palatino Linotype" w:eastAsia="Palatino Linotype" w:hAnsi="Palatino Linotype" w:cs="Palatino Linotype"/>
        </w:rPr>
      </w:pPr>
    </w:p>
    <w:p w14:paraId="6BA091CD" w14:textId="77777777" w:rsidR="006D3F24" w:rsidRDefault="005C2B11">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el caso de que la información que se ordena entregar respecto al punto referido</w:t>
      </w:r>
      <w:r w:rsidR="000943D7">
        <w:rPr>
          <w:rFonts w:ascii="Palatino Linotype" w:eastAsia="Palatino Linotype" w:hAnsi="Palatino Linotype" w:cs="Palatino Linotype"/>
          <w:color w:val="000000"/>
        </w:rPr>
        <w:t xml:space="preserve"> en el</w:t>
      </w:r>
      <w:r>
        <w:rPr>
          <w:rFonts w:ascii="Palatino Linotype" w:eastAsia="Palatino Linotype" w:hAnsi="Palatino Linotype" w:cs="Palatino Linotype"/>
          <w:color w:val="000000"/>
        </w:rPr>
        <w:t xml:space="preserve"> inciso </w:t>
      </w:r>
      <w:r w:rsidR="000943D7" w:rsidRPr="000943D7">
        <w:rPr>
          <w:rFonts w:ascii="Palatino Linotype" w:eastAsia="Palatino Linotype" w:hAnsi="Palatino Linotype" w:cs="Palatino Linotype"/>
          <w:b/>
          <w:color w:val="000000"/>
        </w:rPr>
        <w:t>f</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no obre en los archivos del Sujeto Obligado, bastará con que así se haga del conocimiento del Particular en términos del artículo 19, párrafo segundo, de la Ley de Transparencia y Acceso a la Información Pública del Estado de México y Municipios, para tenerse por colmado dicho requerimiento. </w:t>
      </w:r>
    </w:p>
    <w:p w14:paraId="0A066168" w14:textId="77777777" w:rsidR="00855F4F" w:rsidRDefault="00855F4F">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31D3970B" w14:textId="77777777" w:rsidR="00855F4F" w:rsidRDefault="00855F4F" w:rsidP="00855F4F">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r w:rsidRPr="002002A1">
        <w:rPr>
          <w:rFonts w:ascii="Palatino Linotype" w:eastAsia="Palatino Linotype" w:hAnsi="Palatino Linotype" w:cs="Palatino Linotype"/>
          <w:color w:val="000000"/>
        </w:rPr>
        <w:t xml:space="preserve">En el caso de que derivado de la búsqueda exhaustiva y razonable, no se localice la información que se ordena en el inciso </w:t>
      </w:r>
      <w:r w:rsidRPr="002002A1">
        <w:rPr>
          <w:rFonts w:ascii="Palatino Linotype" w:eastAsia="Palatino Linotype" w:hAnsi="Palatino Linotype" w:cs="Palatino Linotype"/>
          <w:b/>
          <w:color w:val="000000"/>
        </w:rPr>
        <w:t>h)</w:t>
      </w:r>
      <w:r w:rsidRPr="002002A1">
        <w:rPr>
          <w:rFonts w:ascii="Palatino Linotype" w:eastAsia="Palatino Linotype" w:hAnsi="Palatino Linotype" w:cs="Palatino Linotype"/>
          <w:color w:val="000000"/>
        </w:rPr>
        <w:t xml:space="preserve"> respecto a las listas de asistencia, o bien, la autorización emitida por autoridad competente, para omitir la elaboración de listas de asistencia o para exceptuar el registro de asistencia, el SUJETO OBLIGADO deberá emitir el acuerdo del Comité de Transparencia, mediante el cual, se declare la inexistencia de la información en términos de los artículos 49, fracciones II y XIII, 169 y 170 de la Ley de Transparencia y Acceso a la Información Pública del Estado de México y Municipios, debiendo notificarlo al Recurrente al momento de dar cumplimiento a la presente resolución.</w:t>
      </w:r>
    </w:p>
    <w:p w14:paraId="1D5646AF" w14:textId="77777777" w:rsidR="00855F4F" w:rsidRDefault="00855F4F">
      <w:pPr>
        <w:pBdr>
          <w:top w:val="nil"/>
          <w:left w:val="nil"/>
          <w:bottom w:val="nil"/>
          <w:right w:val="nil"/>
          <w:between w:val="nil"/>
        </w:pBdr>
        <w:spacing w:line="360" w:lineRule="auto"/>
        <w:ind w:right="-981"/>
        <w:jc w:val="both"/>
        <w:rPr>
          <w:rFonts w:ascii="Palatino Linotype" w:eastAsia="Palatino Linotype" w:hAnsi="Palatino Linotype" w:cs="Palatino Linotype"/>
          <w:color w:val="000000"/>
        </w:rPr>
      </w:pPr>
    </w:p>
    <w:p w14:paraId="11E25835" w14:textId="77777777" w:rsidR="006D3F24" w:rsidRDefault="005C2B11">
      <w:pPr>
        <w:tabs>
          <w:tab w:val="left" w:pos="8080"/>
        </w:tabs>
        <w:spacing w:line="360" w:lineRule="auto"/>
        <w:ind w:right="-981"/>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DB76B8">
        <w:rPr>
          <w:rFonts w:ascii="Palatino Linotype" w:eastAsia="Palatino Linotype" w:hAnsi="Palatino Linotype" w:cs="Palatino Linotype"/>
          <w:b/>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w:t>
      </w:r>
      <w:r>
        <w:rPr>
          <w:rFonts w:ascii="Palatino Linotype" w:eastAsia="Palatino Linotype" w:hAnsi="Palatino Linotype" w:cs="Palatino Linotype"/>
        </w:rPr>
        <w:lastRenderedPageBreak/>
        <w:t>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35E984F" w14:textId="77777777" w:rsidR="006D3F24" w:rsidRDefault="006D3F24">
      <w:pPr>
        <w:tabs>
          <w:tab w:val="left" w:pos="8080"/>
        </w:tabs>
        <w:spacing w:line="360" w:lineRule="auto"/>
        <w:ind w:right="-981"/>
        <w:jc w:val="both"/>
        <w:rPr>
          <w:rFonts w:ascii="Palatino Linotype" w:eastAsia="Palatino Linotype" w:hAnsi="Palatino Linotype" w:cs="Palatino Linotype"/>
          <w:color w:val="222222"/>
        </w:rPr>
      </w:pPr>
    </w:p>
    <w:p w14:paraId="4F05EB3C" w14:textId="77777777" w:rsidR="006D3F24" w:rsidRDefault="005C2B11">
      <w:pPr>
        <w:shd w:val="clear" w:color="auto" w:fill="FFFFFF"/>
        <w:spacing w:line="360" w:lineRule="auto"/>
        <w:ind w:right="-981"/>
        <w:jc w:val="both"/>
        <w:rPr>
          <w:rFonts w:ascii="Palatino Linotype" w:eastAsia="Palatino Linotype" w:hAnsi="Palatino Linotype" w:cs="Palatino Linotype"/>
        </w:rPr>
      </w:pPr>
      <w:r>
        <w:rPr>
          <w:rFonts w:ascii="Palatino Linotype" w:eastAsia="Palatino Linotype" w:hAnsi="Palatino Linotype" w:cs="Palatino Linotype"/>
          <w:b/>
          <w:bCs/>
        </w:rPr>
        <w:t>CUARTO. Notifíquese al RECURRENTE</w:t>
      </w:r>
      <w:r>
        <w:rPr>
          <w:rFonts w:ascii="Palatino Linotype" w:eastAsia="Palatino Linotype" w:hAnsi="Palatino Linotype" w:cs="Palatino Linotype"/>
        </w:rPr>
        <w:t xml:space="preserve"> la presente resolución vía SAIMEX.</w:t>
      </w:r>
    </w:p>
    <w:p w14:paraId="311E4326" w14:textId="77777777" w:rsidR="006D3F24" w:rsidRDefault="006D3F24">
      <w:pPr>
        <w:shd w:val="clear" w:color="auto" w:fill="FFFFFF"/>
        <w:spacing w:line="360" w:lineRule="auto"/>
        <w:ind w:right="-981"/>
        <w:jc w:val="both"/>
        <w:rPr>
          <w:rFonts w:ascii="Palatino Linotype" w:eastAsia="Palatino Linotype" w:hAnsi="Palatino Linotype" w:cs="Palatino Linotype"/>
          <w:b/>
          <w:bCs/>
          <w:color w:val="FF0000"/>
        </w:rPr>
      </w:pPr>
    </w:p>
    <w:p w14:paraId="7102E749" w14:textId="77777777" w:rsidR="006D3F24" w:rsidRDefault="005C2B11">
      <w:pPr>
        <w:spacing w:line="360" w:lineRule="auto"/>
        <w:ind w:right="-981"/>
        <w:jc w:val="both"/>
        <w:rPr>
          <w:rFonts w:ascii="Palatino Linotype" w:eastAsia="Palatino Linotype" w:hAnsi="Palatino Linotype" w:cs="Palatino Linotype"/>
        </w:rPr>
      </w:pPr>
      <w:r>
        <w:rPr>
          <w:rFonts w:ascii="Palatino Linotype" w:eastAsia="Palatino Linotype" w:hAnsi="Palatino Linotype" w:cs="Palatino Linotype"/>
          <w:b/>
          <w:bCs/>
        </w:rPr>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176FDD99" w14:textId="77777777" w:rsidR="006D3F24" w:rsidRDefault="006D3F24">
      <w:pPr>
        <w:spacing w:line="360" w:lineRule="auto"/>
        <w:ind w:right="-981"/>
        <w:jc w:val="both"/>
        <w:rPr>
          <w:rFonts w:ascii="Palatino Linotype" w:eastAsia="Palatino Linotype" w:hAnsi="Palatino Linotype" w:cs="Palatino Linotype"/>
          <w:color w:val="000000"/>
        </w:rPr>
      </w:pPr>
    </w:p>
    <w:p w14:paraId="3994F6A5" w14:textId="77777777" w:rsidR="006D3F24" w:rsidRDefault="005C2B11">
      <w:pPr>
        <w:spacing w:line="360" w:lineRule="auto"/>
        <w:ind w:right="-981"/>
        <w:jc w:val="both"/>
        <w:rPr>
          <w:rFonts w:ascii="Palatino Linotype" w:eastAsia="Palatino Linotype" w:hAnsi="Palatino Linotype" w:cs="Palatino Linotype"/>
        </w:rPr>
      </w:pPr>
      <w:r>
        <w:rPr>
          <w:rFonts w:ascii="Palatino Linotype" w:eastAsia="Palatino Linotype" w:hAnsi="Palatino Linotype" w:cs="Palatino Linotype"/>
          <w:b/>
          <w:bCs/>
          <w:color w:val="000000"/>
        </w:rPr>
        <w:t xml:space="preserve">SEXTO. </w:t>
      </w:r>
      <w:r>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2C6FD65" w14:textId="77777777" w:rsidR="006A117F" w:rsidRDefault="006A117F">
      <w:pPr>
        <w:spacing w:line="360" w:lineRule="auto"/>
        <w:ind w:right="-981"/>
        <w:jc w:val="both"/>
        <w:rPr>
          <w:rFonts w:ascii="Palatino Linotype" w:eastAsia="Palatino Linotype" w:hAnsi="Palatino Linotype" w:cs="Palatino Linotype"/>
        </w:rPr>
      </w:pPr>
    </w:p>
    <w:p w14:paraId="46F3E348" w14:textId="77777777" w:rsidR="006A117F" w:rsidRPr="003B7E84" w:rsidRDefault="006A117F" w:rsidP="006A117F">
      <w:pPr>
        <w:spacing w:line="360" w:lineRule="auto"/>
        <w:ind w:right="-992"/>
        <w:jc w:val="both"/>
        <w:rPr>
          <w:rFonts w:ascii="Palatino Linotype" w:eastAsiaTheme="minorHAnsi" w:hAnsi="Palatino Linotype" w:cstheme="minorBidi"/>
          <w:lang w:eastAsia="es-ES_tradnl"/>
        </w:rPr>
      </w:pPr>
      <w:r w:rsidRPr="002002A1">
        <w:rPr>
          <w:rFonts w:ascii="Palatino Linotype" w:eastAsia="MS Mincho" w:hAnsi="Palatino Linotype"/>
          <w:b/>
        </w:rPr>
        <w:t>SÉPTIMO.</w:t>
      </w:r>
      <w:r w:rsidRPr="002002A1">
        <w:rPr>
          <w:rFonts w:ascii="Palatino Linotype" w:eastAsiaTheme="minorHAnsi" w:hAnsi="Palatino Linotype" w:cstheme="minorBidi"/>
          <w:b/>
          <w:lang w:eastAsia="es-ES_tradnl"/>
        </w:rPr>
        <w:t xml:space="preserve"> Gírese</w:t>
      </w:r>
      <w:r w:rsidRPr="002002A1">
        <w:rPr>
          <w:rFonts w:ascii="Palatino Linotype" w:eastAsiaTheme="minorHAnsi" w:hAnsi="Palatino Linotype" w:cstheme="minorBidi"/>
          <w:lang w:eastAsia="es-ES_tradnl"/>
        </w:rPr>
        <w:t xml:space="preserve"> oficio al Titular de la Dirección General de Protección de Datos Personales, en atención al artículo 82, fracción XXVII de la Ley de Protección de Datos Personales del Estado de México y Municipios en términos de lo señalado en el </w:t>
      </w:r>
      <w:r w:rsidRPr="002002A1">
        <w:rPr>
          <w:rFonts w:ascii="Palatino Linotype" w:eastAsiaTheme="minorHAnsi" w:hAnsi="Palatino Linotype" w:cstheme="minorBidi"/>
          <w:b/>
          <w:bCs/>
          <w:lang w:eastAsia="es-ES_tradnl"/>
        </w:rPr>
        <w:t>Considerando QUINTO</w:t>
      </w:r>
      <w:r w:rsidRPr="002002A1">
        <w:rPr>
          <w:rFonts w:ascii="Palatino Linotype" w:eastAsiaTheme="minorHAnsi" w:hAnsi="Palatino Linotype" w:cstheme="minorBidi"/>
          <w:lang w:eastAsia="es-ES_tradnl"/>
        </w:rPr>
        <w:t xml:space="preserve"> de la presente resolución.</w:t>
      </w:r>
    </w:p>
    <w:p w14:paraId="156327F6" w14:textId="77777777" w:rsidR="006A117F" w:rsidRDefault="006A117F">
      <w:pPr>
        <w:spacing w:line="360" w:lineRule="auto"/>
        <w:ind w:right="-981"/>
        <w:jc w:val="both"/>
        <w:rPr>
          <w:rFonts w:ascii="Palatino Linotype" w:eastAsia="Palatino Linotype" w:hAnsi="Palatino Linotype" w:cs="Palatino Linotype"/>
        </w:rPr>
      </w:pPr>
    </w:p>
    <w:p w14:paraId="1800C3F0" w14:textId="77777777" w:rsidR="006D3F24" w:rsidRDefault="006D3F24">
      <w:pPr>
        <w:shd w:val="clear" w:color="auto" w:fill="FFFFFF"/>
        <w:spacing w:line="360" w:lineRule="auto"/>
        <w:ind w:right="-981"/>
        <w:jc w:val="both"/>
        <w:rPr>
          <w:rFonts w:ascii="Palatino Linotype" w:eastAsia="Palatino Linotype" w:hAnsi="Palatino Linotype" w:cs="Palatino Linotype"/>
        </w:rPr>
      </w:pPr>
    </w:p>
    <w:p w14:paraId="2CFC88DB" w14:textId="70930528" w:rsidR="00BD78D4" w:rsidRPr="003E2295" w:rsidRDefault="00BD78D4" w:rsidP="00BD78D4">
      <w:pPr>
        <w:spacing w:before="240" w:after="240" w:line="360" w:lineRule="auto"/>
        <w:ind w:right="-992" w:firstLine="1"/>
        <w:jc w:val="both"/>
        <w:rPr>
          <w:rFonts w:ascii="Palatino Linotype" w:hAnsi="Palatino Linotype"/>
        </w:rPr>
      </w:pPr>
      <w:bookmarkStart w:id="11"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w:t>
      </w:r>
      <w:r w:rsidRPr="003E2295">
        <w:rPr>
          <w:rFonts w:ascii="Palatino Linotype" w:hAnsi="Palatino Linotype" w:cs="Palatino Linotype"/>
        </w:rPr>
        <w:lastRenderedPageBreak/>
        <w:t>PERSONALES DEL ESTADO DE MÉXICO Y MUNICIPIOS, CONFORMADO POR LOS COMISIONADOS JOSÉ MARTÍNEZ VILCHIS, MARÍA DEL ROSARIO MEJÍA AYALA</w:t>
      </w:r>
      <w:r w:rsidR="00072C12">
        <w:rPr>
          <w:rFonts w:ascii="Palatino Linotype" w:hAnsi="Palatino Linotype" w:cs="Palatino Linotype"/>
        </w:rPr>
        <w:t xml:space="preserve"> EMITIENDO VOTO PARTICULAR CONCURRENTE</w:t>
      </w:r>
      <w:r w:rsidRPr="003E2295">
        <w:rPr>
          <w:rFonts w:ascii="Palatino Linotype" w:hAnsi="Palatino Linotype" w:cs="Palatino Linotype"/>
        </w:rPr>
        <w:t>, SHARON CRISTINA MORALES MARTÍNEZ</w:t>
      </w:r>
      <w:r w:rsidR="00072C12">
        <w:rPr>
          <w:rFonts w:ascii="Palatino Linotype" w:hAnsi="Palatino Linotype" w:cs="Palatino Linotype"/>
        </w:rPr>
        <w:t xml:space="preserve"> EMITIENDO VOTO PARTICULAR</w:t>
      </w:r>
      <w:r w:rsidRPr="003E2295">
        <w:rPr>
          <w:rFonts w:ascii="Palatino Linotype" w:hAnsi="Palatino Linotype" w:cs="Palatino Linotype"/>
        </w:rPr>
        <w:t xml:space="preserve">, LUIS GUSTAVO PARRA NORIEGA </w:t>
      </w:r>
      <w:r w:rsidR="00072C12">
        <w:rPr>
          <w:rFonts w:ascii="Palatino Linotype" w:hAnsi="Palatino Linotype" w:cs="Palatino Linotype"/>
        </w:rPr>
        <w:t xml:space="preserve">EMITIENDO VOTO PARTICULAR CONCURRENTE </w:t>
      </w:r>
      <w:r w:rsidRPr="003E2295">
        <w:rPr>
          <w:rFonts w:ascii="Palatino Linotype" w:hAnsi="Palatino Linotype" w:cs="Palatino Linotype"/>
        </w:rPr>
        <w:t>Y GUADALUPE RAMÍREZ PEÑA</w:t>
      </w:r>
      <w:r w:rsidR="00072C12">
        <w:rPr>
          <w:rFonts w:ascii="Palatino Linotype" w:hAnsi="Palatino Linotype" w:cs="Palatino Linotype"/>
        </w:rPr>
        <w:t xml:space="preserve"> EMITIENDO VOTO PARTICULAR</w:t>
      </w:r>
      <w:r w:rsidRPr="003E2295">
        <w:rPr>
          <w:rFonts w:ascii="Palatino Linotype" w:hAnsi="Palatino Linotype" w:cs="Palatino Linotype"/>
        </w:rPr>
        <w:t xml:space="preserve">;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14:paraId="3435F88A" w14:textId="77777777" w:rsidR="006D3F24" w:rsidRDefault="006D3F24" w:rsidP="00BD78D4">
      <w:pPr>
        <w:spacing w:line="360" w:lineRule="auto"/>
        <w:ind w:right="-992"/>
        <w:rPr>
          <w:rFonts w:ascii="Palatino Linotype" w:eastAsia="Palatino Linotype" w:hAnsi="Palatino Linotype" w:cs="Palatino Linotype"/>
        </w:rPr>
      </w:pPr>
    </w:p>
    <w:p w14:paraId="158CA7BB" w14:textId="77777777" w:rsidR="006D3F24" w:rsidRDefault="006D3F24">
      <w:pPr>
        <w:spacing w:line="360" w:lineRule="auto"/>
        <w:ind w:right="-981"/>
        <w:rPr>
          <w:rFonts w:ascii="Palatino Linotype" w:eastAsia="Palatino Linotype" w:hAnsi="Palatino Linotype" w:cs="Palatino Linotype"/>
        </w:rPr>
      </w:pPr>
    </w:p>
    <w:p w14:paraId="500B67BE" w14:textId="77777777" w:rsidR="006D3F24" w:rsidRDefault="006D3F24">
      <w:pPr>
        <w:spacing w:line="360" w:lineRule="auto"/>
        <w:ind w:right="-981"/>
        <w:rPr>
          <w:rFonts w:ascii="Palatino Linotype" w:eastAsia="Palatino Linotype" w:hAnsi="Palatino Linotype" w:cs="Palatino Linotype"/>
        </w:rPr>
      </w:pPr>
    </w:p>
    <w:p w14:paraId="6097CC0F" w14:textId="77777777" w:rsidR="006D3F24" w:rsidRDefault="006D3F24">
      <w:pPr>
        <w:spacing w:line="360" w:lineRule="auto"/>
        <w:ind w:right="-981"/>
        <w:rPr>
          <w:rFonts w:ascii="Palatino Linotype" w:eastAsia="Palatino Linotype" w:hAnsi="Palatino Linotype" w:cs="Palatino Linotype"/>
        </w:rPr>
      </w:pPr>
    </w:p>
    <w:p w14:paraId="3A7C507D" w14:textId="77777777" w:rsidR="006D3F24" w:rsidRDefault="006D3F24">
      <w:pPr>
        <w:spacing w:line="360" w:lineRule="auto"/>
        <w:ind w:right="-981"/>
        <w:rPr>
          <w:rFonts w:ascii="Palatino Linotype" w:eastAsia="Palatino Linotype" w:hAnsi="Palatino Linotype" w:cs="Palatino Linotype"/>
        </w:rPr>
      </w:pPr>
    </w:p>
    <w:p w14:paraId="4E289A9C" w14:textId="77777777" w:rsidR="006D3F24" w:rsidRDefault="006D3F24">
      <w:pPr>
        <w:spacing w:line="360" w:lineRule="auto"/>
        <w:ind w:right="-981"/>
        <w:rPr>
          <w:rFonts w:ascii="Palatino Linotype" w:eastAsia="Palatino Linotype" w:hAnsi="Palatino Linotype" w:cs="Palatino Linotype"/>
        </w:rPr>
      </w:pPr>
    </w:p>
    <w:p w14:paraId="06C02C4A" w14:textId="77777777" w:rsidR="006D3F24" w:rsidRDefault="006D3F24">
      <w:pPr>
        <w:spacing w:line="360" w:lineRule="auto"/>
        <w:ind w:right="-981"/>
        <w:rPr>
          <w:rFonts w:ascii="Palatino Linotype" w:eastAsia="Palatino Linotype" w:hAnsi="Palatino Linotype" w:cs="Palatino Linotype"/>
        </w:rPr>
      </w:pPr>
    </w:p>
    <w:p w14:paraId="156FCFA7" w14:textId="77777777" w:rsidR="006D3F24" w:rsidRDefault="006D3F24">
      <w:pPr>
        <w:spacing w:line="360" w:lineRule="auto"/>
        <w:ind w:right="-981"/>
        <w:rPr>
          <w:rFonts w:ascii="Palatino Linotype" w:eastAsia="Palatino Linotype" w:hAnsi="Palatino Linotype" w:cs="Palatino Linotype"/>
        </w:rPr>
      </w:pPr>
    </w:p>
    <w:p w14:paraId="7D7DF90E" w14:textId="77777777" w:rsidR="006D3F24" w:rsidRDefault="006D3F24">
      <w:pPr>
        <w:spacing w:line="360" w:lineRule="auto"/>
        <w:ind w:right="-981"/>
        <w:rPr>
          <w:rFonts w:ascii="Palatino Linotype" w:eastAsia="Palatino Linotype" w:hAnsi="Palatino Linotype" w:cs="Palatino Linotype"/>
        </w:rPr>
      </w:pPr>
    </w:p>
    <w:p w14:paraId="64C8818C" w14:textId="77777777" w:rsidR="006D3F24" w:rsidRDefault="006D3F24">
      <w:pPr>
        <w:spacing w:line="360" w:lineRule="auto"/>
        <w:ind w:right="-981"/>
        <w:rPr>
          <w:rFonts w:ascii="Palatino Linotype" w:eastAsia="Palatino Linotype" w:hAnsi="Palatino Linotype" w:cs="Palatino Linotype"/>
        </w:rPr>
      </w:pPr>
    </w:p>
    <w:p w14:paraId="7B1ED49D" w14:textId="77777777" w:rsidR="006D3F24" w:rsidRDefault="006D3F24">
      <w:pPr>
        <w:ind w:right="-981"/>
        <w:rPr>
          <w:rFonts w:ascii="Palatino Linotype" w:eastAsia="Palatino Linotype" w:hAnsi="Palatino Linotype" w:cs="Palatino Linotype"/>
        </w:rPr>
      </w:pPr>
    </w:p>
    <w:p w14:paraId="68CF756E" w14:textId="77777777" w:rsidR="006D3F24" w:rsidRDefault="006D3F24">
      <w:pPr>
        <w:ind w:right="-981"/>
        <w:rPr>
          <w:rFonts w:ascii="Palatino Linotype" w:eastAsia="Palatino Linotype" w:hAnsi="Palatino Linotype" w:cs="Palatino Linotype"/>
        </w:rPr>
      </w:pPr>
    </w:p>
    <w:p w14:paraId="79D8FA76" w14:textId="77777777" w:rsidR="006D3F24" w:rsidRDefault="006D3F24">
      <w:pPr>
        <w:ind w:right="-981"/>
        <w:rPr>
          <w:rFonts w:ascii="Palatino Linotype" w:eastAsia="Palatino Linotype" w:hAnsi="Palatino Linotype" w:cs="Palatino Linotype"/>
        </w:rPr>
      </w:pPr>
    </w:p>
    <w:p w14:paraId="140D8A97" w14:textId="77777777" w:rsidR="006D3F24" w:rsidRDefault="006D3F24">
      <w:pPr>
        <w:ind w:right="-981"/>
        <w:rPr>
          <w:rFonts w:ascii="Palatino Linotype" w:eastAsia="Palatino Linotype" w:hAnsi="Palatino Linotype" w:cs="Palatino Linotype"/>
        </w:rPr>
      </w:pPr>
    </w:p>
    <w:p w14:paraId="668A70EF" w14:textId="77777777" w:rsidR="006D3F24" w:rsidRDefault="006D3F24">
      <w:pPr>
        <w:ind w:right="-981"/>
        <w:rPr>
          <w:rFonts w:ascii="Palatino Linotype" w:eastAsia="Palatino Linotype" w:hAnsi="Palatino Linotype" w:cs="Palatino Linotype"/>
        </w:rPr>
      </w:pPr>
    </w:p>
    <w:p w14:paraId="681B75DC" w14:textId="77777777" w:rsidR="006D3F24" w:rsidRDefault="006D3F24">
      <w:pPr>
        <w:ind w:right="-981"/>
        <w:rPr>
          <w:rFonts w:ascii="Palatino Linotype" w:eastAsia="Palatino Linotype" w:hAnsi="Palatino Linotype" w:cs="Palatino Linotype"/>
        </w:rPr>
      </w:pPr>
    </w:p>
    <w:p w14:paraId="00856E7D" w14:textId="77777777" w:rsidR="006D3F24" w:rsidRDefault="006D3F24">
      <w:pPr>
        <w:ind w:right="-981"/>
        <w:rPr>
          <w:rFonts w:ascii="Palatino Linotype" w:eastAsia="Palatino Linotype" w:hAnsi="Palatino Linotype" w:cs="Palatino Linotype"/>
        </w:rPr>
      </w:pPr>
    </w:p>
    <w:p w14:paraId="4E46804F" w14:textId="77777777" w:rsidR="002002A1" w:rsidRDefault="002002A1">
      <w:pPr>
        <w:ind w:right="-981"/>
        <w:rPr>
          <w:rFonts w:ascii="Palatino Linotype" w:eastAsia="Palatino Linotype" w:hAnsi="Palatino Linotype" w:cs="Palatino Linotype"/>
        </w:rPr>
      </w:pPr>
    </w:p>
    <w:p w14:paraId="01B52F91" w14:textId="77777777" w:rsidR="002002A1" w:rsidRDefault="002002A1">
      <w:pPr>
        <w:ind w:right="-981"/>
        <w:rPr>
          <w:rFonts w:ascii="Palatino Linotype" w:eastAsia="Palatino Linotype" w:hAnsi="Palatino Linotype" w:cs="Palatino Linotype"/>
        </w:rPr>
      </w:pPr>
    </w:p>
    <w:p w14:paraId="1EEE917D" w14:textId="77777777" w:rsidR="002002A1" w:rsidRDefault="002002A1">
      <w:pPr>
        <w:ind w:right="-981"/>
        <w:rPr>
          <w:rFonts w:ascii="Palatino Linotype" w:eastAsia="Palatino Linotype" w:hAnsi="Palatino Linotype" w:cs="Palatino Linotype"/>
        </w:rPr>
      </w:pPr>
    </w:p>
    <w:p w14:paraId="41502AA6" w14:textId="77777777" w:rsidR="002002A1" w:rsidRDefault="002002A1">
      <w:pPr>
        <w:ind w:right="-981"/>
        <w:rPr>
          <w:rFonts w:ascii="Palatino Linotype" w:eastAsia="Palatino Linotype" w:hAnsi="Palatino Linotype" w:cs="Palatino Linotype"/>
        </w:rPr>
      </w:pPr>
    </w:p>
    <w:p w14:paraId="3B8102AA" w14:textId="77777777" w:rsidR="002002A1" w:rsidRDefault="002002A1">
      <w:pPr>
        <w:ind w:right="-981"/>
        <w:rPr>
          <w:rFonts w:ascii="Palatino Linotype" w:eastAsia="Palatino Linotype" w:hAnsi="Palatino Linotype" w:cs="Palatino Linotype"/>
        </w:rPr>
      </w:pPr>
    </w:p>
    <w:p w14:paraId="5F4FFDDC" w14:textId="77777777" w:rsidR="002002A1" w:rsidRDefault="002002A1">
      <w:pPr>
        <w:ind w:right="-981"/>
        <w:rPr>
          <w:rFonts w:ascii="Palatino Linotype" w:eastAsia="Palatino Linotype" w:hAnsi="Palatino Linotype" w:cs="Palatino Linotype"/>
        </w:rPr>
      </w:pPr>
    </w:p>
    <w:p w14:paraId="1ACAD36A" w14:textId="77777777" w:rsidR="002002A1" w:rsidRDefault="002002A1">
      <w:pPr>
        <w:ind w:right="-981"/>
        <w:rPr>
          <w:rFonts w:ascii="Palatino Linotype" w:eastAsia="Palatino Linotype" w:hAnsi="Palatino Linotype" w:cs="Palatino Linotype"/>
        </w:rPr>
      </w:pPr>
    </w:p>
    <w:p w14:paraId="721D51F6" w14:textId="77777777" w:rsidR="002002A1" w:rsidRDefault="002002A1">
      <w:pPr>
        <w:ind w:right="-981"/>
        <w:rPr>
          <w:rFonts w:ascii="Palatino Linotype" w:eastAsia="Palatino Linotype" w:hAnsi="Palatino Linotype" w:cs="Palatino Linotype"/>
        </w:rPr>
      </w:pPr>
    </w:p>
    <w:p w14:paraId="69DE3D01" w14:textId="77777777" w:rsidR="002002A1" w:rsidRDefault="002002A1">
      <w:pPr>
        <w:ind w:right="-981"/>
        <w:rPr>
          <w:rFonts w:ascii="Palatino Linotype" w:eastAsia="Palatino Linotype" w:hAnsi="Palatino Linotype" w:cs="Palatino Linotype"/>
        </w:rPr>
      </w:pPr>
    </w:p>
    <w:p w14:paraId="0DD74C46" w14:textId="77777777" w:rsidR="002002A1" w:rsidRDefault="002002A1">
      <w:pPr>
        <w:ind w:right="-981"/>
        <w:rPr>
          <w:rFonts w:ascii="Palatino Linotype" w:eastAsia="Palatino Linotype" w:hAnsi="Palatino Linotype" w:cs="Palatino Linotype"/>
        </w:rPr>
      </w:pPr>
    </w:p>
    <w:p w14:paraId="1795C50A" w14:textId="77777777" w:rsidR="002002A1" w:rsidRDefault="002002A1">
      <w:pPr>
        <w:ind w:right="-981"/>
        <w:rPr>
          <w:rFonts w:ascii="Palatino Linotype" w:eastAsia="Palatino Linotype" w:hAnsi="Palatino Linotype" w:cs="Palatino Linotype"/>
        </w:rPr>
      </w:pPr>
    </w:p>
    <w:p w14:paraId="67B4DF88" w14:textId="77777777" w:rsidR="002002A1" w:rsidRDefault="002002A1">
      <w:pPr>
        <w:ind w:right="-981"/>
        <w:rPr>
          <w:rFonts w:ascii="Palatino Linotype" w:eastAsia="Palatino Linotype" w:hAnsi="Palatino Linotype" w:cs="Palatino Linotype"/>
        </w:rPr>
      </w:pPr>
    </w:p>
    <w:p w14:paraId="20F04883" w14:textId="77777777" w:rsidR="002002A1" w:rsidRDefault="002002A1">
      <w:pPr>
        <w:ind w:right="-981"/>
        <w:rPr>
          <w:rFonts w:ascii="Palatino Linotype" w:eastAsia="Palatino Linotype" w:hAnsi="Palatino Linotype" w:cs="Palatino Linotype"/>
        </w:rPr>
      </w:pPr>
    </w:p>
    <w:sectPr w:rsidR="002002A1">
      <w:headerReference w:type="even" r:id="rId22"/>
      <w:headerReference w:type="default" r:id="rId23"/>
      <w:footerReference w:type="default" r:id="rId24"/>
      <w:headerReference w:type="first" r:id="rId25"/>
      <w:footerReference w:type="first" r:id="rId26"/>
      <w:pgSz w:w="12240" w:h="15840"/>
      <w:pgMar w:top="80" w:right="1608" w:bottom="1418" w:left="1701"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17911" w14:textId="77777777" w:rsidR="002E4021" w:rsidRDefault="002E4021">
      <w:r>
        <w:separator/>
      </w:r>
    </w:p>
  </w:endnote>
  <w:endnote w:type="continuationSeparator" w:id="0">
    <w:p w14:paraId="1BE17D3B" w14:textId="77777777" w:rsidR="002E4021" w:rsidRDefault="002E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1BBB1B9F-07F6-455D-8039-3C32121E7076}"/>
    <w:embedBold r:id="rId2" w:fontKey="{63228305-E224-4ACC-8C11-428DD2FA0D58}"/>
  </w:font>
  <w:font w:name="Palatino Linotype">
    <w:panose1 w:val="02040502050505030304"/>
    <w:charset w:val="00"/>
    <w:family w:val="roman"/>
    <w:pitch w:val="variable"/>
    <w:sig w:usb0="E0000287" w:usb1="40000013" w:usb2="00000000" w:usb3="00000000" w:csb0="0000019F" w:csb1="00000000"/>
    <w:embedRegular r:id="rId3" w:fontKey="{BE01BEB1-2002-46CB-B88A-F62CD3567546}"/>
    <w:embedBold r:id="rId4" w:fontKey="{38EE2C51-A2C4-4C05-960F-B08E9A4DA323}"/>
    <w:embedItalic r:id="rId5" w:fontKey="{A315C60E-88E2-4B5C-9F97-C9F7ABFCDA76}"/>
    <w:embedBoldItalic r:id="rId6" w:fontKey="{FC699601-1CC8-4E0E-B70D-C1B00405A9F8}"/>
  </w:font>
  <w:font w:name="Calibri">
    <w:panose1 w:val="020F0502020204030204"/>
    <w:charset w:val="00"/>
    <w:family w:val="swiss"/>
    <w:pitch w:val="variable"/>
    <w:sig w:usb0="E4002EFF" w:usb1="C200247B" w:usb2="00000009" w:usb3="00000000" w:csb0="000001FF" w:csb1="00000000"/>
    <w:embedRegular r:id="rId7" w:fontKey="{96E1837D-43F8-41EA-A8E7-6DB8F46911B8}"/>
    <w:embedBold r:id="rId8" w:fontKey="{5F0552A4-3E46-4FDE-A5F9-C4B95E50651F}"/>
  </w:font>
  <w:font w:name="Georgia">
    <w:panose1 w:val="02040502050405020303"/>
    <w:charset w:val="00"/>
    <w:family w:val="roman"/>
    <w:pitch w:val="variable"/>
    <w:sig w:usb0="00000287" w:usb1="00000000" w:usb2="00000000" w:usb3="00000000" w:csb0="0000009F" w:csb1="00000000"/>
    <w:embedItalic r:id="rId9" w:fontKey="{41933836-534E-4594-81A9-04524E5EFDD8}"/>
  </w:font>
  <w:font w:name="Century Gothic">
    <w:panose1 w:val="020B0502020202020204"/>
    <w:charset w:val="00"/>
    <w:family w:val="swiss"/>
    <w:pitch w:val="variable"/>
    <w:sig w:usb0="00000287" w:usb1="00000000" w:usb2="00000000" w:usb3="00000000" w:csb0="0000009F" w:csb1="00000000"/>
    <w:embedItalic r:id="rId10" w:fontKey="{5213526D-61A1-4CC0-8E14-0D7E68D545D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1" w:fontKey="{30AD5EEF-D63F-4995-B339-F7A66C9EBE23}"/>
    <w:embedBold r:id="rId12" w:fontKey="{8F3EBBD7-A639-4B81-8421-368AFDE19899}"/>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embedRegular r:id="rId13" w:fontKey="{AC7236B2-4F6F-4D5C-9830-73B5738E6D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751C4" w14:textId="77777777" w:rsidR="0082122D" w:rsidRDefault="0082122D">
    <w:pPr>
      <w:pBdr>
        <w:top w:val="nil"/>
        <w:left w:val="nil"/>
        <w:bottom w:val="nil"/>
        <w:right w:val="nil"/>
        <w:between w:val="nil"/>
      </w:pBdr>
      <w:tabs>
        <w:tab w:val="center" w:pos="4419"/>
        <w:tab w:val="right" w:pos="8838"/>
      </w:tabs>
      <w:jc w:val="right"/>
      <w:rPr>
        <w:color w:val="000000"/>
        <w:sz w:val="22"/>
        <w:szCs w:val="22"/>
      </w:rPr>
    </w:pPr>
    <w:r>
      <w:rPr>
        <w:color w:val="000000"/>
        <w:sz w:val="22"/>
        <w:szCs w:val="22"/>
      </w:rPr>
      <w:t xml:space="preserve">Página </w:t>
    </w:r>
    <w:r>
      <w:rPr>
        <w:b/>
        <w:bCs/>
        <w:color w:val="000000"/>
        <w:sz w:val="22"/>
        <w:szCs w:val="22"/>
      </w:rPr>
      <w:fldChar w:fldCharType="begin"/>
    </w:r>
    <w:r>
      <w:rPr>
        <w:b/>
        <w:bCs/>
        <w:color w:val="000000"/>
        <w:sz w:val="22"/>
        <w:szCs w:val="22"/>
      </w:rPr>
      <w:instrText>PAGE</w:instrText>
    </w:r>
    <w:r>
      <w:rPr>
        <w:b/>
        <w:bCs/>
        <w:color w:val="000000"/>
        <w:sz w:val="22"/>
        <w:szCs w:val="22"/>
      </w:rPr>
      <w:fldChar w:fldCharType="separate"/>
    </w:r>
    <w:r w:rsidR="00723EBA">
      <w:rPr>
        <w:b/>
        <w:bCs/>
        <w:noProof/>
        <w:color w:val="000000"/>
        <w:sz w:val="22"/>
        <w:szCs w:val="22"/>
      </w:rPr>
      <w:t>12</w:t>
    </w:r>
    <w:r>
      <w:rPr>
        <w:b/>
        <w:bCs/>
        <w:color w:val="000000"/>
        <w:sz w:val="22"/>
        <w:szCs w:val="22"/>
      </w:rPr>
      <w:fldChar w:fldCharType="end"/>
    </w:r>
    <w:r>
      <w:rPr>
        <w:color w:val="000000"/>
        <w:sz w:val="22"/>
        <w:szCs w:val="22"/>
      </w:rPr>
      <w:t xml:space="preserve"> de </w:t>
    </w:r>
    <w:r>
      <w:rPr>
        <w:b/>
        <w:bCs/>
        <w:color w:val="000000"/>
        <w:sz w:val="22"/>
        <w:szCs w:val="22"/>
      </w:rPr>
      <w:fldChar w:fldCharType="begin"/>
    </w:r>
    <w:r>
      <w:rPr>
        <w:b/>
        <w:bCs/>
        <w:color w:val="000000"/>
        <w:sz w:val="22"/>
        <w:szCs w:val="22"/>
      </w:rPr>
      <w:instrText>NUMPAGES</w:instrText>
    </w:r>
    <w:r>
      <w:rPr>
        <w:b/>
        <w:bCs/>
        <w:color w:val="000000"/>
        <w:sz w:val="22"/>
        <w:szCs w:val="22"/>
      </w:rPr>
      <w:fldChar w:fldCharType="separate"/>
    </w:r>
    <w:r w:rsidR="00723EBA">
      <w:rPr>
        <w:b/>
        <w:bCs/>
        <w:noProof/>
        <w:color w:val="000000"/>
        <w:sz w:val="22"/>
        <w:szCs w:val="22"/>
      </w:rPr>
      <w:t>95</w:t>
    </w:r>
    <w:r>
      <w:rPr>
        <w:b/>
        <w:bCs/>
        <w:color w:val="000000"/>
        <w:sz w:val="22"/>
        <w:szCs w:val="22"/>
      </w:rPr>
      <w:fldChar w:fldCharType="end"/>
    </w:r>
  </w:p>
  <w:p w14:paraId="15589A5B" w14:textId="77777777" w:rsidR="0082122D" w:rsidRDefault="0082122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8F5B3" w14:textId="77777777" w:rsidR="0082122D" w:rsidRDefault="0082122D">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723EBA">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723EBA">
      <w:rPr>
        <w:rFonts w:ascii="Palatino Linotype" w:eastAsia="Palatino Linotype" w:hAnsi="Palatino Linotype" w:cs="Palatino Linotype"/>
        <w:b/>
        <w:bCs/>
        <w:noProof/>
        <w:color w:val="000000"/>
        <w:sz w:val="22"/>
        <w:szCs w:val="22"/>
      </w:rPr>
      <w:t>95</w:t>
    </w:r>
    <w:r>
      <w:rPr>
        <w:rFonts w:ascii="Palatino Linotype" w:eastAsia="Palatino Linotype" w:hAnsi="Palatino Linotype" w:cs="Palatino Linotype"/>
        <w:b/>
        <w:bCs/>
        <w:color w:val="000000"/>
        <w:sz w:val="22"/>
        <w:szCs w:val="22"/>
      </w:rPr>
      <w:fldChar w:fldCharType="end"/>
    </w:r>
  </w:p>
  <w:p w14:paraId="64A6B715" w14:textId="77777777" w:rsidR="0082122D" w:rsidRDefault="0082122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DF26E" w14:textId="77777777" w:rsidR="002E4021" w:rsidRDefault="002E4021">
      <w:r>
        <w:separator/>
      </w:r>
    </w:p>
  </w:footnote>
  <w:footnote w:type="continuationSeparator" w:id="0">
    <w:p w14:paraId="1E60A534" w14:textId="77777777" w:rsidR="002E4021" w:rsidRDefault="002E4021">
      <w:r>
        <w:continuationSeparator/>
      </w:r>
    </w:p>
  </w:footnote>
  <w:footnote w:id="1">
    <w:p w14:paraId="3AF31FD1" w14:textId="77777777" w:rsidR="0082122D" w:rsidRDefault="0082122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1C18585D" w14:textId="77777777" w:rsidR="0082122D" w:rsidRDefault="0082122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6D02AD8A" w14:textId="77777777" w:rsidR="0082122D" w:rsidRDefault="0082122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1AC88B75" w14:textId="77777777" w:rsidR="0082122D" w:rsidRDefault="0082122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1A9AD8F4" w14:textId="77777777" w:rsidR="0082122D" w:rsidRDefault="0082122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14:paraId="4181CD20" w14:textId="77777777" w:rsidR="0082122D" w:rsidRDefault="0082122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14:paraId="2BA71F37" w14:textId="77777777" w:rsidR="0082122D" w:rsidRDefault="0082122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14:paraId="45654B9C" w14:textId="77777777" w:rsidR="0082122D" w:rsidRDefault="0082122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9">
    <w:p w14:paraId="5A127636" w14:textId="77777777" w:rsidR="0082122D" w:rsidRDefault="0082122D">
      <w:pPr>
        <w:pBdr>
          <w:top w:val="nil"/>
          <w:left w:val="nil"/>
          <w:bottom w:val="nil"/>
          <w:right w:val="nil"/>
          <w:between w:val="nil"/>
        </w:pBdr>
        <w:jc w:val="both"/>
        <w:rPr>
          <w:rFonts w:ascii="Palatino Linotype" w:eastAsia="Palatino Linotype" w:hAnsi="Palatino Linotype" w:cs="Palatino Linotype"/>
          <w:color w:val="000000"/>
        </w:rPr>
      </w:pPr>
      <w:r>
        <w:rPr>
          <w:vertAlign w:val="superscript"/>
        </w:rPr>
        <w:footnoteRef/>
      </w:r>
      <w:r>
        <w:rPr>
          <w:rFonts w:ascii="Palatino Linotype" w:eastAsia="Palatino Linotype" w:hAnsi="Palatino Linotype" w:cs="Palatino Linotype"/>
          <w:color w:val="000000"/>
        </w:rPr>
        <w:t xml:space="preserve"> Ley del Trabajo de los Servidores Públicos del Estado de México, Artículo 1.</w:t>
      </w:r>
    </w:p>
  </w:footnote>
  <w:footnote w:id="10">
    <w:p w14:paraId="114DEDF5" w14:textId="77777777" w:rsidR="0082122D" w:rsidRDefault="0082122D">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11">
    <w:p w14:paraId="75AE788A" w14:textId="77777777" w:rsidR="0082122D" w:rsidRDefault="0082122D">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12">
    <w:p w14:paraId="41532A3D" w14:textId="77777777" w:rsidR="0082122D" w:rsidRDefault="0082122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hyperlink r:id="rId1">
        <w:r>
          <w:rPr>
            <w:rFonts w:ascii="Calibri" w:eastAsia="Calibri" w:hAnsi="Calibri" w:cs="Calibri"/>
            <w:color w:val="0563C1"/>
            <w:sz w:val="20"/>
            <w:szCs w:val="20"/>
            <w:u w:val="single"/>
          </w:rPr>
          <w:t>https://legislacion.edomex.gob.mx/sites/legislacion.edomex.gob.mx/files/files/pdf/ley/vig/leyvig083.pdf</w:t>
        </w:r>
      </w:hyperlink>
    </w:p>
    <w:p w14:paraId="2E88336A" w14:textId="77777777" w:rsidR="0082122D" w:rsidRDefault="0082122D">
      <w:pPr>
        <w:pBdr>
          <w:top w:val="nil"/>
          <w:left w:val="nil"/>
          <w:bottom w:val="nil"/>
          <w:right w:val="nil"/>
          <w:between w:val="nil"/>
        </w:pBdr>
        <w:rPr>
          <w:rFonts w:ascii="Calibri" w:eastAsia="Calibri" w:hAnsi="Calibri" w:cs="Calibri"/>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B3732" w14:textId="77777777" w:rsidR="0082122D" w:rsidRDefault="002E4021">
    <w:pPr>
      <w:pBdr>
        <w:top w:val="nil"/>
        <w:left w:val="nil"/>
        <w:bottom w:val="nil"/>
        <w:right w:val="nil"/>
        <w:between w:val="nil"/>
      </w:pBdr>
      <w:tabs>
        <w:tab w:val="center" w:pos="4419"/>
        <w:tab w:val="right" w:pos="8838"/>
      </w:tabs>
      <w:rPr>
        <w:color w:val="000000"/>
      </w:rPr>
    </w:pPr>
    <w:r>
      <w:rPr>
        <w:color w:val="000000"/>
      </w:rPr>
      <w:pict w14:anchorId="50E899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206" w:type="dxa"/>
      <w:tblInd w:w="0" w:type="dxa"/>
      <w:tblLayout w:type="fixed"/>
      <w:tblLook w:val="0400" w:firstRow="0" w:lastRow="0" w:firstColumn="0" w:lastColumn="0" w:noHBand="0" w:noVBand="1"/>
    </w:tblPr>
    <w:tblGrid>
      <w:gridCol w:w="2268"/>
      <w:gridCol w:w="7938"/>
    </w:tblGrid>
    <w:tr w:rsidR="0082122D" w14:paraId="7D83D13A" w14:textId="77777777" w:rsidTr="0082122D">
      <w:trPr>
        <w:trHeight w:val="1435"/>
      </w:trPr>
      <w:tc>
        <w:tcPr>
          <w:tcW w:w="2268" w:type="dxa"/>
          <w:shd w:val="clear" w:color="auto" w:fill="auto"/>
        </w:tcPr>
        <w:p w14:paraId="150035C2" w14:textId="77777777" w:rsidR="0082122D" w:rsidRDefault="0082122D">
          <w:pPr>
            <w:tabs>
              <w:tab w:val="right" w:pos="4273"/>
            </w:tabs>
            <w:rPr>
              <w:rFonts w:ascii="Garamond" w:eastAsia="Garamond" w:hAnsi="Garamond" w:cs="Garamond"/>
              <w:sz w:val="16"/>
              <w:szCs w:val="16"/>
            </w:rPr>
          </w:pPr>
        </w:p>
      </w:tc>
      <w:tc>
        <w:tcPr>
          <w:tcW w:w="7938" w:type="dxa"/>
          <w:shd w:val="clear" w:color="auto" w:fill="auto"/>
        </w:tcPr>
        <w:tbl>
          <w:tblPr>
            <w:tblStyle w:val="a2"/>
            <w:tblW w:w="6660" w:type="dxa"/>
            <w:tblInd w:w="1019" w:type="dxa"/>
            <w:tblLayout w:type="fixed"/>
            <w:tblLook w:val="0400" w:firstRow="0" w:lastRow="0" w:firstColumn="0" w:lastColumn="0" w:noHBand="0" w:noVBand="1"/>
          </w:tblPr>
          <w:tblGrid>
            <w:gridCol w:w="2934"/>
            <w:gridCol w:w="3726"/>
          </w:tblGrid>
          <w:tr w:rsidR="0082122D" w14:paraId="09B4F7E2" w14:textId="77777777" w:rsidTr="0082122D">
            <w:trPr>
              <w:trHeight w:val="150"/>
            </w:trPr>
            <w:tc>
              <w:tcPr>
                <w:tcW w:w="2934" w:type="dxa"/>
                <w:shd w:val="clear" w:color="auto" w:fill="auto"/>
              </w:tcPr>
              <w:p w14:paraId="5B8A9473" w14:textId="77777777" w:rsidR="0082122D" w:rsidRDefault="0082122D">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26" w:type="dxa"/>
                <w:shd w:val="clear" w:color="auto" w:fill="auto"/>
              </w:tcPr>
              <w:p w14:paraId="6E6DE9F3" w14:textId="77777777" w:rsidR="0082122D" w:rsidRDefault="0082122D">
                <w:pPr>
                  <w:tabs>
                    <w:tab w:val="right" w:pos="8838"/>
                  </w:tabs>
                  <w:ind w:left="-108" w:right="-102"/>
                  <w:jc w:val="both"/>
                  <w:rPr>
                    <w:rFonts w:ascii="Palatino Linotype" w:eastAsia="Palatino Linotype" w:hAnsi="Palatino Linotype" w:cs="Palatino Linotype"/>
                  </w:rPr>
                </w:pPr>
                <w:r>
                  <w:rPr>
                    <w:rFonts w:ascii="Palatino Linotype" w:eastAsia="Palatino Linotype" w:hAnsi="Palatino Linotype" w:cs="Palatino Linotype"/>
                  </w:rPr>
                  <w:t>02428/INFOEM/IP/RR/2026</w:t>
                </w:r>
              </w:p>
            </w:tc>
          </w:tr>
          <w:tr w:rsidR="0082122D" w14:paraId="7248F147" w14:textId="77777777" w:rsidTr="0082122D">
            <w:trPr>
              <w:trHeight w:val="295"/>
            </w:trPr>
            <w:tc>
              <w:tcPr>
                <w:tcW w:w="2934" w:type="dxa"/>
                <w:shd w:val="clear" w:color="auto" w:fill="auto"/>
              </w:tcPr>
              <w:p w14:paraId="7E963C17" w14:textId="77777777" w:rsidR="0082122D" w:rsidRDefault="0082122D">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26" w:type="dxa"/>
                <w:shd w:val="clear" w:color="auto" w:fill="auto"/>
              </w:tcPr>
              <w:p w14:paraId="648C37E3" w14:textId="77777777" w:rsidR="0082122D" w:rsidRDefault="0082122D">
                <w:pPr>
                  <w:tabs>
                    <w:tab w:val="left" w:pos="2834"/>
                    <w:tab w:val="right" w:pos="8838"/>
                  </w:tabs>
                  <w:ind w:left="-108" w:right="-102"/>
                  <w:jc w:val="both"/>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82122D" w14:paraId="0399031D" w14:textId="77777777" w:rsidTr="0082122D">
            <w:trPr>
              <w:trHeight w:val="295"/>
            </w:trPr>
            <w:tc>
              <w:tcPr>
                <w:tcW w:w="2934" w:type="dxa"/>
                <w:shd w:val="clear" w:color="auto" w:fill="auto"/>
              </w:tcPr>
              <w:p w14:paraId="735D2D9F" w14:textId="77777777" w:rsidR="0082122D" w:rsidRDefault="0082122D">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26" w:type="dxa"/>
                <w:shd w:val="clear" w:color="auto" w:fill="auto"/>
              </w:tcPr>
              <w:p w14:paraId="58AC1E47" w14:textId="77777777" w:rsidR="0082122D" w:rsidRDefault="0082122D">
                <w:pPr>
                  <w:tabs>
                    <w:tab w:val="right" w:pos="8838"/>
                  </w:tabs>
                  <w:ind w:left="-108" w:right="171"/>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14:paraId="5E126AD3" w14:textId="77777777" w:rsidR="0082122D" w:rsidRDefault="0082122D">
                <w:pPr>
                  <w:tabs>
                    <w:tab w:val="right" w:pos="8838"/>
                  </w:tabs>
                  <w:ind w:left="-108" w:right="171"/>
                  <w:jc w:val="both"/>
                  <w:rPr>
                    <w:rFonts w:ascii="Palatino Linotype" w:eastAsia="Palatino Linotype" w:hAnsi="Palatino Linotype" w:cs="Palatino Linotype"/>
                    <w:b/>
                    <w:bCs/>
                  </w:rPr>
                </w:pPr>
              </w:p>
            </w:tc>
          </w:tr>
        </w:tbl>
        <w:p w14:paraId="20191693" w14:textId="77777777" w:rsidR="0082122D" w:rsidRDefault="0082122D">
          <w:pPr>
            <w:tabs>
              <w:tab w:val="right" w:pos="8838"/>
            </w:tabs>
            <w:ind w:left="-28"/>
            <w:jc w:val="both"/>
            <w:rPr>
              <w:rFonts w:ascii="Arial" w:eastAsia="Arial" w:hAnsi="Arial" w:cs="Arial"/>
              <w:b/>
              <w:bCs/>
              <w:sz w:val="22"/>
              <w:szCs w:val="22"/>
            </w:rPr>
          </w:pPr>
        </w:p>
      </w:tc>
    </w:tr>
  </w:tbl>
  <w:p w14:paraId="44FE9761" w14:textId="77777777" w:rsidR="0082122D" w:rsidRDefault="002E4021">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06640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348" w:type="dxa"/>
      <w:tblInd w:w="0" w:type="dxa"/>
      <w:tblLayout w:type="fixed"/>
      <w:tblLook w:val="0400" w:firstRow="0" w:lastRow="0" w:firstColumn="0" w:lastColumn="0" w:noHBand="0" w:noVBand="1"/>
    </w:tblPr>
    <w:tblGrid>
      <w:gridCol w:w="2268"/>
      <w:gridCol w:w="8080"/>
    </w:tblGrid>
    <w:tr w:rsidR="0082122D" w14:paraId="0B8E8F9A" w14:textId="77777777" w:rsidTr="0082122D">
      <w:trPr>
        <w:trHeight w:val="1435"/>
      </w:trPr>
      <w:tc>
        <w:tcPr>
          <w:tcW w:w="2268" w:type="dxa"/>
          <w:shd w:val="clear" w:color="auto" w:fill="auto"/>
        </w:tcPr>
        <w:p w14:paraId="5F31322F" w14:textId="77777777" w:rsidR="0082122D" w:rsidRDefault="0082122D">
          <w:pPr>
            <w:tabs>
              <w:tab w:val="right" w:pos="4273"/>
            </w:tabs>
            <w:rPr>
              <w:rFonts w:ascii="Garamond" w:eastAsia="Garamond" w:hAnsi="Garamond" w:cs="Garamond"/>
              <w:sz w:val="22"/>
              <w:szCs w:val="22"/>
            </w:rPr>
          </w:pPr>
        </w:p>
      </w:tc>
      <w:tc>
        <w:tcPr>
          <w:tcW w:w="8080" w:type="dxa"/>
          <w:shd w:val="clear" w:color="auto" w:fill="auto"/>
        </w:tcPr>
        <w:tbl>
          <w:tblPr>
            <w:tblStyle w:val="a4"/>
            <w:tblW w:w="6660" w:type="dxa"/>
            <w:tblInd w:w="1445" w:type="dxa"/>
            <w:tblLayout w:type="fixed"/>
            <w:tblLook w:val="0400" w:firstRow="0" w:lastRow="0" w:firstColumn="0" w:lastColumn="0" w:noHBand="0" w:noVBand="1"/>
          </w:tblPr>
          <w:tblGrid>
            <w:gridCol w:w="2664"/>
            <w:gridCol w:w="3996"/>
          </w:tblGrid>
          <w:tr w:rsidR="0082122D" w14:paraId="783C0F7F" w14:textId="77777777" w:rsidTr="0082122D">
            <w:trPr>
              <w:trHeight w:val="144"/>
            </w:trPr>
            <w:tc>
              <w:tcPr>
                <w:tcW w:w="2664" w:type="dxa"/>
                <w:shd w:val="clear" w:color="auto" w:fill="auto"/>
              </w:tcPr>
              <w:p w14:paraId="45FC53F3" w14:textId="77777777" w:rsidR="0082122D" w:rsidRDefault="0082122D">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996" w:type="dxa"/>
                <w:shd w:val="clear" w:color="auto" w:fill="auto"/>
              </w:tcPr>
              <w:p w14:paraId="7C2D7DB2" w14:textId="77777777" w:rsidR="0082122D" w:rsidRDefault="0082122D">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02428/INFOEM/IP/RR/2026</w:t>
                </w:r>
              </w:p>
            </w:tc>
          </w:tr>
          <w:tr w:rsidR="0082122D" w14:paraId="52A22B5A" w14:textId="77777777" w:rsidTr="0082122D">
            <w:trPr>
              <w:trHeight w:val="144"/>
            </w:trPr>
            <w:tc>
              <w:tcPr>
                <w:tcW w:w="2664" w:type="dxa"/>
                <w:shd w:val="clear" w:color="auto" w:fill="auto"/>
              </w:tcPr>
              <w:p w14:paraId="332B6277" w14:textId="77777777" w:rsidR="0082122D" w:rsidRDefault="0082122D">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996" w:type="dxa"/>
                <w:shd w:val="clear" w:color="auto" w:fill="auto"/>
              </w:tcPr>
              <w:p w14:paraId="226D354A" w14:textId="62092FBA" w:rsidR="0082122D" w:rsidRDefault="00723EBA">
                <w:pPr>
                  <w:tabs>
                    <w:tab w:val="left" w:pos="3122"/>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XXXX</w:t>
                </w:r>
              </w:p>
            </w:tc>
          </w:tr>
          <w:tr w:rsidR="0082122D" w14:paraId="39551AFB" w14:textId="77777777" w:rsidTr="0082122D">
            <w:trPr>
              <w:trHeight w:val="283"/>
            </w:trPr>
            <w:tc>
              <w:tcPr>
                <w:tcW w:w="2664" w:type="dxa"/>
                <w:shd w:val="clear" w:color="auto" w:fill="auto"/>
              </w:tcPr>
              <w:p w14:paraId="326602DF" w14:textId="77777777" w:rsidR="0082122D" w:rsidRDefault="0082122D">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996" w:type="dxa"/>
                <w:shd w:val="clear" w:color="auto" w:fill="auto"/>
              </w:tcPr>
              <w:p w14:paraId="0E89036D" w14:textId="77777777" w:rsidR="0082122D" w:rsidRDefault="0082122D">
                <w:pPr>
                  <w:tabs>
                    <w:tab w:val="left" w:pos="2834"/>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 xml:space="preserve">Ayuntamiento de Toluca </w:t>
                </w:r>
              </w:p>
            </w:tc>
          </w:tr>
          <w:tr w:rsidR="0082122D" w14:paraId="3FE1EE1E" w14:textId="77777777" w:rsidTr="0082122D">
            <w:trPr>
              <w:trHeight w:val="283"/>
            </w:trPr>
            <w:tc>
              <w:tcPr>
                <w:tcW w:w="2664" w:type="dxa"/>
                <w:shd w:val="clear" w:color="auto" w:fill="auto"/>
              </w:tcPr>
              <w:p w14:paraId="10F8D35F" w14:textId="77777777" w:rsidR="0082122D" w:rsidRDefault="0082122D">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996" w:type="dxa"/>
                <w:shd w:val="clear" w:color="auto" w:fill="auto"/>
              </w:tcPr>
              <w:p w14:paraId="34D1A23A" w14:textId="77777777" w:rsidR="0082122D" w:rsidRDefault="0082122D">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14:paraId="6949662E" w14:textId="77777777" w:rsidR="0082122D" w:rsidRDefault="0082122D">
                <w:pPr>
                  <w:tabs>
                    <w:tab w:val="right" w:pos="8838"/>
                  </w:tabs>
                  <w:ind w:left="-74" w:right="-105"/>
                  <w:jc w:val="both"/>
                  <w:rPr>
                    <w:rFonts w:ascii="Palatino Linotype" w:eastAsia="Palatino Linotype" w:hAnsi="Palatino Linotype" w:cs="Palatino Linotype"/>
                  </w:rPr>
                </w:pPr>
              </w:p>
            </w:tc>
          </w:tr>
        </w:tbl>
        <w:p w14:paraId="5978D4F5" w14:textId="77777777" w:rsidR="0082122D" w:rsidRDefault="0082122D">
          <w:pPr>
            <w:tabs>
              <w:tab w:val="right" w:pos="8838"/>
            </w:tabs>
            <w:ind w:left="-28"/>
            <w:jc w:val="both"/>
            <w:rPr>
              <w:rFonts w:ascii="Arial" w:eastAsia="Arial" w:hAnsi="Arial" w:cs="Arial"/>
              <w:b/>
              <w:bCs/>
              <w:sz w:val="22"/>
              <w:szCs w:val="22"/>
            </w:rPr>
          </w:pPr>
        </w:p>
      </w:tc>
    </w:tr>
  </w:tbl>
  <w:p w14:paraId="7727BD31" w14:textId="77777777" w:rsidR="0082122D" w:rsidRDefault="002E4021">
    <w:pPr>
      <w:pBdr>
        <w:top w:val="nil"/>
        <w:left w:val="nil"/>
        <w:bottom w:val="nil"/>
        <w:right w:val="nil"/>
        <w:between w:val="nil"/>
      </w:pBdr>
      <w:tabs>
        <w:tab w:val="center" w:pos="4419"/>
        <w:tab w:val="right" w:pos="8838"/>
      </w:tabs>
      <w:rPr>
        <w:color w:val="000000"/>
        <w:sz w:val="2"/>
        <w:szCs w:val="2"/>
      </w:rPr>
    </w:pPr>
    <w:r>
      <w:rPr>
        <w:color w:val="000000"/>
        <w:sz w:val="2"/>
        <w:szCs w:val="2"/>
      </w:rPr>
      <w:pict w14:anchorId="4762F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4763"/>
    <w:multiLevelType w:val="multilevel"/>
    <w:tmpl w:val="C1B0F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1A4FE0"/>
    <w:multiLevelType w:val="multilevel"/>
    <w:tmpl w:val="F130665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782730"/>
    <w:multiLevelType w:val="multilevel"/>
    <w:tmpl w:val="075497A4"/>
    <w:lvl w:ilvl="0">
      <w:start w:val="1"/>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8D000C"/>
    <w:multiLevelType w:val="multilevel"/>
    <w:tmpl w:val="17E4F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ED3FBE"/>
    <w:multiLevelType w:val="multilevel"/>
    <w:tmpl w:val="9820767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293102"/>
    <w:multiLevelType w:val="multilevel"/>
    <w:tmpl w:val="91CA9EEA"/>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6" w15:restartNumberingAfterBreak="0">
    <w:nsid w:val="136420F3"/>
    <w:multiLevelType w:val="multilevel"/>
    <w:tmpl w:val="9820767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8C4444"/>
    <w:multiLevelType w:val="multilevel"/>
    <w:tmpl w:val="32DCB098"/>
    <w:lvl w:ilvl="0">
      <w:start w:val="1"/>
      <w:numFmt w:val="bullet"/>
      <w:lvlText w:val="●"/>
      <w:lvlJc w:val="left"/>
      <w:pPr>
        <w:ind w:left="22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8622537"/>
    <w:multiLevelType w:val="multilevel"/>
    <w:tmpl w:val="D87A40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6F45C9"/>
    <w:multiLevelType w:val="hybridMultilevel"/>
    <w:tmpl w:val="EBFCBC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51718F7"/>
    <w:multiLevelType w:val="multilevel"/>
    <w:tmpl w:val="F31AAFBE"/>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795ABE"/>
    <w:multiLevelType w:val="multilevel"/>
    <w:tmpl w:val="CEC018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16C2F80"/>
    <w:multiLevelType w:val="multilevel"/>
    <w:tmpl w:val="10E8F5EC"/>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E0884"/>
    <w:multiLevelType w:val="multilevel"/>
    <w:tmpl w:val="B40CAE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1EE44DC"/>
    <w:multiLevelType w:val="multilevel"/>
    <w:tmpl w:val="B9686C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2342EC1"/>
    <w:multiLevelType w:val="multilevel"/>
    <w:tmpl w:val="9820767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12095B"/>
    <w:multiLevelType w:val="multilevel"/>
    <w:tmpl w:val="4E7450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7987EB4"/>
    <w:multiLevelType w:val="multilevel"/>
    <w:tmpl w:val="02969664"/>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8" w15:restartNumberingAfterBreak="0">
    <w:nsid w:val="3CD743C5"/>
    <w:multiLevelType w:val="multilevel"/>
    <w:tmpl w:val="9820767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B63BC4"/>
    <w:multiLevelType w:val="multilevel"/>
    <w:tmpl w:val="9820767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FB9582D"/>
    <w:multiLevelType w:val="multilevel"/>
    <w:tmpl w:val="9820767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7BE0255"/>
    <w:multiLevelType w:val="multilevel"/>
    <w:tmpl w:val="9820767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9114DAB"/>
    <w:multiLevelType w:val="multilevel"/>
    <w:tmpl w:val="C002A43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BBF1F8B"/>
    <w:multiLevelType w:val="multilevel"/>
    <w:tmpl w:val="9820767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C5944F8"/>
    <w:multiLevelType w:val="multilevel"/>
    <w:tmpl w:val="4ED250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CB747FF"/>
    <w:multiLevelType w:val="multilevel"/>
    <w:tmpl w:val="9820767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D561CD8"/>
    <w:multiLevelType w:val="multilevel"/>
    <w:tmpl w:val="7E283B7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1225A9F"/>
    <w:multiLevelType w:val="multilevel"/>
    <w:tmpl w:val="7EC0F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769264B"/>
    <w:multiLevelType w:val="multilevel"/>
    <w:tmpl w:val="85D47A34"/>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D5B47AD"/>
    <w:multiLevelType w:val="multilevel"/>
    <w:tmpl w:val="0F6CEC4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0" w15:restartNumberingAfterBreak="0">
    <w:nsid w:val="67171B89"/>
    <w:multiLevelType w:val="multilevel"/>
    <w:tmpl w:val="9820767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2446C0"/>
    <w:multiLevelType w:val="multilevel"/>
    <w:tmpl w:val="FDCE7E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151105B"/>
    <w:multiLevelType w:val="multilevel"/>
    <w:tmpl w:val="70388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3E206DD"/>
    <w:multiLevelType w:val="multilevel"/>
    <w:tmpl w:val="9820767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70136A0"/>
    <w:multiLevelType w:val="hybridMultilevel"/>
    <w:tmpl w:val="5B5684BE"/>
    <w:lvl w:ilvl="0" w:tplc="080A000F">
      <w:start w:val="1"/>
      <w:numFmt w:val="decimal"/>
      <w:lvlText w:val="%1."/>
      <w:lvlJc w:val="left"/>
      <w:pPr>
        <w:ind w:left="360"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BDF6541"/>
    <w:multiLevelType w:val="multilevel"/>
    <w:tmpl w:val="630666F6"/>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C592B28"/>
    <w:multiLevelType w:val="multilevel"/>
    <w:tmpl w:val="9820767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EB67201"/>
    <w:multiLevelType w:val="multilevel"/>
    <w:tmpl w:val="B552B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F8979A6"/>
    <w:multiLevelType w:val="multilevel"/>
    <w:tmpl w:val="4476F7F0"/>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5"/>
  </w:num>
  <w:num w:numId="3">
    <w:abstractNumId w:val="10"/>
  </w:num>
  <w:num w:numId="4">
    <w:abstractNumId w:val="28"/>
  </w:num>
  <w:num w:numId="5">
    <w:abstractNumId w:val="26"/>
  </w:num>
  <w:num w:numId="6">
    <w:abstractNumId w:val="7"/>
  </w:num>
  <w:num w:numId="7">
    <w:abstractNumId w:val="16"/>
  </w:num>
  <w:num w:numId="8">
    <w:abstractNumId w:val="35"/>
  </w:num>
  <w:num w:numId="9">
    <w:abstractNumId w:val="12"/>
  </w:num>
  <w:num w:numId="10">
    <w:abstractNumId w:val="3"/>
  </w:num>
  <w:num w:numId="11">
    <w:abstractNumId w:val="8"/>
  </w:num>
  <w:num w:numId="12">
    <w:abstractNumId w:val="24"/>
  </w:num>
  <w:num w:numId="13">
    <w:abstractNumId w:val="2"/>
  </w:num>
  <w:num w:numId="14">
    <w:abstractNumId w:val="1"/>
  </w:num>
  <w:num w:numId="15">
    <w:abstractNumId w:val="22"/>
  </w:num>
  <w:num w:numId="16">
    <w:abstractNumId w:val="13"/>
  </w:num>
  <w:num w:numId="17">
    <w:abstractNumId w:val="31"/>
  </w:num>
  <w:num w:numId="18">
    <w:abstractNumId w:val="14"/>
  </w:num>
  <w:num w:numId="19">
    <w:abstractNumId w:val="27"/>
  </w:num>
  <w:num w:numId="20">
    <w:abstractNumId w:val="5"/>
  </w:num>
  <w:num w:numId="21">
    <w:abstractNumId w:val="32"/>
  </w:num>
  <w:num w:numId="22">
    <w:abstractNumId w:val="38"/>
  </w:num>
  <w:num w:numId="23">
    <w:abstractNumId w:val="11"/>
  </w:num>
  <w:num w:numId="24">
    <w:abstractNumId w:val="29"/>
  </w:num>
  <w:num w:numId="25">
    <w:abstractNumId w:val="17"/>
  </w:num>
  <w:num w:numId="26">
    <w:abstractNumId w:val="37"/>
  </w:num>
  <w:num w:numId="27">
    <w:abstractNumId w:val="9"/>
  </w:num>
  <w:num w:numId="28">
    <w:abstractNumId w:val="6"/>
  </w:num>
  <w:num w:numId="29">
    <w:abstractNumId w:val="30"/>
  </w:num>
  <w:num w:numId="30">
    <w:abstractNumId w:val="18"/>
  </w:num>
  <w:num w:numId="31">
    <w:abstractNumId w:val="25"/>
  </w:num>
  <w:num w:numId="32">
    <w:abstractNumId w:val="23"/>
  </w:num>
  <w:num w:numId="33">
    <w:abstractNumId w:val="33"/>
  </w:num>
  <w:num w:numId="34">
    <w:abstractNumId w:val="36"/>
  </w:num>
  <w:num w:numId="35">
    <w:abstractNumId w:val="20"/>
  </w:num>
  <w:num w:numId="36">
    <w:abstractNumId w:val="21"/>
  </w:num>
  <w:num w:numId="37">
    <w:abstractNumId w:val="4"/>
  </w:num>
  <w:num w:numId="38">
    <w:abstractNumId w:val="19"/>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24"/>
    <w:rsid w:val="00023711"/>
    <w:rsid w:val="00067EB1"/>
    <w:rsid w:val="00072C12"/>
    <w:rsid w:val="000943D7"/>
    <w:rsid w:val="002002A1"/>
    <w:rsid w:val="002E4021"/>
    <w:rsid w:val="00304376"/>
    <w:rsid w:val="00385882"/>
    <w:rsid w:val="00454DFD"/>
    <w:rsid w:val="0051042C"/>
    <w:rsid w:val="00511ED4"/>
    <w:rsid w:val="0052231F"/>
    <w:rsid w:val="005315B2"/>
    <w:rsid w:val="005906F9"/>
    <w:rsid w:val="005C2B11"/>
    <w:rsid w:val="0067622C"/>
    <w:rsid w:val="006A117F"/>
    <w:rsid w:val="006D3F24"/>
    <w:rsid w:val="00723EBA"/>
    <w:rsid w:val="007B44CF"/>
    <w:rsid w:val="0082122D"/>
    <w:rsid w:val="00843A97"/>
    <w:rsid w:val="00855F4F"/>
    <w:rsid w:val="00885A98"/>
    <w:rsid w:val="00997049"/>
    <w:rsid w:val="009A0893"/>
    <w:rsid w:val="009D6BDF"/>
    <w:rsid w:val="00A70940"/>
    <w:rsid w:val="00AB716F"/>
    <w:rsid w:val="00BD78D4"/>
    <w:rsid w:val="00BF3C97"/>
    <w:rsid w:val="00C47C3F"/>
    <w:rsid w:val="00CB0A68"/>
    <w:rsid w:val="00D05313"/>
    <w:rsid w:val="00D1229C"/>
    <w:rsid w:val="00D242F8"/>
    <w:rsid w:val="00D636D3"/>
    <w:rsid w:val="00DB76B8"/>
    <w:rsid w:val="00E60895"/>
    <w:rsid w:val="00F11EBB"/>
    <w:rsid w:val="00F23860"/>
    <w:rsid w:val="00F243C4"/>
    <w:rsid w:val="00F91E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832E4B"/>
  <w15:docId w15:val="{2BA0E79C-4A7D-4983-85C7-067CAA71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Tablaconcuadrcula2">
    <w:name w:val="Tabla con cuadrícula2"/>
    <w:basedOn w:val="Tablanormal"/>
    <w:next w:val="Tablaconcuadrcula"/>
    <w:uiPriority w:val="39"/>
    <w:rsid w:val="00AB71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B7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B716F"/>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06F9"/>
  </w:style>
  <w:style w:type="paragraph" w:styleId="Piedepgina">
    <w:name w:val="footer"/>
    <w:basedOn w:val="Normal"/>
    <w:link w:val="PiedepginaCar"/>
    <w:uiPriority w:val="99"/>
    <w:unhideWhenUsed/>
    <w:rsid w:val="00385882"/>
    <w:pPr>
      <w:tabs>
        <w:tab w:val="center" w:pos="4419"/>
        <w:tab w:val="right" w:pos="8838"/>
      </w:tabs>
    </w:pPr>
  </w:style>
  <w:style w:type="character" w:customStyle="1" w:styleId="PiedepginaCar">
    <w:name w:val="Pie de página Car"/>
    <w:basedOn w:val="Fuentedeprrafopredeter"/>
    <w:link w:val="Piedepgina"/>
    <w:uiPriority w:val="99"/>
    <w:rsid w:val="00385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dof.gob.mx/nota_detalle.php?codigo=5492254&amp;fecha=28/07/2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www.diputados.gob.mx/documentos/N_Acta_Nacimiento.pdf"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ecogem.gob.mx/constancias/" TargetMode="External"/><Relationship Id="rId22" Type="http://schemas.openxmlformats.org/officeDocument/2006/relationships/header" Target="header1.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rkrG1bSa+VOeTYn6/syecpSx3w==">CgMxLjAyDmguYXk0dWR4c2VjcmoxMg5oLmZ3a3BmNjF3Njl0ZzIOaC4zNGpqMWd2NTB2dHUyDmgubmF0bGU1OTM3cnVtMgloLjI2aW4xcmcyCWguMzVua3VuMjIJaC4xa3N2NHV2MgloLjQ0c2luaW8yDmguZXRiMGx1dmFhdXRoMg1oLnAzeTEyYnZwa3NxOAByITE5eXpVNFVEeHEtN25nTUtXVkxveUFaazJDTnVkdmVWbQ==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95</Pages>
  <Words>23828</Words>
  <Characters>131054</Characters>
  <Application>Microsoft Office Word</Application>
  <DocSecurity>0</DocSecurity>
  <Lines>1092</Lines>
  <Paragraphs>309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154573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SERVICIO</dc:creator>
  <cp:lastModifiedBy>Cuenta Microsoft</cp:lastModifiedBy>
  <cp:revision>10</cp:revision>
  <cp:lastPrinted>2026-06-05T16:41:00Z</cp:lastPrinted>
  <dcterms:created xsi:type="dcterms:W3CDTF">2026-05-26T18:56:00Z</dcterms:created>
  <dcterms:modified xsi:type="dcterms:W3CDTF">2026-06-09T23:04:00Z</dcterms:modified>
</cp:coreProperties>
</file>