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CA0" w:rsidRPr="00FB0CDC" w:rsidRDefault="00896987">
      <w:pPr>
        <w:spacing w:line="360" w:lineRule="auto"/>
        <w:jc w:val="both"/>
        <w:rPr>
          <w:rFonts w:ascii="Palatino Linotype" w:eastAsia="Palatino Linotype" w:hAnsi="Palatino Linotype" w:cs="Palatino Linotype"/>
          <w:b/>
        </w:rPr>
      </w:pPr>
      <w:bookmarkStart w:id="0" w:name="_heading=h.3dy6vkm" w:colFirst="0" w:colLast="0"/>
      <w:bookmarkEnd w:id="0"/>
      <w:r w:rsidRPr="00FB0CD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w:t>
      </w:r>
      <w:r w:rsidR="00771BF5" w:rsidRPr="00FB0CDC">
        <w:rPr>
          <w:rFonts w:ascii="Palatino Linotype" w:eastAsia="Palatino Linotype" w:hAnsi="Palatino Linotype" w:cs="Palatino Linotype"/>
        </w:rPr>
        <w:t xml:space="preserve">tado de México; </w:t>
      </w:r>
      <w:r w:rsidR="00771BF5" w:rsidRPr="00FB0CDC">
        <w:rPr>
          <w:rFonts w:ascii="Palatino Linotype" w:eastAsia="Palatino Linotype" w:hAnsi="Palatino Linotype" w:cs="Palatino Linotype"/>
          <w:b/>
        </w:rPr>
        <w:t>de fecha diecinueve</w:t>
      </w:r>
      <w:r w:rsidR="00FB0CDC" w:rsidRPr="00FB0CDC">
        <w:rPr>
          <w:rFonts w:ascii="Palatino Linotype" w:eastAsia="Palatino Linotype" w:hAnsi="Palatino Linotype" w:cs="Palatino Linotype"/>
          <w:b/>
        </w:rPr>
        <w:t xml:space="preserve"> (19)</w:t>
      </w:r>
      <w:r w:rsidR="00771BF5" w:rsidRPr="00FB0CDC">
        <w:rPr>
          <w:rFonts w:ascii="Palatino Linotype" w:eastAsia="Palatino Linotype" w:hAnsi="Palatino Linotype" w:cs="Palatino Linotype"/>
          <w:b/>
        </w:rPr>
        <w:t xml:space="preserve"> de marzo</w:t>
      </w:r>
      <w:r w:rsidRPr="00FB0CDC">
        <w:rPr>
          <w:rFonts w:ascii="Palatino Linotype" w:eastAsia="Palatino Linotype" w:hAnsi="Palatino Linotype" w:cs="Palatino Linotype"/>
          <w:b/>
        </w:rPr>
        <w:t xml:space="preserve"> de dos mil veintiséis.</w:t>
      </w:r>
    </w:p>
    <w:p w:rsidR="005A7CA0" w:rsidRPr="00FB0CDC" w:rsidRDefault="005A7CA0">
      <w:pPr>
        <w:spacing w:line="360" w:lineRule="auto"/>
        <w:jc w:val="both"/>
        <w:rPr>
          <w:rFonts w:ascii="Palatino Linotype" w:eastAsia="Palatino Linotype" w:hAnsi="Palatino Linotype" w:cs="Palatino Linotype"/>
          <w:b/>
          <w:bCs/>
        </w:rPr>
      </w:pPr>
    </w:p>
    <w:p w:rsidR="005A7CA0" w:rsidRPr="00FB0CDC" w:rsidRDefault="00896987">
      <w:pPr>
        <w:spacing w:line="360" w:lineRule="auto"/>
        <w:jc w:val="both"/>
        <w:rPr>
          <w:rFonts w:ascii="Palatino Linotype" w:eastAsia="Palatino Linotype" w:hAnsi="Palatino Linotype" w:cs="Palatino Linotype"/>
        </w:rPr>
      </w:pPr>
      <w:bookmarkStart w:id="1" w:name="_heading=h.gjdgxs" w:colFirst="0" w:colLast="0"/>
      <w:bookmarkEnd w:id="1"/>
      <w:r w:rsidRPr="00FB0CDC">
        <w:rPr>
          <w:rFonts w:ascii="Palatino Linotype" w:eastAsia="Palatino Linotype" w:hAnsi="Palatino Linotype" w:cs="Palatino Linotype"/>
          <w:b/>
          <w:bCs/>
        </w:rPr>
        <w:t>VISTOS</w:t>
      </w:r>
      <w:r w:rsidRPr="00FB0CDC">
        <w:rPr>
          <w:rFonts w:ascii="Palatino Linotype" w:eastAsia="Palatino Linotype" w:hAnsi="Palatino Linotype" w:cs="Palatino Linotype"/>
        </w:rPr>
        <w:t xml:space="preserve"> los expedientes electrónicos formados con motivo de los Recursos de Revisión </w:t>
      </w:r>
      <w:r w:rsidRPr="00FB0CDC">
        <w:rPr>
          <w:rFonts w:ascii="Palatino Linotype" w:eastAsia="Palatino Linotype" w:hAnsi="Palatino Linotype" w:cs="Palatino Linotype"/>
          <w:b/>
          <w:bCs/>
        </w:rPr>
        <w:t xml:space="preserve">10768/INFOEM/IP/RR/2025 y 10769/INFOEM/IP/RR/2025 </w:t>
      </w:r>
      <w:r w:rsidRPr="00FB0CDC">
        <w:rPr>
          <w:rFonts w:ascii="Palatino Linotype" w:eastAsia="Palatino Linotype" w:hAnsi="Palatino Linotype" w:cs="Palatino Linotype"/>
        </w:rPr>
        <w:t>acumulados, promovidos por  </w:t>
      </w:r>
      <w:r w:rsidR="000D3D59">
        <w:rPr>
          <w:rFonts w:ascii="Palatino Linotype" w:eastAsia="Palatino Linotype" w:hAnsi="Palatino Linotype" w:cs="Palatino Linotype"/>
          <w:b/>
          <w:bCs/>
          <w:color w:val="000000"/>
        </w:rPr>
        <w:t>XXXX</w:t>
      </w:r>
      <w:r w:rsidRPr="00FB0CDC">
        <w:rPr>
          <w:rFonts w:ascii="Palatino Linotype" w:eastAsia="Palatino Linotype" w:hAnsi="Palatino Linotype" w:cs="Palatino Linotype"/>
        </w:rPr>
        <w:t xml:space="preserve">, a través del Sistema de Acceso a la Información Mexiquense (SAIMEX), a quien en lo sucesivo se le identificará como </w:t>
      </w:r>
      <w:r w:rsidR="004A7729" w:rsidRPr="00FB0CDC">
        <w:rPr>
          <w:rFonts w:ascii="Palatino Linotype" w:eastAsia="Palatino Linotype" w:hAnsi="Palatino Linotype" w:cs="Palatino Linotype"/>
          <w:b/>
          <w:bCs/>
        </w:rPr>
        <w:t>LA</w:t>
      </w:r>
      <w:r w:rsidRPr="00FB0CDC">
        <w:rPr>
          <w:rFonts w:ascii="Palatino Linotype" w:eastAsia="Palatino Linotype" w:hAnsi="Palatino Linotype" w:cs="Palatino Linotype"/>
          <w:b/>
          <w:bCs/>
        </w:rPr>
        <w:t xml:space="preserve"> RECURRENTE</w:t>
      </w:r>
      <w:r w:rsidRPr="00FB0CDC">
        <w:rPr>
          <w:rFonts w:ascii="Palatino Linotype" w:eastAsia="Palatino Linotype" w:hAnsi="Palatino Linotype" w:cs="Palatino Linotype"/>
        </w:rPr>
        <w:t xml:space="preserve">, en contra de las respuestas del </w:t>
      </w:r>
      <w:r w:rsidRPr="00FB0CDC">
        <w:rPr>
          <w:rFonts w:ascii="Palatino Linotype" w:eastAsia="Palatino Linotype" w:hAnsi="Palatino Linotype" w:cs="Palatino Linotype"/>
          <w:b/>
          <w:bCs/>
        </w:rPr>
        <w:t>Instituto de Transparencia, Acceso a la Información Pública y Protección de Datos Personales del Estado de México y Municipios</w:t>
      </w:r>
      <w:r w:rsidRPr="00FB0CDC">
        <w:rPr>
          <w:rFonts w:ascii="Palatino Linotype" w:eastAsia="Palatino Linotype" w:hAnsi="Palatino Linotype" w:cs="Palatino Linotype"/>
        </w:rPr>
        <w:t xml:space="preserve">, en adelante </w:t>
      </w:r>
      <w:r w:rsidRPr="00FB0CDC">
        <w:rPr>
          <w:rFonts w:ascii="Palatino Linotype" w:eastAsia="Palatino Linotype" w:hAnsi="Palatino Linotype" w:cs="Palatino Linotype"/>
          <w:b/>
          <w:bCs/>
        </w:rPr>
        <w:t>EL SUJETO OBLIGADO</w:t>
      </w:r>
      <w:r w:rsidRPr="00FB0CDC">
        <w:rPr>
          <w:rFonts w:ascii="Palatino Linotype" w:eastAsia="Palatino Linotype" w:hAnsi="Palatino Linotype" w:cs="Palatino Linotype"/>
        </w:rPr>
        <w:t>, se procede a dictar la presente resolución, con base en los siguientes:</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spacing w:line="360" w:lineRule="auto"/>
        <w:jc w:val="center"/>
        <w:rPr>
          <w:rFonts w:ascii="Palatino Linotype" w:eastAsia="Palatino Linotype" w:hAnsi="Palatino Linotype" w:cs="Palatino Linotype"/>
          <w:b/>
          <w:bCs/>
        </w:rPr>
      </w:pPr>
      <w:r w:rsidRPr="00FB0CDC">
        <w:rPr>
          <w:rFonts w:ascii="Palatino Linotype" w:eastAsia="Palatino Linotype" w:hAnsi="Palatino Linotype" w:cs="Palatino Linotype"/>
          <w:b/>
          <w:bCs/>
        </w:rPr>
        <w:t>A N T E C E D E N T E S</w:t>
      </w:r>
    </w:p>
    <w:p w:rsidR="005A7CA0" w:rsidRPr="00FB0CDC" w:rsidRDefault="005A7CA0">
      <w:pPr>
        <w:spacing w:line="360" w:lineRule="auto"/>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El día </w:t>
      </w:r>
      <w:r w:rsidRPr="00FB0CDC">
        <w:rPr>
          <w:rFonts w:ascii="Palatino Linotype" w:eastAsia="Palatino Linotype" w:hAnsi="Palatino Linotype" w:cs="Palatino Linotype"/>
          <w:b/>
          <w:bCs/>
        </w:rPr>
        <w:t xml:space="preserve">siete de agosto de dos mil veinticinco, </w:t>
      </w:r>
      <w:r w:rsidRPr="00FB0CDC">
        <w:rPr>
          <w:rFonts w:ascii="Palatino Linotype" w:eastAsia="Palatino Linotype" w:hAnsi="Palatino Linotype" w:cs="Palatino Linotype"/>
        </w:rPr>
        <w:t xml:space="preserve">se presentó ante el </w:t>
      </w:r>
      <w:r w:rsidRPr="00FB0CDC">
        <w:rPr>
          <w:rFonts w:ascii="Palatino Linotype" w:eastAsia="Palatino Linotype" w:hAnsi="Palatino Linotype" w:cs="Palatino Linotype"/>
          <w:b/>
          <w:bCs/>
        </w:rPr>
        <w:t>SUJETO OBLIGADO</w:t>
      </w:r>
      <w:r w:rsidRPr="00FB0CDC">
        <w:rPr>
          <w:rFonts w:ascii="Palatino Linotype" w:eastAsia="Palatino Linotype" w:hAnsi="Palatino Linotype" w:cs="Palatino Linotype"/>
        </w:rPr>
        <w:t xml:space="preserve"> vía </w:t>
      </w:r>
      <w:r w:rsidRPr="00FB0CDC">
        <w:rPr>
          <w:rFonts w:ascii="Palatino Linotype" w:eastAsia="Palatino Linotype" w:hAnsi="Palatino Linotype" w:cs="Palatino Linotype"/>
          <w:b/>
          <w:bCs/>
        </w:rPr>
        <w:t>SAIMEX</w:t>
      </w:r>
      <w:r w:rsidRPr="00FB0CDC">
        <w:rPr>
          <w:rFonts w:ascii="Palatino Linotype" w:eastAsia="Palatino Linotype" w:hAnsi="Palatino Linotype" w:cs="Palatino Linotype"/>
        </w:rPr>
        <w:t>, las solicitudes de información pública registradas con los números</w:t>
      </w:r>
      <w:r w:rsidRPr="00FB0CDC">
        <w:rPr>
          <w:rFonts w:ascii="Palatino Linotype" w:eastAsia="Palatino Linotype" w:hAnsi="Palatino Linotype" w:cs="Palatino Linotype"/>
          <w:b/>
          <w:bCs/>
          <w:color w:val="000000"/>
        </w:rPr>
        <w:t xml:space="preserve"> </w:t>
      </w:r>
      <w:r w:rsidRPr="00FB0CDC">
        <w:rPr>
          <w:rFonts w:ascii="Palatino Linotype" w:eastAsia="Palatino Linotype" w:hAnsi="Palatino Linotype" w:cs="Palatino Linotype"/>
          <w:b/>
          <w:bCs/>
        </w:rPr>
        <w:t xml:space="preserve"> 00679/INFOEM/IP/2025 y 00678/INFOEM/IP/2025</w:t>
      </w:r>
      <w:r w:rsidRPr="00FB0CDC">
        <w:rPr>
          <w:rFonts w:ascii="Palatino Linotype" w:eastAsia="Palatino Linotype" w:hAnsi="Palatino Linotype" w:cs="Palatino Linotype"/>
          <w:b/>
          <w:bCs/>
          <w:color w:val="000000"/>
        </w:rPr>
        <w:t xml:space="preserve">, </w:t>
      </w:r>
      <w:r w:rsidR="00FB0CDC">
        <w:rPr>
          <w:rFonts w:ascii="Palatino Linotype" w:eastAsia="Palatino Linotype" w:hAnsi="Palatino Linotype" w:cs="Palatino Linotype"/>
        </w:rPr>
        <w:t>en las que</w:t>
      </w:r>
      <w:r w:rsidRPr="00FB0CDC">
        <w:rPr>
          <w:rFonts w:ascii="Palatino Linotype" w:eastAsia="Palatino Linotype" w:hAnsi="Palatino Linotype" w:cs="Palatino Linotype"/>
        </w:rPr>
        <w:t xml:space="preserve"> se solicitó la siguiente información:</w:t>
      </w: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5529"/>
      </w:tblGrid>
      <w:tr w:rsidR="005A7CA0" w:rsidRPr="00FB0CDC" w:rsidTr="00FB0CDC">
        <w:tc>
          <w:tcPr>
            <w:tcW w:w="4389" w:type="dxa"/>
          </w:tcPr>
          <w:p w:rsidR="005A7CA0" w:rsidRPr="00FB0CDC" w:rsidRDefault="00896987">
            <w:pPr>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Solicitud de información</w:t>
            </w:r>
          </w:p>
        </w:tc>
        <w:tc>
          <w:tcPr>
            <w:tcW w:w="5529" w:type="dxa"/>
          </w:tcPr>
          <w:p w:rsidR="005A7CA0" w:rsidRPr="00FB0CDC" w:rsidRDefault="00896987">
            <w:pPr>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Información solicitada </w:t>
            </w:r>
          </w:p>
        </w:tc>
      </w:tr>
      <w:tr w:rsidR="005A7CA0" w:rsidRPr="00FB0CDC" w:rsidTr="00FB0CDC">
        <w:tc>
          <w:tcPr>
            <w:tcW w:w="4389" w:type="dxa"/>
          </w:tcPr>
          <w:p w:rsidR="005A7CA0" w:rsidRPr="00FB0CDC" w:rsidRDefault="00896987">
            <w:pPr>
              <w:ind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 00679/INFOEM/IP/2025</w:t>
            </w:r>
          </w:p>
        </w:tc>
        <w:tc>
          <w:tcPr>
            <w:tcW w:w="552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“Solicito las facturas y recibos de los gastos, viáticos, fondo revolvente o equivalente, de la Comisionada Sharon Morales Martínez de enero de 2025 a la fecha”</w:t>
            </w:r>
          </w:p>
        </w:tc>
      </w:tr>
      <w:tr w:rsidR="005A7CA0" w:rsidRPr="00FB0CDC" w:rsidTr="00FB0CDC">
        <w:tc>
          <w:tcPr>
            <w:tcW w:w="438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00678/INFOEM/IP/2025</w:t>
            </w:r>
          </w:p>
        </w:tc>
        <w:tc>
          <w:tcPr>
            <w:tcW w:w="552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“Solicito conocer las facturas y recibos de los gastos, viáticos, fondo revolvente o equivalente, del </w:t>
            </w:r>
            <w:r w:rsidRPr="00FB0CDC">
              <w:rPr>
                <w:rFonts w:ascii="Palatino Linotype" w:eastAsia="Palatino Linotype" w:hAnsi="Palatino Linotype" w:cs="Palatino Linotype"/>
                <w:i/>
                <w:iCs/>
              </w:rPr>
              <w:lastRenderedPageBreak/>
              <w:t>Comisionado Luis Gustavo Parra Noriega de enero de 2025 a la fecha”</w:t>
            </w:r>
          </w:p>
        </w:tc>
      </w:tr>
    </w:tbl>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5A7CA0">
      <w:pPr>
        <w:ind w:left="1134" w:right="851"/>
        <w:jc w:val="both"/>
        <w:rPr>
          <w:rFonts w:ascii="Palatino Linotype" w:eastAsia="Palatino Linotype" w:hAnsi="Palatino Linotype" w:cs="Palatino Linotype"/>
          <w:i/>
          <w:iCs/>
        </w:rPr>
      </w:pPr>
    </w:p>
    <w:p w:rsidR="005A7CA0" w:rsidRPr="00FB0CDC" w:rsidRDefault="00896987" w:rsidP="00FB0CDC">
      <w:pPr>
        <w:numPr>
          <w:ilvl w:val="0"/>
          <w:numId w:val="1"/>
        </w:numPr>
        <w:spacing w:line="360" w:lineRule="auto"/>
        <w:ind w:left="0" w:right="474" w:firstLine="0"/>
        <w:jc w:val="both"/>
        <w:rPr>
          <w:rFonts w:ascii="Palatino Linotype" w:eastAsia="Palatino Linotype" w:hAnsi="Palatino Linotype" w:cs="Palatino Linotype"/>
        </w:rPr>
      </w:pPr>
      <w:r w:rsidRPr="00FB0CDC">
        <w:rPr>
          <w:rFonts w:ascii="Palatino Linotype" w:eastAsia="Palatino Linotype" w:hAnsi="Palatino Linotype" w:cs="Palatino Linotype"/>
          <w:b/>
          <w:bCs/>
        </w:rPr>
        <w:t>Modalidad de entrega</w:t>
      </w:r>
      <w:r w:rsidRPr="00FB0CDC">
        <w:rPr>
          <w:rFonts w:ascii="Palatino Linotype" w:eastAsia="Palatino Linotype" w:hAnsi="Palatino Linotype" w:cs="Palatino Linotype"/>
        </w:rPr>
        <w:t>: vía Sistema de Acceso a la Información.</w:t>
      </w:r>
    </w:p>
    <w:p w:rsidR="005A7CA0" w:rsidRPr="00FB0CDC" w:rsidRDefault="005A7CA0">
      <w:pPr>
        <w:spacing w:line="360" w:lineRule="auto"/>
        <w:jc w:val="both"/>
        <w:rPr>
          <w:rFonts w:ascii="Palatino Linotype" w:eastAsia="Palatino Linotype" w:hAnsi="Palatino Linotype" w:cs="Palatino Linotype"/>
          <w:i/>
          <w:iCs/>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el </w:t>
      </w:r>
      <w:r w:rsidRPr="00FB0CDC">
        <w:rPr>
          <w:rFonts w:ascii="Palatino Linotype" w:eastAsia="Palatino Linotype" w:hAnsi="Palatino Linotype" w:cs="Palatino Linotype"/>
          <w:b/>
          <w:bCs/>
        </w:rPr>
        <w:t xml:space="preserve">ocho de agosto de dos mil veinticinco, </w:t>
      </w:r>
      <w:r w:rsidRPr="00FB0CDC">
        <w:rPr>
          <w:rFonts w:ascii="Palatino Linotype" w:eastAsia="Palatino Linotype" w:hAnsi="Palatino Linotype" w:cs="Palatino Linotype"/>
        </w:rPr>
        <w:t xml:space="preserve">giro los requerimientos de información para atender las solicitudes de información </w:t>
      </w:r>
      <w:r w:rsidRPr="00FB0CDC">
        <w:rPr>
          <w:rFonts w:ascii="Palatino Linotype" w:eastAsia="Palatino Linotype" w:hAnsi="Palatino Linotype" w:cs="Palatino Linotype"/>
          <w:b/>
          <w:bCs/>
        </w:rPr>
        <w:t xml:space="preserve"> 00679/INFOEM/IP/2025 y 00678/INFOEM/IP/2025.</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El </w:t>
      </w:r>
      <w:r w:rsidRPr="00FB0CDC">
        <w:rPr>
          <w:rFonts w:ascii="Palatino Linotype" w:eastAsia="Palatino Linotype" w:hAnsi="Palatino Linotype" w:cs="Palatino Linotype"/>
          <w:b/>
          <w:bCs/>
        </w:rPr>
        <w:t xml:space="preserve">veintisiete de agosto de dos mil veinticinco, </w:t>
      </w:r>
      <w:r w:rsidRPr="00FB0CDC">
        <w:rPr>
          <w:rFonts w:ascii="Palatino Linotype" w:eastAsia="Palatino Linotype" w:hAnsi="Palatino Linotype" w:cs="Palatino Linotype"/>
        </w:rPr>
        <w:t xml:space="preserve">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emitió los acuerdos de prórroga para que fueran atendidas las solicitudes de información </w:t>
      </w:r>
      <w:r w:rsidRPr="00FB0CDC">
        <w:rPr>
          <w:rFonts w:ascii="Palatino Linotype" w:eastAsia="Palatino Linotype" w:hAnsi="Palatino Linotype" w:cs="Palatino Linotype"/>
          <w:b/>
          <w:bCs/>
        </w:rPr>
        <w:t>00679/INFOEM/IP/2025 y 00678/INFOEM/IP/2025.</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En esa línea, en fecha </w:t>
      </w:r>
      <w:r w:rsidRPr="00FB0CDC">
        <w:rPr>
          <w:rFonts w:ascii="Palatino Linotype" w:eastAsia="Palatino Linotype" w:hAnsi="Palatino Linotype" w:cs="Palatino Linotype"/>
          <w:b/>
          <w:bCs/>
        </w:rPr>
        <w:t xml:space="preserve">ocho de septiembre de dos mil veinticinco </w:t>
      </w:r>
      <w:r w:rsidRPr="00FB0CDC">
        <w:rPr>
          <w:rFonts w:ascii="Palatino Linotype" w:eastAsia="Palatino Linotype" w:hAnsi="Palatino Linotype" w:cs="Palatino Linotype"/>
        </w:rPr>
        <w:t xml:space="preserve">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dio respuesta a las solicitudes de información </w:t>
      </w:r>
      <w:r w:rsidRPr="00FB0CDC">
        <w:rPr>
          <w:rFonts w:ascii="Palatino Linotype" w:eastAsia="Palatino Linotype" w:hAnsi="Palatino Linotype" w:cs="Palatino Linotype"/>
          <w:b/>
          <w:bCs/>
        </w:rPr>
        <w:t xml:space="preserve"> 00679/INFOEM/IP/2025 y 00678/INFOEM/IP/2025, </w:t>
      </w:r>
      <w:r w:rsidRPr="00FB0CDC">
        <w:rPr>
          <w:rFonts w:ascii="Palatino Linotype" w:eastAsia="Palatino Linotype" w:hAnsi="Palatino Linotype" w:cs="Palatino Linotype"/>
        </w:rPr>
        <w:t xml:space="preserve">con los siguientes documentos cuyo contenido grosso modo es: </w:t>
      </w: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804"/>
      </w:tblGrid>
      <w:tr w:rsidR="005A7CA0" w:rsidRPr="00FB0CDC" w:rsidTr="00FB0CDC">
        <w:tc>
          <w:tcPr>
            <w:tcW w:w="311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Solicitud de Información </w:t>
            </w:r>
          </w:p>
        </w:tc>
        <w:tc>
          <w:tcPr>
            <w:tcW w:w="680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Respuesta </w:t>
            </w:r>
          </w:p>
        </w:tc>
      </w:tr>
      <w:tr w:rsidR="005A7CA0" w:rsidRPr="00FB0CDC" w:rsidTr="00FB0CDC">
        <w:tc>
          <w:tcPr>
            <w:tcW w:w="311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 00679/INFOEM/IP/2025</w:t>
            </w:r>
            <w:r w:rsidRPr="00FB0CDC">
              <w:rPr>
                <w:rFonts w:ascii="Palatino Linotype" w:eastAsia="Palatino Linotype" w:hAnsi="Palatino Linotype" w:cs="Palatino Linotype"/>
                <w:b/>
                <w:bCs/>
                <w:i/>
                <w:iCs/>
              </w:rPr>
              <w:tab/>
            </w:r>
          </w:p>
        </w:tc>
        <w:tc>
          <w:tcPr>
            <w:tcW w:w="680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RES-06-INFOEM-ORD-COMT-12a-2025.pdf:  </w:t>
            </w:r>
            <w:r w:rsidRPr="00FB0CDC">
              <w:rPr>
                <w:rFonts w:ascii="Palatino Linotype" w:eastAsia="Palatino Linotype" w:hAnsi="Palatino Linotype" w:cs="Palatino Linotype"/>
                <w:i/>
                <w:iCs/>
              </w:rPr>
              <w:t xml:space="preserve">Acta del Comité de Transparencia en la Décima Segunda Sesión Ordinaria del once de junio de dos mil veinticinco, mediante la resolución RES/06/INFOEM/ORD/COMT/12/2025, por el periodo de nueve meses, mediante la cuales solicitan copias que avalen los pagos por gastos de los comisionados, así como facturas.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RespuestaSIP00679_2025DGAF.pdf: </w:t>
            </w:r>
            <w:r w:rsidRPr="00FB0CDC">
              <w:rPr>
                <w:rFonts w:ascii="Palatino Linotype" w:eastAsia="Palatino Linotype" w:hAnsi="Palatino Linotype" w:cs="Palatino Linotype"/>
                <w:i/>
                <w:iCs/>
              </w:rPr>
              <w:t xml:space="preserve">oficio del Director General de Administración y Finanzas, mediante el cual de informa que la información de las facturas, debe de ser reservada, toda vez </w:t>
            </w:r>
            <w:r w:rsidRPr="00FB0CDC">
              <w:rPr>
                <w:rFonts w:ascii="Palatino Linotype" w:eastAsia="Palatino Linotype" w:hAnsi="Palatino Linotype" w:cs="Palatino Linotype"/>
                <w:i/>
                <w:iCs/>
              </w:rPr>
              <w:lastRenderedPageBreak/>
              <w:t xml:space="preserve">quemediante memorándum INFOEM/OIC/0187/2025 se informó el inicio de la acción de control registrada bajo el número 1.3.3.1 denominada "Inspección financiera ejercicio del gasto, en específico a las partidas 3710, 3720, 3730, 3740, 3750, 3760, 3780 у 3790 por el periodo comprendido de enero a mayo del dos mil veinticinco, situación por la cual se informa que se actualiza el artículo 140. El acceso a la información pública será restringido excepcionalmente, cuando por razones de interés público, ésta sea clasificada como reservada, conforme a los criterios siguientes: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V. Aquella cuya divulgación obstruya o pueda causar un serio perjuicio a: 1. Las actividades de fiscalización, verificación, inspección, comprobación y auditoría sobre el cumplimiento de las Leyes.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OficioRespuestaSIP00679_2025UT.pdf: </w:t>
            </w:r>
            <w:r w:rsidRPr="00FB0CDC">
              <w:rPr>
                <w:rFonts w:ascii="Palatino Linotype" w:eastAsia="Palatino Linotype" w:hAnsi="Palatino Linotype" w:cs="Palatino Linotype"/>
                <w:i/>
                <w:iCs/>
              </w:rPr>
              <w:t xml:space="preserve">oficio de la Titular de la Unidad de Transparencia, mediante el cual informa que anexa la respuesta de la Dirección General de Administración y Finanzas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Acta 17a Ses. Ord. del C.T. 2025.pdf: </w:t>
            </w:r>
            <w:r w:rsidRPr="00FB0CDC">
              <w:rPr>
                <w:rFonts w:ascii="Palatino Linotype" w:eastAsia="Palatino Linotype" w:hAnsi="Palatino Linotype" w:cs="Palatino Linotype"/>
                <w:i/>
                <w:iCs/>
              </w:rPr>
              <w:t>Acta de la Décima Séptima Sesión Ordinaria del Comité de Transparencia, mediante la cual en el punto nueve se aprueba la clasificación como reservada de las facturas solicitadas , toda vez que se relacionan con información  previamente reservada, confirmada por el Comité de Transparencia en la Décima Segunda Sesión Ordinaria del once de junio de dos mil veinticinco, mediante la resolución RES/06/INFOEM/ORD/COMT/12/2025, por el periodo de nueve meses</w:t>
            </w:r>
          </w:p>
        </w:tc>
      </w:tr>
      <w:tr w:rsidR="005A7CA0" w:rsidRPr="00FB0CDC" w:rsidTr="00FB0CDC">
        <w:tc>
          <w:tcPr>
            <w:tcW w:w="311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00678/INFOEM/IP/2025</w:t>
            </w:r>
          </w:p>
        </w:tc>
        <w:tc>
          <w:tcPr>
            <w:tcW w:w="6804"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OficioRespuestaSIP00678_2025UT.pdf: : </w:t>
            </w:r>
            <w:r w:rsidRPr="00FB0CDC">
              <w:rPr>
                <w:rFonts w:ascii="Palatino Linotype" w:eastAsia="Palatino Linotype" w:hAnsi="Palatino Linotype" w:cs="Palatino Linotype"/>
                <w:i/>
                <w:iCs/>
              </w:rPr>
              <w:t xml:space="preserve">oficio de la Titular de la Unidad de Transparencia, mediante el cual informa que anexa la respuesta de la Dirección General de Administración y Finanzas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Acta 17a Ses. Ord. del C.T. 2025.pdf: </w:t>
            </w:r>
            <w:r w:rsidRPr="00FB0CDC">
              <w:rPr>
                <w:rFonts w:ascii="Palatino Linotype" w:eastAsia="Palatino Linotype" w:hAnsi="Palatino Linotype" w:cs="Palatino Linotype"/>
                <w:i/>
                <w:iCs/>
              </w:rPr>
              <w:t xml:space="preserve">Acta de la Décima Séptima Sesión Ordinaria del Comité de Transparencia, mediante la cual en el punto ochoi se aprueba la clasificación como reservada de las facturas solicitadas , toda vez que se relacionan con información  previamente reservada, confirmada por el Comité de Transparencia en la Décima Segunda Sesión Ordinaria del once de junio de dos mil </w:t>
            </w:r>
            <w:r w:rsidRPr="00FB0CDC">
              <w:rPr>
                <w:rFonts w:ascii="Palatino Linotype" w:eastAsia="Palatino Linotype" w:hAnsi="Palatino Linotype" w:cs="Palatino Linotype"/>
                <w:i/>
                <w:iCs/>
              </w:rPr>
              <w:lastRenderedPageBreak/>
              <w:t>veinticinco, mediante la resolución RES/06/INFOEM/ORD/COMT/12/</w:t>
            </w:r>
            <w:r w:rsidRPr="00FB0CDC">
              <w:rPr>
                <w:rFonts w:ascii="Palatino Linotype" w:eastAsia="Palatino Linotype" w:hAnsi="Palatino Linotype" w:cs="Palatino Linotype"/>
                <w:b/>
                <w:bCs/>
                <w:i/>
                <w:iCs/>
              </w:rPr>
              <w:t>2025, por el periodo de nueve meses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RespuestaSIP00678_2025DGAF.pdf: </w:t>
            </w:r>
            <w:r w:rsidRPr="00FB0CDC">
              <w:rPr>
                <w:rFonts w:ascii="Palatino Linotype" w:eastAsia="Palatino Linotype" w:hAnsi="Palatino Linotype" w:cs="Palatino Linotype"/>
                <w:i/>
                <w:iCs/>
              </w:rPr>
              <w:t xml:space="preserve">oficio del Director General de Administración y Finanzas, mediante el cual de informa que la información de las facturas, debe de ser reservada, toda vez que mediante memorándum INFOEM/OIC/0187/2025 se informó el inicio de la acción de control registrada bajo el número 1.3.3.1 denominada "Inspección financiera ejercicio del gasto, en específico a las partidas 3710, 3720, 3730, 3740, 3750, 3760, 3780 у 3790 por el periodo comprendido de enero a mayo del dos mil veinticinco, situación por la cual se informa que se actualiza el artículo 140. El acceso a la información pública será restringido excepcionalmente, cuando por razones de interés público, ésta sea clasificada como reservada, conforme a los criterios siguientes: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V. Aquella cuya divulgación obstruya o pueda causar un serio perjuicio a: 1. Las actividades de fiscalización, verificación, inspección, comprobación y auditoría sobre el cumplimiento de las Leyes.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RES-06-INFOEM-ORD-COMT-12a-2025.pdf: </w:t>
            </w:r>
            <w:r w:rsidRPr="00FB0CDC">
              <w:rPr>
                <w:rFonts w:ascii="Palatino Linotype" w:eastAsia="Palatino Linotype" w:hAnsi="Palatino Linotype" w:cs="Palatino Linotype"/>
                <w:i/>
                <w:iCs/>
              </w:rPr>
              <w:t>Acta del Comité de Transparencia en la Décima Segunda Sesión Ordinaria del once de junio de dos mil veinticinco, mediante la resolución RES/06/INFOEM/ORD/COMT/12/2025, por el periodo de nueve meses, mediante la cuales solicitan copias que avalen los pagos por gastos de los comisionados, así como facturas.</w:t>
            </w:r>
          </w:p>
        </w:tc>
      </w:tr>
    </w:tbl>
    <w:p w:rsidR="005A7CA0" w:rsidRDefault="005A7CA0">
      <w:pPr>
        <w:ind w:right="900"/>
        <w:jc w:val="both"/>
        <w:rPr>
          <w:rFonts w:ascii="Palatino Linotype" w:eastAsia="Palatino Linotype" w:hAnsi="Palatino Linotype" w:cs="Palatino Linotype"/>
        </w:rPr>
      </w:pPr>
    </w:p>
    <w:p w:rsidR="00FB0CDC" w:rsidRPr="00FB0CDC" w:rsidRDefault="00FB0CDC">
      <w:pPr>
        <w:ind w:right="900"/>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El </w:t>
      </w:r>
      <w:r w:rsidRPr="00FB0CDC">
        <w:rPr>
          <w:rFonts w:ascii="Palatino Linotype" w:eastAsia="Palatino Linotype" w:hAnsi="Palatino Linotype" w:cs="Palatino Linotype"/>
          <w:b/>
          <w:bCs/>
        </w:rPr>
        <w:t>doce de septiembre de dos mil veinticinco</w:t>
      </w:r>
      <w:r w:rsidRPr="00FB0CDC">
        <w:rPr>
          <w:rFonts w:ascii="Palatino Linotype" w:eastAsia="Palatino Linotype" w:hAnsi="Palatino Linotype" w:cs="Palatino Linotype"/>
        </w:rPr>
        <w:t xml:space="preserve">, el solicitante interpuso recurso de revisión en las solicitudes de información </w:t>
      </w:r>
      <w:r w:rsidRPr="00FB0CDC">
        <w:rPr>
          <w:rFonts w:ascii="Palatino Linotype" w:eastAsia="Palatino Linotype" w:hAnsi="Palatino Linotype" w:cs="Palatino Linotype"/>
          <w:b/>
          <w:bCs/>
        </w:rPr>
        <w:t xml:space="preserve"> 00679/INFOEM/IP/2025 y 00678/INFOEM/IP/2025</w:t>
      </w:r>
      <w:r w:rsidRPr="00FB0CDC">
        <w:rPr>
          <w:rFonts w:ascii="Palatino Linotype" w:eastAsia="Palatino Linotype" w:hAnsi="Palatino Linotype" w:cs="Palatino Linotype"/>
          <w:b/>
          <w:bCs/>
          <w:color w:val="000000"/>
        </w:rPr>
        <w:t xml:space="preserve">, </w:t>
      </w:r>
      <w:r w:rsidRPr="00FB0CDC">
        <w:rPr>
          <w:rFonts w:ascii="Palatino Linotype" w:eastAsia="Palatino Linotype" w:hAnsi="Palatino Linotype" w:cs="Palatino Linotype"/>
        </w:rPr>
        <w:t xml:space="preserve">en contra de las respuestas emitidas a las por el </w:t>
      </w:r>
      <w:r w:rsidRPr="00FB0CDC">
        <w:rPr>
          <w:rFonts w:ascii="Palatino Linotype" w:eastAsia="Palatino Linotype" w:hAnsi="Palatino Linotype" w:cs="Palatino Linotype"/>
          <w:b/>
          <w:bCs/>
        </w:rPr>
        <w:t>SUJETO OBLIGADO</w:t>
      </w:r>
      <w:r w:rsidRPr="00FB0CDC">
        <w:rPr>
          <w:rFonts w:ascii="Palatino Linotype" w:eastAsia="Palatino Linotype" w:hAnsi="Palatino Linotype" w:cs="Palatino Linotype"/>
        </w:rPr>
        <w:t>, señalando las siguientes razones o motivos de inconformidad:</w:t>
      </w:r>
    </w:p>
    <w:p w:rsidR="005A7CA0" w:rsidRPr="00FB0CDC" w:rsidRDefault="005A7CA0">
      <w:pPr>
        <w:spacing w:line="360" w:lineRule="auto"/>
        <w:jc w:val="both"/>
        <w:rPr>
          <w:rFonts w:ascii="Palatino Linotype" w:eastAsia="Palatino Linotype" w:hAnsi="Palatino Linotype" w:cs="Palatino Linotype"/>
        </w:rPr>
      </w:pPr>
    </w:p>
    <w:tbl>
      <w:tblPr>
        <w:tblStyle w:val="a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237"/>
      </w:tblGrid>
      <w:tr w:rsidR="005A7CA0" w:rsidRPr="00FB0CDC" w:rsidTr="00FB0CDC">
        <w:tc>
          <w:tcPr>
            <w:tcW w:w="3681" w:type="dxa"/>
          </w:tcPr>
          <w:p w:rsidR="005A7CA0" w:rsidRPr="00FB0CDC" w:rsidRDefault="00896987" w:rsidP="00FB0CDC">
            <w:pPr>
              <w:jc w:val="center"/>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Recurso de Revisión</w:t>
            </w:r>
          </w:p>
        </w:tc>
        <w:tc>
          <w:tcPr>
            <w:tcW w:w="6237" w:type="dxa"/>
          </w:tcPr>
          <w:p w:rsidR="005A7CA0" w:rsidRPr="00FB0CDC" w:rsidRDefault="00896987" w:rsidP="00FB0CDC">
            <w:pPr>
              <w:jc w:val="center"/>
              <w:rPr>
                <w:rFonts w:ascii="Palatino Linotype" w:eastAsia="Palatino Linotype" w:hAnsi="Palatino Linotype" w:cs="Palatino Linotype"/>
                <w:i/>
                <w:iCs/>
              </w:rPr>
            </w:pPr>
            <w:r w:rsidRPr="00FB0CDC">
              <w:rPr>
                <w:rFonts w:ascii="Palatino Linotype" w:eastAsia="Palatino Linotype" w:hAnsi="Palatino Linotype" w:cs="Palatino Linotype"/>
                <w:i/>
                <w:iCs/>
              </w:rPr>
              <w:t>Acto Impugnado y Razones o Motivos de Inconformidad</w:t>
            </w:r>
          </w:p>
        </w:tc>
      </w:tr>
      <w:tr w:rsidR="005A7CA0" w:rsidRPr="00FB0CDC" w:rsidTr="00FB0CDC">
        <w:tc>
          <w:tcPr>
            <w:tcW w:w="3681" w:type="dxa"/>
          </w:tcPr>
          <w:p w:rsidR="005A7CA0" w:rsidRPr="00FB0CDC" w:rsidRDefault="005A7CA0" w:rsidP="00FB0CDC">
            <w:pPr>
              <w:rPr>
                <w:rFonts w:ascii="Palatino Linotype" w:eastAsia="Palatino Linotype" w:hAnsi="Palatino Linotype" w:cs="Palatino Linotype"/>
                <w:b/>
                <w:bCs/>
                <w:i/>
                <w:iCs/>
              </w:rPr>
            </w:pPr>
          </w:p>
          <w:p w:rsidR="00FB0CDC" w:rsidRDefault="00FB0CDC" w:rsidP="00FB0CDC">
            <w:pPr>
              <w:rPr>
                <w:rFonts w:ascii="Palatino Linotype" w:eastAsia="Palatino Linotype" w:hAnsi="Palatino Linotype" w:cs="Palatino Linotype"/>
                <w:b/>
                <w:bCs/>
                <w:i/>
                <w:iCs/>
              </w:rPr>
            </w:pPr>
          </w:p>
          <w:p w:rsidR="005A7CA0" w:rsidRPr="00FB0CDC" w:rsidRDefault="00896987" w:rsidP="00FB0CDC">
            <w:pPr>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10768/INFOEM/IP/RR/2025 </w:t>
            </w:r>
          </w:p>
          <w:p w:rsidR="005A7CA0" w:rsidRPr="00FB0CDC" w:rsidRDefault="00896987" w:rsidP="00FB0CDC">
            <w:pPr>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ab/>
            </w:r>
          </w:p>
        </w:tc>
        <w:tc>
          <w:tcPr>
            <w:tcW w:w="6237" w:type="dxa"/>
          </w:tcPr>
          <w:p w:rsidR="005A7CA0" w:rsidRPr="00FB0CDC" w:rsidRDefault="00FB0CDC">
            <w:pPr>
              <w:ind w:right="74"/>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b/>
                <w:bCs/>
              </w:rPr>
              <w:t>ACTO IMPUGNADO</w:t>
            </w:r>
            <w:r w:rsidRPr="00FB0CDC">
              <w:rPr>
                <w:rFonts w:ascii="Palatino Linotype" w:eastAsia="Palatino Linotype" w:hAnsi="Palatino Linotype" w:cs="Palatino Linotype"/>
                <w:b/>
                <w:bCs/>
                <w:color w:val="000000"/>
              </w:rPr>
              <w:t xml:space="preserve">: </w:t>
            </w:r>
            <w:r w:rsidR="00896987" w:rsidRPr="00FB0CDC">
              <w:rPr>
                <w:rFonts w:ascii="Palatino Linotype" w:eastAsia="Palatino Linotype" w:hAnsi="Palatino Linotype" w:cs="Palatino Linotype"/>
                <w:i/>
                <w:iCs/>
                <w:color w:val="000000"/>
              </w:rPr>
              <w:t>“Clasifican Información que debe de ser pública</w:t>
            </w:r>
            <w:r w:rsidR="00896987" w:rsidRPr="00FB0CDC">
              <w:rPr>
                <w:rFonts w:ascii="Palatino Linotype" w:eastAsia="Palatino Linotype" w:hAnsi="Palatino Linotype" w:cs="Palatino Linotype"/>
                <w:color w:val="000000"/>
              </w:rPr>
              <w:t>”</w:t>
            </w:r>
          </w:p>
          <w:p w:rsidR="005A7CA0" w:rsidRPr="00FB0CDC" w:rsidRDefault="00FB0CDC">
            <w:pPr>
              <w:ind w:right="74"/>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color w:val="000000"/>
              </w:rPr>
              <w:t>RAZONES O MOTIVOS DE INCONFORMIDAD</w:t>
            </w:r>
            <w:r w:rsidR="00896987" w:rsidRPr="00FB0CDC">
              <w:rPr>
                <w:rFonts w:ascii="Palatino Linotype" w:eastAsia="Palatino Linotype" w:hAnsi="Palatino Linotype" w:cs="Palatino Linotype"/>
                <w:b/>
                <w:bCs/>
                <w:color w:val="000000"/>
              </w:rPr>
              <w:t>:</w:t>
            </w:r>
            <w:r w:rsidR="00896987" w:rsidRPr="00FB0CDC">
              <w:rPr>
                <w:rFonts w:ascii="Palatino Linotype" w:eastAsia="Palatino Linotype" w:hAnsi="Palatino Linotype" w:cs="Palatino Linotype"/>
                <w:i/>
                <w:iCs/>
                <w:color w:val="000000"/>
              </w:rPr>
              <w:t xml:space="preserve"> “Clasifican Información que debe de ser pública, cualquier persona tiene el derecho de conocer en que gastan el dinero los servidores públicos “ </w:t>
            </w:r>
          </w:p>
        </w:tc>
      </w:tr>
      <w:tr w:rsidR="005A7CA0" w:rsidRPr="00FB0CDC" w:rsidTr="00FB0CDC">
        <w:tc>
          <w:tcPr>
            <w:tcW w:w="3681" w:type="dxa"/>
          </w:tcPr>
          <w:p w:rsidR="00FB0CDC" w:rsidRDefault="00FB0CDC" w:rsidP="00FB0CDC">
            <w:pPr>
              <w:rPr>
                <w:rFonts w:ascii="Palatino Linotype" w:eastAsia="Palatino Linotype" w:hAnsi="Palatino Linotype" w:cs="Palatino Linotype"/>
                <w:b/>
                <w:bCs/>
                <w:i/>
                <w:iCs/>
              </w:rPr>
            </w:pPr>
          </w:p>
          <w:p w:rsidR="005A7CA0" w:rsidRPr="00FB0CDC" w:rsidRDefault="00896987" w:rsidP="00FB0CDC">
            <w:pPr>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10769/INFOEM/IP/RR/2025 </w:t>
            </w:r>
          </w:p>
          <w:p w:rsidR="005A7CA0" w:rsidRPr="00FB0CDC" w:rsidRDefault="005A7CA0" w:rsidP="00FB0CDC">
            <w:pPr>
              <w:rPr>
                <w:rFonts w:ascii="Palatino Linotype" w:eastAsia="Palatino Linotype" w:hAnsi="Palatino Linotype" w:cs="Palatino Linotype"/>
                <w:b/>
                <w:bCs/>
                <w:i/>
                <w:iCs/>
              </w:rPr>
            </w:pPr>
          </w:p>
          <w:p w:rsidR="005A7CA0" w:rsidRPr="00FB0CDC" w:rsidRDefault="005A7CA0" w:rsidP="00FB0CDC">
            <w:pPr>
              <w:rPr>
                <w:rFonts w:ascii="Palatino Linotype" w:eastAsia="Palatino Linotype" w:hAnsi="Palatino Linotype" w:cs="Palatino Linotype"/>
                <w:i/>
                <w:iCs/>
              </w:rPr>
            </w:pPr>
          </w:p>
        </w:tc>
        <w:tc>
          <w:tcPr>
            <w:tcW w:w="6237" w:type="dxa"/>
          </w:tcPr>
          <w:p w:rsidR="005A7CA0" w:rsidRPr="00FB0CDC" w:rsidRDefault="00FB0CDC">
            <w:pPr>
              <w:jc w:val="both"/>
              <w:rPr>
                <w:rFonts w:ascii="Palatino Linotype" w:eastAsia="Palatino Linotype" w:hAnsi="Palatino Linotype" w:cs="Palatino Linotype"/>
                <w:b/>
                <w:bCs/>
                <w:color w:val="000000"/>
              </w:rPr>
            </w:pPr>
            <w:r w:rsidRPr="00FB0CDC">
              <w:rPr>
                <w:rFonts w:ascii="Palatino Linotype" w:eastAsia="Palatino Linotype" w:hAnsi="Palatino Linotype" w:cs="Palatino Linotype"/>
                <w:b/>
                <w:bCs/>
              </w:rPr>
              <w:t>ACTO IMPUGNADO</w:t>
            </w:r>
            <w:r w:rsidR="00896987" w:rsidRPr="00FB0CDC">
              <w:rPr>
                <w:rFonts w:ascii="Palatino Linotype" w:eastAsia="Palatino Linotype" w:hAnsi="Palatino Linotype" w:cs="Palatino Linotype"/>
                <w:b/>
                <w:bCs/>
                <w:color w:val="000000"/>
              </w:rPr>
              <w:t xml:space="preserve">: </w:t>
            </w:r>
            <w:r w:rsidR="00896987" w:rsidRPr="00FB0CDC">
              <w:rPr>
                <w:rFonts w:ascii="Palatino Linotype" w:eastAsia="Palatino Linotype" w:hAnsi="Palatino Linotype" w:cs="Palatino Linotype"/>
                <w:i/>
                <w:iCs/>
                <w:color w:val="000000"/>
              </w:rPr>
              <w:t>“Clasifican Información que debe de ser pública, cualquier persona tiene el derecho de conocer en que gastan el dinero los servidores públicos”</w:t>
            </w:r>
          </w:p>
          <w:p w:rsidR="005A7CA0" w:rsidRPr="00FB0CDC" w:rsidRDefault="00FB0CDC">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color w:val="000000"/>
              </w:rPr>
              <w:t>RAZONES O MOTIVOS DE INCONFORMIDAD</w:t>
            </w:r>
            <w:r w:rsidR="00896987" w:rsidRPr="00FB0CDC">
              <w:rPr>
                <w:rFonts w:ascii="Palatino Linotype" w:eastAsia="Palatino Linotype" w:hAnsi="Palatino Linotype" w:cs="Palatino Linotype"/>
                <w:b/>
                <w:bCs/>
                <w:color w:val="000000"/>
              </w:rPr>
              <w:t xml:space="preserve">: </w:t>
            </w:r>
            <w:r w:rsidR="00896987" w:rsidRPr="00FB0CDC">
              <w:rPr>
                <w:rFonts w:ascii="Palatino Linotype" w:eastAsia="Palatino Linotype" w:hAnsi="Palatino Linotype" w:cs="Palatino Linotype"/>
                <w:i/>
                <w:iCs/>
                <w:color w:val="000000"/>
              </w:rPr>
              <w:t>“Clasifican Información que debe de ser pública, cualquier persona tiene el derecho de conocer en que gastan el dinero los servidores públicos”</w:t>
            </w:r>
          </w:p>
        </w:tc>
      </w:tr>
    </w:tbl>
    <w:p w:rsidR="005A7CA0" w:rsidRPr="00FB0CDC" w:rsidRDefault="005A7CA0">
      <w:pPr>
        <w:spacing w:line="360" w:lineRule="auto"/>
        <w:ind w:right="851"/>
        <w:jc w:val="both"/>
        <w:rPr>
          <w:rFonts w:ascii="Palatino Linotype" w:eastAsia="Palatino Linotype" w:hAnsi="Palatino Linotype" w:cs="Palatino Linotype"/>
          <w:b/>
          <w:bCs/>
          <w:i/>
          <w:iCs/>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Consecutivamente</w:t>
      </w:r>
      <w:r w:rsidRPr="00FB0CDC">
        <w:rPr>
          <w:rFonts w:ascii="Palatino Linotype" w:eastAsia="Palatino Linotype" w:hAnsi="Palatino Linotype" w:cs="Palatino Linotype"/>
          <w:i/>
          <w:iCs/>
        </w:rPr>
        <w:t xml:space="preserve">, </w:t>
      </w:r>
      <w:r w:rsidRPr="00FB0CDC">
        <w:rPr>
          <w:rFonts w:ascii="Palatino Linotype" w:eastAsia="Palatino Linotype" w:hAnsi="Palatino Linotype" w:cs="Palatino Linotype"/>
        </w:rPr>
        <w:t xml:space="preserve">con fundamento en lo dispuesto por el artículo 185 fracción I de la Ley de Transparencia y Acceso a la Información Pública del Estado de </w:t>
      </w:r>
      <w:r w:rsidRPr="00FB0CDC">
        <w:rPr>
          <w:rFonts w:ascii="Palatino Linotype" w:eastAsia="Palatino Linotype" w:hAnsi="Palatino Linotype" w:cs="Palatino Linotype"/>
          <w:color w:val="000000"/>
        </w:rPr>
        <w:t>México</w:t>
      </w:r>
      <w:r w:rsidRPr="00FB0CDC">
        <w:rPr>
          <w:rFonts w:ascii="Palatino Linotype" w:eastAsia="Palatino Linotype" w:hAnsi="Palatino Linotype" w:cs="Palatino Linotype"/>
        </w:rPr>
        <w:t xml:space="preserve"> y Municipios, los recursos de referencia, fueron turnados al Comisionado Presidente José Martínez Vilchis y a las Comisionadas</w:t>
      </w:r>
      <w:r w:rsidRPr="00FB0CDC">
        <w:rPr>
          <w:rFonts w:ascii="Palatino Linotype" w:eastAsia="Palatino Linotype" w:hAnsi="Palatino Linotype" w:cs="Palatino Linotype"/>
          <w:b/>
          <w:bCs/>
        </w:rPr>
        <w:t xml:space="preserve"> María del Rosario Mejía Ayala y Guadalupe Ramírez Peña</w:t>
      </w:r>
      <w:r w:rsidR="00FB0CDC">
        <w:rPr>
          <w:rFonts w:ascii="Palatino Linotype" w:eastAsia="Palatino Linotype" w:hAnsi="Palatino Linotype" w:cs="Palatino Linotype"/>
        </w:rPr>
        <w:t>, respectivamente</w:t>
      </w:r>
      <w:r w:rsidRPr="00FB0CDC">
        <w:rPr>
          <w:rFonts w:ascii="Palatino Linotype" w:eastAsia="Palatino Linotype" w:hAnsi="Palatino Linotype" w:cs="Palatino Linotype"/>
          <w:b/>
          <w:bCs/>
        </w:rPr>
        <w:t xml:space="preserve"> </w:t>
      </w:r>
      <w:r w:rsidRPr="00FB0CDC">
        <w:rPr>
          <w:rFonts w:ascii="Palatino Linotype" w:eastAsia="Palatino Linotype" w:hAnsi="Palatino Linotype" w:cs="Palatino Linotype"/>
        </w:rPr>
        <w:t xml:space="preserve">para su análisis. </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FB0CDC">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w:t>
      </w:r>
      <w:r w:rsidR="00896987" w:rsidRPr="00FB0CDC">
        <w:rPr>
          <w:rFonts w:ascii="Palatino Linotype" w:eastAsia="Palatino Linotype" w:hAnsi="Palatino Linotype" w:cs="Palatino Linotype"/>
          <w:color w:val="000000"/>
        </w:rPr>
        <w:t xml:space="preserve">s Comisionadas Ponentes de origen con fundamento en lo dispuesto por el artículo 185 </w:t>
      </w:r>
      <w:r w:rsidR="00896987" w:rsidRPr="00FB0CDC">
        <w:rPr>
          <w:rFonts w:ascii="Palatino Linotype" w:eastAsia="Palatino Linotype" w:hAnsi="Palatino Linotype" w:cs="Palatino Linotype"/>
        </w:rPr>
        <w:t>fracción</w:t>
      </w:r>
      <w:r w:rsidR="00896987" w:rsidRPr="00FB0CDC">
        <w:rPr>
          <w:rFonts w:ascii="Palatino Linotype" w:eastAsia="Palatino Linotype" w:hAnsi="Palatino Linotype" w:cs="Palatino Linotype"/>
          <w:color w:val="000000"/>
        </w:rPr>
        <w:t xml:space="preserve"> II de la ley de la materia, a través de los </w:t>
      </w:r>
      <w:r w:rsidR="00896987" w:rsidRPr="00FB0CDC">
        <w:rPr>
          <w:rFonts w:ascii="Palatino Linotype" w:eastAsia="Palatino Linotype" w:hAnsi="Palatino Linotype" w:cs="Palatino Linotype"/>
          <w:b/>
          <w:bCs/>
          <w:color w:val="000000"/>
        </w:rPr>
        <w:t xml:space="preserve">acuerdos de admisión </w:t>
      </w:r>
      <w:r w:rsidR="00896987" w:rsidRPr="00FB0CDC">
        <w:rPr>
          <w:rFonts w:ascii="Palatino Linotype" w:eastAsia="Palatino Linotype" w:hAnsi="Palatino Linotype" w:cs="Palatino Linotype"/>
          <w:color w:val="000000"/>
        </w:rPr>
        <w:t xml:space="preserve">de fecha </w:t>
      </w:r>
      <w:r w:rsidR="00896987" w:rsidRPr="00FB0CDC">
        <w:rPr>
          <w:rFonts w:ascii="Palatino Linotype" w:eastAsia="Palatino Linotype" w:hAnsi="Palatino Linotype" w:cs="Palatino Linotype"/>
          <w:b/>
          <w:bCs/>
        </w:rPr>
        <w:t>dieciocho y diecinueve de dos mil veinticinco</w:t>
      </w:r>
      <w:r w:rsidR="00896987" w:rsidRPr="00FB0CDC">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sidR="00896987" w:rsidRPr="00FB0CDC">
        <w:rPr>
          <w:rFonts w:ascii="Palatino Linotype" w:eastAsia="Palatino Linotype" w:hAnsi="Palatino Linotype" w:cs="Palatino Linotype"/>
        </w:rPr>
        <w:t>manifestara</w:t>
      </w:r>
      <w:r w:rsidR="00896987" w:rsidRPr="00FB0CDC">
        <w:rPr>
          <w:rFonts w:ascii="Palatino Linotype" w:eastAsia="Palatino Linotype" w:hAnsi="Palatino Linotype" w:cs="Palatino Linotype"/>
          <w:color w:val="000000"/>
        </w:rPr>
        <w:t xml:space="preserve"> lo que a su derecho conviniera, </w:t>
      </w:r>
      <w:r w:rsidR="00896987" w:rsidRPr="00FB0CDC">
        <w:rPr>
          <w:rFonts w:ascii="Palatino Linotype" w:eastAsia="Palatino Linotype" w:hAnsi="Palatino Linotype" w:cs="Palatino Linotype"/>
        </w:rPr>
        <w:t>ofreciera</w:t>
      </w:r>
      <w:r w:rsidR="00896987" w:rsidRPr="00FB0CDC">
        <w:rPr>
          <w:rFonts w:ascii="Palatino Linotype" w:eastAsia="Palatino Linotype" w:hAnsi="Palatino Linotype" w:cs="Palatino Linotype"/>
          <w:color w:val="000000"/>
        </w:rPr>
        <w:t xml:space="preserve"> pruebas y alegatos según corresponda al caso concreto, de esta forma para que el </w:t>
      </w:r>
      <w:r w:rsidR="00896987" w:rsidRPr="00FB0CDC">
        <w:rPr>
          <w:rFonts w:ascii="Palatino Linotype" w:eastAsia="Palatino Linotype" w:hAnsi="Palatino Linotype" w:cs="Palatino Linotype"/>
          <w:b/>
          <w:bCs/>
          <w:color w:val="000000"/>
        </w:rPr>
        <w:t xml:space="preserve">SUJETO OBLIGADO </w:t>
      </w:r>
      <w:r w:rsidR="00896987" w:rsidRPr="00FB0CDC">
        <w:rPr>
          <w:rFonts w:ascii="Palatino Linotype" w:eastAsia="Palatino Linotype" w:hAnsi="Palatino Linotype" w:cs="Palatino Linotype"/>
        </w:rPr>
        <w:t>presentará</w:t>
      </w:r>
      <w:r w:rsidR="00896987" w:rsidRPr="00FB0CDC">
        <w:rPr>
          <w:rFonts w:ascii="Palatino Linotype" w:eastAsia="Palatino Linotype" w:hAnsi="Palatino Linotype" w:cs="Palatino Linotype"/>
          <w:color w:val="000000"/>
        </w:rPr>
        <w:t xml:space="preserve"> el Informe Justificado procedente.</w:t>
      </w:r>
    </w:p>
    <w:p w:rsidR="005A7CA0" w:rsidRPr="00FB0CDC" w:rsidRDefault="005A7CA0">
      <w:pPr>
        <w:spacing w:line="360" w:lineRule="auto"/>
        <w:jc w:val="both"/>
        <w:rPr>
          <w:rFonts w:ascii="Palatino Linotype" w:eastAsia="Palatino Linotype" w:hAnsi="Palatino Linotype" w:cs="Palatino Linotype"/>
          <w:color w:val="000000"/>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lastRenderedPageBreak/>
        <w:t xml:space="preserve">Posteriormente el Pleno de este Órgano Autónomo, mediante acuerdo del </w:t>
      </w:r>
      <w:r w:rsidRPr="00FB0CDC">
        <w:rPr>
          <w:rFonts w:ascii="Palatino Linotype" w:eastAsia="Palatino Linotype" w:hAnsi="Palatino Linotype" w:cs="Palatino Linotype"/>
          <w:b/>
          <w:bCs/>
        </w:rPr>
        <w:t>veinticuatro de septiembre de dos mil veinticinco</w:t>
      </w:r>
      <w:r w:rsidRPr="00FB0CDC">
        <w:rPr>
          <w:rFonts w:ascii="Palatino Linotype" w:eastAsia="Palatino Linotype" w:hAnsi="Palatino Linotype" w:cs="Palatino Linotype"/>
        </w:rPr>
        <w:t xml:space="preserve">; se ordenó la acumulación de los recursos de revisión de mérito, a efecto de que la Ponencia de la </w:t>
      </w:r>
      <w:r w:rsidRPr="00FB0CDC">
        <w:rPr>
          <w:rFonts w:ascii="Palatino Linotype" w:eastAsia="Palatino Linotype" w:hAnsi="Palatino Linotype" w:cs="Palatino Linotype"/>
          <w:b/>
          <w:bCs/>
        </w:rPr>
        <w:t xml:space="preserve">Comisionada María del Rosario Mejía Ayala </w:t>
      </w:r>
      <w:r w:rsidRPr="00FB0CDC">
        <w:rPr>
          <w:rFonts w:ascii="Palatino Linotype" w:eastAsia="Palatino Linotype" w:hAnsi="Palatino Linotype" w:cs="Palatino Linotype"/>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B0CDC">
        <w:rPr>
          <w:rFonts w:ascii="Palatino Linotype" w:eastAsia="Palatino Linotype" w:hAnsi="Palatino Linotype" w:cs="Palatino Linotype"/>
          <w:i/>
          <w:iCs/>
          <w:vertAlign w:val="superscript"/>
        </w:rPr>
        <w:footnoteReference w:id="1"/>
      </w:r>
      <w:r w:rsidRPr="00FB0CDC">
        <w:rPr>
          <w:rFonts w:ascii="Palatino Linotype" w:eastAsia="Palatino Linotype" w:hAnsi="Palatino Linotype" w:cs="Palatino Linotype"/>
        </w:rPr>
        <w:t>, que señala:</w:t>
      </w:r>
    </w:p>
    <w:p w:rsidR="005A7CA0" w:rsidRPr="00FB0CDC" w:rsidRDefault="00896987">
      <w:pPr>
        <w:tabs>
          <w:tab w:val="left" w:pos="0"/>
          <w:tab w:val="left" w:pos="1134"/>
          <w:tab w:val="left" w:pos="7938"/>
        </w:tabs>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“ONCE.</w:t>
      </w:r>
      <w:r w:rsidRPr="00FB0CDC">
        <w:rPr>
          <w:rFonts w:ascii="Palatino Linotype" w:eastAsia="Palatino Linotype" w:hAnsi="Palatino Linotype" w:cs="Palatino Linotype"/>
          <w:i/>
          <w:iCs/>
        </w:rPr>
        <w:t xml:space="preserve"> El Instituto, para mejor resolver y evitar la emisión de resoluciones contradictorias, podrá acordar la acumulación de los expedientes de recursos de revisión, de oficio o a petición de parte cuando:</w:t>
      </w:r>
    </w:p>
    <w:p w:rsidR="005A7CA0" w:rsidRPr="00FB0CDC" w:rsidRDefault="00896987">
      <w:pPr>
        <w:tabs>
          <w:tab w:val="left" w:pos="0"/>
          <w:tab w:val="left" w:pos="426"/>
          <w:tab w:val="left" w:pos="7938"/>
        </w:tabs>
        <w:ind w:left="567" w:right="851" w:firstLine="567"/>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w:t>
      </w:r>
      <w:r w:rsidRPr="00FB0CDC">
        <w:rPr>
          <w:rFonts w:ascii="Palatino Linotype" w:eastAsia="Palatino Linotype" w:hAnsi="Palatino Linotype" w:cs="Palatino Linotype"/>
          <w:i/>
          <w:iCs/>
        </w:rPr>
        <w:tab/>
      </w:r>
    </w:p>
    <w:p w:rsidR="005A7CA0" w:rsidRPr="00FB0CDC" w:rsidRDefault="00896987">
      <w:pPr>
        <w:tabs>
          <w:tab w:val="left" w:pos="0"/>
          <w:tab w:val="left" w:pos="426"/>
          <w:tab w:val="left" w:pos="7938"/>
        </w:tabs>
        <w:ind w:left="567" w:right="851" w:firstLine="567"/>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b) Las partes o los actos impugnados sean iguales</w:t>
      </w:r>
    </w:p>
    <w:p w:rsidR="005A7CA0" w:rsidRPr="00FB0CDC" w:rsidRDefault="00896987">
      <w:pPr>
        <w:tabs>
          <w:tab w:val="left" w:pos="0"/>
          <w:tab w:val="left" w:pos="7938"/>
        </w:tabs>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c) Cuando se trate del mismo solicitante, el mismo SUJETO OBLIGADO, aunque se trate de solicitudes diversas;</w:t>
      </w:r>
    </w:p>
    <w:p w:rsidR="005A7CA0" w:rsidRPr="00FB0CDC" w:rsidRDefault="00896987">
      <w:pPr>
        <w:tabs>
          <w:tab w:val="left" w:pos="0"/>
          <w:tab w:val="left" w:pos="426"/>
          <w:tab w:val="left" w:pos="7938"/>
        </w:tabs>
        <w:ind w:left="567" w:right="851" w:firstLine="567"/>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w:t>
      </w:r>
    </w:p>
    <w:p w:rsidR="005A7CA0" w:rsidRPr="00FB0CDC" w:rsidRDefault="00896987">
      <w:pPr>
        <w:tabs>
          <w:tab w:val="left" w:pos="0"/>
          <w:tab w:val="left" w:pos="426"/>
        </w:tabs>
        <w:ind w:left="567" w:right="851" w:firstLine="567"/>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(Énfasis añadido)</w:t>
      </w:r>
    </w:p>
    <w:p w:rsidR="005A7CA0" w:rsidRPr="00FB0CDC" w:rsidRDefault="005A7CA0">
      <w:pPr>
        <w:tabs>
          <w:tab w:val="left" w:pos="0"/>
          <w:tab w:val="left" w:pos="426"/>
        </w:tabs>
        <w:ind w:left="567" w:right="851" w:firstLine="567"/>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Es así que,</w:t>
      </w:r>
      <w:r w:rsidRPr="00FB0CDC">
        <w:rPr>
          <w:rFonts w:ascii="Palatino Linotype" w:eastAsia="Palatino Linotype" w:hAnsi="Palatino Linotype" w:cs="Palatino Linotype"/>
          <w:i/>
          <w:iCs/>
        </w:rPr>
        <w:t xml:space="preserve"> </w:t>
      </w:r>
      <w:r w:rsidRPr="00FB0CDC">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Código de Procedimientos Administrativos del Estado de México.</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“Artículo 18.-</w:t>
      </w:r>
      <w:r w:rsidRPr="00FB0CDC">
        <w:rPr>
          <w:rFonts w:ascii="Palatino Linotype" w:eastAsia="Palatino Linotype" w:hAnsi="Palatino Linotype" w:cs="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Ley de Transparencia y Acceso a la Información Pública del Estado de México y Municipios</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“Artículo 195.</w:t>
      </w:r>
      <w:r w:rsidRPr="00FB0CDC">
        <w:rPr>
          <w:rFonts w:ascii="Palatino Linotype" w:eastAsia="Palatino Linotype" w:hAnsi="Palatino Linotype" w:cs="Palatino Linotype"/>
          <w:i/>
          <w:iCs/>
        </w:rPr>
        <w:t xml:space="preserve"> En la tramitación del recurso de revisión se aplicarán supletoriamente las disposiciones contenidas en el Código de Procedimientos Administrativos del Estado de México.”</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(Énfasis añadido)</w:t>
      </w:r>
    </w:p>
    <w:p w:rsidR="005A7CA0" w:rsidRPr="00FB0CDC" w:rsidRDefault="005A7CA0">
      <w:pPr>
        <w:ind w:left="360" w:firstLine="360"/>
        <w:rPr>
          <w:rFonts w:ascii="Palatino Linotype" w:eastAsia="Palatino Linotype" w:hAnsi="Palatino Linotype" w:cs="Palatino Linotype"/>
          <w:i/>
          <w:iCs/>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el </w:t>
      </w:r>
      <w:r w:rsidRPr="00FB0CDC">
        <w:rPr>
          <w:rFonts w:ascii="Palatino Linotype" w:eastAsia="Palatino Linotype" w:hAnsi="Palatino Linotype" w:cs="Palatino Linotype"/>
          <w:b/>
          <w:bCs/>
        </w:rPr>
        <w:t xml:space="preserve">veinticuatro de septiembre de dos mil veinticinco, </w:t>
      </w:r>
      <w:r w:rsidRPr="00FB0CDC">
        <w:rPr>
          <w:rFonts w:ascii="Palatino Linotype" w:eastAsia="Palatino Linotype" w:hAnsi="Palatino Linotype" w:cs="Palatino Linotype"/>
        </w:rPr>
        <w:t xml:space="preserve">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realizó en cada recurso de revisión sus respectivos informes justificados, mediante la descripción de la siguiente información. </w:t>
      </w:r>
    </w:p>
    <w:p w:rsidR="005A7CA0" w:rsidRPr="00FB0CDC" w:rsidRDefault="005A7CA0">
      <w:pPr>
        <w:spacing w:line="360" w:lineRule="auto"/>
        <w:jc w:val="both"/>
        <w:rPr>
          <w:rFonts w:ascii="Palatino Linotype" w:eastAsia="Palatino Linotype" w:hAnsi="Palatino Linotype" w:cs="Palatino Linotype"/>
        </w:rPr>
      </w:pPr>
    </w:p>
    <w:tbl>
      <w:tblPr>
        <w:tblStyle w:val="a2"/>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095"/>
      </w:tblGrid>
      <w:tr w:rsidR="005A7CA0" w:rsidRPr="00FB0CDC" w:rsidTr="00FB0CDC">
        <w:trPr>
          <w:jc w:val="center"/>
        </w:trPr>
        <w:tc>
          <w:tcPr>
            <w:tcW w:w="353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Recurso de Revisión </w:t>
            </w:r>
          </w:p>
        </w:tc>
        <w:tc>
          <w:tcPr>
            <w:tcW w:w="6095"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Información en Manifestaciones Sujeto Obligado</w:t>
            </w:r>
          </w:p>
        </w:tc>
      </w:tr>
      <w:tr w:rsidR="005A7CA0" w:rsidRPr="00FB0CDC" w:rsidTr="00FB0CDC">
        <w:trPr>
          <w:jc w:val="center"/>
        </w:trPr>
        <w:tc>
          <w:tcPr>
            <w:tcW w:w="353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10768/INFOEM/IP/RR/2025 </w:t>
            </w:r>
          </w:p>
        </w:tc>
        <w:tc>
          <w:tcPr>
            <w:tcW w:w="6095"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InformeJustificadoRR10768_2025_SIP00679_2025DGAF.pdf: </w:t>
            </w:r>
            <w:r w:rsidRPr="00FB0CDC">
              <w:rPr>
                <w:rFonts w:ascii="Palatino Linotype" w:eastAsia="Palatino Linotype" w:hAnsi="Palatino Linotype" w:cs="Palatino Linotype"/>
                <w:i/>
                <w:iCs/>
              </w:rPr>
              <w:t>oficio del Director General de Administración y finanzas, mediante el cual se ratifica la respuesta inicial</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Anexos.zip: </w:t>
            </w:r>
            <w:r w:rsidRPr="00FB0CDC">
              <w:rPr>
                <w:rFonts w:ascii="Palatino Linotype" w:eastAsia="Palatino Linotype" w:hAnsi="Palatino Linotype" w:cs="Palatino Linotype"/>
                <w:i/>
                <w:iCs/>
              </w:rPr>
              <w:t xml:space="preserve">documento que contiene las facturas por concepto de viáticos y del fondo fijo de la Comisionada Sharon </w:t>
            </w:r>
            <w:bookmarkStart w:id="2" w:name="_GoBack"/>
            <w:r w:rsidRPr="00FB0CDC">
              <w:rPr>
                <w:rFonts w:ascii="Palatino Linotype" w:eastAsia="Palatino Linotype" w:hAnsi="Palatino Linotype" w:cs="Palatino Linotype"/>
                <w:i/>
                <w:iCs/>
              </w:rPr>
              <w:t>Cristina</w:t>
            </w:r>
            <w:bookmarkEnd w:id="2"/>
            <w:r w:rsidRPr="00FB0CDC">
              <w:rPr>
                <w:rFonts w:ascii="Palatino Linotype" w:eastAsia="Palatino Linotype" w:hAnsi="Palatino Linotype" w:cs="Palatino Linotype"/>
                <w:i/>
                <w:iCs/>
              </w:rPr>
              <w:t xml:space="preserve"> Morales Martínez</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Alcance_InfJustif_RR10768_2025_SIP00679_2025DGAF.pdf: </w:t>
            </w:r>
            <w:r w:rsidRPr="00FB0CDC">
              <w:rPr>
                <w:rFonts w:ascii="Palatino Linotype" w:eastAsia="Palatino Linotype" w:hAnsi="Palatino Linotype" w:cs="Palatino Linotype"/>
                <w:i/>
                <w:iCs/>
              </w:rPr>
              <w:t xml:space="preserve">alcance al Informe Justificado de Director General de Administración y Finanzas, mediante el cual informa que se remite la información solicitada, toda vez que concluyo el periodo de reserva, de la información también refiere que en la información solicitada se clasifican datos de número de tarjeta </w:t>
            </w:r>
            <w:r w:rsidRPr="00FB0CDC">
              <w:rPr>
                <w:rFonts w:ascii="Palatino Linotype" w:eastAsia="Palatino Linotype" w:hAnsi="Palatino Linotype" w:cs="Palatino Linotype"/>
                <w:i/>
                <w:iCs/>
              </w:rPr>
              <w:lastRenderedPageBreak/>
              <w:t xml:space="preserve">bancaria, correo electrónico, nombre de particulares, fechas de nacimiento, domicilios particulares.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RES-02-INFOEM-EXT-COMT-03a-2026.pdf: </w:t>
            </w:r>
            <w:r w:rsidRPr="00FB0CDC">
              <w:rPr>
                <w:rFonts w:ascii="Palatino Linotype" w:eastAsia="Palatino Linotype" w:hAnsi="Palatino Linotype" w:cs="Palatino Linotype"/>
                <w:i/>
                <w:iCs/>
              </w:rPr>
              <w:t xml:space="preserve">Acta del Comité de Transparencia, mediante el cual se clasifican datos de número de tarjeta bancaria, correo electrónico, nombre de particulares, fechas de nacimiento, domicilios particulares. </w:t>
            </w:r>
          </w:p>
        </w:tc>
      </w:tr>
      <w:tr w:rsidR="005A7CA0" w:rsidRPr="00FB0CDC" w:rsidTr="00FB0CDC">
        <w:trPr>
          <w:jc w:val="center"/>
        </w:trPr>
        <w:tc>
          <w:tcPr>
            <w:tcW w:w="3539"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10769/INFOEM/IP/RR/2025 </w:t>
            </w:r>
          </w:p>
        </w:tc>
        <w:tc>
          <w:tcPr>
            <w:tcW w:w="6095"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InformeJustificadoRR10769_2025_SIP00678_2025DGAF.pdf: </w:t>
            </w:r>
            <w:r w:rsidRPr="00FB0CDC">
              <w:rPr>
                <w:rFonts w:ascii="Palatino Linotype" w:eastAsia="Palatino Linotype" w:hAnsi="Palatino Linotype" w:cs="Palatino Linotype"/>
                <w:i/>
                <w:iCs/>
              </w:rPr>
              <w:t>oficio del Director General de Administración y finanzas, mediante el cual se ratifica la respuesta inicial.</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Anexos.zip: </w:t>
            </w:r>
            <w:r w:rsidRPr="00FB0CDC">
              <w:rPr>
                <w:rFonts w:ascii="Palatino Linotype" w:eastAsia="Palatino Linotype" w:hAnsi="Palatino Linotype" w:cs="Palatino Linotype"/>
                <w:i/>
                <w:iCs/>
              </w:rPr>
              <w:t>documento que contiene las facturas por concepto de viáticos y del fondo fijo de la Comisionada Sharon Cristina Morales Martínez</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RES-01-INFOEM-EXT-COMT-03a-2026.pdf: </w:t>
            </w:r>
            <w:r w:rsidRPr="00FB0CDC">
              <w:rPr>
                <w:rFonts w:ascii="Palatino Linotype" w:eastAsia="Palatino Linotype" w:hAnsi="Palatino Linotype" w:cs="Palatino Linotype"/>
                <w:i/>
                <w:iCs/>
              </w:rPr>
              <w:t>Acta del Comité de Transparencia, mediante el cual se clasifican datos de número de tarjeta bancaria, correo electrónico, nombre de particulares, fechas de nacimiento, domicilios particulares.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Alcance_InfJustif_RR10769_2025_SIP00678_2025DGAF.pdf: </w:t>
            </w:r>
            <w:r w:rsidRPr="00FB0CDC">
              <w:rPr>
                <w:rFonts w:ascii="Palatino Linotype" w:eastAsia="Palatino Linotype" w:hAnsi="Palatino Linotype" w:cs="Palatino Linotype"/>
                <w:i/>
                <w:iCs/>
              </w:rPr>
              <w:t xml:space="preserve">alcance al Informe Justificado de Director General de Administración y Finanzas, mediante el cual informa que se remite la información solicitada, toda vez que concluyó el periodo de reserva, de la información también refiere que en la información solicitada se clasifican datos de número de tarjeta bancaria, correo electrónico, nombre de particulares, fechas de nacimiento, domicilios particulares. </w:t>
            </w:r>
          </w:p>
        </w:tc>
      </w:tr>
    </w:tbl>
    <w:p w:rsidR="005A7CA0" w:rsidRPr="00FB0CDC" w:rsidRDefault="005A7CA0">
      <w:pPr>
        <w:tabs>
          <w:tab w:val="left" w:pos="1279"/>
          <w:tab w:val="left" w:pos="8647"/>
        </w:tabs>
        <w:ind w:right="851"/>
        <w:jc w:val="both"/>
        <w:rPr>
          <w:rFonts w:ascii="Palatino Linotype" w:eastAsia="Palatino Linotype" w:hAnsi="Palatino Linotype" w:cs="Palatino Linotype"/>
          <w:i/>
          <w:iCs/>
          <w:color w:val="000000"/>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bookmarkStart w:id="3" w:name="_heading=h.3znysh7" w:colFirst="0" w:colLast="0"/>
      <w:bookmarkEnd w:id="3"/>
      <w:r w:rsidRPr="00FB0CDC">
        <w:rPr>
          <w:rFonts w:ascii="Palatino Linotype" w:eastAsia="Palatino Linotype" w:hAnsi="Palatino Linotype" w:cs="Palatino Linotype"/>
        </w:rPr>
        <w:t xml:space="preserve">En fecha </w:t>
      </w:r>
      <w:r w:rsidRPr="00FB0CDC">
        <w:rPr>
          <w:rFonts w:ascii="Palatino Linotype" w:eastAsia="Palatino Linotype" w:hAnsi="Palatino Linotype" w:cs="Palatino Linotype"/>
          <w:b/>
          <w:bCs/>
        </w:rPr>
        <w:t>diecisiete de diciembre de dos mil veinticinco</w:t>
      </w:r>
      <w:r w:rsidRPr="00FB0CDC">
        <w:rPr>
          <w:rFonts w:ascii="Palatino Linotype" w:eastAsia="Palatino Linotype" w:hAnsi="Palatino Linotype" w:cs="Palatino Linotype"/>
        </w:rPr>
        <w:t xml:space="preserve">, se emitieron los acuerdos de ampliación de plazo para resolver los recursos de revisión </w:t>
      </w:r>
      <w:r w:rsidRPr="00FB0CDC">
        <w:rPr>
          <w:rFonts w:ascii="Palatino Linotype" w:eastAsia="Palatino Linotype" w:hAnsi="Palatino Linotype" w:cs="Palatino Linotype"/>
          <w:b/>
          <w:bCs/>
        </w:rPr>
        <w:t xml:space="preserve">10768/INFOEM/IP/RR/2025, y 10769/INFOEM/IP/RR/2025. </w:t>
      </w:r>
    </w:p>
    <w:p w:rsidR="005A7CA0" w:rsidRPr="00FB0CDC" w:rsidRDefault="005A7CA0">
      <w:pPr>
        <w:spacing w:line="360" w:lineRule="auto"/>
        <w:jc w:val="both"/>
        <w:rPr>
          <w:rFonts w:ascii="Palatino Linotype" w:eastAsia="Palatino Linotype" w:hAnsi="Palatino Linotype" w:cs="Palatino Linotype"/>
          <w:b/>
          <w:bCs/>
          <w:color w:val="000000"/>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b/>
          <w:bCs/>
          <w:color w:val="000000"/>
        </w:rPr>
      </w:pPr>
      <w:r w:rsidRPr="00FB0CDC">
        <w:rPr>
          <w:rFonts w:ascii="Palatino Linotype" w:eastAsia="Palatino Linotype" w:hAnsi="Palatino Linotype" w:cs="Palatino Linotype"/>
        </w:rPr>
        <w:lastRenderedPageBreak/>
        <w:t>Finalmente, la Comisionada Ponente mediante acuerdo de fecha</w:t>
      </w:r>
      <w:r w:rsidRPr="00FB0CDC">
        <w:rPr>
          <w:rFonts w:ascii="Palatino Linotype" w:eastAsia="Palatino Linotype" w:hAnsi="Palatino Linotype" w:cs="Palatino Linotype"/>
          <w:highlight w:val="white"/>
        </w:rPr>
        <w:t xml:space="preserve"> </w:t>
      </w:r>
      <w:r w:rsidRPr="00FB0CDC">
        <w:rPr>
          <w:rFonts w:ascii="Palatino Linotype" w:eastAsia="Palatino Linotype" w:hAnsi="Palatino Linotype" w:cs="Palatino Linotype"/>
          <w:b/>
          <w:bCs/>
          <w:highlight w:val="white"/>
        </w:rPr>
        <w:t>trece de enero de dos mil veintiséis</w:t>
      </w:r>
      <w:r w:rsidRPr="00FB0CDC">
        <w:rPr>
          <w:rFonts w:ascii="Palatino Linotype" w:eastAsia="Palatino Linotype" w:hAnsi="Palatino Linotype" w:cs="Palatino Linotype"/>
          <w:highlight w:val="white"/>
        </w:rPr>
        <w:t xml:space="preserve">, decretó el cierre de instrucción </w:t>
      </w:r>
      <w:r w:rsidRPr="00FB0CDC">
        <w:rPr>
          <w:rFonts w:ascii="Palatino Linotype" w:eastAsia="Palatino Linotype" w:hAnsi="Palatino Linotype" w:cs="Palatino Linotype"/>
        </w:rPr>
        <w:t xml:space="preserve">de los expedientes, por lo que no habiendo más que hacer constar, y </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spacing w:line="360" w:lineRule="auto"/>
        <w:jc w:val="center"/>
        <w:rPr>
          <w:rFonts w:ascii="Palatino Linotype" w:eastAsia="Palatino Linotype" w:hAnsi="Palatino Linotype" w:cs="Palatino Linotype"/>
          <w:b/>
          <w:bCs/>
          <w:color w:val="000000"/>
        </w:rPr>
      </w:pPr>
      <w:r w:rsidRPr="00FB0CDC">
        <w:rPr>
          <w:rFonts w:ascii="Palatino Linotype" w:eastAsia="Palatino Linotype" w:hAnsi="Palatino Linotype" w:cs="Palatino Linotype"/>
          <w:b/>
          <w:bCs/>
          <w:color w:val="000000"/>
        </w:rPr>
        <w:t>C O N S I D E R A N D O</w:t>
      </w:r>
    </w:p>
    <w:p w:rsidR="005A7CA0" w:rsidRPr="00FB0CDC" w:rsidRDefault="005A7CA0">
      <w:pPr>
        <w:spacing w:line="360" w:lineRule="auto"/>
        <w:jc w:val="center"/>
        <w:rPr>
          <w:rFonts w:ascii="Palatino Linotype" w:eastAsia="Palatino Linotype" w:hAnsi="Palatino Linotype" w:cs="Palatino Linotype"/>
          <w:b/>
          <w:bCs/>
        </w:rPr>
      </w:pPr>
    </w:p>
    <w:p w:rsidR="005A7CA0" w:rsidRPr="00FB0CDC" w:rsidRDefault="00896987">
      <w:pPr>
        <w:keepNext/>
        <w:keepLines/>
        <w:spacing w:line="360" w:lineRule="auto"/>
        <w:rPr>
          <w:rFonts w:ascii="Palatino Linotype" w:eastAsia="Palatino Linotype" w:hAnsi="Palatino Linotype" w:cs="Palatino Linotype"/>
          <w:b/>
          <w:bCs/>
        </w:rPr>
      </w:pPr>
      <w:bookmarkStart w:id="4" w:name="_heading=h.2et92p0" w:colFirst="0" w:colLast="0"/>
      <w:bookmarkEnd w:id="4"/>
      <w:r w:rsidRPr="00FB0CDC">
        <w:rPr>
          <w:rFonts w:ascii="Palatino Linotype" w:eastAsia="Palatino Linotype" w:hAnsi="Palatino Linotype" w:cs="Palatino Linotype"/>
          <w:b/>
          <w:bCs/>
        </w:rPr>
        <w:t>PRIMERO. De la competencia</w:t>
      </w: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bookmarkStart w:id="5" w:name="_heading=h.tyjcwt" w:colFirst="0" w:colLast="0"/>
      <w:bookmarkEnd w:id="5"/>
      <w:r w:rsidRPr="00FB0CD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tabs>
          <w:tab w:val="left" w:pos="426"/>
        </w:tabs>
        <w:spacing w:line="360" w:lineRule="auto"/>
        <w:jc w:val="both"/>
        <w:rPr>
          <w:rFonts w:ascii="Palatino Linotype" w:eastAsia="Palatino Linotype" w:hAnsi="Palatino Linotype" w:cs="Palatino Linotype"/>
          <w:b/>
          <w:bCs/>
          <w:color w:val="000000"/>
        </w:rPr>
      </w:pPr>
      <w:r w:rsidRPr="00FB0CDC">
        <w:rPr>
          <w:rFonts w:ascii="Palatino Linotype" w:eastAsia="Palatino Linotype" w:hAnsi="Palatino Linotype" w:cs="Palatino Linotype"/>
          <w:b/>
          <w:bCs/>
          <w:color w:val="000000"/>
        </w:rPr>
        <w:t>SEGUNDO. De la oportunidad y procedencia.</w:t>
      </w: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bookmarkStart w:id="6" w:name="_heading=h.1t3h5sf" w:colFirst="0" w:colLast="0"/>
      <w:bookmarkEnd w:id="6"/>
      <w:r w:rsidRPr="00FB0CDC">
        <w:rPr>
          <w:rFonts w:ascii="Palatino Linotype" w:eastAsia="Palatino Linotype" w:hAnsi="Palatino Linotype" w:cs="Palatino Linotype"/>
        </w:rPr>
        <w:t xml:space="preserve">Los medios de impugnación fueron presentados a través del </w:t>
      </w:r>
      <w:r w:rsidRPr="00FB0CDC">
        <w:rPr>
          <w:rFonts w:ascii="Palatino Linotype" w:eastAsia="Palatino Linotype" w:hAnsi="Palatino Linotype" w:cs="Palatino Linotype"/>
          <w:b/>
          <w:bCs/>
        </w:rPr>
        <w:t>SAIMEX,</w:t>
      </w:r>
      <w:r w:rsidRPr="00FB0CDC">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FB0CDC">
        <w:rPr>
          <w:rFonts w:ascii="Palatino Linotype" w:eastAsia="Palatino Linotype" w:hAnsi="Palatino Linotype" w:cs="Palatino Linotype"/>
          <w:b/>
          <w:bCs/>
        </w:rPr>
        <w:t>SUJETO OBLIGADO</w:t>
      </w:r>
      <w:r w:rsidRPr="00FB0CDC">
        <w:rPr>
          <w:rFonts w:ascii="Palatino Linotype" w:eastAsia="Palatino Linotype" w:hAnsi="Palatino Linotype" w:cs="Palatino Linotype"/>
        </w:rPr>
        <w:t xml:space="preserve"> entregó sus respuestas el </w:t>
      </w:r>
      <w:r w:rsidRPr="00FB0CDC">
        <w:rPr>
          <w:rFonts w:ascii="Palatino Linotype" w:eastAsia="Palatino Linotype" w:hAnsi="Palatino Linotype" w:cs="Palatino Linotype"/>
          <w:b/>
          <w:bCs/>
        </w:rPr>
        <w:t>ocho de septiembre de dos mil veinticinco</w:t>
      </w:r>
      <w:r w:rsidRPr="00FB0CDC">
        <w:rPr>
          <w:rFonts w:ascii="Palatino Linotype" w:eastAsia="Palatino Linotype" w:hAnsi="Palatino Linotype" w:cs="Palatino Linotype"/>
        </w:rPr>
        <w:t xml:space="preserve">, de tal forma que el plazo para interponer el recurso de revisión transcurrió del </w:t>
      </w:r>
      <w:r w:rsidRPr="00FB0CDC">
        <w:rPr>
          <w:rFonts w:ascii="Palatino Linotype" w:eastAsia="Palatino Linotype" w:hAnsi="Palatino Linotype" w:cs="Palatino Linotype"/>
          <w:b/>
          <w:bCs/>
        </w:rPr>
        <w:t>nueve al treinta de septiembre de dos mil veinticinco</w:t>
      </w:r>
      <w:r w:rsidR="004A7729" w:rsidRPr="00FB0CDC">
        <w:rPr>
          <w:rFonts w:ascii="Palatino Linotype" w:eastAsia="Palatino Linotype" w:hAnsi="Palatino Linotype" w:cs="Palatino Linotype"/>
        </w:rPr>
        <w:t xml:space="preserve">; en </w:t>
      </w:r>
      <w:r w:rsidR="004A7729" w:rsidRPr="00FB0CDC">
        <w:rPr>
          <w:rFonts w:ascii="Palatino Linotype" w:eastAsia="Palatino Linotype" w:hAnsi="Palatino Linotype" w:cs="Palatino Linotype"/>
        </w:rPr>
        <w:lastRenderedPageBreak/>
        <w:t>consecuencia, la</w:t>
      </w:r>
      <w:r w:rsidRPr="00FB0CDC">
        <w:rPr>
          <w:rFonts w:ascii="Palatino Linotype" w:eastAsia="Palatino Linotype" w:hAnsi="Palatino Linotype" w:cs="Palatino Linotype"/>
        </w:rPr>
        <w:t xml:space="preserve"> ahora </w:t>
      </w:r>
      <w:r w:rsidRPr="00FB0CDC">
        <w:rPr>
          <w:rFonts w:ascii="Palatino Linotype" w:eastAsia="Palatino Linotype" w:hAnsi="Palatino Linotype" w:cs="Palatino Linotype"/>
          <w:b/>
          <w:bCs/>
        </w:rPr>
        <w:t>RECURRENTE</w:t>
      </w:r>
      <w:r w:rsidRPr="00FB0CDC">
        <w:rPr>
          <w:rFonts w:ascii="Palatino Linotype" w:eastAsia="Palatino Linotype" w:hAnsi="Palatino Linotype" w:cs="Palatino Linotype"/>
        </w:rPr>
        <w:t xml:space="preserve"> presentó sus inconformidades el </w:t>
      </w:r>
      <w:r w:rsidRPr="00FB0CDC">
        <w:rPr>
          <w:rFonts w:ascii="Palatino Linotype" w:eastAsia="Palatino Linotype" w:hAnsi="Palatino Linotype" w:cs="Palatino Linotype"/>
          <w:b/>
          <w:bCs/>
        </w:rPr>
        <w:t>doce de septiembre de dos mil veinticinco</w:t>
      </w:r>
      <w:r w:rsidRPr="00FB0CDC">
        <w:rPr>
          <w:rFonts w:ascii="Palatino Linotype" w:eastAsia="Palatino Linotype" w:hAnsi="Palatino Linotype" w:cs="Palatino Linotype"/>
        </w:rPr>
        <w:t>; es decir dentro del lapso legalmente establecido para tal efecto.</w:t>
      </w:r>
    </w:p>
    <w:p w:rsidR="005A7CA0" w:rsidRPr="00FB0CDC" w:rsidRDefault="005A7CA0">
      <w:pPr>
        <w:spacing w:line="360" w:lineRule="auto"/>
        <w:rPr>
          <w:rFonts w:ascii="Palatino Linotype" w:eastAsia="Palatino Linotype" w:hAnsi="Palatino Linotype" w:cs="Palatino Linotype"/>
        </w:rPr>
      </w:pPr>
    </w:p>
    <w:p w:rsidR="005A7CA0" w:rsidRPr="00FB0CDC" w:rsidRDefault="00896987">
      <w:pPr>
        <w:keepNext/>
        <w:keepLines/>
        <w:spacing w:line="360" w:lineRule="auto"/>
        <w:rPr>
          <w:rFonts w:ascii="Palatino Linotype" w:eastAsia="Palatino Linotype" w:hAnsi="Palatino Linotype" w:cs="Palatino Linotype"/>
          <w:b/>
          <w:bCs/>
          <w:color w:val="000000"/>
        </w:rPr>
      </w:pPr>
      <w:r w:rsidRPr="00FB0CDC">
        <w:rPr>
          <w:rFonts w:ascii="Palatino Linotype" w:eastAsia="Palatino Linotype" w:hAnsi="Palatino Linotype" w:cs="Palatino Linotype"/>
          <w:b/>
          <w:bCs/>
          <w:color w:val="000000"/>
        </w:rPr>
        <w:t>TERCERO. De las causales de sobreseimiento.</w:t>
      </w: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“Artículo 179. </w:t>
      </w:r>
      <w:r w:rsidRPr="00FB0CDC">
        <w:rPr>
          <w:rFonts w:ascii="Palatino Linotype" w:eastAsia="Palatino Linotype" w:hAnsi="Palatino Linotype" w:cs="Palatino Linotype"/>
          <w:i/>
          <w:iCs/>
        </w:rPr>
        <w:t xml:space="preserve">El recurso de revisión es un medio de protección que la Ley otorga a los particulares, para hacer valer su derecho de acceso a la información pública, y procederá en contra de las siguientes causas: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I. La negativa a la información solicitada;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II. La clasificación de la información;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III. La declaración de inexistencia de la información;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IV. La declaración de incompetencia por el sujeto obligado;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V. La entrega de información incompleta;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VI. La entrega de información que no corresponda con lo solicitado;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VII. La falta de respuesta a una solicitud de acceso a la información;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VIII. La notificación, entrega o puesta a disposición de información en una modalidad o formato distinto al solicitado;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IX. La entrega o puesta a disposición de información en un formato incomprensible y/o no accesible para el solicitante;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X. Los costos o tiempos de entrega de la información;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XI. La falta de trámite a una solicitud;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XII. La negativa a permitir la consulta directa de la información;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XIII. La falta, deficiencia o insuficiencia de la fundamentación y/o motivación en la respuesta; y </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XIV. La orientación a un trámite específico.</w:t>
      </w:r>
    </w:p>
    <w:p w:rsidR="005A7CA0" w:rsidRPr="00FB0CDC" w:rsidRDefault="00896987">
      <w:pPr>
        <w:ind w:left="1134" w:right="900"/>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w:t>
      </w:r>
    </w:p>
    <w:p w:rsidR="005A7CA0" w:rsidRPr="00FB0CDC" w:rsidRDefault="005A7CA0">
      <w:pPr>
        <w:ind w:left="1134" w:right="900"/>
        <w:jc w:val="both"/>
        <w:rPr>
          <w:rFonts w:ascii="Palatino Linotype" w:eastAsia="Palatino Linotype" w:hAnsi="Palatino Linotype" w:cs="Palatino Linotype"/>
          <w:i/>
          <w:iCs/>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5A7CA0" w:rsidRPr="00FB0CDC" w:rsidRDefault="005A7CA0">
      <w:pPr>
        <w:tabs>
          <w:tab w:val="left" w:pos="4962"/>
        </w:tabs>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Además, conforme al Diccionario de Transparencia y Acceso a la Información Pública y la página oficial de este Instituto (</w:t>
      </w:r>
      <w:hyperlink r:id="rId8" w:anchor="queEsRRdeIP">
        <w:r w:rsidRPr="00FB0CDC">
          <w:rPr>
            <w:rFonts w:ascii="Palatino Linotype" w:eastAsia="Palatino Linotype" w:hAnsi="Palatino Linotype" w:cs="Palatino Linotype"/>
          </w:rPr>
          <w:t>https://www.infoem.org.mx/es/content/informacion-publica#queEsRRdeIP</w:t>
        </w:r>
      </w:hyperlink>
      <w:r w:rsidRPr="00FB0CDC">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b/>
          <w:bCs/>
        </w:rPr>
      </w:pPr>
      <w:r w:rsidRPr="00FB0CDC">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FB0CDC">
        <w:rPr>
          <w:rFonts w:ascii="Palatino Linotype" w:eastAsia="Palatino Linotype" w:hAnsi="Palatino Linotype" w:cs="Palatino Linotype"/>
          <w:b/>
          <w:bCs/>
          <w:i/>
          <w:iCs/>
          <w:u w:val="single"/>
        </w:rPr>
        <w:t>de la contestación realizada por los Sujetos Obligados a una solicitud de información específica.</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lastRenderedPageBreak/>
        <w:t>De manera preliminar en el caso concreto conviene analizar si se actualiza alguna de las causales de sobreseimiento del recurso de revisión.</w:t>
      </w:r>
    </w:p>
    <w:p w:rsidR="005A7CA0" w:rsidRPr="00FB0CDC" w:rsidRDefault="005A7CA0">
      <w:pPr>
        <w:pBdr>
          <w:top w:val="nil"/>
          <w:left w:val="nil"/>
          <w:bottom w:val="nil"/>
          <w:right w:val="nil"/>
          <w:between w:val="nil"/>
        </w:pBdr>
        <w:ind w:left="720"/>
        <w:rPr>
          <w:rFonts w:ascii="Palatino Linotype" w:eastAsia="Palatino Linotype" w:hAnsi="Palatino Linotype" w:cs="Palatino Linotype"/>
          <w:color w:val="000000"/>
        </w:rPr>
      </w:pPr>
    </w:p>
    <w:p w:rsidR="005A7CA0" w:rsidRPr="00FB0CDC" w:rsidRDefault="00896987">
      <w:pPr>
        <w:numPr>
          <w:ilvl w:val="0"/>
          <w:numId w:val="2"/>
        </w:numPr>
        <w:spacing w:line="360" w:lineRule="auto"/>
        <w:ind w:left="0" w:right="49" w:firstLine="0"/>
        <w:jc w:val="both"/>
        <w:rPr>
          <w:rFonts w:ascii="Palatino Linotype" w:eastAsia="Palatino Linotype" w:hAnsi="Palatino Linotype" w:cs="Palatino Linotype"/>
          <w:b/>
          <w:bCs/>
          <w:i/>
          <w:iCs/>
        </w:rPr>
      </w:pPr>
      <w:r w:rsidRPr="00FB0CDC">
        <w:rPr>
          <w:rFonts w:ascii="Palatino Linotype" w:eastAsia="Palatino Linotype" w:hAnsi="Palatino Linotype" w:cs="Palatino Linotype"/>
        </w:rPr>
        <w:t>Ahora bien, como las solicitudes de información versan en acceder a facturas y recibos de los gastos, viáticos y fondo revolvente de dos Comisionados de este Órgano Garante,</w:t>
      </w:r>
      <w:r w:rsidRPr="00FB0CDC">
        <w:rPr>
          <w:rFonts w:ascii="Palatino Linotype" w:eastAsia="Palatino Linotype" w:hAnsi="Palatino Linotype" w:cs="Palatino Linotype"/>
          <w:b/>
          <w:bCs/>
          <w:i/>
          <w:iCs/>
        </w:rPr>
        <w:t xml:space="preserve"> </w:t>
      </w:r>
      <w:r w:rsidRPr="00FB0CDC">
        <w:rPr>
          <w:rFonts w:ascii="Palatino Linotype" w:eastAsia="Palatino Linotype" w:hAnsi="Palatino Linotype" w:cs="Palatino Linotype"/>
        </w:rPr>
        <w:t xml:space="preserve">es que se hace el análisis de manera conjunta de la respuesta proporcionada por el </w:t>
      </w:r>
      <w:r w:rsidRPr="00FB0CDC">
        <w:rPr>
          <w:rFonts w:ascii="Palatino Linotype" w:eastAsia="Palatino Linotype" w:hAnsi="Palatino Linotype" w:cs="Palatino Linotype"/>
          <w:b/>
          <w:bCs/>
        </w:rPr>
        <w:t xml:space="preserve">SUJETO OBLIGADO. </w:t>
      </w:r>
    </w:p>
    <w:p w:rsidR="005A7CA0" w:rsidRPr="00FB0CDC" w:rsidRDefault="005A7CA0">
      <w:pPr>
        <w:spacing w:line="360" w:lineRule="auto"/>
        <w:ind w:right="49"/>
        <w:jc w:val="both"/>
        <w:rPr>
          <w:rFonts w:ascii="Palatino Linotype" w:eastAsia="Palatino Linotype" w:hAnsi="Palatino Linotype" w:cs="Palatino Linotype"/>
          <w:b/>
          <w:bCs/>
          <w:i/>
          <w:iCs/>
        </w:rPr>
      </w:pPr>
    </w:p>
    <w:tbl>
      <w:tblPr>
        <w:tblStyle w:val="a3"/>
        <w:tblW w:w="10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985"/>
        <w:gridCol w:w="2827"/>
        <w:gridCol w:w="1984"/>
      </w:tblGrid>
      <w:tr w:rsidR="005A7CA0" w:rsidRPr="00FB0CDC" w:rsidTr="00FB0CDC">
        <w:tc>
          <w:tcPr>
            <w:tcW w:w="2263"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Información solicitada</w:t>
            </w:r>
          </w:p>
        </w:tc>
        <w:tc>
          <w:tcPr>
            <w:tcW w:w="2985"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Respuesta inicial</w:t>
            </w:r>
          </w:p>
        </w:tc>
        <w:tc>
          <w:tcPr>
            <w:tcW w:w="2827"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manifestaciones</w:t>
            </w:r>
          </w:p>
        </w:tc>
        <w:tc>
          <w:tcPr>
            <w:tcW w:w="1984"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Colma </w:t>
            </w:r>
          </w:p>
        </w:tc>
      </w:tr>
      <w:tr w:rsidR="005A7CA0" w:rsidRPr="00FB0CDC" w:rsidTr="00FB0CDC">
        <w:tc>
          <w:tcPr>
            <w:tcW w:w="2263"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1.- Facturas y recibos de los gastos, viáticos, fondo revolvente o equivalente, de la Comisionada Sharon Morales Martínez del uno de enero al siete de agosto de dos mil veinticinco. </w:t>
            </w:r>
          </w:p>
          <w:p w:rsidR="005A7CA0" w:rsidRPr="00FB0CDC" w:rsidRDefault="005A7CA0">
            <w:pPr>
              <w:ind w:right="49"/>
              <w:jc w:val="both"/>
              <w:rPr>
                <w:rFonts w:ascii="Palatino Linotype" w:eastAsia="Palatino Linotype" w:hAnsi="Palatino Linotype" w:cs="Palatino Linotype"/>
                <w:b/>
                <w:bCs/>
                <w:i/>
                <w:iCs/>
              </w:rPr>
            </w:pPr>
          </w:p>
          <w:p w:rsidR="005A7CA0" w:rsidRPr="00FB0CDC" w:rsidRDefault="005A7CA0">
            <w:pPr>
              <w:ind w:right="49"/>
              <w:jc w:val="both"/>
              <w:rPr>
                <w:rFonts w:ascii="Palatino Linotype" w:eastAsia="Palatino Linotype" w:hAnsi="Palatino Linotype" w:cs="Palatino Linotype"/>
                <w:i/>
                <w:iCs/>
              </w:rPr>
            </w:pPr>
          </w:p>
        </w:tc>
        <w:tc>
          <w:tcPr>
            <w:tcW w:w="2985"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RES-06-INFOEM-ORD-COMT-12a-2025.pdf:  </w:t>
            </w:r>
            <w:r w:rsidRPr="00FB0CDC">
              <w:rPr>
                <w:rFonts w:ascii="Palatino Linotype" w:eastAsia="Palatino Linotype" w:hAnsi="Palatino Linotype" w:cs="Palatino Linotype"/>
                <w:i/>
                <w:iCs/>
              </w:rPr>
              <w:t xml:space="preserve">Acta del Comité de Transparencia en la Décima Segunda Sesión Ordinaria del once de junio de dos mil veinticinco, mediante la resolución RES/06/INFOEM/ORD/COMT/12/2025, por el periodo de nueve meses, mediante la cuales solicitan copias que avalen los pagos por gastos de los comisionados, así como facturas.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RespuestaSIP00679_2025DGAF.pdf: </w:t>
            </w:r>
            <w:r w:rsidRPr="00FB0CDC">
              <w:rPr>
                <w:rFonts w:ascii="Palatino Linotype" w:eastAsia="Palatino Linotype" w:hAnsi="Palatino Linotype" w:cs="Palatino Linotype"/>
                <w:i/>
                <w:iCs/>
              </w:rPr>
              <w:t xml:space="preserve">oficio del Director General de Administración y Finanzas, mediante el cual de informa </w:t>
            </w:r>
            <w:r w:rsidRPr="00FB0CDC">
              <w:rPr>
                <w:rFonts w:ascii="Palatino Linotype" w:eastAsia="Palatino Linotype" w:hAnsi="Palatino Linotype" w:cs="Palatino Linotype"/>
                <w:i/>
                <w:iCs/>
              </w:rPr>
              <w:lastRenderedPageBreak/>
              <w:t xml:space="preserve">que la información de las facturas, debe de ser reservada, toda vez quemediante memorándum INFOEM/OIC/0187/2025 se informó el inicio de la acción de control registrada bajo el número 1.3.3.1 denominada "Inspección financiera ejercicio del gasto, en específico a las partidas 3710, 3720, 3730, 3740, 3750, 3760, 3780 у 3790 por el periodo comprendido de enero a mayo del dos mil veinticinco, situación por la cual se informa que se actualiza el artículo 140. El acceso a la información pública será restringido excepcionalmente, cuando por razones de interés público, ésta sea clasificada como reservada, conforme a los criterios siguientes: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V. Aquella cuya divulgación obstruya o pueda causar un serio perjuicio a: 1. Las actividades de fiscalización, verificación, inspección, comprobación y auditoría sobre el cumplimiento de las Leyes.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OficioRespuestaSIP00679_2025UT.pdf: </w:t>
            </w:r>
            <w:r w:rsidRPr="00FB0CDC">
              <w:rPr>
                <w:rFonts w:ascii="Palatino Linotype" w:eastAsia="Palatino Linotype" w:hAnsi="Palatino Linotype" w:cs="Palatino Linotype"/>
                <w:i/>
                <w:iCs/>
              </w:rPr>
              <w:t xml:space="preserve">oficio de la Titular de la Unidad de Transparencia, mediante el cual informa que anexa la respuesta de la Dirección General de Administración y Finanzas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Acta 17a Ses. Ord. del C.T. 2025.pdf: </w:t>
            </w:r>
            <w:r w:rsidRPr="00FB0CDC">
              <w:rPr>
                <w:rFonts w:ascii="Palatino Linotype" w:eastAsia="Palatino Linotype" w:hAnsi="Palatino Linotype" w:cs="Palatino Linotype"/>
                <w:i/>
                <w:iCs/>
              </w:rPr>
              <w:t>Acta de la Décima Séptima Sesión Ordinaria del Comité de Transparencia, mediante la cual en el punto nueve se aprueba la clasificación como reservada de las facturas solicitadas , toda vez que se relacionan con información  previamente reservada, confirmada por el Comité de Transparencia en la Décima Segunda Sesión Ordinaria del once de junio de dos mil veinticinco, mediante la resolución RES/06/INFOEM/ORD/COMT/12/2025, por el periodo de nueve meses</w:t>
            </w:r>
          </w:p>
        </w:tc>
        <w:tc>
          <w:tcPr>
            <w:tcW w:w="2827"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Anexos.zip: </w:t>
            </w:r>
            <w:r w:rsidRPr="00FB0CDC">
              <w:rPr>
                <w:rFonts w:ascii="Palatino Linotype" w:eastAsia="Palatino Linotype" w:hAnsi="Palatino Linotype" w:cs="Palatino Linotype"/>
                <w:i/>
                <w:iCs/>
              </w:rPr>
              <w:t>documento que contiene las facturas por concepto de viáticos y del fondo fijo de la Comisionada Sharon Cristina Morales Martínez</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Alcance_InfJustif_RR10768_2025_SIP00679_2025DGAF.pdf: </w:t>
            </w:r>
            <w:r w:rsidRPr="00FB0CDC">
              <w:rPr>
                <w:rFonts w:ascii="Palatino Linotype" w:eastAsia="Palatino Linotype" w:hAnsi="Palatino Linotype" w:cs="Palatino Linotype"/>
                <w:i/>
                <w:iCs/>
              </w:rPr>
              <w:t xml:space="preserve">alcance al Informe Justificado de Director General de Administración y Finanzas, mediante el cual informa que se remite la información solicitada, toda vez que concluyo el periodo de reserva, de la información también refiere que en la información solicitada se clasifican datos de número </w:t>
            </w:r>
            <w:r w:rsidRPr="00FB0CDC">
              <w:rPr>
                <w:rFonts w:ascii="Palatino Linotype" w:eastAsia="Palatino Linotype" w:hAnsi="Palatino Linotype" w:cs="Palatino Linotype"/>
                <w:i/>
                <w:iCs/>
              </w:rPr>
              <w:lastRenderedPageBreak/>
              <w:t xml:space="preserve">de tarjeta bancaria, correo electrónico, nombre de particulares, fechas de nacimiento, domicilios particulares.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RES-02-INFOEM-EXT-COMT-03a-2026.pdf: </w:t>
            </w:r>
            <w:r w:rsidRPr="00FB0CDC">
              <w:rPr>
                <w:rFonts w:ascii="Palatino Linotype" w:eastAsia="Palatino Linotype" w:hAnsi="Palatino Linotype" w:cs="Palatino Linotype"/>
                <w:i/>
                <w:iCs/>
              </w:rPr>
              <w:t xml:space="preserve">Acta del Comité de Transparencia, mediante el cual se clasifican datos de número de tarjeta bancaria, correo electrónico, nombre de particulares, fechas de nacimiento, domicilios particulares. </w:t>
            </w:r>
          </w:p>
        </w:tc>
        <w:tc>
          <w:tcPr>
            <w:tcW w:w="1984" w:type="dxa"/>
          </w:tcPr>
          <w:p w:rsidR="005A7CA0" w:rsidRPr="00FB0CDC" w:rsidRDefault="00896987">
            <w:pPr>
              <w:ind w:right="49"/>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Colma, toda vez que en la etapa de manifestaciones se entregan las facturas por concepto de fondo revolvente y por gastos de viáticos de la Comisionada Sharon Cristina Morales Martínez. </w:t>
            </w:r>
          </w:p>
        </w:tc>
      </w:tr>
      <w:tr w:rsidR="005A7CA0" w:rsidRPr="00FB0CDC" w:rsidTr="00FB0CDC">
        <w:trPr>
          <w:trHeight w:val="299"/>
        </w:trPr>
        <w:tc>
          <w:tcPr>
            <w:tcW w:w="2263" w:type="dxa"/>
          </w:tcPr>
          <w:p w:rsidR="005A7CA0" w:rsidRPr="00FB0CDC" w:rsidRDefault="00896987">
            <w:pPr>
              <w:ind w:right="49"/>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lastRenderedPageBreak/>
              <w:t xml:space="preserve">2.- Facturas y recibos de los gastos, viáticos, fondo revolvente o equivalente, del Comisionado Luis </w:t>
            </w:r>
            <w:r w:rsidRPr="00FB0CDC">
              <w:rPr>
                <w:rFonts w:ascii="Palatino Linotype" w:eastAsia="Palatino Linotype" w:hAnsi="Palatino Linotype" w:cs="Palatino Linotype"/>
                <w:b/>
                <w:bCs/>
                <w:i/>
                <w:iCs/>
              </w:rPr>
              <w:lastRenderedPageBreak/>
              <w:t xml:space="preserve">Gustavo Parra Noriega del uno de enero al siete de agosto de dos mil veinticinco. </w:t>
            </w:r>
          </w:p>
          <w:p w:rsidR="005A7CA0" w:rsidRPr="00FB0CDC" w:rsidRDefault="005A7CA0">
            <w:pPr>
              <w:ind w:right="49"/>
              <w:jc w:val="both"/>
              <w:rPr>
                <w:rFonts w:ascii="Palatino Linotype" w:eastAsia="Palatino Linotype" w:hAnsi="Palatino Linotype" w:cs="Palatino Linotype"/>
                <w:i/>
                <w:iCs/>
              </w:rPr>
            </w:pPr>
          </w:p>
        </w:tc>
        <w:tc>
          <w:tcPr>
            <w:tcW w:w="2985"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OficioRespuestaSIP00678_2025UT.pdf: : </w:t>
            </w:r>
            <w:r w:rsidRPr="00FB0CDC">
              <w:rPr>
                <w:rFonts w:ascii="Palatino Linotype" w:eastAsia="Palatino Linotype" w:hAnsi="Palatino Linotype" w:cs="Palatino Linotype"/>
                <w:i/>
                <w:iCs/>
              </w:rPr>
              <w:t xml:space="preserve">oficio de la Titular de la Unidad de Transparencia, mediante el cual informa que anexa la respuesta de la Dirección </w:t>
            </w:r>
            <w:r w:rsidRPr="00FB0CDC">
              <w:rPr>
                <w:rFonts w:ascii="Palatino Linotype" w:eastAsia="Palatino Linotype" w:hAnsi="Palatino Linotype" w:cs="Palatino Linotype"/>
                <w:i/>
                <w:iCs/>
              </w:rPr>
              <w:lastRenderedPageBreak/>
              <w:t xml:space="preserve">General de Administración y Finanzas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Acta 17a Ses. Ord. del C.T. 2025.pdf: </w:t>
            </w:r>
            <w:r w:rsidRPr="00FB0CDC">
              <w:rPr>
                <w:rFonts w:ascii="Palatino Linotype" w:eastAsia="Palatino Linotype" w:hAnsi="Palatino Linotype" w:cs="Palatino Linotype"/>
                <w:i/>
                <w:iCs/>
              </w:rPr>
              <w:t>Acta de la Décima Séptima Sesión Ordinaria del Comité de Transparencia, mediante la cual en el punto ochoi se aprueba la clasificación como reservada de las facturas solicitadas , toda vez que se relacionan con información  previamente reservada, confirmada por el Comité de Transparencia en la Décima Segunda Sesión Ordinaria del once de junio de dos mil veinticinco, mediante la resolución RES/06/INFOEM/ORD/COMT/12/</w:t>
            </w:r>
            <w:r w:rsidRPr="00FB0CDC">
              <w:rPr>
                <w:rFonts w:ascii="Palatino Linotype" w:eastAsia="Palatino Linotype" w:hAnsi="Palatino Linotype" w:cs="Palatino Linotype"/>
                <w:b/>
                <w:bCs/>
                <w:i/>
                <w:iCs/>
              </w:rPr>
              <w:t>2025, por el periodo de nueve meses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RespuestaSIP00678_2025DGAF.pdf: </w:t>
            </w:r>
            <w:r w:rsidRPr="00FB0CDC">
              <w:rPr>
                <w:rFonts w:ascii="Palatino Linotype" w:eastAsia="Palatino Linotype" w:hAnsi="Palatino Linotype" w:cs="Palatino Linotype"/>
                <w:i/>
                <w:iCs/>
              </w:rPr>
              <w:t xml:space="preserve">oficio del Director General de Administración y Finanzas, mediante el cual de informa que la información de las facturas, debe de ser reservada, toda vez que mediante memorándum INFOEM/OIC/0187/2025 se informó el inicio de la acción de control registrada </w:t>
            </w:r>
            <w:r w:rsidRPr="00FB0CDC">
              <w:rPr>
                <w:rFonts w:ascii="Palatino Linotype" w:eastAsia="Palatino Linotype" w:hAnsi="Palatino Linotype" w:cs="Palatino Linotype"/>
                <w:i/>
                <w:iCs/>
              </w:rPr>
              <w:lastRenderedPageBreak/>
              <w:t xml:space="preserve">bajo el número 1.3.3.1 denominada "Inspección financiera ejercicio del gasto, en específico a las partidas 3710, 3720, 3730, 3740, 3750, 3760, 3780 у 3790 por el periodo comprendido de enero a mayo del dos mil veinticinco, situación por la cual se informa que se actualiza el artículo 140. El acceso a la información pública será restringido excepcionalmente, cuando por razones de interés público, ésta sea clasificada como reservada, conforme a los criterios siguientes: </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V. Aquella cuya divulgación obstruya o pueda causar un serio perjuicio a: 1. Las actividades de fiscalización, verificación, inspección, comprobación y auditoría sobre el cumplimiento de las Leyes.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RES-06-INFOEM-ORD-COMT-12a-2025.pdf: </w:t>
            </w:r>
            <w:r w:rsidRPr="00FB0CDC">
              <w:rPr>
                <w:rFonts w:ascii="Palatino Linotype" w:eastAsia="Palatino Linotype" w:hAnsi="Palatino Linotype" w:cs="Palatino Linotype"/>
                <w:i/>
                <w:iCs/>
              </w:rPr>
              <w:t>Acta del Comité de Transparencia en la Décima Segunda Sesión Ordinaria del once de junio de dos mil veinticinco, mediante la resolución RES/06/INFOEM/ORD/C</w:t>
            </w:r>
            <w:r w:rsidRPr="00FB0CDC">
              <w:rPr>
                <w:rFonts w:ascii="Palatino Linotype" w:eastAsia="Palatino Linotype" w:hAnsi="Palatino Linotype" w:cs="Palatino Linotype"/>
                <w:i/>
                <w:iCs/>
              </w:rPr>
              <w:lastRenderedPageBreak/>
              <w:t>OMT/12/2025, por el periodo de nueve meses, mediante la cuales solicitan copias que avalen los pagos por gastos de los comisionados, así como facturas.</w:t>
            </w:r>
          </w:p>
        </w:tc>
        <w:tc>
          <w:tcPr>
            <w:tcW w:w="2827" w:type="dxa"/>
          </w:tcPr>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Anexos.zip: </w:t>
            </w:r>
            <w:r w:rsidRPr="00FB0CDC">
              <w:rPr>
                <w:rFonts w:ascii="Palatino Linotype" w:eastAsia="Palatino Linotype" w:hAnsi="Palatino Linotype" w:cs="Palatino Linotype"/>
                <w:i/>
                <w:iCs/>
              </w:rPr>
              <w:t>documento que contiene las facturas por concepto de viáticos y del fondo fijo de la Comisionada Sharon Cristina Morales Martínez</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lastRenderedPageBreak/>
              <w:t xml:space="preserve">RES-01-INFOEM-EXT-COMT-03a-2026.pdf: </w:t>
            </w:r>
            <w:r w:rsidRPr="00FB0CDC">
              <w:rPr>
                <w:rFonts w:ascii="Palatino Linotype" w:eastAsia="Palatino Linotype" w:hAnsi="Palatino Linotype" w:cs="Palatino Linotype"/>
                <w:i/>
                <w:iCs/>
              </w:rPr>
              <w:t>Acta del Comité de Transparencia, mediante el cual se clasifican datos de número de tarjeta bancaria, correo electrónico, nombre de particulares, fechas de nacimiento, domicilios particulares.</w:t>
            </w:r>
          </w:p>
          <w:p w:rsidR="005A7CA0" w:rsidRPr="00FB0CDC" w:rsidRDefault="00896987">
            <w:pPr>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xml:space="preserve">Alcance_InfJustif_RR10769_2025_SIP00678_2025DGAF.pdf: </w:t>
            </w:r>
            <w:r w:rsidRPr="00FB0CDC">
              <w:rPr>
                <w:rFonts w:ascii="Palatino Linotype" w:eastAsia="Palatino Linotype" w:hAnsi="Palatino Linotype" w:cs="Palatino Linotype"/>
                <w:i/>
                <w:iCs/>
              </w:rPr>
              <w:t xml:space="preserve">alcance al Informe Justificado de Director General de Administración y Finanzas, mediante el cual informa que se remite la información solicitada, toda vez que concluyo el periodo de reserva, de la información también refiere que en la información solicitada se clasifican datos de número de tarjeta bancaria, correo electrónico, nombre de particulares, fechas de nacimiento, domicilios particulares. </w:t>
            </w:r>
          </w:p>
        </w:tc>
        <w:tc>
          <w:tcPr>
            <w:tcW w:w="1984" w:type="dxa"/>
          </w:tcPr>
          <w:p w:rsidR="005A7CA0" w:rsidRPr="00FB0CDC" w:rsidRDefault="00896987">
            <w:pPr>
              <w:ind w:right="49"/>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Colma, toda vez que en la etapa de manifestaciones se entregan las facturas por concepto de fondo </w:t>
            </w:r>
            <w:r w:rsidRPr="00FB0CDC">
              <w:rPr>
                <w:rFonts w:ascii="Palatino Linotype" w:eastAsia="Palatino Linotype" w:hAnsi="Palatino Linotype" w:cs="Palatino Linotype"/>
                <w:i/>
                <w:iCs/>
              </w:rPr>
              <w:lastRenderedPageBreak/>
              <w:t xml:space="preserve">revolvente y por gastos de viáticos del  Luis Gustavo Parra Noriega. </w:t>
            </w:r>
          </w:p>
        </w:tc>
      </w:tr>
    </w:tbl>
    <w:p w:rsidR="005A7CA0" w:rsidRPr="00FB0CDC" w:rsidRDefault="005A7CA0">
      <w:pPr>
        <w:spacing w:line="360" w:lineRule="auto"/>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se estima que mediante la etapa de manifestaciones 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colmo el derecho de acceso a la información de</w:t>
      </w:r>
      <w:r w:rsidR="004A7729" w:rsidRPr="00FB0CDC">
        <w:rPr>
          <w:rFonts w:ascii="Palatino Linotype" w:eastAsia="Palatino Linotype" w:hAnsi="Palatino Linotype" w:cs="Palatino Linotype"/>
        </w:rPr>
        <w:t xml:space="preserve"> </w:t>
      </w:r>
      <w:r w:rsidRPr="00FB0CDC">
        <w:rPr>
          <w:rFonts w:ascii="Palatino Linotype" w:eastAsia="Palatino Linotype" w:hAnsi="Palatino Linotype" w:cs="Palatino Linotype"/>
        </w:rPr>
        <w:t>l</w:t>
      </w:r>
      <w:r w:rsidR="004A7729" w:rsidRPr="00FB0CDC">
        <w:rPr>
          <w:rFonts w:ascii="Palatino Linotype" w:eastAsia="Palatino Linotype" w:hAnsi="Palatino Linotype" w:cs="Palatino Linotype"/>
        </w:rPr>
        <w:t>a</w:t>
      </w:r>
      <w:r w:rsidRPr="00FB0CDC">
        <w:rPr>
          <w:rFonts w:ascii="Palatino Linotype" w:eastAsia="Palatino Linotype" w:hAnsi="Palatino Linotype" w:cs="Palatino Linotype"/>
        </w:rPr>
        <w:t xml:space="preserve"> </w:t>
      </w:r>
      <w:r w:rsidRPr="00FB0CDC">
        <w:rPr>
          <w:rFonts w:ascii="Palatino Linotype" w:eastAsia="Palatino Linotype" w:hAnsi="Palatino Linotype" w:cs="Palatino Linotype"/>
          <w:b/>
          <w:bCs/>
        </w:rPr>
        <w:t xml:space="preserve">RECURRENTE, </w:t>
      </w:r>
      <w:r w:rsidRPr="00FB0CDC">
        <w:rPr>
          <w:rFonts w:ascii="Palatino Linotype" w:eastAsia="Palatino Linotype" w:hAnsi="Palatino Linotype" w:cs="Palatino Linotype"/>
        </w:rPr>
        <w:t xml:space="preserve">toda vez que se realizó la entrega de las facturas relacionadas con gastos de viáticos y del fondo revolvente, en este caso el fondo fijo. </w:t>
      </w:r>
    </w:p>
    <w:p w:rsidR="005A7CA0" w:rsidRPr="00FB0CDC" w:rsidRDefault="00896987">
      <w:pPr>
        <w:spacing w:line="360" w:lineRule="auto"/>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 </w:t>
      </w:r>
    </w:p>
    <w:p w:rsidR="005A7CA0" w:rsidRPr="00FB0CDC" w:rsidRDefault="00896987">
      <w:pPr>
        <w:numPr>
          <w:ilvl w:val="0"/>
          <w:numId w:val="2"/>
        </w:numPr>
        <w:spacing w:line="360" w:lineRule="auto"/>
        <w:ind w:left="0" w:right="49"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se debe de establecer si 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turno la solicitud de información al área habilitada, situación por la cual de acuerdo con el Manual General de Organización del </w:t>
      </w:r>
      <w:r w:rsidRPr="00FB0CDC">
        <w:rPr>
          <w:rFonts w:ascii="Palatino Linotype" w:eastAsia="Palatino Linotype" w:hAnsi="Palatino Linotype" w:cs="Palatino Linotype"/>
          <w:color w:val="000000"/>
        </w:rPr>
        <w:t xml:space="preserve">Instituto de Transparencia, Acceso a la Información Pública y Protección de Datos Personales del Estado de México y Municipios, se tiene que se integra por la Dirección General de Administración y Finanzas, quien tiene las siguientes funciones. </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4092090000 DIRECCIÓN GENERAL DE ADMINISTRACIÓN Y FINANZAS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OBJETIVO:</w:t>
      </w:r>
      <w:r w:rsidRPr="00FB0CDC">
        <w:rPr>
          <w:rFonts w:ascii="Palatino Linotype" w:eastAsia="Palatino Linotype" w:hAnsi="Palatino Linotype" w:cs="Palatino Linotype"/>
          <w:i/>
          <w:iCs/>
        </w:rPr>
        <w:t xml:space="preserve">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Planear, dirigir, supervisar y evaluar las actividades relacionadas con la administración y el control del capital humano, de los recursos materiales, financieros y técnicos, así como la prestación de los servicios generales del Instituto; con base en los lineamientos, políticas y estrategias establecidas que coadyuven con las diferentes Unidades Administrativas del Instituto, en el cumplimiento de las metas y programas. </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FUNCIONES: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Dirigir y coordinar la elaboración del anteproyecto y proyecto de presupuesto de egresos del Instituto, someterlo a aprobación del Pleno y vigilar su cumplimiento;</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 Supervisar el diseño e implementación de los procesos de planeación, programación y presupuestación, para mejorar la administración de los recursos asignados al Instituto;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los trabajos para la elaboración del Plan de Desarrollo del Estado de México; Programas Sectoriales, Regionales y Especiales de corto, mediano y largo plazo, en lo correspondiente al Instituto;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y evaluar el programa operativo anual y el presupuesto de egresos, para su adecuado manejo y cumplimiento de acuerdo con las disposiciones aplicables;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Avalar las políticas, normas, sistemas y procedimientos para la administración del capital humano, de los recursos financieros y materiales del Instituto; así como la prestación de servicios generales y someterlos al Pleno para su aprobación;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la integración de los Manuales de Organización y Procedimientos, así como la estructura orgánica del Instituto y proponerlos al Pleno para su autorización;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que se ejecuten los lineamientos del Servicio Profesional del Instituto;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la instrumentación de las políticas sobre protección civil, clima laboral y demás que resulten aplicables para el correcto desarrollo de las actividades de las unidades administrativas y establecer las medidas generales de seguridad para las instalaciones del Instituto;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Impulsar conjuntamente con la Comisión Mixta de Seguridad e Higiene del Instituto, las medidas de protección civil, orientadas a prevenir siniestros;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Dirigir las actividades relativas al reclutamiento, selección, contratación, inducción, capacitación y desarrollo de personal, así como el control de incidencias, pago de remuneraciones y demás actividades concernientes al manejo de personal; así como la conducción de las relaciones laborales, para dar cumplimiento a la normatividad establecida en la materia;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la elaboración de la nómina del personal de base y eventual del Instituto y autorizar el pago correspondiente;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los trámites de alta, baja, cambios, permisos y licencias y demás incidencias de las y los servidores públicos;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 Elaborar las normas de administración de personal, contratos o convenios que regulen las relaciones laborales, proponerlo al Pleno para su aprobación y vigilar la aplicación y su cumplimiento;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el cumplimiento a las diferentes disposiciones fiscales, laborales y administrativas derivadas de la operación del Instituto; </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 Coordinar y verificar la realización de los registros contables y presupuestales, así como la elaboración de los estados financieros y demás informes relativos al ejercicio del presupuesto del Instituto que la Dirección General deba presentar al Pleno y a la Secretaría de Finanzas; </w:t>
      </w:r>
    </w:p>
    <w:p w:rsidR="005A7CA0" w:rsidRPr="00FB0CDC" w:rsidRDefault="00896987">
      <w:pPr>
        <w:ind w:left="1134" w:right="851"/>
        <w:jc w:val="both"/>
        <w:rPr>
          <w:i/>
          <w:iCs/>
        </w:rPr>
      </w:pPr>
      <w:r w:rsidRPr="00FB0CDC">
        <w:rPr>
          <w:rFonts w:ascii="Palatino Linotype" w:eastAsia="Palatino Linotype" w:hAnsi="Palatino Linotype" w:cs="Palatino Linotype"/>
          <w:i/>
          <w:iCs/>
        </w:rPr>
        <w:t>− Someter a aprobación del Pleno del Instituto el tabulador de sueldos, el catálogo de puestos y la plantilla de plazas, con base en la asignación presupuestaria para cada Unidad administrativa;</w:t>
      </w:r>
      <w:r w:rsidRPr="00FB0CDC">
        <w:rPr>
          <w:i/>
          <w:iCs/>
        </w:rPr>
        <w:t xml:space="preserve">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Dirigir y supervisar la integración y ejecución del programa anual de adquisición de bienes y contratación de servicios, del comité de arrendamientos, adquisición de inmuebles y enajenaciones; someterlos a consideración del comité correspondiente y del Pleno, así como vigilar su cumplimiento;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Autorizar las bases para los concursos de procesos de invitación restringida y/o licitación pública, así como las solicitudes de dictamen técnico;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Realizar las funciones de Presidenta o Presidente en los Comités de Adquisiciones y Servicios y el de Arrendamientos, Adquisiciones de Inmuebles y Enajenaciones del Instituto; para dar cumplimiento a la normatividad establecida en la materia;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las acciones para el control y actualización del inventario de los bienes muebles que conforman el patrimonio del Instituto;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Suscribir los contratos, convenios y demás actos jurídicos de carácter administrativo dentro del ámbito de su competencia, necesarios para el ejercicio de sus funciones;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Verificar el cumplimiento de los contratos y convenios celebrados con las y los proveedores adjudicados en los procesos de adquisiciones y en caso de incumplimiento notificar a la Dirección General Jurídica y de Verificación;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el apoyo logístico que se brinde a las Unidades Administrativas del Instituto para la ejecución de los actos y eventos que le sean asignados;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Autorizar los procesos de planeación, organización, ejecución y evaluación de las actividades y proyectos asignados al Instituto, para que se lleven en apego a la normatividad en la materia;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 Coordinar las acciones de seguimiento al cumplimiento de metas del programa de trabajo, convenios de coordinación y participación del Instituto y al ejercicio de los recursos autorizados; así como autorizar la información sistematizada sobre los avances programático-presupuestales;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Coordinar y supervisar la liberación de los recursos financieros y las modificaciones presupuestales que se requieran;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Supervisar la suficiencia y disponibilidad de recursos que requiera el Instituto para su operación, vigilando que se efectúen oportunamente los trámites para la liberación de los recursos ante la Secretaría de Finanzas;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w:t>
      </w:r>
      <w:r w:rsidRPr="00FB0CDC">
        <w:rPr>
          <w:rFonts w:ascii="Palatino Linotype" w:eastAsia="Palatino Linotype" w:hAnsi="Palatino Linotype" w:cs="Palatino Linotype"/>
          <w:b/>
          <w:bCs/>
          <w:i/>
          <w:iCs/>
        </w:rPr>
        <w:t>Autorizar los informes del gasto del presupuesto, reportes de metas programático-presupuestales e indicadores;</w:t>
      </w:r>
      <w:r w:rsidRPr="00FB0CDC">
        <w:rPr>
          <w:rFonts w:ascii="Palatino Linotype" w:eastAsia="Palatino Linotype" w:hAnsi="Palatino Linotype" w:cs="Palatino Linotype"/>
          <w:i/>
          <w:iCs/>
        </w:rPr>
        <w:t xml:space="preserve">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Autorizar la información para la integración de la Cuenta Pública del Gobierno del Estado de México;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Autorizar los traspasos en materia presupuestal, ampliaciones presupuestales y programáticas e informar al Pleno;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Someter a consideración del Pleno las transferencias externas;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Atender y supervisar los requerimientos del Órgano Interno de Control del Instituto, Órgano Superior de la Fiscalización y Despachos de Auditoría Externa, además de vigilar que las medidas preventivas y correctivas, derivadas de las auditorías internas y externas se implementen;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b/>
          <w:bCs/>
          <w:i/>
          <w:iCs/>
        </w:rPr>
        <w:t>− Autorizar la asignación de viáticos;</w:t>
      </w:r>
      <w:r w:rsidRPr="00FB0CDC">
        <w:rPr>
          <w:rFonts w:ascii="Palatino Linotype" w:eastAsia="Palatino Linotype" w:hAnsi="Palatino Linotype" w:cs="Palatino Linotype"/>
          <w:i/>
          <w:iCs/>
        </w:rPr>
        <w:t xml:space="preserve"> </w:t>
      </w:r>
    </w:p>
    <w:p w:rsidR="005A7CA0" w:rsidRPr="00FB0CDC" w:rsidRDefault="00896987">
      <w:pPr>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 Autorizar el manejo y control de las cuentas bancarias e inversión del Instituto; y </w:t>
      </w:r>
    </w:p>
    <w:p w:rsidR="005A7CA0" w:rsidRPr="00FB0CDC" w:rsidRDefault="00896987">
      <w:pPr>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 Desarrollar las demás funciones y actividades inherentes al ámbito de su competencia. </w:t>
      </w:r>
    </w:p>
    <w:p w:rsidR="005A7CA0" w:rsidRPr="00FB0CDC" w:rsidRDefault="005A7CA0">
      <w:pPr>
        <w:pBdr>
          <w:top w:val="nil"/>
          <w:left w:val="nil"/>
          <w:bottom w:val="nil"/>
          <w:right w:val="nil"/>
          <w:between w:val="nil"/>
        </w:pBdr>
        <w:ind w:left="720"/>
        <w:rPr>
          <w:rFonts w:ascii="Palatino Linotype" w:eastAsia="Palatino Linotype" w:hAnsi="Palatino Linotype" w:cs="Palatino Linotype"/>
          <w:color w:val="000000"/>
        </w:rPr>
      </w:pPr>
    </w:p>
    <w:p w:rsidR="005A7CA0" w:rsidRPr="00FB0CDC" w:rsidRDefault="00896987">
      <w:pPr>
        <w:numPr>
          <w:ilvl w:val="0"/>
          <w:numId w:val="2"/>
        </w:numPr>
        <w:spacing w:line="360" w:lineRule="auto"/>
        <w:ind w:left="0" w:right="49"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se tiene que la Dirección General de Administración y Finanzas, es el área habilitada del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toda vez que es quien realiza las autorizaciones para viáticos, maneja y controla la cuentas bancarias y coordina y verifica la realización de los registros contables y presupuestales, así como la elaboración de los estados financieros. </w:t>
      </w:r>
    </w:p>
    <w:p w:rsidR="005A7CA0" w:rsidRPr="00FB0CDC" w:rsidRDefault="005A7CA0">
      <w:pPr>
        <w:rPr>
          <w:rFonts w:ascii="Palatino Linotype" w:eastAsia="Palatino Linotype" w:hAnsi="Palatino Linotype" w:cs="Palatino Linotype"/>
        </w:rPr>
      </w:pPr>
    </w:p>
    <w:p w:rsidR="005A7CA0" w:rsidRPr="00FB0CDC" w:rsidRDefault="00896987">
      <w:pPr>
        <w:numPr>
          <w:ilvl w:val="0"/>
          <w:numId w:val="2"/>
        </w:numPr>
        <w:spacing w:line="360" w:lineRule="auto"/>
        <w:ind w:left="0" w:right="49"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lastRenderedPageBreak/>
        <w:t xml:space="preserve">Ahora bien, en cuanto al fondo revolvente o su equivalente que para el Instituto de Transparencia, Acceso a la Información Pública y Protección de Datos Personales del Estado de México y Municipios, fondo fijo se tiene que los Lineamientos Para La Asignación Y Manejo Del Fondo Fijo, del propio Órgano Garante, regulan lo siguiente. </w:t>
      </w:r>
    </w:p>
    <w:p w:rsidR="005A7CA0" w:rsidRPr="00FB0CDC" w:rsidRDefault="00896987">
      <w:pPr>
        <w:spacing w:line="276" w:lineRule="auto"/>
        <w:ind w:left="1134" w:right="851"/>
        <w:jc w:val="both"/>
      </w:pPr>
      <w:r w:rsidRPr="00FB0CDC">
        <w:rPr>
          <w:rFonts w:ascii="Palatino Linotype" w:eastAsia="Palatino Linotype" w:hAnsi="Palatino Linotype" w:cs="Palatino Linotype"/>
          <w:i/>
          <w:iCs/>
        </w:rPr>
        <w:t xml:space="preserve">El Fondo Fijo es el mecanismo que establece la Dirección General de Administración y Finanzas del Instituto de Transparencia, Acceso a la Información Pública y Protección de Datos Personales del Estado de México y Municipios </w:t>
      </w:r>
      <w:r w:rsidRPr="00FB0CDC">
        <w:rPr>
          <w:rFonts w:ascii="Palatino Linotype" w:eastAsia="Palatino Linotype" w:hAnsi="Palatino Linotype" w:cs="Palatino Linotype"/>
          <w:b/>
          <w:bCs/>
          <w:i/>
          <w:iCs/>
        </w:rPr>
        <w:t>para atender las necesidades urgentes e imprevistas para la adquisición de bienes y/o para la contratación de servicios, requeridos por las Ponencias y las unidades administrativas para el cumplimiento de las funciones sustantivas que tienen encomendadas; requerimientos que no pueden ser cubiertos a través de otros procedimientos de adquisición.</w:t>
      </w:r>
      <w:r w:rsidRPr="00FB0CDC">
        <w:t xml:space="preserve"> </w:t>
      </w:r>
    </w:p>
    <w:p w:rsidR="005A7CA0" w:rsidRPr="00FB0CDC" w:rsidRDefault="00896987">
      <w:pPr>
        <w:spacing w:line="276" w:lineRule="auto"/>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b/>
          <w:bCs/>
          <w:i/>
          <w:iCs/>
        </w:rPr>
        <w:t xml:space="preserve">A. AUTORIZACIÓN.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1. La Dirección General de Administración y Finanzas solicitará al Pleno del Instituto, al inicio de cada ejercicio fiscal, la autorización para asignar un Fondo Fijo a cada una de las ponencias, a la oficina de la o el Comisionado Presidentey para la misma Dirección General de Administración y Finanzas, de conformidad con el presupuesto de egresos autorizado, importes que serán revisados conforme a la revolvencia histórica y a las necesidades de estas áreas. 2. Las y los Comisionados designarán mediante escrito dirigido a la Dirección General de Administración y Finanzas, a una o a un servidor público adscrito a su área, como responsable del manejo del Fondo Fijo.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3. La Dirección General de Administración y Finanzas emitirá mediante oficio, la autorización y asignación del Fondo Fijo para cada una de las unidades administrativas mencionadas.</w:t>
      </w:r>
    </w:p>
    <w:p w:rsidR="005A7CA0" w:rsidRPr="00FB0CDC" w:rsidRDefault="00896987">
      <w:pPr>
        <w:spacing w:line="276" w:lineRule="auto"/>
        <w:ind w:left="1134" w:right="851"/>
        <w:jc w:val="both"/>
        <w:rPr>
          <w:rFonts w:ascii="Palatino Linotype" w:eastAsia="Palatino Linotype" w:hAnsi="Palatino Linotype" w:cs="Palatino Linotype"/>
          <w:b/>
          <w:bCs/>
          <w:i/>
          <w:iCs/>
        </w:rPr>
      </w:pPr>
      <w:r w:rsidRPr="00FB0CDC">
        <w:rPr>
          <w:rFonts w:ascii="Palatino Linotype" w:eastAsia="Palatino Linotype" w:hAnsi="Palatino Linotype" w:cs="Palatino Linotype"/>
          <w:i/>
          <w:iCs/>
        </w:rPr>
        <w:t xml:space="preserve">B. ASIGNACIÓN Y AFECTACIÓN. </w:t>
      </w:r>
      <w:r w:rsidRPr="00FB0CDC">
        <w:rPr>
          <w:rFonts w:ascii="Palatino Linotype" w:eastAsia="Palatino Linotype" w:hAnsi="Palatino Linotype" w:cs="Palatino Linotype"/>
          <w:b/>
          <w:bCs/>
          <w:i/>
          <w:iCs/>
        </w:rPr>
        <w:t xml:space="preserve">El reembolso del Fondo Fijo, se deberá solicitar mediante oficio signado por el responsable del Fondo Fijo, dirigido a la Dirección General de Administración y Finanzas; se anexará una </w:t>
      </w:r>
      <w:r w:rsidRPr="00FB0CDC">
        <w:rPr>
          <w:rFonts w:ascii="Palatino Linotype" w:eastAsia="Palatino Linotype" w:hAnsi="Palatino Linotype" w:cs="Palatino Linotype"/>
          <w:b/>
          <w:bCs/>
          <w:i/>
          <w:iCs/>
        </w:rPr>
        <w:lastRenderedPageBreak/>
        <w:t xml:space="preserve">relación de las facturas comprobatorias por el importe solicitado a rembolsar.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El Fondo Fijo será utilizado para cubrir los siguientes conceptos: 1. Materiales, útiles y equipos menores de oficina: papelería, formas, libretas, carpetas; útiles de escritorio como engrapadoras perforadoras manuales, sacapuntas; artículosde dibujo, correspondencia y archivo; cestos de basura y otros productos similares. Incluye la adquisición de artículos de envoltura, valijas y similares.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2. Material impreso e información digital: asignaciones destinadas a la adquisición de toda clase de libros, revistas, periódicos, publicaciones, diarios oficiales, gacetas, material audiovisual, dispositivos de almacenamiento</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como memorias y discos compactos (distintos a la adquisición de bienes intangibles, software). Incluye la inscripción a revistas y publicaciones especializadas, folletos, catálogos, formatos y otros productos mediante cualquier técnica de impresión y en general todo tipo de material propio para la información, que se requiera en oficinas.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3. Productos alimenticios para personas: asignaciones destinadas a la adquisición de insumos, productos alimenticios y bebidas (refrescos y agua embotellada) parapersonas que realizan la prestación del servicio público para la ejecución de los diversos programas. No se reembolsarán los comprobantes de consumo que incluyanbebidas con contenido alcohólico, cigarros y propinas.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4. Productos de cafetería para oficina, tales como: café, té, azúcar, refrescos, galletas, sustituto de crema, jugos, dulces, pañuelos desechables, platos, vasos, servilletas, cucharas desechables, filtros para cafetera, fibras, jabón lava-trastes y similares.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5. Utensilios para el servicio de alimentación, tales como: vajillas, cubiertos, cafeteras así como artículos desechables.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6. Productos farmacéuticos para botiquín.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7. Refacciones y accesorios menores de equipo de cómputo.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 xml:space="preserve">8. Gastos de servicios menores: asignaciones para cubrir gastos por concepto de alimentos para servidores públicos generados por la necesidad de ejecutar actividades extraordinarias, uso de estacionamiento, transporte en camión urbano y taxis locales, duplicados de llaves y sellos oficiales.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lastRenderedPageBreak/>
        <w:t xml:space="preserve">9. Los gastos por concepto de consumo de alimentos de los servidores públicos, únicamente serán válidos cuando se realicen por la necesidad de actividades específicas y justificadas en el cumplimiento de la función pública encomendada, dentro o fuera del horario oficial, así como en días inhábiles, cuya comprobación deberá contener la justificación, nombre y firma del servidor o servidores públicos que hayan participado en dichas actividades. </w:t>
      </w:r>
    </w:p>
    <w:p w:rsidR="005A7CA0" w:rsidRPr="00FB0CDC" w:rsidRDefault="00896987">
      <w:pPr>
        <w:spacing w:line="276" w:lineRule="auto"/>
        <w:ind w:left="1134" w:right="851"/>
        <w:jc w:val="both"/>
        <w:rPr>
          <w:rFonts w:ascii="Palatino Linotype" w:eastAsia="Palatino Linotype" w:hAnsi="Palatino Linotype" w:cs="Palatino Linotype"/>
          <w:i/>
          <w:iCs/>
        </w:rPr>
      </w:pPr>
      <w:r w:rsidRPr="00FB0CDC">
        <w:rPr>
          <w:rFonts w:ascii="Palatino Linotype" w:eastAsia="Palatino Linotype" w:hAnsi="Palatino Linotype" w:cs="Palatino Linotype"/>
          <w:i/>
          <w:iCs/>
        </w:rPr>
        <w:t>La aplicación del Fondo Fijo se hará única y exclusivamente para solventar las necesidades administrativas descritas en los numerales anteriores, queda prohibida su utilización para fines no oficiales o de carácter personal.</w:t>
      </w:r>
    </w:p>
    <w:p w:rsidR="005A7CA0" w:rsidRPr="00FB0CDC" w:rsidRDefault="005A7CA0">
      <w:pPr>
        <w:spacing w:line="276" w:lineRule="auto"/>
        <w:ind w:left="1134" w:right="851"/>
        <w:jc w:val="both"/>
        <w:rPr>
          <w:rFonts w:ascii="Palatino Linotype" w:eastAsia="Palatino Linotype" w:hAnsi="Palatino Linotype" w:cs="Palatino Linotype"/>
          <w:i/>
          <w:iCs/>
        </w:rPr>
      </w:pPr>
    </w:p>
    <w:p w:rsidR="005A7CA0" w:rsidRPr="00FB0CDC" w:rsidRDefault="005A7CA0">
      <w:pPr>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anterior, se tiene que 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mediante la etapa de manifestaciones remitió las facturas relacionadas con el fondo fijo, situación por la cual se tiene por colmado el derecho de acceso a la información de</w:t>
      </w:r>
      <w:r w:rsidR="004A7729" w:rsidRPr="00FB0CDC">
        <w:rPr>
          <w:rFonts w:ascii="Palatino Linotype" w:eastAsia="Palatino Linotype" w:hAnsi="Palatino Linotype" w:cs="Palatino Linotype"/>
        </w:rPr>
        <w:t xml:space="preserve"> </w:t>
      </w:r>
      <w:r w:rsidRPr="00FB0CDC">
        <w:rPr>
          <w:rFonts w:ascii="Palatino Linotype" w:eastAsia="Palatino Linotype" w:hAnsi="Palatino Linotype" w:cs="Palatino Linotype"/>
        </w:rPr>
        <w:t>l</w:t>
      </w:r>
      <w:r w:rsidR="004A7729" w:rsidRPr="00FB0CDC">
        <w:rPr>
          <w:rFonts w:ascii="Palatino Linotype" w:eastAsia="Palatino Linotype" w:hAnsi="Palatino Linotype" w:cs="Palatino Linotype"/>
        </w:rPr>
        <w:t>a</w:t>
      </w:r>
      <w:r w:rsidRPr="00FB0CDC">
        <w:rPr>
          <w:rFonts w:ascii="Palatino Linotype" w:eastAsia="Palatino Linotype" w:hAnsi="Palatino Linotype" w:cs="Palatino Linotype"/>
        </w:rPr>
        <w:t xml:space="preserve"> </w:t>
      </w:r>
      <w:r w:rsidRPr="00FB0CDC">
        <w:rPr>
          <w:rFonts w:ascii="Palatino Linotype" w:eastAsia="Palatino Linotype" w:hAnsi="Palatino Linotype" w:cs="Palatino Linotype"/>
          <w:b/>
          <w:bCs/>
        </w:rPr>
        <w:t xml:space="preserve">RECURRENTE. </w:t>
      </w:r>
    </w:p>
    <w:p w:rsidR="005A7CA0" w:rsidRPr="00FB0CDC" w:rsidRDefault="005A7CA0">
      <w:pPr>
        <w:pBdr>
          <w:top w:val="nil"/>
          <w:left w:val="nil"/>
          <w:bottom w:val="nil"/>
          <w:right w:val="nil"/>
          <w:between w:val="nil"/>
        </w:pBdr>
        <w:ind w:left="720"/>
        <w:rPr>
          <w:rFonts w:ascii="Palatino Linotype" w:eastAsia="Palatino Linotype" w:hAnsi="Palatino Linotype" w:cs="Palatino Linotype"/>
          <w:color w:val="000000"/>
        </w:rPr>
      </w:pPr>
    </w:p>
    <w:p w:rsidR="005A7CA0" w:rsidRPr="00FB0CDC" w:rsidRDefault="005A7CA0">
      <w:pPr>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De lo analizado en párrafos anteriores, se colige que 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mediante la etapa de manifestaciones de las solicitudes de información </w:t>
      </w:r>
      <w:r w:rsidRPr="00FB0CDC">
        <w:rPr>
          <w:rFonts w:ascii="Palatino Linotype" w:eastAsia="Palatino Linotype" w:hAnsi="Palatino Linotype" w:cs="Palatino Linotype"/>
          <w:b/>
          <w:bCs/>
        </w:rPr>
        <w:t xml:space="preserve">00679/INFOEM/IP/2025 y 00678/INFOEM/IP/2025, </w:t>
      </w:r>
      <w:r w:rsidRPr="00FB0CDC">
        <w:rPr>
          <w:rFonts w:ascii="Palatino Linotype" w:eastAsia="Palatino Linotype" w:hAnsi="Palatino Linotype" w:cs="Palatino Linotype"/>
          <w:b/>
          <w:bCs/>
          <w:u w:val="single"/>
        </w:rPr>
        <w:t>modifico su respuesta inicial</w:t>
      </w:r>
      <w:r w:rsidRPr="00FB0CDC">
        <w:rPr>
          <w:rFonts w:ascii="Palatino Linotype" w:eastAsia="Palatino Linotype" w:hAnsi="Palatino Linotype" w:cs="Palatino Linotype"/>
        </w:rPr>
        <w:t xml:space="preserve">, toda vez que fue remitida </w:t>
      </w:r>
      <w:r w:rsidR="004A7729" w:rsidRPr="00FB0CDC">
        <w:rPr>
          <w:rFonts w:ascii="Palatino Linotype" w:eastAsia="Palatino Linotype" w:hAnsi="Palatino Linotype" w:cs="Palatino Linotype"/>
        </w:rPr>
        <w:t>la información solicitada por la</w:t>
      </w:r>
      <w:r w:rsidRPr="00FB0CDC">
        <w:rPr>
          <w:rFonts w:ascii="Palatino Linotype" w:eastAsia="Palatino Linotype" w:hAnsi="Palatino Linotype" w:cs="Palatino Linotype"/>
        </w:rPr>
        <w:t xml:space="preserve"> </w:t>
      </w:r>
      <w:r w:rsidRPr="00FB0CDC">
        <w:rPr>
          <w:rFonts w:ascii="Palatino Linotype" w:eastAsia="Palatino Linotype" w:hAnsi="Palatino Linotype" w:cs="Palatino Linotype"/>
          <w:b/>
          <w:bCs/>
        </w:rPr>
        <w:t xml:space="preserve">RECURRENTE. </w:t>
      </w:r>
    </w:p>
    <w:p w:rsidR="005A7CA0" w:rsidRPr="00FB0CDC" w:rsidRDefault="005A7CA0">
      <w:pPr>
        <w:spacing w:line="360" w:lineRule="auto"/>
        <w:jc w:val="both"/>
        <w:rPr>
          <w:rFonts w:ascii="Palatino Linotype" w:eastAsia="Palatino Linotype" w:hAnsi="Palatino Linotype" w:cs="Palatino Linotype"/>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FB0CDC">
        <w:rPr>
          <w:rFonts w:ascii="Palatino Linotype" w:eastAsia="Palatino Linotype" w:hAnsi="Palatino Linotype" w:cs="Palatino Linotype"/>
          <w:b/>
          <w:bCs/>
        </w:rPr>
        <w:t xml:space="preserve">SUJETO OBLIGADO </w:t>
      </w:r>
      <w:r w:rsidRPr="00FB0CDC">
        <w:rPr>
          <w:rFonts w:ascii="Palatino Linotype" w:eastAsia="Palatino Linotype" w:hAnsi="Palatino Linotype" w:cs="Palatino Linotype"/>
        </w:rPr>
        <w:t xml:space="preserve">modificó su respuesta inicial, se determina sobreseer el presente recurso de revisión por actualizarse la causal de sobreseimiento prevista en la fracción III del artículo 192 </w:t>
      </w:r>
      <w:r w:rsidRPr="00FB0CDC">
        <w:rPr>
          <w:rFonts w:ascii="Palatino Linotype" w:eastAsia="Palatino Linotype" w:hAnsi="Palatino Linotype" w:cs="Palatino Linotype"/>
        </w:rPr>
        <w:lastRenderedPageBreak/>
        <w:t>de la Ley de Transparencia y Acceso a la Información Pública del Estado de México y Municipios, el que se transcribe a continuación, para un mejor entendimiento:</w:t>
      </w:r>
    </w:p>
    <w:p w:rsidR="005A7CA0" w:rsidRPr="00FB0CDC" w:rsidRDefault="00896987">
      <w:pPr>
        <w:pBdr>
          <w:top w:val="nil"/>
          <w:left w:val="nil"/>
          <w:bottom w:val="nil"/>
          <w:right w:val="nil"/>
          <w:between w:val="nil"/>
        </w:pBdr>
        <w:tabs>
          <w:tab w:val="left" w:pos="7938"/>
        </w:tabs>
        <w:ind w:left="1134" w:right="900"/>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b/>
          <w:bCs/>
          <w:i/>
          <w:iCs/>
          <w:color w:val="000000"/>
        </w:rPr>
        <w:t>Artículo 192.</w:t>
      </w:r>
      <w:r w:rsidRPr="00FB0CDC">
        <w:rPr>
          <w:rFonts w:ascii="Palatino Linotype" w:eastAsia="Palatino Linotype" w:hAnsi="Palatino Linotype" w:cs="Palatino Linotype"/>
          <w:i/>
          <w:iCs/>
          <w:color w:val="000000"/>
        </w:rPr>
        <w:t xml:space="preserve"> El recurso será sobreseído, en todo o en parte, cuando una vez admitido, se actualicen alguno de los siguientes supuestos:</w:t>
      </w:r>
    </w:p>
    <w:p w:rsidR="005A7CA0" w:rsidRPr="00FB0CDC" w:rsidRDefault="005A7CA0">
      <w:pPr>
        <w:pBdr>
          <w:top w:val="nil"/>
          <w:left w:val="nil"/>
          <w:bottom w:val="nil"/>
          <w:right w:val="nil"/>
          <w:between w:val="nil"/>
        </w:pBdr>
        <w:tabs>
          <w:tab w:val="left" w:pos="7938"/>
        </w:tabs>
        <w:ind w:left="1134" w:right="900"/>
        <w:jc w:val="both"/>
        <w:rPr>
          <w:rFonts w:ascii="Palatino Linotype" w:eastAsia="Palatino Linotype" w:hAnsi="Palatino Linotype" w:cs="Palatino Linotype"/>
          <w:i/>
          <w:iCs/>
          <w:color w:val="000000"/>
        </w:rPr>
      </w:pPr>
    </w:p>
    <w:p w:rsidR="005A7CA0" w:rsidRPr="00FB0CDC" w:rsidRDefault="00896987">
      <w:pPr>
        <w:pBdr>
          <w:top w:val="nil"/>
          <w:left w:val="nil"/>
          <w:bottom w:val="nil"/>
          <w:right w:val="nil"/>
          <w:between w:val="nil"/>
        </w:pBdr>
        <w:tabs>
          <w:tab w:val="left" w:pos="7938"/>
        </w:tabs>
        <w:spacing w:after="120"/>
        <w:ind w:left="1134" w:right="900"/>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b/>
          <w:bCs/>
          <w:i/>
          <w:iCs/>
          <w:color w:val="000000"/>
        </w:rPr>
        <w:t xml:space="preserve">III. </w:t>
      </w:r>
      <w:r w:rsidRPr="00FB0CDC">
        <w:rPr>
          <w:rFonts w:ascii="Palatino Linotype" w:eastAsia="Palatino Linotype" w:hAnsi="Palatino Linotype" w:cs="Palatino Linotype"/>
          <w:i/>
          <w:iCs/>
          <w:color w:val="000000"/>
        </w:rPr>
        <w:t xml:space="preserve">El sujeto obligado responsable del acto lo </w:t>
      </w:r>
      <w:r w:rsidRPr="00FB0CDC">
        <w:rPr>
          <w:rFonts w:ascii="Palatino Linotype" w:eastAsia="Palatino Linotype" w:hAnsi="Palatino Linotype" w:cs="Palatino Linotype"/>
          <w:b/>
          <w:bCs/>
          <w:i/>
          <w:iCs/>
          <w:color w:val="000000"/>
        </w:rPr>
        <w:t>modifique</w:t>
      </w:r>
      <w:r w:rsidRPr="00FB0CDC">
        <w:rPr>
          <w:rFonts w:ascii="Palatino Linotype" w:eastAsia="Palatino Linotype" w:hAnsi="Palatino Linotype" w:cs="Palatino Linotype"/>
          <w:i/>
          <w:iCs/>
          <w:color w:val="000000"/>
        </w:rPr>
        <w:t xml:space="preserve"> o </w:t>
      </w:r>
      <w:r w:rsidRPr="00FB0CDC">
        <w:rPr>
          <w:rFonts w:ascii="Palatino Linotype" w:eastAsia="Palatino Linotype" w:hAnsi="Palatino Linotype" w:cs="Palatino Linotype"/>
          <w:b/>
          <w:bCs/>
          <w:i/>
          <w:iCs/>
          <w:color w:val="000000"/>
        </w:rPr>
        <w:t>revoque</w:t>
      </w:r>
      <w:r w:rsidRPr="00FB0CDC">
        <w:rPr>
          <w:rFonts w:ascii="Palatino Linotype" w:eastAsia="Palatino Linotype" w:hAnsi="Palatino Linotype" w:cs="Palatino Linotype"/>
          <w:i/>
          <w:iCs/>
          <w:color w:val="000000"/>
        </w:rPr>
        <w:t xml:space="preserve"> de tal manera que el recurso de revisión quede sin materia; “</w:t>
      </w:r>
    </w:p>
    <w:p w:rsidR="005A7CA0" w:rsidRPr="00FB0CDC" w:rsidRDefault="005A7CA0">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iCs/>
        </w:rPr>
      </w:pPr>
    </w:p>
    <w:p w:rsidR="005A7CA0" w:rsidRPr="00FB0CDC" w:rsidRDefault="00896987" w:rsidP="004A7729">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 xml:space="preserve">Siendo el </w:t>
      </w:r>
      <w:r w:rsidRPr="00FB0CDC">
        <w:rPr>
          <w:rFonts w:ascii="Palatino Linotype" w:eastAsia="Palatino Linotype" w:hAnsi="Palatino Linotype" w:cs="Palatino Linotype"/>
          <w:i/>
          <w:iCs/>
        </w:rPr>
        <w:t>sobreseimiento</w:t>
      </w:r>
      <w:r w:rsidRPr="00FB0CDC">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w:t>
      </w:r>
      <w:r w:rsidR="004A7729" w:rsidRPr="00FB0CDC">
        <w:rPr>
          <w:rFonts w:ascii="Palatino Linotype" w:eastAsia="Palatino Linotype" w:hAnsi="Palatino Linotype" w:cs="Palatino Linotype"/>
        </w:rPr>
        <w:t>ustancial de lo planteado por la</w:t>
      </w:r>
      <w:r w:rsidRPr="00FB0CDC">
        <w:rPr>
          <w:rFonts w:ascii="Palatino Linotype" w:eastAsia="Palatino Linotype" w:hAnsi="Palatino Linotype" w:cs="Palatino Linotype"/>
        </w:rPr>
        <w:t xml:space="preserve"> recurrente, los efectos del sobreseimiento consisten en dar por concluido el recurso administrativo sin entrar al estudio de fondo del asunto de que se trate; lo anterior con apoyo en el criterio del Poder Judicial de la Federación con rubro:</w:t>
      </w:r>
    </w:p>
    <w:p w:rsidR="005A7CA0" w:rsidRPr="00FB0CDC" w:rsidRDefault="00896987">
      <w:pPr>
        <w:pBdr>
          <w:top w:val="nil"/>
          <w:left w:val="nil"/>
          <w:bottom w:val="nil"/>
          <w:right w:val="nil"/>
          <w:between w:val="nil"/>
        </w:pBdr>
        <w:ind w:left="1134" w:right="902"/>
        <w:jc w:val="both"/>
        <w:rPr>
          <w:rFonts w:ascii="Palatino Linotype" w:eastAsia="Palatino Linotype" w:hAnsi="Palatino Linotype" w:cs="Palatino Linotype"/>
          <w:b/>
          <w:bCs/>
          <w:i/>
          <w:iCs/>
          <w:color w:val="000000"/>
        </w:rPr>
      </w:pPr>
      <w:r w:rsidRPr="00FB0CDC">
        <w:rPr>
          <w:rFonts w:ascii="Palatino Linotype" w:eastAsia="Palatino Linotype" w:hAnsi="Palatino Linotype" w:cs="Palatino Linotype"/>
          <w:i/>
          <w:iCs/>
          <w:color w:val="000000"/>
        </w:rPr>
        <w:t>“</w:t>
      </w:r>
      <w:r w:rsidRPr="00FB0CDC">
        <w:rPr>
          <w:rFonts w:ascii="Palatino Linotype" w:eastAsia="Palatino Linotype" w:hAnsi="Palatino Linotype" w:cs="Palatino Linotype"/>
          <w:b/>
          <w:bCs/>
          <w:i/>
          <w:iCs/>
          <w:color w:val="000000"/>
        </w:rPr>
        <w:t>SOBRESEIMIENTO, NO PERMITE ENTRAR AL ESTUDIO DE LAS CUESTIONES DE FONDO</w:t>
      </w:r>
    </w:p>
    <w:p w:rsidR="005A7CA0" w:rsidRPr="00FB0CDC" w:rsidRDefault="00896987">
      <w:pPr>
        <w:pBdr>
          <w:top w:val="nil"/>
          <w:left w:val="nil"/>
          <w:bottom w:val="nil"/>
          <w:right w:val="nil"/>
          <w:between w:val="nil"/>
        </w:pBdr>
        <w:ind w:left="1134" w:right="902"/>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i/>
          <w:iCs/>
          <w:color w:val="000000"/>
        </w:rPr>
        <w:t>Localización: 213609. II.2o.183 K. Tribunales Colegiados de Circuito. Octava Época. Semanario Judicial de la Federación. Tomo XIII, Febrero de 1994, Pág. 420</w:t>
      </w:r>
    </w:p>
    <w:p w:rsidR="005A7CA0" w:rsidRPr="00FB0CDC" w:rsidRDefault="00896987">
      <w:pPr>
        <w:pBdr>
          <w:top w:val="nil"/>
          <w:left w:val="nil"/>
          <w:bottom w:val="nil"/>
          <w:right w:val="nil"/>
          <w:between w:val="nil"/>
        </w:pBdr>
        <w:ind w:left="1134" w:right="902"/>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i/>
          <w:iCs/>
          <w:color w:val="000000"/>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5A7CA0" w:rsidRPr="00FB0CDC" w:rsidRDefault="005A7CA0">
      <w:pPr>
        <w:pBdr>
          <w:top w:val="nil"/>
          <w:left w:val="nil"/>
          <w:bottom w:val="nil"/>
          <w:right w:val="nil"/>
          <w:between w:val="nil"/>
        </w:pBdr>
        <w:spacing w:after="120"/>
        <w:ind w:left="360" w:right="902"/>
        <w:jc w:val="both"/>
        <w:rPr>
          <w:rFonts w:ascii="Palatino Linotype" w:eastAsia="Palatino Linotype" w:hAnsi="Palatino Linotype" w:cs="Palatino Linotype"/>
          <w:i/>
          <w:iCs/>
          <w:color w:val="000000"/>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5A7CA0" w:rsidRPr="00FB0CDC" w:rsidRDefault="00896987">
      <w:pPr>
        <w:pBdr>
          <w:top w:val="nil"/>
          <w:left w:val="nil"/>
          <w:bottom w:val="nil"/>
          <w:right w:val="nil"/>
          <w:between w:val="nil"/>
        </w:pBdr>
        <w:spacing w:before="120"/>
        <w:ind w:left="1134" w:right="902"/>
        <w:jc w:val="both"/>
        <w:rPr>
          <w:rFonts w:ascii="Palatino Linotype" w:eastAsia="Palatino Linotype" w:hAnsi="Palatino Linotype" w:cs="Palatino Linotype"/>
          <w:b/>
          <w:bCs/>
          <w:i/>
          <w:iCs/>
          <w:color w:val="000000"/>
        </w:rPr>
      </w:pPr>
      <w:r w:rsidRPr="00FB0CDC">
        <w:rPr>
          <w:rFonts w:ascii="Palatino Linotype" w:eastAsia="Palatino Linotype" w:hAnsi="Palatino Linotype" w:cs="Palatino Linotype"/>
          <w:b/>
          <w:bCs/>
          <w:i/>
          <w:iCs/>
          <w:color w:val="000000"/>
        </w:rPr>
        <w:lastRenderedPageBreak/>
        <w:t>“DESECHAMIENTO O SOBRESEIMIENTO EN EL JUICIO DE AMPARO. NO IMPLICA DENEGACIÓN DE JUSTICIA NI GENERA INSEGURIDAD JURÍDICA”</w:t>
      </w:r>
    </w:p>
    <w:p w:rsidR="005A7CA0" w:rsidRPr="00FB0CDC" w:rsidRDefault="00896987">
      <w:pPr>
        <w:pBdr>
          <w:top w:val="nil"/>
          <w:left w:val="nil"/>
          <w:bottom w:val="nil"/>
          <w:right w:val="nil"/>
          <w:between w:val="nil"/>
        </w:pBdr>
        <w:ind w:left="1134" w:right="902"/>
        <w:jc w:val="both"/>
        <w:rPr>
          <w:rFonts w:ascii="Palatino Linotype" w:eastAsia="Palatino Linotype" w:hAnsi="Palatino Linotype" w:cs="Palatino Linotype"/>
          <w:i/>
          <w:iCs/>
          <w:color w:val="000000"/>
        </w:rPr>
      </w:pPr>
      <w:r w:rsidRPr="00FB0CDC">
        <w:rPr>
          <w:rFonts w:ascii="Palatino Linotype" w:eastAsia="Palatino Linotype" w:hAnsi="Palatino Linotype" w:cs="Palatino Linotype"/>
          <w:i/>
          <w:iCs/>
          <w:color w:val="000000"/>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FB0CDC">
        <w:rPr>
          <w:rFonts w:ascii="Palatino Linotype" w:eastAsia="Palatino Linotype" w:hAnsi="Palatino Linotype" w:cs="Palatino Linotype"/>
          <w:color w:val="000000"/>
        </w:rPr>
        <w:tab/>
      </w:r>
    </w:p>
    <w:p w:rsidR="005A7CA0" w:rsidRPr="00FB0CDC" w:rsidRDefault="005A7CA0">
      <w:pPr>
        <w:spacing w:line="360" w:lineRule="auto"/>
        <w:jc w:val="both"/>
        <w:rPr>
          <w:rFonts w:ascii="Palatino Linotype" w:eastAsia="Palatino Linotype" w:hAnsi="Palatino Linotype" w:cs="Palatino Linotype"/>
        </w:rPr>
      </w:pPr>
      <w:bookmarkStart w:id="7" w:name="_heading=h.17dp8vu" w:colFirst="0" w:colLast="0"/>
      <w:bookmarkEnd w:id="7"/>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Bajo ese tenor con fundamento en la segunda hipótesis de la fracción I del artículo 186, de la Ley de Transparencia y Acceso a la Información Pública del Estado de México y Municipios, se Sobresee</w:t>
      </w:r>
      <w:r w:rsidR="00771BF5" w:rsidRPr="00FB0CDC">
        <w:rPr>
          <w:rFonts w:ascii="Palatino Linotype" w:eastAsia="Palatino Linotype" w:hAnsi="Palatino Linotype" w:cs="Palatino Linotype"/>
        </w:rPr>
        <w:t>n los</w:t>
      </w:r>
      <w:r w:rsidRPr="00FB0CDC">
        <w:rPr>
          <w:rFonts w:ascii="Palatino Linotype" w:eastAsia="Palatino Linotype" w:hAnsi="Palatino Linotype" w:cs="Palatino Linotype"/>
        </w:rPr>
        <w:t xml:space="preserve"> recurso</w:t>
      </w:r>
      <w:r w:rsidR="00771BF5" w:rsidRPr="00FB0CDC">
        <w:rPr>
          <w:rFonts w:ascii="Palatino Linotype" w:eastAsia="Palatino Linotype" w:hAnsi="Palatino Linotype" w:cs="Palatino Linotype"/>
        </w:rPr>
        <w:t>s</w:t>
      </w:r>
      <w:r w:rsidRPr="00FB0CDC">
        <w:rPr>
          <w:rFonts w:ascii="Palatino Linotype" w:eastAsia="Palatino Linotype" w:hAnsi="Palatino Linotype" w:cs="Palatino Linotype"/>
        </w:rPr>
        <w:t xml:space="preserve"> de revisión </w:t>
      </w:r>
      <w:r w:rsidR="00771BF5" w:rsidRPr="00FB0CDC">
        <w:rPr>
          <w:rFonts w:ascii="Palatino Linotype" w:eastAsia="Palatino Linotype" w:hAnsi="Palatino Linotype" w:cs="Palatino Linotype"/>
          <w:b/>
          <w:bCs/>
        </w:rPr>
        <w:t>10768/INFOEM/IP/RR/2025 y 10769/INFOEM/IP/RR/2025</w:t>
      </w:r>
      <w:r w:rsidRPr="00FB0CDC">
        <w:rPr>
          <w:rFonts w:ascii="Palatino Linotype" w:eastAsia="Palatino Linotype" w:hAnsi="Palatino Linotype" w:cs="Palatino Linotype"/>
        </w:rPr>
        <w:t>, que ha sido materia del presente fallo.</w:t>
      </w:r>
    </w:p>
    <w:p w:rsidR="005A7CA0" w:rsidRPr="00FB0CDC" w:rsidRDefault="005A7CA0">
      <w:pPr>
        <w:pBdr>
          <w:top w:val="nil"/>
          <w:left w:val="nil"/>
          <w:bottom w:val="nil"/>
          <w:right w:val="nil"/>
          <w:between w:val="nil"/>
        </w:pBdr>
        <w:ind w:left="720"/>
        <w:rPr>
          <w:rFonts w:ascii="Palatino Linotype" w:eastAsia="Palatino Linotype" w:hAnsi="Palatino Linotype" w:cs="Palatino Linotype"/>
          <w:color w:val="000000"/>
        </w:rPr>
      </w:pPr>
    </w:p>
    <w:p w:rsidR="005A7CA0" w:rsidRPr="00FB0CDC" w:rsidRDefault="00896987">
      <w:pPr>
        <w:numPr>
          <w:ilvl w:val="0"/>
          <w:numId w:val="2"/>
        </w:numPr>
        <w:spacing w:line="360" w:lineRule="auto"/>
        <w:ind w:left="0" w:firstLine="0"/>
        <w:jc w:val="both"/>
        <w:rPr>
          <w:rFonts w:ascii="Palatino Linotype" w:eastAsia="Palatino Linotype" w:hAnsi="Palatino Linotype" w:cs="Palatino Linotype"/>
        </w:rPr>
      </w:pPr>
      <w:r w:rsidRPr="00FB0CD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r w:rsidR="00FB0CDC">
        <w:rPr>
          <w:rFonts w:ascii="Palatino Linotype" w:eastAsia="Palatino Linotype" w:hAnsi="Palatino Linotype" w:cs="Palatino Linotype"/>
        </w:rPr>
        <w:t xml:space="preserve"> -------------------------------------------------------------------------------------------------------------------</w:t>
      </w:r>
    </w:p>
    <w:p w:rsidR="005A7CA0" w:rsidRPr="00FB0CDC" w:rsidRDefault="005A7CA0">
      <w:pPr>
        <w:pBdr>
          <w:top w:val="nil"/>
          <w:left w:val="nil"/>
          <w:bottom w:val="nil"/>
          <w:right w:val="nil"/>
          <w:between w:val="nil"/>
        </w:pBdr>
        <w:ind w:left="720"/>
        <w:rPr>
          <w:rFonts w:ascii="Palatino Linotype" w:eastAsia="Palatino Linotype" w:hAnsi="Palatino Linotype" w:cs="Palatino Linotype"/>
          <w:color w:val="000000"/>
        </w:rPr>
      </w:pPr>
    </w:p>
    <w:p w:rsidR="005A7CA0" w:rsidRPr="00FB0CDC" w:rsidRDefault="00896987">
      <w:pPr>
        <w:keepNext/>
        <w:keepLines/>
        <w:spacing w:line="360" w:lineRule="auto"/>
        <w:jc w:val="center"/>
        <w:rPr>
          <w:rFonts w:ascii="Palatino Linotype" w:eastAsia="Palatino Linotype" w:hAnsi="Palatino Linotype" w:cs="Palatino Linotype"/>
          <w:b/>
          <w:bCs/>
          <w:color w:val="000000"/>
        </w:rPr>
      </w:pPr>
      <w:bookmarkStart w:id="8" w:name="_heading=h.3rdcrjn" w:colFirst="0" w:colLast="0"/>
      <w:bookmarkEnd w:id="8"/>
      <w:r w:rsidRPr="00FB0CDC">
        <w:rPr>
          <w:rFonts w:ascii="Palatino Linotype" w:eastAsia="Palatino Linotype" w:hAnsi="Palatino Linotype" w:cs="Palatino Linotype"/>
          <w:b/>
          <w:bCs/>
          <w:color w:val="000000"/>
        </w:rPr>
        <w:t>R E S O L U T I V O S</w:t>
      </w:r>
    </w:p>
    <w:p w:rsidR="005A7CA0" w:rsidRPr="00FB0CDC" w:rsidRDefault="005A7CA0">
      <w:pPr>
        <w:rPr>
          <w:rFonts w:ascii="Palatino Linotype" w:eastAsia="Palatino Linotype" w:hAnsi="Palatino Linotype" w:cs="Palatino Linotype"/>
          <w:color w:val="000000"/>
        </w:rPr>
      </w:pPr>
    </w:p>
    <w:p w:rsidR="005A7CA0" w:rsidRPr="00FB0CDC" w:rsidRDefault="00896987">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FB0CDC">
        <w:rPr>
          <w:rFonts w:ascii="Palatino Linotype" w:eastAsia="Palatino Linotype" w:hAnsi="Palatino Linotype" w:cs="Palatino Linotype"/>
          <w:b/>
          <w:bCs/>
        </w:rPr>
        <w:t xml:space="preserve">PRIMERO. </w:t>
      </w:r>
      <w:r w:rsidRPr="00FB0CDC">
        <w:rPr>
          <w:rFonts w:ascii="Palatino Linotype" w:eastAsia="Palatino Linotype" w:hAnsi="Palatino Linotype" w:cs="Palatino Linotype"/>
        </w:rPr>
        <w:t xml:space="preserve">Se </w:t>
      </w:r>
      <w:r w:rsidRPr="00FB0CDC">
        <w:rPr>
          <w:rFonts w:ascii="Palatino Linotype" w:eastAsia="Palatino Linotype" w:hAnsi="Palatino Linotype" w:cs="Palatino Linotype"/>
          <w:b/>
          <w:bCs/>
        </w:rPr>
        <w:t>SOBRESEEN</w:t>
      </w:r>
      <w:r w:rsidRPr="00FB0CDC">
        <w:rPr>
          <w:rFonts w:ascii="Palatino Linotype" w:eastAsia="Palatino Linotype" w:hAnsi="Palatino Linotype" w:cs="Palatino Linotype"/>
        </w:rPr>
        <w:t xml:space="preserve"> los recursos de revisión número </w:t>
      </w:r>
      <w:r w:rsidRPr="00FB0CDC">
        <w:rPr>
          <w:rFonts w:ascii="Palatino Linotype" w:eastAsia="Palatino Linotype" w:hAnsi="Palatino Linotype" w:cs="Palatino Linotype"/>
          <w:b/>
          <w:bCs/>
        </w:rPr>
        <w:t>10768/INFOEM/IP/RR/2025 y 10769/INFOEM/IP/RR/2025,</w:t>
      </w:r>
      <w:r w:rsidRPr="00FB0CDC">
        <w:rPr>
          <w:rFonts w:ascii="Palatino Linotype" w:eastAsia="Palatino Linotype" w:hAnsi="Palatino Linotype" w:cs="Palatino Linotype"/>
        </w:rPr>
        <w:t xml:space="preserve"> porque al modificar la respuesta a través del informe justificado, el recurso de revisión quedó sin materia, conforme a la fracción III</w:t>
      </w:r>
      <w:r w:rsidR="00771BF5" w:rsidRPr="00FB0CDC">
        <w:rPr>
          <w:rFonts w:ascii="Palatino Linotype" w:eastAsia="Palatino Linotype" w:hAnsi="Palatino Linotype" w:cs="Palatino Linotype"/>
        </w:rPr>
        <w:t>,</w:t>
      </w:r>
      <w:r w:rsidRPr="00FB0CDC">
        <w:rPr>
          <w:rFonts w:ascii="Palatino Linotype" w:eastAsia="Palatino Linotype" w:hAnsi="Palatino Linotype" w:cs="Palatino Linotype"/>
        </w:rPr>
        <w:t xml:space="preserve"> del artículo 192</w:t>
      </w:r>
      <w:r w:rsidR="00771BF5" w:rsidRPr="00FB0CDC">
        <w:rPr>
          <w:rFonts w:ascii="Palatino Linotype" w:eastAsia="Palatino Linotype" w:hAnsi="Palatino Linotype" w:cs="Palatino Linotype"/>
        </w:rPr>
        <w:t>,</w:t>
      </w:r>
      <w:r w:rsidRPr="00FB0CDC">
        <w:rPr>
          <w:rFonts w:ascii="Palatino Linotype" w:eastAsia="Palatino Linotype" w:hAnsi="Palatino Linotype" w:cs="Palatino Linotype"/>
        </w:rPr>
        <w:t xml:space="preserve"> de la Ley de Transparencia y Acceso a la Información Pública del Estado de México y Municipios, en términos del Considerando </w:t>
      </w:r>
      <w:r w:rsidRPr="00FB0CDC">
        <w:rPr>
          <w:rFonts w:ascii="Palatino Linotype" w:eastAsia="Palatino Linotype" w:hAnsi="Palatino Linotype" w:cs="Palatino Linotype"/>
          <w:b/>
          <w:bCs/>
        </w:rPr>
        <w:t>TERCERO</w:t>
      </w:r>
      <w:r w:rsidRPr="00FB0CDC">
        <w:rPr>
          <w:rFonts w:ascii="Palatino Linotype" w:eastAsia="Palatino Linotype" w:hAnsi="Palatino Linotype" w:cs="Palatino Linotype"/>
        </w:rPr>
        <w:t xml:space="preserve"> de la presente resolución.</w:t>
      </w:r>
    </w:p>
    <w:p w:rsidR="00771BF5" w:rsidRPr="00FB0CDC" w:rsidRDefault="00771BF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bCs/>
        </w:rPr>
      </w:pPr>
    </w:p>
    <w:p w:rsidR="005A7CA0" w:rsidRPr="00FB0CDC" w:rsidRDefault="00896987">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FB0CDC">
        <w:rPr>
          <w:rFonts w:ascii="Palatino Linotype" w:eastAsia="Palatino Linotype" w:hAnsi="Palatino Linotype" w:cs="Palatino Linotype"/>
          <w:b/>
          <w:bCs/>
        </w:rPr>
        <w:t xml:space="preserve">SEGUNDO. Notifíquese, </w:t>
      </w:r>
      <w:r w:rsidRPr="00FB0CDC">
        <w:rPr>
          <w:rFonts w:ascii="Palatino Linotype" w:eastAsia="Palatino Linotype" w:hAnsi="Palatino Linotype" w:cs="Palatino Linotype"/>
        </w:rPr>
        <w:t>vía</w:t>
      </w:r>
      <w:r w:rsidRPr="00FB0CDC">
        <w:rPr>
          <w:rFonts w:ascii="Palatino Linotype" w:eastAsia="Palatino Linotype" w:hAnsi="Palatino Linotype" w:cs="Palatino Linotype"/>
          <w:b/>
          <w:bCs/>
        </w:rPr>
        <w:t xml:space="preserve"> SAIMEX,</w:t>
      </w:r>
      <w:r w:rsidRPr="00FB0CDC">
        <w:rPr>
          <w:rFonts w:ascii="Palatino Linotype" w:eastAsia="Palatino Linotype" w:hAnsi="Palatino Linotype" w:cs="Palatino Linotype"/>
        </w:rPr>
        <w:t xml:space="preserve"> al Responsable de la Unidad de Transparencia del </w:t>
      </w:r>
      <w:r w:rsidRPr="00FB0CDC">
        <w:rPr>
          <w:rFonts w:ascii="Palatino Linotype" w:eastAsia="Palatino Linotype" w:hAnsi="Palatino Linotype" w:cs="Palatino Linotype"/>
          <w:b/>
          <w:bCs/>
        </w:rPr>
        <w:t>Sujeto Obligado</w:t>
      </w:r>
      <w:r w:rsidRPr="00FB0CDC">
        <w:rPr>
          <w:rFonts w:ascii="Palatino Linotype" w:eastAsia="Palatino Linotype" w:hAnsi="Palatino Linotype" w:cs="Palatino Linotype"/>
        </w:rPr>
        <w:t xml:space="preserve"> la presente resolución, para su conocimiento.</w:t>
      </w:r>
    </w:p>
    <w:p w:rsidR="00771BF5" w:rsidRPr="00FB0CDC" w:rsidRDefault="00771BF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p>
    <w:p w:rsidR="005A7CA0" w:rsidRPr="00FB0CDC" w:rsidRDefault="00896987">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sidRPr="00FB0CDC">
        <w:rPr>
          <w:rFonts w:ascii="Palatino Linotype" w:eastAsia="Palatino Linotype" w:hAnsi="Palatino Linotype" w:cs="Palatino Linotype"/>
          <w:b/>
          <w:bCs/>
          <w:color w:val="000000"/>
        </w:rPr>
        <w:t>TERCERO</w:t>
      </w:r>
      <w:r w:rsidRPr="00FB0CDC">
        <w:rPr>
          <w:rFonts w:ascii="Palatino Linotype" w:eastAsia="Palatino Linotype" w:hAnsi="Palatino Linotype" w:cs="Palatino Linotype"/>
          <w:b/>
          <w:bCs/>
          <w:color w:val="222222"/>
        </w:rPr>
        <w:t xml:space="preserve">. Notifíquese </w:t>
      </w:r>
      <w:r w:rsidRPr="00FB0CDC">
        <w:rPr>
          <w:rFonts w:ascii="Palatino Linotype" w:eastAsia="Palatino Linotype" w:hAnsi="Palatino Linotype" w:cs="Palatino Linotype"/>
          <w:color w:val="222222"/>
        </w:rPr>
        <w:t>a</w:t>
      </w:r>
      <w:r w:rsidRPr="00FB0CDC">
        <w:rPr>
          <w:rFonts w:ascii="Palatino Linotype" w:eastAsia="Palatino Linotype" w:hAnsi="Palatino Linotype" w:cs="Palatino Linotype"/>
          <w:b/>
          <w:bCs/>
          <w:color w:val="222222"/>
        </w:rPr>
        <w:t xml:space="preserve"> </w:t>
      </w:r>
      <w:r w:rsidR="004A7729" w:rsidRPr="00FB0CDC">
        <w:rPr>
          <w:rFonts w:ascii="Palatino Linotype" w:eastAsia="Palatino Linotype" w:hAnsi="Palatino Linotype" w:cs="Palatino Linotype"/>
          <w:b/>
          <w:bCs/>
          <w:color w:val="000000"/>
        </w:rPr>
        <w:t>LA</w:t>
      </w:r>
      <w:r w:rsidRPr="00FB0CDC">
        <w:rPr>
          <w:rFonts w:ascii="Palatino Linotype" w:eastAsia="Palatino Linotype" w:hAnsi="Palatino Linotype" w:cs="Palatino Linotype"/>
          <w:b/>
          <w:bCs/>
          <w:color w:val="000000"/>
        </w:rPr>
        <w:t xml:space="preserve"> RECURRENTE</w:t>
      </w:r>
      <w:r w:rsidRPr="00FB0CDC">
        <w:rPr>
          <w:rFonts w:ascii="Palatino Linotype" w:eastAsia="Palatino Linotype" w:hAnsi="Palatino Linotype" w:cs="Palatino Linotype"/>
          <w:color w:val="222222"/>
        </w:rPr>
        <w:t xml:space="preserve"> la presente resolución, vía </w:t>
      </w:r>
      <w:r w:rsidR="00771BF5" w:rsidRPr="00FB0CDC">
        <w:rPr>
          <w:rFonts w:ascii="Palatino Linotype" w:eastAsia="Palatino Linotype" w:hAnsi="Palatino Linotype" w:cs="Palatino Linotype"/>
          <w:b/>
          <w:bCs/>
          <w:color w:val="222222"/>
        </w:rPr>
        <w:t>SAIMEX.</w:t>
      </w:r>
      <w:r w:rsidRPr="00FB0CDC">
        <w:rPr>
          <w:rFonts w:ascii="Palatino Linotype" w:eastAsia="Palatino Linotype" w:hAnsi="Palatino Linotype" w:cs="Palatino Linotype"/>
          <w:b/>
          <w:bCs/>
          <w:color w:val="222222"/>
        </w:rPr>
        <w:t xml:space="preserve"> </w:t>
      </w:r>
    </w:p>
    <w:p w:rsidR="005A7CA0" w:rsidRPr="00FB0CDC" w:rsidRDefault="005A7CA0">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rPr>
      </w:pPr>
    </w:p>
    <w:p w:rsidR="005A7CA0" w:rsidRPr="00FB0CDC" w:rsidRDefault="00896987">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FB0CDC">
        <w:rPr>
          <w:rFonts w:ascii="Palatino Linotype" w:eastAsia="Palatino Linotype" w:hAnsi="Palatino Linotype" w:cs="Palatino Linotype"/>
          <w:b/>
          <w:bCs/>
        </w:rPr>
        <w:t xml:space="preserve">CUARTO. </w:t>
      </w:r>
      <w:r w:rsidRPr="00FB0CDC">
        <w:rPr>
          <w:rFonts w:ascii="Palatino Linotype" w:eastAsia="Palatino Linotype" w:hAnsi="Palatino Linotype" w:cs="Palatino Linotype"/>
        </w:rPr>
        <w:t xml:space="preserve">Se hace del conocimiento de </w:t>
      </w:r>
      <w:r w:rsidR="004A7729" w:rsidRPr="00FB0CDC">
        <w:rPr>
          <w:rFonts w:ascii="Palatino Linotype" w:eastAsia="Palatino Linotype" w:hAnsi="Palatino Linotype" w:cs="Palatino Linotype"/>
          <w:b/>
          <w:bCs/>
        </w:rPr>
        <w:t>LA</w:t>
      </w:r>
      <w:r w:rsidRPr="00FB0CDC">
        <w:rPr>
          <w:rFonts w:ascii="Palatino Linotype" w:eastAsia="Palatino Linotype" w:hAnsi="Palatino Linotype" w:cs="Palatino Linotype"/>
          <w:b/>
          <w:bCs/>
        </w:rPr>
        <w:t xml:space="preserve"> RECURRENTE</w:t>
      </w:r>
      <w:r w:rsidRPr="00FB0CDC">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5A7CA0" w:rsidRPr="00FB0CDC" w:rsidRDefault="005A7CA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771BF5" w:rsidRPr="00FB0CDC" w:rsidRDefault="00771BF5" w:rsidP="00771BF5">
      <w:pPr>
        <w:spacing w:before="240" w:after="240" w:line="360" w:lineRule="auto"/>
        <w:ind w:firstLine="1"/>
        <w:jc w:val="both"/>
        <w:rPr>
          <w:rFonts w:ascii="Palatino Linotype" w:hAnsi="Palatino Linotype"/>
        </w:rPr>
      </w:pPr>
      <w:bookmarkStart w:id="9" w:name="_heading=h.x9yucfu72zyz" w:colFirst="0" w:colLast="0"/>
      <w:bookmarkStart w:id="10" w:name="_Hlk99014733"/>
      <w:bookmarkEnd w:id="9"/>
      <w:r w:rsidRPr="00FB0CDC">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FB0CDC">
        <w:rPr>
          <w:rFonts w:ascii="Palatino Linotype" w:hAnsi="Palatino Linotype" w:cs="Palatino Linotype"/>
          <w:color w:val="000000" w:themeColor="text1"/>
        </w:rPr>
        <w:t>ALEXIS TAPIA RAMÍREZ.</w:t>
      </w:r>
    </w:p>
    <w:bookmarkEnd w:id="10"/>
    <w:p w:rsidR="005A7CA0" w:rsidRPr="00FB0CDC" w:rsidRDefault="005A7CA0"/>
    <w:p w:rsidR="005A7CA0" w:rsidRPr="00FB0CDC" w:rsidRDefault="005A7CA0"/>
    <w:p w:rsidR="00F36DD1" w:rsidRPr="00FB0CDC" w:rsidRDefault="00F36DD1"/>
    <w:p w:rsidR="00F36DD1" w:rsidRPr="00FB0CDC" w:rsidRDefault="00F36DD1"/>
    <w:p w:rsidR="00F36DD1" w:rsidRDefault="00F36DD1"/>
    <w:p w:rsidR="00FB0CDC" w:rsidRDefault="00FB0CDC"/>
    <w:p w:rsidR="00FB0CDC" w:rsidRDefault="00FB0CDC"/>
    <w:p w:rsidR="00FB0CDC" w:rsidRDefault="00FB0CDC"/>
    <w:p w:rsidR="00FB0CDC" w:rsidRDefault="00FB0CDC"/>
    <w:p w:rsidR="00FB0CDC" w:rsidRDefault="00FB0CDC"/>
    <w:p w:rsidR="00FB0CDC" w:rsidRDefault="00FB0CDC"/>
    <w:p w:rsidR="00FB0CDC" w:rsidRDefault="00FB0CDC"/>
    <w:p w:rsidR="00FB0CDC" w:rsidRDefault="00FB0CDC"/>
    <w:p w:rsidR="00FB0CDC" w:rsidRPr="00FB0CDC" w:rsidRDefault="00FB0CDC"/>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p w:rsidR="00F36DD1" w:rsidRPr="00FB0CDC" w:rsidRDefault="00F36DD1"/>
    <w:sectPr w:rsidR="00F36DD1" w:rsidRPr="00FB0CDC" w:rsidSect="00FB0CDC">
      <w:headerReference w:type="even" r:id="rId9"/>
      <w:headerReference w:type="default" r:id="rId10"/>
      <w:footerReference w:type="default" r:id="rId11"/>
      <w:headerReference w:type="first" r:id="rId12"/>
      <w:footerReference w:type="first" r:id="rId13"/>
      <w:pgSz w:w="12240" w:h="15840"/>
      <w:pgMar w:top="2268" w:right="616"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715" w:rsidRDefault="00D35715">
      <w:r>
        <w:separator/>
      </w:r>
    </w:p>
  </w:endnote>
  <w:endnote w:type="continuationSeparator" w:id="0">
    <w:p w:rsidR="00D35715" w:rsidRDefault="00D3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C2EEE0F-974F-44E0-87F0-9A3B9193D5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74DA4C-B249-4C1F-A9D0-2B328BD8DCB8}"/>
    <w:embedBold r:id="rId3" w:fontKey="{EFD08C7C-3211-4F71-B1C8-F082493D073E}"/>
    <w:embedItalic r:id="rId4" w:fontKey="{5281887F-F260-49D8-B723-4CCC5B52784B}"/>
  </w:font>
  <w:font w:name="Calibri Light">
    <w:panose1 w:val="020F0302020204030204"/>
    <w:charset w:val="00"/>
    <w:family w:val="swiss"/>
    <w:pitch w:val="variable"/>
    <w:sig w:usb0="E4002EFF" w:usb1="C200247B" w:usb2="00000009" w:usb3="00000000" w:csb0="000001FF" w:csb1="00000000"/>
    <w:embedRegular r:id="rId5" w:fontKey="{645932D5-BFF1-42F2-A7C5-0AEABA988E12}"/>
  </w:font>
  <w:font w:name="Georgia">
    <w:panose1 w:val="02040502050405020303"/>
    <w:charset w:val="00"/>
    <w:family w:val="roman"/>
    <w:pitch w:val="variable"/>
    <w:sig w:usb0="00000287" w:usb1="00000000" w:usb2="00000000" w:usb3="00000000" w:csb0="0000009F" w:csb1="00000000"/>
    <w:embedItalic r:id="rId6" w:fontKey="{24210CF1-3469-40B8-98B0-01C77B849EBE}"/>
  </w:font>
  <w:font w:name="Palatino Linotype">
    <w:panose1 w:val="02040502050505030304"/>
    <w:charset w:val="00"/>
    <w:family w:val="roman"/>
    <w:pitch w:val="variable"/>
    <w:sig w:usb0="E0000287" w:usb1="40000013" w:usb2="00000000" w:usb3="00000000" w:csb0="0000019F" w:csb1="00000000"/>
    <w:embedRegular r:id="rId7" w:fontKey="{0D7474E3-648F-4321-A018-7FB2473E7D57}"/>
    <w:embedBold r:id="rId8" w:fontKey="{8B1D0DBC-35F2-4E1E-860F-DCB7431C3862}"/>
    <w:embedItalic r:id="rId9" w:fontKey="{AB0CB3EC-5769-4452-A461-C28E1E37A4D3}"/>
    <w:embedBoldItalic r:id="rId10" w:fontKey="{33198841-2502-4E72-A948-595370769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CA0" w:rsidRPr="00FB0CDC" w:rsidRDefault="008969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FB0CDC">
      <w:rPr>
        <w:rFonts w:ascii="Palatino Linotype" w:eastAsia="Palatino Linotype" w:hAnsi="Palatino Linotype" w:cs="Palatino Linotype"/>
        <w:b/>
        <w:color w:val="000000"/>
        <w:sz w:val="22"/>
        <w:szCs w:val="20"/>
      </w:rPr>
      <w:t xml:space="preserve">Página </w:t>
    </w:r>
    <w:r w:rsidRPr="00FB0CDC">
      <w:rPr>
        <w:rFonts w:ascii="Palatino Linotype" w:eastAsia="Palatino Linotype" w:hAnsi="Palatino Linotype" w:cs="Palatino Linotype"/>
        <w:b/>
        <w:color w:val="000000"/>
        <w:sz w:val="22"/>
        <w:szCs w:val="20"/>
      </w:rPr>
      <w:fldChar w:fldCharType="begin"/>
    </w:r>
    <w:r w:rsidRPr="00FB0CDC">
      <w:rPr>
        <w:rFonts w:ascii="Palatino Linotype" w:eastAsia="Palatino Linotype" w:hAnsi="Palatino Linotype" w:cs="Palatino Linotype"/>
        <w:b/>
        <w:color w:val="000000"/>
        <w:sz w:val="22"/>
        <w:szCs w:val="20"/>
      </w:rPr>
      <w:instrText>PAGE</w:instrText>
    </w:r>
    <w:r w:rsidRPr="00FB0CDC">
      <w:rPr>
        <w:rFonts w:ascii="Palatino Linotype" w:eastAsia="Palatino Linotype" w:hAnsi="Palatino Linotype" w:cs="Palatino Linotype"/>
        <w:b/>
        <w:color w:val="000000"/>
        <w:sz w:val="22"/>
        <w:szCs w:val="20"/>
      </w:rPr>
      <w:fldChar w:fldCharType="separate"/>
    </w:r>
    <w:r w:rsidR="000D3D59">
      <w:rPr>
        <w:rFonts w:ascii="Palatino Linotype" w:eastAsia="Palatino Linotype" w:hAnsi="Palatino Linotype" w:cs="Palatino Linotype"/>
        <w:b/>
        <w:noProof/>
        <w:color w:val="000000"/>
        <w:sz w:val="22"/>
        <w:szCs w:val="20"/>
      </w:rPr>
      <w:t>22</w:t>
    </w:r>
    <w:r w:rsidRPr="00FB0CDC">
      <w:rPr>
        <w:rFonts w:ascii="Palatino Linotype" w:eastAsia="Palatino Linotype" w:hAnsi="Palatino Linotype" w:cs="Palatino Linotype"/>
        <w:b/>
        <w:color w:val="000000"/>
        <w:sz w:val="22"/>
        <w:szCs w:val="20"/>
      </w:rPr>
      <w:fldChar w:fldCharType="end"/>
    </w:r>
    <w:r w:rsidRPr="00FB0CDC">
      <w:rPr>
        <w:rFonts w:ascii="Palatino Linotype" w:eastAsia="Palatino Linotype" w:hAnsi="Palatino Linotype" w:cs="Palatino Linotype"/>
        <w:b/>
        <w:color w:val="000000"/>
        <w:sz w:val="22"/>
        <w:szCs w:val="20"/>
      </w:rPr>
      <w:t xml:space="preserve"> de </w:t>
    </w:r>
    <w:r w:rsidRPr="00FB0CDC">
      <w:rPr>
        <w:rFonts w:ascii="Palatino Linotype" w:eastAsia="Palatino Linotype" w:hAnsi="Palatino Linotype" w:cs="Palatino Linotype"/>
        <w:b/>
        <w:color w:val="000000"/>
        <w:sz w:val="22"/>
        <w:szCs w:val="20"/>
      </w:rPr>
      <w:fldChar w:fldCharType="begin"/>
    </w:r>
    <w:r w:rsidRPr="00FB0CDC">
      <w:rPr>
        <w:rFonts w:ascii="Palatino Linotype" w:eastAsia="Palatino Linotype" w:hAnsi="Palatino Linotype" w:cs="Palatino Linotype"/>
        <w:b/>
        <w:color w:val="000000"/>
        <w:sz w:val="22"/>
        <w:szCs w:val="20"/>
      </w:rPr>
      <w:instrText>NUMPAGES</w:instrText>
    </w:r>
    <w:r w:rsidRPr="00FB0CDC">
      <w:rPr>
        <w:rFonts w:ascii="Palatino Linotype" w:eastAsia="Palatino Linotype" w:hAnsi="Palatino Linotype" w:cs="Palatino Linotype"/>
        <w:b/>
        <w:color w:val="000000"/>
        <w:sz w:val="22"/>
        <w:szCs w:val="20"/>
      </w:rPr>
      <w:fldChar w:fldCharType="separate"/>
    </w:r>
    <w:r w:rsidR="000D3D59">
      <w:rPr>
        <w:rFonts w:ascii="Palatino Linotype" w:eastAsia="Palatino Linotype" w:hAnsi="Palatino Linotype" w:cs="Palatino Linotype"/>
        <w:b/>
        <w:noProof/>
        <w:color w:val="000000"/>
        <w:sz w:val="22"/>
        <w:szCs w:val="20"/>
      </w:rPr>
      <w:t>28</w:t>
    </w:r>
    <w:r w:rsidRPr="00FB0CDC">
      <w:rPr>
        <w:rFonts w:ascii="Palatino Linotype" w:eastAsia="Palatino Linotype" w:hAnsi="Palatino Linotype" w:cs="Palatino Linotype"/>
        <w:b/>
        <w:color w:val="000000"/>
        <w:sz w:val="22"/>
        <w:szCs w:val="20"/>
      </w:rPr>
      <w:fldChar w:fldCharType="end"/>
    </w:r>
  </w:p>
  <w:p w:rsidR="005A7CA0" w:rsidRDefault="005A7CA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CA0" w:rsidRPr="00FB0CDC" w:rsidRDefault="008969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FB0CDC">
      <w:rPr>
        <w:rFonts w:ascii="Palatino Linotype" w:eastAsia="Palatino Linotype" w:hAnsi="Palatino Linotype" w:cs="Palatino Linotype"/>
        <w:b/>
        <w:color w:val="000000"/>
        <w:sz w:val="22"/>
        <w:szCs w:val="20"/>
      </w:rPr>
      <w:t xml:space="preserve">Página </w:t>
    </w:r>
    <w:r w:rsidRPr="00FB0CDC">
      <w:rPr>
        <w:rFonts w:ascii="Palatino Linotype" w:eastAsia="Palatino Linotype" w:hAnsi="Palatino Linotype" w:cs="Palatino Linotype"/>
        <w:b/>
        <w:color w:val="000000"/>
        <w:sz w:val="22"/>
        <w:szCs w:val="20"/>
      </w:rPr>
      <w:fldChar w:fldCharType="begin"/>
    </w:r>
    <w:r w:rsidRPr="00FB0CDC">
      <w:rPr>
        <w:rFonts w:ascii="Palatino Linotype" w:eastAsia="Palatino Linotype" w:hAnsi="Palatino Linotype" w:cs="Palatino Linotype"/>
        <w:b/>
        <w:color w:val="000000"/>
        <w:sz w:val="22"/>
        <w:szCs w:val="20"/>
      </w:rPr>
      <w:instrText>PAGE</w:instrText>
    </w:r>
    <w:r w:rsidRPr="00FB0CDC">
      <w:rPr>
        <w:rFonts w:ascii="Palatino Linotype" w:eastAsia="Palatino Linotype" w:hAnsi="Palatino Linotype" w:cs="Palatino Linotype"/>
        <w:b/>
        <w:color w:val="000000"/>
        <w:sz w:val="22"/>
        <w:szCs w:val="20"/>
      </w:rPr>
      <w:fldChar w:fldCharType="separate"/>
    </w:r>
    <w:r w:rsidR="000D3D59">
      <w:rPr>
        <w:rFonts w:ascii="Palatino Linotype" w:eastAsia="Palatino Linotype" w:hAnsi="Palatino Linotype" w:cs="Palatino Linotype"/>
        <w:b/>
        <w:noProof/>
        <w:color w:val="000000"/>
        <w:sz w:val="22"/>
        <w:szCs w:val="20"/>
      </w:rPr>
      <w:t>1</w:t>
    </w:r>
    <w:r w:rsidRPr="00FB0CDC">
      <w:rPr>
        <w:rFonts w:ascii="Palatino Linotype" w:eastAsia="Palatino Linotype" w:hAnsi="Palatino Linotype" w:cs="Palatino Linotype"/>
        <w:b/>
        <w:color w:val="000000"/>
        <w:sz w:val="22"/>
        <w:szCs w:val="20"/>
      </w:rPr>
      <w:fldChar w:fldCharType="end"/>
    </w:r>
    <w:r w:rsidRPr="00FB0CDC">
      <w:rPr>
        <w:rFonts w:ascii="Palatino Linotype" w:eastAsia="Palatino Linotype" w:hAnsi="Palatino Linotype" w:cs="Palatino Linotype"/>
        <w:b/>
        <w:color w:val="000000"/>
        <w:sz w:val="22"/>
        <w:szCs w:val="20"/>
      </w:rPr>
      <w:t xml:space="preserve"> de </w:t>
    </w:r>
    <w:r w:rsidRPr="00FB0CDC">
      <w:rPr>
        <w:rFonts w:ascii="Palatino Linotype" w:eastAsia="Palatino Linotype" w:hAnsi="Palatino Linotype" w:cs="Palatino Linotype"/>
        <w:b/>
        <w:color w:val="000000"/>
        <w:sz w:val="22"/>
        <w:szCs w:val="20"/>
      </w:rPr>
      <w:fldChar w:fldCharType="begin"/>
    </w:r>
    <w:r w:rsidRPr="00FB0CDC">
      <w:rPr>
        <w:rFonts w:ascii="Palatino Linotype" w:eastAsia="Palatino Linotype" w:hAnsi="Palatino Linotype" w:cs="Palatino Linotype"/>
        <w:b/>
        <w:color w:val="000000"/>
        <w:sz w:val="22"/>
        <w:szCs w:val="20"/>
      </w:rPr>
      <w:instrText>NUMPAGES</w:instrText>
    </w:r>
    <w:r w:rsidRPr="00FB0CDC">
      <w:rPr>
        <w:rFonts w:ascii="Palatino Linotype" w:eastAsia="Palatino Linotype" w:hAnsi="Palatino Linotype" w:cs="Palatino Linotype"/>
        <w:b/>
        <w:color w:val="000000"/>
        <w:sz w:val="22"/>
        <w:szCs w:val="20"/>
      </w:rPr>
      <w:fldChar w:fldCharType="separate"/>
    </w:r>
    <w:r w:rsidR="000D3D59">
      <w:rPr>
        <w:rFonts w:ascii="Palatino Linotype" w:eastAsia="Palatino Linotype" w:hAnsi="Palatino Linotype" w:cs="Palatino Linotype"/>
        <w:b/>
        <w:noProof/>
        <w:color w:val="000000"/>
        <w:sz w:val="22"/>
        <w:szCs w:val="20"/>
      </w:rPr>
      <w:t>28</w:t>
    </w:r>
    <w:r w:rsidRPr="00FB0CDC">
      <w:rPr>
        <w:rFonts w:ascii="Palatino Linotype" w:eastAsia="Palatino Linotype" w:hAnsi="Palatino Linotype" w:cs="Palatino Linotype"/>
        <w:b/>
        <w:color w:val="000000"/>
        <w:sz w:val="22"/>
        <w:szCs w:val="20"/>
      </w:rPr>
      <w:fldChar w:fldCharType="end"/>
    </w:r>
  </w:p>
  <w:p w:rsidR="005A7CA0" w:rsidRDefault="005A7C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715" w:rsidRDefault="00D35715">
      <w:r>
        <w:separator/>
      </w:r>
    </w:p>
  </w:footnote>
  <w:footnote w:type="continuationSeparator" w:id="0">
    <w:p w:rsidR="00D35715" w:rsidRDefault="00D35715">
      <w:r>
        <w:continuationSeparator/>
      </w:r>
    </w:p>
  </w:footnote>
  <w:footnote w:id="1">
    <w:p w:rsidR="005A7CA0" w:rsidRDefault="0089698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CA0" w:rsidRDefault="00D3571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938" w:type="dxa"/>
      <w:tblInd w:w="2127" w:type="dxa"/>
      <w:tblLayout w:type="fixed"/>
      <w:tblLook w:val="0400" w:firstRow="0" w:lastRow="0" w:firstColumn="0" w:lastColumn="0" w:noHBand="0" w:noVBand="1"/>
    </w:tblPr>
    <w:tblGrid>
      <w:gridCol w:w="2976"/>
      <w:gridCol w:w="4962"/>
    </w:tblGrid>
    <w:tr w:rsidR="005A7CA0" w:rsidTr="00FB0CDC">
      <w:trPr>
        <w:trHeight w:val="227"/>
      </w:trPr>
      <w:tc>
        <w:tcPr>
          <w:tcW w:w="2976" w:type="dxa"/>
          <w:vAlign w:val="center"/>
        </w:tcPr>
        <w:p w:rsidR="005A7CA0" w:rsidRPr="00FB0CDC" w:rsidRDefault="00896987">
          <w:pPr>
            <w:ind w:right="34"/>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Recurso de Revisión:</w:t>
          </w:r>
        </w:p>
      </w:tc>
      <w:tc>
        <w:tcPr>
          <w:tcW w:w="4962" w:type="dxa"/>
          <w:vAlign w:val="center"/>
        </w:tcPr>
        <w:p w:rsidR="005A7CA0" w:rsidRPr="00FB0CDC" w:rsidRDefault="00896987" w:rsidP="00FB0CD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FB0CDC">
            <w:rPr>
              <w:rFonts w:ascii="Palatino Linotype" w:eastAsia="Palatino Linotype" w:hAnsi="Palatino Linotype" w:cs="Palatino Linotype"/>
              <w:color w:val="000000"/>
              <w:szCs w:val="22"/>
            </w:rPr>
            <w:t>10768/INFOEM/IP/RR/2025</w:t>
          </w:r>
          <w:r w:rsidR="008A1AB9" w:rsidRPr="00FB0CDC">
            <w:rPr>
              <w:rFonts w:ascii="Palatino Linotype" w:eastAsia="Palatino Linotype" w:hAnsi="Palatino Linotype" w:cs="Palatino Linotype"/>
              <w:color w:val="000000"/>
              <w:szCs w:val="22"/>
            </w:rPr>
            <w:t xml:space="preserve"> y acumulado</w:t>
          </w:r>
        </w:p>
      </w:tc>
    </w:tr>
    <w:tr w:rsidR="005A7CA0" w:rsidTr="00FB0CDC">
      <w:trPr>
        <w:trHeight w:val="242"/>
      </w:trPr>
      <w:tc>
        <w:tcPr>
          <w:tcW w:w="2976" w:type="dxa"/>
          <w:vAlign w:val="center"/>
        </w:tcPr>
        <w:p w:rsidR="005A7CA0" w:rsidRPr="00FB0CDC" w:rsidRDefault="00896987">
          <w:pPr>
            <w:ind w:right="34"/>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Sujeto Obligado:</w:t>
          </w:r>
        </w:p>
      </w:tc>
      <w:tc>
        <w:tcPr>
          <w:tcW w:w="4962" w:type="dxa"/>
          <w:vAlign w:val="center"/>
        </w:tcPr>
        <w:p w:rsidR="005A7CA0" w:rsidRPr="00FB0CDC" w:rsidRDefault="00896987" w:rsidP="00FB0CD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FB0CDC">
            <w:rPr>
              <w:rFonts w:ascii="Palatino Linotype" w:eastAsia="Palatino Linotype" w:hAnsi="Palatino Linotype" w:cs="Palatino Linotype"/>
              <w:bCs/>
              <w:color w:val="000000"/>
              <w:szCs w:val="22"/>
            </w:rPr>
            <w:t>Instituto de Transparencia, Acceso a la Información Pública y Protección de Datos Personales del Estado de México y Municipios</w:t>
          </w:r>
        </w:p>
      </w:tc>
    </w:tr>
    <w:tr w:rsidR="005A7CA0" w:rsidTr="00FB0CDC">
      <w:trPr>
        <w:trHeight w:val="342"/>
      </w:trPr>
      <w:tc>
        <w:tcPr>
          <w:tcW w:w="2976" w:type="dxa"/>
          <w:vAlign w:val="center"/>
        </w:tcPr>
        <w:p w:rsidR="005A7CA0" w:rsidRPr="00FB0CDC" w:rsidRDefault="00896987">
          <w:pPr>
            <w:ind w:right="34"/>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Comisionada Ponente:</w:t>
          </w:r>
        </w:p>
      </w:tc>
      <w:tc>
        <w:tcPr>
          <w:tcW w:w="4962" w:type="dxa"/>
          <w:vAlign w:val="center"/>
        </w:tcPr>
        <w:p w:rsidR="005A7CA0" w:rsidRPr="00FB0CDC" w:rsidRDefault="00896987" w:rsidP="00FB0CD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FB0CDC">
            <w:rPr>
              <w:rFonts w:ascii="Palatino Linotype" w:eastAsia="Palatino Linotype" w:hAnsi="Palatino Linotype" w:cs="Palatino Linotype"/>
              <w:color w:val="000000"/>
              <w:szCs w:val="22"/>
            </w:rPr>
            <w:t>María del Rosario Mejía Ayala</w:t>
          </w:r>
        </w:p>
      </w:tc>
    </w:tr>
  </w:tbl>
  <w:p w:rsidR="005A7CA0" w:rsidRDefault="00D3571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6pt;margin-top:-146.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7938" w:type="dxa"/>
      <w:tblInd w:w="2268" w:type="dxa"/>
      <w:tblLayout w:type="fixed"/>
      <w:tblLook w:val="0400" w:firstRow="0" w:lastRow="0" w:firstColumn="0" w:lastColumn="0" w:noHBand="0" w:noVBand="1"/>
    </w:tblPr>
    <w:tblGrid>
      <w:gridCol w:w="2977"/>
      <w:gridCol w:w="4961"/>
    </w:tblGrid>
    <w:tr w:rsidR="005A7CA0" w:rsidTr="00FB0CDC">
      <w:trPr>
        <w:trHeight w:val="227"/>
      </w:trPr>
      <w:tc>
        <w:tcPr>
          <w:tcW w:w="2977" w:type="dxa"/>
          <w:vAlign w:val="center"/>
        </w:tcPr>
        <w:p w:rsidR="005A7CA0" w:rsidRPr="00FB0CDC" w:rsidRDefault="00896987">
          <w:pPr>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Recurso de Revisión:</w:t>
          </w:r>
        </w:p>
      </w:tc>
      <w:tc>
        <w:tcPr>
          <w:tcW w:w="4961" w:type="dxa"/>
          <w:vAlign w:val="center"/>
        </w:tcPr>
        <w:p w:rsidR="005A7CA0" w:rsidRPr="00FB0CDC" w:rsidRDefault="00896987" w:rsidP="00FB0CDC">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FB0CDC">
            <w:rPr>
              <w:rFonts w:ascii="Palatino Linotype" w:eastAsia="Palatino Linotype" w:hAnsi="Palatino Linotype" w:cs="Palatino Linotype"/>
              <w:color w:val="000000"/>
              <w:szCs w:val="22"/>
            </w:rPr>
            <w:t>10768/INFOEM/IP/RR/2025 Y acumulado</w:t>
          </w:r>
        </w:p>
      </w:tc>
    </w:tr>
    <w:tr w:rsidR="005A7CA0" w:rsidTr="00FB0CDC">
      <w:trPr>
        <w:trHeight w:val="242"/>
      </w:trPr>
      <w:tc>
        <w:tcPr>
          <w:tcW w:w="2977" w:type="dxa"/>
          <w:vAlign w:val="center"/>
        </w:tcPr>
        <w:p w:rsidR="005A7CA0" w:rsidRPr="00FB0CDC" w:rsidRDefault="00896987">
          <w:pPr>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Recurrente:</w:t>
          </w:r>
        </w:p>
      </w:tc>
      <w:tc>
        <w:tcPr>
          <w:tcW w:w="4961" w:type="dxa"/>
        </w:tcPr>
        <w:p w:rsidR="005A7CA0" w:rsidRPr="00FB0CDC" w:rsidRDefault="000D3D59" w:rsidP="00FB0CDC">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bCs/>
              <w:color w:val="000000"/>
              <w:szCs w:val="22"/>
            </w:rPr>
            <w:t>XXXX</w:t>
          </w:r>
          <w:r w:rsidR="00896987" w:rsidRPr="00FB0CDC">
            <w:rPr>
              <w:rFonts w:ascii="Palatino Linotype" w:eastAsia="Palatino Linotype" w:hAnsi="Palatino Linotype" w:cs="Palatino Linotype"/>
              <w:bCs/>
              <w:color w:val="000000"/>
              <w:szCs w:val="22"/>
            </w:rPr>
            <w:t> </w:t>
          </w:r>
        </w:p>
      </w:tc>
    </w:tr>
    <w:tr w:rsidR="005A7CA0" w:rsidTr="00FB0CDC">
      <w:trPr>
        <w:trHeight w:val="342"/>
      </w:trPr>
      <w:tc>
        <w:tcPr>
          <w:tcW w:w="2977" w:type="dxa"/>
          <w:vAlign w:val="center"/>
        </w:tcPr>
        <w:p w:rsidR="005A7CA0" w:rsidRPr="00FB0CDC" w:rsidRDefault="00896987">
          <w:pPr>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Sujeto Obligado:</w:t>
          </w:r>
        </w:p>
      </w:tc>
      <w:tc>
        <w:tcPr>
          <w:tcW w:w="4961" w:type="dxa"/>
          <w:vAlign w:val="center"/>
        </w:tcPr>
        <w:p w:rsidR="005A7CA0" w:rsidRPr="00FB0CDC" w:rsidRDefault="00896987" w:rsidP="00FB0CDC">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FB0CDC">
            <w:rPr>
              <w:rFonts w:ascii="Palatino Linotype" w:eastAsia="Palatino Linotype" w:hAnsi="Palatino Linotype" w:cs="Palatino Linotype"/>
              <w:bCs/>
              <w:color w:val="000000"/>
              <w:szCs w:val="22"/>
            </w:rPr>
            <w:t>Instituto de Transparencia, Acceso a la Información Pública y Protección de Datos Personales del Estado de México y Municipios</w:t>
          </w:r>
        </w:p>
      </w:tc>
    </w:tr>
    <w:tr w:rsidR="005A7CA0" w:rsidTr="00FB0CDC">
      <w:trPr>
        <w:trHeight w:val="342"/>
      </w:trPr>
      <w:tc>
        <w:tcPr>
          <w:tcW w:w="2977" w:type="dxa"/>
          <w:vAlign w:val="center"/>
        </w:tcPr>
        <w:p w:rsidR="005A7CA0" w:rsidRPr="00FB0CDC" w:rsidRDefault="00896987">
          <w:pPr>
            <w:jc w:val="right"/>
            <w:rPr>
              <w:rFonts w:ascii="Palatino Linotype" w:eastAsia="Palatino Linotype" w:hAnsi="Palatino Linotype" w:cs="Palatino Linotype"/>
              <w:b/>
              <w:bCs/>
              <w:szCs w:val="22"/>
            </w:rPr>
          </w:pPr>
          <w:r w:rsidRPr="00FB0CDC">
            <w:rPr>
              <w:rFonts w:ascii="Palatino Linotype" w:eastAsia="Palatino Linotype" w:hAnsi="Palatino Linotype" w:cs="Palatino Linotype"/>
              <w:b/>
              <w:bCs/>
              <w:szCs w:val="22"/>
            </w:rPr>
            <w:t>Comisionada Ponente:</w:t>
          </w:r>
        </w:p>
      </w:tc>
      <w:tc>
        <w:tcPr>
          <w:tcW w:w="4961" w:type="dxa"/>
          <w:vAlign w:val="center"/>
        </w:tcPr>
        <w:p w:rsidR="005A7CA0" w:rsidRPr="00FB0CDC" w:rsidRDefault="00896987" w:rsidP="00FB0CDC">
          <w:pPr>
            <w:pBdr>
              <w:top w:val="nil"/>
              <w:left w:val="nil"/>
              <w:bottom w:val="nil"/>
              <w:right w:val="nil"/>
              <w:between w:val="nil"/>
            </w:pBdr>
            <w:tabs>
              <w:tab w:val="right" w:pos="8838"/>
            </w:tabs>
            <w:rPr>
              <w:rFonts w:ascii="Palatino Linotype" w:eastAsia="Palatino Linotype" w:hAnsi="Palatino Linotype" w:cs="Palatino Linotype"/>
              <w:color w:val="000000"/>
              <w:szCs w:val="22"/>
            </w:rPr>
          </w:pPr>
          <w:r w:rsidRPr="00FB0CDC">
            <w:rPr>
              <w:rFonts w:ascii="Palatino Linotype" w:eastAsia="Palatino Linotype" w:hAnsi="Palatino Linotype" w:cs="Palatino Linotype"/>
              <w:color w:val="000000"/>
              <w:szCs w:val="22"/>
            </w:rPr>
            <w:t>María del Rosario Mejía Ayala</w:t>
          </w:r>
        </w:p>
      </w:tc>
    </w:tr>
  </w:tbl>
  <w:p w:rsidR="005A7CA0" w:rsidRDefault="00D35715" w:rsidP="00FB0CDC">
    <w:pPr>
      <w:pBdr>
        <w:top w:val="nil"/>
        <w:left w:val="nil"/>
        <w:bottom w:val="nil"/>
        <w:right w:val="nil"/>
        <w:between w:val="nil"/>
      </w:pBdr>
      <w:tabs>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3.5pt;margin-top:-164.1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0441E"/>
    <w:multiLevelType w:val="multilevel"/>
    <w:tmpl w:val="E4CE728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62B575D1"/>
    <w:multiLevelType w:val="multilevel"/>
    <w:tmpl w:val="4DC2A4A2"/>
    <w:lvl w:ilvl="0">
      <w:start w:val="1"/>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CA0"/>
    <w:rsid w:val="000D3D59"/>
    <w:rsid w:val="002F5647"/>
    <w:rsid w:val="004A7729"/>
    <w:rsid w:val="004B0050"/>
    <w:rsid w:val="005A7CA0"/>
    <w:rsid w:val="00771BF5"/>
    <w:rsid w:val="00896987"/>
    <w:rsid w:val="008A1AB9"/>
    <w:rsid w:val="00D35715"/>
    <w:rsid w:val="00D576E9"/>
    <w:rsid w:val="00E120FE"/>
    <w:rsid w:val="00F36DD1"/>
    <w:rsid w:val="00FB0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9F6CC6C-A1B8-4612-94F9-579F523FF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D3065C"/>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D3065C"/>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065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065C"/>
    <w:rPr>
      <w:rFonts w:ascii="Calibri" w:eastAsiaTheme="minorEastAsia" w:hAnsi="Calibri" w:cs="Calibri"/>
      <w:sz w:val="24"/>
      <w:szCs w:val="24"/>
      <w:lang w:val="es-ES_tradnl" w:eastAsia="es-ES"/>
    </w:rPr>
  </w:style>
  <w:style w:type="table" w:styleId="Tablaconcuadrcula">
    <w:name w:val="Table Grid"/>
    <w:basedOn w:val="Tablanormal"/>
    <w:uiPriority w:val="39"/>
    <w:rsid w:val="00D3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35951"/>
    <w:pPr>
      <w:tabs>
        <w:tab w:val="center" w:pos="4419"/>
        <w:tab w:val="right" w:pos="8838"/>
      </w:tabs>
    </w:pPr>
  </w:style>
  <w:style w:type="character" w:customStyle="1" w:styleId="PiedepginaCar">
    <w:name w:val="Pie de página Car"/>
    <w:basedOn w:val="Fuentedeprrafopredeter"/>
    <w:link w:val="Piedepgina"/>
    <w:uiPriority w:val="99"/>
    <w:rsid w:val="00035951"/>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UHTSxc3SQWZdebTNfeGNOVE+w==">CgMxLjAyCWguM2R5NnZrbTIIaC5namRneHMyCWguM3pueXNoNzIJaC4yZXQ5MnAwMghoLnR5amN3dDIJaC4xdDNoNXNmMgloLjE3ZHA4dnUyCWguM3JkY3JqbjIOaC54OXl1Y2Z1NzJ6eXo4AHIhMWR0ZFh2dGU3aV9IanpCWG10SVZRMV9zRFFXUE5FNG1M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6738</Words>
  <Characters>37061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2026-03-23T16:19:00Z</cp:lastPrinted>
  <dcterms:created xsi:type="dcterms:W3CDTF">2026-03-09T23:31:00Z</dcterms:created>
  <dcterms:modified xsi:type="dcterms:W3CDTF">2026-04-07T23:45:00Z</dcterms:modified>
</cp:coreProperties>
</file>