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1E3" w:rsidRDefault="002715D2">
      <w:pPr>
        <w:tabs>
          <w:tab w:val="left" w:pos="0"/>
        </w:tabs>
        <w:spacing w:line="360" w:lineRule="auto"/>
        <w:ind w:right="-876"/>
        <w:jc w:val="both"/>
        <w:rPr>
          <w:rFonts w:ascii="Palatino Linotype" w:eastAsia="Palatino Linotype" w:hAnsi="Palatino Linotype" w:cs="Palatino Linotype"/>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veinte (20) de mayo de dos mil veintiséis.</w:t>
      </w:r>
      <w:r>
        <w:rPr>
          <w:rFonts w:ascii="Palatino Linotype" w:eastAsia="Palatino Linotype" w:hAnsi="Palatino Linotype" w:cs="Palatino Linotype"/>
        </w:rPr>
        <w:t xml:space="preserve"> </w:t>
      </w:r>
    </w:p>
    <w:p w:rsidR="006571E3" w:rsidRDefault="006571E3">
      <w:pPr>
        <w:tabs>
          <w:tab w:val="left" w:pos="0"/>
        </w:tabs>
        <w:spacing w:line="360" w:lineRule="auto"/>
        <w:ind w:right="-876"/>
        <w:jc w:val="both"/>
        <w:rPr>
          <w:rFonts w:ascii="Palatino Linotype" w:eastAsia="Palatino Linotype" w:hAnsi="Palatino Linotype" w:cs="Palatino Linotype"/>
        </w:rPr>
      </w:pPr>
    </w:p>
    <w:p w:rsidR="006571E3" w:rsidRDefault="002715D2">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01828/INFOEM/IP/RR/2026, </w:t>
      </w:r>
      <w:r>
        <w:rPr>
          <w:rFonts w:ascii="Palatino Linotype" w:eastAsia="Palatino Linotype" w:hAnsi="Palatino Linotype" w:cs="Palatino Linotype"/>
          <w:color w:val="000000"/>
        </w:rPr>
        <w:t xml:space="preserve">promovido por </w:t>
      </w:r>
      <w:r w:rsidR="002B5565">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Sistema Municipal para el Desarrollo Integral de la Familia de Lerma</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keepNext/>
        <w:keepLines/>
        <w:tabs>
          <w:tab w:val="left" w:pos="0"/>
        </w:tabs>
        <w:spacing w:line="360" w:lineRule="auto"/>
        <w:ind w:right="-876"/>
        <w:jc w:val="center"/>
        <w:rPr>
          <w:rFonts w:ascii="Palatino Linotype" w:eastAsia="Palatino Linotype" w:hAnsi="Palatino Linotype" w:cs="Palatino Linotype"/>
          <w:b/>
          <w:bCs/>
        </w:rPr>
      </w:pPr>
      <w:bookmarkStart w:id="1" w:name="_heading=h.wkehcp4houg1" w:colFirst="0" w:colLast="0"/>
      <w:bookmarkEnd w:id="1"/>
      <w:r>
        <w:rPr>
          <w:rFonts w:ascii="Palatino Linotype" w:eastAsia="Palatino Linotype" w:hAnsi="Palatino Linotype" w:cs="Palatino Linotype"/>
          <w:b/>
          <w:bCs/>
        </w:rPr>
        <w:t>A N T E C E D E N T E S</w:t>
      </w:r>
    </w:p>
    <w:p w:rsidR="006571E3" w:rsidRDefault="006571E3">
      <w:pPr>
        <w:keepNext/>
        <w:keepLines/>
        <w:tabs>
          <w:tab w:val="left" w:pos="0"/>
        </w:tabs>
        <w:spacing w:line="360" w:lineRule="auto"/>
        <w:ind w:right="-876"/>
        <w:jc w:val="center"/>
        <w:rPr>
          <w:rFonts w:ascii="Palatino Linotype" w:eastAsia="Palatino Linotype" w:hAnsi="Palatino Linotype" w:cs="Palatino Linotype"/>
          <w:b/>
          <w:bCs/>
        </w:rPr>
      </w:pPr>
    </w:p>
    <w:p w:rsidR="006571E3" w:rsidRDefault="002715D2">
      <w:pPr>
        <w:numPr>
          <w:ilvl w:val="0"/>
          <w:numId w:val="5"/>
        </w:numPr>
        <w:tabs>
          <w:tab w:val="left" w:pos="0"/>
        </w:tabs>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enero de dos mil veintiséis</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00001/DIFLERMA/IP/2026</w:t>
      </w:r>
      <w:r>
        <w:rPr>
          <w:rFonts w:ascii="Palatino Linotype" w:eastAsia="Palatino Linotype" w:hAnsi="Palatino Linotype" w:cs="Palatino Linotype"/>
        </w:rPr>
        <w:t>, en la que se solicitó:</w:t>
      </w:r>
    </w:p>
    <w:p w:rsidR="006571E3" w:rsidRDefault="006571E3">
      <w:pPr>
        <w:pBdr>
          <w:top w:val="nil"/>
          <w:left w:val="nil"/>
          <w:bottom w:val="nil"/>
          <w:right w:val="nil"/>
          <w:between w:val="nil"/>
        </w:pBdr>
        <w:ind w:left="567" w:right="-876"/>
        <w:jc w:val="both"/>
        <w:rPr>
          <w:rFonts w:ascii="Palatino Linotype" w:eastAsia="Palatino Linotype" w:hAnsi="Palatino Linotype" w:cs="Palatino Linotype"/>
          <w:b/>
          <w:bCs/>
          <w:i/>
          <w:iCs/>
          <w:color w:val="000000"/>
        </w:rPr>
      </w:pPr>
    </w:p>
    <w:p w:rsidR="006571E3" w:rsidRDefault="006571E3">
      <w:pPr>
        <w:pBdr>
          <w:top w:val="nil"/>
          <w:left w:val="nil"/>
          <w:bottom w:val="nil"/>
          <w:right w:val="nil"/>
          <w:between w:val="nil"/>
        </w:pBdr>
        <w:tabs>
          <w:tab w:val="left" w:pos="1005"/>
        </w:tabs>
        <w:ind w:left="567" w:right="-876"/>
        <w:jc w:val="both"/>
        <w:rPr>
          <w:rFonts w:ascii="Palatino Linotype" w:eastAsia="Palatino Linotype" w:hAnsi="Palatino Linotype" w:cs="Palatino Linotype"/>
          <w:b/>
          <w:bCs/>
          <w:i/>
          <w:iCs/>
          <w:color w:val="000000"/>
        </w:rPr>
      </w:pPr>
    </w:p>
    <w:p w:rsidR="006571E3" w:rsidRDefault="002715D2">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“Buen día, solicito listado que contenga el Sueldo bruto y neto, quincenal y mensual, de mandos medios y superiores, así como, las gratificaciones, bonos, estímulos y apoyos que se les otorga a cada uno (no requiero que me dirijan a IPOMEX a la fracción de remuneraciones). Junto a lo anterior, solicitó los recibos de nómina de la segunda quincena de diciembre 2025 y la primera quincena de enero 2026, así como los recibos de diciembre 2025, que den cuenta del aguinaldo y prima vacacional proporcionados y del bono o gratificación otorgado, gracias.”. (Sic.)</w:t>
      </w:r>
    </w:p>
    <w:p w:rsidR="00633104" w:rsidRDefault="00633104">
      <w:pPr>
        <w:pBdr>
          <w:top w:val="nil"/>
          <w:left w:val="nil"/>
          <w:bottom w:val="nil"/>
          <w:right w:val="nil"/>
          <w:between w:val="nil"/>
        </w:pBdr>
        <w:ind w:left="567" w:right="-876"/>
        <w:jc w:val="both"/>
        <w:rPr>
          <w:rFonts w:ascii="Palatino Linotype" w:eastAsia="Palatino Linotype" w:hAnsi="Palatino Linotype" w:cs="Palatino Linotype"/>
          <w:i/>
          <w:iCs/>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Se hace constar que se señaló como modalidad de entrega de la información a través de SAIMEX.</w:t>
      </w:r>
    </w:p>
    <w:p w:rsidR="006571E3" w:rsidRDefault="006571E3">
      <w:pPr>
        <w:spacing w:line="360" w:lineRule="auto"/>
        <w:ind w:right="-876"/>
        <w:rPr>
          <w:rFonts w:ascii="Palatino Linotype" w:eastAsia="Palatino Linotype" w:hAnsi="Palatino Linotype" w:cs="Palatino Linotype"/>
        </w:rPr>
      </w:pPr>
    </w:p>
    <w:p w:rsidR="006571E3" w:rsidRDefault="002715D2">
      <w:pPr>
        <w:numPr>
          <w:ilvl w:val="0"/>
          <w:numId w:val="5"/>
        </w:numPr>
        <w:tabs>
          <w:tab w:val="left" w:pos="0"/>
        </w:tabs>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doce de febrero de dos mil veintiséis</w:t>
      </w:r>
      <w:r>
        <w:rPr>
          <w:rFonts w:ascii="Palatino Linotype" w:eastAsia="Palatino Linotype" w:hAnsi="Palatino Linotype" w:cs="Palatino Linotype"/>
        </w:rPr>
        <w:t>, el Sujeto Obligado dio respuesta a la solicitud de información en el siguiente sentido:</w:t>
      </w: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En respuesta a la solicitud recibida, nos permitimos hacer de su conocimiento que con fundamento en el artículo 53, Fracciones: II, V y VI de la Ley de Transparencia y Acceso a la Información Pública del Estado de México y Municipios, le contestamos que:</w:t>
      </w:r>
    </w:p>
    <w:p w:rsidR="006571E3" w:rsidRDefault="006571E3">
      <w:pPr>
        <w:ind w:left="567" w:right="-876"/>
        <w:jc w:val="both"/>
        <w:rPr>
          <w:rFonts w:ascii="Palatino Linotype" w:eastAsia="Palatino Linotype" w:hAnsi="Palatino Linotype" w:cs="Palatino Linotype"/>
          <w:i/>
          <w:iCs/>
        </w:rPr>
      </w:pP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SOLICITANTE P R E S E N T E. En atención a su solicitud de información pública presentada en fecha diecinueve de noviembre del año en curso, a través del Sistema del Sistema de Acceso a la Información Mexiquense SAIMEX con el número de folio 00001/DIFLERMA/IP/2026, en la cual requiere lo siguiente: DESCRIPCIÓN CLARA Y PRECISA DE LA INFORMACIÓN SOLICITADA: Buen día, solicito listado que contenga el Sueldo bruto y neto, quincenal y mensual, de mandos medios y superiores, así como, las gratificaciones, bonos, estímulos y apoyos que se les otorga a cada uno (no requiero que me dirijan a IPOMEX a la fracción de remuneraciones). Junto a lo anterior, solicitó los recibos de nómina de la segunda quincena de diciembre 2025 y la primera quincena de enero 2026, así como los recibos de diciembre 2025, que den cuenta del aguinaldo y prima vacacional proporcionados y del bono o gratificación otorgado, gracias. (sic) 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me permito notificarle que se efectuó una búsqueda exhaustiva y razonable de la información solicitada en los archivos que obran en poder de la Jefatura de Recursos Humanos dependiente de la Subdirección de Finanzas del SMDIF de Lerma, respecto de la información solicitada, encontrándose lo siguiente: Con relación a la información sobre el el Sueldo bruto y neto, quincenal y mensual, de mandos medios y superiores, así como, las gratificaciones, bonos, estímulos y apoyos que se les otorga a cada uno, así los recibos de nómina de la segunda quincena de diciembre 2025 y la primera quincena de enero 2026, así como los recibos de diciembre 2025, que den cuenta del aguinaldo y prima vacacional proporcionados y del bono o gratificación otorgado,, se le precisa que el artículo 161 de la Ley de Transparencia y Acceso a la Información Pública del Estado de México y Municipios, menciona que: cuando la información requerida por el solicitante, ya esté disponible al público (…) en </w:t>
      </w:r>
      <w:r>
        <w:rPr>
          <w:rFonts w:ascii="Palatino Linotype" w:eastAsia="Palatino Linotype" w:hAnsi="Palatino Linotype" w:cs="Palatino Linotype"/>
          <w:i/>
          <w:iCs/>
        </w:rPr>
        <w:lastRenderedPageBreak/>
        <w:t xml:space="preserve">formatos electrónicos disponibles en internet o en cualquier otro medio, se le hará saber por el medio requerido por el solicitante, el lugar, la fuente y la forma en que puede consultar (…). Por lo anterior, la información relacionada con el sueldo bruto y neto, quincenal y mensual, de mandos medios y superiores, se encuentra publicada en el portal electrónico de Información Pública de Oficio Mexiquense (IPOMEX), en atención a lo dispuesto por el artículo 92 fracción VIII, y acorde a los Lineamientos Técnicos Generales para la publicación, homologación y estandarización de la información emitidos por el Sistema Nacional de Transparencia, la cual podrá ser consultada en el siguiente enlace: https://ipomex.org.mx/ipomex/#/info-fraccion/11/321/28 En dicho enlace podrá apreciar la información referida en su escrito de solicitud. En el caso de consulta con hipervínculos, se le sugiere copiar el enlace arriba citado o en su caso digitarlo en el navegador de su preferencia y presionar enter, para que no suceda algún error al dar click directo en la hoja de respuesta. Respecto a las gratificaciones, bonos, estímulos y apoyos, se informa que dichos conceptos no fueron aprobados para su otorgamiento durante el Ejercicio Fiscal 2025. Por otra parte, con relación a la primera quincena de enero 2026, me permito informarle que la información aún no se encuentra disponible en la plataforma IPOMEX, ya que corresponde al primer trimestre de 2026 y dicho periodo aún no ha sido cargado en el sistema. En este sentido, es importante recalcar que el Derecho de Acceso a la Información Pública, se satisface en aquellos casos en que se entregue un documento en el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entonces Instituto Nacional de Transparencia, Acceso a la Información Pública y Protección de Datos Personales, el cual señala lo siguiente: “03/17 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Por otra parte, y aunado a lo antepuesto, el último párrafo del artículo 24 de la Ley de la materia, dispone que los Sujetos Obligados solo proporcionarán la información pública que generen, administren o posean en el ejercicio de sus atribuciones; por consiguiente, la información pública se encuentra a disposición de cualquier persona, lo que implica que es deber de los Sujetos </w:t>
      </w:r>
      <w:r>
        <w:rPr>
          <w:rFonts w:ascii="Palatino Linotype" w:eastAsia="Palatino Linotype" w:hAnsi="Palatino Linotype" w:cs="Palatino Linotype"/>
          <w:i/>
          <w:iCs/>
        </w:rPr>
        <w:lastRenderedPageBreak/>
        <w:t>Obligados, garantizar el Derecho de Acceso a la Información Pública.” Por lo anterior, es menester señalar, que este Organismo Descentralizado, se encuentra en la mejor disposición de colaborar dentro de sus competencias para brindar la información oportuna a los solicitantes en los diversos aplicativos de acceso a la información, entre ellos el SAIMEX, por lo, que a través de los párrafos antes descritos, se le indica el lugar donde podrá consultar la información y a su vez descargarla, en los formatos con los rubros y campos que se genera en esta unidad administrativa. 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encuentre en posesión de los Sujetos Obligados”. Sin otro particular, reciba un cordial saludo…” (Sic)</w:t>
      </w:r>
    </w:p>
    <w:p w:rsidR="006571E3" w:rsidRDefault="006571E3">
      <w:pPr>
        <w:tabs>
          <w:tab w:val="left" w:pos="0"/>
        </w:tabs>
        <w:spacing w:line="360" w:lineRule="auto"/>
        <w:ind w:right="-876"/>
        <w:jc w:val="both"/>
        <w:rPr>
          <w:rFonts w:ascii="Palatino Linotype" w:eastAsia="Palatino Linotype" w:hAnsi="Palatino Linotype" w:cs="Palatino Linotype"/>
        </w:rPr>
      </w:pPr>
      <w:bookmarkStart w:id="2" w:name="_heading=h.p5lije766a0p" w:colFirst="0" w:colLast="0"/>
      <w:bookmarkEnd w:id="2"/>
    </w:p>
    <w:p w:rsidR="006571E3" w:rsidRDefault="002715D2">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 adjuntan los siguientes archivos electrónicos </w:t>
      </w:r>
    </w:p>
    <w:p w:rsidR="006571E3" w:rsidRDefault="002715D2" w:rsidP="00633104">
      <w:pPr>
        <w:numPr>
          <w:ilvl w:val="1"/>
          <w:numId w:val="6"/>
        </w:numPr>
        <w:pBdr>
          <w:top w:val="nil"/>
          <w:left w:val="nil"/>
          <w:bottom w:val="nil"/>
          <w:right w:val="nil"/>
          <w:between w:val="nil"/>
        </w:pBdr>
        <w:spacing w:line="360" w:lineRule="auto"/>
        <w:ind w:left="851"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DIF LERMA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(12).pdf:</w:t>
      </w:r>
      <w:r>
        <w:rPr>
          <w:rFonts w:ascii="Palatino Linotype" w:eastAsia="Palatino Linotype" w:hAnsi="Palatino Linotype" w:cs="Palatino Linotype"/>
          <w:color w:val="000000"/>
        </w:rPr>
        <w:t xml:space="preserve"> Oficio DIFRH/0014/26 de fecha treinta de enero de dos mil veintiséis, suscrito por la Dirección de Recursos Humanos, del que se advierte que referente al listado que contenga el sueldo bruto y neto, quincenal y mensual de mandos medios y superiores; así como el aguinaldo y prima vacacional que se le otorga a cada uno de los servidores públicos adscritos a ese DIF Municipal, la información se encuentra publicada en el portal electrónico de Información Pública de Oficio Mexiquense (IPOMEX), en atención a los establecido en 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92, fracción VIII de la Ley de la materia, proporcionando el siguiente link de acceso </w:t>
      </w:r>
      <w:r>
        <w:rPr>
          <w:rFonts w:ascii="Palatino Linotype" w:eastAsia="Palatino Linotype" w:hAnsi="Palatino Linotype" w:cs="Palatino Linotype"/>
          <w:noProof/>
          <w:color w:val="000000"/>
        </w:rPr>
        <w:drawing>
          <wp:inline distT="0" distB="0" distL="0" distR="0">
            <wp:extent cx="3262024" cy="306138"/>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262024" cy="306138"/>
                    </a:xfrm>
                    <a:prstGeom prst="rect">
                      <a:avLst/>
                    </a:prstGeom>
                    <a:ln/>
                  </pic:spPr>
                </pic:pic>
              </a:graphicData>
            </a:graphic>
          </wp:inline>
        </w:drawing>
      </w:r>
      <w:r>
        <w:rPr>
          <w:rFonts w:ascii="Palatino Linotype" w:eastAsia="Palatino Linotype" w:hAnsi="Palatino Linotype" w:cs="Palatino Linotype"/>
          <w:color w:val="000000"/>
        </w:rPr>
        <w:t xml:space="preserve">del que se advierten las percepciones; así mismo, con respecto a los bonos, apoyos y gratificaciones especiales, informa que dichos conceptos no fueron aprobados para su otorgamientos durante el ejercicio fiscal 2025; no omite mencionar que en relación a los recibos de nómina de la primera quincena de enero, </w:t>
      </w:r>
      <w:r>
        <w:rPr>
          <w:rFonts w:ascii="Palatino Linotype" w:eastAsia="Palatino Linotype" w:hAnsi="Palatino Linotype" w:cs="Palatino Linotype"/>
        </w:rPr>
        <w:t>aún</w:t>
      </w:r>
      <w:r>
        <w:rPr>
          <w:rFonts w:ascii="Palatino Linotype" w:eastAsia="Palatino Linotype" w:hAnsi="Palatino Linotype" w:cs="Palatino Linotype"/>
          <w:color w:val="000000"/>
        </w:rPr>
        <w:t xml:space="preserve"> no se encuentra disponible en la plataforma IPOMEX, ya que corresponde al primer trimestre de 2026.</w:t>
      </w:r>
    </w:p>
    <w:p w:rsidR="006571E3" w:rsidRDefault="002715D2" w:rsidP="00633104">
      <w:pPr>
        <w:numPr>
          <w:ilvl w:val="1"/>
          <w:numId w:val="6"/>
        </w:numPr>
        <w:pBdr>
          <w:top w:val="nil"/>
          <w:left w:val="nil"/>
          <w:bottom w:val="nil"/>
          <w:right w:val="nil"/>
          <w:between w:val="nil"/>
        </w:pBdr>
        <w:spacing w:line="360" w:lineRule="auto"/>
        <w:ind w:left="851"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O DIF LERMA.pdf: </w:t>
      </w:r>
      <w:r>
        <w:rPr>
          <w:rFonts w:ascii="Palatino Linotype" w:eastAsia="Palatino Linotype" w:hAnsi="Palatino Linotype" w:cs="Palatino Linotype"/>
          <w:color w:val="000000"/>
        </w:rPr>
        <w:t>Oficio DIFTR/RSI/001/2026 de fecha doce de febrero de dos mil veintiséis suscrito por el Titular de la Unidad de Transparencia y Acceso a la Información Pública del SMDIF de Lerma, a través del cual reitera lo informado por la Dirección de Recursos Humanos de ese Sistema Municipal DIF.</w:t>
      </w:r>
    </w:p>
    <w:p w:rsidR="006571E3" w:rsidRDefault="006571E3">
      <w:pPr>
        <w:spacing w:line="360" w:lineRule="auto"/>
        <w:ind w:right="-876"/>
        <w:jc w:val="both"/>
        <w:rPr>
          <w:rFonts w:ascii="Palatino Linotype" w:eastAsia="Palatino Linotype" w:hAnsi="Palatino Linotype" w:cs="Palatino Linotype"/>
          <w:b/>
          <w:bCs/>
        </w:rPr>
      </w:pPr>
    </w:p>
    <w:p w:rsidR="006571E3" w:rsidRDefault="002715D2">
      <w:pPr>
        <w:numPr>
          <w:ilvl w:val="0"/>
          <w:numId w:val="5"/>
        </w:numPr>
        <w:pBdr>
          <w:top w:val="nil"/>
          <w:left w:val="nil"/>
          <w:bottom w:val="nil"/>
          <w:right w:val="nil"/>
          <w:between w:val="nil"/>
        </w:pBdr>
        <w:spacing w:line="360" w:lineRule="auto"/>
        <w:ind w:right="-876"/>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febrero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00001/DIFLERMA/IP/2025, </w:t>
      </w:r>
      <w:r>
        <w:rPr>
          <w:rFonts w:ascii="Palatino Linotype" w:eastAsia="Palatino Linotype" w:hAnsi="Palatino Linotype" w:cs="Palatino Linotype"/>
          <w:color w:val="000000"/>
        </w:rPr>
        <w:t xml:space="preserve">en contra de las respuestas emitidas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6571E3" w:rsidRDefault="006571E3">
      <w:pPr>
        <w:pBdr>
          <w:top w:val="nil"/>
          <w:left w:val="nil"/>
          <w:bottom w:val="nil"/>
          <w:right w:val="nil"/>
          <w:between w:val="nil"/>
        </w:pBdr>
        <w:spacing w:line="360" w:lineRule="auto"/>
        <w:ind w:left="360" w:right="-876"/>
        <w:jc w:val="both"/>
        <w:rPr>
          <w:rFonts w:ascii="Palatino Linotype" w:eastAsia="Palatino Linotype" w:hAnsi="Palatino Linotype" w:cs="Palatino Linotype"/>
          <w:color w:val="000000"/>
        </w:rPr>
      </w:pPr>
    </w:p>
    <w:p w:rsidR="006571E3" w:rsidRDefault="002715D2">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Acto Impugnado</w:t>
      </w:r>
    </w:p>
    <w:p w:rsidR="006571E3" w:rsidRDefault="002715D2">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de información”(Sic)</w:t>
      </w:r>
    </w:p>
    <w:p w:rsidR="006571E3" w:rsidRDefault="006571E3">
      <w:pPr>
        <w:pBdr>
          <w:top w:val="nil"/>
          <w:left w:val="nil"/>
          <w:bottom w:val="nil"/>
          <w:right w:val="nil"/>
          <w:between w:val="nil"/>
        </w:pBdr>
        <w:ind w:left="567" w:right="-876"/>
        <w:jc w:val="both"/>
        <w:rPr>
          <w:rFonts w:ascii="Palatino Linotype" w:eastAsia="Palatino Linotype" w:hAnsi="Palatino Linotype" w:cs="Palatino Linotype"/>
          <w:i/>
          <w:iCs/>
        </w:rPr>
      </w:pPr>
    </w:p>
    <w:p w:rsidR="006571E3" w:rsidRDefault="002715D2">
      <w:pPr>
        <w:numPr>
          <w:ilvl w:val="0"/>
          <w:numId w:val="1"/>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6571E3" w:rsidRDefault="002715D2">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respuesta que otorga no es lo que solicité, claramente pedí que no me remitieran a IPOMEX, solicito se revise la presente y se ordene al Sujeto Obligado la entrega de TODO lo solicitado”(Sic)</w:t>
      </w:r>
    </w:p>
    <w:p w:rsidR="006571E3" w:rsidRDefault="006571E3">
      <w:pPr>
        <w:pBdr>
          <w:top w:val="nil"/>
          <w:left w:val="nil"/>
          <w:bottom w:val="nil"/>
          <w:right w:val="nil"/>
          <w:between w:val="nil"/>
        </w:pBdr>
        <w:tabs>
          <w:tab w:val="left" w:pos="851"/>
        </w:tabs>
        <w:spacing w:line="360" w:lineRule="auto"/>
        <w:ind w:left="720" w:right="-876"/>
        <w:jc w:val="both"/>
        <w:rPr>
          <w:rFonts w:ascii="Palatino Linotype" w:eastAsia="Palatino Linotype" w:hAnsi="Palatino Linotype" w:cs="Palatino Linotype"/>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rsidR="006571E3" w:rsidRDefault="006571E3">
      <w:pPr>
        <w:spacing w:line="360" w:lineRule="auto"/>
        <w:ind w:right="-876"/>
        <w:jc w:val="both"/>
        <w:rPr>
          <w:rFonts w:ascii="Palatino Linotype" w:eastAsia="Palatino Linotype" w:hAnsi="Palatino Linotype" w:cs="Palatino Linotype"/>
          <w:i/>
          <w:iCs/>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color w:val="000000"/>
        </w:rPr>
        <w:t xml:space="preserve">La Comisionada Ponente con fundamento en lo dispuesto por el artículo 185 </w:t>
      </w:r>
      <w:r>
        <w:rPr>
          <w:rFonts w:ascii="Palatino Linotype" w:eastAsia="Palatino Linotype" w:hAnsi="Palatino Linotype" w:cs="Palatino Linotype"/>
        </w:rPr>
        <w:t>fracción</w:t>
      </w:r>
      <w:r>
        <w:rPr>
          <w:rFonts w:ascii="Palatino Linotype" w:eastAsia="Palatino Linotype" w:hAnsi="Palatino Linotype" w:cs="Palatino Linotype"/>
          <w:color w:val="000000"/>
        </w:rPr>
        <w:t xml:space="preserve">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dieciséis de febrero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SUJETO OBLIGADO y el RECURRENTE </w:t>
      </w:r>
      <w:r>
        <w:rPr>
          <w:rFonts w:ascii="Palatino Linotype" w:eastAsia="Palatino Linotype" w:hAnsi="Palatino Linotype" w:cs="Palatino Linotype"/>
        </w:rPr>
        <w:t xml:space="preserve">dejaron de realizar manifestaciones que a su derecho conviniera y asistiera, respectivamente en el recurso de revisión. </w:t>
      </w:r>
    </w:p>
    <w:p w:rsidR="006571E3" w:rsidRDefault="006571E3">
      <w:pPr>
        <w:spacing w:line="360" w:lineRule="auto"/>
        <w:ind w:right="-876"/>
        <w:jc w:val="both"/>
        <w:rPr>
          <w:rFonts w:ascii="Palatino Linotype" w:eastAsia="Palatino Linotype" w:hAnsi="Palatino Linotype" w:cs="Palatino Linotype"/>
          <w:i/>
          <w:iCs/>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abril de dos mil veintiséis</w:t>
      </w:r>
      <w:r>
        <w:rPr>
          <w:rFonts w:ascii="Palatino Linotype" w:eastAsia="Palatino Linotype" w:hAnsi="Palatino Linotype" w:cs="Palatino Linotype"/>
        </w:rPr>
        <w:t>, se notificó el acuerdo mediante el cual se amplió el plazo para emitir resolución por un término de 15 días adicionales.</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lastRenderedPageBreak/>
        <w:t xml:space="preserve">Finalmente, la Comisionada Ponente mediante acuerdo del </w:t>
      </w:r>
      <w:r>
        <w:rPr>
          <w:rFonts w:ascii="Palatino Linotype" w:eastAsia="Palatino Linotype" w:hAnsi="Palatino Linotype" w:cs="Palatino Linotype"/>
          <w:b/>
          <w:bCs/>
        </w:rPr>
        <w:t>trece de mayo de dos mil veintiséis</w:t>
      </w:r>
      <w:r>
        <w:rPr>
          <w:rFonts w:ascii="Palatino Linotype" w:eastAsia="Palatino Linotype" w:hAnsi="Palatino Linotype" w:cs="Palatino Linotype"/>
        </w:rPr>
        <w:t xml:space="preserve">, decretó el cierre de instrucción del expediente, por lo que no habiendo más que hacer constar, y </w:t>
      </w:r>
    </w:p>
    <w:p w:rsidR="006571E3" w:rsidRDefault="006571E3">
      <w:pPr>
        <w:spacing w:line="360" w:lineRule="auto"/>
        <w:ind w:right="-876"/>
        <w:jc w:val="both"/>
        <w:rPr>
          <w:rFonts w:ascii="Palatino Linotype" w:eastAsia="Palatino Linotype" w:hAnsi="Palatino Linotype" w:cs="Palatino Linotype"/>
          <w:b/>
          <w:bCs/>
        </w:rPr>
      </w:pPr>
    </w:p>
    <w:p w:rsidR="006571E3" w:rsidRDefault="002715D2">
      <w:pPr>
        <w:keepNext/>
        <w:keepLines/>
        <w:spacing w:line="360" w:lineRule="auto"/>
        <w:ind w:right="-876"/>
        <w:jc w:val="center"/>
        <w:rPr>
          <w:rFonts w:ascii="Palatino Linotype" w:eastAsia="Palatino Linotype" w:hAnsi="Palatino Linotype" w:cs="Palatino Linotype"/>
          <w:b/>
          <w:bCs/>
        </w:rPr>
      </w:pPr>
      <w:bookmarkStart w:id="3" w:name="_heading=h.nycjt733ex46" w:colFirst="0" w:colLast="0"/>
      <w:bookmarkEnd w:id="3"/>
      <w:r>
        <w:rPr>
          <w:rFonts w:ascii="Palatino Linotype" w:eastAsia="Palatino Linotype" w:hAnsi="Palatino Linotype" w:cs="Palatino Linotype"/>
          <w:b/>
          <w:bCs/>
        </w:rPr>
        <w:t>C O N S I D E R A N D O</w:t>
      </w:r>
    </w:p>
    <w:p w:rsidR="006571E3" w:rsidRDefault="006571E3">
      <w:pPr>
        <w:keepNext/>
        <w:keepLines/>
        <w:spacing w:line="360" w:lineRule="auto"/>
        <w:ind w:right="-876"/>
        <w:jc w:val="center"/>
        <w:rPr>
          <w:rFonts w:ascii="Palatino Linotype" w:eastAsia="Palatino Linotype" w:hAnsi="Palatino Linotype" w:cs="Palatino Linotype"/>
          <w:b/>
          <w:bCs/>
        </w:rPr>
      </w:pPr>
    </w:p>
    <w:p w:rsidR="006571E3" w:rsidRDefault="002715D2">
      <w:pPr>
        <w:keepNext/>
        <w:keepLines/>
        <w:spacing w:line="360" w:lineRule="auto"/>
        <w:ind w:right="-876"/>
        <w:rPr>
          <w:rFonts w:ascii="Palatino Linotype" w:eastAsia="Palatino Linotype" w:hAnsi="Palatino Linotype" w:cs="Palatino Linotype"/>
          <w:b/>
          <w:bCs/>
        </w:rPr>
      </w:pPr>
      <w:bookmarkStart w:id="4" w:name="_heading=h.vvdyk6mpgkhy" w:colFirst="0" w:colLast="0"/>
      <w:bookmarkEnd w:id="4"/>
      <w:r>
        <w:rPr>
          <w:rFonts w:ascii="Palatino Linotype" w:eastAsia="Palatino Linotype" w:hAnsi="Palatino Linotype" w:cs="Palatino Linotype"/>
          <w:b/>
          <w:bCs/>
        </w:rPr>
        <w:t>PRIMERO. De la competencia.</w:t>
      </w:r>
    </w:p>
    <w:p w:rsidR="006571E3" w:rsidRDefault="002715D2">
      <w:pPr>
        <w:numPr>
          <w:ilvl w:val="0"/>
          <w:numId w:val="5"/>
        </w:numPr>
        <w:pBdr>
          <w:top w:val="nil"/>
          <w:left w:val="nil"/>
          <w:bottom w:val="nil"/>
          <w:right w:val="nil"/>
          <w:between w:val="nil"/>
        </w:pBdr>
        <w:spacing w:before="240" w:after="240" w:line="360" w:lineRule="auto"/>
        <w:ind w:left="0" w:right="-876" w:firstLine="0"/>
        <w:jc w:val="both"/>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5, párrafos trigésimo segundo, trigésimo tercero y trigésimo cuarto fracciones IV y V de la </w:t>
      </w:r>
      <w:r>
        <w:rPr>
          <w:rFonts w:ascii="Palatino Linotype" w:eastAsia="Palatino Linotype" w:hAnsi="Palatino Linotype" w:cs="Palatino Linotype"/>
          <w:b/>
          <w:bCs/>
          <w:color w:val="000000"/>
        </w:rPr>
        <w:t>Constitución Política del Estado Libre y Soberano de México</w:t>
      </w:r>
      <w:r>
        <w:rPr>
          <w:rFonts w:ascii="Palatino Linotype" w:eastAsia="Palatino Linotype" w:hAnsi="Palatino Linotype" w:cs="Palatino Linotype"/>
          <w:color w:val="000000"/>
        </w:rPr>
        <w:t>; artículos 1, 2 fracción II, 13, 29, 36 fracciones I y II, 176, 178, 179, 181 párrafo tercero y 185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y 7, 9 fracciones I y XXIII, y 11 del </w:t>
      </w:r>
      <w:r>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rPr>
        <w:t>.</w:t>
      </w:r>
    </w:p>
    <w:p w:rsidR="006571E3" w:rsidRDefault="002715D2">
      <w:pPr>
        <w:keepNext/>
        <w:keepLines/>
        <w:spacing w:line="360" w:lineRule="auto"/>
        <w:ind w:right="-876"/>
        <w:rPr>
          <w:rFonts w:ascii="Palatino Linotype" w:eastAsia="Palatino Linotype" w:hAnsi="Palatino Linotype" w:cs="Palatino Linotype"/>
          <w:b/>
          <w:bCs/>
        </w:rPr>
      </w:pPr>
      <w:bookmarkStart w:id="5" w:name="_heading=h.etnyxwv71yh3" w:colFirst="0" w:colLast="0"/>
      <w:bookmarkEnd w:id="5"/>
      <w:r>
        <w:rPr>
          <w:rFonts w:ascii="Palatino Linotype" w:eastAsia="Palatino Linotype" w:hAnsi="Palatino Linotype" w:cs="Palatino Linotype"/>
          <w:b/>
          <w:bCs/>
        </w:rPr>
        <w:t>SEGUNDO. De la oportunidad y procedencia.</w:t>
      </w: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día </w:t>
      </w:r>
      <w:r>
        <w:rPr>
          <w:rFonts w:ascii="Palatino Linotype" w:eastAsia="Palatino Linotype" w:hAnsi="Palatino Linotype" w:cs="Palatino Linotype"/>
          <w:b/>
          <w:bCs/>
        </w:rPr>
        <w:t>doce de febrero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trece de febrero al seis de marzo de dos mil veintiséis</w:t>
      </w:r>
      <w:r>
        <w:rPr>
          <w:rFonts w:ascii="Palatino Linotype" w:eastAsia="Palatino Linotype" w:hAnsi="Palatino Linotype" w:cs="Palatino Linotype"/>
        </w:rPr>
        <w:t xml:space="preserve">, de acuerdo al </w:t>
      </w:r>
      <w:r>
        <w:rPr>
          <w:rFonts w:ascii="Palatino Linotype" w:eastAsia="Palatino Linotype" w:hAnsi="Palatino Linotype" w:cs="Palatino Linotype"/>
        </w:rPr>
        <w:lastRenderedPageBreak/>
        <w:t xml:space="preserve">calendario oficial del Instituto de Transparencia del Estado de México y Municipios; en consecuencia, si el particular presentó su inconformidad el día </w:t>
      </w:r>
      <w:r>
        <w:rPr>
          <w:rFonts w:ascii="Palatino Linotype" w:eastAsia="Palatino Linotype" w:hAnsi="Palatino Linotype" w:cs="Palatino Linotype"/>
          <w:b/>
          <w:bCs/>
        </w:rPr>
        <w:t>doce de febrero de dos mil veintiséis</w:t>
      </w:r>
      <w:r>
        <w:rPr>
          <w:rFonts w:ascii="Palatino Linotype" w:eastAsia="Palatino Linotype" w:hAnsi="Palatino Linotype" w:cs="Palatino Linotype"/>
        </w:rPr>
        <w:t xml:space="preserv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ésta fue notificada. Por lo que es de señalar que en aras de privilegiar el derecho de acceso a la información se entra al estudio del presente recurso de revisión sin que la fecha en que se presentó afecte la resolución.</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6571E3" w:rsidRDefault="002715D2">
      <w:pPr>
        <w:ind w:left="567" w:right="-309"/>
        <w:jc w:val="both"/>
        <w:rPr>
          <w:rFonts w:ascii="Palatino Linotype" w:eastAsia="Palatino Linotype" w:hAnsi="Palatino Linotype" w:cs="Palatino Linotype"/>
          <w:i/>
          <w:iCs/>
        </w:rPr>
      </w:pPr>
      <w:r>
        <w:rPr>
          <w:rFonts w:ascii="Palatino Linotype" w:eastAsia="Palatino Linotype" w:hAnsi="Palatino Linotype" w:cs="Palatino Linotype"/>
          <w:b/>
          <w:bCs/>
          <w:i/>
          <w:iCs/>
        </w:rPr>
        <w:t>“RECURSO DE RECLAMACIÓN. SU INTERPOSICIÓN NO ES EXTEMPORÁNEA SI SE REALIZA ANTES DE QUE INICIE EL PLAZO PARA HACERLO</w:t>
      </w:r>
      <w:r>
        <w:rPr>
          <w:rFonts w:ascii="Palatino Linotype" w:eastAsia="Palatino Linotype" w:hAnsi="Palatino Linotype" w:cs="Palatino Linotype"/>
          <w:i/>
          <w:iCs/>
        </w:rPr>
        <w:t xml:space="preserve">.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w:t>
      </w:r>
      <w:r>
        <w:rPr>
          <w:rFonts w:ascii="Palatino Linotype" w:eastAsia="Palatino Linotype" w:hAnsi="Palatino Linotype" w:cs="Palatino Linotype"/>
          <w:i/>
          <w:iCs/>
        </w:rPr>
        <w:lastRenderedPageBreak/>
        <w:t>iniciado ese término. De ahí que si dicho recurso se interpone antes de que inicie el plazo para hacerlo, su presentación no es extemporánea.”</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Esto es así porque en primer lugar es necesario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w:t>
      </w:r>
      <w:r>
        <w:rPr>
          <w:rFonts w:ascii="Palatino Linotype" w:eastAsia="Palatino Linotype" w:hAnsi="Palatino Linotype" w:cs="Palatino Linotype"/>
          <w:b/>
          <w:bCs/>
        </w:rPr>
        <w:t>notificada EL RECURRENTE</w:t>
      </w:r>
      <w:r>
        <w:rPr>
          <w:rFonts w:ascii="Palatino Linotype" w:eastAsia="Palatino Linotype" w:hAnsi="Palatino Linotype" w:cs="Palatino Linotype"/>
        </w:rPr>
        <w:t xml:space="preserve"> actúe, ya que al contrario lo que demuestra es el interés del mismo para ejercer su derecho bajo el principio constitucional de justicia expedita.</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i/>
          <w:iCs/>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Por lo tanto, la interposición del recurso de revisión antes de que inicie el plazo para su presentación no es determinante para declararlo extemporáneo, siempre y cuando ello ocurra de manera posterior a que se ha notificado la respuesta del </w:t>
      </w:r>
      <w:r>
        <w:rPr>
          <w:rFonts w:ascii="Palatino Linotype" w:eastAsia="Palatino Linotype" w:hAnsi="Palatino Linotype" w:cs="Palatino Linotype"/>
          <w:b/>
          <w:bCs/>
        </w:rPr>
        <w:t>SUJETO OBLIGADO.</w:t>
      </w:r>
    </w:p>
    <w:p w:rsidR="006571E3" w:rsidRDefault="006571E3">
      <w:pPr>
        <w:spacing w:line="360" w:lineRule="auto"/>
        <w:ind w:right="-876"/>
        <w:jc w:val="both"/>
        <w:rPr>
          <w:rFonts w:ascii="Palatino Linotype" w:eastAsia="Palatino Linotype" w:hAnsi="Palatino Linotype" w:cs="Palatino Linotype"/>
          <w:b/>
          <w:bCs/>
        </w:rPr>
      </w:pPr>
    </w:p>
    <w:p w:rsidR="006571E3" w:rsidRDefault="002715D2">
      <w:pPr>
        <w:numPr>
          <w:ilvl w:val="0"/>
          <w:numId w:val="5"/>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b/>
          <w:bCs/>
          <w:color w:val="000000"/>
        </w:rPr>
      </w:pPr>
    </w:p>
    <w:p w:rsidR="006571E3" w:rsidRDefault="002715D2">
      <w:pPr>
        <w:keepNext/>
        <w:keepLines/>
        <w:spacing w:line="360" w:lineRule="auto"/>
        <w:ind w:right="-876"/>
        <w:rPr>
          <w:rFonts w:ascii="Palatino Linotype" w:eastAsia="Palatino Linotype" w:hAnsi="Palatino Linotype" w:cs="Palatino Linotype"/>
          <w:b/>
          <w:bCs/>
        </w:rPr>
      </w:pPr>
      <w:bookmarkStart w:id="6" w:name="_heading=h.khldgl3s9huc" w:colFirst="0" w:colLast="0"/>
      <w:bookmarkEnd w:id="6"/>
      <w:r>
        <w:rPr>
          <w:rFonts w:ascii="Palatino Linotype" w:eastAsia="Palatino Linotype" w:hAnsi="Palatino Linotype" w:cs="Palatino Linotype"/>
          <w:b/>
          <w:bCs/>
        </w:rPr>
        <w:lastRenderedPageBreak/>
        <w:t>TERCERO. Planteamiento de la Litis.</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El particular solicitó </w:t>
      </w:r>
      <w:r>
        <w:rPr>
          <w:rFonts w:ascii="Palatino Linotype" w:eastAsia="Palatino Linotype" w:hAnsi="Palatino Linotype" w:cs="Palatino Linotype"/>
          <w:b/>
          <w:bCs/>
          <w:color w:val="000000"/>
        </w:rPr>
        <w:t xml:space="preserve">de los mandos medios y superiores del Sistema para el Desarrollo Integral de la Familia de Lerma </w:t>
      </w:r>
      <w:r>
        <w:rPr>
          <w:rFonts w:ascii="Palatino Linotype" w:eastAsia="Palatino Linotype" w:hAnsi="Palatino Linotype" w:cs="Palatino Linotype"/>
          <w:color w:val="000000"/>
        </w:rPr>
        <w:t>lo siguiente:</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Sueldo bruto y neto quincenal y mensual </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Gratificaciones, bonos, estímulos y apoyos</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la segunda quincena de diciembre de 2025</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la primera quincena de enero de 2026</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2025 que dé cuenta del aguinaldo y prima vacacional</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brindó respuesta en términos del numeral 3 de esta resolución. </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 negativa de la información solicitada, en los siguientes términos: </w:t>
      </w:r>
      <w:r>
        <w:rPr>
          <w:rFonts w:ascii="Palatino Linotype" w:eastAsia="Palatino Linotype" w:hAnsi="Palatino Linotype" w:cs="Palatino Linotype"/>
          <w:i/>
          <w:iCs/>
          <w:color w:val="000000"/>
        </w:rPr>
        <w:t>“la respuesta que otorga no es lo que solicité, claramente pedí que no me remitieran a IPOMEX, solicito se revise la presente y se ordene al Sujeto Obligado la entrega de TODO lo solicitado.” (Sic)</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FF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V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entrega de información incompleta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6571E3" w:rsidRDefault="002715D2">
      <w:pPr>
        <w:pStyle w:val="Ttulo1"/>
        <w:spacing w:before="0" w:line="360" w:lineRule="auto"/>
        <w:ind w:right="-876"/>
        <w:rPr>
          <w:rFonts w:ascii="Palatino Linotype" w:eastAsia="Palatino Linotype" w:hAnsi="Palatino Linotype" w:cs="Palatino Linotype"/>
          <w:b/>
          <w:bCs/>
          <w:color w:val="000000"/>
          <w:sz w:val="24"/>
          <w:szCs w:val="24"/>
        </w:rPr>
      </w:pPr>
      <w:bookmarkStart w:id="7" w:name="_heading=h.exp1f2h0sjn9" w:colFirst="0" w:colLast="0"/>
      <w:bookmarkEnd w:id="7"/>
      <w:r>
        <w:rPr>
          <w:rFonts w:ascii="Palatino Linotype" w:eastAsia="Palatino Linotype" w:hAnsi="Palatino Linotype" w:cs="Palatino Linotype"/>
          <w:b/>
          <w:bCs/>
          <w:color w:val="000000"/>
          <w:sz w:val="24"/>
          <w:szCs w:val="24"/>
        </w:rPr>
        <w:lastRenderedPageBreak/>
        <w:t>CUARTO. Del estudio y resolución del recurso de revisión.</w:t>
      </w:r>
    </w:p>
    <w:p w:rsidR="006571E3" w:rsidRDefault="002715D2">
      <w:pPr>
        <w:keepNext/>
        <w:keepLines/>
        <w:numPr>
          <w:ilvl w:val="0"/>
          <w:numId w:val="4"/>
        </w:numPr>
        <w:spacing w:after="240" w:line="360" w:lineRule="auto"/>
        <w:ind w:left="786" w:right="-876"/>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6571E3" w:rsidRDefault="002715D2">
      <w:pPr>
        <w:tabs>
          <w:tab w:val="left" w:pos="7655"/>
        </w:tabs>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6571E3" w:rsidRDefault="002715D2">
      <w:pPr>
        <w:tabs>
          <w:tab w:val="left" w:pos="7655"/>
        </w:tabs>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2715D2">
      <w:pPr>
        <w:tabs>
          <w:tab w:val="left" w:pos="7655"/>
        </w:tabs>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6571E3" w:rsidRDefault="002715D2">
      <w:pPr>
        <w:tabs>
          <w:tab w:val="left" w:pos="7655"/>
        </w:tabs>
        <w:ind w:left="567" w:right="-876"/>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6571E3" w:rsidRDefault="002715D2">
      <w:pPr>
        <w:spacing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6571E3" w:rsidRDefault="002715D2">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6571E3" w:rsidRDefault="002715D2">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571E3" w:rsidRDefault="006571E3">
      <w:pPr>
        <w:tabs>
          <w:tab w:val="left" w:pos="567"/>
        </w:tabs>
        <w:spacing w:before="240"/>
        <w:ind w:left="567" w:right="-876"/>
        <w:jc w:val="both"/>
        <w:rPr>
          <w:rFonts w:ascii="Palatino Linotype" w:eastAsia="Palatino Linotype" w:hAnsi="Palatino Linotype" w:cs="Palatino Linotype"/>
          <w:b/>
          <w:bCs/>
          <w:i/>
          <w:iCs/>
        </w:rPr>
      </w:pPr>
    </w:p>
    <w:p w:rsidR="006571E3" w:rsidRDefault="002715D2">
      <w:pPr>
        <w:spacing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w:t>
      </w:r>
      <w:r>
        <w:rPr>
          <w:rFonts w:ascii="Palatino Linotype" w:eastAsia="Palatino Linotype" w:hAnsi="Palatino Linotype" w:cs="Palatino Linotype"/>
          <w:i/>
          <w:iCs/>
        </w:rPr>
        <w:lastRenderedPageBreak/>
        <w:t xml:space="preserve">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571E3" w:rsidRDefault="002715D2">
      <w:pPr>
        <w:numPr>
          <w:ilvl w:val="0"/>
          <w:numId w:val="5"/>
        </w:numPr>
        <w:spacing w:before="240" w:line="360" w:lineRule="auto"/>
        <w:ind w:left="0" w:right="-876"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6571E3" w:rsidRDefault="006571E3">
      <w:pPr>
        <w:spacing w:before="240"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6571E3" w:rsidRDefault="002715D2">
      <w:pPr>
        <w:keepNext/>
        <w:keepLines/>
        <w:spacing w:after="240" w:line="360" w:lineRule="auto"/>
        <w:ind w:right="-876"/>
        <w:rPr>
          <w:rFonts w:ascii="Palatino Linotype" w:eastAsia="Palatino Linotype" w:hAnsi="Palatino Linotype" w:cs="Palatino Linotype"/>
          <w:b/>
          <w:bCs/>
        </w:rPr>
      </w:pPr>
      <w:r>
        <w:rPr>
          <w:rFonts w:ascii="Palatino Linotype" w:eastAsia="Palatino Linotype" w:hAnsi="Palatino Linotype" w:cs="Palatino Linotype"/>
          <w:b/>
          <w:bCs/>
        </w:rPr>
        <w:t>II. De la información solicitada y la respuesta del SUJETO OBLIGADO</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w:t>
      </w:r>
      <w:r>
        <w:rPr>
          <w:rFonts w:ascii="Palatino Linotype" w:eastAsia="Palatino Linotype" w:hAnsi="Palatino Linotype" w:cs="Palatino Linotype"/>
          <w:color w:val="000000"/>
        </w:rPr>
        <w:lastRenderedPageBreak/>
        <w:t>establecido en el artículo 8 de la Ley de Transparencia y Acceso a la Información Pública del Estado de México y Municipios.</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Para efectos de estudio es conveniente reiterar que el solicitante requirió </w:t>
      </w:r>
      <w:r>
        <w:rPr>
          <w:rFonts w:ascii="Palatino Linotype" w:eastAsia="Palatino Linotype" w:hAnsi="Palatino Linotype" w:cs="Palatino Linotype"/>
          <w:b/>
          <w:bCs/>
          <w:color w:val="000000"/>
        </w:rPr>
        <w:t xml:space="preserve">de los mandos medios y superiores del Sistema para el Desarrollo Integral de la Familia de Lerma </w:t>
      </w:r>
      <w:r>
        <w:rPr>
          <w:rFonts w:ascii="Palatino Linotype" w:eastAsia="Palatino Linotype" w:hAnsi="Palatino Linotype" w:cs="Palatino Linotype"/>
          <w:color w:val="000000"/>
        </w:rPr>
        <w:t>lo siguiente:</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Sueldo bruto y neto quincenal y mensual </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Gratificaciones, bonos, estímulos y apoyos</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la segunda quincena de diciembre de 2025</w:t>
      </w:r>
    </w:p>
    <w:p w:rsidR="006571E3"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la primera quincena de enero de 2026</w:t>
      </w:r>
    </w:p>
    <w:p w:rsidR="006571E3" w:rsidRPr="00633104" w:rsidRDefault="002715D2">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2025 que dé cuenta del aguinaldo y prima vacacional</w:t>
      </w:r>
    </w:p>
    <w:p w:rsidR="00633104" w:rsidRDefault="00633104" w:rsidP="00633104">
      <w:pPr>
        <w:pBdr>
          <w:top w:val="nil"/>
          <w:left w:val="nil"/>
          <w:bottom w:val="nil"/>
          <w:right w:val="nil"/>
          <w:between w:val="nil"/>
        </w:pBdr>
        <w:spacing w:line="360" w:lineRule="auto"/>
        <w:ind w:left="1146"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través de la Dirección de Recursos Humanos y servidor público habilitado, informó que toda vez que la información que requiere el particular forma parte de las obligaciones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común, la información se encuentra publicada en el portal electrónico de Información Pública de Oficio Mexiquense (IPOMEX), , proporcionando el siguiente link de acceso </w:t>
      </w:r>
      <w:hyperlink r:id="rId9" w:anchor="/info-fraccion/11/321/28">
        <w:r>
          <w:rPr>
            <w:rFonts w:ascii="Palatino Linotype" w:eastAsia="Palatino Linotype" w:hAnsi="Palatino Linotype" w:cs="Palatino Linotype"/>
            <w:color w:val="0563C1"/>
            <w:u w:val="single"/>
          </w:rPr>
          <w:t>https://ipomex.org.mx/ipomex/#/info-</w:t>
        </w:r>
      </w:hyperlink>
      <w:hyperlink r:id="rId10" w:anchor="/info-fraccion/11/321/28">
        <w:r>
          <w:rPr>
            <w:rFonts w:ascii="Palatino Linotype" w:eastAsia="Palatino Linotype" w:hAnsi="Palatino Linotype" w:cs="Palatino Linotype"/>
            <w:color w:val="0563C1"/>
            <w:u w:val="single"/>
          </w:rPr>
          <w:t>fraccion</w:t>
        </w:r>
      </w:hyperlink>
      <w:hyperlink r:id="rId11" w:anchor="/info-fraccion/11/321/28">
        <w:r>
          <w:rPr>
            <w:rFonts w:ascii="Palatino Linotype" w:eastAsia="Palatino Linotype" w:hAnsi="Palatino Linotype" w:cs="Palatino Linotype"/>
            <w:color w:val="0563C1"/>
            <w:u w:val="single"/>
          </w:rPr>
          <w:t>/11/321/28</w:t>
        </w:r>
      </w:hyperlink>
      <w:r>
        <w:rPr>
          <w:rFonts w:ascii="Palatino Linotype" w:eastAsia="Palatino Linotype" w:hAnsi="Palatino Linotype" w:cs="Palatino Linotype"/>
          <w:color w:val="000000"/>
        </w:rPr>
        <w:t xml:space="preserve"> del que se advierte el sueldo bruto y neto, mensual de mandos medios y superiores; así mismo informó que respecto a los bonos, apoyos y gratificaciones especiales dichos conceptos no fueron aprobados para su otorgamientos durante el ejercicio fiscal 2025; no omite mencionar que en relación a los recibos de nómina de la primera quincena de enero, </w:t>
      </w:r>
      <w:r>
        <w:rPr>
          <w:rFonts w:ascii="Palatino Linotype" w:eastAsia="Palatino Linotype" w:hAnsi="Palatino Linotype" w:cs="Palatino Linotype"/>
        </w:rPr>
        <w:t>aún</w:t>
      </w:r>
      <w:r>
        <w:rPr>
          <w:rFonts w:ascii="Palatino Linotype" w:eastAsia="Palatino Linotype" w:hAnsi="Palatino Linotype" w:cs="Palatino Linotype"/>
          <w:color w:val="000000"/>
        </w:rPr>
        <w:t xml:space="preserve"> no se encuentra disponible en la plataforma IPOMEX, ya que corresponde al primer trimestre de 2026.</w:t>
      </w:r>
    </w:p>
    <w:p w:rsidR="006571E3" w:rsidRDefault="002715D2">
      <w:pPr>
        <w:numPr>
          <w:ilvl w:val="0"/>
          <w:numId w:val="5"/>
        </w:numPr>
        <w:pBdr>
          <w:top w:val="nil"/>
          <w:left w:val="nil"/>
          <w:bottom w:val="nil"/>
          <w:right w:val="nil"/>
          <w:between w:val="nil"/>
        </w:pBdr>
        <w:tabs>
          <w:tab w:val="left" w:pos="0"/>
          <w:tab w:val="left" w:pos="567"/>
        </w:tabs>
        <w:spacing w:line="360" w:lineRule="auto"/>
        <w:ind w:left="0" w:right="-876" w:firstLine="0"/>
        <w:jc w:val="both"/>
      </w:pPr>
      <w:r>
        <w:rPr>
          <w:rFonts w:ascii="Palatino Linotype" w:eastAsia="Palatino Linotype" w:hAnsi="Palatino Linotype" w:cs="Palatino Linotype"/>
        </w:rPr>
        <w:lastRenderedPageBreak/>
        <w:t xml:space="preserve">Precisado lo anterior, se procede al análisis del requerimiento planteado por la persona solicitante y la respuesta proporcionada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En este sentido se inserta el siguiente cuadro de análisis:</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rPr>
      </w:pPr>
    </w:p>
    <w:tbl>
      <w:tblPr>
        <w:tblStyle w:val="a"/>
        <w:tblpPr w:leftFromText="141" w:rightFromText="141" w:vertAnchor="text" w:tblpX="137" w:tblpY="1"/>
        <w:tblW w:w="95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gridCol w:w="2415"/>
        <w:gridCol w:w="2130"/>
        <w:gridCol w:w="2040"/>
      </w:tblGrid>
      <w:tr w:rsidR="006571E3">
        <w:tc>
          <w:tcPr>
            <w:tcW w:w="2940" w:type="dxa"/>
            <w:shd w:val="clear" w:color="auto" w:fill="D9D9D9"/>
          </w:tcPr>
          <w:p w:rsidR="006571E3" w:rsidRDefault="002715D2">
            <w:pPr>
              <w:pBdr>
                <w:top w:val="nil"/>
                <w:left w:val="nil"/>
                <w:bottom w:val="nil"/>
                <w:right w:val="nil"/>
                <w:between w:val="nil"/>
              </w:pBdr>
              <w:ind w:right="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Información Solicitada </w:t>
            </w:r>
          </w:p>
        </w:tc>
        <w:tc>
          <w:tcPr>
            <w:tcW w:w="2415" w:type="dxa"/>
            <w:shd w:val="clear" w:color="auto" w:fill="D9D9D9"/>
          </w:tcPr>
          <w:p w:rsidR="006571E3" w:rsidRDefault="002715D2">
            <w:pPr>
              <w:pBdr>
                <w:top w:val="nil"/>
                <w:left w:val="nil"/>
                <w:bottom w:val="nil"/>
                <w:right w:val="nil"/>
                <w:between w:val="nil"/>
              </w:pBdr>
              <w:ind w:right="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Respuesta </w:t>
            </w:r>
          </w:p>
        </w:tc>
        <w:tc>
          <w:tcPr>
            <w:tcW w:w="2130" w:type="dxa"/>
            <w:shd w:val="clear" w:color="auto" w:fill="D9D9D9"/>
          </w:tcPr>
          <w:p w:rsidR="006571E3" w:rsidRDefault="002715D2">
            <w:pPr>
              <w:pBdr>
                <w:top w:val="nil"/>
                <w:left w:val="nil"/>
                <w:bottom w:val="nil"/>
                <w:right w:val="nil"/>
                <w:between w:val="nil"/>
              </w:pBdr>
              <w:ind w:right="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Informe Justificado </w:t>
            </w:r>
          </w:p>
        </w:tc>
        <w:tc>
          <w:tcPr>
            <w:tcW w:w="2040" w:type="dxa"/>
            <w:shd w:val="clear" w:color="auto" w:fill="D9D9D9"/>
          </w:tcPr>
          <w:p w:rsidR="006571E3" w:rsidRDefault="002715D2">
            <w:pPr>
              <w:pBdr>
                <w:top w:val="nil"/>
                <w:left w:val="nil"/>
                <w:bottom w:val="nil"/>
                <w:right w:val="nil"/>
                <w:between w:val="nil"/>
              </w:pBdr>
              <w:ind w:right="-1195"/>
              <w:jc w:val="both"/>
              <w:rPr>
                <w:rFonts w:ascii="Palatino Linotype" w:eastAsia="Palatino Linotype" w:hAnsi="Palatino Linotype" w:cs="Palatino Linotype"/>
                <w:b/>
                <w:bCs/>
              </w:rPr>
            </w:pPr>
            <w:r>
              <w:rPr>
                <w:rFonts w:ascii="Palatino Linotype" w:eastAsia="Palatino Linotype" w:hAnsi="Palatino Linotype" w:cs="Palatino Linotype"/>
                <w:b/>
                <w:bCs/>
              </w:rPr>
              <w:t>Comentario</w:t>
            </w:r>
          </w:p>
        </w:tc>
      </w:tr>
      <w:tr w:rsidR="006571E3">
        <w:tc>
          <w:tcPr>
            <w:tcW w:w="9525" w:type="dxa"/>
            <w:gridSpan w:val="4"/>
            <w:shd w:val="clear" w:color="auto" w:fill="auto"/>
          </w:tcPr>
          <w:p w:rsidR="006571E3" w:rsidRDefault="002715D2" w:rsidP="00633104">
            <w:pPr>
              <w:pBdr>
                <w:top w:val="nil"/>
                <w:left w:val="nil"/>
                <w:bottom w:val="nil"/>
                <w:right w:val="nil"/>
                <w:between w:val="nil"/>
              </w:pBdr>
              <w:ind w:right="-83"/>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 los mandos medios y superiores del Sistema Municipal para el Desarrollo Integral de la Familia de Lerma</w:t>
            </w:r>
          </w:p>
        </w:tc>
      </w:tr>
      <w:tr w:rsidR="006571E3">
        <w:tc>
          <w:tcPr>
            <w:tcW w:w="2940" w:type="dxa"/>
          </w:tcPr>
          <w:p w:rsidR="006571E3" w:rsidRDefault="002715D2">
            <w:pPr>
              <w:numPr>
                <w:ilvl w:val="0"/>
                <w:numId w:val="13"/>
              </w:numPr>
              <w:ind w:left="283" w:right="7"/>
              <w:jc w:val="both"/>
              <w:rPr>
                <w:rFonts w:ascii="Palatino Linotype" w:eastAsia="Palatino Linotype" w:hAnsi="Palatino Linotype" w:cs="Palatino Linotype"/>
              </w:rPr>
            </w:pPr>
            <w:r>
              <w:rPr>
                <w:rFonts w:ascii="Palatino Linotype" w:eastAsia="Palatino Linotype" w:hAnsi="Palatino Linotype" w:cs="Palatino Linotype"/>
              </w:rPr>
              <w:t>Sueldo bruto y neto, quincenal y mensual</w:t>
            </w:r>
          </w:p>
        </w:tc>
        <w:tc>
          <w:tcPr>
            <w:tcW w:w="2415"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El Servidor Público Habilitado de la Dirección de Recursos Humanos, proporciono el link de acceso que dirige a la información requerida por el particular</w:t>
            </w:r>
          </w:p>
          <w:p w:rsidR="006571E3" w:rsidRDefault="006571E3">
            <w:pPr>
              <w:pBdr>
                <w:top w:val="nil"/>
                <w:left w:val="nil"/>
                <w:bottom w:val="nil"/>
                <w:right w:val="nil"/>
                <w:between w:val="nil"/>
              </w:pBdr>
              <w:ind w:right="7"/>
              <w:jc w:val="both"/>
              <w:rPr>
                <w:rFonts w:ascii="Palatino Linotype" w:eastAsia="Palatino Linotype" w:hAnsi="Palatino Linotype" w:cs="Palatino Linotype"/>
              </w:rPr>
            </w:pPr>
          </w:p>
        </w:tc>
        <w:tc>
          <w:tcPr>
            <w:tcW w:w="2130"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2040" w:type="dxa"/>
          </w:tcPr>
          <w:p w:rsidR="006571E3" w:rsidRDefault="002715D2">
            <w:pPr>
              <w:pBdr>
                <w:top w:val="nil"/>
                <w:left w:val="nil"/>
                <w:bottom w:val="nil"/>
                <w:right w:val="nil"/>
                <w:between w:val="nil"/>
              </w:pBdr>
              <w:ind w:right="-770"/>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6571E3">
        <w:tc>
          <w:tcPr>
            <w:tcW w:w="2940" w:type="dxa"/>
          </w:tcPr>
          <w:p w:rsidR="006571E3" w:rsidRDefault="002715D2">
            <w:pPr>
              <w:numPr>
                <w:ilvl w:val="0"/>
                <w:numId w:val="13"/>
              </w:numPr>
              <w:ind w:left="22" w:right="7" w:firstLine="0"/>
              <w:jc w:val="both"/>
              <w:rPr>
                <w:rFonts w:ascii="Palatino Linotype" w:eastAsia="Palatino Linotype" w:hAnsi="Palatino Linotype" w:cs="Palatino Linotype"/>
              </w:rPr>
            </w:pPr>
            <w:r>
              <w:rPr>
                <w:rFonts w:ascii="Palatino Linotype" w:eastAsia="Palatino Linotype" w:hAnsi="Palatino Linotype" w:cs="Palatino Linotype"/>
              </w:rPr>
              <w:t>Gratificaciones, bonos, estímulos y apoyos que se les otorga</w:t>
            </w:r>
          </w:p>
        </w:tc>
        <w:tc>
          <w:tcPr>
            <w:tcW w:w="2415"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El Servidor Público Habilitado de la Dirección de Recursos Humanos, refirió que para el ejercicio fiscal 2025 dichos conceptos no fueron aprobados para su otorgamiento.</w:t>
            </w:r>
          </w:p>
          <w:p w:rsidR="006571E3" w:rsidRDefault="006571E3">
            <w:pPr>
              <w:pBdr>
                <w:top w:val="nil"/>
                <w:left w:val="nil"/>
                <w:bottom w:val="nil"/>
                <w:right w:val="nil"/>
                <w:between w:val="nil"/>
              </w:pBdr>
              <w:ind w:right="7"/>
              <w:jc w:val="both"/>
              <w:rPr>
                <w:rFonts w:ascii="Palatino Linotype" w:eastAsia="Palatino Linotype" w:hAnsi="Palatino Linotype" w:cs="Palatino Linotype"/>
              </w:rPr>
            </w:pPr>
          </w:p>
        </w:tc>
        <w:tc>
          <w:tcPr>
            <w:tcW w:w="2130"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lastRenderedPageBreak/>
              <w:t>No presenta Informe Justificado</w:t>
            </w:r>
          </w:p>
        </w:tc>
        <w:tc>
          <w:tcPr>
            <w:tcW w:w="2040" w:type="dxa"/>
          </w:tcPr>
          <w:p w:rsidR="006571E3" w:rsidRDefault="002715D2">
            <w:pPr>
              <w:pBdr>
                <w:top w:val="nil"/>
                <w:left w:val="nil"/>
                <w:bottom w:val="nil"/>
                <w:right w:val="nil"/>
                <w:between w:val="nil"/>
              </w:pBdr>
              <w:ind w:right="-770"/>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6571E3">
        <w:tc>
          <w:tcPr>
            <w:tcW w:w="2940" w:type="dxa"/>
          </w:tcPr>
          <w:p w:rsidR="006571E3" w:rsidRDefault="002715D2">
            <w:pPr>
              <w:numPr>
                <w:ilvl w:val="0"/>
                <w:numId w:val="13"/>
              </w:numPr>
              <w:ind w:left="283" w:right="7"/>
              <w:jc w:val="both"/>
              <w:rPr>
                <w:rFonts w:ascii="Palatino Linotype" w:eastAsia="Palatino Linotype" w:hAnsi="Palatino Linotype" w:cs="Palatino Linotype"/>
              </w:rPr>
            </w:pPr>
            <w:r>
              <w:rPr>
                <w:rFonts w:ascii="Palatino Linotype" w:eastAsia="Palatino Linotype" w:hAnsi="Palatino Linotype" w:cs="Palatino Linotype"/>
              </w:rPr>
              <w:t>Recibos de nómina de la segunda quincena de diciembre de 2025</w:t>
            </w:r>
          </w:p>
        </w:tc>
        <w:tc>
          <w:tcPr>
            <w:tcW w:w="2415"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Omitió Pronunciarse</w:t>
            </w:r>
          </w:p>
        </w:tc>
        <w:tc>
          <w:tcPr>
            <w:tcW w:w="2130"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2040" w:type="dxa"/>
          </w:tcPr>
          <w:p w:rsidR="006571E3" w:rsidRDefault="002715D2">
            <w:pPr>
              <w:pBdr>
                <w:top w:val="nil"/>
                <w:left w:val="nil"/>
                <w:bottom w:val="nil"/>
                <w:right w:val="nil"/>
                <w:between w:val="nil"/>
              </w:pBdr>
              <w:ind w:right="-770"/>
              <w:jc w:val="both"/>
              <w:rPr>
                <w:rFonts w:ascii="Palatino Linotype" w:eastAsia="Palatino Linotype" w:hAnsi="Palatino Linotype" w:cs="Palatino Linotype"/>
                <w:b/>
                <w:bCs/>
              </w:rPr>
            </w:pPr>
            <w:r>
              <w:rPr>
                <w:rFonts w:ascii="Palatino Linotype" w:eastAsia="Palatino Linotype" w:hAnsi="Palatino Linotype" w:cs="Palatino Linotype"/>
                <w:b/>
                <w:bCs/>
              </w:rPr>
              <w:t>No colma</w:t>
            </w:r>
          </w:p>
        </w:tc>
      </w:tr>
      <w:tr w:rsidR="006571E3">
        <w:tc>
          <w:tcPr>
            <w:tcW w:w="2940" w:type="dxa"/>
          </w:tcPr>
          <w:p w:rsidR="006571E3" w:rsidRDefault="002715D2">
            <w:pPr>
              <w:numPr>
                <w:ilvl w:val="0"/>
                <w:numId w:val="13"/>
              </w:numPr>
              <w:ind w:left="283" w:right="7"/>
              <w:jc w:val="both"/>
              <w:rPr>
                <w:rFonts w:ascii="Palatino Linotype" w:eastAsia="Palatino Linotype" w:hAnsi="Palatino Linotype" w:cs="Palatino Linotype"/>
              </w:rPr>
            </w:pPr>
            <w:r>
              <w:rPr>
                <w:rFonts w:ascii="Palatino Linotype" w:eastAsia="Palatino Linotype" w:hAnsi="Palatino Linotype" w:cs="Palatino Linotype"/>
              </w:rPr>
              <w:t>Recibos de nómina de la primera quincena de enero de 2026</w:t>
            </w:r>
          </w:p>
        </w:tc>
        <w:tc>
          <w:tcPr>
            <w:tcW w:w="2415"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Omitió Pronunciarse</w:t>
            </w:r>
          </w:p>
        </w:tc>
        <w:tc>
          <w:tcPr>
            <w:tcW w:w="2130"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2040" w:type="dxa"/>
          </w:tcPr>
          <w:p w:rsidR="006571E3" w:rsidRDefault="002715D2">
            <w:pPr>
              <w:pBdr>
                <w:top w:val="nil"/>
                <w:left w:val="nil"/>
                <w:bottom w:val="nil"/>
                <w:right w:val="nil"/>
                <w:between w:val="nil"/>
              </w:pBdr>
              <w:ind w:right="-770"/>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No colma </w:t>
            </w:r>
          </w:p>
        </w:tc>
      </w:tr>
      <w:tr w:rsidR="006571E3">
        <w:tc>
          <w:tcPr>
            <w:tcW w:w="2940" w:type="dxa"/>
          </w:tcPr>
          <w:p w:rsidR="006571E3" w:rsidRDefault="002715D2">
            <w:pPr>
              <w:numPr>
                <w:ilvl w:val="0"/>
                <w:numId w:val="13"/>
              </w:numPr>
              <w:ind w:left="283" w:right="7"/>
              <w:jc w:val="both"/>
              <w:rPr>
                <w:rFonts w:ascii="Palatino Linotype" w:eastAsia="Palatino Linotype" w:hAnsi="Palatino Linotype" w:cs="Palatino Linotype"/>
              </w:rPr>
            </w:pPr>
            <w:r>
              <w:rPr>
                <w:rFonts w:ascii="Palatino Linotype" w:eastAsia="Palatino Linotype" w:hAnsi="Palatino Linotype" w:cs="Palatino Linotype"/>
              </w:rPr>
              <w:t>Recibos de nómina que den cuenta del aguinaldo y prima vacacional otorgado en el ejercicio fiscal 2025</w:t>
            </w:r>
          </w:p>
        </w:tc>
        <w:tc>
          <w:tcPr>
            <w:tcW w:w="2415"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El Servidor Público Habilitado de la Dirección de Recursos Humanos, proporciono el link de acceso que dirige a la información, no obstante el aguinaldo que arroja el sistema corresponde al ejercicio fiscal 2026</w:t>
            </w:r>
          </w:p>
          <w:p w:rsidR="006571E3" w:rsidRDefault="006571E3">
            <w:pPr>
              <w:pBdr>
                <w:top w:val="nil"/>
                <w:left w:val="nil"/>
                <w:bottom w:val="nil"/>
                <w:right w:val="nil"/>
                <w:between w:val="nil"/>
              </w:pBdr>
              <w:ind w:right="7"/>
              <w:jc w:val="both"/>
              <w:rPr>
                <w:rFonts w:ascii="Palatino Linotype" w:eastAsia="Palatino Linotype" w:hAnsi="Palatino Linotype" w:cs="Palatino Linotype"/>
              </w:rPr>
            </w:pPr>
          </w:p>
        </w:tc>
        <w:tc>
          <w:tcPr>
            <w:tcW w:w="2130" w:type="dxa"/>
          </w:tcPr>
          <w:p w:rsidR="006571E3" w:rsidRDefault="002715D2">
            <w:pPr>
              <w:pBdr>
                <w:top w:val="nil"/>
                <w:left w:val="nil"/>
                <w:bottom w:val="nil"/>
                <w:right w:val="nil"/>
                <w:between w:val="nil"/>
              </w:pBdr>
              <w:ind w:right="7"/>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2040" w:type="dxa"/>
          </w:tcPr>
          <w:p w:rsidR="006571E3" w:rsidRDefault="002715D2">
            <w:pPr>
              <w:pBdr>
                <w:top w:val="nil"/>
                <w:left w:val="nil"/>
                <w:bottom w:val="nil"/>
                <w:right w:val="nil"/>
                <w:between w:val="nil"/>
              </w:pBdr>
              <w:ind w:right="-770"/>
              <w:jc w:val="both"/>
              <w:rPr>
                <w:rFonts w:ascii="Palatino Linotype" w:eastAsia="Palatino Linotype" w:hAnsi="Palatino Linotype" w:cs="Palatino Linotype"/>
                <w:b/>
                <w:bCs/>
              </w:rPr>
            </w:pPr>
            <w:r>
              <w:rPr>
                <w:rFonts w:ascii="Palatino Linotype" w:eastAsia="Palatino Linotype" w:hAnsi="Palatino Linotype" w:cs="Palatino Linotype"/>
                <w:b/>
                <w:bCs/>
              </w:rPr>
              <w:t>No colma</w:t>
            </w:r>
          </w:p>
        </w:tc>
      </w:tr>
    </w:tbl>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6571E3">
      <w:pPr>
        <w:spacing w:line="360" w:lineRule="auto"/>
        <w:ind w:left="360"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color w:val="000000"/>
        </w:rPr>
        <w:t xml:space="preserve">De lo expuesto en el cuadro descriptivo, se advierte que se atendieron los puntos marcados con los números 1 y 2, toda vez que el link proporcionado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fue remitido en datos abiertos y dirigen directamente a la información requerida por el particular; tal como se muestra con la siguiente captura de pantalla:</w:t>
      </w:r>
    </w:p>
    <w:p w:rsidR="006571E3" w:rsidRDefault="002715D2">
      <w:pPr>
        <w:spacing w:line="360" w:lineRule="auto"/>
        <w:ind w:right="-876"/>
        <w:jc w:val="center"/>
        <w:rPr>
          <w:rFonts w:ascii="Palatino Linotype" w:eastAsia="Palatino Linotype" w:hAnsi="Palatino Linotype" w:cs="Palatino Linotype"/>
          <w:color w:val="000000"/>
        </w:rPr>
      </w:pPr>
      <w:r>
        <w:rPr>
          <w:rFonts w:ascii="Palatino Linotype" w:eastAsia="Palatino Linotype" w:hAnsi="Palatino Linotype" w:cs="Palatino Linotype"/>
          <w:noProof/>
        </w:rPr>
        <w:lastRenderedPageBreak/>
        <w:drawing>
          <wp:inline distT="0" distB="0" distL="0" distR="0">
            <wp:extent cx="4388245" cy="4436362"/>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388245" cy="4436362"/>
                    </a:xfrm>
                    <a:prstGeom prst="rect">
                      <a:avLst/>
                    </a:prstGeom>
                    <a:ln/>
                  </pic:spPr>
                </pic:pic>
              </a:graphicData>
            </a:graphic>
          </wp:inline>
        </w:drawing>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Descrito lo anterior, se precisa que el presente estudio </w:t>
      </w:r>
      <w:r>
        <w:rPr>
          <w:rFonts w:ascii="Palatino Linotype" w:eastAsia="Palatino Linotype" w:hAnsi="Palatino Linotype" w:cs="Palatino Linotype"/>
        </w:rPr>
        <w:t>versará</w:t>
      </w:r>
      <w:r>
        <w:rPr>
          <w:rFonts w:ascii="Palatino Linotype" w:eastAsia="Palatino Linotype" w:hAnsi="Palatino Linotype" w:cs="Palatino Linotype"/>
          <w:color w:val="000000"/>
        </w:rPr>
        <w:t xml:space="preserve"> únicamente respecto a los numerales 3, 4 y 5 del cuadro descriptivo.</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6571E3" w:rsidRDefault="002715D2">
      <w:pPr>
        <w:numPr>
          <w:ilvl w:val="0"/>
          <w:numId w:val="7"/>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Esto nos lleva a precisar que en nuestra legislación del Estado de México no existe como tal una definición de “Recibo de Pago”; sin embargo, el “Glosario de Términos Usuales de Finanzas Públicas” del Centro de Estudios de las Finanzas Públicas de la Cámara de Diputados del H. Congreso de la Unión, el “Glosario de Términos Administrativos”, emitido por el </w:t>
      </w:r>
      <w:r>
        <w:rPr>
          <w:rFonts w:ascii="Palatino Linotype" w:eastAsia="Palatino Linotype" w:hAnsi="Palatino Linotype" w:cs="Palatino Linotype"/>
          <w:color w:val="000000"/>
        </w:rPr>
        <w:lastRenderedPageBreak/>
        <w:t>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6571E3" w:rsidRDefault="002715D2">
      <w:pPr>
        <w:spacing w:before="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“NÓMINA </w:t>
      </w:r>
      <w:r>
        <w:rPr>
          <w:rFonts w:ascii="Palatino Linotype" w:eastAsia="Palatino Linotype" w:hAnsi="Palatino Linotype" w:cs="Palatino Linotype"/>
          <w:i/>
          <w:iCs/>
        </w:rPr>
        <w:t>Listado general de los trabajadores de una institución, en</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el cual se asientan las percepciones brutas, deducciones y</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alcance neto de las mismas; la nómina es utilizada para</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efectuar los pagos periódicos (semanales, quincenales o</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mensuales) a los trabajadores por concepto de sueldos y</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salarios.”(Sic)</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804.-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patrón tiene obligación de conservar y exhibir en juicio los documentos que a continuación se precisan</w:t>
      </w:r>
      <w:r>
        <w:rPr>
          <w:rFonts w:ascii="Palatino Linotype" w:eastAsia="Palatino Linotype" w:hAnsi="Palatino Linotype" w:cs="Palatino Linotype"/>
          <w:i/>
          <w:iCs/>
        </w:rPr>
        <w:t>:</w:t>
      </w:r>
    </w:p>
    <w:p w:rsidR="006571E3" w:rsidRDefault="006571E3">
      <w:pPr>
        <w:ind w:left="567" w:right="-876"/>
        <w:jc w:val="both"/>
        <w:rPr>
          <w:rFonts w:ascii="Palatino Linotype" w:eastAsia="Palatino Linotype" w:hAnsi="Palatino Linotype" w:cs="Palatino Linotype"/>
          <w:i/>
          <w:iCs/>
        </w:rPr>
      </w:pP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Listas de raya o nómina de personal</w:t>
      </w:r>
      <w:r>
        <w:rPr>
          <w:rFonts w:ascii="Palatino Linotype" w:eastAsia="Palatino Linotype" w:hAnsi="Palatino Linotype" w:cs="Palatino Linotype"/>
          <w:i/>
          <w:iCs/>
        </w:rPr>
        <w:t xml:space="preserve">, cuando se lleven en el centro de trabajo; o recibos de pagos de salarios; </w:t>
      </w: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documentos señalados en la fracción I deberán conservarse mientras dure la relación laboral y hasta un año después; </w:t>
      </w:r>
      <w:r>
        <w:rPr>
          <w:rFonts w:ascii="Palatino Linotype" w:eastAsia="Palatino Linotype" w:hAnsi="Palatino Linotype" w:cs="Palatino Linotype"/>
          <w:b/>
          <w:bCs/>
          <w:i/>
          <w:iCs/>
        </w:rPr>
        <w:t>los señalados en las fracciones II, III y IV, durante el último año y un año después de que se extinga la relación laboral</w:t>
      </w:r>
      <w:r>
        <w:rPr>
          <w:rFonts w:ascii="Palatino Linotype" w:eastAsia="Palatino Linotype" w:hAnsi="Palatino Linotype" w:cs="Palatino Linotype"/>
          <w:i/>
          <w:iCs/>
        </w:rPr>
        <w:t>; y los mencionados en la fracción V, conforme lo señalen las Leyes que los rijan.” (Sic)</w:t>
      </w:r>
    </w:p>
    <w:p w:rsidR="006571E3" w:rsidRDefault="006571E3">
      <w:pPr>
        <w:spacing w:line="360" w:lineRule="auto"/>
        <w:ind w:left="851" w:right="-876"/>
        <w:jc w:val="both"/>
        <w:rPr>
          <w:rFonts w:ascii="Palatino Linotype" w:eastAsia="Palatino Linotype" w:hAnsi="Palatino Linotype" w:cs="Palatino Linotype"/>
          <w:i/>
          <w:iCs/>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6571E3" w:rsidRDefault="002715D2">
      <w:pPr>
        <w:numPr>
          <w:ilvl w:val="0"/>
          <w:numId w:val="5"/>
        </w:numPr>
        <w:pBdr>
          <w:top w:val="nil"/>
          <w:left w:val="nil"/>
          <w:bottom w:val="nil"/>
          <w:right w:val="nil"/>
          <w:between w:val="nil"/>
        </w:pBdr>
        <w:spacing w:after="240" w:line="360" w:lineRule="auto"/>
        <w:ind w:left="0" w:right="-876" w:firstLine="0"/>
        <w:jc w:val="both"/>
      </w:pPr>
      <w:r>
        <w:rPr>
          <w:rFonts w:ascii="Palatino Linotype" w:eastAsia="Palatino Linotype" w:hAnsi="Palatino Linotype" w:cs="Palatino Linotype"/>
          <w:color w:val="000000"/>
        </w:rPr>
        <w:lastRenderedPageBreak/>
        <w:t>En ese contexto, tratándose de servidores públicos de los Municipios la Ley del Trabajo de los Servidores Públicos del Estado y Municipios, en su artículo 220-K, establece lo siguiente:</w:t>
      </w:r>
    </w:p>
    <w:p w:rsidR="006571E3" w:rsidRDefault="002715D2">
      <w:pPr>
        <w:spacing w:before="240"/>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w:t>
      </w:r>
      <w:r>
        <w:rPr>
          <w:rFonts w:ascii="Palatino Linotype" w:eastAsia="Palatino Linotype" w:hAnsi="Palatino Linotype" w:cs="Palatino Linotype"/>
          <w:b/>
          <w:bCs/>
          <w:i/>
          <w:iCs/>
        </w:rPr>
        <w:t>institución o dependencia pública tiene la obligación de conservar y exhibir en el proceso los documentos que a continuación</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 precisan</w:t>
      </w:r>
      <w:r>
        <w:rPr>
          <w:rFonts w:ascii="Palatino Linotype" w:eastAsia="Palatino Linotype" w:hAnsi="Palatino Linotype" w:cs="Palatino Linotype"/>
          <w:i/>
          <w:iCs/>
        </w:rPr>
        <w:t>:</w:t>
      </w:r>
    </w:p>
    <w:p w:rsidR="006571E3" w:rsidRDefault="002715D2">
      <w:pPr>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2715D2">
      <w:pPr>
        <w:ind w:left="851" w:right="-876"/>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II. </w:t>
      </w:r>
      <w:r>
        <w:rPr>
          <w:rFonts w:ascii="Palatino Linotype" w:eastAsia="Palatino Linotype" w:hAnsi="Palatino Linotype" w:cs="Palatino Linotype"/>
          <w:b/>
          <w:bCs/>
          <w:i/>
          <w:iCs/>
        </w:rPr>
        <w:t>Recibos de pagos de salarios 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las constancias documentales del pago de salario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cuando </w:t>
      </w:r>
      <w:r>
        <w:rPr>
          <w:rFonts w:ascii="Palatino Linotype" w:eastAsia="Palatino Linotype" w:hAnsi="Palatino Linotype" w:cs="Palatino Linotype"/>
          <w:b/>
          <w:bCs/>
          <w:i/>
          <w:iCs/>
          <w:u w:val="single"/>
        </w:rPr>
        <w:t>sea por depósito o mediante información electrónica</w:t>
      </w:r>
      <w:r>
        <w:rPr>
          <w:rFonts w:ascii="Palatino Linotype" w:eastAsia="Palatino Linotype" w:hAnsi="Palatino Linotype" w:cs="Palatino Linotype"/>
          <w:b/>
          <w:bCs/>
          <w:i/>
          <w:iCs/>
        </w:rPr>
        <w:t>;</w:t>
      </w:r>
    </w:p>
    <w:p w:rsidR="006571E3" w:rsidRDefault="002715D2">
      <w:pPr>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6571E3">
      <w:pPr>
        <w:ind w:left="851" w:right="-876"/>
        <w:jc w:val="both"/>
        <w:rPr>
          <w:rFonts w:ascii="Palatino Linotype" w:eastAsia="Palatino Linotype" w:hAnsi="Palatino Linotype" w:cs="Palatino Linotype"/>
          <w:i/>
          <w:iCs/>
        </w:rPr>
      </w:pPr>
    </w:p>
    <w:p w:rsidR="006571E3" w:rsidRDefault="002715D2">
      <w:pPr>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w:t>
      </w:r>
      <w:r>
        <w:rPr>
          <w:rFonts w:ascii="Palatino Linotype" w:eastAsia="Palatino Linotype" w:hAnsi="Palatino Linotype" w:cs="Palatino Linotype"/>
          <w:b/>
          <w:bCs/>
          <w:i/>
          <w:iCs/>
          <w:u w:val="single"/>
        </w:rPr>
        <w:t>Recibos o las constancias</w:t>
      </w:r>
      <w:r>
        <w:rPr>
          <w:rFonts w:ascii="Palatino Linotype" w:eastAsia="Palatino Linotype" w:hAnsi="Palatino Linotype" w:cs="Palatino Linotype"/>
          <w:i/>
          <w:iCs/>
        </w:rPr>
        <w:t xml:space="preserve"> de depósito o del medio de información magnética o electrónica que sean utilizadas para el pago de salarios, prima vacacional, </w:t>
      </w:r>
      <w:r>
        <w:rPr>
          <w:rFonts w:ascii="Palatino Linotype" w:eastAsia="Palatino Linotype" w:hAnsi="Palatino Linotype" w:cs="Palatino Linotype"/>
          <w:b/>
          <w:bCs/>
          <w:i/>
          <w:iCs/>
          <w:u w:val="single"/>
        </w:rPr>
        <w:t>aguinaldo</w:t>
      </w:r>
      <w:r>
        <w:rPr>
          <w:rFonts w:ascii="Palatino Linotype" w:eastAsia="Palatino Linotype" w:hAnsi="Palatino Linotype" w:cs="Palatino Linotype"/>
          <w:i/>
          <w:iCs/>
        </w:rPr>
        <w:t xml:space="preserve"> y demás prestaciones establecidas en la presente ley; y…</w:t>
      </w:r>
    </w:p>
    <w:p w:rsidR="006571E3" w:rsidRDefault="006571E3">
      <w:pPr>
        <w:ind w:left="851" w:right="-876"/>
        <w:jc w:val="both"/>
        <w:rPr>
          <w:rFonts w:ascii="Palatino Linotype" w:eastAsia="Palatino Linotype" w:hAnsi="Palatino Linotype" w:cs="Palatino Linotype"/>
          <w:i/>
          <w:iCs/>
        </w:rPr>
      </w:pPr>
    </w:p>
    <w:p w:rsidR="006571E3" w:rsidRDefault="002715D2">
      <w:pPr>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6571E3" w:rsidRDefault="006571E3">
      <w:pPr>
        <w:ind w:left="851" w:right="-876"/>
        <w:jc w:val="both"/>
        <w:rPr>
          <w:rFonts w:ascii="Palatino Linotype" w:eastAsia="Palatino Linotype" w:hAnsi="Palatino Linotype" w:cs="Palatino Linotype"/>
          <w:i/>
          <w:iCs/>
        </w:rPr>
      </w:pPr>
    </w:p>
    <w:p w:rsidR="006571E3" w:rsidRDefault="002715D2">
      <w:pPr>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6571E3" w:rsidRDefault="006571E3">
      <w:pPr>
        <w:tabs>
          <w:tab w:val="left" w:pos="9072"/>
        </w:tabs>
        <w:spacing w:line="360" w:lineRule="auto"/>
        <w:ind w:left="851" w:right="-876"/>
        <w:jc w:val="both"/>
        <w:rPr>
          <w:rFonts w:ascii="Palatino Linotype" w:eastAsia="Palatino Linotype" w:hAnsi="Palatino Linotype" w:cs="Palatino Linotype"/>
          <w:i/>
          <w:iCs/>
        </w:rPr>
      </w:pPr>
    </w:p>
    <w:p w:rsidR="006571E3" w:rsidRDefault="002715D2">
      <w:pPr>
        <w:numPr>
          <w:ilvl w:val="0"/>
          <w:numId w:val="5"/>
        </w:numPr>
        <w:pBdr>
          <w:top w:val="nil"/>
          <w:left w:val="nil"/>
          <w:bottom w:val="nil"/>
          <w:right w:val="nil"/>
          <w:between w:val="nil"/>
        </w:pBdr>
        <w:spacing w:before="120" w:line="360" w:lineRule="auto"/>
        <w:ind w:left="0" w:right="-876" w:firstLine="0"/>
        <w:jc w:val="both"/>
      </w:pPr>
      <w:r>
        <w:rPr>
          <w:rFonts w:ascii="Palatino Linotype" w:eastAsia="Palatino Linotype" w:hAnsi="Palatino Linotype" w:cs="Palatino Linotype"/>
          <w:color w:val="000000"/>
        </w:rPr>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 xml:space="preserve">Bajo otro orden de ideas, por cuanto hace al </w:t>
      </w:r>
      <w:r>
        <w:rPr>
          <w:rFonts w:ascii="Palatino Linotype" w:eastAsia="Palatino Linotype" w:hAnsi="Palatino Linotype" w:cs="Palatino Linotype"/>
          <w:b/>
          <w:bCs/>
          <w:color w:val="000000"/>
        </w:rPr>
        <w:t>pago de aguinaldo</w:t>
      </w:r>
      <w:r>
        <w:rPr>
          <w:rFonts w:ascii="Palatino Linotype" w:eastAsia="Palatino Linotype" w:hAnsi="Palatino Linotype" w:cs="Palatino Linotype"/>
          <w:color w:val="000000"/>
        </w:rPr>
        <w:t xml:space="preserve">, la Ley Federal del Trabajo que en su artículo 84 establece lo siguiente: </w:t>
      </w: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u w:val="single"/>
        </w:rPr>
        <w:t>Artículo 84.- El salario se integra con</w:t>
      </w:r>
      <w:r>
        <w:rPr>
          <w:rFonts w:ascii="Palatino Linotype" w:eastAsia="Palatino Linotype" w:hAnsi="Palatino Linotype" w:cs="Palatino Linotype"/>
          <w:i/>
          <w:iCs/>
        </w:rPr>
        <w:t xml:space="preserve"> los pagos hechos en efectivo por cuota diaria, gratificaciones, percepciones, habitación, primas, comisiones, </w:t>
      </w:r>
      <w:r>
        <w:rPr>
          <w:rFonts w:ascii="Palatino Linotype" w:eastAsia="Palatino Linotype" w:hAnsi="Palatino Linotype" w:cs="Palatino Linotype"/>
          <w:b/>
          <w:bCs/>
          <w:i/>
          <w:iCs/>
          <w:u w:val="single"/>
        </w:rPr>
        <w:t>prestaciones en especie y cualquiera otra cantidad o prestación que se entregue al trabajador por su trabajo.</w:t>
      </w:r>
      <w:r>
        <w:rPr>
          <w:rFonts w:ascii="Palatino Linotype" w:eastAsia="Palatino Linotype" w:hAnsi="Palatino Linotype" w:cs="Palatino Linotype"/>
          <w:i/>
          <w:iCs/>
        </w:rPr>
        <w:t>”</w:t>
      </w:r>
    </w:p>
    <w:p w:rsidR="006571E3" w:rsidRDefault="006571E3">
      <w:pPr>
        <w:spacing w:line="360" w:lineRule="auto"/>
        <w:ind w:right="-876"/>
        <w:jc w:val="both"/>
        <w:rPr>
          <w:rFonts w:ascii="Palatino Linotype" w:eastAsia="Palatino Linotype" w:hAnsi="Palatino Linotype" w:cs="Palatino Linotype"/>
          <w:color w:val="000000"/>
        </w:rPr>
      </w:pPr>
    </w:p>
    <w:p w:rsidR="006571E3" w:rsidRDefault="002715D2" w:rsidP="00633104">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A mayor abundamiento, el artículo 78 de la Ley del Trabajo de Servidores Públicos del Estado de México establece: </w:t>
      </w:r>
    </w:p>
    <w:p w:rsidR="006571E3" w:rsidRDefault="002715D2">
      <w:pPr>
        <w:tabs>
          <w:tab w:val="left" w:pos="6435"/>
        </w:tabs>
        <w:spacing w:line="276"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78.</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Los servidores públicos tendrán derecho a un aguinaldo anual, equivalente a 40 días de sueldo base</w:t>
      </w:r>
      <w:r>
        <w:rPr>
          <w:rFonts w:ascii="Palatino Linotype" w:eastAsia="Palatino Linotype" w:hAnsi="Palatino Linotype" w:cs="Palatino Linotype"/>
          <w:i/>
          <w:iCs/>
        </w:rPr>
        <w:t>, cuando menos, sin deducción alguna, y estará comprendido en el presupuesto de egresos correspondiente.</w:t>
      </w:r>
    </w:p>
    <w:p w:rsidR="006571E3" w:rsidRDefault="006571E3">
      <w:pPr>
        <w:tabs>
          <w:tab w:val="left" w:pos="6435"/>
        </w:tabs>
        <w:spacing w:line="276" w:lineRule="auto"/>
        <w:ind w:left="851" w:right="-876"/>
        <w:jc w:val="both"/>
        <w:rPr>
          <w:rFonts w:ascii="Palatino Linotype" w:eastAsia="Palatino Linotype" w:hAnsi="Palatino Linotype" w:cs="Palatino Linotype"/>
          <w:i/>
          <w:iCs/>
        </w:rPr>
      </w:pPr>
    </w:p>
    <w:p w:rsidR="006571E3" w:rsidRDefault="002715D2">
      <w:pPr>
        <w:tabs>
          <w:tab w:val="left" w:pos="6435"/>
        </w:tabs>
        <w:spacing w:line="276"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Dicho aguinaldo deberá pagarse en </w:t>
      </w:r>
      <w:r>
        <w:rPr>
          <w:rFonts w:ascii="Palatino Linotype" w:eastAsia="Palatino Linotype" w:hAnsi="Palatino Linotype" w:cs="Palatino Linotype"/>
          <w:b/>
          <w:bCs/>
          <w:i/>
          <w:iCs/>
          <w:u w:val="single"/>
        </w:rPr>
        <w:t>dos entregas</w:t>
      </w:r>
      <w:r>
        <w:rPr>
          <w:rFonts w:ascii="Palatino Linotype" w:eastAsia="Palatino Linotype" w:hAnsi="Palatino Linotype" w:cs="Palatino Linotype"/>
          <w:i/>
          <w:iCs/>
        </w:rPr>
        <w:t xml:space="preserve">, la </w:t>
      </w:r>
      <w:r>
        <w:rPr>
          <w:rFonts w:ascii="Palatino Linotype" w:eastAsia="Palatino Linotype" w:hAnsi="Palatino Linotype" w:cs="Palatino Linotype"/>
          <w:b/>
          <w:bCs/>
          <w:i/>
          <w:iCs/>
          <w:u w:val="single"/>
        </w:rPr>
        <w:t>primera de ellas previo al primer período vacacional y la segunda a más tardar el día 15 de diciembre</w:t>
      </w:r>
      <w:r>
        <w:rPr>
          <w:rFonts w:ascii="Palatino Linotype" w:eastAsia="Palatino Linotype" w:hAnsi="Palatino Linotype" w:cs="Palatino Linotype"/>
          <w:i/>
          <w:iCs/>
        </w:rPr>
        <w:t xml:space="preserve">. </w:t>
      </w:r>
    </w:p>
    <w:p w:rsidR="006571E3" w:rsidRDefault="006571E3">
      <w:pPr>
        <w:tabs>
          <w:tab w:val="left" w:pos="6435"/>
        </w:tabs>
        <w:spacing w:line="276" w:lineRule="auto"/>
        <w:ind w:left="851" w:right="-876"/>
        <w:jc w:val="both"/>
        <w:rPr>
          <w:rFonts w:ascii="Palatino Linotype" w:eastAsia="Palatino Linotype" w:hAnsi="Palatino Linotype" w:cs="Palatino Linotype"/>
          <w:i/>
          <w:iCs/>
        </w:rPr>
      </w:pPr>
    </w:p>
    <w:p w:rsidR="006571E3" w:rsidRDefault="002715D2">
      <w:pPr>
        <w:tabs>
          <w:tab w:val="left" w:pos="6435"/>
        </w:tabs>
        <w:spacing w:line="276"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servidores públicos que hayan prestado sus servicios por un lapso menor a un año, tendrán derecho a que se les pague la parte proporcional del aguinaldo de acuerdo a los días efectivamente trabajados.</w:t>
      </w:r>
    </w:p>
    <w:p w:rsidR="006571E3" w:rsidRDefault="006571E3">
      <w:pPr>
        <w:tabs>
          <w:tab w:val="left" w:pos="6435"/>
        </w:tabs>
        <w:spacing w:line="276" w:lineRule="auto"/>
        <w:ind w:left="851" w:right="-876"/>
        <w:jc w:val="both"/>
        <w:rPr>
          <w:rFonts w:ascii="Palatino Linotype" w:eastAsia="Palatino Linotype" w:hAnsi="Palatino Linotype" w:cs="Palatino Linotype"/>
          <w:i/>
          <w:iCs/>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En armonía con esta disposición se reitera que en el artículo 220 k de la Ley previamente citada, mandata a las instituciones públicas el resguardo de diversos soportes documentales, entre los que destacan las constancias de depósito o cualquier medio de información magnético empleado para el pago de salarios, prima vacacional, aguinaldo y demás prestaciones. </w:t>
      </w:r>
    </w:p>
    <w:p w:rsidR="006571E3" w:rsidRDefault="006571E3">
      <w:pPr>
        <w:spacing w:line="360" w:lineRule="auto"/>
        <w:ind w:left="360" w:right="-876"/>
        <w:jc w:val="both"/>
        <w:rPr>
          <w:rFonts w:ascii="Palatino Linotype" w:eastAsia="Palatino Linotype" w:hAnsi="Palatino Linotype" w:cs="Palatino Linotype"/>
          <w:b/>
          <w:bCs/>
          <w:color w:val="000000"/>
          <w:u w:val="single"/>
        </w:rPr>
      </w:pPr>
    </w:p>
    <w:p w:rsidR="006571E3" w:rsidRPr="00633104" w:rsidRDefault="002715D2">
      <w:pPr>
        <w:numPr>
          <w:ilvl w:val="0"/>
          <w:numId w:val="5"/>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Así mismo el Manual General de Organización del Sistema para el Desarrollo Integral de la Familia de Lerma, establece las atribuciones de la Dirección de Recursos Humanos, mismo que a la letra refiere:</w:t>
      </w:r>
    </w:p>
    <w:p w:rsidR="00633104" w:rsidRDefault="00633104" w:rsidP="00633104">
      <w:pPr>
        <w:spacing w:line="360" w:lineRule="auto"/>
        <w:ind w:right="-876"/>
        <w:jc w:val="both"/>
        <w:rPr>
          <w:rFonts w:ascii="Palatino Linotype" w:eastAsia="Palatino Linotype" w:hAnsi="Palatino Linotype" w:cs="Palatino Linotype"/>
          <w:b/>
          <w:bCs/>
        </w:rPr>
      </w:pPr>
    </w:p>
    <w:p w:rsidR="006571E3" w:rsidRDefault="002715D2">
      <w:pPr>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RECURSOS HUMANOS </w:t>
      </w:r>
    </w:p>
    <w:p w:rsidR="006571E3" w:rsidRDefault="006571E3">
      <w:pPr>
        <w:ind w:left="567" w:right="-876"/>
        <w:jc w:val="both"/>
        <w:rPr>
          <w:rFonts w:ascii="Palatino Linotype" w:eastAsia="Palatino Linotype" w:hAnsi="Palatino Linotype" w:cs="Palatino Linotype"/>
          <w:b/>
          <w:bCs/>
          <w:i/>
          <w:iCs/>
        </w:rPr>
      </w:pP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Coadyuvar al logro de los objetivos del organismo, a partir de la coordinación y desarrollo del personal del Sistema Municipal para el Desarrollo Integral de la Familia de Lerma, así como de la planeación, organización, integración y control como fases de la administración de los recursos humanos.</w:t>
      </w:r>
    </w:p>
    <w:p w:rsidR="006571E3" w:rsidRDefault="002715D2">
      <w:pPr>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rsidR="006571E3" w:rsidRDefault="002715D2">
      <w:pPr>
        <w:numPr>
          <w:ilvl w:val="0"/>
          <w:numId w:val="7"/>
        </w:numPr>
        <w:pBdr>
          <w:top w:val="nil"/>
          <w:left w:val="nil"/>
          <w:bottom w:val="nil"/>
          <w:right w:val="nil"/>
          <w:between w:val="nil"/>
        </w:pBdr>
        <w:ind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Efectuar el registro y control de los movimientos del personal adscrito al organismo, realizando las afectaciones y adecuaciones correspondientes a la nómina, a efecto de emitir el pago correcto y oportuno.</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u w:val="single"/>
        </w:rPr>
        <w:t>Programar y coordinar la elaboración de las nóminas para el pago a los servidores públicos de la Institución, el cálculo de estímulos, descuentos, préstamos quirografarios y especiales, así como las actualizaciones correspondientes.</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Gestionar los finiquitos por baja, rescisión laboral o jubilación de los servidores públicos del Sistema Municipal para el Desarrollo Integral de la Familia de Lerma. </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Controlar la asistencia del personal del organismo de acuerdo con las disposiciones dictadas por la Dirección General. </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Aplicar al personal las sanciones que correspondan conforme a las condiciones generales de trabajo, así como registrarlas y tramitarlas administrativamente.</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Proporcionar al personal la información relevante sobre los derechos y obligaciones laborales contraídas al ingresar al Sistema Municipal para el Desarrollo Integral de la Familia de Lerma.</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Actualizar y resguardar la información de los expedientes de los servidores públicos, responsabilizándose de su guarda, custodia y control.</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Ejercer las medidas de vigilancia y supervisión de la permanencia del servidor público en su puesto de adscripción y la efectiva prestación de los servicios asignados. </w:t>
      </w:r>
    </w:p>
    <w:p w:rsidR="006571E3" w:rsidRDefault="002715D2">
      <w:pPr>
        <w:numPr>
          <w:ilvl w:val="0"/>
          <w:numId w:val="7"/>
        </w:num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Planear y ejecutar los procedimientos de reclutamiento, selección, contratación e inducción de personal, así como establecer y operar un sistema de capacitación y adiestramiento acorde a los objetivos y requerimientos establecidos por las unidades administrativas del organismo. </w:t>
      </w:r>
    </w:p>
    <w:p w:rsidR="006571E3" w:rsidRDefault="002715D2">
      <w:pPr>
        <w:pBdr>
          <w:top w:val="nil"/>
          <w:left w:val="nil"/>
          <w:bottom w:val="nil"/>
          <w:right w:val="nil"/>
          <w:between w:val="nil"/>
        </w:pBdr>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571E3" w:rsidRDefault="006571E3">
      <w:pPr>
        <w:spacing w:line="360" w:lineRule="auto"/>
        <w:ind w:right="-876"/>
        <w:jc w:val="both"/>
        <w:rPr>
          <w:rFonts w:ascii="Palatino Linotype" w:eastAsia="Palatino Linotype" w:hAnsi="Palatino Linotype" w:cs="Palatino Linotype"/>
          <w:b/>
          <w:bCs/>
          <w:u w:val="single"/>
        </w:rPr>
      </w:pPr>
    </w:p>
    <w:p w:rsidR="006571E3" w:rsidRDefault="002715D2">
      <w:pPr>
        <w:numPr>
          <w:ilvl w:val="0"/>
          <w:numId w:val="5"/>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lo antes descrito, se desprende que </w:t>
      </w:r>
      <w:r>
        <w:rPr>
          <w:rFonts w:ascii="Palatino Linotype" w:eastAsia="Palatino Linotype" w:hAnsi="Palatino Linotype" w:cs="Palatino Linotype"/>
          <w:b/>
          <w:bCs/>
          <w:u w:val="single"/>
        </w:rPr>
        <w:t xml:space="preserve">toda institución pública de la entidad, debe conservar las constancias documentales del pago de salario cuando sea por depósito o </w:t>
      </w:r>
      <w:r>
        <w:rPr>
          <w:rFonts w:ascii="Palatino Linotype" w:eastAsia="Palatino Linotype" w:hAnsi="Palatino Linotype" w:cs="Palatino Linotype"/>
          <w:b/>
          <w:bCs/>
          <w:u w:val="single"/>
        </w:rPr>
        <w:lastRenderedPageBreak/>
        <w:t xml:space="preserve">mediante información electrónica y que además dicha documentación deberá conservarse durante el último año y un año después de que se extingue la relación laboral. </w:t>
      </w:r>
      <w:r>
        <w:rPr>
          <w:rFonts w:ascii="Palatino Linotype" w:eastAsia="Palatino Linotype" w:hAnsi="Palatino Linotype" w:cs="Palatino Linotype"/>
        </w:rPr>
        <w:t xml:space="preserve">Por lo tanto se advierte que el DIF Municipal de Lerma posee la documentación requerida por el particular y está en posibilidad de brindar respuesta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w:t>
      </w:r>
    </w:p>
    <w:p w:rsidR="006571E3" w:rsidRDefault="006571E3">
      <w:pPr>
        <w:spacing w:line="360" w:lineRule="auto"/>
        <w:ind w:right="-876"/>
        <w:jc w:val="both"/>
        <w:rPr>
          <w:rFonts w:ascii="Palatino Linotype" w:eastAsia="Palatino Linotype" w:hAnsi="Palatino Linotype" w:cs="Palatino Linotype"/>
          <w:b/>
          <w:bCs/>
          <w:u w:val="single"/>
        </w:rPr>
      </w:pPr>
      <w:bookmarkStart w:id="8" w:name="_heading=h.46nk3ceezyc5" w:colFirst="0" w:colLast="0"/>
      <w:bookmarkEnd w:id="8"/>
    </w:p>
    <w:p w:rsidR="006571E3" w:rsidRPr="00633104" w:rsidRDefault="002715D2">
      <w:pPr>
        <w:numPr>
          <w:ilvl w:val="0"/>
          <w:numId w:val="5"/>
        </w:numPr>
        <w:spacing w:line="360" w:lineRule="auto"/>
        <w:ind w:left="0" w:right="-876" w:firstLine="0"/>
        <w:jc w:val="both"/>
      </w:pPr>
      <w:r>
        <w:rPr>
          <w:rFonts w:ascii="Palatino Linotype" w:eastAsia="Palatino Linotype" w:hAnsi="Palatino Linotype" w:cs="Palatino Linotype"/>
        </w:rPr>
        <w:t>Ahora bien, tomando en consideración que en la solicitud, requieren los recibos de nómina de los mandos medios y superiores del Sistema para el Desarrollo Integral de la Familia de Lerma, conviene traer a colación el Organigrama del Sujeto Obligado:</w:t>
      </w:r>
    </w:p>
    <w:p w:rsidR="00633104" w:rsidRDefault="00633104" w:rsidP="00633104">
      <w:pPr>
        <w:pStyle w:val="Prrafodelista"/>
      </w:pPr>
    </w:p>
    <w:p w:rsidR="00633104" w:rsidRDefault="00633104" w:rsidP="00633104">
      <w:pPr>
        <w:spacing w:line="360" w:lineRule="auto"/>
        <w:ind w:right="-876"/>
        <w:jc w:val="both"/>
      </w:pP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5718165" cy="454931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18165" cy="4549315"/>
                    </a:xfrm>
                    <a:prstGeom prst="rect">
                      <a:avLst/>
                    </a:prstGeom>
                    <a:ln/>
                  </pic:spPr>
                </pic:pic>
              </a:graphicData>
            </a:graphic>
          </wp:inline>
        </w:drawing>
      </w: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lastRenderedPageBreak/>
        <w:t>Del documento insertado se advierten las Dirección, Jefaturas, Coordinaciones, Unidades y Subdirecciones con que cuenta el Sujeto Obligado y que alcanzan el grado de mandos medios y superiores, lo que advierte que la información a entregar corresponde a los titulares de dichas Unidades Administrativas.</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Ahora bien, tomando en consideración que de la información requerida se vislumbra que requieren información de la Presidenta del Sistema Municipal para el Desarrollo Integral de la Familia de Lerma, por ser un mando superior, es importante traer a colación lo establecido en el artículo 21 de la Ley de Asistencia Social del Estado de México, que a la letra dice </w:t>
      </w:r>
    </w:p>
    <w:p w:rsidR="006571E3" w:rsidRDefault="002715D2">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21.</w:t>
      </w:r>
      <w:r>
        <w:rPr>
          <w:rFonts w:ascii="Palatino Linotype" w:eastAsia="Palatino Linotype" w:hAnsi="Palatino Linotype" w:cs="Palatino Linotype"/>
          <w:i/>
          <w:iCs/>
        </w:rPr>
        <w:t xml:space="preserve">- El órgano superior del DIFEM será la Junta de Gobierno, la cual estará integrada de la forma siguiente: </w:t>
      </w:r>
    </w:p>
    <w:p w:rsidR="006571E3" w:rsidRDefault="002715D2">
      <w:pPr>
        <w:numPr>
          <w:ilvl w:val="0"/>
          <w:numId w:val="8"/>
        </w:numPr>
        <w:pBdr>
          <w:top w:val="nil"/>
          <w:left w:val="nil"/>
          <w:bottom w:val="nil"/>
          <w:right w:val="nil"/>
          <w:between w:val="nil"/>
        </w:pBdr>
        <w:ind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Una Presidencia, que estará a cargo de la persona Titular del Poder Ejecutivo del Estado o la persona que ella designe; </w:t>
      </w:r>
    </w:p>
    <w:p w:rsidR="006571E3" w:rsidRDefault="002715D2">
      <w:pPr>
        <w:numPr>
          <w:ilvl w:val="0"/>
          <w:numId w:val="8"/>
        </w:numPr>
        <w:pBdr>
          <w:top w:val="nil"/>
          <w:left w:val="nil"/>
          <w:bottom w:val="nil"/>
          <w:right w:val="nil"/>
          <w:between w:val="nil"/>
        </w:pBdr>
        <w:ind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Una Vicepresidencia, que estará a cargo de la persona designada por la persona Titular del Poder Ejecutivo del Estado; </w:t>
      </w:r>
    </w:p>
    <w:p w:rsidR="006571E3" w:rsidRDefault="002715D2">
      <w:pPr>
        <w:numPr>
          <w:ilvl w:val="0"/>
          <w:numId w:val="8"/>
        </w:numPr>
        <w:pBdr>
          <w:top w:val="nil"/>
          <w:left w:val="nil"/>
          <w:bottom w:val="nil"/>
          <w:right w:val="nil"/>
          <w:between w:val="nil"/>
        </w:pBdr>
        <w:ind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Secretaría que estará a cargo de la persona Titular de la Dirección General del DIFEM; </w:t>
      </w:r>
    </w:p>
    <w:p w:rsidR="006571E3" w:rsidRDefault="002715D2">
      <w:pPr>
        <w:numPr>
          <w:ilvl w:val="0"/>
          <w:numId w:val="8"/>
        </w:numPr>
        <w:pBdr>
          <w:top w:val="nil"/>
          <w:left w:val="nil"/>
          <w:bottom w:val="nil"/>
          <w:right w:val="nil"/>
          <w:between w:val="nil"/>
        </w:pBdr>
        <w:ind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Cinco Vocales, que serán las personas titulares de las Secretarías de: Finanzas, Educación, Ciencia, Tecnología e Innovación, Salud, Bienestar, y de la Fiscalía General de Justicia del Estado de México, y </w:t>
      </w:r>
    </w:p>
    <w:p w:rsidR="006571E3" w:rsidRDefault="002715D2">
      <w:pPr>
        <w:numPr>
          <w:ilvl w:val="0"/>
          <w:numId w:val="8"/>
        </w:numPr>
        <w:pBdr>
          <w:top w:val="nil"/>
          <w:left w:val="nil"/>
          <w:bottom w:val="nil"/>
          <w:right w:val="nil"/>
          <w:between w:val="nil"/>
        </w:pBdr>
        <w:ind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Una Comisaría, que estará a cargo de la persona designada por la persona </w:t>
      </w:r>
      <w:r>
        <w:rPr>
          <w:rFonts w:ascii="Palatino Linotype" w:eastAsia="Palatino Linotype" w:hAnsi="Palatino Linotype" w:cs="Palatino Linotype"/>
          <w:i/>
          <w:iCs/>
        </w:rPr>
        <w:t>titular</w:t>
      </w:r>
      <w:r>
        <w:rPr>
          <w:rFonts w:ascii="Palatino Linotype" w:eastAsia="Palatino Linotype" w:hAnsi="Palatino Linotype" w:cs="Palatino Linotype"/>
          <w:i/>
          <w:iCs/>
          <w:color w:val="000000"/>
        </w:rPr>
        <w:t xml:space="preserve"> de la Secretaría de la Contraloría. </w:t>
      </w:r>
    </w:p>
    <w:p w:rsidR="006571E3" w:rsidRDefault="006571E3">
      <w:pPr>
        <w:pBdr>
          <w:top w:val="nil"/>
          <w:left w:val="nil"/>
          <w:bottom w:val="nil"/>
          <w:right w:val="nil"/>
          <w:between w:val="nil"/>
        </w:pBdr>
        <w:ind w:left="1287" w:right="-876"/>
        <w:jc w:val="both"/>
        <w:rPr>
          <w:rFonts w:ascii="Palatino Linotype" w:eastAsia="Palatino Linotype" w:hAnsi="Palatino Linotype" w:cs="Palatino Linotype"/>
          <w:b/>
          <w:bCs/>
          <w:i/>
          <w:iCs/>
          <w:color w:val="000000"/>
        </w:rPr>
      </w:pPr>
    </w:p>
    <w:p w:rsidR="006571E3" w:rsidRDefault="002715D2">
      <w:pPr>
        <w:pBdr>
          <w:top w:val="nil"/>
          <w:left w:val="nil"/>
          <w:bottom w:val="nil"/>
          <w:right w:val="nil"/>
          <w:between w:val="nil"/>
        </w:pBdr>
        <w:ind w:left="567"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i/>
          <w:iCs/>
          <w:color w:val="000000"/>
        </w:rPr>
        <w:t>Los cargos de los integrantes de la Junta de Gobierno serán honoríficos.</w:t>
      </w:r>
    </w:p>
    <w:p w:rsidR="006571E3" w:rsidRDefault="006571E3">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 xml:space="preserve">De lo antes expuesto se advierte que la Presidenta del Sistema Municipal para el Desarrollo Integral de la Familia de Lerma, tiene la categoría de </w:t>
      </w:r>
      <w:r>
        <w:rPr>
          <w:rFonts w:ascii="Palatino Linotype" w:eastAsia="Palatino Linotype" w:hAnsi="Palatino Linotype" w:cs="Palatino Linotype"/>
          <w:b/>
          <w:bCs/>
          <w:color w:val="000000"/>
        </w:rPr>
        <w:t xml:space="preserve">honorifica, </w:t>
      </w:r>
      <w:r>
        <w:rPr>
          <w:rFonts w:ascii="Palatino Linotype" w:eastAsia="Palatino Linotype" w:hAnsi="Palatino Linotype" w:cs="Palatino Linotype"/>
          <w:color w:val="000000"/>
        </w:rPr>
        <w:t>por tanto no hay</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fuente obligacional que exija al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poseer y/o administrar un comprobante de pago de nómina.</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 xml:space="preserve">En este sentido, para el caso de que el recibo de nómina de la Presidenta del Sistema Municipal para el Desarrollo Integral de la Familia de Lerma, no obre en los archivos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bastará con que así lo haga del conocimiento del particular en términos del artículo 19, párrafo segundo, de la Ley de Transparencia y Acceso a la Información Pública del Estado de México y Municipios</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Ahora bien,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6571E3" w:rsidRDefault="002715D2">
      <w:pPr>
        <w:spacing w:before="240" w:after="240"/>
        <w:ind w:left="708" w:right="-876" w:hanging="14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w:t>
      </w:r>
      <w:r>
        <w:rPr>
          <w:rFonts w:ascii="Palatino Linotype" w:eastAsia="Palatino Linotype" w:hAnsi="Palatino Linotype" w:cs="Palatino Linotype"/>
          <w:b/>
          <w:bCs/>
          <w:i/>
          <w:iCs/>
        </w:rPr>
        <w:lastRenderedPageBreak/>
        <w:t>público, en los términos de las causas legítimas y estrictamente necesarias previstas por esta Ley.</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rsidR="006571E3" w:rsidRDefault="006571E3">
      <w:pPr>
        <w:spacing w:before="240" w:after="240"/>
        <w:ind w:left="567" w:right="-876"/>
        <w:jc w:val="both"/>
        <w:rPr>
          <w:rFonts w:ascii="Palatino Linotype" w:eastAsia="Palatino Linotype" w:hAnsi="Palatino Linotype" w:cs="Palatino Linotype"/>
          <w:i/>
          <w:iCs/>
        </w:rPr>
      </w:pPr>
    </w:p>
    <w:p w:rsidR="006571E3" w:rsidRDefault="002715D2">
      <w:pPr>
        <w:numPr>
          <w:ilvl w:val="0"/>
          <w:numId w:val="5"/>
        </w:numPr>
        <w:spacing w:before="240" w:line="360" w:lineRule="auto"/>
        <w:ind w:left="0" w:right="-876" w:firstLine="0"/>
        <w:jc w:val="both"/>
      </w:pPr>
      <w:r>
        <w:rPr>
          <w:rFonts w:ascii="Palatino Linotype" w:eastAsia="Palatino Linotype" w:hAnsi="Palatino Linotype" w:cs="Palatino Linotype"/>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6571E3" w:rsidRDefault="002715D2">
      <w:pPr>
        <w:spacing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 efectuar cálculos o practicar investigaciones.” (Sic)</w:t>
      </w:r>
    </w:p>
    <w:p w:rsidR="006571E3" w:rsidRDefault="006571E3">
      <w:pPr>
        <w:spacing w:before="240" w:after="240"/>
        <w:ind w:left="567" w:right="-876"/>
        <w:jc w:val="both"/>
        <w:rPr>
          <w:rFonts w:ascii="Palatino Linotype" w:eastAsia="Palatino Linotype" w:hAnsi="Palatino Linotype" w:cs="Palatino Linotype"/>
          <w:i/>
          <w:iCs/>
        </w:rPr>
      </w:pPr>
    </w:p>
    <w:p w:rsidR="006571E3" w:rsidRDefault="002715D2">
      <w:pPr>
        <w:numPr>
          <w:ilvl w:val="0"/>
          <w:numId w:val="5"/>
        </w:numPr>
        <w:spacing w:before="240" w:line="360" w:lineRule="auto"/>
        <w:ind w:left="0" w:right="-876" w:firstLine="0"/>
        <w:jc w:val="both"/>
      </w:pPr>
      <w:r>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Pr>
          <w:rFonts w:ascii="Palatino Linotype" w:eastAsia="Palatino Linotype" w:hAnsi="Palatino Linotype" w:cs="Palatino Linotype"/>
          <w:i/>
          <w:iCs/>
        </w:rPr>
        <w:t>ad hoc</w:t>
      </w:r>
      <w:r>
        <w:rPr>
          <w:rFonts w:ascii="Palatino Linotype" w:eastAsia="Palatino Linotype" w:hAnsi="Palatino Linotype" w:cs="Palatino Linotype"/>
        </w:rPr>
        <w:t>, para satisfacer el derecho de acceso a la información pública, como así lo establece</w:t>
      </w:r>
      <w:r>
        <w:rPr>
          <w:rFonts w:ascii="Palatino Linotype" w:eastAsia="Palatino Linotype" w:hAnsi="Palatino Linotype" w:cs="Palatino Linotype"/>
          <w:strike/>
          <w:color w:val="FF0000"/>
        </w:rPr>
        <w:t xml:space="preserve"> </w:t>
      </w:r>
      <w:r>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6571E3" w:rsidRDefault="002715D2">
      <w:pPr>
        <w:spacing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03/17</w:t>
      </w:r>
    </w:p>
    <w:p w:rsidR="006571E3" w:rsidRDefault="002715D2">
      <w:p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EXISTE OBLIGACIÓN DE ELABORAR DOCUMENTOS AD HOC PARA ATENDER LAS SOLICITUDES DE ACCESO A LA INFORMACIÓN.</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6571E3" w:rsidRDefault="006571E3">
      <w:pPr>
        <w:spacing w:before="240" w:after="240"/>
        <w:ind w:left="567" w:right="-876"/>
        <w:jc w:val="both"/>
        <w:rPr>
          <w:rFonts w:ascii="Palatino Linotype" w:eastAsia="Palatino Linotype" w:hAnsi="Palatino Linotype" w:cs="Palatino Linotype"/>
          <w:i/>
          <w:iCs/>
        </w:rPr>
      </w:pPr>
    </w:p>
    <w:p w:rsidR="006571E3" w:rsidRDefault="002715D2">
      <w:pPr>
        <w:numPr>
          <w:ilvl w:val="0"/>
          <w:numId w:val="5"/>
        </w:numPr>
        <w:spacing w:before="240" w:line="360" w:lineRule="auto"/>
        <w:ind w:left="0" w:right="-876" w:firstLine="0"/>
        <w:jc w:val="both"/>
      </w:pPr>
      <w:r>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6571E3" w:rsidRDefault="002715D2">
      <w:pPr>
        <w:numPr>
          <w:ilvl w:val="0"/>
          <w:numId w:val="5"/>
        </w:numPr>
        <w:spacing w:before="240" w:line="360" w:lineRule="auto"/>
        <w:ind w:left="0" w:right="-876" w:firstLine="0"/>
        <w:jc w:val="both"/>
      </w:pPr>
      <w:r>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6571E3" w:rsidRDefault="006571E3">
      <w:pPr>
        <w:spacing w:line="360" w:lineRule="auto"/>
        <w:ind w:left="708" w:right="-876"/>
        <w:rPr>
          <w:rFonts w:ascii="Palatino Linotype" w:eastAsia="Palatino Linotype" w:hAnsi="Palatino Linotype" w:cs="Palatino Linotype"/>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lastRenderedPageBreak/>
        <w:t xml:space="preserve">En conclusión, el derecho de acceso a la información pública, consiste en que la información solicitada conste en un documento en cualquiera de sus formas, a saber: expedientes, reportes, estudios, actas, resoluciones, </w:t>
      </w:r>
      <w:r>
        <w:rPr>
          <w:rFonts w:ascii="Palatino Linotype" w:eastAsia="Palatino Linotype" w:hAnsi="Palatino Linotype" w:cs="Palatino Linotype"/>
          <w:b/>
          <w:bCs/>
          <w:u w:val="single"/>
        </w:rPr>
        <w:t>oficios</w:t>
      </w:r>
      <w:r>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6571E3" w:rsidRDefault="002715D2">
      <w:pPr>
        <w:spacing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3. </w:t>
      </w:r>
      <w:r>
        <w:rPr>
          <w:rFonts w:ascii="Palatino Linotype" w:eastAsia="Palatino Linotype" w:hAnsi="Palatino Linotype" w:cs="Palatino Linotype"/>
          <w:i/>
          <w:iCs/>
        </w:rPr>
        <w:t>Para los efectos de la presente Ley se entenderá por:</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w:t>
      </w:r>
      <w:r>
        <w:rPr>
          <w:rFonts w:ascii="Palatino Linotype" w:eastAsia="Palatino Linotype" w:hAnsi="Palatino Linotype" w:cs="Palatino Linotype"/>
          <w:b/>
          <w:bCs/>
          <w:i/>
          <w:iCs/>
        </w:rPr>
        <w:t>actas,</w:t>
      </w:r>
      <w:r>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Pr>
          <w:rFonts w:ascii="Palatino Linotype" w:eastAsia="Palatino Linotype" w:hAnsi="Palatino Linotype" w:cs="Palatino Linotype"/>
          <w:b/>
          <w:bCs/>
          <w:i/>
          <w:iCs/>
        </w:rPr>
        <w:t>…</w:t>
      </w:r>
      <w:r>
        <w:rPr>
          <w:rFonts w:ascii="Palatino Linotype" w:eastAsia="Palatino Linotype" w:hAnsi="Palatino Linotype" w:cs="Palatino Linotype"/>
          <w:i/>
          <w:iCs/>
        </w:rPr>
        <w:t>” (Sic)</w:t>
      </w:r>
    </w:p>
    <w:p w:rsidR="006571E3" w:rsidRDefault="006571E3">
      <w:pPr>
        <w:spacing w:before="240" w:after="240"/>
        <w:ind w:left="567" w:right="-876"/>
        <w:jc w:val="both"/>
        <w:rPr>
          <w:rFonts w:ascii="Palatino Linotype" w:eastAsia="Palatino Linotype" w:hAnsi="Palatino Linotype" w:cs="Palatino Linotype"/>
          <w:i/>
          <w:iCs/>
        </w:rPr>
      </w:pPr>
    </w:p>
    <w:p w:rsidR="006571E3" w:rsidRDefault="002715D2">
      <w:pPr>
        <w:numPr>
          <w:ilvl w:val="0"/>
          <w:numId w:val="5"/>
        </w:numPr>
        <w:spacing w:before="240" w:line="360" w:lineRule="auto"/>
        <w:ind w:left="0" w:right="-876" w:firstLine="0"/>
        <w:jc w:val="both"/>
      </w:pPr>
      <w:r>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6571E3" w:rsidRDefault="002715D2">
      <w:pPr>
        <w:spacing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w:t>
      </w:r>
      <w:r>
        <w:rPr>
          <w:rFonts w:ascii="Palatino Linotype" w:eastAsia="Palatino Linotype" w:hAnsi="Palatino Linotype" w:cs="Palatino Linotype"/>
          <w:i/>
          <w:iCs/>
        </w:rPr>
        <w:lastRenderedPageBreak/>
        <w:t>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6571E3" w:rsidRDefault="002715D2">
      <w:p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6571E3" w:rsidRDefault="002715D2">
      <w:pPr>
        <w:numPr>
          <w:ilvl w:val="0"/>
          <w:numId w:val="3"/>
        </w:numPr>
        <w:spacing w:before="240" w:after="240"/>
        <w:ind w:left="567" w:right="-8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6571E3" w:rsidRDefault="002715D2">
      <w:pPr>
        <w:numPr>
          <w:ilvl w:val="0"/>
          <w:numId w:val="3"/>
        </w:numPr>
        <w:spacing w:before="240" w:after="240"/>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6571E3" w:rsidRDefault="002715D2">
      <w:pPr>
        <w:spacing w:before="240" w:after="240"/>
        <w:ind w:left="567" w:right="-876" w:hanging="284"/>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6571E3" w:rsidRDefault="006571E3">
      <w:pPr>
        <w:spacing w:before="240" w:after="240"/>
        <w:ind w:left="567" w:right="-876" w:hanging="284"/>
        <w:jc w:val="both"/>
        <w:rPr>
          <w:rFonts w:ascii="Palatino Linotype" w:eastAsia="Palatino Linotype" w:hAnsi="Palatino Linotype" w:cs="Palatino Linotype"/>
          <w:i/>
          <w:iCs/>
        </w:rPr>
      </w:pPr>
    </w:p>
    <w:p w:rsidR="006571E3" w:rsidRDefault="002715D2">
      <w:pPr>
        <w:numPr>
          <w:ilvl w:val="0"/>
          <w:numId w:val="5"/>
        </w:numPr>
        <w:spacing w:line="360" w:lineRule="auto"/>
        <w:ind w:left="0" w:right="-876" w:firstLine="0"/>
        <w:jc w:val="both"/>
      </w:pPr>
      <w:r>
        <w:rPr>
          <w:rFonts w:ascii="Palatino Linotype" w:eastAsia="Palatino Linotype" w:hAnsi="Palatino Linotype" w:cs="Palatino Linotype"/>
        </w:rPr>
        <w:t xml:space="preserve">De ahí que </w:t>
      </w: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Pr>
          <w:rFonts w:ascii="Palatino Linotype" w:eastAsia="Palatino Linotype" w:hAnsi="Palatino Linotype" w:cs="Palatino Linotype"/>
          <w:vertAlign w:val="superscript"/>
        </w:rPr>
        <w:footnoteReference w:id="5"/>
      </w:r>
      <w:r>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Pr>
          <w:rFonts w:ascii="Palatino Linotype" w:eastAsia="Palatino Linotype" w:hAnsi="Palatino Linotype" w:cs="Palatino Linotype"/>
          <w:vertAlign w:val="superscript"/>
        </w:rPr>
        <w:footnoteReference w:id="6"/>
      </w:r>
      <w:r>
        <w:rPr>
          <w:rFonts w:ascii="Palatino Linotype" w:eastAsia="Palatino Linotype" w:hAnsi="Palatino Linotype" w:cs="Palatino Linotype"/>
        </w:rPr>
        <w:t>.</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 xml:space="preserve">Por lo anteriormente señalado,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tiene competencia para conocer de lo solicitado por el particular, en consecuencia, una vez analizadas las constancias que integran el expediente electrónico,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01828/INFOEM/IP/RR/2026</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la respuesta del Sujeto Obligado. </w:t>
      </w:r>
    </w:p>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6571E3" w:rsidRDefault="002715D2">
      <w:pPr>
        <w:numPr>
          <w:ilvl w:val="0"/>
          <w:numId w:val="5"/>
        </w:numPr>
        <w:pBdr>
          <w:top w:val="nil"/>
          <w:left w:val="nil"/>
          <w:bottom w:val="nil"/>
          <w:right w:val="nil"/>
          <w:between w:val="nil"/>
        </w:pBdr>
        <w:tabs>
          <w:tab w:val="left" w:pos="0"/>
        </w:tabs>
        <w:spacing w:line="360" w:lineRule="auto"/>
        <w:ind w:left="0" w:right="-876" w:firstLine="0"/>
        <w:jc w:val="both"/>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6571E3" w:rsidRDefault="006571E3">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tabs>
          <w:tab w:val="left" w:pos="0"/>
        </w:tabs>
        <w:spacing w:line="360" w:lineRule="auto"/>
        <w:ind w:left="0" w:right="-876" w:firstLine="0"/>
        <w:jc w:val="both"/>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6571E3" w:rsidRDefault="006571E3">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tbl>
      <w:tblPr>
        <w:tblStyle w:val="a0"/>
        <w:tblW w:w="996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330"/>
        <w:gridCol w:w="6630"/>
      </w:tblGrid>
      <w:tr w:rsidR="006571E3">
        <w:tc>
          <w:tcPr>
            <w:tcW w:w="3330" w:type="dxa"/>
          </w:tcPr>
          <w:p w:rsidR="006571E3" w:rsidRDefault="002715D2">
            <w:pPr>
              <w:spacing w:line="360" w:lineRule="auto"/>
              <w:ind w:right="-134"/>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630" w:type="dxa"/>
          </w:tcPr>
          <w:p w:rsidR="006571E3" w:rsidRDefault="002715D2">
            <w:pPr>
              <w:spacing w:line="360" w:lineRule="auto"/>
              <w:ind w:right="-134"/>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w:t>
            </w:r>
            <w:r>
              <w:rPr>
                <w:rFonts w:ascii="Palatino Linotype" w:eastAsia="Palatino Linotype" w:hAnsi="Palatino Linotype" w:cs="Palatino Linotype"/>
              </w:rPr>
              <w:lastRenderedPageBreak/>
              <w:t xml:space="preserve">supuestos de clasificación, es deber de los titulares de las áreas proponer su clasificación y no del Comité de Transparencia. </w:t>
            </w:r>
          </w:p>
          <w:p w:rsidR="006571E3" w:rsidRDefault="002715D2">
            <w:pPr>
              <w:spacing w:line="360" w:lineRule="auto"/>
              <w:ind w:right="-134"/>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6571E3" w:rsidRDefault="002715D2">
            <w:pPr>
              <w:spacing w:line="360" w:lineRule="auto"/>
              <w:ind w:right="-134"/>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6571E3" w:rsidRDefault="002715D2">
            <w:pPr>
              <w:spacing w:line="360" w:lineRule="auto"/>
              <w:ind w:right="-134"/>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6571E3">
        <w:tc>
          <w:tcPr>
            <w:tcW w:w="3330" w:type="dxa"/>
          </w:tcPr>
          <w:p w:rsidR="006571E3" w:rsidRDefault="002715D2">
            <w:pPr>
              <w:spacing w:line="360" w:lineRule="auto"/>
              <w:ind w:right="-87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630" w:type="dxa"/>
          </w:tcPr>
          <w:p w:rsidR="006571E3" w:rsidRDefault="002715D2">
            <w:pPr>
              <w:spacing w:line="360" w:lineRule="auto"/>
              <w:ind w:left="720" w:right="-876" w:hanging="720"/>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w:t>
            </w:r>
            <w:r>
              <w:rPr>
                <w:rFonts w:ascii="Palatino Linotype" w:eastAsia="Palatino Linotype" w:hAnsi="Palatino Linotype" w:cs="Palatino Linotype"/>
              </w:rPr>
              <w:lastRenderedPageBreak/>
              <w:t>manera restrictiva y limitada, por lo que debe acreditarse que se cumple con esta condición y no se pueden ampliar las excepciones o supuestos de clasificación aduciendo analogía o mayoría de razón.</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571E3">
        <w:tc>
          <w:tcPr>
            <w:tcW w:w="3330" w:type="dxa"/>
          </w:tcPr>
          <w:p w:rsidR="006571E3" w:rsidRDefault="002715D2">
            <w:pPr>
              <w:spacing w:line="360" w:lineRule="auto"/>
              <w:ind w:right="-87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630" w:type="dxa"/>
          </w:tcPr>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571E3">
        <w:tc>
          <w:tcPr>
            <w:tcW w:w="3330" w:type="dxa"/>
          </w:tcPr>
          <w:p w:rsidR="006571E3" w:rsidRDefault="006571E3">
            <w:pPr>
              <w:spacing w:line="360" w:lineRule="auto"/>
              <w:ind w:right="-876"/>
              <w:rPr>
                <w:rFonts w:ascii="Palatino Linotype" w:eastAsia="Palatino Linotype" w:hAnsi="Palatino Linotype" w:cs="Palatino Linotype"/>
              </w:rPr>
            </w:pP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 Requisitos de fondo del acuerdo de clasificación. </w:t>
            </w:r>
          </w:p>
        </w:tc>
        <w:tc>
          <w:tcPr>
            <w:tcW w:w="6630" w:type="dxa"/>
          </w:tcPr>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Como se ha señalado antes, al hacer el juicio de subsunción o encaje entre el supuesto de hecho y la hipótesis jurídica, se debe acreditar la </w:t>
            </w:r>
            <w:r>
              <w:rPr>
                <w:rFonts w:ascii="Palatino Linotype" w:eastAsia="Palatino Linotype" w:hAnsi="Palatino Linotype" w:cs="Palatino Linotype"/>
              </w:rPr>
              <w:lastRenderedPageBreak/>
              <w:t xml:space="preserve">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xml:space="preserve">, se debe identificar con claridad qué datos contenidos en las documentales </w:t>
            </w:r>
            <w:r>
              <w:rPr>
                <w:rFonts w:ascii="Palatino Linotype" w:eastAsia="Palatino Linotype" w:hAnsi="Palatino Linotype" w:cs="Palatino Linotype"/>
              </w:rPr>
              <w:lastRenderedPageBreak/>
              <w:t>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571E3">
        <w:tc>
          <w:tcPr>
            <w:tcW w:w="3330" w:type="dxa"/>
          </w:tcPr>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6571E3" w:rsidRDefault="006571E3">
            <w:pPr>
              <w:spacing w:line="360" w:lineRule="auto"/>
              <w:ind w:right="-876"/>
              <w:rPr>
                <w:rFonts w:ascii="Palatino Linotype" w:eastAsia="Palatino Linotype" w:hAnsi="Palatino Linotype" w:cs="Palatino Linotype"/>
              </w:rPr>
            </w:pPr>
          </w:p>
        </w:tc>
        <w:tc>
          <w:tcPr>
            <w:tcW w:w="6630" w:type="dxa"/>
          </w:tcPr>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571E3" w:rsidRDefault="002715D2">
            <w:pPr>
              <w:spacing w:line="360" w:lineRule="auto"/>
              <w:ind w:right="-876"/>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571E3" w:rsidRDefault="006571E3">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6571E3" w:rsidRDefault="002715D2">
      <w:pPr>
        <w:numPr>
          <w:ilvl w:val="0"/>
          <w:numId w:val="5"/>
        </w:numPr>
        <w:pBdr>
          <w:top w:val="nil"/>
          <w:left w:val="nil"/>
          <w:bottom w:val="nil"/>
          <w:right w:val="nil"/>
          <w:between w:val="nil"/>
        </w:pBdr>
        <w:tabs>
          <w:tab w:val="left" w:pos="284"/>
        </w:tabs>
        <w:spacing w:line="360" w:lineRule="auto"/>
        <w:ind w:left="0" w:right="-876" w:firstLine="0"/>
        <w:jc w:val="both"/>
      </w:pPr>
      <w:r>
        <w:rPr>
          <w:rFonts w:ascii="Palatino Linotype" w:eastAsia="Palatino Linotype" w:hAnsi="Palatino Linotype" w:cs="Palatino Linotype"/>
          <w:color w:val="222222"/>
        </w:rPr>
        <w:lastRenderedPageBreak/>
        <w:t>Por otro lado, de manera enunciativa más no limitativas, dentro de los elementos que integran los recibos de nómina se pueden encontrar los siguientes:</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Única de Registro de Población (CURP);</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ISSEMyM;</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empleado;</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Federal de Contribuyentes (RFC);</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Serie del CSD del SAT;</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Serie del </w:t>
      </w:r>
      <w:r>
        <w:rPr>
          <w:rFonts w:ascii="Palatino Linotype" w:eastAsia="Palatino Linotype" w:hAnsi="Palatino Linotype" w:cs="Palatino Linotype"/>
        </w:rPr>
        <w:t>CSD</w:t>
      </w:r>
      <w:r>
        <w:rPr>
          <w:rFonts w:ascii="Palatino Linotype" w:eastAsia="Palatino Linotype" w:hAnsi="Palatino Linotype" w:cs="Palatino Linotype"/>
          <w:color w:val="000000"/>
        </w:rPr>
        <w:t xml:space="preserve"> del emisor;</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Serie y folio;</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Firma;</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Código QR;</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Sello Digital del Contribuyente; y</w:t>
      </w:r>
    </w:p>
    <w:p w:rsidR="006571E3" w:rsidRDefault="002715D2">
      <w:pPr>
        <w:numPr>
          <w:ilvl w:val="0"/>
          <w:numId w:val="9"/>
        </w:num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Sello Digital del SAT.</w:t>
      </w:r>
    </w:p>
    <w:p w:rsidR="006571E3" w:rsidRDefault="006571E3">
      <w:pPr>
        <w:pBdr>
          <w:top w:val="nil"/>
          <w:left w:val="nil"/>
          <w:bottom w:val="nil"/>
          <w:right w:val="nil"/>
          <w:between w:val="nil"/>
        </w:pBdr>
        <w:tabs>
          <w:tab w:val="left" w:pos="567"/>
        </w:tabs>
        <w:spacing w:line="360" w:lineRule="auto"/>
        <w:ind w:left="720" w:right="-876"/>
        <w:jc w:val="both"/>
        <w:rPr>
          <w:rFonts w:ascii="Palatino Linotype" w:eastAsia="Palatino Linotype" w:hAnsi="Palatino Linotype" w:cs="Palatino Linotype"/>
          <w:color w:val="000000"/>
        </w:rPr>
      </w:pPr>
    </w:p>
    <w:p w:rsidR="006571E3" w:rsidRDefault="002715D2">
      <w:pPr>
        <w:pStyle w:val="Ttulo3"/>
        <w:numPr>
          <w:ilvl w:val="0"/>
          <w:numId w:val="9"/>
        </w:numPr>
        <w:spacing w:line="360" w:lineRule="auto"/>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Única de Registro de Población (CURP).</w:t>
      </w:r>
    </w:p>
    <w:p w:rsidR="006571E3" w:rsidRDefault="002715D2">
      <w:pPr>
        <w:numPr>
          <w:ilvl w:val="0"/>
          <w:numId w:val="5"/>
        </w:numPr>
        <w:pBdr>
          <w:top w:val="nil"/>
          <w:left w:val="nil"/>
          <w:bottom w:val="nil"/>
          <w:right w:val="nil"/>
          <w:between w:val="nil"/>
        </w:pBd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6571E3" w:rsidRDefault="002715D2" w:rsidP="00633104">
      <w:pPr>
        <w:shd w:val="clear" w:color="auto" w:fill="FFFFFF"/>
        <w:spacing w:before="240" w:after="240" w:line="360" w:lineRule="auto"/>
        <w:ind w:right="-876"/>
        <w:jc w:val="center"/>
        <w:rPr>
          <w:rFonts w:ascii="Palatino Linotype" w:eastAsia="Palatino Linotype" w:hAnsi="Palatino Linotype" w:cs="Palatino Linotype"/>
          <w:color w:val="222222"/>
        </w:rPr>
      </w:pPr>
      <w:r>
        <w:rPr>
          <w:rFonts w:ascii="Palatino Linotype" w:eastAsia="Palatino Linotype" w:hAnsi="Palatino Linotype" w:cs="Palatino Linotype"/>
          <w:noProof/>
        </w:rPr>
        <w:lastRenderedPageBreak/>
        <w:drawing>
          <wp:inline distT="0" distB="0" distL="0" distR="0">
            <wp:extent cx="5305425" cy="467677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25748" t="8269" r="41254" b="18081"/>
                    <a:stretch>
                      <a:fillRect/>
                    </a:stretch>
                  </pic:blipFill>
                  <pic:spPr>
                    <a:xfrm>
                      <a:off x="0" y="0"/>
                      <a:ext cx="5305425" cy="4676775"/>
                    </a:xfrm>
                    <a:prstGeom prst="rect">
                      <a:avLst/>
                    </a:prstGeom>
                    <a:ln/>
                  </pic:spPr>
                </pic:pic>
              </a:graphicData>
            </a:graphic>
          </wp:inline>
        </w:drawing>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Entre las características de la CURP, se encuentra: </w:t>
      </w:r>
    </w:p>
    <w:p w:rsidR="006571E3" w:rsidRDefault="002715D2">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Composición. </w:t>
      </w:r>
      <w:r>
        <w:rPr>
          <w:rFonts w:ascii="Palatino Linotype" w:eastAsia="Palatino Linotype" w:hAnsi="Palatino Linotype" w:cs="Palatino Linotype"/>
          <w:color w:val="000000"/>
        </w:rPr>
        <w:t>Alfanumérica.</w:t>
      </w:r>
    </w:p>
    <w:p w:rsidR="006571E3" w:rsidRDefault="002715D2">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Longitud. </w:t>
      </w:r>
      <w:r>
        <w:rPr>
          <w:rFonts w:ascii="Palatino Linotype" w:eastAsia="Palatino Linotype" w:hAnsi="Palatino Linotype" w:cs="Palatino Linotype"/>
          <w:color w:val="000000"/>
        </w:rPr>
        <w:t xml:space="preserve"> 18 caracteres.</w:t>
      </w:r>
    </w:p>
    <w:p w:rsidR="006571E3" w:rsidRDefault="002715D2">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Naturaleza. </w:t>
      </w:r>
      <w:r>
        <w:rPr>
          <w:rFonts w:ascii="Palatino Linotype" w:eastAsia="Palatino Linotype" w:hAnsi="Palatino Linotype" w:cs="Palatino Linotype"/>
          <w:color w:val="000000"/>
        </w:rPr>
        <w:t>Biunívoca.</w:t>
      </w:r>
    </w:p>
    <w:p w:rsidR="006571E3" w:rsidRDefault="002715D2">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Universalidad. </w:t>
      </w:r>
      <w:r>
        <w:rPr>
          <w:rFonts w:ascii="Palatino Linotype" w:eastAsia="Palatino Linotype" w:hAnsi="Palatino Linotype" w:cs="Palatino Linotype"/>
          <w:color w:val="000000"/>
        </w:rPr>
        <w:t>Se asigna a todas las personas que conforman la población.</w:t>
      </w:r>
    </w:p>
    <w:p w:rsidR="006571E3" w:rsidRDefault="002715D2">
      <w:pPr>
        <w:pBdr>
          <w:top w:val="nil"/>
          <w:left w:val="nil"/>
          <w:bottom w:val="nil"/>
          <w:right w:val="nil"/>
          <w:between w:val="nil"/>
        </w:pBdr>
        <w:tabs>
          <w:tab w:val="left" w:pos="426"/>
          <w:tab w:val="left" w:pos="567"/>
        </w:tabs>
        <w:spacing w:line="360" w:lineRule="auto"/>
        <w:ind w:left="851"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6571E3" w:rsidRDefault="002715D2">
      <w:pPr>
        <w:pBdr>
          <w:top w:val="nil"/>
          <w:left w:val="nil"/>
          <w:bottom w:val="nil"/>
          <w:right w:val="nil"/>
          <w:between w:val="nil"/>
        </w:pBdr>
        <w:tabs>
          <w:tab w:val="left" w:pos="567"/>
        </w:tabs>
        <w:spacing w:line="360" w:lineRule="auto"/>
        <w:ind w:left="360" w:right="-876"/>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Clave Única de Registro de Población (CURP). </w:t>
      </w:r>
      <w:r>
        <w:rPr>
          <w:rFonts w:ascii="Palatino Linotype" w:eastAsia="Palatino Linotype" w:hAnsi="Palatino Linotype" w:cs="Palatino Linotype"/>
          <w:i/>
          <w:iCs/>
          <w:color w:val="000000"/>
        </w:rPr>
        <w:t xml:space="preserve">La Clave Única de Registro de Población se integra por datos personales que sólo conciernen al particular titular de la misma, como lo son su </w:t>
      </w:r>
      <w:r>
        <w:rPr>
          <w:rFonts w:ascii="Palatino Linotype" w:eastAsia="Palatino Linotype" w:hAnsi="Palatino Linotype" w:cs="Palatino Linotype"/>
          <w:i/>
          <w:iCs/>
          <w:color w:val="000000"/>
        </w:rPr>
        <w:lastRenderedPageBreak/>
        <w:t>nombre, apellidos, fecha de nacimiento, lugar de nacimiento y sexo. Dichos datos, constituyen información que distingue plenamente a una persona física del resto de los habitantes del</w:t>
      </w:r>
    </w:p>
    <w:p w:rsidR="006571E3" w:rsidRDefault="006571E3">
      <w:p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color w:val="000000"/>
        </w:rPr>
      </w:pPr>
    </w:p>
    <w:p w:rsidR="006571E3" w:rsidRDefault="002715D2">
      <w:pPr>
        <w:pStyle w:val="Ttulo3"/>
        <w:numPr>
          <w:ilvl w:val="0"/>
          <w:numId w:val="11"/>
        </w:numPr>
        <w:spacing w:line="360" w:lineRule="auto"/>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ISSEMyM</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6571E3" w:rsidRDefault="002715D2">
      <w:pPr>
        <w:numPr>
          <w:ilvl w:val="0"/>
          <w:numId w:val="5"/>
        </w:numPr>
        <w:shd w:val="clear" w:color="auto" w:fill="FFFFFF"/>
        <w:spacing w:before="240" w:after="240" w:line="360" w:lineRule="auto"/>
        <w:ind w:left="0" w:right="-876" w:firstLine="0"/>
        <w:jc w:val="both"/>
      </w:pPr>
      <w:bookmarkStart w:id="9" w:name="_heading=h.26in1rg" w:colFirst="0" w:colLast="0"/>
      <w:bookmarkEnd w:id="9"/>
      <w:r>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w:t>
      </w:r>
      <w:r>
        <w:rPr>
          <w:rFonts w:ascii="Palatino Linotype" w:eastAsia="Palatino Linotype" w:hAnsi="Palatino Linotype" w:cs="Palatino Linotype"/>
          <w:color w:val="000000"/>
        </w:rPr>
        <w:lastRenderedPageBreak/>
        <w:t>cambia, aunque el trabajador se dé de baja y alta en diversas ocasiones, con motivo de haber trabajado en diferentes instituciones gubernamentales de la Entidad.</w:t>
      </w:r>
    </w:p>
    <w:p w:rsidR="006571E3" w:rsidRDefault="002715D2">
      <w:pPr>
        <w:pStyle w:val="Ttulo3"/>
        <w:numPr>
          <w:ilvl w:val="0"/>
          <w:numId w:val="11"/>
        </w:numPr>
        <w:spacing w:line="360" w:lineRule="auto"/>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de empleado.</w:t>
      </w:r>
    </w:p>
    <w:p w:rsidR="006571E3" w:rsidRDefault="002715D2">
      <w:pPr>
        <w:numPr>
          <w:ilvl w:val="0"/>
          <w:numId w:val="5"/>
        </w:numPr>
        <w:shd w:val="clear" w:color="auto" w:fill="FFFFFF"/>
        <w:spacing w:before="240" w:after="240" w:line="360" w:lineRule="auto"/>
        <w:ind w:left="0" w:right="-876" w:hanging="142"/>
        <w:jc w:val="both"/>
      </w:pPr>
      <w:r>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6571E3" w:rsidRDefault="002715D2">
      <w:pPr>
        <w:numPr>
          <w:ilvl w:val="0"/>
          <w:numId w:val="5"/>
        </w:numPr>
        <w:shd w:val="clear" w:color="auto" w:fill="FFFFFF"/>
        <w:spacing w:before="240" w:after="240" w:line="360" w:lineRule="auto"/>
        <w:ind w:left="0" w:right="-876" w:hanging="142"/>
        <w:jc w:val="both"/>
      </w:pPr>
      <w:r>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Número de empleado.</w:t>
      </w:r>
      <w:r>
        <w:rPr>
          <w:rFonts w:ascii="Palatino Linotype" w:eastAsia="Palatino Linotype" w:hAnsi="Palatino Linotype" w:cs="Palatino Linotype"/>
          <w:i/>
          <w:iCs/>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6571E3" w:rsidRDefault="002715D2">
      <w:pPr>
        <w:pStyle w:val="Ttulo3"/>
        <w:numPr>
          <w:ilvl w:val="0"/>
          <w:numId w:val="11"/>
        </w:numPr>
        <w:spacing w:line="360" w:lineRule="auto"/>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Registro Federal de Contribuyentes (RFC)</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Conforme a lo expuesto, el Registro Federal de Contribuyentes, es un dato personal, ya que hace a las personas físicas </w:t>
      </w:r>
      <w:r>
        <w:rPr>
          <w:rFonts w:ascii="Palatino Linotype" w:eastAsia="Palatino Linotype" w:hAnsi="Palatino Linotype" w:cs="Palatino Linotype"/>
        </w:rPr>
        <w:t>identificadas</w:t>
      </w:r>
      <w:r>
        <w:rPr>
          <w:rFonts w:ascii="Palatino Linotype" w:eastAsia="Palatino Linotype" w:hAnsi="Palatino Linotype" w:cs="Palatino Linotype"/>
          <w:color w:val="000000"/>
        </w:rPr>
        <w:t xml:space="preserve">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Registro Federal de Contribuyentes (RFC) de personas físicas.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RFC es una clave de carácter fiscal, única e irrepetible, que permite identificar al titular, su edad y fecha de nacimiento, por lo que es un dato personal de carácter confidencial.</w:t>
      </w:r>
    </w:p>
    <w:p w:rsidR="006571E3" w:rsidRDefault="002715D2">
      <w:pPr>
        <w:numPr>
          <w:ilvl w:val="0"/>
          <w:numId w:val="5"/>
        </w:numPr>
        <w:shd w:val="clear" w:color="auto" w:fill="FFFFFF"/>
        <w:spacing w:before="240" w:after="240" w:line="360" w:lineRule="auto"/>
        <w:ind w:left="0" w:right="-876" w:firstLine="0"/>
        <w:jc w:val="both"/>
      </w:pPr>
      <w:bookmarkStart w:id="10" w:name="_heading=h.35nkun2" w:colFirst="0" w:colLast="0"/>
      <w:bookmarkEnd w:id="10"/>
      <w:r>
        <w:rPr>
          <w:rFonts w:ascii="Palatino Linotype" w:eastAsia="Palatino Linotype" w:hAnsi="Palatino Linotype" w:cs="Palatino Linotype"/>
          <w:b/>
          <w:bCs/>
          <w:color w:val="000000"/>
        </w:rPr>
        <w:t>De tal suerte, el Registro Federal de Contribuyentes de las personas físicas no guarda relación con la transparencia de los recursos públicos</w:t>
      </w:r>
      <w:r>
        <w:rPr>
          <w:rFonts w:ascii="Palatino Linotype" w:eastAsia="Palatino Linotype" w:hAnsi="Palatino Linotype" w:cs="Palatino Linotype"/>
          <w:color w:val="000000"/>
        </w:rPr>
        <w:t>, así como tampoco con el desempeño laboral que pueda tener una persona.</w:t>
      </w:r>
    </w:p>
    <w:p w:rsidR="006571E3" w:rsidRDefault="002715D2">
      <w:pPr>
        <w:pStyle w:val="Ttulo3"/>
        <w:numPr>
          <w:ilvl w:val="0"/>
          <w:numId w:val="11"/>
        </w:numPr>
        <w:spacing w:line="360" w:lineRule="auto"/>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Deducciones personales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Pr>
          <w:rFonts w:ascii="Palatino Linotype" w:eastAsia="Palatino Linotype" w:hAnsi="Palatino Linotype" w:cs="Palatino Linotype"/>
          <w:b/>
          <w:bCs/>
          <w:color w:val="000000"/>
          <w:u w:val="single"/>
        </w:rPr>
        <w:t>cuotas sindicales y fondo de resistencia del Sindicato Único de Trabajadores de los Poderes, Municipios e Institución Descentralizadas del Estado de México</w:t>
      </w:r>
      <w:r>
        <w:rPr>
          <w:rFonts w:ascii="Palatino Linotype" w:eastAsia="Palatino Linotype" w:hAnsi="Palatino Linotype" w:cs="Palatino Linotype"/>
          <w:color w:val="000000"/>
        </w:rPr>
        <w:t>, seguro de vida, accidentes y enfermedades.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w:t>
      </w:r>
      <w:r>
        <w:rPr>
          <w:rFonts w:ascii="Palatino Linotype" w:eastAsia="Palatino Linotype" w:hAnsi="Palatino Linotype" w:cs="Palatino Linotype"/>
          <w:color w:val="000000"/>
        </w:rPr>
        <w:lastRenderedPageBreak/>
        <w:t xml:space="preserve">y tampoco reflejan el ejercicio de una prestación; por el contrario, en dichos casos se trata del libre ejercicio del servidor público para disponer de un ingreso que forma parte de su patrimonio. </w:t>
      </w:r>
    </w:p>
    <w:p w:rsidR="006571E3" w:rsidRDefault="002715D2">
      <w:pPr>
        <w:numPr>
          <w:ilvl w:val="0"/>
          <w:numId w:val="5"/>
        </w:numPr>
        <w:shd w:val="clear" w:color="auto" w:fill="FFFFFF"/>
        <w:spacing w:before="240" w:after="240" w:line="360" w:lineRule="auto"/>
        <w:ind w:left="0" w:right="-876" w:firstLine="0"/>
        <w:jc w:val="both"/>
      </w:pPr>
      <w:bookmarkStart w:id="11" w:name="_heading=h.1ksv4uv" w:colFirst="0" w:colLast="0"/>
      <w:bookmarkEnd w:id="11"/>
      <w:r>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p w:rsidR="006571E3" w:rsidRDefault="002715D2">
      <w:pPr>
        <w:pStyle w:val="Ttulo3"/>
        <w:numPr>
          <w:ilvl w:val="0"/>
          <w:numId w:val="11"/>
        </w:numPr>
        <w:spacing w:line="360" w:lineRule="auto"/>
        <w:ind w:right="-876"/>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CÓDIGO QR</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Pr>
          <w:rFonts w:ascii="Palatino Linotype" w:eastAsia="Palatino Linotype" w:hAnsi="Palatino Linotype" w:cs="Palatino Linotype"/>
          <w:i/>
          <w:iCs/>
          <w:color w:val="000000"/>
        </w:rPr>
        <w:t>QR Code (Quick Response Code)</w:t>
      </w:r>
      <w:r>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5">
        <w:r>
          <w:rPr>
            <w:rFonts w:ascii="Palatino Linotype" w:eastAsia="Palatino Linotype" w:hAnsi="Palatino Linotype" w:cs="Palatino Linotype"/>
            <w:color w:val="0563C1"/>
            <w:u w:val="single"/>
          </w:rPr>
          <w:t>http://dof.gob.mx/nota_detalle.php?codigo=5492254&amp;fecha=28/07/2017</w:t>
        </w:r>
      </w:hyperlink>
      <w:r>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6571E3" w:rsidRDefault="002715D2">
      <w:pPr>
        <w:numPr>
          <w:ilvl w:val="0"/>
          <w:numId w:val="10"/>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Clave Única de Registro de Población (CURP)</w:t>
      </w:r>
    </w:p>
    <w:p w:rsidR="006571E3" w:rsidRDefault="002715D2">
      <w:pPr>
        <w:numPr>
          <w:ilvl w:val="0"/>
          <w:numId w:val="10"/>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ISSEMyM</w:t>
      </w:r>
    </w:p>
    <w:p w:rsidR="006571E3" w:rsidRDefault="002715D2">
      <w:pPr>
        <w:numPr>
          <w:ilvl w:val="0"/>
          <w:numId w:val="10"/>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empleado </w:t>
      </w:r>
      <w:r>
        <w:rPr>
          <w:rFonts w:ascii="Palatino Linotype" w:eastAsia="Palatino Linotype" w:hAnsi="Palatino Linotype" w:cs="Palatino Linotype"/>
          <w:b/>
          <w:bCs/>
          <w:color w:val="000000"/>
        </w:rPr>
        <w:t>(sólo en el caso de que contenga datos personales o se relacione con los mismos, de lo contrario es información pública)</w:t>
      </w:r>
    </w:p>
    <w:p w:rsidR="006571E3" w:rsidRDefault="002715D2">
      <w:pPr>
        <w:numPr>
          <w:ilvl w:val="0"/>
          <w:numId w:val="10"/>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Federal de Contribuyentes (RFC)</w:t>
      </w:r>
    </w:p>
    <w:p w:rsidR="006571E3" w:rsidRDefault="002715D2">
      <w:pPr>
        <w:numPr>
          <w:ilvl w:val="0"/>
          <w:numId w:val="10"/>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Deducciones personales</w:t>
      </w:r>
    </w:p>
    <w:p w:rsidR="006571E3" w:rsidRDefault="002715D2">
      <w:pPr>
        <w:numPr>
          <w:ilvl w:val="0"/>
          <w:numId w:val="10"/>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Código QR</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6571E3" w:rsidRDefault="002715D2">
      <w:pPr>
        <w:numPr>
          <w:ilvl w:val="0"/>
          <w:numId w:val="5"/>
        </w:numPr>
        <w:shd w:val="clear" w:color="auto" w:fill="FFFFFF"/>
        <w:spacing w:before="240" w:after="240" w:line="360" w:lineRule="auto"/>
        <w:ind w:left="0" w:right="-876" w:firstLine="0"/>
        <w:jc w:val="both"/>
      </w:pPr>
      <w:bookmarkStart w:id="12" w:name="_heading=h.44sinio" w:colFirst="0" w:colLast="0"/>
      <w:bookmarkEnd w:id="12"/>
      <w:r>
        <w:rPr>
          <w:rFonts w:ascii="Palatino Linotype" w:eastAsia="Palatino Linotype" w:hAnsi="Palatino Linotype" w:cs="Palatino Linotype"/>
          <w:color w:val="000000"/>
        </w:rPr>
        <w:t>Ahora bien, siguiendo con el análisis de los datos que contienen los recibos remitidos, siguen los siguientes:</w:t>
      </w:r>
    </w:p>
    <w:p w:rsidR="006571E3" w:rsidRDefault="002715D2">
      <w:pPr>
        <w:pStyle w:val="Ttulo3"/>
        <w:numPr>
          <w:ilvl w:val="0"/>
          <w:numId w:val="12"/>
        </w:numP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Sellos digitales del emisor y del Servicio de Administración Tributaria y cadena original del complemento de certificación digital del órgano previamente señalado; así como folio fiscal. (PÚBLICOS)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w:t>
      </w:r>
      <w:r>
        <w:rPr>
          <w:rFonts w:ascii="Palatino Linotype" w:eastAsia="Palatino Linotype" w:hAnsi="Palatino Linotype" w:cs="Palatino Linotype"/>
        </w:rPr>
        <w:t>está</w:t>
      </w:r>
      <w:r>
        <w:rPr>
          <w:rFonts w:ascii="Palatino Linotype" w:eastAsia="Palatino Linotype" w:hAnsi="Palatino Linotype" w:cs="Palatino Linotype"/>
          <w:color w:val="000000"/>
        </w:rPr>
        <w:t xml:space="preserve"> se encuentra encriptada como se verá a continuación.</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Las cadenas originales y sellos que se agregan a las facturas</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“Elementos utilizados en la generación de Sellos Digitales:</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•Cadena Original, el elemento a sellar, en este caso de un comprobante fiscal digital a través de Internet.</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•Certificado de Sello Digital y su correspondiente clave privada.</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•Algoritmos de criptografía de clave pública para firma electrónica avanzada.</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•Especificaciones de conversión de la firma electrónica avanzada a Base 64.</w:t>
      </w:r>
    </w:p>
    <w:p w:rsidR="006571E3" w:rsidRDefault="002715D2">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Criptografía de la Clave Pública</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 xml:space="preserve">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w:t>
      </w:r>
      <w:r>
        <w:rPr>
          <w:rFonts w:ascii="Palatino Linotype" w:eastAsia="Palatino Linotype" w:hAnsi="Palatino Linotype" w:cs="Palatino Linotype"/>
          <w:color w:val="000000"/>
        </w:rPr>
        <w:lastRenderedPageBreak/>
        <w:t>comprobante fiscal. Es un número consecutivo contenido en los comprobantes fiscales digitales, compuesto por 5 grupos de números y letras separados por guiones, tal como se muestra a continuación:</w:t>
      </w:r>
    </w:p>
    <w:p w:rsidR="006571E3" w:rsidRDefault="002715D2">
      <w:pPr>
        <w:shd w:val="clear" w:color="auto" w:fill="FFFFFF"/>
        <w:spacing w:before="240" w:after="240" w:line="360" w:lineRule="auto"/>
        <w:ind w:right="-876"/>
        <w:jc w:val="center"/>
        <w:rPr>
          <w:rFonts w:ascii="Palatino Linotype" w:eastAsia="Palatino Linotype" w:hAnsi="Palatino Linotype" w:cs="Palatino Linotype"/>
          <w:color w:val="222222"/>
        </w:rPr>
      </w:pPr>
      <w:r>
        <w:rPr>
          <w:rFonts w:ascii="Palatino Linotype" w:eastAsia="Palatino Linotype" w:hAnsi="Palatino Linotype" w:cs="Palatino Linotype"/>
          <w:noProof/>
        </w:rPr>
        <w:drawing>
          <wp:inline distT="0" distB="0" distL="0" distR="0">
            <wp:extent cx="5612130" cy="42473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t="40505" r="32588" b="47482"/>
                    <a:stretch>
                      <a:fillRect/>
                    </a:stretch>
                  </pic:blipFill>
                  <pic:spPr>
                    <a:xfrm>
                      <a:off x="0" y="0"/>
                      <a:ext cx="5612130" cy="424735"/>
                    </a:xfrm>
                    <a:prstGeom prst="rect">
                      <a:avLst/>
                    </a:prstGeom>
                    <a:ln/>
                  </pic:spPr>
                </pic:pic>
              </a:graphicData>
            </a:graphic>
          </wp:inline>
        </w:drawing>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color w:val="000000"/>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6571E3" w:rsidRDefault="002715D2">
      <w:p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Deducciones que no son personales.</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rPr>
        <w:t>La Ley del Trabajo de los Servidores Públicos del Estado y Municipios</w:t>
      </w:r>
      <w:r>
        <w:rPr>
          <w:rFonts w:ascii="Palatino Linotype" w:eastAsia="Palatino Linotype" w:hAnsi="Palatino Linotype" w:cs="Palatino Linotype"/>
          <w:vertAlign w:val="superscript"/>
        </w:rPr>
        <w:footnoteReference w:id="7"/>
      </w:r>
      <w:r>
        <w:rPr>
          <w:rFonts w:ascii="Palatino Linotype" w:eastAsia="Palatino Linotype" w:hAnsi="Palatino Linotype" w:cs="Palatino Linotype"/>
        </w:rPr>
        <w:t xml:space="preserve"> en el artículo 84 establece lo siguiente:</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84. Sólo podrán hacerse retenciones, descuentos o deducciones al sueldo de los servidores públicos por concepto de: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Gravámenes fiscales relacionados con el sueldo;</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Deudas contraídas con las instituciones públicas o dependencias por concepto de anticipos de sueldo, pagos hechos con exceso, errores o pérdidas debidamente comprobados;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Cuotas sindicales;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IV. Cuotas de aportación a fondos para la constitución de cooperativas y de cajas de ahorro, siempre que el servidor público hubiese manifestado previamente, de manera expresa, su conformidad;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 Descuentos ordenados por el Instituto de Seguridad Social del Estado de México y Municipios, con motivo de cuotas y obligaciones contraídas con éste por los servidores públicos;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Obligaciones a cargo del servidor público con las que haya consentido, derivadas de la adquisición o del uso de habitaciones consideradas como de interés social;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Faltas de puntualidad o de asistencia injustificadas;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Pensiones alimenticias ordenadas por la autoridad judicial; o </w:t>
      </w:r>
    </w:p>
    <w:p w:rsidR="006571E3" w:rsidRDefault="002715D2">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IX. Cualquier otro convenido con instituciones de servicios y aceptado por el servidor público.</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6571E3" w:rsidRDefault="002715D2">
      <w:pPr>
        <w:numPr>
          <w:ilvl w:val="0"/>
          <w:numId w:val="1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Seguro de Capitalización Individualizado.</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rsidR="006571E3" w:rsidRDefault="002715D2">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w:t>
      </w:r>
      <w:r>
        <w:rPr>
          <w:rFonts w:ascii="Palatino Linotype" w:eastAsia="Palatino Linotype" w:hAnsi="Palatino Linotype" w:cs="Palatino Linotype"/>
          <w:color w:val="000000"/>
        </w:rPr>
        <w:tab/>
        <w:t>Subcuenta de cuota obligatoria; que corresponde a un porcentaje del sueldo sujeto a cotización, que se descuenta al servir público de manera automática.</w:t>
      </w:r>
    </w:p>
    <w:p w:rsidR="006571E3" w:rsidRDefault="002715D2">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t>Subcuenta de aportación obligatoria: que es la aportación que realiza la Institución a favor del servidor público, el cual equivale a un porcentaje del sueldo sujeto a cotización.</w:t>
      </w:r>
    </w:p>
    <w:p w:rsidR="006571E3" w:rsidRDefault="002715D2">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t xml:space="preserve">Subcuenta voluntaria: que es la cantidad que cada servidor público decide ahorrar de acuerdo con sus aportaciones, permitiendo acumular mayores ingresos para su retiro. </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6571E3" w:rsidRDefault="002715D2">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w:t>
      </w:r>
      <w:r>
        <w:rPr>
          <w:rFonts w:ascii="Palatino Linotype" w:eastAsia="Palatino Linotype" w:hAnsi="Palatino Linotype" w:cs="Palatino Linotype"/>
          <w:i/>
          <w:iCs/>
          <w:color w:val="000000"/>
        </w:rPr>
        <w:lastRenderedPageBreak/>
        <w:t>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Pr>
          <w:rFonts w:ascii="Palatino Linotype" w:eastAsia="Palatino Linotype" w:hAnsi="Palatino Linotype" w:cs="Palatino Linotype"/>
          <w:color w:val="000000"/>
        </w:rPr>
        <w:t xml:space="preserve"> </w:t>
      </w:r>
    </w:p>
    <w:p w:rsidR="006571E3" w:rsidRDefault="002715D2">
      <w:pPr>
        <w:numPr>
          <w:ilvl w:val="0"/>
          <w:numId w:val="5"/>
        </w:numPr>
        <w:shd w:val="clear" w:color="auto" w:fill="FFFFFF"/>
        <w:spacing w:before="240" w:after="240" w:line="360" w:lineRule="auto"/>
        <w:ind w:left="0" w:right="-876" w:firstLine="0"/>
        <w:jc w:val="both"/>
      </w:pPr>
      <w:r>
        <w:rPr>
          <w:rFonts w:ascii="Palatino Linotype" w:eastAsia="Palatino Linotype" w:hAnsi="Palatino Linotype" w:cs="Palatino Linotype"/>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6571E3" w:rsidRDefault="002715D2">
      <w:pPr>
        <w:numPr>
          <w:ilvl w:val="0"/>
          <w:numId w:val="5"/>
        </w:numPr>
        <w:pBdr>
          <w:top w:val="nil"/>
          <w:left w:val="nil"/>
          <w:bottom w:val="nil"/>
          <w:right w:val="nil"/>
          <w:between w:val="nil"/>
        </w:pBdr>
        <w:spacing w:line="360" w:lineRule="auto"/>
        <w:ind w:left="0" w:right="-876" w:firstLine="0"/>
        <w:jc w:val="both"/>
      </w:pPr>
      <w:r>
        <w:rPr>
          <w:rFonts w:ascii="Palatino Linotype" w:eastAsia="Palatino Linotype" w:hAnsi="Palatino Linotype" w:cs="Palatino Linotype"/>
          <w:color w:val="000000"/>
        </w:rPr>
        <w:lastRenderedPageBreak/>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6571E3" w:rsidRDefault="002715D2">
      <w:pPr>
        <w:keepNext/>
        <w:keepLines/>
        <w:spacing w:line="360" w:lineRule="auto"/>
        <w:ind w:right="-876"/>
        <w:jc w:val="center"/>
        <w:rPr>
          <w:rFonts w:ascii="Palatino Linotype" w:eastAsia="Palatino Linotype" w:hAnsi="Palatino Linotype" w:cs="Palatino Linotype"/>
          <w:b/>
          <w:bCs/>
          <w:color w:val="000000"/>
        </w:rPr>
      </w:pPr>
      <w:bookmarkStart w:id="13" w:name="_heading=h.yn3xjrzfdnf" w:colFirst="0" w:colLast="0"/>
      <w:bookmarkEnd w:id="13"/>
      <w:r>
        <w:rPr>
          <w:rFonts w:ascii="Palatino Linotype" w:eastAsia="Palatino Linotype" w:hAnsi="Palatino Linotype" w:cs="Palatino Linotype"/>
          <w:b/>
          <w:bCs/>
          <w:color w:val="000000"/>
        </w:rPr>
        <w:t>R E S O L U T I V O S</w:t>
      </w:r>
    </w:p>
    <w:p w:rsidR="006571E3" w:rsidRDefault="006571E3">
      <w:pPr>
        <w:keepNext/>
        <w:keepLines/>
        <w:spacing w:line="360" w:lineRule="auto"/>
        <w:ind w:right="-876"/>
        <w:jc w:val="center"/>
        <w:rPr>
          <w:rFonts w:ascii="Palatino Linotype" w:eastAsia="Palatino Linotype" w:hAnsi="Palatino Linotype" w:cs="Palatino Linotype"/>
          <w:b/>
          <w:bCs/>
          <w:color w:val="000000"/>
        </w:rPr>
      </w:pP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sidR="00EE1536">
        <w:rPr>
          <w:rFonts w:ascii="Palatino Linotype" w:eastAsia="Palatino Linotype" w:hAnsi="Palatino Linotype" w:cs="Palatino Linotype"/>
          <w:b/>
          <w:bCs/>
        </w:rPr>
        <w:t>01828/INFOEM/IP/RR/2026</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spacing w:line="360" w:lineRule="auto"/>
        <w:ind w:right="-876"/>
        <w:jc w:val="both"/>
        <w:rPr>
          <w:rFonts w:ascii="Palatino Linotype" w:eastAsia="Palatino Linotype" w:hAnsi="Palatino Linotype" w:cs="Palatino Linotype"/>
        </w:rPr>
      </w:pPr>
      <w:bookmarkStart w:id="14" w:name="_heading=h.42qsc61fiudi" w:colFirst="0" w:colLast="0"/>
      <w:bookmarkEnd w:id="14"/>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sidR="00EE1536">
        <w:rPr>
          <w:rFonts w:ascii="Palatino Linotype" w:eastAsia="Palatino Linotype" w:hAnsi="Palatino Linotype" w:cs="Palatino Linotype"/>
          <w:b/>
          <w:bCs/>
        </w:rPr>
        <w:t>Sistema Municipal para el Desarrollo I</w:t>
      </w:r>
      <w:r>
        <w:rPr>
          <w:rFonts w:ascii="Palatino Linotype" w:eastAsia="Palatino Linotype" w:hAnsi="Palatino Linotype" w:cs="Palatino Linotype"/>
          <w:b/>
          <w:bCs/>
        </w:rPr>
        <w:t xml:space="preserve">ntegral de la Familia de Lerma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 xml:space="preserve">entregar vía Sistema de Accesos a la Información Mexiquense (SAIMEX), previa búsqueda exhaustiva y en versión pública, </w:t>
      </w:r>
      <w:r>
        <w:rPr>
          <w:rFonts w:ascii="Palatino Linotype" w:eastAsia="Palatino Linotype" w:hAnsi="Palatino Linotype" w:cs="Palatino Linotype"/>
          <w:b/>
          <w:bCs/>
        </w:rPr>
        <w:t xml:space="preserve">de los mandos medios y superiores </w:t>
      </w:r>
      <w:r>
        <w:rPr>
          <w:rFonts w:ascii="Palatino Linotype" w:eastAsia="Palatino Linotype" w:hAnsi="Palatino Linotype" w:cs="Palatino Linotype"/>
        </w:rPr>
        <w:t>la siguiente información:</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numPr>
          <w:ilvl w:val="0"/>
          <w:numId w:val="12"/>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la segunda quincena de diciembre de 2025.</w:t>
      </w:r>
    </w:p>
    <w:p w:rsidR="006571E3" w:rsidRDefault="002715D2">
      <w:pPr>
        <w:numPr>
          <w:ilvl w:val="0"/>
          <w:numId w:val="12"/>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que dé cuenta del aguinaldo y prima vacacional correspondiente al ejercicio fiscal 2025.</w:t>
      </w:r>
    </w:p>
    <w:p w:rsidR="006571E3" w:rsidRDefault="002715D2">
      <w:pPr>
        <w:numPr>
          <w:ilvl w:val="0"/>
          <w:numId w:val="12"/>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Recibos de nómina de la primera quincena de enero de 2026.</w:t>
      </w:r>
    </w:p>
    <w:p w:rsidR="006571E3" w:rsidRDefault="006571E3">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rPr>
      </w:pP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6571E3" w:rsidRDefault="002715D2">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Para el caso de que la información que se ordena entregar respecto al recibo de nómina de la Presidenta del Sistema Municipal para el Desarrollo Integral de la Familia de Lerma, no obre en los archivos del Sujeto Obligado, bastará con que así se haga del conocimiento del Particular en términos del artículo 19, párrafo segundo, de la Ley de Transparencia y Acceso a la Información Pública del Estado de México y Municipios</w:t>
      </w:r>
      <w:r w:rsidR="00EE1536">
        <w:rPr>
          <w:rFonts w:ascii="Palatino Linotype" w:eastAsia="Palatino Linotype" w:hAnsi="Palatino Linotype" w:cs="Palatino Linotype"/>
          <w:color w:val="000000"/>
        </w:rPr>
        <w:t>.</w:t>
      </w:r>
    </w:p>
    <w:p w:rsidR="006571E3" w:rsidRDefault="006571E3">
      <w:pPr>
        <w:spacing w:line="360" w:lineRule="auto"/>
        <w:ind w:right="-876"/>
        <w:jc w:val="both"/>
        <w:rPr>
          <w:rFonts w:ascii="Palatino Linotype" w:eastAsia="Palatino Linotype" w:hAnsi="Palatino Linotype" w:cs="Palatino Linotype"/>
        </w:rPr>
      </w:pPr>
    </w:p>
    <w:p w:rsidR="006571E3" w:rsidRDefault="002715D2">
      <w:pPr>
        <w:tabs>
          <w:tab w:val="left" w:pos="8080"/>
        </w:tabs>
        <w:spacing w:line="360" w:lineRule="auto"/>
        <w:ind w:right="-876"/>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EE1536">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571E3" w:rsidRDefault="006571E3">
      <w:pPr>
        <w:tabs>
          <w:tab w:val="left" w:pos="8080"/>
        </w:tabs>
        <w:spacing w:line="360" w:lineRule="auto"/>
        <w:ind w:right="-876"/>
        <w:jc w:val="both"/>
        <w:rPr>
          <w:rFonts w:ascii="Palatino Linotype" w:eastAsia="Palatino Linotype" w:hAnsi="Palatino Linotype" w:cs="Palatino Linotype"/>
          <w:color w:val="222222"/>
        </w:rPr>
      </w:pPr>
    </w:p>
    <w:p w:rsidR="006571E3" w:rsidRDefault="002715D2">
      <w:pPr>
        <w:shd w:val="clear" w:color="auto" w:fill="FFFFFF"/>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SAIMEX.</w:t>
      </w:r>
    </w:p>
    <w:p w:rsidR="006571E3" w:rsidRDefault="006571E3">
      <w:pPr>
        <w:shd w:val="clear" w:color="auto" w:fill="FFFFFF"/>
        <w:spacing w:line="360" w:lineRule="auto"/>
        <w:ind w:right="-876"/>
        <w:jc w:val="both"/>
        <w:rPr>
          <w:rFonts w:ascii="Palatino Linotype" w:eastAsia="Palatino Linotype" w:hAnsi="Palatino Linotype" w:cs="Palatino Linotype"/>
          <w:b/>
          <w:bCs/>
          <w:color w:val="FF0000"/>
        </w:rPr>
      </w:pP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E1536" w:rsidRDefault="00EE1536">
      <w:pPr>
        <w:spacing w:line="360" w:lineRule="auto"/>
        <w:ind w:right="-876"/>
        <w:jc w:val="both"/>
        <w:rPr>
          <w:rFonts w:ascii="Palatino Linotype" w:eastAsia="Palatino Linotype" w:hAnsi="Palatino Linotype" w:cs="Palatino Linotype"/>
        </w:rPr>
      </w:pPr>
    </w:p>
    <w:p w:rsidR="006571E3" w:rsidRDefault="002715D2">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color w:val="000000"/>
        </w:rPr>
        <w:lastRenderedPageBreak/>
        <w:t xml:space="preserve">SEXTO.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6571E3" w:rsidRDefault="006571E3">
      <w:pPr>
        <w:shd w:val="clear" w:color="auto" w:fill="FFFFFF"/>
        <w:spacing w:line="360" w:lineRule="auto"/>
        <w:ind w:right="-876"/>
        <w:jc w:val="both"/>
        <w:rPr>
          <w:rFonts w:ascii="Palatino Linotype" w:eastAsia="Palatino Linotype" w:hAnsi="Palatino Linotype" w:cs="Palatino Linotype"/>
        </w:rPr>
      </w:pPr>
    </w:p>
    <w:p w:rsidR="00EE1536" w:rsidRPr="003E2295" w:rsidRDefault="00EE1536" w:rsidP="00EE1536">
      <w:pPr>
        <w:spacing w:before="240" w:after="240" w:line="360" w:lineRule="auto"/>
        <w:ind w:right="-879" w:firstLine="1"/>
        <w:jc w:val="both"/>
        <w:rPr>
          <w:rFonts w:ascii="Palatino Linotype" w:hAnsi="Palatino Linotype"/>
        </w:rPr>
      </w:pPr>
      <w:bookmarkStart w:id="15" w:name="_heading=h.tmhhji9ocihn" w:colFirst="0" w:colLast="0"/>
      <w:bookmarkStart w:id="16" w:name="_Hlk99014733"/>
      <w:bookmarkEnd w:id="15"/>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6"/>
    <w:p w:rsidR="006571E3" w:rsidRDefault="006571E3" w:rsidP="00EE1536">
      <w:pPr>
        <w:spacing w:line="360" w:lineRule="auto"/>
        <w:ind w:right="-879"/>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6571E3" w:rsidRDefault="006571E3">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p w:rsidR="0049238A" w:rsidRDefault="0049238A">
      <w:pPr>
        <w:spacing w:line="360" w:lineRule="auto"/>
        <w:ind w:right="-876"/>
        <w:rPr>
          <w:rFonts w:ascii="Palatino Linotype" w:eastAsia="Palatino Linotype" w:hAnsi="Palatino Linotype" w:cs="Palatino Linotype"/>
        </w:rPr>
      </w:pPr>
    </w:p>
    <w:sectPr w:rsidR="0049238A">
      <w:headerReference w:type="even" r:id="rId17"/>
      <w:headerReference w:type="default" r:id="rId18"/>
      <w:footerReference w:type="default" r:id="rId19"/>
      <w:headerReference w:type="first" r:id="rId20"/>
      <w:footerReference w:type="first" r:id="rId21"/>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95D" w:rsidRDefault="0010795D">
      <w:r>
        <w:separator/>
      </w:r>
    </w:p>
  </w:endnote>
  <w:endnote w:type="continuationSeparator" w:id="0">
    <w:p w:rsidR="0010795D" w:rsidRDefault="0010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676ED21-C525-4B6A-AF63-DEBB2A93FD7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93BC0E31-4587-47C8-8240-63685CCE12A7}"/>
    <w:embedBold r:id="rId3" w:fontKey="{93631776-CE3C-492A-85BA-FBE9F9C1A724}"/>
    <w:embedItalic r:id="rId4" w:fontKey="{1B76793F-9B39-4F44-902B-55E4505E8450}"/>
    <w:embedBoldItalic r:id="rId5" w:fontKey="{73E04AF8-DF2B-4FDF-A3A9-8BED0D2EF51B}"/>
  </w:font>
  <w:font w:name="Calibri">
    <w:panose1 w:val="020F0502020204030204"/>
    <w:charset w:val="00"/>
    <w:family w:val="swiss"/>
    <w:pitch w:val="variable"/>
    <w:sig w:usb0="E4002EFF" w:usb1="C200247B" w:usb2="00000009" w:usb3="00000000" w:csb0="000001FF" w:csb1="00000000"/>
    <w:embedRegular r:id="rId6" w:fontKey="{02A60632-3517-4EC8-AFAE-69E4FA04FA64}"/>
  </w:font>
  <w:font w:name="Georgia">
    <w:panose1 w:val="02040502050405020303"/>
    <w:charset w:val="00"/>
    <w:family w:val="roman"/>
    <w:pitch w:val="variable"/>
    <w:sig w:usb0="00000287" w:usb1="00000000" w:usb2="00000000" w:usb3="00000000" w:csb0="0000009F" w:csb1="00000000"/>
    <w:embedItalic r:id="rId7" w:fontKey="{8C1EDABC-BAF1-46A3-AC87-04412CF615A2}"/>
  </w:font>
  <w:font w:name="Cambria">
    <w:panose1 w:val="02040503050406030204"/>
    <w:charset w:val="00"/>
    <w:family w:val="roman"/>
    <w:pitch w:val="variable"/>
    <w:sig w:usb0="E00006FF" w:usb1="420024FF" w:usb2="02000000" w:usb3="00000000" w:csb0="0000019F" w:csb1="00000000"/>
    <w:embedRegular r:id="rId8" w:fontKey="{5537554F-2DBA-4ABF-A5CD-0B481E3F2EB4}"/>
  </w:font>
  <w:font w:name="Garamond">
    <w:panose1 w:val="02020404030301010803"/>
    <w:charset w:val="00"/>
    <w:family w:val="roman"/>
    <w:pitch w:val="variable"/>
    <w:sig w:usb0="00000287" w:usb1="00000000" w:usb2="00000000" w:usb3="00000000" w:csb0="0000009F" w:csb1="00000000"/>
    <w:embedRegular r:id="rId9" w:fontKey="{E0B54369-E0A5-45D8-9259-DF75C9A9BA8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1E3" w:rsidRDefault="002715D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B556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B5565">
      <w:rPr>
        <w:rFonts w:ascii="Palatino Linotype" w:eastAsia="Palatino Linotype" w:hAnsi="Palatino Linotype" w:cs="Palatino Linotype"/>
        <w:b/>
        <w:bCs/>
        <w:noProof/>
        <w:color w:val="000000"/>
        <w:sz w:val="22"/>
        <w:szCs w:val="22"/>
      </w:rPr>
      <w:t>53</w:t>
    </w:r>
    <w:r>
      <w:rPr>
        <w:rFonts w:ascii="Palatino Linotype" w:eastAsia="Palatino Linotype" w:hAnsi="Palatino Linotype" w:cs="Palatino Linotype"/>
        <w:b/>
        <w:bCs/>
        <w:color w:val="000000"/>
        <w:sz w:val="22"/>
        <w:szCs w:val="22"/>
      </w:rPr>
      <w:fldChar w:fldCharType="end"/>
    </w:r>
  </w:p>
  <w:p w:rsidR="006571E3" w:rsidRDefault="006571E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1E3" w:rsidRDefault="002715D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B5565">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B5565">
      <w:rPr>
        <w:rFonts w:ascii="Palatino Linotype" w:eastAsia="Palatino Linotype" w:hAnsi="Palatino Linotype" w:cs="Palatino Linotype"/>
        <w:b/>
        <w:bCs/>
        <w:noProof/>
        <w:color w:val="000000"/>
        <w:sz w:val="22"/>
        <w:szCs w:val="22"/>
      </w:rPr>
      <w:t>53</w:t>
    </w:r>
    <w:r>
      <w:rPr>
        <w:rFonts w:ascii="Palatino Linotype" w:eastAsia="Palatino Linotype" w:hAnsi="Palatino Linotype" w:cs="Palatino Linotype"/>
        <w:b/>
        <w:bCs/>
        <w:color w:val="000000"/>
        <w:sz w:val="22"/>
        <w:szCs w:val="22"/>
      </w:rPr>
      <w:fldChar w:fldCharType="end"/>
    </w:r>
  </w:p>
  <w:p w:rsidR="006571E3" w:rsidRDefault="006571E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95D" w:rsidRDefault="0010795D">
      <w:r>
        <w:separator/>
      </w:r>
    </w:p>
  </w:footnote>
  <w:footnote w:type="continuationSeparator" w:id="0">
    <w:p w:rsidR="0010795D" w:rsidRDefault="0010795D">
      <w:r>
        <w:continuationSeparator/>
      </w:r>
    </w:p>
  </w:footnote>
  <w:footnote w:id="1">
    <w:p w:rsidR="006571E3" w:rsidRDefault="002715D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6571E3" w:rsidRDefault="002715D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6571E3" w:rsidRDefault="002715D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6571E3" w:rsidRDefault="002715D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6571E3" w:rsidRDefault="002715D2">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6">
    <w:p w:rsidR="006571E3" w:rsidRDefault="002715D2">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7">
    <w:p w:rsidR="006571E3" w:rsidRDefault="002715D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https://legislacion.edomex.gob.mx/sites/legislacion.edomex.gob.mx/files/files/pdf/ley/vig/leyvig083.pdf</w:t>
        </w:r>
      </w:hyperlink>
    </w:p>
    <w:p w:rsidR="006571E3" w:rsidRDefault="006571E3">
      <w:pPr>
        <w:pBdr>
          <w:top w:val="nil"/>
          <w:left w:val="nil"/>
          <w:bottom w:val="nil"/>
          <w:right w:val="nil"/>
          <w:between w:val="nil"/>
        </w:pBdr>
        <w:rPr>
          <w:rFonts w:ascii="Calibri" w:eastAsia="Calibri" w:hAnsi="Calibri" w:cs="Calibri"/>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1E3" w:rsidRDefault="0010795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632" w:type="dxa"/>
      <w:tblInd w:w="0" w:type="dxa"/>
      <w:tblLayout w:type="fixed"/>
      <w:tblLook w:val="0400" w:firstRow="0" w:lastRow="0" w:firstColumn="0" w:lastColumn="0" w:noHBand="0" w:noVBand="1"/>
    </w:tblPr>
    <w:tblGrid>
      <w:gridCol w:w="2268"/>
      <w:gridCol w:w="8364"/>
    </w:tblGrid>
    <w:tr w:rsidR="006571E3" w:rsidTr="00633104">
      <w:trPr>
        <w:trHeight w:val="1435"/>
      </w:trPr>
      <w:tc>
        <w:tcPr>
          <w:tcW w:w="2268" w:type="dxa"/>
          <w:shd w:val="clear" w:color="auto" w:fill="auto"/>
        </w:tcPr>
        <w:p w:rsidR="006571E3" w:rsidRDefault="006571E3">
          <w:pPr>
            <w:tabs>
              <w:tab w:val="right" w:pos="4273"/>
            </w:tabs>
            <w:rPr>
              <w:rFonts w:ascii="Garamond" w:eastAsia="Garamond" w:hAnsi="Garamond" w:cs="Garamond"/>
              <w:sz w:val="16"/>
              <w:szCs w:val="16"/>
            </w:rPr>
          </w:pPr>
        </w:p>
      </w:tc>
      <w:tc>
        <w:tcPr>
          <w:tcW w:w="8364" w:type="dxa"/>
          <w:shd w:val="clear" w:color="auto" w:fill="auto"/>
        </w:tcPr>
        <w:tbl>
          <w:tblPr>
            <w:tblStyle w:val="a2"/>
            <w:tblW w:w="8209" w:type="dxa"/>
            <w:tblInd w:w="40" w:type="dxa"/>
            <w:tblLayout w:type="fixed"/>
            <w:tblLook w:val="0400" w:firstRow="0" w:lastRow="0" w:firstColumn="0" w:lastColumn="0" w:noHBand="0" w:noVBand="1"/>
          </w:tblPr>
          <w:tblGrid>
            <w:gridCol w:w="2762"/>
            <w:gridCol w:w="5447"/>
          </w:tblGrid>
          <w:tr w:rsidR="006571E3" w:rsidTr="00633104">
            <w:trPr>
              <w:trHeight w:val="150"/>
            </w:trPr>
            <w:tc>
              <w:tcPr>
                <w:tcW w:w="2762" w:type="dxa"/>
                <w:shd w:val="clear" w:color="auto" w:fill="auto"/>
              </w:tcPr>
              <w:p w:rsidR="006571E3" w:rsidRPr="00633104" w:rsidRDefault="002715D2" w:rsidP="001A735D">
                <w:pPr>
                  <w:tabs>
                    <w:tab w:val="right" w:pos="8838"/>
                  </w:tabs>
                  <w:ind w:left="14" w:right="-105" w:hanging="14"/>
                  <w:rPr>
                    <w:rFonts w:ascii="Palatino Linotype" w:eastAsia="Palatino Linotype" w:hAnsi="Palatino Linotype" w:cs="Palatino Linotype"/>
                    <w:b/>
                    <w:bCs/>
                  </w:rPr>
                </w:pPr>
                <w:r w:rsidRPr="00633104">
                  <w:rPr>
                    <w:rFonts w:ascii="Palatino Linotype" w:eastAsia="Palatino Linotype" w:hAnsi="Palatino Linotype" w:cs="Palatino Linotype"/>
                    <w:b/>
                    <w:bCs/>
                  </w:rPr>
                  <w:t>Recurso de Revisión:</w:t>
                </w:r>
              </w:p>
            </w:tc>
            <w:tc>
              <w:tcPr>
                <w:tcW w:w="5447" w:type="dxa"/>
                <w:shd w:val="clear" w:color="auto" w:fill="auto"/>
              </w:tcPr>
              <w:p w:rsidR="006571E3" w:rsidRPr="00633104" w:rsidRDefault="002715D2" w:rsidP="001A735D">
                <w:pPr>
                  <w:tabs>
                    <w:tab w:val="right" w:pos="8838"/>
                  </w:tabs>
                  <w:ind w:left="14" w:right="-1555" w:hanging="14"/>
                  <w:rPr>
                    <w:rFonts w:ascii="Palatino Linotype" w:eastAsia="Palatino Linotype" w:hAnsi="Palatino Linotype" w:cs="Palatino Linotype"/>
                  </w:rPr>
                </w:pPr>
                <w:r w:rsidRPr="00633104">
                  <w:rPr>
                    <w:rFonts w:ascii="Palatino Linotype" w:eastAsia="Palatino Linotype" w:hAnsi="Palatino Linotype" w:cs="Palatino Linotype"/>
                  </w:rPr>
                  <w:t>01828/INFOEM/IP/RR/2026</w:t>
                </w:r>
              </w:p>
            </w:tc>
          </w:tr>
          <w:tr w:rsidR="006571E3" w:rsidTr="00633104">
            <w:trPr>
              <w:trHeight w:val="295"/>
            </w:trPr>
            <w:tc>
              <w:tcPr>
                <w:tcW w:w="2762" w:type="dxa"/>
                <w:shd w:val="clear" w:color="auto" w:fill="auto"/>
              </w:tcPr>
              <w:p w:rsidR="006571E3" w:rsidRPr="00633104" w:rsidRDefault="002715D2" w:rsidP="001A735D">
                <w:pPr>
                  <w:tabs>
                    <w:tab w:val="right" w:pos="8838"/>
                  </w:tabs>
                  <w:ind w:left="14" w:right="-105" w:hanging="14"/>
                  <w:rPr>
                    <w:rFonts w:ascii="Palatino Linotype" w:eastAsia="Palatino Linotype" w:hAnsi="Palatino Linotype" w:cs="Palatino Linotype"/>
                    <w:b/>
                    <w:bCs/>
                  </w:rPr>
                </w:pPr>
                <w:r w:rsidRPr="00633104">
                  <w:rPr>
                    <w:rFonts w:ascii="Palatino Linotype" w:eastAsia="Palatino Linotype" w:hAnsi="Palatino Linotype" w:cs="Palatino Linotype"/>
                    <w:b/>
                    <w:bCs/>
                  </w:rPr>
                  <w:t>Sujeto Obligado:</w:t>
                </w:r>
              </w:p>
            </w:tc>
            <w:tc>
              <w:tcPr>
                <w:tcW w:w="5447" w:type="dxa"/>
                <w:shd w:val="clear" w:color="auto" w:fill="auto"/>
              </w:tcPr>
              <w:p w:rsidR="006571E3" w:rsidRPr="00633104" w:rsidRDefault="002715D2" w:rsidP="00633104">
                <w:pPr>
                  <w:ind w:left="14" w:right="311" w:hanging="14"/>
                  <w:rPr>
                    <w:rFonts w:ascii="Palatino Linotype" w:eastAsia="Palatino Linotype" w:hAnsi="Palatino Linotype" w:cs="Palatino Linotype"/>
                  </w:rPr>
                </w:pPr>
                <w:r w:rsidRPr="00633104">
                  <w:rPr>
                    <w:rFonts w:ascii="Palatino Linotype" w:eastAsia="Palatino Linotype" w:hAnsi="Palatino Linotype" w:cs="Palatino Linotype"/>
                  </w:rPr>
                  <w:t xml:space="preserve">Sistema </w:t>
                </w:r>
                <w:r w:rsidR="001A735D" w:rsidRPr="00633104">
                  <w:rPr>
                    <w:rFonts w:ascii="Palatino Linotype" w:eastAsia="Palatino Linotype" w:hAnsi="Palatino Linotype" w:cs="Palatino Linotype"/>
                  </w:rPr>
                  <w:t xml:space="preserve">Municipal </w:t>
                </w:r>
                <w:r w:rsidRPr="00633104">
                  <w:rPr>
                    <w:rFonts w:ascii="Palatino Linotype" w:eastAsia="Palatino Linotype" w:hAnsi="Palatino Linotype" w:cs="Palatino Linotype"/>
                  </w:rPr>
                  <w:t>para el Desarrollo Integral de la Familia de Lerma</w:t>
                </w:r>
              </w:p>
            </w:tc>
          </w:tr>
          <w:tr w:rsidR="006571E3" w:rsidTr="00633104">
            <w:trPr>
              <w:trHeight w:val="632"/>
            </w:trPr>
            <w:tc>
              <w:tcPr>
                <w:tcW w:w="2762" w:type="dxa"/>
                <w:shd w:val="clear" w:color="auto" w:fill="auto"/>
              </w:tcPr>
              <w:p w:rsidR="006571E3" w:rsidRPr="00633104" w:rsidRDefault="002715D2" w:rsidP="001A735D">
                <w:pPr>
                  <w:tabs>
                    <w:tab w:val="right" w:pos="8838"/>
                  </w:tabs>
                  <w:ind w:left="14" w:right="-105" w:hanging="14"/>
                  <w:rPr>
                    <w:rFonts w:ascii="Palatino Linotype" w:eastAsia="Palatino Linotype" w:hAnsi="Palatino Linotype" w:cs="Palatino Linotype"/>
                    <w:b/>
                    <w:bCs/>
                  </w:rPr>
                </w:pPr>
                <w:r w:rsidRPr="00633104">
                  <w:rPr>
                    <w:rFonts w:ascii="Palatino Linotype" w:eastAsia="Palatino Linotype" w:hAnsi="Palatino Linotype" w:cs="Palatino Linotype"/>
                    <w:b/>
                    <w:bCs/>
                  </w:rPr>
                  <w:t>Comisionada ponente:</w:t>
                </w:r>
              </w:p>
            </w:tc>
            <w:tc>
              <w:tcPr>
                <w:tcW w:w="5447" w:type="dxa"/>
                <w:shd w:val="clear" w:color="auto" w:fill="auto"/>
              </w:tcPr>
              <w:p w:rsidR="006571E3" w:rsidRPr="00633104" w:rsidRDefault="002715D2" w:rsidP="001A735D">
                <w:pPr>
                  <w:tabs>
                    <w:tab w:val="right" w:pos="8838"/>
                  </w:tabs>
                  <w:ind w:left="14" w:right="-1555" w:hanging="14"/>
                  <w:rPr>
                    <w:rFonts w:ascii="Palatino Linotype" w:eastAsia="Palatino Linotype" w:hAnsi="Palatino Linotype" w:cs="Palatino Linotype"/>
                  </w:rPr>
                </w:pPr>
                <w:r w:rsidRPr="00633104">
                  <w:rPr>
                    <w:rFonts w:ascii="Palatino Linotype" w:eastAsia="Palatino Linotype" w:hAnsi="Palatino Linotype" w:cs="Palatino Linotype"/>
                  </w:rPr>
                  <w:t>María del Rosario Mejía Ayala</w:t>
                </w:r>
              </w:p>
              <w:p w:rsidR="006571E3" w:rsidRPr="00633104" w:rsidRDefault="006571E3" w:rsidP="001A735D">
                <w:pPr>
                  <w:tabs>
                    <w:tab w:val="right" w:pos="8838"/>
                  </w:tabs>
                  <w:ind w:left="14" w:right="-1555" w:hanging="14"/>
                  <w:rPr>
                    <w:rFonts w:ascii="Palatino Linotype" w:eastAsia="Palatino Linotype" w:hAnsi="Palatino Linotype" w:cs="Palatino Linotype"/>
                    <w:b/>
                    <w:bCs/>
                  </w:rPr>
                </w:pPr>
              </w:p>
            </w:tc>
          </w:tr>
        </w:tbl>
        <w:p w:rsidR="006571E3" w:rsidRDefault="006571E3">
          <w:pPr>
            <w:tabs>
              <w:tab w:val="right" w:pos="8838"/>
            </w:tabs>
            <w:ind w:left="-28"/>
            <w:jc w:val="both"/>
            <w:rPr>
              <w:rFonts w:ascii="Arial" w:eastAsia="Arial" w:hAnsi="Arial" w:cs="Arial"/>
              <w:b/>
              <w:bCs/>
              <w:sz w:val="22"/>
              <w:szCs w:val="22"/>
            </w:rPr>
          </w:pPr>
        </w:p>
      </w:tc>
    </w:tr>
  </w:tbl>
  <w:p w:rsidR="006571E3" w:rsidRDefault="0010795D">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560" w:type="dxa"/>
      <w:tblInd w:w="0" w:type="dxa"/>
      <w:tblLayout w:type="fixed"/>
      <w:tblLook w:val="0400" w:firstRow="0" w:lastRow="0" w:firstColumn="0" w:lastColumn="0" w:noHBand="0" w:noVBand="1"/>
    </w:tblPr>
    <w:tblGrid>
      <w:gridCol w:w="2265"/>
      <w:gridCol w:w="8295"/>
    </w:tblGrid>
    <w:tr w:rsidR="006571E3">
      <w:trPr>
        <w:trHeight w:val="1435"/>
      </w:trPr>
      <w:tc>
        <w:tcPr>
          <w:tcW w:w="2265" w:type="dxa"/>
          <w:shd w:val="clear" w:color="auto" w:fill="auto"/>
        </w:tcPr>
        <w:p w:rsidR="006571E3" w:rsidRDefault="006571E3">
          <w:pPr>
            <w:tabs>
              <w:tab w:val="right" w:pos="4273"/>
            </w:tabs>
            <w:rPr>
              <w:rFonts w:ascii="Garamond" w:eastAsia="Garamond" w:hAnsi="Garamond" w:cs="Garamond"/>
              <w:sz w:val="22"/>
              <w:szCs w:val="22"/>
            </w:rPr>
          </w:pPr>
        </w:p>
      </w:tc>
      <w:tc>
        <w:tcPr>
          <w:tcW w:w="8295" w:type="dxa"/>
          <w:shd w:val="clear" w:color="auto" w:fill="auto"/>
        </w:tcPr>
        <w:tbl>
          <w:tblPr>
            <w:tblStyle w:val="a4"/>
            <w:tblW w:w="7995" w:type="dxa"/>
            <w:tblInd w:w="40" w:type="dxa"/>
            <w:tblLayout w:type="fixed"/>
            <w:tblLook w:val="0400" w:firstRow="0" w:lastRow="0" w:firstColumn="0" w:lastColumn="0" w:noHBand="0" w:noVBand="1"/>
          </w:tblPr>
          <w:tblGrid>
            <w:gridCol w:w="2807"/>
            <w:gridCol w:w="5188"/>
          </w:tblGrid>
          <w:tr w:rsidR="006571E3">
            <w:trPr>
              <w:trHeight w:val="144"/>
            </w:trPr>
            <w:tc>
              <w:tcPr>
                <w:tcW w:w="2807" w:type="dxa"/>
                <w:shd w:val="clear" w:color="auto" w:fill="auto"/>
              </w:tcPr>
              <w:p w:rsidR="006571E3" w:rsidRDefault="002715D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188" w:type="dxa"/>
                <w:shd w:val="clear" w:color="auto" w:fill="auto"/>
              </w:tcPr>
              <w:p w:rsidR="006571E3" w:rsidRDefault="002715D2">
                <w:pPr>
                  <w:tabs>
                    <w:tab w:val="right" w:pos="8838"/>
                  </w:tabs>
                  <w:ind w:right="-294"/>
                  <w:rPr>
                    <w:rFonts w:ascii="Palatino Linotype" w:eastAsia="Palatino Linotype" w:hAnsi="Palatino Linotype" w:cs="Palatino Linotype"/>
                  </w:rPr>
                </w:pPr>
                <w:r>
                  <w:rPr>
                    <w:rFonts w:ascii="Palatino Linotype" w:eastAsia="Palatino Linotype" w:hAnsi="Palatino Linotype" w:cs="Palatino Linotype"/>
                  </w:rPr>
                  <w:t>01828/INFOEM/IP/RR/2026</w:t>
                </w:r>
              </w:p>
            </w:tc>
          </w:tr>
          <w:tr w:rsidR="006571E3">
            <w:trPr>
              <w:trHeight w:val="144"/>
            </w:trPr>
            <w:tc>
              <w:tcPr>
                <w:tcW w:w="2807" w:type="dxa"/>
                <w:shd w:val="clear" w:color="auto" w:fill="auto"/>
              </w:tcPr>
              <w:p w:rsidR="006571E3" w:rsidRDefault="002715D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188" w:type="dxa"/>
                <w:shd w:val="clear" w:color="auto" w:fill="auto"/>
              </w:tcPr>
              <w:p w:rsidR="006571E3" w:rsidRDefault="002B5565">
                <w:pPr>
                  <w:tabs>
                    <w:tab w:val="left" w:pos="3122"/>
                    <w:tab w:val="right" w:pos="8838"/>
                  </w:tabs>
                  <w:ind w:right="-294"/>
                  <w:rPr>
                    <w:rFonts w:ascii="Palatino Linotype" w:eastAsia="Palatino Linotype" w:hAnsi="Palatino Linotype" w:cs="Palatino Linotype"/>
                  </w:rPr>
                </w:pPr>
                <w:r>
                  <w:rPr>
                    <w:rFonts w:ascii="Palatino Linotype" w:eastAsia="Palatino Linotype" w:hAnsi="Palatino Linotype" w:cs="Palatino Linotype"/>
                  </w:rPr>
                  <w:t>XXXX</w:t>
                </w:r>
                <w:r w:rsidR="002715D2">
                  <w:rPr>
                    <w:rFonts w:ascii="Palatino Linotype" w:eastAsia="Palatino Linotype" w:hAnsi="Palatino Linotype" w:cs="Palatino Linotype"/>
                  </w:rPr>
                  <w:t xml:space="preserve"> </w:t>
                </w:r>
              </w:p>
            </w:tc>
          </w:tr>
          <w:tr w:rsidR="006571E3">
            <w:trPr>
              <w:trHeight w:val="283"/>
            </w:trPr>
            <w:tc>
              <w:tcPr>
                <w:tcW w:w="2807" w:type="dxa"/>
                <w:shd w:val="clear" w:color="auto" w:fill="auto"/>
              </w:tcPr>
              <w:p w:rsidR="006571E3" w:rsidRDefault="002715D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188" w:type="dxa"/>
                <w:shd w:val="clear" w:color="auto" w:fill="auto"/>
              </w:tcPr>
              <w:p w:rsidR="006571E3" w:rsidRDefault="002715D2">
                <w:pPr>
                  <w:tabs>
                    <w:tab w:val="left" w:pos="2834"/>
                    <w:tab w:val="right" w:pos="8838"/>
                  </w:tabs>
                  <w:ind w:right="-10"/>
                  <w:rPr>
                    <w:rFonts w:ascii="Palatino Linotype" w:eastAsia="Palatino Linotype" w:hAnsi="Palatino Linotype" w:cs="Palatino Linotype"/>
                  </w:rPr>
                </w:pPr>
                <w:r>
                  <w:rPr>
                    <w:rFonts w:ascii="Palatino Linotype" w:eastAsia="Palatino Linotype" w:hAnsi="Palatino Linotype" w:cs="Palatino Linotype"/>
                  </w:rPr>
                  <w:t>Sistema Municipal para el Desarrollo Integral de la Familia de Lerma</w:t>
                </w:r>
              </w:p>
            </w:tc>
          </w:tr>
          <w:tr w:rsidR="006571E3">
            <w:trPr>
              <w:trHeight w:val="283"/>
            </w:trPr>
            <w:tc>
              <w:tcPr>
                <w:tcW w:w="2807" w:type="dxa"/>
                <w:shd w:val="clear" w:color="auto" w:fill="auto"/>
              </w:tcPr>
              <w:p w:rsidR="006571E3" w:rsidRDefault="002715D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188" w:type="dxa"/>
                <w:shd w:val="clear" w:color="auto" w:fill="auto"/>
              </w:tcPr>
              <w:p w:rsidR="006571E3" w:rsidRDefault="002715D2">
                <w:pPr>
                  <w:tabs>
                    <w:tab w:val="right" w:pos="8838"/>
                  </w:tabs>
                  <w:ind w:right="-294"/>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6571E3" w:rsidRDefault="006571E3">
                <w:pPr>
                  <w:tabs>
                    <w:tab w:val="right" w:pos="8838"/>
                  </w:tabs>
                  <w:ind w:right="-294"/>
                  <w:rPr>
                    <w:rFonts w:ascii="Palatino Linotype" w:eastAsia="Palatino Linotype" w:hAnsi="Palatino Linotype" w:cs="Palatino Linotype"/>
                  </w:rPr>
                </w:pPr>
              </w:p>
            </w:tc>
          </w:tr>
        </w:tbl>
        <w:p w:rsidR="006571E3" w:rsidRDefault="006571E3">
          <w:pPr>
            <w:tabs>
              <w:tab w:val="right" w:pos="8838"/>
            </w:tabs>
            <w:ind w:left="-28"/>
            <w:jc w:val="both"/>
            <w:rPr>
              <w:rFonts w:ascii="Arial" w:eastAsia="Arial" w:hAnsi="Arial" w:cs="Arial"/>
              <w:b/>
              <w:bCs/>
              <w:sz w:val="22"/>
              <w:szCs w:val="22"/>
            </w:rPr>
          </w:pPr>
        </w:p>
      </w:tc>
    </w:tr>
  </w:tbl>
  <w:p w:rsidR="006571E3" w:rsidRDefault="0010795D">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B7572"/>
    <w:multiLevelType w:val="multilevel"/>
    <w:tmpl w:val="B366C626"/>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64C58C0"/>
    <w:multiLevelType w:val="multilevel"/>
    <w:tmpl w:val="1AEEA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572BCD"/>
    <w:multiLevelType w:val="multilevel"/>
    <w:tmpl w:val="04688A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1760C3"/>
    <w:multiLevelType w:val="multilevel"/>
    <w:tmpl w:val="B87CF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8033B8"/>
    <w:multiLevelType w:val="multilevel"/>
    <w:tmpl w:val="AB509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E47FF3"/>
    <w:multiLevelType w:val="multilevel"/>
    <w:tmpl w:val="B4082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7802A0F"/>
    <w:multiLevelType w:val="multilevel"/>
    <w:tmpl w:val="7ECAA81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4AE9099D"/>
    <w:multiLevelType w:val="multilevel"/>
    <w:tmpl w:val="F0E6483C"/>
    <w:lvl w:ilvl="0">
      <w:start w:val="1"/>
      <w:numFmt w:val="decimal"/>
      <w:lvlText w:val="%1."/>
      <w:lvlJc w:val="left"/>
      <w:pPr>
        <w:ind w:left="360" w:hanging="360"/>
      </w:pPr>
      <w:rPr>
        <w:rFonts w:ascii="Palatino Linotype" w:eastAsia="Palatino Linotype" w:hAnsi="Palatino Linotype" w:cs="Palatino Linotype"/>
        <w:b/>
        <w:bCs/>
        <w:i w:val="0"/>
        <w:iCs w:val="0"/>
        <w:color w:val="434343"/>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E76D3D"/>
    <w:multiLevelType w:val="multilevel"/>
    <w:tmpl w:val="3DFA28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9078BB"/>
    <w:multiLevelType w:val="multilevel"/>
    <w:tmpl w:val="01186C5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73573385"/>
    <w:multiLevelType w:val="multilevel"/>
    <w:tmpl w:val="5AACCF1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7DAA3ED7"/>
    <w:multiLevelType w:val="multilevel"/>
    <w:tmpl w:val="FCC0E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E90319B"/>
    <w:multiLevelType w:val="multilevel"/>
    <w:tmpl w:val="91784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10"/>
  </w:num>
  <w:num w:numId="4">
    <w:abstractNumId w:val="9"/>
  </w:num>
  <w:num w:numId="5">
    <w:abstractNumId w:val="7"/>
  </w:num>
  <w:num w:numId="6">
    <w:abstractNumId w:val="6"/>
  </w:num>
  <w:num w:numId="7">
    <w:abstractNumId w:val="3"/>
  </w:num>
  <w:num w:numId="8">
    <w:abstractNumId w:val="0"/>
  </w:num>
  <w:num w:numId="9">
    <w:abstractNumId w:val="1"/>
  </w:num>
  <w:num w:numId="10">
    <w:abstractNumId w:val="2"/>
  </w:num>
  <w:num w:numId="11">
    <w:abstractNumId w:val="8"/>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E3"/>
    <w:rsid w:val="00100A10"/>
    <w:rsid w:val="0010795D"/>
    <w:rsid w:val="001A735D"/>
    <w:rsid w:val="002364CF"/>
    <w:rsid w:val="002715D2"/>
    <w:rsid w:val="002B5565"/>
    <w:rsid w:val="0049238A"/>
    <w:rsid w:val="00633104"/>
    <w:rsid w:val="006571E3"/>
    <w:rsid w:val="008766AB"/>
    <w:rsid w:val="00995D20"/>
    <w:rsid w:val="00EE15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AF32AB0-07BE-4E57-B95A-EE517F79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ind w:left="567" w:right="567" w:hanging="567"/>
      <w:jc w:val="both"/>
    </w:pPr>
    <w:rPr>
      <w:rFonts w:ascii="Palatino Linotype" w:eastAsia="Palatino Linotype" w:hAnsi="Palatino Linotype" w:cs="Palatino Linotype"/>
      <w:i/>
      <w:iCs/>
      <w:color w:val="000000"/>
      <w:sz w:val="22"/>
      <w:szCs w:val="2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1A735D"/>
    <w:pPr>
      <w:tabs>
        <w:tab w:val="center" w:pos="4419"/>
        <w:tab w:val="right" w:pos="8838"/>
      </w:tabs>
    </w:pPr>
  </w:style>
  <w:style w:type="character" w:customStyle="1" w:styleId="PiedepginaCar">
    <w:name w:val="Pie de página Car"/>
    <w:basedOn w:val="Fuentedeprrafopredeter"/>
    <w:link w:val="Piedepgina"/>
    <w:uiPriority w:val="99"/>
    <w:rsid w:val="001A735D"/>
  </w:style>
  <w:style w:type="paragraph" w:styleId="Prrafodelista">
    <w:name w:val="List Paragraph"/>
    <w:basedOn w:val="Normal"/>
    <w:uiPriority w:val="34"/>
    <w:qFormat/>
    <w:rsid w:val="00633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omex.org.mx/ipomex/" TargetMode="External"/><Relationship Id="rId5" Type="http://schemas.openxmlformats.org/officeDocument/2006/relationships/webSettings" Target="webSettings.xml"/><Relationship Id="rId15" Type="http://schemas.openxmlformats.org/officeDocument/2006/relationships/hyperlink" Target="http://dof.gob.mx/nota_detalle.php?codigo=5492254&amp;fecha=28/07/2017" TargetMode="External"/><Relationship Id="rId23" Type="http://schemas.openxmlformats.org/officeDocument/2006/relationships/theme" Target="theme/theme1.xml"/><Relationship Id="rId10" Type="http://schemas.openxmlformats.org/officeDocument/2006/relationships/hyperlink" Target="https://ipomex.org.mx/ipome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abW0UC/dGxhkFJS8O0Z+ZXkGUQ==">CgMxLjAyDmgud2tlaGNwNGhvdWcxMg5oLnA1bGlqZTc2NmEwcDIOaC5ueWNqdDczM2V4NDYyDmgudnZkeWs2bXBna2h5Mg5oLmV0bnl4d3Y3MXloMzIOaC5raGxkZ2wzczlodWMyDmguZXhwMWYyaDBzam45Mg5oLjQ2bmszY2VlenljNTIJaC4yNmluMXJnMgloLjM1bmt1bjIyCWguMWtzdjR1djIJaC40NHNpbmlvMg1oLnluM3hqcnpmZG5mMg5oLjQycXNjNjFmaXVkaTIOaC50bWhoamk5b2NpaG44AHIhMVZCcks1MWRWQWppY3FXYkRLN0t3OVV2aHFIbGJvM21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53</Pages>
  <Words>13087</Words>
  <Characters>71980</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2026-05-21T23:13:00Z</cp:lastPrinted>
  <dcterms:created xsi:type="dcterms:W3CDTF">2026-05-20T19:56:00Z</dcterms:created>
  <dcterms:modified xsi:type="dcterms:W3CDTF">2026-05-28T23:25:00Z</dcterms:modified>
</cp:coreProperties>
</file>