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602D3" w14:textId="3DDB9911" w:rsidR="00C8164D" w:rsidRPr="002244D7" w:rsidRDefault="00BA0BB9" w:rsidP="00F768EA">
      <w:pPr>
        <w:spacing w:line="360" w:lineRule="auto"/>
        <w:jc w:val="both"/>
        <w:rPr>
          <w:rFonts w:ascii="Palatino Linotype" w:eastAsia="Palatino Linotype" w:hAnsi="Palatino Linotype" w:cs="Palatino Linotype"/>
          <w:sz w:val="22"/>
          <w:szCs w:val="22"/>
        </w:rPr>
      </w:pPr>
      <w:bookmarkStart w:id="0" w:name="_heading=h.1fob9te" w:colFirst="0" w:colLast="0"/>
      <w:bookmarkEnd w:id="0"/>
      <w:r w:rsidRPr="002244D7">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1C3118" w:rsidRPr="002244D7">
        <w:rPr>
          <w:rFonts w:ascii="Palatino Linotype" w:eastAsia="Palatino Linotype" w:hAnsi="Palatino Linotype" w:cs="Palatino Linotype"/>
          <w:sz w:val="22"/>
          <w:szCs w:val="22"/>
        </w:rPr>
        <w:t>cinco de febrero de dos mil veintiséis</w:t>
      </w:r>
      <w:r w:rsidRPr="002244D7">
        <w:rPr>
          <w:rFonts w:ascii="Palatino Linotype" w:eastAsia="Palatino Linotype" w:hAnsi="Palatino Linotype" w:cs="Palatino Linotype"/>
          <w:sz w:val="22"/>
          <w:szCs w:val="22"/>
        </w:rPr>
        <w:t xml:space="preserve">. </w:t>
      </w:r>
    </w:p>
    <w:p w14:paraId="07470E74" w14:textId="77777777" w:rsidR="00C8164D" w:rsidRPr="002244D7" w:rsidRDefault="00C8164D" w:rsidP="00F768EA">
      <w:pPr>
        <w:spacing w:line="360" w:lineRule="auto"/>
        <w:jc w:val="both"/>
        <w:rPr>
          <w:rFonts w:ascii="Palatino Linotype" w:eastAsia="Palatino Linotype" w:hAnsi="Palatino Linotype" w:cs="Palatino Linotype"/>
          <w:sz w:val="22"/>
          <w:szCs w:val="22"/>
        </w:rPr>
      </w:pPr>
    </w:p>
    <w:p w14:paraId="4C023BA7" w14:textId="61DCD441" w:rsidR="00C8164D" w:rsidRPr="002244D7" w:rsidRDefault="00BA0BB9" w:rsidP="00F768EA">
      <w:pPr>
        <w:spacing w:line="360" w:lineRule="auto"/>
        <w:jc w:val="both"/>
        <w:rPr>
          <w:rFonts w:ascii="Palatino Linotype" w:eastAsia="Palatino Linotype" w:hAnsi="Palatino Linotype" w:cs="Palatino Linotype"/>
          <w:sz w:val="22"/>
          <w:szCs w:val="22"/>
        </w:rPr>
      </w:pPr>
      <w:r w:rsidRPr="002244D7">
        <w:rPr>
          <w:rFonts w:ascii="Palatino Linotype" w:eastAsia="Palatino Linotype" w:hAnsi="Palatino Linotype" w:cs="Palatino Linotype"/>
          <w:b/>
          <w:sz w:val="22"/>
          <w:szCs w:val="22"/>
        </w:rPr>
        <w:t>VISTO</w:t>
      </w:r>
      <w:r w:rsidRPr="002244D7">
        <w:rPr>
          <w:rFonts w:ascii="Palatino Linotype" w:eastAsia="Palatino Linotype" w:hAnsi="Palatino Linotype" w:cs="Palatino Linotype"/>
          <w:sz w:val="22"/>
          <w:szCs w:val="22"/>
        </w:rPr>
        <w:t xml:space="preserve"> el expediente formado con motivo del recurso de revisión </w:t>
      </w:r>
      <w:r w:rsidR="001C3118" w:rsidRPr="002244D7">
        <w:rPr>
          <w:rFonts w:ascii="Palatino Linotype" w:eastAsia="Palatino Linotype" w:hAnsi="Palatino Linotype" w:cs="Palatino Linotype"/>
          <w:b/>
          <w:sz w:val="22"/>
          <w:szCs w:val="22"/>
        </w:rPr>
        <w:t>13174</w:t>
      </w:r>
      <w:r w:rsidRPr="002244D7">
        <w:rPr>
          <w:rFonts w:ascii="Palatino Linotype" w:eastAsia="Palatino Linotype" w:hAnsi="Palatino Linotype" w:cs="Palatino Linotype"/>
          <w:b/>
          <w:sz w:val="22"/>
          <w:szCs w:val="22"/>
        </w:rPr>
        <w:t>/INFOEM/IP/RR/2025</w:t>
      </w:r>
      <w:r w:rsidRPr="002244D7">
        <w:rPr>
          <w:rFonts w:ascii="Palatino Linotype" w:eastAsia="Palatino Linotype" w:hAnsi="Palatino Linotype" w:cs="Palatino Linotype"/>
          <w:sz w:val="22"/>
          <w:szCs w:val="22"/>
        </w:rPr>
        <w:t>, interpuesto por</w:t>
      </w:r>
      <w:r w:rsidRPr="002244D7">
        <w:rPr>
          <w:rFonts w:ascii="Palatino Linotype" w:eastAsia="Palatino Linotype" w:hAnsi="Palatino Linotype" w:cs="Palatino Linotype"/>
          <w:b/>
          <w:sz w:val="22"/>
          <w:szCs w:val="22"/>
        </w:rPr>
        <w:t xml:space="preserve"> </w:t>
      </w:r>
      <w:r w:rsidR="00DA6221" w:rsidRPr="00DA6221">
        <w:rPr>
          <w:rFonts w:ascii="Palatino Linotype" w:eastAsia="Palatino Linotype" w:hAnsi="Palatino Linotype" w:cs="Palatino Linotype"/>
          <w:b/>
          <w:sz w:val="22"/>
          <w:szCs w:val="22"/>
        </w:rPr>
        <w:t>XXXXXX XXXXX XXXXXX</w:t>
      </w:r>
      <w:r w:rsidRPr="00DA6221">
        <w:rPr>
          <w:rFonts w:ascii="Palatino Linotype" w:eastAsia="Palatino Linotype" w:hAnsi="Palatino Linotype" w:cs="Palatino Linotype"/>
          <w:b/>
          <w:sz w:val="22"/>
          <w:szCs w:val="22"/>
        </w:rPr>
        <w:t>,</w:t>
      </w:r>
      <w:bookmarkStart w:id="1" w:name="_GoBack"/>
      <w:bookmarkEnd w:id="1"/>
      <w:r w:rsidRPr="002244D7">
        <w:rPr>
          <w:rFonts w:ascii="Palatino Linotype" w:eastAsia="Palatino Linotype" w:hAnsi="Palatino Linotype" w:cs="Palatino Linotype"/>
          <w:sz w:val="22"/>
          <w:szCs w:val="22"/>
        </w:rPr>
        <w:t xml:space="preserve"> en lo sucesivo será identificada como</w:t>
      </w:r>
      <w:r w:rsidRPr="002244D7">
        <w:rPr>
          <w:rFonts w:ascii="Palatino Linotype" w:eastAsia="Palatino Linotype" w:hAnsi="Palatino Linotype" w:cs="Palatino Linotype"/>
          <w:b/>
          <w:sz w:val="22"/>
          <w:szCs w:val="22"/>
        </w:rPr>
        <w:t xml:space="preserve"> </w:t>
      </w:r>
      <w:r w:rsidRPr="002244D7">
        <w:rPr>
          <w:rFonts w:ascii="Palatino Linotype" w:eastAsia="Palatino Linotype" w:hAnsi="Palatino Linotype" w:cs="Palatino Linotype"/>
          <w:sz w:val="22"/>
          <w:szCs w:val="22"/>
        </w:rPr>
        <w:t xml:space="preserve">la parte </w:t>
      </w:r>
      <w:r w:rsidRPr="002244D7">
        <w:rPr>
          <w:rFonts w:ascii="Palatino Linotype" w:eastAsia="Palatino Linotype" w:hAnsi="Palatino Linotype" w:cs="Palatino Linotype"/>
          <w:b/>
          <w:sz w:val="22"/>
          <w:szCs w:val="22"/>
        </w:rPr>
        <w:t>Recurrente,</w:t>
      </w:r>
      <w:r w:rsidRPr="002244D7">
        <w:rPr>
          <w:rFonts w:ascii="Palatino Linotype" w:eastAsia="Palatino Linotype" w:hAnsi="Palatino Linotype" w:cs="Palatino Linotype"/>
          <w:sz w:val="22"/>
          <w:szCs w:val="22"/>
        </w:rPr>
        <w:t xml:space="preserve"> en contra de la falta de respuesta a su solicitud de información por parte del</w:t>
      </w:r>
      <w:r w:rsidRPr="002244D7">
        <w:rPr>
          <w:rFonts w:ascii="Palatino Linotype" w:eastAsia="Palatino Linotype" w:hAnsi="Palatino Linotype" w:cs="Palatino Linotype"/>
          <w:b/>
          <w:sz w:val="22"/>
          <w:szCs w:val="22"/>
        </w:rPr>
        <w:t xml:space="preserve"> </w:t>
      </w:r>
      <w:r w:rsidR="001C3118" w:rsidRPr="002244D7">
        <w:rPr>
          <w:rFonts w:ascii="Palatino Linotype" w:eastAsia="Palatino Linotype" w:hAnsi="Palatino Linotype" w:cs="Palatino Linotype"/>
          <w:b/>
          <w:sz w:val="22"/>
          <w:szCs w:val="22"/>
        </w:rPr>
        <w:t>Ayuntamiento de Almoloya de Juárez</w:t>
      </w:r>
      <w:r w:rsidRPr="002244D7">
        <w:rPr>
          <w:rFonts w:ascii="Palatino Linotype" w:eastAsia="Palatino Linotype" w:hAnsi="Palatino Linotype" w:cs="Palatino Linotype"/>
          <w:b/>
          <w:sz w:val="22"/>
          <w:szCs w:val="22"/>
        </w:rPr>
        <w:t xml:space="preserve">, </w:t>
      </w:r>
      <w:r w:rsidRPr="002244D7">
        <w:rPr>
          <w:rFonts w:ascii="Palatino Linotype" w:eastAsia="Palatino Linotype" w:hAnsi="Palatino Linotype" w:cs="Palatino Linotype"/>
          <w:sz w:val="22"/>
          <w:szCs w:val="22"/>
        </w:rPr>
        <w:t xml:space="preserve">en lo sucesivo el </w:t>
      </w:r>
      <w:r w:rsidRPr="002244D7">
        <w:rPr>
          <w:rFonts w:ascii="Palatino Linotype" w:eastAsia="Palatino Linotype" w:hAnsi="Palatino Linotype" w:cs="Palatino Linotype"/>
          <w:b/>
          <w:sz w:val="22"/>
          <w:szCs w:val="22"/>
        </w:rPr>
        <w:t xml:space="preserve">Sujeto Obligado, </w:t>
      </w:r>
      <w:r w:rsidRPr="002244D7">
        <w:rPr>
          <w:rFonts w:ascii="Palatino Linotype" w:eastAsia="Palatino Linotype" w:hAnsi="Palatino Linotype" w:cs="Palatino Linotype"/>
          <w:sz w:val="22"/>
          <w:szCs w:val="22"/>
        </w:rPr>
        <w:t xml:space="preserve">se procede a dictar la presente resolución con base en los siguientes: </w:t>
      </w:r>
    </w:p>
    <w:p w14:paraId="0CB75964" w14:textId="77777777" w:rsidR="00C8164D" w:rsidRPr="002244D7" w:rsidRDefault="00C8164D" w:rsidP="00F768EA">
      <w:pPr>
        <w:spacing w:line="360" w:lineRule="auto"/>
        <w:jc w:val="both"/>
        <w:rPr>
          <w:rFonts w:ascii="Palatino Linotype" w:eastAsia="Palatino Linotype" w:hAnsi="Palatino Linotype" w:cs="Palatino Linotype"/>
          <w:sz w:val="22"/>
          <w:szCs w:val="22"/>
        </w:rPr>
      </w:pPr>
    </w:p>
    <w:p w14:paraId="70ED12D0" w14:textId="77777777" w:rsidR="00C8164D" w:rsidRPr="002244D7" w:rsidRDefault="00BA0BB9" w:rsidP="00F768EA">
      <w:pPr>
        <w:spacing w:line="360" w:lineRule="auto"/>
        <w:jc w:val="center"/>
        <w:rPr>
          <w:rFonts w:ascii="Palatino Linotype" w:eastAsia="Palatino Linotype" w:hAnsi="Palatino Linotype" w:cs="Palatino Linotype"/>
          <w:b/>
          <w:sz w:val="22"/>
          <w:szCs w:val="22"/>
        </w:rPr>
      </w:pPr>
      <w:r w:rsidRPr="002244D7">
        <w:rPr>
          <w:rFonts w:ascii="Palatino Linotype" w:eastAsia="Palatino Linotype" w:hAnsi="Palatino Linotype" w:cs="Palatino Linotype"/>
          <w:b/>
          <w:sz w:val="22"/>
          <w:szCs w:val="22"/>
        </w:rPr>
        <w:t>I. A N T E C E D E N T E S</w:t>
      </w:r>
    </w:p>
    <w:p w14:paraId="51F7AC53" w14:textId="77777777" w:rsidR="00C8164D" w:rsidRPr="002244D7" w:rsidRDefault="00C8164D" w:rsidP="00F768EA">
      <w:pPr>
        <w:spacing w:line="360" w:lineRule="auto"/>
        <w:jc w:val="center"/>
        <w:rPr>
          <w:rFonts w:ascii="Palatino Linotype" w:eastAsia="Palatino Linotype" w:hAnsi="Palatino Linotype" w:cs="Palatino Linotype"/>
          <w:b/>
          <w:sz w:val="22"/>
          <w:szCs w:val="22"/>
        </w:rPr>
      </w:pPr>
    </w:p>
    <w:p w14:paraId="259AC23F" w14:textId="064AFC3B" w:rsidR="00C8164D" w:rsidRPr="002244D7" w:rsidRDefault="00BA0BB9" w:rsidP="00F768EA">
      <w:pPr>
        <w:spacing w:line="360" w:lineRule="auto"/>
        <w:jc w:val="both"/>
        <w:rPr>
          <w:rFonts w:ascii="Palatino Linotype" w:eastAsia="Palatino Linotype" w:hAnsi="Palatino Linotype" w:cs="Palatino Linotype"/>
          <w:sz w:val="22"/>
          <w:szCs w:val="22"/>
        </w:rPr>
      </w:pPr>
      <w:r w:rsidRPr="002244D7">
        <w:rPr>
          <w:rFonts w:ascii="Palatino Linotype" w:eastAsia="Palatino Linotype" w:hAnsi="Palatino Linotype" w:cs="Palatino Linotype"/>
          <w:b/>
          <w:sz w:val="22"/>
          <w:szCs w:val="22"/>
        </w:rPr>
        <w:t>1. Solicitud de acceso a la información.</w:t>
      </w:r>
      <w:r w:rsidRPr="002244D7">
        <w:rPr>
          <w:rFonts w:ascii="Palatino Linotype" w:eastAsia="Palatino Linotype" w:hAnsi="Palatino Linotype" w:cs="Palatino Linotype"/>
          <w:sz w:val="22"/>
          <w:szCs w:val="22"/>
        </w:rPr>
        <w:t xml:space="preserve"> Con fecha </w:t>
      </w:r>
      <w:r w:rsidR="001C3118" w:rsidRPr="002244D7">
        <w:rPr>
          <w:rFonts w:ascii="Palatino Linotype" w:eastAsia="Palatino Linotype" w:hAnsi="Palatino Linotype" w:cs="Palatino Linotype"/>
          <w:b/>
          <w:sz w:val="22"/>
          <w:szCs w:val="22"/>
        </w:rPr>
        <w:t>veintiocho de octubre</w:t>
      </w:r>
      <w:r w:rsidRPr="002244D7">
        <w:rPr>
          <w:rFonts w:ascii="Palatino Linotype" w:eastAsia="Palatino Linotype" w:hAnsi="Palatino Linotype" w:cs="Palatino Linotype"/>
          <w:b/>
          <w:sz w:val="22"/>
          <w:szCs w:val="22"/>
        </w:rPr>
        <w:t xml:space="preserve"> de</w:t>
      </w:r>
      <w:r w:rsidRPr="002244D7">
        <w:rPr>
          <w:rFonts w:ascii="Palatino Linotype" w:eastAsia="Palatino Linotype" w:hAnsi="Palatino Linotype" w:cs="Palatino Linotype"/>
          <w:sz w:val="22"/>
          <w:szCs w:val="22"/>
        </w:rPr>
        <w:t xml:space="preserve"> </w:t>
      </w:r>
      <w:r w:rsidRPr="002244D7">
        <w:rPr>
          <w:rFonts w:ascii="Palatino Linotype" w:eastAsia="Palatino Linotype" w:hAnsi="Palatino Linotype" w:cs="Palatino Linotype"/>
          <w:b/>
          <w:sz w:val="22"/>
          <w:szCs w:val="22"/>
        </w:rPr>
        <w:t>dos mil veinticinco,</w:t>
      </w:r>
      <w:r w:rsidRPr="002244D7">
        <w:rPr>
          <w:rFonts w:ascii="Palatino Linotype" w:eastAsia="Palatino Linotype" w:hAnsi="Palatino Linotype" w:cs="Palatino Linotype"/>
          <w:sz w:val="22"/>
          <w:szCs w:val="22"/>
        </w:rPr>
        <w:t xml:space="preserve"> la parte </w:t>
      </w:r>
      <w:r w:rsidRPr="002244D7">
        <w:rPr>
          <w:rFonts w:ascii="Palatino Linotype" w:eastAsia="Palatino Linotype" w:hAnsi="Palatino Linotype" w:cs="Palatino Linotype"/>
          <w:b/>
          <w:sz w:val="22"/>
          <w:szCs w:val="22"/>
        </w:rPr>
        <w:t xml:space="preserve">Recurrente </w:t>
      </w:r>
      <w:r w:rsidRPr="002244D7">
        <w:rPr>
          <w:rFonts w:ascii="Palatino Linotype" w:eastAsia="Palatino Linotype" w:hAnsi="Palatino Linotype" w:cs="Palatino Linotype"/>
          <w:sz w:val="22"/>
          <w:szCs w:val="22"/>
        </w:rPr>
        <w:t xml:space="preserve">presentó a través del Sistema de Acceso a la Información Mexiquense, en lo subsecuente el </w:t>
      </w:r>
      <w:r w:rsidRPr="002244D7">
        <w:rPr>
          <w:rFonts w:ascii="Palatino Linotype" w:eastAsia="Palatino Linotype" w:hAnsi="Palatino Linotype" w:cs="Palatino Linotype"/>
          <w:b/>
          <w:sz w:val="22"/>
          <w:szCs w:val="22"/>
        </w:rPr>
        <w:t>SAIMEX,</w:t>
      </w:r>
      <w:r w:rsidRPr="002244D7">
        <w:rPr>
          <w:rFonts w:ascii="Palatino Linotype" w:eastAsia="Palatino Linotype" w:hAnsi="Palatino Linotype" w:cs="Palatino Linotype"/>
          <w:sz w:val="22"/>
          <w:szCs w:val="22"/>
        </w:rPr>
        <w:t xml:space="preserve"> ante el </w:t>
      </w:r>
      <w:r w:rsidRPr="002244D7">
        <w:rPr>
          <w:rFonts w:ascii="Palatino Linotype" w:eastAsia="Palatino Linotype" w:hAnsi="Palatino Linotype" w:cs="Palatino Linotype"/>
          <w:b/>
          <w:sz w:val="22"/>
          <w:szCs w:val="22"/>
        </w:rPr>
        <w:t>Sujeto Obligado</w:t>
      </w:r>
      <w:r w:rsidRPr="002244D7">
        <w:rPr>
          <w:rFonts w:ascii="Palatino Linotype" w:eastAsia="Palatino Linotype" w:hAnsi="Palatino Linotype" w:cs="Palatino Linotype"/>
          <w:sz w:val="22"/>
          <w:szCs w:val="22"/>
        </w:rPr>
        <w:t>, la solicitud de acceso a la información pública, a la que se le asignó el número</w:t>
      </w:r>
      <w:r w:rsidRPr="002244D7">
        <w:rPr>
          <w:rFonts w:ascii="Palatino Linotype" w:eastAsia="Palatino Linotype" w:hAnsi="Palatino Linotype" w:cs="Palatino Linotype"/>
          <w:b/>
          <w:sz w:val="22"/>
          <w:szCs w:val="22"/>
        </w:rPr>
        <w:t xml:space="preserve"> </w:t>
      </w:r>
      <w:r w:rsidR="001C3118" w:rsidRPr="002244D7">
        <w:rPr>
          <w:rFonts w:ascii="Palatino Linotype" w:eastAsia="Palatino Linotype" w:hAnsi="Palatino Linotype" w:cs="Palatino Linotype"/>
          <w:b/>
          <w:sz w:val="22"/>
          <w:szCs w:val="22"/>
        </w:rPr>
        <w:t>00432/ALMOJU/IP/2025</w:t>
      </w:r>
      <w:r w:rsidRPr="002244D7">
        <w:rPr>
          <w:rFonts w:ascii="Palatino Linotype" w:eastAsia="Palatino Linotype" w:hAnsi="Palatino Linotype" w:cs="Palatino Linotype"/>
          <w:b/>
          <w:sz w:val="22"/>
          <w:szCs w:val="22"/>
        </w:rPr>
        <w:t xml:space="preserve">, </w:t>
      </w:r>
      <w:r w:rsidRPr="002244D7">
        <w:rPr>
          <w:rFonts w:ascii="Palatino Linotype" w:eastAsia="Palatino Linotype" w:hAnsi="Palatino Linotype" w:cs="Palatino Linotype"/>
          <w:sz w:val="22"/>
          <w:szCs w:val="22"/>
        </w:rPr>
        <w:t xml:space="preserve">mediante la cual requirió la información siguiente: </w:t>
      </w:r>
    </w:p>
    <w:p w14:paraId="3D1AB969" w14:textId="77777777" w:rsidR="00C8164D" w:rsidRPr="002244D7" w:rsidRDefault="00C8164D" w:rsidP="00F768EA">
      <w:pPr>
        <w:spacing w:line="360" w:lineRule="auto"/>
        <w:jc w:val="both"/>
        <w:rPr>
          <w:rFonts w:ascii="Palatino Linotype" w:eastAsia="Palatino Linotype" w:hAnsi="Palatino Linotype" w:cs="Palatino Linotype"/>
          <w:sz w:val="22"/>
          <w:szCs w:val="22"/>
        </w:rPr>
      </w:pPr>
    </w:p>
    <w:p w14:paraId="4547D8C5" w14:textId="2D508D57" w:rsidR="00C8164D" w:rsidRPr="002244D7" w:rsidRDefault="00BA0BB9" w:rsidP="00F768EA">
      <w:pPr>
        <w:spacing w:line="276" w:lineRule="auto"/>
        <w:ind w:left="567" w:right="616"/>
        <w:jc w:val="both"/>
        <w:rPr>
          <w:rFonts w:ascii="Palatino Linotype" w:eastAsia="Palatino Linotype" w:hAnsi="Palatino Linotype" w:cs="Palatino Linotype"/>
          <w:i/>
          <w:sz w:val="22"/>
          <w:szCs w:val="22"/>
        </w:rPr>
      </w:pPr>
      <w:bookmarkStart w:id="2" w:name="_heading=h.gjdgxs" w:colFirst="0" w:colLast="0"/>
      <w:bookmarkEnd w:id="2"/>
      <w:r w:rsidRPr="002244D7">
        <w:rPr>
          <w:rFonts w:ascii="Palatino Linotype" w:eastAsia="Palatino Linotype" w:hAnsi="Palatino Linotype" w:cs="Palatino Linotype"/>
          <w:i/>
          <w:sz w:val="22"/>
          <w:szCs w:val="22"/>
        </w:rPr>
        <w:t>“</w:t>
      </w:r>
      <w:r w:rsidR="001C3118" w:rsidRPr="002244D7">
        <w:rPr>
          <w:rFonts w:ascii="Palatino Linotype" w:eastAsia="Palatino Linotype" w:hAnsi="Palatino Linotype" w:cs="Palatino Linotype"/>
          <w:i/>
          <w:sz w:val="22"/>
          <w:szCs w:val="22"/>
        </w:rPr>
        <w:t xml:space="preserve">Se solicita de la persona nombrada indique si es real o no la información pública que detenta la ia de Chatgpt que indica: Según información reciente, Nohemí Judith Chávez Camacho fue nombrada tesorera del ayuntamiento de Almoloya de Juárez a principios de 2025. Este nombramiento generó controversia, ya que había sido electa como primera regidora en San Antonio la Isla en 2024, cargo que dejó para asumir su nueva posición. Trayectoria política Tesorera de Almoloya de Juárez: En abril de 2025 fue nombrada tesorera municipal. Su llegada al cargo fue criticada por dejar su puesto electo en San Antonio la Isla. Primera Regidora en San Antonio la Isla: En diciembre de 2024, tomó protesta como primera regidora del ayuntamiento de San Antonio la Isla. Tesorera en </w:t>
      </w:r>
      <w:r w:rsidR="001C3118" w:rsidRPr="002244D7">
        <w:rPr>
          <w:rFonts w:ascii="Palatino Linotype" w:eastAsia="Palatino Linotype" w:hAnsi="Palatino Linotype" w:cs="Palatino Linotype"/>
          <w:i/>
          <w:sz w:val="22"/>
          <w:szCs w:val="22"/>
        </w:rPr>
        <w:lastRenderedPageBreak/>
        <w:t>San Antonio la Isla: Anteriormente, fue tesorera y administradora del ayuntamiento de San Antonio la Isla en años anteriores. Controversias Acusaciones de nepotismo: Ha sido señalada por presuntas redes de poder y vínculos familiares, ya que es sobrina del exalcalde de San Antonio la Isla, Gerardo Camacho, quien terminó en prisión tras una auditoría. Falta de pago a trabajadores: En abril de 2025, trabajadores del ayuntamiento de Almoloya de Juárez denunciaron que la tesorera, Nohemí Judith Chávez, se negó a pagarles su parte proporcional, argumentando que ninguna ley la obliga a hacerlo. Movimiento de cargos: La decisión de dejar un cargo de representación popular por un puesto administrativo fue cuestionada públicamente, insinuando que se debió a conveniencia y acomodos políticos.</w:t>
      </w:r>
      <w:r w:rsidRPr="002244D7">
        <w:rPr>
          <w:rFonts w:ascii="Palatino Linotype" w:eastAsia="Palatino Linotype" w:hAnsi="Palatino Linotype" w:cs="Palatino Linotype"/>
          <w:i/>
          <w:sz w:val="22"/>
          <w:szCs w:val="22"/>
        </w:rPr>
        <w:t xml:space="preserve">” (sic) </w:t>
      </w:r>
    </w:p>
    <w:p w14:paraId="7053DF6C" w14:textId="77777777" w:rsidR="00C8164D" w:rsidRPr="002244D7" w:rsidRDefault="00C8164D" w:rsidP="00F768EA">
      <w:pPr>
        <w:spacing w:line="360" w:lineRule="auto"/>
        <w:ind w:left="567" w:right="616"/>
        <w:jc w:val="both"/>
        <w:rPr>
          <w:rFonts w:ascii="Palatino Linotype" w:eastAsia="Palatino Linotype" w:hAnsi="Palatino Linotype" w:cs="Palatino Linotype"/>
          <w:i/>
          <w:sz w:val="22"/>
          <w:szCs w:val="22"/>
        </w:rPr>
      </w:pPr>
    </w:p>
    <w:p w14:paraId="3B44A1D9" w14:textId="77F46584" w:rsidR="00C8164D" w:rsidRPr="002244D7" w:rsidRDefault="00BA0BB9" w:rsidP="00F768EA">
      <w:pPr>
        <w:spacing w:line="360" w:lineRule="auto"/>
        <w:jc w:val="both"/>
        <w:rPr>
          <w:rFonts w:ascii="Palatino Linotype" w:eastAsia="Palatino Linotype" w:hAnsi="Palatino Linotype" w:cs="Palatino Linotype"/>
          <w:b/>
          <w:sz w:val="22"/>
          <w:szCs w:val="22"/>
        </w:rPr>
      </w:pPr>
      <w:r w:rsidRPr="002244D7">
        <w:rPr>
          <w:rFonts w:ascii="Palatino Linotype" w:eastAsia="Palatino Linotype" w:hAnsi="Palatino Linotype" w:cs="Palatino Linotype"/>
          <w:b/>
          <w:sz w:val="22"/>
          <w:szCs w:val="22"/>
        </w:rPr>
        <w:t>Modalidad de Entrega:</w:t>
      </w:r>
      <w:r w:rsidRPr="002244D7">
        <w:rPr>
          <w:rFonts w:ascii="Palatino Linotype" w:eastAsia="Palatino Linotype" w:hAnsi="Palatino Linotype" w:cs="Palatino Linotype"/>
          <w:sz w:val="22"/>
          <w:szCs w:val="22"/>
        </w:rPr>
        <w:t xml:space="preserve"> a través </w:t>
      </w:r>
      <w:r w:rsidRPr="002244D7">
        <w:rPr>
          <w:rFonts w:ascii="Palatino Linotype" w:eastAsia="Palatino Linotype" w:hAnsi="Palatino Linotype" w:cs="Palatino Linotype"/>
          <w:b/>
          <w:sz w:val="22"/>
          <w:szCs w:val="22"/>
        </w:rPr>
        <w:t>de SAIMEX</w:t>
      </w:r>
    </w:p>
    <w:p w14:paraId="5301DB98" w14:textId="77777777" w:rsidR="00C8164D" w:rsidRPr="002244D7" w:rsidRDefault="00C8164D" w:rsidP="00F768EA">
      <w:pPr>
        <w:spacing w:line="360" w:lineRule="auto"/>
        <w:jc w:val="both"/>
        <w:rPr>
          <w:rFonts w:ascii="Palatino Linotype" w:eastAsia="Palatino Linotype" w:hAnsi="Palatino Linotype" w:cs="Palatino Linotype"/>
          <w:sz w:val="22"/>
          <w:szCs w:val="22"/>
        </w:rPr>
      </w:pPr>
    </w:p>
    <w:p w14:paraId="0952474A" w14:textId="77777777" w:rsidR="00C8164D" w:rsidRPr="002244D7" w:rsidRDefault="00BA0BB9" w:rsidP="00F768EA">
      <w:pPr>
        <w:spacing w:line="360" w:lineRule="auto"/>
        <w:jc w:val="both"/>
        <w:rPr>
          <w:rFonts w:ascii="Palatino Linotype" w:eastAsia="Palatino Linotype" w:hAnsi="Palatino Linotype" w:cs="Palatino Linotype"/>
          <w:sz w:val="22"/>
          <w:szCs w:val="22"/>
        </w:rPr>
      </w:pPr>
      <w:bookmarkStart w:id="3" w:name="_heading=h.3dy6vkm" w:colFirst="0" w:colLast="0"/>
      <w:bookmarkEnd w:id="3"/>
      <w:r w:rsidRPr="002244D7">
        <w:rPr>
          <w:rFonts w:ascii="Palatino Linotype" w:eastAsia="Palatino Linotype" w:hAnsi="Palatino Linotype" w:cs="Palatino Linotype"/>
          <w:b/>
          <w:sz w:val="22"/>
          <w:szCs w:val="22"/>
        </w:rPr>
        <w:t>2. Respuesta.</w:t>
      </w:r>
      <w:r w:rsidRPr="002244D7">
        <w:rPr>
          <w:rFonts w:ascii="Palatino Linotype" w:eastAsia="Palatino Linotype" w:hAnsi="Palatino Linotype" w:cs="Palatino Linotype"/>
          <w:sz w:val="22"/>
          <w:szCs w:val="22"/>
        </w:rPr>
        <w:t xml:space="preserve"> De las constancias que obran en el expediente electrónico del SAIMEX, se advierte que el Sujeto Obligado no dio respuesta a la solicitud.</w:t>
      </w:r>
    </w:p>
    <w:p w14:paraId="34859908" w14:textId="77777777" w:rsidR="00C8164D" w:rsidRPr="002244D7" w:rsidRDefault="00C8164D" w:rsidP="00F768EA">
      <w:pPr>
        <w:spacing w:line="276" w:lineRule="auto"/>
        <w:ind w:right="902"/>
        <w:jc w:val="both"/>
        <w:rPr>
          <w:rFonts w:ascii="Palatino Linotype" w:eastAsia="Palatino Linotype" w:hAnsi="Palatino Linotype" w:cs="Palatino Linotype"/>
          <w:sz w:val="22"/>
          <w:szCs w:val="22"/>
        </w:rPr>
      </w:pPr>
    </w:p>
    <w:p w14:paraId="044C95C3" w14:textId="0855510A" w:rsidR="00C8164D" w:rsidRPr="002244D7" w:rsidRDefault="00BA0BB9" w:rsidP="00F768EA">
      <w:pPr>
        <w:spacing w:line="360" w:lineRule="auto"/>
        <w:ind w:right="49"/>
        <w:jc w:val="both"/>
        <w:rPr>
          <w:rFonts w:ascii="Palatino Linotype" w:eastAsia="Palatino Linotype" w:hAnsi="Palatino Linotype" w:cs="Palatino Linotype"/>
          <w:sz w:val="22"/>
          <w:szCs w:val="22"/>
        </w:rPr>
      </w:pPr>
      <w:r w:rsidRPr="002244D7">
        <w:rPr>
          <w:rFonts w:ascii="Palatino Linotype" w:eastAsia="Palatino Linotype" w:hAnsi="Palatino Linotype" w:cs="Palatino Linotype"/>
          <w:b/>
          <w:sz w:val="22"/>
          <w:szCs w:val="22"/>
        </w:rPr>
        <w:t xml:space="preserve">3. Interposición del recurso de revisión. </w:t>
      </w:r>
      <w:r w:rsidRPr="002244D7">
        <w:rPr>
          <w:rFonts w:ascii="Palatino Linotype" w:eastAsia="Palatino Linotype" w:hAnsi="Palatino Linotype" w:cs="Palatino Linotype"/>
          <w:sz w:val="22"/>
          <w:szCs w:val="22"/>
        </w:rPr>
        <w:t xml:space="preserve">Inconforme con la falta de respuesta por parte del </w:t>
      </w:r>
      <w:r w:rsidRPr="002244D7">
        <w:rPr>
          <w:rFonts w:ascii="Palatino Linotype" w:eastAsia="Palatino Linotype" w:hAnsi="Palatino Linotype" w:cs="Palatino Linotype"/>
          <w:b/>
          <w:sz w:val="22"/>
          <w:szCs w:val="22"/>
        </w:rPr>
        <w:t>Sujeto Obligado</w:t>
      </w:r>
      <w:r w:rsidRPr="002244D7">
        <w:rPr>
          <w:rFonts w:ascii="Palatino Linotype" w:eastAsia="Palatino Linotype" w:hAnsi="Palatino Linotype" w:cs="Palatino Linotype"/>
          <w:sz w:val="22"/>
          <w:szCs w:val="22"/>
        </w:rPr>
        <w:t>, el</w:t>
      </w:r>
      <w:r w:rsidRPr="002244D7">
        <w:rPr>
          <w:rFonts w:ascii="Palatino Linotype" w:eastAsia="Palatino Linotype" w:hAnsi="Palatino Linotype" w:cs="Palatino Linotype"/>
          <w:b/>
          <w:sz w:val="22"/>
          <w:szCs w:val="22"/>
        </w:rPr>
        <w:t xml:space="preserve"> </w:t>
      </w:r>
      <w:r w:rsidR="00AD3CFF" w:rsidRPr="002244D7">
        <w:rPr>
          <w:rFonts w:ascii="Palatino Linotype" w:eastAsia="Palatino Linotype" w:hAnsi="Palatino Linotype" w:cs="Palatino Linotype"/>
          <w:b/>
          <w:sz w:val="22"/>
          <w:szCs w:val="22"/>
        </w:rPr>
        <w:t>veintiuno de noviembre</w:t>
      </w:r>
      <w:r w:rsidRPr="002244D7">
        <w:rPr>
          <w:rFonts w:ascii="Palatino Linotype" w:eastAsia="Palatino Linotype" w:hAnsi="Palatino Linotype" w:cs="Palatino Linotype"/>
          <w:b/>
          <w:sz w:val="22"/>
          <w:szCs w:val="22"/>
        </w:rPr>
        <w:t xml:space="preserve"> de dos mil veinticinco,</w:t>
      </w:r>
      <w:r w:rsidRPr="002244D7">
        <w:rPr>
          <w:rFonts w:ascii="Palatino Linotype" w:eastAsia="Palatino Linotype" w:hAnsi="Palatino Linotype" w:cs="Palatino Linotype"/>
          <w:sz w:val="22"/>
          <w:szCs w:val="22"/>
        </w:rPr>
        <w:t xml:space="preserve"> la parte </w:t>
      </w:r>
      <w:r w:rsidRPr="002244D7">
        <w:rPr>
          <w:rFonts w:ascii="Palatino Linotype" w:eastAsia="Palatino Linotype" w:hAnsi="Palatino Linotype" w:cs="Palatino Linotype"/>
          <w:b/>
          <w:sz w:val="22"/>
          <w:szCs w:val="22"/>
        </w:rPr>
        <w:t>Recurrente</w:t>
      </w:r>
      <w:r w:rsidRPr="002244D7">
        <w:rPr>
          <w:rFonts w:ascii="Palatino Linotype" w:eastAsia="Palatino Linotype" w:hAnsi="Palatino Linotype" w:cs="Palatino Linotype"/>
          <w:sz w:val="22"/>
          <w:szCs w:val="22"/>
        </w:rPr>
        <w:t xml:space="preserve"> interpuso el recurso de revisión a través de </w:t>
      </w:r>
      <w:r w:rsidRPr="002244D7">
        <w:rPr>
          <w:rFonts w:ascii="Palatino Linotype" w:eastAsia="Palatino Linotype" w:hAnsi="Palatino Linotype" w:cs="Palatino Linotype"/>
          <w:b/>
          <w:sz w:val="22"/>
          <w:szCs w:val="22"/>
        </w:rPr>
        <w:t xml:space="preserve">SAIMEX, </w:t>
      </w:r>
      <w:r w:rsidRPr="002244D7">
        <w:rPr>
          <w:rFonts w:ascii="Palatino Linotype" w:eastAsia="Palatino Linotype" w:hAnsi="Palatino Linotype" w:cs="Palatino Linotype"/>
          <w:sz w:val="22"/>
          <w:szCs w:val="22"/>
        </w:rPr>
        <w:t>en donde se manifestó de la siguiente manera:</w:t>
      </w:r>
    </w:p>
    <w:p w14:paraId="091A02C1" w14:textId="77777777" w:rsidR="00C8164D" w:rsidRPr="002244D7" w:rsidRDefault="00C8164D" w:rsidP="00F768EA">
      <w:pPr>
        <w:spacing w:line="360" w:lineRule="auto"/>
        <w:ind w:right="49"/>
        <w:jc w:val="both"/>
        <w:rPr>
          <w:rFonts w:ascii="Palatino Linotype" w:eastAsia="Palatino Linotype" w:hAnsi="Palatino Linotype" w:cs="Palatino Linotype"/>
          <w:b/>
          <w:sz w:val="22"/>
          <w:szCs w:val="22"/>
        </w:rPr>
      </w:pPr>
    </w:p>
    <w:p w14:paraId="0CC08264" w14:textId="77777777" w:rsidR="00AD3CFF" w:rsidRPr="002244D7" w:rsidRDefault="00BA0BB9" w:rsidP="00F768EA">
      <w:pPr>
        <w:tabs>
          <w:tab w:val="left" w:pos="2745"/>
        </w:tabs>
        <w:spacing w:line="360" w:lineRule="auto"/>
        <w:ind w:left="851" w:right="616"/>
        <w:jc w:val="both"/>
        <w:rPr>
          <w:rFonts w:ascii="Palatino Linotype" w:eastAsia="Palatino Linotype" w:hAnsi="Palatino Linotype" w:cs="Palatino Linotype"/>
          <w:b/>
          <w:sz w:val="22"/>
          <w:szCs w:val="22"/>
        </w:rPr>
      </w:pPr>
      <w:r w:rsidRPr="002244D7">
        <w:rPr>
          <w:rFonts w:ascii="Palatino Linotype" w:eastAsia="Palatino Linotype" w:hAnsi="Palatino Linotype" w:cs="Palatino Linotype"/>
          <w:b/>
          <w:sz w:val="22"/>
          <w:szCs w:val="22"/>
        </w:rPr>
        <w:t xml:space="preserve">Acto impugnado: </w:t>
      </w:r>
    </w:p>
    <w:p w14:paraId="45E86055" w14:textId="0C53FA93" w:rsidR="00C8164D" w:rsidRPr="002244D7" w:rsidRDefault="00BA0BB9" w:rsidP="00F768EA">
      <w:pPr>
        <w:tabs>
          <w:tab w:val="left" w:pos="2745"/>
        </w:tabs>
        <w:spacing w:line="360" w:lineRule="auto"/>
        <w:ind w:left="851" w:right="616"/>
        <w:jc w:val="both"/>
        <w:rPr>
          <w:rFonts w:ascii="Palatino Linotype" w:eastAsia="Palatino Linotype" w:hAnsi="Palatino Linotype" w:cs="Palatino Linotype"/>
          <w:b/>
          <w:sz w:val="22"/>
          <w:szCs w:val="22"/>
        </w:rPr>
      </w:pPr>
      <w:r w:rsidRPr="002244D7">
        <w:rPr>
          <w:rFonts w:ascii="Palatino Linotype" w:eastAsia="Palatino Linotype" w:hAnsi="Palatino Linotype" w:cs="Palatino Linotype"/>
          <w:i/>
          <w:sz w:val="22"/>
          <w:szCs w:val="22"/>
        </w:rPr>
        <w:t>“</w:t>
      </w:r>
      <w:r w:rsidR="00AD3CFF" w:rsidRPr="002244D7">
        <w:rPr>
          <w:rFonts w:ascii="Palatino Linotype" w:eastAsia="Palatino Linotype" w:hAnsi="Palatino Linotype" w:cs="Palatino Linotype"/>
          <w:i/>
          <w:sz w:val="22"/>
          <w:szCs w:val="22"/>
        </w:rPr>
        <w:t>NO ENTREGAN INFORMACION</w:t>
      </w:r>
      <w:r w:rsidRPr="002244D7">
        <w:rPr>
          <w:rFonts w:ascii="Palatino Linotype" w:eastAsia="Palatino Linotype" w:hAnsi="Palatino Linotype" w:cs="Palatino Linotype"/>
          <w:i/>
          <w:sz w:val="22"/>
          <w:szCs w:val="22"/>
        </w:rPr>
        <w:t>” (sic)</w:t>
      </w:r>
    </w:p>
    <w:p w14:paraId="33625DD8" w14:textId="77777777" w:rsidR="00AD3CFF" w:rsidRPr="002244D7" w:rsidRDefault="00BA0BB9" w:rsidP="00F768EA">
      <w:pPr>
        <w:spacing w:line="360" w:lineRule="auto"/>
        <w:ind w:left="851" w:right="616"/>
        <w:jc w:val="both"/>
        <w:rPr>
          <w:rFonts w:ascii="Palatino Linotype" w:eastAsia="Palatino Linotype" w:hAnsi="Palatino Linotype" w:cs="Palatino Linotype"/>
          <w:sz w:val="22"/>
          <w:szCs w:val="22"/>
        </w:rPr>
      </w:pPr>
      <w:bookmarkStart w:id="4" w:name="_heading=h.30j0zll" w:colFirst="0" w:colLast="0"/>
      <w:bookmarkEnd w:id="4"/>
      <w:r w:rsidRPr="002244D7">
        <w:rPr>
          <w:rFonts w:ascii="Palatino Linotype" w:eastAsia="Palatino Linotype" w:hAnsi="Palatino Linotype" w:cs="Palatino Linotype"/>
          <w:b/>
          <w:sz w:val="22"/>
          <w:szCs w:val="22"/>
        </w:rPr>
        <w:t>Razones o motivos de inconformidad</w:t>
      </w:r>
      <w:r w:rsidRPr="002244D7">
        <w:rPr>
          <w:rFonts w:ascii="Palatino Linotype" w:eastAsia="Palatino Linotype" w:hAnsi="Palatino Linotype" w:cs="Palatino Linotype"/>
          <w:sz w:val="22"/>
          <w:szCs w:val="22"/>
        </w:rPr>
        <w:t xml:space="preserve">: </w:t>
      </w:r>
    </w:p>
    <w:p w14:paraId="7EC47BE2" w14:textId="5056F784" w:rsidR="00C8164D" w:rsidRPr="002244D7" w:rsidRDefault="00BA0BB9" w:rsidP="00F768EA">
      <w:pPr>
        <w:spacing w:line="360" w:lineRule="auto"/>
        <w:ind w:left="851" w:right="616"/>
        <w:jc w:val="both"/>
        <w:rPr>
          <w:rFonts w:ascii="Palatino Linotype" w:eastAsia="Palatino Linotype" w:hAnsi="Palatino Linotype" w:cs="Palatino Linotype"/>
          <w:i/>
          <w:sz w:val="22"/>
          <w:szCs w:val="22"/>
        </w:rPr>
      </w:pPr>
      <w:r w:rsidRPr="002244D7">
        <w:rPr>
          <w:rFonts w:ascii="Palatino Linotype" w:eastAsia="Palatino Linotype" w:hAnsi="Palatino Linotype" w:cs="Palatino Linotype"/>
          <w:i/>
          <w:sz w:val="22"/>
          <w:szCs w:val="22"/>
        </w:rPr>
        <w:t>“</w:t>
      </w:r>
      <w:r w:rsidR="00AD3CFF" w:rsidRPr="002244D7">
        <w:rPr>
          <w:rFonts w:ascii="Palatino Linotype" w:eastAsia="Palatino Linotype" w:hAnsi="Palatino Linotype" w:cs="Palatino Linotype"/>
          <w:i/>
          <w:sz w:val="22"/>
          <w:szCs w:val="22"/>
        </w:rPr>
        <w:t>NO ENTREGAN INFORMACION</w:t>
      </w:r>
      <w:r w:rsidRPr="002244D7">
        <w:rPr>
          <w:rFonts w:ascii="Palatino Linotype" w:eastAsia="Palatino Linotype" w:hAnsi="Palatino Linotype" w:cs="Palatino Linotype"/>
          <w:i/>
          <w:sz w:val="22"/>
          <w:szCs w:val="22"/>
        </w:rPr>
        <w:t>” (sic)</w:t>
      </w:r>
    </w:p>
    <w:p w14:paraId="52D19997" w14:textId="77777777" w:rsidR="00C8164D" w:rsidRPr="002244D7" w:rsidRDefault="00C8164D" w:rsidP="00F768EA">
      <w:pPr>
        <w:spacing w:line="360" w:lineRule="auto"/>
        <w:jc w:val="both"/>
        <w:rPr>
          <w:rFonts w:ascii="Palatino Linotype" w:eastAsia="Palatino Linotype" w:hAnsi="Palatino Linotype" w:cs="Palatino Linotype"/>
          <w:sz w:val="22"/>
          <w:szCs w:val="22"/>
        </w:rPr>
      </w:pPr>
    </w:p>
    <w:p w14:paraId="4DFE25DF" w14:textId="77777777" w:rsidR="00C8164D" w:rsidRPr="002244D7" w:rsidRDefault="00BA0BB9" w:rsidP="00F768EA">
      <w:pPr>
        <w:spacing w:line="360" w:lineRule="auto"/>
        <w:ind w:right="51"/>
        <w:jc w:val="both"/>
        <w:rPr>
          <w:rFonts w:ascii="Palatino Linotype" w:eastAsia="Palatino Linotype" w:hAnsi="Palatino Linotype" w:cs="Palatino Linotype"/>
          <w:sz w:val="22"/>
          <w:szCs w:val="22"/>
        </w:rPr>
      </w:pPr>
      <w:r w:rsidRPr="002244D7">
        <w:rPr>
          <w:rFonts w:ascii="Palatino Linotype" w:eastAsia="Palatino Linotype" w:hAnsi="Palatino Linotype" w:cs="Palatino Linotype"/>
          <w:b/>
          <w:sz w:val="22"/>
          <w:szCs w:val="22"/>
        </w:rPr>
        <w:t xml:space="preserve">4. Turno. </w:t>
      </w:r>
      <w:r w:rsidRPr="002244D7">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w:t>
      </w:r>
      <w:r w:rsidRPr="002244D7">
        <w:rPr>
          <w:rFonts w:ascii="Palatino Linotype" w:eastAsia="Palatino Linotype" w:hAnsi="Palatino Linotype" w:cs="Palatino Linotype"/>
          <w:sz w:val="22"/>
          <w:szCs w:val="22"/>
        </w:rPr>
        <w:lastRenderedPageBreak/>
        <w:t xml:space="preserve">Información Pública y Protección de Datos Personales del Estado de México y Municipios, a la Comisionada </w:t>
      </w:r>
      <w:r w:rsidRPr="002244D7">
        <w:rPr>
          <w:rFonts w:ascii="Palatino Linotype" w:eastAsia="Palatino Linotype" w:hAnsi="Palatino Linotype" w:cs="Palatino Linotype"/>
          <w:b/>
          <w:sz w:val="22"/>
          <w:szCs w:val="22"/>
        </w:rPr>
        <w:t xml:space="preserve">Guadalupe Ramírez Peña, </w:t>
      </w:r>
      <w:r w:rsidRPr="002244D7">
        <w:rPr>
          <w:rFonts w:ascii="Palatino Linotype" w:eastAsia="Palatino Linotype" w:hAnsi="Palatino Linotype" w:cs="Palatino Linotype"/>
          <w:sz w:val="22"/>
          <w:szCs w:val="22"/>
        </w:rPr>
        <w:t>a efecto de que analizara sobre su admisión o su desechamiento.</w:t>
      </w:r>
    </w:p>
    <w:p w14:paraId="29FFCB0F" w14:textId="77777777" w:rsidR="00C8164D" w:rsidRPr="002244D7" w:rsidRDefault="00C8164D" w:rsidP="00F768EA">
      <w:pPr>
        <w:spacing w:line="360" w:lineRule="auto"/>
        <w:ind w:right="51"/>
        <w:jc w:val="both"/>
        <w:rPr>
          <w:rFonts w:ascii="Palatino Linotype" w:eastAsia="Palatino Linotype" w:hAnsi="Palatino Linotype" w:cs="Palatino Linotype"/>
          <w:sz w:val="22"/>
          <w:szCs w:val="22"/>
        </w:rPr>
      </w:pPr>
    </w:p>
    <w:p w14:paraId="551DB944" w14:textId="1DFE7E10" w:rsidR="00C8164D" w:rsidRPr="002244D7" w:rsidRDefault="00BA0BB9" w:rsidP="00F768EA">
      <w:pPr>
        <w:spacing w:line="360" w:lineRule="auto"/>
        <w:jc w:val="both"/>
        <w:rPr>
          <w:rFonts w:ascii="Palatino Linotype" w:eastAsia="Palatino Linotype" w:hAnsi="Palatino Linotype" w:cs="Palatino Linotype"/>
          <w:sz w:val="22"/>
          <w:szCs w:val="22"/>
        </w:rPr>
      </w:pPr>
      <w:r w:rsidRPr="002244D7">
        <w:rPr>
          <w:rFonts w:ascii="Palatino Linotype" w:eastAsia="Palatino Linotype" w:hAnsi="Palatino Linotype" w:cs="Palatino Linotype"/>
          <w:b/>
          <w:sz w:val="22"/>
          <w:szCs w:val="22"/>
        </w:rPr>
        <w:t>5. Admisión del Recurso de revisión.</w:t>
      </w:r>
      <w:r w:rsidRPr="002244D7">
        <w:rPr>
          <w:rFonts w:ascii="Palatino Linotype" w:eastAsia="Palatino Linotype" w:hAnsi="Palatino Linotype" w:cs="Palatino Linotype"/>
          <w:sz w:val="22"/>
          <w:szCs w:val="22"/>
        </w:rPr>
        <w:t xml:space="preserve"> Con fecha</w:t>
      </w:r>
      <w:r w:rsidRPr="002244D7">
        <w:rPr>
          <w:rFonts w:ascii="Palatino Linotype" w:eastAsia="Palatino Linotype" w:hAnsi="Palatino Linotype" w:cs="Palatino Linotype"/>
          <w:b/>
          <w:sz w:val="22"/>
          <w:szCs w:val="22"/>
        </w:rPr>
        <w:t xml:space="preserve"> </w:t>
      </w:r>
      <w:r w:rsidR="00AD3CFF" w:rsidRPr="002244D7">
        <w:rPr>
          <w:rFonts w:ascii="Palatino Linotype" w:eastAsia="Palatino Linotype" w:hAnsi="Palatino Linotype" w:cs="Palatino Linotype"/>
          <w:b/>
          <w:sz w:val="22"/>
          <w:szCs w:val="22"/>
        </w:rPr>
        <w:t>veintiséis de noviembre</w:t>
      </w:r>
      <w:r w:rsidRPr="002244D7">
        <w:rPr>
          <w:rFonts w:ascii="Palatino Linotype" w:eastAsia="Palatino Linotype" w:hAnsi="Palatino Linotype" w:cs="Palatino Linotype"/>
          <w:b/>
          <w:sz w:val="22"/>
          <w:szCs w:val="22"/>
        </w:rPr>
        <w:t xml:space="preserve"> de dos mil veinticinco, </w:t>
      </w:r>
      <w:r w:rsidRPr="002244D7">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2244D7">
        <w:rPr>
          <w:rFonts w:ascii="Palatino Linotype" w:eastAsia="Palatino Linotype" w:hAnsi="Palatino Linotype" w:cs="Palatino Linotype"/>
          <w:b/>
          <w:sz w:val="22"/>
          <w:szCs w:val="22"/>
        </w:rPr>
        <w:t xml:space="preserve">Sujeto Obligado </w:t>
      </w:r>
      <w:r w:rsidRPr="002244D7">
        <w:rPr>
          <w:rFonts w:ascii="Palatino Linotype" w:eastAsia="Palatino Linotype" w:hAnsi="Palatino Linotype" w:cs="Palatino Linotype"/>
          <w:sz w:val="22"/>
          <w:szCs w:val="22"/>
        </w:rPr>
        <w:t>presentara su informe justificado.</w:t>
      </w:r>
    </w:p>
    <w:p w14:paraId="70595618" w14:textId="77777777" w:rsidR="00C8164D" w:rsidRPr="002244D7" w:rsidRDefault="00C8164D" w:rsidP="00F768EA">
      <w:pPr>
        <w:spacing w:line="360" w:lineRule="auto"/>
        <w:jc w:val="both"/>
        <w:rPr>
          <w:rFonts w:ascii="Palatino Linotype" w:eastAsia="Palatino Linotype" w:hAnsi="Palatino Linotype" w:cs="Palatino Linotype"/>
          <w:sz w:val="22"/>
          <w:szCs w:val="22"/>
        </w:rPr>
      </w:pPr>
    </w:p>
    <w:p w14:paraId="2E48C23E" w14:textId="77777777" w:rsidR="00C8164D" w:rsidRPr="002244D7" w:rsidRDefault="00BA0BB9" w:rsidP="00F768E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2244D7">
        <w:rPr>
          <w:rFonts w:ascii="Palatino Linotype" w:eastAsia="Palatino Linotype" w:hAnsi="Palatino Linotype" w:cs="Palatino Linotype"/>
          <w:b/>
          <w:sz w:val="22"/>
          <w:szCs w:val="22"/>
        </w:rPr>
        <w:t>6. Manifestaciones</w:t>
      </w:r>
      <w:r w:rsidRPr="002244D7">
        <w:rPr>
          <w:rFonts w:ascii="Palatino Linotype" w:eastAsia="Palatino Linotype" w:hAnsi="Palatino Linotype" w:cs="Palatino Linotype"/>
          <w:sz w:val="22"/>
          <w:szCs w:val="22"/>
        </w:rPr>
        <w:t>: De las constancias que obran en el expediente electrónico del SAIMEX, se advierte que, tanto el Sujeto Obligado como el Recurrente fueron omisos en realizar manifestaciones; se inserta imagen de referencia:</w:t>
      </w:r>
    </w:p>
    <w:p w14:paraId="3850912D" w14:textId="74CE5A68" w:rsidR="00C8164D" w:rsidRPr="002244D7" w:rsidRDefault="00AD3CFF" w:rsidP="00F768EA">
      <w:pPr>
        <w:pBdr>
          <w:top w:val="nil"/>
          <w:left w:val="nil"/>
          <w:bottom w:val="nil"/>
          <w:right w:val="nil"/>
          <w:between w:val="nil"/>
        </w:pBdr>
        <w:tabs>
          <w:tab w:val="left" w:pos="284"/>
        </w:tabs>
        <w:spacing w:line="360" w:lineRule="auto"/>
        <w:ind w:right="49"/>
        <w:jc w:val="center"/>
        <w:rPr>
          <w:rFonts w:ascii="Palatino Linotype" w:eastAsia="Palatino Linotype" w:hAnsi="Palatino Linotype" w:cs="Palatino Linotype"/>
          <w:sz w:val="22"/>
          <w:szCs w:val="22"/>
        </w:rPr>
      </w:pPr>
      <w:r w:rsidRPr="002244D7">
        <w:rPr>
          <w:rFonts w:ascii="Palatino Linotype" w:eastAsia="Palatino Linotype" w:hAnsi="Palatino Linotype" w:cs="Palatino Linotype"/>
          <w:noProof/>
          <w:sz w:val="22"/>
          <w:szCs w:val="22"/>
        </w:rPr>
        <w:drawing>
          <wp:inline distT="0" distB="0" distL="0" distR="0" wp14:anchorId="2B6F4656" wp14:editId="7C4F02E7">
            <wp:extent cx="5612130" cy="1301750"/>
            <wp:effectExtent l="0" t="0" r="7620" b="0"/>
            <wp:docPr id="776308949"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308949" name="Imagen 1" descr="Tabla&#10;&#10;El contenido generado por IA puede ser incorrecto."/>
                    <pic:cNvPicPr/>
                  </pic:nvPicPr>
                  <pic:blipFill>
                    <a:blip r:embed="rId8"/>
                    <a:stretch>
                      <a:fillRect/>
                    </a:stretch>
                  </pic:blipFill>
                  <pic:spPr>
                    <a:xfrm>
                      <a:off x="0" y="0"/>
                      <a:ext cx="5612130" cy="1301750"/>
                    </a:xfrm>
                    <a:prstGeom prst="rect">
                      <a:avLst/>
                    </a:prstGeom>
                  </pic:spPr>
                </pic:pic>
              </a:graphicData>
            </a:graphic>
          </wp:inline>
        </w:drawing>
      </w:r>
    </w:p>
    <w:p w14:paraId="05DE3E39" w14:textId="77777777" w:rsidR="00C8164D" w:rsidRPr="002244D7" w:rsidRDefault="00C8164D" w:rsidP="00F768E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09A8D7BC" w14:textId="14A31CBD" w:rsidR="00C8164D" w:rsidRPr="002244D7" w:rsidRDefault="00A32C23" w:rsidP="00F768EA">
      <w:pPr>
        <w:spacing w:line="360" w:lineRule="auto"/>
        <w:jc w:val="both"/>
        <w:rPr>
          <w:rFonts w:ascii="Palatino Linotype" w:eastAsia="Palatino Linotype" w:hAnsi="Palatino Linotype" w:cs="Palatino Linotype"/>
          <w:sz w:val="22"/>
          <w:szCs w:val="22"/>
        </w:rPr>
      </w:pPr>
      <w:r w:rsidRPr="002244D7">
        <w:rPr>
          <w:rFonts w:ascii="Palatino Linotype" w:eastAsia="Palatino Linotype" w:hAnsi="Palatino Linotype" w:cs="Palatino Linotype"/>
          <w:b/>
          <w:sz w:val="22"/>
          <w:szCs w:val="22"/>
        </w:rPr>
        <w:t>7</w:t>
      </w:r>
      <w:r w:rsidR="00BA0BB9" w:rsidRPr="002244D7">
        <w:rPr>
          <w:rFonts w:ascii="Palatino Linotype" w:eastAsia="Palatino Linotype" w:hAnsi="Palatino Linotype" w:cs="Palatino Linotype"/>
          <w:b/>
          <w:sz w:val="22"/>
          <w:szCs w:val="22"/>
        </w:rPr>
        <w:t xml:space="preserve">. Cierre de instrucción. </w:t>
      </w:r>
      <w:r w:rsidR="00BA0BB9" w:rsidRPr="002244D7">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AD3CFF" w:rsidRPr="002244D7">
        <w:rPr>
          <w:rFonts w:ascii="Palatino Linotype" w:eastAsia="Palatino Linotype" w:hAnsi="Palatino Linotype" w:cs="Palatino Linotype"/>
          <w:b/>
          <w:sz w:val="22"/>
          <w:szCs w:val="22"/>
        </w:rPr>
        <w:t>quince de enero de dos mil veintiséis</w:t>
      </w:r>
      <w:r w:rsidR="00BA0BB9" w:rsidRPr="002244D7">
        <w:rPr>
          <w:rFonts w:ascii="Palatino Linotype" w:eastAsia="Palatino Linotype" w:hAnsi="Palatino Linotype" w:cs="Palatino Linotype"/>
          <w:b/>
          <w:sz w:val="22"/>
          <w:szCs w:val="22"/>
        </w:rPr>
        <w:t xml:space="preserve">, </w:t>
      </w:r>
      <w:r w:rsidR="00BA0BB9" w:rsidRPr="002244D7">
        <w:rPr>
          <w:rFonts w:ascii="Palatino Linotype" w:eastAsia="Palatino Linotype" w:hAnsi="Palatino Linotype" w:cs="Palatino Linotype"/>
          <w:sz w:val="22"/>
          <w:szCs w:val="22"/>
        </w:rPr>
        <w:t>la Comisionada Ponente determinó el cierre de instrucción en términos de la fracción VI del artículo 185 de la Ley de Transparencia y Acceso a la Información Pública del Estado de México y Municipios.</w:t>
      </w:r>
    </w:p>
    <w:p w14:paraId="2D68F2AF" w14:textId="77777777" w:rsidR="00C8164D" w:rsidRPr="002244D7" w:rsidRDefault="00BA0BB9" w:rsidP="00F768EA">
      <w:pPr>
        <w:spacing w:line="360" w:lineRule="auto"/>
        <w:jc w:val="both"/>
        <w:rPr>
          <w:rFonts w:ascii="Palatino Linotype" w:eastAsia="Palatino Linotype" w:hAnsi="Palatino Linotype" w:cs="Palatino Linotype"/>
          <w:sz w:val="22"/>
          <w:szCs w:val="22"/>
        </w:rPr>
      </w:pPr>
      <w:r w:rsidRPr="002244D7">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0822B6CF" w14:textId="77777777" w:rsidR="00AD3CFF" w:rsidRPr="002244D7" w:rsidRDefault="00AD3CFF" w:rsidP="00F768EA">
      <w:pPr>
        <w:spacing w:line="360" w:lineRule="auto"/>
        <w:jc w:val="both"/>
        <w:rPr>
          <w:rFonts w:ascii="Palatino Linotype" w:eastAsia="Palatino Linotype" w:hAnsi="Palatino Linotype" w:cs="Palatino Linotype"/>
          <w:sz w:val="22"/>
          <w:szCs w:val="22"/>
        </w:rPr>
      </w:pPr>
    </w:p>
    <w:p w14:paraId="2E32DD92" w14:textId="77777777" w:rsidR="00C8164D" w:rsidRPr="002244D7" w:rsidRDefault="00BA0BB9" w:rsidP="00F768EA">
      <w:pPr>
        <w:widowControl w:val="0"/>
        <w:spacing w:line="360" w:lineRule="auto"/>
        <w:jc w:val="center"/>
        <w:rPr>
          <w:rFonts w:ascii="Palatino Linotype" w:eastAsia="Palatino Linotype" w:hAnsi="Palatino Linotype" w:cs="Palatino Linotype"/>
          <w:b/>
          <w:sz w:val="22"/>
          <w:szCs w:val="22"/>
        </w:rPr>
      </w:pPr>
      <w:r w:rsidRPr="002244D7">
        <w:rPr>
          <w:rFonts w:ascii="Palatino Linotype" w:eastAsia="Palatino Linotype" w:hAnsi="Palatino Linotype" w:cs="Palatino Linotype"/>
          <w:b/>
          <w:sz w:val="22"/>
          <w:szCs w:val="22"/>
        </w:rPr>
        <w:t>II. C O N S I D E R A N D O S</w:t>
      </w:r>
    </w:p>
    <w:p w14:paraId="439BAC2B" w14:textId="77777777" w:rsidR="00AD3CFF" w:rsidRPr="002244D7" w:rsidRDefault="00AD3CFF" w:rsidP="00F768EA">
      <w:pPr>
        <w:widowControl w:val="0"/>
        <w:spacing w:line="360" w:lineRule="auto"/>
        <w:jc w:val="center"/>
        <w:rPr>
          <w:rFonts w:ascii="Palatino Linotype" w:eastAsia="Palatino Linotype" w:hAnsi="Palatino Linotype" w:cs="Palatino Linotype"/>
          <w:b/>
          <w:sz w:val="22"/>
          <w:szCs w:val="22"/>
        </w:rPr>
      </w:pPr>
    </w:p>
    <w:p w14:paraId="706AF424" w14:textId="08C38B63" w:rsidR="00C8164D" w:rsidRPr="002244D7" w:rsidRDefault="00BA0BB9" w:rsidP="00F768EA">
      <w:pPr>
        <w:spacing w:line="360" w:lineRule="auto"/>
        <w:jc w:val="both"/>
        <w:rPr>
          <w:rFonts w:ascii="Palatino Linotype" w:eastAsia="Palatino Linotype" w:hAnsi="Palatino Linotype" w:cs="Palatino Linotype"/>
          <w:sz w:val="22"/>
          <w:szCs w:val="22"/>
        </w:rPr>
      </w:pPr>
      <w:r w:rsidRPr="002244D7">
        <w:rPr>
          <w:rFonts w:ascii="Palatino Linotype" w:eastAsia="Palatino Linotype" w:hAnsi="Palatino Linotype" w:cs="Palatino Linotype"/>
          <w:b/>
          <w:sz w:val="22"/>
          <w:szCs w:val="22"/>
        </w:rPr>
        <w:t>Primero. Competencia.</w:t>
      </w:r>
      <w:r w:rsidRPr="002244D7">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9C7136" w:rsidRPr="002244D7">
        <w:rPr>
          <w:rFonts w:ascii="Palatino Linotype" w:eastAsia="Palatino Linotype" w:hAnsi="Palatino Linotype" w:cs="Palatino Linotype"/>
          <w:sz w:val="22"/>
          <w:szCs w:val="22"/>
        </w:rPr>
        <w:t xml:space="preserve">5 párrafos </w:t>
      </w:r>
      <w:r w:rsidR="00AF4B0E" w:rsidRPr="002244D7">
        <w:rPr>
          <w:rFonts w:ascii="Palatino Linotype" w:eastAsia="Palatino Linotype" w:hAnsi="Palatino Linotype" w:cs="Palatino Linotype"/>
          <w:sz w:val="22"/>
          <w:szCs w:val="22"/>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2244D7">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224FB91" w14:textId="77777777" w:rsidR="00C8164D" w:rsidRPr="002244D7" w:rsidRDefault="00C8164D" w:rsidP="00F768EA">
      <w:pPr>
        <w:spacing w:line="360" w:lineRule="auto"/>
        <w:jc w:val="both"/>
        <w:rPr>
          <w:rFonts w:ascii="Palatino Linotype" w:eastAsia="Palatino Linotype" w:hAnsi="Palatino Linotype" w:cs="Palatino Linotype"/>
          <w:sz w:val="22"/>
          <w:szCs w:val="22"/>
        </w:rPr>
      </w:pPr>
    </w:p>
    <w:p w14:paraId="6FD3D87E" w14:textId="77777777" w:rsidR="00C8164D" w:rsidRPr="002244D7" w:rsidRDefault="00BA0BB9" w:rsidP="00F768EA">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2244D7">
        <w:rPr>
          <w:rFonts w:ascii="Palatino Linotype" w:eastAsia="Palatino Linotype" w:hAnsi="Palatino Linotype" w:cs="Palatino Linotype"/>
          <w:b/>
          <w:sz w:val="22"/>
          <w:szCs w:val="22"/>
        </w:rPr>
        <w:t xml:space="preserve">Segundo. Oportunidad y Procedibilidad del Recurso de Revisión. </w:t>
      </w:r>
      <w:r w:rsidRPr="002244D7">
        <w:rPr>
          <w:rFonts w:ascii="Palatino Linotype" w:eastAsia="Palatino Linotype" w:hAnsi="Palatino Linotype" w:cs="Palatino Linotype"/>
          <w:sz w:val="22"/>
          <w:szCs w:val="22"/>
        </w:rPr>
        <w:t>Por cuanto hace a la oportunidad del recurso de revisión</w:t>
      </w:r>
      <w:r w:rsidRPr="002244D7">
        <w:rPr>
          <w:rFonts w:ascii="Palatino Linotype" w:eastAsia="Palatino Linotype" w:hAnsi="Palatino Linotype" w:cs="Palatino Linotype"/>
          <w:b/>
          <w:sz w:val="22"/>
          <w:szCs w:val="22"/>
        </w:rPr>
        <w:t xml:space="preserve"> </w:t>
      </w:r>
      <w:r w:rsidRPr="002244D7">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D254C6A" w14:textId="77777777" w:rsidR="00C8164D" w:rsidRPr="002244D7" w:rsidRDefault="00C8164D" w:rsidP="00F768EA">
      <w:pPr>
        <w:spacing w:line="360" w:lineRule="auto"/>
        <w:jc w:val="both"/>
        <w:rPr>
          <w:rFonts w:ascii="Palatino Linotype" w:eastAsia="Palatino Linotype" w:hAnsi="Palatino Linotype" w:cs="Palatino Linotype"/>
          <w:sz w:val="22"/>
          <w:szCs w:val="22"/>
        </w:rPr>
      </w:pPr>
    </w:p>
    <w:p w14:paraId="0AF1550E" w14:textId="68A0A613" w:rsidR="00C8164D" w:rsidRPr="002244D7" w:rsidRDefault="00BA0BB9" w:rsidP="00F768EA">
      <w:pPr>
        <w:spacing w:line="360" w:lineRule="auto"/>
        <w:jc w:val="both"/>
        <w:rPr>
          <w:rFonts w:ascii="Palatino Linotype" w:eastAsia="Palatino Linotype" w:hAnsi="Palatino Linotype" w:cs="Palatino Linotype"/>
          <w:sz w:val="22"/>
          <w:szCs w:val="22"/>
        </w:rPr>
      </w:pPr>
      <w:r w:rsidRPr="002244D7">
        <w:rPr>
          <w:rFonts w:ascii="Palatino Linotype" w:eastAsia="Palatino Linotype" w:hAnsi="Palatino Linotype" w:cs="Palatino Linotype"/>
          <w:sz w:val="22"/>
          <w:szCs w:val="22"/>
        </w:rPr>
        <w:t xml:space="preserve">Derivado de lo anterior, se constituye la figura jurídica de la </w:t>
      </w:r>
      <w:r w:rsidR="00A32C23" w:rsidRPr="002244D7">
        <w:rPr>
          <w:rFonts w:ascii="Palatino Linotype" w:eastAsia="Palatino Linotype" w:hAnsi="Palatino Linotype" w:cs="Palatino Linotype"/>
          <w:b/>
          <w:sz w:val="22"/>
          <w:szCs w:val="22"/>
        </w:rPr>
        <w:t>Negativa Ficta</w:t>
      </w:r>
      <w:r w:rsidRPr="002244D7">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6758A5B1" w14:textId="77777777" w:rsidR="00C8164D" w:rsidRPr="002244D7" w:rsidRDefault="00C8164D" w:rsidP="00F768EA">
      <w:pPr>
        <w:spacing w:line="360" w:lineRule="auto"/>
        <w:jc w:val="both"/>
        <w:rPr>
          <w:rFonts w:ascii="Palatino Linotype" w:eastAsia="Palatino Linotype" w:hAnsi="Palatino Linotype" w:cs="Palatino Linotype"/>
          <w:sz w:val="22"/>
          <w:szCs w:val="22"/>
        </w:rPr>
      </w:pPr>
    </w:p>
    <w:p w14:paraId="4ED96C90" w14:textId="7C04C681" w:rsidR="00C8164D" w:rsidRPr="002244D7" w:rsidRDefault="00BA0BB9" w:rsidP="00F768EA">
      <w:pPr>
        <w:spacing w:line="360" w:lineRule="auto"/>
        <w:jc w:val="both"/>
        <w:rPr>
          <w:rFonts w:ascii="Palatino Linotype" w:eastAsia="Palatino Linotype" w:hAnsi="Palatino Linotype" w:cs="Palatino Linotype"/>
          <w:sz w:val="22"/>
          <w:szCs w:val="22"/>
        </w:rPr>
      </w:pPr>
      <w:r w:rsidRPr="002244D7">
        <w:rPr>
          <w:rFonts w:ascii="Palatino Linotype" w:eastAsia="Palatino Linotype" w:hAnsi="Palatino Linotype" w:cs="Palatino Linotype"/>
          <w:sz w:val="22"/>
          <w:szCs w:val="22"/>
        </w:rPr>
        <w:t xml:space="preserve">De tal manera, en el presente recurso de revisión se actualizó la negativa ficta por parte del </w:t>
      </w:r>
      <w:r w:rsidR="00A32C23" w:rsidRPr="002244D7">
        <w:rPr>
          <w:rFonts w:ascii="Palatino Linotype" w:eastAsia="Palatino Linotype" w:hAnsi="Palatino Linotype" w:cs="Palatino Linotype"/>
          <w:b/>
          <w:sz w:val="22"/>
          <w:szCs w:val="22"/>
        </w:rPr>
        <w:t>Sujeto Obligado</w:t>
      </w:r>
      <w:r w:rsidR="00A32C23" w:rsidRPr="002244D7">
        <w:rPr>
          <w:rFonts w:ascii="Palatino Linotype" w:eastAsia="Palatino Linotype" w:hAnsi="Palatino Linotype" w:cs="Palatino Linotype"/>
          <w:sz w:val="22"/>
          <w:szCs w:val="22"/>
        </w:rPr>
        <w:t xml:space="preserve"> </w:t>
      </w:r>
      <w:r w:rsidRPr="002244D7">
        <w:rPr>
          <w:rFonts w:ascii="Palatino Linotype" w:eastAsia="Palatino Linotype" w:hAnsi="Palatino Linotype" w:cs="Palatino Linotype"/>
          <w:sz w:val="22"/>
          <w:szCs w:val="22"/>
        </w:rPr>
        <w:t xml:space="preserve">al no haber respondido a la parte </w:t>
      </w:r>
      <w:r w:rsidR="00A32C23" w:rsidRPr="002244D7">
        <w:rPr>
          <w:rFonts w:ascii="Palatino Linotype" w:eastAsia="Palatino Linotype" w:hAnsi="Palatino Linotype" w:cs="Palatino Linotype"/>
          <w:b/>
          <w:sz w:val="22"/>
          <w:szCs w:val="22"/>
        </w:rPr>
        <w:t>Recurrente</w:t>
      </w:r>
      <w:r w:rsidR="00A32C23" w:rsidRPr="002244D7">
        <w:rPr>
          <w:rFonts w:ascii="Palatino Linotype" w:eastAsia="Palatino Linotype" w:hAnsi="Palatino Linotype" w:cs="Palatino Linotype"/>
          <w:sz w:val="22"/>
          <w:szCs w:val="22"/>
        </w:rPr>
        <w:t xml:space="preserve"> </w:t>
      </w:r>
      <w:r w:rsidRPr="002244D7">
        <w:rPr>
          <w:rFonts w:ascii="Palatino Linotype" w:eastAsia="Palatino Linotype" w:hAnsi="Palatino Linotype" w:cs="Palatino Linotype"/>
          <w:sz w:val="22"/>
          <w:szCs w:val="22"/>
        </w:rPr>
        <w:t>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0626B46C" w14:textId="77777777" w:rsidR="00C8164D" w:rsidRPr="002244D7" w:rsidRDefault="00C8164D" w:rsidP="00F768EA">
      <w:pPr>
        <w:spacing w:line="360" w:lineRule="auto"/>
        <w:jc w:val="both"/>
        <w:rPr>
          <w:rFonts w:ascii="Palatino Linotype" w:eastAsia="Palatino Linotype" w:hAnsi="Palatino Linotype" w:cs="Palatino Linotype"/>
          <w:sz w:val="22"/>
          <w:szCs w:val="22"/>
        </w:rPr>
      </w:pPr>
    </w:p>
    <w:p w14:paraId="15E43A20" w14:textId="77777777" w:rsidR="00C8164D" w:rsidRPr="002244D7" w:rsidRDefault="00BA0BB9" w:rsidP="00F768EA">
      <w:pPr>
        <w:spacing w:line="360" w:lineRule="auto"/>
        <w:jc w:val="both"/>
        <w:rPr>
          <w:rFonts w:ascii="Palatino Linotype" w:eastAsia="Palatino Linotype" w:hAnsi="Palatino Linotype" w:cs="Palatino Linotype"/>
          <w:sz w:val="22"/>
          <w:szCs w:val="22"/>
        </w:rPr>
      </w:pPr>
      <w:r w:rsidRPr="002244D7">
        <w:rPr>
          <w:rFonts w:ascii="Palatino Linotype" w:eastAsia="Palatino Linotype" w:hAnsi="Palatino Linotype" w:cs="Palatino Linotype"/>
          <w:sz w:val="22"/>
          <w:szCs w:val="22"/>
        </w:rPr>
        <w:t>Si a ello se le suma lo previsto en el párrafo segundo del artículo 178, párrafo segundo</w:t>
      </w:r>
      <w:r w:rsidRPr="002244D7">
        <w:rPr>
          <w:rFonts w:ascii="Palatino Linotype" w:eastAsia="Palatino Linotype" w:hAnsi="Palatino Linotype" w:cs="Palatino Linotype"/>
          <w:sz w:val="22"/>
          <w:szCs w:val="22"/>
          <w:vertAlign w:val="superscript"/>
        </w:rPr>
        <w:footnoteReference w:id="1"/>
      </w:r>
      <w:r w:rsidRPr="002244D7">
        <w:rPr>
          <w:rFonts w:ascii="Palatino Linotype" w:eastAsia="Palatino Linotype" w:hAnsi="Palatino Linotype" w:cs="Palatino Linotype"/>
          <w:sz w:val="22"/>
          <w:szCs w:val="22"/>
        </w:rPr>
        <w:t xml:space="preserve"> de la Ley de Transparencia y Acceso a la Información Pública vigente en la entidad.</w:t>
      </w:r>
    </w:p>
    <w:p w14:paraId="6F969B83" w14:textId="77777777" w:rsidR="00C8164D" w:rsidRPr="002244D7" w:rsidRDefault="00C8164D" w:rsidP="00F768EA">
      <w:pPr>
        <w:spacing w:line="360" w:lineRule="auto"/>
        <w:jc w:val="both"/>
        <w:rPr>
          <w:rFonts w:ascii="Palatino Linotype" w:eastAsia="Palatino Linotype" w:hAnsi="Palatino Linotype" w:cs="Palatino Linotype"/>
          <w:sz w:val="22"/>
          <w:szCs w:val="22"/>
        </w:rPr>
      </w:pPr>
    </w:p>
    <w:p w14:paraId="7FD8F223" w14:textId="616ECE5F" w:rsidR="00C8164D" w:rsidRPr="002244D7" w:rsidRDefault="00BA0BB9" w:rsidP="00F768EA">
      <w:pPr>
        <w:spacing w:line="360" w:lineRule="auto"/>
        <w:jc w:val="both"/>
        <w:rPr>
          <w:rFonts w:ascii="Palatino Linotype" w:eastAsia="Palatino Linotype" w:hAnsi="Palatino Linotype" w:cs="Palatino Linotype"/>
          <w:sz w:val="22"/>
          <w:szCs w:val="22"/>
        </w:rPr>
      </w:pPr>
      <w:r w:rsidRPr="002244D7">
        <w:rPr>
          <w:rFonts w:ascii="Palatino Linotype" w:eastAsia="Palatino Linotype" w:hAnsi="Palatino Linotype" w:cs="Palatino Linotype"/>
          <w:sz w:val="22"/>
          <w:szCs w:val="22"/>
        </w:rPr>
        <w:t xml:space="preserve">Lo anterior encuentra sustento en el </w:t>
      </w:r>
      <w:r w:rsidR="00A32C23" w:rsidRPr="002244D7">
        <w:rPr>
          <w:rFonts w:ascii="Palatino Linotype" w:eastAsia="Palatino Linotype" w:hAnsi="Palatino Linotype" w:cs="Palatino Linotype"/>
          <w:sz w:val="22"/>
          <w:szCs w:val="22"/>
        </w:rPr>
        <w:t xml:space="preserve">criterio </w:t>
      </w:r>
      <w:r w:rsidRPr="002244D7">
        <w:rPr>
          <w:rFonts w:ascii="Palatino Linotype" w:eastAsia="Palatino Linotype" w:hAnsi="Palatino Linotype" w:cs="Palatino Linotype"/>
          <w:sz w:val="22"/>
          <w:szCs w:val="22"/>
        </w:rPr>
        <w:t>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40CE2B2A" w14:textId="77777777" w:rsidR="00C8164D" w:rsidRPr="002244D7" w:rsidRDefault="00C8164D" w:rsidP="00F768EA">
      <w:pPr>
        <w:spacing w:line="360" w:lineRule="auto"/>
        <w:jc w:val="both"/>
        <w:rPr>
          <w:rFonts w:ascii="Palatino Linotype" w:hAnsi="Palatino Linotype"/>
          <w:i/>
          <w:sz w:val="22"/>
          <w:szCs w:val="22"/>
        </w:rPr>
      </w:pPr>
    </w:p>
    <w:p w14:paraId="405ACD3D" w14:textId="77777777" w:rsidR="00C8164D" w:rsidRPr="002244D7" w:rsidRDefault="00BA0BB9" w:rsidP="00A32C23">
      <w:pPr>
        <w:spacing w:line="276" w:lineRule="auto"/>
        <w:ind w:left="851" w:right="616"/>
        <w:jc w:val="both"/>
        <w:rPr>
          <w:rFonts w:ascii="Palatino Linotype" w:eastAsia="Palatino Linotype" w:hAnsi="Palatino Linotype" w:cs="Palatino Linotype"/>
          <w:b/>
          <w:i/>
          <w:sz w:val="22"/>
          <w:szCs w:val="22"/>
        </w:rPr>
      </w:pPr>
      <w:r w:rsidRPr="002244D7">
        <w:rPr>
          <w:rFonts w:ascii="Palatino Linotype" w:eastAsia="Palatino Linotype" w:hAnsi="Palatino Linotype" w:cs="Palatino Linotype"/>
          <w:i/>
          <w:sz w:val="22"/>
          <w:szCs w:val="22"/>
        </w:rPr>
        <w:t>“</w:t>
      </w:r>
      <w:r w:rsidRPr="002244D7">
        <w:rPr>
          <w:rFonts w:ascii="Palatino Linotype" w:eastAsia="Palatino Linotype" w:hAnsi="Palatino Linotype" w:cs="Palatino Linotype"/>
          <w:b/>
          <w:i/>
          <w:sz w:val="22"/>
          <w:szCs w:val="22"/>
        </w:rPr>
        <w:t>CRITERIO 0001-15 NEGATIVA FICTA. PLAZO PARA INTERPONER EL RECURSO DE REVISIÓN TRATÁNDOSE DE</w:t>
      </w:r>
      <w:r w:rsidRPr="002244D7">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68074F9" w14:textId="77777777" w:rsidR="00C8164D" w:rsidRPr="002244D7" w:rsidRDefault="00C8164D" w:rsidP="00F768EA">
      <w:pPr>
        <w:ind w:left="567" w:right="851"/>
        <w:jc w:val="both"/>
        <w:rPr>
          <w:rFonts w:ascii="Palatino Linotype" w:eastAsia="Palatino Linotype" w:hAnsi="Palatino Linotype" w:cs="Palatino Linotype"/>
          <w:i/>
          <w:sz w:val="22"/>
          <w:szCs w:val="22"/>
        </w:rPr>
      </w:pPr>
    </w:p>
    <w:p w14:paraId="3914702A" w14:textId="449F6EE8" w:rsidR="00C8164D" w:rsidRPr="002244D7" w:rsidRDefault="00BA0BB9" w:rsidP="00F768E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2244D7">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00A32C23" w:rsidRPr="002244D7">
        <w:rPr>
          <w:rFonts w:ascii="Palatino Linotype" w:eastAsia="Palatino Linotype" w:hAnsi="Palatino Linotype" w:cs="Palatino Linotype"/>
          <w:bCs/>
          <w:sz w:val="22"/>
          <w:szCs w:val="22"/>
        </w:rPr>
        <w:t xml:space="preserve">el </w:t>
      </w:r>
      <w:r w:rsidRPr="002244D7">
        <w:rPr>
          <w:rFonts w:ascii="Palatino Linotype" w:eastAsia="Palatino Linotype" w:hAnsi="Palatino Linotype" w:cs="Palatino Linotype"/>
          <w:b/>
          <w:sz w:val="22"/>
          <w:szCs w:val="22"/>
        </w:rPr>
        <w:t>SAIMEX</w:t>
      </w:r>
      <w:r w:rsidRPr="002244D7">
        <w:rPr>
          <w:rFonts w:ascii="Palatino Linotype" w:eastAsia="Palatino Linotype" w:hAnsi="Palatino Linotype" w:cs="Palatino Linotype"/>
          <w:sz w:val="22"/>
          <w:szCs w:val="22"/>
        </w:rPr>
        <w:t>.</w:t>
      </w:r>
    </w:p>
    <w:p w14:paraId="601FD0E6" w14:textId="77777777" w:rsidR="00C8164D" w:rsidRPr="002244D7" w:rsidRDefault="00C8164D" w:rsidP="00F768E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F9DF8FF" w14:textId="1A86B625" w:rsidR="00C8164D" w:rsidRPr="002244D7" w:rsidRDefault="00BA0BB9" w:rsidP="00F768EA">
      <w:pPr>
        <w:spacing w:line="360" w:lineRule="auto"/>
        <w:jc w:val="both"/>
        <w:rPr>
          <w:rFonts w:ascii="Palatino Linotype" w:eastAsia="Palatino Linotype" w:hAnsi="Palatino Linotype" w:cs="Palatino Linotype"/>
          <w:sz w:val="22"/>
          <w:szCs w:val="22"/>
        </w:rPr>
      </w:pPr>
      <w:r w:rsidRPr="002244D7">
        <w:rPr>
          <w:rFonts w:ascii="Palatino Linotype" w:eastAsia="Palatino Linotype" w:hAnsi="Palatino Linotype" w:cs="Palatino Linotype"/>
          <w:sz w:val="22"/>
          <w:szCs w:val="22"/>
        </w:rPr>
        <w:t xml:space="preserve">Al mismo tiempo, tras la revisión del formato de interposición de los recursos, es de suma importancia señalar que la </w:t>
      </w:r>
      <w:r w:rsidR="00A32C23" w:rsidRPr="002244D7">
        <w:rPr>
          <w:rFonts w:ascii="Palatino Linotype" w:eastAsia="Palatino Linotype" w:hAnsi="Palatino Linotype" w:cs="Palatino Linotype"/>
          <w:sz w:val="22"/>
          <w:szCs w:val="22"/>
        </w:rPr>
        <w:t xml:space="preserve">parte </w:t>
      </w:r>
      <w:r w:rsidRPr="002244D7">
        <w:rPr>
          <w:rFonts w:ascii="Palatino Linotype" w:eastAsia="Palatino Linotype" w:hAnsi="Palatino Linotype" w:cs="Palatino Linotype"/>
          <w:b/>
          <w:bCs/>
          <w:sz w:val="22"/>
          <w:szCs w:val="22"/>
        </w:rPr>
        <w:t>Recurrente</w:t>
      </w:r>
      <w:r w:rsidRPr="002244D7">
        <w:rPr>
          <w:rFonts w:ascii="Palatino Linotype" w:eastAsia="Palatino Linotype" w:hAnsi="Palatino Linotype" w:cs="Palatino Linotype"/>
          <w:sz w:val="22"/>
          <w:szCs w:val="22"/>
        </w:rPr>
        <w:t>, no proporcionó nombre</w:t>
      </w:r>
      <w:r w:rsidRPr="002244D7">
        <w:rPr>
          <w:rFonts w:ascii="Palatino Linotype" w:eastAsia="Palatino Linotype" w:hAnsi="Palatino Linotype" w:cs="Palatino Linotype"/>
          <w:b/>
          <w:sz w:val="22"/>
          <w:szCs w:val="22"/>
        </w:rPr>
        <w:t xml:space="preserve"> </w:t>
      </w:r>
      <w:r w:rsidRPr="002244D7">
        <w:rPr>
          <w:rFonts w:ascii="Palatino Linotype" w:eastAsia="Palatino Linotype" w:hAnsi="Palatino Linotype" w:cs="Palatino Linotype"/>
          <w:sz w:val="22"/>
          <w:szCs w:val="22"/>
        </w:rPr>
        <w:t>como se advierte en el detalle de seguimiento del SAIMEX, no obstante lo anterior, si proporcionar el nombre o no, no es motivo para archivar las solicitudes de acceso a la información pública como concluida, conforme a lo previsto en el artículo 155, penúltimo párrafo de la Ley de Transparencia y Acceso a la Información Pública del Estado de México y Municipios que establece lo siguiente:</w:t>
      </w:r>
    </w:p>
    <w:p w14:paraId="2A6628A1" w14:textId="77777777" w:rsidR="00C8164D" w:rsidRPr="002244D7" w:rsidRDefault="00C8164D" w:rsidP="00F768EA">
      <w:pPr>
        <w:spacing w:line="360" w:lineRule="auto"/>
        <w:jc w:val="both"/>
        <w:rPr>
          <w:rFonts w:ascii="Palatino Linotype" w:eastAsia="Palatino Linotype" w:hAnsi="Palatino Linotype" w:cs="Palatino Linotype"/>
          <w:sz w:val="22"/>
          <w:szCs w:val="22"/>
        </w:rPr>
      </w:pPr>
    </w:p>
    <w:p w14:paraId="2C3161BC" w14:textId="77777777" w:rsidR="00C8164D" w:rsidRPr="002244D7" w:rsidRDefault="00BA0BB9" w:rsidP="00A32C23">
      <w:pPr>
        <w:spacing w:line="276" w:lineRule="auto"/>
        <w:ind w:left="851" w:right="616"/>
        <w:jc w:val="both"/>
        <w:rPr>
          <w:rFonts w:ascii="Palatino Linotype" w:eastAsia="Palatino Linotype" w:hAnsi="Palatino Linotype" w:cs="Palatino Linotype"/>
          <w:i/>
          <w:sz w:val="22"/>
          <w:szCs w:val="22"/>
        </w:rPr>
      </w:pPr>
      <w:r w:rsidRPr="002244D7">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7D7F3A71" w14:textId="77777777" w:rsidR="00C8164D" w:rsidRPr="002244D7" w:rsidRDefault="00C8164D" w:rsidP="00F768E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14F1F664" w14:textId="628533CF" w:rsidR="00C8164D" w:rsidRPr="002244D7" w:rsidRDefault="00BA0BB9" w:rsidP="00F768EA">
      <w:pPr>
        <w:spacing w:line="360" w:lineRule="auto"/>
        <w:jc w:val="both"/>
        <w:rPr>
          <w:rFonts w:ascii="Palatino Linotype" w:eastAsia="Palatino Linotype" w:hAnsi="Palatino Linotype" w:cs="Palatino Linotype"/>
          <w:sz w:val="22"/>
          <w:szCs w:val="22"/>
        </w:rPr>
      </w:pPr>
      <w:r w:rsidRPr="002244D7">
        <w:rPr>
          <w:rFonts w:ascii="Palatino Linotype" w:eastAsia="Palatino Linotype" w:hAnsi="Palatino Linotype" w:cs="Palatino Linotype"/>
          <w:sz w:val="22"/>
          <w:szCs w:val="22"/>
        </w:rPr>
        <w:t xml:space="preserve">Ahora bien, resulta procedente la interposición del recurso de revisión, según lo aducido por la parte </w:t>
      </w:r>
      <w:r w:rsidR="00A32C23" w:rsidRPr="002244D7">
        <w:rPr>
          <w:rFonts w:ascii="Palatino Linotype" w:eastAsia="Palatino Linotype" w:hAnsi="Palatino Linotype" w:cs="Palatino Linotype"/>
          <w:b/>
          <w:sz w:val="22"/>
          <w:szCs w:val="22"/>
        </w:rPr>
        <w:t>Recurrente</w:t>
      </w:r>
      <w:r w:rsidRPr="002244D7">
        <w:rPr>
          <w:rFonts w:ascii="Palatino Linotype" w:eastAsia="Palatino Linotype" w:hAnsi="Palatino Linotype" w:cs="Palatino Linotype"/>
          <w:sz w:val="22"/>
          <w:szCs w:val="22"/>
        </w:rPr>
        <w:t>, en términos del artículo 179, fracción VII del ordenamiento legal de la materia, que a la letra dice:</w:t>
      </w:r>
    </w:p>
    <w:p w14:paraId="21861F30" w14:textId="77777777" w:rsidR="00C8164D" w:rsidRPr="002244D7" w:rsidRDefault="00C8164D" w:rsidP="00F768EA">
      <w:pPr>
        <w:spacing w:line="360" w:lineRule="auto"/>
        <w:jc w:val="both"/>
        <w:rPr>
          <w:rFonts w:ascii="Palatino Linotype" w:eastAsia="Palatino Linotype" w:hAnsi="Palatino Linotype" w:cs="Palatino Linotype"/>
          <w:sz w:val="22"/>
          <w:szCs w:val="22"/>
        </w:rPr>
      </w:pPr>
    </w:p>
    <w:p w14:paraId="31674B81" w14:textId="77777777" w:rsidR="00C8164D" w:rsidRPr="002244D7" w:rsidRDefault="00BA0BB9" w:rsidP="00A32C23">
      <w:pPr>
        <w:spacing w:line="276" w:lineRule="auto"/>
        <w:ind w:left="851" w:right="616"/>
        <w:jc w:val="both"/>
        <w:rPr>
          <w:rFonts w:ascii="Palatino Linotype" w:eastAsia="Palatino Linotype" w:hAnsi="Palatino Linotype" w:cs="Palatino Linotype"/>
          <w:sz w:val="22"/>
          <w:szCs w:val="22"/>
        </w:rPr>
      </w:pPr>
      <w:r w:rsidRPr="002244D7">
        <w:rPr>
          <w:rFonts w:ascii="Palatino Linotype" w:eastAsia="Palatino Linotype" w:hAnsi="Palatino Linotype" w:cs="Palatino Linotype"/>
          <w:i/>
          <w:sz w:val="22"/>
          <w:szCs w:val="22"/>
        </w:rPr>
        <w:t>“</w:t>
      </w:r>
      <w:r w:rsidRPr="002244D7">
        <w:rPr>
          <w:rFonts w:ascii="Palatino Linotype" w:eastAsia="Palatino Linotype" w:hAnsi="Palatino Linotype" w:cs="Palatino Linotype"/>
          <w:b/>
          <w:sz w:val="22"/>
          <w:szCs w:val="22"/>
        </w:rPr>
        <w:t>Artículo 179.</w:t>
      </w:r>
      <w:r w:rsidRPr="002244D7">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2244D7">
        <w:rPr>
          <w:rFonts w:ascii="Palatino Linotype" w:eastAsia="Palatino Linotype" w:hAnsi="Palatino Linotype" w:cs="Palatino Linotype"/>
          <w:sz w:val="22"/>
          <w:szCs w:val="22"/>
        </w:rPr>
        <w:t> </w:t>
      </w:r>
    </w:p>
    <w:p w14:paraId="62C87040" w14:textId="77777777" w:rsidR="00C8164D" w:rsidRPr="002244D7" w:rsidRDefault="00BA0BB9" w:rsidP="00A32C23">
      <w:pPr>
        <w:spacing w:line="276" w:lineRule="auto"/>
        <w:ind w:left="851" w:right="616"/>
        <w:jc w:val="both"/>
        <w:rPr>
          <w:rFonts w:ascii="Palatino Linotype" w:eastAsia="Palatino Linotype" w:hAnsi="Palatino Linotype" w:cs="Palatino Linotype"/>
          <w:sz w:val="22"/>
          <w:szCs w:val="22"/>
        </w:rPr>
      </w:pPr>
      <w:r w:rsidRPr="002244D7">
        <w:rPr>
          <w:rFonts w:ascii="Palatino Linotype" w:eastAsia="Palatino Linotype" w:hAnsi="Palatino Linotype" w:cs="Palatino Linotype"/>
          <w:sz w:val="22"/>
          <w:szCs w:val="22"/>
        </w:rPr>
        <w:t>…</w:t>
      </w:r>
    </w:p>
    <w:p w14:paraId="3E871FAA" w14:textId="77777777" w:rsidR="00C8164D" w:rsidRPr="002244D7" w:rsidRDefault="00BA0BB9" w:rsidP="00A32C23">
      <w:pPr>
        <w:numPr>
          <w:ilvl w:val="0"/>
          <w:numId w:val="2"/>
        </w:numPr>
        <w:spacing w:line="276" w:lineRule="auto"/>
        <w:ind w:left="851" w:right="616" w:firstLine="0"/>
        <w:jc w:val="both"/>
        <w:rPr>
          <w:rFonts w:ascii="Palatino Linotype" w:eastAsia="Palatino Linotype" w:hAnsi="Palatino Linotype" w:cs="Palatino Linotype"/>
          <w:i/>
          <w:sz w:val="22"/>
          <w:szCs w:val="22"/>
        </w:rPr>
      </w:pPr>
      <w:r w:rsidRPr="002244D7">
        <w:rPr>
          <w:rFonts w:ascii="Palatino Linotype" w:eastAsia="Palatino Linotype" w:hAnsi="Palatino Linotype" w:cs="Palatino Linotype"/>
          <w:i/>
          <w:sz w:val="22"/>
          <w:szCs w:val="22"/>
        </w:rPr>
        <w:t>La falta de respuesta a una solicitud de acceso a la información…</w:t>
      </w:r>
    </w:p>
    <w:p w14:paraId="60D6A37C" w14:textId="77777777" w:rsidR="00C8164D" w:rsidRPr="002244D7" w:rsidRDefault="00C8164D" w:rsidP="00F768EA">
      <w:pPr>
        <w:spacing w:line="360" w:lineRule="auto"/>
        <w:jc w:val="both"/>
        <w:rPr>
          <w:rFonts w:ascii="Palatino Linotype" w:eastAsia="Palatino Linotype" w:hAnsi="Palatino Linotype" w:cs="Palatino Linotype"/>
          <w:b/>
          <w:sz w:val="22"/>
          <w:szCs w:val="22"/>
        </w:rPr>
      </w:pPr>
    </w:p>
    <w:p w14:paraId="254AA703" w14:textId="77777777" w:rsidR="00C8164D" w:rsidRPr="002244D7" w:rsidRDefault="00BA0BB9" w:rsidP="00F768EA">
      <w:pPr>
        <w:spacing w:line="360" w:lineRule="auto"/>
        <w:jc w:val="both"/>
        <w:rPr>
          <w:rFonts w:ascii="Palatino Linotype" w:eastAsia="Palatino Linotype" w:hAnsi="Palatino Linotype" w:cs="Palatino Linotype"/>
          <w:sz w:val="22"/>
          <w:szCs w:val="22"/>
        </w:rPr>
      </w:pPr>
      <w:r w:rsidRPr="002244D7">
        <w:rPr>
          <w:rFonts w:ascii="Palatino Linotype" w:eastAsia="Palatino Linotype" w:hAnsi="Palatino Linotype" w:cs="Palatino Linotype"/>
          <w:b/>
          <w:sz w:val="22"/>
          <w:szCs w:val="22"/>
        </w:rPr>
        <w:t>Tercero. Análisis de las causales de improcedencia y sobreseimiento del recurso de revisión.</w:t>
      </w:r>
      <w:r w:rsidRPr="002244D7">
        <w:rPr>
          <w:rFonts w:ascii="Palatino Linotype" w:eastAsia="Palatino Linotype" w:hAnsi="Palatino Linotype" w:cs="Palatino Linotype"/>
          <w:sz w:val="22"/>
          <w:szCs w:val="22"/>
        </w:rPr>
        <w:t xml:space="preserve"> 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BF5E533" w14:textId="77777777" w:rsidR="00C8164D" w:rsidRPr="002244D7" w:rsidRDefault="00C8164D" w:rsidP="00F768EA">
      <w:pPr>
        <w:spacing w:line="360" w:lineRule="auto"/>
        <w:jc w:val="both"/>
        <w:rPr>
          <w:rFonts w:ascii="Palatino Linotype" w:eastAsia="Palatino Linotype" w:hAnsi="Palatino Linotype" w:cs="Palatino Linotype"/>
          <w:sz w:val="22"/>
          <w:szCs w:val="22"/>
        </w:rPr>
      </w:pPr>
    </w:p>
    <w:p w14:paraId="63669776" w14:textId="77777777" w:rsidR="00C8164D" w:rsidRPr="002244D7" w:rsidRDefault="00BA0BB9" w:rsidP="00F768EA">
      <w:pPr>
        <w:spacing w:line="360" w:lineRule="auto"/>
        <w:jc w:val="both"/>
        <w:rPr>
          <w:rFonts w:ascii="Palatino Linotype" w:eastAsia="Palatino Linotype" w:hAnsi="Palatino Linotype" w:cs="Palatino Linotype"/>
          <w:sz w:val="22"/>
          <w:szCs w:val="22"/>
        </w:rPr>
      </w:pPr>
      <w:r w:rsidRPr="002244D7">
        <w:rPr>
          <w:rFonts w:ascii="Palatino Linotype" w:eastAsia="Palatino Linotype" w:hAnsi="Palatino Linotype" w:cs="Palatino Linotype"/>
          <w:sz w:val="22"/>
          <w:szCs w:val="22"/>
        </w:rPr>
        <w:t xml:space="preserve">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 </w:t>
      </w:r>
    </w:p>
    <w:p w14:paraId="71CD8413" w14:textId="77777777" w:rsidR="00C8164D" w:rsidRPr="002244D7" w:rsidRDefault="00C8164D" w:rsidP="00F768EA">
      <w:pPr>
        <w:spacing w:line="360" w:lineRule="auto"/>
        <w:jc w:val="both"/>
        <w:rPr>
          <w:rFonts w:ascii="Palatino Linotype" w:eastAsia="Palatino Linotype" w:hAnsi="Palatino Linotype" w:cs="Palatino Linotype"/>
          <w:sz w:val="22"/>
          <w:szCs w:val="22"/>
        </w:rPr>
      </w:pPr>
    </w:p>
    <w:p w14:paraId="7450B08E" w14:textId="77777777" w:rsidR="00C8164D" w:rsidRPr="002244D7" w:rsidRDefault="00BA0BB9" w:rsidP="00F768EA">
      <w:pPr>
        <w:spacing w:line="360" w:lineRule="auto"/>
        <w:ind w:right="51"/>
        <w:jc w:val="both"/>
        <w:rPr>
          <w:rFonts w:ascii="Palatino Linotype" w:eastAsia="Palatino Linotype" w:hAnsi="Palatino Linotype" w:cs="Palatino Linotype"/>
          <w:sz w:val="22"/>
          <w:szCs w:val="22"/>
        </w:rPr>
      </w:pPr>
      <w:r w:rsidRPr="002244D7">
        <w:rPr>
          <w:rFonts w:ascii="Palatino Linotype" w:eastAsia="Palatino Linotype" w:hAnsi="Palatino Linotype" w:cs="Palatino Linotype"/>
          <w:sz w:val="22"/>
          <w:szCs w:val="22"/>
        </w:rPr>
        <w:t>De manera preliminar en el caso concreto conviene analizar si se actualiza alguna de las causales de sobreseimiento del recurso de revisión.</w:t>
      </w:r>
    </w:p>
    <w:p w14:paraId="569227E7" w14:textId="77777777" w:rsidR="00C8164D" w:rsidRPr="002244D7" w:rsidRDefault="00C8164D" w:rsidP="00F768EA">
      <w:pPr>
        <w:spacing w:line="360" w:lineRule="auto"/>
        <w:ind w:right="51"/>
        <w:jc w:val="both"/>
        <w:rPr>
          <w:rFonts w:ascii="Palatino Linotype" w:eastAsia="Palatino Linotype" w:hAnsi="Palatino Linotype" w:cs="Palatino Linotype"/>
          <w:sz w:val="22"/>
          <w:szCs w:val="22"/>
        </w:rPr>
      </w:pPr>
    </w:p>
    <w:p w14:paraId="4011AD8C" w14:textId="77777777" w:rsidR="00C8164D" w:rsidRPr="002244D7" w:rsidRDefault="00BA0BB9" w:rsidP="00F768EA">
      <w:pPr>
        <w:spacing w:line="360" w:lineRule="auto"/>
        <w:ind w:right="51"/>
        <w:jc w:val="both"/>
        <w:rPr>
          <w:rFonts w:ascii="Palatino Linotype" w:eastAsia="Palatino Linotype" w:hAnsi="Palatino Linotype" w:cs="Palatino Linotype"/>
          <w:sz w:val="22"/>
          <w:szCs w:val="22"/>
        </w:rPr>
      </w:pPr>
      <w:r w:rsidRPr="002244D7">
        <w:rPr>
          <w:rFonts w:ascii="Palatino Linotype" w:eastAsia="Palatino Linotype" w:hAnsi="Palatino Linotype" w:cs="Palatino Linotype"/>
          <w:sz w:val="22"/>
          <w:szCs w:val="22"/>
        </w:rPr>
        <w:t xml:space="preserve">Así, del análisis de la solicitud de información motivo del recurso de revisión que ahora se resuelve, se advierte que la parte Solicitante expuso a través de este medio, lo siguiente: </w:t>
      </w:r>
    </w:p>
    <w:p w14:paraId="013BAB88" w14:textId="77777777" w:rsidR="00C8164D" w:rsidRPr="002244D7" w:rsidRDefault="00C8164D" w:rsidP="00F768EA">
      <w:pPr>
        <w:spacing w:line="360" w:lineRule="auto"/>
        <w:ind w:right="49"/>
        <w:jc w:val="both"/>
        <w:rPr>
          <w:rFonts w:ascii="Palatino Linotype" w:eastAsia="Palatino Linotype" w:hAnsi="Palatino Linotype" w:cs="Palatino Linotype"/>
          <w:sz w:val="22"/>
          <w:szCs w:val="22"/>
        </w:rPr>
      </w:pPr>
    </w:p>
    <w:p w14:paraId="69302173" w14:textId="062E37F1" w:rsidR="00C8164D" w:rsidRPr="002244D7" w:rsidRDefault="00BA0BB9" w:rsidP="00A32C23">
      <w:pPr>
        <w:spacing w:line="276" w:lineRule="auto"/>
        <w:ind w:left="851" w:right="560"/>
        <w:jc w:val="both"/>
        <w:rPr>
          <w:rFonts w:ascii="Palatino Linotype" w:eastAsia="Palatino Linotype" w:hAnsi="Palatino Linotype" w:cs="Palatino Linotype"/>
          <w:i/>
          <w:sz w:val="22"/>
          <w:szCs w:val="22"/>
        </w:rPr>
      </w:pPr>
      <w:r w:rsidRPr="002244D7">
        <w:rPr>
          <w:rFonts w:ascii="Palatino Linotype" w:eastAsia="Palatino Linotype" w:hAnsi="Palatino Linotype" w:cs="Palatino Linotype"/>
          <w:i/>
          <w:sz w:val="22"/>
          <w:szCs w:val="22"/>
        </w:rPr>
        <w:t>“</w:t>
      </w:r>
      <w:r w:rsidR="00AF4B0E" w:rsidRPr="002244D7">
        <w:rPr>
          <w:rFonts w:ascii="Palatino Linotype" w:eastAsia="Palatino Linotype" w:hAnsi="Palatino Linotype" w:cs="Palatino Linotype"/>
          <w:i/>
          <w:sz w:val="22"/>
          <w:szCs w:val="22"/>
        </w:rPr>
        <w:t>Se solicita de la persona nombrada indique si es real o no la información pública que detenta la ia de Chatgpt que indica: Según información reciente, Nohemí Judith Chávez Camacho fue nombrada tesorera del ayuntamiento de Almoloya de Juárez a principios de 2025. Este nombramiento generó controversia, ya que había sido electa como primera regidora en San Antonio la Isla en 2024, cargo que dejó para asumir su nueva posición. Trayectoria política Tesorera de Almoloya de Juárez: En abril de 2025 fue nombrada tesorera municipal. Su llegada al cargo fue criticada por dejar su puesto electo en San Antonio la Isla. Primera Regidora en San Antonio la Isla: En diciembre de 2024, tomó protesta como primera regidora del ayuntamiento de San Antonio la Isla. Tesorera en San Antonio la Isla: Anteriormente, fue tesorera y administradora del ayuntamiento de San Antonio la Isla en años anteriores. Controversias Acusaciones de nepotismo: Ha sido señalada por presuntas redes de poder y vínculos familiares, ya que es sobrina del exalcalde de San Antonio la Isla, Gerardo Camacho, quien terminó en prisión tras una auditoría. Falta de pago a trabajadores: En abril de 2025, trabajadores del ayuntamiento de Almoloya de Juárez denunciaron que la tesorera, Nohemí Judith Chávez, se negó a pagarles su parte proporcional, argumentando que ninguna ley la obliga a hacerlo. Movimiento de cargos: La decisión de dejar un cargo de representación popular por un puesto administrativo fue cuestionada públicamente, insinuando que se debió a conveniencia y acomodos políticos.</w:t>
      </w:r>
      <w:r w:rsidRPr="002244D7">
        <w:rPr>
          <w:rFonts w:ascii="Palatino Linotype" w:eastAsia="Palatino Linotype" w:hAnsi="Palatino Linotype" w:cs="Palatino Linotype"/>
          <w:i/>
          <w:sz w:val="22"/>
          <w:szCs w:val="22"/>
        </w:rPr>
        <w:t>".</w:t>
      </w:r>
    </w:p>
    <w:p w14:paraId="21F4FE8D" w14:textId="77777777" w:rsidR="00C8164D" w:rsidRPr="002244D7" w:rsidRDefault="00C8164D" w:rsidP="00F768E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ED61AEC" w14:textId="1963A340" w:rsidR="00C8164D" w:rsidRPr="002244D7" w:rsidRDefault="00BA0BB9" w:rsidP="00F768E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2244D7">
        <w:rPr>
          <w:rFonts w:ascii="Palatino Linotype" w:eastAsia="Palatino Linotype" w:hAnsi="Palatino Linotype" w:cs="Palatino Linotype"/>
          <w:sz w:val="22"/>
          <w:szCs w:val="22"/>
        </w:rPr>
        <w:t xml:space="preserve">El </w:t>
      </w:r>
      <w:r w:rsidRPr="002244D7">
        <w:rPr>
          <w:rFonts w:ascii="Palatino Linotype" w:eastAsia="Palatino Linotype" w:hAnsi="Palatino Linotype" w:cs="Palatino Linotype"/>
          <w:b/>
          <w:bCs/>
          <w:sz w:val="22"/>
          <w:szCs w:val="22"/>
        </w:rPr>
        <w:t>Sujeto Obligado</w:t>
      </w:r>
      <w:r w:rsidRPr="002244D7">
        <w:rPr>
          <w:rFonts w:ascii="Palatino Linotype" w:eastAsia="Palatino Linotype" w:hAnsi="Palatino Linotype" w:cs="Palatino Linotype"/>
          <w:sz w:val="22"/>
          <w:szCs w:val="22"/>
        </w:rPr>
        <w:t xml:space="preserve"> no dio respuesta a la solicitud, motivo de inconformidad por </w:t>
      </w:r>
      <w:r w:rsidR="00AF4B0E" w:rsidRPr="002244D7">
        <w:rPr>
          <w:rFonts w:ascii="Palatino Linotype" w:eastAsia="Palatino Linotype" w:hAnsi="Palatino Linotype" w:cs="Palatino Linotype"/>
          <w:sz w:val="22"/>
          <w:szCs w:val="22"/>
        </w:rPr>
        <w:t xml:space="preserve">la parte </w:t>
      </w:r>
      <w:r w:rsidRPr="002244D7">
        <w:rPr>
          <w:rFonts w:ascii="Palatino Linotype" w:eastAsia="Palatino Linotype" w:hAnsi="Palatino Linotype" w:cs="Palatino Linotype"/>
          <w:b/>
          <w:bCs/>
          <w:sz w:val="22"/>
          <w:szCs w:val="22"/>
        </w:rPr>
        <w:t>Recurrente</w:t>
      </w:r>
      <w:r w:rsidRPr="002244D7">
        <w:rPr>
          <w:rFonts w:ascii="Palatino Linotype" w:eastAsia="Palatino Linotype" w:hAnsi="Palatino Linotype" w:cs="Palatino Linotype"/>
          <w:sz w:val="22"/>
          <w:szCs w:val="22"/>
        </w:rPr>
        <w:t>.</w:t>
      </w:r>
    </w:p>
    <w:p w14:paraId="06D3B651" w14:textId="77777777" w:rsidR="00C8164D" w:rsidRPr="002244D7" w:rsidRDefault="00C8164D" w:rsidP="00F768E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305E818" w14:textId="6C0677CA" w:rsidR="00C8164D" w:rsidRPr="002244D7" w:rsidRDefault="00BA0BB9" w:rsidP="00F768EA">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2244D7">
        <w:rPr>
          <w:rFonts w:ascii="Palatino Linotype" w:eastAsia="Palatino Linotype" w:hAnsi="Palatino Linotype" w:cs="Palatino Linotype"/>
          <w:sz w:val="22"/>
          <w:szCs w:val="22"/>
        </w:rPr>
        <w:t xml:space="preserve">Dicho esto, es necesario mencionar </w:t>
      </w:r>
      <w:r w:rsidR="00AF4B0E" w:rsidRPr="002244D7">
        <w:rPr>
          <w:rFonts w:ascii="Palatino Linotype" w:eastAsia="Palatino Linotype" w:hAnsi="Palatino Linotype" w:cs="Palatino Linotype"/>
          <w:sz w:val="22"/>
          <w:szCs w:val="22"/>
        </w:rPr>
        <w:t>que,</w:t>
      </w:r>
      <w:r w:rsidRPr="002244D7">
        <w:rPr>
          <w:rFonts w:ascii="Palatino Linotype" w:eastAsia="Palatino Linotype" w:hAnsi="Palatino Linotype" w:cs="Palatino Linotype"/>
          <w:sz w:val="22"/>
          <w:szCs w:val="22"/>
        </w:rPr>
        <w:t xml:space="preserve"> de la lectura realizada a la solicitud de información, se advierte que versa en cuestionamientos que no pueden ser atendidos a través de la vía del Derecho de Acceso a la Información Pública, </w:t>
      </w:r>
      <w:r w:rsidRPr="002244D7">
        <w:rPr>
          <w:rFonts w:ascii="Palatino Linotype" w:eastAsia="Palatino Linotype" w:hAnsi="Palatino Linotype" w:cs="Palatino Linotype"/>
          <w:b/>
          <w:sz w:val="22"/>
          <w:szCs w:val="22"/>
        </w:rPr>
        <w:t>debido a que se tratan de un ejercicio del derecho de petición de la parte Recurrente, toda vez que requiere un pronunciamiento específicamente</w:t>
      </w:r>
      <w:r w:rsidR="009350DF" w:rsidRPr="002244D7">
        <w:rPr>
          <w:rFonts w:ascii="Palatino Linotype" w:eastAsia="Palatino Linotype" w:hAnsi="Palatino Linotype" w:cs="Palatino Linotype"/>
          <w:b/>
          <w:sz w:val="22"/>
          <w:szCs w:val="22"/>
        </w:rPr>
        <w:t xml:space="preserve"> </w:t>
      </w:r>
      <w:r w:rsidRPr="002244D7">
        <w:rPr>
          <w:rFonts w:ascii="Palatino Linotype" w:eastAsia="Palatino Linotype" w:hAnsi="Palatino Linotype" w:cs="Palatino Linotype"/>
          <w:b/>
          <w:sz w:val="22"/>
          <w:szCs w:val="22"/>
        </w:rPr>
        <w:t xml:space="preserve">respecto </w:t>
      </w:r>
      <w:r w:rsidR="00A32C23" w:rsidRPr="002244D7">
        <w:rPr>
          <w:rFonts w:ascii="Palatino Linotype" w:eastAsia="Palatino Linotype" w:hAnsi="Palatino Linotype" w:cs="Palatino Linotype"/>
          <w:b/>
          <w:sz w:val="22"/>
          <w:szCs w:val="22"/>
        </w:rPr>
        <w:t xml:space="preserve">a que si es real no la información </w:t>
      </w:r>
      <w:r w:rsidR="00310808" w:rsidRPr="002244D7">
        <w:rPr>
          <w:rFonts w:ascii="Palatino Linotype" w:eastAsia="Palatino Linotype" w:hAnsi="Palatino Linotype" w:cs="Palatino Linotype"/>
          <w:b/>
          <w:sz w:val="22"/>
          <w:szCs w:val="22"/>
        </w:rPr>
        <w:t>localizada de</w:t>
      </w:r>
      <w:r w:rsidR="00A32C23" w:rsidRPr="002244D7">
        <w:rPr>
          <w:rFonts w:ascii="Palatino Linotype" w:eastAsia="Palatino Linotype" w:hAnsi="Palatino Linotype" w:cs="Palatino Linotype"/>
          <w:b/>
          <w:sz w:val="22"/>
          <w:szCs w:val="22"/>
        </w:rPr>
        <w:t xml:space="preserve"> </w:t>
      </w:r>
      <w:r w:rsidRPr="002244D7">
        <w:rPr>
          <w:rFonts w:ascii="Palatino Linotype" w:eastAsia="Palatino Linotype" w:hAnsi="Palatino Linotype" w:cs="Palatino Linotype"/>
          <w:b/>
          <w:sz w:val="22"/>
          <w:szCs w:val="22"/>
        </w:rPr>
        <w:t>un</w:t>
      </w:r>
      <w:r w:rsidR="00AF4B0E" w:rsidRPr="002244D7">
        <w:rPr>
          <w:rFonts w:ascii="Palatino Linotype" w:eastAsia="Palatino Linotype" w:hAnsi="Palatino Linotype" w:cs="Palatino Linotype"/>
          <w:b/>
          <w:sz w:val="22"/>
          <w:szCs w:val="22"/>
        </w:rPr>
        <w:t>a</w:t>
      </w:r>
      <w:r w:rsidRPr="002244D7">
        <w:rPr>
          <w:rFonts w:ascii="Palatino Linotype" w:eastAsia="Palatino Linotype" w:hAnsi="Palatino Linotype" w:cs="Palatino Linotype"/>
          <w:b/>
          <w:sz w:val="22"/>
          <w:szCs w:val="22"/>
        </w:rPr>
        <w:t xml:space="preserve"> servidor</w:t>
      </w:r>
      <w:r w:rsidR="00AF4B0E" w:rsidRPr="002244D7">
        <w:rPr>
          <w:rFonts w:ascii="Palatino Linotype" w:eastAsia="Palatino Linotype" w:hAnsi="Palatino Linotype" w:cs="Palatino Linotype"/>
          <w:b/>
          <w:sz w:val="22"/>
          <w:szCs w:val="22"/>
        </w:rPr>
        <w:t>a</w:t>
      </w:r>
      <w:r w:rsidRPr="002244D7">
        <w:rPr>
          <w:rFonts w:ascii="Palatino Linotype" w:eastAsia="Palatino Linotype" w:hAnsi="Palatino Linotype" w:cs="Palatino Linotype"/>
          <w:b/>
          <w:sz w:val="22"/>
          <w:szCs w:val="22"/>
        </w:rPr>
        <w:t xml:space="preserve"> públic</w:t>
      </w:r>
      <w:r w:rsidR="00AF4B0E" w:rsidRPr="002244D7">
        <w:rPr>
          <w:rFonts w:ascii="Palatino Linotype" w:eastAsia="Palatino Linotype" w:hAnsi="Palatino Linotype" w:cs="Palatino Linotype"/>
          <w:b/>
          <w:sz w:val="22"/>
          <w:szCs w:val="22"/>
        </w:rPr>
        <w:t>a</w:t>
      </w:r>
      <w:r w:rsidRPr="002244D7">
        <w:rPr>
          <w:rFonts w:ascii="Palatino Linotype" w:eastAsia="Palatino Linotype" w:hAnsi="Palatino Linotype" w:cs="Palatino Linotype"/>
          <w:b/>
          <w:sz w:val="22"/>
          <w:szCs w:val="22"/>
        </w:rPr>
        <w:t>.</w:t>
      </w:r>
    </w:p>
    <w:p w14:paraId="14A589B5" w14:textId="77777777" w:rsidR="00C8164D" w:rsidRPr="002244D7" w:rsidRDefault="00C8164D" w:rsidP="00F768EA">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2DA0A5F2" w14:textId="77777777" w:rsidR="00C8164D" w:rsidRPr="002244D7" w:rsidRDefault="00BA0BB9" w:rsidP="00F768EA">
      <w:pPr>
        <w:spacing w:line="360" w:lineRule="auto"/>
        <w:jc w:val="both"/>
        <w:rPr>
          <w:rFonts w:ascii="Palatino Linotype" w:eastAsia="Palatino Linotype" w:hAnsi="Palatino Linotype" w:cs="Palatino Linotype"/>
          <w:i/>
          <w:sz w:val="22"/>
          <w:szCs w:val="22"/>
        </w:rPr>
      </w:pPr>
      <w:r w:rsidRPr="002244D7">
        <w:rPr>
          <w:rFonts w:ascii="Palatino Linotype" w:eastAsia="Palatino Linotype" w:hAnsi="Palatino Linotype" w:cs="Palatino Linotype"/>
          <w:sz w:val="22"/>
          <w:szCs w:val="22"/>
        </w:rPr>
        <w:t xml:space="preserve">A efecto de sustentar lo anterior, es preciso mencionar que David Cienfuegos Salgado, concibe al derecho de petición como </w:t>
      </w:r>
      <w:r w:rsidRPr="002244D7">
        <w:rPr>
          <w:rFonts w:ascii="Palatino Linotype" w:eastAsia="Palatino Linotype" w:hAnsi="Palatino Linotype" w:cs="Palatino Linotype"/>
          <w:i/>
          <w:sz w:val="22"/>
          <w:szCs w:val="22"/>
        </w:rPr>
        <w:t>“</w:t>
      </w:r>
      <w:r w:rsidRPr="002244D7">
        <w:rPr>
          <w:rFonts w:ascii="Palatino Linotype" w:eastAsia="Palatino Linotype" w:hAnsi="Palatino Linotype" w:cs="Palatino Linotype"/>
          <w:b/>
          <w:i/>
          <w:sz w:val="22"/>
          <w:szCs w:val="22"/>
          <w:u w:val="single"/>
        </w:rPr>
        <w:t>el derecho de toda persona a ser escuchado por quienes ejercen el poder público</w:t>
      </w:r>
      <w:r w:rsidRPr="002244D7">
        <w:rPr>
          <w:rFonts w:ascii="Palatino Linotype" w:eastAsia="Palatino Linotype" w:hAnsi="Palatino Linotype" w:cs="Palatino Linotype"/>
          <w:i/>
          <w:sz w:val="22"/>
          <w:szCs w:val="22"/>
        </w:rPr>
        <w:t xml:space="preserve">”  </w:t>
      </w:r>
    </w:p>
    <w:p w14:paraId="070B0072" w14:textId="77777777" w:rsidR="00C8164D" w:rsidRPr="002244D7" w:rsidRDefault="00C8164D" w:rsidP="00F768EA">
      <w:pPr>
        <w:spacing w:line="360" w:lineRule="auto"/>
        <w:jc w:val="both"/>
        <w:rPr>
          <w:rFonts w:ascii="Palatino Linotype" w:eastAsia="Palatino Linotype" w:hAnsi="Palatino Linotype" w:cs="Palatino Linotype"/>
          <w:i/>
          <w:sz w:val="22"/>
          <w:szCs w:val="22"/>
        </w:rPr>
      </w:pPr>
    </w:p>
    <w:p w14:paraId="4C1CCC7C" w14:textId="77777777" w:rsidR="00C8164D" w:rsidRPr="002244D7" w:rsidRDefault="00BA0BB9" w:rsidP="00F768EA">
      <w:pPr>
        <w:spacing w:line="360" w:lineRule="auto"/>
        <w:jc w:val="both"/>
        <w:rPr>
          <w:rFonts w:ascii="Palatino Linotype" w:eastAsia="Palatino Linotype" w:hAnsi="Palatino Linotype" w:cs="Palatino Linotype"/>
          <w:sz w:val="22"/>
          <w:szCs w:val="22"/>
        </w:rPr>
      </w:pPr>
      <w:r w:rsidRPr="002244D7">
        <w:rPr>
          <w:rFonts w:ascii="Palatino Linotype" w:eastAsia="Palatino Linotype" w:hAnsi="Palatino Linotype" w:cs="Palatino Linotype"/>
          <w:sz w:val="22"/>
          <w:szCs w:val="22"/>
        </w:rPr>
        <w:t xml:space="preserve">De la misma manera, Miguel Carbonell en su libro </w:t>
      </w:r>
      <w:r w:rsidRPr="002244D7">
        <w:rPr>
          <w:rFonts w:ascii="Palatino Linotype" w:eastAsia="Palatino Linotype" w:hAnsi="Palatino Linotype" w:cs="Palatino Linotype"/>
          <w:i/>
          <w:sz w:val="22"/>
          <w:szCs w:val="22"/>
        </w:rPr>
        <w:t xml:space="preserve">“Los derechos fundamentales” </w:t>
      </w:r>
      <w:r w:rsidRPr="002244D7">
        <w:rPr>
          <w:rFonts w:ascii="Palatino Linotype" w:eastAsia="Palatino Linotype" w:hAnsi="Palatino Linotype" w:cs="Palatino Linotype"/>
          <w:sz w:val="22"/>
          <w:szCs w:val="22"/>
        </w:rPr>
        <w:t xml:space="preserve">refiere que el derecho de petición se ha entendido de dos distintitas maneras, a saber: como un derecho fundamental de participación política ya que permite a los particulares trasladar a las autoridades sus </w:t>
      </w:r>
      <w:r w:rsidRPr="002244D7">
        <w:rPr>
          <w:rFonts w:ascii="Palatino Linotype" w:eastAsia="Palatino Linotype" w:hAnsi="Palatino Linotype" w:cs="Palatino Linotype"/>
          <w:b/>
          <w:sz w:val="22"/>
          <w:szCs w:val="22"/>
        </w:rPr>
        <w:t>inquietudes, quejas</w:t>
      </w:r>
      <w:r w:rsidRPr="002244D7">
        <w:rPr>
          <w:rFonts w:ascii="Palatino Linotype" w:eastAsia="Palatino Linotype" w:hAnsi="Palatino Linotype" w:cs="Palatino Linotype"/>
          <w:sz w:val="22"/>
          <w:szCs w:val="22"/>
        </w:rPr>
        <w:t xml:space="preserve">, sugerencias y requerimientos en cualquier materia o asunto; y como una </w:t>
      </w:r>
      <w:r w:rsidRPr="002244D7">
        <w:rPr>
          <w:rFonts w:ascii="Palatino Linotype" w:eastAsia="Palatino Linotype" w:hAnsi="Palatino Linotype" w:cs="Palatino Linotype"/>
          <w:b/>
          <w:sz w:val="22"/>
          <w:szCs w:val="22"/>
        </w:rPr>
        <w:t>forma específica de la libertad de expresión</w:t>
      </w:r>
      <w:r w:rsidRPr="002244D7">
        <w:rPr>
          <w:rFonts w:ascii="Palatino Linotype" w:eastAsia="Palatino Linotype" w:hAnsi="Palatino Linotype" w:cs="Palatino Linotype"/>
          <w:sz w:val="22"/>
          <w:szCs w:val="22"/>
        </w:rPr>
        <w:t xml:space="preserve">, en tanto que permite expresarse frente a las autoridades. </w:t>
      </w:r>
    </w:p>
    <w:p w14:paraId="07DD9E4C" w14:textId="77777777" w:rsidR="00C8164D" w:rsidRPr="002244D7" w:rsidRDefault="00C8164D" w:rsidP="00F768EA">
      <w:pPr>
        <w:spacing w:line="360" w:lineRule="auto"/>
        <w:jc w:val="both"/>
        <w:rPr>
          <w:rFonts w:ascii="Palatino Linotype" w:eastAsia="Palatino Linotype" w:hAnsi="Palatino Linotype" w:cs="Palatino Linotype"/>
          <w:sz w:val="22"/>
          <w:szCs w:val="22"/>
        </w:rPr>
      </w:pPr>
    </w:p>
    <w:p w14:paraId="5C0E76A4" w14:textId="77777777" w:rsidR="00C8164D" w:rsidRPr="002244D7" w:rsidRDefault="00BA0BB9" w:rsidP="00F768EA">
      <w:pPr>
        <w:spacing w:line="360" w:lineRule="auto"/>
        <w:jc w:val="both"/>
        <w:rPr>
          <w:rFonts w:ascii="Palatino Linotype" w:eastAsia="Palatino Linotype" w:hAnsi="Palatino Linotype" w:cs="Palatino Linotype"/>
          <w:sz w:val="22"/>
          <w:szCs w:val="22"/>
        </w:rPr>
      </w:pPr>
      <w:r w:rsidRPr="002244D7">
        <w:rPr>
          <w:rFonts w:ascii="Palatino Linotype" w:eastAsia="Palatino Linotype" w:hAnsi="Palatino Linotype" w:cs="Palatino Linotype"/>
          <w:sz w:val="22"/>
          <w:szCs w:val="22"/>
        </w:rPr>
        <w:t>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p>
    <w:p w14:paraId="31EA51CA" w14:textId="77777777" w:rsidR="00C8164D" w:rsidRPr="002244D7" w:rsidRDefault="00C8164D" w:rsidP="00F768EA">
      <w:pPr>
        <w:spacing w:line="360" w:lineRule="auto"/>
        <w:jc w:val="both"/>
        <w:rPr>
          <w:rFonts w:ascii="Palatino Linotype" w:eastAsia="Palatino Linotype" w:hAnsi="Palatino Linotype" w:cs="Palatino Linotype"/>
          <w:sz w:val="22"/>
          <w:szCs w:val="22"/>
          <w:vertAlign w:val="superscript"/>
        </w:rPr>
      </w:pPr>
    </w:p>
    <w:p w14:paraId="05506E8E" w14:textId="77777777" w:rsidR="00C8164D" w:rsidRPr="002244D7" w:rsidRDefault="00BA0BB9" w:rsidP="00F768EA">
      <w:pPr>
        <w:spacing w:line="360" w:lineRule="auto"/>
        <w:jc w:val="both"/>
        <w:rPr>
          <w:rFonts w:ascii="Palatino Linotype" w:eastAsia="Palatino Linotype" w:hAnsi="Palatino Linotype" w:cs="Palatino Linotype"/>
          <w:sz w:val="22"/>
          <w:szCs w:val="22"/>
        </w:rPr>
      </w:pPr>
      <w:r w:rsidRPr="002244D7">
        <w:rPr>
          <w:rFonts w:ascii="Palatino Linotype" w:eastAsia="Palatino Linotype" w:hAnsi="Palatino Linotype" w:cs="Palatino Linotype"/>
          <w:sz w:val="22"/>
          <w:szCs w:val="22"/>
        </w:rPr>
        <w:t xml:space="preserve">Por otro lado, el autor anteriormente citado, indica que el </w:t>
      </w:r>
      <w:r w:rsidRPr="002244D7">
        <w:rPr>
          <w:rFonts w:ascii="Palatino Linotype" w:eastAsia="Palatino Linotype" w:hAnsi="Palatino Linotype" w:cs="Palatino Linotype"/>
          <w:b/>
          <w:sz w:val="22"/>
          <w:szCs w:val="22"/>
        </w:rPr>
        <w:t>derecho de acceso a la información pública</w:t>
      </w:r>
      <w:r w:rsidRPr="002244D7">
        <w:rPr>
          <w:rFonts w:ascii="Palatino Linotype" w:eastAsia="Palatino Linotype" w:hAnsi="Palatino Linotype" w:cs="Palatino Linotype"/>
          <w:sz w:val="22"/>
          <w:szCs w:val="22"/>
        </w:rPr>
        <w:t xml:space="preserve"> es el derecho de conocer la información de carácter público que se genera o está en posesión de los órganos del poder público o de los sujetos que utilizan o se benefician con recursos provenientes del Estado, es el derecho que tienen los ciudadanos para acceder a documentos y datos que obren en el poder del gobierno.</w:t>
      </w:r>
    </w:p>
    <w:p w14:paraId="79ADEB97" w14:textId="77777777" w:rsidR="00C8164D" w:rsidRPr="002244D7" w:rsidRDefault="00C8164D" w:rsidP="00F768EA">
      <w:pPr>
        <w:spacing w:line="360" w:lineRule="auto"/>
        <w:jc w:val="both"/>
        <w:rPr>
          <w:rFonts w:ascii="Palatino Linotype" w:eastAsia="Palatino Linotype" w:hAnsi="Palatino Linotype" w:cs="Palatino Linotype"/>
          <w:sz w:val="22"/>
          <w:szCs w:val="22"/>
        </w:rPr>
      </w:pPr>
    </w:p>
    <w:p w14:paraId="2033EDED" w14:textId="77777777" w:rsidR="00C8164D" w:rsidRPr="002244D7" w:rsidRDefault="00BA0BB9" w:rsidP="00F768EA">
      <w:pPr>
        <w:spacing w:line="360" w:lineRule="auto"/>
        <w:jc w:val="both"/>
        <w:rPr>
          <w:rFonts w:ascii="Palatino Linotype" w:eastAsia="Palatino Linotype" w:hAnsi="Palatino Linotype" w:cs="Palatino Linotype"/>
          <w:sz w:val="22"/>
          <w:szCs w:val="22"/>
        </w:rPr>
      </w:pPr>
      <w:r w:rsidRPr="002244D7">
        <w:rPr>
          <w:rFonts w:ascii="Palatino Linotype" w:eastAsia="Palatino Linotype" w:hAnsi="Palatino Linotype" w:cs="Palatino Linotype"/>
          <w:sz w:val="22"/>
          <w:szCs w:val="22"/>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p>
    <w:p w14:paraId="033B707F" w14:textId="77777777" w:rsidR="00C8164D" w:rsidRPr="002244D7" w:rsidRDefault="00C8164D" w:rsidP="00F768EA">
      <w:pPr>
        <w:spacing w:line="360" w:lineRule="auto"/>
        <w:jc w:val="both"/>
        <w:rPr>
          <w:rFonts w:ascii="Palatino Linotype" w:eastAsia="Palatino Linotype" w:hAnsi="Palatino Linotype" w:cs="Palatino Linotype"/>
          <w:sz w:val="22"/>
          <w:szCs w:val="22"/>
        </w:rPr>
      </w:pPr>
    </w:p>
    <w:p w14:paraId="1A5771FC" w14:textId="77777777" w:rsidR="00C8164D" w:rsidRPr="002244D7" w:rsidRDefault="00BA0BB9" w:rsidP="00F768EA">
      <w:pPr>
        <w:spacing w:line="360" w:lineRule="auto"/>
        <w:ind w:right="99"/>
        <w:jc w:val="both"/>
        <w:rPr>
          <w:rFonts w:ascii="Palatino Linotype" w:eastAsia="Palatino Linotype" w:hAnsi="Palatino Linotype" w:cs="Palatino Linotype"/>
          <w:sz w:val="22"/>
          <w:szCs w:val="22"/>
        </w:rPr>
      </w:pPr>
      <w:r w:rsidRPr="002244D7">
        <w:rPr>
          <w:rFonts w:ascii="Palatino Linotype" w:eastAsia="Palatino Linotype" w:hAnsi="Palatino Linotype" w:cs="Palatino Linotype"/>
          <w:sz w:val="22"/>
          <w:szCs w:val="22"/>
        </w:rPr>
        <w:t xml:space="preserve">De lo anterior se puede concluir que la distinción entre el </w:t>
      </w:r>
      <w:r w:rsidRPr="002244D7">
        <w:rPr>
          <w:rFonts w:ascii="Palatino Linotype" w:eastAsia="Palatino Linotype" w:hAnsi="Palatino Linotype" w:cs="Palatino Linotype"/>
          <w:b/>
          <w:sz w:val="22"/>
          <w:szCs w:val="22"/>
        </w:rPr>
        <w:t>derecho de petición</w:t>
      </w:r>
      <w:r w:rsidRPr="002244D7">
        <w:rPr>
          <w:rFonts w:ascii="Palatino Linotype" w:eastAsia="Palatino Linotype" w:hAnsi="Palatino Linotype" w:cs="Palatino Linotype"/>
          <w:sz w:val="22"/>
          <w:szCs w:val="22"/>
        </w:rPr>
        <w:t xml:space="preserve"> y el derecho de acceso a la información descansa, principalmente, en que la pretensión del peticionario consiste generalmente en obligar a la autoridad responsable a que actúe 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27BC8CB8" w14:textId="77777777" w:rsidR="00C8164D" w:rsidRPr="002244D7" w:rsidRDefault="00C8164D" w:rsidP="00F768EA">
      <w:pPr>
        <w:spacing w:line="360" w:lineRule="auto"/>
        <w:ind w:right="99"/>
        <w:jc w:val="both"/>
        <w:rPr>
          <w:rFonts w:ascii="Palatino Linotype" w:eastAsia="Palatino Linotype" w:hAnsi="Palatino Linotype" w:cs="Palatino Linotype"/>
          <w:sz w:val="22"/>
          <w:szCs w:val="22"/>
        </w:rPr>
      </w:pPr>
    </w:p>
    <w:p w14:paraId="076F33DB" w14:textId="77777777" w:rsidR="00C8164D" w:rsidRPr="002244D7" w:rsidRDefault="00BA0BB9" w:rsidP="00F768EA">
      <w:pPr>
        <w:spacing w:line="360" w:lineRule="auto"/>
        <w:jc w:val="both"/>
        <w:rPr>
          <w:rFonts w:ascii="Palatino Linotype" w:eastAsia="Palatino Linotype" w:hAnsi="Palatino Linotype" w:cs="Palatino Linotype"/>
          <w:sz w:val="22"/>
          <w:szCs w:val="22"/>
        </w:rPr>
      </w:pPr>
      <w:r w:rsidRPr="002244D7">
        <w:rPr>
          <w:rFonts w:ascii="Palatino Linotype" w:eastAsia="Palatino Linotype" w:hAnsi="Palatino Linotype" w:cs="Palatino Linotype"/>
          <w:sz w:val="22"/>
          <w:szCs w:val="22"/>
        </w:rPr>
        <w:t xml:space="preserve">Ante ello, de conformidad con lo que establece el artículo 12 de la Ley de Transparencia y Acceso a la Información Pública del Estado de México y Municipios, los sujetos obligados no se encuentran constreñidos a entregar información que no obra en sus archivos o generarla conforme al interés de los solicitantes, asimismo, el Criterio 03/17 emitido por el Instituto Nacional de Transparencia, Acceso a la Información y Protección de Datos Personales, establece lo siguiente: </w:t>
      </w:r>
    </w:p>
    <w:p w14:paraId="50251733" w14:textId="77777777" w:rsidR="00C8164D" w:rsidRPr="002244D7" w:rsidRDefault="00C8164D" w:rsidP="00F768EA">
      <w:pPr>
        <w:spacing w:line="360" w:lineRule="auto"/>
        <w:jc w:val="both"/>
        <w:rPr>
          <w:rFonts w:ascii="Palatino Linotype" w:eastAsia="Palatino Linotype" w:hAnsi="Palatino Linotype" w:cs="Palatino Linotype"/>
          <w:sz w:val="22"/>
          <w:szCs w:val="22"/>
        </w:rPr>
      </w:pPr>
    </w:p>
    <w:p w14:paraId="39F7D3AC" w14:textId="77777777" w:rsidR="00C8164D" w:rsidRPr="002244D7" w:rsidRDefault="00BA0BB9" w:rsidP="00F768EA">
      <w:pPr>
        <w:spacing w:line="276" w:lineRule="auto"/>
        <w:ind w:left="567" w:right="567"/>
        <w:jc w:val="both"/>
        <w:rPr>
          <w:rFonts w:ascii="Palatino Linotype" w:eastAsia="Palatino Linotype" w:hAnsi="Palatino Linotype" w:cs="Palatino Linotype"/>
          <w:i/>
          <w:sz w:val="22"/>
          <w:szCs w:val="22"/>
        </w:rPr>
      </w:pPr>
      <w:r w:rsidRPr="002244D7">
        <w:rPr>
          <w:rFonts w:ascii="Palatino Linotype" w:eastAsia="Palatino Linotype" w:hAnsi="Palatino Linotype" w:cs="Palatino Linotype"/>
          <w:b/>
          <w:i/>
          <w:sz w:val="22"/>
          <w:szCs w:val="22"/>
        </w:rPr>
        <w:t xml:space="preserve">No existe obligación de elaborar documentos ad hoc para atender las solicitudes de acceso a la información. </w:t>
      </w:r>
      <w:r w:rsidRPr="002244D7">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38046A5" w14:textId="77777777" w:rsidR="00C8164D" w:rsidRPr="002244D7" w:rsidRDefault="00C8164D" w:rsidP="00F768EA">
      <w:pPr>
        <w:spacing w:line="360" w:lineRule="auto"/>
        <w:jc w:val="both"/>
        <w:rPr>
          <w:rFonts w:ascii="Palatino Linotype" w:eastAsia="Palatino Linotype" w:hAnsi="Palatino Linotype" w:cs="Palatino Linotype"/>
          <w:sz w:val="22"/>
          <w:szCs w:val="22"/>
        </w:rPr>
      </w:pPr>
    </w:p>
    <w:p w14:paraId="1B232DFE" w14:textId="56440B65" w:rsidR="00C8164D" w:rsidRPr="002244D7" w:rsidRDefault="00BA0BB9" w:rsidP="00F768EA">
      <w:pPr>
        <w:spacing w:line="360" w:lineRule="auto"/>
        <w:jc w:val="both"/>
        <w:rPr>
          <w:rFonts w:ascii="Palatino Linotype" w:eastAsia="Palatino Linotype" w:hAnsi="Palatino Linotype" w:cs="Palatino Linotype"/>
          <w:sz w:val="22"/>
          <w:szCs w:val="22"/>
        </w:rPr>
      </w:pPr>
      <w:r w:rsidRPr="002244D7">
        <w:rPr>
          <w:rFonts w:ascii="Palatino Linotype" w:eastAsia="Palatino Linotype" w:hAnsi="Palatino Linotype" w:cs="Palatino Linotype"/>
          <w:sz w:val="22"/>
          <w:szCs w:val="22"/>
        </w:rPr>
        <w:t xml:space="preserve">En ese sentido, se tiene que, la solicitud de información se relaciona con el ejercicio del derecho de petición, pues se tratan de expresiones y manifestaciones personales y particulares, de las cuales no se advierte que se requiera acceder a un documento en posesión de la autoridad, situación que, no es factible atenderse vía acceso a la información pública. </w:t>
      </w:r>
    </w:p>
    <w:p w14:paraId="2FA81B1A" w14:textId="77777777" w:rsidR="00C8164D" w:rsidRPr="002244D7" w:rsidRDefault="00C8164D" w:rsidP="00F768EA">
      <w:pPr>
        <w:spacing w:line="360" w:lineRule="auto"/>
        <w:jc w:val="both"/>
        <w:rPr>
          <w:rFonts w:ascii="Palatino Linotype" w:eastAsia="Palatino Linotype" w:hAnsi="Palatino Linotype" w:cs="Palatino Linotype"/>
          <w:sz w:val="22"/>
          <w:szCs w:val="22"/>
        </w:rPr>
      </w:pPr>
    </w:p>
    <w:p w14:paraId="5F248644" w14:textId="77777777" w:rsidR="00C8164D" w:rsidRPr="002244D7" w:rsidRDefault="00BA0BB9" w:rsidP="00F768EA">
      <w:pPr>
        <w:spacing w:line="360" w:lineRule="auto"/>
        <w:ind w:right="96"/>
        <w:jc w:val="both"/>
        <w:rPr>
          <w:rFonts w:ascii="Palatino Linotype" w:eastAsia="Palatino Linotype" w:hAnsi="Palatino Linotype" w:cs="Palatino Linotype"/>
          <w:sz w:val="22"/>
          <w:szCs w:val="22"/>
        </w:rPr>
      </w:pPr>
      <w:r w:rsidRPr="002244D7">
        <w:rPr>
          <w:rFonts w:ascii="Palatino Linotype" w:eastAsia="Palatino Linotype" w:hAnsi="Palatino Linotype" w:cs="Palatino Linotype"/>
          <w:sz w:val="22"/>
          <w:szCs w:val="22"/>
        </w:rPr>
        <w:t>Por ello, 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Transparencia y Acceso a la Información Pública del Estado de México y Municipios en su correlación con las causales de improcedencia contempladas en la fracción VI del artículo 191 del ordenamiento legal en cita, los que se transcriben a continuación, para un mejor entendimiento:</w:t>
      </w:r>
    </w:p>
    <w:p w14:paraId="173FC608" w14:textId="77777777" w:rsidR="00C8164D" w:rsidRPr="002244D7" w:rsidRDefault="00C8164D" w:rsidP="00F768EA">
      <w:pPr>
        <w:spacing w:line="360" w:lineRule="auto"/>
        <w:ind w:right="96"/>
        <w:jc w:val="both"/>
        <w:rPr>
          <w:rFonts w:ascii="Palatino Linotype" w:eastAsia="Palatino Linotype" w:hAnsi="Palatino Linotype" w:cs="Palatino Linotype"/>
          <w:sz w:val="22"/>
          <w:szCs w:val="22"/>
        </w:rPr>
      </w:pPr>
    </w:p>
    <w:p w14:paraId="049CE6E5" w14:textId="77777777" w:rsidR="00C8164D" w:rsidRPr="002244D7" w:rsidRDefault="00BA0BB9" w:rsidP="00310808">
      <w:pPr>
        <w:tabs>
          <w:tab w:val="left" w:pos="7230"/>
        </w:tabs>
        <w:spacing w:line="276" w:lineRule="auto"/>
        <w:ind w:left="851" w:right="616"/>
        <w:jc w:val="both"/>
        <w:rPr>
          <w:rFonts w:ascii="Palatino Linotype" w:eastAsia="Palatino Linotype" w:hAnsi="Palatino Linotype" w:cs="Palatino Linotype"/>
          <w:i/>
          <w:sz w:val="22"/>
          <w:szCs w:val="22"/>
        </w:rPr>
      </w:pPr>
      <w:r w:rsidRPr="002244D7">
        <w:rPr>
          <w:rFonts w:ascii="Palatino Linotype" w:eastAsia="Palatino Linotype" w:hAnsi="Palatino Linotype" w:cs="Palatino Linotype"/>
          <w:i/>
          <w:sz w:val="22"/>
          <w:szCs w:val="22"/>
        </w:rPr>
        <w:t>“</w:t>
      </w:r>
      <w:r w:rsidRPr="002244D7">
        <w:rPr>
          <w:rFonts w:ascii="Palatino Linotype" w:eastAsia="Palatino Linotype" w:hAnsi="Palatino Linotype" w:cs="Palatino Linotype"/>
          <w:b/>
          <w:i/>
          <w:sz w:val="22"/>
          <w:szCs w:val="22"/>
        </w:rPr>
        <w:t>Artículo 191</w:t>
      </w:r>
      <w:r w:rsidRPr="002244D7">
        <w:rPr>
          <w:rFonts w:ascii="Palatino Linotype" w:eastAsia="Palatino Linotype" w:hAnsi="Palatino Linotype" w:cs="Palatino Linotype"/>
          <w:i/>
          <w:sz w:val="22"/>
          <w:szCs w:val="22"/>
        </w:rPr>
        <w:t xml:space="preserve">. </w:t>
      </w:r>
      <w:r w:rsidRPr="002244D7">
        <w:rPr>
          <w:rFonts w:ascii="Palatino Linotype" w:eastAsia="Palatino Linotype" w:hAnsi="Palatino Linotype" w:cs="Palatino Linotype"/>
          <w:b/>
          <w:i/>
          <w:sz w:val="22"/>
          <w:szCs w:val="22"/>
        </w:rPr>
        <w:t>El recurso</w:t>
      </w:r>
      <w:r w:rsidRPr="002244D7">
        <w:rPr>
          <w:rFonts w:ascii="Palatino Linotype" w:eastAsia="Palatino Linotype" w:hAnsi="Palatino Linotype" w:cs="Palatino Linotype"/>
          <w:i/>
          <w:sz w:val="22"/>
          <w:szCs w:val="22"/>
        </w:rPr>
        <w:t xml:space="preserve"> </w:t>
      </w:r>
      <w:r w:rsidRPr="002244D7">
        <w:rPr>
          <w:rFonts w:ascii="Palatino Linotype" w:eastAsia="Palatino Linotype" w:hAnsi="Palatino Linotype" w:cs="Palatino Linotype"/>
          <w:b/>
          <w:i/>
          <w:sz w:val="22"/>
          <w:szCs w:val="22"/>
        </w:rPr>
        <w:t xml:space="preserve">será </w:t>
      </w:r>
      <w:r w:rsidRPr="002244D7">
        <w:rPr>
          <w:rFonts w:ascii="Palatino Linotype" w:eastAsia="Palatino Linotype" w:hAnsi="Palatino Linotype" w:cs="Palatino Linotype"/>
          <w:i/>
          <w:sz w:val="22"/>
          <w:szCs w:val="22"/>
        </w:rPr>
        <w:t xml:space="preserve">desechado por </w:t>
      </w:r>
      <w:r w:rsidRPr="002244D7">
        <w:rPr>
          <w:rFonts w:ascii="Palatino Linotype" w:eastAsia="Palatino Linotype" w:hAnsi="Palatino Linotype" w:cs="Palatino Linotype"/>
          <w:b/>
          <w:i/>
          <w:sz w:val="22"/>
          <w:szCs w:val="22"/>
        </w:rPr>
        <w:t>improcedente cuando</w:t>
      </w:r>
      <w:r w:rsidRPr="002244D7">
        <w:rPr>
          <w:rFonts w:ascii="Palatino Linotype" w:eastAsia="Palatino Linotype" w:hAnsi="Palatino Linotype" w:cs="Palatino Linotype"/>
          <w:i/>
          <w:sz w:val="22"/>
          <w:szCs w:val="22"/>
        </w:rPr>
        <w:t>:</w:t>
      </w:r>
    </w:p>
    <w:p w14:paraId="12528555" w14:textId="77777777" w:rsidR="00C8164D" w:rsidRPr="002244D7" w:rsidRDefault="00BA0BB9" w:rsidP="00310808">
      <w:pPr>
        <w:tabs>
          <w:tab w:val="left" w:pos="7230"/>
        </w:tabs>
        <w:spacing w:line="276" w:lineRule="auto"/>
        <w:ind w:left="851" w:right="616"/>
        <w:jc w:val="both"/>
        <w:rPr>
          <w:rFonts w:ascii="Palatino Linotype" w:eastAsia="Palatino Linotype" w:hAnsi="Palatino Linotype" w:cs="Palatino Linotype"/>
          <w:i/>
          <w:sz w:val="22"/>
          <w:szCs w:val="22"/>
        </w:rPr>
      </w:pPr>
      <w:r w:rsidRPr="002244D7">
        <w:rPr>
          <w:rFonts w:ascii="Palatino Linotype" w:eastAsia="Palatino Linotype" w:hAnsi="Palatino Linotype" w:cs="Palatino Linotype"/>
          <w:i/>
          <w:sz w:val="22"/>
          <w:szCs w:val="22"/>
        </w:rPr>
        <w:t>…</w:t>
      </w:r>
    </w:p>
    <w:p w14:paraId="02D1D2D1" w14:textId="77777777" w:rsidR="00C8164D" w:rsidRPr="002244D7" w:rsidRDefault="00BA0BB9" w:rsidP="00310808">
      <w:pPr>
        <w:tabs>
          <w:tab w:val="left" w:pos="7230"/>
        </w:tabs>
        <w:spacing w:line="276" w:lineRule="auto"/>
        <w:ind w:left="851" w:right="616"/>
        <w:jc w:val="both"/>
        <w:rPr>
          <w:rFonts w:ascii="Palatino Linotype" w:eastAsia="Palatino Linotype" w:hAnsi="Palatino Linotype" w:cs="Palatino Linotype"/>
          <w:b/>
          <w:i/>
          <w:sz w:val="22"/>
          <w:szCs w:val="22"/>
        </w:rPr>
      </w:pPr>
      <w:r w:rsidRPr="002244D7">
        <w:rPr>
          <w:rFonts w:ascii="Palatino Linotype" w:eastAsia="Palatino Linotype" w:hAnsi="Palatino Linotype" w:cs="Palatino Linotype"/>
          <w:b/>
          <w:i/>
          <w:sz w:val="22"/>
          <w:szCs w:val="22"/>
        </w:rPr>
        <w:t>VI. Se trate de una consulta</w:t>
      </w:r>
      <w:r w:rsidRPr="002244D7">
        <w:rPr>
          <w:rFonts w:ascii="Palatino Linotype" w:eastAsia="Palatino Linotype" w:hAnsi="Palatino Linotype" w:cs="Palatino Linotype"/>
          <w:i/>
          <w:sz w:val="22"/>
          <w:szCs w:val="22"/>
        </w:rPr>
        <w:t>, o trámite en específico</w:t>
      </w:r>
      <w:r w:rsidRPr="002244D7">
        <w:rPr>
          <w:rFonts w:ascii="Palatino Linotype" w:eastAsia="Palatino Linotype" w:hAnsi="Palatino Linotype" w:cs="Palatino Linotype"/>
          <w:b/>
          <w:i/>
          <w:sz w:val="22"/>
          <w:szCs w:val="22"/>
        </w:rPr>
        <w:t xml:space="preserve">; </w:t>
      </w:r>
    </w:p>
    <w:p w14:paraId="46915399" w14:textId="77777777" w:rsidR="00C8164D" w:rsidRPr="002244D7" w:rsidRDefault="00BA0BB9" w:rsidP="00310808">
      <w:pPr>
        <w:tabs>
          <w:tab w:val="left" w:pos="7230"/>
        </w:tabs>
        <w:spacing w:line="276" w:lineRule="auto"/>
        <w:ind w:left="851" w:right="616"/>
        <w:jc w:val="both"/>
        <w:rPr>
          <w:rFonts w:ascii="Palatino Linotype" w:eastAsia="Palatino Linotype" w:hAnsi="Palatino Linotype" w:cs="Palatino Linotype"/>
          <w:b/>
          <w:i/>
          <w:sz w:val="22"/>
          <w:szCs w:val="22"/>
        </w:rPr>
      </w:pPr>
      <w:r w:rsidRPr="002244D7">
        <w:rPr>
          <w:rFonts w:ascii="Palatino Linotype" w:eastAsia="Palatino Linotype" w:hAnsi="Palatino Linotype" w:cs="Palatino Linotype"/>
          <w:b/>
          <w:i/>
          <w:sz w:val="22"/>
          <w:szCs w:val="22"/>
        </w:rPr>
        <w:t>…</w:t>
      </w:r>
    </w:p>
    <w:p w14:paraId="5040ECD9" w14:textId="77777777" w:rsidR="00C8164D" w:rsidRPr="002244D7" w:rsidRDefault="00BA0BB9" w:rsidP="00310808">
      <w:pPr>
        <w:tabs>
          <w:tab w:val="left" w:pos="7230"/>
        </w:tabs>
        <w:spacing w:line="276" w:lineRule="auto"/>
        <w:ind w:left="851" w:right="616"/>
        <w:jc w:val="both"/>
        <w:rPr>
          <w:rFonts w:ascii="Palatino Linotype" w:eastAsia="Palatino Linotype" w:hAnsi="Palatino Linotype" w:cs="Palatino Linotype"/>
          <w:i/>
          <w:sz w:val="22"/>
          <w:szCs w:val="22"/>
        </w:rPr>
      </w:pPr>
      <w:r w:rsidRPr="002244D7">
        <w:rPr>
          <w:rFonts w:ascii="Palatino Linotype" w:eastAsia="Palatino Linotype" w:hAnsi="Palatino Linotype" w:cs="Palatino Linotype"/>
          <w:b/>
          <w:i/>
          <w:sz w:val="22"/>
          <w:szCs w:val="22"/>
        </w:rPr>
        <w:t>Artículo 192.</w:t>
      </w:r>
      <w:r w:rsidRPr="002244D7">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65CB30A0" w14:textId="77777777" w:rsidR="00C8164D" w:rsidRPr="002244D7" w:rsidRDefault="00BA0BB9" w:rsidP="00310808">
      <w:pPr>
        <w:tabs>
          <w:tab w:val="left" w:pos="7230"/>
        </w:tabs>
        <w:spacing w:line="276" w:lineRule="auto"/>
        <w:ind w:left="851" w:right="616"/>
        <w:jc w:val="both"/>
        <w:rPr>
          <w:rFonts w:ascii="Palatino Linotype" w:eastAsia="Palatino Linotype" w:hAnsi="Palatino Linotype" w:cs="Palatino Linotype"/>
          <w:i/>
          <w:sz w:val="22"/>
          <w:szCs w:val="22"/>
        </w:rPr>
      </w:pPr>
      <w:r w:rsidRPr="002244D7">
        <w:rPr>
          <w:rFonts w:ascii="Palatino Linotype" w:eastAsia="Palatino Linotype" w:hAnsi="Palatino Linotype" w:cs="Palatino Linotype"/>
          <w:i/>
          <w:sz w:val="22"/>
          <w:szCs w:val="22"/>
        </w:rPr>
        <w:t>…</w:t>
      </w:r>
    </w:p>
    <w:p w14:paraId="3F154444" w14:textId="77777777" w:rsidR="00C8164D" w:rsidRPr="002244D7" w:rsidRDefault="00BA0BB9" w:rsidP="00310808">
      <w:pPr>
        <w:tabs>
          <w:tab w:val="left" w:pos="7230"/>
        </w:tabs>
        <w:spacing w:line="276" w:lineRule="auto"/>
        <w:ind w:left="851" w:right="616"/>
        <w:jc w:val="both"/>
        <w:rPr>
          <w:rFonts w:ascii="Palatino Linotype" w:eastAsia="Palatino Linotype" w:hAnsi="Palatino Linotype" w:cs="Palatino Linotype"/>
          <w:i/>
          <w:sz w:val="22"/>
          <w:szCs w:val="22"/>
        </w:rPr>
      </w:pPr>
      <w:r w:rsidRPr="002244D7">
        <w:rPr>
          <w:rFonts w:ascii="Palatino Linotype" w:eastAsia="Palatino Linotype" w:hAnsi="Palatino Linotype" w:cs="Palatino Linotype"/>
          <w:b/>
          <w:i/>
          <w:sz w:val="22"/>
          <w:szCs w:val="22"/>
        </w:rPr>
        <w:t>IV</w:t>
      </w:r>
      <w:r w:rsidRPr="002244D7">
        <w:rPr>
          <w:rFonts w:ascii="Palatino Linotype" w:eastAsia="Palatino Linotype" w:hAnsi="Palatino Linotype" w:cs="Palatino Linotype"/>
          <w:i/>
          <w:sz w:val="22"/>
          <w:szCs w:val="22"/>
        </w:rPr>
        <w:t xml:space="preserve">. Admitido el recurso de revisión, </w:t>
      </w:r>
      <w:r w:rsidRPr="002244D7">
        <w:rPr>
          <w:rFonts w:ascii="Palatino Linotype" w:eastAsia="Palatino Linotype" w:hAnsi="Palatino Linotype" w:cs="Palatino Linotype"/>
          <w:b/>
          <w:i/>
          <w:sz w:val="22"/>
          <w:szCs w:val="22"/>
        </w:rPr>
        <w:t>aparezca alguna causal de improcedencia</w:t>
      </w:r>
      <w:r w:rsidRPr="002244D7">
        <w:rPr>
          <w:rFonts w:ascii="Palatino Linotype" w:eastAsia="Palatino Linotype" w:hAnsi="Palatino Linotype" w:cs="Palatino Linotype"/>
          <w:i/>
          <w:sz w:val="22"/>
          <w:szCs w:val="22"/>
        </w:rPr>
        <w:t xml:space="preserve"> en los términos de la presente Ley. “</w:t>
      </w:r>
    </w:p>
    <w:p w14:paraId="2DE8ABE3" w14:textId="77777777" w:rsidR="00C8164D" w:rsidRPr="002244D7" w:rsidRDefault="00C8164D" w:rsidP="00F768EA">
      <w:pPr>
        <w:tabs>
          <w:tab w:val="left" w:pos="7938"/>
        </w:tabs>
        <w:spacing w:line="360" w:lineRule="auto"/>
        <w:ind w:left="567" w:right="902"/>
        <w:jc w:val="both"/>
        <w:rPr>
          <w:rFonts w:ascii="Palatino Linotype" w:eastAsia="Palatino Linotype" w:hAnsi="Palatino Linotype" w:cs="Palatino Linotype"/>
          <w:i/>
          <w:sz w:val="22"/>
          <w:szCs w:val="22"/>
        </w:rPr>
      </w:pPr>
    </w:p>
    <w:p w14:paraId="5216EC5F" w14:textId="77777777" w:rsidR="00C8164D" w:rsidRPr="002244D7" w:rsidRDefault="00BA0BB9" w:rsidP="00F768EA">
      <w:pPr>
        <w:spacing w:line="360" w:lineRule="auto"/>
        <w:jc w:val="both"/>
        <w:rPr>
          <w:rFonts w:ascii="Palatino Linotype" w:eastAsia="Palatino Linotype" w:hAnsi="Palatino Linotype" w:cs="Palatino Linotype"/>
          <w:sz w:val="22"/>
          <w:szCs w:val="22"/>
        </w:rPr>
      </w:pPr>
      <w:r w:rsidRPr="002244D7">
        <w:rPr>
          <w:rFonts w:ascii="Palatino Linotype" w:eastAsia="Palatino Linotype" w:hAnsi="Palatino Linotype" w:cs="Palatino Linotype"/>
          <w:sz w:val="22"/>
          <w:szCs w:val="22"/>
        </w:rPr>
        <w:t xml:space="preserve">Siendo el </w:t>
      </w:r>
      <w:r w:rsidRPr="002244D7">
        <w:rPr>
          <w:rFonts w:ascii="Palatino Linotype" w:eastAsia="Palatino Linotype" w:hAnsi="Palatino Linotype" w:cs="Palatino Linotype"/>
          <w:b/>
          <w:i/>
          <w:sz w:val="22"/>
          <w:szCs w:val="22"/>
        </w:rPr>
        <w:t>sobreseimiento</w:t>
      </w:r>
      <w:r w:rsidRPr="002244D7">
        <w:rPr>
          <w:rFonts w:ascii="Palatino Linotype" w:eastAsia="Palatino Linotype" w:hAnsi="Palatino Linotype" w:cs="Palatino Linotype"/>
          <w:b/>
          <w:sz w:val="22"/>
          <w:szCs w:val="22"/>
        </w:rPr>
        <w:t xml:space="preserve"> </w:t>
      </w:r>
      <w:r w:rsidRPr="002244D7">
        <w:rPr>
          <w:rFonts w:ascii="Palatino Linotype" w:eastAsia="Palatino Linotype" w:hAnsi="Palatino Linotype" w:cs="Palatino Linotype"/>
          <w:sz w:val="22"/>
          <w:szCs w:val="22"/>
        </w:rPr>
        <w:t>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5476C83C" w14:textId="77777777" w:rsidR="00C8164D" w:rsidRPr="002244D7" w:rsidRDefault="00C8164D" w:rsidP="00F768EA">
      <w:pPr>
        <w:spacing w:line="360" w:lineRule="auto"/>
        <w:jc w:val="both"/>
        <w:rPr>
          <w:rFonts w:ascii="Palatino Linotype" w:eastAsia="Palatino Linotype" w:hAnsi="Palatino Linotype" w:cs="Palatino Linotype"/>
          <w:sz w:val="22"/>
          <w:szCs w:val="22"/>
        </w:rPr>
      </w:pPr>
    </w:p>
    <w:p w14:paraId="6BEC89D3" w14:textId="77777777" w:rsidR="00C8164D" w:rsidRPr="002244D7" w:rsidRDefault="00BA0BB9" w:rsidP="00310808">
      <w:pPr>
        <w:spacing w:line="276" w:lineRule="auto"/>
        <w:ind w:left="851" w:right="616"/>
        <w:jc w:val="both"/>
        <w:rPr>
          <w:rFonts w:ascii="Palatino Linotype" w:eastAsia="Palatino Linotype" w:hAnsi="Palatino Linotype" w:cs="Palatino Linotype"/>
          <w:b/>
          <w:i/>
          <w:sz w:val="22"/>
          <w:szCs w:val="22"/>
        </w:rPr>
      </w:pPr>
      <w:r w:rsidRPr="002244D7">
        <w:rPr>
          <w:rFonts w:ascii="Palatino Linotype" w:eastAsia="Palatino Linotype" w:hAnsi="Palatino Linotype" w:cs="Palatino Linotype"/>
          <w:i/>
          <w:sz w:val="22"/>
          <w:szCs w:val="22"/>
        </w:rPr>
        <w:t>“</w:t>
      </w:r>
      <w:r w:rsidRPr="002244D7">
        <w:rPr>
          <w:rFonts w:ascii="Palatino Linotype" w:eastAsia="Palatino Linotype" w:hAnsi="Palatino Linotype" w:cs="Palatino Linotype"/>
          <w:b/>
          <w:i/>
          <w:sz w:val="22"/>
          <w:szCs w:val="22"/>
        </w:rPr>
        <w:t xml:space="preserve">SOBRESEIMIENTO, NO PERMITE ENTRAR AL ESTUDIO DE LAS CUESTIONES DE FONDO. </w:t>
      </w:r>
      <w:r w:rsidRPr="002244D7">
        <w:rPr>
          <w:rFonts w:ascii="Palatino Linotype" w:eastAsia="Palatino Linotype" w:hAnsi="Palatino Linotype" w:cs="Palatino Linotype"/>
          <w:i/>
          <w:sz w:val="22"/>
          <w:szCs w:val="22"/>
        </w:rPr>
        <w:t xml:space="preserve">No causa agravio la sentencia que no se ocupa de los razonamientos tendientes a demostrar la inconstitucionalidad de los actos reclamados de las autoridades responsables, que constituyen el problema de fondo, si se decreta el sobreseimiento del juicio.” </w:t>
      </w:r>
    </w:p>
    <w:p w14:paraId="6C70504C" w14:textId="77777777" w:rsidR="00C8164D" w:rsidRPr="002244D7" w:rsidRDefault="00C8164D" w:rsidP="00F768EA">
      <w:pPr>
        <w:spacing w:line="360" w:lineRule="auto"/>
        <w:jc w:val="both"/>
        <w:rPr>
          <w:rFonts w:ascii="Palatino Linotype" w:eastAsia="Palatino Linotype" w:hAnsi="Palatino Linotype" w:cs="Palatino Linotype"/>
          <w:sz w:val="22"/>
          <w:szCs w:val="22"/>
        </w:rPr>
      </w:pPr>
    </w:p>
    <w:p w14:paraId="2BC55C23" w14:textId="77777777" w:rsidR="00C8164D" w:rsidRPr="002244D7" w:rsidRDefault="00BA0BB9" w:rsidP="00F768EA">
      <w:pPr>
        <w:spacing w:line="360" w:lineRule="auto"/>
        <w:jc w:val="both"/>
        <w:rPr>
          <w:rFonts w:ascii="Palatino Linotype" w:eastAsia="Palatino Linotype" w:hAnsi="Palatino Linotype" w:cs="Palatino Linotype"/>
          <w:sz w:val="22"/>
          <w:szCs w:val="22"/>
        </w:rPr>
      </w:pPr>
      <w:r w:rsidRPr="002244D7">
        <w:rPr>
          <w:rFonts w:ascii="Palatino Linotype" w:eastAsia="Palatino Linotype" w:hAnsi="Palatino Linotype" w:cs="Palatino Linotype"/>
          <w:sz w:val="22"/>
          <w:szCs w:val="22"/>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4D6C6D2D" w14:textId="77777777" w:rsidR="00C8164D" w:rsidRPr="002244D7" w:rsidRDefault="00C8164D" w:rsidP="00F768EA">
      <w:pPr>
        <w:spacing w:line="360" w:lineRule="auto"/>
        <w:jc w:val="both"/>
        <w:rPr>
          <w:rFonts w:ascii="Palatino Linotype" w:eastAsia="Palatino Linotype" w:hAnsi="Palatino Linotype" w:cs="Palatino Linotype"/>
          <w:sz w:val="22"/>
          <w:szCs w:val="22"/>
        </w:rPr>
      </w:pPr>
    </w:p>
    <w:p w14:paraId="53A5359B" w14:textId="77777777" w:rsidR="00C8164D" w:rsidRPr="002244D7" w:rsidRDefault="00BA0BB9" w:rsidP="00310808">
      <w:pPr>
        <w:spacing w:line="276" w:lineRule="auto"/>
        <w:ind w:left="851" w:right="567"/>
        <w:jc w:val="both"/>
        <w:rPr>
          <w:rFonts w:ascii="Palatino Linotype" w:eastAsia="Palatino Linotype" w:hAnsi="Palatino Linotype" w:cs="Palatino Linotype"/>
          <w:b/>
          <w:i/>
          <w:sz w:val="22"/>
          <w:szCs w:val="22"/>
        </w:rPr>
      </w:pPr>
      <w:r w:rsidRPr="002244D7">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r w:rsidRPr="002244D7">
        <w:rPr>
          <w:rFonts w:ascii="Palatino Linotype" w:eastAsia="Palatino Linotype" w:hAnsi="Palatino Linotype" w:cs="Palatino Linotype"/>
          <w:i/>
          <w:sz w:val="22"/>
          <w:szCs w:val="22"/>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0406687C" w14:textId="77777777" w:rsidR="00C8164D" w:rsidRPr="002244D7" w:rsidRDefault="00C8164D" w:rsidP="00F768EA">
      <w:pPr>
        <w:spacing w:line="360" w:lineRule="auto"/>
        <w:jc w:val="both"/>
        <w:rPr>
          <w:rFonts w:ascii="Palatino Linotype" w:eastAsia="Palatino Linotype" w:hAnsi="Palatino Linotype" w:cs="Palatino Linotype"/>
          <w:sz w:val="22"/>
          <w:szCs w:val="22"/>
        </w:rPr>
      </w:pPr>
    </w:p>
    <w:p w14:paraId="260D69A8" w14:textId="5FB40C8B" w:rsidR="00C8164D" w:rsidRPr="002244D7" w:rsidRDefault="00BA0BB9" w:rsidP="00F768EA">
      <w:pPr>
        <w:spacing w:line="360" w:lineRule="auto"/>
        <w:ind w:right="49"/>
        <w:jc w:val="both"/>
        <w:rPr>
          <w:rFonts w:ascii="Palatino Linotype" w:eastAsia="Palatino Linotype" w:hAnsi="Palatino Linotype" w:cs="Palatino Linotype"/>
          <w:sz w:val="22"/>
          <w:szCs w:val="22"/>
        </w:rPr>
      </w:pPr>
      <w:r w:rsidRPr="002244D7">
        <w:rPr>
          <w:rFonts w:ascii="Palatino Linotype" w:eastAsia="Palatino Linotype" w:hAnsi="Palatino Linotype" w:cs="Palatino Linotype"/>
          <w:sz w:val="22"/>
          <w:szCs w:val="22"/>
        </w:rPr>
        <w:t xml:space="preserve">Así, con fundamento en lo prescrito en los artículos 5, párrafos </w:t>
      </w:r>
      <w:r w:rsidR="009350DF" w:rsidRPr="002244D7">
        <w:rPr>
          <w:rFonts w:ascii="Palatino Linotype" w:eastAsia="Palatino Linotype" w:hAnsi="Palatino Linotype" w:cs="Palatino Linotype"/>
          <w:sz w:val="22"/>
          <w:szCs w:val="22"/>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2244D7">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6B9B29EB" w14:textId="77777777" w:rsidR="00C8164D" w:rsidRPr="002244D7" w:rsidRDefault="00C8164D" w:rsidP="00F768EA">
      <w:pPr>
        <w:spacing w:line="360" w:lineRule="auto"/>
        <w:ind w:right="49"/>
        <w:jc w:val="both"/>
        <w:rPr>
          <w:rFonts w:ascii="Palatino Linotype" w:eastAsia="Palatino Linotype" w:hAnsi="Palatino Linotype" w:cs="Palatino Linotype"/>
          <w:sz w:val="22"/>
          <w:szCs w:val="22"/>
        </w:rPr>
      </w:pPr>
    </w:p>
    <w:p w14:paraId="718829AE" w14:textId="77777777" w:rsidR="00C8164D" w:rsidRPr="002244D7" w:rsidRDefault="00BA0BB9" w:rsidP="00F768EA">
      <w:pPr>
        <w:spacing w:line="360" w:lineRule="auto"/>
        <w:ind w:left="360"/>
        <w:jc w:val="center"/>
        <w:rPr>
          <w:rFonts w:ascii="Palatino Linotype" w:eastAsia="Palatino Linotype" w:hAnsi="Palatino Linotype" w:cs="Palatino Linotype"/>
          <w:b/>
          <w:sz w:val="22"/>
          <w:szCs w:val="22"/>
        </w:rPr>
      </w:pPr>
      <w:r w:rsidRPr="002244D7">
        <w:rPr>
          <w:rFonts w:ascii="Palatino Linotype" w:eastAsia="Palatino Linotype" w:hAnsi="Palatino Linotype" w:cs="Palatino Linotype"/>
          <w:b/>
          <w:sz w:val="22"/>
          <w:szCs w:val="22"/>
        </w:rPr>
        <w:t>III. R E S U E L V E:</w:t>
      </w:r>
    </w:p>
    <w:p w14:paraId="0FB3F92A" w14:textId="77777777" w:rsidR="00C8164D" w:rsidRPr="002244D7" w:rsidRDefault="00C8164D" w:rsidP="00F768EA">
      <w:pPr>
        <w:spacing w:line="360" w:lineRule="auto"/>
        <w:ind w:left="360"/>
        <w:jc w:val="center"/>
        <w:rPr>
          <w:rFonts w:ascii="Palatino Linotype" w:eastAsia="Palatino Linotype" w:hAnsi="Palatino Linotype" w:cs="Palatino Linotype"/>
          <w:b/>
          <w:sz w:val="22"/>
          <w:szCs w:val="22"/>
        </w:rPr>
      </w:pPr>
    </w:p>
    <w:p w14:paraId="066A8AF7" w14:textId="4133A9C2" w:rsidR="00C8164D" w:rsidRPr="002244D7" w:rsidRDefault="00BA0BB9" w:rsidP="00F768EA">
      <w:pPr>
        <w:spacing w:line="360" w:lineRule="auto"/>
        <w:jc w:val="both"/>
        <w:rPr>
          <w:rFonts w:ascii="Palatino Linotype" w:eastAsia="Palatino Linotype" w:hAnsi="Palatino Linotype" w:cs="Palatino Linotype"/>
          <w:sz w:val="22"/>
          <w:szCs w:val="22"/>
        </w:rPr>
      </w:pPr>
      <w:r w:rsidRPr="002244D7">
        <w:rPr>
          <w:rFonts w:ascii="Palatino Linotype" w:eastAsia="Palatino Linotype" w:hAnsi="Palatino Linotype" w:cs="Palatino Linotype"/>
          <w:b/>
          <w:sz w:val="22"/>
          <w:szCs w:val="22"/>
        </w:rPr>
        <w:t>Primero.</w:t>
      </w:r>
      <w:r w:rsidRPr="002244D7">
        <w:rPr>
          <w:rFonts w:ascii="Palatino Linotype" w:eastAsia="Palatino Linotype" w:hAnsi="Palatino Linotype" w:cs="Palatino Linotype"/>
          <w:sz w:val="22"/>
          <w:szCs w:val="22"/>
        </w:rPr>
        <w:t xml:space="preserve"> Se </w:t>
      </w:r>
      <w:r w:rsidR="00310808" w:rsidRPr="002244D7">
        <w:rPr>
          <w:rFonts w:ascii="Palatino Linotype" w:eastAsia="Palatino Linotype" w:hAnsi="Palatino Linotype" w:cs="Palatino Linotype"/>
          <w:b/>
          <w:sz w:val="22"/>
          <w:szCs w:val="22"/>
        </w:rPr>
        <w:t>Sobresee</w:t>
      </w:r>
      <w:r w:rsidR="00310808" w:rsidRPr="002244D7">
        <w:rPr>
          <w:rFonts w:ascii="Palatino Linotype" w:eastAsia="Palatino Linotype" w:hAnsi="Palatino Linotype" w:cs="Palatino Linotype"/>
          <w:sz w:val="22"/>
          <w:szCs w:val="22"/>
        </w:rPr>
        <w:t xml:space="preserve"> </w:t>
      </w:r>
      <w:r w:rsidRPr="002244D7">
        <w:rPr>
          <w:rFonts w:ascii="Palatino Linotype" w:eastAsia="Palatino Linotype" w:hAnsi="Palatino Linotype" w:cs="Palatino Linotype"/>
          <w:sz w:val="22"/>
          <w:szCs w:val="22"/>
        </w:rPr>
        <w:t xml:space="preserve">el Recurso de Revisión número </w:t>
      </w:r>
      <w:r w:rsidR="009350DF" w:rsidRPr="002244D7">
        <w:rPr>
          <w:rFonts w:ascii="Palatino Linotype" w:eastAsia="Palatino Linotype" w:hAnsi="Palatino Linotype" w:cs="Palatino Linotype"/>
          <w:b/>
          <w:sz w:val="22"/>
          <w:szCs w:val="22"/>
        </w:rPr>
        <w:t>13174</w:t>
      </w:r>
      <w:r w:rsidRPr="002244D7">
        <w:rPr>
          <w:rFonts w:ascii="Palatino Linotype" w:eastAsia="Palatino Linotype" w:hAnsi="Palatino Linotype" w:cs="Palatino Linotype"/>
          <w:b/>
          <w:sz w:val="22"/>
          <w:szCs w:val="22"/>
        </w:rPr>
        <w:t>/INFOEM/IP/RR/2025</w:t>
      </w:r>
      <w:r w:rsidRPr="002244D7">
        <w:rPr>
          <w:rFonts w:ascii="Palatino Linotype" w:eastAsia="Palatino Linotype" w:hAnsi="Palatino Linotype" w:cs="Palatino Linotype"/>
          <w:sz w:val="22"/>
          <w:szCs w:val="22"/>
        </w:rPr>
        <w:t xml:space="preserve">, por actualizarse la causal de improcedencia prevista en la fracción IV del artículo 192, en relación con la fracción VI del artículo 191, ambos de la Ley de Transparencia vigente en la entidad, en términos del Considerando </w:t>
      </w:r>
      <w:r w:rsidR="00310808" w:rsidRPr="002244D7">
        <w:rPr>
          <w:rFonts w:ascii="Palatino Linotype" w:eastAsia="Palatino Linotype" w:hAnsi="Palatino Linotype" w:cs="Palatino Linotype"/>
          <w:b/>
          <w:sz w:val="22"/>
          <w:szCs w:val="22"/>
        </w:rPr>
        <w:t>Tercero</w:t>
      </w:r>
      <w:r w:rsidR="00310808" w:rsidRPr="002244D7">
        <w:rPr>
          <w:rFonts w:ascii="Palatino Linotype" w:eastAsia="Palatino Linotype" w:hAnsi="Palatino Linotype" w:cs="Palatino Linotype"/>
          <w:sz w:val="22"/>
          <w:szCs w:val="22"/>
        </w:rPr>
        <w:t xml:space="preserve"> </w:t>
      </w:r>
      <w:r w:rsidRPr="002244D7">
        <w:rPr>
          <w:rFonts w:ascii="Palatino Linotype" w:eastAsia="Palatino Linotype" w:hAnsi="Palatino Linotype" w:cs="Palatino Linotype"/>
          <w:sz w:val="22"/>
          <w:szCs w:val="22"/>
        </w:rPr>
        <w:t>de la presente resolución.</w:t>
      </w:r>
    </w:p>
    <w:p w14:paraId="4061DCE1" w14:textId="77777777" w:rsidR="00C8164D" w:rsidRPr="002244D7" w:rsidRDefault="00C8164D" w:rsidP="00F768EA">
      <w:pPr>
        <w:spacing w:line="360" w:lineRule="auto"/>
        <w:jc w:val="both"/>
        <w:rPr>
          <w:rFonts w:ascii="Palatino Linotype" w:eastAsia="Palatino Linotype" w:hAnsi="Palatino Linotype" w:cs="Palatino Linotype"/>
          <w:sz w:val="22"/>
          <w:szCs w:val="22"/>
        </w:rPr>
      </w:pPr>
    </w:p>
    <w:p w14:paraId="05637198" w14:textId="4DDF42A0" w:rsidR="00C8164D" w:rsidRPr="002244D7" w:rsidRDefault="00BA0BB9" w:rsidP="00F768EA">
      <w:pPr>
        <w:spacing w:line="360" w:lineRule="auto"/>
        <w:jc w:val="both"/>
        <w:rPr>
          <w:rFonts w:ascii="Palatino Linotype" w:eastAsia="Palatino Linotype" w:hAnsi="Palatino Linotype" w:cs="Palatino Linotype"/>
          <w:b/>
          <w:sz w:val="22"/>
          <w:szCs w:val="22"/>
        </w:rPr>
      </w:pPr>
      <w:r w:rsidRPr="002244D7">
        <w:rPr>
          <w:rFonts w:ascii="Palatino Linotype" w:eastAsia="Palatino Linotype" w:hAnsi="Palatino Linotype" w:cs="Palatino Linotype"/>
          <w:b/>
          <w:sz w:val="22"/>
          <w:szCs w:val="22"/>
        </w:rPr>
        <w:t xml:space="preserve">Segundo. Notifíquese </w:t>
      </w:r>
      <w:r w:rsidRPr="002244D7">
        <w:rPr>
          <w:rFonts w:ascii="Palatino Linotype" w:eastAsia="Palatino Linotype" w:hAnsi="Palatino Linotype" w:cs="Palatino Linotype"/>
          <w:bCs/>
          <w:sz w:val="22"/>
          <w:szCs w:val="22"/>
        </w:rPr>
        <w:t xml:space="preserve">vía </w:t>
      </w:r>
      <w:r w:rsidRPr="002244D7">
        <w:rPr>
          <w:rFonts w:ascii="Palatino Linotype" w:eastAsia="Palatino Linotype" w:hAnsi="Palatino Linotype" w:cs="Palatino Linotype"/>
          <w:b/>
          <w:sz w:val="22"/>
          <w:szCs w:val="22"/>
        </w:rPr>
        <w:t>SAIMEX</w:t>
      </w:r>
      <w:r w:rsidRPr="002244D7">
        <w:rPr>
          <w:rFonts w:ascii="Palatino Linotype" w:eastAsia="Palatino Linotype" w:hAnsi="Palatino Linotype" w:cs="Palatino Linotype"/>
          <w:sz w:val="22"/>
          <w:szCs w:val="22"/>
        </w:rPr>
        <w:t>,</w:t>
      </w:r>
      <w:r w:rsidRPr="002244D7">
        <w:rPr>
          <w:rFonts w:ascii="Palatino Linotype" w:eastAsia="Palatino Linotype" w:hAnsi="Palatino Linotype" w:cs="Palatino Linotype"/>
          <w:b/>
          <w:sz w:val="22"/>
          <w:szCs w:val="22"/>
        </w:rPr>
        <w:t xml:space="preserve"> </w:t>
      </w:r>
      <w:r w:rsidRPr="002244D7">
        <w:rPr>
          <w:rFonts w:ascii="Palatino Linotype" w:eastAsia="Palatino Linotype" w:hAnsi="Palatino Linotype" w:cs="Palatino Linotype"/>
          <w:sz w:val="22"/>
          <w:szCs w:val="22"/>
        </w:rPr>
        <w:t>al Responsable de la Unidad de Transparencia del</w:t>
      </w:r>
      <w:r w:rsidRPr="002244D7">
        <w:rPr>
          <w:rFonts w:ascii="Palatino Linotype" w:eastAsia="Palatino Linotype" w:hAnsi="Palatino Linotype" w:cs="Palatino Linotype"/>
          <w:b/>
          <w:sz w:val="22"/>
          <w:szCs w:val="22"/>
        </w:rPr>
        <w:t xml:space="preserve"> </w:t>
      </w:r>
      <w:r w:rsidR="00310808" w:rsidRPr="002244D7">
        <w:rPr>
          <w:rFonts w:ascii="Palatino Linotype" w:eastAsia="Palatino Linotype" w:hAnsi="Palatino Linotype" w:cs="Palatino Linotype"/>
          <w:b/>
          <w:sz w:val="22"/>
          <w:szCs w:val="22"/>
        </w:rPr>
        <w:t xml:space="preserve">Sujeto Obligado </w:t>
      </w:r>
      <w:r w:rsidRPr="002244D7">
        <w:rPr>
          <w:rFonts w:ascii="Palatino Linotype" w:eastAsia="Palatino Linotype" w:hAnsi="Palatino Linotype" w:cs="Palatino Linotype"/>
          <w:sz w:val="22"/>
          <w:szCs w:val="22"/>
        </w:rPr>
        <w:t>la presente resolución, para su conocimiento, lo anterior en términos del artículo 189 de la Ley de Transparencia y Acceso a la Información Pública del Estado de México y Municipios.</w:t>
      </w:r>
    </w:p>
    <w:p w14:paraId="53097D21" w14:textId="77777777" w:rsidR="00C8164D" w:rsidRPr="002244D7" w:rsidRDefault="00C8164D" w:rsidP="00F768EA">
      <w:pPr>
        <w:spacing w:line="360" w:lineRule="auto"/>
        <w:jc w:val="both"/>
        <w:rPr>
          <w:rFonts w:ascii="Palatino Linotype" w:eastAsia="Palatino Linotype" w:hAnsi="Palatino Linotype" w:cs="Palatino Linotype"/>
          <w:sz w:val="22"/>
          <w:szCs w:val="22"/>
        </w:rPr>
      </w:pPr>
    </w:p>
    <w:p w14:paraId="2E123B93" w14:textId="281BC31F" w:rsidR="00C8164D" w:rsidRPr="002244D7" w:rsidRDefault="00BA0BB9" w:rsidP="00F768EA">
      <w:pPr>
        <w:spacing w:line="360" w:lineRule="auto"/>
        <w:jc w:val="both"/>
        <w:rPr>
          <w:rFonts w:ascii="Palatino Linotype" w:eastAsia="Palatino Linotype" w:hAnsi="Palatino Linotype" w:cs="Palatino Linotype"/>
          <w:sz w:val="22"/>
          <w:szCs w:val="22"/>
        </w:rPr>
      </w:pPr>
      <w:r w:rsidRPr="002244D7">
        <w:rPr>
          <w:rFonts w:ascii="Palatino Linotype" w:eastAsia="Palatino Linotype" w:hAnsi="Palatino Linotype" w:cs="Palatino Linotype"/>
          <w:b/>
          <w:sz w:val="22"/>
          <w:szCs w:val="22"/>
        </w:rPr>
        <w:t xml:space="preserve">Tercero.  Notifíquese </w:t>
      </w:r>
      <w:r w:rsidRPr="002244D7">
        <w:rPr>
          <w:rFonts w:ascii="Palatino Linotype" w:eastAsia="Palatino Linotype" w:hAnsi="Palatino Linotype" w:cs="Palatino Linotype"/>
          <w:bCs/>
          <w:sz w:val="22"/>
          <w:szCs w:val="22"/>
        </w:rPr>
        <w:t>vía</w:t>
      </w:r>
      <w:r w:rsidRPr="002244D7">
        <w:rPr>
          <w:rFonts w:ascii="Palatino Linotype" w:eastAsia="Palatino Linotype" w:hAnsi="Palatino Linotype" w:cs="Palatino Linotype"/>
          <w:b/>
          <w:sz w:val="22"/>
          <w:szCs w:val="22"/>
        </w:rPr>
        <w:t xml:space="preserve"> SAIMEX, </w:t>
      </w:r>
      <w:r w:rsidRPr="002244D7">
        <w:rPr>
          <w:rFonts w:ascii="Palatino Linotype" w:eastAsia="Palatino Linotype" w:hAnsi="Palatino Linotype" w:cs="Palatino Linotype"/>
          <w:sz w:val="22"/>
          <w:szCs w:val="22"/>
        </w:rPr>
        <w:t xml:space="preserve">la presente resolución al </w:t>
      </w:r>
      <w:r w:rsidR="00310808" w:rsidRPr="002244D7">
        <w:rPr>
          <w:rFonts w:ascii="Palatino Linotype" w:eastAsia="Palatino Linotype" w:hAnsi="Palatino Linotype" w:cs="Palatino Linotype"/>
          <w:b/>
          <w:sz w:val="22"/>
          <w:szCs w:val="22"/>
        </w:rPr>
        <w:t>Recurrente</w:t>
      </w:r>
      <w:r w:rsidRPr="002244D7">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con lo estipulado por el artículo 196 de la Ley de Transparencia y Acceso a la Información Pública del Estado de México y Municipios.</w:t>
      </w:r>
    </w:p>
    <w:p w14:paraId="0C842F0D" w14:textId="77777777" w:rsidR="00C8164D" w:rsidRPr="002244D7" w:rsidRDefault="00C8164D" w:rsidP="00F768EA">
      <w:pPr>
        <w:spacing w:line="360" w:lineRule="auto"/>
        <w:jc w:val="both"/>
        <w:rPr>
          <w:rFonts w:ascii="Palatino Linotype" w:eastAsia="Palatino Linotype" w:hAnsi="Palatino Linotype" w:cs="Palatino Linotype"/>
          <w:sz w:val="22"/>
          <w:szCs w:val="22"/>
        </w:rPr>
      </w:pPr>
    </w:p>
    <w:p w14:paraId="497E72FC" w14:textId="3E153D9C" w:rsidR="00C8164D" w:rsidRPr="00953357" w:rsidRDefault="00BA0BB9" w:rsidP="00F768EA">
      <w:pPr>
        <w:spacing w:line="360" w:lineRule="auto"/>
        <w:jc w:val="both"/>
        <w:rPr>
          <w:rFonts w:ascii="Palatino Linotype" w:eastAsia="Palatino Linotype" w:hAnsi="Palatino Linotype" w:cs="Palatino Linotype"/>
          <w:sz w:val="22"/>
          <w:szCs w:val="22"/>
        </w:rPr>
      </w:pPr>
      <w:bookmarkStart w:id="7" w:name="_heading=h.cqb02l3lj1t4" w:colFirst="0" w:colLast="0"/>
      <w:bookmarkEnd w:id="7"/>
      <w:r w:rsidRPr="002244D7">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917E89" w:rsidRPr="002244D7">
        <w:rPr>
          <w:rFonts w:ascii="Palatino Linotype" w:eastAsia="Palatino Linotype" w:hAnsi="Palatino Linotype" w:cs="Palatino Linotype"/>
          <w:sz w:val="22"/>
          <w:szCs w:val="22"/>
        </w:rPr>
        <w:t>, EMITIENDO VOTO PARRICULAR</w:t>
      </w:r>
      <w:r w:rsidRPr="002244D7">
        <w:rPr>
          <w:rFonts w:ascii="Palatino Linotype" w:eastAsia="Palatino Linotype" w:hAnsi="Palatino Linotype" w:cs="Palatino Linotype"/>
          <w:sz w:val="22"/>
          <w:szCs w:val="22"/>
        </w:rPr>
        <w:t xml:space="preserve">; Y GUADALUPE RAMÍREZ PEÑA; EN LA </w:t>
      </w:r>
      <w:r w:rsidR="009350DF" w:rsidRPr="002244D7">
        <w:rPr>
          <w:rFonts w:ascii="Palatino Linotype" w:eastAsia="Palatino Linotype" w:hAnsi="Palatino Linotype" w:cs="Palatino Linotype"/>
          <w:sz w:val="22"/>
          <w:szCs w:val="22"/>
        </w:rPr>
        <w:t>CUARTA</w:t>
      </w:r>
      <w:r w:rsidR="00917E89" w:rsidRPr="002244D7">
        <w:rPr>
          <w:rFonts w:ascii="Palatino Linotype" w:eastAsia="Palatino Linotype" w:hAnsi="Palatino Linotype" w:cs="Palatino Linotype"/>
          <w:sz w:val="22"/>
          <w:szCs w:val="22"/>
        </w:rPr>
        <w:t xml:space="preserve"> </w:t>
      </w:r>
      <w:r w:rsidRPr="002244D7">
        <w:rPr>
          <w:rFonts w:ascii="Palatino Linotype" w:eastAsia="Palatino Linotype" w:hAnsi="Palatino Linotype" w:cs="Palatino Linotype"/>
          <w:sz w:val="22"/>
          <w:szCs w:val="22"/>
        </w:rPr>
        <w:t xml:space="preserve">SESIÓN ORDINARIA, CELEBRADA EL </w:t>
      </w:r>
      <w:r w:rsidR="009350DF" w:rsidRPr="002244D7">
        <w:rPr>
          <w:rFonts w:ascii="Palatino Linotype" w:eastAsia="Palatino Linotype" w:hAnsi="Palatino Linotype" w:cs="Palatino Linotype"/>
          <w:sz w:val="22"/>
          <w:szCs w:val="22"/>
        </w:rPr>
        <w:t>CINCO DE FEBRERO DE DOS MIL VEINTISÉIS</w:t>
      </w:r>
      <w:r w:rsidRPr="002244D7">
        <w:rPr>
          <w:rFonts w:ascii="Palatino Linotype" w:eastAsia="Palatino Linotype" w:hAnsi="Palatino Linotype" w:cs="Palatino Linotype"/>
          <w:sz w:val="22"/>
          <w:szCs w:val="22"/>
        </w:rPr>
        <w:t>, ANTE EL SECRETARIO TÉCNICO DEL PLENO ALEXIS TAPIA RAMÍREZ.</w:t>
      </w:r>
      <w:r w:rsidRPr="00953357">
        <w:rPr>
          <w:rFonts w:ascii="Palatino Linotype" w:eastAsia="Palatino Linotype" w:hAnsi="Palatino Linotype" w:cs="Palatino Linotype"/>
          <w:sz w:val="22"/>
          <w:szCs w:val="22"/>
        </w:rPr>
        <w:t xml:space="preserve"> </w:t>
      </w:r>
    </w:p>
    <w:p w14:paraId="130E12DA" w14:textId="77777777" w:rsidR="00C8164D" w:rsidRPr="00953357" w:rsidRDefault="00C8164D" w:rsidP="00F768EA">
      <w:pPr>
        <w:rPr>
          <w:rFonts w:ascii="Palatino Linotype" w:eastAsia="Palatino Linotype" w:hAnsi="Palatino Linotype" w:cs="Palatino Linotype"/>
          <w:sz w:val="22"/>
          <w:szCs w:val="22"/>
        </w:rPr>
      </w:pPr>
    </w:p>
    <w:p w14:paraId="1DF5FEDA" w14:textId="77777777" w:rsidR="00C8164D" w:rsidRPr="00953357" w:rsidRDefault="00C8164D" w:rsidP="00F768EA">
      <w:pPr>
        <w:rPr>
          <w:rFonts w:ascii="Palatino Linotype" w:eastAsia="Palatino Linotype" w:hAnsi="Palatino Linotype" w:cs="Palatino Linotype"/>
          <w:sz w:val="22"/>
          <w:szCs w:val="22"/>
        </w:rPr>
      </w:pPr>
    </w:p>
    <w:p w14:paraId="013EB9E1" w14:textId="77777777" w:rsidR="00C8164D" w:rsidRPr="00953357" w:rsidRDefault="00C8164D" w:rsidP="00F768EA">
      <w:pPr>
        <w:rPr>
          <w:rFonts w:ascii="Palatino Linotype" w:eastAsia="Palatino Linotype" w:hAnsi="Palatino Linotype" w:cs="Palatino Linotype"/>
          <w:sz w:val="22"/>
          <w:szCs w:val="22"/>
        </w:rPr>
      </w:pPr>
    </w:p>
    <w:p w14:paraId="5E6DA78E" w14:textId="77777777" w:rsidR="00C8164D" w:rsidRPr="00953357" w:rsidRDefault="00C8164D" w:rsidP="00F768EA">
      <w:pPr>
        <w:rPr>
          <w:rFonts w:ascii="Palatino Linotype" w:eastAsia="Palatino Linotype" w:hAnsi="Palatino Linotype" w:cs="Palatino Linotype"/>
          <w:sz w:val="22"/>
          <w:szCs w:val="22"/>
        </w:rPr>
      </w:pPr>
    </w:p>
    <w:p w14:paraId="2FC1E2FB" w14:textId="77777777" w:rsidR="00C8164D" w:rsidRPr="00953357" w:rsidRDefault="00C8164D" w:rsidP="00F768EA">
      <w:pPr>
        <w:rPr>
          <w:rFonts w:ascii="Palatino Linotype" w:eastAsia="Palatino Linotype" w:hAnsi="Palatino Linotype" w:cs="Palatino Linotype"/>
          <w:sz w:val="22"/>
          <w:szCs w:val="22"/>
        </w:rPr>
      </w:pPr>
    </w:p>
    <w:p w14:paraId="3C2D87CF" w14:textId="77777777" w:rsidR="00C8164D" w:rsidRPr="00953357" w:rsidRDefault="00C8164D" w:rsidP="00F768EA">
      <w:pPr>
        <w:rPr>
          <w:rFonts w:ascii="Palatino Linotype" w:eastAsia="Palatino Linotype" w:hAnsi="Palatino Linotype" w:cs="Palatino Linotype"/>
          <w:sz w:val="22"/>
          <w:szCs w:val="22"/>
        </w:rPr>
      </w:pPr>
    </w:p>
    <w:p w14:paraId="39BFD4C2" w14:textId="77777777" w:rsidR="00C8164D" w:rsidRPr="00953357" w:rsidRDefault="00C8164D" w:rsidP="00F768EA">
      <w:pPr>
        <w:rPr>
          <w:rFonts w:ascii="Palatino Linotype" w:eastAsia="Palatino Linotype" w:hAnsi="Palatino Linotype" w:cs="Palatino Linotype"/>
          <w:sz w:val="22"/>
          <w:szCs w:val="22"/>
        </w:rPr>
      </w:pPr>
    </w:p>
    <w:p w14:paraId="0F51F809" w14:textId="77777777" w:rsidR="00C8164D" w:rsidRPr="00953357" w:rsidRDefault="00C8164D" w:rsidP="00F768EA">
      <w:pPr>
        <w:rPr>
          <w:rFonts w:ascii="Palatino Linotype" w:eastAsia="Palatino Linotype" w:hAnsi="Palatino Linotype" w:cs="Palatino Linotype"/>
          <w:sz w:val="22"/>
          <w:szCs w:val="22"/>
        </w:rPr>
      </w:pPr>
    </w:p>
    <w:p w14:paraId="56A537C7" w14:textId="77777777" w:rsidR="00C8164D" w:rsidRPr="00953357" w:rsidRDefault="00C8164D" w:rsidP="00F768EA">
      <w:pPr>
        <w:rPr>
          <w:rFonts w:ascii="Palatino Linotype" w:eastAsia="Palatino Linotype" w:hAnsi="Palatino Linotype" w:cs="Palatino Linotype"/>
          <w:sz w:val="22"/>
          <w:szCs w:val="22"/>
        </w:rPr>
      </w:pPr>
    </w:p>
    <w:p w14:paraId="1B59A436" w14:textId="77777777" w:rsidR="00C8164D" w:rsidRPr="00953357" w:rsidRDefault="00C8164D" w:rsidP="00F768EA">
      <w:pPr>
        <w:rPr>
          <w:rFonts w:ascii="Palatino Linotype" w:eastAsia="Palatino Linotype" w:hAnsi="Palatino Linotype" w:cs="Palatino Linotype"/>
          <w:sz w:val="22"/>
          <w:szCs w:val="22"/>
        </w:rPr>
      </w:pPr>
    </w:p>
    <w:p w14:paraId="58FD7A11" w14:textId="77777777" w:rsidR="00C8164D" w:rsidRPr="00953357" w:rsidRDefault="00C8164D" w:rsidP="00F768EA">
      <w:pPr>
        <w:rPr>
          <w:rFonts w:ascii="Palatino Linotype" w:eastAsia="Palatino Linotype" w:hAnsi="Palatino Linotype" w:cs="Palatino Linotype"/>
          <w:sz w:val="22"/>
          <w:szCs w:val="22"/>
        </w:rPr>
      </w:pPr>
    </w:p>
    <w:p w14:paraId="0F40BED6" w14:textId="77777777" w:rsidR="00C8164D" w:rsidRPr="00953357" w:rsidRDefault="00C8164D" w:rsidP="00F768EA">
      <w:pPr>
        <w:spacing w:line="360" w:lineRule="auto"/>
        <w:jc w:val="both"/>
        <w:rPr>
          <w:rFonts w:ascii="Palatino Linotype" w:eastAsia="Palatino Linotype" w:hAnsi="Palatino Linotype" w:cs="Palatino Linotype"/>
          <w:sz w:val="22"/>
          <w:szCs w:val="22"/>
        </w:rPr>
      </w:pPr>
      <w:bookmarkStart w:id="8" w:name="_heading=h.3rdcrjn" w:colFirst="0" w:colLast="0"/>
      <w:bookmarkEnd w:id="8"/>
    </w:p>
    <w:p w14:paraId="41E5D75B" w14:textId="77777777" w:rsidR="00C8164D" w:rsidRPr="00953357" w:rsidRDefault="00C8164D" w:rsidP="00F768EA">
      <w:pPr>
        <w:spacing w:line="360" w:lineRule="auto"/>
        <w:jc w:val="both"/>
        <w:rPr>
          <w:rFonts w:ascii="Palatino Linotype" w:eastAsia="Palatino Linotype" w:hAnsi="Palatino Linotype" w:cs="Palatino Linotype"/>
          <w:sz w:val="22"/>
          <w:szCs w:val="22"/>
        </w:rPr>
      </w:pPr>
    </w:p>
    <w:p w14:paraId="2983A011" w14:textId="77777777" w:rsidR="00C8164D" w:rsidRPr="00953357" w:rsidRDefault="00C8164D" w:rsidP="00F768EA">
      <w:pPr>
        <w:spacing w:line="360" w:lineRule="auto"/>
        <w:jc w:val="both"/>
        <w:rPr>
          <w:rFonts w:ascii="Palatino Linotype" w:eastAsia="Palatino Linotype" w:hAnsi="Palatino Linotype" w:cs="Palatino Linotype"/>
          <w:sz w:val="22"/>
          <w:szCs w:val="22"/>
        </w:rPr>
      </w:pPr>
    </w:p>
    <w:p w14:paraId="39A07621" w14:textId="77777777" w:rsidR="00C8164D" w:rsidRPr="00953357" w:rsidRDefault="00C8164D" w:rsidP="00F768EA">
      <w:pPr>
        <w:spacing w:line="360" w:lineRule="auto"/>
        <w:jc w:val="both"/>
        <w:rPr>
          <w:rFonts w:ascii="Palatino Linotype" w:eastAsia="Palatino Linotype" w:hAnsi="Palatino Linotype" w:cs="Palatino Linotype"/>
          <w:sz w:val="22"/>
          <w:szCs w:val="22"/>
        </w:rPr>
      </w:pPr>
      <w:bookmarkStart w:id="9" w:name="_heading=h.1t3h5sf" w:colFirst="0" w:colLast="0"/>
      <w:bookmarkEnd w:id="9"/>
    </w:p>
    <w:p w14:paraId="5BE0B48A" w14:textId="77777777" w:rsidR="00C8164D" w:rsidRPr="00953357" w:rsidRDefault="00C8164D" w:rsidP="00F768EA">
      <w:pPr>
        <w:spacing w:line="360" w:lineRule="auto"/>
        <w:jc w:val="both"/>
        <w:rPr>
          <w:rFonts w:ascii="Palatino Linotype" w:eastAsia="Palatino Linotype" w:hAnsi="Palatino Linotype" w:cs="Palatino Linotype"/>
          <w:sz w:val="22"/>
          <w:szCs w:val="22"/>
        </w:rPr>
      </w:pPr>
    </w:p>
    <w:p w14:paraId="567B0931" w14:textId="77777777" w:rsidR="00C8164D" w:rsidRPr="00953357" w:rsidRDefault="00C8164D" w:rsidP="00F768EA">
      <w:pPr>
        <w:spacing w:line="360" w:lineRule="auto"/>
        <w:jc w:val="both"/>
        <w:rPr>
          <w:rFonts w:ascii="Palatino Linotype" w:eastAsia="Palatino Linotype" w:hAnsi="Palatino Linotype" w:cs="Palatino Linotype"/>
          <w:sz w:val="22"/>
          <w:szCs w:val="22"/>
        </w:rPr>
      </w:pPr>
    </w:p>
    <w:p w14:paraId="491C8EB1" w14:textId="77777777" w:rsidR="00C8164D" w:rsidRPr="00953357" w:rsidRDefault="00C8164D" w:rsidP="00F768EA">
      <w:pPr>
        <w:spacing w:line="360" w:lineRule="auto"/>
        <w:jc w:val="both"/>
        <w:rPr>
          <w:rFonts w:ascii="Palatino Linotype" w:eastAsia="Palatino Linotype" w:hAnsi="Palatino Linotype" w:cs="Palatino Linotype"/>
          <w:sz w:val="22"/>
          <w:szCs w:val="22"/>
        </w:rPr>
      </w:pPr>
    </w:p>
    <w:p w14:paraId="679AF9BC" w14:textId="77777777" w:rsidR="00C8164D" w:rsidRPr="00953357" w:rsidRDefault="00C8164D" w:rsidP="00F768EA">
      <w:pPr>
        <w:spacing w:line="360" w:lineRule="auto"/>
        <w:jc w:val="both"/>
        <w:rPr>
          <w:rFonts w:ascii="Palatino Linotype" w:eastAsia="Palatino Linotype" w:hAnsi="Palatino Linotype" w:cs="Palatino Linotype"/>
          <w:sz w:val="22"/>
          <w:szCs w:val="22"/>
        </w:rPr>
      </w:pPr>
    </w:p>
    <w:p w14:paraId="3F6B8E8B" w14:textId="77777777" w:rsidR="00C8164D" w:rsidRPr="00953357" w:rsidRDefault="00C8164D" w:rsidP="00F768EA">
      <w:pPr>
        <w:spacing w:line="360" w:lineRule="auto"/>
        <w:jc w:val="both"/>
        <w:rPr>
          <w:rFonts w:ascii="Palatino Linotype" w:eastAsia="Palatino Linotype" w:hAnsi="Palatino Linotype" w:cs="Palatino Linotype"/>
          <w:sz w:val="22"/>
          <w:szCs w:val="22"/>
        </w:rPr>
      </w:pPr>
    </w:p>
    <w:p w14:paraId="1C483DE5" w14:textId="77777777" w:rsidR="00C8164D" w:rsidRPr="00953357" w:rsidRDefault="00C8164D" w:rsidP="00F768EA">
      <w:pPr>
        <w:spacing w:line="360" w:lineRule="auto"/>
        <w:jc w:val="both"/>
        <w:rPr>
          <w:rFonts w:ascii="Palatino Linotype" w:eastAsia="Palatino Linotype" w:hAnsi="Palatino Linotype" w:cs="Palatino Linotype"/>
          <w:sz w:val="22"/>
          <w:szCs w:val="22"/>
        </w:rPr>
      </w:pPr>
    </w:p>
    <w:p w14:paraId="1A7B340A" w14:textId="77777777" w:rsidR="00C8164D" w:rsidRPr="00953357" w:rsidRDefault="00C8164D" w:rsidP="00F768EA">
      <w:pPr>
        <w:spacing w:line="360" w:lineRule="auto"/>
        <w:jc w:val="both"/>
        <w:rPr>
          <w:rFonts w:ascii="Palatino Linotype" w:eastAsia="Palatino Linotype" w:hAnsi="Palatino Linotype" w:cs="Palatino Linotype"/>
          <w:sz w:val="22"/>
          <w:szCs w:val="22"/>
        </w:rPr>
      </w:pPr>
    </w:p>
    <w:p w14:paraId="03881FCE" w14:textId="77777777" w:rsidR="00C8164D" w:rsidRPr="00953357" w:rsidRDefault="00C8164D" w:rsidP="00F768EA">
      <w:pPr>
        <w:spacing w:line="360" w:lineRule="auto"/>
        <w:jc w:val="both"/>
        <w:rPr>
          <w:rFonts w:ascii="Palatino Linotype" w:eastAsia="Palatino Linotype" w:hAnsi="Palatino Linotype" w:cs="Palatino Linotype"/>
          <w:sz w:val="22"/>
          <w:szCs w:val="22"/>
        </w:rPr>
      </w:pPr>
    </w:p>
    <w:p w14:paraId="1838CFD8" w14:textId="77777777" w:rsidR="00C8164D" w:rsidRPr="00953357" w:rsidRDefault="00C8164D" w:rsidP="00F768EA">
      <w:pPr>
        <w:spacing w:line="360" w:lineRule="auto"/>
        <w:jc w:val="both"/>
        <w:rPr>
          <w:rFonts w:ascii="Palatino Linotype" w:eastAsia="Palatino Linotype" w:hAnsi="Palatino Linotype" w:cs="Palatino Linotype"/>
          <w:sz w:val="22"/>
          <w:szCs w:val="22"/>
        </w:rPr>
      </w:pPr>
    </w:p>
    <w:p w14:paraId="568A592D" w14:textId="77777777" w:rsidR="00C8164D" w:rsidRPr="00953357" w:rsidRDefault="00C8164D" w:rsidP="00F768EA">
      <w:pPr>
        <w:spacing w:line="360" w:lineRule="auto"/>
        <w:jc w:val="both"/>
        <w:rPr>
          <w:rFonts w:ascii="Palatino Linotype" w:eastAsia="Palatino Linotype" w:hAnsi="Palatino Linotype" w:cs="Palatino Linotype"/>
          <w:sz w:val="22"/>
          <w:szCs w:val="22"/>
        </w:rPr>
      </w:pPr>
    </w:p>
    <w:p w14:paraId="148BE6AC" w14:textId="77777777" w:rsidR="00C8164D" w:rsidRPr="00953357" w:rsidRDefault="00C8164D" w:rsidP="00F768EA">
      <w:pPr>
        <w:spacing w:line="360" w:lineRule="auto"/>
        <w:jc w:val="both"/>
        <w:rPr>
          <w:rFonts w:ascii="Palatino Linotype" w:eastAsia="Palatino Linotype" w:hAnsi="Palatino Linotype" w:cs="Palatino Linotype"/>
          <w:sz w:val="22"/>
          <w:szCs w:val="22"/>
        </w:rPr>
      </w:pPr>
    </w:p>
    <w:p w14:paraId="561D075C" w14:textId="77777777" w:rsidR="00C8164D" w:rsidRPr="00953357" w:rsidRDefault="00C8164D" w:rsidP="00F768EA">
      <w:pPr>
        <w:spacing w:line="360" w:lineRule="auto"/>
        <w:jc w:val="both"/>
        <w:rPr>
          <w:rFonts w:ascii="Palatino Linotype" w:eastAsia="Palatino Linotype" w:hAnsi="Palatino Linotype" w:cs="Palatino Linotype"/>
          <w:sz w:val="22"/>
          <w:szCs w:val="22"/>
        </w:rPr>
      </w:pPr>
    </w:p>
    <w:p w14:paraId="32B03B13" w14:textId="77777777" w:rsidR="00C8164D" w:rsidRPr="00953357" w:rsidRDefault="00C8164D" w:rsidP="00F768EA">
      <w:pPr>
        <w:spacing w:line="360" w:lineRule="auto"/>
        <w:jc w:val="both"/>
        <w:rPr>
          <w:rFonts w:ascii="Palatino Linotype" w:eastAsia="Palatino Linotype" w:hAnsi="Palatino Linotype" w:cs="Palatino Linotype"/>
          <w:sz w:val="22"/>
          <w:szCs w:val="22"/>
        </w:rPr>
      </w:pPr>
    </w:p>
    <w:p w14:paraId="2DD71BE6" w14:textId="77777777" w:rsidR="00C8164D" w:rsidRPr="00953357" w:rsidRDefault="00C8164D" w:rsidP="00F768EA">
      <w:pPr>
        <w:spacing w:line="360" w:lineRule="auto"/>
        <w:jc w:val="both"/>
        <w:rPr>
          <w:rFonts w:ascii="Palatino Linotype" w:eastAsia="Palatino Linotype" w:hAnsi="Palatino Linotype" w:cs="Palatino Linotype"/>
          <w:sz w:val="22"/>
          <w:szCs w:val="22"/>
        </w:rPr>
      </w:pPr>
    </w:p>
    <w:p w14:paraId="305611C9" w14:textId="77777777" w:rsidR="00C8164D" w:rsidRPr="00953357" w:rsidRDefault="00C8164D" w:rsidP="00F768EA">
      <w:pPr>
        <w:spacing w:line="360" w:lineRule="auto"/>
        <w:jc w:val="both"/>
        <w:rPr>
          <w:rFonts w:ascii="Palatino Linotype" w:eastAsia="Palatino Linotype" w:hAnsi="Palatino Linotype" w:cs="Palatino Linotype"/>
          <w:sz w:val="22"/>
          <w:szCs w:val="22"/>
        </w:rPr>
      </w:pPr>
    </w:p>
    <w:p w14:paraId="70F50D94" w14:textId="77777777" w:rsidR="00C8164D" w:rsidRPr="00953357" w:rsidRDefault="00C8164D" w:rsidP="00F768EA">
      <w:pPr>
        <w:spacing w:line="360" w:lineRule="auto"/>
        <w:jc w:val="both"/>
        <w:rPr>
          <w:rFonts w:ascii="Palatino Linotype" w:eastAsia="Palatino Linotype" w:hAnsi="Palatino Linotype" w:cs="Palatino Linotype"/>
          <w:sz w:val="22"/>
          <w:szCs w:val="22"/>
        </w:rPr>
      </w:pPr>
    </w:p>
    <w:p w14:paraId="0416E480" w14:textId="77777777" w:rsidR="00C8164D" w:rsidRPr="00953357" w:rsidRDefault="00C8164D" w:rsidP="00F768EA">
      <w:pPr>
        <w:spacing w:line="360" w:lineRule="auto"/>
        <w:jc w:val="both"/>
        <w:rPr>
          <w:rFonts w:ascii="Palatino Linotype" w:eastAsia="Palatino Linotype" w:hAnsi="Palatino Linotype" w:cs="Palatino Linotype"/>
          <w:sz w:val="22"/>
          <w:szCs w:val="22"/>
        </w:rPr>
      </w:pPr>
    </w:p>
    <w:p w14:paraId="7D48AE2E" w14:textId="77777777" w:rsidR="00C8164D" w:rsidRPr="00953357" w:rsidRDefault="00C8164D" w:rsidP="00F768EA">
      <w:pPr>
        <w:spacing w:line="360" w:lineRule="auto"/>
        <w:jc w:val="both"/>
        <w:rPr>
          <w:rFonts w:ascii="Palatino Linotype" w:eastAsia="Palatino Linotype" w:hAnsi="Palatino Linotype" w:cs="Palatino Linotype"/>
          <w:sz w:val="22"/>
          <w:szCs w:val="22"/>
        </w:rPr>
      </w:pPr>
    </w:p>
    <w:p w14:paraId="684F16F1" w14:textId="77777777" w:rsidR="00C8164D" w:rsidRPr="00953357" w:rsidRDefault="00C8164D" w:rsidP="00F768EA">
      <w:pPr>
        <w:spacing w:line="360" w:lineRule="auto"/>
        <w:jc w:val="both"/>
        <w:rPr>
          <w:rFonts w:ascii="Palatino Linotype" w:eastAsia="Palatino Linotype" w:hAnsi="Palatino Linotype" w:cs="Palatino Linotype"/>
          <w:sz w:val="22"/>
          <w:szCs w:val="22"/>
        </w:rPr>
      </w:pPr>
    </w:p>
    <w:sectPr w:rsidR="00C8164D" w:rsidRPr="00953357">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42873" w14:textId="77777777" w:rsidR="00BC4BA0" w:rsidRDefault="00BC4BA0">
      <w:r>
        <w:separator/>
      </w:r>
    </w:p>
  </w:endnote>
  <w:endnote w:type="continuationSeparator" w:id="0">
    <w:p w14:paraId="54BFDD14" w14:textId="77777777" w:rsidR="00BC4BA0" w:rsidRDefault="00BC4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Yu Gothic UI"/>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687A3" w14:textId="486ABB23" w:rsidR="00C8164D" w:rsidRDefault="00BA0BB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A6221">
      <w:rPr>
        <w:rFonts w:ascii="Palatino Linotype" w:eastAsia="Palatino Linotype" w:hAnsi="Palatino Linotype" w:cs="Palatino Linotype"/>
        <w:b/>
        <w:noProof/>
        <w:color w:val="000000"/>
        <w:sz w:val="20"/>
        <w:szCs w:val="20"/>
      </w:rPr>
      <w:t>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A6221">
      <w:rPr>
        <w:rFonts w:ascii="Palatino Linotype" w:eastAsia="Palatino Linotype" w:hAnsi="Palatino Linotype" w:cs="Palatino Linotype"/>
        <w:b/>
        <w:noProof/>
        <w:color w:val="000000"/>
        <w:sz w:val="20"/>
        <w:szCs w:val="20"/>
      </w:rPr>
      <w:t>15</w:t>
    </w:r>
    <w:r>
      <w:rPr>
        <w:rFonts w:ascii="Palatino Linotype" w:eastAsia="Palatino Linotype" w:hAnsi="Palatino Linotype" w:cs="Palatino Linotype"/>
        <w:b/>
        <w:color w:val="000000"/>
        <w:sz w:val="20"/>
        <w:szCs w:val="20"/>
      </w:rPr>
      <w:fldChar w:fldCharType="end"/>
    </w:r>
  </w:p>
  <w:p w14:paraId="560E3F9F" w14:textId="77777777" w:rsidR="00C8164D" w:rsidRDefault="00C8164D">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636C1" w14:textId="2621B67C" w:rsidR="00C8164D" w:rsidRDefault="00BA0BB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A6221">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A6221">
      <w:rPr>
        <w:rFonts w:ascii="Palatino Linotype" w:eastAsia="Palatino Linotype" w:hAnsi="Palatino Linotype" w:cs="Palatino Linotype"/>
        <w:b/>
        <w:noProof/>
        <w:color w:val="000000"/>
        <w:sz w:val="20"/>
        <w:szCs w:val="20"/>
      </w:rPr>
      <w:t>15</w:t>
    </w:r>
    <w:r>
      <w:rPr>
        <w:rFonts w:ascii="Palatino Linotype" w:eastAsia="Palatino Linotype" w:hAnsi="Palatino Linotype" w:cs="Palatino Linotype"/>
        <w:b/>
        <w:color w:val="000000"/>
        <w:sz w:val="20"/>
        <w:szCs w:val="20"/>
      </w:rPr>
      <w:fldChar w:fldCharType="end"/>
    </w:r>
  </w:p>
  <w:p w14:paraId="512F6B38" w14:textId="77777777" w:rsidR="00C8164D" w:rsidRDefault="00C8164D">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D3CA1" w14:textId="77777777" w:rsidR="00BC4BA0" w:rsidRDefault="00BC4BA0">
      <w:r>
        <w:separator/>
      </w:r>
    </w:p>
  </w:footnote>
  <w:footnote w:type="continuationSeparator" w:id="0">
    <w:p w14:paraId="14FEAB54" w14:textId="77777777" w:rsidR="00BC4BA0" w:rsidRDefault="00BC4BA0">
      <w:r>
        <w:continuationSeparator/>
      </w:r>
    </w:p>
  </w:footnote>
  <w:footnote w:id="1">
    <w:p w14:paraId="219C31F7" w14:textId="77777777" w:rsidR="00C8164D" w:rsidRDefault="00BA0BB9">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00359345" w14:textId="77777777" w:rsidR="00C8164D" w:rsidRDefault="00BA0BB9">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225F7CEF" w14:textId="77777777" w:rsidR="00C8164D" w:rsidRDefault="00BA0BB9">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2BB8D" w14:textId="77777777" w:rsidR="00C8164D" w:rsidRDefault="00BA0BB9">
    <w:pPr>
      <w:rPr>
        <w:rFonts w:ascii="Cambria" w:eastAsia="Cambria" w:hAnsi="Cambria" w:cs="Cambria"/>
        <w:color w:val="000000"/>
      </w:rPr>
    </w:pPr>
    <w:r>
      <w:rPr>
        <w:noProof/>
      </w:rPr>
      <w:drawing>
        <wp:anchor distT="0" distB="0" distL="0" distR="0" simplePos="0" relativeHeight="251658240" behindDoc="1" locked="0" layoutInCell="1" hidden="0" allowOverlap="1" wp14:anchorId="0437330A" wp14:editId="54ADAFB1">
          <wp:simplePos x="0" y="0"/>
          <wp:positionH relativeFrom="column">
            <wp:posOffset>-755649</wp:posOffset>
          </wp:positionH>
          <wp:positionV relativeFrom="paragraph">
            <wp:posOffset>-363854</wp:posOffset>
          </wp:positionV>
          <wp:extent cx="7809865" cy="10165715"/>
          <wp:effectExtent l="0" t="0" r="0" b="0"/>
          <wp:wrapNone/>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4"/>
      <w:tblW w:w="5665" w:type="dxa"/>
      <w:tblInd w:w="3814" w:type="dxa"/>
      <w:tblLayout w:type="fixed"/>
      <w:tblLook w:val="0400" w:firstRow="0" w:lastRow="0" w:firstColumn="0" w:lastColumn="0" w:noHBand="0" w:noVBand="1"/>
    </w:tblPr>
    <w:tblGrid>
      <w:gridCol w:w="2489"/>
      <w:gridCol w:w="3176"/>
    </w:tblGrid>
    <w:tr w:rsidR="00C8164D" w14:paraId="336D10D0" w14:textId="77777777">
      <w:tc>
        <w:tcPr>
          <w:tcW w:w="2489" w:type="dxa"/>
        </w:tcPr>
        <w:p w14:paraId="3BC1EBDC" w14:textId="77777777" w:rsidR="00C8164D" w:rsidRDefault="00BA0BB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76" w:type="dxa"/>
          <w:vAlign w:val="center"/>
        </w:tcPr>
        <w:p w14:paraId="19823662" w14:textId="1791E697" w:rsidR="00C8164D" w:rsidRDefault="001C311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13174</w:t>
          </w:r>
          <w:r w:rsidR="00BA0BB9">
            <w:rPr>
              <w:rFonts w:ascii="Palatino Linotype" w:eastAsia="Palatino Linotype" w:hAnsi="Palatino Linotype" w:cs="Palatino Linotype"/>
              <w:b/>
              <w:sz w:val="22"/>
              <w:szCs w:val="22"/>
            </w:rPr>
            <w:t>/INFOEM/IP/RR/2025</w:t>
          </w:r>
        </w:p>
      </w:tc>
    </w:tr>
    <w:tr w:rsidR="00C8164D" w14:paraId="083BABA6" w14:textId="77777777">
      <w:trPr>
        <w:trHeight w:val="228"/>
      </w:trPr>
      <w:tc>
        <w:tcPr>
          <w:tcW w:w="2489" w:type="dxa"/>
          <w:vAlign w:val="center"/>
        </w:tcPr>
        <w:p w14:paraId="7A2AD2C7" w14:textId="77777777" w:rsidR="00C8164D" w:rsidRDefault="00BA0BB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76" w:type="dxa"/>
          <w:vAlign w:val="center"/>
        </w:tcPr>
        <w:p w14:paraId="57E5069D" w14:textId="06E79B7F" w:rsidR="00C8164D" w:rsidRDefault="001C3118">
          <w:pPr>
            <w:ind w:left="-45" w:right="176"/>
            <w:jc w:val="both"/>
            <w:rPr>
              <w:rFonts w:ascii="Palatino Linotype" w:eastAsia="Palatino Linotype" w:hAnsi="Palatino Linotype" w:cs="Palatino Linotype"/>
              <w:b/>
              <w:sz w:val="22"/>
              <w:szCs w:val="22"/>
            </w:rPr>
          </w:pPr>
          <w:r w:rsidRPr="001C3118">
            <w:rPr>
              <w:rFonts w:ascii="Palatino Linotype" w:eastAsia="Palatino Linotype" w:hAnsi="Palatino Linotype" w:cs="Palatino Linotype"/>
              <w:b/>
              <w:sz w:val="22"/>
              <w:szCs w:val="22"/>
            </w:rPr>
            <w:t>Ayuntamiento de Almoloya de Juárez</w:t>
          </w:r>
        </w:p>
      </w:tc>
    </w:tr>
    <w:tr w:rsidR="00C8164D" w14:paraId="3C0E53EA" w14:textId="77777777">
      <w:tc>
        <w:tcPr>
          <w:tcW w:w="2489" w:type="dxa"/>
          <w:vAlign w:val="center"/>
        </w:tcPr>
        <w:p w14:paraId="7434C762" w14:textId="77777777" w:rsidR="00C8164D" w:rsidRDefault="00BA0BB9">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76" w:type="dxa"/>
          <w:vAlign w:val="center"/>
        </w:tcPr>
        <w:p w14:paraId="27D1F0C4" w14:textId="77777777" w:rsidR="00C8164D" w:rsidRDefault="00BA0BB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CB60124" w14:textId="77777777" w:rsidR="00C8164D" w:rsidRDefault="00BA0BB9">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F8EC4" w14:textId="77777777" w:rsidR="00C8164D" w:rsidRDefault="00BA0BB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263A07D2" wp14:editId="1B4ADA0F">
          <wp:simplePos x="0" y="0"/>
          <wp:positionH relativeFrom="column">
            <wp:posOffset>-688339</wp:posOffset>
          </wp:positionH>
          <wp:positionV relativeFrom="paragraph">
            <wp:posOffset>-156844</wp:posOffset>
          </wp:positionV>
          <wp:extent cx="7809865" cy="10165715"/>
          <wp:effectExtent l="0" t="0" r="0" b="0"/>
          <wp:wrapNone/>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5883" w:type="dxa"/>
      <w:tblInd w:w="3184" w:type="dxa"/>
      <w:tblLayout w:type="fixed"/>
      <w:tblLook w:val="0400" w:firstRow="0" w:lastRow="0" w:firstColumn="0" w:lastColumn="0" w:noHBand="0" w:noVBand="1"/>
    </w:tblPr>
    <w:tblGrid>
      <w:gridCol w:w="2551"/>
      <w:gridCol w:w="3332"/>
    </w:tblGrid>
    <w:tr w:rsidR="00C8164D" w14:paraId="3C665E56" w14:textId="77777777">
      <w:tc>
        <w:tcPr>
          <w:tcW w:w="2551" w:type="dxa"/>
          <w:vAlign w:val="center"/>
        </w:tcPr>
        <w:p w14:paraId="52C4B411" w14:textId="77777777" w:rsidR="00C8164D" w:rsidRDefault="00BA0BB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332" w:type="dxa"/>
          <w:vAlign w:val="center"/>
        </w:tcPr>
        <w:p w14:paraId="5F3CD93A" w14:textId="1E995B25" w:rsidR="00C8164D" w:rsidRDefault="001C3118">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13174</w:t>
          </w:r>
          <w:r w:rsidR="00BA0BB9">
            <w:rPr>
              <w:rFonts w:ascii="Palatino Linotype" w:eastAsia="Palatino Linotype" w:hAnsi="Palatino Linotype" w:cs="Palatino Linotype"/>
              <w:b/>
              <w:sz w:val="22"/>
              <w:szCs w:val="22"/>
            </w:rPr>
            <w:t>/INFOEM/IP/RR/2025</w:t>
          </w:r>
        </w:p>
      </w:tc>
    </w:tr>
    <w:tr w:rsidR="00C8164D" w14:paraId="32E38EE5" w14:textId="77777777">
      <w:trPr>
        <w:trHeight w:val="130"/>
      </w:trPr>
      <w:tc>
        <w:tcPr>
          <w:tcW w:w="2551" w:type="dxa"/>
          <w:vAlign w:val="center"/>
        </w:tcPr>
        <w:p w14:paraId="3E3DE208" w14:textId="77777777" w:rsidR="00C8164D" w:rsidRDefault="00BA0BB9">
          <w:pPr>
            <w:rPr>
              <w:rFonts w:ascii="Palatino Linotype" w:eastAsia="Palatino Linotype" w:hAnsi="Palatino Linotype" w:cs="Palatino Linotype"/>
              <w:b/>
              <w:sz w:val="22"/>
              <w:szCs w:val="22"/>
            </w:rPr>
          </w:pPr>
          <w:bookmarkStart w:id="10" w:name="_heading=h.o0bhflau72l" w:colFirst="0" w:colLast="0"/>
          <w:bookmarkEnd w:id="10"/>
          <w:r>
            <w:rPr>
              <w:rFonts w:ascii="Palatino Linotype" w:eastAsia="Palatino Linotype" w:hAnsi="Palatino Linotype" w:cs="Palatino Linotype"/>
              <w:b/>
              <w:sz w:val="22"/>
              <w:szCs w:val="22"/>
            </w:rPr>
            <w:t>Recurrente:</w:t>
          </w:r>
        </w:p>
      </w:tc>
      <w:tc>
        <w:tcPr>
          <w:tcW w:w="3332" w:type="dxa"/>
          <w:vAlign w:val="center"/>
        </w:tcPr>
        <w:p w14:paraId="6715301C" w14:textId="5A77B170" w:rsidR="00C8164D" w:rsidRDefault="00DA6221" w:rsidP="00DA6221">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 XXXXX XXXXXX </w:t>
          </w:r>
        </w:p>
      </w:tc>
    </w:tr>
    <w:tr w:rsidR="00C8164D" w14:paraId="2718F2C2" w14:textId="77777777">
      <w:trPr>
        <w:trHeight w:val="228"/>
      </w:trPr>
      <w:tc>
        <w:tcPr>
          <w:tcW w:w="2551" w:type="dxa"/>
          <w:vAlign w:val="center"/>
        </w:tcPr>
        <w:p w14:paraId="5EEDB02C" w14:textId="77777777" w:rsidR="00C8164D" w:rsidRDefault="00BA0BB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332" w:type="dxa"/>
          <w:vAlign w:val="center"/>
        </w:tcPr>
        <w:p w14:paraId="5F8C5EAD" w14:textId="70141A85" w:rsidR="00C8164D" w:rsidRDefault="001C3118">
          <w:pPr>
            <w:ind w:left="-45" w:right="176"/>
            <w:jc w:val="both"/>
            <w:rPr>
              <w:rFonts w:ascii="Palatino Linotype" w:eastAsia="Palatino Linotype" w:hAnsi="Palatino Linotype" w:cs="Palatino Linotype"/>
              <w:b/>
              <w:sz w:val="22"/>
              <w:szCs w:val="22"/>
            </w:rPr>
          </w:pPr>
          <w:r w:rsidRPr="001C3118">
            <w:rPr>
              <w:rFonts w:ascii="Palatino Linotype" w:eastAsia="Palatino Linotype" w:hAnsi="Palatino Linotype" w:cs="Palatino Linotype"/>
              <w:b/>
              <w:sz w:val="22"/>
              <w:szCs w:val="22"/>
            </w:rPr>
            <w:t>Ayuntamiento de Almoloya de Juárez</w:t>
          </w:r>
        </w:p>
      </w:tc>
    </w:tr>
    <w:tr w:rsidR="00C8164D" w14:paraId="72C8BB76" w14:textId="77777777">
      <w:tc>
        <w:tcPr>
          <w:tcW w:w="2551" w:type="dxa"/>
          <w:vAlign w:val="center"/>
        </w:tcPr>
        <w:p w14:paraId="0325C323" w14:textId="77777777" w:rsidR="00C8164D" w:rsidRDefault="00BA0BB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332" w:type="dxa"/>
          <w:vAlign w:val="center"/>
        </w:tcPr>
        <w:p w14:paraId="5ABBD434" w14:textId="77777777" w:rsidR="00C8164D" w:rsidRDefault="00BA0BB9">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9CC9648" w14:textId="77777777" w:rsidR="00C8164D" w:rsidRDefault="00C8164D">
    <w:pPr>
      <w:pBdr>
        <w:top w:val="nil"/>
        <w:left w:val="nil"/>
        <w:bottom w:val="nil"/>
        <w:right w:val="nil"/>
        <w:between w:val="nil"/>
      </w:pBdr>
      <w:tabs>
        <w:tab w:val="center" w:pos="4252"/>
        <w:tab w:val="right" w:pos="8504"/>
      </w:tabs>
      <w:rPr>
        <w:rFonts w:ascii="Cambria" w:eastAsia="Cambria" w:hAnsi="Cambria" w:cs="Cambria"/>
        <w:color w:val="000000"/>
      </w:rPr>
    </w:pPr>
  </w:p>
  <w:p w14:paraId="58ADF7BC" w14:textId="77777777" w:rsidR="00C8164D" w:rsidRDefault="00C8164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290435"/>
    <w:multiLevelType w:val="multilevel"/>
    <w:tmpl w:val="0D6AEB8E"/>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7811098"/>
    <w:multiLevelType w:val="multilevel"/>
    <w:tmpl w:val="9B1E5148"/>
    <w:lvl w:ilvl="0">
      <w:start w:val="7"/>
      <w:numFmt w:val="upperRoman"/>
      <w:pStyle w:val="Listaconvietas3"/>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64D"/>
    <w:rsid w:val="00031E56"/>
    <w:rsid w:val="000803D2"/>
    <w:rsid w:val="0018607C"/>
    <w:rsid w:val="001A60B9"/>
    <w:rsid w:val="001C3118"/>
    <w:rsid w:val="002244D7"/>
    <w:rsid w:val="002303FF"/>
    <w:rsid w:val="00310808"/>
    <w:rsid w:val="004D6FFF"/>
    <w:rsid w:val="005C2AFB"/>
    <w:rsid w:val="0072647B"/>
    <w:rsid w:val="00816C5A"/>
    <w:rsid w:val="00917E89"/>
    <w:rsid w:val="009350DF"/>
    <w:rsid w:val="00953357"/>
    <w:rsid w:val="009C7136"/>
    <w:rsid w:val="00A32C23"/>
    <w:rsid w:val="00A37B4D"/>
    <w:rsid w:val="00AD3CFF"/>
    <w:rsid w:val="00AF4B0E"/>
    <w:rsid w:val="00BA0BB9"/>
    <w:rsid w:val="00BC4BA0"/>
    <w:rsid w:val="00C8164D"/>
    <w:rsid w:val="00D13EFF"/>
    <w:rsid w:val="00D679DC"/>
    <w:rsid w:val="00DA6221"/>
    <w:rsid w:val="00F41014"/>
    <w:rsid w:val="00F768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7914F"/>
  <w15:docId w15:val="{9CFCA627-A63C-43B7-935C-01D7520A9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13">
    <w:name w:val="Table Normal13"/>
    <w:tblPr>
      <w:tblCellMar>
        <w:top w:w="0" w:type="dxa"/>
        <w:left w:w="0" w:type="dxa"/>
        <w:bottom w:w="0" w:type="dxa"/>
        <w:right w:w="0" w:type="dxa"/>
      </w:tblCellMar>
    </w:tblPr>
  </w:style>
  <w:style w:type="table" w:customStyle="1" w:styleId="TableNormal12">
    <w:name w:val="Table Normal12"/>
    <w:tblPr>
      <w:tblCellMar>
        <w:top w:w="0" w:type="dxa"/>
        <w:left w:w="0" w:type="dxa"/>
        <w:bottom w:w="0" w:type="dxa"/>
        <w:right w:w="0" w:type="dxa"/>
      </w:tblCellMar>
    </w:tblPr>
  </w:style>
  <w:style w:type="table" w:customStyle="1" w:styleId="TableNormal11">
    <w:name w:val="Table Normal11"/>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4">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uiPriority w:val="9"/>
    <w:semiHidden/>
    <w:rsid w:val="003B73CD"/>
    <w:rPr>
      <w:b/>
      <w:bCs/>
      <w:sz w:val="28"/>
      <w:szCs w:val="28"/>
      <w:lang w:val="en-US" w:eastAsia="en-US"/>
    </w:rPr>
  </w:style>
  <w:style w:type="character" w:customStyle="1" w:styleId="Ttulo5Car">
    <w:name w:val="Título 5 Car"/>
    <w:basedOn w:val="Fuentedeprrafopredeter"/>
    <w:uiPriority w:val="9"/>
    <w:semiHidden/>
    <w:rsid w:val="003B73CD"/>
    <w:rPr>
      <w:b/>
      <w:bCs/>
      <w:i/>
      <w:iCs/>
      <w:sz w:val="26"/>
      <w:szCs w:val="26"/>
      <w:lang w:val="en-US" w:eastAsia="en-US"/>
    </w:rPr>
  </w:style>
  <w:style w:type="character" w:customStyle="1" w:styleId="Ttulo6Car">
    <w:name w:val="Título 6 Car"/>
    <w:basedOn w:val="Fuentedeprrafopredeter"/>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table" w:customStyle="1" w:styleId="5">
    <w:name w:val="5"/>
    <w:basedOn w:val="TableNormal14"/>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4"/>
    <w:tblPr>
      <w:tblStyleRowBandSize w:val="1"/>
      <w:tblStyleColBandSize w:val="1"/>
      <w:tblCellMar>
        <w:left w:w="115" w:type="dxa"/>
        <w:right w:w="115" w:type="dxa"/>
      </w:tblCellMar>
    </w:tblPr>
  </w:style>
  <w:style w:type="table" w:customStyle="1" w:styleId="3">
    <w:name w:val="3"/>
    <w:basedOn w:val="TableNormal14"/>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4"/>
    <w:tblPr>
      <w:tblStyleRowBandSize w:val="1"/>
      <w:tblStyleColBandSize w:val="1"/>
      <w:tblCellMar>
        <w:left w:w="115" w:type="dxa"/>
        <w:right w:w="115" w:type="dxa"/>
      </w:tblCellMar>
    </w:tblPr>
  </w:style>
  <w:style w:type="table" w:customStyle="1" w:styleId="1">
    <w:name w:val="1"/>
    <w:basedOn w:val="TableNormal14"/>
    <w:tblPr>
      <w:tblStyleRowBandSize w:val="1"/>
      <w:tblStyleColBandSize w:val="1"/>
      <w:tblCellMar>
        <w:left w:w="115" w:type="dxa"/>
        <w:right w:w="115" w:type="dxa"/>
      </w:tblCellMar>
    </w:tblPr>
  </w:style>
  <w:style w:type="table" w:customStyle="1" w:styleId="9">
    <w:name w:val="9"/>
    <w:basedOn w:val="TableNormal20"/>
    <w:tblPr>
      <w:tblStyleRowBandSize w:val="1"/>
      <w:tblStyleColBandSize w:val="1"/>
      <w:tblCellMar>
        <w:left w:w="115" w:type="dxa"/>
        <w:right w:w="115" w:type="dxa"/>
      </w:tblCellMar>
    </w:tblPr>
  </w:style>
  <w:style w:type="table" w:customStyle="1" w:styleId="8">
    <w:name w:val="8"/>
    <w:basedOn w:val="TableNormal20"/>
    <w:tblPr>
      <w:tblStyleRowBandSize w:val="1"/>
      <w:tblStyleColBandSize w:val="1"/>
      <w:tblCellMar>
        <w:left w:w="115" w:type="dxa"/>
        <w:right w:w="115" w:type="dxa"/>
      </w:tblCellMar>
    </w:tblPr>
  </w:style>
  <w:style w:type="table" w:customStyle="1" w:styleId="7">
    <w:name w:val="7"/>
    <w:basedOn w:val="TableNormal3"/>
    <w:tblPr>
      <w:tblStyleRowBandSize w:val="1"/>
      <w:tblStyleColBandSize w:val="1"/>
      <w:tblCellMar>
        <w:left w:w="115" w:type="dxa"/>
        <w:right w:w="115" w:type="dxa"/>
      </w:tblCellMar>
    </w:tblPr>
  </w:style>
  <w:style w:type="table" w:customStyle="1" w:styleId="6">
    <w:name w:val="6"/>
    <w:basedOn w:val="TableNormal3"/>
    <w:tblPr>
      <w:tblStyleRowBandSize w:val="1"/>
      <w:tblStyleColBandSize w:val="1"/>
      <w:tblCellMar>
        <w:left w:w="115" w:type="dxa"/>
        <w:right w:w="115" w:type="dxa"/>
      </w:tblCellMar>
    </w:tblPr>
  </w:style>
  <w:style w:type="table" w:customStyle="1" w:styleId="20">
    <w:name w:val="20"/>
    <w:basedOn w:val="TableNormal4"/>
    <w:tblPr>
      <w:tblStyleRowBandSize w:val="1"/>
      <w:tblStyleColBandSize w:val="1"/>
      <w:tblCellMar>
        <w:left w:w="115" w:type="dxa"/>
        <w:right w:w="115" w:type="dxa"/>
      </w:tblCellMar>
    </w:tblPr>
  </w:style>
  <w:style w:type="table" w:customStyle="1" w:styleId="19">
    <w:name w:val="19"/>
    <w:basedOn w:val="TableNormal4"/>
    <w:tblPr>
      <w:tblStyleRowBandSize w:val="1"/>
      <w:tblStyleColBandSize w:val="1"/>
      <w:tblCellMar>
        <w:left w:w="115" w:type="dxa"/>
        <w:right w:w="115" w:type="dxa"/>
      </w:tblCellMar>
    </w:tblPr>
  </w:style>
  <w:style w:type="table" w:customStyle="1" w:styleId="18">
    <w:name w:val="18"/>
    <w:basedOn w:val="TableNormal5"/>
    <w:tblPr>
      <w:tblStyleRowBandSize w:val="1"/>
      <w:tblStyleColBandSize w:val="1"/>
      <w:tblCellMar>
        <w:left w:w="115" w:type="dxa"/>
        <w:right w:w="115" w:type="dxa"/>
      </w:tblCellMar>
    </w:tblPr>
  </w:style>
  <w:style w:type="table" w:customStyle="1" w:styleId="17">
    <w:name w:val="17"/>
    <w:basedOn w:val="TableNormal5"/>
    <w:tblPr>
      <w:tblStyleRowBandSize w:val="1"/>
      <w:tblStyleColBandSize w:val="1"/>
      <w:tblCellMar>
        <w:left w:w="115" w:type="dxa"/>
        <w:right w:w="115" w:type="dxa"/>
      </w:tblCellMar>
    </w:tblPr>
  </w:style>
  <w:style w:type="table" w:customStyle="1" w:styleId="16">
    <w:name w:val="16"/>
    <w:basedOn w:val="TableNormal6"/>
    <w:tblPr>
      <w:tblStyleRowBandSize w:val="1"/>
      <w:tblStyleColBandSize w:val="1"/>
      <w:tblCellMar>
        <w:left w:w="115" w:type="dxa"/>
        <w:right w:w="115" w:type="dxa"/>
      </w:tblCellMar>
    </w:tblPr>
  </w:style>
  <w:style w:type="table" w:customStyle="1" w:styleId="15">
    <w:name w:val="15"/>
    <w:basedOn w:val="TableNormal6"/>
    <w:tblPr>
      <w:tblStyleRowBandSize w:val="1"/>
      <w:tblStyleColBandSize w:val="1"/>
      <w:tblCellMar>
        <w:left w:w="115" w:type="dxa"/>
        <w:right w:w="115" w:type="dxa"/>
      </w:tblCellMar>
    </w:tblPr>
  </w:style>
  <w:style w:type="table" w:customStyle="1" w:styleId="14">
    <w:name w:val="14"/>
    <w:basedOn w:val="TableNormal7"/>
    <w:tblPr>
      <w:tblStyleRowBandSize w:val="1"/>
      <w:tblStyleColBandSize w:val="1"/>
      <w:tblCellMar>
        <w:left w:w="115" w:type="dxa"/>
        <w:right w:w="115" w:type="dxa"/>
      </w:tblCellMar>
    </w:tblPr>
  </w:style>
  <w:style w:type="table" w:customStyle="1" w:styleId="13">
    <w:name w:val="13"/>
    <w:basedOn w:val="TableNormal7"/>
    <w:tblPr>
      <w:tblStyleRowBandSize w:val="1"/>
      <w:tblStyleColBandSize w:val="1"/>
      <w:tblCellMar>
        <w:left w:w="115"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left w:w="115" w:type="dxa"/>
        <w:right w:w="115" w:type="dxa"/>
      </w:tblCellMar>
    </w:tblPr>
  </w:style>
  <w:style w:type="table" w:customStyle="1" w:styleId="10">
    <w:name w:val="10"/>
    <w:basedOn w:val="TableNormal8"/>
    <w:tblPr>
      <w:tblStyleRowBandSize w:val="1"/>
      <w:tblStyleColBandSize w:val="1"/>
      <w:tblCellMar>
        <w:left w:w="115" w:type="dxa"/>
        <w:right w:w="115" w:type="dxa"/>
      </w:tblCellMar>
    </w:tblPr>
  </w:style>
  <w:style w:type="table" w:customStyle="1" w:styleId="24">
    <w:name w:val="24"/>
    <w:basedOn w:val="TableNormal9"/>
    <w:tblPr>
      <w:tblStyleRowBandSize w:val="1"/>
      <w:tblStyleColBandSize w:val="1"/>
      <w:tblCellMar>
        <w:left w:w="115" w:type="dxa"/>
        <w:right w:w="115" w:type="dxa"/>
      </w:tblCellMar>
    </w:tblPr>
  </w:style>
  <w:style w:type="table" w:customStyle="1" w:styleId="23">
    <w:name w:val="23"/>
    <w:basedOn w:val="TableNormal9"/>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left w:w="115" w:type="dxa"/>
        <w:right w:w="115" w:type="dxa"/>
      </w:tblCellMar>
    </w:tblPr>
  </w:style>
  <w:style w:type="table" w:customStyle="1" w:styleId="21">
    <w:name w:val="21"/>
    <w:basedOn w:val="TableNormal9"/>
    <w:tblPr>
      <w:tblStyleRowBandSize w:val="1"/>
      <w:tblStyleColBandSize w:val="1"/>
      <w:tblCellMar>
        <w:left w:w="115" w:type="dxa"/>
        <w:right w:w="115" w:type="dxa"/>
      </w:tblCellMar>
    </w:tblPr>
  </w:style>
  <w:style w:type="table" w:customStyle="1" w:styleId="35">
    <w:name w:val="35"/>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34">
    <w:name w:val="34"/>
    <w:basedOn w:val="TableNormal10"/>
    <w:tblPr>
      <w:tblStyleRowBandSize w:val="1"/>
      <w:tblStyleColBandSize w:val="1"/>
      <w:tblCellMar>
        <w:left w:w="115" w:type="dxa"/>
        <w:right w:w="115" w:type="dxa"/>
      </w:tblCellMar>
    </w:tblPr>
  </w:style>
  <w:style w:type="table" w:customStyle="1" w:styleId="33">
    <w:name w:val="33"/>
    <w:basedOn w:val="TableNormal10"/>
    <w:tblPr>
      <w:tblStyleRowBandSize w:val="1"/>
      <w:tblStyleColBandSize w:val="1"/>
      <w:tblCellMar>
        <w:left w:w="115" w:type="dxa"/>
        <w:right w:w="115" w:type="dxa"/>
      </w:tblCellMar>
    </w:tblPr>
  </w:style>
  <w:style w:type="table" w:customStyle="1" w:styleId="32">
    <w:name w:val="32"/>
    <w:basedOn w:val="TableNormal11"/>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31">
    <w:name w:val="31"/>
    <w:basedOn w:val="TableNormal11"/>
    <w:tblPr>
      <w:tblStyleRowBandSize w:val="1"/>
      <w:tblStyleColBandSize w:val="1"/>
      <w:tblCellMar>
        <w:left w:w="115" w:type="dxa"/>
        <w:right w:w="115" w:type="dxa"/>
      </w:tblCellMar>
    </w:tblPr>
  </w:style>
  <w:style w:type="table" w:customStyle="1" w:styleId="30">
    <w:name w:val="30"/>
    <w:basedOn w:val="TableNormal11"/>
    <w:tblPr>
      <w:tblStyleRowBandSize w:val="1"/>
      <w:tblStyleColBandSize w:val="1"/>
      <w:tblCellMar>
        <w:left w:w="115" w:type="dxa"/>
        <w:right w:w="115" w:type="dxa"/>
      </w:tblCellMar>
    </w:tblPr>
  </w:style>
  <w:style w:type="table" w:customStyle="1" w:styleId="29">
    <w:name w:val="29"/>
    <w:basedOn w:val="TableNormal12"/>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8">
    <w:name w:val="28"/>
    <w:basedOn w:val="TableNormal12"/>
    <w:tblPr>
      <w:tblStyleRowBandSize w:val="1"/>
      <w:tblStyleColBandSize w:val="1"/>
      <w:tblCellMar>
        <w:left w:w="115" w:type="dxa"/>
        <w:right w:w="115" w:type="dxa"/>
      </w:tblCellMar>
    </w:tblPr>
  </w:style>
  <w:style w:type="table" w:customStyle="1" w:styleId="27">
    <w:name w:val="27"/>
    <w:basedOn w:val="TableNormal12"/>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table" w:customStyle="1" w:styleId="26">
    <w:name w:val="26"/>
    <w:basedOn w:val="TableNormal13"/>
    <w:tblPr>
      <w:tblStyleRowBandSize w:val="1"/>
      <w:tblStyleColBandSize w:val="1"/>
      <w:tblCellMar>
        <w:left w:w="115" w:type="dxa"/>
        <w:right w:w="115" w:type="dxa"/>
      </w:tblCellMar>
    </w:tblPr>
  </w:style>
  <w:style w:type="table" w:customStyle="1" w:styleId="25">
    <w:name w:val="25"/>
    <w:basedOn w:val="TableNormal13"/>
    <w:tblPr>
      <w:tblStyleRowBandSize w:val="1"/>
      <w:tblStyleColBandSize w:val="1"/>
      <w:tblCellMar>
        <w:left w:w="115" w:type="dxa"/>
        <w:right w:w="115" w:type="dxa"/>
      </w:tblCellMar>
    </w:tblPr>
  </w:style>
  <w:style w:type="character" w:customStyle="1" w:styleId="Mencinsinresolver5">
    <w:name w:val="Mención sin resolver5"/>
    <w:basedOn w:val="Fuentedeprrafopredeter"/>
    <w:uiPriority w:val="99"/>
    <w:semiHidden/>
    <w:unhideWhenUsed/>
    <w:rsid w:val="00FD1A55"/>
    <w:rPr>
      <w:color w:val="605E5C"/>
      <w:shd w:val="clear" w:color="auto" w:fill="E1DFDD"/>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1C2B44"/>
    <w:pPr>
      <w:numPr>
        <w:numId w:val="1"/>
      </w:numPr>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By2XSjdNfmKo2NzWW8UaN+B3eA==">CgMxLjAyCWguMWZvYjl0ZTIIaC5namRneHMyCWguM2R5NnZrbTIJaC4zMGowemxsMgloLjJzOGV5bzEyCGgudHlqY3d0Mg5oLmNxYjAybDNsajF0NDIJaC4zcmRjcmpuMgloLjF0M2g1c2YyDWgubzBiaGZsYXU3Mmw4AHIhMW1nT3lrTkk3QzJnVGNLQUdRcmlIN1Q1cHV4aG1TWktL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3777</Words>
  <Characters>20775</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Maricela Villagómez Martínez</cp:lastModifiedBy>
  <cp:revision>2</cp:revision>
  <cp:lastPrinted>2026-02-09T16:41:00Z</cp:lastPrinted>
  <dcterms:created xsi:type="dcterms:W3CDTF">2026-03-24T17:58:00Z</dcterms:created>
  <dcterms:modified xsi:type="dcterms:W3CDTF">2026-03-24T17:58:00Z</dcterms:modified>
</cp:coreProperties>
</file>