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89ED24" w14:textId="77777777" w:rsidR="00094A71" w:rsidRDefault="00094A71">
      <w:pPr>
        <w:widowControl w:val="0"/>
        <w:pBdr>
          <w:top w:val="nil"/>
          <w:left w:val="nil"/>
          <w:bottom w:val="nil"/>
          <w:right w:val="nil"/>
          <w:between w:val="nil"/>
        </w:pBdr>
        <w:spacing w:after="0" w:line="276" w:lineRule="auto"/>
        <w:jc w:val="left"/>
      </w:pPr>
    </w:p>
    <w:p w14:paraId="425B3959" w14:textId="7426C0FA" w:rsidR="00094A71" w:rsidRDefault="00EE75AC">
      <w:pPr>
        <w:keepNext/>
        <w:keepLines/>
        <w:pBdr>
          <w:top w:val="nil"/>
          <w:left w:val="nil"/>
          <w:bottom w:val="nil"/>
          <w:right w:val="nil"/>
          <w:between w:val="nil"/>
        </w:pBdr>
        <w:spacing w:after="0" w:line="360" w:lineRule="auto"/>
        <w:jc w:val="center"/>
        <w:rPr>
          <w:color w:val="000000"/>
        </w:rPr>
      </w:pPr>
      <w:r>
        <w:rPr>
          <w:color w:val="000000"/>
        </w:rPr>
        <w:t xml:space="preserve">RESOLUCIÓN DEL RECURSO DE REVISIÓN </w:t>
      </w:r>
      <w:r w:rsidR="0047312D" w:rsidRPr="0047312D">
        <w:rPr>
          <w:color w:val="000000"/>
        </w:rPr>
        <w:t>12286/INFOEM/IP/RR/2025</w:t>
      </w:r>
    </w:p>
    <w:p w14:paraId="40B3D8CF" w14:textId="77777777" w:rsidR="00094A71" w:rsidRDefault="00094A71">
      <w:pPr>
        <w:spacing w:after="0" w:line="360" w:lineRule="auto"/>
      </w:pPr>
    </w:p>
    <w:sdt>
      <w:sdtPr>
        <w:id w:val="-1993629713"/>
        <w:docPartObj>
          <w:docPartGallery w:val="Table of Contents"/>
          <w:docPartUnique/>
        </w:docPartObj>
      </w:sdtPr>
      <w:sdtEndPr/>
      <w:sdtContent>
        <w:p w14:paraId="4E914FFF" w14:textId="77777777" w:rsidR="00094A71" w:rsidRDefault="00EE75AC" w:rsidP="007337D9">
          <w:pPr>
            <w:pBdr>
              <w:top w:val="nil"/>
              <w:left w:val="nil"/>
              <w:bottom w:val="nil"/>
              <w:right w:val="nil"/>
              <w:between w:val="nil"/>
            </w:pBdr>
            <w:tabs>
              <w:tab w:val="right" w:pos="9072"/>
            </w:tabs>
            <w:spacing w:after="0" w:line="360" w:lineRule="auto"/>
            <w:rPr>
              <w:color w:val="000000"/>
            </w:rPr>
          </w:pPr>
          <w:r>
            <w:fldChar w:fldCharType="begin"/>
          </w:r>
          <w:r>
            <w:instrText xml:space="preserve"> TOC \h \u \z \t "Heading 1,1,Heading 2,2,Heading 3,3,"</w:instrText>
          </w:r>
          <w:r>
            <w:fldChar w:fldCharType="separate"/>
          </w:r>
          <w:hyperlink w:anchor="_heading=h.k24jwvq5eofd">
            <w:r w:rsidR="00094A71">
              <w:rPr>
                <w:color w:val="000000"/>
              </w:rPr>
              <w:t>A N T E C E D E N T E S</w:t>
            </w:r>
            <w:r w:rsidR="00094A71">
              <w:rPr>
                <w:color w:val="000000"/>
              </w:rPr>
              <w:tab/>
              <w:t>2</w:t>
            </w:r>
          </w:hyperlink>
        </w:p>
        <w:p w14:paraId="37B6B876" w14:textId="77777777" w:rsidR="00094A71" w:rsidRDefault="00697941" w:rsidP="007337D9">
          <w:pPr>
            <w:pBdr>
              <w:top w:val="nil"/>
              <w:left w:val="nil"/>
              <w:bottom w:val="nil"/>
              <w:right w:val="nil"/>
              <w:between w:val="nil"/>
            </w:pBdr>
            <w:tabs>
              <w:tab w:val="right" w:pos="8921"/>
            </w:tabs>
            <w:spacing w:after="0" w:line="360" w:lineRule="auto"/>
            <w:ind w:left="200"/>
            <w:jc w:val="left"/>
            <w:rPr>
              <w:color w:val="000000"/>
            </w:rPr>
          </w:pPr>
          <w:hyperlink w:anchor="_heading=h.cbwyepejsvpz">
            <w:r w:rsidR="00094A71">
              <w:rPr>
                <w:color w:val="000000"/>
              </w:rPr>
              <w:t>I. Presentación de la solicitud de información</w:t>
            </w:r>
            <w:r w:rsidR="00094A71">
              <w:rPr>
                <w:color w:val="000000"/>
              </w:rPr>
              <w:tab/>
              <w:t>2</w:t>
            </w:r>
          </w:hyperlink>
        </w:p>
        <w:p w14:paraId="77CF6400" w14:textId="77777777" w:rsidR="00094A71" w:rsidRDefault="00697941" w:rsidP="007337D9">
          <w:pPr>
            <w:pBdr>
              <w:top w:val="nil"/>
              <w:left w:val="nil"/>
              <w:bottom w:val="nil"/>
              <w:right w:val="nil"/>
              <w:between w:val="nil"/>
            </w:pBdr>
            <w:tabs>
              <w:tab w:val="right" w:pos="8921"/>
            </w:tabs>
            <w:spacing w:after="0" w:line="360" w:lineRule="auto"/>
            <w:ind w:left="200"/>
            <w:jc w:val="left"/>
            <w:rPr>
              <w:color w:val="000000"/>
            </w:rPr>
          </w:pPr>
          <w:hyperlink w:anchor="_heading=h.zhge25lkwlal">
            <w:r w:rsidR="00094A71">
              <w:rPr>
                <w:color w:val="000000"/>
              </w:rPr>
              <w:t>II. Respuesta del Sujeto Obligado</w:t>
            </w:r>
            <w:r w:rsidR="00094A71">
              <w:rPr>
                <w:color w:val="000000"/>
              </w:rPr>
              <w:tab/>
              <w:t>3</w:t>
            </w:r>
          </w:hyperlink>
        </w:p>
        <w:p w14:paraId="6A3C4BBC" w14:textId="6B873CBF" w:rsidR="00094A71" w:rsidRDefault="00697941" w:rsidP="007337D9">
          <w:pPr>
            <w:pBdr>
              <w:top w:val="nil"/>
              <w:left w:val="nil"/>
              <w:bottom w:val="nil"/>
              <w:right w:val="nil"/>
              <w:between w:val="nil"/>
            </w:pBdr>
            <w:tabs>
              <w:tab w:val="right" w:pos="8921"/>
            </w:tabs>
            <w:spacing w:after="0" w:line="360" w:lineRule="auto"/>
            <w:ind w:left="200"/>
            <w:jc w:val="left"/>
            <w:rPr>
              <w:color w:val="000000"/>
            </w:rPr>
          </w:pPr>
          <w:hyperlink w:anchor="_heading=h.blmkewxfzg3">
            <w:r w:rsidR="00094A71">
              <w:rPr>
                <w:color w:val="000000"/>
              </w:rPr>
              <w:t>III. Interposición del Recurso de Revisión</w:t>
            </w:r>
            <w:r w:rsidR="00094A71">
              <w:rPr>
                <w:color w:val="000000"/>
              </w:rPr>
              <w:tab/>
            </w:r>
            <w:r w:rsidR="005319EC">
              <w:rPr>
                <w:color w:val="000000"/>
              </w:rPr>
              <w:t>4</w:t>
            </w:r>
          </w:hyperlink>
        </w:p>
        <w:p w14:paraId="26324F54" w14:textId="2E5F1CBA" w:rsidR="00094A71" w:rsidRDefault="00697941" w:rsidP="007337D9">
          <w:pPr>
            <w:pBdr>
              <w:top w:val="nil"/>
              <w:left w:val="nil"/>
              <w:bottom w:val="nil"/>
              <w:right w:val="nil"/>
              <w:between w:val="nil"/>
            </w:pBdr>
            <w:tabs>
              <w:tab w:val="right" w:pos="8921"/>
            </w:tabs>
            <w:spacing w:after="0" w:line="360" w:lineRule="auto"/>
            <w:ind w:left="200"/>
            <w:jc w:val="left"/>
            <w:rPr>
              <w:color w:val="000000"/>
            </w:rPr>
          </w:pPr>
          <w:hyperlink w:anchor="_heading=h.22v5qlabbxei">
            <w:r w:rsidR="00094A71">
              <w:rPr>
                <w:color w:val="000000"/>
              </w:rPr>
              <w:t>IV. Trámite del Recurso de Revisión ante este Instituto</w:t>
            </w:r>
            <w:r w:rsidR="00094A71">
              <w:rPr>
                <w:color w:val="000000"/>
              </w:rPr>
              <w:tab/>
            </w:r>
            <w:r w:rsidR="005319EC">
              <w:rPr>
                <w:color w:val="000000"/>
              </w:rPr>
              <w:t>4</w:t>
            </w:r>
          </w:hyperlink>
        </w:p>
        <w:p w14:paraId="6A0F9F92" w14:textId="054FC602" w:rsidR="00094A71" w:rsidRDefault="00697941" w:rsidP="00BF4BD5">
          <w:pPr>
            <w:pBdr>
              <w:top w:val="nil"/>
              <w:left w:val="nil"/>
              <w:bottom w:val="nil"/>
              <w:right w:val="nil"/>
              <w:between w:val="nil"/>
            </w:pBdr>
            <w:tabs>
              <w:tab w:val="right" w:pos="9072"/>
            </w:tabs>
            <w:spacing w:after="0" w:line="360" w:lineRule="auto"/>
            <w:rPr>
              <w:color w:val="000000"/>
            </w:rPr>
          </w:pPr>
          <w:hyperlink w:anchor="_heading=h.erly31t3xkpa">
            <w:r w:rsidR="00094A71">
              <w:rPr>
                <w:color w:val="000000"/>
              </w:rPr>
              <w:t>C O N S I D E R A N D O S</w:t>
            </w:r>
            <w:r w:rsidR="00094A71">
              <w:rPr>
                <w:color w:val="000000"/>
              </w:rPr>
              <w:tab/>
            </w:r>
            <w:r w:rsidR="005319EC">
              <w:rPr>
                <w:color w:val="000000"/>
              </w:rPr>
              <w:t>6</w:t>
            </w:r>
          </w:hyperlink>
        </w:p>
        <w:p w14:paraId="74699DDF" w14:textId="24F4D137" w:rsidR="00094A71" w:rsidRDefault="00697941" w:rsidP="007337D9">
          <w:pPr>
            <w:pBdr>
              <w:top w:val="nil"/>
              <w:left w:val="nil"/>
              <w:bottom w:val="nil"/>
              <w:right w:val="nil"/>
              <w:between w:val="nil"/>
            </w:pBdr>
            <w:tabs>
              <w:tab w:val="right" w:pos="8921"/>
            </w:tabs>
            <w:spacing w:after="0" w:line="360" w:lineRule="auto"/>
            <w:ind w:left="200"/>
            <w:jc w:val="left"/>
            <w:rPr>
              <w:color w:val="000000"/>
            </w:rPr>
          </w:pPr>
          <w:hyperlink w:anchor="_heading=h.hnbtw0o6m7bx">
            <w:r w:rsidR="00094A71">
              <w:rPr>
                <w:color w:val="000000"/>
              </w:rPr>
              <w:t>PRIMERO. Competencia</w:t>
            </w:r>
            <w:r w:rsidR="00094A71">
              <w:rPr>
                <w:color w:val="000000"/>
              </w:rPr>
              <w:tab/>
            </w:r>
            <w:r w:rsidR="005319EC">
              <w:rPr>
                <w:color w:val="000000"/>
              </w:rPr>
              <w:t>6</w:t>
            </w:r>
          </w:hyperlink>
        </w:p>
        <w:p w14:paraId="12DA5B31" w14:textId="4197428F" w:rsidR="00094A71" w:rsidRDefault="00697941" w:rsidP="007337D9">
          <w:pPr>
            <w:pBdr>
              <w:top w:val="nil"/>
              <w:left w:val="nil"/>
              <w:bottom w:val="nil"/>
              <w:right w:val="nil"/>
              <w:between w:val="nil"/>
            </w:pBdr>
            <w:tabs>
              <w:tab w:val="right" w:pos="8921"/>
            </w:tabs>
            <w:spacing w:after="0" w:line="360" w:lineRule="auto"/>
            <w:ind w:left="200"/>
            <w:jc w:val="left"/>
            <w:rPr>
              <w:color w:val="000000"/>
            </w:rPr>
          </w:pPr>
          <w:hyperlink w:anchor="_heading=h.4lcxuqqhk6c0">
            <w:r w:rsidR="00094A71">
              <w:rPr>
                <w:color w:val="000000"/>
              </w:rPr>
              <w:t>SEGUNDO. Causales de improcedencia y sobreseimiento</w:t>
            </w:r>
            <w:r w:rsidR="00094A71">
              <w:rPr>
                <w:color w:val="000000"/>
              </w:rPr>
              <w:tab/>
            </w:r>
            <w:r w:rsidR="005319EC">
              <w:rPr>
                <w:color w:val="000000"/>
              </w:rPr>
              <w:t>6</w:t>
            </w:r>
          </w:hyperlink>
        </w:p>
        <w:p w14:paraId="5DE91EEC" w14:textId="01C9ACE6" w:rsidR="00094A71" w:rsidRDefault="00697941" w:rsidP="007337D9">
          <w:pPr>
            <w:pBdr>
              <w:top w:val="nil"/>
              <w:left w:val="nil"/>
              <w:bottom w:val="nil"/>
              <w:right w:val="nil"/>
              <w:between w:val="nil"/>
            </w:pBdr>
            <w:tabs>
              <w:tab w:val="right" w:pos="8921"/>
            </w:tabs>
            <w:spacing w:after="0" w:line="360" w:lineRule="auto"/>
            <w:ind w:left="200"/>
            <w:jc w:val="left"/>
            <w:rPr>
              <w:color w:val="000000"/>
            </w:rPr>
          </w:pPr>
          <w:hyperlink w:anchor="_heading=h.xthpvbe8iu2v">
            <w:r w:rsidR="00094A71">
              <w:rPr>
                <w:color w:val="000000"/>
              </w:rPr>
              <w:t>TERCERO. Determinación de la Controversia</w:t>
            </w:r>
            <w:r w:rsidR="00094A71">
              <w:rPr>
                <w:color w:val="000000"/>
              </w:rPr>
              <w:tab/>
            </w:r>
            <w:r w:rsidR="005319EC">
              <w:rPr>
                <w:color w:val="000000"/>
              </w:rPr>
              <w:t>8</w:t>
            </w:r>
          </w:hyperlink>
        </w:p>
        <w:p w14:paraId="53541F72" w14:textId="1D003766" w:rsidR="00094A71" w:rsidRDefault="00697941" w:rsidP="007337D9">
          <w:pPr>
            <w:pBdr>
              <w:top w:val="nil"/>
              <w:left w:val="nil"/>
              <w:bottom w:val="nil"/>
              <w:right w:val="nil"/>
              <w:between w:val="nil"/>
            </w:pBdr>
            <w:tabs>
              <w:tab w:val="right" w:pos="8921"/>
            </w:tabs>
            <w:spacing w:after="0" w:line="360" w:lineRule="auto"/>
            <w:ind w:left="200"/>
            <w:jc w:val="left"/>
            <w:rPr>
              <w:color w:val="000000"/>
            </w:rPr>
          </w:pPr>
          <w:hyperlink w:anchor="_heading=h.ooytgvaqyq8l">
            <w:r w:rsidR="00094A71">
              <w:rPr>
                <w:color w:val="000000"/>
              </w:rPr>
              <w:t>CUARTO. Marco normativo aplicable en materia de transparencia y acceso a la información pública</w:t>
            </w:r>
            <w:r w:rsidR="00094A71">
              <w:rPr>
                <w:color w:val="000000"/>
              </w:rPr>
              <w:tab/>
            </w:r>
            <w:r w:rsidR="005319EC">
              <w:rPr>
                <w:color w:val="000000"/>
              </w:rPr>
              <w:t>9</w:t>
            </w:r>
          </w:hyperlink>
        </w:p>
        <w:p w14:paraId="5D473ED7" w14:textId="6D8D5E2F" w:rsidR="00094A71" w:rsidRDefault="00697941" w:rsidP="007337D9">
          <w:pPr>
            <w:pBdr>
              <w:top w:val="nil"/>
              <w:left w:val="nil"/>
              <w:bottom w:val="nil"/>
              <w:right w:val="nil"/>
              <w:between w:val="nil"/>
            </w:pBdr>
            <w:tabs>
              <w:tab w:val="right" w:pos="8921"/>
            </w:tabs>
            <w:spacing w:after="0" w:line="360" w:lineRule="auto"/>
            <w:ind w:left="200"/>
            <w:jc w:val="left"/>
            <w:rPr>
              <w:color w:val="000000"/>
            </w:rPr>
          </w:pPr>
          <w:hyperlink w:anchor="_heading=h.gf8195odfb7w">
            <w:r w:rsidR="00094A71">
              <w:rPr>
                <w:color w:val="000000"/>
              </w:rPr>
              <w:t>QUINTO. Estudio de Fondo</w:t>
            </w:r>
            <w:r w:rsidR="00094A71">
              <w:rPr>
                <w:color w:val="000000"/>
              </w:rPr>
              <w:tab/>
              <w:t>10</w:t>
            </w:r>
          </w:hyperlink>
        </w:p>
        <w:p w14:paraId="1142A390" w14:textId="311932AB" w:rsidR="00094A71" w:rsidRDefault="00697941" w:rsidP="007337D9">
          <w:pPr>
            <w:pBdr>
              <w:top w:val="nil"/>
              <w:left w:val="nil"/>
              <w:bottom w:val="nil"/>
              <w:right w:val="nil"/>
              <w:between w:val="nil"/>
            </w:pBdr>
            <w:tabs>
              <w:tab w:val="right" w:pos="8921"/>
            </w:tabs>
            <w:spacing w:after="0" w:line="360" w:lineRule="auto"/>
            <w:ind w:left="200"/>
            <w:jc w:val="left"/>
            <w:rPr>
              <w:color w:val="000000"/>
            </w:rPr>
          </w:pPr>
          <w:hyperlink w:anchor="_heading=h.i9jy57jhzjlb">
            <w:r w:rsidR="00094A71">
              <w:rPr>
                <w:color w:val="000000"/>
              </w:rPr>
              <w:t>SEXTO. Decisión.</w:t>
            </w:r>
            <w:r w:rsidR="00094A71">
              <w:rPr>
                <w:color w:val="000000"/>
              </w:rPr>
              <w:tab/>
            </w:r>
            <w:r w:rsidR="005319EC">
              <w:rPr>
                <w:color w:val="000000"/>
              </w:rPr>
              <w:t>22</w:t>
            </w:r>
          </w:hyperlink>
        </w:p>
        <w:p w14:paraId="44897C8A" w14:textId="5C615FE0" w:rsidR="00094A71" w:rsidRDefault="00697941" w:rsidP="007337D9">
          <w:pPr>
            <w:pBdr>
              <w:top w:val="nil"/>
              <w:left w:val="nil"/>
              <w:bottom w:val="nil"/>
              <w:right w:val="nil"/>
              <w:between w:val="nil"/>
            </w:pBdr>
            <w:tabs>
              <w:tab w:val="right" w:pos="9072"/>
            </w:tabs>
            <w:spacing w:after="0" w:line="360" w:lineRule="auto"/>
            <w:rPr>
              <w:color w:val="000000"/>
            </w:rPr>
          </w:pPr>
          <w:hyperlink w:anchor="_heading=h.e2c3iugzovt6">
            <w:r w:rsidR="00094A71">
              <w:rPr>
                <w:color w:val="000000"/>
              </w:rPr>
              <w:t>R E S U E L V E:</w:t>
            </w:r>
            <w:r w:rsidR="00094A71">
              <w:rPr>
                <w:color w:val="000000"/>
              </w:rPr>
              <w:tab/>
            </w:r>
            <w:r w:rsidR="005319EC">
              <w:rPr>
                <w:color w:val="000000"/>
              </w:rPr>
              <w:t>23</w:t>
            </w:r>
          </w:hyperlink>
        </w:p>
        <w:p w14:paraId="697BA0EF" w14:textId="77777777" w:rsidR="00094A71" w:rsidRDefault="00EE75AC">
          <w:pPr>
            <w:spacing w:after="0" w:line="360" w:lineRule="auto"/>
          </w:pPr>
          <w:r>
            <w:fldChar w:fldCharType="end"/>
          </w:r>
        </w:p>
      </w:sdtContent>
    </w:sdt>
    <w:p w14:paraId="46D9D2C1" w14:textId="77777777" w:rsidR="00094A71" w:rsidRDefault="00094A71">
      <w:pPr>
        <w:tabs>
          <w:tab w:val="left" w:pos="8931"/>
        </w:tabs>
        <w:spacing w:after="0" w:line="360" w:lineRule="auto"/>
        <w:rPr>
          <w:color w:val="000000"/>
        </w:rPr>
      </w:pPr>
    </w:p>
    <w:p w14:paraId="2D771F77" w14:textId="77777777" w:rsidR="00094A71" w:rsidRDefault="00094A71">
      <w:pPr>
        <w:tabs>
          <w:tab w:val="left" w:pos="8931"/>
        </w:tabs>
        <w:spacing w:after="0" w:line="360" w:lineRule="auto"/>
        <w:rPr>
          <w:color w:val="000000"/>
        </w:rPr>
      </w:pPr>
    </w:p>
    <w:p w14:paraId="29AA7432" w14:textId="77777777" w:rsidR="00BF4BD5" w:rsidRDefault="00BF4BD5">
      <w:pPr>
        <w:tabs>
          <w:tab w:val="left" w:pos="8931"/>
        </w:tabs>
        <w:spacing w:after="0" w:line="360" w:lineRule="auto"/>
        <w:rPr>
          <w:color w:val="000000"/>
        </w:rPr>
      </w:pPr>
    </w:p>
    <w:p w14:paraId="0FD4D13B" w14:textId="77777777" w:rsidR="00BF4BD5" w:rsidRDefault="00BF4BD5">
      <w:pPr>
        <w:tabs>
          <w:tab w:val="left" w:pos="8931"/>
        </w:tabs>
        <w:spacing w:after="0" w:line="360" w:lineRule="auto"/>
        <w:rPr>
          <w:color w:val="000000"/>
        </w:rPr>
      </w:pPr>
    </w:p>
    <w:p w14:paraId="1F937AF1" w14:textId="77777777" w:rsidR="00BF4BD5" w:rsidRDefault="00BF4BD5">
      <w:pPr>
        <w:tabs>
          <w:tab w:val="left" w:pos="8931"/>
        </w:tabs>
        <w:spacing w:after="0" w:line="360" w:lineRule="auto"/>
        <w:rPr>
          <w:color w:val="000000"/>
        </w:rPr>
      </w:pPr>
    </w:p>
    <w:p w14:paraId="4DFEDA8B" w14:textId="7279ECA5" w:rsidR="00094A71" w:rsidRDefault="00EE75AC">
      <w:pPr>
        <w:tabs>
          <w:tab w:val="left" w:pos="8931"/>
        </w:tabs>
        <w:spacing w:after="0" w:line="360" w:lineRule="auto"/>
        <w:rPr>
          <w:color w:val="000000"/>
        </w:rPr>
      </w:pPr>
      <w:r>
        <w:rPr>
          <w:color w:val="000000"/>
        </w:rPr>
        <w:lastRenderedPageBreak/>
        <w:t xml:space="preserve">Resolución del Pleno del Instituto de Transparencia, Acceso a la Información Pública y Protección de Datos Personales del Estado de México y Municipios, con domicilio en Metepec, Estado de México, de fecha </w:t>
      </w:r>
      <w:r w:rsidR="0047312D">
        <w:rPr>
          <w:color w:val="000000"/>
        </w:rPr>
        <w:t>cinco de marzo</w:t>
      </w:r>
      <w:r>
        <w:rPr>
          <w:color w:val="000000"/>
        </w:rPr>
        <w:t xml:space="preserve"> de dos mil veinti</w:t>
      </w:r>
      <w:r w:rsidR="0047312D">
        <w:rPr>
          <w:color w:val="000000"/>
        </w:rPr>
        <w:t>séis</w:t>
      </w:r>
      <w:r>
        <w:rPr>
          <w:color w:val="000000"/>
        </w:rPr>
        <w:t xml:space="preserve">. </w:t>
      </w:r>
    </w:p>
    <w:p w14:paraId="4512D6D2" w14:textId="77777777" w:rsidR="00094A71" w:rsidRDefault="00EE75AC">
      <w:pPr>
        <w:tabs>
          <w:tab w:val="left" w:pos="2340"/>
        </w:tabs>
        <w:spacing w:after="0" w:line="360" w:lineRule="auto"/>
        <w:rPr>
          <w:b/>
          <w:color w:val="FF0000"/>
        </w:rPr>
      </w:pPr>
      <w:r>
        <w:rPr>
          <w:b/>
          <w:color w:val="FF0000"/>
        </w:rPr>
        <w:tab/>
      </w:r>
    </w:p>
    <w:p w14:paraId="7EC80556" w14:textId="51B0AE19" w:rsidR="00094A71" w:rsidRDefault="00EE75AC">
      <w:pPr>
        <w:spacing w:after="0" w:line="360" w:lineRule="auto"/>
        <w:rPr>
          <w:color w:val="000000"/>
        </w:rPr>
      </w:pPr>
      <w:r>
        <w:rPr>
          <w:b/>
          <w:color w:val="000000"/>
        </w:rPr>
        <w:t xml:space="preserve">VISTO </w:t>
      </w:r>
      <w:r>
        <w:rPr>
          <w:color w:val="000000"/>
        </w:rPr>
        <w:t xml:space="preserve">el expediente electrónico conformado con motivo del Recurso de Revisión </w:t>
      </w:r>
      <w:r w:rsidR="0047312D" w:rsidRPr="00AA72A3">
        <w:rPr>
          <w:b/>
          <w:color w:val="000000"/>
        </w:rPr>
        <w:t>12286/INFOEM/IP/RR/2025</w:t>
      </w:r>
      <w:r w:rsidRPr="00983DA2">
        <w:rPr>
          <w:color w:val="000000"/>
        </w:rPr>
        <w:t xml:space="preserve">, en contra de la respuesta del Sujeto Obligado, </w:t>
      </w:r>
      <w:bookmarkStart w:id="0" w:name="_GoBack"/>
      <w:r w:rsidR="0047312D" w:rsidRPr="00AA72A3">
        <w:rPr>
          <w:b/>
          <w:color w:val="000000"/>
        </w:rPr>
        <w:t>Sistema Municipal Para el Desarrollo Integral de la Familia de Huehuetoca</w:t>
      </w:r>
      <w:r w:rsidRPr="00AA72A3">
        <w:rPr>
          <w:b/>
          <w:color w:val="000000"/>
        </w:rPr>
        <w:t>,</w:t>
      </w:r>
      <w:bookmarkEnd w:id="0"/>
      <w:r w:rsidRPr="00983DA2">
        <w:rPr>
          <w:color w:val="000000"/>
        </w:rPr>
        <w:t xml:space="preserve"> a</w:t>
      </w:r>
      <w:r>
        <w:rPr>
          <w:color w:val="000000"/>
        </w:rPr>
        <w:t xml:space="preserve"> la solicitud de acceso a la información pública </w:t>
      </w:r>
      <w:r w:rsidR="0047312D" w:rsidRPr="0047312D">
        <w:t>00238/DIFHUEHUET/IP/2025</w:t>
      </w:r>
      <w:r w:rsidR="0047312D">
        <w:t xml:space="preserve"> </w:t>
      </w:r>
      <w:r>
        <w:rPr>
          <w:color w:val="000000"/>
        </w:rPr>
        <w:t>se emite la presente Resolución, con base en los Antecedentes y Considerandos que se exponen a continuación:</w:t>
      </w:r>
    </w:p>
    <w:p w14:paraId="5A81A648" w14:textId="77777777" w:rsidR="00094A71" w:rsidRDefault="00EE75AC">
      <w:pPr>
        <w:tabs>
          <w:tab w:val="left" w:pos="1965"/>
        </w:tabs>
        <w:spacing w:after="0" w:line="360" w:lineRule="auto"/>
        <w:rPr>
          <w:b/>
          <w:color w:val="FF0000"/>
        </w:rPr>
      </w:pPr>
      <w:r>
        <w:rPr>
          <w:b/>
          <w:color w:val="FF0000"/>
        </w:rPr>
        <w:tab/>
      </w:r>
    </w:p>
    <w:p w14:paraId="3AD503AE" w14:textId="77777777" w:rsidR="00094A71" w:rsidRDefault="00EE75AC">
      <w:pPr>
        <w:pStyle w:val="Ttulo1"/>
        <w:spacing w:before="0" w:line="360" w:lineRule="auto"/>
        <w:jc w:val="center"/>
        <w:rPr>
          <w:rFonts w:ascii="Palatino Linotype" w:eastAsia="Palatino Linotype" w:hAnsi="Palatino Linotype" w:cs="Palatino Linotype"/>
          <w:b/>
          <w:color w:val="000000"/>
          <w:sz w:val="22"/>
          <w:szCs w:val="22"/>
        </w:rPr>
      </w:pPr>
      <w:bookmarkStart w:id="1" w:name="_heading=h.k24jwvq5eofd" w:colFirst="0" w:colLast="0"/>
      <w:bookmarkEnd w:id="1"/>
      <w:r>
        <w:rPr>
          <w:rFonts w:ascii="Palatino Linotype" w:eastAsia="Palatino Linotype" w:hAnsi="Palatino Linotype" w:cs="Palatino Linotype"/>
          <w:b/>
          <w:color w:val="000000"/>
          <w:sz w:val="22"/>
          <w:szCs w:val="22"/>
        </w:rPr>
        <w:t>A N T E C E D E N T E S</w:t>
      </w:r>
    </w:p>
    <w:p w14:paraId="18FAF6CA" w14:textId="77777777" w:rsidR="00094A71" w:rsidRDefault="00094A71">
      <w:pPr>
        <w:spacing w:after="0" w:line="360" w:lineRule="auto"/>
        <w:jc w:val="center"/>
        <w:rPr>
          <w:b/>
          <w:color w:val="000000"/>
        </w:rPr>
      </w:pPr>
    </w:p>
    <w:p w14:paraId="6EDA6F48" w14:textId="77777777" w:rsidR="00094A71" w:rsidRDefault="00EE75AC">
      <w:pPr>
        <w:pStyle w:val="Ttulo2"/>
        <w:spacing w:before="0" w:line="360" w:lineRule="auto"/>
        <w:rPr>
          <w:rFonts w:ascii="Palatino Linotype" w:eastAsia="Palatino Linotype" w:hAnsi="Palatino Linotype" w:cs="Palatino Linotype"/>
          <w:b/>
          <w:color w:val="000000"/>
          <w:sz w:val="22"/>
          <w:szCs w:val="22"/>
        </w:rPr>
      </w:pPr>
      <w:bookmarkStart w:id="2" w:name="_heading=h.cbwyepejsvpz" w:colFirst="0" w:colLast="0"/>
      <w:bookmarkEnd w:id="2"/>
      <w:r>
        <w:rPr>
          <w:rFonts w:ascii="Palatino Linotype" w:eastAsia="Palatino Linotype" w:hAnsi="Palatino Linotype" w:cs="Palatino Linotype"/>
          <w:b/>
          <w:color w:val="000000"/>
          <w:sz w:val="22"/>
          <w:szCs w:val="22"/>
        </w:rPr>
        <w:t>I. Presentación de la solicitud de información</w:t>
      </w:r>
    </w:p>
    <w:p w14:paraId="4CEC1D6F" w14:textId="77777777" w:rsidR="00094A71" w:rsidRDefault="00094A71">
      <w:pPr>
        <w:spacing w:after="0" w:line="360" w:lineRule="auto"/>
        <w:rPr>
          <w:b/>
          <w:color w:val="000000"/>
        </w:rPr>
      </w:pPr>
    </w:p>
    <w:p w14:paraId="193203F8" w14:textId="0F62EC74" w:rsidR="00094A71" w:rsidRDefault="00EE75AC">
      <w:pPr>
        <w:spacing w:after="0" w:line="360" w:lineRule="auto"/>
        <w:rPr>
          <w:color w:val="000000"/>
        </w:rPr>
      </w:pPr>
      <w:r>
        <w:rPr>
          <w:color w:val="000000"/>
        </w:rPr>
        <w:t xml:space="preserve">Con fecha </w:t>
      </w:r>
      <w:r w:rsidR="0047312D">
        <w:rPr>
          <w:color w:val="000000"/>
        </w:rPr>
        <w:t>seis de octubre</w:t>
      </w:r>
      <w:r>
        <w:rPr>
          <w:color w:val="000000"/>
        </w:rPr>
        <w:t xml:space="preserve"> de dos mil veinticinco, la persona Solicitante presentó un requerimiento de acceso a la información, a través del Sistema de Acceso a la Información Mexiquense (SAIMEX), ante </w:t>
      </w:r>
      <w:r w:rsidR="007337D9">
        <w:rPr>
          <w:color w:val="000000"/>
        </w:rPr>
        <w:t xml:space="preserve">el </w:t>
      </w:r>
      <w:r w:rsidR="0047312D" w:rsidRPr="0047312D">
        <w:rPr>
          <w:color w:val="000000"/>
        </w:rPr>
        <w:t>Sistema Municipal Para el Desarrollo Integral de la Familia de Huehuetoca</w:t>
      </w:r>
      <w:r>
        <w:rPr>
          <w:color w:val="000000"/>
        </w:rPr>
        <w:t>,</w:t>
      </w:r>
      <w:r>
        <w:rPr>
          <w:b/>
          <w:color w:val="000000"/>
        </w:rPr>
        <w:t xml:space="preserve"> </w:t>
      </w:r>
      <w:r>
        <w:rPr>
          <w:color w:val="000000"/>
        </w:rPr>
        <w:t>en los siguientes términos:</w:t>
      </w:r>
    </w:p>
    <w:p w14:paraId="2ECEF000" w14:textId="77777777" w:rsidR="00094A71" w:rsidRDefault="00094A71">
      <w:pPr>
        <w:tabs>
          <w:tab w:val="left" w:pos="4667"/>
        </w:tabs>
        <w:spacing w:after="0" w:line="360" w:lineRule="auto"/>
        <w:ind w:right="567"/>
        <w:rPr>
          <w:b/>
          <w:i/>
          <w:color w:val="FF0000"/>
        </w:rPr>
      </w:pPr>
    </w:p>
    <w:p w14:paraId="53D9FE99" w14:textId="77777777" w:rsidR="00094A71" w:rsidRDefault="00EE75AC">
      <w:pPr>
        <w:spacing w:after="0" w:line="360" w:lineRule="auto"/>
        <w:ind w:left="567" w:right="567"/>
        <w:rPr>
          <w:b/>
          <w:i/>
          <w:color w:val="000000"/>
          <w:sz w:val="20"/>
          <w:szCs w:val="20"/>
        </w:rPr>
      </w:pPr>
      <w:r>
        <w:rPr>
          <w:b/>
          <w:i/>
          <w:color w:val="000000"/>
          <w:sz w:val="20"/>
          <w:szCs w:val="20"/>
        </w:rPr>
        <w:t>“DESCRIPCIÓN CLARA Y PRECISA DE LA INFORMACIÓN SOLICITADA.</w:t>
      </w:r>
    </w:p>
    <w:p w14:paraId="6D09222C" w14:textId="4E2C2227" w:rsidR="00094A71" w:rsidRDefault="0047312D">
      <w:pPr>
        <w:spacing w:after="0" w:line="360" w:lineRule="auto"/>
        <w:ind w:left="567" w:right="567"/>
        <w:rPr>
          <w:i/>
          <w:color w:val="000000"/>
          <w:sz w:val="20"/>
          <w:szCs w:val="20"/>
        </w:rPr>
      </w:pPr>
      <w:r w:rsidRPr="0047312D">
        <w:rPr>
          <w:i/>
          <w:color w:val="000000"/>
          <w:sz w:val="20"/>
          <w:szCs w:val="20"/>
        </w:rPr>
        <w:t xml:space="preserve">“BUENAS TARDES, CON EL GUSTO DE SALUDARLES, SOLICITO DE LA MANERA MAS ATENTA ME PUEDAN PROPORCIONAR TODA LA DOCUMENTACION CONCERNIENTE A LA VERIFICACION VIRTUAL OFICIOSA QUE SE REALIZO EN ESTE AÑO DE 2025 A SU PORTAL DE IPOMEX, ASI COMO LAS SOLVENTACIONES QUE EMITIO EL SUJETO OBLIGADO DEL DIF DE SU MUNICIPIO, Y CUAL FUE EL </w:t>
      </w:r>
      <w:r w:rsidRPr="0047312D">
        <w:rPr>
          <w:i/>
          <w:color w:val="000000"/>
          <w:sz w:val="20"/>
          <w:szCs w:val="20"/>
        </w:rPr>
        <w:lastRenderedPageBreak/>
        <w:t>PORCENTAJE INICIAL, ASI COMO EL PORSENTAJE FINAL QUE OBTUVIERON EN DICHA VERIFICACION</w:t>
      </w:r>
      <w:r w:rsidR="007337D9">
        <w:rPr>
          <w:i/>
          <w:color w:val="000000"/>
          <w:sz w:val="20"/>
          <w:szCs w:val="20"/>
        </w:rPr>
        <w:t xml:space="preserve">”. (Sic) </w:t>
      </w:r>
    </w:p>
    <w:p w14:paraId="1270F616" w14:textId="77777777" w:rsidR="00094A71" w:rsidRDefault="00094A71">
      <w:pPr>
        <w:spacing w:after="0" w:line="360" w:lineRule="auto"/>
        <w:ind w:right="567"/>
        <w:rPr>
          <w:i/>
          <w:color w:val="000000"/>
          <w:sz w:val="20"/>
          <w:szCs w:val="20"/>
        </w:rPr>
      </w:pPr>
    </w:p>
    <w:p w14:paraId="129D6676" w14:textId="77777777" w:rsidR="00094A71" w:rsidRDefault="00EE75AC">
      <w:pPr>
        <w:spacing w:after="0" w:line="360" w:lineRule="auto"/>
        <w:ind w:left="567" w:right="567"/>
        <w:rPr>
          <w:b/>
          <w:i/>
          <w:color w:val="000000"/>
          <w:sz w:val="20"/>
          <w:szCs w:val="20"/>
        </w:rPr>
      </w:pPr>
      <w:r>
        <w:rPr>
          <w:b/>
          <w:i/>
          <w:color w:val="000000"/>
          <w:sz w:val="20"/>
          <w:szCs w:val="20"/>
        </w:rPr>
        <w:t>“MODALIDAD DE ENTREGA</w:t>
      </w:r>
    </w:p>
    <w:p w14:paraId="3B7086BF" w14:textId="77777777" w:rsidR="00094A71" w:rsidRDefault="00EE75AC">
      <w:pPr>
        <w:spacing w:after="0" w:line="360" w:lineRule="auto"/>
        <w:ind w:left="567" w:right="567"/>
        <w:rPr>
          <w:i/>
          <w:color w:val="000000"/>
          <w:sz w:val="20"/>
          <w:szCs w:val="20"/>
        </w:rPr>
      </w:pPr>
      <w:r>
        <w:rPr>
          <w:i/>
          <w:color w:val="000000"/>
          <w:sz w:val="20"/>
          <w:szCs w:val="20"/>
        </w:rPr>
        <w:t>A través del SAIMEX”</w:t>
      </w:r>
    </w:p>
    <w:p w14:paraId="66EE2AF8" w14:textId="77777777" w:rsidR="00094A71" w:rsidRDefault="00094A71">
      <w:pPr>
        <w:spacing w:after="0" w:line="360" w:lineRule="auto"/>
        <w:ind w:left="567" w:right="567"/>
        <w:rPr>
          <w:i/>
          <w:color w:val="000000"/>
          <w:sz w:val="20"/>
          <w:szCs w:val="20"/>
        </w:rPr>
      </w:pPr>
    </w:p>
    <w:p w14:paraId="59F36746" w14:textId="77777777" w:rsidR="00094A71" w:rsidRDefault="00EE75AC">
      <w:pPr>
        <w:pStyle w:val="Ttulo2"/>
        <w:spacing w:before="0" w:line="360" w:lineRule="auto"/>
        <w:rPr>
          <w:rFonts w:ascii="Palatino Linotype" w:eastAsia="Palatino Linotype" w:hAnsi="Palatino Linotype" w:cs="Palatino Linotype"/>
          <w:b/>
          <w:color w:val="000000"/>
          <w:sz w:val="22"/>
          <w:szCs w:val="22"/>
        </w:rPr>
      </w:pPr>
      <w:bookmarkStart w:id="3" w:name="_heading=h.zhge25lkwlal" w:colFirst="0" w:colLast="0"/>
      <w:bookmarkEnd w:id="3"/>
      <w:r>
        <w:rPr>
          <w:rFonts w:ascii="Palatino Linotype" w:eastAsia="Palatino Linotype" w:hAnsi="Palatino Linotype" w:cs="Palatino Linotype"/>
          <w:b/>
          <w:color w:val="000000"/>
          <w:sz w:val="22"/>
          <w:szCs w:val="22"/>
        </w:rPr>
        <w:t>II. Respuesta del Sujeto Obligado</w:t>
      </w:r>
    </w:p>
    <w:p w14:paraId="69CDD9F2" w14:textId="77777777" w:rsidR="00094A71" w:rsidRDefault="00094A71">
      <w:pPr>
        <w:spacing w:after="0" w:line="360" w:lineRule="auto"/>
        <w:rPr>
          <w:b/>
          <w:color w:val="FF0000"/>
        </w:rPr>
      </w:pPr>
    </w:p>
    <w:p w14:paraId="1409EF06" w14:textId="0DAB2E2E" w:rsidR="00094A71" w:rsidRDefault="00EE75AC">
      <w:pPr>
        <w:spacing w:after="0" w:line="360" w:lineRule="auto"/>
        <w:rPr>
          <w:color w:val="000000"/>
        </w:rPr>
      </w:pPr>
      <w:bookmarkStart w:id="4" w:name="_heading=h.5ggcaxftfv42" w:colFirst="0" w:colLast="0"/>
      <w:bookmarkEnd w:id="4"/>
      <w:r>
        <w:rPr>
          <w:color w:val="000000"/>
        </w:rPr>
        <w:t xml:space="preserve">Con fecha </w:t>
      </w:r>
      <w:r w:rsidR="00380D11">
        <w:rPr>
          <w:color w:val="000000"/>
        </w:rPr>
        <w:t>veintisiete de octubre</w:t>
      </w:r>
      <w:r>
        <w:rPr>
          <w:color w:val="000000"/>
        </w:rPr>
        <w:t xml:space="preserve"> de dos mil veinticinco, el </w:t>
      </w:r>
      <w:r w:rsidR="00380D11" w:rsidRPr="00380D11">
        <w:rPr>
          <w:color w:val="000000"/>
        </w:rPr>
        <w:t>Sistema Municipal Para el Desarrollo Integral de la Familia de Huehuetoca</w:t>
      </w:r>
      <w:r>
        <w:rPr>
          <w:color w:val="000000"/>
        </w:rPr>
        <w:t>, notificó la respuesta a la solicitud, a través del Sistema de Acceso a la Información Mexiquense (SAIMEX), mediante la digitalización del</w:t>
      </w:r>
      <w:r w:rsidR="00380D11">
        <w:rPr>
          <w:color w:val="000000"/>
        </w:rPr>
        <w:t xml:space="preserve"> o</w:t>
      </w:r>
      <w:r>
        <w:rPr>
          <w:color w:val="000000"/>
        </w:rPr>
        <w:t xml:space="preserve">ficio número </w:t>
      </w:r>
      <w:r w:rsidR="00380D11">
        <w:rPr>
          <w:color w:val="000000"/>
        </w:rPr>
        <w:t>DIF/TRANS/341/2025</w:t>
      </w:r>
      <w:r>
        <w:rPr>
          <w:color w:val="000000"/>
        </w:rPr>
        <w:t xml:space="preserve">, </w:t>
      </w:r>
      <w:r w:rsidR="00380D11">
        <w:rPr>
          <w:color w:val="000000"/>
        </w:rPr>
        <w:t>de la misma fecha de recepción</w:t>
      </w:r>
      <w:r>
        <w:rPr>
          <w:color w:val="000000"/>
        </w:rPr>
        <w:t xml:space="preserve">, suscrito por la Titular de la Unidad de Transparencia y dirigido al Solicitante, por medio del cual precisó lo siguiente: </w:t>
      </w:r>
    </w:p>
    <w:p w14:paraId="5C2384A2" w14:textId="77777777" w:rsidR="00094A71" w:rsidRDefault="00094A71">
      <w:pPr>
        <w:spacing w:after="0" w:line="360" w:lineRule="auto"/>
        <w:ind w:left="567" w:right="567"/>
        <w:rPr>
          <w:i/>
          <w:color w:val="000000"/>
          <w:sz w:val="20"/>
          <w:szCs w:val="20"/>
        </w:rPr>
      </w:pPr>
    </w:p>
    <w:p w14:paraId="59A41151" w14:textId="77777777" w:rsidR="00094A71" w:rsidRDefault="00EE75AC" w:rsidP="00380D11">
      <w:pPr>
        <w:spacing w:after="0" w:line="360" w:lineRule="auto"/>
        <w:ind w:left="567" w:right="567"/>
        <w:rPr>
          <w:i/>
          <w:color w:val="000000"/>
          <w:sz w:val="20"/>
          <w:szCs w:val="20"/>
        </w:rPr>
      </w:pPr>
      <w:r>
        <w:rPr>
          <w:i/>
          <w:color w:val="000000"/>
          <w:sz w:val="20"/>
          <w:szCs w:val="20"/>
        </w:rPr>
        <w:t>“…</w:t>
      </w:r>
    </w:p>
    <w:p w14:paraId="25DFB327" w14:textId="77777777" w:rsidR="00380D11" w:rsidRDefault="00EE75AC" w:rsidP="00380D11">
      <w:pPr>
        <w:spacing w:after="0" w:line="360" w:lineRule="auto"/>
        <w:ind w:left="567" w:right="567"/>
        <w:rPr>
          <w:i/>
          <w:color w:val="000000"/>
          <w:sz w:val="20"/>
          <w:szCs w:val="20"/>
        </w:rPr>
      </w:pPr>
      <w:r>
        <w:rPr>
          <w:i/>
          <w:color w:val="000000"/>
          <w:sz w:val="20"/>
          <w:szCs w:val="20"/>
        </w:rPr>
        <w:t xml:space="preserve"> </w:t>
      </w:r>
      <w:r w:rsidR="00380D11" w:rsidRPr="00380D11">
        <w:rPr>
          <w:i/>
          <w:color w:val="000000"/>
          <w:sz w:val="20"/>
          <w:szCs w:val="20"/>
        </w:rPr>
        <w:t>RESPUESTA: De acuerdo con la Ley de transparencia y acceso en la información pública del</w:t>
      </w:r>
      <w:r w:rsidR="00380D11">
        <w:rPr>
          <w:i/>
          <w:color w:val="000000"/>
          <w:sz w:val="20"/>
          <w:szCs w:val="20"/>
        </w:rPr>
        <w:t xml:space="preserve"> </w:t>
      </w:r>
      <w:r w:rsidR="00380D11" w:rsidRPr="00380D11">
        <w:rPr>
          <w:i/>
          <w:color w:val="000000"/>
          <w:sz w:val="20"/>
          <w:szCs w:val="20"/>
        </w:rPr>
        <w:t>Estado de México y Municipios, sustentado en el artículo 17. "La búsqueda y acceso a la información es</w:t>
      </w:r>
      <w:r w:rsidR="00380D11">
        <w:rPr>
          <w:i/>
          <w:color w:val="000000"/>
          <w:sz w:val="20"/>
          <w:szCs w:val="20"/>
        </w:rPr>
        <w:t xml:space="preserve"> </w:t>
      </w:r>
      <w:r w:rsidR="00380D11" w:rsidRPr="00380D11">
        <w:rPr>
          <w:i/>
          <w:color w:val="000000"/>
          <w:sz w:val="20"/>
          <w:szCs w:val="20"/>
        </w:rPr>
        <w:t>gratuita y solo se cubrirán los gastos de reproducción o por la modalidad de entrega solicitada, así como por</w:t>
      </w:r>
      <w:r w:rsidR="00380D11">
        <w:rPr>
          <w:i/>
          <w:color w:val="000000"/>
          <w:sz w:val="20"/>
          <w:szCs w:val="20"/>
        </w:rPr>
        <w:t xml:space="preserve"> </w:t>
      </w:r>
      <w:r w:rsidR="00380D11" w:rsidRPr="00380D11">
        <w:rPr>
          <w:i/>
          <w:color w:val="000000"/>
          <w:sz w:val="20"/>
          <w:szCs w:val="20"/>
        </w:rPr>
        <w:t xml:space="preserve">el </w:t>
      </w:r>
      <w:proofErr w:type="spellStart"/>
      <w:r w:rsidR="00380D11" w:rsidRPr="00380D11">
        <w:rPr>
          <w:i/>
          <w:color w:val="000000"/>
          <w:sz w:val="20"/>
          <w:szCs w:val="20"/>
        </w:rPr>
        <w:t>envio</w:t>
      </w:r>
      <w:proofErr w:type="spellEnd"/>
      <w:r w:rsidR="00380D11" w:rsidRPr="00380D11">
        <w:rPr>
          <w:i/>
          <w:color w:val="000000"/>
          <w:sz w:val="20"/>
          <w:szCs w:val="20"/>
        </w:rPr>
        <w:t>, que en su caso genere, de conformidad con los derechos productos y aprovechamientos</w:t>
      </w:r>
      <w:r w:rsidR="00380D11">
        <w:rPr>
          <w:i/>
          <w:color w:val="000000"/>
          <w:sz w:val="20"/>
          <w:szCs w:val="20"/>
        </w:rPr>
        <w:t xml:space="preserve"> </w:t>
      </w:r>
      <w:r w:rsidR="00380D11" w:rsidRPr="00380D11">
        <w:rPr>
          <w:i/>
          <w:color w:val="000000"/>
          <w:sz w:val="20"/>
          <w:szCs w:val="20"/>
        </w:rPr>
        <w:t>establecidos en la legislación aplicable, sin que exceda de los límites establecidos en la presente Ley".</w:t>
      </w:r>
      <w:r w:rsidR="00380D11">
        <w:rPr>
          <w:i/>
          <w:color w:val="000000"/>
          <w:sz w:val="20"/>
          <w:szCs w:val="20"/>
        </w:rPr>
        <w:t xml:space="preserve"> </w:t>
      </w:r>
      <w:r w:rsidR="00380D11" w:rsidRPr="00380D11">
        <w:rPr>
          <w:i/>
          <w:color w:val="000000"/>
          <w:sz w:val="20"/>
          <w:szCs w:val="20"/>
        </w:rPr>
        <w:t>Por lo cual se hará la entrega de dicha información solicitada en nuestras oficinas centrales del Sistema</w:t>
      </w:r>
      <w:r w:rsidR="00380D11">
        <w:rPr>
          <w:i/>
          <w:color w:val="000000"/>
          <w:sz w:val="20"/>
          <w:szCs w:val="20"/>
        </w:rPr>
        <w:t xml:space="preserve"> </w:t>
      </w:r>
      <w:r w:rsidR="00380D11" w:rsidRPr="00380D11">
        <w:rPr>
          <w:i/>
          <w:color w:val="000000"/>
          <w:sz w:val="20"/>
          <w:szCs w:val="20"/>
        </w:rPr>
        <w:t>Municipal DIF de Huehuetoca una vez cubriendo el costo de estas.</w:t>
      </w:r>
    </w:p>
    <w:p w14:paraId="5D9DDBC4" w14:textId="29A7CFE8" w:rsidR="00094A71" w:rsidRPr="00380D11" w:rsidRDefault="00EE75AC" w:rsidP="00380D11">
      <w:pPr>
        <w:spacing w:after="0" w:line="360" w:lineRule="auto"/>
        <w:ind w:left="567" w:right="567"/>
        <w:rPr>
          <w:i/>
          <w:color w:val="000000"/>
          <w:sz w:val="20"/>
          <w:szCs w:val="20"/>
        </w:rPr>
      </w:pPr>
      <w:r>
        <w:rPr>
          <w:i/>
          <w:color w:val="000000"/>
          <w:sz w:val="20"/>
          <w:szCs w:val="20"/>
        </w:rPr>
        <w:t>…”</w:t>
      </w:r>
    </w:p>
    <w:p w14:paraId="0C04D1F0" w14:textId="77777777" w:rsidR="00094A71" w:rsidRDefault="00094A71" w:rsidP="00380D11">
      <w:pPr>
        <w:spacing w:after="0" w:line="360" w:lineRule="auto"/>
        <w:ind w:left="567" w:right="567"/>
        <w:rPr>
          <w:color w:val="FF0000"/>
        </w:rPr>
      </w:pPr>
    </w:p>
    <w:p w14:paraId="2FF68E99" w14:textId="77777777" w:rsidR="00094A71" w:rsidRDefault="00EE75AC">
      <w:pPr>
        <w:pStyle w:val="Ttulo2"/>
        <w:spacing w:before="0" w:line="360" w:lineRule="auto"/>
        <w:rPr>
          <w:rFonts w:ascii="Palatino Linotype" w:eastAsia="Palatino Linotype" w:hAnsi="Palatino Linotype" w:cs="Palatino Linotype"/>
          <w:b/>
          <w:color w:val="000000"/>
          <w:sz w:val="22"/>
          <w:szCs w:val="22"/>
        </w:rPr>
      </w:pPr>
      <w:bookmarkStart w:id="5" w:name="_heading=h.blmkewxfzg3" w:colFirst="0" w:colLast="0"/>
      <w:bookmarkEnd w:id="5"/>
      <w:r>
        <w:rPr>
          <w:rFonts w:ascii="Palatino Linotype" w:eastAsia="Palatino Linotype" w:hAnsi="Palatino Linotype" w:cs="Palatino Linotype"/>
          <w:b/>
          <w:color w:val="000000"/>
          <w:sz w:val="22"/>
          <w:szCs w:val="22"/>
        </w:rPr>
        <w:lastRenderedPageBreak/>
        <w:t>III. Interposición del Recurso de Revisión</w:t>
      </w:r>
    </w:p>
    <w:p w14:paraId="20C95615" w14:textId="77777777" w:rsidR="00094A71" w:rsidRDefault="00094A71">
      <w:pPr>
        <w:spacing w:after="0" w:line="360" w:lineRule="auto"/>
        <w:rPr>
          <w:color w:val="FF0000"/>
        </w:rPr>
      </w:pPr>
    </w:p>
    <w:p w14:paraId="66F81694" w14:textId="663B48D9" w:rsidR="00094A71" w:rsidRDefault="00EE75AC">
      <w:pPr>
        <w:widowControl w:val="0"/>
        <w:spacing w:after="0" w:line="360" w:lineRule="auto"/>
        <w:rPr>
          <w:color w:val="000000"/>
        </w:rPr>
      </w:pPr>
      <w:r>
        <w:rPr>
          <w:color w:val="000000"/>
        </w:rPr>
        <w:t xml:space="preserve">Con </w:t>
      </w:r>
      <w:r w:rsidR="0091090C">
        <w:rPr>
          <w:color w:val="000000"/>
        </w:rPr>
        <w:t>fecha veintiocho de octubre</w:t>
      </w:r>
      <w:r>
        <w:rPr>
          <w:color w:val="000000"/>
        </w:rPr>
        <w:t xml:space="preserve"> de dos mil veinticinco, se recibió en este Instituto, a través del Sistema de Acceso a la Información Mexiquense (SAIMEX), el Recurso de Revisión interpuesto por la parte Recurrente, en contra de la respuesta del Sujeto Obligado</w:t>
      </w:r>
      <w:r>
        <w:t>,</w:t>
      </w:r>
      <w:r>
        <w:rPr>
          <w:b/>
        </w:rPr>
        <w:t xml:space="preserve"> </w:t>
      </w:r>
      <w:r>
        <w:rPr>
          <w:color w:val="000000"/>
        </w:rPr>
        <w:t>en los siguientes términos:</w:t>
      </w:r>
    </w:p>
    <w:p w14:paraId="56871962" w14:textId="77777777" w:rsidR="00094A71" w:rsidRDefault="00094A71">
      <w:pPr>
        <w:tabs>
          <w:tab w:val="left" w:pos="4667"/>
        </w:tabs>
        <w:spacing w:after="0" w:line="360" w:lineRule="auto"/>
        <w:ind w:left="567" w:right="567"/>
        <w:rPr>
          <w:b/>
          <w:i/>
          <w:color w:val="FF0000"/>
          <w:sz w:val="20"/>
          <w:szCs w:val="20"/>
        </w:rPr>
      </w:pPr>
    </w:p>
    <w:p w14:paraId="17E5BAD7" w14:textId="77777777" w:rsidR="00094A71" w:rsidRDefault="00EE75AC">
      <w:pPr>
        <w:tabs>
          <w:tab w:val="left" w:pos="4667"/>
        </w:tabs>
        <w:spacing w:after="0" w:line="360" w:lineRule="auto"/>
        <w:ind w:left="567" w:right="567"/>
        <w:rPr>
          <w:b/>
          <w:i/>
          <w:color w:val="000000"/>
          <w:sz w:val="20"/>
          <w:szCs w:val="20"/>
        </w:rPr>
      </w:pPr>
      <w:r>
        <w:rPr>
          <w:b/>
          <w:i/>
          <w:color w:val="000000"/>
          <w:sz w:val="20"/>
          <w:szCs w:val="20"/>
        </w:rPr>
        <w:t>“ACTO IMPUGNADO</w:t>
      </w:r>
    </w:p>
    <w:p w14:paraId="633D95B5" w14:textId="060F2D5E" w:rsidR="00094A71" w:rsidRDefault="0091090C">
      <w:pPr>
        <w:tabs>
          <w:tab w:val="left" w:pos="4667"/>
        </w:tabs>
        <w:spacing w:after="0" w:line="360" w:lineRule="auto"/>
        <w:ind w:left="567" w:right="567"/>
        <w:rPr>
          <w:i/>
          <w:color w:val="000000"/>
          <w:sz w:val="20"/>
          <w:szCs w:val="20"/>
        </w:rPr>
      </w:pPr>
      <w:r w:rsidRPr="0091090C">
        <w:rPr>
          <w:i/>
          <w:color w:val="000000"/>
          <w:sz w:val="20"/>
          <w:szCs w:val="20"/>
        </w:rPr>
        <w:t>NO ENVIARON LO REQUERIDO EN LA SOLICITUD DE INFORMACION, PRETENDIENDO ENVIARLA EN OTRO FORMATO DISTINTO AL SOLOCITADO.</w:t>
      </w:r>
      <w:r w:rsidR="007E3625">
        <w:rPr>
          <w:i/>
          <w:color w:val="000000"/>
          <w:sz w:val="20"/>
          <w:szCs w:val="20"/>
        </w:rPr>
        <w:t>” (Sic.)</w:t>
      </w:r>
    </w:p>
    <w:p w14:paraId="4CA52528" w14:textId="77777777" w:rsidR="00094A71" w:rsidRDefault="00094A71">
      <w:pPr>
        <w:tabs>
          <w:tab w:val="left" w:pos="4667"/>
        </w:tabs>
        <w:spacing w:after="0" w:line="360" w:lineRule="auto"/>
        <w:ind w:left="567" w:right="567"/>
        <w:rPr>
          <w:i/>
          <w:color w:val="FF0000"/>
          <w:sz w:val="20"/>
          <w:szCs w:val="20"/>
        </w:rPr>
      </w:pPr>
    </w:p>
    <w:p w14:paraId="768F58A7" w14:textId="77777777" w:rsidR="00094A71" w:rsidRDefault="00EE75AC">
      <w:pPr>
        <w:tabs>
          <w:tab w:val="left" w:pos="4667"/>
        </w:tabs>
        <w:spacing w:after="0" w:line="360" w:lineRule="auto"/>
        <w:ind w:left="567" w:right="567"/>
        <w:rPr>
          <w:b/>
          <w:i/>
          <w:color w:val="000000"/>
          <w:sz w:val="20"/>
          <w:szCs w:val="20"/>
        </w:rPr>
      </w:pPr>
      <w:r>
        <w:rPr>
          <w:b/>
          <w:i/>
          <w:color w:val="000000"/>
          <w:sz w:val="20"/>
          <w:szCs w:val="20"/>
        </w:rPr>
        <w:t>“RAZONES O MOTIVOS DE LA INCONFORMIDAD</w:t>
      </w:r>
    </w:p>
    <w:p w14:paraId="7448F8CC" w14:textId="0BD25120" w:rsidR="00094A71" w:rsidRDefault="0091090C">
      <w:pPr>
        <w:tabs>
          <w:tab w:val="left" w:pos="4667"/>
        </w:tabs>
        <w:spacing w:after="0" w:line="360" w:lineRule="auto"/>
        <w:ind w:left="567" w:right="567"/>
        <w:rPr>
          <w:i/>
          <w:color w:val="000000"/>
          <w:sz w:val="20"/>
          <w:szCs w:val="20"/>
        </w:rPr>
      </w:pPr>
      <w:r w:rsidRPr="0091090C">
        <w:rPr>
          <w:i/>
          <w:color w:val="000000"/>
          <w:sz w:val="20"/>
          <w:szCs w:val="20"/>
        </w:rPr>
        <w:t xml:space="preserve">NO ENVIARON LA INFORMACION REQUERIDA EN LA SOLICITUD DE INFORMACION, PRETENDIENDO ENVIARLA EN OTRO FORMATO DISTINTO AL SOLICITADO. Por la respuesta que emiten, se entiende que SI cuentan con toda la </w:t>
      </w:r>
      <w:proofErr w:type="spellStart"/>
      <w:r w:rsidRPr="0091090C">
        <w:rPr>
          <w:i/>
          <w:color w:val="000000"/>
          <w:sz w:val="20"/>
          <w:szCs w:val="20"/>
        </w:rPr>
        <w:t>informacion</w:t>
      </w:r>
      <w:proofErr w:type="spellEnd"/>
      <w:r w:rsidRPr="0091090C">
        <w:rPr>
          <w:i/>
          <w:color w:val="000000"/>
          <w:sz w:val="20"/>
          <w:szCs w:val="20"/>
        </w:rPr>
        <w:t xml:space="preserve"> solicitada. POR LO TANTO SE REQUIERE TODA LA INFORMACION SOLICITADA, en el formato de entrega </w:t>
      </w:r>
      <w:proofErr w:type="spellStart"/>
      <w:r w:rsidRPr="0091090C">
        <w:rPr>
          <w:i/>
          <w:color w:val="000000"/>
          <w:sz w:val="20"/>
          <w:szCs w:val="20"/>
        </w:rPr>
        <w:t>via</w:t>
      </w:r>
      <w:proofErr w:type="spellEnd"/>
      <w:r w:rsidRPr="0091090C">
        <w:rPr>
          <w:i/>
          <w:color w:val="000000"/>
          <w:sz w:val="20"/>
          <w:szCs w:val="20"/>
        </w:rPr>
        <w:t xml:space="preserve"> SAIMEX.</w:t>
      </w:r>
      <w:r w:rsidR="007E3625">
        <w:rPr>
          <w:i/>
          <w:color w:val="000000"/>
          <w:sz w:val="20"/>
          <w:szCs w:val="20"/>
        </w:rPr>
        <w:t>” (Sic.)</w:t>
      </w:r>
    </w:p>
    <w:p w14:paraId="2E7DAD4F" w14:textId="77777777" w:rsidR="00094A71" w:rsidRDefault="00094A71">
      <w:pPr>
        <w:tabs>
          <w:tab w:val="left" w:pos="4667"/>
        </w:tabs>
        <w:spacing w:after="0" w:line="360" w:lineRule="auto"/>
        <w:ind w:right="567"/>
        <w:rPr>
          <w:i/>
          <w:color w:val="000000"/>
          <w:sz w:val="20"/>
          <w:szCs w:val="20"/>
        </w:rPr>
      </w:pPr>
    </w:p>
    <w:p w14:paraId="266E8BA3" w14:textId="77777777" w:rsidR="00094A71" w:rsidRDefault="00EE75AC">
      <w:pPr>
        <w:pStyle w:val="Ttulo2"/>
        <w:spacing w:before="0" w:line="360" w:lineRule="auto"/>
        <w:rPr>
          <w:rFonts w:ascii="Palatino Linotype" w:eastAsia="Palatino Linotype" w:hAnsi="Palatino Linotype" w:cs="Palatino Linotype"/>
          <w:b/>
          <w:color w:val="000000"/>
          <w:sz w:val="22"/>
          <w:szCs w:val="22"/>
        </w:rPr>
      </w:pPr>
      <w:bookmarkStart w:id="6" w:name="_heading=h.22v5qlabbxei" w:colFirst="0" w:colLast="0"/>
      <w:bookmarkEnd w:id="6"/>
      <w:r>
        <w:rPr>
          <w:rFonts w:ascii="Palatino Linotype" w:eastAsia="Palatino Linotype" w:hAnsi="Palatino Linotype" w:cs="Palatino Linotype"/>
          <w:b/>
          <w:color w:val="000000"/>
          <w:sz w:val="22"/>
          <w:szCs w:val="22"/>
        </w:rPr>
        <w:t>IV. Trámite del Recurso de Revisión ante este Instituto</w:t>
      </w:r>
    </w:p>
    <w:p w14:paraId="79EFC12E" w14:textId="77777777" w:rsidR="00094A71" w:rsidRDefault="00094A71">
      <w:pPr>
        <w:spacing w:after="0" w:line="360" w:lineRule="auto"/>
        <w:rPr>
          <w:b/>
          <w:color w:val="FF0000"/>
        </w:rPr>
      </w:pPr>
    </w:p>
    <w:p w14:paraId="7DD30129" w14:textId="1E53AD09" w:rsidR="00094A71" w:rsidRDefault="00EE75AC">
      <w:pPr>
        <w:spacing w:after="0" w:line="360" w:lineRule="auto"/>
        <w:rPr>
          <w:b/>
          <w:color w:val="000000"/>
        </w:rPr>
      </w:pPr>
      <w:bookmarkStart w:id="7" w:name="_heading=h.9ivtvuy02oag" w:colFirst="0" w:colLast="0"/>
      <w:bookmarkEnd w:id="7"/>
      <w:r>
        <w:rPr>
          <w:b/>
          <w:color w:val="000000"/>
        </w:rPr>
        <w:t>a) Turno del Medio de Impugnación.</w:t>
      </w:r>
      <w:r>
        <w:rPr>
          <w:b/>
        </w:rPr>
        <w:t xml:space="preserve"> </w:t>
      </w:r>
      <w:r>
        <w:rPr>
          <w:color w:val="000000"/>
        </w:rPr>
        <w:t xml:space="preserve">El </w:t>
      </w:r>
      <w:r w:rsidR="0091090C">
        <w:rPr>
          <w:color w:val="000000"/>
        </w:rPr>
        <w:t>veintiocho de octubre</w:t>
      </w:r>
      <w:r>
        <w:rPr>
          <w:color w:val="000000"/>
        </w:rPr>
        <w:t xml:space="preserve"> de dos mil veinticinco, el Sistema de Acceso a la Información Mexiquense (SAIMEX), asignó el número de expediente</w:t>
      </w:r>
      <w:r w:rsidR="00B07954">
        <w:rPr>
          <w:color w:val="000000"/>
        </w:rPr>
        <w:t xml:space="preserve"> </w:t>
      </w:r>
      <w:r w:rsidR="0091090C" w:rsidRPr="0091090C">
        <w:rPr>
          <w:b/>
          <w:color w:val="000000"/>
        </w:rPr>
        <w:t>12286/INFOEM/IP/RR/2025</w:t>
      </w:r>
      <w:r>
        <w:rPr>
          <w:color w:val="000000"/>
        </w:rPr>
        <w:t xml:space="preserve">, al Medio de Impugnación que nos ocupa, con base en el sistema aprobado por el Pleno de este Órgano Garante y lo turnó al </w:t>
      </w:r>
      <w:r>
        <w:rPr>
          <w:b/>
          <w:color w:val="000000"/>
        </w:rPr>
        <w:t xml:space="preserve">Comisionado Ponente Luis </w:t>
      </w:r>
      <w:r>
        <w:rPr>
          <w:b/>
          <w:color w:val="000000"/>
        </w:rPr>
        <w:lastRenderedPageBreak/>
        <w:t>Gustavo Parra Noriega</w:t>
      </w:r>
      <w:r>
        <w:rPr>
          <w:color w:val="000000"/>
        </w:rPr>
        <w:t>, para los efectos del artículo 185, fracción I de la Ley de Transparencia y Acceso a la Información Pública del Estado de México y Municipios.</w:t>
      </w:r>
    </w:p>
    <w:p w14:paraId="22E0810D" w14:textId="77777777" w:rsidR="00094A71" w:rsidRDefault="00094A71">
      <w:pPr>
        <w:spacing w:after="0" w:line="360" w:lineRule="auto"/>
        <w:rPr>
          <w:color w:val="FF0000"/>
        </w:rPr>
      </w:pPr>
    </w:p>
    <w:p w14:paraId="19C38CA4" w14:textId="4901C681" w:rsidR="00094A71" w:rsidRDefault="00EE75AC">
      <w:pPr>
        <w:spacing w:after="0" w:line="360" w:lineRule="auto"/>
        <w:rPr>
          <w:color w:val="000000"/>
        </w:rPr>
      </w:pPr>
      <w:bookmarkStart w:id="8" w:name="_heading=h.bouxvg77pet1" w:colFirst="0" w:colLast="0"/>
      <w:bookmarkEnd w:id="8"/>
      <w:r>
        <w:rPr>
          <w:b/>
          <w:color w:val="000000"/>
        </w:rPr>
        <w:t>b) Admisión del Recurso de Revisión.</w:t>
      </w:r>
      <w:r>
        <w:rPr>
          <w:b/>
        </w:rPr>
        <w:t xml:space="preserve"> </w:t>
      </w:r>
      <w:r>
        <w:rPr>
          <w:color w:val="000000"/>
        </w:rPr>
        <w:t xml:space="preserve">El </w:t>
      </w:r>
      <w:r w:rsidR="0091090C">
        <w:rPr>
          <w:color w:val="000000"/>
        </w:rPr>
        <w:t>treinta y uno de octubre</w:t>
      </w:r>
      <w:r>
        <w:rPr>
          <w:color w:val="000000"/>
        </w:rPr>
        <w:t xml:space="preserve"> de dos mil veinticinco, se acordó la admisión del Recurso de Revisión interpuesto por el Recurrente</w:t>
      </w:r>
      <w:r w:rsidR="00B07954">
        <w:rPr>
          <w:color w:val="000000"/>
        </w:rPr>
        <w:t xml:space="preserve"> </w:t>
      </w:r>
      <w:r>
        <w:rPr>
          <w:color w:val="000000"/>
        </w:rPr>
        <w:t xml:space="preserve">en contra del Sujeto Obligado, en términos del artículo 185, fracciones I y II de la Ley de Transparencia y Acceso a la Información Pública del Estado de México y Municipios, el cual fue debidamente notificado a las partes, el mismo día, a través del Sistema de Acceso a la Información Mexiquense (SAIMEX), en el que se les otorgó un plazo de siete días hábiles posteriores a la misma, para que manifestaran lo que a su derecho conviniera y formularan alegatos. </w:t>
      </w:r>
    </w:p>
    <w:p w14:paraId="7DF73CE7" w14:textId="77777777" w:rsidR="00094A71" w:rsidRDefault="00094A71">
      <w:pPr>
        <w:spacing w:after="0" w:line="360" w:lineRule="auto"/>
        <w:rPr>
          <w:b/>
          <w:color w:val="000000"/>
        </w:rPr>
      </w:pPr>
    </w:p>
    <w:p w14:paraId="10E85525" w14:textId="77777777" w:rsidR="00094A71" w:rsidRDefault="00EE75AC">
      <w:pPr>
        <w:tabs>
          <w:tab w:val="left" w:pos="3261"/>
        </w:tabs>
        <w:spacing w:after="0" w:line="360" w:lineRule="auto"/>
      </w:pPr>
      <w:bookmarkStart w:id="9" w:name="_heading=h.ngkx1wqm8fmj" w:colFirst="0" w:colLast="0"/>
      <w:bookmarkEnd w:id="9"/>
      <w:r>
        <w:rPr>
          <w:b/>
          <w:color w:val="000000"/>
        </w:rPr>
        <w:t>c) Informe Justificado o Manifestaciones.</w:t>
      </w:r>
      <w:r>
        <w:t xml:space="preserve"> Las partes fueron omisas en realizar manifestaciones o alegatos </w:t>
      </w:r>
    </w:p>
    <w:p w14:paraId="7BFB3751" w14:textId="77777777" w:rsidR="00094A71" w:rsidRDefault="00094A71">
      <w:pPr>
        <w:tabs>
          <w:tab w:val="left" w:pos="3261"/>
        </w:tabs>
        <w:spacing w:after="0" w:line="360" w:lineRule="auto"/>
      </w:pPr>
    </w:p>
    <w:p w14:paraId="0866A59F" w14:textId="77777777" w:rsidR="0091090C" w:rsidRPr="0091090C" w:rsidRDefault="0091090C" w:rsidP="0091090C">
      <w:pPr>
        <w:spacing w:after="0" w:line="360" w:lineRule="auto"/>
        <w:rPr>
          <w:color w:val="000000"/>
        </w:rPr>
      </w:pPr>
      <w:r w:rsidRPr="0091090C">
        <w:rPr>
          <w:b/>
          <w:bCs/>
          <w:color w:val="000000"/>
        </w:rPr>
        <w:t xml:space="preserve">d) Ampliación de plazo para resolver. </w:t>
      </w:r>
      <w:r w:rsidRPr="0091090C">
        <w:rPr>
          <w:color w:val="000000"/>
        </w:rPr>
        <w:t>El veintitrés de febrero de dos mil veintiséis, el Comisionado Ponente, con fundamento en lo dispuesto por el artículo 181, párrafo tercero, de la Ley de Transparencia y Acceso a la Información Pública del Estado de México y Municipios, acordó ampliar por un plazo razonable, el plazo para resolver el Recurso de Revisión que nos ocupa; acto que fue notificado a las partes el día hábil siguiente, mediante el Sistema de Acceso a la Información Mexiquense (SAIMEX).</w:t>
      </w:r>
    </w:p>
    <w:p w14:paraId="51B78498" w14:textId="77777777" w:rsidR="0091090C" w:rsidRDefault="0091090C">
      <w:pPr>
        <w:tabs>
          <w:tab w:val="left" w:pos="3261"/>
        </w:tabs>
        <w:spacing w:after="0" w:line="360" w:lineRule="auto"/>
      </w:pPr>
    </w:p>
    <w:p w14:paraId="6F862BE3" w14:textId="5D3FEE84" w:rsidR="00094A71" w:rsidRDefault="0091090C">
      <w:pPr>
        <w:spacing w:after="0" w:line="360" w:lineRule="auto"/>
        <w:ind w:right="-28"/>
        <w:rPr>
          <w:color w:val="000000"/>
        </w:rPr>
      </w:pPr>
      <w:bookmarkStart w:id="10" w:name="_heading=h.tlvyewxbqvi" w:colFirst="0" w:colLast="0"/>
      <w:bookmarkEnd w:id="10"/>
      <w:r>
        <w:rPr>
          <w:b/>
          <w:color w:val="000000"/>
        </w:rPr>
        <w:t>e</w:t>
      </w:r>
      <w:r w:rsidR="00B07954">
        <w:rPr>
          <w:b/>
          <w:color w:val="000000"/>
        </w:rPr>
        <w:t>) Cierre de instrucción.</w:t>
      </w:r>
      <w:r w:rsidR="00B07954">
        <w:rPr>
          <w:color w:val="000000"/>
        </w:rPr>
        <w:t xml:space="preserve"> El</w:t>
      </w:r>
      <w:r w:rsidR="00B07954">
        <w:t xml:space="preserve"> </w:t>
      </w:r>
      <w:proofErr w:type="spellStart"/>
      <w:r>
        <w:t>tes</w:t>
      </w:r>
      <w:proofErr w:type="spellEnd"/>
      <w:r>
        <w:t xml:space="preserve"> de marzo</w:t>
      </w:r>
      <w:r w:rsidR="00B07954">
        <w:rPr>
          <w:color w:val="000000"/>
        </w:rPr>
        <w:t xml:space="preserve"> de dos mil veinti</w:t>
      </w:r>
      <w:r>
        <w:rPr>
          <w:color w:val="000000"/>
        </w:rPr>
        <w:t>séis</w:t>
      </w:r>
      <w:r w:rsidR="00B07954">
        <w:rPr>
          <w:color w:val="000000"/>
        </w:rPr>
        <w:t xml:space="preserve">, al no existir diligencias pendientes por desahogar, se emitió el acuerdo por medio del cual se declaró cerrada la instrucción y se determinó pasar los expedientes a resolución, en términos de lo dispuesto en los artículos 185, fracciones VI y VIII, de la Ley de Transparencia y Acceso a la Información </w:t>
      </w:r>
      <w:r w:rsidR="00B07954">
        <w:rPr>
          <w:color w:val="000000"/>
        </w:rPr>
        <w:lastRenderedPageBreak/>
        <w:t xml:space="preserve">Pública del Estado de México y Municipios, mismo que fue notificado a las partes el mismo día, a través del Sistema de Acceso a la Información Mexiquense (SAIMEX). </w:t>
      </w:r>
    </w:p>
    <w:p w14:paraId="094EA146" w14:textId="77777777" w:rsidR="00094A71" w:rsidRDefault="00094A71">
      <w:pPr>
        <w:spacing w:after="0" w:line="360" w:lineRule="auto"/>
        <w:ind w:right="-28"/>
        <w:rPr>
          <w:color w:val="000000"/>
          <w:highlight w:val="red"/>
        </w:rPr>
      </w:pPr>
    </w:p>
    <w:p w14:paraId="288DAD02" w14:textId="77777777" w:rsidR="00094A71" w:rsidRDefault="00EE75AC">
      <w:pPr>
        <w:spacing w:after="0" w:line="360" w:lineRule="auto"/>
        <w:rPr>
          <w:color w:val="000000"/>
        </w:rPr>
      </w:pPr>
      <w:r>
        <w:rPr>
          <w:color w:val="000000"/>
        </w:rPr>
        <w:t>En razón de que fue debidamente sustanciado e integrado el expediente electrónico y no existe diligencia pendiente de desahogo, se emite la resolución que conforme a Derecho proceda, de acuerdo a los siguientes:</w:t>
      </w:r>
    </w:p>
    <w:p w14:paraId="5E32F081" w14:textId="77777777" w:rsidR="00094A71" w:rsidRDefault="00094A71">
      <w:pPr>
        <w:spacing w:after="0" w:line="360" w:lineRule="auto"/>
        <w:rPr>
          <w:color w:val="000000"/>
        </w:rPr>
      </w:pPr>
    </w:p>
    <w:p w14:paraId="63416957" w14:textId="77777777" w:rsidR="00094A71" w:rsidRDefault="00EE75AC">
      <w:pPr>
        <w:pStyle w:val="Ttulo1"/>
        <w:spacing w:before="0" w:line="360" w:lineRule="auto"/>
        <w:jc w:val="center"/>
        <w:rPr>
          <w:rFonts w:ascii="Palatino Linotype" w:eastAsia="Palatino Linotype" w:hAnsi="Palatino Linotype" w:cs="Palatino Linotype"/>
          <w:b/>
          <w:color w:val="000000"/>
          <w:sz w:val="22"/>
          <w:szCs w:val="22"/>
        </w:rPr>
      </w:pPr>
      <w:bookmarkStart w:id="11" w:name="_heading=h.erly31t3xkpa" w:colFirst="0" w:colLast="0"/>
      <w:bookmarkEnd w:id="11"/>
      <w:r w:rsidRPr="00C31AC5">
        <w:rPr>
          <w:rFonts w:ascii="Palatino Linotype" w:eastAsia="Palatino Linotype" w:hAnsi="Palatino Linotype" w:cs="Palatino Linotype"/>
          <w:b/>
          <w:color w:val="000000"/>
          <w:sz w:val="22"/>
          <w:szCs w:val="22"/>
        </w:rPr>
        <w:t>C O N S I D E R A N D O S</w:t>
      </w:r>
    </w:p>
    <w:p w14:paraId="5F731EB2" w14:textId="77777777" w:rsidR="00094A71" w:rsidRDefault="00094A71">
      <w:pPr>
        <w:spacing w:after="0" w:line="360" w:lineRule="auto"/>
        <w:jc w:val="center"/>
        <w:rPr>
          <w:b/>
          <w:color w:val="000000"/>
        </w:rPr>
      </w:pPr>
    </w:p>
    <w:p w14:paraId="5E6D88AD" w14:textId="77777777" w:rsidR="00094A71" w:rsidRDefault="00EE75AC">
      <w:pPr>
        <w:pStyle w:val="Ttulo2"/>
        <w:spacing w:before="0" w:line="360" w:lineRule="auto"/>
        <w:rPr>
          <w:rFonts w:ascii="Palatino Linotype" w:eastAsia="Palatino Linotype" w:hAnsi="Palatino Linotype" w:cs="Palatino Linotype"/>
          <w:b/>
          <w:color w:val="000000"/>
          <w:sz w:val="22"/>
          <w:szCs w:val="22"/>
        </w:rPr>
      </w:pPr>
      <w:bookmarkStart w:id="12" w:name="_heading=h.hnbtw0o6m7bx" w:colFirst="0" w:colLast="0"/>
      <w:bookmarkEnd w:id="12"/>
      <w:r>
        <w:rPr>
          <w:rFonts w:ascii="Palatino Linotype" w:eastAsia="Palatino Linotype" w:hAnsi="Palatino Linotype" w:cs="Palatino Linotype"/>
          <w:b/>
          <w:color w:val="000000"/>
          <w:sz w:val="22"/>
          <w:szCs w:val="22"/>
        </w:rPr>
        <w:t>PRIMERO. Competencia</w:t>
      </w:r>
    </w:p>
    <w:p w14:paraId="2B2131E9" w14:textId="77777777" w:rsidR="00094A71" w:rsidRDefault="00094A71">
      <w:pPr>
        <w:spacing w:after="0" w:line="360" w:lineRule="auto"/>
        <w:rPr>
          <w:b/>
          <w:color w:val="FF0000"/>
        </w:rPr>
      </w:pPr>
    </w:p>
    <w:p w14:paraId="7D7DEE5B" w14:textId="0CC3991F" w:rsidR="00094A71" w:rsidRDefault="000F67B8">
      <w:pPr>
        <w:spacing w:after="0" w:line="360" w:lineRule="auto"/>
        <w:rPr>
          <w:color w:val="000000"/>
        </w:rPr>
      </w:pPr>
      <w:r w:rsidRPr="000F67B8">
        <w:rPr>
          <w:color w:val="000000"/>
        </w:rPr>
        <w:t>El Instituto de Transparencia, Acceso a la Información Pública y Protección de Datos Personales del Estado de México y Municipios, es competente para conocer y resolver el presente recurso de revisión interpuesto por la persona Recurrente, conforme a lo dispuesto en los artículos 5°, párrafos cuadragésimo cuarto, cuadragésimo quinto y cuadragésimo sexto, fracciones IV y V de la Constitución Política del Estado Libre y Soberano de México; Cuarto Transitorio, párrafo segundo del Decreto número 198 de la “LXII” Legislatura del Estado de México; 1°, 2°, fracciones II y IV; 13, 29, 36, fracciones I y II; 176, 178, 179, 181 párrafo tercero, 185, 188 y 189 de la Ley Transparencia y Acceso a la Información Pública del Estado de México y Municipios; 7°, 9°, fracciones I y XXIII y 11 del Reglamento Interior del Instituto de Transparencia, Acceso a la Información Pública y Protección de Datos Personales del Estado de México y Municipios.</w:t>
      </w:r>
    </w:p>
    <w:p w14:paraId="18FCD29A" w14:textId="77777777" w:rsidR="000F67B8" w:rsidRDefault="000F67B8">
      <w:pPr>
        <w:spacing w:after="0" w:line="360" w:lineRule="auto"/>
        <w:rPr>
          <w:b/>
          <w:color w:val="000000"/>
        </w:rPr>
      </w:pPr>
    </w:p>
    <w:p w14:paraId="632E1DC1" w14:textId="77777777" w:rsidR="00094A71" w:rsidRDefault="00EE75AC">
      <w:pPr>
        <w:pStyle w:val="Ttulo2"/>
        <w:spacing w:before="0" w:line="360" w:lineRule="auto"/>
        <w:rPr>
          <w:rFonts w:ascii="Palatino Linotype" w:eastAsia="Palatino Linotype" w:hAnsi="Palatino Linotype" w:cs="Palatino Linotype"/>
          <w:b/>
          <w:color w:val="000000"/>
          <w:sz w:val="22"/>
          <w:szCs w:val="22"/>
        </w:rPr>
      </w:pPr>
      <w:bookmarkStart w:id="13" w:name="_heading=h.4lcxuqqhk6c0" w:colFirst="0" w:colLast="0"/>
      <w:bookmarkEnd w:id="13"/>
      <w:r>
        <w:rPr>
          <w:rFonts w:ascii="Palatino Linotype" w:eastAsia="Palatino Linotype" w:hAnsi="Palatino Linotype" w:cs="Palatino Linotype"/>
          <w:b/>
          <w:color w:val="000000"/>
          <w:sz w:val="22"/>
          <w:szCs w:val="22"/>
        </w:rPr>
        <w:t xml:space="preserve">SEGUNDO. Causales de improcedencia y sobreseimiento </w:t>
      </w:r>
    </w:p>
    <w:p w14:paraId="7B386953" w14:textId="77777777" w:rsidR="00094A71" w:rsidRDefault="00094A71">
      <w:pPr>
        <w:spacing w:after="0" w:line="360" w:lineRule="auto"/>
        <w:rPr>
          <w:color w:val="000000"/>
        </w:rPr>
      </w:pPr>
    </w:p>
    <w:p w14:paraId="3E2D8ACA" w14:textId="77777777" w:rsidR="00094A71" w:rsidRDefault="00EE75AC">
      <w:pPr>
        <w:spacing w:after="0" w:line="360" w:lineRule="auto"/>
        <w:rPr>
          <w:color w:val="000000"/>
        </w:rPr>
      </w:pPr>
      <w:r>
        <w:rPr>
          <w:color w:val="000000"/>
        </w:rPr>
        <w:lastRenderedPageBreak/>
        <w:t xml:space="preserve">De las constancias que forma parte del Recurso de Revisión que se analiza, se advierte que previo al estudio del fondo de la </w:t>
      </w:r>
      <w:proofErr w:type="spellStart"/>
      <w:r>
        <w:rPr>
          <w:i/>
          <w:color w:val="000000"/>
        </w:rPr>
        <w:t>litis</w:t>
      </w:r>
      <w:proofErr w:type="spellEnd"/>
      <w:r>
        <w:rPr>
          <w:color w:val="000000"/>
        </w:rPr>
        <w:t>, es necesario estudiar las causales de improcedencia y sobreseimiento que se adviertan, para determinar lo que en Derecho proceda.</w:t>
      </w:r>
    </w:p>
    <w:p w14:paraId="7432481D" w14:textId="77777777" w:rsidR="00094A71" w:rsidRDefault="00094A71">
      <w:pPr>
        <w:spacing w:after="0" w:line="360" w:lineRule="auto"/>
        <w:rPr>
          <w:b/>
          <w:color w:val="000000"/>
        </w:rPr>
      </w:pPr>
    </w:p>
    <w:p w14:paraId="48056D7B" w14:textId="77777777" w:rsidR="00094A71" w:rsidRDefault="00EE75AC">
      <w:pPr>
        <w:spacing w:after="0" w:line="360" w:lineRule="auto"/>
        <w:rPr>
          <w:b/>
          <w:color w:val="000000"/>
        </w:rPr>
      </w:pPr>
      <w:r>
        <w:rPr>
          <w:b/>
          <w:color w:val="000000"/>
        </w:rPr>
        <w:t>Causales de improcedencia</w:t>
      </w:r>
    </w:p>
    <w:p w14:paraId="1345E5B9" w14:textId="77777777" w:rsidR="00094A71" w:rsidRDefault="00094A71">
      <w:pPr>
        <w:spacing w:after="0" w:line="360" w:lineRule="auto"/>
        <w:rPr>
          <w:color w:val="000000"/>
        </w:rPr>
      </w:pPr>
    </w:p>
    <w:p w14:paraId="7B8A9C1B" w14:textId="77777777" w:rsidR="00094A71" w:rsidRDefault="00EE75AC">
      <w:pPr>
        <w:spacing w:after="0" w:line="360" w:lineRule="auto"/>
        <w:rPr>
          <w:color w:val="000000"/>
        </w:rPr>
      </w:pPr>
      <w:r>
        <w:rPr>
          <w:color w:val="000000"/>
        </w:rPr>
        <w:t>Este Instituto realiza el estudio oficioso de las causales de improcedencia, por tratarse de una cuestión de orden público y de estudio preferente (acorde con el Criterio orientador en la Tesis de Jurisprudencia “IMPROCEDENCIA.” (Semanario Judicial de la Federación, Quinta Época, 1985, pág. 262), el cual establece que debe examinarse previamente la procedencia del juicio de amparo, sea que las partes lo soliciten o no, por ser una cuestión de orden público; de tal suerte, deberá ser desechado cualquier Recurso de Revisión que actualice alguno de los supuestos establecidos en el artículo 191 de la Ley de Transparencia y Acceso a la Información Pública del Estado de México y Municipios, por ser improcedente.</w:t>
      </w:r>
    </w:p>
    <w:p w14:paraId="0F93B6F7" w14:textId="77777777" w:rsidR="00094A71" w:rsidRDefault="00094A71">
      <w:pPr>
        <w:spacing w:after="0" w:line="360" w:lineRule="auto"/>
        <w:rPr>
          <w:color w:val="000000"/>
        </w:rPr>
      </w:pPr>
    </w:p>
    <w:p w14:paraId="30DEDEA6" w14:textId="77777777" w:rsidR="00094A71" w:rsidRDefault="00EE75AC">
      <w:pPr>
        <w:spacing w:after="0" w:line="360" w:lineRule="auto"/>
        <w:rPr>
          <w:color w:val="000000"/>
        </w:rPr>
      </w:pPr>
      <w:r>
        <w:rPr>
          <w:color w:val="000000"/>
        </w:rPr>
        <w:t>En el presente caso, </w:t>
      </w:r>
      <w:r>
        <w:rPr>
          <w:b/>
          <w:color w:val="000000"/>
        </w:rPr>
        <w:t>no se actualiza ninguna de las causales de improcedencia</w:t>
      </w:r>
      <w:r>
        <w:rPr>
          <w:color w:val="000000"/>
        </w:rPr>
        <w:t> establecidas en el ordenamiento jurídico previamente señalado, toda vez que: este Instituto no tiene conocimiento de que se encuentre en trámite algún medio de defensa presentado por la Recurrente ante otra instancia; no existió prevención alguna; la veracidad de la respuesta no formó parte del agravio; ni se realizó una consulta o ampliación a los alcances del requerimiento informativo.</w:t>
      </w:r>
    </w:p>
    <w:p w14:paraId="711053A1" w14:textId="77777777" w:rsidR="00094A71" w:rsidRDefault="00094A71">
      <w:pPr>
        <w:spacing w:after="0" w:line="360" w:lineRule="auto"/>
        <w:rPr>
          <w:color w:val="000000"/>
        </w:rPr>
      </w:pPr>
    </w:p>
    <w:p w14:paraId="37574742" w14:textId="65F668E6" w:rsidR="00094A71" w:rsidRPr="000F67B8" w:rsidRDefault="00EE75AC">
      <w:pPr>
        <w:spacing w:after="0" w:line="360" w:lineRule="auto"/>
      </w:pPr>
      <w:r>
        <w:rPr>
          <w:color w:val="000000"/>
        </w:rPr>
        <w:t xml:space="preserve">Conforme a lo anterior, se actualiza la causal de procedencia señalada en el artículo 179, </w:t>
      </w:r>
      <w:r w:rsidR="000F67B8" w:rsidRPr="000F67B8">
        <w:t xml:space="preserve">fracciones VIII y X, de la Ley en cita, pues la persona Recurrente se inconformó de la entrega de información en una modalidad distinto al solicitado y los costos de la información. </w:t>
      </w:r>
    </w:p>
    <w:p w14:paraId="2A559255" w14:textId="77777777" w:rsidR="00094A71" w:rsidRDefault="00EE75AC">
      <w:pPr>
        <w:spacing w:after="0" w:line="360" w:lineRule="auto"/>
        <w:rPr>
          <w:color w:val="0D0D0D"/>
        </w:rPr>
      </w:pPr>
      <w:r>
        <w:rPr>
          <w:b/>
          <w:color w:val="0D0D0D"/>
        </w:rPr>
        <w:lastRenderedPageBreak/>
        <w:t>Causales de sobreseimiento</w:t>
      </w:r>
    </w:p>
    <w:p w14:paraId="2FDB9B2D" w14:textId="77777777" w:rsidR="00094A71" w:rsidRDefault="00094A71">
      <w:pPr>
        <w:spacing w:after="0" w:line="360" w:lineRule="auto"/>
        <w:rPr>
          <w:color w:val="0D0D0D"/>
        </w:rPr>
      </w:pPr>
    </w:p>
    <w:p w14:paraId="16DCCE17" w14:textId="77777777" w:rsidR="00094A71" w:rsidRDefault="00EE75AC">
      <w:pPr>
        <w:spacing w:after="0" w:line="360" w:lineRule="auto"/>
        <w:rPr>
          <w:color w:val="0D0D0D"/>
        </w:rPr>
      </w:pPr>
      <w:r>
        <w:rPr>
          <w:color w:val="0D0D0D"/>
        </w:rPr>
        <w:t>Por ser de previo y especial pronunciamiento, este Instituto analiza si se actualiza alguna causal de sobreseimiento.</w:t>
      </w:r>
    </w:p>
    <w:p w14:paraId="2FDAF96F" w14:textId="77777777" w:rsidR="00094A71" w:rsidRDefault="00094A71">
      <w:pPr>
        <w:spacing w:after="0" w:line="360" w:lineRule="auto"/>
        <w:rPr>
          <w:color w:val="0D0D0D"/>
        </w:rPr>
      </w:pPr>
    </w:p>
    <w:p w14:paraId="7E9FF030" w14:textId="77777777" w:rsidR="00094A71" w:rsidRDefault="00EE75AC">
      <w:pPr>
        <w:spacing w:after="0" w:line="360" w:lineRule="auto"/>
        <w:rPr>
          <w:color w:val="000000"/>
        </w:rPr>
      </w:pPr>
      <w:r>
        <w:rPr>
          <w:color w:val="0D0D0D"/>
        </w:rPr>
        <w:t>Sobre el tema, e</w:t>
      </w:r>
      <w:r>
        <w:rPr>
          <w:color w:val="000000"/>
        </w:rPr>
        <w:t>l artículo 192 de la Ley Transparencia y Acceso a la Información Pública del Estado de México y Municipios, señala las causales por las cuales se puede sobreseer en todo o en parte, el Recurso de Revisión; así, del análisis realizado por este Instituto, se advierte que no se actualiza algún supuesto de sobreseimiento; lo anterior, en virtud de que no hay constancias en el expediente en que se actúa, de que la persona Recurrente se haya desistido del recurso, haya fallecido, sobreviniera alguna causal de improcedencia, que el Sujeto Obligado hubiese modificado o revocado el acto impugnado o bien, haya quedado sin materia.</w:t>
      </w:r>
    </w:p>
    <w:p w14:paraId="58CE4B9C" w14:textId="77777777" w:rsidR="00094A71" w:rsidRDefault="00094A71">
      <w:pPr>
        <w:spacing w:after="0" w:line="360" w:lineRule="auto"/>
        <w:rPr>
          <w:color w:val="000000"/>
        </w:rPr>
      </w:pPr>
    </w:p>
    <w:p w14:paraId="7D378858" w14:textId="77777777" w:rsidR="00094A71" w:rsidRDefault="00EE75AC">
      <w:pPr>
        <w:spacing w:after="0" w:line="360" w:lineRule="auto"/>
        <w:rPr>
          <w:color w:val="0D0D0D"/>
        </w:rPr>
      </w:pPr>
      <w:r>
        <w:rPr>
          <w:color w:val="0D0D0D"/>
        </w:rPr>
        <w:t xml:space="preserve">Por tales motivos, se considera procedente entrar al fondo del presente asunto. </w:t>
      </w:r>
    </w:p>
    <w:p w14:paraId="56768EA7" w14:textId="77777777" w:rsidR="00094A71" w:rsidRDefault="00094A71">
      <w:pPr>
        <w:spacing w:after="0" w:line="360" w:lineRule="auto"/>
        <w:rPr>
          <w:b/>
          <w:color w:val="000000"/>
        </w:rPr>
      </w:pPr>
    </w:p>
    <w:p w14:paraId="1D4B9215" w14:textId="77777777" w:rsidR="00094A71" w:rsidRDefault="00EE75AC">
      <w:pPr>
        <w:pStyle w:val="Ttulo2"/>
        <w:spacing w:before="0" w:line="360" w:lineRule="auto"/>
        <w:rPr>
          <w:rFonts w:ascii="Palatino Linotype" w:eastAsia="Palatino Linotype" w:hAnsi="Palatino Linotype" w:cs="Palatino Linotype"/>
          <w:b/>
          <w:color w:val="000000"/>
          <w:sz w:val="22"/>
          <w:szCs w:val="22"/>
        </w:rPr>
      </w:pPr>
      <w:bookmarkStart w:id="14" w:name="_heading=h.xthpvbe8iu2v" w:colFirst="0" w:colLast="0"/>
      <w:bookmarkEnd w:id="14"/>
      <w:r>
        <w:rPr>
          <w:rFonts w:ascii="Palatino Linotype" w:eastAsia="Palatino Linotype" w:hAnsi="Palatino Linotype" w:cs="Palatino Linotype"/>
          <w:b/>
          <w:color w:val="000000"/>
          <w:sz w:val="22"/>
          <w:szCs w:val="22"/>
        </w:rPr>
        <w:t>TERCERO. Determinación de la Controversia</w:t>
      </w:r>
    </w:p>
    <w:p w14:paraId="772FFB4E" w14:textId="77777777" w:rsidR="00094A71" w:rsidRDefault="00094A71">
      <w:pPr>
        <w:spacing w:after="0" w:line="360" w:lineRule="auto"/>
        <w:rPr>
          <w:color w:val="FF0000"/>
        </w:rPr>
      </w:pPr>
    </w:p>
    <w:p w14:paraId="06C8CAB6" w14:textId="574A33EF" w:rsidR="00094A71" w:rsidRDefault="00EE75AC">
      <w:pPr>
        <w:spacing w:after="0" w:line="360" w:lineRule="auto"/>
        <w:rPr>
          <w:color w:val="000000"/>
        </w:rPr>
      </w:pPr>
      <w:r>
        <w:rPr>
          <w:color w:val="000000"/>
        </w:rPr>
        <w:t xml:space="preserve">Una vez realizado el estudio de las constancias que integran el expediente en que se actúa, se desprende que el Recurrente requirió </w:t>
      </w:r>
      <w:r w:rsidR="000F67B8">
        <w:rPr>
          <w:color w:val="000000"/>
        </w:rPr>
        <w:t xml:space="preserve">toda la documentación de la Verificación Virtual Oficiosa que se realizó en 2025 a su portal de IPOMEX, que incluya las solvataciones que emitió el Sujeto Obligado, así como el porcentaje inicial y final que obtuvo en la verificación. </w:t>
      </w:r>
    </w:p>
    <w:p w14:paraId="601566D5" w14:textId="77777777" w:rsidR="00094A71" w:rsidRDefault="00094A71">
      <w:pPr>
        <w:spacing w:after="0" w:line="360" w:lineRule="auto"/>
        <w:rPr>
          <w:color w:val="000000"/>
        </w:rPr>
      </w:pPr>
    </w:p>
    <w:p w14:paraId="76E2BAD0" w14:textId="6FDFC2DD" w:rsidR="00094A71" w:rsidRDefault="00EE75AC">
      <w:pPr>
        <w:spacing w:after="0" w:line="360" w:lineRule="auto"/>
        <w:ind w:right="-28"/>
      </w:pPr>
      <w:r>
        <w:rPr>
          <w:color w:val="000000"/>
        </w:rPr>
        <w:t xml:space="preserve">En respuesta, el Sujeto Obligado, por medio de la Unidad de Transparencia </w:t>
      </w:r>
      <w:r w:rsidR="000F67B8" w:rsidRPr="000F67B8">
        <w:rPr>
          <w:color w:val="000000"/>
        </w:rPr>
        <w:t xml:space="preserve">puso a disposición de la persona Recurrente la información a través de consulta directa en sus </w:t>
      </w:r>
      <w:r w:rsidR="000F67B8" w:rsidRPr="000F67B8">
        <w:rPr>
          <w:color w:val="000000"/>
        </w:rPr>
        <w:lastRenderedPageBreak/>
        <w:t xml:space="preserve">oficinas previo costo de la reproducción de información; </w:t>
      </w:r>
      <w:r w:rsidR="000F67B8" w:rsidRPr="000F67B8">
        <w:t>ante dicha circunstancia, el Particular se inconformó del cambio de modalidad y los costos, lo cual actualiza las causales de procedencia previstas en las fracciones VIII y X, del artículo 179 de la Ley de Transparencia y Acceso a la Información Pública del Estado de México y Municipios</w:t>
      </w:r>
      <w:r w:rsidR="000F67B8" w:rsidRPr="000F67B8">
        <w:rPr>
          <w:color w:val="0D0D0D"/>
        </w:rPr>
        <w:t xml:space="preserve">. </w:t>
      </w:r>
      <w:r w:rsidR="000F67B8" w:rsidRPr="000F67B8">
        <w:t xml:space="preserve">Así, las cosas, una vez admitido y notificado el Recurso de Revisión a las partes, estas fueron omisas en manifestarse.  </w:t>
      </w:r>
    </w:p>
    <w:p w14:paraId="40356D2B" w14:textId="77777777" w:rsidR="000F67B8" w:rsidRDefault="000F67B8">
      <w:pPr>
        <w:spacing w:after="0" w:line="360" w:lineRule="auto"/>
        <w:ind w:right="-28"/>
        <w:rPr>
          <w:color w:val="000000"/>
        </w:rPr>
      </w:pPr>
    </w:p>
    <w:p w14:paraId="7325C3FB" w14:textId="77777777" w:rsidR="00094A71" w:rsidRDefault="00EE75AC">
      <w:pPr>
        <w:tabs>
          <w:tab w:val="left" w:pos="4962"/>
        </w:tabs>
        <w:spacing w:after="0" w:line="360" w:lineRule="auto"/>
        <w:rPr>
          <w:color w:val="000000"/>
        </w:rPr>
      </w:pPr>
      <w:r>
        <w:rPr>
          <w:color w:val="000000"/>
        </w:rPr>
        <w:t xml:space="preserve">Lo anterior, se desprende de las documentales que obran en el expediente de referencia, materia de la presente resolución, consistente en: la solicitud de acceso a la información, la respuesta y el escrito </w:t>
      </w:r>
      <w:proofErr w:type="spellStart"/>
      <w:r>
        <w:rPr>
          <w:color w:val="000000"/>
        </w:rPr>
        <w:t>recursal</w:t>
      </w:r>
      <w:proofErr w:type="spellEnd"/>
      <w:r>
        <w:rPr>
          <w:color w:val="000000"/>
        </w:rPr>
        <w:t>; instrumentales que se toman en cuenta a efecto de resolver el presente medio de impugnación, conforme a lo dispuesto por el artículo 185, fracción IV, de la Ley de Transparencia y Acceso a la Información Pública del Estado de México y Municipios.</w:t>
      </w:r>
    </w:p>
    <w:p w14:paraId="0ADC6F4B" w14:textId="77777777" w:rsidR="00094A71" w:rsidRDefault="00094A71">
      <w:pPr>
        <w:spacing w:after="0" w:line="360" w:lineRule="auto"/>
        <w:rPr>
          <w:b/>
          <w:color w:val="000000"/>
        </w:rPr>
      </w:pPr>
    </w:p>
    <w:p w14:paraId="45A65481" w14:textId="77777777" w:rsidR="00094A71" w:rsidRDefault="00EE75AC">
      <w:pPr>
        <w:pStyle w:val="Ttulo2"/>
        <w:spacing w:before="0" w:line="360" w:lineRule="auto"/>
        <w:rPr>
          <w:rFonts w:ascii="Palatino Linotype" w:eastAsia="Palatino Linotype" w:hAnsi="Palatino Linotype" w:cs="Palatino Linotype"/>
          <w:b/>
          <w:color w:val="000000"/>
          <w:sz w:val="22"/>
          <w:szCs w:val="22"/>
        </w:rPr>
      </w:pPr>
      <w:bookmarkStart w:id="15" w:name="_heading=h.ooytgvaqyq8l" w:colFirst="0" w:colLast="0"/>
      <w:bookmarkEnd w:id="15"/>
      <w:r>
        <w:rPr>
          <w:rFonts w:ascii="Palatino Linotype" w:eastAsia="Palatino Linotype" w:hAnsi="Palatino Linotype" w:cs="Palatino Linotype"/>
          <w:b/>
          <w:color w:val="000000"/>
          <w:sz w:val="22"/>
          <w:szCs w:val="22"/>
        </w:rPr>
        <w:t>CUARTO. Marco normativo aplicable en materia de transparencia y acceso a la información pública</w:t>
      </w:r>
    </w:p>
    <w:p w14:paraId="1904C4EA" w14:textId="77777777" w:rsidR="00094A71" w:rsidRDefault="00094A71">
      <w:pPr>
        <w:spacing w:after="0" w:line="360" w:lineRule="auto"/>
        <w:rPr>
          <w:color w:val="FF0000"/>
        </w:rPr>
      </w:pPr>
    </w:p>
    <w:p w14:paraId="6702F5A2" w14:textId="77777777" w:rsidR="00094A71" w:rsidRDefault="00EE75AC">
      <w:pPr>
        <w:spacing w:after="0" w:line="360" w:lineRule="auto"/>
        <w:rPr>
          <w:color w:val="000000"/>
        </w:rPr>
      </w:pPr>
      <w:r>
        <w:rPr>
          <w:color w:val="000000"/>
        </w:rPr>
        <w:t>El artículo 6°, Apartado A), fracción I de la Constitución Política de los Estados Unidos Mexicanos, establece que toda la información en posesión de cualquier autoridad es pública y sólo podrá ser reservada temporalmente por razones de interés público.</w:t>
      </w:r>
    </w:p>
    <w:p w14:paraId="779643A1" w14:textId="77777777" w:rsidR="00094A71" w:rsidRDefault="00094A71">
      <w:pPr>
        <w:spacing w:after="0" w:line="360" w:lineRule="auto"/>
        <w:rPr>
          <w:color w:val="000000"/>
        </w:rPr>
      </w:pPr>
    </w:p>
    <w:p w14:paraId="5AAD7A63" w14:textId="77777777" w:rsidR="00094A71" w:rsidRDefault="00EE75AC">
      <w:pPr>
        <w:spacing w:after="0" w:line="360" w:lineRule="auto"/>
        <w:rPr>
          <w:color w:val="000000"/>
        </w:rPr>
      </w:pPr>
      <w:r>
        <w:rPr>
          <w:color w:val="000000"/>
        </w:rPr>
        <w:t xml:space="preserve">En materia local, el artículo 5°, fracción I de la Constitución Política del Estado Libre y Soberano de México, es coincidente con la Constitución Federal, en el sentido de la publicidad de toda la información, con la única restricción de proteger el interés público, así </w:t>
      </w:r>
      <w:r>
        <w:rPr>
          <w:color w:val="000000"/>
        </w:rPr>
        <w:lastRenderedPageBreak/>
        <w:t>como la información referente a la intimidad de la vida privada y la imagen de las personas, con las excepciones que establezca la ley reglamentaria.</w:t>
      </w:r>
    </w:p>
    <w:p w14:paraId="4C3D0E64" w14:textId="77777777" w:rsidR="00094A71" w:rsidRDefault="00094A71">
      <w:pPr>
        <w:spacing w:after="0" w:line="360" w:lineRule="auto"/>
        <w:rPr>
          <w:color w:val="000000"/>
        </w:rPr>
      </w:pPr>
    </w:p>
    <w:p w14:paraId="5D5DF7C8" w14:textId="77777777" w:rsidR="00094A71" w:rsidRDefault="00EE75AC">
      <w:pPr>
        <w:spacing w:after="0" w:line="360" w:lineRule="auto"/>
        <w:rPr>
          <w:color w:val="000000"/>
        </w:rPr>
      </w:pPr>
      <w:r>
        <w:rPr>
          <w:color w:val="000000"/>
        </w:rPr>
        <w:t>Por su parte, la Ley de Transparencia y Acceso a la Información Pública del Estado de México y Municipios (Reglamentaria del artículo 5° de la Constitución Local), establece lo siguiente:</w:t>
      </w:r>
    </w:p>
    <w:p w14:paraId="78F78B3F" w14:textId="77777777" w:rsidR="00094A71" w:rsidRDefault="00094A71">
      <w:pPr>
        <w:spacing w:after="0" w:line="360" w:lineRule="auto"/>
        <w:rPr>
          <w:color w:val="000000"/>
        </w:rPr>
      </w:pPr>
    </w:p>
    <w:p w14:paraId="4BA5D6B0" w14:textId="77777777" w:rsidR="00094A71" w:rsidRDefault="00EE75AC">
      <w:pPr>
        <w:spacing w:after="0" w:line="360" w:lineRule="auto"/>
        <w:rPr>
          <w:color w:val="000000"/>
        </w:rPr>
      </w:pPr>
      <w:r>
        <w:rPr>
          <w:color w:val="000000"/>
        </w:rPr>
        <w:t>El artículo 12, que, quienes generen, recopilen, administren, manejen, procesen, archiven o conserven información pública serán responsables de la misma.</w:t>
      </w:r>
    </w:p>
    <w:p w14:paraId="3429FFDF" w14:textId="77777777" w:rsidR="00094A71" w:rsidRDefault="00094A71">
      <w:pPr>
        <w:spacing w:after="0" w:line="360" w:lineRule="auto"/>
        <w:rPr>
          <w:color w:val="000000"/>
        </w:rPr>
      </w:pPr>
    </w:p>
    <w:p w14:paraId="4A49D0FF" w14:textId="77777777" w:rsidR="00094A71" w:rsidRDefault="00EE75AC">
      <w:pPr>
        <w:widowControl w:val="0"/>
        <w:spacing w:after="0" w:line="360" w:lineRule="auto"/>
        <w:rPr>
          <w:color w:val="000000"/>
        </w:rPr>
      </w:pPr>
      <w:r>
        <w:rPr>
          <w:color w:val="000000"/>
        </w:rPr>
        <w:t>El artículo 18, que, los Sujetos Obligados deberán documentar todo acto que derive del ejercicio de sus facultades, competencias o funciones, considerando desde su origen la eventual publicidad y reutilización de la información que generen.</w:t>
      </w:r>
    </w:p>
    <w:p w14:paraId="0CE3AF51" w14:textId="77777777" w:rsidR="00094A71" w:rsidRDefault="00094A71">
      <w:pPr>
        <w:spacing w:after="0" w:line="360" w:lineRule="auto"/>
        <w:rPr>
          <w:color w:val="000000"/>
        </w:rPr>
      </w:pPr>
    </w:p>
    <w:p w14:paraId="15C96063" w14:textId="77777777" w:rsidR="00094A71" w:rsidRDefault="00EE75AC">
      <w:pPr>
        <w:spacing w:after="0" w:line="360" w:lineRule="auto"/>
        <w:rPr>
          <w:color w:val="000000"/>
        </w:rPr>
      </w:pPr>
      <w:r>
        <w:rPr>
          <w:color w:val="000000"/>
        </w:rPr>
        <w:t>El artículo 19,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14:paraId="69838503" w14:textId="77777777" w:rsidR="00094A71" w:rsidRDefault="00094A71">
      <w:pPr>
        <w:spacing w:after="0" w:line="360" w:lineRule="auto"/>
        <w:rPr>
          <w:color w:val="FF0000"/>
        </w:rPr>
      </w:pPr>
    </w:p>
    <w:p w14:paraId="7592B621" w14:textId="77777777" w:rsidR="00094A71" w:rsidRDefault="00EE75AC">
      <w:pPr>
        <w:pStyle w:val="Ttulo2"/>
        <w:spacing w:before="0" w:line="360" w:lineRule="auto"/>
        <w:rPr>
          <w:rFonts w:ascii="Palatino Linotype" w:eastAsia="Palatino Linotype" w:hAnsi="Palatino Linotype" w:cs="Palatino Linotype"/>
          <w:b/>
          <w:color w:val="000000"/>
          <w:sz w:val="22"/>
          <w:szCs w:val="22"/>
        </w:rPr>
      </w:pPr>
      <w:bookmarkStart w:id="16" w:name="_heading=h.gf8195odfb7w" w:colFirst="0" w:colLast="0"/>
      <w:bookmarkEnd w:id="16"/>
      <w:r>
        <w:rPr>
          <w:rFonts w:ascii="Palatino Linotype" w:eastAsia="Palatino Linotype" w:hAnsi="Palatino Linotype" w:cs="Palatino Linotype"/>
          <w:b/>
          <w:color w:val="000000"/>
          <w:sz w:val="22"/>
          <w:szCs w:val="22"/>
        </w:rPr>
        <w:t>QUINTO. Estudio de Fondo</w:t>
      </w:r>
    </w:p>
    <w:p w14:paraId="1861FB5D" w14:textId="77777777" w:rsidR="00094A71" w:rsidRDefault="00094A71">
      <w:pPr>
        <w:spacing w:after="0" w:line="360" w:lineRule="auto"/>
        <w:rPr>
          <w:b/>
          <w:color w:val="000000"/>
        </w:rPr>
      </w:pPr>
    </w:p>
    <w:p w14:paraId="0F95D325" w14:textId="0E60447F" w:rsidR="000F67B8" w:rsidRDefault="000F67B8" w:rsidP="000F67B8">
      <w:pPr>
        <w:spacing w:after="0" w:line="360" w:lineRule="auto"/>
        <w:rPr>
          <w:color w:val="000000"/>
        </w:rPr>
      </w:pPr>
      <w:r w:rsidRPr="000F67B8">
        <w:rPr>
          <w:color w:val="000000"/>
        </w:rPr>
        <w:t>Expuestas las posturas de las partes, se procede al análisis de los agravios hechos valer por la persona Recurrente, por lo que, en principio es necesario contextualizar la solicitud de información.</w:t>
      </w:r>
    </w:p>
    <w:p w14:paraId="45F9CBE5" w14:textId="77777777" w:rsidR="00D129CE" w:rsidRDefault="00D129CE" w:rsidP="000F67B8">
      <w:pPr>
        <w:spacing w:after="0" w:line="360" w:lineRule="auto"/>
        <w:rPr>
          <w:color w:val="000000"/>
        </w:rPr>
      </w:pPr>
    </w:p>
    <w:p w14:paraId="71DAA89E" w14:textId="77777777" w:rsidR="00D129CE" w:rsidRPr="005505FE" w:rsidRDefault="00D129CE" w:rsidP="00D129CE">
      <w:pPr>
        <w:spacing w:after="0" w:line="360" w:lineRule="auto"/>
      </w:pPr>
      <w:r w:rsidRPr="005505FE">
        <w:rPr>
          <w:rFonts w:eastAsia="Times New Roman" w:cs="Tahoma"/>
          <w:bCs/>
          <w:iCs/>
          <w:lang w:eastAsia="es-ES"/>
        </w:rPr>
        <w:lastRenderedPageBreak/>
        <w:t xml:space="preserve">Al respecto, el artículo </w:t>
      </w:r>
      <w:r w:rsidRPr="005505FE">
        <w:t>109, de la Ley de Transparencia y Acceso a la Información Pública del Estado de México y Municipios, establece que, la verificación virtual tendrá por objeto revisar y constatar el debido cumplimiento a las obligaciones de transparencia según corresponda a cada sujeto obligado.</w:t>
      </w:r>
    </w:p>
    <w:p w14:paraId="6C83A976" w14:textId="77777777" w:rsidR="00D129CE" w:rsidRPr="005505FE" w:rsidRDefault="00D129CE" w:rsidP="00D129CE">
      <w:pPr>
        <w:spacing w:after="0" w:line="360" w:lineRule="auto"/>
      </w:pPr>
    </w:p>
    <w:p w14:paraId="1208FBA5" w14:textId="77777777" w:rsidR="00D129CE" w:rsidRPr="005505FE" w:rsidRDefault="00D129CE" w:rsidP="00D129CE">
      <w:pPr>
        <w:spacing w:after="0" w:line="360" w:lineRule="auto"/>
      </w:pPr>
      <w:r w:rsidRPr="005505FE">
        <w:t xml:space="preserve">En ese sentido, los artículos 106, 107 y 108, de la Ley de la materia, precisan que, este Instituto vigilará que las obligaciones de transparencia que publiquen los sujetos obligados cumplan con lo dispuesto en esta Ley y demás disposiciones jurídicas aplicables, las acciones de vigilancia se realizarán a través de la verificación virtual. </w:t>
      </w:r>
    </w:p>
    <w:p w14:paraId="7DAAB271" w14:textId="77777777" w:rsidR="00D129CE" w:rsidRPr="005505FE" w:rsidRDefault="00D129CE" w:rsidP="00D129CE">
      <w:pPr>
        <w:spacing w:after="0" w:line="360" w:lineRule="auto"/>
      </w:pPr>
    </w:p>
    <w:p w14:paraId="188CA086" w14:textId="77777777" w:rsidR="00D129CE" w:rsidRPr="005505FE" w:rsidRDefault="00D129CE" w:rsidP="00D129CE">
      <w:pPr>
        <w:spacing w:after="0" w:line="360" w:lineRule="auto"/>
      </w:pPr>
      <w:r w:rsidRPr="005505FE">
        <w:t xml:space="preserve">Esta vigilancia surgirá de los resultados de la verificación que se lleve a cabo de manera oficiosa por el Instituto al portal de Internet de los sujetos obligados o de Plataforma Nacional, ya sea de forma aleatoria o de muestreo y periódica, en ese sentido, las determinaciones que emita el Instituto, derivado de los resultados de la verificación, deberán establecer los requerimientos, recomendaciones u observaciones que formulen y los términos y plazos en los que los sujetos obligados deberán atenderlas, el incumplimiento a los requerimientos formulados, será motivo para aplicar las medidas de apremio, sin perjuicio de las sanciones a que haya lugar. </w:t>
      </w:r>
    </w:p>
    <w:p w14:paraId="65F6F7BD" w14:textId="77777777" w:rsidR="00D129CE" w:rsidRPr="005505FE" w:rsidRDefault="00D129CE" w:rsidP="00D129CE">
      <w:pPr>
        <w:spacing w:after="0" w:line="360" w:lineRule="auto"/>
      </w:pPr>
    </w:p>
    <w:p w14:paraId="4E8AFD4E" w14:textId="77777777" w:rsidR="00D129CE" w:rsidRPr="005505FE" w:rsidRDefault="00D129CE" w:rsidP="00D129CE">
      <w:pPr>
        <w:spacing w:after="0" w:line="360" w:lineRule="auto"/>
      </w:pPr>
      <w:r w:rsidRPr="005505FE">
        <w:t>Asimismo, el artículo 110, de la misma Ley, establece el proceso de verificación virtual, de conformidad con lo siguiente:</w:t>
      </w:r>
    </w:p>
    <w:p w14:paraId="4524658A" w14:textId="77777777" w:rsidR="00D129CE" w:rsidRPr="005505FE" w:rsidRDefault="00D129CE" w:rsidP="00D129CE">
      <w:pPr>
        <w:spacing w:after="0" w:line="360" w:lineRule="auto"/>
      </w:pPr>
    </w:p>
    <w:p w14:paraId="20582E8F" w14:textId="77777777" w:rsidR="00D129CE" w:rsidRPr="005505FE" w:rsidRDefault="00D129CE" w:rsidP="00D129CE">
      <w:pPr>
        <w:pStyle w:val="Prrafodelista"/>
        <w:numPr>
          <w:ilvl w:val="0"/>
          <w:numId w:val="17"/>
        </w:numPr>
        <w:spacing w:after="0" w:line="360" w:lineRule="auto"/>
      </w:pPr>
      <w:r w:rsidRPr="005505FE">
        <w:t xml:space="preserve">Constatar que la información esté completa, publicada y actualizada en tiempo y forma; </w:t>
      </w:r>
    </w:p>
    <w:p w14:paraId="71FEEC1A" w14:textId="77777777" w:rsidR="00D129CE" w:rsidRPr="00983DA2" w:rsidRDefault="00D129CE" w:rsidP="00D129CE">
      <w:pPr>
        <w:pStyle w:val="Prrafodelista"/>
        <w:numPr>
          <w:ilvl w:val="0"/>
          <w:numId w:val="17"/>
        </w:numPr>
        <w:spacing w:after="0" w:line="360" w:lineRule="auto"/>
        <w:rPr>
          <w:bCs/>
        </w:rPr>
      </w:pPr>
      <w:r w:rsidRPr="00983DA2">
        <w:rPr>
          <w:bCs/>
        </w:rPr>
        <w:lastRenderedPageBreak/>
        <w:t xml:space="preserve">Emitir un dictamen en el que podrán determinar que el sujeto obligado se ajusta a lo establecido por esta Ley y demás disposiciones o contrariamente determinar que existe incumplimiento a lo previsto por la Ley y demás disposiciones jurídicas aplicables, en cuyo caso, formulará los requerimientos que procedan a efecto de que el sujeto obligado subsane las inconsistencias detectadas dentro de un plazo no mayor a veinte días hábiles; </w:t>
      </w:r>
    </w:p>
    <w:p w14:paraId="5BB49E93" w14:textId="77777777" w:rsidR="00D129CE" w:rsidRPr="005505FE" w:rsidRDefault="00D129CE" w:rsidP="00D129CE">
      <w:pPr>
        <w:pStyle w:val="Prrafodelista"/>
        <w:numPr>
          <w:ilvl w:val="0"/>
          <w:numId w:val="17"/>
        </w:numPr>
        <w:spacing w:after="0" w:line="360" w:lineRule="auto"/>
      </w:pPr>
      <w:r w:rsidRPr="005505FE">
        <w:t xml:space="preserve">El sujeto obligado deberá informar al Instituto sobre el cumplimiento de los requerimientos del dictamen; y </w:t>
      </w:r>
    </w:p>
    <w:p w14:paraId="3B34546E" w14:textId="77777777" w:rsidR="00D129CE" w:rsidRPr="005505FE" w:rsidRDefault="00D129CE" w:rsidP="00D129CE">
      <w:pPr>
        <w:pStyle w:val="Prrafodelista"/>
        <w:numPr>
          <w:ilvl w:val="0"/>
          <w:numId w:val="17"/>
        </w:numPr>
        <w:spacing w:after="0" w:line="360" w:lineRule="auto"/>
      </w:pPr>
      <w:r w:rsidRPr="005505FE">
        <w:t xml:space="preserve">El Instituto verificará el cumplimiento de la resolución una vez transcurrido el plazo y si consideran que se dio cumplimiento a los requerimientos del </w:t>
      </w:r>
      <w:r w:rsidRPr="00983DA2">
        <w:t>dictamen, se emitirá un acuerdo del cumplimiento.</w:t>
      </w:r>
      <w:r w:rsidRPr="005505FE">
        <w:rPr>
          <w:b/>
        </w:rPr>
        <w:t xml:space="preserve"> </w:t>
      </w:r>
    </w:p>
    <w:p w14:paraId="6197D06F" w14:textId="77777777" w:rsidR="00D129CE" w:rsidRPr="005505FE" w:rsidRDefault="00D129CE" w:rsidP="00D129CE">
      <w:pPr>
        <w:pStyle w:val="Prrafodelista"/>
        <w:numPr>
          <w:ilvl w:val="0"/>
          <w:numId w:val="17"/>
        </w:numPr>
        <w:spacing w:after="0" w:line="360" w:lineRule="auto"/>
      </w:pPr>
      <w:r w:rsidRPr="005505FE">
        <w:t xml:space="preserve">El Instituto podrá solicitar los informes complementarios al sujeto obligado que requiera para allegarse de los elementos de juicio que considere necesarios para llevar a cabo la verificación. Cuando el Instituto considere que existe un incumplimiento total o parcial de la determinación, le notificarán, por conducto de la Unidad de Transparencia, al superior jerárquico del servidor público responsable de dar cumplimiento, para efecto que en un plazo no mayor a cinco días hábiles se dé cumplimiento a los requerimientos del dictamen. </w:t>
      </w:r>
    </w:p>
    <w:p w14:paraId="18240F50" w14:textId="1B768DA6" w:rsidR="00D129CE" w:rsidRPr="005505FE" w:rsidRDefault="00D129CE" w:rsidP="00D129CE">
      <w:pPr>
        <w:pStyle w:val="Prrafodelista"/>
        <w:numPr>
          <w:ilvl w:val="0"/>
          <w:numId w:val="17"/>
        </w:numPr>
        <w:spacing w:after="0" w:line="360" w:lineRule="auto"/>
      </w:pPr>
      <w:r w:rsidRPr="005505FE">
        <w:t xml:space="preserve">En caso de que el Instituto considere que subsiste el incumplimiento total o parcial de la resolución, en un plazo no mayor a cinco días hábiles, se informará al Pleno para que, imponga las medidas de apremio o sanciones, conforme a lo establecido por esta Ley. </w:t>
      </w:r>
    </w:p>
    <w:p w14:paraId="3A6C3380" w14:textId="77777777" w:rsidR="00D129CE" w:rsidRPr="005505FE" w:rsidRDefault="00D129CE" w:rsidP="00D129CE">
      <w:pPr>
        <w:pStyle w:val="Prrafodelista"/>
        <w:numPr>
          <w:ilvl w:val="0"/>
          <w:numId w:val="17"/>
        </w:numPr>
        <w:spacing w:after="0" w:line="360" w:lineRule="auto"/>
      </w:pPr>
      <w:r w:rsidRPr="005505FE">
        <w:t>El personal del Instituto tendrá acceso a la información y documentación de los sujetos obligados para llevar a cabo las verificaciones previstas en el presente Capítulo.</w:t>
      </w:r>
    </w:p>
    <w:p w14:paraId="64007B42" w14:textId="77777777" w:rsidR="00D129CE" w:rsidRPr="005505FE" w:rsidRDefault="00D129CE" w:rsidP="00D129CE">
      <w:pPr>
        <w:tabs>
          <w:tab w:val="left" w:pos="4962"/>
        </w:tabs>
        <w:spacing w:after="0" w:line="360" w:lineRule="auto"/>
        <w:rPr>
          <w:rFonts w:eastAsia="Calibri" w:cs="Tahoma"/>
          <w:iCs/>
          <w:color w:val="000000"/>
          <w:szCs w:val="24"/>
        </w:rPr>
      </w:pPr>
    </w:p>
    <w:p w14:paraId="57BF2493" w14:textId="1ED8D57E" w:rsidR="00D129CE" w:rsidRDefault="00D129CE" w:rsidP="00D129CE">
      <w:pPr>
        <w:spacing w:after="0" w:line="360" w:lineRule="auto"/>
        <w:rPr>
          <w:rFonts w:eastAsia="Times New Roman" w:cs="Tahoma"/>
          <w:bCs/>
          <w:lang w:val="es-ES_tradnl" w:eastAsia="es-ES"/>
        </w:rPr>
      </w:pPr>
      <w:r>
        <w:rPr>
          <w:rFonts w:eastAsia="Times New Roman" w:cs="Tahoma"/>
          <w:bCs/>
          <w:lang w:val="es-ES_tradnl" w:eastAsia="es-ES"/>
        </w:rPr>
        <w:t xml:space="preserve">Asimismo, </w:t>
      </w:r>
      <w:r w:rsidR="008923B8">
        <w:rPr>
          <w:rFonts w:eastAsia="Times New Roman" w:cs="Tahoma"/>
          <w:bCs/>
          <w:lang w:val="es-ES_tradnl" w:eastAsia="es-ES"/>
        </w:rPr>
        <w:t>se</w:t>
      </w:r>
      <w:r>
        <w:rPr>
          <w:rFonts w:eastAsia="Times New Roman" w:cs="Tahoma"/>
          <w:bCs/>
          <w:lang w:val="es-ES_tradnl" w:eastAsia="es-ES"/>
        </w:rPr>
        <w:t xml:space="preserve"> realizó una búsqueda </w:t>
      </w:r>
      <w:r w:rsidR="008923B8">
        <w:rPr>
          <w:rFonts w:eastAsia="Times New Roman" w:cs="Tahoma"/>
          <w:bCs/>
          <w:lang w:val="es-ES_tradnl" w:eastAsia="es-ES"/>
        </w:rPr>
        <w:t xml:space="preserve">en la página oficial de este Instituto (consultado en la liga electrónica </w:t>
      </w:r>
      <w:hyperlink r:id="rId8" w:anchor="verificacionVO" w:history="1">
        <w:r w:rsidR="008923B8" w:rsidRPr="00515727">
          <w:rPr>
            <w:rStyle w:val="Hipervnculo"/>
            <w:rFonts w:eastAsia="Times New Roman" w:cs="Tahoma"/>
            <w:bCs/>
            <w:lang w:val="es-ES_tradnl" w:eastAsia="es-ES"/>
          </w:rPr>
          <w:t>https://www.infoem.org.mx/es/contenido/transparencia#verificacionVO</w:t>
        </w:r>
      </w:hyperlink>
      <w:r w:rsidR="008923B8">
        <w:rPr>
          <w:rFonts w:eastAsia="Times New Roman" w:cs="Tahoma"/>
          <w:bCs/>
          <w:lang w:val="es-ES_tradnl" w:eastAsia="es-ES"/>
        </w:rPr>
        <w:t xml:space="preserve">), en la que se logró vislumbrar el porcentaje final que el Sujeto Obligado obtuvo de la Verificación Virtual Oficiosa 2025, tal como se muestra en la siguiente imagen ilustrativa: </w:t>
      </w:r>
    </w:p>
    <w:p w14:paraId="5E982223" w14:textId="77777777" w:rsidR="008923B8" w:rsidRDefault="008923B8" w:rsidP="00D129CE">
      <w:pPr>
        <w:spacing w:after="0" w:line="360" w:lineRule="auto"/>
        <w:rPr>
          <w:rFonts w:eastAsia="Times New Roman" w:cs="Tahoma"/>
          <w:bCs/>
          <w:lang w:val="es-ES_tradnl" w:eastAsia="es-ES"/>
        </w:rPr>
      </w:pPr>
    </w:p>
    <w:p w14:paraId="14E8823A" w14:textId="31DACC71" w:rsidR="008923B8" w:rsidRDefault="008923B8" w:rsidP="008923B8">
      <w:pPr>
        <w:spacing w:after="0" w:line="360" w:lineRule="auto"/>
        <w:jc w:val="center"/>
        <w:rPr>
          <w:rFonts w:eastAsia="Times New Roman" w:cs="Tahoma"/>
          <w:bCs/>
          <w:lang w:val="es-ES_tradnl" w:eastAsia="es-ES"/>
        </w:rPr>
      </w:pPr>
      <w:r w:rsidRPr="008923B8">
        <w:rPr>
          <w:rFonts w:eastAsia="Times New Roman" w:cs="Tahoma"/>
          <w:bCs/>
          <w:noProof/>
        </w:rPr>
        <w:drawing>
          <wp:inline distT="0" distB="0" distL="0" distR="0" wp14:anchorId="31E1CE1D" wp14:editId="06AB738F">
            <wp:extent cx="5143946" cy="1265030"/>
            <wp:effectExtent l="0" t="0" r="0" b="0"/>
            <wp:docPr id="371902136" name="Imagen 1" descr="Tabl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902136" name="Imagen 1" descr="Tabla&#10;&#10;El contenido generado por IA puede ser incorrecto."/>
                    <pic:cNvPicPr/>
                  </pic:nvPicPr>
                  <pic:blipFill>
                    <a:blip r:embed="rId9"/>
                    <a:stretch>
                      <a:fillRect/>
                    </a:stretch>
                  </pic:blipFill>
                  <pic:spPr>
                    <a:xfrm>
                      <a:off x="0" y="0"/>
                      <a:ext cx="5143946" cy="1265030"/>
                    </a:xfrm>
                    <a:prstGeom prst="rect">
                      <a:avLst/>
                    </a:prstGeom>
                  </pic:spPr>
                </pic:pic>
              </a:graphicData>
            </a:graphic>
          </wp:inline>
        </w:drawing>
      </w:r>
    </w:p>
    <w:p w14:paraId="27321526" w14:textId="59DEEA17" w:rsidR="008923B8" w:rsidRDefault="008923B8" w:rsidP="008923B8">
      <w:pPr>
        <w:spacing w:after="0" w:line="360" w:lineRule="auto"/>
        <w:jc w:val="center"/>
        <w:rPr>
          <w:rFonts w:eastAsia="Times New Roman" w:cs="Tahoma"/>
          <w:bCs/>
          <w:lang w:val="es-ES_tradnl" w:eastAsia="es-ES"/>
        </w:rPr>
      </w:pPr>
      <w:r>
        <w:rPr>
          <w:rFonts w:eastAsia="Times New Roman" w:cs="Tahoma"/>
          <w:bCs/>
          <w:lang w:val="es-ES_tradnl" w:eastAsia="es-ES"/>
        </w:rPr>
        <w:t>…</w:t>
      </w:r>
    </w:p>
    <w:p w14:paraId="29E2529D" w14:textId="5979F213" w:rsidR="00094A71" w:rsidRPr="008923B8" w:rsidRDefault="008923B8" w:rsidP="008923B8">
      <w:pPr>
        <w:spacing w:after="0" w:line="360" w:lineRule="auto"/>
        <w:jc w:val="center"/>
        <w:rPr>
          <w:rFonts w:eastAsia="Times New Roman" w:cs="Tahoma"/>
          <w:bCs/>
          <w:lang w:val="es-ES_tradnl" w:eastAsia="es-ES"/>
        </w:rPr>
      </w:pPr>
      <w:r w:rsidRPr="008923B8">
        <w:rPr>
          <w:rFonts w:eastAsia="Times New Roman" w:cs="Tahoma"/>
          <w:bCs/>
          <w:noProof/>
        </w:rPr>
        <w:drawing>
          <wp:inline distT="0" distB="0" distL="0" distR="0" wp14:anchorId="3AF7BE2D" wp14:editId="4CDD6805">
            <wp:extent cx="5151566" cy="1082134"/>
            <wp:effectExtent l="0" t="0" r="0" b="3810"/>
            <wp:docPr id="1679106476" name="Imagen 1"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9106476" name="Imagen 1" descr="Texto&#10;&#10;El contenido generado por IA puede ser incorrecto."/>
                    <pic:cNvPicPr/>
                  </pic:nvPicPr>
                  <pic:blipFill>
                    <a:blip r:embed="rId10"/>
                    <a:stretch>
                      <a:fillRect/>
                    </a:stretch>
                  </pic:blipFill>
                  <pic:spPr>
                    <a:xfrm>
                      <a:off x="0" y="0"/>
                      <a:ext cx="5151566" cy="1082134"/>
                    </a:xfrm>
                    <a:prstGeom prst="rect">
                      <a:avLst/>
                    </a:prstGeom>
                  </pic:spPr>
                </pic:pic>
              </a:graphicData>
            </a:graphic>
          </wp:inline>
        </w:drawing>
      </w:r>
    </w:p>
    <w:p w14:paraId="538F7A03" w14:textId="77777777" w:rsidR="00CD0284" w:rsidRPr="00CD0284" w:rsidRDefault="00CD0284" w:rsidP="00CD0284">
      <w:pPr>
        <w:spacing w:after="0" w:line="360" w:lineRule="auto"/>
        <w:ind w:right="-28"/>
        <w:contextualSpacing/>
        <w:rPr>
          <w:rFonts w:eastAsia="Calibri" w:cs="Tahoma"/>
          <w:bCs/>
          <w:color w:val="000000"/>
          <w:lang w:val="es-ES" w:eastAsia="en-US"/>
        </w:rPr>
      </w:pPr>
    </w:p>
    <w:p w14:paraId="340F40A1" w14:textId="077D5708" w:rsidR="00C31AC5" w:rsidRPr="00C31AC5" w:rsidRDefault="00C31AC5" w:rsidP="00C31AC5">
      <w:pPr>
        <w:spacing w:after="0" w:line="360" w:lineRule="auto"/>
        <w:rPr>
          <w:color w:val="000000" w:themeColor="text1"/>
        </w:rPr>
      </w:pPr>
      <w:r w:rsidRPr="00C31AC5">
        <w:rPr>
          <w:color w:val="000000" w:themeColor="text1"/>
        </w:rPr>
        <w:t xml:space="preserve">Conforme a lo anterior, se logra vislumbrar que la pretensión de la persona </w:t>
      </w:r>
      <w:r w:rsidR="008923B8" w:rsidRPr="00C31AC5">
        <w:rPr>
          <w:color w:val="000000" w:themeColor="text1"/>
        </w:rPr>
        <w:t>Recurrente</w:t>
      </w:r>
      <w:r w:rsidRPr="00C31AC5">
        <w:rPr>
          <w:color w:val="000000" w:themeColor="text1"/>
        </w:rPr>
        <w:t xml:space="preserve"> es obtener, </w:t>
      </w:r>
      <w:r w:rsidR="008923B8">
        <w:rPr>
          <w:color w:val="000000" w:themeColor="text1"/>
        </w:rPr>
        <w:t>los documentos que conforma</w:t>
      </w:r>
      <w:r w:rsidR="00983DA2">
        <w:rPr>
          <w:color w:val="000000" w:themeColor="text1"/>
        </w:rPr>
        <w:t>ban</w:t>
      </w:r>
      <w:r w:rsidR="008923B8">
        <w:rPr>
          <w:color w:val="000000" w:themeColor="text1"/>
        </w:rPr>
        <w:t xml:space="preserve"> la Verificación Virtual Oficiosa 2025, que incluya las solvataciones, así como el porcentaje inicial y final de la verificación, al seis de octubre de dos mil veinticinco</w:t>
      </w:r>
      <w:r w:rsidR="00983DA2">
        <w:rPr>
          <w:color w:val="000000" w:themeColor="text1"/>
        </w:rPr>
        <w:t>.</w:t>
      </w:r>
    </w:p>
    <w:p w14:paraId="482F40EC" w14:textId="77777777" w:rsidR="00C31AC5" w:rsidRPr="00C31AC5" w:rsidRDefault="00C31AC5" w:rsidP="00C31AC5">
      <w:pPr>
        <w:spacing w:after="0" w:line="360" w:lineRule="auto"/>
        <w:rPr>
          <w:color w:val="000000"/>
        </w:rPr>
      </w:pPr>
    </w:p>
    <w:p w14:paraId="57DA6ECE" w14:textId="147441DB" w:rsidR="00C31AC5" w:rsidRPr="00C31AC5" w:rsidRDefault="00C31AC5" w:rsidP="00C31AC5">
      <w:pPr>
        <w:spacing w:after="0" w:line="360" w:lineRule="auto"/>
        <w:ind w:right="-28"/>
        <w:rPr>
          <w:color w:val="000000"/>
        </w:rPr>
      </w:pPr>
      <w:r w:rsidRPr="00C31AC5">
        <w:rPr>
          <w:color w:val="000000"/>
        </w:rPr>
        <w:t xml:space="preserve">Establecida dicha circunstancia, </w:t>
      </w:r>
      <w:r w:rsidR="008923B8" w:rsidRPr="008923B8">
        <w:rPr>
          <w:color w:val="000000"/>
        </w:rPr>
        <w:t>de las constancias que obran en el expediente electrónico, se advierte que el Sujeto Obligado</w:t>
      </w:r>
      <w:r w:rsidR="008923B8" w:rsidRPr="008923B8">
        <w:rPr>
          <w:color w:val="0D0D0D"/>
        </w:rPr>
        <w:t>, dio respuesta a través de la Unidad de Transparencia</w:t>
      </w:r>
      <w:r w:rsidRPr="00C31AC5">
        <w:rPr>
          <w:color w:val="000000"/>
        </w:rPr>
        <w:t xml:space="preserve">, así, resulta necesario hacer referencia al procedimiento de búsqueda que deben seguir los Sujetos </w:t>
      </w:r>
      <w:r w:rsidRPr="00C31AC5">
        <w:rPr>
          <w:color w:val="000000"/>
        </w:rPr>
        <w:lastRenderedPageBreak/>
        <w:t>Obligados para localizar la información, el cual se encuentra previsto en el artículo 162 de la Ley de Transparencia y Acceso a la Información Pública del Estado de México y Municipios, el cual establece que las Unidades de Transparencia garantizarán que las solicitudes de acceso a la información se turnen a todas las áreas competentes que cuenten con la información o deban tenerla -de acuerdo a las facultades, competencias y funciones-, con el objeto de que dichas áreas realicen una búsqueda exhaustiva y razonable de la información requerida.</w:t>
      </w:r>
    </w:p>
    <w:p w14:paraId="71D9C334" w14:textId="77777777" w:rsidR="00C31AC5" w:rsidRPr="00C31AC5" w:rsidRDefault="00C31AC5" w:rsidP="00C31AC5">
      <w:pPr>
        <w:spacing w:after="0" w:line="360" w:lineRule="auto"/>
        <w:rPr>
          <w:color w:val="000000"/>
        </w:rPr>
      </w:pPr>
    </w:p>
    <w:p w14:paraId="09A68589" w14:textId="77777777" w:rsidR="008923B8" w:rsidRPr="008923B8" w:rsidRDefault="008923B8" w:rsidP="008923B8">
      <w:pPr>
        <w:spacing w:after="0" w:line="360" w:lineRule="auto"/>
        <w:rPr>
          <w:color w:val="000000"/>
        </w:rPr>
      </w:pPr>
      <w:r w:rsidRPr="008923B8">
        <w:rPr>
          <w:color w:val="000000"/>
        </w:rPr>
        <w:t>Así y de lo plasmado en párrafos anteriores, se logra colegir que el Sujeto Obligado cumplió con el procedimiento de búsqueda establecido en el artículo 162 de la Ley de Transparencia y Acceso a la Información Pública del Estado de México y Municipios, toda vez, que gestionó el requerimiento de información al área competente para conocer de las verificaciones virtuales de la información pública.</w:t>
      </w:r>
    </w:p>
    <w:p w14:paraId="2B24C1C0" w14:textId="77777777" w:rsidR="00C31AC5" w:rsidRPr="00C31AC5" w:rsidRDefault="00C31AC5" w:rsidP="00C31AC5">
      <w:pPr>
        <w:spacing w:after="0" w:line="360" w:lineRule="auto"/>
        <w:rPr>
          <w:color w:val="000000"/>
        </w:rPr>
      </w:pPr>
    </w:p>
    <w:p w14:paraId="3C29A48A" w14:textId="4B4113F2" w:rsidR="00C31AC5" w:rsidRPr="00C31AC5" w:rsidRDefault="00C31AC5" w:rsidP="00C31AC5">
      <w:pPr>
        <w:spacing w:after="0" w:line="360" w:lineRule="auto"/>
        <w:rPr>
          <w:color w:val="000000"/>
        </w:rPr>
      </w:pPr>
      <w:r w:rsidRPr="00C31AC5">
        <w:rPr>
          <w:color w:val="000000"/>
        </w:rPr>
        <w:t xml:space="preserve">Ahora bien, en respuesta la </w:t>
      </w:r>
      <w:r w:rsidR="008923B8">
        <w:rPr>
          <w:color w:val="000000"/>
        </w:rPr>
        <w:t xml:space="preserve">Unidad de </w:t>
      </w:r>
      <w:proofErr w:type="spellStart"/>
      <w:r w:rsidR="008923B8">
        <w:rPr>
          <w:color w:val="000000"/>
        </w:rPr>
        <w:t>Transparecnia</w:t>
      </w:r>
      <w:proofErr w:type="spellEnd"/>
      <w:r w:rsidRPr="00C31AC5">
        <w:rPr>
          <w:color w:val="000000"/>
        </w:rPr>
        <w:t xml:space="preserve"> precisó poner la información para consulta en sus oficinas centrales del Sistema Municipal DIF de Huehuetoca, previo pago por la reproducción de la información, por lo que se logra vislumbrar que el Sujeto Obligado cambió de modalidad a consulta directa; por lo que se procede analizar dicha circunstancia.  </w:t>
      </w:r>
    </w:p>
    <w:p w14:paraId="249A080B" w14:textId="77777777" w:rsidR="00C31AC5" w:rsidRPr="00C31AC5" w:rsidRDefault="00C31AC5" w:rsidP="00C31AC5">
      <w:pPr>
        <w:spacing w:after="0" w:line="360" w:lineRule="auto"/>
        <w:rPr>
          <w:color w:val="000000"/>
        </w:rPr>
      </w:pPr>
    </w:p>
    <w:p w14:paraId="44335388" w14:textId="77777777" w:rsidR="00C31AC5" w:rsidRPr="00C31AC5" w:rsidRDefault="00C31AC5" w:rsidP="00C31AC5">
      <w:pPr>
        <w:spacing w:after="0" w:line="360" w:lineRule="auto"/>
        <w:rPr>
          <w:color w:val="000000"/>
        </w:rPr>
      </w:pPr>
      <w:r w:rsidRPr="00C31AC5">
        <w:rPr>
          <w:color w:val="000000"/>
        </w:rPr>
        <w:t xml:space="preserve">Al respecto, cabe recordar que se requirió la información, a través del Sistema de Acceso a Información Mexiquense (SAIMEX). </w:t>
      </w:r>
      <w:r w:rsidRPr="00C31AC5">
        <w:rPr>
          <w:color w:val="0D0D0D"/>
        </w:rPr>
        <w:t>En ese sentido,</w:t>
      </w:r>
      <w:r w:rsidRPr="00C31AC5">
        <w:rPr>
          <w:color w:val="000000"/>
        </w:rPr>
        <w:t xml:space="preserve"> el artículo 155, fracción V, de la Ley de Transparencia y Acceso a la Información Pública del Estado de México y Municipios, precisa que para presentar una solicitud, el particular podrá señalar </w:t>
      </w:r>
      <w:r w:rsidRPr="00C31AC5">
        <w:rPr>
          <w:b/>
          <w:color w:val="000000"/>
        </w:rPr>
        <w:t>la modalidad en la que prefiere se otorgue el acceso a la información</w:t>
      </w:r>
      <w:r w:rsidRPr="00C31AC5">
        <w:rPr>
          <w:color w:val="000000"/>
        </w:rPr>
        <w:t>, la cual podrá ser verbal, siempre y cuando sea para fines de orientación, mediante consulta directa, mediante la expedición de copias simples o certificadas o la reproducción en cualquier otro medio, incluidos los electrónicos.</w:t>
      </w:r>
    </w:p>
    <w:p w14:paraId="3FF9F987" w14:textId="77777777" w:rsidR="00C31AC5" w:rsidRDefault="00C31AC5" w:rsidP="00C31AC5">
      <w:pPr>
        <w:spacing w:after="0" w:line="360" w:lineRule="auto"/>
        <w:rPr>
          <w:b/>
          <w:color w:val="000000"/>
        </w:rPr>
      </w:pPr>
      <w:r w:rsidRPr="00C31AC5">
        <w:rPr>
          <w:color w:val="000000"/>
        </w:rPr>
        <w:lastRenderedPageBreak/>
        <w:t xml:space="preserve">El artículo 158, dispone que, de manera excepcional, cuando de manera fundada y motivada lo determine el Sujeto Obligado, </w:t>
      </w:r>
      <w:r w:rsidRPr="00C31AC5">
        <w:rPr>
          <w:b/>
          <w:color w:val="000000"/>
        </w:rPr>
        <w:t>en los casos en que la entrega de la información que se encuentre a su disposición sobrepase las capacidades técnicas, administrativas y humanas del Sujeto Obligado para cumplir con la solicitud, se podrá poner a disposición del solicitante la información en consulta directa.</w:t>
      </w:r>
    </w:p>
    <w:p w14:paraId="2D81F486" w14:textId="77777777" w:rsidR="00447C68" w:rsidRPr="00C31AC5" w:rsidRDefault="00447C68" w:rsidP="00C31AC5">
      <w:pPr>
        <w:spacing w:after="0" w:line="360" w:lineRule="auto"/>
        <w:rPr>
          <w:b/>
          <w:color w:val="000000"/>
        </w:rPr>
      </w:pPr>
    </w:p>
    <w:p w14:paraId="73E68BD4" w14:textId="77777777" w:rsidR="00C31AC5" w:rsidRPr="00C31AC5" w:rsidRDefault="00C31AC5" w:rsidP="00C31AC5">
      <w:pPr>
        <w:spacing w:after="0" w:line="360" w:lineRule="auto"/>
        <w:rPr>
          <w:color w:val="000000"/>
        </w:rPr>
      </w:pPr>
      <w:r w:rsidRPr="00C31AC5">
        <w:rPr>
          <w:color w:val="000000"/>
        </w:rPr>
        <w:t xml:space="preserve">En ese orden de ideas, el artículo 164 de dicho ordenamiento jurídico, prevé que el acceso se dará en la modalidad de entrega y, en su caso, de envío elegidos por al solicitante. </w:t>
      </w:r>
      <w:r w:rsidRPr="00C31AC5">
        <w:rPr>
          <w:b/>
          <w:color w:val="000000"/>
        </w:rPr>
        <w:t>Cuando la información no pueda entregarse o enviarse en la modalidad elegida, el sujeto obligado deberá ofrecer otra u otras modalidades de entrega.</w:t>
      </w:r>
      <w:r w:rsidRPr="00C31AC5">
        <w:rPr>
          <w:color w:val="000000"/>
        </w:rPr>
        <w:t xml:space="preserve"> En cualquier caso, </w:t>
      </w:r>
      <w:r w:rsidRPr="00C31AC5">
        <w:rPr>
          <w:b/>
          <w:color w:val="000000"/>
        </w:rPr>
        <w:t>se deberá fundar y motivar</w:t>
      </w:r>
      <w:r w:rsidRPr="00C31AC5">
        <w:rPr>
          <w:color w:val="000000"/>
        </w:rPr>
        <w:t xml:space="preserve"> la necesidad de ofrecer otras modalidades.</w:t>
      </w:r>
    </w:p>
    <w:p w14:paraId="6E8F3F0C" w14:textId="77777777" w:rsidR="00C31AC5" w:rsidRPr="00C31AC5" w:rsidRDefault="00C31AC5" w:rsidP="00C31AC5">
      <w:pPr>
        <w:spacing w:after="0" w:line="360" w:lineRule="auto"/>
        <w:rPr>
          <w:color w:val="000000"/>
        </w:rPr>
      </w:pPr>
    </w:p>
    <w:p w14:paraId="08729318" w14:textId="77777777" w:rsidR="00C31AC5" w:rsidRPr="00C31AC5" w:rsidRDefault="00C31AC5" w:rsidP="00C31AC5">
      <w:pPr>
        <w:spacing w:after="0" w:line="360" w:lineRule="auto"/>
        <w:rPr>
          <w:b/>
          <w:color w:val="000000"/>
          <w:u w:val="single"/>
        </w:rPr>
      </w:pPr>
      <w:r w:rsidRPr="00C31AC5">
        <w:rPr>
          <w:color w:val="000000"/>
        </w:rPr>
        <w:t xml:space="preserve">En tales consideraciones, la entrega de la información deberá hacerse, </w:t>
      </w:r>
      <w:r w:rsidRPr="00C31AC5">
        <w:rPr>
          <w:b/>
          <w:color w:val="000000"/>
        </w:rPr>
        <w:t>en la medida de lo posible, en la forma solicitada por el interesado, salvo que exista un impedimento justificado para atenderla</w:t>
      </w:r>
      <w:r w:rsidRPr="00C31AC5">
        <w:rPr>
          <w:color w:val="000000"/>
        </w:rPr>
        <w:t xml:space="preserve">, en cuyo caso, deberán exponerse las razones por las cuales no era posible utilizar el medio de reproducción solicitado; en ese sentido, la entrega de la información en una modalidad distinta a la elegida por el particular </w:t>
      </w:r>
      <w:r w:rsidRPr="00C31AC5">
        <w:rPr>
          <w:b/>
          <w:color w:val="000000"/>
          <w:u w:val="single"/>
        </w:rPr>
        <w:t xml:space="preserve">sólo procede, en caso de que se acredite la imposibilidad de atenderla. </w:t>
      </w:r>
    </w:p>
    <w:p w14:paraId="2E81AA34" w14:textId="77777777" w:rsidR="00C31AC5" w:rsidRPr="00C31AC5" w:rsidRDefault="00C31AC5" w:rsidP="00C31AC5">
      <w:pPr>
        <w:spacing w:after="0" w:line="360" w:lineRule="auto"/>
        <w:rPr>
          <w:color w:val="000000"/>
        </w:rPr>
      </w:pPr>
    </w:p>
    <w:p w14:paraId="3F6B665B" w14:textId="77777777" w:rsidR="00C31AC5" w:rsidRPr="00C31AC5" w:rsidRDefault="00C31AC5" w:rsidP="00C31AC5">
      <w:pPr>
        <w:spacing w:after="0" w:line="360" w:lineRule="auto"/>
        <w:rPr>
          <w:b/>
          <w:color w:val="000000"/>
        </w:rPr>
      </w:pPr>
      <w:bookmarkStart w:id="17" w:name="_heading=h.z337ya" w:colFirst="0" w:colLast="0"/>
      <w:bookmarkEnd w:id="17"/>
      <w:r w:rsidRPr="00C31AC5">
        <w:rPr>
          <w:color w:val="000000"/>
        </w:rPr>
        <w:t xml:space="preserve">Así, cuando se justifique el impedimento, </w:t>
      </w:r>
      <w:r w:rsidRPr="00C31AC5">
        <w:rPr>
          <w:b/>
          <w:color w:val="000000"/>
        </w:rPr>
        <w:t xml:space="preserve">los Sujetos Obligados </w:t>
      </w:r>
      <w:r w:rsidRPr="00C31AC5">
        <w:rPr>
          <w:b/>
          <w:color w:val="000000"/>
          <w:u w:val="single"/>
        </w:rPr>
        <w:t>deberán ofrecer al particular otras modalidades de entrega que permita la información</w:t>
      </w:r>
      <w:r w:rsidRPr="00C31AC5">
        <w:rPr>
          <w:color w:val="000000"/>
        </w:rPr>
        <w:t xml:space="preserve">, como consulta directa en las oficinas de la Unidad de Transparencia; lo anterior, es robustecido con el Criterio SO/008/2017, emitido por el Pleno del Instituto Nacional de Transparencia, Acceso a la Información y Protección de Datos Personales, que establece que cuando no sea posible atener la modalidad elegida por los solicitantes, la obligación de acceso a la información se </w:t>
      </w:r>
      <w:r w:rsidRPr="00C31AC5">
        <w:rPr>
          <w:color w:val="000000"/>
        </w:rPr>
        <w:lastRenderedPageBreak/>
        <w:t xml:space="preserve">tendrá por cumplida cuando el Sujeto Obligado justifique el impedimento para atender la misma y se notifique al particular la puesta a disposición de la </w:t>
      </w:r>
      <w:r w:rsidRPr="00C31AC5">
        <w:rPr>
          <w:b/>
          <w:color w:val="000000"/>
        </w:rPr>
        <w:t>información en todas las modalidades que lo permitan, procurando reducir los costos de entrega.</w:t>
      </w:r>
    </w:p>
    <w:p w14:paraId="16428641" w14:textId="77777777" w:rsidR="00C31AC5" w:rsidRPr="00C31AC5" w:rsidRDefault="00C31AC5" w:rsidP="00C31AC5">
      <w:pPr>
        <w:spacing w:after="0" w:line="360" w:lineRule="auto"/>
        <w:rPr>
          <w:color w:val="000000"/>
        </w:rPr>
      </w:pPr>
    </w:p>
    <w:p w14:paraId="1125333F" w14:textId="77777777" w:rsidR="00C31AC5" w:rsidRPr="00C31AC5" w:rsidRDefault="00C31AC5" w:rsidP="00C31AC5">
      <w:pPr>
        <w:widowControl w:val="0"/>
        <w:spacing w:after="0" w:line="360" w:lineRule="auto"/>
        <w:rPr>
          <w:color w:val="000000"/>
        </w:rPr>
      </w:pPr>
      <w:r w:rsidRPr="00C31AC5">
        <w:rPr>
          <w:color w:val="000000"/>
        </w:rPr>
        <w:t>Además, según Calero, Natalia (2016), en la “Ley General de Transparencia y Acceso a la Información Pública Comentada” (pág. 401), cuando los sujetos obligados ofrezcan como modalidad de entrega de la información, consulta directa, estos deberán fundar y motivar las razones por las cuales no es posible otorgar el acceso a los documentos de otra forma; además que se deberá explicar de manera detallada lo siguiente:</w:t>
      </w:r>
    </w:p>
    <w:p w14:paraId="5B2BC43D" w14:textId="77777777" w:rsidR="00C31AC5" w:rsidRPr="00C31AC5" w:rsidRDefault="00C31AC5" w:rsidP="00C31AC5">
      <w:pPr>
        <w:widowControl w:val="0"/>
        <w:spacing w:after="0" w:line="360" w:lineRule="auto"/>
        <w:rPr>
          <w:color w:val="000000"/>
        </w:rPr>
      </w:pPr>
    </w:p>
    <w:p w14:paraId="39143586" w14:textId="77777777" w:rsidR="00C31AC5" w:rsidRPr="00C31AC5" w:rsidRDefault="00C31AC5" w:rsidP="00C31AC5">
      <w:pPr>
        <w:numPr>
          <w:ilvl w:val="0"/>
          <w:numId w:val="15"/>
        </w:numPr>
        <w:spacing w:after="0" w:line="360" w:lineRule="auto"/>
        <w:rPr>
          <w:color w:val="000000"/>
        </w:rPr>
      </w:pPr>
      <w:r w:rsidRPr="00C31AC5">
        <w:rPr>
          <w:color w:val="000000"/>
        </w:rPr>
        <w:t>Las razones por las cuales la información implicaba un análisis, estudio o procesamiento de datos;</w:t>
      </w:r>
    </w:p>
    <w:p w14:paraId="57561598" w14:textId="77777777" w:rsidR="00C31AC5" w:rsidRPr="00C31AC5" w:rsidRDefault="00C31AC5" w:rsidP="00C31AC5">
      <w:pPr>
        <w:spacing w:after="0" w:line="360" w:lineRule="auto"/>
        <w:ind w:left="720"/>
        <w:rPr>
          <w:color w:val="000000"/>
        </w:rPr>
      </w:pPr>
    </w:p>
    <w:p w14:paraId="1C873FBD" w14:textId="77777777" w:rsidR="00C31AC5" w:rsidRPr="00C31AC5" w:rsidRDefault="00C31AC5" w:rsidP="00C31AC5">
      <w:pPr>
        <w:numPr>
          <w:ilvl w:val="0"/>
          <w:numId w:val="15"/>
        </w:numPr>
        <w:spacing w:after="0" w:line="360" w:lineRule="auto"/>
        <w:rPr>
          <w:color w:val="000000"/>
        </w:rPr>
      </w:pPr>
      <w:r w:rsidRPr="00C31AC5">
        <w:rPr>
          <w:color w:val="000000"/>
        </w:rPr>
        <w:t>Por qué motivo el tiempo, que se le otorga al Sujeto Obligado para dar respuesta, en la modalidad elegida a la solicitud de información, no le es suficiente, y</w:t>
      </w:r>
    </w:p>
    <w:p w14:paraId="0BA4EF22" w14:textId="77777777" w:rsidR="00C31AC5" w:rsidRPr="00C31AC5" w:rsidRDefault="00C31AC5" w:rsidP="00C31AC5">
      <w:pPr>
        <w:pBdr>
          <w:top w:val="nil"/>
          <w:left w:val="nil"/>
          <w:bottom w:val="nil"/>
          <w:right w:val="nil"/>
          <w:between w:val="nil"/>
        </w:pBdr>
        <w:spacing w:after="0" w:line="360" w:lineRule="auto"/>
        <w:ind w:left="720"/>
        <w:rPr>
          <w:color w:val="000000"/>
        </w:rPr>
      </w:pPr>
    </w:p>
    <w:p w14:paraId="5176AB0A" w14:textId="77777777" w:rsidR="00C31AC5" w:rsidRPr="00C31AC5" w:rsidRDefault="00C31AC5" w:rsidP="00C31AC5">
      <w:pPr>
        <w:numPr>
          <w:ilvl w:val="0"/>
          <w:numId w:val="15"/>
        </w:numPr>
        <w:spacing w:after="0" w:line="360" w:lineRule="auto"/>
        <w:rPr>
          <w:color w:val="000000"/>
        </w:rPr>
      </w:pPr>
      <w:r w:rsidRPr="00C31AC5">
        <w:rPr>
          <w:color w:val="000000"/>
        </w:rPr>
        <w:t>La cantidad de recursos humanos y materiales con los que cuenta el Sujeto Obligado son insuficientes.</w:t>
      </w:r>
    </w:p>
    <w:p w14:paraId="508C879B" w14:textId="77777777" w:rsidR="00C31AC5" w:rsidRPr="00C31AC5" w:rsidRDefault="00C31AC5" w:rsidP="00C31AC5">
      <w:pPr>
        <w:spacing w:after="0" w:line="360" w:lineRule="auto"/>
        <w:rPr>
          <w:color w:val="000000"/>
        </w:rPr>
      </w:pPr>
    </w:p>
    <w:p w14:paraId="3A3B3181" w14:textId="77777777" w:rsidR="00C31AC5" w:rsidRPr="00C31AC5" w:rsidRDefault="00C31AC5" w:rsidP="00C31AC5">
      <w:pPr>
        <w:spacing w:after="0" w:line="360" w:lineRule="auto"/>
        <w:ind w:right="-28"/>
        <w:rPr>
          <w:color w:val="000000"/>
        </w:rPr>
      </w:pPr>
      <w:r w:rsidRPr="00C31AC5">
        <w:rPr>
          <w:color w:val="000000"/>
        </w:rPr>
        <w:t xml:space="preserve">Además, es de señalar que el Órgano Garante Nacional, a través de diversas resoluciones de los Recursos de Inconformidad, entre las cuales se encuentran el RIA 136/20, RIA 140/20, RIA 153/20 RIA 237/20, RIA 257/20, RIA 258/20, entre otras, ha considerado que no resultaba suficiente justificar una imposibilidad técnica y humana para acreditar un cambio de modalidad, sino que era necesario demostrar otros impedimentos, como la cantidad y formato de la documentación, que fuera de imposible reproducción en el medio elegido por </w:t>
      </w:r>
      <w:r w:rsidRPr="00C31AC5">
        <w:rPr>
          <w:color w:val="000000"/>
        </w:rPr>
        <w:lastRenderedPageBreak/>
        <w:t xml:space="preserve">los solicitantes, que la información ameritara el cruce de información en los sistemas de datos, entre otros. </w:t>
      </w:r>
    </w:p>
    <w:p w14:paraId="0BE706CC" w14:textId="77777777" w:rsidR="00C31AC5" w:rsidRPr="00C31AC5" w:rsidRDefault="00C31AC5" w:rsidP="00C31AC5">
      <w:pPr>
        <w:spacing w:after="0" w:line="360" w:lineRule="auto"/>
        <w:ind w:right="-28"/>
        <w:rPr>
          <w:color w:val="000000"/>
        </w:rPr>
      </w:pPr>
    </w:p>
    <w:p w14:paraId="38FC66EC" w14:textId="77777777" w:rsidR="00C31AC5" w:rsidRPr="00C31AC5" w:rsidRDefault="00C31AC5" w:rsidP="00C31AC5">
      <w:pPr>
        <w:spacing w:after="0" w:line="360" w:lineRule="auto"/>
        <w:rPr>
          <w:color w:val="000000"/>
        </w:rPr>
      </w:pPr>
      <w:r w:rsidRPr="00C31AC5">
        <w:rPr>
          <w:color w:val="000000"/>
        </w:rPr>
        <w:t xml:space="preserve">Sobre dicha circunstancia, el Vigésimo Cuarto de los Lineamientos para la operación del Sistema de Acceso a la Información Mexiquense (SAIMEX) y del Sistema de Acceso, Rectificación, Cancelación y Oposición de Datos Personales del Estado de México (SARCOEM), establece que los sistemas electrónicos cuentan con una capacidad máxima de carga dentro del servidor con un peso total de </w:t>
      </w:r>
      <w:r w:rsidRPr="00C31AC5">
        <w:rPr>
          <w:b/>
          <w:color w:val="000000"/>
        </w:rPr>
        <w:t>quinientos megabytes</w:t>
      </w:r>
      <w:r w:rsidRPr="00C31AC5">
        <w:rPr>
          <w:color w:val="000000"/>
        </w:rPr>
        <w:t xml:space="preserve"> o su equivalente a </w:t>
      </w:r>
      <w:r w:rsidRPr="00C31AC5">
        <w:rPr>
          <w:b/>
          <w:color w:val="000000"/>
        </w:rPr>
        <w:t>ocho mil fojas</w:t>
      </w:r>
      <w:r w:rsidRPr="00C31AC5">
        <w:rPr>
          <w:color w:val="000000"/>
        </w:rPr>
        <w:t>.</w:t>
      </w:r>
    </w:p>
    <w:p w14:paraId="46054905" w14:textId="77777777" w:rsidR="00C31AC5" w:rsidRPr="00C31AC5" w:rsidRDefault="00C31AC5" w:rsidP="00C31AC5">
      <w:pPr>
        <w:spacing w:after="0" w:line="360" w:lineRule="auto"/>
        <w:ind w:right="-28"/>
        <w:rPr>
          <w:color w:val="000000"/>
        </w:rPr>
      </w:pPr>
    </w:p>
    <w:p w14:paraId="53CF2420" w14:textId="77777777" w:rsidR="00C31AC5" w:rsidRPr="00C31AC5" w:rsidRDefault="00C31AC5" w:rsidP="00C31AC5">
      <w:pPr>
        <w:spacing w:after="0" w:line="360" w:lineRule="auto"/>
        <w:ind w:right="-28"/>
        <w:rPr>
          <w:color w:val="000000"/>
        </w:rPr>
      </w:pPr>
      <w:r w:rsidRPr="00C31AC5">
        <w:rPr>
          <w:color w:val="000000"/>
        </w:rPr>
        <w:t>Sobre esta situación, es necesario precisar que dicha área precisó en respuesta que ponía a disposición del ahora Recurrente la documentación peticionada en consulta directa, previo pago de la reproducción de la información; sin embargo, este Instituto considera que omitió fundar y motivar el cambio de modalidad, pues no precisó las siguientes circunstancias:</w:t>
      </w:r>
    </w:p>
    <w:p w14:paraId="4CA9BB43" w14:textId="77777777" w:rsidR="00C31AC5" w:rsidRPr="00C31AC5" w:rsidRDefault="00C31AC5" w:rsidP="00C31AC5">
      <w:pPr>
        <w:spacing w:after="0" w:line="360" w:lineRule="auto"/>
        <w:ind w:right="-28"/>
        <w:rPr>
          <w:color w:val="000000"/>
        </w:rPr>
      </w:pPr>
    </w:p>
    <w:p w14:paraId="2681D8CD" w14:textId="77777777" w:rsidR="00C31AC5" w:rsidRPr="00C31AC5" w:rsidRDefault="00C31AC5" w:rsidP="00C31AC5">
      <w:pPr>
        <w:numPr>
          <w:ilvl w:val="0"/>
          <w:numId w:val="16"/>
        </w:numPr>
        <w:spacing w:after="0" w:line="360" w:lineRule="auto"/>
        <w:ind w:right="-28"/>
        <w:rPr>
          <w:color w:val="000000"/>
        </w:rPr>
      </w:pPr>
      <w:r w:rsidRPr="00C31AC5">
        <w:rPr>
          <w:color w:val="000000"/>
        </w:rPr>
        <w:t>El número de hojas o peso aproximado de la información;</w:t>
      </w:r>
    </w:p>
    <w:p w14:paraId="2E9F57CB" w14:textId="77777777" w:rsidR="00C31AC5" w:rsidRPr="00C31AC5" w:rsidRDefault="00C31AC5" w:rsidP="00C31AC5">
      <w:pPr>
        <w:numPr>
          <w:ilvl w:val="0"/>
          <w:numId w:val="16"/>
        </w:numPr>
        <w:spacing w:after="0" w:line="360" w:lineRule="auto"/>
        <w:ind w:right="-28"/>
        <w:rPr>
          <w:color w:val="000000"/>
        </w:rPr>
      </w:pPr>
      <w:r w:rsidRPr="00C31AC5">
        <w:rPr>
          <w:color w:val="000000"/>
        </w:rPr>
        <w:t>La forma en que se encontraba la información (físico o digital), y</w:t>
      </w:r>
    </w:p>
    <w:p w14:paraId="0A2851EE" w14:textId="77777777" w:rsidR="00C31AC5" w:rsidRPr="00C31AC5" w:rsidRDefault="00C31AC5" w:rsidP="00C31AC5">
      <w:pPr>
        <w:numPr>
          <w:ilvl w:val="0"/>
          <w:numId w:val="16"/>
        </w:numPr>
        <w:spacing w:after="0" w:line="360" w:lineRule="auto"/>
        <w:ind w:right="-28"/>
        <w:rPr>
          <w:color w:val="000000"/>
        </w:rPr>
      </w:pPr>
      <w:r w:rsidRPr="00C31AC5">
        <w:rPr>
          <w:color w:val="000000"/>
        </w:rPr>
        <w:t>Las capacidades técnicas y humanas con las que contaba el Sujeto Obligado.</w:t>
      </w:r>
    </w:p>
    <w:p w14:paraId="47DBD893" w14:textId="77777777" w:rsidR="00C31AC5" w:rsidRPr="00C31AC5" w:rsidRDefault="00C31AC5" w:rsidP="00C31AC5">
      <w:pPr>
        <w:spacing w:after="0" w:line="360" w:lineRule="auto"/>
        <w:ind w:right="-28"/>
        <w:rPr>
          <w:color w:val="000000"/>
        </w:rPr>
      </w:pPr>
    </w:p>
    <w:p w14:paraId="58105352" w14:textId="77777777" w:rsidR="00C31AC5" w:rsidRPr="00C31AC5" w:rsidRDefault="00C31AC5" w:rsidP="00C31AC5">
      <w:pPr>
        <w:spacing w:after="0" w:line="360" w:lineRule="auto"/>
        <w:ind w:right="-28"/>
        <w:rPr>
          <w:color w:val="000000"/>
        </w:rPr>
      </w:pPr>
      <w:r w:rsidRPr="00C31AC5">
        <w:rPr>
          <w:color w:val="000000"/>
        </w:rPr>
        <w:t>Asimismo, tampoco acreditó que lo peticionado implicaba un análisis, procesamiento o estudio de documentos cuya reproducción sobrepasará las capacidades técnicas, administrativas y humanas del Sujeto Obligado, pues como se refirió no señaló ninguna de las circunstancias previamente referidas.</w:t>
      </w:r>
      <w:r w:rsidRPr="00C31AC5">
        <w:rPr>
          <w:b/>
          <w:color w:val="000000"/>
        </w:rPr>
        <w:t xml:space="preserve"> Lo anterior, toma relevancia pues el Sujeto Obligado omitió desahogar el Requerimiento de Información Adicional, realizado por este Instituto; </w:t>
      </w:r>
      <w:r w:rsidRPr="00C31AC5">
        <w:rPr>
          <w:color w:val="000000"/>
        </w:rPr>
        <w:t xml:space="preserve">por dicha circunstancia se le </w:t>
      </w:r>
      <w:r w:rsidRPr="00C31AC5">
        <w:rPr>
          <w:b/>
          <w:color w:val="000000"/>
        </w:rPr>
        <w:t xml:space="preserve">INSTA </w:t>
      </w:r>
      <w:r w:rsidRPr="00C31AC5">
        <w:rPr>
          <w:color w:val="000000"/>
        </w:rPr>
        <w:t xml:space="preserve">al Sistema Municipal Para el Desarrollo </w:t>
      </w:r>
      <w:r w:rsidRPr="00C31AC5">
        <w:rPr>
          <w:color w:val="000000"/>
        </w:rPr>
        <w:lastRenderedPageBreak/>
        <w:t>Integral de la Familia de Huehuetoca, para que en futuras ocasiones atienda los requerimientos realizados por este Instituto.</w:t>
      </w:r>
    </w:p>
    <w:p w14:paraId="05595B6A" w14:textId="77777777" w:rsidR="00C31AC5" w:rsidRPr="00C31AC5" w:rsidRDefault="00C31AC5" w:rsidP="00C31AC5">
      <w:pPr>
        <w:spacing w:after="0" w:line="360" w:lineRule="auto"/>
        <w:ind w:right="-28"/>
        <w:rPr>
          <w:color w:val="000000"/>
        </w:rPr>
      </w:pPr>
    </w:p>
    <w:p w14:paraId="5014B731" w14:textId="77777777" w:rsidR="00C31AC5" w:rsidRDefault="00C31AC5" w:rsidP="00C31AC5">
      <w:pPr>
        <w:spacing w:after="0" w:line="360" w:lineRule="auto"/>
        <w:ind w:right="-28"/>
        <w:rPr>
          <w:b/>
          <w:color w:val="000000"/>
        </w:rPr>
      </w:pPr>
      <w:r w:rsidRPr="00C31AC5">
        <w:rPr>
          <w:color w:val="000000"/>
        </w:rPr>
        <w:t xml:space="preserve">Por tales consideraciones, se logra vislumbrar que el Sujeto Obligado no acreditó tener algún impedimento del número de hojas o peso de la información que sobrepasara las capacidades técnicas del sistema SAIMEX, lo cual da como resultado que el agravio sea </w:t>
      </w:r>
      <w:r w:rsidRPr="00C31AC5">
        <w:rPr>
          <w:b/>
          <w:color w:val="000000"/>
        </w:rPr>
        <w:t>FUNDADO.</w:t>
      </w:r>
    </w:p>
    <w:p w14:paraId="72509894" w14:textId="77777777" w:rsidR="00AF5779" w:rsidRPr="00C31AC5" w:rsidRDefault="00AF5779" w:rsidP="00C31AC5">
      <w:pPr>
        <w:spacing w:after="0" w:line="360" w:lineRule="auto"/>
        <w:ind w:right="-28"/>
        <w:rPr>
          <w:color w:val="000000"/>
        </w:rPr>
      </w:pPr>
    </w:p>
    <w:p w14:paraId="45C4A9CB" w14:textId="77777777" w:rsidR="00C31AC5" w:rsidRPr="00C31AC5" w:rsidRDefault="00C31AC5" w:rsidP="00C31AC5">
      <w:pPr>
        <w:spacing w:line="360" w:lineRule="auto"/>
        <w:ind w:right="-93"/>
        <w:contextualSpacing/>
        <w:rPr>
          <w:rFonts w:eastAsia="Calibri" w:cs="Tahoma"/>
          <w:color w:val="000000"/>
          <w:lang w:eastAsia="en-US"/>
        </w:rPr>
      </w:pPr>
      <w:r w:rsidRPr="00C31AC5">
        <w:rPr>
          <w:color w:val="000000"/>
        </w:rPr>
        <w:t xml:space="preserve">Asimismo, no pasa desapercibido por este Instituto que el Sujeto Obligado aludió </w:t>
      </w:r>
      <w:r w:rsidRPr="00C31AC5">
        <w:rPr>
          <w:rFonts w:eastAsia="Calibri" w:cs="Tahoma"/>
          <w:color w:val="000000"/>
          <w:lang w:val="es-ES" w:eastAsia="en-US"/>
        </w:rPr>
        <w:t>que el escaneo de la información tenía un costo para el Particular, por lo que, se procede analizar dicha circunstancia;</w:t>
      </w:r>
      <w:r w:rsidRPr="00C31AC5">
        <w:rPr>
          <w:rFonts w:eastAsia="Calibri" w:cs="Tahoma"/>
          <w:bCs/>
          <w:iCs/>
          <w:color w:val="000000"/>
          <w:szCs w:val="24"/>
          <w:lang w:val="es-ES" w:eastAsia="en-US"/>
        </w:rPr>
        <w:t xml:space="preserve"> para tal circunstancia</w:t>
      </w:r>
      <w:r w:rsidRPr="00C31AC5">
        <w:rPr>
          <w:rFonts w:eastAsia="Calibri" w:cs="Tahoma"/>
          <w:color w:val="000000"/>
          <w:lang w:eastAsia="en-US"/>
        </w:rPr>
        <w:t xml:space="preserve">, resulta necesario traer a colación el artículo 148 del Código Financiero del Estado de México, que establece que para la expedición de documentos se pagarán 0.008 veces el valor diario de la unidad de medida por </w:t>
      </w:r>
      <w:r w:rsidRPr="00C31AC5">
        <w:rPr>
          <w:rFonts w:eastAsia="Calibri" w:cs="Tahoma"/>
          <w:b/>
          <w:color w:val="000000"/>
          <w:lang w:eastAsia="en-US"/>
        </w:rPr>
        <w:t xml:space="preserve">el escaneo y digitalización de cada hoja relativa  a los documentos que sean entregados por algún medio electrónico; </w:t>
      </w:r>
      <w:r w:rsidRPr="00C31AC5">
        <w:rPr>
          <w:rFonts w:eastAsia="Calibri" w:cs="Tahoma"/>
          <w:color w:val="000000"/>
          <w:lang w:eastAsia="en-US"/>
        </w:rPr>
        <w:t>además, precisa que el Solicitante, en ejercicio del derecho a la información pública, podrá aportar el medio magnético o disco compacto, para que le sea proporcionada sin costo dicha información.</w:t>
      </w:r>
    </w:p>
    <w:p w14:paraId="24B2A62B" w14:textId="77777777" w:rsidR="00C31AC5" w:rsidRPr="00C31AC5" w:rsidRDefault="00C31AC5" w:rsidP="00C31AC5">
      <w:pPr>
        <w:spacing w:after="0" w:line="360" w:lineRule="auto"/>
        <w:ind w:right="-93"/>
        <w:contextualSpacing/>
        <w:rPr>
          <w:rFonts w:eastAsia="Calibri" w:cs="Tahoma"/>
          <w:color w:val="000000"/>
          <w:lang w:eastAsia="en-US"/>
        </w:rPr>
      </w:pPr>
    </w:p>
    <w:p w14:paraId="749D75CB" w14:textId="77777777" w:rsidR="00C31AC5" w:rsidRPr="00C31AC5" w:rsidRDefault="00C31AC5" w:rsidP="00C31AC5">
      <w:pPr>
        <w:spacing w:after="0" w:line="360" w:lineRule="auto"/>
        <w:ind w:right="-93"/>
        <w:contextualSpacing/>
        <w:rPr>
          <w:rFonts w:eastAsia="Calibri" w:cs="Tahoma"/>
          <w:color w:val="000000"/>
          <w:lang w:eastAsia="en-US"/>
        </w:rPr>
      </w:pPr>
      <w:r w:rsidRPr="00C31AC5">
        <w:rPr>
          <w:rFonts w:eastAsia="Calibri" w:cs="Tahoma"/>
          <w:color w:val="000000"/>
          <w:lang w:eastAsia="en-US"/>
        </w:rPr>
        <w:t>Por otra parte, el artículo 2°, fracción II, de la Ley de Transparencia y Acceso a la Información Pública del Estado de México y Municipios, establece como objetivo en materia de transparencia, el de proveer lo necesario para garantizar a toda persona el derecho de acceso a la información pública a través de procedimientos sencillos, expeditos, oportunos y gratuitos.</w:t>
      </w:r>
    </w:p>
    <w:p w14:paraId="57BCD319" w14:textId="77777777" w:rsidR="00C31AC5" w:rsidRPr="00C31AC5" w:rsidRDefault="00C31AC5" w:rsidP="00C31AC5">
      <w:pPr>
        <w:spacing w:after="0" w:line="360" w:lineRule="auto"/>
        <w:ind w:right="-93"/>
        <w:contextualSpacing/>
        <w:rPr>
          <w:rFonts w:eastAsia="Calibri" w:cs="Tahoma"/>
          <w:color w:val="000000"/>
          <w:lang w:eastAsia="en-US"/>
        </w:rPr>
      </w:pPr>
    </w:p>
    <w:p w14:paraId="01FB44B8" w14:textId="77777777" w:rsidR="00C31AC5" w:rsidRPr="00C31AC5" w:rsidRDefault="00C31AC5" w:rsidP="00C31AC5">
      <w:pPr>
        <w:spacing w:after="0" w:line="360" w:lineRule="auto"/>
        <w:ind w:right="-93"/>
        <w:contextualSpacing/>
        <w:rPr>
          <w:rFonts w:eastAsia="Calibri" w:cs="Tahoma"/>
          <w:color w:val="000000"/>
          <w:lang w:eastAsia="en-US"/>
        </w:rPr>
      </w:pPr>
      <w:r w:rsidRPr="00C31AC5">
        <w:rPr>
          <w:rFonts w:eastAsia="Calibri" w:cs="Tahoma"/>
          <w:color w:val="000000"/>
          <w:lang w:eastAsia="en-US"/>
        </w:rPr>
        <w:t xml:space="preserve">Asimismo, el artículo 9°, fracción III, de la Ley de la materia, precisa que el </w:t>
      </w:r>
      <w:r w:rsidRPr="00C31AC5">
        <w:rPr>
          <w:rFonts w:eastAsia="Calibri" w:cs="Tahoma"/>
          <w:b/>
          <w:color w:val="000000"/>
          <w:lang w:eastAsia="en-US"/>
        </w:rPr>
        <w:t xml:space="preserve">Principio de Gratuidad </w:t>
      </w:r>
      <w:r w:rsidRPr="00C31AC5">
        <w:rPr>
          <w:rFonts w:eastAsia="Calibri" w:cs="Tahoma"/>
          <w:color w:val="000000"/>
          <w:lang w:eastAsia="en-US"/>
        </w:rPr>
        <w:t xml:space="preserve">consiste en que el acceso a la información pública no generará costo alguno para </w:t>
      </w:r>
      <w:r w:rsidRPr="00C31AC5">
        <w:rPr>
          <w:rFonts w:eastAsia="Calibri" w:cs="Tahoma"/>
          <w:color w:val="000000"/>
          <w:lang w:eastAsia="en-US"/>
        </w:rPr>
        <w:lastRenderedPageBreak/>
        <w:t>los solicitantes y sólo podrá requerirse el cobro correspondiente a la modalidad de reproducción y entrega solicitada.</w:t>
      </w:r>
    </w:p>
    <w:p w14:paraId="1F880A22" w14:textId="77777777" w:rsidR="00C31AC5" w:rsidRPr="00C31AC5" w:rsidRDefault="00C31AC5" w:rsidP="00C31AC5">
      <w:pPr>
        <w:spacing w:after="0" w:line="360" w:lineRule="auto"/>
        <w:ind w:right="-93"/>
        <w:contextualSpacing/>
        <w:rPr>
          <w:rFonts w:eastAsia="Calibri" w:cs="Tahoma"/>
          <w:color w:val="000000"/>
          <w:lang w:eastAsia="en-US"/>
        </w:rPr>
      </w:pPr>
    </w:p>
    <w:p w14:paraId="40F9722D" w14:textId="77777777" w:rsidR="00C31AC5" w:rsidRPr="00C31AC5" w:rsidRDefault="00C31AC5" w:rsidP="00C31AC5">
      <w:pPr>
        <w:spacing w:after="0" w:line="360" w:lineRule="auto"/>
        <w:ind w:right="-93"/>
        <w:contextualSpacing/>
        <w:rPr>
          <w:rFonts w:eastAsia="Calibri" w:cs="Tahoma"/>
          <w:color w:val="000000"/>
          <w:lang w:eastAsia="en-US"/>
        </w:rPr>
      </w:pPr>
      <w:r w:rsidRPr="00C31AC5">
        <w:rPr>
          <w:rFonts w:eastAsia="Calibri" w:cs="Tahoma"/>
          <w:color w:val="000000"/>
          <w:lang w:eastAsia="en-US"/>
        </w:rPr>
        <w:t xml:space="preserve">En ese orden de ideas,  los artículos 17 y 150, del ordenamiento jurídico referido, prevén que la búsqueda y acceso a la información </w:t>
      </w:r>
      <w:r w:rsidRPr="00C31AC5">
        <w:rPr>
          <w:rFonts w:eastAsia="Calibri" w:cs="Tahoma"/>
          <w:b/>
          <w:color w:val="000000"/>
          <w:lang w:eastAsia="en-US"/>
        </w:rPr>
        <w:t>es gratuita</w:t>
      </w:r>
      <w:r w:rsidRPr="00C31AC5">
        <w:rPr>
          <w:rFonts w:eastAsia="Calibri" w:cs="Tahoma"/>
          <w:color w:val="000000"/>
          <w:lang w:eastAsia="en-US"/>
        </w:rPr>
        <w:t xml:space="preserve"> y sólo se cubrirán en su caso, los gastos de reproducción por la modalidad de entrega solicitada o por el envío,  de conformidad con los derechos, productos y aprovechamientos establecidos en la legislación aplicable; además, toda vez que el procedimiento de acceso a la información es la garantía primaria del derecho en cuestión y se rige por los principios de simplicidad, rapidez, gratuidad, auxilio y orientación a los particulares, en virtud de que constituye el primer paso para integrar activamente a la ciudadanía en la acción gubernamental, ya que con la información proporcionada por medio de las políticas de transparencia, los ciudadanos son participes de las acciones de gobierno, lo que favorece la rendición de cuentas.</w:t>
      </w:r>
    </w:p>
    <w:p w14:paraId="3C9DFF31" w14:textId="77777777" w:rsidR="00C31AC5" w:rsidRPr="00C31AC5" w:rsidRDefault="00C31AC5" w:rsidP="00C31AC5">
      <w:pPr>
        <w:spacing w:after="0" w:line="360" w:lineRule="auto"/>
        <w:ind w:right="-93"/>
        <w:contextualSpacing/>
        <w:rPr>
          <w:rFonts w:eastAsia="Calibri" w:cs="Tahoma"/>
          <w:color w:val="000000"/>
          <w:lang w:eastAsia="en-US"/>
        </w:rPr>
      </w:pPr>
    </w:p>
    <w:p w14:paraId="1453C249" w14:textId="77777777" w:rsidR="00C31AC5" w:rsidRPr="00C31AC5" w:rsidRDefault="00C31AC5" w:rsidP="00C31AC5">
      <w:pPr>
        <w:spacing w:after="0" w:line="360" w:lineRule="auto"/>
        <w:contextualSpacing/>
        <w:rPr>
          <w:rFonts w:eastAsia="Calibri" w:cs="Tahoma"/>
          <w:color w:val="000000"/>
          <w:lang w:eastAsia="en-US"/>
        </w:rPr>
      </w:pPr>
      <w:r w:rsidRPr="00C31AC5">
        <w:rPr>
          <w:rFonts w:eastAsia="Calibri" w:cs="Tahoma"/>
          <w:color w:val="000000"/>
          <w:lang w:eastAsia="en-US"/>
        </w:rPr>
        <w:t xml:space="preserve">En ese orden de ideas, el artículo 174 de la Ley de la materia, establece que, en los casos de existir costos para obtener la información, deberán cubrirse de manera previa y nunca deberán ser superiores a la suma de </w:t>
      </w:r>
      <w:r w:rsidRPr="00C31AC5">
        <w:rPr>
          <w:rFonts w:eastAsia="Calibri" w:cs="Tahoma"/>
          <w:b/>
          <w:color w:val="000000"/>
          <w:lang w:eastAsia="en-US"/>
        </w:rPr>
        <w:t>los costos de los materiales utilizados, envío y certificación, en su caso;</w:t>
      </w:r>
      <w:r w:rsidRPr="00C31AC5">
        <w:rPr>
          <w:rFonts w:eastAsia="Calibri" w:cs="Tahoma"/>
          <w:color w:val="000000"/>
          <w:lang w:eastAsia="en-US"/>
        </w:rPr>
        <w:t xml:space="preserve"> además, que dichos montos deberán permitir o facilitar el ejercicio del derecho de acceso a la información.</w:t>
      </w:r>
    </w:p>
    <w:p w14:paraId="6C5128EF" w14:textId="77777777" w:rsidR="00C31AC5" w:rsidRPr="00C31AC5" w:rsidRDefault="00C31AC5" w:rsidP="00C31AC5">
      <w:pPr>
        <w:spacing w:after="0" w:line="360" w:lineRule="auto"/>
        <w:contextualSpacing/>
        <w:rPr>
          <w:rFonts w:eastAsia="Calibri" w:cs="Tahoma"/>
          <w:color w:val="000000"/>
          <w:lang w:eastAsia="en-US"/>
        </w:rPr>
      </w:pPr>
    </w:p>
    <w:p w14:paraId="009C3E6E" w14:textId="77777777" w:rsidR="00C31AC5" w:rsidRPr="00C31AC5" w:rsidRDefault="00C31AC5" w:rsidP="00C31AC5">
      <w:pPr>
        <w:spacing w:after="0" w:line="360" w:lineRule="auto"/>
        <w:contextualSpacing/>
        <w:rPr>
          <w:rFonts w:eastAsia="Calibri" w:cs="Tahoma"/>
          <w:color w:val="000000"/>
          <w:lang w:eastAsia="en-US"/>
        </w:rPr>
      </w:pPr>
      <w:r w:rsidRPr="00C31AC5">
        <w:rPr>
          <w:rFonts w:eastAsia="Calibri" w:cs="Tahoma"/>
          <w:color w:val="000000"/>
          <w:lang w:eastAsia="en-US"/>
        </w:rPr>
        <w:t>De tal manera, por regla general la entrega de la información solicitada en ejercicio del derecho de acceso a la información pública, deberá ser en completa congruencia con el Principio de Gratuidad y solamente en casos excepcionales, se procederá al cobro para la entrega de la información, lo cual ocurrirá  en caso de que se tenga que generar un gasto por la reproducción, por la modalidad de entrega solicitada o por su envió; sin embargo</w:t>
      </w:r>
      <w:r w:rsidRPr="00C31AC5">
        <w:rPr>
          <w:rFonts w:eastAsia="Calibri" w:cs="Tahoma"/>
          <w:b/>
          <w:bCs/>
          <w:color w:val="000000"/>
          <w:u w:val="single"/>
          <w:lang w:eastAsia="en-US"/>
        </w:rPr>
        <w:t xml:space="preserve">, en el </w:t>
      </w:r>
      <w:r w:rsidRPr="00C31AC5">
        <w:rPr>
          <w:rFonts w:eastAsia="Calibri" w:cs="Tahoma"/>
          <w:b/>
          <w:bCs/>
          <w:color w:val="000000"/>
          <w:u w:val="single"/>
          <w:lang w:eastAsia="en-US"/>
        </w:rPr>
        <w:lastRenderedPageBreak/>
        <w:t>caso concreto no se estima que se actualice ninguno de esos supuestos, por lo que, ello únicamente implica la digitalización o escaneo de la información a entregar</w:t>
      </w:r>
      <w:r w:rsidRPr="00C31AC5">
        <w:rPr>
          <w:rFonts w:eastAsia="Calibri" w:cs="Tahoma"/>
          <w:color w:val="000000"/>
          <w:lang w:eastAsia="en-US"/>
        </w:rPr>
        <w:t>, lo cual no conlleva la utilización de materiales que generen un costo para el Sujeto Obligado, como es el caso, de la emisión de copias (simples o certificadas); así tampoco se genera un gasto por el envío de la información, ya que una de las finalidades de la utilización del sistema de referencia es evitar la generación de gastos, tanto para los solicitantes como para los sujetos obligados.</w:t>
      </w:r>
    </w:p>
    <w:p w14:paraId="0513C121" w14:textId="77777777" w:rsidR="00C31AC5" w:rsidRPr="00C31AC5" w:rsidRDefault="00C31AC5" w:rsidP="00C31AC5">
      <w:pPr>
        <w:spacing w:after="0" w:line="360" w:lineRule="auto"/>
        <w:contextualSpacing/>
        <w:rPr>
          <w:rFonts w:eastAsia="Calibri" w:cs="Tahoma"/>
          <w:color w:val="000000"/>
          <w:lang w:eastAsia="en-US"/>
        </w:rPr>
      </w:pPr>
    </w:p>
    <w:p w14:paraId="61E4C72F" w14:textId="77777777" w:rsidR="00C31AC5" w:rsidRPr="00C31AC5" w:rsidRDefault="00C31AC5" w:rsidP="00C31AC5">
      <w:pPr>
        <w:spacing w:after="0" w:line="360" w:lineRule="auto"/>
        <w:contextualSpacing/>
        <w:rPr>
          <w:rFonts w:eastAsia="Calibri" w:cs="Tahoma"/>
          <w:color w:val="000000"/>
          <w:lang w:eastAsia="en-US"/>
        </w:rPr>
      </w:pPr>
      <w:r w:rsidRPr="00C31AC5">
        <w:rPr>
          <w:rFonts w:eastAsia="Calibri" w:cs="Tahoma"/>
          <w:color w:val="000000"/>
          <w:lang w:eastAsia="en-US"/>
        </w:rPr>
        <w:t>Lo anterior, toma sustento en el hecho de que en el  caso de la digitalización, no se está realizando una copia física de los documentos, sino electrónica, misma que se puede realizar con herramientas tecnológicas (Multifuncional, escáner, cámara, entre otros) y programas de uso sencillo, mismos con los que cuenta ya el Sujeto Obligado; por lo que, el escaneo se trata de un proceso mecánico, realizado por los servidores públicos, para que se pueda entregar la información, en cualquier medio magnético.</w:t>
      </w:r>
    </w:p>
    <w:p w14:paraId="20BA4441" w14:textId="77777777" w:rsidR="00C31AC5" w:rsidRPr="00C31AC5" w:rsidRDefault="00C31AC5" w:rsidP="00C31AC5">
      <w:pPr>
        <w:spacing w:after="0" w:line="360" w:lineRule="auto"/>
        <w:contextualSpacing/>
        <w:rPr>
          <w:rFonts w:eastAsia="Calibri" w:cs="Tahoma"/>
          <w:color w:val="000000"/>
          <w:lang w:eastAsia="en-US"/>
        </w:rPr>
      </w:pPr>
    </w:p>
    <w:p w14:paraId="24D9349A" w14:textId="77777777" w:rsidR="00C31AC5" w:rsidRPr="00C31AC5" w:rsidRDefault="00C31AC5" w:rsidP="00C31AC5">
      <w:pPr>
        <w:spacing w:after="0" w:line="360" w:lineRule="auto"/>
        <w:contextualSpacing/>
        <w:rPr>
          <w:rFonts w:eastAsia="Calibri" w:cs="Tahoma"/>
          <w:color w:val="000000"/>
          <w:lang w:eastAsia="en-US"/>
        </w:rPr>
      </w:pPr>
      <w:r w:rsidRPr="00C31AC5">
        <w:rPr>
          <w:rFonts w:eastAsia="Calibri" w:cs="Tahoma"/>
          <w:color w:val="000000"/>
          <w:lang w:eastAsia="en-US"/>
        </w:rPr>
        <w:t>En ese contexto, si bien el Código Financiero del Estado de México, permite a los sujetos obligados cobrar por la digitalización y escaneo de la información que obre en sus archivos, también lo es que deben guiarse por el Principio de Gratuidad y solo excepcionalmente podrán cobrar, cuando se utilicen materiales para su reproducción, lo cual no acontece con el escaneo y la digitalización de la información.</w:t>
      </w:r>
    </w:p>
    <w:p w14:paraId="3BC3BA42" w14:textId="77777777" w:rsidR="00C31AC5" w:rsidRPr="00C31AC5" w:rsidRDefault="00C31AC5" w:rsidP="00C31AC5">
      <w:pPr>
        <w:spacing w:after="0" w:line="360" w:lineRule="auto"/>
        <w:contextualSpacing/>
        <w:rPr>
          <w:rFonts w:eastAsia="Calibri" w:cs="Tahoma"/>
          <w:color w:val="000000"/>
          <w:lang w:eastAsia="en-US"/>
        </w:rPr>
      </w:pPr>
    </w:p>
    <w:p w14:paraId="5ECD464C" w14:textId="77777777" w:rsidR="00C31AC5" w:rsidRPr="00C31AC5" w:rsidRDefault="00C31AC5" w:rsidP="00C31AC5">
      <w:pPr>
        <w:spacing w:after="0" w:line="360" w:lineRule="auto"/>
        <w:ind w:right="-93"/>
        <w:contextualSpacing/>
        <w:rPr>
          <w:rFonts w:eastAsia="Calibri" w:cs="Tahoma"/>
          <w:color w:val="000000"/>
          <w:lang w:eastAsia="en-US"/>
        </w:rPr>
      </w:pPr>
      <w:r w:rsidRPr="00C31AC5">
        <w:rPr>
          <w:rFonts w:eastAsia="Calibri" w:cs="Tahoma"/>
          <w:color w:val="000000"/>
          <w:lang w:eastAsia="en-US"/>
        </w:rPr>
        <w:t xml:space="preserve">De tales circunstancias, se considera que en el presente caso </w:t>
      </w:r>
      <w:r w:rsidRPr="00C31AC5">
        <w:rPr>
          <w:rFonts w:eastAsia="Calibri" w:cs="Tahoma"/>
          <w:b/>
          <w:color w:val="000000"/>
          <w:lang w:eastAsia="en-US"/>
        </w:rPr>
        <w:t>no procede un cobro por la digitalización de la información</w:t>
      </w:r>
      <w:r w:rsidRPr="00C31AC5">
        <w:rPr>
          <w:rFonts w:eastAsia="Calibri" w:cs="Tahoma"/>
          <w:color w:val="000000"/>
          <w:lang w:eastAsia="en-US"/>
        </w:rPr>
        <w:t>, toda vez que no implica la utilización de materiales, tales como papel o tinta, sino únicamente la utilización de un equipo tecnológico para llevar a cabo la entrega de la misma.</w:t>
      </w:r>
    </w:p>
    <w:p w14:paraId="040EC707" w14:textId="77777777" w:rsidR="00C31AC5" w:rsidRPr="00C31AC5" w:rsidRDefault="00C31AC5" w:rsidP="00C31AC5">
      <w:pPr>
        <w:spacing w:after="0" w:line="360" w:lineRule="auto"/>
        <w:rPr>
          <w:color w:val="000000"/>
        </w:rPr>
      </w:pPr>
    </w:p>
    <w:p w14:paraId="45F5FCDB" w14:textId="77777777" w:rsidR="00C31AC5" w:rsidRPr="00C31AC5" w:rsidRDefault="00C31AC5" w:rsidP="00C31AC5">
      <w:pPr>
        <w:spacing w:after="0" w:line="360" w:lineRule="auto"/>
        <w:rPr>
          <w:color w:val="000000"/>
        </w:rPr>
      </w:pPr>
      <w:r w:rsidRPr="00C31AC5">
        <w:rPr>
          <w:color w:val="000000"/>
        </w:rPr>
        <w:t xml:space="preserve">Así, resulta procedente ordenar la entrega de los comprobantes de gastos de la Tesorería correspondiente al primer trimestre de dos mil veinticinco; esto, con el fin de dar cumplimiento a los artículos 12, 160 y 162 de la Ley de Transparencia y Acceso a la Información Pública del Estado de México y Municipios, se considera que el Sujeto Obligado deberá realizar una búsqueda exhaustiva y razonable en los archivos con el fin de proporcionar la información solicitada por el particular. </w:t>
      </w:r>
    </w:p>
    <w:p w14:paraId="51E4B777" w14:textId="77777777" w:rsidR="00C31AC5" w:rsidRPr="00C31AC5" w:rsidRDefault="00C31AC5" w:rsidP="00C31AC5">
      <w:pPr>
        <w:spacing w:after="0" w:line="360" w:lineRule="auto"/>
        <w:rPr>
          <w:color w:val="000000"/>
        </w:rPr>
      </w:pPr>
    </w:p>
    <w:p w14:paraId="3F3DDD53" w14:textId="77777777" w:rsidR="00AF5779" w:rsidRPr="00AF5779" w:rsidRDefault="00AF5779" w:rsidP="00AF5779">
      <w:pPr>
        <w:spacing w:after="0" w:line="360" w:lineRule="auto"/>
        <w:rPr>
          <w:rFonts w:eastAsia="Times New Roman" w:cs="Tahoma"/>
          <w:iCs/>
          <w:lang w:val="es-ES" w:eastAsia="es-ES"/>
        </w:rPr>
      </w:pPr>
      <w:r w:rsidRPr="00AF5779">
        <w:rPr>
          <w:rFonts w:eastAsia="Times New Roman" w:cs="Tahoma"/>
          <w:iCs/>
          <w:lang w:val="es-ES" w:eastAsia="es-ES"/>
        </w:rPr>
        <w:t xml:space="preserve">De tales circunstancias, se concluye que los sujetos obligados únicamente se encuentran constreñidos a proporcionar los documentos que den cuenta de la información solicitada, como obren en sus archivos, sin tener que elaborarlos a las necesidades del Recurrente; por lo que, en el presente caso, deberá entregar la información solicitada. </w:t>
      </w:r>
    </w:p>
    <w:p w14:paraId="4360A007" w14:textId="77777777" w:rsidR="00AF5779" w:rsidRPr="00AF5779" w:rsidRDefault="00AF5779" w:rsidP="00AF5779">
      <w:pPr>
        <w:tabs>
          <w:tab w:val="left" w:pos="4962"/>
        </w:tabs>
        <w:spacing w:after="0" w:line="360" w:lineRule="auto"/>
        <w:rPr>
          <w:rFonts w:eastAsia="Times New Roman" w:cs="Tahoma"/>
          <w:iCs/>
          <w:lang w:val="es-ES" w:eastAsia="es-ES"/>
        </w:rPr>
      </w:pPr>
    </w:p>
    <w:p w14:paraId="6CE81571" w14:textId="77777777" w:rsidR="00AF5779" w:rsidRPr="00AF5779" w:rsidRDefault="00AF5779" w:rsidP="00AF5779">
      <w:pPr>
        <w:tabs>
          <w:tab w:val="left" w:pos="4962"/>
        </w:tabs>
        <w:spacing w:after="0" w:line="360" w:lineRule="auto"/>
        <w:rPr>
          <w:rFonts w:eastAsia="Times New Roman" w:cs="Tahoma"/>
          <w:bCs/>
          <w:lang w:val="es-ES" w:eastAsia="es-ES"/>
        </w:rPr>
      </w:pPr>
      <w:r w:rsidRPr="00AF5779">
        <w:rPr>
          <w:rFonts w:eastAsia="Times New Roman" w:cs="Tahoma"/>
          <w:bCs/>
          <w:lang w:val="es-ES_tradnl" w:eastAsia="es-ES"/>
        </w:rPr>
        <w:t>Finalmente, no pasa desapercibido para este Instituto que los documentos que den cuenta de lo solicitado, pudieran contener datos o información clasificada; por lo que, en el supuesto, deberá elaborar la versión pública respectiva; a</w:t>
      </w:r>
      <w:r w:rsidRPr="00AF5779">
        <w:rPr>
          <w:rFonts w:eastAsia="Times New Roman" w:cs="Tahoma"/>
          <w:bCs/>
          <w:lang w:val="es-ES" w:eastAsia="es-ES"/>
        </w:rPr>
        <w:t xml:space="preserve">l respecto, conforme al artículo 3°, fracción XLV, relacionado con el 137, ambos de la Ley de Transparencia y Acceso a la Información Pública del Estado de México y Municipios, cuando un documento contenga información pública y clasificada, la Unidad de Transparencia para efectos de atender al requerimiento informativo, deberá elaborar una versión pública en la que se testen las partes o secciones clasificadas, indicando su contenido de manera genérica y fundando y motivando su clasificación. </w:t>
      </w:r>
    </w:p>
    <w:p w14:paraId="1E8B7548" w14:textId="77777777" w:rsidR="00AF5779" w:rsidRPr="00AF5779" w:rsidRDefault="00AF5779" w:rsidP="00AF5779">
      <w:pPr>
        <w:tabs>
          <w:tab w:val="left" w:pos="4962"/>
        </w:tabs>
        <w:spacing w:after="0" w:line="360" w:lineRule="auto"/>
        <w:rPr>
          <w:rFonts w:eastAsia="Times New Roman" w:cs="Tahoma"/>
          <w:bCs/>
          <w:lang w:val="es-ES" w:eastAsia="es-ES"/>
        </w:rPr>
      </w:pPr>
    </w:p>
    <w:p w14:paraId="3303500A" w14:textId="7C65BA08" w:rsidR="00C31AC5" w:rsidRPr="00C31AC5" w:rsidRDefault="00AF5779" w:rsidP="00AF5779">
      <w:pPr>
        <w:tabs>
          <w:tab w:val="left" w:pos="4962"/>
        </w:tabs>
        <w:spacing w:after="0" w:line="360" w:lineRule="auto"/>
        <w:rPr>
          <w:rFonts w:eastAsia="Times New Roman" w:cs="Tahoma"/>
          <w:bCs/>
          <w:lang w:val="es-ES" w:eastAsia="es-ES"/>
        </w:rPr>
      </w:pPr>
      <w:r w:rsidRPr="00AF5779">
        <w:rPr>
          <w:rFonts w:eastAsia="Times New Roman" w:cs="Tahoma"/>
          <w:bCs/>
          <w:lang w:val="es-ES" w:eastAsia="es-ES"/>
        </w:rPr>
        <w:t xml:space="preserve">Para tal situación, el Sujeto Obligado deberá seguir el procedimiento establecido en el artículo 168 de dicho ordenamiento jurídico; esto es, que el área competente deberá elaborar </w:t>
      </w:r>
      <w:r w:rsidRPr="00AF5779">
        <w:rPr>
          <w:rFonts w:eastAsia="Times New Roman" w:cs="Tahoma"/>
          <w:bCs/>
          <w:lang w:val="es-ES" w:eastAsia="es-ES"/>
        </w:rPr>
        <w:lastRenderedPageBreak/>
        <w:t>la versión pública, así como emitir el Acuerdo, por parte del Comité de Transparencia, donde confirme la clasificación de los datos, fundando y motivando la clasificación.</w:t>
      </w:r>
    </w:p>
    <w:p w14:paraId="499B7ABA" w14:textId="77777777" w:rsidR="00094A71" w:rsidRDefault="00094A71">
      <w:pPr>
        <w:spacing w:after="0" w:line="360" w:lineRule="auto"/>
        <w:rPr>
          <w:color w:val="EE0000"/>
        </w:rPr>
      </w:pPr>
    </w:p>
    <w:p w14:paraId="6CC02029" w14:textId="1D28AFA1" w:rsidR="00094A71" w:rsidRDefault="00074F0C">
      <w:pPr>
        <w:pStyle w:val="Ttulo2"/>
        <w:spacing w:before="0" w:line="360" w:lineRule="auto"/>
        <w:rPr>
          <w:rFonts w:ascii="Palatino Linotype" w:eastAsia="Palatino Linotype" w:hAnsi="Palatino Linotype" w:cs="Palatino Linotype"/>
          <w:b/>
          <w:color w:val="000000"/>
          <w:sz w:val="22"/>
          <w:szCs w:val="22"/>
        </w:rPr>
      </w:pPr>
      <w:bookmarkStart w:id="18" w:name="_heading=h.i9jy57jhzjlb" w:colFirst="0" w:colLast="0"/>
      <w:bookmarkEnd w:id="18"/>
      <w:r>
        <w:rPr>
          <w:rFonts w:ascii="Palatino Linotype" w:eastAsia="Palatino Linotype" w:hAnsi="Palatino Linotype" w:cs="Palatino Linotype"/>
          <w:b/>
          <w:color w:val="000000"/>
          <w:sz w:val="22"/>
          <w:szCs w:val="22"/>
        </w:rPr>
        <w:t>SEXTO. Decisión</w:t>
      </w:r>
    </w:p>
    <w:p w14:paraId="219EC8FF" w14:textId="77777777" w:rsidR="00094A71" w:rsidRDefault="00094A71">
      <w:pPr>
        <w:spacing w:after="0" w:line="360" w:lineRule="auto"/>
        <w:rPr>
          <w:b/>
          <w:color w:val="000000"/>
        </w:rPr>
      </w:pPr>
    </w:p>
    <w:p w14:paraId="63919B1A" w14:textId="7BA879C6" w:rsidR="00094A71" w:rsidRDefault="00EE75AC">
      <w:pPr>
        <w:spacing w:after="0" w:line="360" w:lineRule="auto"/>
      </w:pPr>
      <w:r>
        <w:t xml:space="preserve">Con fundamento en el artículo 186, fracción III, de la Ley de Transparencia y Acceso a la Información Pública del Estado de México y Municipios, este Instituto considera procedente </w:t>
      </w:r>
      <w:r>
        <w:rPr>
          <w:b/>
        </w:rPr>
        <w:t>REVOCAR</w:t>
      </w:r>
      <w:r>
        <w:t xml:space="preserve"> la respuesta otorgada por el Sujeto Obligado a la solicitud de información </w:t>
      </w:r>
      <w:r w:rsidR="00AF5779" w:rsidRPr="00AF5779">
        <w:t>00238/DIFHUEHUET/IP/2025</w:t>
      </w:r>
      <w:r>
        <w:t>, a efecto de que entregue, la información solicitada.</w:t>
      </w:r>
    </w:p>
    <w:p w14:paraId="63F824B0" w14:textId="77777777" w:rsidR="00094A71" w:rsidRDefault="00094A71">
      <w:pPr>
        <w:spacing w:after="0" w:line="360" w:lineRule="auto"/>
        <w:rPr>
          <w:color w:val="000000"/>
        </w:rPr>
      </w:pPr>
    </w:p>
    <w:p w14:paraId="41A45186" w14:textId="62687643" w:rsidR="00094A71" w:rsidRDefault="00EE75AC">
      <w:pPr>
        <w:spacing w:after="0" w:line="360" w:lineRule="auto"/>
        <w:rPr>
          <w:b/>
          <w:color w:val="000000"/>
        </w:rPr>
      </w:pPr>
      <w:r>
        <w:rPr>
          <w:b/>
          <w:color w:val="000000"/>
        </w:rPr>
        <w:t>Términos de la Resolución p</w:t>
      </w:r>
      <w:r w:rsidR="00074F0C">
        <w:rPr>
          <w:b/>
          <w:color w:val="000000"/>
        </w:rPr>
        <w:t>ara conocimiento del Particular</w:t>
      </w:r>
    </w:p>
    <w:p w14:paraId="57D8567F" w14:textId="77777777" w:rsidR="00094A71" w:rsidRDefault="00094A71">
      <w:pPr>
        <w:spacing w:after="0" w:line="360" w:lineRule="auto"/>
        <w:rPr>
          <w:b/>
          <w:color w:val="000000"/>
        </w:rPr>
      </w:pPr>
    </w:p>
    <w:p w14:paraId="0F12E2A1" w14:textId="1E367B32" w:rsidR="00094A71" w:rsidRDefault="00EE75AC">
      <w:pPr>
        <w:spacing w:after="0" w:line="360" w:lineRule="auto"/>
        <w:rPr>
          <w:color w:val="000000"/>
        </w:rPr>
      </w:pPr>
      <w:r>
        <w:t xml:space="preserve">Se le hace del conocimiento al Particular, que, en el presente caso, se le da la razón pues el Sujeto Obligado </w:t>
      </w:r>
      <w:r w:rsidR="00AF5779" w:rsidRPr="00AF5779">
        <w:rPr>
          <w:color w:val="000000"/>
        </w:rPr>
        <w:t xml:space="preserve">omitió entregar la información solicitada en la modalidad elegida, por lo que, deberá entregársela; la labor del </w:t>
      </w:r>
      <w:r w:rsidR="005319EC" w:rsidRPr="00AF5779">
        <w:rPr>
          <w:color w:val="000000"/>
        </w:rPr>
        <w:t>Instituto</w:t>
      </w:r>
      <w:r w:rsidR="00AF5779" w:rsidRPr="00AF5779">
        <w:rPr>
          <w:color w:val="000000"/>
        </w:rPr>
        <w:t xml:space="preserve"> es apoyar a la población a acceder a la información pública y garantizar la protección de sus datos personales.</w:t>
      </w:r>
    </w:p>
    <w:p w14:paraId="110A8F34" w14:textId="77777777" w:rsidR="00AF5779" w:rsidRPr="00AF5779" w:rsidRDefault="00AF5779">
      <w:pPr>
        <w:spacing w:after="0" w:line="360" w:lineRule="auto"/>
        <w:rPr>
          <w:color w:val="000000"/>
        </w:rPr>
      </w:pPr>
    </w:p>
    <w:p w14:paraId="628CEF9C" w14:textId="77777777" w:rsidR="00094A71" w:rsidRDefault="00EE75AC">
      <w:pPr>
        <w:spacing w:after="0" w:line="360" w:lineRule="auto"/>
        <w:rPr>
          <w:color w:val="000000"/>
        </w:rPr>
      </w:pPr>
      <w:r>
        <w:rPr>
          <w:color w:val="000000"/>
        </w:rPr>
        <w:t>Por lo expuesto y fundado, este Pleno:</w:t>
      </w:r>
    </w:p>
    <w:p w14:paraId="53D12B8E" w14:textId="77777777" w:rsidR="00094A71" w:rsidRDefault="00094A71">
      <w:pPr>
        <w:spacing w:after="0" w:line="360" w:lineRule="auto"/>
        <w:rPr>
          <w:color w:val="000000"/>
        </w:rPr>
      </w:pPr>
    </w:p>
    <w:p w14:paraId="1A80D868" w14:textId="4787178D" w:rsidR="00094A71" w:rsidRDefault="00074F0C">
      <w:pPr>
        <w:pStyle w:val="Ttulo1"/>
        <w:spacing w:before="0" w:line="360" w:lineRule="auto"/>
        <w:jc w:val="center"/>
        <w:rPr>
          <w:rFonts w:ascii="Palatino Linotype" w:eastAsia="Palatino Linotype" w:hAnsi="Palatino Linotype" w:cs="Palatino Linotype"/>
          <w:b/>
          <w:color w:val="000000"/>
          <w:sz w:val="22"/>
          <w:szCs w:val="22"/>
        </w:rPr>
      </w:pPr>
      <w:bookmarkStart w:id="19" w:name="_heading=h.e2c3iugzovt6" w:colFirst="0" w:colLast="0"/>
      <w:bookmarkEnd w:id="19"/>
      <w:r>
        <w:rPr>
          <w:rFonts w:ascii="Palatino Linotype" w:eastAsia="Palatino Linotype" w:hAnsi="Palatino Linotype" w:cs="Palatino Linotype"/>
          <w:b/>
          <w:color w:val="000000"/>
          <w:sz w:val="22"/>
          <w:szCs w:val="22"/>
        </w:rPr>
        <w:t>R E S U E L V E</w:t>
      </w:r>
    </w:p>
    <w:p w14:paraId="5BFABDE2" w14:textId="77777777" w:rsidR="00094A71" w:rsidRDefault="00094A71">
      <w:pPr>
        <w:spacing w:after="0" w:line="360" w:lineRule="auto"/>
        <w:ind w:right="-91"/>
        <w:jc w:val="center"/>
        <w:rPr>
          <w:b/>
          <w:color w:val="000000"/>
        </w:rPr>
      </w:pPr>
    </w:p>
    <w:p w14:paraId="3D537878" w14:textId="7B598B8A" w:rsidR="00094A71" w:rsidRDefault="00EE75AC">
      <w:pPr>
        <w:spacing w:after="0" w:line="360" w:lineRule="auto"/>
      </w:pPr>
      <w:r>
        <w:rPr>
          <w:b/>
        </w:rPr>
        <w:t xml:space="preserve">PRIMERO. </w:t>
      </w:r>
      <w:r>
        <w:t xml:space="preserve">Se </w:t>
      </w:r>
      <w:r>
        <w:rPr>
          <w:b/>
        </w:rPr>
        <w:t xml:space="preserve">REVOCA </w:t>
      </w:r>
      <w:r>
        <w:t xml:space="preserve">la respuesta entregada por el </w:t>
      </w:r>
      <w:r w:rsidR="00AF5779" w:rsidRPr="00AF5779">
        <w:t>Sistema Municipal Para el Desarrollo Integral de la Familia de Huehuetoca</w:t>
      </w:r>
      <w:r>
        <w:t xml:space="preserve">, a la solicitud de información </w:t>
      </w:r>
      <w:r w:rsidR="00AF5779" w:rsidRPr="00AF5779">
        <w:t>00238/DIFHUEHUET/IP/2025</w:t>
      </w:r>
      <w:r>
        <w:rPr>
          <w:color w:val="000000"/>
        </w:rPr>
        <w:t>,</w:t>
      </w:r>
      <w:r>
        <w:t xml:space="preserve"> por resultar </w:t>
      </w:r>
      <w:r>
        <w:rPr>
          <w:b/>
        </w:rPr>
        <w:t xml:space="preserve">FUNDADAS </w:t>
      </w:r>
      <w:r>
        <w:t xml:space="preserve">las razones o motivos de </w:t>
      </w:r>
      <w:r>
        <w:lastRenderedPageBreak/>
        <w:t>inconformidad hechos valer por la persona Recurrente, en términos de los considerandos QUINTO y SEXTO de la presente Resolución.</w:t>
      </w:r>
    </w:p>
    <w:p w14:paraId="4641669D" w14:textId="77777777" w:rsidR="00094A71" w:rsidRDefault="00094A71">
      <w:pPr>
        <w:spacing w:after="0" w:line="360" w:lineRule="auto"/>
      </w:pPr>
    </w:p>
    <w:p w14:paraId="560A78C4" w14:textId="6F627ADF" w:rsidR="00094A71" w:rsidRDefault="00EE75AC">
      <w:pPr>
        <w:spacing w:after="0" w:line="360" w:lineRule="auto"/>
        <w:rPr>
          <w:color w:val="000000"/>
        </w:rPr>
      </w:pPr>
      <w:r>
        <w:rPr>
          <w:b/>
        </w:rPr>
        <w:t xml:space="preserve">SEGUNDO. </w:t>
      </w:r>
      <w:r>
        <w:t xml:space="preserve">Se </w:t>
      </w:r>
      <w:r>
        <w:rPr>
          <w:b/>
        </w:rPr>
        <w:t>ORDENA</w:t>
      </w:r>
      <w:r>
        <w:t xml:space="preserve"> al Sujeto Obligado</w:t>
      </w:r>
      <w:r>
        <w:rPr>
          <w:b/>
        </w:rPr>
        <w:t xml:space="preserve">, </w:t>
      </w:r>
      <w:r>
        <w:t xml:space="preserve">a efecto de que previa búsqueda exhaustiva y razonable en los archivos de las unidades administrativas competentes, entregue a través del Sistema de Acceso a la Información Mexiquense (SAIMEX), </w:t>
      </w:r>
      <w:r w:rsidR="00A53F78">
        <w:t>en</w:t>
      </w:r>
      <w:r w:rsidR="00AF5779">
        <w:t xml:space="preserve"> su caso, en</w:t>
      </w:r>
      <w:r w:rsidR="00A53F78">
        <w:t xml:space="preserve"> versión pública</w:t>
      </w:r>
      <w:r>
        <w:t>, lo siguiente:</w:t>
      </w:r>
    </w:p>
    <w:p w14:paraId="6AC7C7F9" w14:textId="77777777" w:rsidR="00094A71" w:rsidRDefault="00094A71">
      <w:pPr>
        <w:spacing w:after="0" w:line="360" w:lineRule="auto"/>
        <w:ind w:right="-30"/>
        <w:rPr>
          <w:color w:val="000000"/>
        </w:rPr>
      </w:pPr>
    </w:p>
    <w:p w14:paraId="14CB3D12" w14:textId="3746F334" w:rsidR="00A53F78" w:rsidRDefault="00A53F78" w:rsidP="005D6DC2">
      <w:pPr>
        <w:numPr>
          <w:ilvl w:val="0"/>
          <w:numId w:val="1"/>
        </w:numPr>
        <w:spacing w:after="0" w:line="360" w:lineRule="auto"/>
        <w:rPr>
          <w:color w:val="000000"/>
        </w:rPr>
      </w:pPr>
      <w:r w:rsidRPr="00AF5779">
        <w:rPr>
          <w:color w:val="000000"/>
        </w:rPr>
        <w:t>L</w:t>
      </w:r>
      <w:r w:rsidR="00AF5779">
        <w:rPr>
          <w:color w:val="000000"/>
        </w:rPr>
        <w:t>os</w:t>
      </w:r>
      <w:r w:rsidR="00AF5779" w:rsidRPr="00AF5779">
        <w:rPr>
          <w:color w:val="000000"/>
        </w:rPr>
        <w:t xml:space="preserve"> documentos que conforma</w:t>
      </w:r>
      <w:r w:rsidR="00983DA2">
        <w:rPr>
          <w:color w:val="000000"/>
        </w:rPr>
        <w:t>ban</w:t>
      </w:r>
      <w:r w:rsidR="00AF5779" w:rsidRPr="00AF5779">
        <w:rPr>
          <w:color w:val="000000"/>
        </w:rPr>
        <w:t xml:space="preserve"> la Verificación Virtual Oficiosa 2025, que incluya las solvataciones, así como el porcentaje inicial y final de la verificación, al seis de octubre de dos mil veinticinco</w:t>
      </w:r>
      <w:r w:rsidR="00983DA2">
        <w:rPr>
          <w:color w:val="000000"/>
        </w:rPr>
        <w:t>.</w:t>
      </w:r>
    </w:p>
    <w:p w14:paraId="6AD465B5" w14:textId="77777777" w:rsidR="00AF5779" w:rsidRPr="00AF5779" w:rsidRDefault="00AF5779" w:rsidP="00AF5779">
      <w:pPr>
        <w:spacing w:after="0" w:line="360" w:lineRule="auto"/>
        <w:ind w:left="720"/>
        <w:rPr>
          <w:color w:val="000000"/>
        </w:rPr>
      </w:pPr>
    </w:p>
    <w:p w14:paraId="2BE5E6DB" w14:textId="69C73E67" w:rsidR="00A53F78" w:rsidRPr="008D0189" w:rsidRDefault="00A53F78" w:rsidP="00A53F78">
      <w:pPr>
        <w:spacing w:after="0" w:line="360" w:lineRule="auto"/>
        <w:rPr>
          <w:rFonts w:cs="Tahoma"/>
          <w:bCs/>
          <w:iCs/>
          <w:color w:val="000000"/>
        </w:rPr>
      </w:pPr>
      <w:r w:rsidRPr="008D0189">
        <w:rPr>
          <w:color w:val="000000"/>
        </w:rPr>
        <w:t>Además,</w:t>
      </w:r>
      <w:r w:rsidR="00983DA2">
        <w:rPr>
          <w:color w:val="000000"/>
        </w:rPr>
        <w:t xml:space="preserve"> de ser necesario,</w:t>
      </w:r>
      <w:r w:rsidRPr="008D0189">
        <w:rPr>
          <w:color w:val="000000"/>
        </w:rPr>
        <w:t xml:space="preserve"> </w:t>
      </w:r>
      <w:r w:rsidRPr="008D0189">
        <w:rPr>
          <w:rFonts w:cs="Tahoma"/>
          <w:bCs/>
          <w:iCs/>
          <w:color w:val="000000"/>
        </w:rPr>
        <w:t>deberá proporcionar el Acuerdo de Clasificación donde el Comité de Transparencia, confirme la eliminación de los datos o información clasificada, en la versión pública, de conformidad con los artículos 49, fracciones II y VIII y 132, fracción II de la Ley de Transparencia y Acceso a la Información Pública del Estado de México y Municipios.</w:t>
      </w:r>
    </w:p>
    <w:p w14:paraId="40F9C0D1" w14:textId="77777777" w:rsidR="00094A71" w:rsidRDefault="00094A71">
      <w:pPr>
        <w:spacing w:after="0" w:line="360" w:lineRule="auto"/>
      </w:pPr>
    </w:p>
    <w:p w14:paraId="4866E027" w14:textId="77777777" w:rsidR="00094A71" w:rsidRDefault="00EE75AC">
      <w:pPr>
        <w:spacing w:after="0" w:line="360" w:lineRule="auto"/>
        <w:ind w:right="-28"/>
        <w:rPr>
          <w:b/>
        </w:rPr>
      </w:pPr>
      <w:r>
        <w:rPr>
          <w:b/>
        </w:rPr>
        <w:t xml:space="preserve">TERCERO. NOTIFÍQUESE POR SAIMEX </w:t>
      </w:r>
      <w:r>
        <w:t xml:space="preserve">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se le apercibe que en caso de negarse a cumplir la presente resolución o hacerlo de manera parcial, se le impondrá una medida de apremio de </w:t>
      </w:r>
      <w:r>
        <w:lastRenderedPageBreak/>
        <w:t>conformidad con lo previsto en los artículos 198, 200, fracción III, 214, 215 y 216 de la Ley referida.</w:t>
      </w:r>
    </w:p>
    <w:p w14:paraId="2DB203EC" w14:textId="77777777" w:rsidR="00094A71" w:rsidRDefault="00094A71">
      <w:pPr>
        <w:spacing w:after="0" w:line="360" w:lineRule="auto"/>
        <w:ind w:right="-28"/>
        <w:rPr>
          <w:color w:val="000000"/>
        </w:rPr>
      </w:pPr>
    </w:p>
    <w:p w14:paraId="214D40B7" w14:textId="77777777" w:rsidR="00094A71" w:rsidRDefault="00EE75AC">
      <w:pPr>
        <w:spacing w:after="0" w:line="360" w:lineRule="auto"/>
        <w:rPr>
          <w:color w:val="000000"/>
        </w:rPr>
      </w:pPr>
      <w:r>
        <w:rPr>
          <w:color w:val="000000"/>
        </w:rPr>
        <w:t xml:space="preserve">De conformidad con el artículo 198 de la </w:t>
      </w:r>
      <w:r>
        <w:t>Ley de Transparencia y Acceso a la Información Pública del Estado de México y Municipios</w:t>
      </w:r>
      <w:r>
        <w:rPr>
          <w:color w:val="000000"/>
        </w:rPr>
        <w:t>, de considerarlo procedente, el Sujeto Obligado de manera fundada y motivada, podrá solicitar una ampliación de plazo para el cumplimiento de la presente resolución.</w:t>
      </w:r>
    </w:p>
    <w:p w14:paraId="2BB86700" w14:textId="77777777" w:rsidR="00094A71" w:rsidRDefault="00094A71">
      <w:pPr>
        <w:spacing w:after="0" w:line="360" w:lineRule="auto"/>
        <w:rPr>
          <w:color w:val="000000"/>
        </w:rPr>
      </w:pPr>
    </w:p>
    <w:p w14:paraId="5C543F85" w14:textId="77777777" w:rsidR="00094A71" w:rsidRDefault="00EE75AC">
      <w:pPr>
        <w:spacing w:after="0" w:line="360" w:lineRule="auto"/>
        <w:rPr>
          <w:color w:val="000000"/>
        </w:rPr>
      </w:pPr>
      <w:r>
        <w:rPr>
          <w:b/>
          <w:color w:val="000000"/>
        </w:rPr>
        <w:t xml:space="preserve">CUARTO. </w:t>
      </w:r>
      <w:r>
        <w:rPr>
          <w:b/>
        </w:rPr>
        <w:t>NOTIFÍQUESE POR SAIMEX</w:t>
      </w:r>
      <w:r>
        <w:rPr>
          <w:color w:val="000000"/>
        </w:rPr>
        <w:t xml:space="preserve"> a la persona Recurrente la presente Resolución, asimismo, se hace de su conocimiento que de conformidad con lo establecido en el artículo 196 de la Ley de Transparencia y Acceso a la Información Pública del Estado de México y Municipios, podrá promover el Juicio de Amparo en los términos de las leyes aplicables. </w:t>
      </w:r>
    </w:p>
    <w:p w14:paraId="2715A6F6" w14:textId="77777777" w:rsidR="00094A71" w:rsidRDefault="00094A71">
      <w:pPr>
        <w:spacing w:after="0" w:line="360" w:lineRule="auto"/>
      </w:pPr>
    </w:p>
    <w:p w14:paraId="04B2F673" w14:textId="702F5CAB" w:rsidR="00094A71" w:rsidRDefault="00EE75AC">
      <w:pPr>
        <w:spacing w:after="0" w:line="360" w:lineRule="auto"/>
      </w:pPr>
      <w:r>
        <w:t xml:space="preserve">ASÍ LO RESUELVE, POR </w:t>
      </w:r>
      <w:r>
        <w:rPr>
          <w:b/>
        </w:rPr>
        <w:t>UNANIMIDAD</w:t>
      </w:r>
      <w:r>
        <w:t xml:space="preserve">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w:t>
      </w:r>
      <w:r w:rsidR="00402865">
        <w:t xml:space="preserve"> </w:t>
      </w:r>
      <w:r>
        <w:t xml:space="preserve">Y GUADALUPE RAMÍREZ PEÑA, EN LA </w:t>
      </w:r>
      <w:r w:rsidR="00AF5779">
        <w:t>OCTAVA</w:t>
      </w:r>
      <w:r>
        <w:t xml:space="preserve"> SESIÓN ORDINARIA, CELEBRADA EL </w:t>
      </w:r>
      <w:r w:rsidR="00AF5779">
        <w:t>CINCO DE MARZO</w:t>
      </w:r>
      <w:r>
        <w:t xml:space="preserve"> DE DOS MIL VEINTI</w:t>
      </w:r>
      <w:r w:rsidR="00AF5779">
        <w:t>SÉIS</w:t>
      </w:r>
      <w:r>
        <w:t>, ANTE EL SECRETARIO TÉCNICO DEL PLENO, ALEXIS TAPIA RAMÍREZ.</w:t>
      </w:r>
    </w:p>
    <w:p w14:paraId="60A54D67" w14:textId="77777777" w:rsidR="00094A71" w:rsidRDefault="00094A71">
      <w:pPr>
        <w:spacing w:after="0" w:line="360" w:lineRule="auto"/>
        <w:rPr>
          <w:color w:val="FF0000"/>
        </w:rPr>
      </w:pPr>
    </w:p>
    <w:p w14:paraId="40974807" w14:textId="77777777" w:rsidR="00094A71" w:rsidRDefault="00094A71">
      <w:pPr>
        <w:spacing w:after="0" w:line="360" w:lineRule="auto"/>
        <w:rPr>
          <w:color w:val="FF0000"/>
        </w:rPr>
      </w:pPr>
    </w:p>
    <w:p w14:paraId="06B305B2" w14:textId="77777777" w:rsidR="00094A71" w:rsidRDefault="00094A71">
      <w:pPr>
        <w:spacing w:after="0" w:line="360" w:lineRule="auto"/>
        <w:rPr>
          <w:color w:val="FF0000"/>
        </w:rPr>
      </w:pPr>
    </w:p>
    <w:p w14:paraId="1CEE2647" w14:textId="77777777" w:rsidR="00094A71" w:rsidRDefault="00094A71">
      <w:pPr>
        <w:spacing w:after="0" w:line="360" w:lineRule="auto"/>
        <w:rPr>
          <w:color w:val="FF0000"/>
        </w:rPr>
      </w:pPr>
    </w:p>
    <w:p w14:paraId="773F3680" w14:textId="77777777" w:rsidR="00094A71" w:rsidRDefault="00094A71">
      <w:pPr>
        <w:spacing w:after="0" w:line="360" w:lineRule="auto"/>
        <w:rPr>
          <w:color w:val="FF0000"/>
        </w:rPr>
      </w:pPr>
    </w:p>
    <w:p w14:paraId="4F1ABBFE" w14:textId="77777777" w:rsidR="00094A71" w:rsidRDefault="00094A71">
      <w:pPr>
        <w:spacing w:after="0" w:line="360" w:lineRule="auto"/>
        <w:rPr>
          <w:color w:val="FF0000"/>
        </w:rPr>
      </w:pPr>
    </w:p>
    <w:p w14:paraId="4FAAE3E7" w14:textId="77777777" w:rsidR="00094A71" w:rsidRDefault="00094A71">
      <w:pPr>
        <w:spacing w:after="0" w:line="360" w:lineRule="auto"/>
        <w:rPr>
          <w:color w:val="FF0000"/>
        </w:rPr>
      </w:pPr>
    </w:p>
    <w:p w14:paraId="69F5EC95" w14:textId="77777777" w:rsidR="00094A71" w:rsidRDefault="00094A71">
      <w:pPr>
        <w:spacing w:after="0" w:line="360" w:lineRule="auto"/>
        <w:rPr>
          <w:color w:val="FF0000"/>
        </w:rPr>
      </w:pPr>
    </w:p>
    <w:p w14:paraId="1A81FDE7" w14:textId="77777777" w:rsidR="00094A71" w:rsidRDefault="00094A71">
      <w:pPr>
        <w:spacing w:after="0" w:line="360" w:lineRule="auto"/>
        <w:rPr>
          <w:color w:val="FF0000"/>
        </w:rPr>
      </w:pPr>
    </w:p>
    <w:p w14:paraId="07F63E5E" w14:textId="77777777" w:rsidR="00094A71" w:rsidRDefault="00094A71">
      <w:pPr>
        <w:spacing w:after="0" w:line="360" w:lineRule="auto"/>
        <w:rPr>
          <w:color w:val="FF0000"/>
        </w:rPr>
      </w:pPr>
    </w:p>
    <w:p w14:paraId="0CC35F83" w14:textId="77777777" w:rsidR="00094A71" w:rsidRDefault="00094A71">
      <w:pPr>
        <w:spacing w:after="0" w:line="360" w:lineRule="auto"/>
        <w:rPr>
          <w:color w:val="FF0000"/>
        </w:rPr>
      </w:pPr>
    </w:p>
    <w:p w14:paraId="3E33E361" w14:textId="77777777" w:rsidR="00094A71" w:rsidRDefault="00094A71">
      <w:pPr>
        <w:spacing w:after="0" w:line="360" w:lineRule="auto"/>
        <w:rPr>
          <w:color w:val="FF0000"/>
        </w:rPr>
      </w:pPr>
    </w:p>
    <w:p w14:paraId="4C86F59B" w14:textId="77777777" w:rsidR="00074F0C" w:rsidRDefault="00074F0C">
      <w:pPr>
        <w:spacing w:after="0" w:line="360" w:lineRule="auto"/>
        <w:rPr>
          <w:color w:val="FF0000"/>
        </w:rPr>
      </w:pPr>
    </w:p>
    <w:p w14:paraId="708909C2" w14:textId="77777777" w:rsidR="00074F0C" w:rsidRDefault="00074F0C">
      <w:pPr>
        <w:spacing w:after="0" w:line="360" w:lineRule="auto"/>
        <w:rPr>
          <w:color w:val="FF0000"/>
        </w:rPr>
      </w:pPr>
    </w:p>
    <w:p w14:paraId="54483822" w14:textId="77777777" w:rsidR="00074F0C" w:rsidRDefault="00074F0C">
      <w:pPr>
        <w:spacing w:after="0" w:line="360" w:lineRule="auto"/>
        <w:rPr>
          <w:color w:val="FF0000"/>
        </w:rPr>
      </w:pPr>
    </w:p>
    <w:p w14:paraId="2DD50F80" w14:textId="77777777" w:rsidR="00D7789F" w:rsidRDefault="00D7789F">
      <w:pPr>
        <w:spacing w:after="0" w:line="360" w:lineRule="auto"/>
        <w:rPr>
          <w:color w:val="FF0000"/>
        </w:rPr>
      </w:pPr>
    </w:p>
    <w:p w14:paraId="2CBC3325" w14:textId="77777777" w:rsidR="00D7789F" w:rsidRDefault="00D7789F">
      <w:pPr>
        <w:spacing w:after="0" w:line="360" w:lineRule="auto"/>
        <w:rPr>
          <w:color w:val="FF0000"/>
        </w:rPr>
      </w:pPr>
    </w:p>
    <w:p w14:paraId="49CD9C3A" w14:textId="77777777" w:rsidR="00D7789F" w:rsidRDefault="00D7789F">
      <w:pPr>
        <w:spacing w:after="0" w:line="360" w:lineRule="auto"/>
        <w:rPr>
          <w:color w:val="FF0000"/>
        </w:rPr>
      </w:pPr>
    </w:p>
    <w:p w14:paraId="4509721D" w14:textId="77777777" w:rsidR="00D7789F" w:rsidRDefault="00D7789F">
      <w:pPr>
        <w:spacing w:after="0" w:line="360" w:lineRule="auto"/>
        <w:rPr>
          <w:color w:val="FF0000"/>
        </w:rPr>
      </w:pPr>
    </w:p>
    <w:p w14:paraId="37F67096" w14:textId="77777777" w:rsidR="00D7789F" w:rsidRDefault="00D7789F">
      <w:pPr>
        <w:spacing w:after="0" w:line="360" w:lineRule="auto"/>
        <w:rPr>
          <w:color w:val="FF0000"/>
        </w:rPr>
      </w:pPr>
    </w:p>
    <w:p w14:paraId="229B7056" w14:textId="77777777" w:rsidR="00D7789F" w:rsidRDefault="00D7789F">
      <w:pPr>
        <w:spacing w:after="0" w:line="360" w:lineRule="auto"/>
        <w:rPr>
          <w:color w:val="FF0000"/>
        </w:rPr>
      </w:pPr>
    </w:p>
    <w:p w14:paraId="3D89D17B" w14:textId="77777777" w:rsidR="00D7789F" w:rsidRDefault="00D7789F">
      <w:pPr>
        <w:spacing w:after="0" w:line="360" w:lineRule="auto"/>
        <w:rPr>
          <w:color w:val="FF0000"/>
        </w:rPr>
      </w:pPr>
    </w:p>
    <w:sectPr w:rsidR="00D7789F">
      <w:headerReference w:type="even" r:id="rId11"/>
      <w:headerReference w:type="default" r:id="rId12"/>
      <w:footerReference w:type="even" r:id="rId13"/>
      <w:footerReference w:type="default" r:id="rId14"/>
      <w:headerReference w:type="first" r:id="rId15"/>
      <w:footerReference w:type="first" r:id="rId16"/>
      <w:pgSz w:w="12240" w:h="15840"/>
      <w:pgMar w:top="2410" w:right="1608" w:bottom="1560" w:left="1701" w:header="993"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C21D4E" w14:textId="77777777" w:rsidR="00697941" w:rsidRDefault="00697941">
      <w:pPr>
        <w:spacing w:after="0" w:line="240" w:lineRule="auto"/>
      </w:pPr>
      <w:r>
        <w:separator/>
      </w:r>
    </w:p>
  </w:endnote>
  <w:endnote w:type="continuationSeparator" w:id="0">
    <w:p w14:paraId="3B4B2000" w14:textId="77777777" w:rsidR="00697941" w:rsidRDefault="006979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embedRegular r:id="rId1" w:fontKey="{F2A20D52-F530-48E3-A769-857C5A220BEC}"/>
    <w:embedBold r:id="rId2" w:fontKey="{E7462BA0-C8B3-40AB-8108-74A0DD6805D2}"/>
    <w:embedItalic r:id="rId3" w:fontKey="{1F71F34B-0011-41D9-8A46-C9F853C0791E}"/>
    <w:embedBoldItalic r:id="rId4" w:fontKey="{252A24E0-63C6-4141-9E04-71349ED10229}"/>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embedRegular r:id="rId5" w:fontKey="{CB712F48-4CB1-43E3-A373-09B37EE041E1}"/>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6" w:fontKey="{6A6750C4-D885-4758-8EE9-84B6D1ED6F51}"/>
    <w:embedBold r:id="rId7" w:fontKey="{5BF4CCD9-A44D-436A-B7D2-A577AB53BD4A}"/>
  </w:font>
  <w:font w:name="Calibri Light">
    <w:panose1 w:val="020F0302020204030204"/>
    <w:charset w:val="00"/>
    <w:family w:val="swiss"/>
    <w:pitch w:val="variable"/>
    <w:sig w:usb0="E4002EFF" w:usb1="C200247B" w:usb2="00000009" w:usb3="00000000" w:csb0="000001FF" w:csb1="00000000"/>
    <w:embedRegular r:id="rId8" w:fontKey="{0B0C5AF8-9828-450A-BD74-D6FEE8B2D22A}"/>
  </w:font>
  <w:font w:name="Georgia">
    <w:panose1 w:val="02040502050405020303"/>
    <w:charset w:val="00"/>
    <w:family w:val="roman"/>
    <w:pitch w:val="variable"/>
    <w:sig w:usb0="00000287" w:usb1="00000000" w:usb2="00000000" w:usb3="00000000" w:csb0="0000009F" w:csb1="00000000"/>
    <w:embedRegular r:id="rId9" w:fontKey="{6DB1D41B-0407-4F83-860E-BB9648CD8886}"/>
    <w:embedItalic r:id="rId10" w:fontKey="{23D7D3BF-7B58-480B-ABD0-90D2B9AE9A85}"/>
  </w:font>
  <w:font w:name="Tahoma">
    <w:panose1 w:val="020B0604030504040204"/>
    <w:charset w:val="00"/>
    <w:family w:val="swiss"/>
    <w:pitch w:val="variable"/>
    <w:sig w:usb0="E1002EFF" w:usb1="C000605B" w:usb2="00000029" w:usb3="00000000" w:csb0="000101FF" w:csb1="00000000"/>
    <w:embedRegular r:id="rId11" w:fontKey="{65AA2B92-8885-4443-BA56-A4517F7AE8EA}"/>
    <w:embedBold r:id="rId12" w:fontKey="{96C6CE00-3276-4C9C-BE92-2BBF8DD822D8}"/>
    <w:embedItalic r:id="rId13" w:fontKey="{EAF0B64E-9F45-40E7-BA52-727E158C46A7}"/>
    <w:embedBoldItalic r:id="rId14" w:fontKey="{B8AD3329-1B83-4D99-BD43-13A1D39F05B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D9E26E" w14:textId="27A36D20" w:rsidR="00094A71" w:rsidRDefault="00EE75AC">
    <w:pPr>
      <w:pBdr>
        <w:top w:val="nil"/>
        <w:left w:val="nil"/>
        <w:bottom w:val="nil"/>
        <w:right w:val="nil"/>
        <w:between w:val="nil"/>
      </w:pBdr>
      <w:tabs>
        <w:tab w:val="center" w:pos="4419"/>
        <w:tab w:val="right" w:pos="8838"/>
      </w:tabs>
      <w:spacing w:after="0" w:line="240" w:lineRule="auto"/>
      <w:jc w:val="right"/>
      <w:rPr>
        <w:color w:val="000000"/>
      </w:rPr>
    </w:pPr>
    <w:r>
      <w:rPr>
        <w:color w:val="000000"/>
      </w:rPr>
      <w:t xml:space="preserve">Página </w:t>
    </w:r>
    <w:r>
      <w:rPr>
        <w:b/>
        <w:color w:val="000000"/>
        <w:sz w:val="24"/>
        <w:szCs w:val="24"/>
      </w:rPr>
      <w:fldChar w:fldCharType="begin"/>
    </w:r>
    <w:r>
      <w:rPr>
        <w:b/>
        <w:color w:val="000000"/>
        <w:sz w:val="24"/>
        <w:szCs w:val="24"/>
      </w:rPr>
      <w:instrText>PAGE</w:instrText>
    </w:r>
    <w:r>
      <w:rPr>
        <w:b/>
        <w:color w:val="000000"/>
        <w:sz w:val="24"/>
        <w:szCs w:val="24"/>
      </w:rPr>
      <w:fldChar w:fldCharType="end"/>
    </w:r>
    <w:r>
      <w:rPr>
        <w:color w:val="000000"/>
      </w:rPr>
      <w:t xml:space="preserve"> de </w:t>
    </w:r>
    <w:r>
      <w:rPr>
        <w:b/>
        <w:color w:val="000000"/>
        <w:sz w:val="24"/>
        <w:szCs w:val="24"/>
      </w:rPr>
      <w:fldChar w:fldCharType="begin"/>
    </w:r>
    <w:r>
      <w:rPr>
        <w:b/>
        <w:color w:val="000000"/>
        <w:sz w:val="24"/>
        <w:szCs w:val="24"/>
      </w:rPr>
      <w:instrText>NUMPAGES</w:instrText>
    </w:r>
    <w:r>
      <w:rPr>
        <w:b/>
        <w:color w:val="000000"/>
        <w:sz w:val="24"/>
        <w:szCs w:val="24"/>
      </w:rPr>
      <w:fldChar w:fldCharType="separate"/>
    </w:r>
    <w:r w:rsidR="009F3770">
      <w:rPr>
        <w:b/>
        <w:noProof/>
        <w:color w:val="000000"/>
        <w:sz w:val="24"/>
        <w:szCs w:val="24"/>
      </w:rPr>
      <w:t>25</w:t>
    </w:r>
    <w:r>
      <w:rPr>
        <w:b/>
        <w:color w:val="000000"/>
        <w:sz w:val="24"/>
        <w:szCs w:val="24"/>
      </w:rPr>
      <w:fldChar w:fldCharType="end"/>
    </w:r>
  </w:p>
  <w:p w14:paraId="40D05A25" w14:textId="77777777" w:rsidR="00094A71" w:rsidRDefault="00094A71">
    <w:pPr>
      <w:pBdr>
        <w:top w:val="nil"/>
        <w:left w:val="nil"/>
        <w:bottom w:val="nil"/>
        <w:right w:val="nil"/>
        <w:between w:val="nil"/>
      </w:pBdr>
      <w:tabs>
        <w:tab w:val="center" w:pos="4419"/>
        <w:tab w:val="right" w:pos="8838"/>
      </w:tabs>
      <w:spacing w:after="0" w:line="240" w:lineRule="auto"/>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7C236F" w14:textId="77777777" w:rsidR="00094A71" w:rsidRDefault="00EE75AC">
    <w:pPr>
      <w:pBdr>
        <w:top w:val="nil"/>
        <w:left w:val="nil"/>
        <w:bottom w:val="nil"/>
        <w:right w:val="nil"/>
        <w:between w:val="nil"/>
      </w:pBdr>
      <w:tabs>
        <w:tab w:val="center" w:pos="4419"/>
        <w:tab w:val="right" w:pos="8838"/>
      </w:tabs>
      <w:spacing w:after="0" w:line="240" w:lineRule="auto"/>
      <w:jc w:val="right"/>
      <w:rPr>
        <w:color w:val="000000"/>
      </w:rPr>
    </w:pPr>
    <w:r>
      <w:rPr>
        <w:color w:val="000000"/>
      </w:rPr>
      <w:t xml:space="preserve">Página </w:t>
    </w:r>
    <w:r>
      <w:rPr>
        <w:b/>
        <w:color w:val="000000"/>
        <w:sz w:val="24"/>
        <w:szCs w:val="24"/>
      </w:rPr>
      <w:fldChar w:fldCharType="begin"/>
    </w:r>
    <w:r>
      <w:rPr>
        <w:b/>
        <w:color w:val="000000"/>
        <w:sz w:val="24"/>
        <w:szCs w:val="24"/>
      </w:rPr>
      <w:instrText>PAGE</w:instrText>
    </w:r>
    <w:r>
      <w:rPr>
        <w:b/>
        <w:color w:val="000000"/>
        <w:sz w:val="24"/>
        <w:szCs w:val="24"/>
      </w:rPr>
      <w:fldChar w:fldCharType="separate"/>
    </w:r>
    <w:r w:rsidR="009F3770">
      <w:rPr>
        <w:b/>
        <w:noProof/>
        <w:color w:val="000000"/>
        <w:sz w:val="24"/>
        <w:szCs w:val="24"/>
      </w:rPr>
      <w:t>24</w:t>
    </w:r>
    <w:r>
      <w:rPr>
        <w:b/>
        <w:color w:val="000000"/>
        <w:sz w:val="24"/>
        <w:szCs w:val="24"/>
      </w:rPr>
      <w:fldChar w:fldCharType="end"/>
    </w:r>
    <w:r>
      <w:rPr>
        <w:color w:val="000000"/>
      </w:rPr>
      <w:t xml:space="preserve"> de </w:t>
    </w:r>
    <w:r>
      <w:rPr>
        <w:b/>
        <w:color w:val="000000"/>
        <w:sz w:val="24"/>
        <w:szCs w:val="24"/>
      </w:rPr>
      <w:fldChar w:fldCharType="begin"/>
    </w:r>
    <w:r>
      <w:rPr>
        <w:b/>
        <w:color w:val="000000"/>
        <w:sz w:val="24"/>
        <w:szCs w:val="24"/>
      </w:rPr>
      <w:instrText>NUMPAGES</w:instrText>
    </w:r>
    <w:r>
      <w:rPr>
        <w:b/>
        <w:color w:val="000000"/>
        <w:sz w:val="24"/>
        <w:szCs w:val="24"/>
      </w:rPr>
      <w:fldChar w:fldCharType="separate"/>
    </w:r>
    <w:r w:rsidR="009F3770">
      <w:rPr>
        <w:b/>
        <w:noProof/>
        <w:color w:val="000000"/>
        <w:sz w:val="24"/>
        <w:szCs w:val="24"/>
      </w:rPr>
      <w:t>25</w:t>
    </w:r>
    <w:r>
      <w:rPr>
        <w:b/>
        <w:color w:val="000000"/>
        <w:sz w:val="24"/>
        <w:szCs w:val="24"/>
      </w:rPr>
      <w:fldChar w:fldCharType="end"/>
    </w:r>
  </w:p>
  <w:p w14:paraId="7A680800" w14:textId="77777777" w:rsidR="00094A71" w:rsidRDefault="00094A71">
    <w:pPr>
      <w:pBdr>
        <w:top w:val="nil"/>
        <w:left w:val="nil"/>
        <w:bottom w:val="nil"/>
        <w:right w:val="nil"/>
        <w:between w:val="nil"/>
      </w:pBdr>
      <w:tabs>
        <w:tab w:val="center" w:pos="4419"/>
        <w:tab w:val="right" w:pos="8838"/>
      </w:tabs>
      <w:spacing w:after="0" w:line="240" w:lineRule="auto"/>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CA122C" w14:textId="77777777" w:rsidR="00094A71" w:rsidRDefault="00EE75AC">
    <w:pPr>
      <w:pBdr>
        <w:top w:val="nil"/>
        <w:left w:val="nil"/>
        <w:bottom w:val="nil"/>
        <w:right w:val="nil"/>
        <w:between w:val="nil"/>
      </w:pBdr>
      <w:tabs>
        <w:tab w:val="center" w:pos="4419"/>
        <w:tab w:val="right" w:pos="8838"/>
      </w:tabs>
      <w:spacing w:after="0" w:line="240" w:lineRule="auto"/>
      <w:jc w:val="right"/>
      <w:rPr>
        <w:color w:val="000000"/>
      </w:rPr>
    </w:pPr>
    <w:r>
      <w:rPr>
        <w:color w:val="000000"/>
      </w:rPr>
      <w:t xml:space="preserve">Página </w:t>
    </w:r>
    <w:r>
      <w:rPr>
        <w:b/>
        <w:color w:val="000000"/>
        <w:sz w:val="24"/>
        <w:szCs w:val="24"/>
      </w:rPr>
      <w:fldChar w:fldCharType="begin"/>
    </w:r>
    <w:r>
      <w:rPr>
        <w:b/>
        <w:color w:val="000000"/>
        <w:sz w:val="24"/>
        <w:szCs w:val="24"/>
      </w:rPr>
      <w:instrText>PAGE</w:instrText>
    </w:r>
    <w:r>
      <w:rPr>
        <w:b/>
        <w:color w:val="000000"/>
        <w:sz w:val="24"/>
        <w:szCs w:val="24"/>
      </w:rPr>
      <w:fldChar w:fldCharType="separate"/>
    </w:r>
    <w:r w:rsidR="009F3770">
      <w:rPr>
        <w:b/>
        <w:noProof/>
        <w:color w:val="000000"/>
        <w:sz w:val="24"/>
        <w:szCs w:val="24"/>
      </w:rPr>
      <w:t>1</w:t>
    </w:r>
    <w:r>
      <w:rPr>
        <w:b/>
        <w:color w:val="000000"/>
        <w:sz w:val="24"/>
        <w:szCs w:val="24"/>
      </w:rPr>
      <w:fldChar w:fldCharType="end"/>
    </w:r>
    <w:r>
      <w:rPr>
        <w:color w:val="000000"/>
      </w:rPr>
      <w:t xml:space="preserve"> de </w:t>
    </w:r>
    <w:r>
      <w:rPr>
        <w:b/>
        <w:color w:val="000000"/>
        <w:sz w:val="24"/>
        <w:szCs w:val="24"/>
      </w:rPr>
      <w:fldChar w:fldCharType="begin"/>
    </w:r>
    <w:r>
      <w:rPr>
        <w:b/>
        <w:color w:val="000000"/>
        <w:sz w:val="24"/>
        <w:szCs w:val="24"/>
      </w:rPr>
      <w:instrText>NUMPAGES</w:instrText>
    </w:r>
    <w:r>
      <w:rPr>
        <w:b/>
        <w:color w:val="000000"/>
        <w:sz w:val="24"/>
        <w:szCs w:val="24"/>
      </w:rPr>
      <w:fldChar w:fldCharType="separate"/>
    </w:r>
    <w:r w:rsidR="009F3770">
      <w:rPr>
        <w:b/>
        <w:noProof/>
        <w:color w:val="000000"/>
        <w:sz w:val="24"/>
        <w:szCs w:val="24"/>
      </w:rPr>
      <w:t>25</w:t>
    </w:r>
    <w:r>
      <w:rPr>
        <w:b/>
        <w:color w:val="000000"/>
        <w:sz w:val="24"/>
        <w:szCs w:val="24"/>
      </w:rPr>
      <w:fldChar w:fldCharType="end"/>
    </w:r>
  </w:p>
  <w:p w14:paraId="2127F66E" w14:textId="77777777" w:rsidR="00094A71" w:rsidRDefault="00094A71">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A555CF" w14:textId="77777777" w:rsidR="00697941" w:rsidRDefault="00697941">
      <w:pPr>
        <w:spacing w:after="0" w:line="240" w:lineRule="auto"/>
      </w:pPr>
      <w:r>
        <w:separator/>
      </w:r>
    </w:p>
  </w:footnote>
  <w:footnote w:type="continuationSeparator" w:id="0">
    <w:p w14:paraId="1919AECB" w14:textId="77777777" w:rsidR="00697941" w:rsidRDefault="0069794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886152" w14:textId="77777777" w:rsidR="00094A71" w:rsidRDefault="00094A71">
    <w:pPr>
      <w:widowControl w:val="0"/>
      <w:pBdr>
        <w:top w:val="nil"/>
        <w:left w:val="nil"/>
        <w:bottom w:val="nil"/>
        <w:right w:val="nil"/>
        <w:between w:val="nil"/>
      </w:pBdr>
      <w:spacing w:after="0" w:line="276" w:lineRule="auto"/>
      <w:jc w:val="left"/>
      <w:rPr>
        <w:color w:val="FF0000"/>
      </w:rPr>
    </w:pPr>
  </w:p>
  <w:tbl>
    <w:tblPr>
      <w:tblStyle w:val="a"/>
      <w:tblW w:w="6096" w:type="dxa"/>
      <w:tblInd w:w="2835" w:type="dxa"/>
      <w:tblBorders>
        <w:top w:val="nil"/>
        <w:left w:val="nil"/>
        <w:bottom w:val="nil"/>
        <w:right w:val="nil"/>
        <w:insideH w:val="nil"/>
        <w:insideV w:val="nil"/>
      </w:tblBorders>
      <w:tblLayout w:type="fixed"/>
      <w:tblLook w:val="0400" w:firstRow="0" w:lastRow="0" w:firstColumn="0" w:lastColumn="0" w:noHBand="0" w:noVBand="1"/>
    </w:tblPr>
    <w:tblGrid>
      <w:gridCol w:w="2691"/>
      <w:gridCol w:w="3405"/>
    </w:tblGrid>
    <w:tr w:rsidR="00094A71" w14:paraId="4C417BE9" w14:textId="77777777">
      <w:trPr>
        <w:trHeight w:val="132"/>
      </w:trPr>
      <w:tc>
        <w:tcPr>
          <w:tcW w:w="2691" w:type="dxa"/>
        </w:tcPr>
        <w:p w14:paraId="010A6906" w14:textId="77777777" w:rsidR="00094A71" w:rsidRDefault="00EE75AC">
          <w:pPr>
            <w:tabs>
              <w:tab w:val="right" w:pos="8838"/>
            </w:tabs>
            <w:ind w:right="-105"/>
            <w:rPr>
              <w:b/>
            </w:rPr>
          </w:pPr>
          <w:r>
            <w:rPr>
              <w:b/>
            </w:rPr>
            <w:t>Recurso de Revisión:</w:t>
          </w:r>
        </w:p>
      </w:tc>
      <w:tc>
        <w:tcPr>
          <w:tcW w:w="3405" w:type="dxa"/>
        </w:tcPr>
        <w:p w14:paraId="076BC3C1" w14:textId="77777777" w:rsidR="00094A71" w:rsidRDefault="00EE75AC">
          <w:pPr>
            <w:tabs>
              <w:tab w:val="right" w:pos="8838"/>
            </w:tabs>
            <w:ind w:left="-28" w:right="-32"/>
          </w:pPr>
          <w:r>
            <w:t>03846/INFOEM/IP/RR/2020</w:t>
          </w:r>
        </w:p>
      </w:tc>
    </w:tr>
    <w:tr w:rsidR="00094A71" w14:paraId="53F3B119" w14:textId="77777777">
      <w:trPr>
        <w:trHeight w:val="261"/>
      </w:trPr>
      <w:tc>
        <w:tcPr>
          <w:tcW w:w="2691" w:type="dxa"/>
        </w:tcPr>
        <w:p w14:paraId="073B72DA" w14:textId="77777777" w:rsidR="00094A71" w:rsidRDefault="00EE75AC">
          <w:pPr>
            <w:tabs>
              <w:tab w:val="right" w:pos="8838"/>
            </w:tabs>
            <w:ind w:right="-105"/>
            <w:rPr>
              <w:b/>
            </w:rPr>
          </w:pPr>
          <w:r>
            <w:rPr>
              <w:b/>
            </w:rPr>
            <w:t>Sujeto Obligado:</w:t>
          </w:r>
        </w:p>
      </w:tc>
      <w:tc>
        <w:tcPr>
          <w:tcW w:w="3405" w:type="dxa"/>
        </w:tcPr>
        <w:p w14:paraId="0EB1BEDC" w14:textId="77777777" w:rsidR="00094A71" w:rsidRDefault="00EE75AC">
          <w:pPr>
            <w:tabs>
              <w:tab w:val="right" w:pos="8838"/>
            </w:tabs>
            <w:ind w:right="-32"/>
          </w:pPr>
          <w:r>
            <w:t xml:space="preserve">Ayuntamiento de </w:t>
          </w:r>
          <w:proofErr w:type="spellStart"/>
          <w:r>
            <w:t>Temascalcingo</w:t>
          </w:r>
          <w:proofErr w:type="spellEnd"/>
        </w:p>
      </w:tc>
    </w:tr>
    <w:tr w:rsidR="00094A71" w14:paraId="4E6821C8" w14:textId="77777777">
      <w:trPr>
        <w:trHeight w:val="261"/>
      </w:trPr>
      <w:tc>
        <w:tcPr>
          <w:tcW w:w="2691" w:type="dxa"/>
        </w:tcPr>
        <w:p w14:paraId="46DDE83E" w14:textId="77777777" w:rsidR="00094A71" w:rsidRDefault="00EE75AC">
          <w:pPr>
            <w:tabs>
              <w:tab w:val="right" w:pos="8838"/>
            </w:tabs>
            <w:ind w:right="-105"/>
            <w:rPr>
              <w:b/>
            </w:rPr>
          </w:pPr>
          <w:r>
            <w:rPr>
              <w:b/>
            </w:rPr>
            <w:t>Comisionado Ponente:</w:t>
          </w:r>
        </w:p>
      </w:tc>
      <w:tc>
        <w:tcPr>
          <w:tcW w:w="3405" w:type="dxa"/>
        </w:tcPr>
        <w:p w14:paraId="4A237C66" w14:textId="77777777" w:rsidR="00094A71" w:rsidRDefault="00EE75AC">
          <w:pPr>
            <w:tabs>
              <w:tab w:val="right" w:pos="8838"/>
            </w:tabs>
            <w:ind w:right="-32"/>
            <w:rPr>
              <w:b/>
            </w:rPr>
          </w:pPr>
          <w:r>
            <w:t>Luis Gustavo Parra Noriega</w:t>
          </w:r>
        </w:p>
      </w:tc>
    </w:tr>
  </w:tbl>
  <w:p w14:paraId="0BE4CF80" w14:textId="77777777" w:rsidR="00094A71" w:rsidRDefault="00697941">
    <w:pPr>
      <w:pBdr>
        <w:top w:val="nil"/>
        <w:left w:val="nil"/>
        <w:bottom w:val="nil"/>
        <w:right w:val="nil"/>
        <w:between w:val="nil"/>
      </w:pBdr>
      <w:tabs>
        <w:tab w:val="center" w:pos="4419"/>
        <w:tab w:val="right" w:pos="8838"/>
      </w:tabs>
      <w:spacing w:after="0" w:line="240" w:lineRule="auto"/>
      <w:rPr>
        <w:color w:val="000000"/>
      </w:rPr>
    </w:pPr>
    <w:r>
      <w:rPr>
        <w:color w:val="000000"/>
      </w:rPr>
      <w:pict w14:anchorId="3E24701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MARCA DE AGUA - HOJA RESOLUCIÓN" style="position:absolute;left:0;text-align:left;margin-left:0;margin-top:0;width:663.5pt;height:12in;z-index:-251657728;mso-wrap-edited:f;mso-width-percent:0;mso-height-percent:0;mso-position-horizontal:center;mso-position-horizontal-relative:margin;mso-position-vertical:center;mso-position-vertical-relative:margin;mso-width-percent:0;mso-height-percent:0">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6D3A96" w14:textId="77777777" w:rsidR="00094A71" w:rsidRDefault="00EE75AC">
    <w:pPr>
      <w:tabs>
        <w:tab w:val="left" w:pos="3913"/>
      </w:tabs>
      <w:rPr>
        <w:sz w:val="2"/>
        <w:szCs w:val="2"/>
      </w:rPr>
    </w:pPr>
    <w:r>
      <w:tab/>
    </w:r>
  </w:p>
  <w:tbl>
    <w:tblPr>
      <w:tblStyle w:val="a0"/>
      <w:tblW w:w="6803" w:type="dxa"/>
      <w:tblInd w:w="3544" w:type="dxa"/>
      <w:tblBorders>
        <w:top w:val="nil"/>
        <w:left w:val="nil"/>
        <w:bottom w:val="nil"/>
        <w:right w:val="nil"/>
        <w:insideH w:val="nil"/>
        <w:insideV w:val="nil"/>
      </w:tblBorders>
      <w:tblLayout w:type="fixed"/>
      <w:tblLook w:val="0400" w:firstRow="0" w:lastRow="0" w:firstColumn="0" w:lastColumn="0" w:noHBand="0" w:noVBand="1"/>
    </w:tblPr>
    <w:tblGrid>
      <w:gridCol w:w="2551"/>
      <w:gridCol w:w="4252"/>
    </w:tblGrid>
    <w:tr w:rsidR="00094A71" w14:paraId="2FE35195" w14:textId="77777777">
      <w:trPr>
        <w:trHeight w:val="138"/>
      </w:trPr>
      <w:tc>
        <w:tcPr>
          <w:tcW w:w="2551" w:type="dxa"/>
          <w:vAlign w:val="center"/>
        </w:tcPr>
        <w:p w14:paraId="4D6D8115" w14:textId="77777777" w:rsidR="00094A71" w:rsidRDefault="00EE75AC">
          <w:pPr>
            <w:tabs>
              <w:tab w:val="right" w:pos="8838"/>
            </w:tabs>
            <w:ind w:right="-105"/>
            <w:jc w:val="left"/>
            <w:rPr>
              <w:b/>
            </w:rPr>
          </w:pPr>
          <w:r>
            <w:rPr>
              <w:b/>
            </w:rPr>
            <w:t>Recurso de Revisión:</w:t>
          </w:r>
        </w:p>
      </w:tc>
      <w:tc>
        <w:tcPr>
          <w:tcW w:w="4252" w:type="dxa"/>
        </w:tcPr>
        <w:p w14:paraId="7CFDCE61" w14:textId="1711E09B" w:rsidR="00094A71" w:rsidRDefault="0047312D">
          <w:pPr>
            <w:tabs>
              <w:tab w:val="right" w:pos="8838"/>
            </w:tabs>
            <w:ind w:left="-113" w:right="57"/>
            <w:rPr>
              <w:color w:val="000000"/>
            </w:rPr>
          </w:pPr>
          <w:r w:rsidRPr="0047312D">
            <w:rPr>
              <w:color w:val="000000"/>
            </w:rPr>
            <w:t>12286/INFOEM/IP/RR/2025</w:t>
          </w:r>
        </w:p>
      </w:tc>
    </w:tr>
    <w:tr w:rsidR="00094A71" w14:paraId="58B83F13" w14:textId="77777777">
      <w:trPr>
        <w:trHeight w:val="273"/>
      </w:trPr>
      <w:tc>
        <w:tcPr>
          <w:tcW w:w="2551" w:type="dxa"/>
        </w:tcPr>
        <w:p w14:paraId="3EBD7BCC" w14:textId="77777777" w:rsidR="00094A71" w:rsidRDefault="00EE75AC">
          <w:pPr>
            <w:tabs>
              <w:tab w:val="right" w:pos="8838"/>
            </w:tabs>
            <w:ind w:right="-105"/>
            <w:rPr>
              <w:b/>
            </w:rPr>
          </w:pPr>
          <w:r>
            <w:rPr>
              <w:b/>
            </w:rPr>
            <w:t>Sujeto Obligado:</w:t>
          </w:r>
        </w:p>
      </w:tc>
      <w:tc>
        <w:tcPr>
          <w:tcW w:w="4252" w:type="dxa"/>
        </w:tcPr>
        <w:p w14:paraId="06432392" w14:textId="1A8F6282" w:rsidR="00094A71" w:rsidRDefault="0047312D">
          <w:pPr>
            <w:tabs>
              <w:tab w:val="left" w:pos="2728"/>
              <w:tab w:val="right" w:pos="8838"/>
            </w:tabs>
            <w:ind w:left="-113" w:right="1450"/>
          </w:pPr>
          <w:r w:rsidRPr="0047312D">
            <w:rPr>
              <w:color w:val="000000"/>
            </w:rPr>
            <w:t>Sistema Municipal Para el Desarrollo Integral de la Familia de Huehuetoca</w:t>
          </w:r>
        </w:p>
      </w:tc>
    </w:tr>
    <w:tr w:rsidR="00094A71" w14:paraId="5715D385" w14:textId="77777777">
      <w:trPr>
        <w:trHeight w:val="273"/>
      </w:trPr>
      <w:tc>
        <w:tcPr>
          <w:tcW w:w="2551" w:type="dxa"/>
        </w:tcPr>
        <w:p w14:paraId="2F58AE18" w14:textId="77777777" w:rsidR="00094A71" w:rsidRDefault="00EE75AC">
          <w:pPr>
            <w:tabs>
              <w:tab w:val="right" w:pos="8838"/>
            </w:tabs>
            <w:ind w:right="-105"/>
            <w:rPr>
              <w:b/>
            </w:rPr>
          </w:pPr>
          <w:r>
            <w:rPr>
              <w:b/>
            </w:rPr>
            <w:t>Comisionado Ponente:</w:t>
          </w:r>
        </w:p>
      </w:tc>
      <w:tc>
        <w:tcPr>
          <w:tcW w:w="4252" w:type="dxa"/>
        </w:tcPr>
        <w:p w14:paraId="781BA1A9" w14:textId="77777777" w:rsidR="00094A71" w:rsidRDefault="00EE75AC">
          <w:pPr>
            <w:tabs>
              <w:tab w:val="right" w:pos="8838"/>
            </w:tabs>
            <w:ind w:left="-113" w:right="-170"/>
            <w:rPr>
              <w:b/>
            </w:rPr>
          </w:pPr>
          <w:r>
            <w:t>Luis Gustavo Parra Noriega</w:t>
          </w:r>
        </w:p>
      </w:tc>
    </w:tr>
  </w:tbl>
  <w:p w14:paraId="7B606A5B" w14:textId="77777777" w:rsidR="00094A71" w:rsidRDefault="00697941">
    <w:pPr>
      <w:pBdr>
        <w:top w:val="nil"/>
        <w:left w:val="nil"/>
        <w:bottom w:val="nil"/>
        <w:right w:val="nil"/>
        <w:between w:val="nil"/>
      </w:pBdr>
      <w:tabs>
        <w:tab w:val="center" w:pos="4419"/>
        <w:tab w:val="right" w:pos="8838"/>
      </w:tabs>
      <w:spacing w:after="0" w:line="240" w:lineRule="auto"/>
      <w:rPr>
        <w:color w:val="000000"/>
      </w:rPr>
    </w:pPr>
    <w:r>
      <w:rPr>
        <w:color w:val="000000"/>
      </w:rPr>
      <w:pict w14:anchorId="16EE38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alt="MARCA DE AGUA - HOJA RESOLUCIÓN" style="position:absolute;left:0;text-align:left;margin-left:-90.6pt;margin-top:-122.05pt;width:663.5pt;height:12in;z-index:-251659776;mso-wrap-edited:f;mso-width-percent:0;mso-height-percent:0;mso-position-horizontal:absolute;mso-position-horizontal-relative:margin;mso-position-vertical:absolute;mso-position-vertical-relative:margin;mso-width-percent:0;mso-height-percent:0">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5279FB" w14:textId="77777777" w:rsidR="00094A71" w:rsidRDefault="00094A71">
    <w:pPr>
      <w:widowControl w:val="0"/>
      <w:pBdr>
        <w:top w:val="nil"/>
        <w:left w:val="nil"/>
        <w:bottom w:val="nil"/>
        <w:right w:val="nil"/>
        <w:between w:val="nil"/>
      </w:pBdr>
      <w:spacing w:after="0" w:line="276" w:lineRule="auto"/>
      <w:jc w:val="left"/>
      <w:rPr>
        <w:color w:val="000000"/>
      </w:rPr>
    </w:pPr>
  </w:p>
  <w:tbl>
    <w:tblPr>
      <w:tblStyle w:val="a1"/>
      <w:tblW w:w="5528" w:type="dxa"/>
      <w:tblInd w:w="3544" w:type="dxa"/>
      <w:tblBorders>
        <w:top w:val="nil"/>
        <w:left w:val="nil"/>
        <w:bottom w:val="nil"/>
        <w:right w:val="nil"/>
        <w:insideH w:val="nil"/>
        <w:insideV w:val="nil"/>
      </w:tblBorders>
      <w:tblLayout w:type="fixed"/>
      <w:tblLook w:val="0400" w:firstRow="0" w:lastRow="0" w:firstColumn="0" w:lastColumn="0" w:noHBand="0" w:noVBand="1"/>
    </w:tblPr>
    <w:tblGrid>
      <w:gridCol w:w="2551"/>
      <w:gridCol w:w="2977"/>
    </w:tblGrid>
    <w:tr w:rsidR="00094A71" w14:paraId="4674412F" w14:textId="77777777">
      <w:trPr>
        <w:trHeight w:val="132"/>
      </w:trPr>
      <w:tc>
        <w:tcPr>
          <w:tcW w:w="2551" w:type="dxa"/>
        </w:tcPr>
        <w:p w14:paraId="5A1E565E" w14:textId="77777777" w:rsidR="00094A71" w:rsidRDefault="00EE75AC">
          <w:pPr>
            <w:tabs>
              <w:tab w:val="right" w:pos="8838"/>
            </w:tabs>
            <w:ind w:right="-105"/>
            <w:rPr>
              <w:b/>
            </w:rPr>
          </w:pPr>
          <w:r>
            <w:rPr>
              <w:b/>
            </w:rPr>
            <w:t>Recurso de Revisión:</w:t>
          </w:r>
        </w:p>
      </w:tc>
      <w:tc>
        <w:tcPr>
          <w:tcW w:w="2977" w:type="dxa"/>
        </w:tcPr>
        <w:p w14:paraId="58E4393A" w14:textId="186743BD" w:rsidR="00094A71" w:rsidRDefault="0047312D">
          <w:pPr>
            <w:tabs>
              <w:tab w:val="right" w:pos="8838"/>
            </w:tabs>
            <w:ind w:left="-113" w:right="-32"/>
          </w:pPr>
          <w:r w:rsidRPr="0047312D">
            <w:rPr>
              <w:color w:val="000000"/>
            </w:rPr>
            <w:t>12286/INFOEM/IP/RR/2025</w:t>
          </w:r>
        </w:p>
      </w:tc>
    </w:tr>
    <w:tr w:rsidR="00094A71" w14:paraId="597CD6BF" w14:textId="77777777">
      <w:trPr>
        <w:trHeight w:val="132"/>
      </w:trPr>
      <w:tc>
        <w:tcPr>
          <w:tcW w:w="2551" w:type="dxa"/>
        </w:tcPr>
        <w:p w14:paraId="74F57D1D" w14:textId="77777777" w:rsidR="00094A71" w:rsidRDefault="00EE75AC">
          <w:pPr>
            <w:tabs>
              <w:tab w:val="left" w:pos="1875"/>
            </w:tabs>
            <w:ind w:right="-105"/>
            <w:rPr>
              <w:b/>
            </w:rPr>
          </w:pPr>
          <w:r>
            <w:rPr>
              <w:b/>
            </w:rPr>
            <w:t>Recurrente:</w:t>
          </w:r>
          <w:r>
            <w:rPr>
              <w:b/>
            </w:rPr>
            <w:tab/>
          </w:r>
        </w:p>
      </w:tc>
      <w:tc>
        <w:tcPr>
          <w:tcW w:w="2977" w:type="dxa"/>
        </w:tcPr>
        <w:p w14:paraId="08CDC7F6" w14:textId="7F43D510" w:rsidR="00094A71" w:rsidRDefault="00094A71" w:rsidP="007337D9">
          <w:pPr>
            <w:tabs>
              <w:tab w:val="right" w:pos="8838"/>
            </w:tabs>
            <w:ind w:left="-108"/>
          </w:pPr>
        </w:p>
      </w:tc>
    </w:tr>
    <w:tr w:rsidR="00094A71" w14:paraId="1420F909" w14:textId="77777777">
      <w:trPr>
        <w:trHeight w:val="261"/>
      </w:trPr>
      <w:tc>
        <w:tcPr>
          <w:tcW w:w="2551" w:type="dxa"/>
        </w:tcPr>
        <w:p w14:paraId="254747F0" w14:textId="77777777" w:rsidR="00094A71" w:rsidRDefault="00EE75AC">
          <w:pPr>
            <w:tabs>
              <w:tab w:val="right" w:pos="8838"/>
            </w:tabs>
            <w:ind w:right="-105"/>
            <w:rPr>
              <w:b/>
            </w:rPr>
          </w:pPr>
          <w:r>
            <w:rPr>
              <w:b/>
            </w:rPr>
            <w:t>Sujeto Obligado:</w:t>
          </w:r>
        </w:p>
      </w:tc>
      <w:tc>
        <w:tcPr>
          <w:tcW w:w="2977" w:type="dxa"/>
        </w:tcPr>
        <w:p w14:paraId="3A9F80E7" w14:textId="543E90BF" w:rsidR="00094A71" w:rsidRDefault="0047312D">
          <w:pPr>
            <w:tabs>
              <w:tab w:val="right" w:pos="8838"/>
            </w:tabs>
            <w:ind w:left="-113" w:right="33"/>
          </w:pPr>
          <w:r w:rsidRPr="0047312D">
            <w:rPr>
              <w:color w:val="000000"/>
            </w:rPr>
            <w:t>Sistema Municipal Para el Desarrollo Integral de la Familia de Huehuetoca</w:t>
          </w:r>
        </w:p>
      </w:tc>
    </w:tr>
    <w:tr w:rsidR="00094A71" w14:paraId="0158F5D7" w14:textId="77777777">
      <w:trPr>
        <w:trHeight w:val="261"/>
      </w:trPr>
      <w:tc>
        <w:tcPr>
          <w:tcW w:w="2551" w:type="dxa"/>
        </w:tcPr>
        <w:p w14:paraId="4FFE7CF3" w14:textId="77777777" w:rsidR="00094A71" w:rsidRDefault="00EE75AC">
          <w:pPr>
            <w:tabs>
              <w:tab w:val="right" w:pos="8838"/>
            </w:tabs>
            <w:ind w:right="-105"/>
            <w:rPr>
              <w:b/>
            </w:rPr>
          </w:pPr>
          <w:r>
            <w:rPr>
              <w:b/>
            </w:rPr>
            <w:t>Comisionado Ponente:</w:t>
          </w:r>
        </w:p>
      </w:tc>
      <w:tc>
        <w:tcPr>
          <w:tcW w:w="2977" w:type="dxa"/>
        </w:tcPr>
        <w:p w14:paraId="710C5655" w14:textId="77777777" w:rsidR="00094A71" w:rsidRDefault="00EE75AC">
          <w:pPr>
            <w:tabs>
              <w:tab w:val="right" w:pos="8838"/>
            </w:tabs>
            <w:ind w:left="-113" w:right="-32"/>
            <w:rPr>
              <w:b/>
            </w:rPr>
          </w:pPr>
          <w:r>
            <w:t>Luis Gustavo Parra Noriega</w:t>
          </w:r>
        </w:p>
      </w:tc>
    </w:tr>
  </w:tbl>
  <w:p w14:paraId="4CDBEF6E" w14:textId="77777777" w:rsidR="00094A71" w:rsidRDefault="00697941">
    <w:pPr>
      <w:pBdr>
        <w:top w:val="nil"/>
        <w:left w:val="nil"/>
        <w:bottom w:val="nil"/>
        <w:right w:val="nil"/>
        <w:between w:val="nil"/>
      </w:pBdr>
      <w:tabs>
        <w:tab w:val="center" w:pos="4419"/>
        <w:tab w:val="right" w:pos="8838"/>
        <w:tab w:val="left" w:pos="5812"/>
      </w:tabs>
      <w:spacing w:after="0" w:line="240" w:lineRule="auto"/>
      <w:rPr>
        <w:color w:val="000000"/>
      </w:rPr>
    </w:pPr>
    <w:r>
      <w:rPr>
        <w:color w:val="000000"/>
      </w:rPr>
      <w:pict w14:anchorId="4BF63A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49" type="#_x0000_t75" alt="MARCA DE AGUA - HOJA RESOLUCIÓN" style="position:absolute;left:0;text-align:left;margin-left:-89.1pt;margin-top:-123.5pt;width:663.5pt;height:12in;z-index:-251658752;mso-wrap-edited:f;mso-width-percent:0;mso-height-percent:0;mso-position-horizontal:absolute;mso-position-horizontal-relative:margin;mso-position-vertical:absolute;mso-position-vertical-relative:margin;mso-width-percent:0;mso-height-percent:0">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2F3C54"/>
    <w:multiLevelType w:val="multilevel"/>
    <w:tmpl w:val="45426506"/>
    <w:lvl w:ilvl="0">
      <w:numFmt w:val="bullet"/>
      <w:lvlText w:val="-"/>
      <w:lvlJc w:val="left"/>
      <w:pPr>
        <w:ind w:left="720" w:hanging="360"/>
      </w:pPr>
      <w:rPr>
        <w:rFonts w:ascii="Palatino Linotype" w:eastAsia="Palatino Linotype" w:hAnsi="Palatino Linotype" w:cs="Palatino Linotyp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B044233"/>
    <w:multiLevelType w:val="multilevel"/>
    <w:tmpl w:val="B6A2FC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E755DB3"/>
    <w:multiLevelType w:val="hybridMultilevel"/>
    <w:tmpl w:val="E27C6A58"/>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3" w15:restartNumberingAfterBreak="0">
    <w:nsid w:val="11C84DFF"/>
    <w:multiLevelType w:val="multilevel"/>
    <w:tmpl w:val="01E4D7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55045E1"/>
    <w:multiLevelType w:val="multilevel"/>
    <w:tmpl w:val="0DFE2D7E"/>
    <w:lvl w:ilvl="0">
      <w:start w:val="1"/>
      <w:numFmt w:val="upperRoman"/>
      <w:lvlText w:val="%1."/>
      <w:lvlJc w:val="left"/>
      <w:pPr>
        <w:ind w:left="108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6265587"/>
    <w:multiLevelType w:val="multilevel"/>
    <w:tmpl w:val="D03659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92E7C8B"/>
    <w:multiLevelType w:val="multilevel"/>
    <w:tmpl w:val="685AD746"/>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 w15:restartNumberingAfterBreak="0">
    <w:nsid w:val="2A164502"/>
    <w:multiLevelType w:val="multilevel"/>
    <w:tmpl w:val="66961B02"/>
    <w:lvl w:ilvl="0">
      <w:start w:val="1"/>
      <w:numFmt w:val="bullet"/>
      <w:lvlText w:val="•"/>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8" w15:restartNumberingAfterBreak="0">
    <w:nsid w:val="32407E62"/>
    <w:multiLevelType w:val="multilevel"/>
    <w:tmpl w:val="A4B8A2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38D6B1A"/>
    <w:multiLevelType w:val="multilevel"/>
    <w:tmpl w:val="46E2D356"/>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50E0AF9"/>
    <w:multiLevelType w:val="multilevel"/>
    <w:tmpl w:val="26AE5D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5266518B"/>
    <w:multiLevelType w:val="hybridMultilevel"/>
    <w:tmpl w:val="C62071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530B1C1E"/>
    <w:multiLevelType w:val="multilevel"/>
    <w:tmpl w:val="D6C286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57952FB7"/>
    <w:multiLevelType w:val="multilevel"/>
    <w:tmpl w:val="77987D86"/>
    <w:lvl w:ilvl="0">
      <w:numFmt w:val="bullet"/>
      <w:lvlText w:val="-"/>
      <w:lvlJc w:val="left"/>
      <w:pPr>
        <w:ind w:left="720" w:hanging="360"/>
      </w:pPr>
      <w:rPr>
        <w:rFonts w:ascii="Palatino Linotype" w:eastAsia="Palatino Linotype" w:hAnsi="Palatino Linotype" w:cs="Palatino Linotyp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59F66FD5"/>
    <w:multiLevelType w:val="multilevel"/>
    <w:tmpl w:val="336AB8B4"/>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15" w15:restartNumberingAfterBreak="0">
    <w:nsid w:val="6CBE16CF"/>
    <w:multiLevelType w:val="hybridMultilevel"/>
    <w:tmpl w:val="6E1228C0"/>
    <w:lvl w:ilvl="0" w:tplc="62F01616">
      <w:start w:val="1"/>
      <w:numFmt w:val="bullet"/>
      <w:lvlText w:val="-"/>
      <w:lvlJc w:val="left"/>
      <w:pPr>
        <w:ind w:left="927" w:hanging="360"/>
      </w:pPr>
      <w:rPr>
        <w:rFonts w:ascii="Palatino Linotype" w:eastAsiaTheme="minorHAnsi" w:hAnsi="Palatino Linotype" w:cstheme="minorBidi" w:hint="default"/>
      </w:rPr>
    </w:lvl>
    <w:lvl w:ilvl="1" w:tplc="080A0003" w:tentative="1">
      <w:start w:val="1"/>
      <w:numFmt w:val="bullet"/>
      <w:lvlText w:val="o"/>
      <w:lvlJc w:val="left"/>
      <w:pPr>
        <w:ind w:left="1647" w:hanging="360"/>
      </w:pPr>
      <w:rPr>
        <w:rFonts w:ascii="Courier New" w:hAnsi="Courier New" w:cs="Courier New" w:hint="default"/>
      </w:rPr>
    </w:lvl>
    <w:lvl w:ilvl="2" w:tplc="080A0005" w:tentative="1">
      <w:start w:val="1"/>
      <w:numFmt w:val="bullet"/>
      <w:lvlText w:val=""/>
      <w:lvlJc w:val="left"/>
      <w:pPr>
        <w:ind w:left="2367" w:hanging="360"/>
      </w:pPr>
      <w:rPr>
        <w:rFonts w:ascii="Wingdings" w:hAnsi="Wingdings" w:hint="default"/>
      </w:rPr>
    </w:lvl>
    <w:lvl w:ilvl="3" w:tplc="080A0001" w:tentative="1">
      <w:start w:val="1"/>
      <w:numFmt w:val="bullet"/>
      <w:lvlText w:val=""/>
      <w:lvlJc w:val="left"/>
      <w:pPr>
        <w:ind w:left="3087" w:hanging="360"/>
      </w:pPr>
      <w:rPr>
        <w:rFonts w:ascii="Symbol" w:hAnsi="Symbol" w:hint="default"/>
      </w:rPr>
    </w:lvl>
    <w:lvl w:ilvl="4" w:tplc="080A0003" w:tentative="1">
      <w:start w:val="1"/>
      <w:numFmt w:val="bullet"/>
      <w:lvlText w:val="o"/>
      <w:lvlJc w:val="left"/>
      <w:pPr>
        <w:ind w:left="3807" w:hanging="360"/>
      </w:pPr>
      <w:rPr>
        <w:rFonts w:ascii="Courier New" w:hAnsi="Courier New" w:cs="Courier New" w:hint="default"/>
      </w:rPr>
    </w:lvl>
    <w:lvl w:ilvl="5" w:tplc="080A0005" w:tentative="1">
      <w:start w:val="1"/>
      <w:numFmt w:val="bullet"/>
      <w:lvlText w:val=""/>
      <w:lvlJc w:val="left"/>
      <w:pPr>
        <w:ind w:left="4527" w:hanging="360"/>
      </w:pPr>
      <w:rPr>
        <w:rFonts w:ascii="Wingdings" w:hAnsi="Wingdings" w:hint="default"/>
      </w:rPr>
    </w:lvl>
    <w:lvl w:ilvl="6" w:tplc="080A0001" w:tentative="1">
      <w:start w:val="1"/>
      <w:numFmt w:val="bullet"/>
      <w:lvlText w:val=""/>
      <w:lvlJc w:val="left"/>
      <w:pPr>
        <w:ind w:left="5247" w:hanging="360"/>
      </w:pPr>
      <w:rPr>
        <w:rFonts w:ascii="Symbol" w:hAnsi="Symbol" w:hint="default"/>
      </w:rPr>
    </w:lvl>
    <w:lvl w:ilvl="7" w:tplc="080A0003" w:tentative="1">
      <w:start w:val="1"/>
      <w:numFmt w:val="bullet"/>
      <w:lvlText w:val="o"/>
      <w:lvlJc w:val="left"/>
      <w:pPr>
        <w:ind w:left="5967" w:hanging="360"/>
      </w:pPr>
      <w:rPr>
        <w:rFonts w:ascii="Courier New" w:hAnsi="Courier New" w:cs="Courier New" w:hint="default"/>
      </w:rPr>
    </w:lvl>
    <w:lvl w:ilvl="8" w:tplc="080A0005" w:tentative="1">
      <w:start w:val="1"/>
      <w:numFmt w:val="bullet"/>
      <w:lvlText w:val=""/>
      <w:lvlJc w:val="left"/>
      <w:pPr>
        <w:ind w:left="6687" w:hanging="360"/>
      </w:pPr>
      <w:rPr>
        <w:rFonts w:ascii="Wingdings" w:hAnsi="Wingdings" w:hint="default"/>
      </w:rPr>
    </w:lvl>
  </w:abstractNum>
  <w:abstractNum w:abstractNumId="16" w15:restartNumberingAfterBreak="0">
    <w:nsid w:val="7F9A015B"/>
    <w:multiLevelType w:val="hybridMultilevel"/>
    <w:tmpl w:val="67546ABE"/>
    <w:lvl w:ilvl="0" w:tplc="080A0015">
      <w:start w:val="1"/>
      <w:numFmt w:val="upp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num w:numId="1">
    <w:abstractNumId w:val="5"/>
  </w:num>
  <w:num w:numId="2">
    <w:abstractNumId w:val="14"/>
  </w:num>
  <w:num w:numId="3">
    <w:abstractNumId w:val="9"/>
  </w:num>
  <w:num w:numId="4">
    <w:abstractNumId w:val="6"/>
  </w:num>
  <w:num w:numId="5">
    <w:abstractNumId w:val="2"/>
  </w:num>
  <w:num w:numId="6">
    <w:abstractNumId w:val="1"/>
  </w:num>
  <w:num w:numId="7">
    <w:abstractNumId w:val="15"/>
  </w:num>
  <w:num w:numId="8">
    <w:abstractNumId w:val="12"/>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10"/>
  </w:num>
  <w:num w:numId="12">
    <w:abstractNumId w:val="13"/>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 w:numId="15">
    <w:abstractNumId w:val="8"/>
  </w:num>
  <w:num w:numId="16">
    <w:abstractNumId w:val="3"/>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4A71"/>
    <w:rsid w:val="00074F0C"/>
    <w:rsid w:val="00087836"/>
    <w:rsid w:val="00094A71"/>
    <w:rsid w:val="000F67B8"/>
    <w:rsid w:val="001740F0"/>
    <w:rsid w:val="00181FEE"/>
    <w:rsid w:val="00280945"/>
    <w:rsid w:val="00334485"/>
    <w:rsid w:val="00380D11"/>
    <w:rsid w:val="00397BFB"/>
    <w:rsid w:val="00402865"/>
    <w:rsid w:val="004048A1"/>
    <w:rsid w:val="00447C68"/>
    <w:rsid w:val="0045746D"/>
    <w:rsid w:val="0047312D"/>
    <w:rsid w:val="005041D8"/>
    <w:rsid w:val="005319EC"/>
    <w:rsid w:val="00537AF2"/>
    <w:rsid w:val="00573EEC"/>
    <w:rsid w:val="005A069F"/>
    <w:rsid w:val="005D6DC2"/>
    <w:rsid w:val="005F5CCD"/>
    <w:rsid w:val="00601D38"/>
    <w:rsid w:val="00603E30"/>
    <w:rsid w:val="0061438E"/>
    <w:rsid w:val="00614D71"/>
    <w:rsid w:val="00672C05"/>
    <w:rsid w:val="00697941"/>
    <w:rsid w:val="006B0AAD"/>
    <w:rsid w:val="006C4A6F"/>
    <w:rsid w:val="006C4B02"/>
    <w:rsid w:val="006C7B4D"/>
    <w:rsid w:val="0072190F"/>
    <w:rsid w:val="007337D9"/>
    <w:rsid w:val="007E3625"/>
    <w:rsid w:val="008128D6"/>
    <w:rsid w:val="008923B8"/>
    <w:rsid w:val="0091090C"/>
    <w:rsid w:val="00925258"/>
    <w:rsid w:val="00983DA2"/>
    <w:rsid w:val="009F3770"/>
    <w:rsid w:val="00A355A2"/>
    <w:rsid w:val="00A53F78"/>
    <w:rsid w:val="00A96737"/>
    <w:rsid w:val="00AA72A3"/>
    <w:rsid w:val="00AB149B"/>
    <w:rsid w:val="00AE51B4"/>
    <w:rsid w:val="00AF5779"/>
    <w:rsid w:val="00AF6257"/>
    <w:rsid w:val="00B07954"/>
    <w:rsid w:val="00B10DDD"/>
    <w:rsid w:val="00BA5175"/>
    <w:rsid w:val="00BF4BD5"/>
    <w:rsid w:val="00C31AC5"/>
    <w:rsid w:val="00C50409"/>
    <w:rsid w:val="00C6608D"/>
    <w:rsid w:val="00CD0284"/>
    <w:rsid w:val="00D129CE"/>
    <w:rsid w:val="00D7789F"/>
    <w:rsid w:val="00D8381F"/>
    <w:rsid w:val="00E10FEF"/>
    <w:rsid w:val="00E57B2C"/>
    <w:rsid w:val="00EB1F3F"/>
    <w:rsid w:val="00EE75A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DE9E067"/>
  <w15:docId w15:val="{A9F369BC-7752-4CAE-800B-DB123EE65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alatino Linotype" w:eastAsia="Palatino Linotype" w:hAnsi="Palatino Linotype" w:cs="Palatino Linotype"/>
        <w:sz w:val="22"/>
        <w:szCs w:val="22"/>
        <w:lang w:val="es-MX" w:eastAsia="es-MX"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spacing w:before="240" w:after="0"/>
      <w:outlineLvl w:val="0"/>
    </w:pPr>
    <w:rPr>
      <w:rFonts w:ascii="Calibri" w:eastAsia="Calibri" w:hAnsi="Calibri" w:cs="Calibri"/>
      <w:color w:val="2F5496"/>
      <w:sz w:val="32"/>
      <w:szCs w:val="32"/>
    </w:rPr>
  </w:style>
  <w:style w:type="paragraph" w:styleId="Ttulo2">
    <w:name w:val="heading 2"/>
    <w:basedOn w:val="Normal"/>
    <w:next w:val="Normal"/>
    <w:uiPriority w:val="9"/>
    <w:unhideWhenUsed/>
    <w:qFormat/>
    <w:pPr>
      <w:keepNext/>
      <w:keepLines/>
      <w:spacing w:before="40" w:after="0"/>
      <w:outlineLvl w:val="1"/>
    </w:pPr>
    <w:rPr>
      <w:rFonts w:ascii="Calibri" w:eastAsia="Calibri" w:hAnsi="Calibri" w:cs="Calibri"/>
      <w:color w:val="2F5496"/>
      <w:sz w:val="26"/>
      <w:szCs w:val="2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Puesto">
    <w:name w:val="Title"/>
    <w:basedOn w:val="Normal"/>
    <w:next w:val="Normal"/>
    <w:uiPriority w:val="10"/>
    <w:qFormat/>
    <w:pPr>
      <w:keepNext/>
      <w:keepLines/>
      <w:spacing w:before="480" w:after="120"/>
    </w:pPr>
    <w:rPr>
      <w:b/>
      <w:sz w:val="72"/>
      <w:szCs w:val="72"/>
    </w:rPr>
  </w:style>
  <w:style w:type="paragraph" w:styleId="Encabezado">
    <w:name w:val="header"/>
    <w:basedOn w:val="Normal"/>
    <w:link w:val="EncabezadoCar"/>
    <w:uiPriority w:val="99"/>
    <w:unhideWhenUsed/>
    <w:rsid w:val="00DB3DC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B3DC5"/>
    <w:rPr>
      <w:rFonts w:ascii="Palatino Linotype" w:hAnsi="Palatino Linotype"/>
      <w:color w:val="000000" w:themeColor="text1"/>
      <w:kern w:val="0"/>
    </w:rPr>
  </w:style>
  <w:style w:type="paragraph" w:styleId="Piedepgina">
    <w:name w:val="footer"/>
    <w:basedOn w:val="Normal"/>
    <w:link w:val="PiedepginaCar"/>
    <w:uiPriority w:val="99"/>
    <w:unhideWhenUsed/>
    <w:rsid w:val="00DB3DC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B3DC5"/>
    <w:rPr>
      <w:rFonts w:ascii="Palatino Linotype" w:hAnsi="Palatino Linotype"/>
      <w:color w:val="000000" w:themeColor="text1"/>
      <w:kern w:val="0"/>
    </w:rPr>
  </w:style>
  <w:style w:type="table" w:styleId="Tablaconcuadrcula">
    <w:name w:val="Table Grid"/>
    <w:basedOn w:val="Tablanormal"/>
    <w:uiPriority w:val="59"/>
    <w:qFormat/>
    <w:rsid w:val="00DB3DC5"/>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B3DC5"/>
    <w:rPr>
      <w:rFonts w:ascii="Times New Roman" w:hAnsi="Times New Roman" w:cs="Times New Roman"/>
      <w:sz w:val="24"/>
      <w:szCs w:val="24"/>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DB3DC5"/>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DB3DC5"/>
    <w:rPr>
      <w:rFonts w:ascii="Palatino Linotype" w:hAnsi="Palatino Linotype"/>
      <w:color w:val="000000" w:themeColor="text1"/>
      <w:kern w:val="0"/>
    </w:rPr>
  </w:style>
  <w:style w:type="character" w:styleId="Hipervnculo">
    <w:name w:val="Hyperlink"/>
    <w:aliases w:val="Hipervínculo1,Hipervínculo11,Hipervínculo12,Hipervínculo13,Hipervínculo14,Hipervínculo15"/>
    <w:basedOn w:val="Fuentedeprrafopredeter"/>
    <w:uiPriority w:val="99"/>
    <w:unhideWhenUsed/>
    <w:qFormat/>
    <w:rsid w:val="004500E2"/>
    <w:rPr>
      <w:color w:val="0563C1" w:themeColor="hyperlink"/>
      <w:u w:val="single"/>
    </w:rPr>
  </w:style>
  <w:style w:type="character" w:customStyle="1" w:styleId="Mencinsinresolver1">
    <w:name w:val="Mención sin resolver1"/>
    <w:basedOn w:val="Fuentedeprrafopredeter"/>
    <w:uiPriority w:val="99"/>
    <w:semiHidden/>
    <w:unhideWhenUsed/>
    <w:rsid w:val="004500E2"/>
    <w:rPr>
      <w:color w:val="605E5C"/>
      <w:shd w:val="clear" w:color="auto" w:fill="E1DFDD"/>
    </w:rPr>
  </w:style>
  <w:style w:type="character" w:styleId="Hipervnculovisitado">
    <w:name w:val="FollowedHyperlink"/>
    <w:basedOn w:val="Fuentedeprrafopredeter"/>
    <w:uiPriority w:val="99"/>
    <w:semiHidden/>
    <w:unhideWhenUsed/>
    <w:rsid w:val="00254F36"/>
    <w:rPr>
      <w:color w:val="954F72" w:themeColor="followedHyperlink"/>
      <w:u w:val="single"/>
    </w:rPr>
  </w:style>
  <w:style w:type="table" w:customStyle="1" w:styleId="Tablaconcuadrcula3">
    <w:name w:val="Tabla con cuadrícula3"/>
    <w:basedOn w:val="Tablanormal"/>
    <w:next w:val="Tablaconcuadrcula"/>
    <w:uiPriority w:val="59"/>
    <w:rsid w:val="00837B92"/>
    <w:pPr>
      <w:spacing w:after="0" w:line="240" w:lineRule="auto"/>
    </w:pPr>
    <w:rPr>
      <w:rFonts w:ascii="Calibri" w:eastAsia="Calibri" w:hAnsi="Calibri" w:cs="Times New Roman"/>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uiPriority w:val="9"/>
    <w:rsid w:val="00076681"/>
    <w:rPr>
      <w:rFonts w:asciiTheme="majorHAnsi" w:eastAsiaTheme="majorEastAsia" w:hAnsiTheme="majorHAnsi" w:cstheme="majorBidi"/>
      <w:color w:val="2F5496" w:themeColor="accent1" w:themeShade="BF"/>
      <w:kern w:val="0"/>
      <w:sz w:val="32"/>
      <w:szCs w:val="32"/>
    </w:rPr>
  </w:style>
  <w:style w:type="paragraph" w:styleId="TtulodeTDC">
    <w:name w:val="TOC Heading"/>
    <w:next w:val="Normal"/>
    <w:uiPriority w:val="39"/>
    <w:unhideWhenUsed/>
    <w:qFormat/>
    <w:rsid w:val="00076681"/>
    <w:pPr>
      <w:jc w:val="left"/>
    </w:pPr>
  </w:style>
  <w:style w:type="paragraph" w:styleId="TDC1">
    <w:name w:val="toc 1"/>
    <w:basedOn w:val="Normal"/>
    <w:next w:val="Normal"/>
    <w:autoRedefine/>
    <w:uiPriority w:val="39"/>
    <w:unhideWhenUsed/>
    <w:rsid w:val="00076681"/>
    <w:pPr>
      <w:tabs>
        <w:tab w:val="right" w:leader="dot" w:pos="9072"/>
      </w:tabs>
      <w:spacing w:after="100" w:line="360" w:lineRule="auto"/>
    </w:pPr>
    <w:rPr>
      <w:rFonts w:ascii="Times New Roman" w:eastAsia="Times New Roman" w:hAnsi="Times New Roman" w:cs="Times New Roman"/>
      <w:sz w:val="20"/>
      <w:szCs w:val="20"/>
      <w:lang w:eastAsia="es-ES"/>
    </w:rPr>
  </w:style>
  <w:style w:type="paragraph" w:styleId="TDC2">
    <w:name w:val="toc 2"/>
    <w:basedOn w:val="Normal"/>
    <w:next w:val="Normal"/>
    <w:autoRedefine/>
    <w:uiPriority w:val="39"/>
    <w:unhideWhenUsed/>
    <w:rsid w:val="00076681"/>
    <w:pPr>
      <w:spacing w:after="100" w:line="240" w:lineRule="auto"/>
      <w:ind w:left="200"/>
      <w:jc w:val="left"/>
    </w:pPr>
    <w:rPr>
      <w:rFonts w:ascii="Times New Roman" w:eastAsia="Times New Roman" w:hAnsi="Times New Roman" w:cs="Times New Roman"/>
      <w:sz w:val="20"/>
      <w:szCs w:val="20"/>
      <w:lang w:eastAsia="es-ES"/>
    </w:rPr>
  </w:style>
  <w:style w:type="character" w:customStyle="1" w:styleId="Ttulo2Car">
    <w:name w:val="Título 2 Car"/>
    <w:basedOn w:val="Fuentedeprrafopredeter"/>
    <w:uiPriority w:val="9"/>
    <w:rsid w:val="00076681"/>
    <w:rPr>
      <w:rFonts w:asciiTheme="majorHAnsi" w:eastAsiaTheme="majorEastAsia" w:hAnsiTheme="majorHAnsi" w:cstheme="majorBidi"/>
      <w:color w:val="2F5496" w:themeColor="accent1" w:themeShade="BF"/>
      <w:kern w:val="0"/>
      <w:sz w:val="26"/>
      <w:szCs w:val="26"/>
    </w:rPr>
  </w:style>
  <w:style w:type="character" w:customStyle="1" w:styleId="Mencinsinresolver2">
    <w:name w:val="Mención sin resolver2"/>
    <w:basedOn w:val="Fuentedeprrafopredeter"/>
    <w:uiPriority w:val="99"/>
    <w:semiHidden/>
    <w:unhideWhenUsed/>
    <w:rsid w:val="00B417C3"/>
    <w:rPr>
      <w:color w:val="605E5C"/>
      <w:shd w:val="clear" w:color="auto" w:fill="E1DFDD"/>
    </w:rPr>
  </w:style>
  <w:style w:type="character" w:customStyle="1" w:styleId="Mencinsinresolver3">
    <w:name w:val="Mención sin resolver3"/>
    <w:basedOn w:val="Fuentedeprrafopredeter"/>
    <w:uiPriority w:val="99"/>
    <w:semiHidden/>
    <w:unhideWhenUsed/>
    <w:rsid w:val="009A627C"/>
    <w:rPr>
      <w:color w:val="605E5C"/>
      <w:shd w:val="clear" w:color="auto" w:fill="E1DFDD"/>
    </w:rPr>
  </w:style>
  <w:style w:type="character" w:customStyle="1" w:styleId="Mencinsinresolver4">
    <w:name w:val="Mención sin resolver4"/>
    <w:basedOn w:val="Fuentedeprrafopredeter"/>
    <w:uiPriority w:val="99"/>
    <w:semiHidden/>
    <w:unhideWhenUsed/>
    <w:rsid w:val="00655864"/>
    <w:rPr>
      <w:color w:val="605E5C"/>
      <w:shd w:val="clear" w:color="auto" w:fill="E1DFDD"/>
    </w:rPr>
  </w:style>
  <w:style w:type="character" w:customStyle="1" w:styleId="Mencinsinresolver5">
    <w:name w:val="Mención sin resolver5"/>
    <w:basedOn w:val="Fuentedeprrafopredeter"/>
    <w:uiPriority w:val="99"/>
    <w:semiHidden/>
    <w:unhideWhenUsed/>
    <w:rsid w:val="00515CD4"/>
    <w:rPr>
      <w:color w:val="605E5C"/>
      <w:shd w:val="clear" w:color="auto" w:fill="E1DFDD"/>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table" w:customStyle="1" w:styleId="a1">
    <w:basedOn w:val="TableNormal"/>
    <w:pPr>
      <w:spacing w:after="0" w:line="240" w:lineRule="auto"/>
    </w:pPr>
    <w:tblPr>
      <w:tblStyleRowBandSize w:val="1"/>
      <w:tblStyleColBandSize w:val="1"/>
      <w:tblCellMar>
        <w:left w:w="108" w:type="dxa"/>
        <w:right w:w="108" w:type="dxa"/>
      </w:tblCellMar>
    </w:tblPr>
  </w:style>
  <w:style w:type="character" w:customStyle="1" w:styleId="UnresolvedMention">
    <w:name w:val="Unresolved Mention"/>
    <w:basedOn w:val="Fuentedeprrafopredeter"/>
    <w:uiPriority w:val="99"/>
    <w:semiHidden/>
    <w:unhideWhenUsed/>
    <w:rsid w:val="008923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www.infoem.org.mx/es/contenido/transparencia"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g+KaEtU1tNh2Yd0lh0w1hRhtd9g==">CgMxLjAyDmguazI0and2cTVlb2ZkMg5oLmNid3llcGVqc3ZwejIOaC56aGdlMjVsa3dsYWwyDmguNWdnY2F4ZnRmdjQyMg1oLmJsbWtld3hmemczMg5oLjIydjVxbGFiYnhlaTIOaC45aXZ0dnV5MDJvYWcyDmguYm91eHZnNzdwZXQxMg5oLm5na3gxd3FtOGZtajINaC50bHZ5ZXd4YnF2aTIOaC5lcmx5MzF0M3hrcGEyDmguaG5idHcwbzZtN2J4Mg5oLjRsY3h1cXFoazZjMDIOaC54dGhwdmJlOGl1MnYyDmgub295dGd2YXF5cThsMg5oLmdmODE5NW9kZmI3dzIOaC5pOWp5NTdqaHpqbGIyDmguZTJjM2l1Z3pvdnQ2OAByITEzNndlSTBsWmNCTVlVSlFhU01PdkhYLTFGelIxS2NDU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5684</Words>
  <Characters>31266</Characters>
  <Application>Microsoft Office Word</Application>
  <DocSecurity>0</DocSecurity>
  <Lines>260</Lines>
  <Paragraphs>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36877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 PEÑA VARA</dc:creator>
  <cp:lastModifiedBy>USUARIO</cp:lastModifiedBy>
  <cp:revision>3</cp:revision>
  <cp:lastPrinted>2026-03-06T20:09:00Z</cp:lastPrinted>
  <dcterms:created xsi:type="dcterms:W3CDTF">2026-03-06T20:09:00Z</dcterms:created>
  <dcterms:modified xsi:type="dcterms:W3CDTF">2026-03-06T20:09:00Z</dcterms:modified>
</cp:coreProperties>
</file>