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344" w:rsidRPr="00D35D90" w:rsidRDefault="007855F2">
      <w:pPr>
        <w:tabs>
          <w:tab w:val="left" w:pos="3465"/>
        </w:tabs>
        <w:spacing w:line="360" w:lineRule="auto"/>
        <w:jc w:val="both"/>
        <w:rPr>
          <w:rFonts w:ascii="Palatino Linotype" w:eastAsia="Palatino Linotype" w:hAnsi="Palatino Linotype" w:cs="Palatino Linotype"/>
          <w:b/>
          <w:bCs/>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D35D90">
        <w:rPr>
          <w:rFonts w:ascii="Palatino Linotype" w:eastAsia="Palatino Linotype" w:hAnsi="Palatino Linotype" w:cs="Palatino Linotype"/>
          <w:b/>
        </w:rPr>
        <w:t xml:space="preserve">de fecha </w:t>
      </w:r>
      <w:r w:rsidR="001C6F5C" w:rsidRPr="00D35D90">
        <w:rPr>
          <w:rFonts w:ascii="Palatino Linotype" w:eastAsia="Palatino Linotype" w:hAnsi="Palatino Linotype" w:cs="Palatino Linotype"/>
          <w:b/>
          <w:bCs/>
        </w:rPr>
        <w:t>cinco</w:t>
      </w:r>
      <w:r w:rsidR="00D35D90" w:rsidRPr="00D35D90">
        <w:rPr>
          <w:rFonts w:ascii="Palatino Linotype" w:eastAsia="Palatino Linotype" w:hAnsi="Palatino Linotype" w:cs="Palatino Linotype"/>
          <w:b/>
          <w:bCs/>
        </w:rPr>
        <w:t xml:space="preserve"> (05)</w:t>
      </w:r>
      <w:r w:rsidRPr="00D35D90">
        <w:rPr>
          <w:rFonts w:ascii="Palatino Linotype" w:eastAsia="Palatino Linotype" w:hAnsi="Palatino Linotype" w:cs="Palatino Linotype"/>
          <w:b/>
          <w:bCs/>
        </w:rPr>
        <w:t xml:space="preserve"> de febrero de dos mil veintiséis.</w:t>
      </w:r>
    </w:p>
    <w:p w:rsidR="00F50344" w:rsidRDefault="00F50344">
      <w:pPr>
        <w:tabs>
          <w:tab w:val="left" w:pos="3465"/>
        </w:tabs>
        <w:spacing w:line="360" w:lineRule="auto"/>
        <w:jc w:val="both"/>
        <w:rPr>
          <w:rFonts w:ascii="Palatino Linotype" w:eastAsia="Palatino Linotype" w:hAnsi="Palatino Linotype" w:cs="Palatino Linotype"/>
        </w:rPr>
      </w:pPr>
    </w:p>
    <w:p w:rsidR="00F50344" w:rsidRDefault="007855F2">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electrónicos formado con motivo del recurso de revisión </w:t>
      </w:r>
      <w:r>
        <w:rPr>
          <w:rFonts w:ascii="Palatino Linotype" w:eastAsia="Palatino Linotype" w:hAnsi="Palatino Linotype" w:cs="Palatino Linotype"/>
          <w:b/>
          <w:bCs/>
        </w:rPr>
        <w:t xml:space="preserve">08683/INFOEM/IP/RR/2025, </w:t>
      </w:r>
      <w:r>
        <w:rPr>
          <w:rFonts w:ascii="Palatino Linotype" w:eastAsia="Palatino Linotype" w:hAnsi="Palatino Linotype" w:cs="Palatino Linotype"/>
        </w:rPr>
        <w:t>promovido por una persona que</w:t>
      </w:r>
      <w:r>
        <w:rPr>
          <w:rFonts w:ascii="Palatino Linotype" w:eastAsia="Palatino Linotype" w:hAnsi="Palatino Linotype" w:cs="Palatino Linotype"/>
          <w:b/>
          <w:bCs/>
        </w:rPr>
        <w:t xml:space="preserve"> no dio información</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Ayuntamiento de Zinacantepec, </w:t>
      </w:r>
      <w:r>
        <w:rPr>
          <w:rFonts w:ascii="Palatino Linotype" w:eastAsia="Palatino Linotype" w:hAnsi="Palatino Linotype" w:cs="Palatino Linotype"/>
        </w:rPr>
        <w:t xml:space="preserve">en </w:t>
      </w:r>
      <w:r w:rsidR="00D35D90">
        <w:rPr>
          <w:rFonts w:ascii="Palatino Linotype" w:eastAsia="Palatino Linotype" w:hAnsi="Palatino Linotype" w:cs="Palatino Linotype"/>
        </w:rPr>
        <w:t>adelante</w:t>
      </w:r>
      <w:r>
        <w:rPr>
          <w:rFonts w:ascii="Palatino Linotype" w:eastAsia="Palatino Linotype" w:hAnsi="Palatino Linotype" w:cs="Palatino Linotype"/>
        </w:rPr>
        <w:t xml:space="preserv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se procede a dictar la presente resolución, con base en los siguientes:</w:t>
      </w:r>
    </w:p>
    <w:p w:rsidR="00F50344" w:rsidRDefault="00F50344">
      <w:pPr>
        <w:spacing w:line="360" w:lineRule="auto"/>
        <w:jc w:val="both"/>
        <w:rPr>
          <w:rFonts w:ascii="Palatino Linotype" w:eastAsia="Palatino Linotype" w:hAnsi="Palatino Linotype" w:cs="Palatino Linotype"/>
        </w:rPr>
      </w:pPr>
    </w:p>
    <w:p w:rsidR="00F50344" w:rsidRDefault="007855F2">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3sfaj86pvlur" w:colFirst="0" w:colLast="0"/>
      <w:bookmarkEnd w:id="1"/>
      <w:r>
        <w:rPr>
          <w:rFonts w:ascii="Palatino Linotype" w:eastAsia="Palatino Linotype" w:hAnsi="Palatino Linotype" w:cs="Palatino Linotype"/>
          <w:b/>
          <w:bCs/>
          <w:color w:val="000000"/>
          <w:sz w:val="24"/>
          <w:szCs w:val="24"/>
        </w:rPr>
        <w:t>A</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T</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C</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D</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N</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T</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E</w:t>
      </w:r>
      <w:r w:rsidR="00D35D90">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b/>
          <w:bCs/>
          <w:color w:val="000000"/>
          <w:sz w:val="24"/>
          <w:szCs w:val="24"/>
        </w:rPr>
        <w:t>S</w:t>
      </w:r>
    </w:p>
    <w:p w:rsidR="00F50344" w:rsidRDefault="00F50344">
      <w:pPr>
        <w:rPr>
          <w:rFonts w:ascii="Palatino Linotype" w:eastAsia="Palatino Linotype" w:hAnsi="Palatino Linotype" w:cs="Palatino Linotype"/>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veinticinco de junio de dos mil veinticinco, </w:t>
      </w:r>
      <w:r>
        <w:rPr>
          <w:rFonts w:ascii="Palatino Linotype" w:eastAsia="Palatino Linotype" w:hAnsi="Palatino Linotype" w:cs="Palatino Linotype"/>
          <w:color w:val="000000"/>
        </w:rPr>
        <w:t xml:space="preserve">se presentaron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bCs/>
          <w:color w:val="000000"/>
        </w:rPr>
        <w:t xml:space="preserve"> 00522/ZINACANT/IP/2025, </w:t>
      </w:r>
      <w:r w:rsidR="00D35D90">
        <w:rPr>
          <w:rFonts w:ascii="Palatino Linotype" w:eastAsia="Palatino Linotype" w:hAnsi="Palatino Linotype" w:cs="Palatino Linotype"/>
          <w:color w:val="000000"/>
        </w:rPr>
        <w:t>en la que</w:t>
      </w:r>
      <w:r>
        <w:rPr>
          <w:rFonts w:ascii="Palatino Linotype" w:eastAsia="Palatino Linotype" w:hAnsi="Palatino Linotype" w:cs="Palatino Linotype"/>
          <w:color w:val="000000"/>
        </w:rPr>
        <w:t xml:space="preserve"> se solicitó la siguiente información:</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50344" w:rsidRDefault="007855F2">
      <w:pPr>
        <w:pBdr>
          <w:top w:val="nil"/>
          <w:left w:val="nil"/>
          <w:bottom w:val="nil"/>
          <w:right w:val="nil"/>
          <w:between w:val="nil"/>
        </w:pBdr>
        <w:spacing w:line="276" w:lineRule="auto"/>
        <w:ind w:left="426"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“solicito los acuses de las solicitudes de informacion ingresadas en los mes de mayo y junio, de los años 2024 y 2025.”</w:t>
      </w:r>
    </w:p>
    <w:p w:rsidR="00F50344" w:rsidRDefault="00F50344">
      <w:pPr>
        <w:pBdr>
          <w:top w:val="nil"/>
          <w:left w:val="nil"/>
          <w:bottom w:val="nil"/>
          <w:right w:val="nil"/>
          <w:between w:val="nil"/>
        </w:pBdr>
        <w:spacing w:line="276" w:lineRule="auto"/>
        <w:ind w:right="34"/>
        <w:jc w:val="both"/>
        <w:rPr>
          <w:rFonts w:ascii="Palatino Linotype" w:eastAsia="Palatino Linotype" w:hAnsi="Palatino Linotype" w:cs="Palatino Linotype"/>
          <w:i/>
          <w:iCs/>
          <w:color w:val="000000"/>
        </w:rPr>
      </w:pPr>
    </w:p>
    <w:p w:rsidR="00F50344" w:rsidRDefault="007855F2" w:rsidP="00D35D90">
      <w:pPr>
        <w:numPr>
          <w:ilvl w:val="0"/>
          <w:numId w:val="4"/>
        </w:numPr>
        <w:pBdr>
          <w:top w:val="nil"/>
          <w:left w:val="nil"/>
          <w:bottom w:val="nil"/>
          <w:right w:val="nil"/>
          <w:between w:val="nil"/>
        </w:pBdr>
        <w:spacing w:line="360" w:lineRule="auto"/>
        <w:ind w:left="0" w:right="474" w:firstLine="0"/>
        <w:jc w:val="both"/>
        <w:rPr>
          <w:rFonts w:ascii="Palatino Linotype" w:eastAsia="Palatino Linotype" w:hAnsi="Palatino Linotype" w:cs="Palatino Linotype"/>
          <w:color w:val="000000"/>
        </w:rPr>
      </w:pPr>
      <w:bookmarkStart w:id="2" w:name="_heading=h.h8dfeovvz03n" w:colFirst="0" w:colLast="0"/>
      <w:bookmarkEnd w:id="2"/>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D35D90" w:rsidRDefault="00D35D90">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diecisiete de julio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respuesta a través </w:t>
      </w:r>
      <w:r>
        <w:rPr>
          <w:rFonts w:ascii="Palatino Linotype" w:eastAsia="Palatino Linotype" w:hAnsi="Palatino Linotype" w:cs="Palatino Linotype"/>
        </w:rPr>
        <w:t>de los archivos siguientes:</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rPr>
      </w:pPr>
    </w:p>
    <w:p w:rsidR="00F50344" w:rsidRDefault="007855F2">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 xml:space="preserve">sol 00522.pdf: </w:t>
      </w:r>
      <w:r>
        <w:rPr>
          <w:rFonts w:ascii="Palatino Linotype" w:eastAsia="Palatino Linotype" w:hAnsi="Palatino Linotype" w:cs="Palatino Linotype"/>
          <w:color w:val="000000"/>
        </w:rPr>
        <w:t xml:space="preserve">45 acuses de solicitudes de información, del mes de mayo y junio de dos mil veinticuatro. </w:t>
      </w:r>
    </w:p>
    <w:p w:rsidR="00F50344" w:rsidRDefault="007855F2">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SOLICITUDES MAYO-JUNIO 2025.pdf: </w:t>
      </w:r>
      <w:r>
        <w:rPr>
          <w:rFonts w:ascii="Palatino Linotype" w:eastAsia="Palatino Linotype" w:hAnsi="Palatino Linotype" w:cs="Palatino Linotype"/>
          <w:color w:val="000000"/>
        </w:rPr>
        <w:t>251 acuses de solicitudes de información, del mes de mayo y junio del año dos mil veinticinco.</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diecisiete de julio de dos mil veinticinco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EL PARTICULAR</w:t>
      </w:r>
      <w:r>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F50344" w:rsidRDefault="007855F2">
      <w:pPr>
        <w:pBdr>
          <w:top w:val="nil"/>
          <w:left w:val="nil"/>
          <w:bottom w:val="nil"/>
          <w:right w:val="nil"/>
          <w:between w:val="nil"/>
        </w:pBdr>
        <w:spacing w:line="360" w:lineRule="auto"/>
        <w:ind w:left="426"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w:t>
      </w:r>
      <w:r w:rsidR="00D35D90">
        <w:rPr>
          <w:rFonts w:ascii="Palatino Linotype" w:eastAsia="Palatino Linotype" w:hAnsi="Palatino Linotype" w:cs="Palatino Linotype"/>
          <w:b/>
          <w:bCs/>
          <w:color w:val="000000"/>
        </w:rPr>
        <w:t>ACTO IMPUGNADO</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NO ENTREGA INFORMACIÓN”</w:t>
      </w:r>
    </w:p>
    <w:p w:rsidR="00F50344" w:rsidRDefault="00F50344">
      <w:pPr>
        <w:pBdr>
          <w:top w:val="nil"/>
          <w:left w:val="nil"/>
          <w:bottom w:val="nil"/>
          <w:right w:val="nil"/>
          <w:between w:val="nil"/>
        </w:pBdr>
        <w:spacing w:line="360" w:lineRule="auto"/>
        <w:ind w:left="426" w:right="425"/>
        <w:jc w:val="both"/>
        <w:rPr>
          <w:rFonts w:ascii="Palatino Linotype" w:eastAsia="Palatino Linotype" w:hAnsi="Palatino Linotype" w:cs="Palatino Linotype"/>
          <w:color w:val="000000"/>
        </w:rPr>
      </w:pPr>
    </w:p>
    <w:p w:rsidR="00F50344" w:rsidRDefault="007855F2">
      <w:pPr>
        <w:pBdr>
          <w:top w:val="nil"/>
          <w:left w:val="nil"/>
          <w:bottom w:val="nil"/>
          <w:right w:val="nil"/>
          <w:between w:val="nil"/>
        </w:pBdr>
        <w:spacing w:line="360" w:lineRule="auto"/>
        <w:ind w:left="426"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w:t>
      </w:r>
      <w:r w:rsidR="00D35D90">
        <w:rPr>
          <w:rFonts w:ascii="Palatino Linotype" w:eastAsia="Palatino Linotype" w:hAnsi="Palatino Linotype" w:cs="Palatino Linotype"/>
          <w:b/>
          <w:bCs/>
          <w:color w:val="000000"/>
        </w:rPr>
        <w:t>RAZONES O MOTIVOS DE INCONFORMIDAD</w:t>
      </w:r>
      <w:r>
        <w:rPr>
          <w:rFonts w:ascii="Palatino Linotype" w:eastAsia="Palatino Linotype" w:hAnsi="Palatino Linotype" w:cs="Palatino Linotype"/>
          <w:b/>
          <w:bCs/>
          <w:i/>
          <w:iCs/>
          <w:color w:val="000000"/>
        </w:rPr>
        <w:t>:</w:t>
      </w:r>
      <w:r>
        <w:rPr>
          <w:rFonts w:ascii="Palatino Linotype" w:eastAsia="Palatino Linotype" w:hAnsi="Palatino Linotype" w:cs="Palatino Linotype"/>
          <w:i/>
          <w:iCs/>
          <w:color w:val="000000"/>
        </w:rPr>
        <w:t xml:space="preserve"> “NO ENTREGA INFORMACIÓN”</w:t>
      </w:r>
    </w:p>
    <w:p w:rsidR="00F50344" w:rsidRDefault="00F5034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iCs/>
          <w:color w:val="000000"/>
        </w:rPr>
      </w:pPr>
    </w:p>
    <w:p w:rsidR="00F50344" w:rsidRDefault="00D35D9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bookmarkStart w:id="3" w:name="_heading=h.yix0z2yv6301" w:colFirst="0" w:colLast="0"/>
      <w:bookmarkEnd w:id="3"/>
      <w:r>
        <w:rPr>
          <w:rFonts w:ascii="Palatino Linotype" w:eastAsia="Palatino Linotype" w:hAnsi="Palatino Linotype" w:cs="Palatino Linotype"/>
          <w:color w:val="000000"/>
        </w:rPr>
        <w:t>La Comisionada p</w:t>
      </w:r>
      <w:r w:rsidR="007855F2">
        <w:rPr>
          <w:rFonts w:ascii="Palatino Linotype" w:eastAsia="Palatino Linotype" w:hAnsi="Palatino Linotype" w:cs="Palatino Linotype"/>
          <w:color w:val="000000"/>
        </w:rPr>
        <w:t xml:space="preserve">onente con fundamento en lo dispuesto por el artículo 185 fracción II de la ley de la materia, a través de los acuerdos de admisión de </w:t>
      </w:r>
      <w:r w:rsidR="007855F2">
        <w:rPr>
          <w:rFonts w:ascii="Palatino Linotype" w:eastAsia="Palatino Linotype" w:hAnsi="Palatino Linotype" w:cs="Palatino Linotype"/>
          <w:b/>
          <w:bCs/>
          <w:color w:val="000000"/>
        </w:rPr>
        <w:t>cinco de agosto de dos mil veinticinco</w:t>
      </w:r>
      <w:r w:rsidR="007855F2">
        <w:rPr>
          <w:rFonts w:ascii="Palatino Linotype" w:eastAsia="Palatino Linotype" w:hAnsi="Palatino Linotype" w:cs="Palatino Linotype"/>
          <w:color w:val="000000"/>
        </w:rPr>
        <w:t xml:space="preserve">, puso a disposición de las partes el expediente electrónico vía </w:t>
      </w:r>
      <w:r w:rsidR="007855F2">
        <w:rPr>
          <w:rFonts w:ascii="Palatino Linotype" w:eastAsia="Palatino Linotype" w:hAnsi="Palatino Linotype" w:cs="Palatino Linotype"/>
          <w:b/>
          <w:bCs/>
          <w:color w:val="000000"/>
        </w:rPr>
        <w:t xml:space="preserve">SAIMEX </w:t>
      </w:r>
      <w:r w:rsidR="007855F2">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007855F2">
        <w:rPr>
          <w:rFonts w:ascii="Palatino Linotype" w:eastAsia="Palatino Linotype" w:hAnsi="Palatino Linotype" w:cs="Palatino Linotype"/>
          <w:b/>
          <w:bCs/>
          <w:color w:val="000000"/>
        </w:rPr>
        <w:t>SUJETO OBLIGADO</w:t>
      </w:r>
      <w:r w:rsidR="007855F2">
        <w:rPr>
          <w:rFonts w:ascii="Palatino Linotype" w:eastAsia="Palatino Linotype" w:hAnsi="Palatino Linotype" w:cs="Palatino Linotype"/>
          <w:color w:val="000000"/>
        </w:rPr>
        <w:t xml:space="preserve"> presentará el Informe Justificado procedente.</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PARTICULAR, </w:t>
      </w:r>
      <w:r>
        <w:rPr>
          <w:rFonts w:ascii="Palatino Linotype" w:eastAsia="Palatino Linotype" w:hAnsi="Palatino Linotype" w:cs="Palatino Linotype"/>
          <w:color w:val="000000"/>
        </w:rPr>
        <w:t>no realizo manifestaciones conforme a su derecho conviniera y/o asistiera.</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b/>
          <w:bCs/>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rindió el informe justificado correspondiente a través de los archivos siguientes:</w:t>
      </w:r>
    </w:p>
    <w:p w:rsidR="00F50344" w:rsidRDefault="007855F2">
      <w:pPr>
        <w:numPr>
          <w:ilvl w:val="0"/>
          <w:numId w:val="7"/>
        </w:numPr>
        <w:pBdr>
          <w:top w:val="nil"/>
          <w:left w:val="nil"/>
          <w:bottom w:val="nil"/>
          <w:right w:val="nil"/>
          <w:between w:val="nil"/>
        </w:pBdr>
        <w:spacing w:line="360" w:lineRule="auto"/>
        <w:ind w:left="851"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13 EXTZINA 2025.pdf: </w:t>
      </w:r>
      <w:r>
        <w:rPr>
          <w:rFonts w:ascii="Palatino Linotype" w:eastAsia="Palatino Linotype" w:hAnsi="Palatino Linotype" w:cs="Palatino Linotype"/>
          <w:color w:val="000000"/>
        </w:rPr>
        <w:t>Acta CT/ZIN/EXT/0013/2025, relativo a “</w:t>
      </w:r>
      <w:r>
        <w:rPr>
          <w:rFonts w:ascii="Palatino Linotype" w:eastAsia="Palatino Linotype" w:hAnsi="Palatino Linotype" w:cs="Palatino Linotype"/>
          <w:i/>
          <w:iCs/>
          <w:color w:val="000000"/>
        </w:rPr>
        <w:t>18. Propuesta, análisis, discusión y en su caso aprobación del proyecto para clasificar como información confidencial con carácter de permanente, algunos datos contenidos en los documentos para dar respuesta a la solicitud de información con número 00522/ZINACANT/IP/2025, presentado por la Unidad de Transparencia.”</w:t>
      </w:r>
    </w:p>
    <w:p w:rsidR="00F50344" w:rsidRDefault="007855F2">
      <w:pPr>
        <w:numPr>
          <w:ilvl w:val="0"/>
          <w:numId w:val="7"/>
        </w:numPr>
        <w:pBdr>
          <w:top w:val="nil"/>
          <w:left w:val="nil"/>
          <w:bottom w:val="nil"/>
          <w:right w:val="nil"/>
          <w:between w:val="nil"/>
        </w:pBdr>
        <w:spacing w:line="360" w:lineRule="auto"/>
        <w:ind w:left="851" w:right="70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IJ 8863 2025.pdf: </w:t>
      </w:r>
      <w:r>
        <w:rPr>
          <w:rFonts w:ascii="Palatino Linotype" w:eastAsia="Palatino Linotype" w:hAnsi="Palatino Linotype" w:cs="Palatino Linotype"/>
          <w:color w:val="000000"/>
        </w:rPr>
        <w:t xml:space="preserve">Informe Justificado firmado por la Titular de la Unidad de Transparencia, por el que confirma la respuesta primigenia de ese Sujeto Obligado. </w:t>
      </w:r>
    </w:p>
    <w:p w:rsidR="00F50344" w:rsidRDefault="00F50344">
      <w:pPr>
        <w:pBdr>
          <w:top w:val="nil"/>
          <w:left w:val="nil"/>
          <w:bottom w:val="nil"/>
          <w:right w:val="nil"/>
          <w:between w:val="nil"/>
        </w:pBdr>
        <w:spacing w:line="360" w:lineRule="auto"/>
        <w:ind w:left="709"/>
        <w:jc w:val="both"/>
        <w:rPr>
          <w:rFonts w:ascii="Palatino Linotype" w:eastAsia="Palatino Linotype" w:hAnsi="Palatino Linotype" w:cs="Palatino Linotype"/>
          <w:b/>
          <w:bCs/>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PARTICULAR, </w:t>
      </w:r>
      <w:r>
        <w:rPr>
          <w:rFonts w:ascii="Palatino Linotype" w:eastAsia="Palatino Linotype" w:hAnsi="Palatino Linotype" w:cs="Palatino Linotype"/>
          <w:color w:val="000000"/>
        </w:rPr>
        <w:t>no realizó manifestaciones conforme a su derecho conviniera y asistiera.</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4" w:name="_heading=h.gnlj36l0lr8b" w:colFirst="0" w:colLast="0"/>
      <w:bookmarkEnd w:id="4"/>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veintiséis de enero de dos mil veintiséis, </w:t>
      </w:r>
      <w:r>
        <w:rPr>
          <w:rFonts w:ascii="Palatino Linotype" w:eastAsia="Palatino Linotype" w:hAnsi="Palatino Linotype" w:cs="Palatino Linotype"/>
          <w:color w:val="000000"/>
        </w:rPr>
        <w:t>se notificó el acuerdo por el que se aprobó el plazo para resolver el recurso de revisión que nos ocupa.</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50344" w:rsidRPr="00D35D90"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Mediante acuerdo de </w:t>
      </w:r>
      <w:r>
        <w:rPr>
          <w:rFonts w:ascii="Palatino Linotype" w:eastAsia="Palatino Linotype" w:hAnsi="Palatino Linotype" w:cs="Palatino Linotype"/>
          <w:b/>
          <w:bCs/>
          <w:color w:val="000000"/>
        </w:rPr>
        <w:t>treinta de enero de dos mil veintiséis</w:t>
      </w:r>
      <w:r>
        <w:rPr>
          <w:rFonts w:ascii="Palatino Linotype" w:eastAsia="Palatino Linotype" w:hAnsi="Palatino Linotype" w:cs="Palatino Linotype"/>
          <w:color w:val="000000"/>
        </w:rPr>
        <w:t>, se decretó el cierre de instrucción, por lo que no habiendo más que hacer constar, y------------------------------------------</w:t>
      </w:r>
    </w:p>
    <w:p w:rsidR="00D35D90" w:rsidRDefault="00D35D90" w:rsidP="00D35D90">
      <w:pPr>
        <w:pStyle w:val="Prrafodelista"/>
        <w:rPr>
          <w:rFonts w:ascii="Palatino Linotype" w:eastAsia="Palatino Linotype" w:hAnsi="Palatino Linotype" w:cs="Palatino Linotype"/>
          <w:b/>
          <w:bCs/>
          <w:color w:val="000000"/>
        </w:rPr>
      </w:pPr>
    </w:p>
    <w:p w:rsidR="00D35D90" w:rsidRDefault="00D35D90" w:rsidP="00D35D9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D35D90" w:rsidRDefault="00D35D90" w:rsidP="00D35D9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D35D90" w:rsidRDefault="00D35D90" w:rsidP="00D35D9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50344" w:rsidRDefault="00F50344">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F50344" w:rsidRDefault="007855F2">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C</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O</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N</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S</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I</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D</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E</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R</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A</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N</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D</w:t>
      </w:r>
      <w:r w:rsidR="00D35D90">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O</w:t>
      </w:r>
    </w:p>
    <w:p w:rsidR="00F50344" w:rsidRDefault="00F50344">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F50344" w:rsidRDefault="007855F2">
      <w:pPr>
        <w:pStyle w:val="Ttulo2"/>
        <w:spacing w:before="0" w:line="360" w:lineRule="auto"/>
        <w:rPr>
          <w:rFonts w:ascii="Palatino Linotype" w:eastAsia="Palatino Linotype" w:hAnsi="Palatino Linotype" w:cs="Palatino Linotype"/>
          <w:b/>
          <w:bCs/>
          <w:color w:val="000000"/>
          <w:sz w:val="24"/>
          <w:szCs w:val="24"/>
        </w:rPr>
      </w:pPr>
      <w:bookmarkStart w:id="5" w:name="_heading=h.bu3y4hbxrln" w:colFirst="0" w:colLast="0"/>
      <w:bookmarkEnd w:id="5"/>
      <w:r>
        <w:rPr>
          <w:rFonts w:ascii="Palatino Linotype" w:eastAsia="Palatino Linotype" w:hAnsi="Palatino Linotype" w:cs="Palatino Linotype"/>
          <w:b/>
          <w:bCs/>
          <w:color w:val="000000"/>
          <w:sz w:val="24"/>
          <w:szCs w:val="24"/>
        </w:rPr>
        <w:t>PRIMERO. De la competencia</w:t>
      </w: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50344" w:rsidRDefault="007855F2">
      <w:pPr>
        <w:pStyle w:val="Ttulo2"/>
        <w:spacing w:before="0" w:line="360" w:lineRule="auto"/>
        <w:rPr>
          <w:rFonts w:ascii="Palatino Linotype" w:eastAsia="Palatino Linotype" w:hAnsi="Palatino Linotype" w:cs="Palatino Linotype"/>
          <w:b/>
          <w:bCs/>
          <w:color w:val="000000"/>
          <w:sz w:val="24"/>
          <w:szCs w:val="24"/>
        </w:rPr>
      </w:pPr>
      <w:bookmarkStart w:id="6" w:name="_heading=h.7gwoh1b6bqqt" w:colFirst="0" w:colLast="0"/>
      <w:bookmarkEnd w:id="6"/>
      <w:r>
        <w:rPr>
          <w:rFonts w:ascii="Palatino Linotype" w:eastAsia="Palatino Linotype" w:hAnsi="Palatino Linotype" w:cs="Palatino Linotype"/>
          <w:b/>
          <w:bCs/>
          <w:color w:val="000000"/>
          <w:sz w:val="24"/>
          <w:szCs w:val="24"/>
        </w:rPr>
        <w:t>SEGUNDO. De la oportunidad y procedencia.</w:t>
      </w: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respuesta el día </w:t>
      </w:r>
      <w:r>
        <w:rPr>
          <w:rFonts w:ascii="Palatino Linotype" w:eastAsia="Palatino Linotype" w:hAnsi="Palatino Linotype" w:cs="Palatino Linotype"/>
          <w:b/>
          <w:bCs/>
          <w:color w:val="000000"/>
        </w:rPr>
        <w:t xml:space="preserve">diecisiete de julio de dos mil veinticinco, </w:t>
      </w:r>
      <w:r>
        <w:rPr>
          <w:rFonts w:ascii="Palatino Linotype" w:eastAsia="Palatino Linotype" w:hAnsi="Palatino Linotype" w:cs="Palatino Linotype"/>
          <w:color w:val="000000"/>
        </w:rPr>
        <w:t xml:space="preserve">por lo que el plazo para interponer los recursos de revisión transcurrieron del </w:t>
      </w:r>
      <w:r>
        <w:rPr>
          <w:rFonts w:ascii="Palatino Linotype" w:eastAsia="Palatino Linotype" w:hAnsi="Palatino Linotype" w:cs="Palatino Linotype"/>
          <w:b/>
          <w:bCs/>
          <w:color w:val="000000"/>
        </w:rPr>
        <w:t xml:space="preserve">dieciocho de julio al veintiuno de agosto de dos mil veinticinco, </w:t>
      </w:r>
      <w:r>
        <w:rPr>
          <w:rFonts w:ascii="Palatino Linotype" w:eastAsia="Palatino Linotype" w:hAnsi="Palatino Linotype" w:cs="Palatino Linotype"/>
          <w:color w:val="000000"/>
        </w:rPr>
        <w:t xml:space="preserve">es así que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interpuso los recursos de revisión el día </w:t>
      </w:r>
      <w:r>
        <w:rPr>
          <w:rFonts w:ascii="Palatino Linotype" w:eastAsia="Palatino Linotype" w:hAnsi="Palatino Linotype" w:cs="Palatino Linotype"/>
          <w:b/>
          <w:bCs/>
          <w:color w:val="000000"/>
        </w:rPr>
        <w:t xml:space="preserve">diecisiete de julio de dos mil veinticinco, </w:t>
      </w:r>
      <w:r>
        <w:rPr>
          <w:rFonts w:ascii="Palatino Linotype" w:eastAsia="Palatino Linotype" w:hAnsi="Palatino Linotype" w:cs="Palatino Linotype"/>
          <w:color w:val="000000"/>
        </w:rPr>
        <w:t>por lo que se estima que la inconformidad se presentó dentro del lapso legalmente establecido para tal efecto.</w:t>
      </w:r>
    </w:p>
    <w:p w:rsidR="00F50344" w:rsidRDefault="00F50344">
      <w:pPr>
        <w:spacing w:line="360" w:lineRule="auto"/>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50344" w:rsidRDefault="00F50344">
      <w:pPr>
        <w:pBdr>
          <w:top w:val="nil"/>
          <w:left w:val="nil"/>
          <w:bottom w:val="nil"/>
          <w:right w:val="nil"/>
          <w:between w:val="nil"/>
        </w:pBdr>
        <w:spacing w:line="360" w:lineRule="auto"/>
        <w:rPr>
          <w:rFonts w:ascii="Palatino Linotype" w:eastAsia="Palatino Linotype" w:hAnsi="Palatino Linotype" w:cs="Palatino Linotype"/>
          <w:color w:val="000000"/>
        </w:rPr>
      </w:pPr>
    </w:p>
    <w:p w:rsidR="00F50344" w:rsidRDefault="007855F2">
      <w:pPr>
        <w:pStyle w:val="Ttulo1"/>
        <w:spacing w:before="0" w:line="360" w:lineRule="auto"/>
        <w:rPr>
          <w:rFonts w:ascii="Palatino Linotype" w:eastAsia="Palatino Linotype" w:hAnsi="Palatino Linotype" w:cs="Palatino Linotype"/>
          <w:b/>
          <w:bCs/>
          <w:color w:val="000000"/>
          <w:sz w:val="24"/>
          <w:szCs w:val="24"/>
        </w:rPr>
      </w:pPr>
      <w:bookmarkStart w:id="7" w:name="_heading=h.6se2l7uevp1n" w:colFirst="0" w:colLast="0"/>
      <w:bookmarkEnd w:id="7"/>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r>
        <w:rPr>
          <w:rFonts w:ascii="Palatino Linotype" w:eastAsia="Palatino Linotype" w:hAnsi="Palatino Linotype" w:cs="Palatino Linotype"/>
          <w:b/>
          <w:bCs/>
          <w:color w:val="000000"/>
          <w:sz w:val="24"/>
          <w:szCs w:val="24"/>
        </w:rPr>
        <w:t>.</w:t>
      </w:r>
    </w:p>
    <w:p w:rsidR="00F50344" w:rsidRDefault="007855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rsidR="00F50344" w:rsidRDefault="007855F2">
      <w:pPr>
        <w:numPr>
          <w:ilvl w:val="0"/>
          <w:numId w:val="8"/>
        </w:numPr>
        <w:pBdr>
          <w:top w:val="nil"/>
          <w:left w:val="nil"/>
          <w:bottom w:val="nil"/>
          <w:right w:val="nil"/>
          <w:between w:val="nil"/>
        </w:pBdr>
        <w:spacing w:line="276" w:lineRule="auto"/>
        <w:ind w:right="1276"/>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Los acuses de las solicitudes de información ingresadas en los meses de mayo y junio de los años dos mil veinticuatro y dos mil veinticinco.</w:t>
      </w:r>
    </w:p>
    <w:p w:rsidR="00F50344" w:rsidRDefault="00F50344">
      <w:pPr>
        <w:pBdr>
          <w:top w:val="nil"/>
          <w:left w:val="nil"/>
          <w:bottom w:val="nil"/>
          <w:right w:val="nil"/>
          <w:between w:val="nil"/>
        </w:pBdr>
        <w:ind w:left="1440" w:right="1276"/>
        <w:jc w:val="both"/>
        <w:rPr>
          <w:rFonts w:ascii="Palatino Linotype" w:eastAsia="Palatino Linotype" w:hAnsi="Palatino Linotype" w:cs="Palatino Linotype"/>
          <w:b/>
          <w:bCs/>
          <w:color w:val="000000"/>
        </w:rPr>
      </w:pPr>
    </w:p>
    <w:p w:rsidR="00F50344" w:rsidRDefault="00F50344">
      <w:pPr>
        <w:pBdr>
          <w:top w:val="nil"/>
          <w:left w:val="nil"/>
          <w:bottom w:val="nil"/>
          <w:right w:val="nil"/>
          <w:between w:val="nil"/>
        </w:pBdr>
        <w:ind w:left="1440" w:right="1276"/>
        <w:jc w:val="both"/>
        <w:rPr>
          <w:rFonts w:ascii="Palatino Linotype" w:eastAsia="Palatino Linotype" w:hAnsi="Palatino Linotype" w:cs="Palatino Linotype"/>
          <w:b/>
          <w:bCs/>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tal efecto,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dio respuesta como quedó plasmado en el numeral 2 del presente proyecto.</w:t>
      </w:r>
    </w:p>
    <w:p w:rsidR="00F50344" w:rsidRDefault="007855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bCs/>
        </w:rPr>
        <w:t xml:space="preserve">fracción I </w:t>
      </w:r>
      <w:r>
        <w:rPr>
          <w:rFonts w:ascii="Palatino Linotype" w:eastAsia="Palatino Linotype" w:hAnsi="Palatino Linotype" w:cs="Palatino Linotype"/>
        </w:rPr>
        <w:t xml:space="preserve">de la </w:t>
      </w:r>
      <w:r>
        <w:rPr>
          <w:rFonts w:ascii="Palatino Linotype" w:eastAsia="Palatino Linotype" w:hAnsi="Palatino Linotype" w:cs="Palatino Linotype"/>
          <w:b/>
          <w:bCs/>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bCs/>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negativa a la información </w:t>
      </w:r>
      <w:r>
        <w:rPr>
          <w:rFonts w:ascii="Palatino Linotype" w:eastAsia="Palatino Linotype" w:hAnsi="Palatino Linotype" w:cs="Palatino Linotype"/>
        </w:rPr>
        <w:t>solicita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bCs/>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abocara en determinar si el </w:t>
      </w:r>
      <w:r>
        <w:rPr>
          <w:rFonts w:ascii="Palatino Linotype" w:eastAsia="Palatino Linotype" w:hAnsi="Palatino Linotype" w:cs="Palatino Linotype"/>
          <w:b/>
          <w:bCs/>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señalada. </w:t>
      </w:r>
    </w:p>
    <w:p w:rsidR="00F50344" w:rsidRDefault="00F50344">
      <w:pPr>
        <w:spacing w:line="360" w:lineRule="auto"/>
        <w:rPr>
          <w:rFonts w:ascii="Palatino Linotype" w:eastAsia="Palatino Linotype" w:hAnsi="Palatino Linotype" w:cs="Palatino Linotype"/>
        </w:rPr>
      </w:pPr>
    </w:p>
    <w:p w:rsidR="00F50344" w:rsidRDefault="007855F2">
      <w:pPr>
        <w:pStyle w:val="Ttulo2"/>
        <w:spacing w:before="0" w:line="360" w:lineRule="auto"/>
        <w:rPr>
          <w:rFonts w:ascii="Palatino Linotype" w:eastAsia="Palatino Linotype" w:hAnsi="Palatino Linotype" w:cs="Palatino Linotype"/>
          <w:b/>
          <w:bCs/>
          <w:color w:val="000000"/>
          <w:sz w:val="24"/>
          <w:szCs w:val="24"/>
        </w:rPr>
      </w:pPr>
      <w:bookmarkStart w:id="8" w:name="_heading=h.1jeng91xmwqg" w:colFirst="0" w:colLast="0"/>
      <w:bookmarkEnd w:id="8"/>
      <w:r>
        <w:rPr>
          <w:rFonts w:ascii="Palatino Linotype" w:eastAsia="Palatino Linotype" w:hAnsi="Palatino Linotype" w:cs="Palatino Linotype"/>
          <w:b/>
          <w:bCs/>
          <w:color w:val="000000"/>
          <w:sz w:val="24"/>
          <w:szCs w:val="24"/>
        </w:rPr>
        <w:lastRenderedPageBreak/>
        <w:t>CUARTO. Del estudio y resolución del asunto.</w:t>
      </w:r>
    </w:p>
    <w:p w:rsidR="00F50344" w:rsidRDefault="007855F2">
      <w:pPr>
        <w:numPr>
          <w:ilvl w:val="0"/>
          <w:numId w:val="2"/>
        </w:numPr>
        <w:pBdr>
          <w:top w:val="nil"/>
          <w:left w:val="nil"/>
          <w:bottom w:val="nil"/>
          <w:right w:val="nil"/>
          <w:between w:val="nil"/>
        </w:pBdr>
        <w:spacing w:line="360" w:lineRule="auto"/>
        <w:ind w:right="992"/>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Marco normativo aplicable en materia de transparencia y acceso a la información pública.</w:t>
      </w: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Acotada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del asunto de mérito, es dable puntualizar inicialmente en términos generales, que el </w:t>
      </w:r>
      <w:r>
        <w:rPr>
          <w:rFonts w:ascii="Palatino Linotype" w:eastAsia="Palatino Linotype" w:hAnsi="Palatino Linotype" w:cs="Palatino Linotype"/>
          <w:color w:val="000000"/>
        </w:rPr>
        <w:t>Derecho</w:t>
      </w:r>
      <w:r>
        <w:rPr>
          <w:rFonts w:ascii="Palatino Linotype" w:eastAsia="Palatino Linotype" w:hAnsi="Palatino Linotype" w:cs="Palatino Linotype"/>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F50344" w:rsidRDefault="00F50344">
      <w:pPr>
        <w:spacing w:line="360" w:lineRule="auto"/>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50344" w:rsidRDefault="00F50344">
      <w:pPr>
        <w:spacing w:line="360" w:lineRule="auto"/>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w:t>
      </w:r>
      <w:r>
        <w:rPr>
          <w:rFonts w:ascii="Palatino Linotype" w:eastAsia="Palatino Linotype" w:hAnsi="Palatino Linotype" w:cs="Palatino Linotype"/>
        </w:rPr>
        <w:lastRenderedPageBreak/>
        <w:t>el artículo 18 establece que los Sujetos Obligados deberán documentar todo acto que derive del ejercicio de sus facultades, competencias o funciones desde su origen la eventual publicidad y reutilización de la información que generen.</w:t>
      </w:r>
    </w:p>
    <w:p w:rsidR="00F50344" w:rsidRDefault="00F50344">
      <w:pPr>
        <w:spacing w:line="360" w:lineRule="auto"/>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50344" w:rsidRDefault="00F50344">
      <w:pPr>
        <w:spacing w:line="360" w:lineRule="auto"/>
        <w:rPr>
          <w:rFonts w:ascii="Palatino Linotype" w:eastAsia="Palatino Linotype" w:hAnsi="Palatino Linotype" w:cs="Palatino Linotype"/>
        </w:rPr>
      </w:pPr>
    </w:p>
    <w:p w:rsidR="00F50344" w:rsidRDefault="007855F2" w:rsidP="00D35D90">
      <w:pPr>
        <w:numPr>
          <w:ilvl w:val="0"/>
          <w:numId w:val="2"/>
        </w:numPr>
        <w:pBdr>
          <w:top w:val="nil"/>
          <w:left w:val="nil"/>
          <w:bottom w:val="nil"/>
          <w:right w:val="nil"/>
          <w:between w:val="nil"/>
        </w:pBdr>
        <w:spacing w:line="360" w:lineRule="auto"/>
        <w:ind w:left="0" w:right="75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Estudio de fondo</w:t>
      </w:r>
    </w:p>
    <w:p w:rsidR="00F50344" w:rsidRDefault="007855F2">
      <w:pPr>
        <w:numPr>
          <w:ilvl w:val="0"/>
          <w:numId w:val="1"/>
        </w:numPr>
        <w:spacing w:line="360" w:lineRule="auto"/>
        <w:ind w:left="0" w:firstLine="0"/>
        <w:jc w:val="both"/>
        <w:rPr>
          <w:rFonts w:ascii="Palatino Linotype" w:eastAsia="Palatino Linotype" w:hAnsi="Palatino Linotype" w:cs="Palatino Linotype"/>
          <w:i/>
          <w:iCs/>
        </w:rPr>
      </w:pPr>
      <w:r>
        <w:rPr>
          <w:rFonts w:ascii="Palatino Linotype" w:eastAsia="Palatino Linotype" w:hAnsi="Palatino Linotype" w:cs="Palatino Linotype"/>
        </w:rPr>
        <w:t xml:space="preserve">Resulta necesario, previo al estudio de fondo, referir que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asume que genera, posee y/o administra la información solicitada, por lo que se considera innecesario realizar el estudio respecto la fuente obligacional.</w:t>
      </w:r>
    </w:p>
    <w:p w:rsidR="00F50344" w:rsidRDefault="00F50344">
      <w:pPr>
        <w:spacing w:line="360" w:lineRule="auto"/>
        <w:jc w:val="both"/>
        <w:rPr>
          <w:rFonts w:ascii="Palatino Linotype" w:eastAsia="Palatino Linotype" w:hAnsi="Palatino Linotype" w:cs="Palatino Linotype"/>
          <w:i/>
          <w:iCs/>
        </w:rPr>
      </w:pPr>
    </w:p>
    <w:p w:rsidR="00F50344" w:rsidRDefault="007855F2">
      <w:pPr>
        <w:numPr>
          <w:ilvl w:val="0"/>
          <w:numId w:val="1"/>
        </w:numPr>
        <w:spacing w:line="360" w:lineRule="auto"/>
        <w:ind w:left="0" w:firstLine="0"/>
        <w:jc w:val="both"/>
        <w:rPr>
          <w:rFonts w:ascii="Palatino Linotype" w:eastAsia="Palatino Linotype" w:hAnsi="Palatino Linotype" w:cs="Palatino Linotype"/>
          <w:i/>
          <w:iCs/>
        </w:rPr>
      </w:pPr>
      <w:r>
        <w:rPr>
          <w:rFonts w:ascii="Palatino Linotype" w:eastAsia="Palatino Linotype" w:hAnsi="Palatino Linotype" w:cs="Palatino Linotype"/>
        </w:rPr>
        <w:t xml:space="preserve">Dicho lo anterior, este Órgano Resolutor, solicitó a la Dirección General de Informática, se informara la cantidad de solicitudes por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durante la temporalidad solicitada, informando lo siguiente:</w:t>
      </w:r>
    </w:p>
    <w:p w:rsidR="00F50344" w:rsidRDefault="007855F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MAYO-JUNIO -2024-&gt; 45</w:t>
      </w:r>
    </w:p>
    <w:p w:rsidR="00F50344" w:rsidRDefault="007855F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MAYO- JUNIO-2025  -&gt; 254</w:t>
      </w:r>
    </w:p>
    <w:p w:rsidR="00F50344" w:rsidRDefault="00F50344">
      <w:pPr>
        <w:pBdr>
          <w:top w:val="nil"/>
          <w:left w:val="nil"/>
          <w:bottom w:val="nil"/>
          <w:right w:val="nil"/>
          <w:between w:val="nil"/>
        </w:pBdr>
        <w:spacing w:line="360" w:lineRule="auto"/>
        <w:ind w:left="1440"/>
        <w:jc w:val="both"/>
        <w:rPr>
          <w:rFonts w:ascii="Palatino Linotype" w:eastAsia="Palatino Linotype" w:hAnsi="Palatino Linotype" w:cs="Palatino Linotype"/>
          <w:i/>
          <w:iCs/>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i/>
          <w:iCs/>
        </w:rPr>
      </w:pPr>
      <w:r>
        <w:rPr>
          <w:rFonts w:ascii="Palatino Linotype" w:eastAsia="Palatino Linotype" w:hAnsi="Palatino Linotype" w:cs="Palatino Linotype"/>
        </w:rPr>
        <w:t xml:space="preserve">Es así que tomando en consideración lo remitido por dicha Dirección, se advierte que la información remitida por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se encuentra incompleta por lo que </w:t>
      </w:r>
      <w:r>
        <w:rPr>
          <w:rFonts w:ascii="Palatino Linotype" w:eastAsia="Palatino Linotype" w:hAnsi="Palatino Linotype" w:cs="Palatino Linotype"/>
        </w:rPr>
        <w:lastRenderedPageBreak/>
        <w:t>hace a los meses de mayo y junio del años dos mil veinticinco, ya que, se remitieron 251 acuses, cuando se debieron remitir 254.</w:t>
      </w:r>
    </w:p>
    <w:p w:rsidR="00F50344" w:rsidRDefault="00F50344">
      <w:pPr>
        <w:spacing w:line="360" w:lineRule="auto"/>
        <w:jc w:val="both"/>
        <w:rPr>
          <w:rFonts w:ascii="Palatino Linotype" w:eastAsia="Palatino Linotype" w:hAnsi="Palatino Linotype" w:cs="Palatino Linotype"/>
          <w:i/>
          <w:iCs/>
        </w:rPr>
      </w:pPr>
    </w:p>
    <w:p w:rsidR="00F50344" w:rsidRDefault="007855F2">
      <w:pPr>
        <w:numPr>
          <w:ilvl w:val="0"/>
          <w:numId w:val="1"/>
        </w:numPr>
        <w:spacing w:line="360" w:lineRule="auto"/>
        <w:ind w:left="0" w:firstLine="0"/>
        <w:jc w:val="both"/>
        <w:rPr>
          <w:rFonts w:ascii="Palatino Linotype" w:eastAsia="Palatino Linotype" w:hAnsi="Palatino Linotype" w:cs="Palatino Linotype"/>
          <w:i/>
          <w:iCs/>
        </w:rPr>
      </w:pPr>
      <w:r>
        <w:rPr>
          <w:rFonts w:ascii="Palatino Linotype" w:eastAsia="Palatino Linotype" w:hAnsi="Palatino Linotype" w:cs="Palatino Linotype"/>
        </w:rPr>
        <w:t>Por lo que hace a la información de los meses de mayo y junio de dos mil veinticuatro, se observa que se remitieron de manera completa; asimismo, resulta necesario referir, que dentro de las solicitudes remitidas, no se advierte que se hayan dejado a la vista información susceptible de ser clasificada.</w:t>
      </w:r>
    </w:p>
    <w:p w:rsidR="00F50344" w:rsidRDefault="00F50344">
      <w:pPr>
        <w:spacing w:line="360" w:lineRule="auto"/>
        <w:jc w:val="both"/>
        <w:rPr>
          <w:rFonts w:ascii="Palatino Linotype" w:eastAsia="Palatino Linotype" w:hAnsi="Palatino Linotype" w:cs="Palatino Linotype"/>
          <w:i/>
          <w:iCs/>
        </w:rPr>
      </w:pPr>
    </w:p>
    <w:p w:rsidR="00F50344" w:rsidRDefault="007855F2">
      <w:pPr>
        <w:numPr>
          <w:ilvl w:val="0"/>
          <w:numId w:val="1"/>
        </w:numPr>
        <w:spacing w:line="360" w:lineRule="auto"/>
        <w:ind w:left="0" w:firstLine="0"/>
        <w:jc w:val="both"/>
        <w:rPr>
          <w:rFonts w:ascii="Palatino Linotype" w:eastAsia="Palatino Linotype" w:hAnsi="Palatino Linotype" w:cs="Palatino Linotype"/>
          <w:i/>
          <w:iCs/>
        </w:rPr>
      </w:pPr>
      <w:r>
        <w:rPr>
          <w:rFonts w:ascii="Palatino Linotype" w:eastAsia="Palatino Linotype" w:hAnsi="Palatino Linotype" w:cs="Palatino Linotype"/>
        </w:rPr>
        <w:t>Por lo que respecta al Acta de la Décima Tercera Sesión Extraordinaria del Comité de Transparencia de Zinacantepec 2025-2027. CT/ZIN/EXT/0013/2025, en donde se sometió la solicitud de información que nos ocupa, a la literalidad siguiente:</w:t>
      </w:r>
    </w:p>
    <w:p w:rsidR="00F50344" w:rsidRDefault="007855F2">
      <w:pPr>
        <w:spacing w:line="360" w:lineRule="auto"/>
        <w:ind w:left="851" w:right="992"/>
        <w:jc w:val="both"/>
        <w:rPr>
          <w:rFonts w:ascii="Palatino Linotype" w:eastAsia="Palatino Linotype" w:hAnsi="Palatino Linotype" w:cs="Palatino Linotype"/>
          <w:i/>
          <w:iCs/>
        </w:rPr>
      </w:pPr>
      <w:r>
        <w:rPr>
          <w:rFonts w:ascii="Palatino Linotype" w:eastAsia="Palatino Linotype" w:hAnsi="Palatino Linotype" w:cs="Palatino Linotype"/>
          <w:i/>
          <w:iCs/>
        </w:rPr>
        <w:t>18. Propuesta, análisis, discusión y en su caso aprobación del proyecto para clasificar como información confidencial con carácter de permanente, algunos datos contenidos en los documentos para dar respuesta a la solicitud de información con número 00522/ZINACANT/IP/2025, presentado por la Unidad de Transparencia.</w:t>
      </w:r>
    </w:p>
    <w:p w:rsidR="00F50344" w:rsidRDefault="00F50344">
      <w:pPr>
        <w:spacing w:line="360" w:lineRule="auto"/>
        <w:jc w:val="both"/>
        <w:rPr>
          <w:rFonts w:ascii="Palatino Linotype" w:eastAsia="Palatino Linotype" w:hAnsi="Palatino Linotype" w:cs="Palatino Linotype"/>
          <w:i/>
          <w:iCs/>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Acta por el que se acordó la clasificación como información confidencial por unanimidad de votos, el teléfono, correos electrónicos, nombre y domicilios, misma que una vez analizada cumple con los requisitos suficientes y pertinentes para tenerse por válida, pues tal como se hizo valer, la información testada es de naturaleza clasificad, atendiendo a lo establ</w:t>
      </w:r>
      <w:r w:rsidR="00D35D90">
        <w:rPr>
          <w:rFonts w:ascii="Palatino Linotype" w:eastAsia="Palatino Linotype" w:hAnsi="Palatino Linotype" w:cs="Palatino Linotype"/>
        </w:rPr>
        <w:t xml:space="preserve">ecido por el </w:t>
      </w:r>
      <w:r>
        <w:rPr>
          <w:rFonts w:ascii="Palatino Linotype" w:eastAsia="Palatino Linotype" w:hAnsi="Palatino Linotype" w:cs="Palatino Linotype"/>
        </w:rPr>
        <w:t xml:space="preserve">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VI y VIII de la ley local,  y 141, de </w:t>
      </w:r>
      <w:r>
        <w:rPr>
          <w:rFonts w:ascii="Palatino Linotype" w:eastAsia="Palatino Linotype" w:hAnsi="Palatino Linotype" w:cs="Palatino Linotype"/>
        </w:rPr>
        <w:lastRenderedPageBreak/>
        <w:t>la Ley de Transparencia y Acceso a la Información Pública del Estado de México y Municipios, relacionadas con las fracciones X y XI de la Ley General y Numerales Vigésimo Noveno y Trigésimo de los lineamientos</w:t>
      </w:r>
    </w:p>
    <w:p w:rsidR="00F50344" w:rsidRDefault="00F50344">
      <w:pPr>
        <w:spacing w:line="360" w:lineRule="auto"/>
        <w:jc w:val="both"/>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de lo anterior, al haberse colmado de manera parcial la información solicitada, resulta dable ordenar al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previa búsqueda exhaustiva y razonable y de ser procedente en versión pública, haga entrega de las solicitudes de información faltantes de los meses de mayo y junio del año dos mil veinticinco.</w:t>
      </w:r>
    </w:p>
    <w:p w:rsidR="00F50344" w:rsidRDefault="00F50344">
      <w:pPr>
        <w:pBdr>
          <w:top w:val="nil"/>
          <w:left w:val="nil"/>
          <w:bottom w:val="nil"/>
          <w:right w:val="nil"/>
          <w:between w:val="nil"/>
        </w:pBdr>
        <w:spacing w:line="360" w:lineRule="auto"/>
        <w:ind w:left="502" w:right="-787"/>
        <w:jc w:val="both"/>
        <w:rPr>
          <w:rFonts w:ascii="Palatino Linotype" w:eastAsia="Palatino Linotype" w:hAnsi="Palatino Linotype" w:cs="Palatino Linotype"/>
          <w:i/>
          <w:iCs/>
          <w:color w:val="000000"/>
        </w:rPr>
      </w:pPr>
    </w:p>
    <w:p w:rsidR="00F50344" w:rsidRDefault="007855F2">
      <w:pPr>
        <w:numPr>
          <w:ilvl w:val="0"/>
          <w:numId w:val="1"/>
        </w:numPr>
        <w:spacing w:line="360" w:lineRule="auto"/>
        <w:ind w:left="0" w:firstLine="0"/>
        <w:jc w:val="both"/>
      </w:pPr>
      <w:r>
        <w:rPr>
          <w:rFonts w:ascii="Palatino Linotype" w:eastAsia="Palatino Linotype" w:hAnsi="Palatino Linotype" w:cs="Palatino Linotype"/>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 efectuar cálculos o practicar investigaciones; tal y como se señala a continuación: </w:t>
      </w:r>
    </w:p>
    <w:p w:rsidR="00F50344" w:rsidRDefault="007855F2">
      <w:pPr>
        <w:pBdr>
          <w:top w:val="nil"/>
          <w:left w:val="nil"/>
          <w:bottom w:val="nil"/>
          <w:right w:val="nil"/>
          <w:between w:val="nil"/>
        </w:pBdr>
        <w:spacing w:line="360" w:lineRule="auto"/>
        <w:ind w:left="505" w:right="70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12.</w:t>
      </w:r>
      <w:r>
        <w:rPr>
          <w:rFonts w:ascii="Palatino Linotype" w:eastAsia="Palatino Linotype" w:hAnsi="Palatino Linotype" w:cs="Palatino Linotype"/>
          <w:i/>
          <w:iCs/>
          <w:color w:val="000000"/>
        </w:rPr>
        <w:t xml:space="preserve"> Quienes generen, recopilen, administren, manejen, procesen, archiven o conserven información pública serán responsables de la misma en los términos de las disposiciones jurídicas aplicables. </w:t>
      </w:r>
    </w:p>
    <w:p w:rsidR="00F50344" w:rsidRDefault="00F50344">
      <w:pPr>
        <w:pBdr>
          <w:top w:val="nil"/>
          <w:left w:val="nil"/>
          <w:bottom w:val="nil"/>
          <w:right w:val="nil"/>
          <w:between w:val="nil"/>
        </w:pBdr>
        <w:spacing w:line="360" w:lineRule="auto"/>
        <w:ind w:right="1559"/>
        <w:jc w:val="both"/>
        <w:rPr>
          <w:rFonts w:ascii="Palatino Linotype" w:eastAsia="Palatino Linotype" w:hAnsi="Palatino Linotype" w:cs="Palatino Linotype"/>
          <w:b/>
          <w:bCs/>
          <w:i/>
          <w:iCs/>
          <w:color w:val="000000"/>
          <w:u w:val="single"/>
        </w:rPr>
      </w:pPr>
    </w:p>
    <w:p w:rsidR="00F50344" w:rsidRDefault="007855F2">
      <w:pPr>
        <w:pBdr>
          <w:top w:val="nil"/>
          <w:left w:val="nil"/>
          <w:bottom w:val="nil"/>
          <w:right w:val="nil"/>
          <w:between w:val="nil"/>
        </w:pBdr>
        <w:spacing w:line="360" w:lineRule="auto"/>
        <w:ind w:left="505" w:right="709"/>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iCs/>
          <w:color w:val="000000"/>
        </w:rPr>
        <w:t>”</w:t>
      </w:r>
    </w:p>
    <w:p w:rsidR="00F50344" w:rsidRDefault="007855F2">
      <w:pPr>
        <w:pBdr>
          <w:top w:val="nil"/>
          <w:left w:val="nil"/>
          <w:bottom w:val="nil"/>
          <w:right w:val="nil"/>
          <w:between w:val="nil"/>
        </w:pBdr>
        <w:spacing w:line="360" w:lineRule="auto"/>
        <w:ind w:left="505"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Énfasis añadido</w:t>
      </w:r>
    </w:p>
    <w:p w:rsidR="00F50344" w:rsidRDefault="007855F2">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lastRenderedPageBreak/>
        <w:t xml:space="preserve">En síntesis, el derecho de acceso a la información pública se satisface en aquellos casos en </w:t>
      </w:r>
      <w:r>
        <w:rPr>
          <w:rFonts w:ascii="Palatino Linotype" w:eastAsia="Palatino Linotype" w:hAnsi="Palatino Linotype" w:cs="Palatino Linotype"/>
        </w:rPr>
        <w:t>que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se</w:t>
      </w:r>
      <w:r>
        <w:rPr>
          <w:rFonts w:ascii="Palatino Linotype" w:eastAsia="Palatino Linotype" w:hAnsi="Palatino Linotype" w:cs="Palatino Linotype"/>
          <w:color w:val="000000"/>
        </w:rPr>
        <w:t xml:space="preserve"> entregue el soporte documental en que conste la información pública. Asimismo, el artículo 24, de la Ley de la materia, dispone que los Sujetos Obligados 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50344" w:rsidRDefault="00F50344">
      <w:pPr>
        <w:spacing w:line="360" w:lineRule="auto"/>
        <w:jc w:val="both"/>
        <w:rPr>
          <w:color w:val="000000"/>
        </w:rPr>
      </w:pPr>
    </w:p>
    <w:p w:rsidR="00F50344" w:rsidRDefault="007855F2">
      <w:pPr>
        <w:numPr>
          <w:ilvl w:val="0"/>
          <w:numId w:val="1"/>
        </w:numPr>
        <w:spacing w:line="360" w:lineRule="auto"/>
        <w:ind w:left="0" w:firstLine="0"/>
        <w:jc w:val="both"/>
        <w:rPr>
          <w:color w:val="000000"/>
        </w:rPr>
      </w:pPr>
      <w:r>
        <w:rPr>
          <w:rFonts w:ascii="Palatino Linotype" w:eastAsia="Palatino Linotype" w:hAnsi="Palatino Linotype" w:cs="Palatino Linotype"/>
          <w:color w:val="000000"/>
        </w:rPr>
        <w:t xml:space="preserve">Atento a lo anterior, es de subrayar que 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conformidad con el artículo 3, fracción XI, de la Ley de la materia, el cual dispone lo siguiente: </w:t>
      </w:r>
    </w:p>
    <w:p w:rsidR="00F50344" w:rsidRDefault="007855F2">
      <w:pPr>
        <w:spacing w:line="360" w:lineRule="auto"/>
        <w:ind w:left="567"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 xml:space="preserve">Artículo 3. </w:t>
      </w:r>
      <w:r>
        <w:rPr>
          <w:rFonts w:ascii="Palatino Linotype" w:eastAsia="Palatino Linotype" w:hAnsi="Palatino Linotype" w:cs="Palatino Linotype"/>
          <w:i/>
          <w:iCs/>
          <w:color w:val="000000"/>
        </w:rPr>
        <w:t>Para los efectos de la presente Ley se entenderá por:</w:t>
      </w:r>
    </w:p>
    <w:p w:rsidR="00F50344" w:rsidRDefault="007855F2">
      <w:pPr>
        <w:spacing w:line="360" w:lineRule="auto"/>
        <w:ind w:left="567"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F50344" w:rsidRDefault="007855F2">
      <w:pPr>
        <w:spacing w:line="360" w:lineRule="auto"/>
        <w:ind w:left="567"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XI. Documento:</w:t>
      </w:r>
      <w:r>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w:t>
      </w:r>
      <w:r>
        <w:rPr>
          <w:rFonts w:ascii="Palatino Linotype" w:eastAsia="Palatino Linotype" w:hAnsi="Palatino Linotype" w:cs="Palatino Linotype"/>
          <w:i/>
          <w:iCs/>
          <w:color w:val="000000"/>
        </w:rPr>
        <w:lastRenderedPageBreak/>
        <w:t>estar en cualquier medio, sea escrito, impreso, sonoro, visual, electrónico, informático u holográfico;</w:t>
      </w:r>
    </w:p>
    <w:p w:rsidR="00F50344" w:rsidRDefault="007855F2">
      <w:pPr>
        <w:spacing w:line="360" w:lineRule="auto"/>
        <w:ind w:left="567"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F50344" w:rsidRDefault="00F50344">
      <w:pPr>
        <w:spacing w:line="360" w:lineRule="auto"/>
        <w:ind w:right="-787"/>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pPr>
      <w:r>
        <w:rPr>
          <w:rFonts w:ascii="Palatino Linotype" w:eastAsia="Palatino Linotype" w:hAnsi="Palatino Linotype" w:cs="Palatino Linotype"/>
          <w:color w:val="000000"/>
        </w:rPr>
        <w:t>Siendo</w:t>
      </w:r>
      <w:r>
        <w:rPr>
          <w:rFonts w:ascii="Palatino Linotype" w:eastAsia="Palatino Linotype" w:hAnsi="Palatino Linotype" w:cs="Palatino Linotype"/>
        </w:rPr>
        <w:t xml:space="preserve"> aplicable el Criterio de interpretación en el orden administrativo número 0002-11, emitido por Acuerdo del Pleno del Instituto de Transparencia y Acceso a la </w:t>
      </w:r>
      <w:r>
        <w:rPr>
          <w:rFonts w:ascii="Palatino Linotype" w:eastAsia="Palatino Linotype" w:hAnsi="Palatino Linotype" w:cs="Palatino Linotype"/>
          <w:color w:val="000000"/>
        </w:rPr>
        <w:t>Información</w:t>
      </w:r>
      <w:r>
        <w:rPr>
          <w:rFonts w:ascii="Palatino Linotype" w:eastAsia="Palatino Linotype" w:hAnsi="Palatino Linotype" w:cs="Palatino Linotype"/>
        </w:rPr>
        <w:t xml:space="preserve"> Pública del Estado de México y Municipios; publicado en el Periódico Oficial del Gobierno del Estado Libre y Soberano de México “Gaceta del Gobierno”, el diecinueve de octubre de dos mil once, cuyo rubro y texto dispone:</w:t>
      </w:r>
    </w:p>
    <w:p w:rsidR="00F50344" w:rsidRDefault="007855F2">
      <w:pPr>
        <w:spacing w:line="360" w:lineRule="auto"/>
        <w:ind w:left="567" w:right="-787"/>
        <w:jc w:val="both"/>
        <w:rPr>
          <w:rFonts w:ascii="Palatino Linotype" w:eastAsia="Palatino Linotype" w:hAnsi="Palatino Linotype" w:cs="Palatino Linotype"/>
          <w:b/>
          <w:bCs/>
          <w:i/>
          <w:iCs/>
        </w:rPr>
      </w:pPr>
      <w:r>
        <w:rPr>
          <w:rFonts w:ascii="Palatino Linotype" w:eastAsia="Palatino Linotype" w:hAnsi="Palatino Linotype" w:cs="Palatino Linotype"/>
          <w:b/>
          <w:bCs/>
        </w:rPr>
        <w:t>“</w:t>
      </w:r>
      <w:r>
        <w:rPr>
          <w:rFonts w:ascii="Palatino Linotype" w:eastAsia="Palatino Linotype" w:hAnsi="Palatino Linotype" w:cs="Palatino Linotype"/>
          <w:b/>
          <w:bCs/>
          <w:i/>
          <w:iCs/>
        </w:rPr>
        <w:t>CRITERIO 0002-11</w:t>
      </w:r>
    </w:p>
    <w:p w:rsidR="00F50344" w:rsidRDefault="007855F2">
      <w:pPr>
        <w:spacing w:line="360" w:lineRule="auto"/>
        <w:ind w:left="567"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50344" w:rsidRDefault="007855F2">
      <w:pPr>
        <w:spacing w:line="360" w:lineRule="auto"/>
        <w:ind w:left="567" w:right="851"/>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F50344" w:rsidRDefault="007855F2">
      <w:pPr>
        <w:spacing w:line="360" w:lineRule="auto"/>
        <w:ind w:left="567" w:right="85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1) </w:t>
      </w:r>
      <w:r>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F50344" w:rsidRDefault="007855F2">
      <w:pPr>
        <w:spacing w:line="360" w:lineRule="auto"/>
        <w:ind w:left="567" w:right="851"/>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2) Que se trate de información registrada en cualquier soporte documental, que en ejercicio de las atribuciones conferidas, sea administrada por los Sujetos Obligados, y</w:t>
      </w:r>
    </w:p>
    <w:p w:rsidR="00F50344" w:rsidRDefault="007855F2">
      <w:pPr>
        <w:spacing w:line="360" w:lineRule="auto"/>
        <w:ind w:left="567" w:right="851"/>
        <w:jc w:val="both"/>
        <w:rPr>
          <w:rFonts w:ascii="Palatino Linotype" w:eastAsia="Palatino Linotype" w:hAnsi="Palatino Linotype" w:cs="Palatino Linotype"/>
          <w:i/>
          <w:iCs/>
        </w:rPr>
      </w:pPr>
      <w:r>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F50344" w:rsidRDefault="007855F2">
      <w:pPr>
        <w:tabs>
          <w:tab w:val="left" w:pos="851"/>
        </w:tabs>
        <w:spacing w:line="360" w:lineRule="auto"/>
        <w:ind w:left="567" w:right="851"/>
        <w:rPr>
          <w:rFonts w:ascii="Palatino Linotype" w:eastAsia="Palatino Linotype" w:hAnsi="Palatino Linotype" w:cs="Palatino Linotype"/>
        </w:rPr>
      </w:pPr>
      <w:r>
        <w:rPr>
          <w:rFonts w:ascii="Palatino Linotype" w:eastAsia="Palatino Linotype" w:hAnsi="Palatino Linotype" w:cs="Palatino Linotype"/>
        </w:rPr>
        <w:t>(Énfasis Añadido)</w:t>
      </w:r>
    </w:p>
    <w:p w:rsidR="00F50344" w:rsidRDefault="00F50344">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pPr>
      <w:r>
        <w:rPr>
          <w:rFonts w:ascii="Palatino Linotype" w:eastAsia="Palatino Linotype" w:hAnsi="Palatino Linotype" w:cs="Palatino Linotype"/>
        </w:rPr>
        <w:t>Por su parte los artículos 160 y 166, de la Ley local en la materia, que se reproduce de la siguiente forma:</w:t>
      </w:r>
    </w:p>
    <w:p w:rsidR="00F50344" w:rsidRDefault="007855F2">
      <w:pPr>
        <w:spacing w:line="360" w:lineRule="auto"/>
        <w:ind w:left="567" w:right="85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160.</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rPr>
        <w:t>.</w:t>
      </w:r>
    </w:p>
    <w:p w:rsidR="00F50344" w:rsidRDefault="00F50344">
      <w:pPr>
        <w:spacing w:line="360" w:lineRule="auto"/>
        <w:ind w:left="567" w:right="851"/>
        <w:jc w:val="both"/>
        <w:rPr>
          <w:rFonts w:ascii="Palatino Linotype" w:eastAsia="Palatino Linotype" w:hAnsi="Palatino Linotype" w:cs="Palatino Linotype"/>
          <w:i/>
          <w:iCs/>
        </w:rPr>
      </w:pPr>
    </w:p>
    <w:p w:rsidR="00F50344" w:rsidRDefault="007855F2">
      <w:pPr>
        <w:spacing w:line="360" w:lineRule="auto"/>
        <w:ind w:left="567" w:right="851"/>
        <w:jc w:val="both"/>
        <w:rPr>
          <w:rFonts w:ascii="Palatino Linotype" w:eastAsia="Palatino Linotype" w:hAnsi="Palatino Linotype" w:cs="Palatino Linotype"/>
          <w:i/>
          <w:iCs/>
        </w:rPr>
      </w:pPr>
      <w:r>
        <w:rPr>
          <w:rFonts w:ascii="Palatino Linotype" w:eastAsia="Palatino Linotype" w:hAnsi="Palatino Linotype" w:cs="Palatino Linotype"/>
          <w:i/>
          <w:iCs/>
        </w:rPr>
        <w:t>En caso que la información solicitada consista en bases de datos se deberá privilegiar la entrega de la misma en formatos abiertos.</w:t>
      </w:r>
    </w:p>
    <w:p w:rsidR="00F50344" w:rsidRDefault="007855F2">
      <w:pPr>
        <w:spacing w:line="360" w:lineRule="auto"/>
        <w:ind w:left="567" w:right="851"/>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rPr>
        <w:t>Artículo 166.</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F50344" w:rsidRDefault="007855F2">
      <w:pPr>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F50344" w:rsidRDefault="00F50344">
      <w:pPr>
        <w:spacing w:line="360" w:lineRule="auto"/>
        <w:ind w:left="567" w:right="851"/>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color w:val="000000"/>
        </w:rPr>
      </w:pPr>
      <w:r>
        <w:rPr>
          <w:rFonts w:ascii="Palatino Linotype" w:eastAsia="Palatino Linotype" w:hAnsi="Palatino Linotype" w:cs="Palatino Linotype"/>
        </w:rPr>
        <w:t xml:space="preserve">Así que la obligación de los Sujetos Obligados de dar acceso a la información pública que generen, administren o posean, se tendrá por cumplida cuando el solicitante tenga a su </w:t>
      </w:r>
      <w:r>
        <w:rPr>
          <w:rFonts w:ascii="Palatino Linotype" w:eastAsia="Palatino Linotype" w:hAnsi="Palatino Linotype" w:cs="Palatino Linotype"/>
        </w:rPr>
        <w:lastRenderedPageBreak/>
        <w:t>disposición la información requerida, o cuando realice la consulta de la misma en el lugar que ésta se localice, siempre y cuando así resultare procedente.</w:t>
      </w:r>
    </w:p>
    <w:p w:rsidR="00F50344" w:rsidRDefault="00F50344">
      <w:pPr>
        <w:spacing w:line="360" w:lineRule="auto"/>
        <w:jc w:val="both"/>
        <w:rPr>
          <w:rFonts w:ascii="Palatino Linotype" w:eastAsia="Palatino Linotype" w:hAnsi="Palatino Linotype" w:cs="Palatino Linotype"/>
        </w:rPr>
      </w:pPr>
      <w:bookmarkStart w:id="9" w:name="_heading=h.gk7evsz6cy4h" w:colFirst="0" w:colLast="0"/>
      <w:bookmarkEnd w:id="9"/>
    </w:p>
    <w:p w:rsidR="00F50344" w:rsidRDefault="007855F2">
      <w:pPr>
        <w:numPr>
          <w:ilvl w:val="0"/>
          <w:numId w:val="1"/>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la </w:t>
      </w:r>
      <w:r>
        <w:rPr>
          <w:rFonts w:ascii="Palatino Linotype" w:eastAsia="Palatino Linotype" w:hAnsi="Palatino Linotype" w:cs="Palatino Linotype"/>
          <w:b/>
          <w:bCs/>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bCs/>
        </w:rPr>
        <w:t xml:space="preserve"> y Municipios, </w:t>
      </w:r>
      <w:r>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bCs/>
          <w:i/>
          <w:iCs/>
          <w:u w:val="single"/>
        </w:rPr>
        <w:t>el recurso de revisión es la garantía secundaria</w:t>
      </w:r>
      <w:r>
        <w:rPr>
          <w:rFonts w:ascii="Palatino Linotype" w:eastAsia="Palatino Linotype" w:hAnsi="Palatino Linotype" w:cs="Palatino Linotype"/>
          <w:b/>
          <w:bCs/>
          <w:i/>
          <w:iCs/>
        </w:rPr>
        <w:t xml:space="preserve"> mediante la cual se pretende reparar cualquier posible afectación al derecho de acceso a la información pública</w:t>
      </w:r>
      <w:r>
        <w:rPr>
          <w:rFonts w:ascii="Palatino Linotype" w:eastAsia="Palatino Linotype" w:hAnsi="Palatino Linotype" w:cs="Palatino Linotype"/>
          <w:b/>
          <w:bCs/>
        </w:rPr>
        <w:t>, s</w:t>
      </w:r>
      <w:r>
        <w:rPr>
          <w:rFonts w:ascii="Palatino Linotype" w:eastAsia="Palatino Linotype" w:hAnsi="Palatino Linotype" w:cs="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F50344" w:rsidRDefault="00F5034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50344" w:rsidRDefault="007855F2">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“CRITERIO 0002-11</w:t>
      </w: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TEMÁTICA DE LOS ARTÍCULOS 2, FRACCIÓN V, XV, Y XVI, 3, 4,11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w:t>
      </w:r>
      <w:r>
        <w:rPr>
          <w:rFonts w:ascii="Palatino Linotype" w:eastAsia="Palatino Linotype" w:hAnsi="Palatino Linotype" w:cs="Palatino Linotype"/>
          <w:i/>
          <w:iCs/>
        </w:rPr>
        <w:lastRenderedPageBreak/>
        <w:t>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F50344" w:rsidRDefault="007855F2">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rPr>
        <w:t>Que se trate de información registrada en cualquier soporte documental, que en ejercicio de las atribuciones conferidas, se encuentre en posesión de los Sujetos Obligados.”</w:t>
      </w:r>
    </w:p>
    <w:p w:rsidR="00F50344" w:rsidRDefault="00F503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derecho de acceso a la información encuentra su materia elemental en los documentos, y la Ley de Transparencia local nos brinda el siguiente concepto, para darnos un mejor panorama:</w:t>
      </w: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XI. Documento: </w:t>
      </w:r>
      <w:r>
        <w:rPr>
          <w:rFonts w:ascii="Palatino Linotype" w:eastAsia="Palatino Linotype" w:hAnsi="Palatino Linotype" w:cs="Palatino Linotype"/>
          <w:i/>
          <w:iC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50344" w:rsidRDefault="00F503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F50344" w:rsidRDefault="00F503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Resulta necesario referir que, el </w:t>
      </w:r>
      <w:r>
        <w:rPr>
          <w:rFonts w:ascii="Palatino Linotype" w:eastAsia="Palatino Linotype" w:hAnsi="Palatino Linotype" w:cs="Palatino Linotype"/>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Palatino Linotype" w:hAnsi="Palatino Linotype" w:cs="Palatino Linotype"/>
          <w:b/>
          <w:bCs/>
        </w:rPr>
        <w:t>los Sujetos Obligados deberán documentar todo acto que se derive del ejercicio de sus facultades, competencias o funciones,</w:t>
      </w:r>
      <w:r>
        <w:rPr>
          <w:rFonts w:ascii="Palatino Linotype" w:eastAsia="Palatino Linotype" w:hAnsi="Palatino Linotype" w:cs="Palatino Linotype"/>
        </w:rPr>
        <w:t xml:space="preserve"> considerando desde su origen la eventual publicidad y reutilización de la información que generen, posean o administren.</w:t>
      </w:r>
    </w:p>
    <w:p w:rsidR="00F50344" w:rsidRDefault="00F50344">
      <w:pPr>
        <w:spacing w:line="360" w:lineRule="auto"/>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Además</w:t>
      </w:r>
      <w:r>
        <w:rPr>
          <w:rFonts w:ascii="Palatino Linotype" w:eastAsia="Palatino Linotype" w:hAnsi="Palatino Linotype" w:cs="Palatino Linotype"/>
          <w:color w:val="000000"/>
        </w:rPr>
        <w:t>, debemos tomar en cuenta los artículos 4 y 12 (antes transcrito), de la Ley de Transparencia y Acceso a la Información Pública del Estado de México y Municipios, los cuales establecen lo siguiente:</w:t>
      </w: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4. </w:t>
      </w:r>
      <w:r>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F50344" w:rsidRDefault="00F50344">
      <w:pPr>
        <w:spacing w:line="360" w:lineRule="auto"/>
        <w:ind w:left="567" w:right="567"/>
        <w:jc w:val="both"/>
        <w:rPr>
          <w:rFonts w:ascii="Palatino Linotype" w:eastAsia="Palatino Linotype" w:hAnsi="Palatino Linotype" w:cs="Palatino Linotype"/>
          <w:i/>
          <w:iCs/>
        </w:rPr>
      </w:pP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Pr>
          <w:rFonts w:ascii="Palatino Linotype" w:eastAsia="Palatino Linotype" w:hAnsi="Palatino Linotype" w:cs="Palatino Linotype"/>
          <w:i/>
          <w:iCs/>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50344" w:rsidRDefault="00F50344">
      <w:pPr>
        <w:spacing w:line="360" w:lineRule="auto"/>
        <w:ind w:left="567" w:right="567"/>
        <w:jc w:val="both"/>
        <w:rPr>
          <w:rFonts w:ascii="Palatino Linotype" w:eastAsia="Palatino Linotype" w:hAnsi="Palatino Linotype" w:cs="Palatino Linotype"/>
          <w:i/>
          <w:iCs/>
        </w:rPr>
      </w:pPr>
    </w:p>
    <w:p w:rsidR="00F50344" w:rsidRDefault="007855F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F50344" w:rsidRDefault="00F50344">
      <w:pPr>
        <w:spacing w:line="360" w:lineRule="auto"/>
        <w:ind w:right="567"/>
        <w:jc w:val="both"/>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50344" w:rsidRDefault="00F50344">
      <w:pPr>
        <w:spacing w:line="360" w:lineRule="auto"/>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50344" w:rsidRDefault="00F50344">
      <w:pPr>
        <w:spacing w:line="360" w:lineRule="auto"/>
        <w:rPr>
          <w:rFonts w:ascii="Palatino Linotype" w:eastAsia="Palatino Linotype" w:hAnsi="Palatino Linotype" w:cs="Palatino Linotype"/>
        </w:rPr>
      </w:pPr>
    </w:p>
    <w:p w:rsidR="00F50344" w:rsidRDefault="007855F2">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ACCESO A LA INFORMACIÓN. IMPLICACIÓN DEL PRINCIPIO DE MÁXIMA PUBLICIDAD EN EL DERECHO FUNDAMENTAL RELATIVO.</w:t>
      </w:r>
      <w:r>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F50344" w:rsidRDefault="00F50344">
      <w:pPr>
        <w:tabs>
          <w:tab w:val="left" w:pos="851"/>
        </w:tabs>
        <w:spacing w:line="360" w:lineRule="auto"/>
        <w:ind w:right="567"/>
        <w:jc w:val="both"/>
        <w:rPr>
          <w:rFonts w:ascii="Palatino Linotype" w:eastAsia="Palatino Linotype" w:hAnsi="Palatino Linotype" w:cs="Palatino Linotype"/>
        </w:rPr>
      </w:pPr>
    </w:p>
    <w:p w:rsidR="00F50344" w:rsidRDefault="007855F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se ha señalado, los Sujetos Obligados deberán proporcionar toda la información que se encuentre en su posesión bajo los estándares más altos de transparencia y máxima publicidad. </w:t>
      </w:r>
    </w:p>
    <w:p w:rsidR="00F50344" w:rsidRDefault="00F50344">
      <w:pPr>
        <w:spacing w:line="360" w:lineRule="auto"/>
        <w:jc w:val="both"/>
        <w:rPr>
          <w:rFonts w:ascii="Palatino Linotype" w:eastAsia="Palatino Linotype" w:hAnsi="Palatino Linotype" w:cs="Palatino Linotype"/>
        </w:rPr>
      </w:pPr>
    </w:p>
    <w:p w:rsidR="00F50344" w:rsidRDefault="007855F2">
      <w:pPr>
        <w:pStyle w:val="Ttulo1"/>
        <w:rPr>
          <w:rFonts w:ascii="Palatino Linotype" w:eastAsia="Palatino Linotype" w:hAnsi="Palatino Linotype" w:cs="Palatino Linotype"/>
          <w:b/>
          <w:bCs/>
          <w:color w:val="000000"/>
          <w:sz w:val="24"/>
          <w:szCs w:val="24"/>
        </w:rPr>
      </w:pPr>
      <w:bookmarkStart w:id="10" w:name="_heading=h.bpzy1e8b9wd6" w:colFirst="0" w:colLast="0"/>
      <w:bookmarkEnd w:id="10"/>
      <w:r>
        <w:rPr>
          <w:rFonts w:ascii="Palatino Linotype" w:eastAsia="Palatino Linotype" w:hAnsi="Palatino Linotype" w:cs="Palatino Linotype"/>
          <w:b/>
          <w:bCs/>
          <w:color w:val="000000"/>
          <w:sz w:val="24"/>
          <w:szCs w:val="24"/>
        </w:rPr>
        <w:t>QUINTO. De la versión pública.</w:t>
      </w:r>
    </w:p>
    <w:p w:rsidR="00F50344" w:rsidRDefault="007855F2">
      <w:pPr>
        <w:pStyle w:val="Ttulo1"/>
        <w:numPr>
          <w:ilvl w:val="0"/>
          <w:numId w:val="6"/>
        </w:numPr>
        <w:tabs>
          <w:tab w:val="left" w:pos="284"/>
        </w:tabs>
        <w:spacing w:before="0" w:line="360" w:lineRule="auto"/>
        <w:ind w:left="0" w:firstLine="0"/>
        <w:rPr>
          <w:rFonts w:ascii="Palatino Linotype" w:eastAsia="Palatino Linotype" w:hAnsi="Palatino Linotype" w:cs="Palatino Linotype"/>
          <w:b/>
          <w:bCs/>
          <w:color w:val="000000"/>
          <w:sz w:val="24"/>
          <w:szCs w:val="24"/>
        </w:rPr>
      </w:pPr>
      <w:bookmarkStart w:id="11" w:name="_heading=h.c8fzhl6r4ycf" w:colFirst="0" w:colLast="0"/>
      <w:bookmarkEnd w:id="11"/>
      <w:r>
        <w:rPr>
          <w:rFonts w:ascii="Palatino Linotype" w:eastAsia="Palatino Linotype" w:hAnsi="Palatino Linotype" w:cs="Palatino Linotype"/>
          <w:b/>
          <w:bCs/>
          <w:color w:val="000000"/>
          <w:sz w:val="24"/>
          <w:szCs w:val="24"/>
        </w:rPr>
        <w:t xml:space="preserve">Nociones generales. </w:t>
      </w:r>
    </w:p>
    <w:p w:rsidR="00F50344" w:rsidRDefault="007855F2">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F50344" w:rsidRDefault="00F50344">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F50344" w:rsidRDefault="007855F2">
      <w:pPr>
        <w:numPr>
          <w:ilvl w:val="0"/>
          <w:numId w:val="1"/>
        </w:numPr>
        <w:tabs>
          <w:tab w:val="left" w:pos="284"/>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pasa desapercibido para este Órgano Garante que los </w:t>
      </w:r>
      <w:r>
        <w:rPr>
          <w:rFonts w:ascii="Palatino Linotype" w:eastAsia="Palatino Linotype" w:hAnsi="Palatino Linotype" w:cs="Palatino Linotype"/>
          <w:b/>
          <w:bCs/>
          <w:color w:val="000000"/>
        </w:rPr>
        <w:t xml:space="preserve">Sujetos Obligados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50344" w:rsidRDefault="00F50344">
      <w:pPr>
        <w:tabs>
          <w:tab w:val="left" w:pos="284"/>
        </w:tabs>
        <w:spacing w:line="360" w:lineRule="auto"/>
        <w:ind w:right="49"/>
        <w:jc w:val="both"/>
        <w:rPr>
          <w:rFonts w:ascii="Palatino Linotype" w:eastAsia="Palatino Linotype" w:hAnsi="Palatino Linotype" w:cs="Palatino Linotype"/>
          <w:color w:val="000000"/>
        </w:rPr>
      </w:pPr>
    </w:p>
    <w:tbl>
      <w:tblPr>
        <w:tblStyle w:val="a"/>
        <w:tblW w:w="9639"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93"/>
        <w:gridCol w:w="6946"/>
      </w:tblGrid>
      <w:tr w:rsidR="00F50344" w:rsidTr="00D35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946"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50344" w:rsidRDefault="007855F2">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rsidR="00F50344" w:rsidRDefault="007855F2">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F50344" w:rsidRDefault="007855F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F50344" w:rsidTr="00D35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lastRenderedPageBreak/>
              <w:t>b) Supuestos de clasificación.</w:t>
            </w:r>
          </w:p>
        </w:tc>
        <w:tc>
          <w:tcPr>
            <w:tcW w:w="6946"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Pr>
                <w:rFonts w:ascii="Palatino Linotype" w:eastAsia="Palatino Linotype" w:hAnsi="Palatino Linotype" w:cs="Palatino Linotype"/>
                <w:color w:val="000000"/>
              </w:rPr>
              <w:lastRenderedPageBreak/>
              <w:t>ampliar las excepciones o supuestos de clasificación aduciendo analogía o mayoría de razón.</w:t>
            </w:r>
          </w:p>
          <w:p w:rsidR="00F50344" w:rsidRDefault="007855F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50344" w:rsidTr="00D35D90">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lastRenderedPageBreak/>
              <w:t>c) Formalidades para emitir el acuerdo de clasificación.</w:t>
            </w:r>
          </w:p>
        </w:tc>
        <w:tc>
          <w:tcPr>
            <w:tcW w:w="6946"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F50344" w:rsidRDefault="007855F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rsidR="00F50344" w:rsidRDefault="007855F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50344" w:rsidTr="00D35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F50344" w:rsidRDefault="00F50344">
            <w:pPr>
              <w:tabs>
                <w:tab w:val="left" w:pos="284"/>
              </w:tabs>
              <w:spacing w:line="360" w:lineRule="auto"/>
              <w:rPr>
                <w:rFonts w:ascii="Palatino Linotype" w:eastAsia="Palatino Linotype" w:hAnsi="Palatino Linotype" w:cs="Palatino Linotype"/>
              </w:rPr>
            </w:pPr>
          </w:p>
          <w:p w:rsidR="00F50344" w:rsidRDefault="007855F2">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 Requisitos de fondo del acuerdo de clasificación. </w:t>
            </w:r>
          </w:p>
        </w:tc>
        <w:tc>
          <w:tcPr>
            <w:tcW w:w="6946"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bCs/>
                <w:color w:val="000000"/>
              </w:rPr>
              <w:t>clasificación total o parcial</w:t>
            </w:r>
            <w:r>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rsidR="00F50344" w:rsidRDefault="007855F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bCs/>
                <w:color w:val="000000"/>
                <w:u w:val="single"/>
              </w:rPr>
              <w:t>para cada caso además de fundar y motivar</w:t>
            </w:r>
            <w:r>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50344" w:rsidTr="00D35D90">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946" w:type="dxa"/>
            <w:tcBorders>
              <w:top w:val="single" w:sz="4" w:space="0" w:color="BFBFBF"/>
              <w:left w:val="single" w:sz="4" w:space="0" w:color="BFBFBF"/>
              <w:bottom w:val="single" w:sz="4" w:space="0" w:color="BFBFBF"/>
              <w:right w:val="single" w:sz="4" w:space="0" w:color="BFBFBF"/>
            </w:tcBorders>
          </w:tcPr>
          <w:p w:rsidR="00F50344" w:rsidRDefault="007855F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F50344" w:rsidRDefault="007855F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50344" w:rsidRDefault="007855F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de los </w:t>
            </w:r>
            <w:r>
              <w:rPr>
                <w:rFonts w:ascii="Palatino Linotype" w:eastAsia="Palatino Linotype" w:hAnsi="Palatino Linotype" w:cs="Palatino Linotype"/>
                <w:color w:val="000000"/>
              </w:rPr>
              <w:lastRenderedPageBreak/>
              <w:t>datos si permite o no el acceso. De no ser posible, la realización de la consulta, procede, fundando y motivando, la clasificación.</w:t>
            </w:r>
          </w:p>
        </w:tc>
      </w:tr>
    </w:tbl>
    <w:p w:rsidR="00F50344" w:rsidRDefault="00F50344">
      <w:pPr>
        <w:pBdr>
          <w:top w:val="nil"/>
          <w:left w:val="nil"/>
          <w:bottom w:val="nil"/>
          <w:right w:val="nil"/>
          <w:between w:val="nil"/>
        </w:pBdr>
        <w:tabs>
          <w:tab w:val="left" w:pos="284"/>
        </w:tabs>
        <w:rPr>
          <w:rFonts w:ascii="Palatino Linotype" w:eastAsia="Palatino Linotype" w:hAnsi="Palatino Linotype" w:cs="Palatino Linotype"/>
          <w:color w:val="000000"/>
        </w:rPr>
      </w:pPr>
    </w:p>
    <w:p w:rsidR="00D35D90" w:rsidRDefault="00D35D90">
      <w:pPr>
        <w:pBdr>
          <w:top w:val="nil"/>
          <w:left w:val="nil"/>
          <w:bottom w:val="nil"/>
          <w:right w:val="nil"/>
          <w:between w:val="nil"/>
        </w:pBdr>
        <w:tabs>
          <w:tab w:val="left" w:pos="284"/>
        </w:tabs>
        <w:rPr>
          <w:rFonts w:ascii="Palatino Linotype" w:eastAsia="Palatino Linotype" w:hAnsi="Palatino Linotype" w:cs="Palatino Linotype"/>
          <w:color w:val="000000"/>
        </w:rPr>
      </w:pPr>
    </w:p>
    <w:p w:rsidR="00F50344" w:rsidRDefault="007855F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F50344" w:rsidRDefault="00F50344">
      <w:pPr>
        <w:spacing w:line="360" w:lineRule="auto"/>
        <w:jc w:val="both"/>
        <w:rPr>
          <w:rFonts w:ascii="Palatino Linotype" w:eastAsia="Palatino Linotype" w:hAnsi="Palatino Linotype" w:cs="Palatino Linotype"/>
          <w:color w:val="000000"/>
        </w:rPr>
      </w:pPr>
    </w:p>
    <w:p w:rsidR="00F50344" w:rsidRDefault="007855F2">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bCs/>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bCs/>
        </w:rPr>
        <w:t>MODIFICAR</w:t>
      </w:r>
      <w:r>
        <w:rPr>
          <w:rFonts w:ascii="Palatino Linotype" w:eastAsia="Palatino Linotype" w:hAnsi="Palatino Linotype" w:cs="Palatino Linotype"/>
        </w:rPr>
        <w:t xml:space="preserve"> las respuestas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bCs/>
          <w:color w:val="000000"/>
        </w:rPr>
        <w:t>ÓRGANO GARANTE</w:t>
      </w:r>
      <w:r>
        <w:rPr>
          <w:rFonts w:ascii="Palatino Linotype" w:eastAsia="Palatino Linotype" w:hAnsi="Palatino Linotype" w:cs="Palatino Linotype"/>
          <w:color w:val="000000"/>
        </w:rPr>
        <w:t xml:space="preserve"> emite los siguientes.</w:t>
      </w:r>
    </w:p>
    <w:p w:rsidR="00F50344" w:rsidRDefault="00F5034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F50344" w:rsidRDefault="007855F2">
      <w:pPr>
        <w:pStyle w:val="Ttulo1"/>
        <w:spacing w:before="0" w:line="360" w:lineRule="auto"/>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R E S O L U T I V O S</w:t>
      </w:r>
    </w:p>
    <w:p w:rsidR="00F50344" w:rsidRDefault="00F50344">
      <w:pPr>
        <w:spacing w:line="360" w:lineRule="auto"/>
        <w:rPr>
          <w:rFonts w:ascii="Palatino Linotype" w:eastAsia="Palatino Linotype" w:hAnsi="Palatino Linotype" w:cs="Palatino Linotype"/>
        </w:rPr>
      </w:pPr>
    </w:p>
    <w:p w:rsidR="00F50344" w:rsidRDefault="007855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Resultan fundadas las razones o motivos de inconformidad hechos valer en el recurso de Revisión</w:t>
      </w:r>
      <w:r>
        <w:rPr>
          <w:rFonts w:ascii="Palatino Linotype" w:eastAsia="Palatino Linotype" w:hAnsi="Palatino Linotype" w:cs="Palatino Linotype"/>
          <w:b/>
          <w:bCs/>
        </w:rPr>
        <w:t xml:space="preserve"> 08683/INFOEM/IP/RR/2025,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 xml:space="preserve">de la presente resolución. </w:t>
      </w:r>
    </w:p>
    <w:p w:rsidR="00F50344" w:rsidRDefault="00F50344">
      <w:pPr>
        <w:spacing w:line="360" w:lineRule="auto"/>
        <w:jc w:val="both"/>
        <w:rPr>
          <w:rFonts w:ascii="Palatino Linotype" w:eastAsia="Palatino Linotype" w:hAnsi="Palatino Linotype" w:cs="Palatino Linotype"/>
        </w:rPr>
      </w:pPr>
    </w:p>
    <w:p w:rsidR="00F50344" w:rsidRDefault="007855F2">
      <w:pPr>
        <w:spacing w:line="360" w:lineRule="auto"/>
        <w:jc w:val="both"/>
        <w:rPr>
          <w:rFonts w:ascii="Palatino Linotype" w:eastAsia="Palatino Linotype" w:hAnsi="Palatino Linotype" w:cs="Palatino Linotype"/>
          <w:b/>
          <w:bCs/>
          <w:color w:val="000000"/>
        </w:rPr>
      </w:pPr>
      <w:bookmarkStart w:id="12" w:name="_heading=h.ve9rqz5z63x" w:colFirst="0" w:colLast="0"/>
      <w:bookmarkEnd w:id="12"/>
      <w:r>
        <w:rPr>
          <w:rFonts w:ascii="Palatino Linotype" w:eastAsia="Palatino Linotype" w:hAnsi="Palatino Linotype" w:cs="Palatino Linotype"/>
          <w:b/>
          <w:bCs/>
        </w:rPr>
        <w:lastRenderedPageBreak/>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bCs/>
          <w:color w:val="000000"/>
        </w:rPr>
        <w:t xml:space="preserve"> Ayuntamiento de Zinacantepec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bCs/>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previa búsqueda exhaustiva y razonable, de ser procedente en versión pública, la siguiente información:</w:t>
      </w:r>
    </w:p>
    <w:p w:rsidR="00F50344" w:rsidRDefault="00F50344">
      <w:pPr>
        <w:spacing w:line="360" w:lineRule="auto"/>
        <w:jc w:val="both"/>
        <w:rPr>
          <w:rFonts w:ascii="Palatino Linotype" w:eastAsia="Palatino Linotype" w:hAnsi="Palatino Linotype" w:cs="Palatino Linotype"/>
          <w:b/>
          <w:bCs/>
          <w:color w:val="000000"/>
        </w:rPr>
      </w:pPr>
    </w:p>
    <w:p w:rsidR="00F50344" w:rsidRDefault="007855F2">
      <w:pPr>
        <w:numPr>
          <w:ilvl w:val="0"/>
          <w:numId w:val="3"/>
        </w:numPr>
        <w:pBdr>
          <w:top w:val="nil"/>
          <w:left w:val="nil"/>
          <w:bottom w:val="nil"/>
          <w:right w:val="nil"/>
          <w:between w:val="nil"/>
        </w:pBdr>
        <w:tabs>
          <w:tab w:val="left" w:pos="8080"/>
          <w:tab w:val="left" w:pos="8222"/>
        </w:tabs>
        <w:spacing w:line="360" w:lineRule="auto"/>
        <w:ind w:right="1134"/>
        <w:jc w:val="both"/>
        <w:rPr>
          <w:rFonts w:ascii="Palatino Linotype" w:eastAsia="Palatino Linotype" w:hAnsi="Palatino Linotype" w:cs="Palatino Linotype"/>
          <w:b/>
          <w:bCs/>
          <w:color w:val="000000"/>
        </w:rPr>
      </w:pPr>
      <w:bookmarkStart w:id="13" w:name="_heading=h.gtwq8mhqueg3" w:colFirst="0" w:colLast="0"/>
      <w:bookmarkEnd w:id="13"/>
      <w:r>
        <w:rPr>
          <w:rFonts w:ascii="Palatino Linotype" w:eastAsia="Palatino Linotype" w:hAnsi="Palatino Linotype" w:cs="Palatino Linotype"/>
          <w:b/>
          <w:bCs/>
        </w:rPr>
        <w:t>Acuses de las s</w:t>
      </w:r>
      <w:r>
        <w:rPr>
          <w:rFonts w:ascii="Palatino Linotype" w:eastAsia="Palatino Linotype" w:hAnsi="Palatino Linotype" w:cs="Palatino Linotype"/>
          <w:b/>
          <w:bCs/>
          <w:color w:val="000000"/>
        </w:rPr>
        <w:t xml:space="preserve">olicitudes de información faltantes de los meses de mayo y junio de dos mil veinticinco. </w:t>
      </w:r>
    </w:p>
    <w:p w:rsidR="00F50344" w:rsidRDefault="00F50344">
      <w:pPr>
        <w:tabs>
          <w:tab w:val="left" w:pos="8080"/>
        </w:tabs>
        <w:spacing w:line="360" w:lineRule="auto"/>
        <w:ind w:right="709"/>
        <w:jc w:val="both"/>
        <w:rPr>
          <w:rFonts w:ascii="Palatino Linotype" w:eastAsia="Palatino Linotype" w:hAnsi="Palatino Linotype" w:cs="Palatino Linotype"/>
          <w:color w:val="000000"/>
        </w:rPr>
      </w:pPr>
    </w:p>
    <w:p w:rsidR="00F50344" w:rsidRDefault="007855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F50344" w:rsidRDefault="00F50344">
      <w:pPr>
        <w:spacing w:line="360" w:lineRule="auto"/>
        <w:jc w:val="both"/>
        <w:rPr>
          <w:rFonts w:ascii="Palatino Linotype" w:eastAsia="Palatino Linotype" w:hAnsi="Palatino Linotype" w:cs="Palatino Linotype"/>
        </w:rPr>
      </w:pPr>
    </w:p>
    <w:p w:rsidR="00F50344" w:rsidRDefault="007855F2">
      <w:pPr>
        <w:spacing w:line="360" w:lineRule="auto"/>
        <w:jc w:val="both"/>
        <w:rPr>
          <w:rFonts w:ascii="Palatino Linotype" w:eastAsia="Palatino Linotype" w:hAnsi="Palatino Linotype" w:cs="Palatino Linotype"/>
        </w:rPr>
      </w:pPr>
      <w:bookmarkStart w:id="14" w:name="_heading=h.2vudf38wt9tz" w:colFirst="0" w:colLast="0"/>
      <w:bookmarkEnd w:id="14"/>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C6F5C">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50344" w:rsidRDefault="00F50344">
      <w:pPr>
        <w:spacing w:line="360" w:lineRule="auto"/>
        <w:jc w:val="both"/>
        <w:rPr>
          <w:rFonts w:ascii="Palatino Linotype" w:eastAsia="Palatino Linotype" w:hAnsi="Palatino Linotype" w:cs="Palatino Linotype"/>
          <w:b/>
          <w:bCs/>
        </w:rPr>
      </w:pPr>
    </w:p>
    <w:p w:rsidR="00F50344" w:rsidRDefault="007855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F50344" w:rsidRDefault="00F50344">
      <w:pPr>
        <w:spacing w:line="360" w:lineRule="auto"/>
        <w:jc w:val="both"/>
        <w:rPr>
          <w:rFonts w:ascii="Palatino Linotype" w:eastAsia="Palatino Linotype" w:hAnsi="Palatino Linotype" w:cs="Palatino Linotype"/>
        </w:rPr>
      </w:pPr>
    </w:p>
    <w:p w:rsidR="00F50344" w:rsidRDefault="007855F2">
      <w:pPr>
        <w:tabs>
          <w:tab w:val="left" w:pos="8080"/>
        </w:tabs>
        <w:spacing w:line="360" w:lineRule="auto"/>
        <w:ind w:right="49"/>
        <w:jc w:val="both"/>
        <w:rPr>
          <w:rFonts w:ascii="Palatino Linotype" w:eastAsia="Palatino Linotype" w:hAnsi="Palatino Linotype" w:cs="Palatino Linotype"/>
        </w:rPr>
      </w:pPr>
      <w:bookmarkStart w:id="15" w:name="_heading=h.5dh9m8mq832u" w:colFirst="0" w:colLast="0"/>
      <w:bookmarkEnd w:id="15"/>
      <w:r>
        <w:rPr>
          <w:rFonts w:ascii="Palatino Linotype" w:eastAsia="Palatino Linotype" w:hAnsi="Palatino Linotype" w:cs="Palatino Linotype"/>
          <w:b/>
          <w:bCs/>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la presente resolución, vía SAIMEX.</w:t>
      </w:r>
    </w:p>
    <w:p w:rsidR="00F50344" w:rsidRDefault="00F50344">
      <w:pPr>
        <w:tabs>
          <w:tab w:val="left" w:pos="8080"/>
        </w:tabs>
        <w:spacing w:line="360" w:lineRule="auto"/>
        <w:ind w:right="49"/>
        <w:jc w:val="both"/>
        <w:rPr>
          <w:rFonts w:ascii="Palatino Linotype" w:eastAsia="Palatino Linotype" w:hAnsi="Palatino Linotype" w:cs="Palatino Linotype"/>
        </w:rPr>
      </w:pPr>
    </w:p>
    <w:p w:rsidR="00F50344" w:rsidRDefault="007855F2">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50344" w:rsidRDefault="00F50344">
      <w:pPr>
        <w:shd w:val="clear" w:color="auto" w:fill="FFFFFF"/>
        <w:spacing w:line="360" w:lineRule="auto"/>
        <w:jc w:val="both"/>
        <w:rPr>
          <w:rFonts w:ascii="Palatino Linotype" w:eastAsia="Palatino Linotype" w:hAnsi="Palatino Linotype" w:cs="Palatino Linotype"/>
        </w:rPr>
      </w:pPr>
    </w:p>
    <w:p w:rsidR="001C6F5C" w:rsidRDefault="001C6F5C" w:rsidP="001C6F5C">
      <w:pPr>
        <w:spacing w:before="240" w:after="240" w:line="360" w:lineRule="auto"/>
        <w:ind w:firstLine="1"/>
        <w:jc w:val="both"/>
        <w:rPr>
          <w:rFonts w:ascii="Palatino Linotype" w:hAnsi="Palatino Linotype"/>
        </w:rPr>
      </w:pPr>
      <w:bookmarkStart w:id="16" w:name="_heading=h.lhhgvsyqay3d" w:colFirst="0" w:colLast="0"/>
      <w:bookmarkStart w:id="17" w:name="_Hlk99014733"/>
      <w:bookmarkEnd w:id="16"/>
      <w:r>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8304B6">
        <w:rPr>
          <w:rFonts w:ascii="Palatino Linotype" w:hAnsi="Palatino Linotype" w:cs="Palatino Linotype"/>
          <w:color w:val="000000" w:themeColor="text1"/>
        </w:rPr>
        <w:t>ALEXIS TAPIA RAMÍREZ.</w:t>
      </w:r>
    </w:p>
    <w:bookmarkEnd w:id="17"/>
    <w:p w:rsidR="00F50344" w:rsidRDefault="00F50344">
      <w:pPr>
        <w:spacing w:line="360" w:lineRule="auto"/>
        <w:jc w:val="both"/>
        <w:rPr>
          <w:rFonts w:ascii="Palatino Linotype" w:eastAsia="Palatino Linotype" w:hAnsi="Palatino Linotype" w:cs="Palatino Linotype"/>
        </w:rPr>
      </w:pPr>
    </w:p>
    <w:p w:rsidR="00F50344" w:rsidRDefault="00F50344">
      <w:pPr>
        <w:spacing w:line="360" w:lineRule="auto"/>
        <w:ind w:right="-93"/>
        <w:jc w:val="both"/>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tabs>
          <w:tab w:val="left" w:pos="3374"/>
        </w:tabs>
        <w:spacing w:line="360" w:lineRule="auto"/>
        <w:rPr>
          <w:rFonts w:ascii="Palatino Linotype" w:eastAsia="Palatino Linotype" w:hAnsi="Palatino Linotype" w:cs="Palatino Linotype"/>
        </w:rPr>
      </w:pPr>
    </w:p>
    <w:p w:rsidR="00F50344" w:rsidRDefault="00F50344">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p w:rsidR="00963A85" w:rsidRDefault="00963A85">
      <w:pPr>
        <w:rPr>
          <w:rFonts w:ascii="Palatino Linotype" w:eastAsia="Palatino Linotype" w:hAnsi="Palatino Linotype" w:cs="Palatino Linotype"/>
        </w:rPr>
      </w:pPr>
    </w:p>
    <w:sectPr w:rsidR="00963A85" w:rsidSect="00D35D90">
      <w:headerReference w:type="even" r:id="rId8"/>
      <w:headerReference w:type="default" r:id="rId9"/>
      <w:footerReference w:type="default" r:id="rId10"/>
      <w:headerReference w:type="first" r:id="rId11"/>
      <w:footerReference w:type="first" r:id="rId12"/>
      <w:pgSz w:w="12240" w:h="15840"/>
      <w:pgMar w:top="2268" w:right="758" w:bottom="1702" w:left="1701" w:header="510"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233" w:rsidRDefault="00967233">
      <w:r>
        <w:separator/>
      </w:r>
    </w:p>
  </w:endnote>
  <w:endnote w:type="continuationSeparator" w:id="0">
    <w:p w:rsidR="00967233" w:rsidRDefault="0096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D4276B2-3871-43C4-A1E3-FFBEB7779F7D}"/>
    <w:embedBold r:id="rId2" w:fontKey="{E55B95CB-9342-492E-A16F-37A0B6B7C7B4}"/>
    <w:embedItalic r:id="rId3" w:fontKey="{A0C64B66-D9DF-4CF3-A6A4-DD5EC4366F05}"/>
    <w:embedBoldItalic r:id="rId4" w:fontKey="{A061C002-4F35-4C4E-9314-B5CB1F131264}"/>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25225DB5-6D9A-4CE9-AE2C-7990B8D14A9A}"/>
  </w:font>
  <w:font w:name="Calibri">
    <w:panose1 w:val="020F0502020204030204"/>
    <w:charset w:val="00"/>
    <w:family w:val="swiss"/>
    <w:pitch w:val="variable"/>
    <w:sig w:usb0="E4002EFF" w:usb1="C200247B" w:usb2="00000009" w:usb3="00000000" w:csb0="000001FF" w:csb1="00000000"/>
    <w:embedRegular r:id="rId6" w:fontKey="{8043D9EE-698E-4F90-9872-CA7478B6F2FC}"/>
    <w:embedBold r:id="rId7" w:fontKey="{234BA61F-5945-4853-8F60-F722D926C1A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C4F41E0-232A-411A-BA8D-0AD46FB12FC7}"/>
  </w:font>
  <w:font w:name="Segoe UI">
    <w:panose1 w:val="020B0502040204020203"/>
    <w:charset w:val="00"/>
    <w:family w:val="swiss"/>
    <w:pitch w:val="variable"/>
    <w:sig w:usb0="E4002EFF" w:usb1="C000E47F" w:usb2="00000009" w:usb3="00000000" w:csb0="000001FF" w:csb1="00000000"/>
    <w:embedRegular r:id="rId9" w:fontKey="{8CFE03BE-C11A-46E1-9D96-EB30500CDA7E}"/>
  </w:font>
  <w:font w:name="Georgia">
    <w:panose1 w:val="02040502050405020303"/>
    <w:charset w:val="00"/>
    <w:family w:val="roman"/>
    <w:pitch w:val="variable"/>
    <w:sig w:usb0="00000287" w:usb1="00000000" w:usb2="00000000" w:usb3="00000000" w:csb0="0000009F" w:csb1="00000000"/>
    <w:embedItalic r:id="rId10" w:fontKey="{A973086D-9684-4390-8743-9D4C1D722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44" w:rsidRPr="00D35D90" w:rsidRDefault="007855F2">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D35D90">
      <w:rPr>
        <w:rFonts w:ascii="Palatino Linotype" w:eastAsia="Palatino Linotype" w:hAnsi="Palatino Linotype" w:cs="Palatino Linotype"/>
        <w:b/>
        <w:color w:val="000000"/>
        <w:sz w:val="22"/>
        <w:szCs w:val="20"/>
      </w:rPr>
      <w:t xml:space="preserve">Página </w:t>
    </w:r>
    <w:r w:rsidRPr="00D35D90">
      <w:rPr>
        <w:rFonts w:ascii="Palatino Linotype" w:eastAsia="Palatino Linotype" w:hAnsi="Palatino Linotype" w:cs="Palatino Linotype"/>
        <w:b/>
        <w:color w:val="000000"/>
        <w:sz w:val="22"/>
        <w:szCs w:val="20"/>
      </w:rPr>
      <w:fldChar w:fldCharType="begin"/>
    </w:r>
    <w:r w:rsidRPr="00D35D90">
      <w:rPr>
        <w:rFonts w:ascii="Palatino Linotype" w:eastAsia="Palatino Linotype" w:hAnsi="Palatino Linotype" w:cs="Palatino Linotype"/>
        <w:b/>
        <w:color w:val="000000"/>
        <w:sz w:val="22"/>
        <w:szCs w:val="20"/>
      </w:rPr>
      <w:instrText>PAGE</w:instrText>
    </w:r>
    <w:r w:rsidRPr="00D35D90">
      <w:rPr>
        <w:rFonts w:ascii="Palatino Linotype" w:eastAsia="Palatino Linotype" w:hAnsi="Palatino Linotype" w:cs="Palatino Linotype"/>
        <w:b/>
        <w:color w:val="000000"/>
        <w:sz w:val="22"/>
        <w:szCs w:val="20"/>
      </w:rPr>
      <w:fldChar w:fldCharType="separate"/>
    </w:r>
    <w:r w:rsidR="00D35D90">
      <w:rPr>
        <w:rFonts w:ascii="Palatino Linotype" w:eastAsia="Palatino Linotype" w:hAnsi="Palatino Linotype" w:cs="Palatino Linotype"/>
        <w:b/>
        <w:noProof/>
        <w:color w:val="000000"/>
        <w:sz w:val="22"/>
        <w:szCs w:val="20"/>
      </w:rPr>
      <w:t>21</w:t>
    </w:r>
    <w:r w:rsidRPr="00D35D90">
      <w:rPr>
        <w:rFonts w:ascii="Palatino Linotype" w:eastAsia="Palatino Linotype" w:hAnsi="Palatino Linotype" w:cs="Palatino Linotype"/>
        <w:b/>
        <w:color w:val="000000"/>
        <w:sz w:val="22"/>
        <w:szCs w:val="20"/>
      </w:rPr>
      <w:fldChar w:fldCharType="end"/>
    </w:r>
    <w:r w:rsidRPr="00D35D90">
      <w:rPr>
        <w:rFonts w:ascii="Palatino Linotype" w:eastAsia="Palatino Linotype" w:hAnsi="Palatino Linotype" w:cs="Palatino Linotype"/>
        <w:b/>
        <w:color w:val="000000"/>
        <w:sz w:val="22"/>
        <w:szCs w:val="20"/>
      </w:rPr>
      <w:t xml:space="preserve"> de </w:t>
    </w:r>
    <w:r w:rsidRPr="00D35D90">
      <w:rPr>
        <w:rFonts w:ascii="Palatino Linotype" w:eastAsia="Palatino Linotype" w:hAnsi="Palatino Linotype" w:cs="Palatino Linotype"/>
        <w:b/>
        <w:color w:val="000000"/>
        <w:sz w:val="22"/>
        <w:szCs w:val="20"/>
      </w:rPr>
      <w:fldChar w:fldCharType="begin"/>
    </w:r>
    <w:r w:rsidRPr="00D35D90">
      <w:rPr>
        <w:rFonts w:ascii="Palatino Linotype" w:eastAsia="Palatino Linotype" w:hAnsi="Palatino Linotype" w:cs="Palatino Linotype"/>
        <w:b/>
        <w:color w:val="000000"/>
        <w:sz w:val="22"/>
        <w:szCs w:val="20"/>
      </w:rPr>
      <w:instrText>NUMPAGES</w:instrText>
    </w:r>
    <w:r w:rsidRPr="00D35D90">
      <w:rPr>
        <w:rFonts w:ascii="Palatino Linotype" w:eastAsia="Palatino Linotype" w:hAnsi="Palatino Linotype" w:cs="Palatino Linotype"/>
        <w:b/>
        <w:color w:val="000000"/>
        <w:sz w:val="22"/>
        <w:szCs w:val="20"/>
      </w:rPr>
      <w:fldChar w:fldCharType="separate"/>
    </w:r>
    <w:r w:rsidR="00D35D90">
      <w:rPr>
        <w:rFonts w:ascii="Palatino Linotype" w:eastAsia="Palatino Linotype" w:hAnsi="Palatino Linotype" w:cs="Palatino Linotype"/>
        <w:b/>
        <w:noProof/>
        <w:color w:val="000000"/>
        <w:sz w:val="22"/>
        <w:szCs w:val="20"/>
      </w:rPr>
      <w:t>26</w:t>
    </w:r>
    <w:r w:rsidRPr="00D35D90">
      <w:rPr>
        <w:rFonts w:ascii="Palatino Linotype" w:eastAsia="Palatino Linotype" w:hAnsi="Palatino Linotype" w:cs="Palatino Linotype"/>
        <w:b/>
        <w:color w:val="000000"/>
        <w:sz w:val="22"/>
        <w:szCs w:val="20"/>
      </w:rPr>
      <w:fldChar w:fldCharType="end"/>
    </w:r>
  </w:p>
  <w:p w:rsidR="00F50344" w:rsidRDefault="00F5034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44" w:rsidRPr="00D35D90" w:rsidRDefault="007855F2">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D35D90">
      <w:rPr>
        <w:rFonts w:ascii="Palatino Linotype" w:eastAsia="Palatino Linotype" w:hAnsi="Palatino Linotype" w:cs="Palatino Linotype"/>
        <w:b/>
        <w:color w:val="000000"/>
        <w:sz w:val="22"/>
        <w:szCs w:val="20"/>
      </w:rPr>
      <w:t xml:space="preserve">Página </w:t>
    </w:r>
    <w:r w:rsidRPr="00D35D90">
      <w:rPr>
        <w:rFonts w:ascii="Palatino Linotype" w:eastAsia="Palatino Linotype" w:hAnsi="Palatino Linotype" w:cs="Palatino Linotype"/>
        <w:b/>
        <w:color w:val="000000"/>
        <w:sz w:val="22"/>
        <w:szCs w:val="20"/>
      </w:rPr>
      <w:fldChar w:fldCharType="begin"/>
    </w:r>
    <w:r w:rsidRPr="00D35D90">
      <w:rPr>
        <w:rFonts w:ascii="Palatino Linotype" w:eastAsia="Palatino Linotype" w:hAnsi="Palatino Linotype" w:cs="Palatino Linotype"/>
        <w:b/>
        <w:color w:val="000000"/>
        <w:sz w:val="22"/>
        <w:szCs w:val="20"/>
      </w:rPr>
      <w:instrText>PAGE</w:instrText>
    </w:r>
    <w:r w:rsidRPr="00D35D90">
      <w:rPr>
        <w:rFonts w:ascii="Palatino Linotype" w:eastAsia="Palatino Linotype" w:hAnsi="Palatino Linotype" w:cs="Palatino Linotype"/>
        <w:b/>
        <w:color w:val="000000"/>
        <w:sz w:val="22"/>
        <w:szCs w:val="20"/>
      </w:rPr>
      <w:fldChar w:fldCharType="separate"/>
    </w:r>
    <w:r w:rsidR="00D35D90">
      <w:rPr>
        <w:rFonts w:ascii="Palatino Linotype" w:eastAsia="Palatino Linotype" w:hAnsi="Palatino Linotype" w:cs="Palatino Linotype"/>
        <w:b/>
        <w:noProof/>
        <w:color w:val="000000"/>
        <w:sz w:val="22"/>
        <w:szCs w:val="20"/>
      </w:rPr>
      <w:t>1</w:t>
    </w:r>
    <w:r w:rsidRPr="00D35D90">
      <w:rPr>
        <w:rFonts w:ascii="Palatino Linotype" w:eastAsia="Palatino Linotype" w:hAnsi="Palatino Linotype" w:cs="Palatino Linotype"/>
        <w:b/>
        <w:color w:val="000000"/>
        <w:sz w:val="22"/>
        <w:szCs w:val="20"/>
      </w:rPr>
      <w:fldChar w:fldCharType="end"/>
    </w:r>
    <w:r w:rsidRPr="00D35D90">
      <w:rPr>
        <w:rFonts w:ascii="Palatino Linotype" w:eastAsia="Palatino Linotype" w:hAnsi="Palatino Linotype" w:cs="Palatino Linotype"/>
        <w:b/>
        <w:color w:val="000000"/>
        <w:sz w:val="22"/>
        <w:szCs w:val="20"/>
      </w:rPr>
      <w:t xml:space="preserve"> de </w:t>
    </w:r>
    <w:r w:rsidRPr="00D35D90">
      <w:rPr>
        <w:rFonts w:ascii="Palatino Linotype" w:eastAsia="Palatino Linotype" w:hAnsi="Palatino Linotype" w:cs="Palatino Linotype"/>
        <w:b/>
        <w:color w:val="000000"/>
        <w:sz w:val="22"/>
        <w:szCs w:val="20"/>
      </w:rPr>
      <w:fldChar w:fldCharType="begin"/>
    </w:r>
    <w:r w:rsidRPr="00D35D90">
      <w:rPr>
        <w:rFonts w:ascii="Palatino Linotype" w:eastAsia="Palatino Linotype" w:hAnsi="Palatino Linotype" w:cs="Palatino Linotype"/>
        <w:b/>
        <w:color w:val="000000"/>
        <w:sz w:val="22"/>
        <w:szCs w:val="20"/>
      </w:rPr>
      <w:instrText>NUMPAGES</w:instrText>
    </w:r>
    <w:r w:rsidRPr="00D35D90">
      <w:rPr>
        <w:rFonts w:ascii="Palatino Linotype" w:eastAsia="Palatino Linotype" w:hAnsi="Palatino Linotype" w:cs="Palatino Linotype"/>
        <w:b/>
        <w:color w:val="000000"/>
        <w:sz w:val="22"/>
        <w:szCs w:val="20"/>
      </w:rPr>
      <w:fldChar w:fldCharType="separate"/>
    </w:r>
    <w:r w:rsidR="00D35D90">
      <w:rPr>
        <w:rFonts w:ascii="Palatino Linotype" w:eastAsia="Palatino Linotype" w:hAnsi="Palatino Linotype" w:cs="Palatino Linotype"/>
        <w:b/>
        <w:noProof/>
        <w:color w:val="000000"/>
        <w:sz w:val="22"/>
        <w:szCs w:val="20"/>
      </w:rPr>
      <w:t>26</w:t>
    </w:r>
    <w:r w:rsidRPr="00D35D90">
      <w:rPr>
        <w:rFonts w:ascii="Palatino Linotype" w:eastAsia="Palatino Linotype" w:hAnsi="Palatino Linotype" w:cs="Palatino Linotype"/>
        <w:b/>
        <w:color w:val="000000"/>
        <w:sz w:val="22"/>
        <w:szCs w:val="20"/>
      </w:rPr>
      <w:fldChar w:fldCharType="end"/>
    </w:r>
  </w:p>
  <w:p w:rsidR="00F50344" w:rsidRDefault="00F5034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233" w:rsidRDefault="00967233">
      <w:r>
        <w:separator/>
      </w:r>
    </w:p>
  </w:footnote>
  <w:footnote w:type="continuationSeparator" w:id="0">
    <w:p w:rsidR="00967233" w:rsidRDefault="00967233">
      <w:r>
        <w:continuationSeparator/>
      </w:r>
    </w:p>
  </w:footnote>
  <w:footnote w:id="1">
    <w:p w:rsidR="00F50344" w:rsidRDefault="007855F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F50344" w:rsidRDefault="007855F2">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rsidR="00F50344" w:rsidRDefault="007855F2">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344" w:rsidRDefault="0096723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519" w:type="dxa"/>
      <w:tblInd w:w="3119" w:type="dxa"/>
      <w:tblLayout w:type="fixed"/>
      <w:tblLook w:val="0400" w:firstRow="0" w:lastRow="0" w:firstColumn="0" w:lastColumn="0" w:noHBand="0" w:noVBand="1"/>
    </w:tblPr>
    <w:tblGrid>
      <w:gridCol w:w="2976"/>
      <w:gridCol w:w="3543"/>
    </w:tblGrid>
    <w:tr w:rsidR="00F50344" w:rsidTr="00D35D90">
      <w:trPr>
        <w:trHeight w:val="227"/>
      </w:trPr>
      <w:tc>
        <w:tcPr>
          <w:tcW w:w="2976" w:type="dxa"/>
          <w:vAlign w:val="center"/>
        </w:tcPr>
        <w:p w:rsidR="00F50344" w:rsidRPr="00D35D90" w:rsidRDefault="007855F2">
          <w:pPr>
            <w:ind w:right="34"/>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Recurso de Revisión:</w:t>
          </w:r>
        </w:p>
      </w:tc>
      <w:tc>
        <w:tcPr>
          <w:tcW w:w="3543" w:type="dxa"/>
          <w:vAlign w:val="center"/>
        </w:tcPr>
        <w:p w:rsidR="00F50344" w:rsidRPr="00D35D90" w:rsidRDefault="007855F2">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D35D90">
            <w:rPr>
              <w:rFonts w:ascii="Palatino Linotype" w:eastAsia="Palatino Linotype" w:hAnsi="Palatino Linotype" w:cs="Palatino Linotype"/>
              <w:bCs/>
              <w:color w:val="000000"/>
              <w:szCs w:val="22"/>
            </w:rPr>
            <w:t> 08683/INFOEM/IP/RR/2025</w:t>
          </w:r>
        </w:p>
      </w:tc>
    </w:tr>
    <w:tr w:rsidR="00F50344" w:rsidTr="00D35D90">
      <w:trPr>
        <w:trHeight w:val="242"/>
      </w:trPr>
      <w:tc>
        <w:tcPr>
          <w:tcW w:w="2976" w:type="dxa"/>
          <w:vAlign w:val="center"/>
        </w:tcPr>
        <w:p w:rsidR="00F50344" w:rsidRPr="00D35D90" w:rsidRDefault="007855F2">
          <w:pPr>
            <w:ind w:right="34"/>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Sujeto Obligado:</w:t>
          </w:r>
        </w:p>
      </w:tc>
      <w:tc>
        <w:tcPr>
          <w:tcW w:w="3543" w:type="dxa"/>
          <w:vAlign w:val="center"/>
        </w:tcPr>
        <w:p w:rsidR="00F50344" w:rsidRPr="00D35D90" w:rsidRDefault="007855F2">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szCs w:val="22"/>
              <w:highlight w:val="green"/>
            </w:rPr>
          </w:pPr>
          <w:r w:rsidRPr="00D35D90">
            <w:rPr>
              <w:rFonts w:ascii="Palatino Linotype" w:eastAsia="Palatino Linotype" w:hAnsi="Palatino Linotype" w:cs="Palatino Linotype"/>
              <w:bCs/>
              <w:color w:val="000000"/>
              <w:szCs w:val="22"/>
            </w:rPr>
            <w:t>Ayuntamiento de Zinacantepec</w:t>
          </w:r>
        </w:p>
      </w:tc>
    </w:tr>
    <w:tr w:rsidR="00F50344" w:rsidTr="00D35D90">
      <w:trPr>
        <w:trHeight w:val="342"/>
      </w:trPr>
      <w:tc>
        <w:tcPr>
          <w:tcW w:w="2976" w:type="dxa"/>
          <w:vAlign w:val="center"/>
        </w:tcPr>
        <w:p w:rsidR="00F50344" w:rsidRPr="00D35D90" w:rsidRDefault="007855F2">
          <w:pPr>
            <w:ind w:right="34"/>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Comisionada Ponente:</w:t>
          </w:r>
        </w:p>
      </w:tc>
      <w:tc>
        <w:tcPr>
          <w:tcW w:w="3543" w:type="dxa"/>
          <w:vAlign w:val="center"/>
        </w:tcPr>
        <w:p w:rsidR="00F50344" w:rsidRPr="00D35D90" w:rsidRDefault="007855F2">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D35D90">
            <w:rPr>
              <w:rFonts w:ascii="Palatino Linotype" w:eastAsia="Palatino Linotype" w:hAnsi="Palatino Linotype" w:cs="Palatino Linotype"/>
              <w:bCs/>
              <w:color w:val="000000"/>
              <w:szCs w:val="22"/>
            </w:rPr>
            <w:t>María del Rosario Mejía Ayala</w:t>
          </w:r>
        </w:p>
      </w:tc>
    </w:tr>
  </w:tbl>
  <w:p w:rsidR="00F50344" w:rsidRDefault="00967233">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6.75pt;margin-top:-130.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0" w:type="dxa"/>
      <w:tblInd w:w="3119" w:type="dxa"/>
      <w:tblLayout w:type="fixed"/>
      <w:tblLook w:val="0400" w:firstRow="0" w:lastRow="0" w:firstColumn="0" w:lastColumn="0" w:noHBand="0" w:noVBand="1"/>
    </w:tblPr>
    <w:tblGrid>
      <w:gridCol w:w="2977"/>
      <w:gridCol w:w="3683"/>
    </w:tblGrid>
    <w:tr w:rsidR="00F50344" w:rsidTr="00D35D90">
      <w:trPr>
        <w:trHeight w:val="227"/>
      </w:trPr>
      <w:tc>
        <w:tcPr>
          <w:tcW w:w="2977" w:type="dxa"/>
          <w:vAlign w:val="center"/>
        </w:tcPr>
        <w:p w:rsidR="00F50344" w:rsidRPr="00D35D90" w:rsidRDefault="007855F2">
          <w:pPr>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Recurso de Revisión:</w:t>
          </w:r>
        </w:p>
      </w:tc>
      <w:tc>
        <w:tcPr>
          <w:tcW w:w="3683" w:type="dxa"/>
          <w:vAlign w:val="center"/>
        </w:tcPr>
        <w:p w:rsidR="00F50344" w:rsidRPr="00D35D90" w:rsidRDefault="007855F2">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D35D90">
            <w:rPr>
              <w:rFonts w:ascii="Palatino Linotype" w:eastAsia="Palatino Linotype" w:hAnsi="Palatino Linotype" w:cs="Palatino Linotype"/>
              <w:bCs/>
              <w:color w:val="000000"/>
              <w:szCs w:val="22"/>
            </w:rPr>
            <w:t>08683/INFOEM/IP/RR/2025</w:t>
          </w:r>
        </w:p>
      </w:tc>
    </w:tr>
    <w:tr w:rsidR="00F50344" w:rsidTr="00D35D90">
      <w:trPr>
        <w:trHeight w:val="242"/>
      </w:trPr>
      <w:tc>
        <w:tcPr>
          <w:tcW w:w="2977" w:type="dxa"/>
          <w:vAlign w:val="center"/>
        </w:tcPr>
        <w:p w:rsidR="00F50344" w:rsidRPr="00D35D90" w:rsidRDefault="007855F2">
          <w:pPr>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Recurrente:</w:t>
          </w:r>
        </w:p>
      </w:tc>
      <w:tc>
        <w:tcPr>
          <w:tcW w:w="3683" w:type="dxa"/>
        </w:tcPr>
        <w:p w:rsidR="00F50344" w:rsidRPr="00D35D90" w:rsidRDefault="00F50344">
          <w:pPr>
            <w:rPr>
              <w:rFonts w:ascii="Palatino Linotype" w:eastAsia="Palatino Linotype" w:hAnsi="Palatino Linotype" w:cs="Palatino Linotype"/>
              <w:bCs/>
              <w:color w:val="000000"/>
              <w:szCs w:val="22"/>
            </w:rPr>
          </w:pPr>
        </w:p>
      </w:tc>
    </w:tr>
    <w:tr w:rsidR="00F50344" w:rsidTr="00D35D90">
      <w:trPr>
        <w:trHeight w:val="342"/>
      </w:trPr>
      <w:tc>
        <w:tcPr>
          <w:tcW w:w="2977" w:type="dxa"/>
          <w:vAlign w:val="center"/>
        </w:tcPr>
        <w:p w:rsidR="00F50344" w:rsidRPr="00D35D90" w:rsidRDefault="007855F2">
          <w:pPr>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Sujeto Obligado:</w:t>
          </w:r>
        </w:p>
      </w:tc>
      <w:tc>
        <w:tcPr>
          <w:tcW w:w="3683" w:type="dxa"/>
          <w:vAlign w:val="center"/>
        </w:tcPr>
        <w:p w:rsidR="00F50344" w:rsidRPr="00D35D90" w:rsidRDefault="007855F2">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szCs w:val="22"/>
            </w:rPr>
          </w:pPr>
          <w:r w:rsidRPr="00D35D90">
            <w:rPr>
              <w:rFonts w:ascii="Palatino Linotype" w:eastAsia="Palatino Linotype" w:hAnsi="Palatino Linotype" w:cs="Palatino Linotype"/>
              <w:bCs/>
              <w:color w:val="000000"/>
              <w:szCs w:val="22"/>
            </w:rPr>
            <w:t>Ayuntamiento de Zinacantepec</w:t>
          </w:r>
        </w:p>
      </w:tc>
    </w:tr>
    <w:tr w:rsidR="00F50344" w:rsidTr="00D35D90">
      <w:trPr>
        <w:trHeight w:val="342"/>
      </w:trPr>
      <w:tc>
        <w:tcPr>
          <w:tcW w:w="2977" w:type="dxa"/>
          <w:vAlign w:val="center"/>
        </w:tcPr>
        <w:p w:rsidR="00F50344" w:rsidRPr="00D35D90" w:rsidRDefault="007855F2">
          <w:pPr>
            <w:jc w:val="right"/>
            <w:rPr>
              <w:rFonts w:ascii="Palatino Linotype" w:eastAsia="Palatino Linotype" w:hAnsi="Palatino Linotype" w:cs="Palatino Linotype"/>
              <w:b/>
              <w:bCs/>
              <w:szCs w:val="22"/>
            </w:rPr>
          </w:pPr>
          <w:r w:rsidRPr="00D35D90">
            <w:rPr>
              <w:rFonts w:ascii="Palatino Linotype" w:eastAsia="Palatino Linotype" w:hAnsi="Palatino Linotype" w:cs="Palatino Linotype"/>
              <w:b/>
              <w:bCs/>
              <w:szCs w:val="22"/>
            </w:rPr>
            <w:t>Comisionada Ponente:</w:t>
          </w:r>
        </w:p>
      </w:tc>
      <w:tc>
        <w:tcPr>
          <w:tcW w:w="3683" w:type="dxa"/>
          <w:vAlign w:val="center"/>
        </w:tcPr>
        <w:p w:rsidR="00F50344" w:rsidRPr="00D35D90" w:rsidRDefault="007855F2">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D35D90">
            <w:rPr>
              <w:rFonts w:ascii="Palatino Linotype" w:eastAsia="Palatino Linotype" w:hAnsi="Palatino Linotype" w:cs="Palatino Linotype"/>
              <w:bCs/>
              <w:color w:val="000000"/>
              <w:szCs w:val="22"/>
            </w:rPr>
            <w:t>María del Rosario Mejía Ayala</w:t>
          </w:r>
        </w:p>
      </w:tc>
    </w:tr>
  </w:tbl>
  <w:p w:rsidR="00F50344" w:rsidRDefault="00967233">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21F9"/>
    <w:multiLevelType w:val="multilevel"/>
    <w:tmpl w:val="014282A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5E1C76"/>
    <w:multiLevelType w:val="multilevel"/>
    <w:tmpl w:val="221A953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8431D0"/>
    <w:multiLevelType w:val="multilevel"/>
    <w:tmpl w:val="6706CC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483C58D6"/>
    <w:multiLevelType w:val="multilevel"/>
    <w:tmpl w:val="932A5B1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6137E9"/>
    <w:multiLevelType w:val="multilevel"/>
    <w:tmpl w:val="3D287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D102D1"/>
    <w:multiLevelType w:val="multilevel"/>
    <w:tmpl w:val="80D86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2654B9"/>
    <w:multiLevelType w:val="multilevel"/>
    <w:tmpl w:val="1AFEFF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E0344D0"/>
    <w:multiLevelType w:val="multilevel"/>
    <w:tmpl w:val="5622A7A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0"/>
  </w:num>
  <w:num w:numId="2">
    <w:abstractNumId w:val="5"/>
  </w:num>
  <w:num w:numId="3">
    <w:abstractNumId w:val="1"/>
  </w:num>
  <w:num w:numId="4">
    <w:abstractNumId w:val="7"/>
  </w:num>
  <w:num w:numId="5">
    <w:abstractNumId w:val="4"/>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344"/>
    <w:rsid w:val="001C6F5C"/>
    <w:rsid w:val="007855F2"/>
    <w:rsid w:val="00963A85"/>
    <w:rsid w:val="00967233"/>
    <w:rsid w:val="00A3338F"/>
    <w:rsid w:val="00B353FB"/>
    <w:rsid w:val="00D35D90"/>
    <w:rsid w:val="00F50344"/>
    <w:rsid w:val="00FB1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0E82511-6D99-41C7-B5CE-F725802B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customStyle="1" w:styleId="Tablanormal12">
    <w:name w:val="Tabla normal 12"/>
    <w:basedOn w:val="Tablanormal"/>
    <w:next w:val="Tablanormal1"/>
    <w:uiPriority w:val="41"/>
    <w:rsid w:val="002F13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B07C89"/>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B07C89"/>
    <w:rPr>
      <w:rFonts w:ascii="Times New Roman" w:eastAsia="Times New Roman" w:hAnsi="Times New Roman" w:cs="Times New Roman"/>
      <w:lang w:eastAsia="es-ES"/>
    </w:rPr>
  </w:style>
  <w:style w:type="character" w:customStyle="1" w:styleId="SinespaciadoCar">
    <w:name w:val="Sin espaciado Car"/>
    <w:aliases w:val="Francesa Car,INAI Car"/>
    <w:link w:val="Sinespaciado"/>
    <w:uiPriority w:val="1"/>
    <w:locked/>
    <w:rsid w:val="00B07C8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C65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5D6"/>
    <w:rPr>
      <w:rFonts w:ascii="Segoe UI" w:eastAsiaTheme="minorEastAsia" w:hAnsi="Segoe UI" w:cs="Segoe UI"/>
      <w:sz w:val="18"/>
      <w:szCs w:val="18"/>
      <w:lang w:val="es-ES_tradnl" w:eastAsia="es-ES"/>
    </w:rPr>
  </w:style>
  <w:style w:type="table" w:customStyle="1" w:styleId="3">
    <w:name w:val="3"/>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zQMLqt4yERl0tGzN4N+bDi75Zg==">CgMxLjAyDmguM3NmYWo4NnB2bHVyMg5oLmg4ZGZlb3Z2ejAzbjIOaC55aXgwejJ5djYzMDEyDmguZ25sajM2bDBscjhiMg1oLmJ1M3k0aGJ4cmxuMg5oLjdnd29oMWI2YnFxdDIOaC42c2UybDd1ZXZwMW4yDmguMWplbmc5MXhtd3FnMg5oLmdrN2V2c3o2Y3k0aDIOaC5icHp5MWU4Yjl3ZDYyDmguYzhmemhsNnI0eWNmMg1oLnZlOXJxejV6NjN4Mg5oLmd0d3E4bWhxdWVnMzIOaC4ydnVkZjM4d3Q5dHoyDmguNWRoOW04bXE4MzJ1Mg5oLmxoaGd2c3lxYXkzZDgAciExLTh1b2pXTjZ0ZFRuYlNvWXdCaDg0bzRBZkRJLUlMQ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5637</Words>
  <Characters>31009</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2026-02-09T17:34:00Z</cp:lastPrinted>
  <dcterms:created xsi:type="dcterms:W3CDTF">2026-01-27T23:01:00Z</dcterms:created>
  <dcterms:modified xsi:type="dcterms:W3CDTF">2026-02-10T20:05:00Z</dcterms:modified>
</cp:coreProperties>
</file>