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4E79043C" w:rsidR="009E3316" w:rsidRPr="00627DE1"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627DE1">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FE4D41" w:rsidRPr="00627DE1">
        <w:rPr>
          <w:rFonts w:ascii="Palatino Linotype" w:eastAsia="Palatino Linotype" w:hAnsi="Palatino Linotype" w:cs="Palatino Linotype"/>
          <w:color w:val="000000"/>
          <w:sz w:val="24"/>
          <w:szCs w:val="24"/>
        </w:rPr>
        <w:t xml:space="preserve">tres de </w:t>
      </w:r>
      <w:r w:rsidR="004431A6" w:rsidRPr="00627DE1">
        <w:rPr>
          <w:rFonts w:ascii="Palatino Linotype" w:eastAsia="Palatino Linotype" w:hAnsi="Palatino Linotype" w:cs="Palatino Linotype"/>
          <w:color w:val="000000"/>
          <w:sz w:val="24"/>
          <w:szCs w:val="24"/>
        </w:rPr>
        <w:t>junio</w:t>
      </w:r>
      <w:r w:rsidR="00876873" w:rsidRPr="00627DE1">
        <w:rPr>
          <w:rFonts w:ascii="Palatino Linotype" w:eastAsia="Palatino Linotype" w:hAnsi="Palatino Linotype" w:cs="Palatino Linotype"/>
          <w:color w:val="000000"/>
          <w:sz w:val="24"/>
          <w:szCs w:val="24"/>
        </w:rPr>
        <w:t xml:space="preserve"> </w:t>
      </w:r>
      <w:r w:rsidRPr="00627DE1">
        <w:rPr>
          <w:rFonts w:ascii="Palatino Linotype" w:eastAsia="Palatino Linotype" w:hAnsi="Palatino Linotype" w:cs="Palatino Linotype"/>
          <w:color w:val="000000"/>
          <w:sz w:val="24"/>
          <w:szCs w:val="24"/>
        </w:rPr>
        <w:t xml:space="preserve">de dos mil </w:t>
      </w:r>
      <w:r w:rsidR="001408BE" w:rsidRPr="00627DE1">
        <w:rPr>
          <w:rFonts w:ascii="Palatino Linotype" w:eastAsia="Palatino Linotype" w:hAnsi="Palatino Linotype" w:cs="Palatino Linotype"/>
          <w:color w:val="000000"/>
          <w:sz w:val="24"/>
          <w:szCs w:val="24"/>
        </w:rPr>
        <w:t>veintiséis</w:t>
      </w:r>
      <w:r w:rsidRPr="00627DE1">
        <w:rPr>
          <w:rFonts w:ascii="Palatino Linotype" w:eastAsia="Palatino Linotype" w:hAnsi="Palatino Linotype" w:cs="Palatino Linotype"/>
          <w:color w:val="000000"/>
          <w:sz w:val="24"/>
          <w:szCs w:val="24"/>
        </w:rPr>
        <w:t>.</w:t>
      </w:r>
    </w:p>
    <w:p w14:paraId="1BDF4917" w14:textId="77777777" w:rsidR="009E3316" w:rsidRPr="00627DE1"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30338F19" w:rsidR="009E3316" w:rsidRPr="00627DE1"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627DE1">
        <w:rPr>
          <w:rFonts w:ascii="Palatino Linotype" w:eastAsia="Palatino Linotype" w:hAnsi="Palatino Linotype" w:cs="Palatino Linotype"/>
          <w:b/>
          <w:sz w:val="24"/>
          <w:szCs w:val="24"/>
        </w:rPr>
        <w:t>VISTO</w:t>
      </w:r>
      <w:r w:rsidRPr="00627DE1">
        <w:rPr>
          <w:rFonts w:ascii="Palatino Linotype" w:eastAsia="Palatino Linotype" w:hAnsi="Palatino Linotype" w:cs="Palatino Linotype"/>
          <w:sz w:val="24"/>
          <w:szCs w:val="24"/>
        </w:rPr>
        <w:t xml:space="preserve"> el expediente electrónico del recurso de revisión con número </w:t>
      </w:r>
      <w:bookmarkStart w:id="0" w:name="_GoBack"/>
      <w:r w:rsidRPr="00627DE1">
        <w:rPr>
          <w:rFonts w:ascii="Palatino Linotype" w:eastAsia="Palatino Linotype" w:hAnsi="Palatino Linotype" w:cs="Palatino Linotype"/>
          <w:b/>
          <w:sz w:val="24"/>
          <w:szCs w:val="24"/>
        </w:rPr>
        <w:t>0</w:t>
      </w:r>
      <w:r w:rsidR="00FE4D41" w:rsidRPr="00627DE1">
        <w:rPr>
          <w:rFonts w:ascii="Palatino Linotype" w:eastAsia="Palatino Linotype" w:hAnsi="Palatino Linotype" w:cs="Palatino Linotype"/>
          <w:b/>
          <w:sz w:val="24"/>
          <w:szCs w:val="24"/>
        </w:rPr>
        <w:t>504</w:t>
      </w:r>
      <w:r w:rsidR="002D2022" w:rsidRPr="00627DE1">
        <w:rPr>
          <w:rFonts w:ascii="Palatino Linotype" w:eastAsia="Palatino Linotype" w:hAnsi="Palatino Linotype" w:cs="Palatino Linotype"/>
          <w:b/>
          <w:sz w:val="24"/>
          <w:szCs w:val="24"/>
        </w:rPr>
        <w:t>5</w:t>
      </w:r>
      <w:r w:rsidRPr="00627DE1">
        <w:rPr>
          <w:rFonts w:ascii="Palatino Linotype" w:eastAsia="Palatino Linotype" w:hAnsi="Palatino Linotype" w:cs="Palatino Linotype"/>
          <w:b/>
          <w:sz w:val="24"/>
          <w:szCs w:val="24"/>
        </w:rPr>
        <w:t>/INFOEM/IP/RR/202</w:t>
      </w:r>
      <w:r w:rsidR="00A8301C" w:rsidRPr="00627DE1">
        <w:rPr>
          <w:rFonts w:ascii="Palatino Linotype" w:eastAsia="Palatino Linotype" w:hAnsi="Palatino Linotype" w:cs="Palatino Linotype"/>
          <w:b/>
          <w:sz w:val="24"/>
          <w:szCs w:val="24"/>
        </w:rPr>
        <w:t>6</w:t>
      </w:r>
      <w:bookmarkEnd w:id="0"/>
      <w:r w:rsidRPr="00627DE1">
        <w:rPr>
          <w:rFonts w:ascii="Palatino Linotype" w:eastAsia="Palatino Linotype" w:hAnsi="Palatino Linotype" w:cs="Palatino Linotype"/>
          <w:b/>
          <w:sz w:val="24"/>
          <w:szCs w:val="24"/>
        </w:rPr>
        <w:t xml:space="preserve">, </w:t>
      </w:r>
      <w:r w:rsidRPr="00627DE1">
        <w:rPr>
          <w:rFonts w:ascii="Palatino Linotype" w:eastAsia="Palatino Linotype" w:hAnsi="Palatino Linotype" w:cs="Palatino Linotype"/>
          <w:color w:val="000000"/>
          <w:sz w:val="24"/>
          <w:szCs w:val="24"/>
        </w:rPr>
        <w:t xml:space="preserve">interpuesto </w:t>
      </w:r>
      <w:r w:rsidR="006A5601" w:rsidRPr="00627DE1">
        <w:rPr>
          <w:rFonts w:ascii="Palatino Linotype" w:eastAsia="Palatino Linotype" w:hAnsi="Palatino Linotype" w:cs="Palatino Linotype"/>
          <w:color w:val="000000"/>
          <w:sz w:val="24"/>
          <w:szCs w:val="24"/>
        </w:rPr>
        <w:t xml:space="preserve">por persona que manifiesta su nombre </w:t>
      </w:r>
      <w:r w:rsidR="0050508E" w:rsidRPr="00627DE1">
        <w:rPr>
          <w:rFonts w:ascii="Palatino Linotype" w:eastAsia="Palatino Linotype" w:hAnsi="Palatino Linotype" w:cs="Palatino Linotype"/>
          <w:color w:val="000000"/>
          <w:sz w:val="24"/>
          <w:szCs w:val="24"/>
        </w:rPr>
        <w:t>com</w:t>
      </w:r>
      <w:r w:rsidR="006A5601" w:rsidRPr="00627DE1">
        <w:rPr>
          <w:rFonts w:ascii="Palatino Linotype" w:eastAsia="Palatino Linotype" w:hAnsi="Palatino Linotype" w:cs="Palatino Linotype"/>
          <w:color w:val="000000"/>
          <w:sz w:val="24"/>
          <w:szCs w:val="24"/>
        </w:rPr>
        <w:t>o dato de identificación</w:t>
      </w:r>
      <w:r w:rsidRPr="00627DE1">
        <w:rPr>
          <w:rFonts w:ascii="Palatino Linotype" w:eastAsia="Palatino Linotype" w:hAnsi="Palatino Linotype" w:cs="Palatino Linotype"/>
          <w:color w:val="000000"/>
          <w:sz w:val="24"/>
          <w:szCs w:val="24"/>
        </w:rPr>
        <w:t xml:space="preserve">, a quien en lo sucesivo se le denominara como la parte </w:t>
      </w:r>
      <w:r w:rsidRPr="00627DE1">
        <w:rPr>
          <w:rFonts w:ascii="Palatino Linotype" w:eastAsia="Palatino Linotype" w:hAnsi="Palatino Linotype" w:cs="Palatino Linotype"/>
          <w:b/>
          <w:color w:val="000000"/>
          <w:sz w:val="24"/>
          <w:szCs w:val="24"/>
        </w:rPr>
        <w:t>Recurrente</w:t>
      </w:r>
      <w:r w:rsidRPr="00627DE1">
        <w:rPr>
          <w:rFonts w:ascii="Palatino Linotype" w:eastAsia="Palatino Linotype" w:hAnsi="Palatino Linotype" w:cs="Palatino Linotype"/>
          <w:color w:val="000000"/>
          <w:sz w:val="24"/>
          <w:szCs w:val="24"/>
        </w:rPr>
        <w:t xml:space="preserve">, </w:t>
      </w:r>
      <w:r w:rsidRPr="00627DE1">
        <w:rPr>
          <w:rFonts w:ascii="Palatino Linotype" w:eastAsia="Palatino Linotype" w:hAnsi="Palatino Linotype" w:cs="Palatino Linotype"/>
          <w:sz w:val="24"/>
          <w:szCs w:val="24"/>
        </w:rPr>
        <w:t xml:space="preserve">en contra de la falta de respuesta del </w:t>
      </w:r>
      <w:r w:rsidR="00876873" w:rsidRPr="00627DE1">
        <w:rPr>
          <w:rFonts w:ascii="Palatino Linotype" w:eastAsia="Palatino Linotype" w:hAnsi="Palatino Linotype" w:cs="Palatino Linotype"/>
          <w:b/>
          <w:bCs/>
          <w:color w:val="000000"/>
          <w:sz w:val="24"/>
          <w:szCs w:val="24"/>
        </w:rPr>
        <w:t>Ayuntamiento de Tepotzotlán</w:t>
      </w:r>
      <w:r w:rsidRPr="00627DE1">
        <w:rPr>
          <w:rFonts w:ascii="Palatino Linotype" w:eastAsia="Palatino Linotype" w:hAnsi="Palatino Linotype" w:cs="Palatino Linotype"/>
          <w:b/>
          <w:sz w:val="24"/>
          <w:szCs w:val="24"/>
        </w:rPr>
        <w:t xml:space="preserve">, </w:t>
      </w:r>
      <w:r w:rsidRPr="00627DE1">
        <w:rPr>
          <w:rFonts w:ascii="Palatino Linotype" w:eastAsia="Palatino Linotype" w:hAnsi="Palatino Linotype" w:cs="Palatino Linotype"/>
          <w:sz w:val="24"/>
          <w:szCs w:val="24"/>
        </w:rPr>
        <w:t>en lo subsecuente</w:t>
      </w:r>
      <w:r w:rsidRPr="00627DE1">
        <w:rPr>
          <w:rFonts w:ascii="Palatino Linotype" w:eastAsia="Palatino Linotype" w:hAnsi="Palatino Linotype" w:cs="Palatino Linotype"/>
          <w:b/>
          <w:sz w:val="24"/>
          <w:szCs w:val="24"/>
        </w:rPr>
        <w:t xml:space="preserve"> el Sujeto Obligado, </w:t>
      </w:r>
      <w:r w:rsidRPr="00627DE1">
        <w:rPr>
          <w:rFonts w:ascii="Palatino Linotype" w:eastAsia="Palatino Linotype" w:hAnsi="Palatino Linotype" w:cs="Palatino Linotype"/>
          <w:sz w:val="24"/>
          <w:szCs w:val="24"/>
        </w:rPr>
        <w:t>se procede a dictar la presente resolución.</w:t>
      </w:r>
    </w:p>
    <w:p w14:paraId="092D6E80" w14:textId="77777777" w:rsidR="009E3316" w:rsidRPr="00627DE1"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627DE1" w:rsidRDefault="009E3316" w:rsidP="009E3316">
      <w:pPr>
        <w:spacing w:after="0" w:line="360" w:lineRule="auto"/>
        <w:jc w:val="center"/>
        <w:rPr>
          <w:rFonts w:ascii="Palatino Linotype" w:eastAsia="Palatino Linotype" w:hAnsi="Palatino Linotype" w:cs="Palatino Linotype"/>
          <w:b/>
          <w:sz w:val="28"/>
          <w:szCs w:val="28"/>
        </w:rPr>
      </w:pPr>
      <w:r w:rsidRPr="00627DE1">
        <w:rPr>
          <w:rFonts w:ascii="Palatino Linotype" w:eastAsia="Palatino Linotype" w:hAnsi="Palatino Linotype" w:cs="Palatino Linotype"/>
          <w:b/>
          <w:sz w:val="28"/>
          <w:szCs w:val="28"/>
        </w:rPr>
        <w:t>A N T E C E D E N T E S</w:t>
      </w:r>
    </w:p>
    <w:p w14:paraId="036D13B8" w14:textId="77777777" w:rsidR="009E3316" w:rsidRPr="00627DE1"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627DE1" w:rsidRDefault="009E3316" w:rsidP="009E3316">
      <w:pPr>
        <w:spacing w:after="0" w:line="360" w:lineRule="auto"/>
        <w:jc w:val="both"/>
        <w:rPr>
          <w:rFonts w:ascii="Palatino Linotype" w:eastAsia="Palatino Linotype" w:hAnsi="Palatino Linotype" w:cs="Palatino Linotype"/>
          <w:b/>
          <w:sz w:val="28"/>
          <w:szCs w:val="24"/>
        </w:rPr>
      </w:pPr>
      <w:r w:rsidRPr="00627DE1">
        <w:rPr>
          <w:rFonts w:ascii="Palatino Linotype" w:eastAsia="Palatino Linotype" w:hAnsi="Palatino Linotype" w:cs="Palatino Linotype"/>
          <w:b/>
          <w:sz w:val="28"/>
          <w:szCs w:val="24"/>
        </w:rPr>
        <w:t xml:space="preserve">PRIMERO. </w:t>
      </w:r>
      <w:r w:rsidRPr="00627DE1">
        <w:rPr>
          <w:rFonts w:ascii="Palatino Linotype" w:eastAsia="Palatino Linotype" w:hAnsi="Palatino Linotype" w:cs="Palatino Linotype"/>
          <w:b/>
          <w:color w:val="000000"/>
          <w:sz w:val="28"/>
          <w:szCs w:val="24"/>
        </w:rPr>
        <w:t>De la solicitud de información.</w:t>
      </w:r>
    </w:p>
    <w:p w14:paraId="571CFC38" w14:textId="3DF2FA0C" w:rsidR="009E3316" w:rsidRPr="00627DE1" w:rsidRDefault="009E3316" w:rsidP="009E3316">
      <w:pPr>
        <w:spacing w:after="0" w:line="360" w:lineRule="auto"/>
        <w:jc w:val="both"/>
        <w:rPr>
          <w:rFonts w:ascii="Palatino Linotype" w:eastAsia="Palatino Linotype" w:hAnsi="Palatino Linotype" w:cs="Palatino Linotype"/>
          <w:b/>
          <w:sz w:val="24"/>
          <w:szCs w:val="24"/>
        </w:rPr>
      </w:pPr>
      <w:r w:rsidRPr="00627DE1">
        <w:rPr>
          <w:rFonts w:ascii="Palatino Linotype" w:eastAsia="Palatino Linotype" w:hAnsi="Palatino Linotype" w:cs="Palatino Linotype"/>
          <w:sz w:val="24"/>
          <w:szCs w:val="24"/>
        </w:rPr>
        <w:t xml:space="preserve">En fecha </w:t>
      </w:r>
      <w:r w:rsidR="00FE4D41" w:rsidRPr="00627DE1">
        <w:rPr>
          <w:rFonts w:ascii="Palatino Linotype" w:eastAsia="Palatino Linotype" w:hAnsi="Palatino Linotype" w:cs="Palatino Linotype"/>
          <w:b/>
          <w:sz w:val="24"/>
          <w:szCs w:val="24"/>
        </w:rPr>
        <w:t>veintidós de febrero</w:t>
      </w:r>
      <w:r w:rsidR="005740DF" w:rsidRPr="00627DE1">
        <w:rPr>
          <w:rFonts w:ascii="Palatino Linotype" w:eastAsia="Palatino Linotype" w:hAnsi="Palatino Linotype" w:cs="Palatino Linotype"/>
          <w:b/>
          <w:sz w:val="24"/>
          <w:szCs w:val="24"/>
        </w:rPr>
        <w:t xml:space="preserve"> de dos mil veintiséis</w:t>
      </w:r>
      <w:r w:rsidRPr="00627DE1">
        <w:rPr>
          <w:rFonts w:ascii="Palatino Linotype" w:eastAsia="Palatino Linotype" w:hAnsi="Palatino Linotype" w:cs="Palatino Linotype"/>
          <w:sz w:val="24"/>
          <w:szCs w:val="24"/>
        </w:rPr>
        <w:t>, la parte</w:t>
      </w:r>
      <w:r w:rsidRPr="00627DE1">
        <w:rPr>
          <w:rFonts w:ascii="Palatino Linotype" w:eastAsia="Palatino Linotype" w:hAnsi="Palatino Linotype" w:cs="Palatino Linotype"/>
          <w:b/>
          <w:sz w:val="24"/>
          <w:szCs w:val="24"/>
        </w:rPr>
        <w:t xml:space="preserve"> Recurrente</w:t>
      </w:r>
      <w:r w:rsidRPr="00627DE1">
        <w:rPr>
          <w:rFonts w:ascii="Palatino Linotype" w:eastAsia="Palatino Linotype" w:hAnsi="Palatino Linotype" w:cs="Palatino Linotype"/>
          <w:sz w:val="24"/>
          <w:szCs w:val="24"/>
        </w:rPr>
        <w:t xml:space="preserve"> presentó a través del Sistema de Acceso a la Información Mexiquense (</w:t>
      </w:r>
      <w:r w:rsidRPr="00627DE1">
        <w:rPr>
          <w:rFonts w:ascii="Palatino Linotype" w:eastAsia="Palatino Linotype" w:hAnsi="Palatino Linotype" w:cs="Palatino Linotype"/>
          <w:b/>
          <w:sz w:val="24"/>
          <w:szCs w:val="24"/>
        </w:rPr>
        <w:t>SAIMEX)</w:t>
      </w:r>
      <w:r w:rsidRPr="00627DE1">
        <w:rPr>
          <w:rFonts w:ascii="Palatino Linotype" w:eastAsia="Palatino Linotype" w:hAnsi="Palatino Linotype" w:cs="Palatino Linotype"/>
          <w:sz w:val="24"/>
          <w:szCs w:val="24"/>
        </w:rPr>
        <w:t xml:space="preserve">, la solicitud de acceso a la información pública, con número de folio </w:t>
      </w:r>
      <w:r w:rsidR="00FE4D41" w:rsidRPr="00627DE1">
        <w:rPr>
          <w:rFonts w:ascii="Palatino Linotype" w:eastAsia="Palatino Linotype" w:hAnsi="Palatino Linotype" w:cs="Palatino Linotype"/>
          <w:b/>
          <w:bCs/>
          <w:sz w:val="24"/>
          <w:szCs w:val="24"/>
        </w:rPr>
        <w:t>0068</w:t>
      </w:r>
      <w:r w:rsidR="00821C19" w:rsidRPr="00627DE1">
        <w:rPr>
          <w:rFonts w:ascii="Palatino Linotype" w:eastAsia="Palatino Linotype" w:hAnsi="Palatino Linotype" w:cs="Palatino Linotype"/>
          <w:b/>
          <w:bCs/>
          <w:sz w:val="24"/>
          <w:szCs w:val="24"/>
        </w:rPr>
        <w:t>5</w:t>
      </w:r>
      <w:r w:rsidR="00FE4D41" w:rsidRPr="00627DE1">
        <w:rPr>
          <w:rFonts w:ascii="Palatino Linotype" w:eastAsia="Palatino Linotype" w:hAnsi="Palatino Linotype" w:cs="Palatino Linotype"/>
          <w:b/>
          <w:bCs/>
          <w:sz w:val="24"/>
          <w:szCs w:val="24"/>
        </w:rPr>
        <w:t>/TEPOTZOT/IP/2026</w:t>
      </w:r>
      <w:r w:rsidRPr="00627DE1">
        <w:rPr>
          <w:rFonts w:ascii="Palatino Linotype" w:eastAsia="Palatino Linotype" w:hAnsi="Palatino Linotype" w:cs="Palatino Linotype"/>
          <w:sz w:val="24"/>
          <w:szCs w:val="24"/>
        </w:rPr>
        <w:t xml:space="preserve">, </w:t>
      </w:r>
      <w:r w:rsidR="0082774E" w:rsidRPr="00627DE1">
        <w:rPr>
          <w:rFonts w:ascii="Palatino Linotype" w:eastAsia="Palatino Linotype" w:hAnsi="Palatino Linotype" w:cs="Palatino Linotype"/>
          <w:sz w:val="24"/>
          <w:szCs w:val="24"/>
        </w:rPr>
        <w:t xml:space="preserve">no obstante se tiene por ingresada en fecha veintitrés del mismo mes y año por corresponder al día hábil inmediato posterior, </w:t>
      </w:r>
      <w:r w:rsidRPr="00627DE1">
        <w:rPr>
          <w:rFonts w:ascii="Palatino Linotype" w:eastAsia="Palatino Linotype" w:hAnsi="Palatino Linotype" w:cs="Palatino Linotype"/>
          <w:sz w:val="24"/>
          <w:szCs w:val="24"/>
        </w:rPr>
        <w:t xml:space="preserve">de lo siguiente: </w:t>
      </w:r>
    </w:p>
    <w:p w14:paraId="0E04DAD2" w14:textId="76ECC98B" w:rsidR="009E3316" w:rsidRPr="00627DE1" w:rsidRDefault="009E3316" w:rsidP="009E3316">
      <w:pPr>
        <w:pStyle w:val="INFOEM"/>
        <w:rPr>
          <w:lang w:val="es-ES_tradnl" w:eastAsia="es-ES"/>
        </w:rPr>
      </w:pPr>
      <w:r w:rsidRPr="00627DE1">
        <w:rPr>
          <w:lang w:val="es-ES_tradnl" w:eastAsia="es-ES"/>
        </w:rPr>
        <w:t>“</w:t>
      </w:r>
      <w:r w:rsidR="00821C19" w:rsidRPr="00627DE1">
        <w:rPr>
          <w:lang w:eastAsia="es-ES"/>
        </w:rPr>
        <w:t xml:space="preserve">Informe obras iniciadas o en ejecución enero–febrero 2026 con monto, empresa, contrato, ubicación y copia digital del </w:t>
      </w:r>
      <w:proofErr w:type="spellStart"/>
      <w:r w:rsidR="00821C19" w:rsidRPr="00627DE1">
        <w:rPr>
          <w:lang w:eastAsia="es-ES"/>
        </w:rPr>
        <w:t>contrato.La</w:t>
      </w:r>
      <w:proofErr w:type="spellEnd"/>
      <w:r w:rsidR="00821C19" w:rsidRPr="00627DE1">
        <w:rPr>
          <w:lang w:eastAsia="es-ES"/>
        </w:rPr>
        <w:t xml:space="preserve"> opacidad en obra pública vulnera el principio constitucional de rendición de cuentas sobre el uso del erario</w:t>
      </w:r>
      <w:r w:rsidR="00BC25FC" w:rsidRPr="00627DE1">
        <w:rPr>
          <w:lang w:eastAsia="es-ES"/>
        </w:rPr>
        <w:t>.</w:t>
      </w:r>
      <w:r w:rsidRPr="00627DE1">
        <w:rPr>
          <w:lang w:val="es-ES_tradnl" w:eastAsia="es-ES"/>
        </w:rPr>
        <w:t>” (Sic)</w:t>
      </w:r>
    </w:p>
    <w:p w14:paraId="6B4B6209" w14:textId="77777777" w:rsidR="009E3316" w:rsidRPr="00627DE1" w:rsidRDefault="009E3316" w:rsidP="009E3316">
      <w:pPr>
        <w:spacing w:before="240" w:line="360" w:lineRule="auto"/>
        <w:jc w:val="both"/>
        <w:rPr>
          <w:rFonts w:ascii="Palatino Linotype" w:hAnsi="Palatino Linotype"/>
          <w:lang w:val="es-ES_tradnl"/>
        </w:rPr>
      </w:pPr>
      <w:r w:rsidRPr="00627DE1">
        <w:rPr>
          <w:rFonts w:ascii="Palatino Linotype" w:hAnsi="Palatino Linotype"/>
          <w:b/>
          <w:lang w:val="es-ES_tradnl"/>
        </w:rPr>
        <w:t>Modalidad de entrega:</w:t>
      </w:r>
      <w:r w:rsidRPr="00627DE1">
        <w:rPr>
          <w:rFonts w:ascii="Palatino Linotype" w:hAnsi="Palatino Linotype"/>
          <w:lang w:val="es-ES_tradnl"/>
        </w:rPr>
        <w:t xml:space="preserve"> A través del SAIMEX.</w:t>
      </w:r>
    </w:p>
    <w:p w14:paraId="45FCD281" w14:textId="77777777" w:rsidR="009E3316" w:rsidRPr="00627DE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627DE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627DE1">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627DE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27DE1">
        <w:rPr>
          <w:rFonts w:ascii="Palatino Linotype" w:eastAsia="Palatino Linotype" w:hAnsi="Palatino Linotype" w:cs="Palatino Linotype"/>
          <w:color w:val="000000"/>
          <w:sz w:val="24"/>
          <w:szCs w:val="24"/>
        </w:rPr>
        <w:t>E</w:t>
      </w:r>
      <w:r w:rsidRPr="00627DE1">
        <w:rPr>
          <w:rFonts w:ascii="Palatino Linotype" w:eastAsia="Palatino Linotype" w:hAnsi="Palatino Linotype" w:cs="Palatino Linotype"/>
          <w:sz w:val="24"/>
          <w:szCs w:val="24"/>
        </w:rPr>
        <w:t xml:space="preserv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no proporcionó respuesta a la solicitud de información </w:t>
      </w:r>
      <w:r w:rsidRPr="00627DE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627DE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627DE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627DE1">
        <w:rPr>
          <w:rFonts w:ascii="Palatino Linotype" w:eastAsia="Palatino Linotype" w:hAnsi="Palatino Linotype" w:cs="Palatino Linotype"/>
          <w:b/>
          <w:sz w:val="28"/>
          <w:szCs w:val="24"/>
        </w:rPr>
        <w:t xml:space="preserve">TERCERO. </w:t>
      </w:r>
      <w:r w:rsidRPr="00627DE1">
        <w:rPr>
          <w:rFonts w:ascii="Palatino Linotype" w:eastAsia="Palatino Linotype" w:hAnsi="Palatino Linotype" w:cs="Palatino Linotype"/>
          <w:b/>
          <w:color w:val="000000"/>
          <w:sz w:val="28"/>
          <w:szCs w:val="24"/>
        </w:rPr>
        <w:t>Del recurso de revisión.</w:t>
      </w:r>
    </w:p>
    <w:p w14:paraId="3772108F" w14:textId="0F1EE2A8" w:rsidR="009E3316" w:rsidRPr="00627DE1" w:rsidRDefault="009E3316" w:rsidP="009E3316">
      <w:pPr>
        <w:spacing w:after="0" w:line="360" w:lineRule="auto"/>
        <w:jc w:val="both"/>
        <w:rPr>
          <w:rFonts w:ascii="Palatino Linotype" w:eastAsia="Palatino Linotype" w:hAnsi="Palatino Linotype" w:cs="Palatino Linotype"/>
          <w:b/>
          <w:sz w:val="24"/>
          <w:szCs w:val="24"/>
        </w:rPr>
      </w:pPr>
      <w:r w:rsidRPr="00627DE1">
        <w:rPr>
          <w:rFonts w:ascii="Palatino Linotype" w:eastAsia="Palatino Linotype" w:hAnsi="Palatino Linotype" w:cs="Palatino Linotype"/>
          <w:sz w:val="24"/>
          <w:szCs w:val="24"/>
        </w:rPr>
        <w:t>Ante la falta de respuesta</w:t>
      </w:r>
      <w:r w:rsidRPr="00627DE1">
        <w:rPr>
          <w:rFonts w:ascii="Palatino Linotype" w:eastAsia="Palatino Linotype" w:hAnsi="Palatino Linotype" w:cs="Palatino Linotype"/>
          <w:b/>
          <w:sz w:val="24"/>
          <w:szCs w:val="24"/>
        </w:rPr>
        <w:t xml:space="preserve"> </w:t>
      </w:r>
      <w:r w:rsidRPr="00627DE1">
        <w:rPr>
          <w:rFonts w:ascii="Palatino Linotype" w:eastAsia="Palatino Linotype" w:hAnsi="Palatino Linotype" w:cs="Palatino Linotype"/>
          <w:sz w:val="24"/>
          <w:szCs w:val="24"/>
        </w:rPr>
        <w:t xml:space="preserve">del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la parte </w:t>
      </w:r>
      <w:r w:rsidRPr="00627DE1">
        <w:rPr>
          <w:rFonts w:ascii="Palatino Linotype" w:eastAsia="Palatino Linotype" w:hAnsi="Palatino Linotype" w:cs="Palatino Linotype"/>
          <w:b/>
          <w:sz w:val="24"/>
          <w:szCs w:val="24"/>
        </w:rPr>
        <w:t>Recurrente</w:t>
      </w:r>
      <w:r w:rsidRPr="00627DE1">
        <w:rPr>
          <w:rFonts w:ascii="Palatino Linotype" w:eastAsia="Palatino Linotype" w:hAnsi="Palatino Linotype" w:cs="Palatino Linotype"/>
          <w:sz w:val="24"/>
          <w:szCs w:val="24"/>
        </w:rPr>
        <w:t xml:space="preserve"> interpuso el recurso de revisión en fecha </w:t>
      </w:r>
      <w:r w:rsidR="00B80967" w:rsidRPr="00627DE1">
        <w:rPr>
          <w:rFonts w:ascii="Palatino Linotype" w:eastAsia="Palatino Linotype" w:hAnsi="Palatino Linotype" w:cs="Palatino Linotype"/>
          <w:b/>
          <w:sz w:val="24"/>
          <w:szCs w:val="24"/>
        </w:rPr>
        <w:t>siete de mayo de dos mil veintiséis</w:t>
      </w:r>
      <w:r w:rsidRPr="00627DE1">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627DE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627DE1" w:rsidRDefault="009E3316" w:rsidP="009E3316">
      <w:pPr>
        <w:numPr>
          <w:ilvl w:val="0"/>
          <w:numId w:val="1"/>
        </w:numPr>
        <w:pBdr>
          <w:top w:val="nil"/>
          <w:left w:val="nil"/>
          <w:bottom w:val="nil"/>
          <w:right w:val="nil"/>
          <w:between w:val="nil"/>
        </w:pBdr>
        <w:spacing w:after="0" w:line="360" w:lineRule="auto"/>
        <w:jc w:val="both"/>
        <w:rPr>
          <w:i/>
        </w:rPr>
      </w:pPr>
      <w:r w:rsidRPr="00627DE1">
        <w:rPr>
          <w:rFonts w:ascii="Palatino Linotype" w:eastAsia="Palatino Linotype" w:hAnsi="Palatino Linotype" w:cs="Palatino Linotype"/>
          <w:b/>
          <w:i/>
          <w:color w:val="000000"/>
        </w:rPr>
        <w:t xml:space="preserve">Acto Impugnado: </w:t>
      </w:r>
    </w:p>
    <w:p w14:paraId="1703B167" w14:textId="51169A10" w:rsidR="009E3316" w:rsidRPr="00627DE1" w:rsidRDefault="009E3316" w:rsidP="009E3316">
      <w:pPr>
        <w:pStyle w:val="INFOEM"/>
      </w:pPr>
      <w:r w:rsidRPr="00627DE1">
        <w:t>“</w:t>
      </w:r>
      <w:r w:rsidR="000E61DC" w:rsidRPr="00627DE1">
        <w:t xml:space="preserve">Informe obras iniciadas o en ejecución enero–febrero 2026 con monto, empresa, contrato, ubicación y copia digital del </w:t>
      </w:r>
      <w:proofErr w:type="spellStart"/>
      <w:r w:rsidR="000E61DC" w:rsidRPr="00627DE1">
        <w:t>contrato.La</w:t>
      </w:r>
      <w:proofErr w:type="spellEnd"/>
      <w:r w:rsidR="000E61DC" w:rsidRPr="00627DE1">
        <w:t xml:space="preserve"> opacidad en obra pública vulnera el principio constitucional de rendición de cuentas sobre el uso del erario.</w:t>
      </w:r>
      <w:r w:rsidRPr="00627DE1">
        <w:t xml:space="preserve">" (Sic) </w:t>
      </w:r>
    </w:p>
    <w:p w14:paraId="03B98361" w14:textId="77777777" w:rsidR="009E3316" w:rsidRPr="00627DE1"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627DE1" w:rsidRDefault="009E3316" w:rsidP="009E3316">
      <w:pPr>
        <w:numPr>
          <w:ilvl w:val="0"/>
          <w:numId w:val="1"/>
        </w:numPr>
        <w:pBdr>
          <w:top w:val="nil"/>
          <w:left w:val="nil"/>
          <w:bottom w:val="nil"/>
          <w:right w:val="nil"/>
          <w:between w:val="nil"/>
        </w:pBdr>
        <w:spacing w:after="0" w:line="360" w:lineRule="auto"/>
        <w:jc w:val="both"/>
      </w:pPr>
      <w:r w:rsidRPr="00627DE1">
        <w:rPr>
          <w:rFonts w:ascii="Palatino Linotype" w:eastAsia="Palatino Linotype" w:hAnsi="Palatino Linotype" w:cs="Palatino Linotype"/>
          <w:b/>
          <w:i/>
          <w:color w:val="000000"/>
        </w:rPr>
        <w:t>Razones o Motivos de Inconformidad</w:t>
      </w:r>
      <w:r w:rsidRPr="00627DE1">
        <w:rPr>
          <w:rFonts w:ascii="Palatino Linotype" w:eastAsia="Palatino Linotype" w:hAnsi="Palatino Linotype" w:cs="Palatino Linotype"/>
          <w:i/>
          <w:color w:val="000000"/>
        </w:rPr>
        <w:t xml:space="preserve">: </w:t>
      </w:r>
    </w:p>
    <w:p w14:paraId="1E680440" w14:textId="1E7DB8BD" w:rsidR="009E3316" w:rsidRPr="00627DE1" w:rsidRDefault="009E3316" w:rsidP="009E3316">
      <w:pPr>
        <w:pStyle w:val="INFOEM"/>
      </w:pPr>
      <w:r w:rsidRPr="00627DE1">
        <w:t>“</w:t>
      </w:r>
      <w:r w:rsidR="000E61DC" w:rsidRPr="00627DE1">
        <w:t xml:space="preserve">El H. Ayuntamiento de Tepotzotlán incurrió en una omisión absoluta, sistemática y jurídicamente inexcusable, al abstenerse de emitir respuesta dentro del plazo legal establecido respecto de la solicitud de información presentada, configurándose de manera automática la figura de la negativa ficta, en detrimento directo de mi derecho humano de acceso a la información pública. Dicha omisión no puede ser considerada una simple irregularidad administrativa, sino que constituye una conducta ilegal, </w:t>
      </w:r>
      <w:r w:rsidR="000E61DC" w:rsidRPr="00627DE1">
        <w:lastRenderedPageBreak/>
        <w:t xml:space="preserve">arbitraria y plenamente sancionable, que transgrede de manera frontal los principios rectores de legalidad, máxima publicidad, exhaustividad, certeza jurídica, rendición de cuentas y transparencia, pilares fundamentales del sistema democrático y del régimen de acceso a la información pública. El Sujeto Obligado incumplió de forma total, deliberada y sin justificación alguna, el procedimiento previsto en la Ley de Transparencia y Acceso a la Información Pública del Estado de México y Municipios, al no: emitir respuesta dentro del plazo legal establecido; acreditar la realización de una búsqueda exhaustiva, razonable y documentada en sus archivos físicos, electrónicos y administrativos; fundar y motivar jurídicamente la inexistencia, clasificación o reserva de la información; turnar la solicitud a las unidades administrativas competentes; justificar de manera legal y oportuna cualquier ampliación del plazo de respuesta. Tal conducta configura una obstrucción directa, material y dolosa del ejercicio del derecho de acceso a la información, generando un estado de indefensión jurídica absoluta, al privarme de una resolución administrativa válida, fundada y motivada. Asimismo, atendiendo a la naturaleza de la información solicitada, la cual deriva del ejercicio de funciones públicas, resulta jurídicamente exigible que dicha información obre en los archivos institucionales del Sujeto Obligado. En consecuencia, la omisión de respuesta genera una presunción fundada de opacidad institucional, negligencia administrativa grave o deficiencias estructurales en la gestión documental, lo cual resulta inadmisible en un ente público. El actuar del Sujeto Obligado vulnera de manera directa los artículos 6° y 8° de la Constitución Política de los Estados Unidos Mexicanos, así como diversas disposiciones de la Ley de Transparencia y Acceso a la Información Pública del Estado de México y Municipios, que imponen la obligación de: tramitar, sustanciar y resolver las solicitudes de información; realizar búsquedas exhaustivas, razonables y verificables; emitir respuestas debidamente fundadas y motivadas dentro del plazo legal; garantizar el acceso efectivo, completo y oportuno a la información pública. El </w:t>
      </w:r>
      <w:r w:rsidR="000E61DC" w:rsidRPr="00627DE1">
        <w:lastRenderedPageBreak/>
        <w:t xml:space="preserve">incumplimiento de dichas obligaciones no es menor, sino que constituye una falta administrativa grave, susceptible de sanción conforme al régimen de responsabilidades de los servidores públicos, al implicar una violación directa a un derecho humano reconocido constitucionalmente. En ese sentido, la conducta del H. Ayuntamiento de Tepotzotlán debe calificarse inequívocamente como: omisión total de respuesta (negativa ficta); incumplimiento grave, reiterado y sistemático de obligaciones en materia de transparencia; obstrucción ilegal del ejercicio de un derecho humano fundamental. Dicha conducta es plenamente sancionable y genera responsabilidad administrativa directa para los servidores públicos involucrados, incluyendo a la Unidad de Transparencia y a quienes resulten responsables por acción u omisión. Por lo anteriormente expuesto, solicito a ese Órgano Garante: Se declare fundada la omisión del Sujeto Obligado, reconociendo formalmente la configuración de la negativa ficta. Se ordene la emisión inmediata de una respuesta debidamente fundada y motivada, garantizando la realización de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medidas de apremio, incluyendo multa,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socava el sistema de rendición de cuentas, debilita la transparencia institucional y fomenta prácticas de opacidad en el ejercicio del poder público, al impedir el acceso a información generada con recursos públicos. Por lo anterior, se </w:t>
      </w:r>
      <w:r w:rsidR="000E61DC" w:rsidRPr="00627DE1">
        <w:lastRenderedPageBreak/>
        <w:t>solicita la intervención firme, inmediata y ejemplar de ese Instituto, a efecto de restituir plenamente el derecho vulnerado, aplicar las medidas de apremio correspondientes y sancionar la conducta omisiva, con el propósito de inhibir su repetición y garantizar el respeto efectivo al derecho de acceso a la información pública.</w:t>
      </w:r>
      <w:r w:rsidRPr="00627DE1">
        <w:t>”</w:t>
      </w:r>
      <w:r w:rsidRPr="00627DE1">
        <w:rPr>
          <w:sz w:val="24"/>
          <w:szCs w:val="24"/>
        </w:rPr>
        <w:t xml:space="preserve"> (Sic)</w:t>
      </w:r>
      <w:r w:rsidRPr="00627DE1">
        <w:rPr>
          <w:rFonts w:ascii="Times New Roman" w:eastAsia="Times New Roman" w:hAnsi="Times New Roman" w:cs="Times New Roman"/>
          <w:sz w:val="24"/>
          <w:szCs w:val="24"/>
        </w:rPr>
        <w:t xml:space="preserve"> </w:t>
      </w:r>
      <w:r w:rsidR="00B80967" w:rsidRPr="00627DE1">
        <w:rPr>
          <w:rFonts w:ascii="Times New Roman" w:eastAsia="Times New Roman" w:hAnsi="Times New Roman" w:cs="Times New Roman"/>
          <w:sz w:val="24"/>
          <w:szCs w:val="24"/>
        </w:rPr>
        <w:t xml:space="preserve"> </w:t>
      </w:r>
    </w:p>
    <w:p w14:paraId="1777C7DF" w14:textId="77777777" w:rsidR="009E3316" w:rsidRPr="00627DE1"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627DE1" w:rsidRDefault="009E3316" w:rsidP="009E3316">
      <w:pPr>
        <w:spacing w:before="240" w:line="360" w:lineRule="auto"/>
        <w:jc w:val="both"/>
        <w:rPr>
          <w:rFonts w:ascii="Palatino Linotype" w:hAnsi="Palatino Linotype" w:cs="Arial"/>
          <w:b/>
        </w:rPr>
      </w:pPr>
      <w:r w:rsidRPr="00627DE1">
        <w:rPr>
          <w:rFonts w:ascii="Palatino Linotype" w:hAnsi="Palatino Linotype" w:cs="Arial"/>
          <w:b/>
          <w:sz w:val="28"/>
        </w:rPr>
        <w:t>CUARTO</w:t>
      </w:r>
      <w:r w:rsidRPr="00627DE1">
        <w:rPr>
          <w:rFonts w:ascii="Palatino Linotype" w:hAnsi="Palatino Linotype" w:cs="Arial"/>
          <w:b/>
        </w:rPr>
        <w:t xml:space="preserve">. </w:t>
      </w:r>
      <w:r w:rsidRPr="00627DE1">
        <w:rPr>
          <w:rFonts w:ascii="Palatino Linotype" w:hAnsi="Palatino Linotype" w:cs="Arial"/>
          <w:b/>
          <w:sz w:val="28"/>
          <w:szCs w:val="28"/>
        </w:rPr>
        <w:t>Del turno y admisión del recurso de revisión.</w:t>
      </w:r>
    </w:p>
    <w:p w14:paraId="26FD1593" w14:textId="52C23A32" w:rsidR="009E3316" w:rsidRPr="00627DE1" w:rsidRDefault="009E3316" w:rsidP="009E3316">
      <w:pPr>
        <w:spacing w:before="240" w:line="360" w:lineRule="auto"/>
        <w:jc w:val="both"/>
        <w:rPr>
          <w:rFonts w:ascii="Palatino Linotype" w:hAnsi="Palatino Linotype" w:cs="Arial"/>
          <w:sz w:val="32"/>
        </w:rPr>
      </w:pPr>
      <w:r w:rsidRPr="00627DE1">
        <w:rPr>
          <w:rFonts w:ascii="Palatino Linotype" w:hAnsi="Palatino Linotype"/>
          <w:sz w:val="24"/>
        </w:rPr>
        <w:t xml:space="preserve">El medio de impugnación fue turnado al Comisionado Presidente </w:t>
      </w:r>
      <w:r w:rsidRPr="00627DE1">
        <w:rPr>
          <w:rFonts w:ascii="Palatino Linotype" w:hAnsi="Palatino Linotype"/>
          <w:b/>
          <w:sz w:val="24"/>
        </w:rPr>
        <w:t>José Martínez Vilchis,</w:t>
      </w:r>
      <w:r w:rsidRPr="00627DE1">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627DE1">
        <w:rPr>
          <w:rFonts w:ascii="Palatino Linotype" w:hAnsi="Palatino Linotype"/>
          <w:b/>
          <w:sz w:val="24"/>
        </w:rPr>
        <w:t>admisión</w:t>
      </w:r>
      <w:r w:rsidRPr="00627DE1">
        <w:rPr>
          <w:rFonts w:ascii="Palatino Linotype" w:hAnsi="Palatino Linotype"/>
          <w:sz w:val="24"/>
        </w:rPr>
        <w:t xml:space="preserve"> en fecha </w:t>
      </w:r>
      <w:r w:rsidR="00F25DD8" w:rsidRPr="00627DE1">
        <w:rPr>
          <w:rFonts w:ascii="Palatino Linotype" w:eastAsia="Palatino Linotype" w:hAnsi="Palatino Linotype" w:cs="Palatino Linotype"/>
          <w:b/>
          <w:sz w:val="24"/>
          <w:szCs w:val="24"/>
        </w:rPr>
        <w:t xml:space="preserve">doce de mayo </w:t>
      </w:r>
      <w:r w:rsidR="00177CF2" w:rsidRPr="00627DE1">
        <w:rPr>
          <w:rFonts w:ascii="Palatino Linotype" w:eastAsia="Palatino Linotype" w:hAnsi="Palatino Linotype" w:cs="Palatino Linotype"/>
          <w:b/>
          <w:sz w:val="24"/>
          <w:szCs w:val="24"/>
        </w:rPr>
        <w:t>de dos mil veintiséis</w:t>
      </w:r>
      <w:r w:rsidRPr="00627DE1">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627DE1"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627DE1" w:rsidRDefault="009E3316" w:rsidP="009E3316">
      <w:pPr>
        <w:pStyle w:val="Prrafodelista"/>
        <w:spacing w:line="360" w:lineRule="auto"/>
        <w:ind w:left="0"/>
        <w:jc w:val="both"/>
        <w:rPr>
          <w:rFonts w:ascii="Palatino Linotype" w:hAnsi="Palatino Linotype" w:cs="Arial"/>
          <w:b/>
          <w:sz w:val="28"/>
          <w:szCs w:val="28"/>
        </w:rPr>
      </w:pPr>
      <w:r w:rsidRPr="00627DE1">
        <w:rPr>
          <w:rFonts w:ascii="Palatino Linotype" w:hAnsi="Palatino Linotype" w:cs="Arial"/>
          <w:b/>
          <w:sz w:val="28"/>
        </w:rPr>
        <w:t>QUINTO</w:t>
      </w:r>
      <w:r w:rsidRPr="00627DE1">
        <w:rPr>
          <w:rFonts w:ascii="Palatino Linotype" w:hAnsi="Palatino Linotype" w:cs="Arial"/>
          <w:b/>
        </w:rPr>
        <w:t>.</w:t>
      </w:r>
      <w:r w:rsidRPr="00627DE1">
        <w:rPr>
          <w:rFonts w:ascii="Palatino Linotype" w:hAnsi="Palatino Linotype" w:cs="Arial"/>
          <w:b/>
          <w:sz w:val="28"/>
          <w:szCs w:val="28"/>
        </w:rPr>
        <w:t xml:space="preserve"> De la etapa de instrucción.</w:t>
      </w:r>
    </w:p>
    <w:p w14:paraId="647001C9" w14:textId="77777777" w:rsidR="009E3316" w:rsidRPr="00627DE1" w:rsidRDefault="009E3316" w:rsidP="009E3316">
      <w:pPr>
        <w:spacing w:after="0" w:line="360" w:lineRule="auto"/>
        <w:jc w:val="both"/>
        <w:rPr>
          <w:rFonts w:ascii="Palatino Linotype" w:hAnsi="Palatino Linotype"/>
          <w:sz w:val="24"/>
          <w:szCs w:val="24"/>
        </w:rPr>
      </w:pPr>
      <w:r w:rsidRPr="00627DE1">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627DE1">
        <w:rPr>
          <w:rFonts w:ascii="Palatino Linotype" w:hAnsi="Palatino Linotype" w:cs="Arial"/>
          <w:b/>
          <w:sz w:val="24"/>
          <w:szCs w:val="24"/>
        </w:rPr>
        <w:t>,</w:t>
      </w:r>
      <w:r w:rsidRPr="00627DE1">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627DE1" w:rsidRDefault="009E3316" w:rsidP="009E3316">
      <w:pPr>
        <w:spacing w:after="0" w:line="360" w:lineRule="auto"/>
        <w:jc w:val="both"/>
        <w:rPr>
          <w:rFonts w:ascii="Palatino Linotype" w:hAnsi="Palatino Linotype" w:cs="Arial"/>
          <w:sz w:val="24"/>
          <w:szCs w:val="24"/>
        </w:rPr>
      </w:pPr>
    </w:p>
    <w:p w14:paraId="2716A149" w14:textId="77777777" w:rsidR="009E3316" w:rsidRPr="00627DE1" w:rsidRDefault="009E3316" w:rsidP="009E3316">
      <w:pPr>
        <w:spacing w:after="0" w:line="360" w:lineRule="auto"/>
        <w:jc w:val="both"/>
        <w:rPr>
          <w:rFonts w:ascii="Palatino Linotype" w:hAnsi="Palatino Linotype" w:cs="Arial"/>
          <w:sz w:val="24"/>
          <w:szCs w:val="24"/>
        </w:rPr>
      </w:pPr>
      <w:r w:rsidRPr="00627DE1">
        <w:rPr>
          <w:rFonts w:ascii="Palatino Linotype" w:hAnsi="Palatino Linotype" w:cs="Arial"/>
          <w:sz w:val="24"/>
          <w:szCs w:val="24"/>
        </w:rPr>
        <w:t xml:space="preserve">Por lo que al no existir prueba alguna o diligencia que desahogar en el expediente citado al rubro, el Comisionado Ponente acordó el cierre de instrucción, así como la </w:t>
      </w:r>
      <w:r w:rsidRPr="00627DE1">
        <w:rPr>
          <w:rFonts w:ascii="Palatino Linotype" w:hAnsi="Palatino Linotype" w:cs="Arial"/>
          <w:sz w:val="24"/>
          <w:szCs w:val="24"/>
        </w:rPr>
        <w:lastRenderedPageBreak/>
        <w:t>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627DE1" w:rsidRDefault="009E3316" w:rsidP="009E3316">
      <w:pPr>
        <w:spacing w:after="0" w:line="360" w:lineRule="auto"/>
        <w:jc w:val="both"/>
        <w:rPr>
          <w:rFonts w:ascii="Palatino Linotype" w:hAnsi="Palatino Linotype" w:cs="Arial"/>
          <w:b/>
          <w:sz w:val="28"/>
          <w:szCs w:val="28"/>
        </w:rPr>
      </w:pPr>
    </w:p>
    <w:p w14:paraId="7B12577E" w14:textId="77777777" w:rsidR="009E3316" w:rsidRPr="00627DE1" w:rsidRDefault="009E3316" w:rsidP="009E3316">
      <w:pPr>
        <w:spacing w:after="0" w:line="360" w:lineRule="auto"/>
        <w:jc w:val="both"/>
        <w:rPr>
          <w:rFonts w:ascii="Palatino Linotype" w:hAnsi="Palatino Linotype" w:cs="Arial"/>
          <w:b/>
          <w:sz w:val="28"/>
          <w:szCs w:val="28"/>
        </w:rPr>
      </w:pPr>
      <w:r w:rsidRPr="00627DE1">
        <w:rPr>
          <w:rFonts w:ascii="Palatino Linotype" w:hAnsi="Palatino Linotype" w:cs="Arial"/>
          <w:b/>
          <w:sz w:val="28"/>
          <w:szCs w:val="28"/>
        </w:rPr>
        <w:t>SEXTO. Del Cierre de Instrucción.</w:t>
      </w:r>
    </w:p>
    <w:p w14:paraId="09B37DE1" w14:textId="68625D0A" w:rsidR="009E3316" w:rsidRPr="00627DE1" w:rsidRDefault="009E3316" w:rsidP="009E3316">
      <w:pPr>
        <w:spacing w:after="0" w:line="360" w:lineRule="auto"/>
        <w:jc w:val="both"/>
        <w:rPr>
          <w:rFonts w:ascii="Palatino Linotype" w:hAnsi="Palatino Linotype" w:cs="Arial"/>
          <w:sz w:val="24"/>
          <w:szCs w:val="24"/>
        </w:rPr>
      </w:pPr>
      <w:r w:rsidRPr="00627DE1">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F25DD8" w:rsidRPr="00627DE1">
        <w:rPr>
          <w:rFonts w:ascii="Palatino Linotype" w:hAnsi="Palatino Linotype" w:cs="Arial"/>
          <w:b/>
          <w:sz w:val="24"/>
          <w:szCs w:val="24"/>
        </w:rPr>
        <w:t>veintidós</w:t>
      </w:r>
      <w:r w:rsidR="0052559A" w:rsidRPr="00627DE1">
        <w:rPr>
          <w:rFonts w:ascii="Palatino Linotype" w:hAnsi="Palatino Linotype" w:cs="Arial"/>
          <w:b/>
          <w:sz w:val="24"/>
          <w:szCs w:val="24"/>
        </w:rPr>
        <w:t xml:space="preserve"> de mayo </w:t>
      </w:r>
      <w:r w:rsidR="001F682C" w:rsidRPr="00627DE1">
        <w:rPr>
          <w:rFonts w:ascii="Palatino Linotype" w:hAnsi="Palatino Linotype" w:cs="Arial"/>
          <w:b/>
          <w:sz w:val="24"/>
          <w:szCs w:val="24"/>
        </w:rPr>
        <w:t>de dos mil veintiséis</w:t>
      </w:r>
      <w:r w:rsidRPr="00627DE1">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627DE1" w:rsidRDefault="009E3316" w:rsidP="009E3316">
      <w:pPr>
        <w:spacing w:after="0" w:line="360" w:lineRule="auto"/>
        <w:jc w:val="center"/>
        <w:rPr>
          <w:rFonts w:ascii="Palatino Linotype" w:eastAsia="Palatino Linotype" w:hAnsi="Palatino Linotype" w:cs="Palatino Linotype"/>
          <w:sz w:val="24"/>
          <w:szCs w:val="24"/>
        </w:rPr>
      </w:pPr>
      <w:r w:rsidRPr="00627DE1">
        <w:rPr>
          <w:rFonts w:ascii="Palatino Linotype" w:eastAsia="Palatino Linotype" w:hAnsi="Palatino Linotype" w:cs="Palatino Linotype"/>
          <w:b/>
          <w:sz w:val="28"/>
          <w:szCs w:val="28"/>
        </w:rPr>
        <w:t xml:space="preserve">C O N S I D E R A N D O </w:t>
      </w:r>
    </w:p>
    <w:p w14:paraId="103A28CF"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627DE1" w:rsidRDefault="009E3316" w:rsidP="009E3316">
      <w:pPr>
        <w:spacing w:after="0" w:line="360" w:lineRule="auto"/>
        <w:jc w:val="both"/>
        <w:rPr>
          <w:rFonts w:ascii="Palatino Linotype" w:eastAsia="Palatino Linotype" w:hAnsi="Palatino Linotype" w:cs="Palatino Linotype"/>
          <w:sz w:val="28"/>
          <w:szCs w:val="24"/>
        </w:rPr>
      </w:pPr>
      <w:r w:rsidRPr="00627DE1">
        <w:rPr>
          <w:rFonts w:ascii="Palatino Linotype" w:eastAsia="Palatino Linotype" w:hAnsi="Palatino Linotype" w:cs="Palatino Linotype"/>
          <w:b/>
          <w:sz w:val="28"/>
          <w:szCs w:val="24"/>
        </w:rPr>
        <w:t>PRIMERO. De la competencia</w:t>
      </w:r>
      <w:r w:rsidRPr="00627DE1">
        <w:rPr>
          <w:rFonts w:ascii="Palatino Linotype" w:eastAsia="Palatino Linotype" w:hAnsi="Palatino Linotype" w:cs="Palatino Linotype"/>
          <w:sz w:val="28"/>
          <w:szCs w:val="24"/>
        </w:rPr>
        <w:t>.</w:t>
      </w:r>
    </w:p>
    <w:p w14:paraId="7FA63AB1" w14:textId="77777777" w:rsidR="009E3316" w:rsidRPr="00627DE1" w:rsidRDefault="009E3316" w:rsidP="009E3316">
      <w:pPr>
        <w:spacing w:after="0" w:line="360" w:lineRule="auto"/>
        <w:jc w:val="both"/>
        <w:rPr>
          <w:rFonts w:ascii="Palatino Linotype" w:hAnsi="Palatino Linotype"/>
          <w:sz w:val="24"/>
          <w:lang w:val="es-ES"/>
        </w:rPr>
      </w:pPr>
      <w:r w:rsidRPr="00627DE1">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627DE1">
        <w:rPr>
          <w:rFonts w:ascii="Palatino Linotype" w:hAnsi="Palatino Linotype"/>
          <w:sz w:val="24"/>
          <w:lang w:val="es-ES"/>
        </w:rPr>
        <w:lastRenderedPageBreak/>
        <w:t>Transparencia, Acceso a la Información Pública y Protección de Datos Personales del Estado de México y Municipios.</w:t>
      </w:r>
    </w:p>
    <w:p w14:paraId="2726A16C"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627DE1" w:rsidRDefault="009E3316" w:rsidP="009E3316">
      <w:pPr>
        <w:spacing w:after="0" w:line="360" w:lineRule="auto"/>
        <w:jc w:val="both"/>
        <w:rPr>
          <w:rFonts w:ascii="Palatino Linotype" w:eastAsia="Palatino Linotype" w:hAnsi="Palatino Linotype" w:cs="Palatino Linotype"/>
          <w:sz w:val="28"/>
          <w:szCs w:val="24"/>
        </w:rPr>
      </w:pPr>
      <w:r w:rsidRPr="00627DE1">
        <w:rPr>
          <w:rFonts w:ascii="Palatino Linotype" w:eastAsia="Palatino Linotype" w:hAnsi="Palatino Linotype" w:cs="Palatino Linotype"/>
          <w:b/>
          <w:sz w:val="28"/>
          <w:szCs w:val="24"/>
        </w:rPr>
        <w:t>SEGUNDO. De la Oportunidad y Procedencia del Recurso de Revisión</w:t>
      </w:r>
      <w:r w:rsidRPr="00627DE1">
        <w:rPr>
          <w:rFonts w:ascii="Palatino Linotype" w:eastAsia="Palatino Linotype" w:hAnsi="Palatino Linotype" w:cs="Palatino Linotype"/>
          <w:sz w:val="28"/>
          <w:szCs w:val="24"/>
        </w:rPr>
        <w:t>.</w:t>
      </w:r>
    </w:p>
    <w:p w14:paraId="21B97FE4" w14:textId="77777777" w:rsidR="009E3316" w:rsidRPr="00627DE1" w:rsidRDefault="009E3316" w:rsidP="009E3316">
      <w:pPr>
        <w:spacing w:after="0" w:line="360" w:lineRule="auto"/>
        <w:jc w:val="both"/>
        <w:rPr>
          <w:rFonts w:ascii="Palatino Linotype" w:eastAsia="Palatino Linotype" w:hAnsi="Palatino Linotype" w:cs="Palatino Linotype"/>
          <w:b/>
          <w:sz w:val="24"/>
          <w:szCs w:val="24"/>
        </w:rPr>
      </w:pPr>
      <w:r w:rsidRPr="00627DE1">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27DE1">
        <w:rPr>
          <w:rFonts w:ascii="Palatino Linotype" w:eastAsia="Palatino Linotype" w:hAnsi="Palatino Linotype" w:cs="Palatino Linotype"/>
          <w:b/>
          <w:sz w:val="24"/>
          <w:szCs w:val="24"/>
        </w:rPr>
        <w:t>Recurrente</w:t>
      </w:r>
      <w:r w:rsidRPr="00627DE1">
        <w:rPr>
          <w:rFonts w:ascii="Palatino Linotype" w:eastAsia="Palatino Linotype" w:hAnsi="Palatino Linotype" w:cs="Palatino Linotype"/>
          <w:sz w:val="24"/>
          <w:szCs w:val="24"/>
        </w:rPr>
        <w:t xml:space="preserve">, por lo que, en el presente caso, al haber sido presentado el recurso de revisión vía </w:t>
      </w:r>
      <w:r w:rsidRPr="00627DE1">
        <w:rPr>
          <w:rFonts w:ascii="Palatino Linotype" w:eastAsia="Palatino Linotype" w:hAnsi="Palatino Linotype" w:cs="Palatino Linotype"/>
          <w:b/>
          <w:sz w:val="24"/>
          <w:szCs w:val="24"/>
        </w:rPr>
        <w:t>SAIMEX</w:t>
      </w:r>
      <w:r w:rsidRPr="00627DE1">
        <w:rPr>
          <w:rFonts w:ascii="Palatino Linotype" w:eastAsia="Palatino Linotype" w:hAnsi="Palatino Linotype" w:cs="Palatino Linotype"/>
          <w:sz w:val="24"/>
          <w:szCs w:val="24"/>
        </w:rPr>
        <w:t>, dicho requisito resulta innecesario.</w:t>
      </w:r>
    </w:p>
    <w:p w14:paraId="118EA90A"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627DE1" w:rsidRDefault="009E3316" w:rsidP="009E3316">
      <w:pPr>
        <w:spacing w:before="240" w:after="240" w:line="360" w:lineRule="auto"/>
        <w:jc w:val="both"/>
        <w:rPr>
          <w:rFonts w:ascii="Palatino Linotype" w:eastAsia="Palatino Linotype" w:hAnsi="Palatino Linotype" w:cs="Palatino Linotype"/>
          <w:i/>
          <w:sz w:val="24"/>
          <w:szCs w:val="24"/>
        </w:rPr>
      </w:pPr>
      <w:r w:rsidRPr="00627DE1">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627DE1">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hipótesis jurídica que se actualiza en este caso, aunado a que la parte </w:t>
      </w:r>
      <w:r w:rsidRPr="00627DE1">
        <w:rPr>
          <w:rFonts w:ascii="Palatino Linotype" w:eastAsia="Palatino Linotype" w:hAnsi="Palatino Linotype" w:cs="Palatino Linotype"/>
          <w:b/>
          <w:sz w:val="24"/>
          <w:szCs w:val="24"/>
        </w:rPr>
        <w:t>Recurrente</w:t>
      </w:r>
      <w:r w:rsidRPr="00627DE1">
        <w:rPr>
          <w:rFonts w:ascii="Palatino Linotype" w:eastAsia="Palatino Linotype" w:hAnsi="Palatino Linotype" w:cs="Palatino Linotype"/>
          <w:sz w:val="24"/>
          <w:szCs w:val="24"/>
        </w:rPr>
        <w:t xml:space="preserve"> combate falta de trámite por 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627DE1" w:rsidRDefault="009E3316" w:rsidP="009E3316">
      <w:pPr>
        <w:widowControl w:val="0"/>
        <w:spacing w:after="0" w:line="360" w:lineRule="auto"/>
        <w:jc w:val="both"/>
        <w:rPr>
          <w:rFonts w:ascii="Palatino Linotype" w:eastAsia="Palatino Linotype" w:hAnsi="Palatino Linotype" w:cs="Palatino Linotype"/>
          <w:b/>
          <w:sz w:val="28"/>
          <w:szCs w:val="28"/>
        </w:rPr>
      </w:pPr>
      <w:r w:rsidRPr="00627DE1">
        <w:rPr>
          <w:rFonts w:ascii="Palatino Linotype" w:eastAsia="Palatino Linotype" w:hAnsi="Palatino Linotype" w:cs="Palatino Linotype"/>
          <w:b/>
          <w:sz w:val="28"/>
          <w:szCs w:val="28"/>
        </w:rPr>
        <w:t xml:space="preserve">TERCERO. Estudio y resolución del asunto. </w:t>
      </w:r>
    </w:p>
    <w:p w14:paraId="04EF9FC4" w14:textId="77777777" w:rsidR="009E3316" w:rsidRPr="00627DE1" w:rsidRDefault="009E3316" w:rsidP="009E3316">
      <w:pPr>
        <w:spacing w:after="0" w:line="360" w:lineRule="auto"/>
        <w:jc w:val="both"/>
        <w:rPr>
          <w:rFonts w:ascii="Palatino Linotype" w:eastAsia="Palatino Linotype" w:hAnsi="Palatino Linotype" w:cs="Palatino Linotype"/>
          <w:color w:val="000000"/>
          <w:sz w:val="24"/>
          <w:szCs w:val="24"/>
        </w:rPr>
      </w:pPr>
      <w:r w:rsidRPr="00627DE1">
        <w:rPr>
          <w:rFonts w:ascii="Palatino Linotype" w:eastAsia="Palatino Linotype" w:hAnsi="Palatino Linotype" w:cs="Palatino Linotype"/>
          <w:sz w:val="24"/>
          <w:szCs w:val="24"/>
        </w:rPr>
        <w:t xml:space="preserve">El derecho de acceso a la información pública es un </w:t>
      </w:r>
      <w:r w:rsidRPr="00627DE1">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está constreñido a dar atención a las solicitudes de información que a través del SAIMEX o </w:t>
      </w:r>
      <w:r w:rsidRPr="00627DE1">
        <w:rPr>
          <w:rFonts w:ascii="Palatino Linotype" w:eastAsia="Palatino Linotype" w:hAnsi="Palatino Linotype" w:cs="Palatino Linotype"/>
          <w:sz w:val="24"/>
          <w:szCs w:val="24"/>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627DE1">
        <w:rPr>
          <w:rFonts w:ascii="Palatino Linotype" w:eastAsia="Palatino Linotype" w:hAnsi="Palatino Linotype" w:cs="Palatino Linotype"/>
          <w:sz w:val="24"/>
          <w:szCs w:val="24"/>
        </w:rPr>
        <w:t>l</w:t>
      </w:r>
      <w:r w:rsidRPr="00627DE1">
        <w:rPr>
          <w:rFonts w:ascii="Palatino Linotype" w:eastAsia="Palatino Linotype" w:hAnsi="Palatino Linotype" w:cs="Palatino Linotype"/>
          <w:sz w:val="24"/>
          <w:szCs w:val="24"/>
        </w:rPr>
        <w:t>.</w:t>
      </w:r>
    </w:p>
    <w:p w14:paraId="78F44065"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627DE1">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627DE1">
        <w:rPr>
          <w:rFonts w:ascii="Palatino Linotype" w:eastAsia="Palatino Linotype" w:hAnsi="Palatino Linotype" w:cs="Palatino Linotype"/>
          <w:b/>
          <w:color w:val="000000"/>
          <w:sz w:val="24"/>
          <w:szCs w:val="24"/>
        </w:rPr>
        <w:t xml:space="preserve"> </w:t>
      </w:r>
      <w:r w:rsidRPr="00627DE1">
        <w:rPr>
          <w:rFonts w:ascii="Palatino Linotype" w:eastAsia="Palatino Linotype" w:hAnsi="Palatino Linotype" w:cs="Palatino Linotype"/>
          <w:color w:val="000000"/>
          <w:sz w:val="24"/>
          <w:szCs w:val="24"/>
        </w:rPr>
        <w:t>y</w:t>
      </w:r>
      <w:r w:rsidRPr="00627DE1">
        <w:rPr>
          <w:rFonts w:ascii="Palatino Linotype" w:eastAsia="Palatino Linotype" w:hAnsi="Palatino Linotype" w:cs="Palatino Linotype"/>
          <w:b/>
          <w:color w:val="000000"/>
          <w:sz w:val="24"/>
          <w:szCs w:val="24"/>
        </w:rPr>
        <w:t xml:space="preserve"> </w:t>
      </w:r>
      <w:r w:rsidRPr="00627DE1">
        <w:rPr>
          <w:rFonts w:ascii="Palatino Linotype" w:eastAsia="Palatino Linotype" w:hAnsi="Palatino Linotype" w:cs="Palatino Linotype"/>
          <w:sz w:val="24"/>
          <w:szCs w:val="24"/>
        </w:rPr>
        <w:t>por tanto, procedente la interposición del recurso de revisión.</w:t>
      </w:r>
    </w:p>
    <w:p w14:paraId="2B406B1C"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En consecuencia, las razones o motivos de inconformidad hechos valer, resultan </w:t>
      </w:r>
      <w:r w:rsidRPr="00627DE1">
        <w:rPr>
          <w:rFonts w:ascii="Palatino Linotype" w:eastAsia="Palatino Linotype" w:hAnsi="Palatino Linotype" w:cs="Palatino Linotype"/>
          <w:b/>
          <w:sz w:val="24"/>
          <w:szCs w:val="24"/>
        </w:rPr>
        <w:t>fundadas y procedentes</w:t>
      </w:r>
      <w:r w:rsidRPr="00627DE1">
        <w:rPr>
          <w:rFonts w:ascii="Palatino Linotype" w:eastAsia="Palatino Linotype" w:hAnsi="Palatino Linotype" w:cs="Palatino Linotype"/>
          <w:sz w:val="24"/>
          <w:szCs w:val="24"/>
        </w:rPr>
        <w:t xml:space="preserve">, en virtud de las constancias que obran en el expediente electrónico SAIMEX, se acredita que 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fue omiso en responder la solicitud de información hecha por la parte </w:t>
      </w:r>
      <w:r w:rsidRPr="00627DE1">
        <w:rPr>
          <w:rFonts w:ascii="Palatino Linotype" w:eastAsia="Palatino Linotype" w:hAnsi="Palatino Linotype" w:cs="Palatino Linotype"/>
          <w:b/>
          <w:sz w:val="24"/>
          <w:szCs w:val="24"/>
        </w:rPr>
        <w:t>Recurrente</w:t>
      </w:r>
      <w:r w:rsidRPr="00627DE1">
        <w:rPr>
          <w:rFonts w:ascii="Palatino Linotype" w:eastAsia="Palatino Linotype" w:hAnsi="Palatino Linotype" w:cs="Palatino Linotype"/>
          <w:sz w:val="24"/>
          <w:szCs w:val="24"/>
        </w:rPr>
        <w:t xml:space="preserve">, es decir, incumplió las obligaciones que se le imponen como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627DE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627DE1">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627DE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627DE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627DE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627DE1" w:rsidRDefault="009E3316" w:rsidP="009E3316">
      <w:pPr>
        <w:spacing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627DE1" w:rsidRDefault="009E3316" w:rsidP="009E3316">
      <w:pPr>
        <w:spacing w:after="0" w:line="360" w:lineRule="auto"/>
        <w:jc w:val="both"/>
        <w:rPr>
          <w:rFonts w:ascii="Palatino Linotype" w:eastAsia="Palatino Linotype" w:hAnsi="Palatino Linotype" w:cs="Palatino Linotype"/>
          <w:i/>
          <w:sz w:val="24"/>
          <w:szCs w:val="24"/>
        </w:rPr>
      </w:pPr>
      <w:r w:rsidRPr="00627DE1">
        <w:rPr>
          <w:rFonts w:ascii="Palatino Linotype" w:eastAsia="Palatino Linotype" w:hAnsi="Palatino Linotype" w:cs="Palatino Linotype"/>
          <w:sz w:val="24"/>
          <w:szCs w:val="24"/>
        </w:rPr>
        <w:lastRenderedPageBreak/>
        <w:t xml:space="preserve">En consecuencia, según lo dispuesto por el artículo 150 de la Ley de Transparencia y Acceso a la Información Pública del Estado de México y Municipios, el </w:t>
      </w:r>
      <w:r w:rsidRPr="00627DE1">
        <w:rPr>
          <w:rFonts w:ascii="Palatino Linotype" w:eastAsia="Palatino Linotype" w:hAnsi="Palatino Linotype" w:cs="Palatino Linotype"/>
          <w:i/>
          <w:sz w:val="24"/>
          <w:szCs w:val="24"/>
        </w:rPr>
        <w:t xml:space="preserve">procedimiento de acceso a la información es la garantía primaria del derecho en cuestión, </w:t>
      </w:r>
      <w:r w:rsidRPr="00627DE1">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Por lo que, en cumplimiento a esta resolución, el </w:t>
      </w:r>
      <w:r w:rsidRPr="00627DE1">
        <w:rPr>
          <w:rFonts w:ascii="Palatino Linotype" w:eastAsia="Palatino Linotype" w:hAnsi="Palatino Linotype" w:cs="Palatino Linotype"/>
          <w:b/>
          <w:sz w:val="24"/>
          <w:szCs w:val="24"/>
        </w:rPr>
        <w:t xml:space="preserve">Sujeto Obligado </w:t>
      </w:r>
      <w:r w:rsidRPr="00627DE1">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627DE1" w:rsidRDefault="009E3316" w:rsidP="009E3316">
      <w:pPr>
        <w:numPr>
          <w:ilvl w:val="0"/>
          <w:numId w:val="2"/>
        </w:numPr>
        <w:spacing w:after="0" w:line="360" w:lineRule="auto"/>
        <w:jc w:val="both"/>
        <w:rPr>
          <w:b/>
          <w:sz w:val="28"/>
          <w:szCs w:val="28"/>
        </w:rPr>
      </w:pPr>
      <w:r w:rsidRPr="00627DE1">
        <w:rPr>
          <w:rFonts w:ascii="Palatino Linotype" w:eastAsia="Palatino Linotype" w:hAnsi="Palatino Linotype" w:cs="Palatino Linotype"/>
          <w:b/>
          <w:sz w:val="28"/>
          <w:szCs w:val="28"/>
        </w:rPr>
        <w:t>De la clasificación de la información</w:t>
      </w:r>
    </w:p>
    <w:p w14:paraId="7EA2EC11"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627DE1">
        <w:rPr>
          <w:rFonts w:ascii="Palatino Linotype" w:eastAsia="Palatino Linotype" w:hAnsi="Palatino Linotype" w:cs="Palatino Linotype"/>
          <w:sz w:val="24"/>
          <w:szCs w:val="24"/>
        </w:rPr>
        <w:lastRenderedPageBreak/>
        <w:t xml:space="preserve">información privada contenida en documentos públicos o privados que refiera a la vida privada y/o los datos personales, que no son de acceso público. </w:t>
      </w:r>
    </w:p>
    <w:p w14:paraId="4B473798" w14:textId="77777777" w:rsidR="009E3316" w:rsidRPr="00627DE1"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627DE1"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627DE1">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627DE1">
        <w:rPr>
          <w:rFonts w:ascii="Palatino Linotype" w:eastAsia="Palatino Linotype" w:hAnsi="Palatino Linotype" w:cs="Palatino Linotype"/>
          <w:sz w:val="24"/>
          <w:szCs w:val="24"/>
        </w:rPr>
        <w:lastRenderedPageBreak/>
        <w:t>para la clasificación y desclasificación de la información, garantizan la confidencialidad, el uso adecuado de la información, entre otros.</w:t>
      </w:r>
    </w:p>
    <w:p w14:paraId="54119301"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627DE1"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627DE1" w:rsidRDefault="009E3316" w:rsidP="009E3316">
      <w:pPr>
        <w:spacing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627DE1" w:rsidRDefault="009E3316" w:rsidP="009E3316">
      <w:pPr>
        <w:spacing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w:t>
      </w:r>
      <w:r w:rsidRPr="00627DE1">
        <w:rPr>
          <w:rFonts w:ascii="Palatino Linotype" w:eastAsia="Palatino Linotype" w:hAnsi="Palatino Linotype" w:cs="Palatino Linotype"/>
          <w:sz w:val="24"/>
          <w:szCs w:val="24"/>
        </w:rPr>
        <w:lastRenderedPageBreak/>
        <w:t>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27DE1">
        <w:rPr>
          <w:rFonts w:ascii="Palatino Linotype" w:eastAsia="Palatino Linotype" w:hAnsi="Palatino Linotype" w:cs="Palatino Linotype"/>
          <w:i/>
          <w:sz w:val="24"/>
          <w:szCs w:val="24"/>
        </w:rPr>
        <w:t>.</w:t>
      </w:r>
    </w:p>
    <w:p w14:paraId="2A4469C9"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627DE1" w:rsidRDefault="009E3316" w:rsidP="009E3316">
      <w:pPr>
        <w:numPr>
          <w:ilvl w:val="0"/>
          <w:numId w:val="3"/>
        </w:numPr>
        <w:tabs>
          <w:tab w:val="left" w:pos="7938"/>
        </w:tabs>
        <w:spacing w:after="0" w:line="360" w:lineRule="auto"/>
        <w:ind w:left="426"/>
        <w:jc w:val="both"/>
        <w:rPr>
          <w:b/>
          <w:sz w:val="28"/>
          <w:szCs w:val="28"/>
        </w:rPr>
      </w:pPr>
      <w:r w:rsidRPr="00627DE1">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627DE1" w:rsidRDefault="009E3316" w:rsidP="009E3316">
      <w:pPr>
        <w:spacing w:line="360" w:lineRule="auto"/>
        <w:ind w:right="49"/>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Como ya se mencionó el</w:t>
      </w:r>
      <w:r w:rsidRPr="00627DE1">
        <w:rPr>
          <w:rFonts w:ascii="Palatino Linotype" w:eastAsia="Palatino Linotype" w:hAnsi="Palatino Linotype" w:cs="Palatino Linotype"/>
          <w:b/>
          <w:sz w:val="24"/>
          <w:szCs w:val="24"/>
        </w:rPr>
        <w:t xml:space="preserve"> Sujeto Obligado</w:t>
      </w:r>
      <w:r w:rsidRPr="00627DE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627DE1">
        <w:rPr>
          <w:rFonts w:ascii="Palatino Linotype" w:eastAsia="Palatino Linotype" w:hAnsi="Palatino Linotype" w:cs="Palatino Linotype"/>
          <w:b/>
          <w:sz w:val="24"/>
          <w:szCs w:val="24"/>
        </w:rPr>
        <w:t xml:space="preserve"> </w:t>
      </w:r>
      <w:r w:rsidRPr="00627DE1">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627DE1" w:rsidRDefault="009E3316" w:rsidP="009E3316">
      <w:pPr>
        <w:spacing w:line="360" w:lineRule="auto"/>
        <w:ind w:right="49"/>
        <w:jc w:val="both"/>
        <w:rPr>
          <w:rFonts w:ascii="Palatino Linotype" w:eastAsia="Palatino Linotype" w:hAnsi="Palatino Linotype" w:cs="Palatino Linotype"/>
          <w:sz w:val="24"/>
          <w:szCs w:val="24"/>
        </w:rPr>
      </w:pPr>
    </w:p>
    <w:p w14:paraId="6924884E" w14:textId="4F91D2D2"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627DE1">
        <w:rPr>
          <w:rFonts w:ascii="Palatino Linotype" w:eastAsia="Palatino Linotype" w:hAnsi="Palatino Linotype" w:cs="Palatino Linotype"/>
          <w:b/>
          <w:sz w:val="24"/>
          <w:szCs w:val="24"/>
        </w:rPr>
        <w:t>ORDENA</w:t>
      </w:r>
      <w:r w:rsidRPr="00627DE1">
        <w:rPr>
          <w:rFonts w:ascii="Palatino Linotype" w:eastAsia="Palatino Linotype" w:hAnsi="Palatino Linotype" w:cs="Palatino Linotype"/>
          <w:sz w:val="24"/>
          <w:szCs w:val="24"/>
        </w:rPr>
        <w:t xml:space="preserve"> al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atienda la solicitud de información </w:t>
      </w:r>
      <w:r w:rsidR="002A446F" w:rsidRPr="00627DE1">
        <w:rPr>
          <w:rFonts w:ascii="Palatino Linotype" w:eastAsia="Palatino Linotype" w:hAnsi="Palatino Linotype" w:cs="Palatino Linotype"/>
          <w:b/>
          <w:bCs/>
          <w:sz w:val="24"/>
          <w:szCs w:val="24"/>
        </w:rPr>
        <w:t>00685/TEPOTZOT/IP/2026</w:t>
      </w:r>
      <w:r w:rsidRPr="00627DE1">
        <w:rPr>
          <w:rFonts w:ascii="Palatino Linotype" w:eastAsia="Palatino Linotype" w:hAnsi="Palatino Linotype" w:cs="Palatino Linotype"/>
          <w:b/>
          <w:sz w:val="24"/>
          <w:szCs w:val="24"/>
        </w:rPr>
        <w:t>,</w:t>
      </w:r>
      <w:r w:rsidRPr="00627DE1">
        <w:rPr>
          <w:rFonts w:ascii="Palatino Linotype" w:eastAsia="Palatino Linotype" w:hAnsi="Palatino Linotype" w:cs="Palatino Linotype"/>
          <w:sz w:val="24"/>
          <w:szCs w:val="24"/>
        </w:rPr>
        <w:t xml:space="preserve"> que han sido materia del presente fallo</w:t>
      </w:r>
    </w:p>
    <w:p w14:paraId="398E055B"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Por lo antes expuesto y fundado es de resolverse y,</w:t>
      </w:r>
    </w:p>
    <w:p w14:paraId="187058EA"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627DE1"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627DE1">
        <w:rPr>
          <w:rFonts w:ascii="Palatino Linotype" w:eastAsia="Palatino Linotype" w:hAnsi="Palatino Linotype" w:cs="Palatino Linotype"/>
          <w:b/>
          <w:color w:val="000000"/>
          <w:sz w:val="28"/>
          <w:szCs w:val="28"/>
        </w:rPr>
        <w:t>SE    RESUELVE</w:t>
      </w:r>
    </w:p>
    <w:p w14:paraId="5E8D5263" w14:textId="77777777" w:rsidR="009E3316" w:rsidRPr="00627DE1"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b/>
          <w:sz w:val="28"/>
          <w:szCs w:val="28"/>
        </w:rPr>
        <w:t>PRIMERO.</w:t>
      </w:r>
      <w:r w:rsidRPr="00627DE1">
        <w:rPr>
          <w:rFonts w:ascii="Palatino Linotype" w:eastAsia="Palatino Linotype" w:hAnsi="Palatino Linotype" w:cs="Palatino Linotype"/>
          <w:sz w:val="24"/>
          <w:szCs w:val="24"/>
        </w:rPr>
        <w:t xml:space="preserve"> Resultan fundadas las razones o motivos de inconformidad hechos valer por la parte </w:t>
      </w:r>
      <w:r w:rsidRPr="00627DE1">
        <w:rPr>
          <w:rFonts w:ascii="Palatino Linotype" w:eastAsia="Palatino Linotype" w:hAnsi="Palatino Linotype" w:cs="Palatino Linotype"/>
          <w:b/>
          <w:sz w:val="24"/>
          <w:szCs w:val="24"/>
        </w:rPr>
        <w:t>Recurrente,</w:t>
      </w:r>
      <w:r w:rsidRPr="00627DE1">
        <w:rPr>
          <w:rFonts w:ascii="Palatino Linotype" w:eastAsia="Palatino Linotype" w:hAnsi="Palatino Linotype" w:cs="Palatino Linotype"/>
          <w:sz w:val="24"/>
          <w:szCs w:val="24"/>
        </w:rPr>
        <w:t xml:space="preserve"> en términos del considerando </w:t>
      </w:r>
      <w:r w:rsidRPr="00627DE1">
        <w:rPr>
          <w:rFonts w:ascii="Palatino Linotype" w:eastAsia="Palatino Linotype" w:hAnsi="Palatino Linotype" w:cs="Palatino Linotype"/>
          <w:b/>
          <w:sz w:val="24"/>
          <w:szCs w:val="24"/>
        </w:rPr>
        <w:t>TERCERO</w:t>
      </w:r>
      <w:r w:rsidRPr="00627DE1">
        <w:rPr>
          <w:rFonts w:ascii="Palatino Linotype" w:eastAsia="Palatino Linotype" w:hAnsi="Palatino Linotype" w:cs="Palatino Linotype"/>
          <w:sz w:val="24"/>
          <w:szCs w:val="24"/>
        </w:rPr>
        <w:t>, de la presente resolución.</w:t>
      </w:r>
    </w:p>
    <w:p w14:paraId="51771CB7" w14:textId="77777777"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2BE787C1" w:rsidR="009E3316" w:rsidRPr="00627DE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b/>
          <w:sz w:val="28"/>
          <w:szCs w:val="28"/>
        </w:rPr>
        <w:t>SEGUNDO.</w:t>
      </w:r>
      <w:r w:rsidRPr="00627DE1">
        <w:rPr>
          <w:rFonts w:ascii="Palatino Linotype" w:eastAsia="Palatino Linotype" w:hAnsi="Palatino Linotype" w:cs="Palatino Linotype"/>
          <w:sz w:val="24"/>
          <w:szCs w:val="24"/>
        </w:rPr>
        <w:t xml:space="preserve"> Se </w:t>
      </w:r>
      <w:r w:rsidRPr="00627DE1">
        <w:rPr>
          <w:rFonts w:ascii="Palatino Linotype" w:eastAsia="Palatino Linotype" w:hAnsi="Palatino Linotype" w:cs="Palatino Linotype"/>
          <w:b/>
          <w:sz w:val="24"/>
          <w:szCs w:val="24"/>
        </w:rPr>
        <w:t>ORDENA</w:t>
      </w:r>
      <w:r w:rsidRPr="00627DE1">
        <w:rPr>
          <w:rFonts w:ascii="Palatino Linotype" w:eastAsia="Palatino Linotype" w:hAnsi="Palatino Linotype" w:cs="Palatino Linotype"/>
          <w:sz w:val="24"/>
          <w:szCs w:val="24"/>
        </w:rPr>
        <w:t xml:space="preserve"> al </w:t>
      </w:r>
      <w:r w:rsidRPr="00627DE1">
        <w:rPr>
          <w:rFonts w:ascii="Palatino Linotype" w:eastAsia="Palatino Linotype" w:hAnsi="Palatino Linotype" w:cs="Palatino Linotype"/>
          <w:b/>
          <w:sz w:val="24"/>
          <w:szCs w:val="24"/>
        </w:rPr>
        <w:t>Sujeto Obligado</w:t>
      </w:r>
      <w:r w:rsidRPr="00627DE1">
        <w:rPr>
          <w:rFonts w:ascii="Palatino Linotype" w:eastAsia="Palatino Linotype" w:hAnsi="Palatino Linotype" w:cs="Palatino Linotype"/>
          <w:sz w:val="24"/>
          <w:szCs w:val="24"/>
        </w:rPr>
        <w:t xml:space="preserve"> atienda la solicitud de información </w:t>
      </w:r>
      <w:r w:rsidR="002A446F" w:rsidRPr="00627DE1">
        <w:rPr>
          <w:rFonts w:ascii="Palatino Linotype" w:eastAsia="Palatino Linotype" w:hAnsi="Palatino Linotype" w:cs="Palatino Linotype"/>
          <w:b/>
          <w:bCs/>
          <w:sz w:val="24"/>
          <w:szCs w:val="24"/>
        </w:rPr>
        <w:t>00685/TEPOTZOT/IP/2026</w:t>
      </w:r>
      <w:r w:rsidRPr="00627DE1">
        <w:rPr>
          <w:rFonts w:ascii="Palatino Linotype" w:eastAsia="Palatino Linotype" w:hAnsi="Palatino Linotype" w:cs="Palatino Linotype"/>
          <w:sz w:val="24"/>
          <w:szCs w:val="24"/>
        </w:rPr>
        <w:t xml:space="preserve">, vía Sistema de Acceso a la Información Mexiquense (SAIMEX), en términos del Considerando </w:t>
      </w:r>
      <w:r w:rsidRPr="00627DE1">
        <w:rPr>
          <w:rFonts w:ascii="Palatino Linotype" w:eastAsia="Palatino Linotype" w:hAnsi="Palatino Linotype" w:cs="Palatino Linotype"/>
          <w:b/>
          <w:sz w:val="24"/>
          <w:szCs w:val="24"/>
        </w:rPr>
        <w:t xml:space="preserve">TERCERO </w:t>
      </w:r>
      <w:r w:rsidRPr="00627DE1">
        <w:rPr>
          <w:rFonts w:ascii="Palatino Linotype" w:eastAsia="Palatino Linotype" w:hAnsi="Palatino Linotype" w:cs="Palatino Linotype"/>
          <w:sz w:val="24"/>
          <w:szCs w:val="24"/>
        </w:rPr>
        <w:t>de esta resolución</w:t>
      </w:r>
      <w:r w:rsidRPr="00627DE1">
        <w:rPr>
          <w:rFonts w:ascii="Palatino Linotype" w:eastAsia="Palatino Linotype" w:hAnsi="Palatino Linotype" w:cs="Palatino Linotype"/>
          <w:b/>
          <w:sz w:val="24"/>
          <w:szCs w:val="24"/>
        </w:rPr>
        <w:t>.</w:t>
      </w:r>
      <w:r w:rsidR="004034C3" w:rsidRPr="00627DE1">
        <w:rPr>
          <w:rFonts w:ascii="Palatino Linotype" w:eastAsia="Palatino Linotype" w:hAnsi="Palatino Linotype" w:cs="Palatino Linotype"/>
          <w:b/>
          <w:sz w:val="24"/>
          <w:szCs w:val="24"/>
        </w:rPr>
        <w:t xml:space="preserve"> </w:t>
      </w:r>
    </w:p>
    <w:p w14:paraId="3B839A27" w14:textId="432A181D" w:rsidR="009E3316" w:rsidRPr="00627DE1" w:rsidRDefault="0052559A"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27DE1">
        <w:rPr>
          <w:rFonts w:ascii="Palatino Linotype" w:eastAsia="Palatino Linotype" w:hAnsi="Palatino Linotype" w:cs="Palatino Linotype"/>
          <w:sz w:val="24"/>
          <w:szCs w:val="24"/>
        </w:rPr>
        <w:t xml:space="preserve"> </w:t>
      </w:r>
    </w:p>
    <w:p w14:paraId="42BDAAC0" w14:textId="77777777" w:rsidR="009E3316" w:rsidRPr="00627DE1" w:rsidRDefault="009E3316" w:rsidP="009E3316">
      <w:pPr>
        <w:tabs>
          <w:tab w:val="left" w:pos="8647"/>
        </w:tabs>
        <w:spacing w:after="0" w:line="360" w:lineRule="auto"/>
        <w:ind w:right="51"/>
        <w:jc w:val="both"/>
        <w:rPr>
          <w:rFonts w:ascii="Palatino Linotype" w:hAnsi="Palatino Linotype" w:cs="Arial"/>
          <w:sz w:val="24"/>
          <w:szCs w:val="24"/>
        </w:rPr>
      </w:pPr>
      <w:r w:rsidRPr="00627DE1">
        <w:rPr>
          <w:rFonts w:ascii="Palatino Linotype" w:hAnsi="Palatino Linotype" w:cs="Arial"/>
          <w:b/>
          <w:sz w:val="28"/>
          <w:szCs w:val="24"/>
        </w:rPr>
        <w:t>TERCERO</w:t>
      </w:r>
      <w:r w:rsidRPr="00627DE1">
        <w:rPr>
          <w:rFonts w:ascii="Palatino Linotype" w:hAnsi="Palatino Linotype" w:cs="Arial"/>
          <w:b/>
          <w:sz w:val="24"/>
          <w:szCs w:val="24"/>
        </w:rPr>
        <w:t>.</w:t>
      </w:r>
      <w:r w:rsidRPr="00627DE1">
        <w:rPr>
          <w:rFonts w:ascii="Palatino Linotype" w:hAnsi="Palatino Linotype" w:cs="Arial"/>
          <w:sz w:val="24"/>
          <w:szCs w:val="24"/>
        </w:rPr>
        <w:t xml:space="preserve"> </w:t>
      </w:r>
      <w:r w:rsidRPr="00627DE1">
        <w:rPr>
          <w:rFonts w:ascii="Palatino Linotype" w:hAnsi="Palatino Linotype" w:cs="Arial"/>
          <w:b/>
          <w:sz w:val="24"/>
          <w:szCs w:val="24"/>
        </w:rPr>
        <w:t>Notifíquese</w:t>
      </w:r>
      <w:r w:rsidRPr="00627DE1">
        <w:rPr>
          <w:rFonts w:ascii="Palatino Linotype" w:eastAsia="Times New Roman" w:hAnsi="Palatino Linotype" w:cs="Arial"/>
          <w:sz w:val="24"/>
          <w:szCs w:val="24"/>
          <w:lang w:val="es-ES" w:eastAsia="es-ES"/>
        </w:rPr>
        <w:t xml:space="preserve"> a través del SAIMEX,</w:t>
      </w:r>
      <w:r w:rsidRPr="00627DE1">
        <w:rPr>
          <w:rFonts w:ascii="Palatino Linotype" w:hAnsi="Palatino Linotype" w:cs="Arial"/>
          <w:b/>
          <w:i/>
          <w:sz w:val="24"/>
          <w:szCs w:val="24"/>
        </w:rPr>
        <w:t xml:space="preserve"> </w:t>
      </w:r>
      <w:r w:rsidRPr="00627DE1">
        <w:rPr>
          <w:rFonts w:ascii="Palatino Linotype" w:hAnsi="Palatino Linotype" w:cs="Arial"/>
          <w:sz w:val="24"/>
          <w:szCs w:val="24"/>
        </w:rPr>
        <w:t>al Titular de la Unidad de Transparencia del</w:t>
      </w:r>
      <w:r w:rsidRPr="00627DE1">
        <w:rPr>
          <w:rFonts w:ascii="Palatino Linotype" w:hAnsi="Palatino Linotype" w:cs="Arial"/>
          <w:b/>
          <w:sz w:val="24"/>
          <w:szCs w:val="24"/>
        </w:rPr>
        <w:t xml:space="preserve"> Sujeto Obligado</w:t>
      </w:r>
      <w:r w:rsidRPr="00627DE1">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627DE1">
        <w:rPr>
          <w:rFonts w:ascii="Palatino Linotype" w:hAnsi="Palatino Linotype" w:cs="Arial"/>
          <w:b/>
          <w:sz w:val="24"/>
          <w:szCs w:val="32"/>
          <w:lang w:val="es-ES_tradnl"/>
        </w:rPr>
        <w:t>y</w:t>
      </w:r>
      <w:r w:rsidRPr="00627DE1">
        <w:rPr>
          <w:rFonts w:ascii="Palatino Linotype" w:hAnsi="Palatino Linotype" w:cs="Arial"/>
          <w:sz w:val="24"/>
          <w:szCs w:val="32"/>
          <w:lang w:val="es-ES_tradnl"/>
        </w:rPr>
        <w:t xml:space="preserve"> </w:t>
      </w:r>
      <w:r w:rsidRPr="00627DE1">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627DE1">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627DE1"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627DE1" w:rsidRDefault="009E3316" w:rsidP="009E3316">
      <w:pPr>
        <w:spacing w:after="0" w:line="360" w:lineRule="auto"/>
        <w:jc w:val="both"/>
        <w:rPr>
          <w:rFonts w:ascii="Palatino Linotype" w:eastAsia="Times New Roman" w:hAnsi="Palatino Linotype" w:cs="Arial"/>
          <w:sz w:val="24"/>
          <w:szCs w:val="24"/>
          <w:lang w:val="es-ES" w:eastAsia="es-ES"/>
        </w:rPr>
      </w:pPr>
      <w:r w:rsidRPr="00627DE1">
        <w:rPr>
          <w:rFonts w:ascii="Palatino Linotype" w:eastAsia="Times New Roman" w:hAnsi="Palatino Linotype" w:cs="Arial"/>
          <w:b/>
          <w:sz w:val="28"/>
          <w:szCs w:val="24"/>
          <w:lang w:val="es-ES" w:eastAsia="es-ES"/>
        </w:rPr>
        <w:t>CUARTO</w:t>
      </w:r>
      <w:r w:rsidRPr="00627DE1">
        <w:rPr>
          <w:rFonts w:ascii="Palatino Linotype" w:eastAsia="Times New Roman" w:hAnsi="Palatino Linotype" w:cs="Arial"/>
          <w:b/>
          <w:sz w:val="24"/>
          <w:szCs w:val="24"/>
          <w:lang w:val="es-ES" w:eastAsia="es-ES"/>
        </w:rPr>
        <w:t>. Notifíquese</w:t>
      </w:r>
      <w:r w:rsidRPr="00627DE1">
        <w:rPr>
          <w:rFonts w:ascii="Palatino Linotype" w:eastAsia="Times New Roman" w:hAnsi="Palatino Linotype" w:cs="Arial"/>
          <w:sz w:val="24"/>
          <w:szCs w:val="24"/>
          <w:lang w:val="es-ES" w:eastAsia="es-ES"/>
        </w:rPr>
        <w:t xml:space="preserve"> </w:t>
      </w:r>
      <w:r w:rsidRPr="00627DE1">
        <w:rPr>
          <w:rFonts w:ascii="Palatino Linotype" w:eastAsia="Times New Roman" w:hAnsi="Palatino Linotype" w:cs="Arial"/>
          <w:b/>
          <w:sz w:val="24"/>
          <w:szCs w:val="24"/>
          <w:lang w:val="es-ES" w:eastAsia="es-ES"/>
        </w:rPr>
        <w:t>a l</w:t>
      </w:r>
      <w:r w:rsidR="00A52F6C" w:rsidRPr="00627DE1">
        <w:rPr>
          <w:rFonts w:ascii="Palatino Linotype" w:eastAsia="Times New Roman" w:hAnsi="Palatino Linotype" w:cs="Arial"/>
          <w:b/>
          <w:sz w:val="24"/>
          <w:szCs w:val="24"/>
          <w:lang w:val="es-ES" w:eastAsia="es-ES"/>
        </w:rPr>
        <w:t>a</w:t>
      </w:r>
      <w:r w:rsidRPr="00627DE1">
        <w:rPr>
          <w:rFonts w:ascii="Palatino Linotype" w:eastAsia="Times New Roman" w:hAnsi="Palatino Linotype" w:cs="Arial"/>
          <w:b/>
          <w:sz w:val="24"/>
          <w:szCs w:val="24"/>
          <w:lang w:val="es-ES" w:eastAsia="es-ES"/>
        </w:rPr>
        <w:t xml:space="preserve"> Recurrente</w:t>
      </w:r>
      <w:r w:rsidRPr="00627DE1">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627DE1"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627DE1" w:rsidRDefault="009E3316" w:rsidP="009E3316">
      <w:pPr>
        <w:spacing w:after="0" w:line="360" w:lineRule="auto"/>
        <w:jc w:val="both"/>
        <w:rPr>
          <w:rFonts w:ascii="Palatino Linotype" w:hAnsi="Palatino Linotype" w:cs="Times New Roman"/>
          <w:sz w:val="24"/>
          <w:szCs w:val="24"/>
          <w:lang w:eastAsia="es-ES_tradnl"/>
        </w:rPr>
      </w:pPr>
      <w:r w:rsidRPr="00627DE1">
        <w:rPr>
          <w:rFonts w:ascii="Palatino Linotype" w:hAnsi="Palatino Linotype" w:cs="Times New Roman"/>
          <w:b/>
          <w:sz w:val="28"/>
          <w:szCs w:val="24"/>
          <w:lang w:eastAsia="es-ES_tradnl"/>
        </w:rPr>
        <w:t>QUINTO</w:t>
      </w:r>
      <w:r w:rsidRPr="00627DE1">
        <w:rPr>
          <w:rFonts w:ascii="Palatino Linotype" w:hAnsi="Palatino Linotype" w:cs="Times New Roman"/>
          <w:b/>
          <w:sz w:val="24"/>
          <w:szCs w:val="24"/>
          <w:lang w:eastAsia="es-ES_tradnl"/>
        </w:rPr>
        <w:t>.</w:t>
      </w:r>
      <w:r w:rsidRPr="00627DE1">
        <w:rPr>
          <w:rFonts w:ascii="Palatino Linotype" w:hAnsi="Palatino Linotype" w:cs="Times New Roman"/>
          <w:sz w:val="24"/>
          <w:szCs w:val="24"/>
          <w:lang w:eastAsia="es-ES_tradnl"/>
        </w:rPr>
        <w:t xml:space="preserve"> </w:t>
      </w:r>
      <w:r w:rsidRPr="00627DE1">
        <w:rPr>
          <w:rFonts w:ascii="Palatino Linotype" w:hAnsi="Palatino Linotype" w:cs="Times New Roman"/>
          <w:b/>
          <w:sz w:val="24"/>
          <w:szCs w:val="24"/>
          <w:lang w:eastAsia="es-ES_tradnl"/>
        </w:rPr>
        <w:t>Notifíquese</w:t>
      </w:r>
      <w:r w:rsidRPr="00627DE1">
        <w:rPr>
          <w:rFonts w:ascii="Palatino Linotype" w:hAnsi="Palatino Linotype" w:cs="Times New Roman"/>
          <w:sz w:val="24"/>
          <w:szCs w:val="24"/>
          <w:lang w:eastAsia="es-ES_tradnl"/>
        </w:rPr>
        <w:t xml:space="preserve"> al </w:t>
      </w:r>
      <w:r w:rsidRPr="00627DE1">
        <w:rPr>
          <w:rFonts w:ascii="Palatino Linotype" w:hAnsi="Palatino Linotype" w:cs="Times New Roman"/>
          <w:b/>
          <w:sz w:val="24"/>
          <w:szCs w:val="24"/>
          <w:lang w:eastAsia="es-ES_tradnl"/>
        </w:rPr>
        <w:t>Recurrente</w:t>
      </w:r>
      <w:r w:rsidRPr="00627DE1">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27DE1">
        <w:rPr>
          <w:rFonts w:ascii="Palatino Linotype" w:hAnsi="Palatino Linotype" w:cs="Times New Roman"/>
          <w:b/>
          <w:sz w:val="24"/>
          <w:szCs w:val="24"/>
          <w:lang w:eastAsia="es-ES_tradnl"/>
        </w:rPr>
        <w:t>Sujeto Obligado</w:t>
      </w:r>
      <w:r w:rsidRPr="00627DE1">
        <w:rPr>
          <w:rFonts w:ascii="Palatino Linotype" w:hAnsi="Palatino Linotype" w:cs="Times New Roman"/>
          <w:sz w:val="24"/>
          <w:szCs w:val="24"/>
          <w:lang w:eastAsia="es-ES_tradnl"/>
        </w:rPr>
        <w:t>, en cumplimiento a esta Resolución.</w:t>
      </w:r>
    </w:p>
    <w:p w14:paraId="5C687485" w14:textId="77777777" w:rsidR="009E3316" w:rsidRPr="00627DE1"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627DE1" w:rsidRDefault="009E3316" w:rsidP="009E3316">
      <w:pPr>
        <w:spacing w:after="0" w:line="360" w:lineRule="auto"/>
        <w:jc w:val="both"/>
        <w:rPr>
          <w:rFonts w:ascii="Palatino Linotype" w:hAnsi="Palatino Linotype"/>
          <w:sz w:val="24"/>
          <w:szCs w:val="24"/>
          <w:lang w:eastAsia="es-ES_tradnl"/>
        </w:rPr>
      </w:pPr>
      <w:r w:rsidRPr="00627DE1">
        <w:rPr>
          <w:rFonts w:ascii="Palatino Linotype" w:hAnsi="Palatino Linotype" w:cs="Times New Roman"/>
          <w:b/>
          <w:sz w:val="28"/>
          <w:szCs w:val="24"/>
          <w:lang w:eastAsia="es-ES_tradnl"/>
        </w:rPr>
        <w:t>SEXTO</w:t>
      </w:r>
      <w:r w:rsidRPr="00627DE1">
        <w:rPr>
          <w:rFonts w:ascii="Palatino Linotype" w:hAnsi="Palatino Linotype" w:cs="Times New Roman"/>
          <w:b/>
          <w:sz w:val="24"/>
          <w:szCs w:val="24"/>
          <w:lang w:eastAsia="es-ES_tradnl"/>
        </w:rPr>
        <w:t xml:space="preserve">. - </w:t>
      </w:r>
      <w:r w:rsidRPr="00627DE1">
        <w:rPr>
          <w:rFonts w:ascii="Palatino Linotype" w:hAnsi="Palatino Linotype"/>
          <w:b/>
          <w:sz w:val="24"/>
          <w:szCs w:val="24"/>
          <w:lang w:eastAsia="es-ES_tradnl"/>
        </w:rPr>
        <w:t xml:space="preserve">Gírese </w:t>
      </w:r>
      <w:r w:rsidRPr="00627DE1">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627DE1">
        <w:rPr>
          <w:rFonts w:ascii="Palatino Linotype" w:hAnsi="Palatino Linotype"/>
          <w:b/>
          <w:bCs/>
          <w:sz w:val="24"/>
          <w:szCs w:val="24"/>
          <w:lang w:eastAsia="es-ES_tradnl"/>
        </w:rPr>
        <w:t>TERCERO</w:t>
      </w:r>
      <w:r w:rsidRPr="00627DE1">
        <w:rPr>
          <w:rFonts w:ascii="Palatino Linotype" w:hAnsi="Palatino Linotype"/>
          <w:sz w:val="24"/>
          <w:szCs w:val="24"/>
          <w:lang w:eastAsia="es-ES_tradnl"/>
        </w:rPr>
        <w:t xml:space="preserve"> de la presente resolución.</w:t>
      </w:r>
    </w:p>
    <w:p w14:paraId="0B8C099F" w14:textId="77777777" w:rsidR="009E3316" w:rsidRPr="00627DE1" w:rsidRDefault="009E3316" w:rsidP="009E3316">
      <w:pPr>
        <w:spacing w:after="0" w:line="360" w:lineRule="auto"/>
        <w:jc w:val="both"/>
        <w:rPr>
          <w:rFonts w:ascii="Palatino Linotype" w:eastAsia="Palatino Linotype" w:hAnsi="Palatino Linotype" w:cs="Palatino Linotype"/>
          <w:sz w:val="24"/>
          <w:szCs w:val="24"/>
        </w:rPr>
      </w:pPr>
    </w:p>
    <w:p w14:paraId="1659C619" w14:textId="7D71FEAC" w:rsidR="009E3316" w:rsidRDefault="00627DE1" w:rsidP="009E3316">
      <w:pPr>
        <w:spacing w:after="0" w:line="360" w:lineRule="auto"/>
        <w:jc w:val="both"/>
        <w:rPr>
          <w:rFonts w:ascii="Palatino Linotype" w:eastAsia="Palatino Linotype" w:hAnsi="Palatino Linotype" w:cs="Palatino Linotype"/>
          <w:sz w:val="24"/>
          <w:szCs w:val="24"/>
        </w:rPr>
      </w:pPr>
      <w:r w:rsidRPr="00627DE1">
        <w:rPr>
          <w:rFonts w:ascii="Palatino Linotype" w:eastAsia="Times New Roman" w:hAnsi="Palatino Linotype" w:cs="Arial"/>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9E3316" w:rsidRPr="00627DE1">
        <w:rPr>
          <w:rFonts w:ascii="Palatino Linotype" w:eastAsia="Palatino Linotype" w:hAnsi="Palatino Linotype" w:cs="Palatino Linotype"/>
          <w:sz w:val="24"/>
          <w:szCs w:val="24"/>
        </w:rPr>
        <w:t>. -------------------------------------------------------------------------------------------------------------------------------------------------------------------------------------------------------------------------------------------------------------------------------------------------------------------------------------------------------------------------------------------------------------------------------------------</w:t>
      </w:r>
      <w:r w:rsidR="007B005E" w:rsidRPr="00627DE1">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0F41F" w14:textId="77777777" w:rsidR="003543C0" w:rsidRDefault="003543C0" w:rsidP="009E3316">
      <w:pPr>
        <w:spacing w:after="0" w:line="240" w:lineRule="auto"/>
      </w:pPr>
      <w:r>
        <w:separator/>
      </w:r>
    </w:p>
  </w:endnote>
  <w:endnote w:type="continuationSeparator" w:id="0">
    <w:p w14:paraId="1386734B" w14:textId="77777777" w:rsidR="003543C0" w:rsidRDefault="003543C0"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E084B">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E084B">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E084B">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E084B">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1A39F" w14:textId="77777777" w:rsidR="003543C0" w:rsidRDefault="003543C0" w:rsidP="009E3316">
      <w:pPr>
        <w:spacing w:after="0" w:line="240" w:lineRule="auto"/>
      </w:pPr>
      <w:r>
        <w:separator/>
      </w:r>
    </w:p>
  </w:footnote>
  <w:footnote w:type="continuationSeparator" w:id="0">
    <w:p w14:paraId="7D8BEE7E" w14:textId="77777777" w:rsidR="003543C0" w:rsidRDefault="003543C0"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3268CCFE" w:rsidR="00D53A8A" w:rsidRDefault="009E3316" w:rsidP="00C155D9">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C155D9">
            <w:rPr>
              <w:rFonts w:ascii="Palatino Linotype" w:eastAsia="Palatino Linotype" w:hAnsi="Palatino Linotype" w:cs="Palatino Linotype"/>
              <w:b/>
              <w:sz w:val="24"/>
              <w:szCs w:val="24"/>
            </w:rPr>
            <w:t>504</w:t>
          </w:r>
          <w:r w:rsidR="002D2022">
            <w:rPr>
              <w:rFonts w:ascii="Palatino Linotype" w:eastAsia="Palatino Linotype" w:hAnsi="Palatino Linotype" w:cs="Palatino Linotype"/>
              <w:b/>
              <w:sz w:val="24"/>
              <w:szCs w:val="24"/>
            </w:rPr>
            <w:t>5</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10873D3F" w:rsidR="00D53A8A" w:rsidRDefault="00635A64">
          <w:pPr>
            <w:spacing w:after="120" w:line="256" w:lineRule="auto"/>
            <w:ind w:left="-486" w:right="214" w:firstLine="284"/>
            <w:jc w:val="right"/>
            <w:rPr>
              <w:rFonts w:ascii="Palatino Linotype" w:eastAsia="Palatino Linotype" w:hAnsi="Palatino Linotype" w:cs="Palatino Linotype"/>
              <w:b/>
              <w:sz w:val="24"/>
              <w:szCs w:val="24"/>
            </w:rPr>
          </w:pPr>
          <w:r w:rsidRPr="00635A64">
            <w:rPr>
              <w:rFonts w:ascii="Palatino Linotype" w:eastAsia="Palatino Linotype" w:hAnsi="Palatino Linotype" w:cs="Palatino Linotype"/>
              <w:b/>
              <w:bCs/>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29ABCE05" w:rsidR="00D53A8A" w:rsidRDefault="009E3316" w:rsidP="002D2022">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C155D9">
            <w:rPr>
              <w:rFonts w:ascii="Palatino Linotype" w:eastAsia="Palatino Linotype" w:hAnsi="Palatino Linotype" w:cs="Palatino Linotype"/>
              <w:b/>
              <w:sz w:val="24"/>
              <w:szCs w:val="24"/>
            </w:rPr>
            <w:t>504</w:t>
          </w:r>
          <w:r w:rsidR="002D2022">
            <w:rPr>
              <w:rFonts w:ascii="Palatino Linotype" w:eastAsia="Palatino Linotype" w:hAnsi="Palatino Linotype" w:cs="Palatino Linotype"/>
              <w:b/>
              <w:sz w:val="24"/>
              <w:szCs w:val="24"/>
            </w:rPr>
            <w:t>5</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72FD1086" w:rsidR="00D53A8A" w:rsidRDefault="00635A64">
          <w:pPr>
            <w:spacing w:after="120" w:line="256" w:lineRule="auto"/>
            <w:ind w:left="-486" w:right="214" w:firstLine="284"/>
            <w:jc w:val="right"/>
            <w:rPr>
              <w:rFonts w:ascii="Palatino Linotype" w:eastAsia="Palatino Linotype" w:hAnsi="Palatino Linotype" w:cs="Palatino Linotype"/>
              <w:b/>
            </w:rPr>
          </w:pPr>
          <w:r w:rsidRPr="00635A64">
            <w:rPr>
              <w:rFonts w:ascii="Palatino Linotype" w:eastAsia="Palatino Linotype" w:hAnsi="Palatino Linotype" w:cs="Palatino Linotype"/>
              <w:b/>
              <w:bCs/>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6640279A" w:rsidR="00D53A8A" w:rsidRDefault="007E084B">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xxxxxxxxxxxxxxxxxxxx</w:t>
          </w:r>
          <w:proofErr w:type="spellEnd"/>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1EA7"/>
    <w:rsid w:val="000339BD"/>
    <w:rsid w:val="00037DD8"/>
    <w:rsid w:val="00057631"/>
    <w:rsid w:val="000702B4"/>
    <w:rsid w:val="000B1D91"/>
    <w:rsid w:val="000E32FB"/>
    <w:rsid w:val="000E61DC"/>
    <w:rsid w:val="000F0400"/>
    <w:rsid w:val="000F6B2C"/>
    <w:rsid w:val="00126513"/>
    <w:rsid w:val="001408BE"/>
    <w:rsid w:val="00140F5B"/>
    <w:rsid w:val="00167DB6"/>
    <w:rsid w:val="00177CF2"/>
    <w:rsid w:val="001B3FA8"/>
    <w:rsid w:val="001D45A2"/>
    <w:rsid w:val="001E197F"/>
    <w:rsid w:val="001F49C9"/>
    <w:rsid w:val="001F682C"/>
    <w:rsid w:val="001F7C0B"/>
    <w:rsid w:val="00281BE1"/>
    <w:rsid w:val="002A446F"/>
    <w:rsid w:val="002D2022"/>
    <w:rsid w:val="002D2141"/>
    <w:rsid w:val="002D639D"/>
    <w:rsid w:val="00310F92"/>
    <w:rsid w:val="00326AAC"/>
    <w:rsid w:val="0034213D"/>
    <w:rsid w:val="003543C0"/>
    <w:rsid w:val="0037064E"/>
    <w:rsid w:val="00385493"/>
    <w:rsid w:val="0038572D"/>
    <w:rsid w:val="00386954"/>
    <w:rsid w:val="003F23F0"/>
    <w:rsid w:val="004034C3"/>
    <w:rsid w:val="00405799"/>
    <w:rsid w:val="004264C2"/>
    <w:rsid w:val="004431A6"/>
    <w:rsid w:val="00451211"/>
    <w:rsid w:val="00454597"/>
    <w:rsid w:val="00483692"/>
    <w:rsid w:val="004A4A57"/>
    <w:rsid w:val="004B79F5"/>
    <w:rsid w:val="004C7FCA"/>
    <w:rsid w:val="004D5D06"/>
    <w:rsid w:val="004D6D39"/>
    <w:rsid w:val="0050508E"/>
    <w:rsid w:val="0052559A"/>
    <w:rsid w:val="005740DF"/>
    <w:rsid w:val="005B34B6"/>
    <w:rsid w:val="005D1BC7"/>
    <w:rsid w:val="00604949"/>
    <w:rsid w:val="00621899"/>
    <w:rsid w:val="00627DE1"/>
    <w:rsid w:val="00630897"/>
    <w:rsid w:val="00635A64"/>
    <w:rsid w:val="00636694"/>
    <w:rsid w:val="00640ABD"/>
    <w:rsid w:val="00642061"/>
    <w:rsid w:val="00662649"/>
    <w:rsid w:val="00664255"/>
    <w:rsid w:val="006962E2"/>
    <w:rsid w:val="006A5601"/>
    <w:rsid w:val="006A56B5"/>
    <w:rsid w:val="006B07F0"/>
    <w:rsid w:val="006B4DC8"/>
    <w:rsid w:val="00701649"/>
    <w:rsid w:val="0072626F"/>
    <w:rsid w:val="00726D8C"/>
    <w:rsid w:val="00751EC2"/>
    <w:rsid w:val="00761CFC"/>
    <w:rsid w:val="007B005E"/>
    <w:rsid w:val="007B06C7"/>
    <w:rsid w:val="007B0A03"/>
    <w:rsid w:val="007E084B"/>
    <w:rsid w:val="007E43E5"/>
    <w:rsid w:val="00821C19"/>
    <w:rsid w:val="0082774E"/>
    <w:rsid w:val="00845EA7"/>
    <w:rsid w:val="00876873"/>
    <w:rsid w:val="008D5AEB"/>
    <w:rsid w:val="00905EB8"/>
    <w:rsid w:val="00910898"/>
    <w:rsid w:val="009520BB"/>
    <w:rsid w:val="0097425B"/>
    <w:rsid w:val="00982C26"/>
    <w:rsid w:val="00994718"/>
    <w:rsid w:val="009A5770"/>
    <w:rsid w:val="009B12A2"/>
    <w:rsid w:val="009B36C9"/>
    <w:rsid w:val="009D63A2"/>
    <w:rsid w:val="009D69A3"/>
    <w:rsid w:val="009D6E62"/>
    <w:rsid w:val="009E3316"/>
    <w:rsid w:val="00A03F3B"/>
    <w:rsid w:val="00A503B2"/>
    <w:rsid w:val="00A52F6C"/>
    <w:rsid w:val="00A8301C"/>
    <w:rsid w:val="00B171BF"/>
    <w:rsid w:val="00B22CF1"/>
    <w:rsid w:val="00B25F4B"/>
    <w:rsid w:val="00B4539B"/>
    <w:rsid w:val="00B542A6"/>
    <w:rsid w:val="00B80967"/>
    <w:rsid w:val="00B86AA5"/>
    <w:rsid w:val="00BA25F6"/>
    <w:rsid w:val="00BC25FC"/>
    <w:rsid w:val="00BF2C22"/>
    <w:rsid w:val="00BF6821"/>
    <w:rsid w:val="00C155D9"/>
    <w:rsid w:val="00C42200"/>
    <w:rsid w:val="00C755AE"/>
    <w:rsid w:val="00C76A30"/>
    <w:rsid w:val="00C83432"/>
    <w:rsid w:val="00C9156C"/>
    <w:rsid w:val="00C91E46"/>
    <w:rsid w:val="00CC14CC"/>
    <w:rsid w:val="00D01FA0"/>
    <w:rsid w:val="00D0571D"/>
    <w:rsid w:val="00D15BED"/>
    <w:rsid w:val="00D53A8A"/>
    <w:rsid w:val="00D6696B"/>
    <w:rsid w:val="00D74570"/>
    <w:rsid w:val="00DA20B5"/>
    <w:rsid w:val="00E206A4"/>
    <w:rsid w:val="00E2615D"/>
    <w:rsid w:val="00E741A1"/>
    <w:rsid w:val="00E770B0"/>
    <w:rsid w:val="00E84372"/>
    <w:rsid w:val="00EB5F5B"/>
    <w:rsid w:val="00F24385"/>
    <w:rsid w:val="00F25DD8"/>
    <w:rsid w:val="00F424DB"/>
    <w:rsid w:val="00F516CC"/>
    <w:rsid w:val="00F6456E"/>
    <w:rsid w:val="00F65063"/>
    <w:rsid w:val="00F954D3"/>
    <w:rsid w:val="00FA157C"/>
    <w:rsid w:val="00FA35DC"/>
    <w:rsid w:val="00FE4D41"/>
    <w:rsid w:val="00FF5B3F"/>
    <w:rsid w:val="00FF7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4095</Words>
  <Characters>22525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19</cp:revision>
  <cp:lastPrinted>2026-06-05T16:18:00Z</cp:lastPrinted>
  <dcterms:created xsi:type="dcterms:W3CDTF">2026-05-22T17:50:00Z</dcterms:created>
  <dcterms:modified xsi:type="dcterms:W3CDTF">2026-06-09T17:49:00Z</dcterms:modified>
</cp:coreProperties>
</file>