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CF6" w:rsidRPr="005E184B" w:rsidRDefault="0078670F">
      <w:pPr>
        <w:spacing w:line="360" w:lineRule="auto"/>
        <w:jc w:val="both"/>
        <w:rPr>
          <w:rFonts w:ascii="Palatino Linotype" w:eastAsia="Palatino Linotype" w:hAnsi="Palatino Linotype" w:cs="Palatino Linotype"/>
        </w:rPr>
      </w:pPr>
      <w:bookmarkStart w:id="0" w:name="_GoBack"/>
      <w:bookmarkEnd w:id="0"/>
      <w:r w:rsidRPr="005E184B">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w:t>
      </w:r>
      <w:r w:rsidR="00604DE5" w:rsidRPr="005E184B">
        <w:rPr>
          <w:rFonts w:ascii="Palatino Linotype" w:eastAsia="Palatino Linotype" w:hAnsi="Palatino Linotype" w:cs="Palatino Linotype"/>
        </w:rPr>
        <w:t>stado de México; de fecha trece</w:t>
      </w:r>
      <w:r w:rsidR="005E184B">
        <w:rPr>
          <w:rFonts w:ascii="Palatino Linotype" w:eastAsia="Palatino Linotype" w:hAnsi="Palatino Linotype" w:cs="Palatino Linotype"/>
        </w:rPr>
        <w:t xml:space="preserve"> (13)</w:t>
      </w:r>
      <w:r w:rsidR="00604DE5" w:rsidRPr="005E184B">
        <w:rPr>
          <w:rFonts w:ascii="Palatino Linotype" w:eastAsia="Palatino Linotype" w:hAnsi="Palatino Linotype" w:cs="Palatino Linotype"/>
        </w:rPr>
        <w:t xml:space="preserve"> de mayo de dos mil veintiséis</w:t>
      </w:r>
      <w:r w:rsidRPr="005E184B">
        <w:rPr>
          <w:rFonts w:ascii="Palatino Linotype" w:eastAsia="Palatino Linotype" w:hAnsi="Palatino Linotype" w:cs="Palatino Linotype"/>
        </w:rPr>
        <w:t>.</w:t>
      </w:r>
    </w:p>
    <w:p w:rsidR="005E4CF6" w:rsidRPr="005E184B" w:rsidRDefault="005E4CF6">
      <w:pPr>
        <w:jc w:val="both"/>
        <w:rPr>
          <w:rFonts w:ascii="Palatino Linotype" w:eastAsia="Palatino Linotype" w:hAnsi="Palatino Linotype" w:cs="Palatino Linotype"/>
        </w:rPr>
      </w:pPr>
    </w:p>
    <w:p w:rsidR="005E4CF6" w:rsidRPr="005E184B" w:rsidRDefault="0078670F">
      <w:pPr>
        <w:spacing w:line="360" w:lineRule="auto"/>
        <w:jc w:val="both"/>
        <w:rPr>
          <w:rFonts w:ascii="Palatino Linotype" w:eastAsia="Palatino Linotype" w:hAnsi="Palatino Linotype" w:cs="Palatino Linotype"/>
        </w:rPr>
      </w:pPr>
      <w:r w:rsidRPr="005E184B">
        <w:rPr>
          <w:rFonts w:ascii="Palatino Linotype" w:eastAsia="Palatino Linotype" w:hAnsi="Palatino Linotype" w:cs="Palatino Linotype"/>
          <w:b/>
          <w:bCs/>
        </w:rPr>
        <w:t>VISTO</w:t>
      </w:r>
      <w:r w:rsidRPr="005E184B">
        <w:rPr>
          <w:rFonts w:ascii="Palatino Linotype" w:eastAsia="Palatino Linotype" w:hAnsi="Palatino Linotype" w:cs="Palatino Linotype"/>
        </w:rPr>
        <w:t xml:space="preserve"> el expediente electrónico formado con motivo del recurso de revisión </w:t>
      </w:r>
      <w:r w:rsidRPr="005E184B">
        <w:rPr>
          <w:rFonts w:ascii="Palatino Linotype" w:eastAsia="Palatino Linotype" w:hAnsi="Palatino Linotype" w:cs="Palatino Linotype"/>
          <w:b/>
          <w:bCs/>
        </w:rPr>
        <w:t xml:space="preserve">01888/INFOEM/IP/RR/2026, </w:t>
      </w:r>
      <w:r w:rsidRPr="005E184B">
        <w:rPr>
          <w:rFonts w:ascii="Palatino Linotype" w:eastAsia="Palatino Linotype" w:hAnsi="Palatino Linotype" w:cs="Palatino Linotype"/>
        </w:rPr>
        <w:t>promovido por un</w:t>
      </w:r>
      <w:r w:rsidRPr="005E184B">
        <w:rPr>
          <w:rFonts w:ascii="Palatino Linotype" w:eastAsia="Palatino Linotype" w:hAnsi="Palatino Linotype" w:cs="Palatino Linotype"/>
          <w:b/>
          <w:bCs/>
        </w:rPr>
        <w:t xml:space="preserve"> RECURRENTE,</w:t>
      </w:r>
      <w:r w:rsidR="00604DE5" w:rsidRPr="005E184B">
        <w:rPr>
          <w:rFonts w:ascii="Palatino Linotype" w:eastAsia="Palatino Linotype" w:hAnsi="Palatino Linotype" w:cs="Palatino Linotype"/>
        </w:rPr>
        <w:t xml:space="preserve"> en contra de la respuesta del</w:t>
      </w:r>
      <w:r w:rsidRPr="005E184B">
        <w:rPr>
          <w:rFonts w:ascii="Palatino Linotype" w:eastAsia="Palatino Linotype" w:hAnsi="Palatino Linotype" w:cs="Palatino Linotype"/>
        </w:rPr>
        <w:t xml:space="preserve"> </w:t>
      </w:r>
      <w:r w:rsidRPr="005E184B">
        <w:rPr>
          <w:rFonts w:ascii="Palatino Linotype" w:eastAsia="Palatino Linotype" w:hAnsi="Palatino Linotype" w:cs="Palatino Linotype"/>
          <w:b/>
          <w:bCs/>
          <w:color w:val="000000"/>
        </w:rPr>
        <w:t>Instituto Municipal de Cultura Física y Deporte</w:t>
      </w:r>
      <w:r w:rsidR="004B7586" w:rsidRPr="005E184B">
        <w:rPr>
          <w:rFonts w:ascii="Palatino Linotype" w:eastAsia="Palatino Linotype" w:hAnsi="Palatino Linotype" w:cs="Palatino Linotype"/>
          <w:b/>
          <w:bCs/>
          <w:color w:val="000000"/>
        </w:rPr>
        <w:t xml:space="preserve"> </w:t>
      </w:r>
      <w:r w:rsidR="004B7586" w:rsidRPr="005E184B">
        <w:rPr>
          <w:rFonts w:ascii="Palatino Linotype" w:eastAsia="Palatino Linotype" w:hAnsi="Palatino Linotype" w:cs="Palatino Linotype"/>
          <w:b/>
        </w:rPr>
        <w:t>Tecámac</w:t>
      </w:r>
      <w:r w:rsidRPr="005E184B">
        <w:rPr>
          <w:rFonts w:ascii="Palatino Linotype" w:eastAsia="Palatino Linotype" w:hAnsi="Palatino Linotype" w:cs="Palatino Linotype"/>
          <w:b/>
          <w:bCs/>
        </w:rPr>
        <w:t xml:space="preserve">, </w:t>
      </w:r>
      <w:r w:rsidRPr="005E184B">
        <w:rPr>
          <w:rFonts w:ascii="Palatino Linotype" w:eastAsia="Palatino Linotype" w:hAnsi="Palatino Linotype" w:cs="Palatino Linotype"/>
        </w:rPr>
        <w:t>en adelante el</w:t>
      </w:r>
      <w:r w:rsidRPr="005E184B">
        <w:rPr>
          <w:rFonts w:ascii="Palatino Linotype" w:eastAsia="Palatino Linotype" w:hAnsi="Palatino Linotype" w:cs="Palatino Linotype"/>
          <w:b/>
          <w:bCs/>
        </w:rPr>
        <w:t xml:space="preserve"> SUJETO OBLIGADO</w:t>
      </w:r>
      <w:r w:rsidRPr="005E184B">
        <w:rPr>
          <w:rFonts w:ascii="Palatino Linotype" w:eastAsia="Palatino Linotype" w:hAnsi="Palatino Linotype" w:cs="Palatino Linotype"/>
        </w:rPr>
        <w:t>, por lo que se procede a dictar la presente resolución, con base en los siguientes:</w:t>
      </w:r>
    </w:p>
    <w:p w:rsidR="005E4CF6" w:rsidRPr="005E184B" w:rsidRDefault="005E4CF6">
      <w:pPr>
        <w:jc w:val="both"/>
        <w:rPr>
          <w:rFonts w:ascii="Palatino Linotype" w:eastAsia="Palatino Linotype" w:hAnsi="Palatino Linotype" w:cs="Palatino Linotype"/>
        </w:rPr>
      </w:pPr>
    </w:p>
    <w:p w:rsidR="005E4CF6" w:rsidRPr="005E184B" w:rsidRDefault="0078670F">
      <w:pPr>
        <w:keepNext/>
        <w:keepLines/>
        <w:spacing w:line="360" w:lineRule="auto"/>
        <w:jc w:val="center"/>
        <w:rPr>
          <w:rFonts w:ascii="Palatino Linotype" w:eastAsia="Palatino Linotype" w:hAnsi="Palatino Linotype" w:cs="Palatino Linotype"/>
          <w:b/>
          <w:bCs/>
        </w:rPr>
      </w:pPr>
      <w:r w:rsidRPr="005E184B">
        <w:rPr>
          <w:rFonts w:ascii="Palatino Linotype" w:eastAsia="Palatino Linotype" w:hAnsi="Palatino Linotype" w:cs="Palatino Linotype"/>
          <w:b/>
          <w:bCs/>
        </w:rPr>
        <w:t>A N T E C E D E N T E S</w:t>
      </w:r>
    </w:p>
    <w:p w:rsidR="005E4CF6" w:rsidRPr="005E184B" w:rsidRDefault="005E4CF6">
      <w:pPr>
        <w:rPr>
          <w:rFonts w:ascii="Palatino Linotype" w:eastAsia="Palatino Linotype" w:hAnsi="Palatino Linotype" w:cs="Palatino Linotype"/>
        </w:rPr>
      </w:pPr>
    </w:p>
    <w:p w:rsidR="005E4CF6" w:rsidRPr="005E184B" w:rsidRDefault="0078670F">
      <w:pPr>
        <w:numPr>
          <w:ilvl w:val="0"/>
          <w:numId w:val="1"/>
        </w:numPr>
        <w:spacing w:line="360" w:lineRule="auto"/>
        <w:ind w:left="0" w:firstLine="0"/>
        <w:jc w:val="both"/>
        <w:rPr>
          <w:rFonts w:ascii="Palatino Linotype" w:eastAsia="Palatino Linotype" w:hAnsi="Palatino Linotype" w:cs="Palatino Linotype"/>
        </w:rPr>
      </w:pPr>
      <w:bookmarkStart w:id="1" w:name="_heading=h.qn6jjtok8s7g" w:colFirst="0" w:colLast="0"/>
      <w:bookmarkEnd w:id="1"/>
      <w:r w:rsidRPr="005E184B">
        <w:rPr>
          <w:rFonts w:ascii="Palatino Linotype" w:eastAsia="Palatino Linotype" w:hAnsi="Palatino Linotype" w:cs="Palatino Linotype"/>
        </w:rPr>
        <w:t>El quince de enero de dos mil veintiséis, la</w:t>
      </w:r>
      <w:r w:rsidRPr="005E184B">
        <w:rPr>
          <w:rFonts w:ascii="Palatino Linotype" w:eastAsia="Palatino Linotype" w:hAnsi="Palatino Linotype" w:cs="Palatino Linotype"/>
          <w:b/>
          <w:bCs/>
        </w:rPr>
        <w:t xml:space="preserve"> RECURRENTE </w:t>
      </w:r>
      <w:r w:rsidRPr="005E184B">
        <w:rPr>
          <w:rFonts w:ascii="Palatino Linotype" w:eastAsia="Palatino Linotype" w:hAnsi="Palatino Linotype" w:cs="Palatino Linotype"/>
        </w:rPr>
        <w:t xml:space="preserve">presentó ante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a través del el Sistema de Acceso a la Información Mexiquense </w:t>
      </w:r>
      <w:r w:rsidRPr="005E184B">
        <w:rPr>
          <w:rFonts w:ascii="Palatino Linotype" w:eastAsia="Palatino Linotype" w:hAnsi="Palatino Linotype" w:cs="Palatino Linotype"/>
          <w:b/>
          <w:bCs/>
        </w:rPr>
        <w:t>(SAIMEX),</w:t>
      </w:r>
      <w:r w:rsidRPr="005E184B">
        <w:rPr>
          <w:rFonts w:ascii="Palatino Linotype" w:eastAsia="Palatino Linotype" w:hAnsi="Palatino Linotype" w:cs="Palatino Linotype"/>
        </w:rPr>
        <w:t xml:space="preserve"> la solicitud de información pública </w:t>
      </w:r>
      <w:r w:rsidRPr="005E184B">
        <w:rPr>
          <w:rFonts w:ascii="Palatino Linotype" w:eastAsia="Palatino Linotype" w:hAnsi="Palatino Linotype" w:cs="Palatino Linotype"/>
          <w:b/>
          <w:bCs/>
        </w:rPr>
        <w:t>00001/IMCUFIDETECAM/IP/2026</w:t>
      </w:r>
      <w:r w:rsidRPr="005E184B">
        <w:rPr>
          <w:rFonts w:ascii="Palatino Linotype" w:eastAsia="Palatino Linotype" w:hAnsi="Palatino Linotype" w:cs="Palatino Linotype"/>
        </w:rPr>
        <w:t>, en la que solicitó:</w:t>
      </w:r>
    </w:p>
    <w:p w:rsidR="005E4CF6" w:rsidRPr="005E184B" w:rsidRDefault="005E4CF6">
      <w:pPr>
        <w:jc w:val="both"/>
        <w:rPr>
          <w:rFonts w:ascii="Palatino Linotype" w:eastAsia="Palatino Linotype" w:hAnsi="Palatino Linotype" w:cs="Palatino Linotype"/>
          <w:i/>
          <w:iCs/>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i/>
          <w:iCs/>
          <w:color w:val="000000"/>
        </w:rPr>
        <w:t xml:space="preserve">“TODOS LOS CONTRATOS DEL EJERCICIO FISCAL 2024 QUE SE HAYAN CELEBRADO CON LA ASOCIACION CIVIL BOMBARDEROS Y CON EL CENTRO DE FORMACIÓN CULTURAL Y DEPORTIVA TECAMAQUENSES CADA VEZ MAS GANADORES” (Sic) </w:t>
      </w:r>
    </w:p>
    <w:p w:rsidR="005E4CF6" w:rsidRPr="005E184B" w:rsidRDefault="005E4CF6">
      <w:pPr>
        <w:pBdr>
          <w:top w:val="nil"/>
          <w:left w:val="nil"/>
          <w:bottom w:val="nil"/>
          <w:right w:val="nil"/>
          <w:between w:val="nil"/>
        </w:pBdr>
        <w:jc w:val="both"/>
        <w:rPr>
          <w:rFonts w:ascii="Palatino Linotype" w:eastAsia="Palatino Linotype" w:hAnsi="Palatino Linotype" w:cs="Palatino Linotype"/>
          <w:color w:val="000000"/>
        </w:rPr>
      </w:pPr>
    </w:p>
    <w:p w:rsidR="005E4CF6" w:rsidRPr="005E184B" w:rsidRDefault="0078670F">
      <w:pPr>
        <w:numPr>
          <w:ilvl w:val="0"/>
          <w:numId w:val="1"/>
        </w:numPr>
        <w:spacing w:line="360" w:lineRule="auto"/>
        <w:ind w:left="0"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 xml:space="preserve">Se hace constar que se señaló como modalidad de entrega de la información a través del </w:t>
      </w:r>
      <w:r w:rsidRPr="005E184B">
        <w:rPr>
          <w:rFonts w:ascii="Palatino Linotype" w:eastAsia="Palatino Linotype" w:hAnsi="Palatino Linotype" w:cs="Palatino Linotype"/>
          <w:b/>
          <w:bCs/>
        </w:rPr>
        <w:t>SAIMEX.</w:t>
      </w:r>
    </w:p>
    <w:p w:rsidR="005E4CF6" w:rsidRPr="005E184B" w:rsidRDefault="005E4CF6">
      <w:pPr>
        <w:spacing w:line="360" w:lineRule="auto"/>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 xml:space="preserve">El treinta de enero de dos mil veintiséis,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b/>
          <w:bCs/>
          <w:i/>
          <w:iCs/>
        </w:rPr>
        <w:t xml:space="preserve"> </w:t>
      </w:r>
      <w:r w:rsidRPr="005E184B">
        <w:rPr>
          <w:rFonts w:ascii="Palatino Linotype" w:eastAsia="Palatino Linotype" w:hAnsi="Palatino Linotype" w:cs="Palatino Linotype"/>
        </w:rPr>
        <w:t>dio respuesta a la solicitud de información, en los siguientes términos:</w:t>
      </w:r>
    </w:p>
    <w:p w:rsidR="005E4CF6" w:rsidRPr="005E184B" w:rsidRDefault="005E4CF6">
      <w:pPr>
        <w:ind w:right="567"/>
        <w:jc w:val="both"/>
        <w:rPr>
          <w:rFonts w:ascii="Palatino Linotype" w:eastAsia="Palatino Linotype" w:hAnsi="Palatino Linotype" w:cs="Palatino Linotype"/>
        </w:rPr>
      </w:pPr>
    </w:p>
    <w:p w:rsidR="005E4CF6" w:rsidRPr="005E184B" w:rsidRDefault="0078670F">
      <w:pPr>
        <w:ind w:left="567" w:right="567"/>
        <w:jc w:val="both"/>
        <w:rPr>
          <w:rFonts w:ascii="Palatino Linotype" w:eastAsia="Palatino Linotype" w:hAnsi="Palatino Linotype" w:cs="Palatino Linotype"/>
          <w:i/>
          <w:iCs/>
          <w:color w:val="000000"/>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i/>
          <w:iCs/>
          <w:color w:val="000000"/>
        </w:rPr>
        <w:t>se entrega respuesta de la solicitud” (Sic)</w:t>
      </w:r>
    </w:p>
    <w:p w:rsidR="005E4CF6" w:rsidRPr="005E184B" w:rsidRDefault="005E4CF6">
      <w:pPr>
        <w:ind w:right="567"/>
        <w:jc w:val="both"/>
        <w:rPr>
          <w:rFonts w:ascii="Palatino Linotype" w:eastAsia="Palatino Linotype" w:hAnsi="Palatino Linotype" w:cs="Palatino Linotype"/>
          <w:i/>
          <w:iCs/>
          <w:color w:val="000000"/>
        </w:rPr>
      </w:pPr>
    </w:p>
    <w:p w:rsidR="005E4CF6" w:rsidRPr="005E184B" w:rsidRDefault="0078670F">
      <w:pPr>
        <w:ind w:right="567"/>
        <w:jc w:val="both"/>
        <w:rPr>
          <w:rFonts w:ascii="Palatino Linotype" w:eastAsia="Palatino Linotype" w:hAnsi="Palatino Linotype" w:cs="Palatino Linotype"/>
          <w:b/>
          <w:bCs/>
        </w:rPr>
      </w:pPr>
      <w:r w:rsidRPr="005E184B">
        <w:rPr>
          <w:rFonts w:ascii="Palatino Linotype" w:eastAsia="Palatino Linotype" w:hAnsi="Palatino Linotype" w:cs="Palatino Linotype"/>
          <w:b/>
          <w:bCs/>
        </w:rPr>
        <w:lastRenderedPageBreak/>
        <w:t>Archivos electrónicos adjuntos:</w:t>
      </w:r>
      <w:r w:rsidRPr="005E184B">
        <w:rPr>
          <w:rFonts w:ascii="Palatino Linotype" w:eastAsia="Palatino Linotype" w:hAnsi="Palatino Linotype" w:cs="Palatino Linotype"/>
        </w:rPr>
        <w:t xml:space="preserve"> </w:t>
      </w:r>
    </w:p>
    <w:p w:rsidR="005E4CF6" w:rsidRPr="005E184B" w:rsidRDefault="005E4CF6">
      <w:pPr>
        <w:ind w:right="-592"/>
        <w:jc w:val="both"/>
        <w:rPr>
          <w:rFonts w:ascii="Palatino Linotype" w:eastAsia="Palatino Linotype" w:hAnsi="Palatino Linotype" w:cs="Palatino Linotype"/>
          <w:b/>
          <w:bCs/>
          <w:color w:val="000000"/>
        </w:rPr>
      </w:pPr>
    </w:p>
    <w:p w:rsidR="005E4CF6" w:rsidRPr="005E184B" w:rsidRDefault="00692A15">
      <w:pPr>
        <w:ind w:left="567" w:right="538"/>
        <w:jc w:val="both"/>
        <w:rPr>
          <w:rFonts w:ascii="Palatino Linotype" w:eastAsia="Palatino Linotype" w:hAnsi="Palatino Linotype" w:cs="Palatino Linotype"/>
        </w:rPr>
      </w:pPr>
      <w:hyperlink r:id="rId8">
        <w:r w:rsidR="0078670F" w:rsidRPr="005E184B">
          <w:rPr>
            <w:rFonts w:ascii="Palatino Linotype" w:eastAsia="Palatino Linotype" w:hAnsi="Palatino Linotype" w:cs="Palatino Linotype"/>
            <w:b/>
            <w:bCs/>
            <w:color w:val="000000"/>
          </w:rPr>
          <w:t>saimex 010001.pdf</w:t>
        </w:r>
      </w:hyperlink>
      <w:r w:rsidR="0078670F" w:rsidRPr="005E184B">
        <w:rPr>
          <w:rFonts w:ascii="Palatino Linotype" w:eastAsia="Palatino Linotype" w:hAnsi="Palatino Linotype" w:cs="Palatino Linotype"/>
        </w:rPr>
        <w:t>: Documento consistente en los siguientes oficios:</w:t>
      </w:r>
    </w:p>
    <w:p w:rsidR="005E4CF6" w:rsidRPr="005E184B" w:rsidRDefault="0078670F">
      <w:pPr>
        <w:ind w:left="567" w:right="538"/>
        <w:jc w:val="both"/>
        <w:rPr>
          <w:rFonts w:ascii="Palatino Linotype" w:eastAsia="Palatino Linotype" w:hAnsi="Palatino Linotype" w:cs="Palatino Linotype"/>
        </w:rPr>
      </w:pPr>
      <w:r w:rsidRPr="005E184B">
        <w:rPr>
          <w:rFonts w:ascii="Palatino Linotype" w:eastAsia="Palatino Linotype" w:hAnsi="Palatino Linotype" w:cs="Palatino Linotype"/>
        </w:rPr>
        <w:t>-Oficio IMDEPORTE/DG/UJYT/02/01/26, suscrito por el Titular de Unidad Jurídica y de Transparencia del Instituto Municipal de Cultura Física y Deporte, mediante el cual, señaló que no existe antecedente alguno de contrato celebrado entre el Instituto Municipal de Cultura Física y Deporte de Tecámac y la Asociación civil denominada “Bombarderos”.</w:t>
      </w:r>
    </w:p>
    <w:p w:rsidR="005E4CF6" w:rsidRPr="005E184B" w:rsidRDefault="005E4CF6">
      <w:pPr>
        <w:ind w:left="567" w:right="538"/>
        <w:jc w:val="both"/>
        <w:rPr>
          <w:rFonts w:ascii="Palatino Linotype" w:eastAsia="Palatino Linotype" w:hAnsi="Palatino Linotype" w:cs="Palatino Linotype"/>
        </w:rPr>
      </w:pPr>
    </w:p>
    <w:p w:rsidR="005E4CF6" w:rsidRPr="005E184B" w:rsidRDefault="0078670F">
      <w:pPr>
        <w:ind w:left="567" w:right="538"/>
        <w:jc w:val="both"/>
        <w:rPr>
          <w:rFonts w:ascii="Palatino Linotype" w:eastAsia="Palatino Linotype" w:hAnsi="Palatino Linotype" w:cs="Palatino Linotype"/>
        </w:rPr>
      </w:pPr>
      <w:r w:rsidRPr="005E184B">
        <w:rPr>
          <w:rFonts w:ascii="Palatino Linotype" w:eastAsia="Palatino Linotype" w:hAnsi="Palatino Linotype" w:cs="Palatino Linotype"/>
        </w:rPr>
        <w:t>-Oficio IMDEPORTE/DFA/OI/0027/01/2026, suscrito por la Directora de Finanzas y Administración del IMDEPORTE, mediante el cual, señaló que no existe ningún antecedente de contrato que se haya celebrado entre el Instituto Municipal de Cultura Física y Deporte de Tecámac y la Asociación mencionada en la solicitud de información.</w:t>
      </w:r>
    </w:p>
    <w:p w:rsidR="005E4CF6" w:rsidRPr="005E184B" w:rsidRDefault="005E4CF6">
      <w:pPr>
        <w:ind w:left="567" w:right="-592"/>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El dieciséis de febrero de dos mil veintiséis,</w:t>
      </w:r>
      <w:r w:rsidRPr="005E184B">
        <w:rPr>
          <w:rFonts w:ascii="Palatino Linotype" w:eastAsia="Palatino Linotype" w:hAnsi="Palatino Linotype" w:cs="Palatino Linotype"/>
          <w:b/>
          <w:bCs/>
        </w:rPr>
        <w:t xml:space="preserve"> </w:t>
      </w:r>
      <w:r w:rsidRPr="005E184B">
        <w:rPr>
          <w:rFonts w:ascii="Palatino Linotype" w:eastAsia="Palatino Linotype" w:hAnsi="Palatino Linotype" w:cs="Palatino Linotype"/>
        </w:rPr>
        <w:t xml:space="preserve">el </w:t>
      </w:r>
      <w:r w:rsidRPr="005E184B">
        <w:rPr>
          <w:rFonts w:ascii="Palatino Linotype" w:eastAsia="Palatino Linotype" w:hAnsi="Palatino Linotype" w:cs="Palatino Linotype"/>
          <w:b/>
          <w:bCs/>
        </w:rPr>
        <w:t>RECURRENTE</w:t>
      </w:r>
      <w:r w:rsidRPr="005E184B">
        <w:rPr>
          <w:rFonts w:ascii="Palatino Linotype" w:eastAsia="Palatino Linotype" w:hAnsi="Palatino Linotype" w:cs="Palatino Linotype"/>
        </w:rPr>
        <w:t xml:space="preserve"> interpuso el recurso de revisión en contra de la respuesta, señalando como:</w:t>
      </w:r>
    </w:p>
    <w:p w:rsidR="005E4CF6" w:rsidRPr="005E184B" w:rsidRDefault="005E4CF6">
      <w:pPr>
        <w:ind w:right="1"/>
        <w:jc w:val="both"/>
        <w:rPr>
          <w:rFonts w:ascii="Palatino Linotype" w:eastAsia="Palatino Linotype" w:hAnsi="Palatino Linotype" w:cs="Palatino Linotype"/>
        </w:rPr>
      </w:pPr>
    </w:p>
    <w:p w:rsidR="005E4CF6" w:rsidRPr="005E184B" w:rsidRDefault="0078670F">
      <w:pPr>
        <w:ind w:left="567" w:right="568"/>
        <w:jc w:val="both"/>
        <w:rPr>
          <w:rFonts w:ascii="Palatino Linotype" w:eastAsia="Palatino Linotype" w:hAnsi="Palatino Linotype" w:cs="Palatino Linotype"/>
          <w:i/>
          <w:iCs/>
        </w:rPr>
      </w:pPr>
      <w:r w:rsidRPr="005E184B">
        <w:rPr>
          <w:rFonts w:ascii="Palatino Linotype" w:eastAsia="Palatino Linotype" w:hAnsi="Palatino Linotype" w:cs="Palatino Linotype"/>
          <w:b/>
          <w:bCs/>
        </w:rPr>
        <w:t>Acto impugnado</w:t>
      </w:r>
      <w:r w:rsidRPr="005E184B">
        <w:rPr>
          <w:rFonts w:ascii="Palatino Linotype" w:eastAsia="Palatino Linotype" w:hAnsi="Palatino Linotype" w:cs="Palatino Linotype"/>
          <w:b/>
          <w:bCs/>
          <w:i/>
          <w:iCs/>
        </w:rPr>
        <w:t>:</w:t>
      </w:r>
      <w:r w:rsidRPr="005E184B">
        <w:rPr>
          <w:rFonts w:ascii="Palatino Linotype" w:eastAsia="Palatino Linotype" w:hAnsi="Palatino Linotype" w:cs="Palatino Linotype"/>
          <w:i/>
          <w:iCs/>
          <w:color w:val="000000"/>
        </w:rPr>
        <w:t xml:space="preserve"> "LA RESPUESTA EMITIDA POR EL INSTITUTO MUNICIPAL DE CULTURA FISICA Y DEPORTE DE TECÁMAC” (Sic)</w:t>
      </w:r>
    </w:p>
    <w:p w:rsidR="005E4CF6" w:rsidRPr="005E184B" w:rsidRDefault="005E4CF6">
      <w:pPr>
        <w:ind w:left="567" w:right="568"/>
        <w:jc w:val="both"/>
        <w:rPr>
          <w:rFonts w:ascii="Palatino Linotype" w:eastAsia="Palatino Linotype" w:hAnsi="Palatino Linotype" w:cs="Palatino Linotype"/>
        </w:rPr>
      </w:pPr>
    </w:p>
    <w:p w:rsidR="005E4CF6" w:rsidRPr="005E184B" w:rsidRDefault="0078670F">
      <w:pPr>
        <w:ind w:left="567" w:right="568"/>
        <w:jc w:val="both"/>
        <w:rPr>
          <w:rFonts w:ascii="Palatino Linotype" w:eastAsia="Palatino Linotype" w:hAnsi="Palatino Linotype" w:cs="Palatino Linotype"/>
          <w:i/>
          <w:iCs/>
        </w:rPr>
      </w:pPr>
      <w:r w:rsidRPr="005E184B">
        <w:rPr>
          <w:rFonts w:ascii="Palatino Linotype" w:eastAsia="Palatino Linotype" w:hAnsi="Palatino Linotype" w:cs="Palatino Linotype"/>
          <w:b/>
          <w:bCs/>
        </w:rPr>
        <w:t>Razones o Motivos de inconformidad:</w:t>
      </w:r>
      <w:r w:rsidRPr="005E184B">
        <w:rPr>
          <w:rFonts w:ascii="Palatino Linotype" w:eastAsia="Palatino Linotype" w:hAnsi="Palatino Linotype" w:cs="Palatino Linotype"/>
          <w:b/>
          <w:bCs/>
          <w:i/>
          <w:iCs/>
        </w:rPr>
        <w:t xml:space="preserve"> </w:t>
      </w:r>
      <w:r w:rsidRPr="005E184B">
        <w:rPr>
          <w:rFonts w:ascii="Palatino Linotype" w:eastAsia="Palatino Linotype" w:hAnsi="Palatino Linotype" w:cs="Palatino Linotype"/>
          <w:i/>
          <w:iCs/>
          <w:color w:val="000000"/>
        </w:rPr>
        <w:t>“Refiere que no existe antecedente de algún contrato sin señalar la fecha en que el comité de transparencia sesiono para aprobar dicha respuesta por lo cual carece de fundamentación y motivación, adicionalmente mis conocidos pertenecen al equipo de bombarderos y el Instituto Municipal de Cultura Física y Deporte de Tecámac es quien aportaba para la operación de la asociación y cualquier aportación de recursos públicos a asociaciones privadas requieren la firma de un contrato o convenio por lo cual me inconformo con la respuesta emitida.” (Sic)</w:t>
      </w:r>
    </w:p>
    <w:p w:rsidR="005E4CF6" w:rsidRPr="005E184B" w:rsidRDefault="005E4CF6">
      <w:pPr>
        <w:ind w:right="568"/>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E184B">
        <w:rPr>
          <w:rFonts w:ascii="Palatino Linotype" w:eastAsia="Palatino Linotype" w:hAnsi="Palatino Linotype" w:cs="Palatino Linotype"/>
          <w:b/>
          <w:bCs/>
        </w:rPr>
        <w:t xml:space="preserve">Ley de Transparencia y Acceso a la Información Pública del Estado de México y Municipios </w:t>
      </w:r>
      <w:r w:rsidRPr="005E184B">
        <w:rPr>
          <w:rFonts w:ascii="Palatino Linotype" w:eastAsia="Palatino Linotype" w:hAnsi="Palatino Linotype" w:cs="Palatino Linotype"/>
        </w:rPr>
        <w:t xml:space="preserve">se turna a la </w:t>
      </w:r>
      <w:r w:rsidRPr="005E184B">
        <w:rPr>
          <w:rFonts w:ascii="Palatino Linotype" w:eastAsia="Palatino Linotype" w:hAnsi="Palatino Linotype" w:cs="Palatino Linotype"/>
          <w:b/>
          <w:bCs/>
        </w:rPr>
        <w:t xml:space="preserve">Comisionada María del Rosario Mejía Ayala, </w:t>
      </w:r>
      <w:r w:rsidRPr="005E184B">
        <w:rPr>
          <w:rFonts w:ascii="Palatino Linotype" w:eastAsia="Palatino Linotype" w:hAnsi="Palatino Linotype" w:cs="Palatino Linotype"/>
        </w:rPr>
        <w:t xml:space="preserve">para su análisis. </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rPr>
        <w:lastRenderedPageBreak/>
        <w:t xml:space="preserve">La Comisionada Ponente con fundamento en lo dispuesto por el artículo 185 fracción II de la ley de la materia, a través del acuerdo de admisión del diecisiete de febrero de dos mil veintiséis, puso a disposición de las partes el expediente electrónico vía </w:t>
      </w:r>
      <w:r w:rsidRPr="005E184B">
        <w:rPr>
          <w:rFonts w:ascii="Palatino Linotype" w:eastAsia="Palatino Linotype" w:hAnsi="Palatino Linotype" w:cs="Palatino Linotype"/>
          <w:b/>
          <w:bCs/>
        </w:rPr>
        <w:t xml:space="preserve">SAIMEX </w:t>
      </w:r>
      <w:r w:rsidRPr="005E184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presentará el informe justificado procedente. </w:t>
      </w:r>
    </w:p>
    <w:p w:rsidR="005E4CF6" w:rsidRPr="005E184B" w:rsidRDefault="005E4CF6">
      <w:pPr>
        <w:shd w:val="clear" w:color="auto" w:fill="FFFFFF"/>
        <w:ind w:right="-592"/>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rPr>
        <w:t xml:space="preserve">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omitió rendir el informe justificado correspondiente, por su parte, el </w:t>
      </w:r>
      <w:r w:rsidRPr="005E184B">
        <w:rPr>
          <w:rFonts w:ascii="Palatino Linotype" w:eastAsia="Palatino Linotype" w:hAnsi="Palatino Linotype" w:cs="Palatino Linotype"/>
          <w:b/>
          <w:bCs/>
        </w:rPr>
        <w:t xml:space="preserve">RECURRENTE </w:t>
      </w:r>
      <w:r w:rsidRPr="005E184B">
        <w:rPr>
          <w:rFonts w:ascii="Palatino Linotype" w:eastAsia="Palatino Linotype" w:hAnsi="Palatino Linotype" w:cs="Palatino Linotype"/>
        </w:rPr>
        <w:t>no realizó manifestaciones que a su derecho convinieran.</w:t>
      </w:r>
    </w:p>
    <w:p w:rsidR="005E4CF6" w:rsidRPr="005E184B" w:rsidRDefault="005E4CF6">
      <w:pPr>
        <w:spacing w:line="360" w:lineRule="auto"/>
        <w:ind w:right="1"/>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El siete de mayo de dos mil veintiséis, se notificó el acuerdo mediante el cual se amplió el plazo para emitir resolución por un término de 15 días adicionales.</w:t>
      </w:r>
    </w:p>
    <w:p w:rsidR="005E4CF6" w:rsidRPr="005E184B" w:rsidRDefault="005E4CF6">
      <w:pPr>
        <w:spacing w:line="360" w:lineRule="auto"/>
        <w:ind w:right="1"/>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La Comisionada Ponente decretó el cierre de instrucción mediante el acuerdo del siete de mayo de dos mil veintiséis. </w:t>
      </w:r>
    </w:p>
    <w:p w:rsidR="005E4CF6" w:rsidRPr="005E184B" w:rsidRDefault="005E4CF6">
      <w:pPr>
        <w:rPr>
          <w:rFonts w:ascii="Palatino Linotype" w:eastAsia="Palatino Linotype" w:hAnsi="Palatino Linotype" w:cs="Palatino Linotype"/>
          <w:b/>
          <w:bCs/>
        </w:rPr>
      </w:pPr>
    </w:p>
    <w:p w:rsidR="005E4CF6" w:rsidRPr="005E184B" w:rsidRDefault="0078670F">
      <w:pPr>
        <w:keepNext/>
        <w:keepLines/>
        <w:spacing w:line="360" w:lineRule="auto"/>
        <w:ind w:right="-592"/>
        <w:jc w:val="center"/>
        <w:rPr>
          <w:rFonts w:ascii="Palatino Linotype" w:eastAsia="Palatino Linotype" w:hAnsi="Palatino Linotype" w:cs="Palatino Linotype"/>
          <w:b/>
          <w:bCs/>
        </w:rPr>
      </w:pPr>
      <w:r w:rsidRPr="005E184B">
        <w:rPr>
          <w:rFonts w:ascii="Palatino Linotype" w:eastAsia="Palatino Linotype" w:hAnsi="Palatino Linotype" w:cs="Palatino Linotype"/>
          <w:b/>
          <w:bCs/>
        </w:rPr>
        <w:t xml:space="preserve">C O N S I D E R A N D O </w:t>
      </w:r>
    </w:p>
    <w:p w:rsidR="005E4CF6" w:rsidRPr="005E184B" w:rsidRDefault="005E4CF6">
      <w:pPr>
        <w:keepNext/>
        <w:keepLines/>
        <w:ind w:right="-592"/>
        <w:rPr>
          <w:rFonts w:ascii="Palatino Linotype" w:eastAsia="Palatino Linotype" w:hAnsi="Palatino Linotype" w:cs="Palatino Linotype"/>
        </w:rPr>
      </w:pPr>
    </w:p>
    <w:p w:rsidR="005E4CF6" w:rsidRPr="005E184B" w:rsidRDefault="0078670F">
      <w:pPr>
        <w:keepNext/>
        <w:keepLines/>
        <w:spacing w:line="360" w:lineRule="auto"/>
        <w:ind w:right="-592"/>
        <w:rPr>
          <w:rFonts w:ascii="Palatino Linotype" w:eastAsia="Palatino Linotype" w:hAnsi="Palatino Linotype" w:cs="Palatino Linotype"/>
          <w:b/>
          <w:bCs/>
        </w:rPr>
      </w:pPr>
      <w:r w:rsidRPr="005E184B">
        <w:rPr>
          <w:rFonts w:ascii="Palatino Linotype" w:eastAsia="Palatino Linotype" w:hAnsi="Palatino Linotype" w:cs="Palatino Linotype"/>
          <w:b/>
          <w:bCs/>
        </w:rPr>
        <w:t>PRIMERO. De la competencia.</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5E184B">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w:t>
      </w:r>
      <w:r w:rsidRPr="005E184B">
        <w:rPr>
          <w:rFonts w:ascii="Palatino Linotype" w:eastAsia="Palatino Linotype" w:hAnsi="Palatino Linotype" w:cs="Palatino Linotype"/>
        </w:rPr>
        <w:lastRenderedPageBreak/>
        <w:t>Posesión de Sujetos Obligados del Estado de México y Municipios; y 10, 7, 9 fracciones I y XXIV, y 11 del Reglamento Interior del Instituto de Transparencia, Acceso a la Información Pública y Protección de Datos Personales del Estado de México y Municipios.</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keepNext/>
        <w:keepLines/>
        <w:spacing w:line="360" w:lineRule="auto"/>
        <w:ind w:right="1"/>
        <w:rPr>
          <w:rFonts w:ascii="Palatino Linotype" w:eastAsia="Palatino Linotype" w:hAnsi="Palatino Linotype" w:cs="Palatino Linotype"/>
          <w:b/>
          <w:bCs/>
        </w:rPr>
      </w:pPr>
      <w:r w:rsidRPr="005E184B">
        <w:rPr>
          <w:rFonts w:ascii="Palatino Linotype" w:eastAsia="Palatino Linotype" w:hAnsi="Palatino Linotype" w:cs="Palatino Linotype"/>
          <w:b/>
          <w:bCs/>
        </w:rPr>
        <w:t>SEGUNDO. De la oportunidad y procedencia.</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5E184B">
        <w:rPr>
          <w:rFonts w:ascii="Palatino Linotype" w:eastAsia="Palatino Linotype" w:hAnsi="Palatino Linotype" w:cs="Palatino Linotype"/>
        </w:rPr>
        <w:t xml:space="preserve">El medio de impugnación fue presentado a través del </w:t>
      </w:r>
      <w:r w:rsidRPr="005E184B">
        <w:rPr>
          <w:rFonts w:ascii="Palatino Linotype" w:eastAsia="Palatino Linotype" w:hAnsi="Palatino Linotype" w:cs="Palatino Linotype"/>
          <w:b/>
          <w:bCs/>
        </w:rPr>
        <w:t>SAIMEX,</w:t>
      </w:r>
      <w:r w:rsidRPr="005E184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entregó respuesta el treinta de enero de dos mil veintiséis, de tal forma que el plazo para interponer el recurso de revisión transcurrió del dos al tres al veintitrés de febrero de dos mil veintiséis; en consecuencia, presentó su inconformidad el dieciséis de febrero de dos mil veintiséis, por lo que se encuentra dentro de los márgenes temporales previstos en el artículo 178 de la </w:t>
      </w:r>
      <w:r w:rsidRPr="005E184B">
        <w:rPr>
          <w:rFonts w:ascii="Palatino Linotype" w:eastAsia="Palatino Linotype" w:hAnsi="Palatino Linotype" w:cs="Palatino Linotype"/>
          <w:b/>
          <w:bCs/>
        </w:rPr>
        <w:t xml:space="preserve">Ley de Transparencia y Acceso a la Información Pública del Estado de México y Municipios </w:t>
      </w:r>
      <w:r w:rsidRPr="005E184B">
        <w:rPr>
          <w:rFonts w:ascii="Palatino Linotype" w:eastAsia="Palatino Linotype" w:hAnsi="Palatino Linotype" w:cs="Palatino Linotype"/>
        </w:rPr>
        <w:t>vigente.</w:t>
      </w:r>
    </w:p>
    <w:p w:rsidR="005E4CF6" w:rsidRPr="005E184B" w:rsidRDefault="005E4CF6">
      <w:pPr>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E4CF6" w:rsidRPr="005E184B" w:rsidRDefault="005E4CF6">
      <w:pPr>
        <w:ind w:right="-592"/>
        <w:jc w:val="both"/>
        <w:rPr>
          <w:rFonts w:ascii="Palatino Linotype" w:eastAsia="Palatino Linotype" w:hAnsi="Palatino Linotype" w:cs="Palatino Linotype"/>
          <w:b/>
          <w:bCs/>
        </w:rPr>
      </w:pPr>
    </w:p>
    <w:p w:rsidR="005E4CF6" w:rsidRPr="005E184B" w:rsidRDefault="0078670F">
      <w:pPr>
        <w:spacing w:line="360" w:lineRule="auto"/>
        <w:ind w:right="-592"/>
        <w:jc w:val="both"/>
        <w:rPr>
          <w:rFonts w:ascii="Palatino Linotype" w:eastAsia="Palatino Linotype" w:hAnsi="Palatino Linotype" w:cs="Palatino Linotype"/>
          <w:b/>
          <w:bCs/>
        </w:rPr>
      </w:pPr>
      <w:bookmarkStart w:id="4" w:name="_heading=h.57w9cmg752eu" w:colFirst="0" w:colLast="0"/>
      <w:bookmarkEnd w:id="4"/>
      <w:r w:rsidRPr="005E184B">
        <w:rPr>
          <w:rFonts w:ascii="Palatino Linotype" w:eastAsia="Palatino Linotype" w:hAnsi="Palatino Linotype" w:cs="Palatino Linotype"/>
          <w:b/>
          <w:bCs/>
        </w:rPr>
        <w:t>TERCERO. Del Planteamiento de la Litis.</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bookmarkStart w:id="5" w:name="_heading=h.sg69pjfuscz6" w:colFirst="0" w:colLast="0"/>
      <w:bookmarkEnd w:id="5"/>
      <w:r w:rsidRPr="005E184B">
        <w:rPr>
          <w:rFonts w:ascii="Palatino Linotype" w:eastAsia="Palatino Linotype" w:hAnsi="Palatino Linotype" w:cs="Palatino Linotype"/>
        </w:rPr>
        <w:t xml:space="preserve">El </w:t>
      </w:r>
      <w:r w:rsidRPr="005E184B">
        <w:rPr>
          <w:rFonts w:ascii="Palatino Linotype" w:eastAsia="Palatino Linotype" w:hAnsi="Palatino Linotype" w:cs="Palatino Linotype"/>
          <w:b/>
          <w:bCs/>
        </w:rPr>
        <w:t>RECURRENTE</w:t>
      </w:r>
      <w:r w:rsidRPr="005E184B">
        <w:rPr>
          <w:rFonts w:ascii="Palatino Linotype" w:eastAsia="Palatino Linotype" w:hAnsi="Palatino Linotype" w:cs="Palatino Linotype"/>
        </w:rPr>
        <w:t xml:space="preserve"> solicitó </w:t>
      </w:r>
      <w:r w:rsidRPr="005E184B">
        <w:rPr>
          <w:rFonts w:ascii="Palatino Linotype" w:eastAsia="Palatino Linotype" w:hAnsi="Palatino Linotype" w:cs="Palatino Linotype"/>
          <w:color w:val="000000"/>
        </w:rPr>
        <w:t xml:space="preserve">los contratos celebrados en 2024 entre </w:t>
      </w:r>
      <w:r w:rsidRPr="005E184B">
        <w:rPr>
          <w:rFonts w:ascii="Palatino Linotype" w:eastAsia="Palatino Linotype" w:hAnsi="Palatino Linotype" w:cs="Palatino Linotype"/>
        </w:rPr>
        <w:t>el Instituto Municipal de Cultura Física y Deporte de Tecámac y</w:t>
      </w:r>
      <w:r w:rsidRPr="005E184B">
        <w:rPr>
          <w:rFonts w:ascii="Palatino Linotype" w:eastAsia="Palatino Linotype" w:hAnsi="Palatino Linotype" w:cs="Palatino Linotype"/>
          <w:color w:val="000000"/>
        </w:rPr>
        <w:t xml:space="preserve"> la Asociación Civil Bombarderos.</w:t>
      </w:r>
    </w:p>
    <w:p w:rsidR="005E4CF6" w:rsidRPr="005E184B" w:rsidRDefault="005E4CF6">
      <w:pPr>
        <w:spacing w:line="360" w:lineRule="auto"/>
        <w:ind w:right="1"/>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El</w:t>
      </w:r>
      <w:r w:rsidRPr="005E184B">
        <w:rPr>
          <w:rFonts w:ascii="Palatino Linotype" w:eastAsia="Palatino Linotype" w:hAnsi="Palatino Linotype" w:cs="Palatino Linotype"/>
          <w:b/>
          <w:bCs/>
        </w:rPr>
        <w:t xml:space="preserve"> SUJETO OBLIGADO </w:t>
      </w:r>
      <w:r w:rsidRPr="005E184B">
        <w:rPr>
          <w:rFonts w:ascii="Palatino Linotype" w:eastAsia="Palatino Linotype" w:hAnsi="Palatino Linotype" w:cs="Palatino Linotype"/>
        </w:rPr>
        <w:t xml:space="preserve">emitió respuesta en términos del </w:t>
      </w:r>
      <w:r w:rsidRPr="005E184B">
        <w:rPr>
          <w:rFonts w:ascii="Palatino Linotype" w:eastAsia="Palatino Linotype" w:hAnsi="Palatino Linotype" w:cs="Palatino Linotype"/>
          <w:b/>
          <w:bCs/>
        </w:rPr>
        <w:t>párrafo 3</w:t>
      </w:r>
      <w:r w:rsidRPr="005E184B">
        <w:rPr>
          <w:rFonts w:ascii="Palatino Linotype" w:eastAsia="Palatino Linotype" w:hAnsi="Palatino Linotype" w:cs="Palatino Linotype"/>
        </w:rPr>
        <w:t xml:space="preserve"> de la presente resolución.</w:t>
      </w:r>
    </w:p>
    <w:p w:rsidR="005E4CF6"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lastRenderedPageBreak/>
        <w:t>En consecuencia, la parte</w:t>
      </w:r>
      <w:r w:rsidRPr="005E184B">
        <w:rPr>
          <w:rFonts w:ascii="Palatino Linotype" w:eastAsia="Palatino Linotype" w:hAnsi="Palatino Linotype" w:cs="Palatino Linotype"/>
          <w:b/>
          <w:bCs/>
        </w:rPr>
        <w:t xml:space="preserve"> RECURRENTE </w:t>
      </w:r>
      <w:r w:rsidRPr="005E184B">
        <w:rPr>
          <w:rFonts w:ascii="Palatino Linotype" w:eastAsia="Palatino Linotype" w:hAnsi="Palatino Linotype" w:cs="Palatino Linotype"/>
        </w:rPr>
        <w:t>se inconformó</w:t>
      </w:r>
      <w:r w:rsidRPr="005E184B">
        <w:rPr>
          <w:rFonts w:ascii="Palatino Linotype" w:eastAsia="Palatino Linotype" w:hAnsi="Palatino Linotype" w:cs="Palatino Linotype"/>
          <w:b/>
          <w:bCs/>
        </w:rPr>
        <w:t xml:space="preserve"> </w:t>
      </w:r>
      <w:r w:rsidRPr="005E184B">
        <w:rPr>
          <w:rFonts w:ascii="Palatino Linotype" w:eastAsia="Palatino Linotype" w:hAnsi="Palatino Linotype" w:cs="Palatino Linotype"/>
        </w:rPr>
        <w:t>por la</w:t>
      </w:r>
      <w:r w:rsidRPr="005E184B">
        <w:rPr>
          <w:rFonts w:ascii="Palatino Linotype" w:eastAsia="Palatino Linotype" w:hAnsi="Palatino Linotype" w:cs="Palatino Linotype"/>
          <w:b/>
          <w:bCs/>
        </w:rPr>
        <w:t xml:space="preserve"> inexistencia de la información solicitada.</w:t>
      </w:r>
    </w:p>
    <w:p w:rsidR="005E184B" w:rsidRPr="005E184B" w:rsidRDefault="005E184B" w:rsidP="005E184B">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En dichas condiciones, la </w:t>
      </w:r>
      <w:r w:rsidRPr="005E184B">
        <w:rPr>
          <w:rFonts w:ascii="Palatino Linotype" w:eastAsia="Palatino Linotype" w:hAnsi="Palatino Linotype" w:cs="Palatino Linotype"/>
          <w:i/>
          <w:iCs/>
        </w:rPr>
        <w:t>Litis</w:t>
      </w:r>
      <w:r w:rsidRPr="005E184B">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5E184B">
        <w:rPr>
          <w:rFonts w:ascii="Palatino Linotype" w:eastAsia="Palatino Linotype" w:hAnsi="Palatino Linotype" w:cs="Palatino Linotype"/>
          <w:b/>
          <w:bCs/>
        </w:rPr>
        <w:t xml:space="preserve">I y III </w:t>
      </w:r>
      <w:r w:rsidRPr="005E184B">
        <w:rPr>
          <w:rFonts w:ascii="Palatino Linotype" w:eastAsia="Palatino Linotype" w:hAnsi="Palatino Linotype" w:cs="Palatino Linotype"/>
        </w:rPr>
        <w:t xml:space="preserve">de la </w:t>
      </w:r>
      <w:r w:rsidRPr="005E184B">
        <w:rPr>
          <w:rFonts w:ascii="Palatino Linotype" w:eastAsia="Palatino Linotype" w:hAnsi="Palatino Linotype" w:cs="Palatino Linotype"/>
          <w:b/>
          <w:bCs/>
        </w:rPr>
        <w:t>Ley de Transparencia y Acceso a la Información Pública del Estado de México y Municipios</w:t>
      </w:r>
      <w:r w:rsidRPr="005E184B">
        <w:rPr>
          <w:rFonts w:ascii="Palatino Linotype" w:eastAsia="Palatino Linotype" w:hAnsi="Palatino Linotype" w:cs="Palatino Linotype"/>
        </w:rPr>
        <w:t>.</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pStyle w:val="Ttulo2"/>
        <w:spacing w:before="0" w:line="360" w:lineRule="auto"/>
        <w:ind w:right="1"/>
        <w:rPr>
          <w:rFonts w:ascii="Palatino Linotype" w:eastAsia="Palatino Linotype" w:hAnsi="Palatino Linotype" w:cs="Palatino Linotype"/>
          <w:b/>
          <w:bCs/>
          <w:color w:val="000000"/>
          <w:sz w:val="24"/>
          <w:szCs w:val="24"/>
        </w:rPr>
      </w:pPr>
      <w:r w:rsidRPr="005E184B">
        <w:rPr>
          <w:rFonts w:ascii="Palatino Linotype" w:eastAsia="Palatino Linotype" w:hAnsi="Palatino Linotype" w:cs="Palatino Linotype"/>
          <w:b/>
          <w:bCs/>
          <w:color w:val="000000"/>
          <w:sz w:val="24"/>
          <w:szCs w:val="24"/>
        </w:rPr>
        <w:t>CUARTA. Estudio y resolución del asunto.</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 xml:space="preserve">El </w:t>
      </w:r>
      <w:r w:rsidRPr="005E184B">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5E184B">
        <w:rPr>
          <w:rFonts w:ascii="Palatino Linotype" w:eastAsia="Palatino Linotype" w:hAnsi="Palatino Linotype" w:cs="Palatino Linotype"/>
        </w:rPr>
        <w:t>Particular</w:t>
      </w:r>
      <w:r w:rsidRPr="005E184B">
        <w:rPr>
          <w:rFonts w:ascii="Palatino Linotype" w:eastAsia="Palatino Linotype" w:hAnsi="Palatino Linotype" w:cs="Palatino Linotype"/>
          <w:color w:val="000000"/>
        </w:rPr>
        <w:t xml:space="preserve"> del Estado de México.</w:t>
      </w:r>
    </w:p>
    <w:p w:rsidR="005E4CF6" w:rsidRPr="005E184B" w:rsidRDefault="005E4CF6">
      <w:pPr>
        <w:spacing w:line="360" w:lineRule="auto"/>
        <w:ind w:right="1"/>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color w:val="000000"/>
        </w:rPr>
        <w:t xml:space="preserve">Definiendo </w:t>
      </w:r>
      <w:r w:rsidRPr="005E184B">
        <w:rPr>
          <w:rFonts w:ascii="Palatino Linotype" w:eastAsia="Palatino Linotype" w:hAnsi="Palatino Linotype" w:cs="Palatino Linotype"/>
        </w:rPr>
        <w:t xml:space="preserve">el Derecho de Acceso a la Información Pública como: </w:t>
      </w:r>
      <w:r w:rsidRPr="005E184B">
        <w:rPr>
          <w:rFonts w:ascii="Palatino Linotype" w:eastAsia="Palatino Linotype" w:hAnsi="Palatino Linotype" w:cs="Palatino Linotype"/>
          <w:i/>
          <w:iCs/>
          <w:color w:val="000000"/>
        </w:rPr>
        <w:t xml:space="preserve">La igualdad de </w:t>
      </w:r>
      <w:r w:rsidRPr="005E184B">
        <w:rPr>
          <w:rFonts w:ascii="Palatino Linotype" w:eastAsia="Palatino Linotype" w:hAnsi="Palatino Linotype" w:cs="Palatino Linotype"/>
        </w:rPr>
        <w:t>oportunidades</w:t>
      </w:r>
      <w:r w:rsidRPr="005E184B">
        <w:rPr>
          <w:rFonts w:ascii="Palatino Linotype" w:eastAsia="Palatino Linotype" w:hAnsi="Palatino Linotype" w:cs="Palatino Linotype"/>
          <w:i/>
          <w:iCs/>
          <w:color w:val="000000"/>
        </w:rPr>
        <w:t xml:space="preserve"> para recibir, buscar e impartir información</w:t>
      </w:r>
      <w:r w:rsidRPr="005E184B">
        <w:rPr>
          <w:rFonts w:ascii="Palatino Linotype" w:eastAsia="Palatino Linotype" w:hAnsi="Palatino Linotype" w:cs="Palatino Linotype"/>
          <w:vertAlign w:val="superscript"/>
        </w:rPr>
        <w:footnoteReference w:id="1"/>
      </w:r>
      <w:r w:rsidRPr="005E184B">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E184B">
        <w:rPr>
          <w:rFonts w:ascii="Palatino Linotype" w:eastAsia="Palatino Linotype" w:hAnsi="Palatino Linotype" w:cs="Palatino Linotype"/>
          <w:vertAlign w:val="superscript"/>
        </w:rPr>
        <w:footnoteReference w:id="2"/>
      </w:r>
      <w:r w:rsidRPr="005E184B">
        <w:rPr>
          <w:rFonts w:ascii="Palatino Linotype" w:eastAsia="Palatino Linotype" w:hAnsi="Palatino Linotype" w:cs="Palatino Linotype"/>
          <w:color w:val="000000"/>
        </w:rPr>
        <w:t>que se constituye como una herramienta fundamental para ejercer</w:t>
      </w:r>
      <w:r w:rsidRPr="005E184B">
        <w:rPr>
          <w:rFonts w:ascii="Palatino Linotype" w:eastAsia="Palatino Linotype" w:hAnsi="Palatino Linotype" w:cs="Palatino Linotype"/>
          <w:i/>
          <w:iCs/>
          <w:color w:val="000000"/>
        </w:rPr>
        <w:t xml:space="preserve"> el control democrático de las gestiones estatales, de forma tal que puedan cuestionar, indagar y considerar si se </w:t>
      </w:r>
      <w:r w:rsidRPr="005E184B">
        <w:rPr>
          <w:rFonts w:ascii="Palatino Linotype" w:eastAsia="Palatino Linotype" w:hAnsi="Palatino Linotype" w:cs="Palatino Linotype"/>
          <w:i/>
          <w:iCs/>
          <w:color w:val="000000"/>
        </w:rPr>
        <w:lastRenderedPageBreak/>
        <w:t>está dando un adecuado cumplimiento a las funciones públicas,</w:t>
      </w:r>
      <w:r w:rsidRPr="005E184B">
        <w:rPr>
          <w:rFonts w:ascii="Palatino Linotype" w:eastAsia="Palatino Linotype" w:hAnsi="Palatino Linotype" w:cs="Palatino Linotype"/>
          <w:vertAlign w:val="superscript"/>
        </w:rPr>
        <w:footnoteReference w:id="3"/>
      </w:r>
      <w:r w:rsidRPr="005E184B">
        <w:rPr>
          <w:rFonts w:ascii="Palatino Linotype" w:eastAsia="Palatino Linotype" w:hAnsi="Palatino Linotype" w:cs="Palatino Linotype"/>
          <w:color w:val="000000"/>
        </w:rPr>
        <w:t>fomentando</w:t>
      </w:r>
      <w:r w:rsidRPr="005E184B">
        <w:rPr>
          <w:rFonts w:ascii="Palatino Linotype" w:eastAsia="Palatino Linotype" w:hAnsi="Palatino Linotype" w:cs="Palatino Linotype"/>
          <w:i/>
          <w:iCs/>
          <w:color w:val="000000"/>
        </w:rPr>
        <w:t xml:space="preserve"> la transparencia de las actividades estatales y </w:t>
      </w:r>
      <w:r w:rsidRPr="005E184B">
        <w:rPr>
          <w:rFonts w:ascii="Palatino Linotype" w:eastAsia="Palatino Linotype" w:hAnsi="Palatino Linotype" w:cs="Palatino Linotype"/>
          <w:color w:val="000000"/>
        </w:rPr>
        <w:t>promoviendo</w:t>
      </w:r>
      <w:r w:rsidRPr="005E184B">
        <w:rPr>
          <w:rFonts w:ascii="Palatino Linotype" w:eastAsia="Palatino Linotype" w:hAnsi="Palatino Linotype" w:cs="Palatino Linotype"/>
          <w:i/>
          <w:iCs/>
          <w:color w:val="000000"/>
        </w:rPr>
        <w:t xml:space="preserve"> la responsabilidad de los funcionarios sobre su gestión pública,</w:t>
      </w:r>
      <w:r w:rsidRPr="005E184B">
        <w:rPr>
          <w:rFonts w:ascii="Palatino Linotype" w:eastAsia="Palatino Linotype" w:hAnsi="Palatino Linotype" w:cs="Palatino Linotype"/>
          <w:vertAlign w:val="superscript"/>
        </w:rPr>
        <w:footnoteReference w:id="4"/>
      </w:r>
      <w:r w:rsidRPr="005E184B">
        <w:rPr>
          <w:rFonts w:ascii="Palatino Linotype" w:eastAsia="Palatino Linotype" w:hAnsi="Palatino Linotype" w:cs="Palatino Linotype"/>
          <w:color w:val="000000"/>
        </w:rPr>
        <w:t>que permite</w:t>
      </w:r>
      <w:r w:rsidRPr="005E184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E4CF6" w:rsidRPr="005E184B" w:rsidRDefault="005E4CF6">
      <w:pPr>
        <w:spacing w:line="360" w:lineRule="auto"/>
        <w:ind w:right="1"/>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color w:val="000000"/>
        </w:rPr>
        <w:t xml:space="preserve">En </w:t>
      </w:r>
      <w:r w:rsidRPr="005E184B">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5E4CF6" w:rsidRPr="005E184B" w:rsidRDefault="005E4CF6">
      <w:pPr>
        <w:ind w:right="-592"/>
        <w:jc w:val="both"/>
        <w:rPr>
          <w:rFonts w:ascii="Palatino Linotype" w:eastAsia="Palatino Linotype" w:hAnsi="Palatino Linotype" w:cs="Palatino Linotype"/>
          <w:b/>
          <w:bCs/>
        </w:rPr>
      </w:pP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b/>
          <w:bCs/>
          <w:i/>
          <w:iCs/>
        </w:rPr>
        <w:t>Artículo 1.-</w:t>
      </w:r>
      <w:r w:rsidRPr="005E184B">
        <w:rPr>
          <w:rFonts w:ascii="Palatino Linotype" w:eastAsia="Palatino Linotype" w:hAnsi="Palatino Linotype" w:cs="Palatino Linotype"/>
          <w:i/>
          <w:iCs/>
        </w:rPr>
        <w:t xml:space="preserve"> </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Todas las</w:t>
      </w:r>
      <w:r w:rsidRPr="005E184B">
        <w:rPr>
          <w:rFonts w:ascii="Palatino Linotype" w:eastAsia="Palatino Linotype" w:hAnsi="Palatino Linotype" w:cs="Palatino Linotype"/>
        </w:rPr>
        <w:t xml:space="preserve"> </w:t>
      </w:r>
      <w:r w:rsidRPr="005E184B">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E4CF6" w:rsidRPr="005E184B" w:rsidRDefault="0078670F">
      <w:pPr>
        <w:ind w:left="567" w:right="710"/>
        <w:jc w:val="both"/>
        <w:rPr>
          <w:rFonts w:ascii="Palatino Linotype" w:eastAsia="Palatino Linotype" w:hAnsi="Palatino Linotype" w:cs="Palatino Linotype"/>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rPr>
        <w:t>”</w:t>
      </w:r>
    </w:p>
    <w:p w:rsidR="005E4CF6" w:rsidRPr="005E184B" w:rsidRDefault="005E4CF6">
      <w:pPr>
        <w:ind w:right="-592"/>
        <w:jc w:val="both"/>
        <w:rPr>
          <w:rFonts w:ascii="Palatino Linotype" w:eastAsia="Palatino Linotype" w:hAnsi="Palatino Linotype" w:cs="Palatino Linotype"/>
          <w:b/>
          <w:bCs/>
        </w:rPr>
      </w:pPr>
    </w:p>
    <w:p w:rsidR="005E4CF6" w:rsidRPr="005E184B" w:rsidRDefault="0078670F">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5E184B">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E4CF6" w:rsidRPr="005E184B" w:rsidRDefault="005E4CF6">
      <w:pPr>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Así </w:t>
      </w:r>
      <w:r w:rsidRPr="005E184B">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w:t>
      </w:r>
      <w:r w:rsidRPr="005E184B">
        <w:rPr>
          <w:rFonts w:ascii="Palatino Linotype" w:eastAsia="Palatino Linotype" w:hAnsi="Palatino Linotype" w:cs="Palatino Linotype"/>
        </w:rPr>
        <w:lastRenderedPageBreak/>
        <w:t>cumplimiento de las garantías primarias, entendidas como obligaciones inmediatamente relacionadas con el Derecho de Acceso a la Información Pública, permiten que todas las autoridades, en el ámbito de sus atribuciones lo respeten, protejan y garanticen:</w:t>
      </w:r>
    </w:p>
    <w:p w:rsidR="005E4CF6" w:rsidRPr="005E184B" w:rsidRDefault="005E4CF6">
      <w:pPr>
        <w:rPr>
          <w:rFonts w:ascii="Palatino Linotype" w:eastAsia="Palatino Linotype" w:hAnsi="Palatino Linotype" w:cs="Palatino Linotype"/>
          <w:b/>
          <w:bCs/>
        </w:rPr>
      </w:pPr>
    </w:p>
    <w:p w:rsidR="005E4CF6" w:rsidRPr="005E184B" w:rsidRDefault="0078670F">
      <w:pPr>
        <w:ind w:left="567" w:right="710"/>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Constitución Política de los Estados Unidos Mexicanos</w:t>
      </w:r>
    </w:p>
    <w:p w:rsidR="005E4CF6" w:rsidRPr="005E184B" w:rsidRDefault="0078670F">
      <w:pPr>
        <w:ind w:left="567" w:right="710"/>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“Artículo 6.</w:t>
      </w:r>
      <w:r w:rsidRPr="005E184B">
        <w:rPr>
          <w:rFonts w:ascii="Palatino Linotype" w:eastAsia="Palatino Linotype" w:hAnsi="Palatino Linotype" w:cs="Palatino Linotype"/>
          <w:i/>
          <w:iCs/>
        </w:rPr>
        <w:t xml:space="preserve"> …</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Para efectos de lo dispuesto en el presente artículo se observará lo siguiente:</w:t>
      </w:r>
    </w:p>
    <w:p w:rsidR="005E4CF6" w:rsidRPr="005E184B" w:rsidRDefault="0078670F">
      <w:pPr>
        <w:ind w:left="567" w:right="710"/>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A</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Para el ejercicio del derecho de acceso a la información</w:t>
      </w:r>
      <w:r w:rsidRPr="005E184B">
        <w:rPr>
          <w:rFonts w:ascii="Palatino Linotype" w:eastAsia="Palatino Linotype" w:hAnsi="Palatino Linotype" w:cs="Palatino Linotype"/>
          <w:i/>
          <w:iCs/>
        </w:rPr>
        <w:t xml:space="preserve">, la Federación y </w:t>
      </w:r>
      <w:r w:rsidRPr="005E184B">
        <w:rPr>
          <w:rFonts w:ascii="Palatino Linotype" w:eastAsia="Palatino Linotype" w:hAnsi="Palatino Linotype" w:cs="Palatino Linotype"/>
          <w:b/>
          <w:bCs/>
          <w:i/>
          <w:iCs/>
        </w:rPr>
        <w:t>las entidades federativas, en el ámbito de sus respectivas competencias, se regirán por los siguientes principios y bases:</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 xml:space="preserve">I. </w:t>
      </w:r>
      <w:r w:rsidRPr="005E184B">
        <w:rPr>
          <w:rFonts w:ascii="Palatino Linotype" w:eastAsia="Palatino Linotype" w:hAnsi="Palatino Linotype" w:cs="Palatino Linotype"/>
          <w:b/>
          <w:bCs/>
          <w:i/>
          <w:iCs/>
        </w:rPr>
        <w:tab/>
        <w:t>Toda la información en posesión de cualquier</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autoridad</w:t>
      </w:r>
      <w:r w:rsidRPr="005E184B">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E184B">
        <w:rPr>
          <w:rFonts w:ascii="Palatino Linotype" w:eastAsia="Palatino Linotype" w:hAnsi="Palatino Linotype" w:cs="Palatino Linotype"/>
          <w:b/>
          <w:bCs/>
          <w:i/>
          <w:iCs/>
        </w:rPr>
        <w:t>municipal</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es pública</w:t>
      </w:r>
      <w:r w:rsidRPr="005E184B">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5E184B">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5E184B">
        <w:rPr>
          <w:rFonts w:ascii="Palatino Linotype" w:eastAsia="Palatino Linotype" w:hAnsi="Palatino Linotype" w:cs="Palatino Linotype"/>
          <w:i/>
          <w:iCs/>
        </w:rPr>
        <w:t>, la ley determinará los supuestos específicos bajo los cuales procederá la declaración de inexistencia de la información.”</w:t>
      </w:r>
    </w:p>
    <w:p w:rsidR="005E4CF6" w:rsidRPr="005E184B" w:rsidRDefault="005E4CF6">
      <w:pPr>
        <w:tabs>
          <w:tab w:val="left" w:pos="426"/>
          <w:tab w:val="left" w:pos="567"/>
        </w:tabs>
        <w:ind w:left="567" w:right="710"/>
        <w:jc w:val="both"/>
        <w:rPr>
          <w:rFonts w:ascii="Palatino Linotype" w:eastAsia="Palatino Linotype" w:hAnsi="Palatino Linotype" w:cs="Palatino Linotype"/>
          <w:color w:val="000000"/>
        </w:rPr>
      </w:pPr>
    </w:p>
    <w:p w:rsidR="005E4CF6" w:rsidRPr="005E184B" w:rsidRDefault="0078670F">
      <w:pPr>
        <w:ind w:left="567" w:right="710"/>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Constitución Política del Estado Libre y Soberano de México</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“Artículo 5</w:t>
      </w:r>
      <w:r w:rsidRPr="005E184B">
        <w:rPr>
          <w:rFonts w:ascii="Palatino Linotype" w:eastAsia="Palatino Linotype" w:hAnsi="Palatino Linotype" w:cs="Palatino Linotype"/>
          <w:i/>
          <w:iCs/>
        </w:rPr>
        <w:t>.-…</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5E184B">
        <w:rPr>
          <w:rFonts w:ascii="Palatino Linotype" w:eastAsia="Palatino Linotype" w:hAnsi="Palatino Linotype" w:cs="Palatino Linotype"/>
          <w:i/>
          <w:iCs/>
        </w:rPr>
        <w:t>.</w:t>
      </w: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E4CF6" w:rsidRPr="005E184B" w:rsidRDefault="005E4CF6">
      <w:pPr>
        <w:ind w:left="567" w:right="710"/>
        <w:jc w:val="both"/>
        <w:rPr>
          <w:rFonts w:ascii="Palatino Linotype" w:eastAsia="Palatino Linotype" w:hAnsi="Palatino Linotype" w:cs="Palatino Linotype"/>
          <w:i/>
          <w:iCs/>
        </w:rPr>
      </w:pPr>
    </w:p>
    <w:p w:rsidR="005E4CF6" w:rsidRPr="005E184B" w:rsidRDefault="0078670F">
      <w:pPr>
        <w:ind w:left="567" w:right="710"/>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Este derecho se regirá por los principios y bases siguientes</w:t>
      </w:r>
      <w:r w:rsidRPr="005E184B">
        <w:rPr>
          <w:rFonts w:ascii="Palatino Linotype" w:eastAsia="Palatino Linotype" w:hAnsi="Palatino Linotype" w:cs="Palatino Linotype"/>
          <w:i/>
          <w:iCs/>
        </w:rPr>
        <w:t>:</w:t>
      </w:r>
    </w:p>
    <w:p w:rsidR="005E4CF6" w:rsidRPr="005E184B" w:rsidRDefault="0078670F">
      <w:pPr>
        <w:ind w:left="567" w:right="710"/>
        <w:jc w:val="both"/>
        <w:rPr>
          <w:rFonts w:ascii="Palatino Linotype" w:eastAsia="Palatino Linotype" w:hAnsi="Palatino Linotype" w:cs="Palatino Linotype"/>
          <w:b/>
          <w:bCs/>
        </w:rPr>
      </w:pPr>
      <w:r w:rsidRPr="005E184B">
        <w:rPr>
          <w:rFonts w:ascii="Palatino Linotype" w:eastAsia="Palatino Linotype" w:hAnsi="Palatino Linotype" w:cs="Palatino Linotype"/>
          <w:b/>
          <w:bCs/>
          <w:i/>
          <w:iCs/>
        </w:rPr>
        <w:lastRenderedPageBreak/>
        <w:t>Toda la información en posesión de cualquier autoridad, entidad, órgano y organismos de los</w:t>
      </w:r>
      <w:r w:rsidRPr="005E184B">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5E184B">
        <w:rPr>
          <w:rFonts w:ascii="Palatino Linotype" w:eastAsia="Palatino Linotype" w:hAnsi="Palatino Linotype" w:cs="Palatino Linotype"/>
          <w:b/>
          <w:bCs/>
          <w:i/>
          <w:iCs/>
        </w:rPr>
        <w:t>municipales</w:t>
      </w:r>
      <w:r w:rsidRPr="005E184B">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E184B">
        <w:rPr>
          <w:rFonts w:ascii="Palatino Linotype" w:eastAsia="Palatino Linotype" w:hAnsi="Palatino Linotype" w:cs="Palatino Linotype"/>
          <w:b/>
          <w:bCs/>
          <w:i/>
          <w:iCs/>
        </w:rPr>
        <w:t>es pública</w:t>
      </w:r>
      <w:r w:rsidRPr="005E184B">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5E184B">
        <w:rPr>
          <w:rFonts w:ascii="Palatino Linotype" w:eastAsia="Palatino Linotype" w:hAnsi="Palatino Linotype" w:cs="Palatino Linotype"/>
          <w:b/>
          <w:bCs/>
          <w:i/>
          <w:iCs/>
        </w:rPr>
        <w:t>En la interpretación de este derecho deberá prevalecer el principio de máxima publicidad</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Los sujetos obligados deberán documentar todo acto que derive del ejercicio de sus facultades, competencias o funciones</w:t>
      </w:r>
      <w:r w:rsidRPr="005E184B">
        <w:rPr>
          <w:rFonts w:ascii="Palatino Linotype" w:eastAsia="Palatino Linotype" w:hAnsi="Palatino Linotype" w:cs="Palatino Linotype"/>
          <w:i/>
          <w:iCs/>
        </w:rPr>
        <w:t>, la ley determinará los supuestos específicos bajo los cuales procederá la declaración de inexistencia de la información.”</w:t>
      </w:r>
    </w:p>
    <w:p w:rsidR="005E4CF6" w:rsidRPr="005E184B" w:rsidRDefault="005E4CF6">
      <w:pPr>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Según </w:t>
      </w:r>
      <w:r w:rsidRPr="005E184B">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5E184B">
        <w:rPr>
          <w:rFonts w:ascii="Palatino Linotype" w:eastAsia="Palatino Linotype" w:hAnsi="Palatino Linotype" w:cs="Palatino Linotype"/>
          <w:i/>
          <w:iCs/>
        </w:rPr>
        <w:t>por los principios de simplicidad, rapidez gratuidad del procedimiento, auxilio y orientación a los particulares</w:t>
      </w:r>
      <w:r w:rsidRPr="005E184B">
        <w:rPr>
          <w:rFonts w:ascii="Palatino Linotype" w:eastAsia="Palatino Linotype" w:hAnsi="Palatino Linotype" w:cs="Palatino Linotype"/>
        </w:rPr>
        <w:t>, contemplando el derecho de las personas con discapacidad y hablantes de lengua indígena.</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El </w:t>
      </w:r>
      <w:r w:rsidRPr="005E184B">
        <w:rPr>
          <w:rFonts w:ascii="Palatino Linotype" w:eastAsia="Palatino Linotype" w:hAnsi="Palatino Linotype" w:cs="Palatino Linotype"/>
        </w:rPr>
        <w:t xml:space="preserve">Derecho de Acceso a la Información se garantiza y respeta oportunamente, y según lo que dispone la Ley, las </w:t>
      </w:r>
      <w:r w:rsidRPr="005E184B">
        <w:rPr>
          <w:rFonts w:ascii="Palatino Linotype" w:eastAsia="Palatino Linotype" w:hAnsi="Palatino Linotype" w:cs="Palatino Linotype"/>
          <w:i/>
          <w:iCs/>
        </w:rPr>
        <w:t>solicitudes de acceso a la información</w:t>
      </w:r>
      <w:r w:rsidRPr="005E184B">
        <w:rPr>
          <w:rFonts w:ascii="Palatino Linotype" w:eastAsia="Palatino Linotype" w:hAnsi="Palatino Linotype" w:cs="Palatino Linotype"/>
        </w:rPr>
        <w:t>.</w:t>
      </w:r>
    </w:p>
    <w:p w:rsidR="005E4CF6" w:rsidRPr="005E184B" w:rsidRDefault="005E4CF6">
      <w:pPr>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Así </w:t>
      </w:r>
      <w:r w:rsidRPr="005E184B">
        <w:rPr>
          <w:rFonts w:ascii="Palatino Linotype" w:eastAsia="Palatino Linotype" w:hAnsi="Palatino Linotype" w:cs="Palatino Linotype"/>
        </w:rPr>
        <w:t xml:space="preserve">entonces, se procede analizar, en primer lugar, si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E4CF6" w:rsidRDefault="005E4CF6">
      <w:pPr>
        <w:rPr>
          <w:rFonts w:ascii="Palatino Linotype" w:eastAsia="Palatino Linotype" w:hAnsi="Palatino Linotype" w:cs="Palatino Linotype"/>
          <w:b/>
          <w:bCs/>
        </w:rPr>
      </w:pPr>
    </w:p>
    <w:p w:rsidR="005E184B" w:rsidRPr="005E184B" w:rsidRDefault="005E184B">
      <w:pPr>
        <w:rPr>
          <w:rFonts w:ascii="Palatino Linotype" w:eastAsia="Palatino Linotype" w:hAnsi="Palatino Linotype" w:cs="Palatino Linotype"/>
          <w:b/>
          <w:bCs/>
        </w:rPr>
      </w:pPr>
    </w:p>
    <w:p w:rsidR="005E4CF6" w:rsidRPr="005E184B" w:rsidRDefault="0078670F">
      <w:pPr>
        <w:keepNext/>
        <w:keepLines/>
        <w:numPr>
          <w:ilvl w:val="1"/>
          <w:numId w:val="2"/>
        </w:numPr>
        <w:spacing w:line="360" w:lineRule="auto"/>
        <w:ind w:left="567" w:right="-592"/>
        <w:jc w:val="both"/>
        <w:rPr>
          <w:rFonts w:ascii="Palatino Linotype" w:eastAsia="Palatino Linotype" w:hAnsi="Palatino Linotype" w:cs="Palatino Linotype"/>
          <w:b/>
          <w:bCs/>
        </w:rPr>
      </w:pPr>
      <w:r w:rsidRPr="005E184B">
        <w:rPr>
          <w:rFonts w:ascii="Palatino Linotype" w:eastAsia="Palatino Linotype" w:hAnsi="Palatino Linotype" w:cs="Palatino Linotype"/>
          <w:b/>
          <w:bCs/>
        </w:rPr>
        <w:lastRenderedPageBreak/>
        <w:t>De la información solicitada y la respuesta del SUJETO OBLIGADO.</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bookmarkStart w:id="6" w:name="_heading=h.30j0zll" w:colFirst="0" w:colLast="0"/>
      <w:bookmarkEnd w:id="6"/>
      <w:r w:rsidRPr="005E184B">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Así, resulta conveniente reiterar la información solicitada por la parte </w:t>
      </w:r>
      <w:r w:rsidRPr="005E184B">
        <w:rPr>
          <w:rFonts w:ascii="Palatino Linotype" w:eastAsia="Palatino Linotype" w:hAnsi="Palatino Linotype" w:cs="Palatino Linotype"/>
          <w:b/>
          <w:bCs/>
        </w:rPr>
        <w:t>RECURRENTE</w:t>
      </w:r>
      <w:r w:rsidRPr="005E184B">
        <w:rPr>
          <w:rFonts w:ascii="Palatino Linotype" w:eastAsia="Palatino Linotype" w:hAnsi="Palatino Linotype" w:cs="Palatino Linotype"/>
        </w:rPr>
        <w:t xml:space="preserve">, así como la respuesta emitida por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mediante el siguiente cuadro descriptivo:</w:t>
      </w:r>
    </w:p>
    <w:p w:rsidR="005E4CF6" w:rsidRPr="005E184B" w:rsidRDefault="005E4CF6">
      <w:pPr>
        <w:spacing w:line="360" w:lineRule="auto"/>
        <w:ind w:right="1"/>
        <w:jc w:val="both"/>
        <w:rPr>
          <w:rFonts w:ascii="Palatino Linotype" w:eastAsia="Palatino Linotype" w:hAnsi="Palatino Linotype" w:cs="Palatino Linotype"/>
          <w:b/>
          <w:bCs/>
        </w:rPr>
      </w:pPr>
    </w:p>
    <w:tbl>
      <w:tblPr>
        <w:tblStyle w:val="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103"/>
      </w:tblGrid>
      <w:tr w:rsidR="005E4CF6" w:rsidRPr="005E184B">
        <w:trPr>
          <w:jc w:val="center"/>
        </w:trPr>
        <w:tc>
          <w:tcPr>
            <w:tcW w:w="3964" w:type="dxa"/>
            <w:shd w:val="clear" w:color="auto" w:fill="D9D9D9"/>
          </w:tcPr>
          <w:p w:rsidR="005E4CF6" w:rsidRPr="005E184B" w:rsidRDefault="0078670F">
            <w:pPr>
              <w:ind w:right="1"/>
              <w:jc w:val="center"/>
              <w:rPr>
                <w:rFonts w:ascii="Palatino Linotype" w:eastAsia="Palatino Linotype" w:hAnsi="Palatino Linotype" w:cs="Palatino Linotype"/>
                <w:b/>
                <w:bCs/>
              </w:rPr>
            </w:pPr>
            <w:r w:rsidRPr="005E184B">
              <w:rPr>
                <w:rFonts w:ascii="Palatino Linotype" w:eastAsia="Palatino Linotype" w:hAnsi="Palatino Linotype" w:cs="Palatino Linotype"/>
                <w:b/>
                <w:bCs/>
              </w:rPr>
              <w:t>Información Solicitada</w:t>
            </w:r>
          </w:p>
        </w:tc>
        <w:tc>
          <w:tcPr>
            <w:tcW w:w="5103" w:type="dxa"/>
            <w:tcBorders>
              <w:right w:val="single" w:sz="4" w:space="0" w:color="000000"/>
            </w:tcBorders>
            <w:shd w:val="clear" w:color="auto" w:fill="D9D9D9"/>
          </w:tcPr>
          <w:p w:rsidR="005E4CF6" w:rsidRPr="005E184B" w:rsidRDefault="0078670F">
            <w:pPr>
              <w:ind w:right="1"/>
              <w:jc w:val="center"/>
              <w:rPr>
                <w:rFonts w:ascii="Palatino Linotype" w:eastAsia="Palatino Linotype" w:hAnsi="Palatino Linotype" w:cs="Palatino Linotype"/>
                <w:b/>
                <w:bCs/>
              </w:rPr>
            </w:pPr>
            <w:r w:rsidRPr="005E184B">
              <w:rPr>
                <w:rFonts w:ascii="Palatino Linotype" w:eastAsia="Palatino Linotype" w:hAnsi="Palatino Linotype" w:cs="Palatino Linotype"/>
                <w:b/>
                <w:bCs/>
              </w:rPr>
              <w:t>Respuesta</w:t>
            </w:r>
          </w:p>
        </w:tc>
      </w:tr>
      <w:tr w:rsidR="005E4CF6" w:rsidRPr="005E184B">
        <w:trPr>
          <w:trHeight w:val="1928"/>
          <w:jc w:val="center"/>
        </w:trPr>
        <w:tc>
          <w:tcPr>
            <w:tcW w:w="3964" w:type="dxa"/>
          </w:tcPr>
          <w:p w:rsidR="005E4CF6" w:rsidRPr="005E184B" w:rsidRDefault="0078670F">
            <w:pPr>
              <w:ind w:right="1"/>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Contratos celebrados en 2024 entre </w:t>
            </w:r>
            <w:r w:rsidRPr="005E184B">
              <w:rPr>
                <w:rFonts w:ascii="Palatino Linotype" w:eastAsia="Palatino Linotype" w:hAnsi="Palatino Linotype" w:cs="Palatino Linotype"/>
              </w:rPr>
              <w:t>el Instituto Municipal de Cultura Física y Deporte de Tecámac y</w:t>
            </w:r>
            <w:r w:rsidRPr="005E184B">
              <w:rPr>
                <w:rFonts w:ascii="Palatino Linotype" w:eastAsia="Palatino Linotype" w:hAnsi="Palatino Linotype" w:cs="Palatino Linotype"/>
                <w:color w:val="000000"/>
              </w:rPr>
              <w:t xml:space="preserve"> la Asociación Civil “Bombarderos”.</w:t>
            </w:r>
          </w:p>
        </w:tc>
        <w:tc>
          <w:tcPr>
            <w:tcW w:w="5103" w:type="dxa"/>
            <w:tcBorders>
              <w:right w:val="single" w:sz="4" w:space="0" w:color="000000"/>
            </w:tcBorders>
          </w:tcPr>
          <w:p w:rsidR="005E4CF6" w:rsidRPr="005E184B" w:rsidRDefault="0078670F">
            <w:pPr>
              <w:ind w:right="41"/>
              <w:jc w:val="both"/>
              <w:rPr>
                <w:rFonts w:ascii="Palatino Linotype" w:eastAsia="Palatino Linotype" w:hAnsi="Palatino Linotype" w:cs="Palatino Linotype"/>
              </w:rPr>
            </w:pPr>
            <w:r w:rsidRPr="005E184B">
              <w:rPr>
                <w:rFonts w:ascii="Palatino Linotype" w:eastAsia="Palatino Linotype" w:hAnsi="Palatino Linotype" w:cs="Palatino Linotype"/>
              </w:rPr>
              <w:t>El Titular de Unidad Jurídica y la Directora de Finanzas y Administración, señalaron que no existe antecedente alguno de contrato celebrado entre el Instituto Municipal de Cultura Física y Deporte de Tecámac y la Asociación mencionada en la solicitud de información.</w:t>
            </w:r>
          </w:p>
        </w:tc>
      </w:tr>
    </w:tbl>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Inconforme con la respuesta, la parte</w:t>
      </w:r>
      <w:r w:rsidRPr="005E184B">
        <w:rPr>
          <w:rFonts w:ascii="Palatino Linotype" w:eastAsia="Palatino Linotype" w:hAnsi="Palatino Linotype" w:cs="Palatino Linotype"/>
          <w:b/>
          <w:bCs/>
        </w:rPr>
        <w:t xml:space="preserve"> RECURRENTE </w:t>
      </w:r>
      <w:r w:rsidRPr="005E184B">
        <w:rPr>
          <w:rFonts w:ascii="Palatino Linotype" w:eastAsia="Palatino Linotype" w:hAnsi="Palatino Linotype" w:cs="Palatino Linotype"/>
        </w:rPr>
        <w:t xml:space="preserve">manifestó </w:t>
      </w:r>
      <w:r w:rsidRPr="005E184B">
        <w:rPr>
          <w:rFonts w:ascii="Palatino Linotype" w:eastAsia="Palatino Linotype" w:hAnsi="Palatino Linotype" w:cs="Palatino Linotype"/>
          <w:b/>
          <w:bCs/>
        </w:rPr>
        <w:t>la inexistencia de la información solicitada.</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rPr>
      </w:pPr>
      <w:r w:rsidRPr="005E184B">
        <w:rPr>
          <w:rFonts w:ascii="Palatino Linotype" w:eastAsia="Palatino Linotype" w:hAnsi="Palatino Linotype" w:cs="Palatino Linotype"/>
        </w:rPr>
        <w:t xml:space="preserve">En atención a lo expuesto, resulta necesario referir que este Organismo Garante localizó procedió a realizar una búsqueda al respecto de la información requerida en los medios tecnológicos de información y comunicación, localizando diversas notas periodísticas y </w:t>
      </w:r>
      <w:r w:rsidRPr="005E184B">
        <w:rPr>
          <w:rFonts w:ascii="Palatino Linotype" w:eastAsia="Palatino Linotype" w:hAnsi="Palatino Linotype" w:cs="Palatino Linotype"/>
        </w:rPr>
        <w:lastRenderedPageBreak/>
        <w:t>publicaciones en redes sociales sobre la existencia del convenio celebrado entre el Instituto Municipal de Cultura Física y Deporte de Tecámac y</w:t>
      </w:r>
      <w:r w:rsidRPr="005E184B">
        <w:rPr>
          <w:rFonts w:ascii="Palatino Linotype" w:eastAsia="Palatino Linotype" w:hAnsi="Palatino Linotype" w:cs="Palatino Linotype"/>
          <w:color w:val="000000"/>
        </w:rPr>
        <w:t xml:space="preserve"> la Asociación Civil “Bombarderos”</w:t>
      </w:r>
      <w:r w:rsidRPr="005E184B">
        <w:rPr>
          <w:rFonts w:ascii="Palatino Linotype" w:eastAsia="Palatino Linotype" w:hAnsi="Palatino Linotype" w:cs="Palatino Linotype"/>
        </w:rPr>
        <w:t xml:space="preserve">, tal como se describe a continuación </w:t>
      </w:r>
    </w:p>
    <w:p w:rsidR="005E4CF6" w:rsidRPr="005E184B" w:rsidRDefault="005E4CF6">
      <w:pPr>
        <w:pBdr>
          <w:top w:val="nil"/>
          <w:left w:val="nil"/>
          <w:bottom w:val="nil"/>
          <w:right w:val="nil"/>
          <w:between w:val="nil"/>
        </w:pBdr>
        <w:ind w:left="720"/>
        <w:rPr>
          <w:rFonts w:ascii="Palatino Linotype" w:eastAsia="Palatino Linotype" w:hAnsi="Palatino Linotype" w:cs="Palatino Linotype"/>
          <w:color w:val="000000"/>
        </w:rPr>
      </w:pPr>
    </w:p>
    <w:p w:rsidR="005E4CF6" w:rsidRPr="005E184B" w:rsidRDefault="00692A15">
      <w:pPr>
        <w:spacing w:line="360" w:lineRule="auto"/>
        <w:ind w:right="1"/>
        <w:jc w:val="both"/>
        <w:rPr>
          <w:rFonts w:ascii="Palatino Linotype" w:eastAsia="Palatino Linotype" w:hAnsi="Palatino Linotype" w:cs="Palatino Linotype"/>
        </w:rPr>
      </w:pPr>
      <w:hyperlink r:id="rId9">
        <w:r w:rsidR="0078670F" w:rsidRPr="005E184B">
          <w:rPr>
            <w:rFonts w:ascii="Palatino Linotype" w:eastAsia="Palatino Linotype" w:hAnsi="Palatino Linotype" w:cs="Palatino Linotype"/>
            <w:color w:val="0563C1"/>
            <w:u w:val="single"/>
          </w:rPr>
          <w:t>https://www.facebook.com/NoticiasTecamacOficial/photos/aclara-gobierno-municipal-de-tec%C3%A1mac-2025-2027-rumores-en-caso-bombarderotec%C3%A1mac/1460539185432090/</w:t>
        </w:r>
      </w:hyperlink>
      <w:r w:rsidR="0078670F" w:rsidRPr="005E184B">
        <w:rPr>
          <w:rFonts w:ascii="Palatino Linotype" w:eastAsia="Palatino Linotype" w:hAnsi="Palatino Linotype" w:cs="Palatino Linotype"/>
        </w:rPr>
        <w:t xml:space="preserve"> </w:t>
      </w:r>
    </w:p>
    <w:p w:rsidR="005E4CF6" w:rsidRPr="005E184B" w:rsidRDefault="0078670F">
      <w:pPr>
        <w:rPr>
          <w:rFonts w:ascii="Palatino Linotype" w:eastAsia="Palatino Linotype" w:hAnsi="Palatino Linotype" w:cs="Palatino Linotype"/>
        </w:rPr>
      </w:pPr>
      <w:r w:rsidRPr="005E184B">
        <w:rPr>
          <w:rFonts w:ascii="Palatino Linotype" w:eastAsia="Palatino Linotype" w:hAnsi="Palatino Linotype" w:cs="Palatino Linotype"/>
          <w:noProof/>
        </w:rPr>
        <w:drawing>
          <wp:inline distT="0" distB="0" distL="0" distR="0">
            <wp:extent cx="5922645" cy="234315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922645" cy="2343150"/>
                    </a:xfrm>
                    <a:prstGeom prst="rect">
                      <a:avLst/>
                    </a:prstGeom>
                    <a:ln/>
                  </pic:spPr>
                </pic:pic>
              </a:graphicData>
            </a:graphic>
          </wp:inline>
        </w:drawing>
      </w:r>
    </w:p>
    <w:p w:rsidR="005E4CF6" w:rsidRPr="005E184B" w:rsidRDefault="0078670F">
      <w:pPr>
        <w:ind w:left="567" w:right="538"/>
        <w:jc w:val="both"/>
        <w:rPr>
          <w:rFonts w:ascii="Palatino Linotype" w:eastAsia="Palatino Linotype" w:hAnsi="Palatino Linotype" w:cs="Palatino Linotype"/>
          <w:i/>
          <w:iCs/>
          <w:color w:val="050505"/>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i/>
          <w:iCs/>
          <w:color w:val="050505"/>
          <w:highlight w:val="white"/>
        </w:rPr>
        <w:t>Aclara </w:t>
      </w:r>
      <w:hyperlink r:id="rId11">
        <w:r w:rsidRPr="005E184B">
          <w:rPr>
            <w:rFonts w:ascii="Palatino Linotype" w:eastAsia="Palatino Linotype" w:hAnsi="Palatino Linotype" w:cs="Palatino Linotype"/>
            <w:b/>
            <w:bCs/>
            <w:i/>
            <w:iCs/>
            <w:color w:val="050505"/>
            <w:u w:val="single"/>
          </w:rPr>
          <w:t>Gobierno Municipal de Tecámac 2025-2027</w:t>
        </w:r>
      </w:hyperlink>
      <w:r w:rsidRPr="005E184B">
        <w:rPr>
          <w:rFonts w:ascii="Palatino Linotype" w:eastAsia="Palatino Linotype" w:hAnsi="Palatino Linotype" w:cs="Palatino Linotype"/>
          <w:i/>
          <w:iCs/>
          <w:color w:val="050505"/>
          <w:highlight w:val="white"/>
        </w:rPr>
        <w:t> rumores en caso 'BOMBARDERO'</w:t>
      </w:r>
    </w:p>
    <w:p w:rsidR="005E4CF6" w:rsidRPr="005E184B" w:rsidRDefault="005E4CF6">
      <w:pPr>
        <w:ind w:left="567" w:right="538"/>
        <w:jc w:val="both"/>
        <w:rPr>
          <w:rFonts w:ascii="Palatino Linotype" w:eastAsia="Palatino Linotype" w:hAnsi="Palatino Linotype" w:cs="Palatino Linotype"/>
          <w:i/>
          <w:iCs/>
          <w:color w:val="050505"/>
          <w:highlight w:val="white"/>
        </w:rPr>
      </w:pPr>
    </w:p>
    <w:p w:rsidR="005E4CF6" w:rsidRPr="005E184B" w:rsidRDefault="0078670F">
      <w:pPr>
        <w:ind w:left="567" w:right="538"/>
        <w:jc w:val="both"/>
        <w:rPr>
          <w:rFonts w:ascii="Palatino Linotype" w:eastAsia="Palatino Linotype" w:hAnsi="Palatino Linotype" w:cs="Palatino Linotype"/>
          <w:i/>
          <w:iCs/>
          <w:color w:val="050505"/>
        </w:rPr>
      </w:pPr>
      <w:r w:rsidRPr="005E184B">
        <w:rPr>
          <w:rFonts w:ascii="Palatino Linotype" w:eastAsia="Palatino Linotype" w:hAnsi="Palatino Linotype" w:cs="Palatino Linotype"/>
          <w:i/>
          <w:iCs/>
          <w:color w:val="050505"/>
          <w:highlight w:val="white"/>
        </w:rPr>
        <w:t xml:space="preserve">TECÁMAC, Edomex., 4 de marzo de 2026.- </w:t>
      </w:r>
      <w:r w:rsidRPr="005E184B">
        <w:rPr>
          <w:rFonts w:ascii="Palatino Linotype" w:eastAsia="Palatino Linotype" w:hAnsi="Palatino Linotype" w:cs="Palatino Linotype"/>
          <w:b/>
          <w:bCs/>
          <w:i/>
          <w:iCs/>
          <w:color w:val="050505"/>
          <w:highlight w:val="white"/>
        </w:rPr>
        <w:t>El Gobierno Municipal de Tecámac informó que la conclusión del convenio con la asociación civil “Centro de Formación Cultural y Deportiva Tecamaquenses Cada Vez Más Ganadores” se debió exclusivamente a la falta de transparencia en el manejo de recursos públicos, y no a una prohibición arbitraria del deporte.</w:t>
      </w:r>
      <w:r w:rsidRPr="005E184B">
        <w:rPr>
          <w:rFonts w:ascii="Palatino Linotype" w:eastAsia="Palatino Linotype" w:hAnsi="Palatino Linotype" w:cs="Palatino Linotype"/>
          <w:b/>
          <w:bCs/>
          <w:i/>
          <w:iCs/>
          <w:color w:val="050505"/>
        </w:rPr>
        <w:t xml:space="preserve"> </w:t>
      </w:r>
      <w:r w:rsidRPr="005E184B">
        <w:rPr>
          <w:rFonts w:ascii="Palatino Linotype" w:eastAsia="Palatino Linotype" w:hAnsi="Palatino Linotype" w:cs="Palatino Linotype"/>
          <w:b/>
          <w:bCs/>
          <w:i/>
          <w:iCs/>
          <w:color w:val="050505"/>
          <w:highlight w:val="white"/>
        </w:rPr>
        <w:t>De acuerdo con el comunicado oficial, la relación contractual con dicha organización concluyó el 31 de diciembre de 2025, sin que se cumpliera con las obligaciones de rendición de cuentas, situación que derivó en la terminación definitiva del acuerdo.</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Las autoridades municipales señalaron que los directivos de la asociación, encabezados por Ramón Muñoz del Razo y Jimmy Almazán Gutiérrez, emprendieron una campaña de desinformación dirigida a madres y padres de familia, con el objetivo de evadir su responsabilidad administrativa.</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 xml:space="preserve">Irregularidades detectadas Entre las observaciones más relevantes, se encuentran la omisión </w:t>
      </w:r>
      <w:r w:rsidRPr="005E184B">
        <w:rPr>
          <w:rFonts w:ascii="Palatino Linotype" w:eastAsia="Palatino Linotype" w:hAnsi="Palatino Linotype" w:cs="Palatino Linotype"/>
          <w:i/>
          <w:iCs/>
          <w:color w:val="050505"/>
          <w:highlight w:val="white"/>
        </w:rPr>
        <w:lastRenderedPageBreak/>
        <w:t>en la entrega de reportes financieros del segundo semestre de 2025, pagos sin tabuladores autorizados por más de un millón de pesos y facturación de capacitaciones sin evidencia documental.</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b/>
          <w:bCs/>
          <w:i/>
          <w:iCs/>
          <w:color w:val="050505"/>
          <w:highlight w:val="white"/>
        </w:rPr>
        <w:t>Asimismo, se indicó que existen inconsistencias jurídicas en los archivos de la asociación, al no contar con actas constitutivas y convenios debidamente firmados y sellados por las autoridades correspondientes</w:t>
      </w:r>
      <w:r w:rsidRPr="005E184B">
        <w:rPr>
          <w:rFonts w:ascii="Palatino Linotype" w:eastAsia="Palatino Linotype" w:hAnsi="Palatino Linotype" w:cs="Palatino Linotype"/>
          <w:i/>
          <w:iCs/>
          <w:color w:val="050505"/>
          <w:highlight w:val="white"/>
        </w:rPr>
        <w:t>.</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El Gobierno Municipal también refirió que las auditorías de la Contraloría y los informes del OSFEM revelan la imposibilidad de comprobar el destino de más de 25 millones de pesos de recursos públicos asignados al proyecto.</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Llamado a la legalidad y ética En el comunicado se destacó que estas conductas contravienen el Código de Ética de la Federación Mexicana de Fútbol, el cual exige integridad y honestidad en el desempeño de los directivos deportivos.</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Las autoridades celebraron que el tema haya llegado al conocimiento de la gobernadora del Estado de México (EMX), Delfina Gómez Álvarez, y reiteraron su disposición para presentar los expedientes técnicos que sustentan la decisión.</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Finalmente, el Ayuntamiento invitó a las familias a acercarse al IMDEPORTE para incorporarse a un esquema de administración directa, con el fin de garantizar que los recursos lleguen de manera íntegra a los deportistas y se fortalezca el desarrollo del deporte en el municipio.</w:t>
      </w:r>
      <w:r w:rsidRPr="005E184B">
        <w:rPr>
          <w:rFonts w:ascii="Palatino Linotype" w:eastAsia="Palatino Linotype" w:hAnsi="Palatino Linotype" w:cs="Palatino Linotype"/>
          <w:i/>
          <w:iCs/>
          <w:color w:val="050505"/>
        </w:rPr>
        <w:t xml:space="preserve"> </w:t>
      </w:r>
      <w:r w:rsidRPr="005E184B">
        <w:rPr>
          <w:rFonts w:ascii="Palatino Linotype" w:eastAsia="Palatino Linotype" w:hAnsi="Palatino Linotype" w:cs="Palatino Linotype"/>
          <w:i/>
          <w:iCs/>
          <w:color w:val="050505"/>
          <w:highlight w:val="white"/>
        </w:rPr>
        <w:t>El texto original de este artículo fue publicado por la Agencia Quadratín Luis Ayala/Quadratín EMX</w:t>
      </w:r>
      <w:r w:rsidRPr="005E184B">
        <w:rPr>
          <w:rFonts w:ascii="Palatino Linotype" w:eastAsia="Palatino Linotype" w:hAnsi="Palatino Linotype" w:cs="Palatino Linotype"/>
          <w:i/>
          <w:iCs/>
        </w:rPr>
        <w:t>”</w:t>
      </w:r>
    </w:p>
    <w:p w:rsidR="005E4CF6" w:rsidRPr="005E184B" w:rsidRDefault="005E4CF6">
      <w:pPr>
        <w:rPr>
          <w:rFonts w:ascii="Palatino Linotype" w:eastAsia="Palatino Linotype" w:hAnsi="Palatino Linotype" w:cs="Palatino Linotype"/>
        </w:rPr>
      </w:pPr>
    </w:p>
    <w:p w:rsidR="005E4CF6" w:rsidRPr="005E184B" w:rsidRDefault="00692A15">
      <w:pPr>
        <w:ind w:left="567"/>
        <w:rPr>
          <w:rFonts w:ascii="Palatino Linotype" w:eastAsia="Palatino Linotype" w:hAnsi="Palatino Linotype" w:cs="Palatino Linotype"/>
        </w:rPr>
      </w:pPr>
      <w:hyperlink r:id="rId12">
        <w:r w:rsidR="0078670F" w:rsidRPr="005E184B">
          <w:rPr>
            <w:rFonts w:ascii="Palatino Linotype" w:eastAsia="Palatino Linotype" w:hAnsi="Palatino Linotype" w:cs="Palatino Linotype"/>
            <w:color w:val="0563C1"/>
            <w:u w:val="single"/>
          </w:rPr>
          <w:t>https://edomex.quadratin.com.mx/aclara-gobierno-de-tecamac-rumores-en-caso-bombarderos/</w:t>
        </w:r>
      </w:hyperlink>
      <w:r w:rsidR="0078670F" w:rsidRPr="005E184B">
        <w:rPr>
          <w:rFonts w:ascii="Palatino Linotype" w:eastAsia="Palatino Linotype" w:hAnsi="Palatino Linotype" w:cs="Palatino Linotype"/>
        </w:rPr>
        <w:t xml:space="preserve"> </w:t>
      </w:r>
    </w:p>
    <w:p w:rsidR="005E4CF6" w:rsidRPr="005E184B" w:rsidRDefault="005E4CF6">
      <w:pPr>
        <w:rPr>
          <w:rFonts w:ascii="Palatino Linotype" w:eastAsia="Palatino Linotype" w:hAnsi="Palatino Linotype" w:cs="Palatino Linotype"/>
        </w:rPr>
      </w:pPr>
    </w:p>
    <w:p w:rsidR="005E4CF6" w:rsidRPr="005E184B" w:rsidRDefault="0078670F">
      <w:pPr>
        <w:rPr>
          <w:rFonts w:ascii="Palatino Linotype" w:eastAsia="Palatino Linotype" w:hAnsi="Palatino Linotype" w:cs="Palatino Linotype"/>
        </w:rPr>
      </w:pPr>
      <w:r w:rsidRPr="005E184B">
        <w:rPr>
          <w:rFonts w:ascii="Palatino Linotype" w:eastAsia="Palatino Linotype" w:hAnsi="Palatino Linotype" w:cs="Palatino Linotype"/>
          <w:noProof/>
        </w:rPr>
        <w:lastRenderedPageBreak/>
        <w:drawing>
          <wp:inline distT="0" distB="0" distL="0" distR="0">
            <wp:extent cx="5922645" cy="721995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922645" cy="7219950"/>
                    </a:xfrm>
                    <a:prstGeom prst="rect">
                      <a:avLst/>
                    </a:prstGeom>
                    <a:ln/>
                  </pic:spPr>
                </pic:pic>
              </a:graphicData>
            </a:graphic>
          </wp:inline>
        </w:drawing>
      </w:r>
    </w:p>
    <w:p w:rsidR="005E4CF6" w:rsidRPr="005E184B" w:rsidRDefault="0078670F">
      <w:pPr>
        <w:spacing w:line="360" w:lineRule="auto"/>
        <w:ind w:right="1"/>
        <w:jc w:val="center"/>
        <w:rPr>
          <w:rFonts w:ascii="Palatino Linotype" w:eastAsia="Palatino Linotype" w:hAnsi="Palatino Linotype" w:cs="Palatino Linotype"/>
          <w:b/>
          <w:bCs/>
        </w:rPr>
      </w:pPr>
      <w:r w:rsidRPr="005E184B">
        <w:rPr>
          <w:rFonts w:ascii="Palatino Linotype" w:eastAsia="Palatino Linotype" w:hAnsi="Palatino Linotype" w:cs="Palatino Linotype"/>
          <w:b/>
          <w:bCs/>
          <w:noProof/>
        </w:rPr>
        <w:lastRenderedPageBreak/>
        <w:drawing>
          <wp:inline distT="0" distB="0" distL="0" distR="0">
            <wp:extent cx="5802842" cy="720642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802842" cy="7206425"/>
                    </a:xfrm>
                    <a:prstGeom prst="rect">
                      <a:avLst/>
                    </a:prstGeom>
                    <a:ln/>
                  </pic:spPr>
                </pic:pic>
              </a:graphicData>
            </a:graphic>
          </wp:inline>
        </w:drawing>
      </w:r>
    </w:p>
    <w:p w:rsidR="005E4CF6" w:rsidRPr="005E184B" w:rsidRDefault="0078670F">
      <w:pPr>
        <w:spacing w:line="360" w:lineRule="auto"/>
        <w:ind w:right="1"/>
        <w:jc w:val="center"/>
        <w:rPr>
          <w:rFonts w:ascii="Palatino Linotype" w:eastAsia="Palatino Linotype" w:hAnsi="Palatino Linotype" w:cs="Palatino Linotype"/>
          <w:b/>
          <w:bCs/>
        </w:rPr>
      </w:pPr>
      <w:r w:rsidRPr="005E184B">
        <w:rPr>
          <w:rFonts w:ascii="Palatino Linotype" w:eastAsia="Palatino Linotype" w:hAnsi="Palatino Linotype" w:cs="Palatino Linotype"/>
          <w:b/>
          <w:bCs/>
          <w:noProof/>
        </w:rPr>
        <w:lastRenderedPageBreak/>
        <w:drawing>
          <wp:inline distT="0" distB="0" distL="0" distR="0">
            <wp:extent cx="5515745" cy="228631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515745" cy="2286319"/>
                    </a:xfrm>
                    <a:prstGeom prst="rect">
                      <a:avLst/>
                    </a:prstGeom>
                    <a:ln/>
                  </pic:spPr>
                </pic:pic>
              </a:graphicData>
            </a:graphic>
          </wp:inline>
        </w:drawing>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Como se advierte de la nota y la publicaciones citadas, </w:t>
      </w:r>
      <w:r w:rsidRPr="005E184B">
        <w:rPr>
          <w:rFonts w:ascii="Palatino Linotype" w:eastAsia="Palatino Linotype" w:hAnsi="Palatino Linotype" w:cs="Palatino Linotype"/>
          <w:b/>
          <w:bCs/>
          <w:color w:val="000000"/>
        </w:rPr>
        <w:t xml:space="preserve">se observan la existencia del convenio </w:t>
      </w:r>
      <w:r w:rsidRPr="005E184B">
        <w:rPr>
          <w:rFonts w:ascii="Palatino Linotype" w:eastAsia="Palatino Linotype" w:hAnsi="Palatino Linotype" w:cs="Palatino Linotype"/>
          <w:b/>
          <w:bCs/>
        </w:rPr>
        <w:t>celebrado entre el Instituto Municipal de Cultura Física y Deporte de Tecámac y</w:t>
      </w:r>
      <w:r w:rsidRPr="005E184B">
        <w:rPr>
          <w:rFonts w:ascii="Palatino Linotype" w:eastAsia="Palatino Linotype" w:hAnsi="Palatino Linotype" w:cs="Palatino Linotype"/>
          <w:b/>
          <w:bCs/>
          <w:color w:val="000000"/>
        </w:rPr>
        <w:t xml:space="preserve"> la Asociación Civil “Bombarderos” mismo que concluyó en diciembre de 2025</w:t>
      </w:r>
      <w:r w:rsidRPr="005E184B">
        <w:rPr>
          <w:rFonts w:ascii="Palatino Linotype" w:eastAsia="Palatino Linotype" w:hAnsi="Palatino Linotype" w:cs="Palatino Linotype"/>
          <w:color w:val="000000"/>
        </w:rPr>
        <w:t xml:space="preserve">; al respecto conviene señalar que, si bien es cierto, las notas periodísticas o publicaciones plasmadas en la red de Internet constituyen el Derecho a la Libre Expresión de los profesionales en la materia (artículo 7 de la Constitución Política de los Estados Unidos Mexicanos), en los que se plasman opiniones, señalamientos o comentarios respecto de diversos hechos que se suscitan en un lugar y tiempo determinados, también lo es que dichas publicaciones encontrada por la ponencia arrojan indicios sobre los hechos a que se refieren. Sirve de apoyo a lo anterior, la Jurisprudencia y Tesis Aisladas que enseguida se reproducen: </w:t>
      </w:r>
    </w:p>
    <w:p w:rsidR="005E4CF6" w:rsidRPr="005E184B" w:rsidRDefault="005E4CF6">
      <w:pPr>
        <w:spacing w:line="360" w:lineRule="auto"/>
        <w:ind w:right="113"/>
        <w:jc w:val="both"/>
        <w:rPr>
          <w:rFonts w:ascii="Palatino Linotype" w:eastAsia="Palatino Linotype" w:hAnsi="Palatino Linotype" w:cs="Palatino Linotype"/>
          <w:color w:val="000000"/>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“NOTAS PERIODÍSTICAS. ELEMENTOS PARA DETERMINAR SU FUERZA INDICIARIA.</w:t>
      </w:r>
      <w:r w:rsidRPr="005E184B">
        <w:rPr>
          <w:rFonts w:ascii="Palatino Linotype" w:eastAsia="Palatino Linotype" w:hAnsi="Palatino Linotype" w:cs="Palatino Linotype"/>
          <w:i/>
          <w:iCs/>
        </w:rPr>
        <w:t xml:space="preserve"> 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w:t>
      </w:r>
      <w:r w:rsidRPr="005E184B">
        <w:rPr>
          <w:rFonts w:ascii="Palatino Linotype" w:eastAsia="Palatino Linotype" w:hAnsi="Palatino Linotype" w:cs="Palatino Linotype"/>
          <w:i/>
          <w:iCs/>
        </w:rPr>
        <w:lastRenderedPageBreak/>
        <w:t xml:space="preserve">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p>
    <w:p w:rsidR="005E4CF6" w:rsidRPr="005E184B" w:rsidRDefault="005E4CF6">
      <w:pPr>
        <w:spacing w:line="360" w:lineRule="auto"/>
        <w:ind w:left="567" w:right="538"/>
        <w:jc w:val="both"/>
        <w:rPr>
          <w:rFonts w:ascii="Palatino Linotype" w:eastAsia="Palatino Linotype" w:hAnsi="Palatino Linotype" w:cs="Palatino Linotype"/>
          <w:i/>
          <w:iCs/>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 xml:space="preserve">INDICIO. CONCEPTO DE. </w:t>
      </w:r>
      <w:r w:rsidRPr="005E184B">
        <w:rPr>
          <w:rFonts w:ascii="Palatino Linotype" w:eastAsia="Palatino Linotype" w:hAnsi="Palatino Linotype" w:cs="Palatino Linotype"/>
          <w:i/>
          <w:iCs/>
        </w:rPr>
        <w:t xml:space="preserve">El "indicio" es una circunstancia cierta de la que se puede sacar, por inducción lógica, una conclusión acerca de la existencia (o inexistencia) de un hecho a probar; por tanto, la convicción indiciaria se basa en un silogismo en el que la premisa mayor (abstracta y problemática), se funda en la experiencia o en el sentido común, la premisa menor (concreta y cierta) se apoya o constituye la comprobación del hecho, y la conclusión, sacada de la referencia de la premisa menor a la premisa mayor, el indicio, por consiguiente, se diferencia de la presunción en que el dato genérico y probable agrega el dato específico y cierto, a lo abstracto une lo concreto; de lo que antecede ya se desprende sin dificultad que requisito primordial de la prueba indiciaria es la certeza de la circunstancia indiciante, o sea, que el indicio presupone necesariamente la demostración de circunstancias indispensables por las que se arguye indirecta pero lógicamente el hecho que hay que probar mediante un proceso deductivo, con la misma certeza que da la prueba directa. </w:t>
      </w:r>
    </w:p>
    <w:p w:rsidR="005E4CF6" w:rsidRPr="005E184B" w:rsidRDefault="005E4CF6">
      <w:pPr>
        <w:spacing w:line="360" w:lineRule="auto"/>
        <w:ind w:left="567" w:right="538"/>
        <w:jc w:val="both"/>
        <w:rPr>
          <w:rFonts w:ascii="Palatino Linotype" w:eastAsia="Palatino Linotype" w:hAnsi="Palatino Linotype" w:cs="Palatino Linotype"/>
          <w:i/>
          <w:iCs/>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 xml:space="preserve">SEGUNDO TRIBUNAL COLEGIADO DEL SEXTO CIRCUITO. </w:t>
      </w: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Amparo directo 317/87. Juan Antonio Ibarra Chaire y coags. 12 de julio de 1988. Unanimidad de votos. Ponente: José Galván Rojas. Secretario: Vicente Martínez Sánchez.</w:t>
      </w:r>
    </w:p>
    <w:p w:rsidR="005E4CF6" w:rsidRPr="005E184B" w:rsidRDefault="005E4CF6">
      <w:pPr>
        <w:ind w:left="567" w:right="538"/>
        <w:jc w:val="both"/>
        <w:rPr>
          <w:rFonts w:ascii="Palatino Linotype" w:eastAsia="Palatino Linotype" w:hAnsi="Palatino Linotype" w:cs="Palatino Linotype"/>
          <w:i/>
          <w:iCs/>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 xml:space="preserve">INDICIOS. REQUISITOS PARA QUE GENEREN PRESUNCIÓN DE CERTEZA. </w:t>
      </w:r>
      <w:r w:rsidRPr="005E184B">
        <w:rPr>
          <w:rFonts w:ascii="Palatino Linotype" w:eastAsia="Palatino Linotype" w:hAnsi="Palatino Linotype" w:cs="Palatino Linotype"/>
          <w:i/>
          <w:iCs/>
        </w:rPr>
        <w:t xml:space="preserve">Nada impide que para acreditar la veracidad de un hecho, el juzgador se valga de una presunción que se derive de varios indicios. En esta hipótesis deben cumplirse los principios de la lógica inferencial de probabilidad, a saber: la fiabilidad de los hechos o datos conocidos, esto es, que no exista duda alguna acerca de su veracidad; la pluralidad de indicios, que se refiere a la necesidad de que existan varios datos que permitan conocer o inferir la existencia de otro no percibido y que conduzcan siempre a una misma conclusión; la pertinencia, que </w:t>
      </w:r>
      <w:r w:rsidRPr="005E184B">
        <w:rPr>
          <w:rFonts w:ascii="Palatino Linotype" w:eastAsia="Palatino Linotype" w:hAnsi="Palatino Linotype" w:cs="Palatino Linotype"/>
          <w:i/>
          <w:iCs/>
        </w:rPr>
        <w:lastRenderedPageBreak/>
        <w:t xml:space="preserve">significa que haya relación entre la pluralidad de los datos conocidos; y la coherencia, o sea, que debe existir armonía o concordancia entre los datos mencionados; principios que a su vez encuentran respaldo en el artículo 402 de la ley adjetiva civil para el Distrito Federal que previene que los medios de prueba aportados y admitidos serán valorados en su conjunto por el juzgador, atendiendo a las reglas de la lógica y la experiencia, pues los principios enunciados forman parte tanto de la lógica de probabilidades, como de la experiencia misma, razón por la cual, cuando concurren esas exigencias, y se da un muy alto grado de probabilidad de que los hechos acaecieron en la forma narrada por una de las partes, son aptos para generar la presunción de certeza. </w:t>
      </w:r>
    </w:p>
    <w:p w:rsidR="005E4CF6" w:rsidRPr="005E184B" w:rsidRDefault="005E4CF6">
      <w:pPr>
        <w:spacing w:line="360" w:lineRule="auto"/>
        <w:ind w:right="-592"/>
        <w:jc w:val="both"/>
        <w:rPr>
          <w:rFonts w:ascii="Palatino Linotype" w:eastAsia="Palatino Linotype" w:hAnsi="Palatino Linotype" w:cs="Palatino Linotype"/>
        </w:rPr>
      </w:pPr>
    </w:p>
    <w:p w:rsidR="005E4CF6" w:rsidRPr="005E184B" w:rsidRDefault="0078670F">
      <w:pPr>
        <w:numPr>
          <w:ilvl w:val="0"/>
          <w:numId w:val="1"/>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De lo anterior, se presume la existencia de documentación relacionada con la información requerida, toda vez que el </w:t>
      </w:r>
      <w:r w:rsidRPr="005E184B">
        <w:rPr>
          <w:rFonts w:ascii="Palatino Linotype" w:eastAsia="Palatino Linotype" w:hAnsi="Palatino Linotype" w:cs="Palatino Linotype"/>
          <w:b/>
          <w:bCs/>
          <w:color w:val="000000"/>
        </w:rPr>
        <w:t>SUJETO OBLIGADO</w:t>
      </w:r>
      <w:r w:rsidRPr="005E184B">
        <w:rPr>
          <w:rFonts w:ascii="Palatino Linotype" w:eastAsia="Palatino Linotype" w:hAnsi="Palatino Linotype" w:cs="Palatino Linotype"/>
          <w:color w:val="000000"/>
        </w:rPr>
        <w:t xml:space="preserve"> se encuentra constreñido a documentar todo acto de autoridad que éste realice derivado de sus funciones, atribuciones y competencias. </w:t>
      </w:r>
    </w:p>
    <w:p w:rsidR="005E4CF6" w:rsidRPr="005E184B" w:rsidRDefault="005E4CF6">
      <w:pPr>
        <w:spacing w:line="360" w:lineRule="auto"/>
        <w:ind w:right="-29"/>
        <w:jc w:val="both"/>
        <w:rPr>
          <w:rFonts w:ascii="Palatino Linotype" w:eastAsia="Palatino Linotype" w:hAnsi="Palatino Linotype" w:cs="Palatino Linotype"/>
          <w:color w:val="000000"/>
        </w:rPr>
      </w:pPr>
    </w:p>
    <w:p w:rsidR="005E4CF6" w:rsidRPr="005E184B" w:rsidRDefault="0078670F">
      <w:pPr>
        <w:numPr>
          <w:ilvl w:val="0"/>
          <w:numId w:val="1"/>
        </w:numPr>
        <w:spacing w:line="360" w:lineRule="auto"/>
        <w:ind w:left="0" w:right="-29" w:firstLine="0"/>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En ese tenor, si bien es cierto que las páginas de internet no son un medio oficial, también lo es que se trata de indicios que demuestran las tareas o labores que llegan a realizar en este caso los servidores públicos en ejercicio de sus facultades, competencias y/o funciones. </w:t>
      </w:r>
    </w:p>
    <w:p w:rsidR="005E4CF6" w:rsidRPr="005E184B" w:rsidRDefault="005E4CF6">
      <w:pPr>
        <w:spacing w:line="360" w:lineRule="auto"/>
        <w:ind w:right="-29"/>
        <w:jc w:val="both"/>
        <w:rPr>
          <w:rFonts w:ascii="Palatino Linotype" w:eastAsia="Palatino Linotype" w:hAnsi="Palatino Linotype" w:cs="Palatino Linotype"/>
          <w:color w:val="000000"/>
        </w:rPr>
      </w:pPr>
    </w:p>
    <w:p w:rsidR="005E4CF6" w:rsidRPr="005E184B" w:rsidRDefault="0078670F">
      <w:pPr>
        <w:numPr>
          <w:ilvl w:val="0"/>
          <w:numId w:val="1"/>
        </w:numPr>
        <w:spacing w:line="360" w:lineRule="auto"/>
        <w:ind w:left="0" w:right="-29" w:firstLine="0"/>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En tal virtud, al obrar indicios de la información en páginas de internet, demuestran que cuenta con la información en alguna de sus áreas administrativas, este tipo de información es susceptible de considerarse como un hecho notorio el cual puede ser valorado, por formar parte del conocimiento público, lo cual se robustece con la siguiente tesis aislada emitida por los Tribunales Colegiados de Circuito y publicada en el Semanario Judicial de la Federación: </w:t>
      </w:r>
    </w:p>
    <w:p w:rsidR="005E4CF6" w:rsidRPr="005E184B" w:rsidRDefault="005E4CF6">
      <w:pPr>
        <w:spacing w:line="360" w:lineRule="auto"/>
        <w:ind w:right="-592"/>
        <w:jc w:val="both"/>
        <w:rPr>
          <w:rFonts w:ascii="Palatino Linotype" w:eastAsia="Palatino Linotype" w:hAnsi="Palatino Linotype" w:cs="Palatino Linotype"/>
          <w:color w:val="000000"/>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 xml:space="preserve">“PÁGINAS WEB O ELECTRÓNICAS. SU CONTENIDO ES UN HECHO NOTORIO Y SUSCEPTIBLE DE SER VALORADO EN UNA DECISIÓN JUDICIAL. </w:t>
      </w:r>
      <w:r w:rsidRPr="005E184B">
        <w:rPr>
          <w:rFonts w:ascii="Palatino Linotype" w:eastAsia="Palatino Linotype" w:hAnsi="Palatino Linotype" w:cs="Palatino Linotype"/>
          <w:i/>
          <w:iCs/>
        </w:rPr>
        <w:t xml:space="preserve">Los datos publicados en documentos o páginas situados en redes informáticas </w:t>
      </w:r>
      <w:r w:rsidRPr="005E184B">
        <w:rPr>
          <w:rFonts w:ascii="Palatino Linotype" w:eastAsia="Palatino Linotype" w:hAnsi="Palatino Linotype" w:cs="Palatino Linotype"/>
          <w:i/>
          <w:iCs/>
        </w:rPr>
        <w:lastRenderedPageBreak/>
        <w:t>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1 2004949. I.3o.C.35 K (10a.). Tribunales Colegiados de Circuito. Décima Época. Semanario Judicial de la Federación y su Gaceta. Libro XXVI, Noviembre de 2013, Pág. 1373. Recurso de Revisión: 03023/INFOEM/IP/RR/2021 Sujeto Obligado: Ayuntamiento de Coacalco de Berriozábal Comisionado por returno: Luis Gustavo Parra Noriega Página 21 de 28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rsidR="005E4CF6" w:rsidRPr="005E184B" w:rsidRDefault="005E4CF6">
      <w:pPr>
        <w:ind w:left="567" w:right="538"/>
        <w:jc w:val="both"/>
        <w:rPr>
          <w:rFonts w:ascii="Palatino Linotype" w:eastAsia="Palatino Linotype" w:hAnsi="Palatino Linotype" w:cs="Palatino Linotype"/>
          <w:i/>
          <w:iCs/>
        </w:rPr>
      </w:pP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 xml:space="preserve"> TERCER TRIBUNAL COLEGIADO EN MATERIA CIVIL DEL PRIMER CIRCUITO. </w:t>
      </w: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 xml:space="preserve">Amparo en revisión 365/2012. Mardygras, S.A. de C.V. 7 de diciembre de 2012. Unanimidad de votos. Ponente: Neófito López Ramos. Secretaria: Ana Lilia Osorno Arroyo.” </w:t>
      </w:r>
    </w:p>
    <w:p w:rsidR="005E4CF6" w:rsidRPr="005E184B" w:rsidRDefault="0078670F">
      <w:pPr>
        <w:ind w:left="567" w:right="538"/>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 xml:space="preserve">(Énfasis añadido) </w:t>
      </w:r>
    </w:p>
    <w:p w:rsidR="005E4CF6" w:rsidRPr="005E184B" w:rsidRDefault="005E4CF6">
      <w:pPr>
        <w:spacing w:line="360" w:lineRule="auto"/>
        <w:ind w:right="538"/>
        <w:jc w:val="both"/>
        <w:rPr>
          <w:rFonts w:ascii="Palatino Linotype" w:eastAsia="Palatino Linotype" w:hAnsi="Palatino Linotype" w:cs="Palatino Linotype"/>
          <w:i/>
          <w:iCs/>
        </w:rPr>
      </w:pPr>
    </w:p>
    <w:p w:rsidR="005E4CF6" w:rsidRPr="005E184B" w:rsidRDefault="0078670F">
      <w:pPr>
        <w:numPr>
          <w:ilvl w:val="0"/>
          <w:numId w:val="1"/>
        </w:numPr>
        <w:spacing w:line="360" w:lineRule="auto"/>
        <w:ind w:left="0" w:right="-29" w:firstLine="0"/>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rPr>
        <w:t xml:space="preserve">Es </w:t>
      </w:r>
      <w:r w:rsidRPr="005E184B">
        <w:rPr>
          <w:rFonts w:ascii="Palatino Linotype" w:eastAsia="Palatino Linotype" w:hAnsi="Palatino Linotype" w:cs="Palatino Linotype"/>
          <w:color w:val="000000"/>
        </w:rPr>
        <w:t>así</w:t>
      </w:r>
      <w:r w:rsidRPr="005E184B">
        <w:rPr>
          <w:rFonts w:ascii="Palatino Linotype" w:eastAsia="Palatino Linotype" w:hAnsi="Palatino Linotype" w:cs="Palatino Linotype"/>
        </w:rPr>
        <w:t xml:space="preserve"> que, aún y cuando la información proviene de una publicación en páginas electrónicas y redes sociales, muestra elementos que permiten presumir la existencia del hecho.</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b/>
          <w:bCs/>
        </w:rPr>
        <w:t xml:space="preserve">Correlativo a lo anterior, </w:t>
      </w:r>
      <w:r w:rsidRPr="005E184B">
        <w:rPr>
          <w:rFonts w:ascii="Palatino Linotype" w:eastAsia="Palatino Linotype" w:hAnsi="Palatino Linotype" w:cs="Palatino Linotype"/>
        </w:rPr>
        <w:t xml:space="preserve">se procede al análisis de la naturaleza de la información requerida, y para ello, es de mencionar que de conformidad con el artículo 92, fracción XXIX de la Ley de Transparencia y Acceso a la Información Pública del Estado de México y </w:t>
      </w:r>
      <w:r w:rsidRPr="005E184B">
        <w:rPr>
          <w:rFonts w:ascii="Palatino Linotype" w:eastAsia="Palatino Linotype" w:hAnsi="Palatino Linotype" w:cs="Palatino Linotype"/>
        </w:rPr>
        <w:lastRenderedPageBreak/>
        <w:t xml:space="preserve">Municipios, los Sujetos Obligados se encuentran constreñidos a poner a disposición del público, de manera permanente y actualizada en los respectivos medios electrónicos, información sobre los procesos y resultados sobre procedimientos de adjudicación directa, invitación restringida y licitación de cualquier naturaleza, </w:t>
      </w:r>
      <w:r w:rsidRPr="005E184B">
        <w:rPr>
          <w:rFonts w:ascii="Palatino Linotype" w:eastAsia="Palatino Linotype" w:hAnsi="Palatino Linotype" w:cs="Palatino Linotype"/>
          <w:b/>
          <w:bCs/>
        </w:rPr>
        <w:t>incluyendo la versión pública</w:t>
      </w:r>
      <w:r w:rsidRPr="005E184B">
        <w:rPr>
          <w:rFonts w:ascii="Palatino Linotype" w:eastAsia="Palatino Linotype" w:hAnsi="Palatino Linotype" w:cs="Palatino Linotype"/>
        </w:rPr>
        <w:t xml:space="preserve"> </w:t>
      </w:r>
      <w:r w:rsidRPr="005E184B">
        <w:rPr>
          <w:rFonts w:ascii="Palatino Linotype" w:eastAsia="Palatino Linotype" w:hAnsi="Palatino Linotype" w:cs="Palatino Linotype"/>
          <w:b/>
          <w:bCs/>
        </w:rPr>
        <w:t>los contratos celebrados;</w:t>
      </w:r>
      <w:r w:rsidRPr="005E184B">
        <w:rPr>
          <w:rFonts w:ascii="Palatino Linotype" w:eastAsia="Palatino Linotype" w:hAnsi="Palatino Linotype" w:cs="Palatino Linotype"/>
        </w:rPr>
        <w:t xml:space="preserve"> a saber:</w:t>
      </w:r>
    </w:p>
    <w:p w:rsidR="005E4CF6" w:rsidRPr="005E184B" w:rsidRDefault="005E4CF6">
      <w:pPr>
        <w:spacing w:line="360" w:lineRule="auto"/>
        <w:ind w:right="1"/>
        <w:jc w:val="both"/>
        <w:rPr>
          <w:rFonts w:ascii="Palatino Linotype" w:eastAsia="Palatino Linotype" w:hAnsi="Palatino Linotype" w:cs="Palatino Linotype"/>
        </w:rPr>
      </w:pPr>
    </w:p>
    <w:p w:rsidR="005E4CF6" w:rsidRPr="005E184B" w:rsidRDefault="0078670F">
      <w:pPr>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b/>
          <w:bCs/>
          <w:i/>
          <w:iCs/>
        </w:rPr>
        <w:t>Artículo 92</w:t>
      </w:r>
      <w:r w:rsidRPr="005E184B">
        <w:rPr>
          <w:rFonts w:ascii="Palatino Linotype" w:eastAsia="Palatino Linotype" w:hAnsi="Palatino Linotype" w:cs="Palatino Linotype"/>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E4CF6" w:rsidRPr="005E184B" w:rsidRDefault="0078670F">
      <w:pPr>
        <w:tabs>
          <w:tab w:val="left" w:pos="426"/>
          <w:tab w:val="left" w:pos="2145"/>
        </w:tabs>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XXIX.</w:t>
      </w:r>
      <w:r w:rsidRPr="005E184B">
        <w:rPr>
          <w:rFonts w:ascii="Palatino Linotype" w:eastAsia="Palatino Linotype" w:hAnsi="Palatino Linotype" w:cs="Palatino Linotype"/>
          <w:i/>
          <w:iCs/>
        </w:rPr>
        <w:t xml:space="preserve"> La </w:t>
      </w:r>
      <w:r w:rsidRPr="005E184B">
        <w:rPr>
          <w:rFonts w:ascii="Palatino Linotype" w:eastAsia="Palatino Linotype" w:hAnsi="Palatino Linotype" w:cs="Palatino Linotype"/>
          <w:b/>
          <w:bCs/>
          <w:i/>
          <w:iCs/>
        </w:rPr>
        <w:t>información sobre los procesos y resultados sobre procedimientos de adjudicación directa, invitación restringida y licitación de cualquier naturaleza</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incluyendo la versión pública</w:t>
      </w:r>
      <w:r w:rsidRPr="005E184B">
        <w:rPr>
          <w:rFonts w:ascii="Palatino Linotype" w:eastAsia="Palatino Linotype" w:hAnsi="Palatino Linotype" w:cs="Palatino Linotype"/>
          <w:i/>
          <w:iCs/>
        </w:rPr>
        <w:t xml:space="preserve"> del expediente respectivo y </w:t>
      </w:r>
      <w:r w:rsidRPr="005E184B">
        <w:rPr>
          <w:rFonts w:ascii="Palatino Linotype" w:eastAsia="Palatino Linotype" w:hAnsi="Palatino Linotype" w:cs="Palatino Linotype"/>
          <w:b/>
          <w:bCs/>
          <w:i/>
          <w:iCs/>
        </w:rPr>
        <w:t>de los contratos celebrados</w:t>
      </w:r>
      <w:r w:rsidRPr="005E184B">
        <w:rPr>
          <w:rFonts w:ascii="Palatino Linotype" w:eastAsia="Palatino Linotype" w:hAnsi="Palatino Linotype" w:cs="Palatino Linotype"/>
          <w:i/>
          <w:iCs/>
        </w:rPr>
        <w:t>, que deberán contener, por los menos, lo siguiente:</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a) De licitaciones públicas o procedimientos de invitación restringida:</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 La convocatoria o invitación emitida, así como los fundamentos legales aplicados para llevarla a cabo;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2) Los nombres de los participantes o invitados;</w:t>
      </w:r>
    </w:p>
    <w:p w:rsidR="005E4CF6" w:rsidRPr="005E184B" w:rsidRDefault="0078670F">
      <w:pPr>
        <w:tabs>
          <w:tab w:val="left" w:pos="851"/>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3) El nombre del ganador y las razones que lo justifican;</w:t>
      </w:r>
    </w:p>
    <w:p w:rsidR="005E4CF6" w:rsidRPr="005E184B" w:rsidRDefault="0078670F">
      <w:pPr>
        <w:tabs>
          <w:tab w:val="left" w:pos="851"/>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4) El área solicitante y la responsable de su ejecución; </w:t>
      </w:r>
    </w:p>
    <w:p w:rsidR="005E4CF6" w:rsidRPr="005E184B" w:rsidRDefault="0078670F">
      <w:pPr>
        <w:tabs>
          <w:tab w:val="left" w:pos="851"/>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5) Las convocatorias e invitaciones emitidas; </w:t>
      </w:r>
    </w:p>
    <w:p w:rsidR="005E4CF6" w:rsidRPr="005E184B" w:rsidRDefault="0078670F">
      <w:pPr>
        <w:tabs>
          <w:tab w:val="left" w:pos="851"/>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6) Los dictámenes y fallo de adjudicación;</w:t>
      </w:r>
    </w:p>
    <w:p w:rsidR="005E4CF6" w:rsidRPr="005E184B" w:rsidRDefault="0078670F">
      <w:pPr>
        <w:tabs>
          <w:tab w:val="left" w:pos="851"/>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7) El contrato y, en su caso, sus anexos;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8) Los mecanismos de vigilancia y supervisión, incluyendo en su caso, los estudios de impacto urbano y ambiental, según corresponda;</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lastRenderedPageBreak/>
        <w:t xml:space="preserve">9) La partida presupuestal, de conformidad con el clasificador por objeto del gasto, en el caso de ser aplicable;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10) Origen de los recursos especificando si son federales, estatales o municipales, así como el tipo de fondo de participación o aportación respectiva;</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11) Los convenios modificatorios que, en su caso, sean firmados, precisando el objeto y la fecha de celebración;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12) Los informes de avance físico y financiero sobre las obras o servicios contratados;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13) El convenio de terminación; y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14) El finiquito.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b) De las adjudicaciones directas: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3) La autorización del ejercicio de la opción;</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 La propuesta enviada por el participante;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2) Los motivos y fundamentos legales aplicados para llevarla a cabo;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3) La autorización del ejercicio de la opción;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4) En su caso, las cotizaciones consideradas, especificando los nombres de los proveedores y sus montos;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5) El nombre de la persona física o jurídica colectiva adjudicada;</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6) La unidad administrativa solicitante y la responsable de su ejecución;</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7) El número, fecha, el monto del contrato y el plazo de entrega o de ejecución de los servicios u obra;</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8) Los mecanismos de vigilancia y supervisión, incluyendo, en su caso, los estudios de impacto urbano y ambiental, según corresponda;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9) Los informes de avance sobre las obras o servicios contratados;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 xml:space="preserve">10) El convenio de terminación; y </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11) El finiquito.</w:t>
      </w:r>
    </w:p>
    <w:p w:rsidR="005E4CF6" w:rsidRPr="005E184B" w:rsidRDefault="005E4CF6">
      <w:pPr>
        <w:tabs>
          <w:tab w:val="left" w:pos="426"/>
        </w:tabs>
        <w:spacing w:before="120" w:after="120"/>
        <w:ind w:left="567" w:right="567"/>
        <w:jc w:val="both"/>
        <w:rPr>
          <w:rFonts w:ascii="Palatino Linotype" w:eastAsia="Palatino Linotype" w:hAnsi="Palatino Linotype" w:cs="Palatino Linotype"/>
          <w:b/>
          <w:bCs/>
          <w:i/>
          <w:iCs/>
        </w:rPr>
      </w:pPr>
    </w:p>
    <w:p w:rsidR="005E4CF6" w:rsidRPr="005E184B" w:rsidRDefault="0078670F">
      <w:pPr>
        <w:tabs>
          <w:tab w:val="left" w:pos="426"/>
        </w:tabs>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XXXII. Las concesiones,</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contratos, convenios,</w:t>
      </w:r>
      <w:r w:rsidRPr="005E184B">
        <w:rPr>
          <w:rFonts w:ascii="Palatino Linotype" w:eastAsia="Palatino Linotype" w:hAnsi="Palatino Linotype" w:cs="Palatino Linotype"/>
          <w:i/>
          <w:iCs/>
        </w:rPr>
        <w:t xml:space="preserve"> permisos, licencias o autorizaciones otorgados, especificando los titulares de aquéllos, debiendo publicarse su objeto, nombre o </w:t>
      </w:r>
      <w:r w:rsidRPr="005E184B">
        <w:rPr>
          <w:rFonts w:ascii="Palatino Linotype" w:eastAsia="Palatino Linotype" w:hAnsi="Palatino Linotype" w:cs="Palatino Linotype"/>
          <w:i/>
          <w:iCs/>
        </w:rPr>
        <w:lastRenderedPageBreak/>
        <w:t>razón social del titular, vigencia, tipo, términos, condiciones, monto y modificaciones, así como si el procedimiento involucra el aprovechamiento de bienes, servicios y/o recursos públicos;</w:t>
      </w:r>
    </w:p>
    <w:p w:rsidR="005E4CF6" w:rsidRPr="005E184B" w:rsidRDefault="0078670F">
      <w:pPr>
        <w:tabs>
          <w:tab w:val="left" w:pos="426"/>
        </w:tabs>
        <w:spacing w:before="120" w:after="120"/>
        <w:ind w:left="567" w:right="567"/>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w:t>
      </w:r>
    </w:p>
    <w:p w:rsidR="005E4CF6" w:rsidRPr="005E184B" w:rsidRDefault="005E4CF6">
      <w:pPr>
        <w:tabs>
          <w:tab w:val="left" w:pos="426"/>
        </w:tabs>
        <w:spacing w:before="120" w:after="120"/>
        <w:ind w:right="567"/>
        <w:jc w:val="both"/>
        <w:rPr>
          <w:rFonts w:ascii="Palatino Linotype" w:eastAsia="Palatino Linotype" w:hAnsi="Palatino Linotype" w:cs="Palatino Linotype"/>
          <w:b/>
          <w:bCs/>
          <w:i/>
          <w:i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En este sentido, se colige que la información requerida por la persona solicitante versa sobre una obligación de transparencia, y que por tal motivo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se encuentra constreñido a poner a disposición del público dicha información, de manera permanente y actualizada a través de los portales de internet y en la Plataforma Nacional de Transparencia, no obstante, si bien ha quedado claro que la información que es hoy tema de estudio, por su naturaleza debe encontrarse pública a través del portal referido,  no es óbice para que éste sea el único medio por el cual la solicitud pueda ser atendida, en virtud de que los sujetos obligados se encuentran constreñidos a documentar todo acto que derive del ejercicio de sus facultades, competencias o funciones considerando su eventual publicación, en términos de los artículos 18 y 24 fracción XXII de la Ley de la Materia, que a la letra señalan lo siguiente:</w:t>
      </w:r>
    </w:p>
    <w:p w:rsidR="005E4CF6" w:rsidRPr="005E184B" w:rsidRDefault="0078670F">
      <w:pPr>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b/>
          <w:bCs/>
          <w:i/>
          <w:iCs/>
        </w:rPr>
        <w:t>Artículo 18.</w:t>
      </w:r>
      <w:r w:rsidRPr="005E184B">
        <w:rPr>
          <w:rFonts w:ascii="Palatino Linotype" w:eastAsia="Palatino Linotype" w:hAnsi="Palatino Linotype" w:cs="Palatino Linotype"/>
          <w:i/>
          <w:iCs/>
        </w:rPr>
        <w:t xml:space="preserve"> Los sujetos obligados </w:t>
      </w:r>
      <w:r w:rsidRPr="005E184B">
        <w:rPr>
          <w:rFonts w:ascii="Palatino Linotype" w:eastAsia="Palatino Linotype" w:hAnsi="Palatino Linotype" w:cs="Palatino Linotype"/>
          <w:b/>
          <w:bCs/>
          <w:i/>
          <w:iCs/>
        </w:rPr>
        <w:t>deberán documentar todo acto</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que derive del ejercicio de sus facultades, competencias o funciones</w:t>
      </w:r>
      <w:r w:rsidRPr="005E184B">
        <w:rPr>
          <w:rFonts w:ascii="Palatino Linotype" w:eastAsia="Palatino Linotype" w:hAnsi="Palatino Linotype" w:cs="Palatino Linotype"/>
          <w:i/>
          <w:iCs/>
        </w:rPr>
        <w:t>, considerando desde su origen la eventual publicidad y reutilización de la información que generen.</w:t>
      </w:r>
    </w:p>
    <w:p w:rsidR="005E4CF6" w:rsidRPr="005E184B" w:rsidRDefault="0078670F">
      <w:pPr>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p>
    <w:p w:rsidR="005E4CF6" w:rsidRPr="005E184B" w:rsidRDefault="0078670F">
      <w:pPr>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Artículo 24.</w:t>
      </w:r>
      <w:r w:rsidRPr="005E184B">
        <w:rPr>
          <w:rFonts w:ascii="Palatino Linotype" w:eastAsia="Palatino Linotype" w:hAnsi="Palatino Linotype" w:cs="Palatino Linotype"/>
          <w:i/>
          <w:iCs/>
        </w:rPr>
        <w:t xml:space="preserve"> Para el cumplimiento de los objetivos de esta Ley</w:t>
      </w:r>
      <w:r w:rsidRPr="005E184B">
        <w:rPr>
          <w:rFonts w:ascii="Palatino Linotype" w:eastAsia="Palatino Linotype" w:hAnsi="Palatino Linotype" w:cs="Palatino Linotype"/>
          <w:b/>
          <w:bCs/>
          <w:i/>
          <w:iCs/>
        </w:rPr>
        <w:t>, los sujetos obligados deberán cumplir con las siguientes obligaciones</w:t>
      </w:r>
      <w:r w:rsidRPr="005E184B">
        <w:rPr>
          <w:rFonts w:ascii="Palatino Linotype" w:eastAsia="Palatino Linotype" w:hAnsi="Palatino Linotype" w:cs="Palatino Linotype"/>
          <w:i/>
          <w:iCs/>
        </w:rPr>
        <w:t>, según corresponda, de acuerdo a su naturaleza:</w:t>
      </w:r>
    </w:p>
    <w:p w:rsidR="005E4CF6" w:rsidRPr="005E184B" w:rsidRDefault="0078670F">
      <w:pPr>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p>
    <w:p w:rsidR="005E4CF6" w:rsidRPr="005E184B" w:rsidRDefault="0078670F">
      <w:pPr>
        <w:spacing w:before="120" w:after="120"/>
        <w:ind w:left="567" w:right="567"/>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XXII.</w:t>
      </w:r>
      <w:r w:rsidRPr="005E184B">
        <w:rPr>
          <w:rFonts w:ascii="Palatino Linotype" w:eastAsia="Palatino Linotype" w:hAnsi="Palatino Linotype" w:cs="Palatino Linotype"/>
          <w:i/>
          <w:iCs/>
        </w:rPr>
        <w:t xml:space="preserve"> </w:t>
      </w:r>
      <w:r w:rsidRPr="005E184B">
        <w:rPr>
          <w:rFonts w:ascii="Palatino Linotype" w:eastAsia="Palatino Linotype" w:hAnsi="Palatino Linotype" w:cs="Palatino Linotype"/>
          <w:b/>
          <w:bCs/>
          <w:i/>
          <w:iCs/>
        </w:rPr>
        <w:t>Documentar todo acto que derive del ejercicio de sus facultades, competencias o funciones</w:t>
      </w:r>
      <w:r w:rsidRPr="005E184B">
        <w:rPr>
          <w:rFonts w:ascii="Palatino Linotype" w:eastAsia="Palatino Linotype" w:hAnsi="Palatino Linotype" w:cs="Palatino Linotype"/>
          <w:i/>
          <w:iCs/>
        </w:rPr>
        <w:t xml:space="preserve"> y abstenerse de destruirlos u ocultarlos, dentro de los que destacan los procesos deliberativos y de decisión definitiva;”</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lastRenderedPageBreak/>
        <w:t xml:space="preserve">De esta manera, </w:t>
      </w:r>
      <w:r w:rsidRPr="005E184B">
        <w:rPr>
          <w:rFonts w:ascii="Palatino Linotype" w:eastAsia="Palatino Linotype" w:hAnsi="Palatino Linotype" w:cs="Palatino Linotype"/>
        </w:rPr>
        <w:t xml:space="preserve">resulta procedente ordenar, previa búsqueda exhaustiva y razonable, de ser procedente en versión pública, </w:t>
      </w:r>
      <w:r w:rsidRPr="005E184B">
        <w:rPr>
          <w:rFonts w:ascii="Palatino Linotype" w:eastAsia="Palatino Linotype" w:hAnsi="Palatino Linotype" w:cs="Palatino Linotype"/>
          <w:b/>
          <w:bCs/>
        </w:rPr>
        <w:t xml:space="preserve">el convenio o contrato celebrado </w:t>
      </w:r>
      <w:r w:rsidRPr="005E184B">
        <w:rPr>
          <w:rFonts w:ascii="Palatino Linotype" w:eastAsia="Palatino Linotype" w:hAnsi="Palatino Linotype" w:cs="Palatino Linotype"/>
          <w:b/>
          <w:bCs/>
          <w:color w:val="000000"/>
        </w:rPr>
        <w:t xml:space="preserve">entre </w:t>
      </w:r>
      <w:r w:rsidRPr="005E184B">
        <w:rPr>
          <w:rFonts w:ascii="Palatino Linotype" w:eastAsia="Palatino Linotype" w:hAnsi="Palatino Linotype" w:cs="Palatino Linotype"/>
          <w:b/>
          <w:bCs/>
        </w:rPr>
        <w:t>el Instituto Municipal de Cultura Física y Deporte de Tecámac y</w:t>
      </w:r>
      <w:r w:rsidRPr="005E184B">
        <w:rPr>
          <w:rFonts w:ascii="Palatino Linotype" w:eastAsia="Palatino Linotype" w:hAnsi="Palatino Linotype" w:cs="Palatino Linotype"/>
          <w:b/>
          <w:bCs/>
          <w:color w:val="000000"/>
        </w:rPr>
        <w:t xml:space="preserve"> la Asociación Civil “Bombarderos” en 2024.</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Ahora bien, </w:t>
      </w:r>
      <w:r w:rsidRPr="005E184B">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tabs>
          <w:tab w:val="left" w:pos="426"/>
          <w:tab w:val="left" w:pos="567"/>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w:t>
      </w:r>
      <w:r w:rsidRPr="005E184B">
        <w:rPr>
          <w:rFonts w:ascii="Palatino Linotype" w:eastAsia="Palatino Linotype" w:hAnsi="Palatino Linotype" w:cs="Palatino Linotype"/>
          <w:b/>
          <w:bCs/>
          <w:i/>
          <w:iCs/>
        </w:rPr>
        <w:t>Artículo 4. …</w:t>
      </w:r>
    </w:p>
    <w:p w:rsidR="005E4CF6" w:rsidRPr="005E184B" w:rsidRDefault="0078670F">
      <w:pPr>
        <w:tabs>
          <w:tab w:val="left" w:pos="426"/>
          <w:tab w:val="left" w:pos="567"/>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E4CF6" w:rsidRPr="005E184B" w:rsidRDefault="005E4CF6">
      <w:pPr>
        <w:tabs>
          <w:tab w:val="left" w:pos="426"/>
          <w:tab w:val="left" w:pos="567"/>
        </w:tabs>
        <w:ind w:right="565"/>
        <w:jc w:val="both"/>
        <w:rPr>
          <w:rFonts w:ascii="Palatino Linotype" w:eastAsia="Palatino Linotype" w:hAnsi="Palatino Linotype" w:cs="Palatino Linotype"/>
          <w:i/>
          <w:i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De lo anterior, se desprende </w:t>
      </w:r>
      <w:r w:rsidRPr="005E184B">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5E4CF6" w:rsidRPr="005E184B" w:rsidRDefault="0078670F">
      <w:pPr>
        <w:tabs>
          <w:tab w:val="left" w:pos="1134"/>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lastRenderedPageBreak/>
        <w:t>“</w:t>
      </w:r>
      <w:r w:rsidRPr="005E184B">
        <w:rPr>
          <w:rFonts w:ascii="Palatino Linotype" w:eastAsia="Palatino Linotype" w:hAnsi="Palatino Linotype" w:cs="Palatino Linotype"/>
          <w:b/>
          <w:bCs/>
          <w:i/>
          <w:iCs/>
        </w:rPr>
        <w:t>Artículo 12.</w:t>
      </w:r>
      <w:r w:rsidRPr="005E184B">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5E4CF6" w:rsidRPr="005E184B" w:rsidRDefault="005E4CF6">
      <w:pPr>
        <w:tabs>
          <w:tab w:val="left" w:pos="1134"/>
        </w:tabs>
        <w:ind w:left="567" w:right="565"/>
        <w:jc w:val="both"/>
        <w:rPr>
          <w:rFonts w:ascii="Palatino Linotype" w:eastAsia="Palatino Linotype" w:hAnsi="Palatino Linotype" w:cs="Palatino Linotype"/>
          <w:i/>
          <w:iCs/>
        </w:rPr>
      </w:pPr>
    </w:p>
    <w:p w:rsidR="005E4CF6" w:rsidRPr="005E184B" w:rsidRDefault="0078670F">
      <w:pPr>
        <w:tabs>
          <w:tab w:val="left" w:pos="1134"/>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E4CF6" w:rsidRPr="005E184B" w:rsidRDefault="005E4CF6">
      <w:pPr>
        <w:tabs>
          <w:tab w:val="left" w:pos="1134"/>
        </w:tabs>
        <w:ind w:right="565"/>
        <w:jc w:val="both"/>
        <w:rPr>
          <w:rFonts w:ascii="Palatino Linotype" w:eastAsia="Palatino Linotype" w:hAnsi="Palatino Linotype" w:cs="Palatino Linotype"/>
          <w:i/>
          <w:i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En síntesis, </w:t>
      </w:r>
      <w:r w:rsidRPr="005E184B">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rsidR="005E4CF6" w:rsidRPr="005E184B" w:rsidRDefault="0078670F">
      <w:pPr>
        <w:tabs>
          <w:tab w:val="left" w:pos="709"/>
          <w:tab w:val="left" w:pos="1985"/>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“No existe obligación de elaborar documentos ad hoc para atender las solicitudes de acceso a la información.</w:t>
      </w:r>
      <w:r w:rsidRPr="005E184B">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5E4CF6" w:rsidRPr="005E184B" w:rsidRDefault="005E4CF6">
      <w:pPr>
        <w:tabs>
          <w:tab w:val="left" w:pos="709"/>
          <w:tab w:val="left" w:pos="1985"/>
        </w:tabs>
        <w:ind w:left="567" w:right="565"/>
        <w:jc w:val="both"/>
        <w:rPr>
          <w:rFonts w:ascii="Palatino Linotype" w:eastAsia="Palatino Linotype" w:hAnsi="Palatino Linotype" w:cs="Palatino Linotype"/>
          <w:i/>
          <w:iCs/>
        </w:rPr>
      </w:pPr>
    </w:p>
    <w:p w:rsidR="005E4CF6" w:rsidRPr="005E184B" w:rsidRDefault="0078670F">
      <w:pPr>
        <w:tabs>
          <w:tab w:val="left" w:pos="709"/>
          <w:tab w:val="left" w:pos="1985"/>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 xml:space="preserve">Resoluciones: </w:t>
      </w:r>
    </w:p>
    <w:p w:rsidR="005E4CF6" w:rsidRPr="005E184B" w:rsidRDefault="0078670F">
      <w:pPr>
        <w:tabs>
          <w:tab w:val="left" w:pos="709"/>
          <w:tab w:val="left" w:pos="1985"/>
        </w:tabs>
        <w:ind w:left="567" w:right="565"/>
        <w:jc w:val="both"/>
        <w:rPr>
          <w:rFonts w:ascii="Palatino Linotype" w:eastAsia="Palatino Linotype" w:hAnsi="Palatino Linotype" w:cs="Palatino Linotype"/>
          <w:i/>
          <w:iCs/>
        </w:rPr>
      </w:pPr>
      <w:r w:rsidRPr="005E184B">
        <w:rPr>
          <w:rFonts w:ascii="Symbol" w:eastAsia="Symbol" w:hAnsi="Symbol" w:cs="Symbol"/>
          <w:i/>
          <w:iCs/>
        </w:rPr>
        <w:lastRenderedPageBreak/>
        <w:t>∙</w:t>
      </w:r>
      <w:r w:rsidRPr="005E184B">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rsidR="005E4CF6" w:rsidRPr="005E184B" w:rsidRDefault="0078670F">
      <w:pPr>
        <w:tabs>
          <w:tab w:val="left" w:pos="709"/>
          <w:tab w:val="left" w:pos="1985"/>
        </w:tabs>
        <w:ind w:left="567" w:right="565"/>
        <w:jc w:val="both"/>
        <w:rPr>
          <w:rFonts w:ascii="Palatino Linotype" w:eastAsia="Palatino Linotype" w:hAnsi="Palatino Linotype" w:cs="Palatino Linotype"/>
          <w:i/>
          <w:iCs/>
        </w:rPr>
      </w:pPr>
      <w:r w:rsidRPr="005E184B">
        <w:rPr>
          <w:rFonts w:ascii="Symbol" w:eastAsia="Symbol" w:hAnsi="Symbol" w:cs="Symbol"/>
          <w:i/>
          <w:iCs/>
        </w:rPr>
        <w:t>∙</w:t>
      </w:r>
      <w:r w:rsidRPr="005E184B">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rsidR="005E4CF6" w:rsidRPr="005E184B" w:rsidRDefault="0078670F">
      <w:pPr>
        <w:tabs>
          <w:tab w:val="left" w:pos="709"/>
          <w:tab w:val="left" w:pos="1985"/>
        </w:tabs>
        <w:ind w:left="567" w:right="565"/>
        <w:jc w:val="both"/>
        <w:rPr>
          <w:rFonts w:ascii="Palatino Linotype" w:eastAsia="Palatino Linotype" w:hAnsi="Palatino Linotype" w:cs="Palatino Linotype"/>
          <w:color w:val="000000"/>
        </w:rPr>
      </w:pPr>
      <w:r w:rsidRPr="005E184B">
        <w:rPr>
          <w:rFonts w:ascii="Symbol" w:eastAsia="Symbol" w:hAnsi="Symbol" w:cs="Symbol"/>
          <w:i/>
          <w:iCs/>
        </w:rPr>
        <w:t>∙</w:t>
      </w:r>
      <w:r w:rsidRPr="005E184B">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Asimos, </w:t>
      </w:r>
      <w:r w:rsidRPr="005E184B">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E4CF6" w:rsidRPr="005E184B" w:rsidRDefault="0078670F">
      <w:pPr>
        <w:tabs>
          <w:tab w:val="left" w:pos="426"/>
          <w:tab w:val="left" w:pos="567"/>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b/>
          <w:bCs/>
          <w:i/>
          <w:iCs/>
        </w:rPr>
        <w:t>“Artículo 3.</w:t>
      </w:r>
      <w:r w:rsidRPr="005E184B">
        <w:rPr>
          <w:rFonts w:ascii="Palatino Linotype" w:eastAsia="Palatino Linotype" w:hAnsi="Palatino Linotype" w:cs="Palatino Linotype"/>
          <w:i/>
          <w:iCs/>
        </w:rPr>
        <w:t xml:space="preserve"> Para los efectos de la presente Ley se entenderá por: </w:t>
      </w:r>
    </w:p>
    <w:p w:rsidR="005E4CF6" w:rsidRPr="005E184B" w:rsidRDefault="0078670F">
      <w:pPr>
        <w:tabs>
          <w:tab w:val="left" w:pos="426"/>
          <w:tab w:val="left" w:pos="567"/>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 xml:space="preserve">(…) </w:t>
      </w:r>
    </w:p>
    <w:p w:rsidR="005E4CF6" w:rsidRPr="005E184B" w:rsidRDefault="0078670F">
      <w:pPr>
        <w:tabs>
          <w:tab w:val="left" w:pos="426"/>
          <w:tab w:val="left" w:pos="567"/>
        </w:tabs>
        <w:ind w:left="567" w:right="565"/>
        <w:jc w:val="both"/>
        <w:rPr>
          <w:rFonts w:ascii="Palatino Linotype" w:eastAsia="Palatino Linotype" w:hAnsi="Palatino Linotype" w:cs="Palatino Linotype"/>
          <w:b/>
          <w:bCs/>
          <w:i/>
          <w:iCs/>
        </w:rPr>
      </w:pPr>
      <w:r w:rsidRPr="005E184B">
        <w:rPr>
          <w:rFonts w:ascii="Palatino Linotype" w:eastAsia="Palatino Linotype" w:hAnsi="Palatino Linotype" w:cs="Palatino Linotype"/>
          <w:b/>
          <w:bCs/>
          <w:i/>
          <w:iCs/>
        </w:rPr>
        <w:t>XI. Documento:</w:t>
      </w:r>
      <w:r w:rsidRPr="005E184B">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w:t>
      </w:r>
      <w:r w:rsidRPr="005E184B">
        <w:rPr>
          <w:rFonts w:ascii="Palatino Linotype" w:eastAsia="Palatino Linotype" w:hAnsi="Palatino Linotype" w:cs="Palatino Linotype"/>
          <w:i/>
          <w:iCs/>
        </w:rPr>
        <w:lastRenderedPageBreak/>
        <w:t xml:space="preserve">el ejercicio de las facultades, funciones y competencias de los sujetos obligados, sus servidores públicos e integrantes, sin importar su fuente o fecha de elaboración. </w:t>
      </w:r>
      <w:r w:rsidRPr="005E184B">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rsidR="005E4CF6" w:rsidRPr="005E184B" w:rsidRDefault="0078670F">
      <w:pPr>
        <w:tabs>
          <w:tab w:val="left" w:pos="426"/>
          <w:tab w:val="left" w:pos="567"/>
        </w:tabs>
        <w:ind w:left="567" w:right="565"/>
        <w:jc w:val="both"/>
        <w:rPr>
          <w:rFonts w:ascii="Palatino Linotype" w:eastAsia="Palatino Linotype" w:hAnsi="Palatino Linotype" w:cs="Palatino Linotype"/>
          <w:i/>
          <w:iCs/>
          <w:color w:val="000000"/>
        </w:rPr>
      </w:pPr>
      <w:r w:rsidRPr="005E184B">
        <w:rPr>
          <w:rFonts w:ascii="Palatino Linotype" w:eastAsia="Palatino Linotype" w:hAnsi="Palatino Linotype" w:cs="Palatino Linotype"/>
          <w:i/>
          <w:iCs/>
        </w:rPr>
        <w:t>(…)”</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 xml:space="preserve">Siendo </w:t>
      </w:r>
      <w:r w:rsidRPr="005E184B">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E4CF6" w:rsidRPr="005E184B" w:rsidRDefault="0078670F">
      <w:pPr>
        <w:tabs>
          <w:tab w:val="left" w:pos="426"/>
          <w:tab w:val="left" w:pos="567"/>
        </w:tabs>
        <w:ind w:left="567" w:right="565"/>
        <w:jc w:val="both"/>
        <w:rPr>
          <w:rFonts w:ascii="Palatino Linotype" w:eastAsia="Palatino Linotype" w:hAnsi="Palatino Linotype" w:cs="Palatino Linotype"/>
          <w:i/>
          <w:iCs/>
        </w:rPr>
      </w:pPr>
      <w:r w:rsidRPr="005E184B">
        <w:rPr>
          <w:rFonts w:ascii="Palatino Linotype" w:eastAsia="Palatino Linotype" w:hAnsi="Palatino Linotype" w:cs="Palatino Linotype"/>
          <w:i/>
          <w:iCs/>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spacing w:before="240" w:after="240" w:line="360" w:lineRule="auto"/>
        <w:ind w:right="48"/>
        <w:jc w:val="both"/>
        <w:rPr>
          <w:rFonts w:ascii="Palatino Linotype" w:eastAsia="Palatino Linotype" w:hAnsi="Palatino Linotype" w:cs="Palatino Linotype"/>
          <w:b/>
          <w:bCs/>
          <w:color w:val="000000"/>
        </w:rPr>
      </w:pPr>
      <w:r w:rsidRPr="005E184B">
        <w:rPr>
          <w:rFonts w:ascii="Palatino Linotype" w:eastAsia="Palatino Linotype" w:hAnsi="Palatino Linotype" w:cs="Palatino Linotype"/>
          <w:b/>
          <w:bCs/>
          <w:color w:val="000000"/>
        </w:rPr>
        <w:t>QUINTO. VERSIÓN PÚBLICA.</w:t>
      </w:r>
    </w:p>
    <w:p w:rsidR="005E4CF6" w:rsidRPr="005E184B" w:rsidRDefault="0078670F">
      <w:pPr>
        <w:keepNext/>
        <w:keepLines/>
        <w:numPr>
          <w:ilvl w:val="0"/>
          <w:numId w:val="4"/>
        </w:numPr>
        <w:spacing w:line="360" w:lineRule="auto"/>
        <w:ind w:left="284" w:firstLine="0"/>
        <w:rPr>
          <w:rFonts w:ascii="Palatino Linotype" w:eastAsia="Palatino Linotype" w:hAnsi="Palatino Linotype" w:cs="Palatino Linotype"/>
          <w:b/>
          <w:bCs/>
          <w:color w:val="000000"/>
        </w:rPr>
      </w:pPr>
      <w:r w:rsidRPr="005E184B">
        <w:rPr>
          <w:rFonts w:ascii="Palatino Linotype" w:eastAsia="Palatino Linotype" w:hAnsi="Palatino Linotype" w:cs="Palatino Linotype"/>
          <w:b/>
          <w:bCs/>
          <w:color w:val="000000"/>
        </w:rPr>
        <w:t xml:space="preserve">Nociones generales. </w:t>
      </w: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Debe </w:t>
      </w:r>
      <w:r w:rsidRPr="005E184B">
        <w:rPr>
          <w:rFonts w:ascii="Palatino Linotype" w:eastAsia="Palatino Linotype" w:hAnsi="Palatino Linotype" w:cs="Palatino Linotype"/>
          <w:color w:val="000000"/>
        </w:rPr>
        <w:t xml:space="preserve">destacarse que, debido a la naturaleza de la información solicitada, eventualmente pudiera obrar datos personales susceptibles de protegerse, el </w:t>
      </w:r>
      <w:r w:rsidRPr="005E184B">
        <w:rPr>
          <w:rFonts w:ascii="Palatino Linotype" w:eastAsia="Palatino Linotype" w:hAnsi="Palatino Linotype" w:cs="Palatino Linotype"/>
          <w:b/>
          <w:bCs/>
          <w:color w:val="000000"/>
        </w:rPr>
        <w:t xml:space="preserve">SUJETO OBLIGADO </w:t>
      </w:r>
      <w:r w:rsidRPr="005E184B">
        <w:rPr>
          <w:rFonts w:ascii="Palatino Linotype" w:eastAsia="Palatino Linotype" w:hAnsi="Palatino Linotype" w:cs="Palatino Linotype"/>
          <w:color w:val="000000"/>
        </w:rPr>
        <w:t xml:space="preserve">deberá de </w:t>
      </w:r>
      <w:r w:rsidRPr="005E184B">
        <w:rPr>
          <w:rFonts w:ascii="Palatino Linotype" w:eastAsia="Palatino Linotype" w:hAnsi="Palatino Linotype" w:cs="Palatino Linotype"/>
          <w:color w:val="000000"/>
        </w:rPr>
        <w:lastRenderedPageBreak/>
        <w:t xml:space="preserve">hacer la adecuada versión pública, protegiendo los datos que no son susceptibles de ser proporcionados. </w:t>
      </w:r>
    </w:p>
    <w:p w:rsidR="005E4CF6" w:rsidRPr="005E184B" w:rsidRDefault="005E4CF6">
      <w:pPr>
        <w:spacing w:line="360" w:lineRule="auto"/>
        <w:ind w:left="357" w:right="1"/>
        <w:jc w:val="both"/>
        <w:rPr>
          <w:rFonts w:ascii="Palatino Linotype" w:eastAsia="Palatino Linotype" w:hAnsi="Palatino Linotype" w:cs="Palatino Linotype"/>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t>No pasa desapercibido para este Órgano Garante que los Sujetos Obligados</w:t>
      </w:r>
      <w:r w:rsidRPr="005E184B">
        <w:rPr>
          <w:rFonts w:ascii="Palatino Linotype" w:eastAsia="Palatino Linotype" w:hAnsi="Palatino Linotype" w:cs="Palatino Linotype"/>
          <w:b/>
          <w:bCs/>
          <w:color w:val="000000"/>
        </w:rPr>
        <w:t xml:space="preserve"> </w:t>
      </w:r>
      <w:r w:rsidRPr="005E184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E4CF6" w:rsidRPr="005E184B" w:rsidRDefault="005E4CF6">
      <w:pPr>
        <w:spacing w:line="360" w:lineRule="auto"/>
        <w:jc w:val="both"/>
        <w:rPr>
          <w:rFonts w:ascii="Palatino Linotype" w:eastAsia="Palatino Linotype" w:hAnsi="Palatino Linotype" w:cs="Palatino Linotype"/>
          <w:color w:val="000000"/>
        </w:rPr>
      </w:pPr>
    </w:p>
    <w:tbl>
      <w:tblPr>
        <w:tblStyle w:val="a0"/>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513"/>
      </w:tblGrid>
      <w:tr w:rsidR="005E4CF6" w:rsidRPr="005E184B" w:rsidTr="005E184B">
        <w:tc>
          <w:tcPr>
            <w:tcW w:w="2547" w:type="dxa"/>
          </w:tcPr>
          <w:p w:rsidR="005E4CF6" w:rsidRPr="005E184B" w:rsidRDefault="0078670F">
            <w:pPr>
              <w:rPr>
                <w:rFonts w:ascii="Palatino Linotype" w:eastAsia="Palatino Linotype" w:hAnsi="Palatino Linotype" w:cs="Palatino Linotype"/>
              </w:rPr>
            </w:pPr>
            <w:r w:rsidRPr="005E184B">
              <w:rPr>
                <w:rFonts w:ascii="Palatino Linotype" w:eastAsia="Palatino Linotype" w:hAnsi="Palatino Linotype" w:cs="Palatino Linotype"/>
              </w:rPr>
              <w:t>a) Requisitos previos.</w:t>
            </w:r>
          </w:p>
        </w:tc>
        <w:tc>
          <w:tcPr>
            <w:tcW w:w="7513" w:type="dxa"/>
          </w:tcPr>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5E4CF6" w:rsidRPr="005E184B" w:rsidRDefault="0078670F">
            <w:pPr>
              <w:jc w:val="both"/>
              <w:rPr>
                <w:rFonts w:ascii="Palatino Linotype" w:eastAsia="Palatino Linotype" w:hAnsi="Palatino Linotype" w:cs="Palatino Linotype"/>
              </w:rPr>
            </w:pPr>
            <w:r w:rsidRPr="005E184B">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5E184B">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5E184B">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E4CF6" w:rsidRPr="005E184B" w:rsidTr="005E184B">
        <w:tc>
          <w:tcPr>
            <w:tcW w:w="2547" w:type="dxa"/>
          </w:tcPr>
          <w:p w:rsidR="005E4CF6" w:rsidRPr="005E184B" w:rsidRDefault="0078670F">
            <w:pPr>
              <w:rPr>
                <w:rFonts w:ascii="Palatino Linotype" w:eastAsia="Palatino Linotype" w:hAnsi="Palatino Linotype" w:cs="Palatino Linotype"/>
              </w:rPr>
            </w:pPr>
            <w:r w:rsidRPr="005E184B">
              <w:rPr>
                <w:rFonts w:ascii="Palatino Linotype" w:eastAsia="Palatino Linotype" w:hAnsi="Palatino Linotype" w:cs="Palatino Linotype"/>
              </w:rPr>
              <w:t>b) Supuestos de clasificación.</w:t>
            </w:r>
          </w:p>
        </w:tc>
        <w:tc>
          <w:tcPr>
            <w:tcW w:w="7513" w:type="dxa"/>
          </w:tcPr>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w:t>
            </w:r>
            <w:r w:rsidRPr="005E184B">
              <w:rPr>
                <w:rFonts w:ascii="Palatino Linotype" w:eastAsia="Palatino Linotype" w:hAnsi="Palatino Linotype" w:cs="Palatino Linotype"/>
                <w:color w:val="000000"/>
              </w:rPr>
              <w:lastRenderedPageBreak/>
              <w:t>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E4CF6" w:rsidRPr="005E184B" w:rsidRDefault="0078670F">
            <w:pPr>
              <w:jc w:val="both"/>
              <w:rPr>
                <w:rFonts w:ascii="Palatino Linotype" w:eastAsia="Palatino Linotype" w:hAnsi="Palatino Linotype" w:cs="Palatino Linotype"/>
              </w:rPr>
            </w:pPr>
            <w:r w:rsidRPr="005E184B">
              <w:rPr>
                <w:rFonts w:ascii="Palatino Linotype" w:eastAsia="Palatino Linotype" w:hAnsi="Palatino Linotype" w:cs="Palatino Linotype"/>
                <w:color w:val="000000"/>
              </w:rPr>
              <w:t xml:space="preserve">El </w:t>
            </w:r>
            <w:r w:rsidRPr="005E184B">
              <w:rPr>
                <w:rFonts w:ascii="Palatino Linotype" w:eastAsia="Palatino Linotype" w:hAnsi="Palatino Linotype" w:cs="Palatino Linotype"/>
                <w:b/>
                <w:bCs/>
                <w:color w:val="000000"/>
              </w:rPr>
              <w:t>Sujeto Obligado</w:t>
            </w:r>
            <w:r w:rsidRPr="005E184B">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E4CF6" w:rsidRPr="005E184B" w:rsidTr="005E184B">
        <w:tc>
          <w:tcPr>
            <w:tcW w:w="2547" w:type="dxa"/>
          </w:tcPr>
          <w:p w:rsidR="005E4CF6" w:rsidRPr="005E184B" w:rsidRDefault="0078670F">
            <w:pPr>
              <w:rPr>
                <w:rFonts w:ascii="Palatino Linotype" w:eastAsia="Palatino Linotype" w:hAnsi="Palatino Linotype" w:cs="Palatino Linotype"/>
              </w:rPr>
            </w:pPr>
            <w:r w:rsidRPr="005E184B">
              <w:rPr>
                <w:rFonts w:ascii="Palatino Linotype" w:eastAsia="Palatino Linotype" w:hAnsi="Palatino Linotype" w:cs="Palatino Linotype"/>
              </w:rPr>
              <w:lastRenderedPageBreak/>
              <w:t>c) Formalidades para emitir el acuerdo de clasificación.</w:t>
            </w:r>
          </w:p>
        </w:tc>
        <w:tc>
          <w:tcPr>
            <w:tcW w:w="7513" w:type="dxa"/>
          </w:tcPr>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Es necesario que </w:t>
            </w:r>
            <w:r w:rsidRPr="005E184B">
              <w:rPr>
                <w:rFonts w:ascii="Palatino Linotype" w:eastAsia="Palatino Linotype" w:hAnsi="Palatino Linotype" w:cs="Palatino Linotype"/>
                <w:b/>
                <w:bCs/>
                <w:color w:val="000000"/>
                <w:u w:val="single"/>
              </w:rPr>
              <w:t>el acto reúna con los requisitos elementales</w:t>
            </w:r>
            <w:r w:rsidRPr="005E184B">
              <w:rPr>
                <w:rFonts w:ascii="Palatino Linotype" w:eastAsia="Palatino Linotype" w:hAnsi="Palatino Linotype" w:cs="Palatino Linotype"/>
                <w:color w:val="000000"/>
              </w:rPr>
              <w:t>, entre ellos, que la autoridad que va a emitir el acto de autoridad sea la legalmente facultada para ello.</w:t>
            </w:r>
          </w:p>
          <w:p w:rsidR="005E4CF6" w:rsidRPr="005E184B" w:rsidRDefault="0078670F">
            <w:pPr>
              <w:jc w:val="both"/>
              <w:rPr>
                <w:rFonts w:ascii="Palatino Linotype" w:eastAsia="Palatino Linotype" w:hAnsi="Palatino Linotype" w:cs="Palatino Linotype"/>
              </w:rPr>
            </w:pPr>
            <w:r w:rsidRPr="005E184B">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E4CF6" w:rsidRPr="005E184B" w:rsidTr="005E184B">
        <w:tc>
          <w:tcPr>
            <w:tcW w:w="2547" w:type="dxa"/>
          </w:tcPr>
          <w:p w:rsidR="005E4CF6" w:rsidRPr="005E184B" w:rsidRDefault="005E4CF6">
            <w:pPr>
              <w:rPr>
                <w:rFonts w:ascii="Palatino Linotype" w:eastAsia="Palatino Linotype" w:hAnsi="Palatino Linotype" w:cs="Palatino Linotype"/>
              </w:rPr>
            </w:pPr>
          </w:p>
          <w:p w:rsidR="005E4CF6" w:rsidRPr="005E184B" w:rsidRDefault="0078670F">
            <w:pPr>
              <w:jc w:val="both"/>
              <w:rPr>
                <w:rFonts w:ascii="Palatino Linotype" w:eastAsia="Palatino Linotype" w:hAnsi="Palatino Linotype" w:cs="Palatino Linotype"/>
              </w:rPr>
            </w:pPr>
            <w:r w:rsidRPr="005E184B">
              <w:rPr>
                <w:rFonts w:ascii="Palatino Linotype" w:eastAsia="Palatino Linotype" w:hAnsi="Palatino Linotype" w:cs="Palatino Linotype"/>
                <w:color w:val="000000"/>
              </w:rPr>
              <w:t xml:space="preserve">d) Requisitos de fondo del acuerdo de clasificación. </w:t>
            </w:r>
          </w:p>
        </w:tc>
        <w:tc>
          <w:tcPr>
            <w:tcW w:w="7513" w:type="dxa"/>
          </w:tcPr>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E184B">
              <w:rPr>
                <w:rFonts w:ascii="Palatino Linotype" w:eastAsia="Palatino Linotype" w:hAnsi="Palatino Linotype" w:cs="Palatino Linotype"/>
                <w:b/>
                <w:bCs/>
                <w:color w:val="000000"/>
              </w:rPr>
              <w:t>Sujetos Obligados</w:t>
            </w:r>
            <w:r w:rsidRPr="005E184B">
              <w:rPr>
                <w:rFonts w:ascii="Palatino Linotype" w:eastAsia="Palatino Linotype" w:hAnsi="Palatino Linotype" w:cs="Palatino Linotype"/>
                <w:color w:val="000000"/>
              </w:rPr>
              <w:t xml:space="preserve">, por lo que deberán fundar y motivar debidamente la clasificación. </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De lo anterior, se desprende que para una correcta </w:t>
            </w:r>
            <w:r w:rsidRPr="005E184B">
              <w:rPr>
                <w:rFonts w:ascii="Palatino Linotype" w:eastAsia="Palatino Linotype" w:hAnsi="Palatino Linotype" w:cs="Palatino Linotype"/>
                <w:b/>
                <w:bCs/>
                <w:color w:val="000000"/>
              </w:rPr>
              <w:t>clasificación total o parcial</w:t>
            </w:r>
            <w:r w:rsidRPr="005E184B">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5E184B">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Ahora bien, </w:t>
            </w:r>
            <w:r w:rsidRPr="005E184B">
              <w:rPr>
                <w:rFonts w:ascii="Palatino Linotype" w:eastAsia="Palatino Linotype" w:hAnsi="Palatino Linotype" w:cs="Palatino Linotype"/>
                <w:b/>
                <w:bCs/>
                <w:color w:val="000000"/>
                <w:u w:val="single"/>
              </w:rPr>
              <w:t>para cada caso además de fundar y motivar</w:t>
            </w:r>
            <w:r w:rsidRPr="005E184B">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E4CF6" w:rsidRPr="005E184B" w:rsidTr="005E184B">
        <w:tc>
          <w:tcPr>
            <w:tcW w:w="2547" w:type="dxa"/>
          </w:tcPr>
          <w:p w:rsidR="005E4CF6" w:rsidRPr="005E184B" w:rsidRDefault="0078670F">
            <w:pPr>
              <w:ind w:right="49"/>
              <w:jc w:val="both"/>
              <w:rPr>
                <w:rFonts w:ascii="Palatino Linotype" w:eastAsia="Palatino Linotype" w:hAnsi="Palatino Linotype" w:cs="Palatino Linotype"/>
              </w:rPr>
            </w:pPr>
            <w:r w:rsidRPr="005E184B">
              <w:rPr>
                <w:rFonts w:ascii="Palatino Linotype" w:eastAsia="Palatino Linotype" w:hAnsi="Palatino Linotype" w:cs="Palatino Linotype"/>
              </w:rPr>
              <w:lastRenderedPageBreak/>
              <w:t xml:space="preserve">e) Condiciones especiales de la clasificación de la información como confidencial. </w:t>
            </w:r>
          </w:p>
        </w:tc>
        <w:tc>
          <w:tcPr>
            <w:tcW w:w="7513" w:type="dxa"/>
          </w:tcPr>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5E4CF6" w:rsidRPr="005E184B" w:rsidRDefault="0078670F">
            <w:pPr>
              <w:ind w:right="49"/>
              <w:jc w:val="both"/>
              <w:rPr>
                <w:rFonts w:ascii="Palatino Linotype" w:eastAsia="Palatino Linotype" w:hAnsi="Palatino Linotype" w:cs="Palatino Linotype"/>
                <w:color w:val="000000"/>
              </w:rPr>
            </w:pPr>
            <w:r w:rsidRPr="005E184B">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E4CF6" w:rsidRPr="005E184B" w:rsidRDefault="0078670F">
            <w:pPr>
              <w:ind w:right="49"/>
              <w:rPr>
                <w:rFonts w:ascii="Palatino Linotype" w:eastAsia="Palatino Linotype" w:hAnsi="Palatino Linotype" w:cs="Palatino Linotype"/>
              </w:rPr>
            </w:pPr>
            <w:r w:rsidRPr="005E184B">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color w:val="000000"/>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numPr>
          <w:ilvl w:val="0"/>
          <w:numId w:val="1"/>
        </w:numPr>
        <w:spacing w:line="360" w:lineRule="auto"/>
        <w:ind w:left="0" w:right="1" w:firstLine="0"/>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Por </w:t>
      </w:r>
      <w:r w:rsidRPr="005E184B">
        <w:rPr>
          <w:rFonts w:ascii="Palatino Linotype" w:eastAsia="Palatino Linotype" w:hAnsi="Palatino Linotype" w:cs="Palatino Linotype"/>
          <w:color w:val="222222"/>
        </w:rPr>
        <w:t xml:space="preserve">lo anteriormente expuesto y fundado, este </w:t>
      </w:r>
      <w:r w:rsidRPr="005E184B">
        <w:rPr>
          <w:rFonts w:ascii="Palatino Linotype" w:eastAsia="Palatino Linotype" w:hAnsi="Palatino Linotype" w:cs="Palatino Linotype"/>
          <w:b/>
          <w:bCs/>
          <w:color w:val="222222"/>
        </w:rPr>
        <w:t>ÓRGANO GARANTE</w:t>
      </w:r>
      <w:r w:rsidRPr="005E184B">
        <w:rPr>
          <w:rFonts w:ascii="Palatino Linotype" w:eastAsia="Palatino Linotype" w:hAnsi="Palatino Linotype" w:cs="Palatino Linotype"/>
          <w:color w:val="222222"/>
        </w:rPr>
        <w:t xml:space="preserve"> emite los siguientes:</w:t>
      </w:r>
    </w:p>
    <w:p w:rsidR="005E4CF6" w:rsidRPr="005E184B" w:rsidRDefault="005E4CF6">
      <w:pPr>
        <w:spacing w:line="360" w:lineRule="auto"/>
        <w:ind w:right="1"/>
        <w:jc w:val="both"/>
        <w:rPr>
          <w:rFonts w:ascii="Palatino Linotype" w:eastAsia="Palatino Linotype" w:hAnsi="Palatino Linotype" w:cs="Palatino Linotype"/>
          <w:b/>
          <w:bCs/>
        </w:rPr>
      </w:pPr>
    </w:p>
    <w:p w:rsidR="005E4CF6" w:rsidRPr="005E184B" w:rsidRDefault="0078670F">
      <w:pPr>
        <w:keepNext/>
        <w:keepLines/>
        <w:spacing w:line="360" w:lineRule="auto"/>
        <w:ind w:right="-592"/>
        <w:jc w:val="center"/>
        <w:rPr>
          <w:rFonts w:ascii="Palatino Linotype" w:eastAsia="Palatino Linotype" w:hAnsi="Palatino Linotype" w:cs="Palatino Linotype"/>
          <w:b/>
          <w:bCs/>
          <w:color w:val="000000"/>
        </w:rPr>
      </w:pPr>
      <w:bookmarkStart w:id="7" w:name="_heading=h.ili7lk47j2e1" w:colFirst="0" w:colLast="0"/>
      <w:bookmarkEnd w:id="7"/>
      <w:r w:rsidRPr="005E184B">
        <w:rPr>
          <w:rFonts w:ascii="Palatino Linotype" w:eastAsia="Palatino Linotype" w:hAnsi="Palatino Linotype" w:cs="Palatino Linotype"/>
          <w:b/>
          <w:bCs/>
          <w:color w:val="000000"/>
        </w:rPr>
        <w:t>R E S O L U T I V O S</w:t>
      </w:r>
    </w:p>
    <w:p w:rsidR="005E4CF6" w:rsidRPr="005E184B" w:rsidRDefault="005E4CF6">
      <w:pPr>
        <w:keepNext/>
        <w:keepLines/>
        <w:spacing w:line="360" w:lineRule="auto"/>
        <w:ind w:right="-592"/>
        <w:rPr>
          <w:rFonts w:ascii="Palatino Linotype" w:eastAsia="Palatino Linotype" w:hAnsi="Palatino Linotype" w:cs="Palatino Linotype"/>
          <w:b/>
          <w:bCs/>
          <w:color w:val="000000"/>
        </w:rPr>
      </w:pPr>
    </w:p>
    <w:p w:rsidR="005E4CF6" w:rsidRPr="005E184B" w:rsidRDefault="0078670F">
      <w:pPr>
        <w:spacing w:line="360" w:lineRule="auto"/>
        <w:jc w:val="both"/>
        <w:rPr>
          <w:rFonts w:ascii="Palatino Linotype" w:eastAsia="Palatino Linotype" w:hAnsi="Palatino Linotype" w:cs="Palatino Linotype"/>
        </w:rPr>
      </w:pPr>
      <w:r w:rsidRPr="005E184B">
        <w:rPr>
          <w:rFonts w:ascii="Palatino Linotype" w:eastAsia="Palatino Linotype" w:hAnsi="Palatino Linotype" w:cs="Palatino Linotype"/>
          <w:b/>
          <w:bCs/>
        </w:rPr>
        <w:t>PRIMERO</w:t>
      </w:r>
      <w:r w:rsidRPr="005E184B">
        <w:rPr>
          <w:rFonts w:ascii="Palatino Linotype" w:eastAsia="Palatino Linotype" w:hAnsi="Palatino Linotype" w:cs="Palatino Linotype"/>
        </w:rPr>
        <w:t xml:space="preserve">. Resultan fundadas las razones o motivos de inconformidad hechos valer en el Recursos de Revisión </w:t>
      </w:r>
      <w:r w:rsidRPr="005E184B">
        <w:rPr>
          <w:rFonts w:ascii="Palatino Linotype" w:eastAsia="Palatino Linotype" w:hAnsi="Palatino Linotype" w:cs="Palatino Linotype"/>
          <w:b/>
          <w:bCs/>
        </w:rPr>
        <w:t xml:space="preserve">01888/INFOEM/IP/RR/2026 </w:t>
      </w:r>
      <w:r w:rsidRPr="005E184B">
        <w:rPr>
          <w:rFonts w:ascii="Palatino Linotype" w:eastAsia="Palatino Linotype" w:hAnsi="Palatino Linotype" w:cs="Palatino Linotype"/>
        </w:rPr>
        <w:t xml:space="preserve">en términos del </w:t>
      </w:r>
      <w:r w:rsidRPr="005E184B">
        <w:rPr>
          <w:rFonts w:ascii="Palatino Linotype" w:eastAsia="Palatino Linotype" w:hAnsi="Palatino Linotype" w:cs="Palatino Linotype"/>
          <w:b/>
          <w:bCs/>
        </w:rPr>
        <w:t xml:space="preserve">Considerando CUARTO </w:t>
      </w:r>
      <w:r w:rsidRPr="005E184B">
        <w:rPr>
          <w:rFonts w:ascii="Palatino Linotype" w:eastAsia="Palatino Linotype" w:hAnsi="Palatino Linotype" w:cs="Palatino Linotype"/>
        </w:rPr>
        <w:t>de la presente resolución.</w:t>
      </w:r>
    </w:p>
    <w:p w:rsidR="005E4CF6" w:rsidRPr="005E184B" w:rsidRDefault="005E4CF6">
      <w:pPr>
        <w:jc w:val="both"/>
        <w:rPr>
          <w:rFonts w:ascii="Palatino Linotype" w:eastAsia="Palatino Linotype" w:hAnsi="Palatino Linotype" w:cs="Palatino Linotype"/>
        </w:rPr>
      </w:pPr>
    </w:p>
    <w:p w:rsidR="005E4CF6" w:rsidRPr="005E184B" w:rsidRDefault="0078670F">
      <w:pPr>
        <w:tabs>
          <w:tab w:val="left" w:pos="2834"/>
          <w:tab w:val="right" w:pos="8838"/>
        </w:tabs>
        <w:spacing w:line="360" w:lineRule="auto"/>
        <w:ind w:right="-1552"/>
        <w:jc w:val="both"/>
        <w:rPr>
          <w:rFonts w:ascii="Palatino Linotype" w:eastAsia="Palatino Linotype" w:hAnsi="Palatino Linotype" w:cs="Palatino Linotype"/>
          <w:b/>
          <w:bCs/>
        </w:rPr>
      </w:pPr>
      <w:bookmarkStart w:id="8" w:name="_heading=h.26in1rg" w:colFirst="0" w:colLast="0"/>
      <w:bookmarkEnd w:id="8"/>
      <w:r w:rsidRPr="005E184B">
        <w:rPr>
          <w:rFonts w:ascii="Palatino Linotype" w:eastAsia="Palatino Linotype" w:hAnsi="Palatino Linotype" w:cs="Palatino Linotype"/>
          <w:b/>
          <w:bCs/>
        </w:rPr>
        <w:t xml:space="preserve">SEGUNDO. </w:t>
      </w:r>
      <w:r w:rsidRPr="005E184B">
        <w:rPr>
          <w:rFonts w:ascii="Palatino Linotype" w:eastAsia="Palatino Linotype" w:hAnsi="Palatino Linotype" w:cs="Palatino Linotype"/>
          <w:color w:val="000000"/>
        </w:rPr>
        <w:t>Se</w:t>
      </w:r>
      <w:r w:rsidRPr="005E184B">
        <w:rPr>
          <w:rFonts w:ascii="Palatino Linotype" w:eastAsia="Palatino Linotype" w:hAnsi="Palatino Linotype" w:cs="Palatino Linotype"/>
          <w:b/>
          <w:bCs/>
          <w:color w:val="000000"/>
        </w:rPr>
        <w:t xml:space="preserve"> REVOCA </w:t>
      </w:r>
      <w:r w:rsidRPr="005E184B">
        <w:rPr>
          <w:rFonts w:ascii="Palatino Linotype" w:eastAsia="Palatino Linotype" w:hAnsi="Palatino Linotype" w:cs="Palatino Linotype"/>
          <w:color w:val="000000"/>
        </w:rPr>
        <w:t xml:space="preserve">la respuesta emitida por </w:t>
      </w:r>
      <w:r w:rsidRPr="005E184B">
        <w:rPr>
          <w:rFonts w:ascii="Palatino Linotype" w:eastAsia="Palatino Linotype" w:hAnsi="Palatino Linotype" w:cs="Palatino Linotype"/>
          <w:b/>
          <w:bCs/>
          <w:color w:val="000000"/>
        </w:rPr>
        <w:t xml:space="preserve">el </w:t>
      </w:r>
      <w:r w:rsidRPr="005E184B">
        <w:rPr>
          <w:rFonts w:ascii="Palatino Linotype" w:eastAsia="Palatino Linotype" w:hAnsi="Palatino Linotype" w:cs="Palatino Linotype"/>
          <w:b/>
          <w:bCs/>
        </w:rPr>
        <w:t>Instituto Municipal de Cultura Física y</w:t>
      </w:r>
    </w:p>
    <w:p w:rsidR="005E4CF6" w:rsidRPr="005E184B" w:rsidRDefault="0078670F">
      <w:pPr>
        <w:spacing w:line="360" w:lineRule="auto"/>
        <w:ind w:right="1"/>
        <w:jc w:val="both"/>
        <w:rPr>
          <w:rFonts w:ascii="Palatino Linotype" w:eastAsia="Palatino Linotype" w:hAnsi="Palatino Linotype" w:cs="Palatino Linotype"/>
          <w:b/>
          <w:bCs/>
        </w:rPr>
      </w:pPr>
      <w:r w:rsidRPr="005E184B">
        <w:rPr>
          <w:rFonts w:ascii="Palatino Linotype" w:eastAsia="Palatino Linotype" w:hAnsi="Palatino Linotype" w:cs="Palatino Linotype"/>
          <w:b/>
          <w:bCs/>
        </w:rPr>
        <w:t>Deporte Tecámac</w:t>
      </w:r>
      <w:r w:rsidRPr="005E184B">
        <w:rPr>
          <w:rFonts w:ascii="Palatino Linotype" w:eastAsia="Palatino Linotype" w:hAnsi="Palatino Linotype" w:cs="Palatino Linotype"/>
          <w:b/>
          <w:bCs/>
          <w:color w:val="000000"/>
        </w:rPr>
        <w:t xml:space="preserve">, </w:t>
      </w:r>
      <w:r w:rsidRPr="005E184B">
        <w:rPr>
          <w:rFonts w:ascii="Palatino Linotype" w:eastAsia="Palatino Linotype" w:hAnsi="Palatino Linotype" w:cs="Palatino Linotype"/>
          <w:color w:val="000000"/>
        </w:rPr>
        <w:t xml:space="preserve">a la </w:t>
      </w:r>
      <w:r w:rsidRPr="005E184B">
        <w:rPr>
          <w:rFonts w:ascii="Palatino Linotype" w:eastAsia="Palatino Linotype" w:hAnsi="Palatino Linotype" w:cs="Palatino Linotype"/>
        </w:rPr>
        <w:t>solicitud de información pública registrada con el número</w:t>
      </w:r>
      <w:r w:rsidRPr="005E184B">
        <w:rPr>
          <w:rFonts w:ascii="Palatino Linotype" w:eastAsia="Palatino Linotype" w:hAnsi="Palatino Linotype" w:cs="Palatino Linotype"/>
          <w:b/>
          <w:bCs/>
        </w:rPr>
        <w:t xml:space="preserve"> 00001/IMCUFIDETECAM/IP/2026 </w:t>
      </w:r>
      <w:r w:rsidRPr="005E184B">
        <w:rPr>
          <w:rFonts w:ascii="Palatino Linotype" w:eastAsia="Palatino Linotype" w:hAnsi="Palatino Linotype" w:cs="Palatino Linotype"/>
          <w:color w:val="000000"/>
        </w:rPr>
        <w:t xml:space="preserve">y se </w:t>
      </w:r>
      <w:r w:rsidRPr="005E184B">
        <w:rPr>
          <w:rFonts w:ascii="Palatino Linotype" w:eastAsia="Palatino Linotype" w:hAnsi="Palatino Linotype" w:cs="Palatino Linotype"/>
          <w:b/>
          <w:bCs/>
          <w:color w:val="000000"/>
        </w:rPr>
        <w:t>ORDENA</w:t>
      </w:r>
      <w:r w:rsidRPr="005E184B">
        <w:rPr>
          <w:rFonts w:ascii="Palatino Linotype" w:eastAsia="Palatino Linotype" w:hAnsi="Palatino Linotype" w:cs="Palatino Linotype"/>
          <w:color w:val="000000"/>
        </w:rPr>
        <w:t xml:space="preserve"> entregar vía Sistema de Acceso a la Información Mexiquense </w:t>
      </w:r>
      <w:r w:rsidRPr="005E184B">
        <w:rPr>
          <w:rFonts w:ascii="Palatino Linotype" w:eastAsia="Palatino Linotype" w:hAnsi="Palatino Linotype" w:cs="Palatino Linotype"/>
          <w:b/>
          <w:bCs/>
          <w:color w:val="000000"/>
        </w:rPr>
        <w:t xml:space="preserve">(SAIMEX), </w:t>
      </w:r>
      <w:r w:rsidRPr="005E184B">
        <w:rPr>
          <w:rFonts w:ascii="Palatino Linotype" w:eastAsia="Palatino Linotype" w:hAnsi="Palatino Linotype" w:cs="Palatino Linotype"/>
        </w:rPr>
        <w:t>de ser procedente en versión pública, lo siguiente:</w:t>
      </w:r>
    </w:p>
    <w:p w:rsidR="005E4CF6" w:rsidRPr="005E184B" w:rsidRDefault="005E4CF6">
      <w:pPr>
        <w:keepNext/>
        <w:keepLines/>
        <w:spacing w:line="360" w:lineRule="auto"/>
        <w:ind w:right="255"/>
        <w:jc w:val="both"/>
        <w:rPr>
          <w:rFonts w:ascii="Palatino Linotype" w:eastAsia="Palatino Linotype" w:hAnsi="Palatino Linotype" w:cs="Palatino Linotype"/>
          <w:b/>
          <w:bCs/>
        </w:rPr>
      </w:pPr>
    </w:p>
    <w:p w:rsidR="005E4CF6" w:rsidRPr="005E184B" w:rsidRDefault="0078670F">
      <w:pPr>
        <w:keepNext/>
        <w:keepLines/>
        <w:numPr>
          <w:ilvl w:val="0"/>
          <w:numId w:val="3"/>
        </w:numPr>
        <w:pBdr>
          <w:top w:val="nil"/>
          <w:left w:val="nil"/>
          <w:bottom w:val="nil"/>
          <w:right w:val="nil"/>
          <w:between w:val="nil"/>
        </w:pBdr>
        <w:spacing w:line="360" w:lineRule="auto"/>
        <w:ind w:left="567" w:right="255" w:hanging="141"/>
        <w:jc w:val="both"/>
        <w:rPr>
          <w:rFonts w:ascii="Palatino Linotype" w:eastAsia="Palatino Linotype" w:hAnsi="Palatino Linotype" w:cs="Palatino Linotype"/>
          <w:b/>
          <w:bCs/>
          <w:color w:val="000000"/>
        </w:rPr>
      </w:pPr>
      <w:r w:rsidRPr="005E184B">
        <w:rPr>
          <w:rFonts w:ascii="Palatino Linotype" w:eastAsia="Palatino Linotype" w:hAnsi="Palatino Linotype" w:cs="Palatino Linotype"/>
          <w:b/>
          <w:bCs/>
          <w:color w:val="000000"/>
        </w:rPr>
        <w:t>El convenio o contrato celebrado entre el Instituto Municipal de Cultura Física y Deporte de Tecámac y la Asociación Civil “Bombarderos” en 2024.</w:t>
      </w:r>
    </w:p>
    <w:p w:rsidR="005E4CF6" w:rsidRPr="005E184B" w:rsidRDefault="005E4CF6">
      <w:pPr>
        <w:tabs>
          <w:tab w:val="left" w:pos="8080"/>
        </w:tabs>
        <w:spacing w:line="360" w:lineRule="auto"/>
        <w:ind w:right="49"/>
        <w:jc w:val="both"/>
        <w:rPr>
          <w:rFonts w:ascii="Palatino Linotype" w:eastAsia="Palatino Linotype" w:hAnsi="Palatino Linotype" w:cs="Palatino Linotype"/>
        </w:rPr>
      </w:pPr>
    </w:p>
    <w:p w:rsidR="005E4CF6" w:rsidRPr="005E184B" w:rsidRDefault="0078670F">
      <w:pPr>
        <w:tabs>
          <w:tab w:val="left" w:pos="8080"/>
        </w:tabs>
        <w:spacing w:line="360" w:lineRule="auto"/>
        <w:ind w:right="49"/>
        <w:jc w:val="both"/>
        <w:rPr>
          <w:rFonts w:ascii="Palatino Linotype" w:eastAsia="Palatino Linotype" w:hAnsi="Palatino Linotype" w:cs="Palatino Linotype"/>
          <w:b/>
          <w:bCs/>
        </w:rPr>
      </w:pPr>
      <w:r w:rsidRPr="005E184B">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w:t>
      </w:r>
      <w:r w:rsidRPr="005E184B">
        <w:rPr>
          <w:rFonts w:ascii="Palatino Linotype" w:eastAsia="Palatino Linotype" w:hAnsi="Palatino Linotype" w:cs="Palatino Linotype"/>
        </w:rPr>
        <w:lastRenderedPageBreak/>
        <w:t xml:space="preserve">razones sobre los datos que se supriman o eliminen dentro del soporte documental respectivo objeto de las versiones públicas que se formulen, y se pongan a disposición del </w:t>
      </w:r>
      <w:r w:rsidRPr="005E184B">
        <w:rPr>
          <w:rFonts w:ascii="Palatino Linotype" w:eastAsia="Palatino Linotype" w:hAnsi="Palatino Linotype" w:cs="Palatino Linotype"/>
          <w:b/>
          <w:bCs/>
        </w:rPr>
        <w:t>RECURRENTE.</w:t>
      </w:r>
    </w:p>
    <w:p w:rsidR="005E4CF6" w:rsidRPr="005E184B" w:rsidRDefault="005E4CF6">
      <w:pPr>
        <w:tabs>
          <w:tab w:val="left" w:pos="8080"/>
        </w:tabs>
        <w:spacing w:line="360" w:lineRule="auto"/>
        <w:ind w:right="49"/>
        <w:jc w:val="both"/>
        <w:rPr>
          <w:rFonts w:ascii="Palatino Linotype" w:eastAsia="Palatino Linotype" w:hAnsi="Palatino Linotype" w:cs="Palatino Linotype"/>
        </w:rPr>
      </w:pPr>
    </w:p>
    <w:p w:rsidR="005E4CF6" w:rsidRPr="005E184B" w:rsidRDefault="0078670F">
      <w:pPr>
        <w:tabs>
          <w:tab w:val="left" w:pos="8080"/>
        </w:tabs>
        <w:spacing w:line="360" w:lineRule="auto"/>
        <w:ind w:right="49"/>
        <w:jc w:val="both"/>
        <w:rPr>
          <w:rFonts w:ascii="Palatino Linotype" w:eastAsia="Palatino Linotype" w:hAnsi="Palatino Linotype" w:cs="Palatino Linotype"/>
          <w:b/>
          <w:bCs/>
        </w:rPr>
      </w:pPr>
      <w:r w:rsidRPr="005E184B">
        <w:rPr>
          <w:rFonts w:ascii="Palatino Linotype" w:eastAsia="Palatino Linotype" w:hAnsi="Palatino Linotype" w:cs="Palatino Linotype"/>
          <w:b/>
          <w:bCs/>
        </w:rPr>
        <w:t xml:space="preserve">TERCERO. NOTIFÍQUESE </w:t>
      </w:r>
      <w:r w:rsidRPr="005E184B">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E184B">
        <w:rPr>
          <w:rFonts w:ascii="Palatino Linotype" w:eastAsia="Palatino Linotype" w:hAnsi="Palatino Linotype" w:cs="Palatino Linotype"/>
          <w:b/>
          <w:bCs/>
        </w:rPr>
        <w:t>dé cumplimiento a lo ordenado dentro del plazo de diez días hábiles,</w:t>
      </w:r>
      <w:r w:rsidRPr="005E184B">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E4CF6" w:rsidRPr="005E184B" w:rsidRDefault="005E4CF6">
      <w:pPr>
        <w:tabs>
          <w:tab w:val="left" w:pos="8080"/>
        </w:tabs>
        <w:spacing w:line="360" w:lineRule="auto"/>
        <w:ind w:right="49"/>
        <w:jc w:val="both"/>
        <w:rPr>
          <w:rFonts w:ascii="Palatino Linotype" w:eastAsia="Palatino Linotype" w:hAnsi="Palatino Linotype" w:cs="Palatino Linotype"/>
        </w:rPr>
      </w:pPr>
    </w:p>
    <w:p w:rsidR="005E4CF6" w:rsidRPr="005E184B" w:rsidRDefault="0078670F">
      <w:pPr>
        <w:spacing w:line="360" w:lineRule="auto"/>
        <w:jc w:val="both"/>
        <w:rPr>
          <w:rFonts w:ascii="Palatino Linotype" w:eastAsia="Palatino Linotype" w:hAnsi="Palatino Linotype" w:cs="Palatino Linotype"/>
        </w:rPr>
      </w:pPr>
      <w:r w:rsidRPr="005E184B">
        <w:rPr>
          <w:rFonts w:ascii="Palatino Linotype" w:eastAsia="Palatino Linotype" w:hAnsi="Palatino Linotype" w:cs="Palatino Linotype"/>
          <w:b/>
          <w:bCs/>
        </w:rPr>
        <w:t xml:space="preserve">CUARTO. </w:t>
      </w:r>
      <w:r w:rsidRPr="005E184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E184B">
        <w:rPr>
          <w:rFonts w:ascii="Palatino Linotype" w:eastAsia="Palatino Linotype" w:hAnsi="Palatino Linotype" w:cs="Palatino Linotype"/>
          <w:b/>
          <w:bCs/>
        </w:rPr>
        <w:t>SUJETO OBLIGADO</w:t>
      </w:r>
      <w:r w:rsidRPr="005E184B">
        <w:rPr>
          <w:rFonts w:ascii="Palatino Linotype" w:eastAsia="Palatino Linotype" w:hAnsi="Palatino Linotype" w:cs="Palatino Linotype"/>
        </w:rPr>
        <w:t xml:space="preserve"> de manera fundada y motivada, podrá solicitar una ampliación de plazo para el cumplimiento de la presente resolución.</w:t>
      </w:r>
    </w:p>
    <w:p w:rsidR="005E4CF6" w:rsidRPr="005E184B" w:rsidRDefault="005E4CF6">
      <w:pPr>
        <w:spacing w:line="360" w:lineRule="auto"/>
        <w:jc w:val="both"/>
        <w:rPr>
          <w:rFonts w:ascii="Palatino Linotype" w:eastAsia="Palatino Linotype" w:hAnsi="Palatino Linotype" w:cs="Palatino Linotype"/>
        </w:rPr>
      </w:pPr>
    </w:p>
    <w:p w:rsidR="005E4CF6" w:rsidRPr="005E184B" w:rsidRDefault="0078670F">
      <w:pPr>
        <w:tabs>
          <w:tab w:val="left" w:pos="8080"/>
        </w:tabs>
        <w:spacing w:line="360" w:lineRule="auto"/>
        <w:ind w:right="49"/>
        <w:jc w:val="both"/>
        <w:rPr>
          <w:rFonts w:ascii="Palatino Linotype" w:eastAsia="Palatino Linotype" w:hAnsi="Palatino Linotype" w:cs="Palatino Linotype"/>
        </w:rPr>
      </w:pPr>
      <w:bookmarkStart w:id="9" w:name="_heading=h.35nkun2" w:colFirst="0" w:colLast="0"/>
      <w:bookmarkEnd w:id="9"/>
      <w:r w:rsidRPr="005E184B">
        <w:rPr>
          <w:rFonts w:ascii="Palatino Linotype" w:eastAsia="Palatino Linotype" w:hAnsi="Palatino Linotype" w:cs="Palatino Linotype"/>
          <w:b/>
          <w:bCs/>
        </w:rPr>
        <w:t xml:space="preserve">QUINTO. </w:t>
      </w:r>
      <w:r w:rsidRPr="005E184B">
        <w:rPr>
          <w:rFonts w:ascii="Palatino Linotype" w:eastAsia="Palatino Linotype" w:hAnsi="Palatino Linotype" w:cs="Palatino Linotype"/>
        </w:rPr>
        <w:t>Notifíquese a la parte</w:t>
      </w:r>
      <w:r w:rsidRPr="005E184B">
        <w:rPr>
          <w:rFonts w:ascii="Palatino Linotype" w:eastAsia="Palatino Linotype" w:hAnsi="Palatino Linotype" w:cs="Palatino Linotype"/>
          <w:b/>
          <w:bCs/>
        </w:rPr>
        <w:t xml:space="preserve"> RECURRENTE</w:t>
      </w:r>
      <w:r w:rsidRPr="005E184B">
        <w:rPr>
          <w:rFonts w:ascii="Palatino Linotype" w:eastAsia="Palatino Linotype" w:hAnsi="Palatino Linotype" w:cs="Palatino Linotype"/>
        </w:rPr>
        <w:t xml:space="preserve"> la presente resolución, vía </w:t>
      </w:r>
      <w:r w:rsidRPr="005E184B">
        <w:rPr>
          <w:rFonts w:ascii="Palatino Linotype" w:eastAsia="Palatino Linotype" w:hAnsi="Palatino Linotype" w:cs="Palatino Linotype"/>
          <w:b/>
          <w:bCs/>
        </w:rPr>
        <w:t>SAIMEX.</w:t>
      </w:r>
    </w:p>
    <w:p w:rsidR="005E4CF6" w:rsidRPr="005E184B" w:rsidRDefault="005E4CF6">
      <w:pPr>
        <w:tabs>
          <w:tab w:val="left" w:pos="8080"/>
        </w:tabs>
        <w:spacing w:line="360" w:lineRule="auto"/>
        <w:ind w:right="49"/>
        <w:jc w:val="both"/>
        <w:rPr>
          <w:rFonts w:ascii="Palatino Linotype" w:eastAsia="Palatino Linotype" w:hAnsi="Palatino Linotype" w:cs="Palatino Linotype"/>
        </w:rPr>
      </w:pPr>
    </w:p>
    <w:p w:rsidR="005E4CF6" w:rsidRPr="005E184B" w:rsidRDefault="0078670F">
      <w:pPr>
        <w:spacing w:before="240" w:after="240" w:line="360" w:lineRule="auto"/>
        <w:ind w:right="1"/>
        <w:jc w:val="both"/>
        <w:rPr>
          <w:rFonts w:ascii="Palatino Linotype" w:eastAsia="Palatino Linotype" w:hAnsi="Palatino Linotype" w:cs="Palatino Linotype"/>
        </w:rPr>
      </w:pPr>
      <w:r w:rsidRPr="005E184B">
        <w:rPr>
          <w:rFonts w:ascii="Palatino Linotype" w:eastAsia="Palatino Linotype" w:hAnsi="Palatino Linotype" w:cs="Palatino Linotype"/>
          <w:b/>
          <w:bCs/>
        </w:rPr>
        <w:t>SEXTO.</w:t>
      </w:r>
      <w:r w:rsidRPr="005E184B">
        <w:rPr>
          <w:rFonts w:ascii="Palatino Linotype" w:eastAsia="Palatino Linotype" w:hAnsi="Palatino Linotype" w:cs="Palatino Linotype"/>
        </w:rPr>
        <w:t xml:space="preserve"> Se hace del conocimiento de la parte</w:t>
      </w:r>
      <w:r w:rsidRPr="005E184B">
        <w:rPr>
          <w:rFonts w:ascii="Palatino Linotype" w:eastAsia="Palatino Linotype" w:hAnsi="Palatino Linotype" w:cs="Palatino Linotype"/>
          <w:b/>
          <w:bCs/>
        </w:rPr>
        <w:t xml:space="preserve"> RECURRENTE</w:t>
      </w:r>
      <w:r w:rsidRPr="005E184B">
        <w:rPr>
          <w:rFonts w:ascii="Palatino Linotype" w:eastAsia="Palatino Linotype" w:hAnsi="Palatino Linotype" w:cs="Palatino Linotype"/>
        </w:rPr>
        <w:t xml:space="preserve"> que, de conformidad con lo establecido en el artículo 196 de la Ley de Transparencia y Acceso a la Información Pública del </w:t>
      </w:r>
      <w:r w:rsidRPr="005E184B">
        <w:rPr>
          <w:rFonts w:ascii="Palatino Linotype" w:eastAsia="Palatino Linotype" w:hAnsi="Palatino Linotype" w:cs="Palatino Linotype"/>
        </w:rPr>
        <w:lastRenderedPageBreak/>
        <w:t>Estado de México y Municipios, en caso de que considere que la resolución le cause algún perjuicio podrá impugnar vía juicio de amparo en los términos de las leyes aplicables.</w:t>
      </w:r>
    </w:p>
    <w:p w:rsidR="00604DE5" w:rsidRPr="005E184B" w:rsidRDefault="00604DE5">
      <w:pPr>
        <w:spacing w:before="240" w:after="240" w:line="360" w:lineRule="auto"/>
        <w:ind w:right="1"/>
        <w:jc w:val="both"/>
        <w:rPr>
          <w:rFonts w:ascii="Palatino Linotype" w:eastAsia="Palatino Linotype" w:hAnsi="Palatino Linotype" w:cs="Palatino Linotype"/>
          <w:b/>
          <w:bCs/>
          <w:color w:val="000000"/>
        </w:rPr>
      </w:pPr>
    </w:p>
    <w:p w:rsidR="00604DE5" w:rsidRPr="005E184B" w:rsidRDefault="00604DE5" w:rsidP="00604DE5">
      <w:pPr>
        <w:spacing w:before="240" w:after="240" w:line="360" w:lineRule="auto"/>
        <w:ind w:firstLine="1"/>
        <w:jc w:val="both"/>
        <w:rPr>
          <w:rFonts w:ascii="Palatino Linotype" w:hAnsi="Palatino Linotype"/>
        </w:rPr>
      </w:pPr>
      <w:bookmarkStart w:id="10" w:name="_Hlk99014733"/>
      <w:r w:rsidRPr="005E184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E184B">
        <w:rPr>
          <w:rFonts w:ascii="Palatino Linotype" w:hAnsi="Palatino Linotype" w:cs="Palatino Linotype"/>
          <w:color w:val="000000" w:themeColor="text1"/>
        </w:rPr>
        <w:t>ALEXIS TAPIA RAMÍREZ.</w:t>
      </w:r>
    </w:p>
    <w:bookmarkEnd w:id="10"/>
    <w:p w:rsidR="005E4CF6" w:rsidRPr="005E184B" w:rsidRDefault="005E4CF6">
      <w:pPr>
        <w:spacing w:line="360" w:lineRule="auto"/>
        <w:ind w:right="-592"/>
        <w:jc w:val="both"/>
        <w:rPr>
          <w:rFonts w:ascii="Palatino Linotype" w:eastAsia="Palatino Linotype" w:hAnsi="Palatino Linotype" w:cs="Palatino Linotype"/>
        </w:rPr>
      </w:pPr>
    </w:p>
    <w:p w:rsidR="005E4CF6" w:rsidRPr="005E184B" w:rsidRDefault="005E4CF6">
      <w:pPr>
        <w:spacing w:line="360" w:lineRule="auto"/>
        <w:ind w:right="-592"/>
        <w:jc w:val="both"/>
        <w:rPr>
          <w:rFonts w:ascii="Palatino Linotype" w:eastAsia="Palatino Linotype" w:hAnsi="Palatino Linotype" w:cs="Palatino Linotype"/>
        </w:rPr>
      </w:pPr>
    </w:p>
    <w:p w:rsidR="005E4CF6" w:rsidRPr="005E184B" w:rsidRDefault="005E4CF6">
      <w:pPr>
        <w:spacing w:line="360" w:lineRule="auto"/>
        <w:ind w:right="-592"/>
        <w:jc w:val="both"/>
        <w:rPr>
          <w:rFonts w:ascii="Palatino Linotype" w:eastAsia="Palatino Linotype" w:hAnsi="Palatino Linotype" w:cs="Palatino Linotype"/>
        </w:rPr>
      </w:pPr>
    </w:p>
    <w:p w:rsidR="005E4CF6" w:rsidRPr="005E184B" w:rsidRDefault="005E4CF6">
      <w:pPr>
        <w:spacing w:line="360" w:lineRule="auto"/>
        <w:ind w:right="-592"/>
        <w:jc w:val="both"/>
        <w:rPr>
          <w:rFonts w:ascii="Palatino Linotype" w:eastAsia="Palatino Linotype" w:hAnsi="Palatino Linotype" w:cs="Palatino Linotype"/>
        </w:rPr>
      </w:pPr>
    </w:p>
    <w:p w:rsidR="005E4CF6" w:rsidRPr="005E184B" w:rsidRDefault="005E4CF6">
      <w:pPr>
        <w:spacing w:line="360" w:lineRule="auto"/>
        <w:ind w:right="-592"/>
        <w:jc w:val="both"/>
        <w:rPr>
          <w:rFonts w:ascii="Palatino Linotype" w:eastAsia="Palatino Linotype" w:hAnsi="Palatino Linotype" w:cs="Palatino Linotype"/>
        </w:rPr>
      </w:pPr>
    </w:p>
    <w:p w:rsidR="005E4CF6" w:rsidRPr="005E184B" w:rsidRDefault="005E4CF6">
      <w:pPr>
        <w:spacing w:line="360" w:lineRule="auto"/>
        <w:ind w:right="-592"/>
        <w:rPr>
          <w:rFonts w:ascii="Palatino Linotype" w:eastAsia="Palatino Linotype" w:hAnsi="Palatino Linotype" w:cs="Palatino Linotype"/>
        </w:rPr>
      </w:pPr>
    </w:p>
    <w:p w:rsidR="005E4CF6" w:rsidRPr="005E184B" w:rsidRDefault="005E4CF6">
      <w:pPr>
        <w:spacing w:line="360" w:lineRule="auto"/>
        <w:ind w:right="-592"/>
        <w:rPr>
          <w:rFonts w:ascii="Palatino Linotype" w:eastAsia="Palatino Linotype" w:hAnsi="Palatino Linotype" w:cs="Palatino Linotype"/>
        </w:rPr>
      </w:pPr>
    </w:p>
    <w:p w:rsidR="005E4CF6" w:rsidRPr="005E184B" w:rsidRDefault="005E4CF6">
      <w:pPr>
        <w:spacing w:line="360" w:lineRule="auto"/>
        <w:ind w:right="-592"/>
        <w:rPr>
          <w:rFonts w:ascii="Palatino Linotype" w:eastAsia="Palatino Linotype" w:hAnsi="Palatino Linotype" w:cs="Palatino Linotype"/>
        </w:rPr>
      </w:pPr>
    </w:p>
    <w:p w:rsidR="005E4CF6" w:rsidRPr="005E184B" w:rsidRDefault="005E4CF6">
      <w:pPr>
        <w:spacing w:line="360" w:lineRule="auto"/>
        <w:ind w:right="-592"/>
        <w:rPr>
          <w:rFonts w:ascii="Palatino Linotype" w:eastAsia="Palatino Linotype" w:hAnsi="Palatino Linotype" w:cs="Palatino Linotype"/>
        </w:rPr>
      </w:pPr>
    </w:p>
    <w:p w:rsidR="005E4CF6" w:rsidRPr="005E184B" w:rsidRDefault="005E4CF6">
      <w:pPr>
        <w:spacing w:line="360" w:lineRule="auto"/>
        <w:ind w:right="-592"/>
        <w:rPr>
          <w:rFonts w:ascii="Palatino Linotype" w:eastAsia="Palatino Linotype" w:hAnsi="Palatino Linotype" w:cs="Palatino Linotype"/>
        </w:rPr>
      </w:pPr>
    </w:p>
    <w:p w:rsidR="005E4CF6" w:rsidRPr="005E184B" w:rsidRDefault="005E4CF6">
      <w:pPr>
        <w:spacing w:line="360" w:lineRule="auto"/>
        <w:ind w:right="-592"/>
        <w:rPr>
          <w:rFonts w:ascii="Palatino Linotype" w:eastAsia="Palatino Linotype" w:hAnsi="Palatino Linotype" w:cs="Palatino Linotype"/>
        </w:rPr>
      </w:pPr>
    </w:p>
    <w:p w:rsidR="005E4CF6" w:rsidRPr="005E184B" w:rsidRDefault="005E4CF6">
      <w:pPr>
        <w:ind w:right="-592"/>
        <w:rPr>
          <w:rFonts w:ascii="Palatino Linotype" w:eastAsia="Palatino Linotype" w:hAnsi="Palatino Linotype" w:cs="Palatino Linotype"/>
        </w:rPr>
      </w:pPr>
    </w:p>
    <w:sectPr w:rsidR="005E4CF6" w:rsidRPr="005E184B" w:rsidSect="005E184B">
      <w:headerReference w:type="even" r:id="rId16"/>
      <w:headerReference w:type="default" r:id="rId17"/>
      <w:footerReference w:type="default" r:id="rId18"/>
      <w:headerReference w:type="first" r:id="rId19"/>
      <w:footerReference w:type="first" r:id="rId20"/>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A15" w:rsidRDefault="00692A15">
      <w:r>
        <w:separator/>
      </w:r>
    </w:p>
  </w:endnote>
  <w:endnote w:type="continuationSeparator" w:id="0">
    <w:p w:rsidR="00692A15" w:rsidRDefault="0069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71C49707-EBC0-425D-8955-596069A1B71A}"/>
    <w:embedBold r:id="rId2" w:fontKey="{E56F1831-7859-4830-AC84-3CD1E523E6B3}"/>
    <w:embedItalic r:id="rId3" w:fontKey="{08A83143-1AAE-471F-9397-D8A71138A91C}"/>
    <w:embedBoldItalic r:id="rId4" w:fontKey="{C1FAB6A9-962E-49D9-82BF-D37DA97F004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A5E755C3-982F-43DF-B2EB-3A8F8FBF00C0}"/>
  </w:font>
  <w:font w:name="Georgia">
    <w:panose1 w:val="02040502050405020303"/>
    <w:charset w:val="00"/>
    <w:family w:val="roman"/>
    <w:pitch w:val="variable"/>
    <w:sig w:usb0="00000287" w:usb1="00000000" w:usb2="00000000" w:usb3="00000000" w:csb0="0000009F" w:csb1="00000000"/>
    <w:embedItalic r:id="rId6" w:fontKey="{ABAD03E9-9096-4215-88A1-D75ABD1A3998}"/>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7" w:fontKey="{299C3441-C273-4AD6-98CB-27F8C6DD06C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EE1B49F-DE9E-4C6B-89DB-579F6EF956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CF6" w:rsidRPr="005E184B" w:rsidRDefault="0078670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E184B">
      <w:rPr>
        <w:rFonts w:ascii="Palatino Linotype" w:hAnsi="Palatino Linotype"/>
        <w:color w:val="000000"/>
        <w:sz w:val="22"/>
      </w:rPr>
      <w:t xml:space="preserve">Página </w:t>
    </w:r>
    <w:r w:rsidRPr="005E184B">
      <w:rPr>
        <w:rFonts w:ascii="Palatino Linotype" w:hAnsi="Palatino Linotype"/>
        <w:b/>
        <w:bCs/>
        <w:color w:val="000000"/>
        <w:sz w:val="22"/>
      </w:rPr>
      <w:fldChar w:fldCharType="begin"/>
    </w:r>
    <w:r w:rsidRPr="005E184B">
      <w:rPr>
        <w:rFonts w:ascii="Palatino Linotype" w:hAnsi="Palatino Linotype"/>
        <w:b/>
        <w:bCs/>
        <w:color w:val="000000"/>
        <w:sz w:val="22"/>
      </w:rPr>
      <w:instrText>PAGE</w:instrText>
    </w:r>
    <w:r w:rsidRPr="005E184B">
      <w:rPr>
        <w:rFonts w:ascii="Palatino Linotype" w:hAnsi="Palatino Linotype"/>
        <w:b/>
        <w:bCs/>
        <w:color w:val="000000"/>
        <w:sz w:val="22"/>
      </w:rPr>
      <w:fldChar w:fldCharType="separate"/>
    </w:r>
    <w:r w:rsidR="00754CAB">
      <w:rPr>
        <w:rFonts w:ascii="Palatino Linotype" w:hAnsi="Palatino Linotype"/>
        <w:b/>
        <w:bCs/>
        <w:noProof/>
        <w:color w:val="000000"/>
        <w:sz w:val="22"/>
      </w:rPr>
      <w:t>21</w:t>
    </w:r>
    <w:r w:rsidRPr="005E184B">
      <w:rPr>
        <w:rFonts w:ascii="Palatino Linotype" w:hAnsi="Palatino Linotype"/>
        <w:b/>
        <w:bCs/>
        <w:color w:val="000000"/>
        <w:sz w:val="22"/>
      </w:rPr>
      <w:fldChar w:fldCharType="end"/>
    </w:r>
    <w:r w:rsidRPr="005E184B">
      <w:rPr>
        <w:rFonts w:ascii="Palatino Linotype" w:hAnsi="Palatino Linotype"/>
        <w:color w:val="000000"/>
        <w:sz w:val="22"/>
      </w:rPr>
      <w:t xml:space="preserve"> de </w:t>
    </w:r>
    <w:r w:rsidRPr="005E184B">
      <w:rPr>
        <w:rFonts w:ascii="Palatino Linotype" w:hAnsi="Palatino Linotype"/>
        <w:b/>
        <w:bCs/>
        <w:color w:val="000000"/>
        <w:sz w:val="22"/>
      </w:rPr>
      <w:fldChar w:fldCharType="begin"/>
    </w:r>
    <w:r w:rsidRPr="005E184B">
      <w:rPr>
        <w:rFonts w:ascii="Palatino Linotype" w:hAnsi="Palatino Linotype"/>
        <w:b/>
        <w:bCs/>
        <w:color w:val="000000"/>
        <w:sz w:val="22"/>
      </w:rPr>
      <w:instrText>NUMPAGES</w:instrText>
    </w:r>
    <w:r w:rsidRPr="005E184B">
      <w:rPr>
        <w:rFonts w:ascii="Palatino Linotype" w:hAnsi="Palatino Linotype"/>
        <w:b/>
        <w:bCs/>
        <w:color w:val="000000"/>
        <w:sz w:val="22"/>
      </w:rPr>
      <w:fldChar w:fldCharType="separate"/>
    </w:r>
    <w:r w:rsidR="00754CAB">
      <w:rPr>
        <w:rFonts w:ascii="Palatino Linotype" w:hAnsi="Palatino Linotype"/>
        <w:b/>
        <w:bCs/>
        <w:noProof/>
        <w:color w:val="000000"/>
        <w:sz w:val="22"/>
      </w:rPr>
      <w:t>31</w:t>
    </w:r>
    <w:r w:rsidRPr="005E184B">
      <w:rPr>
        <w:rFonts w:ascii="Palatino Linotype" w:hAnsi="Palatino Linotype"/>
        <w:b/>
        <w:bCs/>
        <w:color w:val="000000"/>
        <w:sz w:val="22"/>
      </w:rPr>
      <w:fldChar w:fldCharType="end"/>
    </w:r>
  </w:p>
  <w:p w:rsidR="005E4CF6" w:rsidRDefault="005E4CF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CF6" w:rsidRPr="005E184B" w:rsidRDefault="0078670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E184B">
      <w:rPr>
        <w:rFonts w:ascii="Palatino Linotype" w:hAnsi="Palatino Linotype"/>
        <w:color w:val="000000"/>
        <w:sz w:val="22"/>
      </w:rPr>
      <w:t xml:space="preserve">Página </w:t>
    </w:r>
    <w:r w:rsidRPr="005E184B">
      <w:rPr>
        <w:rFonts w:ascii="Palatino Linotype" w:hAnsi="Palatino Linotype"/>
        <w:b/>
        <w:bCs/>
        <w:color w:val="000000"/>
        <w:sz w:val="22"/>
      </w:rPr>
      <w:fldChar w:fldCharType="begin"/>
    </w:r>
    <w:r w:rsidRPr="005E184B">
      <w:rPr>
        <w:rFonts w:ascii="Palatino Linotype" w:hAnsi="Palatino Linotype"/>
        <w:b/>
        <w:bCs/>
        <w:color w:val="000000"/>
        <w:sz w:val="22"/>
      </w:rPr>
      <w:instrText>PAGE</w:instrText>
    </w:r>
    <w:r w:rsidRPr="005E184B">
      <w:rPr>
        <w:rFonts w:ascii="Palatino Linotype" w:hAnsi="Palatino Linotype"/>
        <w:b/>
        <w:bCs/>
        <w:color w:val="000000"/>
        <w:sz w:val="22"/>
      </w:rPr>
      <w:fldChar w:fldCharType="separate"/>
    </w:r>
    <w:r w:rsidR="00754CAB">
      <w:rPr>
        <w:rFonts w:ascii="Palatino Linotype" w:hAnsi="Palatino Linotype"/>
        <w:b/>
        <w:bCs/>
        <w:noProof/>
        <w:color w:val="000000"/>
        <w:sz w:val="22"/>
      </w:rPr>
      <w:t>1</w:t>
    </w:r>
    <w:r w:rsidRPr="005E184B">
      <w:rPr>
        <w:rFonts w:ascii="Palatino Linotype" w:hAnsi="Palatino Linotype"/>
        <w:b/>
        <w:bCs/>
        <w:color w:val="000000"/>
        <w:sz w:val="22"/>
      </w:rPr>
      <w:fldChar w:fldCharType="end"/>
    </w:r>
    <w:r w:rsidRPr="005E184B">
      <w:rPr>
        <w:rFonts w:ascii="Palatino Linotype" w:hAnsi="Palatino Linotype"/>
        <w:color w:val="000000"/>
        <w:sz w:val="22"/>
      </w:rPr>
      <w:t xml:space="preserve"> de </w:t>
    </w:r>
    <w:r w:rsidRPr="005E184B">
      <w:rPr>
        <w:rFonts w:ascii="Palatino Linotype" w:hAnsi="Palatino Linotype"/>
        <w:b/>
        <w:bCs/>
        <w:color w:val="000000"/>
        <w:sz w:val="22"/>
      </w:rPr>
      <w:fldChar w:fldCharType="begin"/>
    </w:r>
    <w:r w:rsidRPr="005E184B">
      <w:rPr>
        <w:rFonts w:ascii="Palatino Linotype" w:hAnsi="Palatino Linotype"/>
        <w:b/>
        <w:bCs/>
        <w:color w:val="000000"/>
        <w:sz w:val="22"/>
      </w:rPr>
      <w:instrText>NUMPAGES</w:instrText>
    </w:r>
    <w:r w:rsidRPr="005E184B">
      <w:rPr>
        <w:rFonts w:ascii="Palatino Linotype" w:hAnsi="Palatino Linotype"/>
        <w:b/>
        <w:bCs/>
        <w:color w:val="000000"/>
        <w:sz w:val="22"/>
      </w:rPr>
      <w:fldChar w:fldCharType="separate"/>
    </w:r>
    <w:r w:rsidR="00754CAB">
      <w:rPr>
        <w:rFonts w:ascii="Palatino Linotype" w:hAnsi="Palatino Linotype"/>
        <w:b/>
        <w:bCs/>
        <w:noProof/>
        <w:color w:val="000000"/>
        <w:sz w:val="22"/>
      </w:rPr>
      <w:t>31</w:t>
    </w:r>
    <w:r w:rsidRPr="005E184B">
      <w:rPr>
        <w:rFonts w:ascii="Palatino Linotype" w:hAnsi="Palatino Linotype"/>
        <w:b/>
        <w:bCs/>
        <w:color w:val="000000"/>
        <w:sz w:val="22"/>
      </w:rPr>
      <w:fldChar w:fldCharType="end"/>
    </w:r>
  </w:p>
  <w:p w:rsidR="005E4CF6" w:rsidRDefault="005E4CF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A15" w:rsidRDefault="00692A15">
      <w:r>
        <w:separator/>
      </w:r>
    </w:p>
  </w:footnote>
  <w:footnote w:type="continuationSeparator" w:id="0">
    <w:p w:rsidR="00692A15" w:rsidRDefault="00692A15">
      <w:r>
        <w:continuationSeparator/>
      </w:r>
    </w:p>
  </w:footnote>
  <w:footnote w:id="1">
    <w:p w:rsidR="005E4CF6" w:rsidRDefault="0078670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5E4CF6" w:rsidRDefault="0078670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5E4CF6" w:rsidRDefault="0078670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5E4CF6" w:rsidRDefault="0078670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CF6" w:rsidRDefault="00692A1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632" w:type="dxa"/>
      <w:tblInd w:w="0" w:type="dxa"/>
      <w:tblLayout w:type="fixed"/>
      <w:tblLook w:val="0400" w:firstRow="0" w:lastRow="0" w:firstColumn="0" w:lastColumn="0" w:noHBand="0" w:noVBand="1"/>
    </w:tblPr>
    <w:tblGrid>
      <w:gridCol w:w="2268"/>
      <w:gridCol w:w="8364"/>
    </w:tblGrid>
    <w:tr w:rsidR="005E4CF6" w:rsidTr="005E184B">
      <w:trPr>
        <w:trHeight w:val="1435"/>
      </w:trPr>
      <w:tc>
        <w:tcPr>
          <w:tcW w:w="2268" w:type="dxa"/>
          <w:shd w:val="clear" w:color="auto" w:fill="auto"/>
        </w:tcPr>
        <w:p w:rsidR="005E4CF6" w:rsidRDefault="005E4CF6">
          <w:pPr>
            <w:tabs>
              <w:tab w:val="right" w:pos="4273"/>
            </w:tabs>
            <w:rPr>
              <w:rFonts w:ascii="Garamond" w:eastAsia="Garamond" w:hAnsi="Garamond" w:cs="Garamond"/>
              <w:sz w:val="16"/>
              <w:szCs w:val="16"/>
            </w:rPr>
          </w:pPr>
        </w:p>
      </w:tc>
      <w:tc>
        <w:tcPr>
          <w:tcW w:w="8364" w:type="dxa"/>
          <w:shd w:val="clear" w:color="auto" w:fill="auto"/>
        </w:tcPr>
        <w:tbl>
          <w:tblPr>
            <w:tblStyle w:val="a2"/>
            <w:tblW w:w="7965" w:type="dxa"/>
            <w:tblInd w:w="311" w:type="dxa"/>
            <w:tblLayout w:type="fixed"/>
            <w:tblLook w:val="0400" w:firstRow="0" w:lastRow="0" w:firstColumn="0" w:lastColumn="0" w:noHBand="0" w:noVBand="1"/>
          </w:tblPr>
          <w:tblGrid>
            <w:gridCol w:w="3543"/>
            <w:gridCol w:w="4422"/>
          </w:tblGrid>
          <w:tr w:rsidR="005E4CF6" w:rsidTr="005E184B">
            <w:trPr>
              <w:trHeight w:val="359"/>
            </w:trPr>
            <w:tc>
              <w:tcPr>
                <w:tcW w:w="3543" w:type="dxa"/>
                <w:shd w:val="clear" w:color="auto" w:fill="auto"/>
              </w:tcPr>
              <w:p w:rsidR="005E4CF6" w:rsidRPr="005E184B" w:rsidRDefault="0078670F">
                <w:pPr>
                  <w:tabs>
                    <w:tab w:val="right" w:pos="8838"/>
                  </w:tabs>
                  <w:ind w:left="850" w:right="-105"/>
                  <w:jc w:val="both"/>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Recurso de Revisión:</w:t>
                </w:r>
              </w:p>
            </w:tc>
            <w:tc>
              <w:tcPr>
                <w:tcW w:w="4422" w:type="dxa"/>
                <w:shd w:val="clear" w:color="auto" w:fill="auto"/>
              </w:tcPr>
              <w:p w:rsidR="005E4CF6" w:rsidRPr="005E184B" w:rsidRDefault="0078670F">
                <w:pPr>
                  <w:tabs>
                    <w:tab w:val="right" w:pos="8838"/>
                  </w:tabs>
                  <w:ind w:right="-781"/>
                  <w:jc w:val="both"/>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01888/INFOEM/IP/RR/2026</w:t>
                </w:r>
              </w:p>
            </w:tc>
          </w:tr>
          <w:tr w:rsidR="005E4CF6" w:rsidTr="005E184B">
            <w:trPr>
              <w:trHeight w:val="295"/>
            </w:trPr>
            <w:tc>
              <w:tcPr>
                <w:tcW w:w="3543" w:type="dxa"/>
                <w:shd w:val="clear" w:color="auto" w:fill="auto"/>
              </w:tcPr>
              <w:p w:rsidR="005E4CF6" w:rsidRPr="005E184B" w:rsidRDefault="0078670F">
                <w:pPr>
                  <w:tabs>
                    <w:tab w:val="right" w:pos="8838"/>
                  </w:tabs>
                  <w:ind w:left="850" w:right="-105"/>
                  <w:jc w:val="both"/>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Sujeto Obligado:</w:t>
                </w:r>
              </w:p>
            </w:tc>
            <w:tc>
              <w:tcPr>
                <w:tcW w:w="4422" w:type="dxa"/>
                <w:shd w:val="clear" w:color="auto" w:fill="auto"/>
              </w:tcPr>
              <w:p w:rsidR="004B7586" w:rsidRPr="005E184B" w:rsidRDefault="0078670F">
                <w:pPr>
                  <w:tabs>
                    <w:tab w:val="left" w:pos="2834"/>
                    <w:tab w:val="right" w:pos="8838"/>
                  </w:tabs>
                  <w:ind w:right="-1552"/>
                  <w:jc w:val="both"/>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 xml:space="preserve">Instituto Municipal de Cultura </w:t>
                </w:r>
              </w:p>
              <w:p w:rsidR="005E4CF6" w:rsidRPr="005E184B" w:rsidRDefault="0078670F">
                <w:pPr>
                  <w:tabs>
                    <w:tab w:val="left" w:pos="2834"/>
                    <w:tab w:val="right" w:pos="8838"/>
                  </w:tabs>
                  <w:ind w:right="-1552"/>
                  <w:jc w:val="both"/>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Física y</w:t>
                </w:r>
                <w:r w:rsidR="004B7586" w:rsidRPr="005E184B">
                  <w:rPr>
                    <w:rFonts w:ascii="Palatino Linotype" w:eastAsia="Palatino Linotype" w:hAnsi="Palatino Linotype" w:cs="Palatino Linotype"/>
                    <w:szCs w:val="18"/>
                  </w:rPr>
                  <w:t xml:space="preserve"> </w:t>
                </w:r>
                <w:r w:rsidRPr="005E184B">
                  <w:rPr>
                    <w:rFonts w:ascii="Palatino Linotype" w:eastAsia="Palatino Linotype" w:hAnsi="Palatino Linotype" w:cs="Palatino Linotype"/>
                    <w:szCs w:val="18"/>
                  </w:rPr>
                  <w:t>Deporte Tecámac</w:t>
                </w:r>
              </w:p>
            </w:tc>
          </w:tr>
          <w:tr w:rsidR="005E4CF6" w:rsidTr="005E184B">
            <w:trPr>
              <w:trHeight w:val="295"/>
            </w:trPr>
            <w:tc>
              <w:tcPr>
                <w:tcW w:w="3543" w:type="dxa"/>
                <w:shd w:val="clear" w:color="auto" w:fill="auto"/>
              </w:tcPr>
              <w:p w:rsidR="005E4CF6" w:rsidRPr="005E184B" w:rsidRDefault="0078670F">
                <w:pPr>
                  <w:tabs>
                    <w:tab w:val="right" w:pos="8838"/>
                  </w:tabs>
                  <w:ind w:left="850" w:right="-105"/>
                  <w:jc w:val="both"/>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Comisionada ponente:</w:t>
                </w:r>
              </w:p>
            </w:tc>
            <w:tc>
              <w:tcPr>
                <w:tcW w:w="4422" w:type="dxa"/>
                <w:shd w:val="clear" w:color="auto" w:fill="auto"/>
              </w:tcPr>
              <w:p w:rsidR="005E4CF6" w:rsidRPr="005E184B" w:rsidRDefault="0078670F">
                <w:pPr>
                  <w:tabs>
                    <w:tab w:val="right" w:pos="8838"/>
                  </w:tabs>
                  <w:ind w:right="-781"/>
                  <w:jc w:val="both"/>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María del Rosario Mejía Ayala</w:t>
                </w:r>
              </w:p>
              <w:p w:rsidR="005E4CF6" w:rsidRPr="005E184B" w:rsidRDefault="005E4CF6">
                <w:pPr>
                  <w:tabs>
                    <w:tab w:val="right" w:pos="8838"/>
                  </w:tabs>
                  <w:ind w:left="141" w:right="-781"/>
                  <w:jc w:val="both"/>
                  <w:rPr>
                    <w:rFonts w:ascii="Palatino Linotype" w:eastAsia="Palatino Linotype" w:hAnsi="Palatino Linotype" w:cs="Palatino Linotype"/>
                    <w:szCs w:val="18"/>
                  </w:rPr>
                </w:pPr>
              </w:p>
            </w:tc>
          </w:tr>
        </w:tbl>
        <w:p w:rsidR="005E4CF6" w:rsidRDefault="005E4CF6">
          <w:pPr>
            <w:tabs>
              <w:tab w:val="right" w:pos="8838"/>
            </w:tabs>
            <w:ind w:left="-28"/>
            <w:jc w:val="both"/>
            <w:rPr>
              <w:rFonts w:ascii="Arial" w:eastAsia="Arial" w:hAnsi="Arial" w:cs="Arial"/>
              <w:b/>
              <w:bCs/>
              <w:sz w:val="18"/>
              <w:szCs w:val="18"/>
            </w:rPr>
          </w:pPr>
        </w:p>
      </w:tc>
    </w:tr>
  </w:tbl>
  <w:p w:rsidR="005E4CF6" w:rsidRDefault="00692A1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5E4CF6">
      <w:trPr>
        <w:trHeight w:val="1435"/>
      </w:trPr>
      <w:tc>
        <w:tcPr>
          <w:tcW w:w="2265" w:type="dxa"/>
          <w:shd w:val="clear" w:color="auto" w:fill="auto"/>
        </w:tcPr>
        <w:p w:rsidR="005E4CF6" w:rsidRDefault="005E4CF6">
          <w:pPr>
            <w:tabs>
              <w:tab w:val="right" w:pos="4273"/>
            </w:tabs>
            <w:rPr>
              <w:rFonts w:ascii="Garamond" w:eastAsia="Garamond" w:hAnsi="Garamond" w:cs="Garamond"/>
              <w:sz w:val="22"/>
              <w:szCs w:val="22"/>
            </w:rPr>
          </w:pPr>
        </w:p>
      </w:tc>
      <w:tc>
        <w:tcPr>
          <w:tcW w:w="7800" w:type="dxa"/>
          <w:shd w:val="clear" w:color="auto" w:fill="auto"/>
        </w:tcPr>
        <w:tbl>
          <w:tblPr>
            <w:tblStyle w:val="a4"/>
            <w:tblW w:w="7614" w:type="dxa"/>
            <w:tblInd w:w="455" w:type="dxa"/>
            <w:tblLayout w:type="fixed"/>
            <w:tblLook w:val="0400" w:firstRow="0" w:lastRow="0" w:firstColumn="0" w:lastColumn="0" w:noHBand="0" w:noVBand="1"/>
          </w:tblPr>
          <w:tblGrid>
            <w:gridCol w:w="2694"/>
            <w:gridCol w:w="4920"/>
          </w:tblGrid>
          <w:tr w:rsidR="005E4CF6" w:rsidTr="005E184B">
            <w:trPr>
              <w:trHeight w:val="144"/>
            </w:trPr>
            <w:tc>
              <w:tcPr>
                <w:tcW w:w="2694" w:type="dxa"/>
                <w:shd w:val="clear" w:color="auto" w:fill="auto"/>
              </w:tcPr>
              <w:p w:rsidR="005E4CF6" w:rsidRPr="005E184B" w:rsidRDefault="0078670F">
                <w:pPr>
                  <w:tabs>
                    <w:tab w:val="right" w:pos="8838"/>
                  </w:tabs>
                  <w:ind w:left="-264" w:right="-105" w:firstLine="195"/>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Recurso de Revisión:</w:t>
                </w:r>
              </w:p>
            </w:tc>
            <w:tc>
              <w:tcPr>
                <w:tcW w:w="4920" w:type="dxa"/>
                <w:shd w:val="clear" w:color="auto" w:fill="auto"/>
              </w:tcPr>
              <w:p w:rsidR="005E4CF6" w:rsidRPr="005E184B" w:rsidRDefault="0078670F">
                <w:pPr>
                  <w:tabs>
                    <w:tab w:val="right" w:pos="8838"/>
                  </w:tabs>
                  <w:ind w:right="-1552"/>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01888/INFOEM/IP/RR/2026</w:t>
                </w:r>
              </w:p>
            </w:tc>
          </w:tr>
          <w:tr w:rsidR="005E4CF6" w:rsidTr="005E184B">
            <w:trPr>
              <w:trHeight w:val="144"/>
            </w:trPr>
            <w:tc>
              <w:tcPr>
                <w:tcW w:w="2694" w:type="dxa"/>
                <w:shd w:val="clear" w:color="auto" w:fill="auto"/>
              </w:tcPr>
              <w:p w:rsidR="005E4CF6" w:rsidRPr="005E184B" w:rsidRDefault="0078670F">
                <w:pPr>
                  <w:tabs>
                    <w:tab w:val="right" w:pos="8838"/>
                  </w:tabs>
                  <w:ind w:left="-74" w:right="-105"/>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Recurrente:</w:t>
                </w:r>
              </w:p>
            </w:tc>
            <w:tc>
              <w:tcPr>
                <w:tcW w:w="4920" w:type="dxa"/>
                <w:shd w:val="clear" w:color="auto" w:fill="auto"/>
              </w:tcPr>
              <w:p w:rsidR="005E4CF6" w:rsidRPr="005E184B" w:rsidRDefault="00754CAB">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5E4CF6" w:rsidTr="005E184B">
            <w:trPr>
              <w:trHeight w:val="80"/>
            </w:trPr>
            <w:tc>
              <w:tcPr>
                <w:tcW w:w="2694" w:type="dxa"/>
                <w:shd w:val="clear" w:color="auto" w:fill="auto"/>
              </w:tcPr>
              <w:p w:rsidR="005E4CF6" w:rsidRPr="005E184B" w:rsidRDefault="0078670F">
                <w:pPr>
                  <w:tabs>
                    <w:tab w:val="right" w:pos="8838"/>
                  </w:tabs>
                  <w:ind w:left="-74" w:right="-105"/>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Sujeto Obligado:</w:t>
                </w:r>
              </w:p>
            </w:tc>
            <w:tc>
              <w:tcPr>
                <w:tcW w:w="4920" w:type="dxa"/>
                <w:shd w:val="clear" w:color="auto" w:fill="auto"/>
              </w:tcPr>
              <w:p w:rsidR="004B7586" w:rsidRPr="005E184B" w:rsidRDefault="0078670F">
                <w:pPr>
                  <w:tabs>
                    <w:tab w:val="left" w:pos="2834"/>
                    <w:tab w:val="right" w:pos="8838"/>
                  </w:tabs>
                  <w:ind w:right="-1552"/>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 xml:space="preserve">Instituto Municipal de Cultura Física y </w:t>
                </w:r>
              </w:p>
              <w:p w:rsidR="005E4CF6" w:rsidRPr="005E184B" w:rsidRDefault="0078670F">
                <w:pPr>
                  <w:tabs>
                    <w:tab w:val="left" w:pos="2834"/>
                    <w:tab w:val="right" w:pos="8838"/>
                  </w:tabs>
                  <w:ind w:right="-1552"/>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Deporte Tecámac</w:t>
                </w:r>
              </w:p>
            </w:tc>
          </w:tr>
          <w:tr w:rsidR="005E4CF6" w:rsidTr="005E184B">
            <w:trPr>
              <w:trHeight w:val="283"/>
            </w:trPr>
            <w:tc>
              <w:tcPr>
                <w:tcW w:w="2694" w:type="dxa"/>
                <w:shd w:val="clear" w:color="auto" w:fill="auto"/>
              </w:tcPr>
              <w:p w:rsidR="005E4CF6" w:rsidRPr="005E184B" w:rsidRDefault="0078670F">
                <w:pPr>
                  <w:tabs>
                    <w:tab w:val="right" w:pos="8838"/>
                  </w:tabs>
                  <w:ind w:right="-105"/>
                  <w:rPr>
                    <w:rFonts w:ascii="Palatino Linotype" w:eastAsia="Palatino Linotype" w:hAnsi="Palatino Linotype" w:cs="Palatino Linotype"/>
                    <w:b/>
                    <w:bCs/>
                    <w:szCs w:val="18"/>
                  </w:rPr>
                </w:pPr>
                <w:r w:rsidRPr="005E184B">
                  <w:rPr>
                    <w:rFonts w:ascii="Palatino Linotype" w:eastAsia="Palatino Linotype" w:hAnsi="Palatino Linotype" w:cs="Palatino Linotype"/>
                    <w:b/>
                    <w:bCs/>
                    <w:szCs w:val="18"/>
                  </w:rPr>
                  <w:t>Comisionada ponente:</w:t>
                </w:r>
              </w:p>
            </w:tc>
            <w:tc>
              <w:tcPr>
                <w:tcW w:w="4920" w:type="dxa"/>
                <w:shd w:val="clear" w:color="auto" w:fill="auto"/>
              </w:tcPr>
              <w:p w:rsidR="005E4CF6" w:rsidRPr="005E184B" w:rsidRDefault="0078670F">
                <w:pPr>
                  <w:tabs>
                    <w:tab w:val="right" w:pos="8838"/>
                  </w:tabs>
                  <w:ind w:right="-1552"/>
                  <w:rPr>
                    <w:rFonts w:ascii="Palatino Linotype" w:eastAsia="Palatino Linotype" w:hAnsi="Palatino Linotype" w:cs="Palatino Linotype"/>
                    <w:szCs w:val="18"/>
                  </w:rPr>
                </w:pPr>
                <w:r w:rsidRPr="005E184B">
                  <w:rPr>
                    <w:rFonts w:ascii="Palatino Linotype" w:eastAsia="Palatino Linotype" w:hAnsi="Palatino Linotype" w:cs="Palatino Linotype"/>
                    <w:szCs w:val="18"/>
                  </w:rPr>
                  <w:t>María del Rosario Mejía Ayala</w:t>
                </w:r>
              </w:p>
              <w:p w:rsidR="005E4CF6" w:rsidRPr="005E184B" w:rsidRDefault="005E4CF6">
                <w:pPr>
                  <w:tabs>
                    <w:tab w:val="right" w:pos="8838"/>
                  </w:tabs>
                  <w:ind w:right="-1552"/>
                  <w:rPr>
                    <w:rFonts w:ascii="Palatino Linotype" w:eastAsia="Palatino Linotype" w:hAnsi="Palatino Linotype" w:cs="Palatino Linotype"/>
                    <w:szCs w:val="18"/>
                  </w:rPr>
                </w:pPr>
              </w:p>
            </w:tc>
          </w:tr>
        </w:tbl>
        <w:p w:rsidR="005E4CF6" w:rsidRDefault="005E4CF6">
          <w:pPr>
            <w:tabs>
              <w:tab w:val="right" w:pos="8838"/>
            </w:tabs>
            <w:ind w:left="-28"/>
            <w:jc w:val="both"/>
            <w:rPr>
              <w:rFonts w:ascii="Arial" w:eastAsia="Arial" w:hAnsi="Arial" w:cs="Arial"/>
              <w:b/>
              <w:bCs/>
              <w:sz w:val="22"/>
              <w:szCs w:val="22"/>
            </w:rPr>
          </w:pPr>
        </w:p>
      </w:tc>
    </w:tr>
  </w:tbl>
  <w:p w:rsidR="005E4CF6" w:rsidRDefault="00692A1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0517E"/>
    <w:multiLevelType w:val="multilevel"/>
    <w:tmpl w:val="1F76476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13551B"/>
    <w:multiLevelType w:val="multilevel"/>
    <w:tmpl w:val="4B4292B4"/>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2213C3"/>
    <w:multiLevelType w:val="multilevel"/>
    <w:tmpl w:val="B4DA949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6C5173"/>
    <w:multiLevelType w:val="multilevel"/>
    <w:tmpl w:val="D5407E00"/>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F6"/>
    <w:rsid w:val="00027ED8"/>
    <w:rsid w:val="004B7586"/>
    <w:rsid w:val="005E184B"/>
    <w:rsid w:val="005E4CF6"/>
    <w:rsid w:val="00604DE5"/>
    <w:rsid w:val="00640C71"/>
    <w:rsid w:val="00692A15"/>
    <w:rsid w:val="00754CAB"/>
    <w:rsid w:val="0078670F"/>
    <w:rsid w:val="00CF6665"/>
    <w:rsid w:val="00EC5506"/>
    <w:rsid w:val="00EE11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DBEF019-5AF6-4666-A1B8-98E3F979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4B7586"/>
    <w:pPr>
      <w:tabs>
        <w:tab w:val="center" w:pos="4419"/>
        <w:tab w:val="right" w:pos="8838"/>
      </w:tabs>
    </w:pPr>
  </w:style>
  <w:style w:type="character" w:customStyle="1" w:styleId="PiedepginaCar">
    <w:name w:val="Pie de página Car"/>
    <w:basedOn w:val="Fuentedeprrafopredeter"/>
    <w:link w:val="Piedepgina"/>
    <w:uiPriority w:val="99"/>
    <w:rsid w:val="004B7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72916.page"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omex.quadratin.com.mx/aclara-gobierno-de-tecamac-rumores-en-caso-bombardero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AytoTecamac?__tn__=-%5dK*F"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NoticiasTecamacOficial/photos/aclara-gobierno-municipal-de-tec%C3%A1mac-2025-2027-rumores-en-caso-bombarderotec%C3%A1mac/1460539185432090/" TargetMode="Externa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U5FCrQXZ9BqdYbO2XOSzqLx2MQ==">CgMxLjAyDmgucW42amp0b2s4czdnMgloLjN6bnlzaDcyCWguM2R5NnZrbTIOaC41N3c5Y21nNzUyZXUyDmguc2c2OXBqZnVzY3o2MgloLjMwajB6bGwyDmguaWxpN2xrNDdqMmUxMgloLjI2aW4xcmcyCWguMzVua3VuMjgAciExWTR4bzhtOXM2M2JRTDB5cWNNNFhLRmxrT1o5ZGlJN0Q=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31</Pages>
  <Words>7712</Words>
  <Characters>42419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2026-05-14T17:35:00Z</cp:lastPrinted>
  <dcterms:created xsi:type="dcterms:W3CDTF">2026-05-13T18:41:00Z</dcterms:created>
  <dcterms:modified xsi:type="dcterms:W3CDTF">2026-05-19T00:08:00Z</dcterms:modified>
</cp:coreProperties>
</file>