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1978" w:rsidRDefault="00C034BB">
      <w:pPr>
        <w:tabs>
          <w:tab w:val="left" w:pos="3465"/>
        </w:tabs>
        <w:spacing w:line="360" w:lineRule="auto"/>
        <w:ind w:right="-1071"/>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 de México; de f</w:t>
      </w:r>
      <w:r w:rsidR="00287DC6">
        <w:rPr>
          <w:rFonts w:ascii="Palatino Linotype" w:eastAsia="Palatino Linotype" w:hAnsi="Palatino Linotype" w:cs="Palatino Linotype"/>
          <w:b/>
          <w:bCs/>
          <w:color w:val="000000"/>
        </w:rPr>
        <w:t>echa veintisiete</w:t>
      </w:r>
      <w:r w:rsidR="00A57866">
        <w:rPr>
          <w:rFonts w:ascii="Palatino Linotype" w:eastAsia="Palatino Linotype" w:hAnsi="Palatino Linotype" w:cs="Palatino Linotype"/>
          <w:b/>
          <w:bCs/>
          <w:color w:val="000000"/>
        </w:rPr>
        <w:t xml:space="preserve"> (27) </w:t>
      </w:r>
      <w:r>
        <w:rPr>
          <w:rFonts w:ascii="Palatino Linotype" w:eastAsia="Palatino Linotype" w:hAnsi="Palatino Linotype" w:cs="Palatino Linotype"/>
          <w:b/>
          <w:bCs/>
          <w:color w:val="000000"/>
        </w:rPr>
        <w:t>de mayo de dos mil veintiséis.</w:t>
      </w:r>
    </w:p>
    <w:p w:rsidR="00A61978" w:rsidRDefault="00A61978">
      <w:pPr>
        <w:tabs>
          <w:tab w:val="left" w:pos="3465"/>
        </w:tabs>
        <w:spacing w:line="360" w:lineRule="auto"/>
        <w:ind w:right="-1071"/>
        <w:jc w:val="both"/>
        <w:rPr>
          <w:rFonts w:ascii="Palatino Linotype" w:eastAsia="Palatino Linotype" w:hAnsi="Palatino Linotype" w:cs="Palatino Linotype"/>
          <w:color w:val="000000"/>
        </w:rPr>
      </w:pPr>
    </w:p>
    <w:p w:rsidR="00A61978" w:rsidRDefault="00C034BB">
      <w:pP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VISTAS </w:t>
      </w:r>
      <w:r>
        <w:rPr>
          <w:rFonts w:ascii="Palatino Linotype" w:eastAsia="Palatino Linotype" w:hAnsi="Palatino Linotype" w:cs="Palatino Linotype"/>
          <w:color w:val="000000"/>
        </w:rPr>
        <w:t xml:space="preserve">las constancias para resolver el Recurso de Revisión </w:t>
      </w:r>
      <w:r>
        <w:rPr>
          <w:rFonts w:ascii="Palatino Linotype" w:eastAsia="Palatino Linotype" w:hAnsi="Palatino Linotype" w:cs="Palatino Linotype"/>
          <w:b/>
          <w:bCs/>
          <w:color w:val="000000"/>
        </w:rPr>
        <w:t>12068/INFOEM/IP/RR/2025,</w:t>
      </w:r>
      <w:r>
        <w:rPr>
          <w:rFonts w:ascii="Palatino Linotype" w:eastAsia="Palatino Linotype" w:hAnsi="Palatino Linotype" w:cs="Palatino Linotype"/>
          <w:color w:val="000000"/>
        </w:rPr>
        <w:t xml:space="preserve"> presentado por</w:t>
      </w:r>
      <w:r>
        <w:rPr>
          <w:rFonts w:ascii="Palatino Linotype" w:eastAsia="Palatino Linotype" w:hAnsi="Palatino Linotype" w:cs="Palatino Linotype"/>
          <w:b/>
          <w:bCs/>
          <w:i/>
          <w:iCs/>
          <w:color w:val="000000"/>
        </w:rPr>
        <w:t xml:space="preserve"> </w:t>
      </w:r>
      <w:r w:rsidR="00B5779F">
        <w:rPr>
          <w:rFonts w:ascii="Palatino Linotype" w:eastAsia="Palatino Linotype" w:hAnsi="Palatino Linotype" w:cs="Palatino Linotype"/>
          <w:b/>
          <w:color w:val="000000"/>
        </w:rPr>
        <w:t>XXXX</w:t>
      </w:r>
      <w:r>
        <w:rPr>
          <w:rFonts w:ascii="Palatino Linotype" w:eastAsia="Palatino Linotype" w:hAnsi="Palatino Linotype" w:cs="Palatino Linotype"/>
          <w:b/>
          <w:bCs/>
          <w:color w:val="000000"/>
        </w:rPr>
        <w:t>,</w:t>
      </w:r>
      <w:r>
        <w:rPr>
          <w:rFonts w:ascii="Palatino Linotype" w:eastAsia="Palatino Linotype" w:hAnsi="Palatino Linotype" w:cs="Palatino Linotype"/>
          <w:color w:val="000000"/>
        </w:rPr>
        <w:t xml:space="preserve"> a quien en lo sucesivo se denominará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 xml:space="preserve">, en contra de la respuesta otorgada a la Solicitud de Información con número de folio </w:t>
      </w:r>
      <w:r>
        <w:rPr>
          <w:rFonts w:ascii="Palatino Linotype" w:eastAsia="Palatino Linotype" w:hAnsi="Palatino Linotype" w:cs="Palatino Linotype"/>
          <w:b/>
          <w:bCs/>
          <w:color w:val="000000"/>
        </w:rPr>
        <w:t>00494/ISEM/IP/2025</w:t>
      </w:r>
      <w:r w:rsidR="00287DC6">
        <w:rPr>
          <w:rFonts w:ascii="Palatino Linotype" w:eastAsia="Palatino Linotype" w:hAnsi="Palatino Linotype" w:cs="Palatino Linotype"/>
          <w:color w:val="000000"/>
        </w:rPr>
        <w:t>, por parte del</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 xml:space="preserve">Instituto de Salud del Estado de México, </w:t>
      </w:r>
      <w:r>
        <w:rPr>
          <w:rFonts w:ascii="Palatino Linotype" w:eastAsia="Palatino Linotype" w:hAnsi="Palatino Linotype" w:cs="Palatino Linotype"/>
          <w:color w:val="000000"/>
        </w:rPr>
        <w:t xml:space="preserve">en adelante </w:t>
      </w:r>
      <w:r>
        <w:rPr>
          <w:rFonts w:ascii="Palatino Linotype" w:eastAsia="Palatino Linotype" w:hAnsi="Palatino Linotype" w:cs="Palatino Linotype"/>
          <w:b/>
          <w:bCs/>
          <w:color w:val="000000"/>
        </w:rPr>
        <w:t>EL SUJETO OBLIGADO,</w:t>
      </w:r>
      <w:r>
        <w:rPr>
          <w:rFonts w:ascii="Palatino Linotype" w:eastAsia="Palatino Linotype" w:hAnsi="Palatino Linotype" w:cs="Palatino Linotype"/>
          <w:color w:val="000000"/>
        </w:rPr>
        <w:t xml:space="preserve"> se emite la presente Resolución con base en los siguientes:</w:t>
      </w:r>
      <w:bookmarkStart w:id="0" w:name="_GoBack"/>
      <w:bookmarkEnd w:id="0"/>
    </w:p>
    <w:p w:rsidR="00A61978" w:rsidRDefault="00A61978">
      <w:pPr>
        <w:spacing w:line="360" w:lineRule="auto"/>
        <w:ind w:right="-1071"/>
        <w:jc w:val="both"/>
        <w:rPr>
          <w:rFonts w:ascii="Palatino Linotype" w:eastAsia="Palatino Linotype" w:hAnsi="Palatino Linotype" w:cs="Palatino Linotype"/>
          <w:color w:val="000000"/>
        </w:rPr>
      </w:pPr>
    </w:p>
    <w:p w:rsidR="00A61978" w:rsidRDefault="00C034BB">
      <w:pPr>
        <w:pStyle w:val="Ttulo1"/>
        <w:spacing w:before="0" w:line="360" w:lineRule="auto"/>
        <w:ind w:right="-1071"/>
        <w:jc w:val="center"/>
        <w:rPr>
          <w:rFonts w:ascii="Palatino Linotype" w:eastAsia="Palatino Linotype" w:hAnsi="Palatino Linotype" w:cs="Palatino Linotype"/>
          <w:b/>
          <w:bCs/>
          <w:color w:val="000000"/>
          <w:sz w:val="24"/>
          <w:szCs w:val="24"/>
        </w:rPr>
      </w:pPr>
      <w:bookmarkStart w:id="1" w:name="_heading=h.gjdgxs" w:colFirst="0" w:colLast="0"/>
      <w:bookmarkEnd w:id="1"/>
      <w:r>
        <w:rPr>
          <w:rFonts w:ascii="Palatino Linotype" w:eastAsia="Palatino Linotype" w:hAnsi="Palatino Linotype" w:cs="Palatino Linotype"/>
          <w:b/>
          <w:bCs/>
          <w:color w:val="000000"/>
          <w:sz w:val="24"/>
          <w:szCs w:val="24"/>
        </w:rPr>
        <w:t>A N T E C E D E N T E S</w:t>
      </w:r>
    </w:p>
    <w:p w:rsidR="00A61978" w:rsidRDefault="00A61978">
      <w:pPr>
        <w:pBdr>
          <w:top w:val="nil"/>
          <w:left w:val="nil"/>
          <w:bottom w:val="nil"/>
          <w:right w:val="nil"/>
          <w:between w:val="nil"/>
        </w:pBdr>
        <w:spacing w:line="360" w:lineRule="auto"/>
        <w:ind w:right="-1071"/>
        <w:jc w:val="both"/>
        <w:rPr>
          <w:rFonts w:ascii="Palatino Linotype" w:eastAsia="Palatino Linotype" w:hAnsi="Palatino Linotype" w:cs="Palatino Linotype"/>
          <w:b/>
          <w:bCs/>
          <w:color w:val="000000"/>
          <w:u w:val="single"/>
        </w:rPr>
      </w:pPr>
    </w:p>
    <w:p w:rsidR="00A61978" w:rsidRDefault="00C034BB">
      <w:pPr>
        <w:numPr>
          <w:ilvl w:val="0"/>
          <w:numId w:val="3"/>
        </w:numPr>
        <w:pBdr>
          <w:top w:val="nil"/>
          <w:left w:val="nil"/>
          <w:bottom w:val="nil"/>
          <w:right w:val="nil"/>
          <w:between w:val="nil"/>
        </w:pBdr>
        <w:tabs>
          <w:tab w:val="left" w:pos="0"/>
        </w:tabs>
        <w:spacing w:line="360" w:lineRule="auto"/>
        <w:ind w:right="-1071"/>
        <w:jc w:val="both"/>
        <w:rPr>
          <w:color w:val="000000"/>
        </w:rPr>
      </w:pPr>
      <w:r>
        <w:rPr>
          <w:rFonts w:ascii="Palatino Linotype" w:eastAsia="Palatino Linotype" w:hAnsi="Palatino Linotype" w:cs="Palatino Linotype"/>
          <w:color w:val="000000"/>
        </w:rPr>
        <w:t>El día</w:t>
      </w:r>
      <w:r>
        <w:rPr>
          <w:rFonts w:ascii="Palatino Linotype" w:eastAsia="Palatino Linotype" w:hAnsi="Palatino Linotype" w:cs="Palatino Linotype"/>
          <w:b/>
          <w:bCs/>
          <w:color w:val="000000"/>
        </w:rPr>
        <w:t xml:space="preserve"> diecisiete de septiembre dos mil veinticinco</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se presentó ante el Sujeto Obligado vía Sistema de Acceso a la Información Mexiquense, en adelante (SAIMEX), la siguiente solicitud de información pública:</w:t>
      </w:r>
    </w:p>
    <w:p w:rsidR="00A61978" w:rsidRDefault="00A61978">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rsidR="00A61978" w:rsidRDefault="00C034BB">
      <w:pPr>
        <w:pBdr>
          <w:top w:val="nil"/>
          <w:left w:val="nil"/>
          <w:bottom w:val="nil"/>
          <w:right w:val="nil"/>
          <w:between w:val="nil"/>
        </w:pBdr>
        <w:spacing w:line="360" w:lineRule="auto"/>
        <w:ind w:left="425"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“Sobre los programas ó campañas de vacunación aplicables a mascotas domésticas, se requiere conocer lo siguiente: - Nombres de los titulares responsables de las campañas. - Listado de voluntarios y participantes que van de casa en casa. - Documentos que deben presentar los participantes a los propietarios de mascotas. - logos ó emblemas que deben portar las batas y/ó uniformes de los participantes. - fechas ó rangos de fechas en las que se realizan las campañas. - coberturas territoriales que se cubren en las campañas. - costos que se deben cubrir por parte de los propietarios de mascotas, y fundamento legal de los mismos. - nombres de los participantes </w:t>
      </w:r>
      <w:r>
        <w:rPr>
          <w:rFonts w:ascii="Palatino Linotype" w:eastAsia="Palatino Linotype" w:hAnsi="Palatino Linotype" w:cs="Palatino Linotype"/>
          <w:i/>
          <w:iCs/>
          <w:color w:val="000000"/>
        </w:rPr>
        <w:lastRenderedPageBreak/>
        <w:t>autorizados a recibir los montos, así como los medios de cobros y pagos autorizados. - documentos que deben presentar los propietarios de mascotas a los participantes de las campañas de vacunación. - datos de contacto de las oficinas responsables de las campañas. - listado de apoyos y/ó pagos económicos ó en especie entregados a los participantes de las campañas. Lo anterior se requiere para los años 2023, 2024 y 2025.”</w:t>
      </w:r>
    </w:p>
    <w:p w:rsidR="00A61978" w:rsidRDefault="00A61978">
      <w:pPr>
        <w:pBdr>
          <w:top w:val="nil"/>
          <w:left w:val="nil"/>
          <w:bottom w:val="nil"/>
          <w:right w:val="nil"/>
          <w:between w:val="nil"/>
        </w:pBdr>
        <w:spacing w:line="360" w:lineRule="auto"/>
        <w:ind w:left="425" w:right="-1071"/>
        <w:jc w:val="both"/>
        <w:rPr>
          <w:rFonts w:ascii="Palatino Linotype" w:eastAsia="Palatino Linotype" w:hAnsi="Palatino Linotype" w:cs="Palatino Linotype"/>
          <w:color w:val="000000"/>
        </w:rPr>
      </w:pPr>
    </w:p>
    <w:p w:rsidR="00A61978" w:rsidRDefault="00C034BB">
      <w:pPr>
        <w:numPr>
          <w:ilvl w:val="0"/>
          <w:numId w:val="6"/>
        </w:numPr>
        <w:pBdr>
          <w:top w:val="nil"/>
          <w:left w:val="nil"/>
          <w:bottom w:val="nil"/>
          <w:right w:val="nil"/>
          <w:between w:val="nil"/>
        </w:pBdr>
        <w:tabs>
          <w:tab w:val="left" w:pos="0"/>
        </w:tabs>
        <w:spacing w:line="360" w:lineRule="auto"/>
        <w:ind w:left="709"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 eligió como modalidad de entrega de la información: </w:t>
      </w:r>
      <w:r>
        <w:rPr>
          <w:rFonts w:ascii="Palatino Linotype" w:eastAsia="Palatino Linotype" w:hAnsi="Palatino Linotype" w:cs="Palatino Linotype"/>
          <w:b/>
          <w:bCs/>
          <w:color w:val="000000"/>
        </w:rPr>
        <w:t>a través de SAIMEX</w:t>
      </w:r>
    </w:p>
    <w:p w:rsidR="00A61978" w:rsidRDefault="00A61978">
      <w:pPr>
        <w:pBdr>
          <w:top w:val="nil"/>
          <w:left w:val="nil"/>
          <w:bottom w:val="nil"/>
          <w:right w:val="nil"/>
          <w:between w:val="nil"/>
        </w:pBdr>
        <w:tabs>
          <w:tab w:val="left" w:pos="0"/>
        </w:tabs>
        <w:spacing w:line="360" w:lineRule="auto"/>
        <w:ind w:left="709" w:right="-1071"/>
        <w:jc w:val="both"/>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tabs>
          <w:tab w:val="left" w:pos="0"/>
        </w:tabs>
        <w:spacing w:line="360" w:lineRule="auto"/>
        <w:ind w:right="-1071"/>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ocho de octubre de dos mil veinticinco</w:t>
      </w:r>
      <w:r>
        <w:rPr>
          <w:rFonts w:ascii="Palatino Linotype" w:eastAsia="Palatino Linotype" w:hAnsi="Palatino Linotype" w:cs="Palatino Linotype"/>
          <w:color w:val="000000"/>
        </w:rPr>
        <w:t xml:space="preserv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dio respuesta a la solicitud de acceso a la información a través de SAIMEX, mediante dos archivos electrónicos, denominados </w:t>
      </w:r>
      <w:r>
        <w:rPr>
          <w:rFonts w:ascii="Palatino Linotype" w:eastAsia="Palatino Linotype" w:hAnsi="Palatino Linotype" w:cs="Palatino Linotype"/>
          <w:b/>
          <w:bCs/>
          <w:i/>
          <w:iCs/>
          <w:color w:val="000000"/>
        </w:rPr>
        <w:t>Scanned-image08-10-2025-181708.pdf</w:t>
      </w:r>
      <w:r>
        <w:rPr>
          <w:rFonts w:ascii="Palatino Linotype" w:eastAsia="Palatino Linotype" w:hAnsi="Palatino Linotype" w:cs="Palatino Linotype"/>
          <w:color w:val="000000"/>
        </w:rPr>
        <w:t xml:space="preserve"> y, </w:t>
      </w:r>
      <w:r>
        <w:rPr>
          <w:rFonts w:ascii="Palatino Linotype" w:eastAsia="Palatino Linotype" w:hAnsi="Palatino Linotype" w:cs="Palatino Linotype"/>
          <w:b/>
          <w:bCs/>
          <w:i/>
          <w:iCs/>
          <w:color w:val="000000"/>
        </w:rPr>
        <w:t>sol 00494 2025.pdf</w:t>
      </w:r>
      <w:r>
        <w:rPr>
          <w:rFonts w:ascii="Palatino Linotype" w:eastAsia="Palatino Linotype" w:hAnsi="Palatino Linotype" w:cs="Palatino Linotype"/>
          <w:color w:val="000000"/>
        </w:rPr>
        <w:t>, que corresponde a una tarjeta informativa, suscrita por la Encargada del Despacho de la Subdirección de Prevención y Control de Enfermedades, a través de la cual se informa, sobre los programas o campañas de vacunación aplicables a mascotas domésticas, los rubros que se vertieron en la solicitud de información inicial, en los años 2023, 2024 y 2025 y, un escritos signado por la Jefa de la Unidad de Información, Planeación, Programación y Evaluación y Titular de la Unidad de Transparencia en el ISEM, a través del cual informa al solicitante de la respuesta emitida por el servidor público habilitado de la Dirección de Servicios de Salud.</w:t>
      </w:r>
    </w:p>
    <w:p w:rsidR="00A61978" w:rsidRDefault="00A61978">
      <w:pPr>
        <w:pBdr>
          <w:top w:val="nil"/>
          <w:left w:val="nil"/>
          <w:bottom w:val="nil"/>
          <w:right w:val="nil"/>
          <w:between w:val="nil"/>
        </w:pBdr>
        <w:spacing w:line="360" w:lineRule="auto"/>
        <w:ind w:left="720" w:right="-1071"/>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tabs>
          <w:tab w:val="left" w:pos="0"/>
        </w:tabs>
        <w:spacing w:line="360" w:lineRule="auto"/>
        <w:ind w:right="-1071"/>
        <w:jc w:val="both"/>
        <w:rPr>
          <w:color w:val="000000"/>
        </w:rPr>
      </w:pPr>
      <w:r>
        <w:rPr>
          <w:rFonts w:ascii="Palatino Linotype" w:eastAsia="Palatino Linotype" w:hAnsi="Palatino Linotype" w:cs="Palatino Linotype"/>
          <w:color w:val="000000"/>
        </w:rPr>
        <w:t>El</w:t>
      </w:r>
      <w:r>
        <w:rPr>
          <w:rFonts w:ascii="Palatino Linotype" w:eastAsia="Palatino Linotype" w:hAnsi="Palatino Linotype" w:cs="Palatino Linotype"/>
          <w:b/>
          <w:bCs/>
          <w:color w:val="000000"/>
        </w:rPr>
        <w:t xml:space="preserve"> dieciocho de octubre de dos mil veinticinco, </w:t>
      </w:r>
      <w:r>
        <w:rPr>
          <w:rFonts w:ascii="Palatino Linotype" w:eastAsia="Palatino Linotype" w:hAnsi="Palatino Linotype" w:cs="Palatino Linotype"/>
          <w:color w:val="000000"/>
        </w:rPr>
        <w:t xml:space="preserve">la parte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interpuso el recurso de revisión a través de </w:t>
      </w:r>
      <w:r>
        <w:rPr>
          <w:rFonts w:ascii="Palatino Linotype" w:eastAsia="Palatino Linotype" w:hAnsi="Palatino Linotype" w:cs="Palatino Linotype"/>
          <w:b/>
          <w:bCs/>
          <w:color w:val="000000"/>
        </w:rPr>
        <w:t xml:space="preserve">SAIMEX, </w:t>
      </w:r>
      <w:r>
        <w:rPr>
          <w:rFonts w:ascii="Palatino Linotype" w:eastAsia="Palatino Linotype" w:hAnsi="Palatino Linotype" w:cs="Palatino Linotype"/>
          <w:color w:val="000000"/>
        </w:rPr>
        <w:t>en donde se manifestó lo siguiente:</w:t>
      </w:r>
    </w:p>
    <w:p w:rsidR="00A61978" w:rsidRDefault="00A61978">
      <w:pPr>
        <w:pBdr>
          <w:top w:val="nil"/>
          <w:left w:val="nil"/>
          <w:bottom w:val="nil"/>
          <w:right w:val="nil"/>
          <w:between w:val="nil"/>
        </w:pBdr>
        <w:tabs>
          <w:tab w:val="left" w:pos="0"/>
        </w:tabs>
        <w:spacing w:line="360" w:lineRule="auto"/>
        <w:ind w:right="-1071"/>
        <w:jc w:val="both"/>
        <w:rPr>
          <w:rFonts w:ascii="Palatino Linotype" w:eastAsia="Palatino Linotype" w:hAnsi="Palatino Linotype" w:cs="Palatino Linotype"/>
          <w:color w:val="000000"/>
        </w:rPr>
      </w:pPr>
    </w:p>
    <w:p w:rsidR="00A57866" w:rsidRDefault="00A57866">
      <w:pPr>
        <w:pBdr>
          <w:top w:val="nil"/>
          <w:left w:val="nil"/>
          <w:bottom w:val="nil"/>
          <w:right w:val="nil"/>
          <w:between w:val="nil"/>
        </w:pBdr>
        <w:tabs>
          <w:tab w:val="left" w:pos="0"/>
        </w:tabs>
        <w:spacing w:line="360" w:lineRule="auto"/>
        <w:ind w:right="-1071"/>
        <w:jc w:val="both"/>
        <w:rPr>
          <w:rFonts w:ascii="Palatino Linotype" w:eastAsia="Palatino Linotype" w:hAnsi="Palatino Linotype" w:cs="Palatino Linotype"/>
          <w:color w:val="000000"/>
        </w:rPr>
      </w:pPr>
    </w:p>
    <w:p w:rsidR="00A61978" w:rsidRDefault="00C034BB">
      <w:pPr>
        <w:numPr>
          <w:ilvl w:val="0"/>
          <w:numId w:val="2"/>
        </w:numPr>
        <w:tabs>
          <w:tab w:val="left" w:pos="2745"/>
        </w:tabs>
        <w:spacing w:line="360" w:lineRule="auto"/>
        <w:ind w:right="-107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 xml:space="preserve">Acto impugnado: </w:t>
      </w:r>
    </w:p>
    <w:p w:rsidR="00A61978" w:rsidRDefault="00C034BB">
      <w:pPr>
        <w:tabs>
          <w:tab w:val="left" w:pos="2745"/>
        </w:tabs>
        <w:spacing w:line="360" w:lineRule="auto"/>
        <w:ind w:left="709"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“En la solicitud se realizaron varios planteamientos muy específicos, pero estos no fueron respondidos.”</w:t>
      </w:r>
    </w:p>
    <w:p w:rsidR="00A61978" w:rsidRDefault="00A61978">
      <w:pPr>
        <w:tabs>
          <w:tab w:val="left" w:pos="2745"/>
        </w:tabs>
        <w:spacing w:line="360" w:lineRule="auto"/>
        <w:ind w:left="709" w:right="-1071"/>
        <w:jc w:val="both"/>
        <w:rPr>
          <w:rFonts w:ascii="Palatino Linotype" w:eastAsia="Palatino Linotype" w:hAnsi="Palatino Linotype" w:cs="Palatino Linotype"/>
          <w:i/>
          <w:iCs/>
          <w:color w:val="000000"/>
        </w:rPr>
      </w:pPr>
    </w:p>
    <w:p w:rsidR="00A61978" w:rsidRDefault="00C034BB">
      <w:pPr>
        <w:numPr>
          <w:ilvl w:val="0"/>
          <w:numId w:val="1"/>
        </w:numPr>
        <w:spacing w:line="360" w:lineRule="auto"/>
        <w:ind w:right="-1071"/>
        <w:jc w:val="both"/>
        <w:rPr>
          <w:rFonts w:ascii="Palatino Linotype" w:eastAsia="Palatino Linotype" w:hAnsi="Palatino Linotype" w:cs="Palatino Linotype"/>
          <w:color w:val="000000"/>
        </w:rPr>
      </w:pPr>
      <w:bookmarkStart w:id="2" w:name="_heading=h.30j0zll" w:colFirst="0" w:colLast="0"/>
      <w:bookmarkEnd w:id="2"/>
      <w:r>
        <w:rPr>
          <w:rFonts w:ascii="Palatino Linotype" w:eastAsia="Palatino Linotype" w:hAnsi="Palatino Linotype" w:cs="Palatino Linotype"/>
          <w:b/>
          <w:bCs/>
          <w:color w:val="000000"/>
        </w:rPr>
        <w:t>Razones o motivos de inconformidad</w:t>
      </w:r>
      <w:r>
        <w:rPr>
          <w:rFonts w:ascii="Palatino Linotype" w:eastAsia="Palatino Linotype" w:hAnsi="Palatino Linotype" w:cs="Palatino Linotype"/>
          <w:color w:val="000000"/>
        </w:rPr>
        <w:t>:</w:t>
      </w:r>
    </w:p>
    <w:p w:rsidR="00A61978" w:rsidRDefault="00C034BB">
      <w:pPr>
        <w:tabs>
          <w:tab w:val="left" w:pos="2745"/>
        </w:tabs>
        <w:spacing w:line="360" w:lineRule="auto"/>
        <w:ind w:left="709"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“No se entregan los nombres ni documento que acredite nombres de titulares responsables de campañas de vacunación, para ningún ejercicio fiscal solicitado. Al revisar tanto la plataforma nacional de transparencia como el ipomex, no se encontró ningún nombre de responsbles ó titulares al respecto. No se entrega ningún listado de voluntarios ni participantes que hayan participado, como si no hubiera ninguna campaña realizada, ni se acompaña por ningún acuerdo de inexistencia de información al respecto de los años solicitados. La respuesta manifiesta que el personal no debe presentar documento alguno a los propietarios de mascotas, lo que deja a la población indefensa ante estafas e incertidumbre pues no se sabe quienes son los aplicadores auténticos, además los aplicadores también toman datos de las mascotas y los dueños, por lo que además de los gafetes institucionales deberían presentar el aviso de privacidad tanto el simplificado como el inegral, por lo que se solicita se incluyan dichos avisos de privacidad como parte de los documentos que deben exhibirse y entregarse por esta vía. Respecto de los logos o emblemas que deben portar las batas y/o uniformes de participantes, aquí hay una contradicción, pues según la respuesta sí hay logos/emblemas que se deben portar pero no hay listado de participantes (según otra respuesta), se requiere de aclarar la presente por los años solicitados. En las fechas ó rangos de fechas en que se realizan las campañas, menciona que en marzo y septiembre, pero no aclara si son dos campañas, o si se trata de una campaña que dura desde marzo hasta septiembre, y no menciona si hay fechas específicas de inicio y fin de las mismas, en ningún ejercicio fiscal solicitado. Respecto de las coberturas territoriales, no se manifiesta cuáles </w:t>
      </w:r>
      <w:r>
        <w:rPr>
          <w:rFonts w:ascii="Palatino Linotype" w:eastAsia="Palatino Linotype" w:hAnsi="Palatino Linotype" w:cs="Palatino Linotype"/>
          <w:i/>
          <w:iCs/>
          <w:color w:val="000000"/>
        </w:rPr>
        <w:lastRenderedPageBreak/>
        <w:t>municipios, ni cuáles colonias, solo se menciona que se cubre el territorio del estado de México, pero en la región donde radico no pasó ninguna campaña ni se emitió ningún comunicado, por lo que se pide detallar la respuesta. Respecto de los costos que deban cubrirse, personal y mecanismos autorizados a recibir montos, documentos que deban presentar propietarios de mascotas, queda solventada la respuesta. Respecto de los datos de contacto de las oficinas responsables, se menciona un número de teléfono y una extensión, falta un correo electrónico. De los apoyos y pagos económicos ó en especie entregados a los participantes de campañas, no se menciona nada, por lo que se solicita se entregue la documentación relacionada por los años mencionados (2025, 2024 y 2023). Como parte de la respuesta emitida, se menciona el manual general de orgenización del instituto de salud del estado de México, el cual fue buscado en el ipomex y en la plataforma nacional de transparencia, sin encontrar dicho manual; por lo que se solicita se entregue dicho manual como parte de lo faltante.”</w:t>
      </w:r>
    </w:p>
    <w:p w:rsidR="00A61978" w:rsidRDefault="00A61978">
      <w:pPr>
        <w:pBdr>
          <w:top w:val="nil"/>
          <w:left w:val="nil"/>
          <w:bottom w:val="nil"/>
          <w:right w:val="nil"/>
          <w:between w:val="nil"/>
        </w:pBdr>
        <w:spacing w:line="360" w:lineRule="auto"/>
        <w:ind w:left="709" w:right="-1071"/>
        <w:jc w:val="both"/>
        <w:rPr>
          <w:rFonts w:ascii="Palatino Linotype" w:eastAsia="Palatino Linotype" w:hAnsi="Palatino Linotype" w:cs="Palatino Linotype"/>
          <w:i/>
          <w:iCs/>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Con fecha</w:t>
      </w:r>
      <w:r>
        <w:rPr>
          <w:rFonts w:ascii="Palatino Linotype" w:eastAsia="Palatino Linotype" w:hAnsi="Palatino Linotype" w:cs="Palatino Linotype"/>
          <w:b/>
          <w:bCs/>
          <w:color w:val="000000"/>
        </w:rPr>
        <w:t xml:space="preserve"> veinte de octubre dos mil veinticinco, </w:t>
      </w:r>
      <w:r>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admitió a trámite el recurso de revisión que ahora se resuelve, dando un plazo máximo de siete días hábiles para que las partes </w:t>
      </w:r>
      <w:r>
        <w:rPr>
          <w:rFonts w:ascii="Palatino Linotype" w:eastAsia="Palatino Linotype" w:hAnsi="Palatino Linotype" w:cs="Palatino Linotype"/>
        </w:rPr>
        <w:t>manifestaron</w:t>
      </w:r>
      <w:r>
        <w:rPr>
          <w:rFonts w:ascii="Palatino Linotype" w:eastAsia="Palatino Linotype" w:hAnsi="Palatino Linotype" w:cs="Palatino Linotype"/>
          <w:color w:val="000000"/>
        </w:rPr>
        <w:t xml:space="preserve"> lo que a su derecho resultara conveniente, ofrecieran pruebas, </w:t>
      </w:r>
      <w:r>
        <w:rPr>
          <w:rFonts w:ascii="Palatino Linotype" w:eastAsia="Palatino Linotype" w:hAnsi="Palatino Linotype" w:cs="Palatino Linotype"/>
        </w:rPr>
        <w:t>formulen</w:t>
      </w:r>
      <w:r>
        <w:rPr>
          <w:rFonts w:ascii="Palatino Linotype" w:eastAsia="Palatino Linotype" w:hAnsi="Palatino Linotype" w:cs="Palatino Linotype"/>
          <w:color w:val="000000"/>
        </w:rPr>
        <w:t xml:space="preserve"> alegatos y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rPr>
        <w:t>presentará</w:t>
      </w:r>
      <w:r>
        <w:rPr>
          <w:rFonts w:ascii="Palatino Linotype" w:eastAsia="Palatino Linotype" w:hAnsi="Palatino Linotype" w:cs="Palatino Linotype"/>
          <w:color w:val="000000"/>
        </w:rPr>
        <w:t xml:space="preserve"> su informe justificado.</w:t>
      </w:r>
    </w:p>
    <w:p w:rsidR="00A61978" w:rsidRDefault="00A61978">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El</w:t>
      </w:r>
      <w:r>
        <w:rPr>
          <w:rFonts w:ascii="Palatino Linotype" w:eastAsia="Palatino Linotype" w:hAnsi="Palatino Linotype" w:cs="Palatino Linotype"/>
          <w:b/>
          <w:bCs/>
          <w:color w:val="000000"/>
        </w:rPr>
        <w:t xml:space="preserve"> SUJETO OBLIGADO </w:t>
      </w:r>
      <w:r>
        <w:rPr>
          <w:rFonts w:ascii="Palatino Linotype" w:eastAsia="Palatino Linotype" w:hAnsi="Palatino Linotype" w:cs="Palatino Linotype"/>
          <w:color w:val="000000"/>
        </w:rPr>
        <w:t xml:space="preserve">fue omiso en rendir el informe justificado correspondiente. Por su parte, 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dejó de realizar manifestaciones que a su derecho conviniera y asistiera.</w:t>
      </w:r>
    </w:p>
    <w:p w:rsidR="00A61978" w:rsidRDefault="00A61978">
      <w:pPr>
        <w:pBdr>
          <w:top w:val="nil"/>
          <w:left w:val="nil"/>
          <w:bottom w:val="nil"/>
          <w:right w:val="nil"/>
          <w:between w:val="nil"/>
        </w:pBdr>
        <w:spacing w:line="360" w:lineRule="auto"/>
        <w:ind w:left="720" w:right="-1071"/>
        <w:rPr>
          <w:rFonts w:ascii="Palatino Linotype" w:eastAsia="Palatino Linotype" w:hAnsi="Palatino Linotype" w:cs="Palatino Linotype"/>
          <w:b/>
          <w:bCs/>
          <w:color w:val="000000"/>
        </w:rPr>
      </w:pPr>
    </w:p>
    <w:p w:rsidR="00A61978" w:rsidRDefault="00C034BB">
      <w:pPr>
        <w:numPr>
          <w:ilvl w:val="0"/>
          <w:numId w:val="3"/>
        </w:numPr>
        <w:pBdr>
          <w:top w:val="nil"/>
          <w:left w:val="nil"/>
          <w:bottom w:val="nil"/>
          <w:right w:val="nil"/>
          <w:between w:val="nil"/>
        </w:pBdr>
        <w:spacing w:line="360" w:lineRule="auto"/>
        <w:ind w:right="-1071"/>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lastRenderedPageBreak/>
        <w:t xml:space="preserve">Seguidamente en fecha </w:t>
      </w:r>
      <w:r>
        <w:rPr>
          <w:rFonts w:ascii="Palatino Linotype" w:eastAsia="Palatino Linotype" w:hAnsi="Palatino Linotype" w:cs="Palatino Linotype"/>
          <w:b/>
          <w:bCs/>
          <w:color w:val="000000"/>
        </w:rPr>
        <w:t>veinte de mayo de dos mil veintiséis</w:t>
      </w:r>
      <w:r>
        <w:rPr>
          <w:rFonts w:ascii="Palatino Linotype" w:eastAsia="Palatino Linotype" w:hAnsi="Palatino Linotype" w:cs="Palatino Linotype"/>
          <w:color w:val="000000"/>
        </w:rPr>
        <w:t>, se amplió el término para resolver. Por ello, es menester precisar que, si bien se ha excedido el plazo para resolver el presente medio de impugnación, de conformidad con la ley de la materia, el plazo para emitir la resolución se encuentra justificado en los elementos para medir la razonabilidad de asuntos conforme a los parámetros establecidos por diversos órganos jurisdiccionales federales, aplicables también en procedimientos análogos, como el que nos ocupa.</w:t>
      </w:r>
    </w:p>
    <w:p w:rsidR="00A61978" w:rsidRDefault="00A61978">
      <w:pPr>
        <w:pBdr>
          <w:top w:val="nil"/>
          <w:left w:val="nil"/>
          <w:bottom w:val="nil"/>
          <w:right w:val="nil"/>
          <w:between w:val="nil"/>
        </w:pBdr>
        <w:spacing w:line="360" w:lineRule="auto"/>
        <w:ind w:left="502" w:right="-1071"/>
        <w:jc w:val="both"/>
        <w:rPr>
          <w:rFonts w:ascii="Palatino Linotype" w:eastAsia="Palatino Linotype" w:hAnsi="Palatino Linotype" w:cs="Palatino Linotype"/>
        </w:rPr>
      </w:pPr>
    </w:p>
    <w:p w:rsidR="00A61978" w:rsidRDefault="00C034BB">
      <w:pPr>
        <w:numPr>
          <w:ilvl w:val="0"/>
          <w:numId w:val="3"/>
        </w:numPr>
        <w:pBdr>
          <w:top w:val="nil"/>
          <w:left w:val="nil"/>
          <w:bottom w:val="nil"/>
          <w:right w:val="nil"/>
          <w:between w:val="nil"/>
        </w:pBdr>
        <w:spacing w:line="360" w:lineRule="auto"/>
        <w:ind w:right="-1071"/>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Consecutivamente se decretó el cierre de instrucción mediante Acuerdo de misma fecha, por lo que no habiendo más que hacer constar y,</w:t>
      </w:r>
    </w:p>
    <w:p w:rsidR="00A61978" w:rsidRDefault="00A61978">
      <w:pPr>
        <w:pBdr>
          <w:top w:val="nil"/>
          <w:left w:val="nil"/>
          <w:bottom w:val="nil"/>
          <w:right w:val="nil"/>
          <w:between w:val="nil"/>
        </w:pBdr>
        <w:spacing w:line="360" w:lineRule="auto"/>
        <w:ind w:left="720" w:right="-1071"/>
        <w:rPr>
          <w:rFonts w:ascii="Palatino Linotype" w:eastAsia="Palatino Linotype" w:hAnsi="Palatino Linotype" w:cs="Palatino Linotype"/>
          <w:b/>
          <w:bCs/>
          <w:color w:val="000000"/>
        </w:rPr>
      </w:pPr>
    </w:p>
    <w:p w:rsidR="00A61978" w:rsidRDefault="00C034BB">
      <w:pPr>
        <w:pBdr>
          <w:top w:val="nil"/>
          <w:left w:val="nil"/>
          <w:bottom w:val="nil"/>
          <w:right w:val="nil"/>
          <w:between w:val="nil"/>
        </w:pBdr>
        <w:spacing w:line="360" w:lineRule="auto"/>
        <w:ind w:right="-1071"/>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 O N S I D E R A N D O</w:t>
      </w:r>
    </w:p>
    <w:p w:rsidR="00A61978" w:rsidRDefault="00A61978">
      <w:pPr>
        <w:pBdr>
          <w:top w:val="nil"/>
          <w:left w:val="nil"/>
          <w:bottom w:val="nil"/>
          <w:right w:val="nil"/>
          <w:between w:val="nil"/>
        </w:pBdr>
        <w:spacing w:line="360" w:lineRule="auto"/>
        <w:ind w:right="-1071"/>
        <w:jc w:val="both"/>
        <w:rPr>
          <w:rFonts w:ascii="Palatino Linotype" w:eastAsia="Palatino Linotype" w:hAnsi="Palatino Linotype" w:cs="Palatino Linotype"/>
          <w:b/>
          <w:bCs/>
          <w:color w:val="000000"/>
        </w:rPr>
      </w:pPr>
    </w:p>
    <w:p w:rsidR="00A61978" w:rsidRDefault="00C034BB">
      <w:pPr>
        <w:pStyle w:val="Ttulo2"/>
        <w:spacing w:before="0" w:line="360" w:lineRule="auto"/>
        <w:ind w:right="-1071"/>
        <w:rPr>
          <w:rFonts w:ascii="Palatino Linotype" w:eastAsia="Palatino Linotype" w:hAnsi="Palatino Linotype" w:cs="Palatino Linotype"/>
          <w:b/>
          <w:bCs/>
          <w:color w:val="000000"/>
          <w:sz w:val="24"/>
          <w:szCs w:val="24"/>
        </w:rPr>
      </w:pPr>
      <w:bookmarkStart w:id="3" w:name="_heading=h.3znysh7" w:colFirst="0" w:colLast="0"/>
      <w:bookmarkEnd w:id="3"/>
      <w:r>
        <w:rPr>
          <w:rFonts w:ascii="Palatino Linotype" w:eastAsia="Palatino Linotype" w:hAnsi="Palatino Linotype" w:cs="Palatino Linotype"/>
          <w:b/>
          <w:bCs/>
          <w:color w:val="000000"/>
          <w:sz w:val="24"/>
          <w:szCs w:val="24"/>
        </w:rPr>
        <w:t>PRIMERO. Competencia</w:t>
      </w: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A61978" w:rsidRDefault="00A61978">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rsidR="00A61978" w:rsidRDefault="00C034BB">
      <w:pPr>
        <w:pStyle w:val="Ttulo2"/>
        <w:spacing w:before="0" w:line="360" w:lineRule="auto"/>
        <w:ind w:right="-1071"/>
        <w:rPr>
          <w:rFonts w:ascii="Palatino Linotype" w:eastAsia="Palatino Linotype" w:hAnsi="Palatino Linotype" w:cs="Palatino Linotype"/>
          <w:b/>
          <w:bCs/>
          <w:color w:val="000000"/>
          <w:sz w:val="24"/>
          <w:szCs w:val="24"/>
        </w:rPr>
      </w:pPr>
      <w:bookmarkStart w:id="4" w:name="_heading=h.2et92p0" w:colFirst="0" w:colLast="0"/>
      <w:bookmarkEnd w:id="4"/>
      <w:r>
        <w:rPr>
          <w:rFonts w:ascii="Palatino Linotype" w:eastAsia="Palatino Linotype" w:hAnsi="Palatino Linotype" w:cs="Palatino Linotype"/>
          <w:b/>
          <w:bCs/>
          <w:color w:val="000000"/>
          <w:sz w:val="24"/>
          <w:szCs w:val="24"/>
        </w:rPr>
        <w:lastRenderedPageBreak/>
        <w:t>SEGUNDO. Procedencia.</w:t>
      </w: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Este Órgano Garante considera que el medio de impugnación reúne los requisitos de procedencia 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el Recurrente ante otra instancia.</w:t>
      </w:r>
    </w:p>
    <w:p w:rsidR="00A61978" w:rsidRDefault="00A61978">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 xml:space="preserve">Por otro lado, es de suma importancia señalar que la parte recurrente no proporciona un </w:t>
      </w:r>
      <w:r>
        <w:rPr>
          <w:rFonts w:ascii="Palatino Linotype" w:eastAsia="Palatino Linotype" w:hAnsi="Palatino Linotype" w:cs="Palatino Linotype"/>
          <w:color w:val="000000"/>
          <w:u w:val="single"/>
        </w:rPr>
        <w:t>nombre completo</w:t>
      </w:r>
      <w:r>
        <w:rPr>
          <w:rFonts w:ascii="Palatino Linotype" w:eastAsia="Palatino Linotype" w:hAnsi="Palatino Linotype" w:cs="Palatino Linotype"/>
          <w:color w:val="000000"/>
        </w:rPr>
        <w:t xml:space="preserve">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A61978" w:rsidRDefault="00C034BB">
      <w:pP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Las solicitudes anónimas</w:t>
      </w:r>
      <w:r>
        <w:rPr>
          <w:rFonts w:ascii="Palatino Linotype" w:eastAsia="Palatino Linotype" w:hAnsi="Palatino Linotype" w:cs="Palatino Linotype"/>
          <w:i/>
          <w:iCs/>
          <w:color w:val="000000"/>
        </w:rPr>
        <w:t xml:space="preserve">, con nombre incompleto o seudónimo </w:t>
      </w:r>
      <w:r>
        <w:rPr>
          <w:rFonts w:ascii="Palatino Linotype" w:eastAsia="Palatino Linotype" w:hAnsi="Palatino Linotype" w:cs="Palatino Linotype"/>
          <w:b/>
          <w:bCs/>
          <w:i/>
          <w:iCs/>
          <w:color w:val="000000"/>
        </w:rPr>
        <w:t>serán procedentes para su trámite por parte del sujeto obligado ante quien se presente</w:t>
      </w:r>
      <w:r>
        <w:rPr>
          <w:rFonts w:ascii="Palatino Linotype" w:eastAsia="Palatino Linotype" w:hAnsi="Palatino Linotype" w:cs="Palatino Linotype"/>
          <w:i/>
          <w:iCs/>
          <w:color w:val="000000"/>
        </w:rPr>
        <w:t>. No podrá requerirse información adicional con motivo del nombre proporcionado por el solicitante."</w:t>
      </w:r>
    </w:p>
    <w:p w:rsidR="00A61978" w:rsidRDefault="00A61978">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Finalmente, el escrito contiene las formalidades previstas por el artículo 180 último párrafo de la citada Ley de la Materia, por lo que es procedente que este Instituto conozca y resuelva el presente Recurso de Revisión.</w:t>
      </w:r>
    </w:p>
    <w:p w:rsidR="00A61978" w:rsidRDefault="00A61978">
      <w:pPr>
        <w:pBdr>
          <w:top w:val="nil"/>
          <w:left w:val="nil"/>
          <w:bottom w:val="nil"/>
          <w:right w:val="nil"/>
          <w:between w:val="nil"/>
        </w:pBdr>
        <w:spacing w:line="360" w:lineRule="auto"/>
        <w:ind w:right="-1071"/>
        <w:rPr>
          <w:rFonts w:ascii="Palatino Linotype" w:eastAsia="Palatino Linotype" w:hAnsi="Palatino Linotype" w:cs="Palatino Linotype"/>
          <w:color w:val="000000"/>
        </w:rPr>
      </w:pPr>
    </w:p>
    <w:p w:rsidR="00A61978" w:rsidRDefault="00C034BB">
      <w:pPr>
        <w:pStyle w:val="Ttulo2"/>
        <w:tabs>
          <w:tab w:val="left" w:pos="284"/>
          <w:tab w:val="left" w:pos="426"/>
        </w:tabs>
        <w:spacing w:before="0" w:line="360" w:lineRule="auto"/>
        <w:ind w:right="-1071"/>
        <w:rPr>
          <w:rFonts w:ascii="Palatino Linotype" w:eastAsia="Palatino Linotype" w:hAnsi="Palatino Linotype" w:cs="Palatino Linotype"/>
          <w:b/>
          <w:bCs/>
          <w:color w:val="000000"/>
          <w:sz w:val="24"/>
          <w:szCs w:val="24"/>
        </w:rPr>
      </w:pPr>
      <w:bookmarkStart w:id="5" w:name="_heading=h.tyjcwt" w:colFirst="0" w:colLast="0"/>
      <w:bookmarkEnd w:id="5"/>
      <w:r>
        <w:rPr>
          <w:rFonts w:ascii="Palatino Linotype" w:eastAsia="Palatino Linotype" w:hAnsi="Palatino Linotype" w:cs="Palatino Linotype"/>
          <w:b/>
          <w:bCs/>
          <w:color w:val="000000"/>
          <w:sz w:val="24"/>
          <w:szCs w:val="24"/>
        </w:rPr>
        <w:t xml:space="preserve">TERCERO. Del planteamiento de la </w:t>
      </w:r>
      <w:r>
        <w:rPr>
          <w:rFonts w:ascii="Palatino Linotype" w:eastAsia="Palatino Linotype" w:hAnsi="Palatino Linotype" w:cs="Palatino Linotype"/>
          <w:b/>
          <w:bCs/>
          <w:i/>
          <w:iCs/>
          <w:color w:val="000000"/>
          <w:sz w:val="24"/>
          <w:szCs w:val="24"/>
        </w:rPr>
        <w:t>Litis.</w:t>
      </w: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Se solicitó tener acceso, a la información que a continuación se simplifica:</w:t>
      </w:r>
    </w:p>
    <w:p w:rsidR="00A61978" w:rsidRDefault="00A61978">
      <w:pPr>
        <w:pBdr>
          <w:top w:val="nil"/>
          <w:left w:val="nil"/>
          <w:bottom w:val="nil"/>
          <w:right w:val="nil"/>
          <w:between w:val="nil"/>
        </w:pBdr>
        <w:spacing w:line="360" w:lineRule="auto"/>
        <w:ind w:right="-1071"/>
        <w:jc w:val="both"/>
        <w:rPr>
          <w:rFonts w:ascii="Palatino Linotype" w:eastAsia="Palatino Linotype" w:hAnsi="Palatino Linotype" w:cs="Palatino Linotype"/>
          <w:b/>
          <w:bCs/>
          <w:color w:val="000000"/>
        </w:rPr>
      </w:pPr>
    </w:p>
    <w:p w:rsidR="00A61978" w:rsidRDefault="00C034BB">
      <w:pPr>
        <w:pBdr>
          <w:top w:val="nil"/>
          <w:left w:val="nil"/>
          <w:bottom w:val="nil"/>
          <w:right w:val="nil"/>
          <w:between w:val="nil"/>
        </w:pBdr>
        <w:spacing w:line="360" w:lineRule="auto"/>
        <w:ind w:left="1080"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Sobre los programas o campañas de vacunación aplicables a mascotas domésticas en los años 2023, 2024 y 2025, lo siguiente:</w:t>
      </w:r>
    </w:p>
    <w:p w:rsidR="00A61978" w:rsidRDefault="00C034BB">
      <w:pPr>
        <w:numPr>
          <w:ilvl w:val="0"/>
          <w:numId w:val="4"/>
        </w:num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Nombres de los titulares responsables de las campañas</w:t>
      </w:r>
    </w:p>
    <w:p w:rsidR="00A61978" w:rsidRDefault="00C034BB">
      <w:pPr>
        <w:numPr>
          <w:ilvl w:val="0"/>
          <w:numId w:val="4"/>
        </w:num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Listado de voluntarios y participantes que van de casa en casa. </w:t>
      </w:r>
    </w:p>
    <w:p w:rsidR="00A61978" w:rsidRDefault="00C034BB">
      <w:pPr>
        <w:numPr>
          <w:ilvl w:val="0"/>
          <w:numId w:val="4"/>
        </w:num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Documentos que deben presentar los participantes a los propietarios de mascotas. </w:t>
      </w:r>
    </w:p>
    <w:p w:rsidR="00A61978" w:rsidRDefault="00C034BB">
      <w:pPr>
        <w:numPr>
          <w:ilvl w:val="0"/>
          <w:numId w:val="4"/>
        </w:num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Logotipos o emblemas que deben portar, batas y/o uniformes de los participantes</w:t>
      </w:r>
    </w:p>
    <w:p w:rsidR="00A61978" w:rsidRDefault="00C034BB">
      <w:pPr>
        <w:numPr>
          <w:ilvl w:val="0"/>
          <w:numId w:val="4"/>
        </w:num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Fechas o rangos de fechas en las que se realizan las campañas.</w:t>
      </w:r>
    </w:p>
    <w:p w:rsidR="00A61978" w:rsidRDefault="00C034BB">
      <w:pPr>
        <w:numPr>
          <w:ilvl w:val="0"/>
          <w:numId w:val="4"/>
        </w:num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Coberturas territoriales que se cubren en las campañas</w:t>
      </w:r>
    </w:p>
    <w:p w:rsidR="00A61978" w:rsidRDefault="00C034BB">
      <w:pPr>
        <w:numPr>
          <w:ilvl w:val="0"/>
          <w:numId w:val="4"/>
        </w:num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Costos </w:t>
      </w:r>
      <w:r>
        <w:rPr>
          <w:rFonts w:ascii="Palatino Linotype" w:eastAsia="Palatino Linotype" w:hAnsi="Palatino Linotype" w:cs="Palatino Linotype"/>
        </w:rPr>
        <w:t>que deben</w:t>
      </w:r>
      <w:r>
        <w:rPr>
          <w:rFonts w:ascii="Palatino Linotype" w:eastAsia="Palatino Linotype" w:hAnsi="Palatino Linotype" w:cs="Palatino Linotype"/>
          <w:color w:val="000000"/>
        </w:rPr>
        <w:t xml:space="preserve"> cubrir los propietarios de mascotas y fundamento legal de los mismos.</w:t>
      </w:r>
    </w:p>
    <w:p w:rsidR="00A61978" w:rsidRDefault="00C034BB">
      <w:pPr>
        <w:numPr>
          <w:ilvl w:val="0"/>
          <w:numId w:val="4"/>
        </w:num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Nombres de los participantes autorizados a recibir los montos, así como los medios de cobros y pagos autorizados.</w:t>
      </w:r>
    </w:p>
    <w:p w:rsidR="00A61978" w:rsidRDefault="00C034BB">
      <w:pPr>
        <w:numPr>
          <w:ilvl w:val="0"/>
          <w:numId w:val="4"/>
        </w:num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Documentos que deben presentar los propietarios de mascotas a los participantes de las campañas de vacunación.</w:t>
      </w:r>
    </w:p>
    <w:p w:rsidR="00A61978" w:rsidRDefault="00C034BB">
      <w:pPr>
        <w:numPr>
          <w:ilvl w:val="0"/>
          <w:numId w:val="4"/>
        </w:num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Datos de contacto de las oficinas responsables de las campañas. </w:t>
      </w:r>
    </w:p>
    <w:p w:rsidR="00A61978" w:rsidRDefault="00C034BB">
      <w:pPr>
        <w:numPr>
          <w:ilvl w:val="0"/>
          <w:numId w:val="4"/>
        </w:num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Listado de apoyos y/o pagos económicos </w:t>
      </w:r>
      <w:r>
        <w:rPr>
          <w:rFonts w:ascii="Palatino Linotype" w:eastAsia="Palatino Linotype" w:hAnsi="Palatino Linotype" w:cs="Palatino Linotype"/>
        </w:rPr>
        <w:t>o en</w:t>
      </w:r>
      <w:r>
        <w:rPr>
          <w:rFonts w:ascii="Palatino Linotype" w:eastAsia="Palatino Linotype" w:hAnsi="Palatino Linotype" w:cs="Palatino Linotype"/>
          <w:color w:val="000000"/>
        </w:rPr>
        <w:t xml:space="preserve"> especie entregados a los participantes de las campañas. </w:t>
      </w:r>
    </w:p>
    <w:p w:rsidR="00A61978" w:rsidRDefault="00A61978">
      <w:pPr>
        <w:pBdr>
          <w:top w:val="nil"/>
          <w:left w:val="nil"/>
          <w:bottom w:val="nil"/>
          <w:right w:val="nil"/>
          <w:between w:val="nil"/>
        </w:pBdr>
        <w:spacing w:line="360" w:lineRule="auto"/>
        <w:ind w:left="1080" w:right="-1071"/>
        <w:jc w:val="both"/>
        <w:rPr>
          <w:rFonts w:ascii="Palatino Linotype" w:eastAsia="Palatino Linotype" w:hAnsi="Palatino Linotype" w:cs="Palatino Linotype"/>
          <w:b/>
          <w:bCs/>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lastRenderedPageBreak/>
        <w:t xml:space="preserve">Inconforme con la respuesta, el solicitante interpuso recurso de revisión de manera general en contra de la entrega de información incompleta. En dichas condiciones, la controversia a resolver en el presente proveído, corresponde a determinar si se actualiza la causal de procedencia prevista en el artículo 179, fracción V, de la Ley de Transparencia y Acceso a la Información Pública del Estado de México y Municipios; fracción que determina la hipótesis relativa a la entrega de información incompleta; contexto del cual se dolió el Recurrente al momento de interponer su inconformidad. De modo tal que el presente recurso de revisión se abocará en determinar si el Sujeto Obligado con su respuesta ciertamente actualiza la causal de procedencia señalada. </w:t>
      </w:r>
    </w:p>
    <w:p w:rsidR="00A61978" w:rsidRDefault="00A61978">
      <w:pPr>
        <w:pBdr>
          <w:top w:val="nil"/>
          <w:left w:val="nil"/>
          <w:bottom w:val="nil"/>
          <w:right w:val="nil"/>
          <w:between w:val="nil"/>
        </w:pBdr>
        <w:spacing w:line="360" w:lineRule="auto"/>
        <w:ind w:left="720" w:right="-1071"/>
        <w:rPr>
          <w:rFonts w:ascii="Palatino Linotype" w:eastAsia="Palatino Linotype" w:hAnsi="Palatino Linotype" w:cs="Palatino Linotype"/>
          <w:color w:val="000000"/>
        </w:rPr>
      </w:pPr>
    </w:p>
    <w:p w:rsidR="00A61978" w:rsidRDefault="00C034BB">
      <w:pPr>
        <w:spacing w:line="360" w:lineRule="auto"/>
        <w:ind w:right="-1071"/>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CUARTO. Del estudio y resolución del asunto.</w:t>
      </w: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A61978" w:rsidRDefault="00A61978">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 xml:space="preserve">Asimismo, es relevante mencionar que el artículo 19, del ordenamiento local de la materia señala que se presume que la información debe existir si se refiere a las facultades, competencias y funciones que los ordenamientos jurídicos aplicables otorgan a los sujetos </w:t>
      </w:r>
      <w:r>
        <w:rPr>
          <w:rFonts w:ascii="Palatino Linotype" w:eastAsia="Palatino Linotype" w:hAnsi="Palatino Linotype" w:cs="Palatino Linotype"/>
          <w:color w:val="000000"/>
        </w:rPr>
        <w:lastRenderedPageBreak/>
        <w:t>obligados y en caso de que dichas facultades no se hayan ejercido, se deberá motivar la respuesta en función de las causas que motivaron tal circunstancia.</w:t>
      </w:r>
    </w:p>
    <w:p w:rsidR="00A61978" w:rsidRDefault="00A61978">
      <w:pPr>
        <w:pBdr>
          <w:top w:val="nil"/>
          <w:left w:val="nil"/>
          <w:bottom w:val="nil"/>
          <w:right w:val="nil"/>
          <w:between w:val="nil"/>
        </w:pBdr>
        <w:spacing w:line="360" w:lineRule="auto"/>
        <w:ind w:left="720" w:right="-1071"/>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A61978" w:rsidRDefault="00A61978">
      <w:pPr>
        <w:pBdr>
          <w:top w:val="nil"/>
          <w:left w:val="nil"/>
          <w:bottom w:val="nil"/>
          <w:right w:val="nil"/>
          <w:between w:val="nil"/>
        </w:pBdr>
        <w:spacing w:line="360" w:lineRule="auto"/>
        <w:ind w:left="720" w:right="-1071"/>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bookmarkStart w:id="6" w:name="_heading=h.9nb9n9wxr7xo" w:colFirst="0" w:colLast="0"/>
      <w:bookmarkEnd w:id="6"/>
      <w:r>
        <w:rPr>
          <w:rFonts w:ascii="Palatino Linotype" w:eastAsia="Palatino Linotype" w:hAnsi="Palatino Linotype" w:cs="Palatino Linotype"/>
          <w:color w:val="000000"/>
        </w:rPr>
        <w:t>Dicho lo anterior por razones de orden argumentativo, es necesario traer a contexto primeramente las respuestas emitidas a cada rubro de la solicitud de información a efecto de dilucidar la entrega completa o incompleta de cada requerimiento, a través del siguiente cuadro comparativo:</w:t>
      </w:r>
    </w:p>
    <w:p w:rsidR="00A61978" w:rsidRDefault="00A61978">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tbl>
      <w:tblPr>
        <w:tblStyle w:val="a"/>
        <w:tblW w:w="1007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90"/>
        <w:gridCol w:w="3969"/>
        <w:gridCol w:w="2615"/>
      </w:tblGrid>
      <w:tr w:rsidR="00A61978">
        <w:tc>
          <w:tcPr>
            <w:tcW w:w="3489" w:type="dxa"/>
          </w:tcPr>
          <w:p w:rsidR="00A61978" w:rsidRDefault="00C034BB">
            <w:pPr>
              <w:spacing w:line="360" w:lineRule="auto"/>
              <w:ind w:right="31"/>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SOLICITUD</w:t>
            </w:r>
          </w:p>
        </w:tc>
        <w:tc>
          <w:tcPr>
            <w:tcW w:w="3969" w:type="dxa"/>
          </w:tcPr>
          <w:p w:rsidR="00A61978" w:rsidRDefault="00C034BB">
            <w:pPr>
              <w:spacing w:line="360" w:lineRule="auto"/>
              <w:ind w:right="31"/>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RESPUESTA</w:t>
            </w:r>
          </w:p>
        </w:tc>
        <w:tc>
          <w:tcPr>
            <w:tcW w:w="2615" w:type="dxa"/>
          </w:tcPr>
          <w:p w:rsidR="00A61978" w:rsidRDefault="00C034BB">
            <w:pPr>
              <w:spacing w:line="360" w:lineRule="auto"/>
              <w:ind w:right="31"/>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CUMPLIMIENTO</w:t>
            </w:r>
          </w:p>
        </w:tc>
      </w:tr>
      <w:tr w:rsidR="00A61978">
        <w:tc>
          <w:tcPr>
            <w:tcW w:w="3489" w:type="dxa"/>
          </w:tcPr>
          <w:p w:rsidR="00A61978" w:rsidRDefault="00C034BB">
            <w:pPr>
              <w:spacing w:line="360" w:lineRule="auto"/>
              <w:ind w:right="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Nombres de los titulares responsables de las campañas.</w:t>
            </w:r>
          </w:p>
          <w:p w:rsidR="00A61978" w:rsidRDefault="00A61978">
            <w:pPr>
              <w:spacing w:line="360" w:lineRule="auto"/>
              <w:ind w:right="31"/>
              <w:jc w:val="both"/>
              <w:rPr>
                <w:rFonts w:ascii="Palatino Linotype" w:eastAsia="Palatino Linotype" w:hAnsi="Palatino Linotype" w:cs="Palatino Linotype"/>
                <w:color w:val="000000"/>
              </w:rPr>
            </w:pPr>
          </w:p>
        </w:tc>
        <w:tc>
          <w:tcPr>
            <w:tcW w:w="3969" w:type="dxa"/>
          </w:tcPr>
          <w:p w:rsidR="00A61978" w:rsidRDefault="00C034BB">
            <w:pPr>
              <w:spacing w:line="360" w:lineRule="auto"/>
              <w:ind w:right="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Jefe del Departamento de Zoonosis y Vectores.</w:t>
            </w:r>
          </w:p>
        </w:tc>
        <w:tc>
          <w:tcPr>
            <w:tcW w:w="2615" w:type="dxa"/>
          </w:tcPr>
          <w:p w:rsidR="00A61978" w:rsidRDefault="00C034BB">
            <w:pPr>
              <w:spacing w:line="360" w:lineRule="auto"/>
              <w:ind w:right="31"/>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Parcial</w:t>
            </w:r>
          </w:p>
        </w:tc>
      </w:tr>
      <w:tr w:rsidR="00A61978">
        <w:tc>
          <w:tcPr>
            <w:tcW w:w="3489" w:type="dxa"/>
          </w:tcPr>
          <w:p w:rsidR="00A61978" w:rsidRDefault="00C034BB">
            <w:pPr>
              <w:spacing w:line="360" w:lineRule="auto"/>
              <w:ind w:right="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Listado de voluntarios y participantes que van de casa en casa.</w:t>
            </w:r>
          </w:p>
          <w:p w:rsidR="00A61978" w:rsidRDefault="00A61978">
            <w:pPr>
              <w:spacing w:line="360" w:lineRule="auto"/>
              <w:ind w:right="31"/>
              <w:jc w:val="both"/>
              <w:rPr>
                <w:rFonts w:ascii="Palatino Linotype" w:eastAsia="Palatino Linotype" w:hAnsi="Palatino Linotype" w:cs="Palatino Linotype"/>
                <w:color w:val="000000"/>
              </w:rPr>
            </w:pPr>
          </w:p>
        </w:tc>
        <w:tc>
          <w:tcPr>
            <w:tcW w:w="3969" w:type="dxa"/>
          </w:tcPr>
          <w:p w:rsidR="00A61978" w:rsidRDefault="00C034BB">
            <w:pPr>
              <w:spacing w:line="360" w:lineRule="auto"/>
              <w:ind w:right="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No se cuenta con un listado.</w:t>
            </w:r>
          </w:p>
        </w:tc>
        <w:tc>
          <w:tcPr>
            <w:tcW w:w="2615" w:type="dxa"/>
          </w:tcPr>
          <w:p w:rsidR="00A61978" w:rsidRDefault="00C034BB">
            <w:pPr>
              <w:spacing w:line="360" w:lineRule="auto"/>
              <w:ind w:right="31"/>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Parcial</w:t>
            </w:r>
          </w:p>
        </w:tc>
      </w:tr>
      <w:tr w:rsidR="00A61978">
        <w:tc>
          <w:tcPr>
            <w:tcW w:w="3489" w:type="dxa"/>
          </w:tcPr>
          <w:p w:rsidR="00A61978" w:rsidRDefault="00C034BB">
            <w:pPr>
              <w:spacing w:line="360" w:lineRule="auto"/>
              <w:ind w:right="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Documentos que deben presentar los participantes a los propietarios de mascotas.</w:t>
            </w:r>
          </w:p>
          <w:p w:rsidR="00A61978" w:rsidRDefault="00A61978">
            <w:pPr>
              <w:spacing w:line="360" w:lineRule="auto"/>
              <w:ind w:right="31"/>
              <w:jc w:val="both"/>
              <w:rPr>
                <w:rFonts w:ascii="Palatino Linotype" w:eastAsia="Palatino Linotype" w:hAnsi="Palatino Linotype" w:cs="Palatino Linotype"/>
                <w:color w:val="000000"/>
              </w:rPr>
            </w:pPr>
          </w:p>
        </w:tc>
        <w:tc>
          <w:tcPr>
            <w:tcW w:w="3969" w:type="dxa"/>
          </w:tcPr>
          <w:p w:rsidR="00A61978" w:rsidRDefault="00C034BB">
            <w:pPr>
              <w:spacing w:line="360" w:lineRule="auto"/>
              <w:ind w:right="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No deben presentar ningún documento.</w:t>
            </w:r>
          </w:p>
        </w:tc>
        <w:tc>
          <w:tcPr>
            <w:tcW w:w="2615" w:type="dxa"/>
          </w:tcPr>
          <w:p w:rsidR="00A61978" w:rsidRDefault="00C034BB">
            <w:pPr>
              <w:spacing w:line="360" w:lineRule="auto"/>
              <w:ind w:right="31"/>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Atendido</w:t>
            </w:r>
          </w:p>
        </w:tc>
      </w:tr>
      <w:tr w:rsidR="00A61978">
        <w:tc>
          <w:tcPr>
            <w:tcW w:w="3489" w:type="dxa"/>
          </w:tcPr>
          <w:p w:rsidR="00A61978" w:rsidRDefault="00C034BB">
            <w:pPr>
              <w:spacing w:line="360" w:lineRule="auto"/>
              <w:ind w:right="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Logotipos o emblemas que deben portar, batas y/o uniformes de los participantes.</w:t>
            </w:r>
          </w:p>
          <w:p w:rsidR="00A61978" w:rsidRDefault="00A61978">
            <w:pPr>
              <w:spacing w:line="360" w:lineRule="auto"/>
              <w:ind w:right="31"/>
              <w:jc w:val="both"/>
              <w:rPr>
                <w:rFonts w:ascii="Palatino Linotype" w:eastAsia="Palatino Linotype" w:hAnsi="Palatino Linotype" w:cs="Palatino Linotype"/>
                <w:color w:val="000000"/>
              </w:rPr>
            </w:pPr>
          </w:p>
        </w:tc>
        <w:tc>
          <w:tcPr>
            <w:tcW w:w="3969" w:type="dxa"/>
          </w:tcPr>
          <w:p w:rsidR="00A61978" w:rsidRDefault="00C034BB">
            <w:pPr>
              <w:spacing w:line="360" w:lineRule="auto"/>
              <w:ind w:right="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Del Gobierno del Estado de México y del Instituto de Salud del Estado de México.</w:t>
            </w:r>
          </w:p>
        </w:tc>
        <w:tc>
          <w:tcPr>
            <w:tcW w:w="2615" w:type="dxa"/>
          </w:tcPr>
          <w:p w:rsidR="00A61978" w:rsidRDefault="00C034BB">
            <w:pPr>
              <w:spacing w:line="360" w:lineRule="auto"/>
              <w:ind w:right="31"/>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Atendido</w:t>
            </w:r>
          </w:p>
        </w:tc>
      </w:tr>
      <w:tr w:rsidR="00A61978">
        <w:tc>
          <w:tcPr>
            <w:tcW w:w="3489" w:type="dxa"/>
          </w:tcPr>
          <w:p w:rsidR="00A61978" w:rsidRDefault="00C034BB">
            <w:pPr>
              <w:spacing w:line="360" w:lineRule="auto"/>
              <w:ind w:right="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Fechas o rangos de fechas en las que se realizan las campañas.</w:t>
            </w:r>
          </w:p>
          <w:p w:rsidR="00A61978" w:rsidRDefault="00A61978">
            <w:pPr>
              <w:spacing w:line="360" w:lineRule="auto"/>
              <w:ind w:right="31"/>
              <w:jc w:val="both"/>
              <w:rPr>
                <w:rFonts w:ascii="Palatino Linotype" w:eastAsia="Palatino Linotype" w:hAnsi="Palatino Linotype" w:cs="Palatino Linotype"/>
                <w:color w:val="000000"/>
              </w:rPr>
            </w:pPr>
          </w:p>
        </w:tc>
        <w:tc>
          <w:tcPr>
            <w:tcW w:w="3969" w:type="dxa"/>
          </w:tcPr>
          <w:p w:rsidR="00A61978" w:rsidRDefault="00C034BB">
            <w:pPr>
              <w:spacing w:line="360" w:lineRule="auto"/>
              <w:ind w:right="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los meses de marzo y septiembre.</w:t>
            </w:r>
          </w:p>
        </w:tc>
        <w:tc>
          <w:tcPr>
            <w:tcW w:w="2615" w:type="dxa"/>
          </w:tcPr>
          <w:p w:rsidR="00A61978" w:rsidRDefault="00C034BB">
            <w:pPr>
              <w:spacing w:line="360" w:lineRule="auto"/>
              <w:ind w:right="31"/>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Atendido</w:t>
            </w:r>
          </w:p>
        </w:tc>
      </w:tr>
      <w:tr w:rsidR="00A61978">
        <w:tc>
          <w:tcPr>
            <w:tcW w:w="3489" w:type="dxa"/>
          </w:tcPr>
          <w:p w:rsidR="00A61978" w:rsidRDefault="00C034BB">
            <w:pPr>
              <w:spacing w:line="360" w:lineRule="auto"/>
              <w:ind w:right="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Coberturas territoriales que se cubren en las campañas.</w:t>
            </w:r>
          </w:p>
          <w:p w:rsidR="00A61978" w:rsidRDefault="00A61978">
            <w:pPr>
              <w:spacing w:line="360" w:lineRule="auto"/>
              <w:ind w:right="31"/>
              <w:jc w:val="both"/>
              <w:rPr>
                <w:rFonts w:ascii="Palatino Linotype" w:eastAsia="Palatino Linotype" w:hAnsi="Palatino Linotype" w:cs="Palatino Linotype"/>
                <w:color w:val="000000"/>
              </w:rPr>
            </w:pPr>
          </w:p>
        </w:tc>
        <w:tc>
          <w:tcPr>
            <w:tcW w:w="3969" w:type="dxa"/>
          </w:tcPr>
          <w:p w:rsidR="00A61978" w:rsidRDefault="00C034BB">
            <w:pPr>
              <w:spacing w:line="360" w:lineRule="auto"/>
              <w:ind w:right="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territorio que comprende el Estado de México.</w:t>
            </w:r>
          </w:p>
        </w:tc>
        <w:tc>
          <w:tcPr>
            <w:tcW w:w="2615" w:type="dxa"/>
          </w:tcPr>
          <w:p w:rsidR="00A61978" w:rsidRDefault="00C034BB">
            <w:pPr>
              <w:spacing w:line="360" w:lineRule="auto"/>
              <w:ind w:right="31"/>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Parcial</w:t>
            </w:r>
          </w:p>
        </w:tc>
      </w:tr>
      <w:tr w:rsidR="00A61978">
        <w:tc>
          <w:tcPr>
            <w:tcW w:w="3489" w:type="dxa"/>
          </w:tcPr>
          <w:p w:rsidR="00A61978" w:rsidRDefault="00C034BB">
            <w:pPr>
              <w:spacing w:line="360" w:lineRule="auto"/>
              <w:ind w:right="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Costos </w:t>
            </w:r>
            <w:r>
              <w:rPr>
                <w:rFonts w:ascii="Palatino Linotype" w:eastAsia="Palatino Linotype" w:hAnsi="Palatino Linotype" w:cs="Palatino Linotype"/>
              </w:rPr>
              <w:t>que deben</w:t>
            </w:r>
            <w:r>
              <w:rPr>
                <w:rFonts w:ascii="Palatino Linotype" w:eastAsia="Palatino Linotype" w:hAnsi="Palatino Linotype" w:cs="Palatino Linotype"/>
                <w:color w:val="000000"/>
              </w:rPr>
              <w:t xml:space="preserve"> cubrir los propietarios de mascotas y su fundamento legal de los mismos.</w:t>
            </w:r>
          </w:p>
          <w:p w:rsidR="00A61978" w:rsidRDefault="00A61978">
            <w:pPr>
              <w:spacing w:line="360" w:lineRule="auto"/>
              <w:ind w:right="31"/>
              <w:jc w:val="both"/>
              <w:rPr>
                <w:rFonts w:ascii="Palatino Linotype" w:eastAsia="Palatino Linotype" w:hAnsi="Palatino Linotype" w:cs="Palatino Linotype"/>
                <w:color w:val="000000"/>
              </w:rPr>
            </w:pPr>
          </w:p>
        </w:tc>
        <w:tc>
          <w:tcPr>
            <w:tcW w:w="3969" w:type="dxa"/>
          </w:tcPr>
          <w:p w:rsidR="00A61978" w:rsidRDefault="00C034BB">
            <w:pPr>
              <w:spacing w:line="360" w:lineRule="auto"/>
              <w:ind w:right="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El servicio es totalmente gratuito.</w:t>
            </w:r>
          </w:p>
        </w:tc>
        <w:tc>
          <w:tcPr>
            <w:tcW w:w="2615" w:type="dxa"/>
          </w:tcPr>
          <w:p w:rsidR="00A61978" w:rsidRDefault="00C034BB">
            <w:pPr>
              <w:spacing w:line="360" w:lineRule="auto"/>
              <w:ind w:right="31"/>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Parcial</w:t>
            </w:r>
          </w:p>
          <w:p w:rsidR="00A61978" w:rsidRDefault="00C034BB">
            <w:pPr>
              <w:spacing w:line="360" w:lineRule="auto"/>
              <w:ind w:right="31"/>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(Fundamento legal acto consentido)</w:t>
            </w:r>
          </w:p>
        </w:tc>
      </w:tr>
      <w:tr w:rsidR="00A61978">
        <w:tc>
          <w:tcPr>
            <w:tcW w:w="3489" w:type="dxa"/>
          </w:tcPr>
          <w:p w:rsidR="00A61978" w:rsidRDefault="00C034BB">
            <w:pPr>
              <w:spacing w:line="360" w:lineRule="auto"/>
              <w:ind w:right="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Nombres de los participantes autorizados a recibir los montos, así como los medios de cobros y pagos autorizados.</w:t>
            </w:r>
          </w:p>
          <w:p w:rsidR="00A61978" w:rsidRDefault="00A61978">
            <w:pPr>
              <w:spacing w:line="360" w:lineRule="auto"/>
              <w:ind w:right="31"/>
              <w:jc w:val="both"/>
              <w:rPr>
                <w:rFonts w:ascii="Palatino Linotype" w:eastAsia="Palatino Linotype" w:hAnsi="Palatino Linotype" w:cs="Palatino Linotype"/>
                <w:color w:val="000000"/>
              </w:rPr>
            </w:pPr>
          </w:p>
        </w:tc>
        <w:tc>
          <w:tcPr>
            <w:tcW w:w="3969" w:type="dxa"/>
          </w:tcPr>
          <w:p w:rsidR="00A61978" w:rsidRDefault="00C034BB">
            <w:pPr>
              <w:spacing w:line="360" w:lineRule="auto"/>
              <w:ind w:right="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servicio es totalmente gratuito.</w:t>
            </w:r>
          </w:p>
        </w:tc>
        <w:tc>
          <w:tcPr>
            <w:tcW w:w="2615" w:type="dxa"/>
          </w:tcPr>
          <w:p w:rsidR="00A61978" w:rsidRDefault="00C034BB">
            <w:pPr>
              <w:spacing w:line="360" w:lineRule="auto"/>
              <w:ind w:right="31"/>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Atendido</w:t>
            </w:r>
          </w:p>
        </w:tc>
      </w:tr>
      <w:tr w:rsidR="00A61978">
        <w:tc>
          <w:tcPr>
            <w:tcW w:w="3489" w:type="dxa"/>
          </w:tcPr>
          <w:p w:rsidR="00A61978" w:rsidRDefault="00C034BB">
            <w:pPr>
              <w:spacing w:line="360" w:lineRule="auto"/>
              <w:ind w:right="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Documentos que deben presentar los propietarios de mascotas a los participantes de las campañas de vacunación.</w:t>
            </w:r>
          </w:p>
          <w:p w:rsidR="00A61978" w:rsidRDefault="00A61978">
            <w:pPr>
              <w:spacing w:line="360" w:lineRule="auto"/>
              <w:ind w:right="31"/>
              <w:jc w:val="both"/>
              <w:rPr>
                <w:rFonts w:ascii="Palatino Linotype" w:eastAsia="Palatino Linotype" w:hAnsi="Palatino Linotype" w:cs="Palatino Linotype"/>
                <w:color w:val="000000"/>
              </w:rPr>
            </w:pPr>
          </w:p>
        </w:tc>
        <w:tc>
          <w:tcPr>
            <w:tcW w:w="3969" w:type="dxa"/>
          </w:tcPr>
          <w:p w:rsidR="00A61978" w:rsidRDefault="00C034BB">
            <w:pPr>
              <w:spacing w:line="360" w:lineRule="auto"/>
              <w:ind w:right="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No deben presentar ningún documento.</w:t>
            </w:r>
          </w:p>
        </w:tc>
        <w:tc>
          <w:tcPr>
            <w:tcW w:w="2615" w:type="dxa"/>
          </w:tcPr>
          <w:p w:rsidR="00A61978" w:rsidRDefault="00C034BB">
            <w:pPr>
              <w:spacing w:line="360" w:lineRule="auto"/>
              <w:ind w:right="31"/>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Atendido</w:t>
            </w:r>
          </w:p>
          <w:p w:rsidR="00A61978" w:rsidRDefault="00C034BB">
            <w:pPr>
              <w:spacing w:line="360" w:lineRule="auto"/>
              <w:ind w:right="31"/>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(Acto consentidos)</w:t>
            </w:r>
          </w:p>
        </w:tc>
      </w:tr>
      <w:tr w:rsidR="00A61978">
        <w:tc>
          <w:tcPr>
            <w:tcW w:w="3489" w:type="dxa"/>
          </w:tcPr>
          <w:p w:rsidR="00A61978" w:rsidRDefault="00C034BB">
            <w:pPr>
              <w:spacing w:line="360" w:lineRule="auto"/>
              <w:ind w:right="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Datos de contacto de las oficinas responsables de las campañas.</w:t>
            </w:r>
          </w:p>
          <w:p w:rsidR="00A61978" w:rsidRDefault="00A61978">
            <w:pPr>
              <w:spacing w:line="360" w:lineRule="auto"/>
              <w:ind w:right="31"/>
              <w:jc w:val="both"/>
              <w:rPr>
                <w:rFonts w:ascii="Palatino Linotype" w:eastAsia="Palatino Linotype" w:hAnsi="Palatino Linotype" w:cs="Palatino Linotype"/>
                <w:color w:val="000000"/>
              </w:rPr>
            </w:pPr>
          </w:p>
        </w:tc>
        <w:tc>
          <w:tcPr>
            <w:tcW w:w="3969" w:type="dxa"/>
          </w:tcPr>
          <w:p w:rsidR="00A61978" w:rsidRDefault="00C034BB">
            <w:pPr>
              <w:spacing w:line="360" w:lineRule="auto"/>
              <w:ind w:right="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Departamento de Zoonosis y Vectores, número de teléfono 722 235 86 90, ext. 64670.</w:t>
            </w:r>
          </w:p>
        </w:tc>
        <w:tc>
          <w:tcPr>
            <w:tcW w:w="2615" w:type="dxa"/>
          </w:tcPr>
          <w:p w:rsidR="00A61978" w:rsidRDefault="00C034BB">
            <w:pPr>
              <w:spacing w:line="360" w:lineRule="auto"/>
              <w:ind w:right="31"/>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Atendido</w:t>
            </w:r>
          </w:p>
        </w:tc>
      </w:tr>
      <w:tr w:rsidR="00A61978">
        <w:tc>
          <w:tcPr>
            <w:tcW w:w="3489" w:type="dxa"/>
          </w:tcPr>
          <w:p w:rsidR="00A61978" w:rsidRDefault="00C034BB">
            <w:pPr>
              <w:spacing w:line="360" w:lineRule="auto"/>
              <w:ind w:right="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Listado de apoyos y/o pagos económicos </w:t>
            </w:r>
            <w:r>
              <w:rPr>
                <w:rFonts w:ascii="Palatino Linotype" w:eastAsia="Palatino Linotype" w:hAnsi="Palatino Linotype" w:cs="Palatino Linotype"/>
              </w:rPr>
              <w:t>o en</w:t>
            </w:r>
            <w:r>
              <w:rPr>
                <w:rFonts w:ascii="Palatino Linotype" w:eastAsia="Palatino Linotype" w:hAnsi="Palatino Linotype" w:cs="Palatino Linotype"/>
                <w:color w:val="000000"/>
              </w:rPr>
              <w:t xml:space="preserve"> especie entregados a los participantes de las campañas.</w:t>
            </w:r>
          </w:p>
          <w:p w:rsidR="00A61978" w:rsidRDefault="00A61978">
            <w:pPr>
              <w:spacing w:line="360" w:lineRule="auto"/>
              <w:ind w:right="31"/>
              <w:jc w:val="both"/>
              <w:rPr>
                <w:rFonts w:ascii="Palatino Linotype" w:eastAsia="Palatino Linotype" w:hAnsi="Palatino Linotype" w:cs="Palatino Linotype"/>
                <w:color w:val="000000"/>
              </w:rPr>
            </w:pPr>
          </w:p>
        </w:tc>
        <w:tc>
          <w:tcPr>
            <w:tcW w:w="3969" w:type="dxa"/>
          </w:tcPr>
          <w:p w:rsidR="00A61978" w:rsidRDefault="00C034BB">
            <w:pPr>
              <w:spacing w:line="360" w:lineRule="auto"/>
              <w:ind w:right="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servicio es totalmente gratuito.</w:t>
            </w:r>
          </w:p>
        </w:tc>
        <w:tc>
          <w:tcPr>
            <w:tcW w:w="2615" w:type="dxa"/>
          </w:tcPr>
          <w:p w:rsidR="00A61978" w:rsidRDefault="00C034BB">
            <w:pPr>
              <w:spacing w:line="360" w:lineRule="auto"/>
              <w:ind w:right="31"/>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No atendido</w:t>
            </w:r>
          </w:p>
        </w:tc>
      </w:tr>
    </w:tbl>
    <w:p w:rsidR="00A61978" w:rsidRDefault="00A61978">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 xml:space="preserve">Respecto del primer rubro, se tiene por atendido parcialmente, en razón que únicamente se otorga el cargo del encargado, no obstante que la solicitud de información fue puntual en requerir el nombre del responsable, que de acuerdo a lo informado corresponde al </w:t>
      </w:r>
      <w:r>
        <w:rPr>
          <w:rFonts w:ascii="Palatino Linotype" w:eastAsia="Palatino Linotype" w:hAnsi="Palatino Linotype" w:cs="Palatino Linotype"/>
          <w:color w:val="000000"/>
        </w:rPr>
        <w:lastRenderedPageBreak/>
        <w:t>Jefe del Departamento de Zoonosis y Vectores; área encargada controlar y vigilar las enfermedades que se transmiten de animales a humanos (zoonosis) y aquellas propagadas por insectos o parásitos (vectores) como el dengue, zika, chikungunya o rabia.</w:t>
      </w:r>
    </w:p>
    <w:p w:rsidR="00A61978" w:rsidRDefault="00A61978">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 xml:space="preserve">Luego entonces al ya haber aceptado expresamente a quien corresponder lo solicitado, se estima innecesario un estudio pormenorizado de la fuentes obligacional del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para determinar los nombres de los responsables derivado que ya fue asumida la información en la respuesta, siendo dable en relatadas circunstancias, la entrega de los nombres de los servidores públicos encargados de las campañas en los años 2023 y 2024, así como de el o los responsables del 01 de enero al 17 de septiembre del año 2025, fecha en que se interpuso la solicitud de información.</w:t>
      </w:r>
    </w:p>
    <w:p w:rsidR="00A61978" w:rsidRDefault="00A61978">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 xml:space="preserve">Ello en virtud, que el nombre de los servidores públicos, por regla general, es información de naturaleza pública, esto de acuerdo con lo que establecen las fracciones  VII y VIII del artículo 92 de la Ley de Transparencia y Acceso a la Información Pública del Estado de México y Municipios, y las diversas VII y VIII de la Ley General de Transparencia y Acceso a la Información Pública, de conformidad con los Lineamientos Técnicos Generales para la publicación, homologación y estandarización de la información. </w:t>
      </w:r>
    </w:p>
    <w:p w:rsidR="00A61978" w:rsidRDefault="00A61978">
      <w:pPr>
        <w:pBdr>
          <w:top w:val="nil"/>
          <w:left w:val="nil"/>
          <w:bottom w:val="nil"/>
          <w:right w:val="nil"/>
          <w:between w:val="nil"/>
        </w:pBdr>
        <w:spacing w:line="360" w:lineRule="auto"/>
        <w:ind w:left="720" w:right="-1071"/>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 xml:space="preserve">Seguidamente, respecto del listado de voluntarios y participantes que van de casa en casa, se informa que no se cuenta con un listado, contexto que no se desestima, ya que si bien en estricto sentido pudiera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no contar con un listado, cuenta con otro tipo de soporte documental que da cuenta de sus nombres, mismos que proporcionaron al momento de colmar los requisitos para ser voluntarios.</w:t>
      </w: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lastRenderedPageBreak/>
        <w:t xml:space="preserve">No obstante, las personas que forman parte del voluntariado de la Secretaría de Salud y del Instituto de Salud del Estado de México, no cuentan con carácter de servidores públicos, pudiendo integrarse cualquier particular que cumpla con los requisitos; asimismo tampoco reciben recursos propios, pues de acuerdo al sitio web de la Secretaría de Salud, </w:t>
      </w:r>
      <w:r>
        <w:rPr>
          <w:rFonts w:ascii="Palatino Linotype" w:eastAsia="Palatino Linotype" w:hAnsi="Palatino Linotype" w:cs="Palatino Linotype"/>
          <w:i/>
          <w:iCs/>
          <w:color w:val="000000"/>
        </w:rPr>
        <w:t xml:space="preserve">voluntario es quien ofrece, por elección propia, su tiempo, sus conocimientos y su experiencia para el desempeño gratuito de una labor solidaria, sin recibir ningún tipo de remuneración por ello. Su objetivo es transformar la sociedad desde el convencimiento de que su esfuerzo contribuye a la creación de un mundo mejor. </w:t>
      </w:r>
      <w:r>
        <w:rPr>
          <w:rFonts w:ascii="Palatino Linotype" w:eastAsia="Palatino Linotype" w:hAnsi="Palatino Linotype" w:cs="Palatino Linotype"/>
          <w:i/>
          <w:iCs/>
          <w:color w:val="000000"/>
          <w:vertAlign w:val="superscript"/>
        </w:rPr>
        <w:footnoteReference w:id="1"/>
      </w:r>
    </w:p>
    <w:p w:rsidR="00A61978" w:rsidRDefault="00A61978">
      <w:pPr>
        <w:pBdr>
          <w:top w:val="nil"/>
          <w:left w:val="nil"/>
          <w:bottom w:val="nil"/>
          <w:right w:val="nil"/>
          <w:between w:val="nil"/>
        </w:pBdr>
        <w:spacing w:line="360" w:lineRule="auto"/>
        <w:ind w:left="720" w:right="-1071"/>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Voluntarios que ciertamente hacen un recorrido casa por casa como se desprende la siguiente publicación.</w:t>
      </w:r>
    </w:p>
    <w:p w:rsidR="00A61978" w:rsidRDefault="00A61978">
      <w:pPr>
        <w:pBdr>
          <w:top w:val="nil"/>
          <w:left w:val="nil"/>
          <w:bottom w:val="nil"/>
          <w:right w:val="nil"/>
          <w:between w:val="nil"/>
        </w:pBdr>
        <w:spacing w:line="360" w:lineRule="auto"/>
        <w:ind w:left="720" w:right="-1071"/>
        <w:rPr>
          <w:rFonts w:ascii="Palatino Linotype" w:eastAsia="Palatino Linotype" w:hAnsi="Palatino Linotype" w:cs="Palatino Linotype"/>
          <w:color w:val="000000"/>
        </w:rPr>
      </w:pPr>
    </w:p>
    <w:p w:rsidR="00A61978" w:rsidRDefault="00C034BB">
      <w:pPr>
        <w:pBdr>
          <w:top w:val="nil"/>
          <w:left w:val="nil"/>
          <w:bottom w:val="nil"/>
          <w:right w:val="nil"/>
          <w:between w:val="nil"/>
        </w:pBdr>
        <w:spacing w:line="360" w:lineRule="auto"/>
        <w:ind w:right="-1071"/>
        <w:jc w:val="center"/>
        <w:rPr>
          <w:rFonts w:ascii="Palatino Linotype" w:eastAsia="Palatino Linotype" w:hAnsi="Palatino Linotype" w:cs="Palatino Linotype"/>
          <w:color w:val="000000"/>
        </w:rPr>
      </w:pPr>
      <w:r>
        <w:rPr>
          <w:rFonts w:ascii="Palatino Linotype" w:eastAsia="Palatino Linotype" w:hAnsi="Palatino Linotype" w:cs="Palatino Linotype"/>
          <w:noProof/>
          <w:color w:val="000000"/>
          <w:lang w:val="es-MX"/>
        </w:rPr>
        <w:drawing>
          <wp:inline distT="0" distB="0" distL="0" distR="0">
            <wp:extent cx="4019319" cy="1693134"/>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4019319" cy="1693134"/>
                    </a:xfrm>
                    <a:prstGeom prst="rect">
                      <a:avLst/>
                    </a:prstGeom>
                    <a:ln/>
                  </pic:spPr>
                </pic:pic>
              </a:graphicData>
            </a:graphic>
          </wp:inline>
        </w:drawing>
      </w:r>
      <w:r>
        <w:rPr>
          <w:noProof/>
          <w:lang w:val="es-MX"/>
        </w:rPr>
        <mc:AlternateContent>
          <mc:Choice Requires="wps">
            <w:drawing>
              <wp:anchor distT="0" distB="0" distL="114300" distR="114300" simplePos="0" relativeHeight="251658240" behindDoc="0" locked="0" layoutInCell="1" hidden="0" allowOverlap="1">
                <wp:simplePos x="0" y="0"/>
                <wp:positionH relativeFrom="column">
                  <wp:posOffset>4305093</wp:posOffset>
                </wp:positionH>
                <wp:positionV relativeFrom="paragraph">
                  <wp:posOffset>784860</wp:posOffset>
                </wp:positionV>
                <wp:extent cx="391130" cy="19050"/>
                <wp:effectExtent l="0" t="0" r="0" b="0"/>
                <wp:wrapNone/>
                <wp:docPr id="1" name="Conector recto de flecha 1"/>
                <wp:cNvGraphicFramePr/>
                <a:graphic xmlns:a="http://schemas.openxmlformats.org/drawingml/2006/main">
                  <a:graphicData uri="http://schemas.microsoft.com/office/word/2010/wordprocessingShape">
                    <wps:wsp>
                      <wps:cNvCnPr/>
                      <wps:spPr>
                        <a:xfrm>
                          <a:off x="5150435" y="3777357"/>
                          <a:ext cx="391130" cy="5286"/>
                        </a:xfrm>
                        <a:prstGeom prst="straightConnector1">
                          <a:avLst/>
                        </a:prstGeom>
                        <a:noFill/>
                        <a:ln w="19050" cap="flat" cmpd="sng">
                          <a:solidFill>
                            <a:schemeClr val="accent2"/>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4305093</wp:posOffset>
                </wp:positionH>
                <wp:positionV relativeFrom="paragraph">
                  <wp:posOffset>784860</wp:posOffset>
                </wp:positionV>
                <wp:extent cx="391130" cy="19050"/>
                <wp:effectExtent b="0" l="0" r="0" t="0"/>
                <wp:wrapNone/>
                <wp:docPr id="1"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391130" cy="19050"/>
                        </a:xfrm>
                        <a:prstGeom prst="rect"/>
                        <a:ln/>
                      </pic:spPr>
                    </pic:pic>
                  </a:graphicData>
                </a:graphic>
              </wp:anchor>
            </w:drawing>
          </mc:Fallback>
        </mc:AlternateContent>
      </w:r>
      <w:r>
        <w:rPr>
          <w:noProof/>
          <w:lang w:val="es-MX"/>
        </w:rPr>
        <mc:AlternateContent>
          <mc:Choice Requires="wps">
            <w:drawing>
              <wp:anchor distT="0" distB="0" distL="114300" distR="114300" simplePos="0" relativeHeight="251659264" behindDoc="0" locked="0" layoutInCell="1" hidden="0" allowOverlap="1">
                <wp:simplePos x="0" y="0"/>
                <wp:positionH relativeFrom="column">
                  <wp:posOffset>2714889</wp:posOffset>
                </wp:positionH>
                <wp:positionV relativeFrom="paragraph">
                  <wp:posOffset>595546</wp:posOffset>
                </wp:positionV>
                <wp:extent cx="1331959" cy="19050"/>
                <wp:effectExtent l="0" t="0" r="0" b="0"/>
                <wp:wrapNone/>
                <wp:docPr id="2" name="Conector recto de flecha 2"/>
                <wp:cNvGraphicFramePr/>
                <a:graphic xmlns:a="http://schemas.openxmlformats.org/drawingml/2006/main">
                  <a:graphicData uri="http://schemas.microsoft.com/office/word/2010/wordprocessingShape">
                    <wps:wsp>
                      <wps:cNvCnPr/>
                      <wps:spPr>
                        <a:xfrm>
                          <a:off x="4680021" y="3780000"/>
                          <a:ext cx="1331959" cy="0"/>
                        </a:xfrm>
                        <a:prstGeom prst="straightConnector1">
                          <a:avLst/>
                        </a:prstGeom>
                        <a:noFill/>
                        <a:ln w="19050" cap="flat" cmpd="sng">
                          <a:solidFill>
                            <a:schemeClr val="accent2"/>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2714889</wp:posOffset>
                </wp:positionH>
                <wp:positionV relativeFrom="paragraph">
                  <wp:posOffset>595546</wp:posOffset>
                </wp:positionV>
                <wp:extent cx="1331959" cy="19050"/>
                <wp:effectExtent b="0" l="0" r="0" t="0"/>
                <wp:wrapNone/>
                <wp:docPr id="2"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1331959" cy="19050"/>
                        </a:xfrm>
                        <a:prstGeom prst="rect"/>
                        <a:ln/>
                      </pic:spPr>
                    </pic:pic>
                  </a:graphicData>
                </a:graphic>
              </wp:anchor>
            </w:drawing>
          </mc:Fallback>
        </mc:AlternateContent>
      </w:r>
    </w:p>
    <w:p w:rsidR="00A61978" w:rsidRDefault="00A61978">
      <w:pPr>
        <w:pBdr>
          <w:top w:val="nil"/>
          <w:left w:val="nil"/>
          <w:bottom w:val="nil"/>
          <w:right w:val="nil"/>
          <w:between w:val="nil"/>
        </w:pBdr>
        <w:spacing w:line="360" w:lineRule="auto"/>
        <w:ind w:left="720" w:right="-1071"/>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 xml:space="preserve">Luego entonces, se omite un análisis pormenorizado del soporte documental que de manera enunciativa </w:t>
      </w:r>
      <w:r>
        <w:rPr>
          <w:rFonts w:ascii="Palatino Linotype" w:eastAsia="Palatino Linotype" w:hAnsi="Palatino Linotype" w:cs="Palatino Linotype"/>
        </w:rPr>
        <w:t>más</w:t>
      </w:r>
      <w:r>
        <w:rPr>
          <w:rFonts w:ascii="Palatino Linotype" w:eastAsia="Palatino Linotype" w:hAnsi="Palatino Linotype" w:cs="Palatino Linotype"/>
          <w:color w:val="000000"/>
        </w:rPr>
        <w:t xml:space="preserve"> no limitativa, obre en los archivos del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que dé cuenta del nombre de los voluntarios; toda vez que a diferencia del rubro anterior, en el </w:t>
      </w:r>
      <w:r>
        <w:rPr>
          <w:rFonts w:ascii="Palatino Linotype" w:eastAsia="Palatino Linotype" w:hAnsi="Palatino Linotype" w:cs="Palatino Linotype"/>
          <w:color w:val="000000"/>
        </w:rPr>
        <w:lastRenderedPageBreak/>
        <w:t>requerimiento de mérito se actualiza una causal de clasificación al corresponder a nombres de particulares que no tienen carácter de servidores públicos, reciben recursos públicos o ejercen actos de autoridad.</w:t>
      </w:r>
    </w:p>
    <w:p w:rsidR="00A61978" w:rsidRDefault="00A61978">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Al respecto, se considera que el nombre de una persona se integra con el sustantivo propio y el primer apellido de los padres, en el orden que, de común acuerdo determinen; asimismo es la manifestación principal del derecho subjetivo a la personalidad y atributo de </w:t>
      </w:r>
      <w:r>
        <w:rPr>
          <w:rFonts w:ascii="Palatino Linotype" w:eastAsia="Palatino Linotype" w:hAnsi="Palatino Linotype" w:cs="Palatino Linotype"/>
        </w:rPr>
        <w:t>ésta</w:t>
      </w:r>
      <w:r>
        <w:rPr>
          <w:rFonts w:ascii="Palatino Linotype" w:eastAsia="Palatino Linotype" w:hAnsi="Palatino Linotype" w:cs="Palatino Linotype"/>
          <w:color w:val="000000"/>
        </w:rPr>
        <w:t xml:space="preserve"> en términos del artículo 2.3 del Código Civil del Estado de México, de tal suerte, el nombre </w:t>
      </w:r>
      <w:r>
        <w:rPr>
          <w:rFonts w:ascii="Palatino Linotype" w:eastAsia="Palatino Linotype" w:hAnsi="Palatino Linotype" w:cs="Palatino Linotype"/>
          <w:i/>
          <w:iCs/>
          <w:color w:val="000000"/>
        </w:rPr>
        <w:t>per se</w:t>
      </w:r>
      <w:r>
        <w:rPr>
          <w:rFonts w:ascii="Palatino Linotype" w:eastAsia="Palatino Linotype" w:hAnsi="Palatino Linotype" w:cs="Palatino Linotype"/>
          <w:color w:val="000000"/>
        </w:rPr>
        <w:t xml:space="preserve"> es un elemento que hace a una persona física identificada o identificable, por lo que, </w:t>
      </w:r>
      <w:r>
        <w:rPr>
          <w:rFonts w:ascii="Palatino Linotype" w:eastAsia="Palatino Linotype" w:hAnsi="Palatino Linotype" w:cs="Palatino Linotype"/>
          <w:b/>
          <w:bCs/>
          <w:color w:val="000000"/>
        </w:rPr>
        <w:t>se considera un dato personal.</w:t>
      </w:r>
    </w:p>
    <w:p w:rsidR="00A61978" w:rsidRDefault="00A61978">
      <w:pPr>
        <w:pBdr>
          <w:top w:val="nil"/>
          <w:left w:val="nil"/>
          <w:bottom w:val="nil"/>
          <w:right w:val="nil"/>
          <w:between w:val="nil"/>
        </w:pBdr>
        <w:spacing w:line="360" w:lineRule="auto"/>
        <w:ind w:left="502" w:right="-1071"/>
        <w:jc w:val="both"/>
        <w:rPr>
          <w:rFonts w:ascii="Palatino Linotype" w:eastAsia="Palatino Linotype" w:hAnsi="Palatino Linotype" w:cs="Palatino Linotype"/>
          <w:b/>
          <w:bCs/>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 xml:space="preserve">En el presente caso, como ya se ha referido: el nombre corresponde a personas que de manera voluntaria, decide adherirse a las diversas iniciativas solidarias en beneficio de la comunidad, sin que cuenten con alguna relación laboral con la </w:t>
      </w:r>
      <w:r>
        <w:rPr>
          <w:rFonts w:ascii="Palatino Linotype" w:eastAsia="Palatino Linotype" w:hAnsi="Palatino Linotype" w:cs="Palatino Linotype"/>
        </w:rPr>
        <w:t>Secretaría</w:t>
      </w:r>
      <w:r>
        <w:rPr>
          <w:rFonts w:ascii="Palatino Linotype" w:eastAsia="Palatino Linotype" w:hAnsi="Palatino Linotype" w:cs="Palatino Linotype"/>
          <w:color w:val="000000"/>
        </w:rPr>
        <w:t xml:space="preserve"> de Salud o el Instituto de Salud del Estado de México, por lo que, se considera que el dato actualiza la causal de clasificación, establecida en el artículo 143, fracción I, de la Ley de la materia. Por tanto, lo procedente es ordenar el acuerdo del Comité de Transparencia en el que de manera fundada y motivada se clasifique como confidencial.</w:t>
      </w:r>
    </w:p>
    <w:p w:rsidR="00A61978" w:rsidRDefault="00A61978">
      <w:pPr>
        <w:pBdr>
          <w:top w:val="nil"/>
          <w:left w:val="nil"/>
          <w:bottom w:val="nil"/>
          <w:right w:val="nil"/>
          <w:between w:val="nil"/>
        </w:pBdr>
        <w:ind w:left="720" w:right="-1071"/>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 xml:space="preserve">No obstante, ante la ausencia de pronunciamiento por parte del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se desconoce si los voluntarios perciben algún tipo de remuneración económica o apoyo en especie; pues, de actualizarse dicho supuesto, aun cuando no ostenten el carácter de servidores públicos, sus nombres serían susceptibles de publicidad al encontrarse vinculados con la recepción de recursos públicos.</w:t>
      </w: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lastRenderedPageBreak/>
        <w:t>Consecutivamente, deviene el rubro relativo a los documentos que deben presentar los participantes a los propietarios de mascotas, al que recayó una respuesta puntual al señalar que no se debe presentar ningún documento.</w:t>
      </w:r>
    </w:p>
    <w:p w:rsidR="00A61978" w:rsidRDefault="00A61978">
      <w:pPr>
        <w:pBdr>
          <w:top w:val="nil"/>
          <w:left w:val="nil"/>
          <w:bottom w:val="nil"/>
          <w:right w:val="nil"/>
          <w:between w:val="nil"/>
        </w:pBdr>
        <w:spacing w:line="360" w:lineRule="auto"/>
        <w:ind w:left="720" w:right="-1071"/>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No obstante el particular arguyó al respecto, que la respuesta manifiesta que el personal no debe presentar documento alguno a los propietarios de mascotas, lo que deja a la población indefensa ante estafas e incertidumbre pues no se sabe quiénes son los aplicadores auténticos, además los aplicadores también toman datos de las mascotas y los dueños, por lo que además de los gafetes institucionales deberían presentar el aviso de privacidad tanto el simplificado como el integral, por lo que se solicita se incluyan dichos avisos de privacidad como parte de los documentos que deben exhibirse y entregarse por esta vía.</w:t>
      </w:r>
    </w:p>
    <w:p w:rsidR="00A61978" w:rsidRDefault="00A61978">
      <w:pPr>
        <w:pBdr>
          <w:top w:val="nil"/>
          <w:left w:val="nil"/>
          <w:bottom w:val="nil"/>
          <w:right w:val="nil"/>
          <w:between w:val="nil"/>
        </w:pBdr>
        <w:spacing w:line="360" w:lineRule="auto"/>
        <w:ind w:left="720" w:right="-1071"/>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 xml:space="preserve">Al respecto, 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no invoca ninguna de las causas de procedencia de la impugnación que establece el artículo 179, en de la Ley de Transparencia y Acceso a la Información Pública del Estado de México y Municipios; sino que se limita a exponer una seria de inconformidades en ejercicio de su derecho de expresión con motivo de la respuesta que le fue entregada. En ese sentido al considerar que la población queda indefensa ante estafas e incertidumbre y derivado que refiere, los aplicadores también toman datos de las mascotas y los dueños, solicita se entregue vía SAIMEX avisos de privacidad simplificados e integrales, contexto que resulta improcedente, al ser de explorado derecho que resulta improcedente ampliar las solicitudes de información a través del recurso de revisión. Por lo que al no formar parte dicho requerimiento de la solicitud inicial, se estima que se está ampliando el requerimiento.</w:t>
      </w:r>
    </w:p>
    <w:p w:rsidR="00A61978" w:rsidRDefault="00A61978">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lastRenderedPageBreak/>
        <w:t xml:space="preserve">Por tanto, al requerir nuevos requerimientos de información, se configura lo que se conoce como </w:t>
      </w:r>
      <w:r>
        <w:rPr>
          <w:rFonts w:ascii="Palatino Linotype" w:eastAsia="Palatino Linotype" w:hAnsi="Palatino Linotype" w:cs="Palatino Linotype"/>
          <w:i/>
          <w:iCs/>
          <w:color w:val="000000"/>
        </w:rPr>
        <w:t>plus petitio</w:t>
      </w:r>
      <w:r>
        <w:rPr>
          <w:rFonts w:ascii="Palatino Linotype" w:eastAsia="Palatino Linotype" w:hAnsi="Palatino Linotype" w:cs="Palatino Linotype"/>
          <w:b/>
          <w:bCs/>
          <w:i/>
          <w:iCs/>
          <w:color w:val="000000"/>
        </w:rPr>
        <w:t xml:space="preserve">, </w:t>
      </w:r>
      <w:r>
        <w:rPr>
          <w:rFonts w:ascii="Palatino Linotype" w:eastAsia="Palatino Linotype" w:hAnsi="Palatino Linotype" w:cs="Palatino Linotype"/>
          <w:color w:val="000000"/>
        </w:rPr>
        <w:t xml:space="preserve">que consiste en una ampliación a su requerimiento informativo, argumentos que no son susceptibles de ser valorados en términos de la fracción VII del Artículo 191 de la Ley de Transparencia y Acceso a la Información Pública del Estado de México y Municipios, el cual señala la improcedencia cuando </w:t>
      </w:r>
      <w:r>
        <w:rPr>
          <w:rFonts w:ascii="Palatino Linotype" w:eastAsia="Palatino Linotype" w:hAnsi="Palatino Linotype" w:cs="Palatino Linotype"/>
          <w:b/>
          <w:bCs/>
          <w:color w:val="000000"/>
        </w:rPr>
        <w:t>la parte</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amplíe su solicitud en el Recurso de Revisión, cuestión que tuvo lugar en el presente caso, pues </w:t>
      </w:r>
      <w:r>
        <w:rPr>
          <w:rFonts w:ascii="Palatino Linotype" w:eastAsia="Palatino Linotype" w:hAnsi="Palatino Linotype" w:cs="Palatino Linotype"/>
          <w:b/>
          <w:bCs/>
          <w:color w:val="000000"/>
        </w:rPr>
        <w:t>la parte</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formuló nuevos cuestionamientos, en los que solicitó información que no formó parte de su solicitud inicial y por lo tanto son inatendibles a través del recurso de revisión. </w:t>
      </w:r>
    </w:p>
    <w:p w:rsidR="00A61978" w:rsidRDefault="00A61978">
      <w:pPr>
        <w:spacing w:line="360" w:lineRule="auto"/>
        <w:ind w:right="-1071"/>
        <w:jc w:val="both"/>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En este tenor, es posible determinar que para el caso que nos ocupa, la totalidad de los argumentos formulados como acto impugnado concatenados con los motivos o razones de inconformidad son una ampliación a la solicitud inicial y corresponden a nuevos requerimientos de información, que no se encuentran relacionados con lo solicitado en un primer momento; siendo importante señalar que una vez formulada una solicitud, los particulares no pueden modificarla o ampliarla a través de posteriores promociones o en el momento de ingresar su recurso de revisión; por tanto, la materia de las solicitudes de información se circunscribe a que se permita el acceso a los documentos inicialmente solicitados y en su caso a los aclarados o corregidos.</w:t>
      </w: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Robustece lo anterior lo plasmado en el criterio orientador número 01/17 emitido por el Instituto Nacional de Transparencia, Acceso a la Información y Protección de Datos Personales, INAI, que lleva por rubro y texto lo que a continuación se transcribe:</w:t>
      </w:r>
    </w:p>
    <w:p w:rsidR="00A61978" w:rsidRDefault="00C034BB">
      <w:pPr>
        <w:spacing w:line="360" w:lineRule="auto"/>
        <w:ind w:left="851" w:right="-1071"/>
        <w:jc w:val="both"/>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 xml:space="preserve">Es improcedente ampliar las solicitudes de acceso a información, a través de la interposición del recurso de revisión. </w:t>
      </w:r>
      <w:r>
        <w:rPr>
          <w:rFonts w:ascii="Palatino Linotype" w:eastAsia="Palatino Linotype" w:hAnsi="Palatino Linotype" w:cs="Palatino Linotype"/>
          <w:i/>
          <w:iCs/>
          <w:color w:val="000000"/>
        </w:rPr>
        <w:t xml:space="preserve">En términos de los artículos 155, fracción VII de la Ley General de Transparencia y Acceso a la Información Pública, y 161, fracción VII de la Ley </w:t>
      </w:r>
      <w:r>
        <w:rPr>
          <w:rFonts w:ascii="Palatino Linotype" w:eastAsia="Palatino Linotype" w:hAnsi="Palatino Linotype" w:cs="Palatino Linotype"/>
          <w:i/>
          <w:iCs/>
          <w:color w:val="000000"/>
        </w:rPr>
        <w:lastRenderedPageBreak/>
        <w:t>Federal de Transparencia y Acceso a la Información Pública, en aquellos casos en que los recurrentes, mediante su recurso de revisión, amplíen los alcances de la solicitud de información inicial, los nuevos contenidos no podrán constituir materia del procedimiento a sustanciarse por el Instituto Nacional de Transparencia, Acceso a la Información y Protección de Datos Personales; actualizándose la hipótesis de improcedencia respectiva</w:t>
      </w:r>
      <w:r>
        <w:rPr>
          <w:rFonts w:ascii="Palatino Linotype" w:eastAsia="Palatino Linotype" w:hAnsi="Palatino Linotype" w:cs="Palatino Linotype"/>
          <w:b/>
          <w:bCs/>
          <w:i/>
          <w:iCs/>
          <w:color w:val="000000"/>
        </w:rPr>
        <w:t>.</w:t>
      </w:r>
      <w:r>
        <w:rPr>
          <w:rFonts w:ascii="Palatino Linotype" w:eastAsia="Palatino Linotype" w:hAnsi="Palatino Linotype" w:cs="Palatino Linotype"/>
          <w:i/>
          <w:iCs/>
          <w:color w:val="000000"/>
        </w:rPr>
        <w:t>”</w:t>
      </w:r>
    </w:p>
    <w:p w:rsidR="00A61978" w:rsidRDefault="00A61978">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 xml:space="preserve">Acotado lo anterior, resultan inatendibles los nuevos requerimientos. No obstante, a efecto de no conculcar los intereses del ahora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se dejan a salvo sus derechos para interponer nuevas solicitudes de información ante los sujetos obligados que a sus intereses convenga.</w:t>
      </w:r>
    </w:p>
    <w:p w:rsidR="00A61978" w:rsidRDefault="00A61978">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 xml:space="preserve">Posteriormente, se cuenta con la solicitud de información de los logotipos o emblemas que deben portar, batas y/o uniformes de los participantes, a lo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informó, que corresponden aquellos del Gobierno del Estado de México y del Instituto de Salud del Estado de México.</w:t>
      </w:r>
    </w:p>
    <w:p w:rsidR="00A61978" w:rsidRDefault="00A61978">
      <w:pPr>
        <w:pBdr>
          <w:top w:val="nil"/>
          <w:left w:val="nil"/>
          <w:bottom w:val="nil"/>
          <w:right w:val="nil"/>
          <w:between w:val="nil"/>
        </w:pBdr>
        <w:spacing w:line="360" w:lineRule="auto"/>
        <w:ind w:left="720" w:right="-1071"/>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 xml:space="preserve">A lo que el particular </w:t>
      </w:r>
      <w:r>
        <w:rPr>
          <w:rFonts w:ascii="Palatino Linotype" w:eastAsia="Palatino Linotype" w:hAnsi="Palatino Linotype" w:cs="Palatino Linotype"/>
        </w:rPr>
        <w:t>impugnó</w:t>
      </w:r>
      <w:r>
        <w:rPr>
          <w:rFonts w:ascii="Palatino Linotype" w:eastAsia="Palatino Linotype" w:hAnsi="Palatino Linotype" w:cs="Palatino Linotype"/>
          <w:color w:val="000000"/>
        </w:rPr>
        <w:t xml:space="preserve"> la respuesta, refiriendo que existe una contradicción, pues según la respuesta sí hay logos/emblemas que se deben portar, pero no hay listado de participantes, se requiere de aclarar la presente por los años solicitados.</w:t>
      </w:r>
    </w:p>
    <w:p w:rsidR="00A61978" w:rsidRDefault="00A61978">
      <w:pPr>
        <w:pBdr>
          <w:top w:val="nil"/>
          <w:left w:val="nil"/>
          <w:bottom w:val="nil"/>
          <w:right w:val="nil"/>
          <w:between w:val="nil"/>
        </w:pBdr>
        <w:spacing w:line="360" w:lineRule="auto"/>
        <w:ind w:left="720" w:right="-1071"/>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 xml:space="preserve">Contexto que también resulta improcedente, pues igualmente que el rubro anterior no se impugna la respuesta mediante alguna de las causales establecidas en la ley de la materia; sino que solicita se realice una aclaración en concatenación a una respuesta diversa, no obstante que el requerimiento obtuvo una respuesta puntual, que la atiende. En ese sentido al </w:t>
      </w:r>
      <w:r>
        <w:rPr>
          <w:rFonts w:ascii="Palatino Linotype" w:eastAsia="Palatino Linotype" w:hAnsi="Palatino Linotype" w:cs="Palatino Linotype"/>
          <w:color w:val="000000"/>
        </w:rPr>
        <w:lastRenderedPageBreak/>
        <w:t xml:space="preserve">haberse emitido una respuesta puntual, tocante a </w:t>
      </w:r>
      <w:r>
        <w:rPr>
          <w:rFonts w:ascii="Palatino Linotype" w:eastAsia="Palatino Linotype" w:hAnsi="Palatino Linotype" w:cs="Palatino Linotype"/>
        </w:rPr>
        <w:t>qué</w:t>
      </w:r>
      <w:r>
        <w:rPr>
          <w:rFonts w:ascii="Palatino Linotype" w:eastAsia="Palatino Linotype" w:hAnsi="Palatino Linotype" w:cs="Palatino Linotype"/>
          <w:color w:val="000000"/>
        </w:rPr>
        <w:t xml:space="preserve"> logotipos deben contar, se tiene por atendido el rubro de mérito.</w:t>
      </w:r>
    </w:p>
    <w:p w:rsidR="00A61978" w:rsidRDefault="00A61978">
      <w:pPr>
        <w:pBdr>
          <w:top w:val="nil"/>
          <w:left w:val="nil"/>
          <w:bottom w:val="nil"/>
          <w:right w:val="nil"/>
          <w:between w:val="nil"/>
        </w:pBdr>
        <w:spacing w:line="360" w:lineRule="auto"/>
        <w:ind w:left="720" w:right="-1071"/>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 xml:space="preserve">Por cuanto hace a la solicitud de aclaración, al igual que el rubro anterior corresponde a un requerimiento que no obraba en la solicitud de información inicial; luego entonces se actualiza nuevamente la figura denominada </w:t>
      </w:r>
      <w:r>
        <w:rPr>
          <w:rFonts w:ascii="Palatino Linotype" w:eastAsia="Palatino Linotype" w:hAnsi="Palatino Linotype" w:cs="Palatino Linotype"/>
          <w:i/>
          <w:iCs/>
          <w:color w:val="000000"/>
        </w:rPr>
        <w:t>plus petitio</w:t>
      </w:r>
      <w:r>
        <w:rPr>
          <w:rFonts w:ascii="Palatino Linotype" w:eastAsia="Palatino Linotype" w:hAnsi="Palatino Linotype" w:cs="Palatino Linotype"/>
          <w:color w:val="000000"/>
        </w:rPr>
        <w:t>.</w:t>
      </w:r>
    </w:p>
    <w:p w:rsidR="00A61978" w:rsidRDefault="00A61978">
      <w:pPr>
        <w:pBdr>
          <w:top w:val="nil"/>
          <w:left w:val="nil"/>
          <w:bottom w:val="nil"/>
          <w:right w:val="nil"/>
          <w:between w:val="nil"/>
        </w:pBdr>
        <w:spacing w:line="360" w:lineRule="auto"/>
        <w:ind w:left="720" w:right="-1071"/>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 xml:space="preserve">Adicional a la ampliación de solicitud, debe señalarse que solicitar aclaraciones, no atañe al ejercicio del derecho de acceso a la información; sino a uno diverso como lo es </w:t>
      </w:r>
      <w:r>
        <w:rPr>
          <w:rFonts w:ascii="Palatino Linotype" w:eastAsia="Palatino Linotype" w:hAnsi="Palatino Linotype" w:cs="Palatino Linotype"/>
        </w:rPr>
        <w:t>el</w:t>
      </w:r>
      <w:r>
        <w:rPr>
          <w:rFonts w:ascii="Palatino Linotype" w:eastAsia="Palatino Linotype" w:hAnsi="Palatino Linotype" w:cs="Palatino Linotype"/>
          <w:color w:val="000000"/>
        </w:rPr>
        <w:t xml:space="preserve"> de petición.</w:t>
      </w:r>
    </w:p>
    <w:p w:rsidR="00A61978" w:rsidRDefault="00A61978">
      <w:pPr>
        <w:pBdr>
          <w:top w:val="nil"/>
          <w:left w:val="nil"/>
          <w:bottom w:val="nil"/>
          <w:right w:val="nil"/>
          <w:between w:val="nil"/>
        </w:pBdr>
        <w:spacing w:line="360" w:lineRule="auto"/>
        <w:ind w:left="720" w:right="-1071"/>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 xml:space="preserve">Por lo que respecta a la definición de derecho de petición, el Maestro Ignacio Burgoa Orihuela refiere: “…es un Derecho Público subjetivo individual de la Garantía Respectiva Consagrada en el Artículo 8 de la Ley Fundamental. En tal virtud, la persona tiene la facultad de acudir a cualquier autoridad, formulando una solicitud o instancia </w:t>
      </w:r>
      <w:r>
        <w:rPr>
          <w:rFonts w:ascii="Palatino Linotype" w:eastAsia="Palatino Linotype" w:hAnsi="Palatino Linotype" w:cs="Palatino Linotype"/>
        </w:rPr>
        <w:t>escrita</w:t>
      </w:r>
      <w:r>
        <w:rPr>
          <w:rFonts w:ascii="Palatino Linotype" w:eastAsia="Palatino Linotype" w:hAnsi="Palatino Linotype" w:cs="Palatino Linotype"/>
          <w:color w:val="000000"/>
        </w:rPr>
        <w:t xml:space="preserve"> de cualquier índole, la cual adopta, específicamente, el carácter de simple petición administrativa, acción o recurso, etc.</w:t>
      </w:r>
      <w:r>
        <w:rPr>
          <w:rFonts w:ascii="Palatino Linotype" w:eastAsia="Palatino Linotype" w:hAnsi="Palatino Linotype" w:cs="Palatino Linotype"/>
          <w:i/>
          <w:iCs/>
          <w:color w:val="000000"/>
          <w:vertAlign w:val="superscript"/>
        </w:rPr>
        <w:t xml:space="preserve"> </w:t>
      </w:r>
      <w:r>
        <w:rPr>
          <w:rFonts w:ascii="Palatino Linotype" w:eastAsia="Palatino Linotype" w:hAnsi="Palatino Linotype" w:cs="Palatino Linotype"/>
          <w:i/>
          <w:iCs/>
          <w:color w:val="000000"/>
          <w:vertAlign w:val="superscript"/>
        </w:rPr>
        <w:footnoteReference w:id="2"/>
      </w:r>
      <w:r>
        <w:rPr>
          <w:rFonts w:ascii="Palatino Linotype" w:eastAsia="Palatino Linotype" w:hAnsi="Palatino Linotype" w:cs="Palatino Linotype"/>
          <w:color w:val="000000"/>
        </w:rPr>
        <w:t xml:space="preserve">   “(Sic)</w:t>
      </w:r>
    </w:p>
    <w:p w:rsidR="00A61978" w:rsidRDefault="00A61978">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 xml:space="preserve">Por su parte, David Cienfuegos Salgado, concibe al derecho de petición como </w:t>
      </w:r>
      <w:r>
        <w:rPr>
          <w:rFonts w:ascii="Palatino Linotype" w:eastAsia="Palatino Linotype" w:hAnsi="Palatino Linotype" w:cs="Palatino Linotype"/>
          <w:i/>
          <w:iCs/>
          <w:color w:val="000000"/>
        </w:rPr>
        <w:t xml:space="preserve">“el derecho de toda persona a ser escuchado por quienes ejercen el poder público. </w:t>
      </w:r>
      <w:r>
        <w:rPr>
          <w:rFonts w:ascii="Palatino Linotype" w:eastAsia="Palatino Linotype" w:hAnsi="Palatino Linotype" w:cs="Palatino Linotype"/>
          <w:color w:val="000000"/>
          <w:vertAlign w:val="superscript"/>
        </w:rPr>
        <w:footnoteReference w:id="3"/>
      </w:r>
      <w:r>
        <w:rPr>
          <w:rFonts w:ascii="Palatino Linotype" w:eastAsia="Palatino Linotype" w:hAnsi="Palatino Linotype" w:cs="Palatino Linotype"/>
          <w:i/>
          <w:iCs/>
          <w:color w:val="000000"/>
        </w:rPr>
        <w:t xml:space="preserve">” (Sic) </w:t>
      </w:r>
    </w:p>
    <w:p w:rsidR="00A61978" w:rsidRDefault="00A61978">
      <w:pPr>
        <w:pBdr>
          <w:top w:val="nil"/>
          <w:left w:val="nil"/>
          <w:bottom w:val="nil"/>
          <w:right w:val="nil"/>
          <w:between w:val="nil"/>
        </w:pBdr>
        <w:spacing w:line="360" w:lineRule="auto"/>
        <w:ind w:left="720" w:right="-1071"/>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lastRenderedPageBreak/>
        <w:t>Luego entonces, para diferenciar el derecho de petición al derecho de acceso a la información, resulta conducente señalar que José Guadalupe Robles, conceptualiza el derecho a la información como “</w:t>
      </w:r>
      <w:r>
        <w:rPr>
          <w:rFonts w:ascii="Palatino Linotype" w:eastAsia="Palatino Linotype" w:hAnsi="Palatino Linotype" w:cs="Palatino Linotype"/>
          <w:i/>
          <w:iCs/>
          <w:color w:val="000000"/>
        </w:rPr>
        <w:t xml:space="preserve">un derecho fundamental tanto de carácter </w:t>
      </w:r>
      <w:r>
        <w:rPr>
          <w:rFonts w:ascii="Palatino Linotype" w:eastAsia="Palatino Linotype" w:hAnsi="Palatino Linotype" w:cs="Palatino Linotype"/>
          <w:color w:val="000000"/>
        </w:rPr>
        <w:t>individual</w:t>
      </w:r>
      <w:r>
        <w:rPr>
          <w:rFonts w:ascii="Palatino Linotype" w:eastAsia="Palatino Linotype" w:hAnsi="Palatino Linotype" w:cs="Palatino Linotype"/>
          <w:i/>
          <w:iCs/>
          <w:color w:val="000000"/>
        </w:rPr>
        <w:t xml:space="preserve"> como colectivo, cuyas limitaciones deben estar establecidas en la ley, así como una garantía de que la información sea transmitida con claridad y objetividad, por cuanto a que es un bien jurídico que coadyuva al desarrollo de las personas y a la formación de opinión pública de calidad para poder participar y luego influir en la vida pública. </w:t>
      </w:r>
      <w:r>
        <w:rPr>
          <w:rFonts w:ascii="Palatino Linotype" w:eastAsia="Palatino Linotype" w:hAnsi="Palatino Linotype" w:cs="Palatino Linotype"/>
          <w:i/>
          <w:iCs/>
          <w:color w:val="000000"/>
          <w:vertAlign w:val="superscript"/>
        </w:rPr>
        <w:footnoteReference w:id="4"/>
      </w:r>
      <w:r>
        <w:rPr>
          <w:rFonts w:ascii="Palatino Linotype" w:eastAsia="Palatino Linotype" w:hAnsi="Palatino Linotype" w:cs="Palatino Linotype"/>
          <w:i/>
          <w:iCs/>
          <w:color w:val="000000"/>
        </w:rPr>
        <w:t xml:space="preserve"> “(Sic)</w:t>
      </w:r>
    </w:p>
    <w:p w:rsidR="00A61978" w:rsidRDefault="00A61978">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 xml:space="preserve">Además, el derecho a la información constituye una prerrogativa a acceder a documentación en poder de los Sujetos Obligados, no así a realizar cuestionamientos, o manifestaciones subjetivas. Sirve de apoyo a lo anterior la definición de derecho a la información de Ernesto Villanueva Villanueva que dice: </w:t>
      </w:r>
      <w:r>
        <w:rPr>
          <w:rFonts w:ascii="Palatino Linotype" w:eastAsia="Palatino Linotype" w:hAnsi="Palatino Linotype" w:cs="Palatino Linotype"/>
          <w:i/>
          <w:iCs/>
          <w:color w:val="000000"/>
        </w:rPr>
        <w:t>“la prerrogativa de la persona para acceder a datos, registros y todo tipo de informaciones en poder de entidades públicas y empresas privadas que ejercen gasto público o cumplen funciones de autoridad, con las excepciones taxativas que establezca la ley en una sociedad democrática.</w:t>
      </w:r>
      <w:r>
        <w:rPr>
          <w:rFonts w:ascii="Palatino Linotype" w:eastAsia="Palatino Linotype" w:hAnsi="Palatino Linotype" w:cs="Palatino Linotype"/>
          <w:i/>
          <w:iCs/>
          <w:color w:val="000000"/>
          <w:vertAlign w:val="superscript"/>
        </w:rPr>
        <w:t xml:space="preserve"> </w:t>
      </w:r>
      <w:r>
        <w:rPr>
          <w:rFonts w:ascii="Palatino Linotype" w:eastAsia="Palatino Linotype" w:hAnsi="Palatino Linotype" w:cs="Palatino Linotype"/>
          <w:i/>
          <w:iCs/>
          <w:color w:val="000000"/>
          <w:vertAlign w:val="superscript"/>
        </w:rPr>
        <w:footnoteReference w:id="5"/>
      </w:r>
      <w:r>
        <w:rPr>
          <w:rFonts w:ascii="Palatino Linotype" w:eastAsia="Palatino Linotype" w:hAnsi="Palatino Linotype" w:cs="Palatino Linotype"/>
          <w:i/>
          <w:iCs/>
          <w:color w:val="000000"/>
        </w:rPr>
        <w:t xml:space="preserve">” (Sic) </w:t>
      </w:r>
      <w:r>
        <w:rPr>
          <w:rFonts w:ascii="Palatino Linotype" w:eastAsia="Palatino Linotype" w:hAnsi="Palatino Linotype" w:cs="Palatino Linotype"/>
          <w:color w:val="000000"/>
        </w:rPr>
        <w:t xml:space="preserve">Por lo que </w:t>
      </w:r>
      <w:r>
        <w:rPr>
          <w:rFonts w:ascii="Palatino Linotype" w:eastAsia="Palatino Linotype" w:hAnsi="Palatino Linotype" w:cs="Palatino Linotype"/>
        </w:rPr>
        <w:t>antes</w:t>
      </w:r>
      <w:r>
        <w:rPr>
          <w:rFonts w:ascii="Palatino Linotype" w:eastAsia="Palatino Linotype" w:hAnsi="Palatino Linotype" w:cs="Palatino Linotype"/>
          <w:color w:val="000000"/>
        </w:rPr>
        <w:t>, estas dos situaciones devienen improcedentes los motivos de inconformidad.</w:t>
      </w:r>
    </w:p>
    <w:p w:rsidR="00A61978" w:rsidRDefault="00A61978">
      <w:pPr>
        <w:pBdr>
          <w:top w:val="nil"/>
          <w:left w:val="nil"/>
          <w:bottom w:val="nil"/>
          <w:right w:val="nil"/>
          <w:between w:val="nil"/>
        </w:pBdr>
        <w:spacing w:line="360" w:lineRule="auto"/>
        <w:ind w:left="720" w:right="-1071"/>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Seguidamente, se cuenta con la solicitud de información relativa a las fechas o rangos de fechas en las que se realizan las campañas, a lo que recayó una respuesta puntual: en los meses de marzo y septiembre.</w:t>
      </w:r>
    </w:p>
    <w:p w:rsidR="00A61978" w:rsidRDefault="00A61978">
      <w:pPr>
        <w:pBdr>
          <w:top w:val="nil"/>
          <w:left w:val="nil"/>
          <w:bottom w:val="nil"/>
          <w:right w:val="nil"/>
          <w:between w:val="nil"/>
        </w:pBdr>
        <w:spacing w:line="360" w:lineRule="auto"/>
        <w:ind w:left="720" w:right="-1071"/>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lastRenderedPageBreak/>
        <w:t xml:space="preserve">No obstante, el ahora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se inconforma ante la ambigüedad de la respuesta, pues estima que no aclara si son dos campañas, o si se trata de una campaña que dura desde marzo hasta septiembre, y no menciona si hay fechas específicas de inicio y fin de las mismas, en ningún ejercicio fiscal solicitado.</w:t>
      </w:r>
    </w:p>
    <w:p w:rsidR="00A61978" w:rsidRDefault="00A61978">
      <w:pPr>
        <w:pBdr>
          <w:top w:val="nil"/>
          <w:left w:val="nil"/>
          <w:bottom w:val="nil"/>
          <w:right w:val="nil"/>
          <w:between w:val="nil"/>
        </w:pBdr>
        <w:spacing w:line="360" w:lineRule="auto"/>
        <w:ind w:left="720" w:right="-1071"/>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 xml:space="preserve">Contexto que se estima improcedente; toda vez que la solicitud de información de delimita a requerir a las fechas o rango de fechas en que se realizan campañas, no así a, conocer el número de campañas que se realizan, respecto a la especificidad de fechas, se estima que la respuesta si es </w:t>
      </w:r>
      <w:r>
        <w:rPr>
          <w:rFonts w:ascii="Palatino Linotype" w:eastAsia="Palatino Linotype" w:hAnsi="Palatino Linotype" w:cs="Palatino Linotype"/>
        </w:rPr>
        <w:t>específica</w:t>
      </w:r>
      <w:r>
        <w:rPr>
          <w:rFonts w:ascii="Palatino Linotype" w:eastAsia="Palatino Linotype" w:hAnsi="Palatino Linotype" w:cs="Palatino Linotype"/>
          <w:color w:val="000000"/>
        </w:rPr>
        <w:t xml:space="preserve"> al señalar los meses de marzo y septiembre, o lo que es lo mismo del 01 al 31 de marzo y del 01 al 30 de septiembre. Respecto que no se refiere fechas de ningún ejercicio fiscal de los solicitado, se estima que corresponde a una inconformidad improcedente; toda vez que, de la tarjeta informativa remitida, se desprende que se especifica que dicha información es aplicable a los años 2023, 2024 y 2025, de modo que se califica de atendido el rubro en comento.</w:t>
      </w:r>
    </w:p>
    <w:p w:rsidR="00A61978" w:rsidRDefault="00A61978">
      <w:pPr>
        <w:pBdr>
          <w:top w:val="nil"/>
          <w:left w:val="nil"/>
          <w:bottom w:val="nil"/>
          <w:right w:val="nil"/>
          <w:between w:val="nil"/>
        </w:pBdr>
        <w:spacing w:line="360" w:lineRule="auto"/>
        <w:ind w:left="720" w:right="-1071"/>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Consecutivamente, aparece la solicitud de información, relativa a las coberturas territoriales que se cubren en las campañas. Al respecto se informó que comprende al territorio del Estado de México.</w:t>
      </w:r>
    </w:p>
    <w:p w:rsidR="00A61978" w:rsidRDefault="00A61978">
      <w:pPr>
        <w:pBdr>
          <w:top w:val="nil"/>
          <w:left w:val="nil"/>
          <w:bottom w:val="nil"/>
          <w:right w:val="nil"/>
          <w:between w:val="nil"/>
        </w:pBdr>
        <w:spacing w:line="360" w:lineRule="auto"/>
        <w:ind w:left="720" w:right="-1071"/>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Empero, el solicitante se manifiesta en contra de la respuesta incompleta al no referir cuáles son los municipios, colonias, o región; esto derivado que donde radica no pasó ninguna campaña ni se emitió ningún comunicado, por lo que se pide detallar la respuesta.</w:t>
      </w:r>
    </w:p>
    <w:p w:rsidR="00A61978" w:rsidRDefault="00A61978">
      <w:pPr>
        <w:pBdr>
          <w:top w:val="nil"/>
          <w:left w:val="nil"/>
          <w:bottom w:val="nil"/>
          <w:right w:val="nil"/>
          <w:between w:val="nil"/>
        </w:pBdr>
        <w:spacing w:line="360" w:lineRule="auto"/>
        <w:ind w:left="720" w:right="-1071"/>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lastRenderedPageBreak/>
        <w:t xml:space="preserve">Motivo de inconformidad que deviene procedente; toda vez que ciertamente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cuenta con diversas expresiones documentales que dan cuenta de las coberturas territoriales, como se desprende, de diversas fuentes de acceso </w:t>
      </w:r>
      <w:r>
        <w:rPr>
          <w:rFonts w:ascii="Palatino Linotype" w:eastAsia="Palatino Linotype" w:hAnsi="Palatino Linotype" w:cs="Palatino Linotype"/>
        </w:rPr>
        <w:t>público</w:t>
      </w:r>
      <w:r>
        <w:rPr>
          <w:rFonts w:ascii="Palatino Linotype" w:eastAsia="Palatino Linotype" w:hAnsi="Palatino Linotype" w:cs="Palatino Linotype"/>
          <w:color w:val="000000"/>
        </w:rPr>
        <w:t xml:space="preserve"> como lo es su propio sitio web, del cual se puede consultar puestos de vacunación por Municipio y el domicilio del puesto, como se observa:</w:t>
      </w:r>
    </w:p>
    <w:p w:rsidR="00A61978" w:rsidRDefault="00C034BB">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noProof/>
          <w:color w:val="000000"/>
          <w:lang w:val="es-MX"/>
        </w:rPr>
        <w:drawing>
          <wp:inline distT="0" distB="0" distL="0" distR="0">
            <wp:extent cx="5612130" cy="548767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612130" cy="5487670"/>
                    </a:xfrm>
                    <a:prstGeom prst="rect">
                      <a:avLst/>
                    </a:prstGeom>
                    <a:ln/>
                  </pic:spPr>
                </pic:pic>
              </a:graphicData>
            </a:graphic>
          </wp:inline>
        </w:drawing>
      </w:r>
    </w:p>
    <w:p w:rsidR="00A61978" w:rsidRDefault="00A61978">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lastRenderedPageBreak/>
        <w:t xml:space="preserve">Luego entonces, si bien es cierto la respuesta no resulta desacertada; también lo es que ciertamente resulta ambigua </w:t>
      </w:r>
      <w:r>
        <w:rPr>
          <w:rFonts w:ascii="Palatino Linotype" w:eastAsia="Palatino Linotype" w:hAnsi="Palatino Linotype" w:cs="Palatino Linotype"/>
          <w:i/>
          <w:iCs/>
          <w:color w:val="000000"/>
        </w:rPr>
        <w:t>máxime</w:t>
      </w:r>
      <w:r>
        <w:rPr>
          <w:rFonts w:ascii="Palatino Linotype" w:eastAsia="Palatino Linotype" w:hAnsi="Palatino Linotype" w:cs="Palatino Linotype"/>
          <w:color w:val="000000"/>
        </w:rPr>
        <w:t xml:space="preserve"> si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sí genera</w:t>
      </w:r>
      <w:r>
        <w:rPr>
          <w:rFonts w:ascii="Palatino Linotype" w:eastAsia="Palatino Linotype" w:hAnsi="Palatino Linotype" w:cs="Palatino Linotype"/>
          <w:color w:val="000000"/>
        </w:rPr>
        <w:t>, posee y administra la información con un grado de desagregación mayor.</w:t>
      </w:r>
    </w:p>
    <w:p w:rsidR="00A61978" w:rsidRDefault="00A61978">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En este sentido, resulta pertinente precisar que el derecho de acceso a la información pública no se satisface únicamente mediante la entrega material de documentos o de un pronunciamiento general como resulta del caso concreto. Por el contrario, los Sujetos Obligados se encuentran constreñidos a garantizar que la información se proporcione de manera clara, completa, ordenada y congruente con lo solicitado, de tal forma que el particular pueda identificar de manera plena los documentos que atienden su requerimiento.</w:t>
      </w:r>
    </w:p>
    <w:p w:rsidR="00A61978" w:rsidRDefault="00A61978">
      <w:pPr>
        <w:pBdr>
          <w:top w:val="nil"/>
          <w:left w:val="nil"/>
          <w:bottom w:val="nil"/>
          <w:right w:val="nil"/>
          <w:between w:val="nil"/>
        </w:pBdr>
        <w:spacing w:line="360" w:lineRule="auto"/>
        <w:ind w:left="720" w:right="-1071"/>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 xml:space="preserve">La entrega excesiva de información, la duplicidad de archivos y la ausencia información o sin una </w:t>
      </w:r>
      <w:r>
        <w:rPr>
          <w:rFonts w:ascii="Palatino Linotype" w:eastAsia="Palatino Linotype" w:hAnsi="Palatino Linotype" w:cs="Palatino Linotype"/>
          <w:b/>
          <w:bCs/>
          <w:color w:val="000000"/>
        </w:rPr>
        <w:t>adecuada identificación precisa</w:t>
      </w:r>
      <w:r>
        <w:rPr>
          <w:rFonts w:ascii="Palatino Linotype" w:eastAsia="Palatino Linotype" w:hAnsi="Palatino Linotype" w:cs="Palatino Linotype"/>
          <w:color w:val="000000"/>
        </w:rPr>
        <w:t xml:space="preserve"> de los documentos que atienden la solicitud genera incertidumbre respecto de la atención otorgada, lo que se traduce en una afectación al ejercicio efectivo del derecho de acceso a la información.</w:t>
      </w:r>
    </w:p>
    <w:p w:rsidR="00A61978" w:rsidRDefault="00A61978">
      <w:pPr>
        <w:pBdr>
          <w:top w:val="nil"/>
          <w:left w:val="nil"/>
          <w:bottom w:val="nil"/>
          <w:right w:val="nil"/>
          <w:between w:val="nil"/>
        </w:pBdr>
        <w:spacing w:line="360" w:lineRule="auto"/>
        <w:ind w:left="720" w:right="-1071"/>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 xml:space="preserve">Bajo tales consideraciones resulta pertinente mencionar al Sujeto Obligado que la atención al ejercicio del Derecho de Acceso a la Información, debe ajustarse a lo dispuesto en el artículo 11 de la Ley en la Materia, que señala lo siguiente: </w:t>
      </w:r>
    </w:p>
    <w:p w:rsidR="00A61978" w:rsidRDefault="00C034BB">
      <w:pPr>
        <w:spacing w:line="360" w:lineRule="auto"/>
        <w:ind w:left="851"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Artículo 11. En la generación, publicación y entrega de información se deberá garantizar que ésta sea accesible, actualizada, completa, congruente, confiable, verificable, veraz, integral, oportuna y expedita, sujeta a un claro régimen de excepciones que deberá estar definido y ser además legítima y estrictamente necesaria en una sociedad democrática, por lo que atenderá las necesidades del derecho de acceso a la información de toda persona.</w:t>
      </w: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lastRenderedPageBreak/>
        <w:t>En el presente caso, la respuesta emitida por el Sujeto Obligado incumple diversos parámetros señalados en el artículo mencionado, por las siguientes razones:</w:t>
      </w:r>
    </w:p>
    <w:p w:rsidR="00A61978" w:rsidRDefault="00C034BB">
      <w:pPr>
        <w:numPr>
          <w:ilvl w:val="0"/>
          <w:numId w:val="5"/>
        </w:num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Accesibilidad: La información fue entregada sin una correcta identificación lo que dificulta que el particular pueda acceder de manera clara y directa a los documentos que corresponden a cada recurso de revisión. </w:t>
      </w:r>
    </w:p>
    <w:p w:rsidR="00A61978" w:rsidRDefault="00C034BB">
      <w:pPr>
        <w:numPr>
          <w:ilvl w:val="0"/>
          <w:numId w:val="5"/>
        </w:num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Congruencia: El Sujeto Obligado remitió información que incluso no corresponde con la temporalidad solicitada.  Esto implica que la entrega no es congruente con lo solicitado, incumpliendo lo previsto en la ley.</w:t>
      </w:r>
    </w:p>
    <w:p w:rsidR="00A61978" w:rsidRDefault="00C034BB">
      <w:pPr>
        <w:numPr>
          <w:ilvl w:val="0"/>
          <w:numId w:val="5"/>
        </w:num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Confiabilidad: La entrega de documentos sin una identificación precisa, dificulta la verificación de la información, impidiendo al solicitante confirmar que se trata de la totalidad de la información. </w:t>
      </w:r>
    </w:p>
    <w:p w:rsidR="00A61978" w:rsidRDefault="00C034BB">
      <w:pPr>
        <w:numPr>
          <w:ilvl w:val="0"/>
          <w:numId w:val="5"/>
        </w:num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Oportunidad y expedición: Al enviar información sin una correcta identificación no permite un acceso expedito </w:t>
      </w:r>
      <w:r>
        <w:rPr>
          <w:rFonts w:ascii="Palatino Linotype" w:eastAsia="Palatino Linotype" w:hAnsi="Palatino Linotype" w:cs="Palatino Linotype"/>
        </w:rPr>
        <w:t>y oportuno</w:t>
      </w:r>
      <w:r>
        <w:rPr>
          <w:rFonts w:ascii="Palatino Linotype" w:eastAsia="Palatino Linotype" w:hAnsi="Palatino Linotype" w:cs="Palatino Linotype"/>
          <w:color w:val="000000"/>
        </w:rPr>
        <w:t xml:space="preserve"> a los documentos, afectando el ejercicio eficiente del derecho de acceso a la información.</w:t>
      </w:r>
    </w:p>
    <w:p w:rsidR="00A61978" w:rsidRDefault="00A61978">
      <w:pPr>
        <w:pBdr>
          <w:top w:val="nil"/>
          <w:left w:val="nil"/>
          <w:bottom w:val="nil"/>
          <w:right w:val="nil"/>
          <w:between w:val="nil"/>
        </w:pBdr>
        <w:spacing w:line="360" w:lineRule="auto"/>
        <w:ind w:left="720" w:right="-1071"/>
        <w:jc w:val="both"/>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Por otro lado, no solo no es posible que el solicitante lo deduzca en que Municipios del Estado de México se ejecutan campañas; por tanto lo entregado no colma a cabalidad, el rubro en comento.</w:t>
      </w:r>
    </w:p>
    <w:p w:rsidR="00A61978" w:rsidRDefault="00A61978">
      <w:pPr>
        <w:pBdr>
          <w:top w:val="nil"/>
          <w:left w:val="nil"/>
          <w:bottom w:val="nil"/>
          <w:right w:val="nil"/>
          <w:between w:val="nil"/>
        </w:pBdr>
        <w:spacing w:line="360" w:lineRule="auto"/>
        <w:ind w:left="644" w:right="-1071"/>
        <w:jc w:val="both"/>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Cuyos recursos sirven para financiar servicios públicos, obras, programas y el funcionamiento del gobierno municipal y que por tanto ciertamente debe obrar en soporte documental en que conste o se advierta su aplicación y destino. Por tanto resulta procedente ordenar la información de referencia con el grado de mayor de desagregación posible.</w:t>
      </w: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lastRenderedPageBreak/>
        <w:t xml:space="preserve">Seguidamente se cuenta con las solicitudes relativas a los costos que se deben cubrir los propietarios de mascotas, y fundamento legal de los mismos y, los nombres de los participantes autorizados a recibir los montos, así como los medios de cobros y pagos autorizados; a lo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refiere que el servicio es totalmente gratuito. Del primer requerimiento resulta evidente que existe un cumplimiento parcial al no existir pronunciamiento respecto del fundamento legal que establezca que el servicio no debe tener un costo, debiendo ser totalmente gratuito.</w:t>
      </w:r>
    </w:p>
    <w:p w:rsidR="00A61978" w:rsidRDefault="00A61978">
      <w:pPr>
        <w:spacing w:line="360" w:lineRule="auto"/>
        <w:ind w:right="-1071"/>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 xml:space="preserve">No obstante, se omite un análisis al respecto, ya que para ambas solicitudes, el ahora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manifiesta su conformidad con las respuestas entregadas, al señalar literalmente: </w:t>
      </w:r>
      <w:r>
        <w:rPr>
          <w:rFonts w:ascii="Palatino Linotype" w:eastAsia="Palatino Linotype" w:hAnsi="Palatino Linotype" w:cs="Palatino Linotype"/>
          <w:i/>
          <w:iCs/>
          <w:color w:val="000000"/>
        </w:rPr>
        <w:t>Respecto de los costos que deban cubrirse, personal y mecanismos autorizados a recibir montos, documentos que deban presentar propietarios de mascotas, queda solventada la respuesta.</w:t>
      </w:r>
    </w:p>
    <w:p w:rsidR="00A61978" w:rsidRDefault="00A61978">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 xml:space="preserve">Por tanto resulta evidente, que se actualiza la figura denominada actos consentidos. De tal forma que, la parte de la solicitud que no fue impugnada debe declararse consentida, toda vez que al no realizar manifestaciones de inconformidad; no pueden producirse efectos jurídicos tendentes a revocar, confirmar o modificar el acto reclamado, ya que no realizó manifestación alguna al respecto. </w:t>
      </w:r>
    </w:p>
    <w:p w:rsidR="00A61978" w:rsidRDefault="00A61978">
      <w:pPr>
        <w:pBdr>
          <w:top w:val="nil"/>
          <w:left w:val="nil"/>
          <w:bottom w:val="nil"/>
          <w:right w:val="nil"/>
          <w:between w:val="nil"/>
        </w:pBdr>
        <w:spacing w:line="360" w:lineRule="auto"/>
        <w:ind w:left="720" w:right="-1071"/>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Sirve de sustento, la tesis jurisprudencial número VI.3o.C. J/60, publicada en el Semanario Judicial de la Federación y su Gaceta bajo el número de registro 176,608 que a la letra dice:</w:t>
      </w:r>
    </w:p>
    <w:p w:rsidR="00A61978" w:rsidRDefault="00C034BB">
      <w:pPr>
        <w:tabs>
          <w:tab w:val="left" w:pos="851"/>
        </w:tabs>
        <w:spacing w:line="360" w:lineRule="auto"/>
        <w:ind w:left="851"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“ACTOS CONSENTIDOS. SON LOS QUE NO SE IMPUGNAN MEDIANTE EL RECURSO IDÓNEO. </w:t>
      </w:r>
      <w:r>
        <w:rPr>
          <w:rFonts w:ascii="Palatino Linotype" w:eastAsia="Palatino Linotype" w:hAnsi="Palatino Linotype" w:cs="Palatino Linotype"/>
          <w:i/>
          <w:iCs/>
          <w:color w:val="000000"/>
        </w:rPr>
        <w:t xml:space="preserve">Debe reputarse como consentido el acto que no se impugnó por el medio </w:t>
      </w:r>
      <w:r>
        <w:rPr>
          <w:rFonts w:ascii="Palatino Linotype" w:eastAsia="Palatino Linotype" w:hAnsi="Palatino Linotype" w:cs="Palatino Linotype"/>
          <w:i/>
          <w:iCs/>
          <w:color w:val="000000"/>
        </w:rPr>
        <w:lastRenderedPageBreak/>
        <w:t>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rsidR="00A61978" w:rsidRDefault="00A61978">
      <w:pPr>
        <w:tabs>
          <w:tab w:val="left" w:pos="851"/>
        </w:tabs>
        <w:spacing w:line="360" w:lineRule="auto"/>
        <w:ind w:left="851" w:right="-1071"/>
        <w:jc w:val="both"/>
        <w:rPr>
          <w:rFonts w:ascii="Palatino Linotype" w:eastAsia="Palatino Linotype" w:hAnsi="Palatino Linotype" w:cs="Palatino Linotype"/>
          <w:i/>
          <w:iCs/>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 xml:space="preserve">De la interpretación del criterio antes citado, se advierte que cuando el particular impugnó la respuesta del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no expresó razón o motivo de inconformidad en contra de todos los rubros solicitados, por tanto estos deben declararse atendidos, pues se entiende que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 xml:space="preserve"> está conforme con la respuesta proporcionada por </w:t>
      </w:r>
      <w:r>
        <w:rPr>
          <w:rFonts w:ascii="Palatino Linotype" w:eastAsia="Palatino Linotype" w:hAnsi="Palatino Linotype" w:cs="Palatino Linotype"/>
          <w:b/>
          <w:bCs/>
          <w:color w:val="000000"/>
        </w:rPr>
        <w:t>EL SUJETO OBLIGADO,</w:t>
      </w:r>
      <w:r>
        <w:rPr>
          <w:rFonts w:ascii="Palatino Linotype" w:eastAsia="Palatino Linotype" w:hAnsi="Palatino Linotype" w:cs="Palatino Linotype"/>
          <w:color w:val="000000"/>
        </w:rPr>
        <w:t xml:space="preserve"> al no contravenir la misma.</w:t>
      </w:r>
    </w:p>
    <w:p w:rsidR="00A61978" w:rsidRDefault="00A61978">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Atento a ello, es importante traer a contexto la Tesis Jurisprudencial Número 3ª./J.7/91, Publicada en el Semanario Judicial de la Federación y su Gaceta bajo el número de registro 174,177, que establece lo siguiente:</w:t>
      </w:r>
    </w:p>
    <w:p w:rsidR="00A61978" w:rsidRDefault="00C034BB">
      <w:pPr>
        <w:tabs>
          <w:tab w:val="left" w:pos="7937"/>
          <w:tab w:val="left" w:pos="8222"/>
        </w:tabs>
        <w:spacing w:line="360" w:lineRule="auto"/>
        <w:ind w:left="851"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“REVISIÓN EN AMPARO. LOS RESOLUTIVOS NO COMBATIDOS DEBEN DECLARARSE FIRMES. </w:t>
      </w:r>
      <w:r>
        <w:rPr>
          <w:rFonts w:ascii="Palatino Linotype" w:eastAsia="Palatino Linotype" w:hAnsi="Palatino Linotype" w:cs="Palatino Linotype"/>
          <w:i/>
          <w:iCs/>
          <w:color w:val="000000"/>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rsidR="00A61978" w:rsidRDefault="00A61978">
      <w:pPr>
        <w:tabs>
          <w:tab w:val="left" w:pos="7937"/>
          <w:tab w:val="left" w:pos="8222"/>
        </w:tabs>
        <w:spacing w:line="360" w:lineRule="auto"/>
        <w:ind w:left="851" w:right="-1071"/>
        <w:jc w:val="both"/>
        <w:rPr>
          <w:rFonts w:ascii="Palatino Linotype" w:eastAsia="Palatino Linotype" w:hAnsi="Palatino Linotype" w:cs="Palatino Linotype"/>
          <w:i/>
          <w:iCs/>
          <w:color w:val="000000"/>
        </w:rPr>
      </w:pPr>
    </w:p>
    <w:p w:rsidR="00A61978" w:rsidRPr="00A57866"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lastRenderedPageBreak/>
        <w:t xml:space="preserve">En consecuencia que los demás fundamentos remitidos en respuesta. Se consideran un acto consentido y, en consecuencia, este Órgano Resolutor no entrará al estudio del mismo por las razones hasta aquí expuestas. </w:t>
      </w:r>
    </w:p>
    <w:p w:rsidR="00A57866" w:rsidRDefault="00A57866" w:rsidP="00A57866">
      <w:pPr>
        <w:pBdr>
          <w:top w:val="nil"/>
          <w:left w:val="nil"/>
          <w:bottom w:val="nil"/>
          <w:right w:val="nil"/>
          <w:between w:val="nil"/>
        </w:pBdr>
        <w:spacing w:line="360" w:lineRule="auto"/>
        <w:ind w:right="-1071"/>
        <w:jc w:val="both"/>
        <w:rPr>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A colación del análisis de los denominados actos consentidos, corresponde a un contexto que se actualiza para el siguiente requerimiento vertido en la solicitud de información, a saber: Documentos que deben presentar los propietarios de mascotas a los participantes de las campañas de vacunación.</w:t>
      </w:r>
    </w:p>
    <w:p w:rsidR="00A61978" w:rsidRDefault="00A61978">
      <w:pPr>
        <w:pBdr>
          <w:top w:val="nil"/>
          <w:left w:val="nil"/>
          <w:bottom w:val="nil"/>
          <w:right w:val="nil"/>
          <w:between w:val="nil"/>
        </w:pBdr>
        <w:spacing w:line="360" w:lineRule="auto"/>
        <w:ind w:left="502" w:right="-1071"/>
        <w:jc w:val="both"/>
        <w:rPr>
          <w:rFonts w:ascii="Palatino Linotype" w:eastAsia="Palatino Linotype" w:hAnsi="Palatino Linotype" w:cs="Palatino Linotype"/>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Del que recayó una respuesta (No deben presentar ningún documento) de la que se omite un análisis al también corresponder a un acto consentido que no fue impugnado en el escrito recursal.</w:t>
      </w:r>
    </w:p>
    <w:p w:rsidR="00A61978" w:rsidRDefault="00A61978">
      <w:pPr>
        <w:pBdr>
          <w:top w:val="nil"/>
          <w:left w:val="nil"/>
          <w:bottom w:val="nil"/>
          <w:right w:val="nil"/>
          <w:between w:val="nil"/>
        </w:pBdr>
        <w:spacing w:line="360" w:lineRule="auto"/>
        <w:ind w:left="502" w:right="-1071"/>
        <w:jc w:val="both"/>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 xml:space="preserve">Seguidamente se cuenta con la solicitud de información tocante a los datos de contacto de las oficinas responsables de las campañas del que se informó el nombre del área, número de teléfono y </w:t>
      </w:r>
      <w:r>
        <w:rPr>
          <w:rFonts w:ascii="Palatino Linotype" w:eastAsia="Palatino Linotype" w:hAnsi="Palatino Linotype" w:cs="Palatino Linotype"/>
        </w:rPr>
        <w:t>número</w:t>
      </w:r>
      <w:r>
        <w:rPr>
          <w:rFonts w:ascii="Palatino Linotype" w:eastAsia="Palatino Linotype" w:hAnsi="Palatino Linotype" w:cs="Palatino Linotype"/>
          <w:color w:val="000000"/>
        </w:rPr>
        <w:t xml:space="preserve"> de extensión. Datos que ciertamente corresponde a información de contacto de la oficina responsable; sin embargo el solicitante pretende que se amplíen y señalando que falta un correo electrónico.</w:t>
      </w:r>
    </w:p>
    <w:p w:rsidR="00A61978" w:rsidRDefault="00A61978">
      <w:pPr>
        <w:pBdr>
          <w:top w:val="nil"/>
          <w:left w:val="nil"/>
          <w:bottom w:val="nil"/>
          <w:right w:val="nil"/>
          <w:between w:val="nil"/>
        </w:pBdr>
        <w:spacing w:line="360" w:lineRule="auto"/>
        <w:ind w:left="502" w:right="-1071"/>
        <w:jc w:val="both"/>
        <w:rPr>
          <w:rFonts w:ascii="Palatino Linotype" w:eastAsia="Palatino Linotype" w:hAnsi="Palatino Linotype" w:cs="Palatino Linotype"/>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 xml:space="preserve">Al respecto, debe subrayarse que la solicitud de información fue general respecto de datos de contacto de la oficina responsable sin mencionar que estos debían obedecer respecto de ciertos datos como lo es un correo electrónico. No obstante esta Ponencia resolutora, se avoco a la búsqueda de indicios, de algún correo electrónico, sin localizar dicho dato, por el contrario, se localizaron publicaciones del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en donde se invita a la </w:t>
      </w:r>
      <w:r>
        <w:rPr>
          <w:rFonts w:ascii="Palatino Linotype" w:eastAsia="Palatino Linotype" w:hAnsi="Palatino Linotype" w:cs="Palatino Linotype"/>
          <w:color w:val="000000"/>
        </w:rPr>
        <w:lastRenderedPageBreak/>
        <w:t>población a comunicarse a dicho Departamento, aportando como datos de contacto únicamente, un número de teléfono y de extensión, como se observa:</w:t>
      </w:r>
    </w:p>
    <w:p w:rsidR="00A61978" w:rsidRDefault="00C034BB">
      <w:pPr>
        <w:spacing w:line="360" w:lineRule="auto"/>
        <w:ind w:right="-1071"/>
        <w:jc w:val="center"/>
        <w:rPr>
          <w:rFonts w:ascii="Palatino Linotype" w:eastAsia="Palatino Linotype" w:hAnsi="Palatino Linotype" w:cs="Palatino Linotype"/>
          <w:color w:val="000000"/>
        </w:rPr>
      </w:pPr>
      <w:r>
        <w:rPr>
          <w:rFonts w:ascii="Palatino Linotype" w:eastAsia="Palatino Linotype" w:hAnsi="Palatino Linotype" w:cs="Palatino Linotype"/>
          <w:noProof/>
          <w:color w:val="000000"/>
          <w:lang w:val="es-MX"/>
        </w:rPr>
        <w:drawing>
          <wp:inline distT="0" distB="0" distL="0" distR="0">
            <wp:extent cx="5125585" cy="4741080"/>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5125585" cy="4741080"/>
                    </a:xfrm>
                    <a:prstGeom prst="rect">
                      <a:avLst/>
                    </a:prstGeom>
                    <a:ln/>
                  </pic:spPr>
                </pic:pic>
              </a:graphicData>
            </a:graphic>
          </wp:inline>
        </w:drawing>
      </w:r>
    </w:p>
    <w:p w:rsidR="00A61978" w:rsidRDefault="00A61978">
      <w:pPr>
        <w:spacing w:line="360" w:lineRule="auto"/>
        <w:ind w:right="-1071"/>
        <w:jc w:val="center"/>
        <w:rPr>
          <w:rFonts w:ascii="Palatino Linotype" w:eastAsia="Palatino Linotype" w:hAnsi="Palatino Linotype" w:cs="Palatino Linotype"/>
          <w:color w:val="000000"/>
        </w:rPr>
      </w:pPr>
    </w:p>
    <w:p w:rsidR="00A61978" w:rsidRPr="00A57866"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 xml:space="preserve"> De modo tal que al ya entregar los datos de contacto de la oficina responsable, se tiene por atendido el rubro de referencia, no pasando desapercibido que el derecho de acceso a la información se colma con la entrega de la información que los sujetos obligados generen, posean o administren previo a la interposición de una solicitud de información, sin que tengan la necesidad de generarla conforme a los intereses particulares de los solicitantes, como podría </w:t>
      </w:r>
      <w:r>
        <w:rPr>
          <w:rFonts w:ascii="Palatino Linotype" w:eastAsia="Palatino Linotype" w:hAnsi="Palatino Linotype" w:cs="Palatino Linotype"/>
          <w:color w:val="000000"/>
        </w:rPr>
        <w:lastRenderedPageBreak/>
        <w:t>ser en el caso concreto con la creación de un correo electrónico para colmar la pretensión del solicitante.</w:t>
      </w:r>
    </w:p>
    <w:p w:rsidR="00A57866" w:rsidRDefault="00A57866" w:rsidP="00A57866">
      <w:pPr>
        <w:pBdr>
          <w:top w:val="nil"/>
          <w:left w:val="nil"/>
          <w:bottom w:val="nil"/>
          <w:right w:val="nil"/>
          <w:between w:val="nil"/>
        </w:pBdr>
        <w:spacing w:line="360" w:lineRule="auto"/>
        <w:ind w:right="-1071"/>
        <w:jc w:val="both"/>
        <w:rPr>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 xml:space="preserve">Finalmente se cuenta con la solicitud de información del listado de apoyos y/o pagos económicos o, en especie entregados a los participantes de las campañas, del cual, 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señala que no se menciona nada, por lo que se solicita se entregue la documentación relacionada por los años mencionados (2025, 2024 y 2023). Motivo de inconformidad que resulta procedente, toda vez que la respuesta correspondió al servicio es totalmente gratuito. Al respecto se colige que eventualmente existió una confusión entre los costos para las personas que solicitan el servicio y los montos que eventualmente reciba el personal que participa (voluntarios o servidores públicos)</w:t>
      </w:r>
    </w:p>
    <w:p w:rsidR="00A61978" w:rsidRDefault="00A61978">
      <w:pPr>
        <w:pBdr>
          <w:top w:val="nil"/>
          <w:left w:val="nil"/>
          <w:bottom w:val="nil"/>
          <w:right w:val="nil"/>
          <w:between w:val="nil"/>
        </w:pBdr>
        <w:spacing w:line="360" w:lineRule="auto"/>
        <w:ind w:left="720" w:right="-1071"/>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 xml:space="preserve">Por tal motivo se deduce con claridad que el rubro no fue atendido. Luego entonces, la solicitud de mérito versa respecto participante, es decir que no resulta </w:t>
      </w:r>
      <w:r>
        <w:rPr>
          <w:rFonts w:ascii="Palatino Linotype" w:eastAsia="Palatino Linotype" w:hAnsi="Palatino Linotype" w:cs="Palatino Linotype"/>
        </w:rPr>
        <w:t>específica</w:t>
      </w:r>
      <w:r>
        <w:rPr>
          <w:rFonts w:ascii="Palatino Linotype" w:eastAsia="Palatino Linotype" w:hAnsi="Palatino Linotype" w:cs="Palatino Linotype"/>
          <w:color w:val="000000"/>
        </w:rPr>
        <w:t xml:space="preserve"> respecto de voluntarios o servidores públicos.</w:t>
      </w:r>
    </w:p>
    <w:p w:rsidR="00A61978" w:rsidRDefault="00A61978">
      <w:pPr>
        <w:pBdr>
          <w:top w:val="nil"/>
          <w:left w:val="nil"/>
          <w:bottom w:val="nil"/>
          <w:right w:val="nil"/>
          <w:between w:val="nil"/>
        </w:pBdr>
        <w:spacing w:line="360" w:lineRule="auto"/>
        <w:ind w:left="720" w:right="-1071"/>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Respecto de los voluntarios, si bien –como ya se mencionó anteriormente- la labor de los voluntarios carece de remuneración económica, la solicitud planteada no se limita al pago monetario, sino que comprende también apoyos o prestaciones en especie, mismos que pueden ser procedentes.</w:t>
      </w:r>
    </w:p>
    <w:p w:rsidR="00A61978" w:rsidRDefault="00A61978">
      <w:pPr>
        <w:pBdr>
          <w:top w:val="nil"/>
          <w:left w:val="nil"/>
          <w:bottom w:val="nil"/>
          <w:right w:val="nil"/>
          <w:between w:val="nil"/>
        </w:pBdr>
        <w:spacing w:line="360" w:lineRule="auto"/>
        <w:ind w:left="720" w:right="-1071"/>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 xml:space="preserve">Por tanto, al no existir pronunciamiento al respecto y de no haberse realizado la búsqueda correspondiente; es dable ordenar que se realice una nueva búsqueda exhaustiva y razonable de lo solicitado de la información solicitada, y cumplir con lo expresado en el </w:t>
      </w:r>
      <w:r>
        <w:rPr>
          <w:rFonts w:ascii="Palatino Linotype" w:eastAsia="Palatino Linotype" w:hAnsi="Palatino Linotype" w:cs="Palatino Linotype"/>
          <w:color w:val="000000"/>
        </w:rPr>
        <w:lastRenderedPageBreak/>
        <w:t>artículo 162 de la Ley de Transparencia y Acceso a la Información Pública del Estado de México y Municipios, el cual menciona lo siguiente:</w:t>
      </w:r>
    </w:p>
    <w:p w:rsidR="00A61978" w:rsidRDefault="00C034BB">
      <w:pPr>
        <w:pBdr>
          <w:top w:val="nil"/>
          <w:left w:val="nil"/>
          <w:bottom w:val="nil"/>
          <w:right w:val="nil"/>
          <w:between w:val="nil"/>
        </w:pBdr>
        <w:spacing w:line="360" w:lineRule="auto"/>
        <w:ind w:left="567" w:right="-1071"/>
        <w:jc w:val="both"/>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t xml:space="preserve">“Artículo 162. Las unidades de transparencia deberán garantizar que las solicitudes </w:t>
      </w:r>
      <w:r>
        <w:rPr>
          <w:rFonts w:ascii="Palatino Linotype" w:eastAsia="Palatino Linotype" w:hAnsi="Palatino Linotype" w:cs="Palatino Linotype"/>
          <w:b/>
          <w:bCs/>
          <w:i/>
          <w:iCs/>
          <w:color w:val="000000"/>
        </w:rPr>
        <w:t xml:space="preserve">se turnen a todas las Áreas competentes </w:t>
      </w:r>
      <w:r>
        <w:rPr>
          <w:rFonts w:ascii="Palatino Linotype" w:eastAsia="Palatino Linotype" w:hAnsi="Palatino Linotype" w:cs="Palatino Linotype"/>
          <w:i/>
          <w:iCs/>
          <w:color w:val="000000"/>
        </w:rPr>
        <w:t>que cuenten con la información o deban tenerla de acuerdo a sus facultades, competencias y funciones, con el objeto de que realicen una búsqueda exhaustiva y razonable de la información solicitada.”</w:t>
      </w:r>
    </w:p>
    <w:p w:rsidR="00A61978" w:rsidRDefault="00A61978">
      <w:pPr>
        <w:spacing w:line="360" w:lineRule="auto"/>
        <w:ind w:right="-1071"/>
        <w:jc w:val="both"/>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Asimismo, resultando aplicable el Criterio 02/17 emitido por el Pleno del entonces Instituto Nacional de Transparencia y Acceso a la Información y Protección de Datos Personales, de título y texto siguientes:</w:t>
      </w:r>
    </w:p>
    <w:p w:rsidR="00A61978" w:rsidRDefault="00C034BB">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“Congruencia y exhaustividad. Sus alcances para garantizar el derecho de acceso a la información. </w:t>
      </w:r>
      <w:r>
        <w:rPr>
          <w:rFonts w:ascii="Palatino Linotype" w:eastAsia="Palatino Linotype" w:hAnsi="Palatino Linotype" w:cs="Palatino Linotype"/>
          <w:i/>
          <w:iCs/>
          <w:color w:val="000000"/>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Pr>
          <w:rFonts w:ascii="Palatino Linotype" w:eastAsia="Palatino Linotype" w:hAnsi="Palatino Linotype" w:cs="Palatino Linotype"/>
          <w:b/>
          <w:bCs/>
          <w:i/>
          <w:iCs/>
          <w:color w:val="000000"/>
        </w:rPr>
        <w:t>la congruencia implica que exista concordancia entre el requerimiento formulado por el particular y la respuesta proporcionada por el sujeto obligado</w:t>
      </w:r>
      <w:r>
        <w:rPr>
          <w:rFonts w:ascii="Palatino Linotype" w:eastAsia="Palatino Linotype" w:hAnsi="Palatino Linotype" w:cs="Palatino Linotype"/>
          <w:i/>
          <w:iCs/>
          <w:color w:val="000000"/>
        </w:rPr>
        <w:t xml:space="preserve">; mientras que </w:t>
      </w:r>
      <w:r>
        <w:rPr>
          <w:rFonts w:ascii="Palatino Linotype" w:eastAsia="Palatino Linotype" w:hAnsi="Palatino Linotype" w:cs="Palatino Linotype"/>
          <w:b/>
          <w:bCs/>
          <w:i/>
          <w:iCs/>
          <w:color w:val="000000"/>
        </w:rPr>
        <w:t>la exhaustividad significa que dicha respuesta se refiera expresamente a cada uno de los puntos solicitados</w:t>
      </w:r>
      <w:r>
        <w:rPr>
          <w:rFonts w:ascii="Palatino Linotype" w:eastAsia="Palatino Linotype" w:hAnsi="Palatino Linotype" w:cs="Palatino Linotype"/>
          <w:i/>
          <w:iCs/>
          <w:color w:val="000000"/>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rsidR="00A61978" w:rsidRDefault="00A61978">
      <w:pPr>
        <w:pBdr>
          <w:top w:val="nil"/>
          <w:left w:val="nil"/>
          <w:bottom w:val="nil"/>
          <w:right w:val="nil"/>
          <w:between w:val="nil"/>
        </w:pBdr>
        <w:spacing w:line="360" w:lineRule="auto"/>
        <w:ind w:left="851" w:right="-1071"/>
        <w:jc w:val="both"/>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lastRenderedPageBreak/>
        <w:t>Es así que, todos los actos de autoridad que realicen los Sujetos Obligados deben estar documentados y, bajo el más alto estándar de transparencia deberán poner toda la información que se encuentre en su posesión, a disposición de los particulares que la soliciten.</w:t>
      </w:r>
    </w:p>
    <w:p w:rsidR="00A61978" w:rsidRDefault="00A61978">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Resulta necesario referir que, el artículo 6° apartado A fracción I, de la Constitución Política de los Estados Unidos Mexicanos, artículo 5 fracción I de la Constitución Política del Estado Libre y Soberano de México y el artículo 18 de la Ley de Transparencia y Acceso a la Información Pública del Estado de México y Municipios, guardan una estrecha relación, puesto que los ordenamientos citados concurren refiriendo que los Sujetos Obligados deberán documentar todo acto que se derive del ejercicio de sus facultades, competencias o funciones, considerando desde su origen la eventual publicidad y reutilización de la información que generen, posean o administren.</w:t>
      </w:r>
    </w:p>
    <w:p w:rsidR="00A61978" w:rsidRDefault="00A61978">
      <w:pPr>
        <w:spacing w:line="360" w:lineRule="auto"/>
        <w:ind w:right="-1071"/>
        <w:jc w:val="both"/>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Además, debemos tomar en cuenta los artículos 4 y 12, de la Ley de Transparencia y Acceso a la Información Pública del Estado de México y Municipios, los cuales establecen lo siguiente:</w:t>
      </w:r>
    </w:p>
    <w:p w:rsidR="00A61978" w:rsidRDefault="00C034BB">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4.</w:t>
      </w:r>
      <w:r>
        <w:rPr>
          <w:rFonts w:ascii="Palatino Linotype" w:eastAsia="Palatino Linotype" w:hAnsi="Palatino Linotype" w:cs="Palatino Linotype"/>
          <w:i/>
          <w:iCs/>
          <w:color w:val="000000"/>
        </w:rPr>
        <w:t xml:space="preserve"> El derecho humano de acceso a la información pública es la prerrogativa de las personas para buscar, difundir, investigar, recabar, recibir y solicitar información pública, sin necesidad de acreditar personalidad ni interés jurídico.</w:t>
      </w:r>
    </w:p>
    <w:p w:rsidR="00A61978" w:rsidRDefault="00A61978">
      <w:pPr>
        <w:spacing w:line="360" w:lineRule="auto"/>
        <w:ind w:left="567" w:right="-1071"/>
        <w:jc w:val="both"/>
        <w:rPr>
          <w:rFonts w:ascii="Palatino Linotype" w:eastAsia="Palatino Linotype" w:hAnsi="Palatino Linotype" w:cs="Palatino Linotype"/>
          <w:i/>
          <w:iCs/>
          <w:color w:val="000000"/>
        </w:rPr>
      </w:pPr>
    </w:p>
    <w:p w:rsidR="00A61978" w:rsidRDefault="00C034BB">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w:t>
      </w:r>
      <w:r>
        <w:rPr>
          <w:rFonts w:ascii="Palatino Linotype" w:eastAsia="Palatino Linotype" w:hAnsi="Palatino Linotype" w:cs="Palatino Linotype"/>
          <w:i/>
          <w:iCs/>
          <w:color w:val="000000"/>
        </w:rPr>
        <w:lastRenderedPageBreak/>
        <w:t>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A61978" w:rsidRDefault="00A61978">
      <w:pPr>
        <w:spacing w:line="360" w:lineRule="auto"/>
        <w:ind w:left="567" w:right="-1071"/>
        <w:jc w:val="both"/>
        <w:rPr>
          <w:rFonts w:ascii="Palatino Linotype" w:eastAsia="Palatino Linotype" w:hAnsi="Palatino Linotype" w:cs="Palatino Linotype"/>
          <w:i/>
          <w:iCs/>
          <w:color w:val="000000"/>
        </w:rPr>
      </w:pPr>
    </w:p>
    <w:p w:rsidR="00A61978" w:rsidRDefault="00C034BB">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Los sujetos obligados deben poner en práctica, políticas y programas de acceso a la información que se apeguen a criterios de publicidad, veracidad, oportunidad, precisión y suficiencia en beneficio de los solicitantes.</w:t>
      </w:r>
    </w:p>
    <w:p w:rsidR="00A61978" w:rsidRDefault="00A61978">
      <w:pPr>
        <w:spacing w:line="360" w:lineRule="auto"/>
        <w:ind w:left="567" w:right="-1071"/>
        <w:jc w:val="both"/>
        <w:rPr>
          <w:rFonts w:ascii="Palatino Linotype" w:eastAsia="Palatino Linotype" w:hAnsi="Palatino Linotype" w:cs="Palatino Linotype"/>
          <w:i/>
          <w:iCs/>
          <w:color w:val="000000"/>
        </w:rPr>
      </w:pPr>
    </w:p>
    <w:p w:rsidR="00A61978" w:rsidRDefault="00C034BB">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12.</w:t>
      </w:r>
      <w:r>
        <w:rPr>
          <w:rFonts w:ascii="Palatino Linotype" w:eastAsia="Palatino Linotype" w:hAnsi="Palatino Linotype" w:cs="Palatino Linotype"/>
          <w:i/>
          <w:iCs/>
          <w:color w:val="000000"/>
        </w:rPr>
        <w:t xml:space="preserve"> Quienes generen, recopilen, administren, manejen, procesen, archiven o conserven información pública serán responsables de la misma en los términos de las disposiciones jurídicas aplicables. </w:t>
      </w:r>
    </w:p>
    <w:p w:rsidR="00A61978" w:rsidRDefault="00A61978">
      <w:pPr>
        <w:spacing w:line="360" w:lineRule="auto"/>
        <w:ind w:left="567" w:right="-1071"/>
        <w:jc w:val="both"/>
        <w:rPr>
          <w:rFonts w:ascii="Palatino Linotype" w:eastAsia="Palatino Linotype" w:hAnsi="Palatino Linotype" w:cs="Palatino Linotype"/>
          <w:i/>
          <w:iCs/>
          <w:color w:val="000000"/>
        </w:rPr>
      </w:pPr>
    </w:p>
    <w:p w:rsidR="00A61978" w:rsidRDefault="00C034BB">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A61978" w:rsidRDefault="00A61978">
      <w:pPr>
        <w:spacing w:line="360" w:lineRule="auto"/>
        <w:ind w:right="-1071"/>
        <w:jc w:val="both"/>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lastRenderedPageBreak/>
        <w:t>Robustece lo anterior la Tesis aislada identificada con la clave I.4º.A.40 A del Cuarto Tribunal colegiado en Materia Administrativa del Primer Circuito, publicada en el Seminario Judicial de la Federación y su Gaceta en el libro XVIII, Marzo 2013, Página 1899.</w:t>
      </w:r>
    </w:p>
    <w:p w:rsidR="00A61978" w:rsidRDefault="00C034BB">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ACCESO A LA INFORMACIÓN. IMPLICACIÓN DEL PRINCIPIO DE MÁXIMA PUBLICIDAD EN EL DERECHO FUNDAMENTAL RELATIVO.</w:t>
      </w:r>
      <w:r>
        <w:rPr>
          <w:rFonts w:ascii="Palatino Linotype" w:eastAsia="Palatino Linotype" w:hAnsi="Palatino Linotype" w:cs="Palatino Linotype"/>
          <w:i/>
          <w:iCs/>
          <w:color w:val="000000"/>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lastRenderedPageBreak/>
        <w:t xml:space="preserve">Como se ha señalado, los Sujetos Obligados deberán proporcionar toda la información que se encuentre en su posesión bajo los estándares más altos de transparencia y máxima publicidad. </w:t>
      </w:r>
    </w:p>
    <w:p w:rsidR="00A61978" w:rsidRDefault="00A61978">
      <w:pPr>
        <w:spacing w:line="360" w:lineRule="auto"/>
        <w:ind w:right="-1071"/>
        <w:jc w:val="both"/>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Es pertinente enfatizar lo que respecto al derecho de acceso a la información pública, refiere el artículo 6° de la Constitución Política de los Estados Unidos Mexicanos, que en su parte conducente señala:</w:t>
      </w:r>
    </w:p>
    <w:p w:rsidR="00A61978" w:rsidRDefault="00C034BB">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6o.</w:t>
      </w:r>
      <w:r>
        <w:rPr>
          <w:rFonts w:ascii="Palatino Linotype" w:eastAsia="Palatino Linotype" w:hAnsi="Palatino Linotype" w:cs="Palatino Linotype"/>
          <w:i/>
          <w:iCs/>
          <w:color w:val="000000"/>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rsidR="00A61978" w:rsidRDefault="00A61978">
      <w:pPr>
        <w:spacing w:line="360" w:lineRule="auto"/>
        <w:ind w:left="567" w:right="-1071"/>
        <w:jc w:val="both"/>
        <w:rPr>
          <w:rFonts w:ascii="Palatino Linotype" w:eastAsia="Palatino Linotype" w:hAnsi="Palatino Linotype" w:cs="Palatino Linotype"/>
          <w:i/>
          <w:iCs/>
          <w:color w:val="000000"/>
        </w:rPr>
      </w:pPr>
    </w:p>
    <w:p w:rsidR="00A61978" w:rsidRDefault="00C034BB">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Toda persona tiene derecho al libre acceso a información plural y oportuna, así como a buscar, recibir y difundir información e ideas de toda índole por cualquier medio de expresión.</w:t>
      </w:r>
    </w:p>
    <w:p w:rsidR="00A61978" w:rsidRDefault="00A61978">
      <w:pPr>
        <w:spacing w:line="360" w:lineRule="auto"/>
        <w:ind w:left="567" w:right="-1071"/>
        <w:jc w:val="both"/>
        <w:rPr>
          <w:rFonts w:ascii="Palatino Linotype" w:eastAsia="Palatino Linotype" w:hAnsi="Palatino Linotype" w:cs="Palatino Linotype"/>
          <w:i/>
          <w:iCs/>
          <w:color w:val="000000"/>
        </w:rPr>
      </w:pPr>
    </w:p>
    <w:p w:rsidR="00A61978" w:rsidRDefault="00C034BB">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Para efectos de lo dispuesto en el presente artículo se observará lo siguiente:</w:t>
      </w:r>
    </w:p>
    <w:p w:rsidR="00A61978" w:rsidRDefault="00A61978">
      <w:pPr>
        <w:spacing w:line="360" w:lineRule="auto"/>
        <w:ind w:left="567" w:right="-1071"/>
        <w:jc w:val="both"/>
        <w:rPr>
          <w:rFonts w:ascii="Palatino Linotype" w:eastAsia="Palatino Linotype" w:hAnsi="Palatino Linotype" w:cs="Palatino Linotype"/>
          <w:i/>
          <w:iCs/>
          <w:color w:val="000000"/>
        </w:rPr>
      </w:pPr>
    </w:p>
    <w:p w:rsidR="00A61978" w:rsidRDefault="00C034BB">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Para el ejercicio del derecho de acceso a la información, la Federación, los Estados y el Distrito Federal, en el ámbito de sus respectivas competencias, se regirán por los siguientes principios y bases:</w:t>
      </w:r>
    </w:p>
    <w:p w:rsidR="00A61978" w:rsidRDefault="00A61978">
      <w:pPr>
        <w:spacing w:line="360" w:lineRule="auto"/>
        <w:ind w:left="567" w:right="-1071"/>
        <w:jc w:val="both"/>
        <w:rPr>
          <w:rFonts w:ascii="Palatino Linotype" w:eastAsia="Palatino Linotype" w:hAnsi="Palatino Linotype" w:cs="Palatino Linotype"/>
          <w:i/>
          <w:iCs/>
          <w:color w:val="000000"/>
        </w:rPr>
      </w:pPr>
    </w:p>
    <w:p w:rsidR="00A61978" w:rsidRDefault="00C034BB">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w:t>
      </w:r>
      <w:r>
        <w:rPr>
          <w:rFonts w:ascii="Palatino Linotype" w:eastAsia="Palatino Linotype" w:hAnsi="Palatino Linotype" w:cs="Palatino Linotype"/>
          <w:i/>
          <w:iCs/>
          <w:color w:val="000000"/>
        </w:rPr>
        <w:lastRenderedPageBreak/>
        <w:t>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A61978" w:rsidRDefault="00A61978">
      <w:pPr>
        <w:spacing w:line="360" w:lineRule="auto"/>
        <w:ind w:left="567" w:right="-1071"/>
        <w:jc w:val="both"/>
        <w:rPr>
          <w:rFonts w:ascii="Palatino Linotype" w:eastAsia="Palatino Linotype" w:hAnsi="Palatino Linotype" w:cs="Palatino Linotype"/>
          <w:i/>
          <w:iCs/>
          <w:color w:val="000000"/>
        </w:rPr>
      </w:pPr>
    </w:p>
    <w:p w:rsidR="00A61978" w:rsidRDefault="00C034BB">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La información que se refiere a la vida privada y los datos personales será protegida en los términos y con las excepciones que fijen las leyes.</w:t>
      </w:r>
    </w:p>
    <w:p w:rsidR="00A61978" w:rsidRDefault="00C034BB">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Toda persona, sin necesidad de acreditar interés alguno o justificar su utilización, tendrá acceso gratuito a la información pública, a sus datos personales o a la rectificación de éstos.</w:t>
      </w:r>
    </w:p>
    <w:p w:rsidR="00A61978" w:rsidRDefault="00A61978">
      <w:pPr>
        <w:spacing w:line="360" w:lineRule="auto"/>
        <w:ind w:left="567" w:right="-1071"/>
        <w:jc w:val="both"/>
        <w:rPr>
          <w:rFonts w:ascii="Palatino Linotype" w:eastAsia="Palatino Linotype" w:hAnsi="Palatino Linotype" w:cs="Palatino Linotype"/>
          <w:i/>
          <w:iCs/>
          <w:color w:val="000000"/>
        </w:rPr>
      </w:pPr>
    </w:p>
    <w:p w:rsidR="00A61978" w:rsidRDefault="00C034BB">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Se establecerán mecanismos de acceso a la información y procedimientos de revisión expeditos que se sustanciarán ante los organismos autónomos especializados e imparciales que establece esta Constitución.</w:t>
      </w:r>
    </w:p>
    <w:p w:rsidR="00A61978" w:rsidRDefault="00A61978">
      <w:pPr>
        <w:spacing w:line="360" w:lineRule="auto"/>
        <w:ind w:left="567" w:right="-1071"/>
        <w:jc w:val="both"/>
        <w:rPr>
          <w:rFonts w:ascii="Palatino Linotype" w:eastAsia="Palatino Linotype" w:hAnsi="Palatino Linotype" w:cs="Palatino Linotype"/>
          <w:i/>
          <w:iCs/>
          <w:color w:val="000000"/>
        </w:rPr>
      </w:pPr>
    </w:p>
    <w:p w:rsidR="00A61978" w:rsidRDefault="00C034BB">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rsidR="00A61978" w:rsidRDefault="00A61978">
      <w:pPr>
        <w:spacing w:line="360" w:lineRule="auto"/>
        <w:ind w:left="567" w:right="-1071"/>
        <w:jc w:val="both"/>
        <w:rPr>
          <w:rFonts w:ascii="Palatino Linotype" w:eastAsia="Palatino Linotype" w:hAnsi="Palatino Linotype" w:cs="Palatino Linotype"/>
          <w:i/>
          <w:iCs/>
          <w:color w:val="000000"/>
        </w:rPr>
      </w:pPr>
    </w:p>
    <w:p w:rsidR="00A61978" w:rsidRDefault="00C034BB">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Las leyes determinarán la manera en que los sujetos obligados deberán hacer pública la información relativa a los recursos públicos que entreguen a personas físicas o morales.</w:t>
      </w:r>
    </w:p>
    <w:p w:rsidR="00A61978" w:rsidRDefault="00A61978">
      <w:pPr>
        <w:spacing w:line="360" w:lineRule="auto"/>
        <w:ind w:left="567" w:right="-1071"/>
        <w:jc w:val="both"/>
        <w:rPr>
          <w:rFonts w:ascii="Palatino Linotype" w:eastAsia="Palatino Linotype" w:hAnsi="Palatino Linotype" w:cs="Palatino Linotype"/>
          <w:i/>
          <w:iCs/>
          <w:color w:val="000000"/>
        </w:rPr>
      </w:pPr>
    </w:p>
    <w:p w:rsidR="00A61978" w:rsidRDefault="00C034BB">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La inobservancia a las disposiciones en materia de acceso a la información pública será sancionada en los términos que dispongan las leyes.</w:t>
      </w:r>
    </w:p>
    <w:p w:rsidR="00A61978" w:rsidRDefault="00C034BB">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Federación contará con un organismo autónomo, especializado, imparcial, colegiado, con personalidad jurídica y patrimonio propio, con plena autonomía técnica, de gestión, capacidad para decidir sobre el ejercicio de su presupuesto y determinar su organización interna, responsable de garantizar el cumplimiento del derecho de acceso a la información pública y a la protección de datos personales en posesión de los sujetos obligados en los términos que establezca la ley.</w:t>
      </w:r>
    </w:p>
    <w:p w:rsidR="00A61978" w:rsidRDefault="00C034BB">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A61978" w:rsidRDefault="00C034BB">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La ley establecerá aquella información que se considere reservada o confidencial.”</w:t>
      </w:r>
    </w:p>
    <w:p w:rsidR="00A61978" w:rsidRDefault="00A61978">
      <w:pPr>
        <w:spacing w:line="360" w:lineRule="auto"/>
        <w:ind w:right="-1071"/>
        <w:jc w:val="both"/>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Por su parte, la Constitución Política del Estado Libre y Soberano de México, en su artículo 5°, dispone en su parte conducente, lo siguiente:</w:t>
      </w:r>
    </w:p>
    <w:p w:rsidR="00A61978" w:rsidRDefault="00C034BB">
      <w:pPr>
        <w:pBdr>
          <w:top w:val="nil"/>
          <w:left w:val="nil"/>
          <w:bottom w:val="nil"/>
          <w:right w:val="nil"/>
          <w:between w:val="nil"/>
        </w:pBdr>
        <w:spacing w:line="360" w:lineRule="auto"/>
        <w:ind w:left="426" w:right="-107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“Artículo 5. … </w:t>
      </w:r>
    </w:p>
    <w:p w:rsidR="00A61978" w:rsidRDefault="00C034BB">
      <w:pPr>
        <w:pBdr>
          <w:top w:val="nil"/>
          <w:left w:val="nil"/>
          <w:bottom w:val="nil"/>
          <w:right w:val="nil"/>
          <w:between w:val="nil"/>
        </w:pBdr>
        <w:spacing w:line="360" w:lineRule="auto"/>
        <w:ind w:left="426"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El derecho a la información será garantizado por el Estado</w:t>
      </w:r>
      <w:r>
        <w:rPr>
          <w:rFonts w:ascii="Palatino Linotype" w:eastAsia="Palatino Linotype" w:hAnsi="Palatino Linotype" w:cs="Palatino Linotype"/>
          <w:i/>
          <w:iCs/>
          <w:color w:val="000000"/>
        </w:rPr>
        <w:t xml:space="preserve">. La ley establecerá las previsiones que permitan asegurar la protección, el respeto y la difusión de este derecho. </w:t>
      </w:r>
    </w:p>
    <w:p w:rsidR="00A61978" w:rsidRDefault="00C034BB">
      <w:pPr>
        <w:pBdr>
          <w:top w:val="nil"/>
          <w:left w:val="nil"/>
          <w:bottom w:val="nil"/>
          <w:right w:val="nil"/>
          <w:between w:val="nil"/>
        </w:pBdr>
        <w:spacing w:line="360" w:lineRule="auto"/>
        <w:ind w:left="426"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rsidR="00A61978" w:rsidRDefault="00A61978">
      <w:pPr>
        <w:spacing w:line="360" w:lineRule="auto"/>
        <w:ind w:left="426" w:right="-1071"/>
        <w:jc w:val="both"/>
        <w:rPr>
          <w:rFonts w:ascii="Palatino Linotype" w:eastAsia="Palatino Linotype" w:hAnsi="Palatino Linotype" w:cs="Palatino Linotype"/>
          <w:i/>
          <w:iCs/>
          <w:color w:val="000000"/>
        </w:rPr>
      </w:pPr>
    </w:p>
    <w:p w:rsidR="00A61978" w:rsidRDefault="00C034BB">
      <w:pPr>
        <w:pBdr>
          <w:top w:val="nil"/>
          <w:left w:val="nil"/>
          <w:bottom w:val="nil"/>
          <w:right w:val="nil"/>
          <w:between w:val="nil"/>
        </w:pBdr>
        <w:spacing w:line="360" w:lineRule="auto"/>
        <w:ind w:left="426"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Este derecho se regirá por los principios y bases siguientes:</w:t>
      </w:r>
    </w:p>
    <w:p w:rsidR="00A61978" w:rsidRDefault="00A61978">
      <w:pPr>
        <w:spacing w:line="360" w:lineRule="auto"/>
        <w:ind w:left="426" w:right="-1071"/>
        <w:jc w:val="both"/>
        <w:rPr>
          <w:rFonts w:ascii="Palatino Linotype" w:eastAsia="Palatino Linotype" w:hAnsi="Palatino Linotype" w:cs="Palatino Linotype"/>
          <w:i/>
          <w:iCs/>
          <w:color w:val="000000"/>
        </w:rPr>
      </w:pPr>
    </w:p>
    <w:p w:rsidR="00A61978" w:rsidRDefault="00C034BB">
      <w:pPr>
        <w:numPr>
          <w:ilvl w:val="3"/>
          <w:numId w:val="3"/>
        </w:numPr>
        <w:pBdr>
          <w:top w:val="nil"/>
          <w:left w:val="nil"/>
          <w:bottom w:val="nil"/>
          <w:right w:val="nil"/>
          <w:between w:val="nil"/>
        </w:pBdr>
        <w:spacing w:line="360" w:lineRule="auto"/>
        <w:ind w:left="426"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Toda la información en posesión de cualquier autoridad</w:t>
      </w:r>
      <w:r>
        <w:rPr>
          <w:rFonts w:ascii="Palatino Linotype" w:eastAsia="Palatino Linotype" w:hAnsi="Palatino Linotype" w:cs="Palatino Linotype"/>
          <w:i/>
          <w:iCs/>
          <w:color w:val="000000"/>
        </w:rPr>
        <w:t xml:space="preserve">, entidad, órgano y organismos de los Poderes Ejecutivo, Legislativo y Judicial, órganos autónomos, partidos políticos, fideicomisos y </w:t>
      </w:r>
      <w:r>
        <w:rPr>
          <w:rFonts w:ascii="Palatino Linotype" w:eastAsia="Palatino Linotype" w:hAnsi="Palatino Linotype" w:cs="Palatino Linotype"/>
          <w:i/>
          <w:iCs/>
          <w:color w:val="000000"/>
        </w:rPr>
        <w:lastRenderedPageBreak/>
        <w:t xml:space="preserve">fondos públicos estatales y municipales, </w:t>
      </w:r>
      <w:r>
        <w:rPr>
          <w:rFonts w:ascii="Palatino Linotype" w:eastAsia="Palatino Linotype" w:hAnsi="Palatino Linotype" w:cs="Palatino Linotype"/>
          <w:b/>
          <w:bCs/>
          <w:i/>
          <w:iCs/>
          <w:color w:val="000000"/>
        </w:rPr>
        <w:t>así como del gobierno y de la administración pública municipal y sus organismos descentralizados</w:t>
      </w:r>
      <w:r>
        <w:rPr>
          <w:rFonts w:ascii="Palatino Linotype" w:eastAsia="Palatino Linotype" w:hAnsi="Palatino Linotype" w:cs="Palatino Linotype"/>
          <w:i/>
          <w:iCs/>
          <w:color w:val="000000"/>
        </w:rPr>
        <w:t xml:space="preserve">, asimismo de cualquier persona física, jurídica colectiva o sindicato que reciba y ejerza recursos públicos o realice actos de autoridad en el ámbito estatal y municipal, </w:t>
      </w:r>
      <w:r>
        <w:rPr>
          <w:rFonts w:ascii="Palatino Linotype" w:eastAsia="Palatino Linotype" w:hAnsi="Palatino Linotype" w:cs="Palatino Linotype"/>
          <w:b/>
          <w:bCs/>
          <w:i/>
          <w:iCs/>
          <w:color w:val="000000"/>
        </w:rPr>
        <w:t>es pública</w:t>
      </w:r>
      <w:r>
        <w:rPr>
          <w:rFonts w:ascii="Palatino Linotype" w:eastAsia="Palatino Linotype" w:hAnsi="Palatino Linotype" w:cs="Palatino Linotype"/>
          <w:i/>
          <w:iCs/>
          <w:color w:val="000000"/>
        </w:rPr>
        <w:t xml:space="preserve">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A61978" w:rsidRDefault="00C034BB">
      <w:pPr>
        <w:numPr>
          <w:ilvl w:val="3"/>
          <w:numId w:val="3"/>
        </w:numPr>
        <w:pBdr>
          <w:top w:val="nil"/>
          <w:left w:val="nil"/>
          <w:bottom w:val="nil"/>
          <w:right w:val="nil"/>
          <w:between w:val="nil"/>
        </w:pBdr>
        <w:spacing w:line="360" w:lineRule="auto"/>
        <w:ind w:left="426"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La información referente a la intimidad de la vida privada y la imagen de las personas será protegida a través de un marco jurídico rígido de tratamiento y manejo de datos personales, con las excepciones que establezca la ley reglamentaria.</w:t>
      </w:r>
    </w:p>
    <w:p w:rsidR="00A61978" w:rsidRDefault="00C034BB">
      <w:pPr>
        <w:numPr>
          <w:ilvl w:val="3"/>
          <w:numId w:val="3"/>
        </w:numPr>
        <w:pBdr>
          <w:top w:val="nil"/>
          <w:left w:val="nil"/>
          <w:bottom w:val="nil"/>
          <w:right w:val="nil"/>
          <w:between w:val="nil"/>
        </w:pBdr>
        <w:spacing w:line="360" w:lineRule="auto"/>
        <w:ind w:left="426"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Toda persona, sin necesidad de acreditar interés alguno o justificar su utilización, tendrá acceso gratuito a la información pública, a sus datos personales o a la rectificación de éstos.</w:t>
      </w:r>
    </w:p>
    <w:p w:rsidR="00A61978" w:rsidRDefault="00C034BB">
      <w:pPr>
        <w:numPr>
          <w:ilvl w:val="3"/>
          <w:numId w:val="3"/>
        </w:numPr>
        <w:pBdr>
          <w:top w:val="nil"/>
          <w:left w:val="nil"/>
          <w:bottom w:val="nil"/>
          <w:right w:val="nil"/>
          <w:between w:val="nil"/>
        </w:pBdr>
        <w:spacing w:line="360" w:lineRule="auto"/>
        <w:ind w:left="426"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Se establecerán mecanismos de acceso a la información y procedimientos de revisión expeditos que se sustanciarán ante el organismo autónomo especializado e imparcial que establece esta Constitución.</w:t>
      </w:r>
    </w:p>
    <w:p w:rsidR="00A61978" w:rsidRDefault="00C034BB">
      <w:pPr>
        <w:numPr>
          <w:ilvl w:val="3"/>
          <w:numId w:val="3"/>
        </w:numPr>
        <w:pBdr>
          <w:top w:val="nil"/>
          <w:left w:val="nil"/>
          <w:bottom w:val="nil"/>
          <w:right w:val="nil"/>
          <w:between w:val="nil"/>
        </w:pBdr>
        <w:spacing w:line="360" w:lineRule="auto"/>
        <w:ind w:left="426"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rsidR="00A61978" w:rsidRDefault="00C034BB">
      <w:pPr>
        <w:numPr>
          <w:ilvl w:val="3"/>
          <w:numId w:val="3"/>
        </w:numPr>
        <w:pBdr>
          <w:top w:val="nil"/>
          <w:left w:val="nil"/>
          <w:bottom w:val="nil"/>
          <w:right w:val="nil"/>
          <w:between w:val="nil"/>
        </w:pBdr>
        <w:spacing w:line="360" w:lineRule="auto"/>
        <w:ind w:left="426"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Los sujetos obligados deberán preservar sus documentos en archivos administrativos actualizados y publicarán, a través de los medios electrónicos disponibles, la información </w:t>
      </w:r>
      <w:r>
        <w:rPr>
          <w:rFonts w:ascii="Palatino Linotype" w:eastAsia="Palatino Linotype" w:hAnsi="Palatino Linotype" w:cs="Palatino Linotype"/>
          <w:b/>
          <w:bCs/>
          <w:i/>
          <w:iCs/>
          <w:color w:val="000000"/>
        </w:rPr>
        <w:lastRenderedPageBreak/>
        <w:t>completa y actualizada sobre el ejercicio de los recursos públicos</w:t>
      </w:r>
      <w:r>
        <w:rPr>
          <w:rFonts w:ascii="Palatino Linotype" w:eastAsia="Palatino Linotype" w:hAnsi="Palatino Linotype" w:cs="Palatino Linotype"/>
          <w:i/>
          <w:iCs/>
          <w:color w:val="000000"/>
        </w:rPr>
        <w:t xml:space="preserve"> y los indicadores que permitan rendir cuenta del cumplimiento de sus objetivos y los resultados obtenidos.</w:t>
      </w:r>
    </w:p>
    <w:p w:rsidR="00A61978" w:rsidRDefault="00C034BB">
      <w:pPr>
        <w:numPr>
          <w:ilvl w:val="3"/>
          <w:numId w:val="3"/>
        </w:numPr>
        <w:pBdr>
          <w:top w:val="nil"/>
          <w:left w:val="nil"/>
          <w:bottom w:val="nil"/>
          <w:right w:val="nil"/>
          <w:between w:val="nil"/>
        </w:pBdr>
        <w:spacing w:line="360" w:lineRule="auto"/>
        <w:ind w:left="426"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La ley reglamentaria, determinará la manera en que los sujetos obligados deberán hacer pública la información relativa a los recursos públicos que entreguen a personas físicas o jurídicas colectivas.”</w:t>
      </w:r>
    </w:p>
    <w:p w:rsidR="00A61978" w:rsidRDefault="00A61978">
      <w:pPr>
        <w:pBdr>
          <w:top w:val="nil"/>
          <w:left w:val="nil"/>
          <w:bottom w:val="nil"/>
          <w:right w:val="nil"/>
          <w:between w:val="nil"/>
        </w:pBdr>
        <w:spacing w:line="360" w:lineRule="auto"/>
        <w:ind w:left="2880" w:right="-1071"/>
        <w:jc w:val="both"/>
        <w:rPr>
          <w:rFonts w:ascii="Palatino Linotype" w:eastAsia="Palatino Linotype" w:hAnsi="Palatino Linotype" w:cs="Palatino Linotype"/>
          <w:i/>
          <w:iCs/>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Adicional, tenemos que la Ley de Transparencia y Acceso a la Información Pública del Estado de México y Municipios, prevé en su artículo 23 fracción I, lo siguiente:</w:t>
      </w:r>
    </w:p>
    <w:p w:rsidR="00A61978" w:rsidRDefault="00C034BB">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23.</w:t>
      </w:r>
      <w:r>
        <w:rPr>
          <w:rFonts w:ascii="Palatino Linotype" w:eastAsia="Palatino Linotype" w:hAnsi="Palatino Linotype" w:cs="Palatino Linotype"/>
          <w:i/>
          <w:iCs/>
          <w:color w:val="000000"/>
        </w:rPr>
        <w:t xml:space="preserve"> Son sujetos obligados a transparentar y permitir el acceso a su información y proteger los datos personales que obren en su poder:</w:t>
      </w:r>
    </w:p>
    <w:p w:rsidR="00A61978" w:rsidRDefault="00C034BB">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A61978" w:rsidRDefault="00C034BB">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 El Poder Ejecutivo del Estado de México, las dependencias, organismos auxiliares, órganos, entidades, fideicomisos y fondos públicos, así como la Fiscalía General de Justicia del Estado de México; </w:t>
      </w:r>
    </w:p>
    <w:p w:rsidR="00A61978" w:rsidRDefault="00C034BB">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A61978" w:rsidRDefault="00C034BB">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rsidR="00A61978" w:rsidRDefault="00A61978">
      <w:pPr>
        <w:spacing w:line="360" w:lineRule="auto"/>
        <w:ind w:left="567" w:right="-1071"/>
        <w:jc w:val="both"/>
        <w:rPr>
          <w:rFonts w:ascii="Palatino Linotype" w:eastAsia="Palatino Linotype" w:hAnsi="Palatino Linotype" w:cs="Palatino Linotype"/>
          <w:i/>
          <w:iCs/>
          <w:color w:val="000000"/>
        </w:rPr>
      </w:pPr>
    </w:p>
    <w:p w:rsidR="00A61978" w:rsidRDefault="00C034BB">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Los servidores públicos deberán transparentar sus acciones así como garantizar y respetar el derecho de acceso a la información pública.”</w:t>
      </w:r>
    </w:p>
    <w:p w:rsidR="00A61978" w:rsidRDefault="00A61978">
      <w:pPr>
        <w:spacing w:line="360" w:lineRule="auto"/>
        <w:ind w:right="-1071"/>
        <w:jc w:val="both"/>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w:t>
      </w:r>
      <w:r>
        <w:rPr>
          <w:rFonts w:ascii="Palatino Linotype" w:eastAsia="Palatino Linotype" w:hAnsi="Palatino Linotype" w:cs="Palatino Linotype"/>
          <w:color w:val="000000"/>
        </w:rPr>
        <w:lastRenderedPageBreak/>
        <w:t xml:space="preserve">México, o Municipales, con el fin de que los particulares conozcan toda aquella información que es considerada como pública. </w:t>
      </w:r>
    </w:p>
    <w:p w:rsidR="00A61978" w:rsidRDefault="00A61978">
      <w:pPr>
        <w:pBdr>
          <w:top w:val="nil"/>
          <w:left w:val="nil"/>
          <w:bottom w:val="nil"/>
          <w:right w:val="nil"/>
          <w:between w:val="nil"/>
        </w:pBdr>
        <w:spacing w:line="360" w:lineRule="auto"/>
        <w:ind w:left="502" w:right="-1071"/>
        <w:jc w:val="both"/>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 xml:space="preserve">Por lo anterior, es de referir que, el </w:t>
      </w:r>
      <w:r>
        <w:rPr>
          <w:rFonts w:ascii="Palatino Linotype" w:eastAsia="Palatino Linotype" w:hAnsi="Palatino Linotype" w:cs="Palatino Linotype"/>
          <w:b/>
          <w:bCs/>
          <w:color w:val="000000"/>
        </w:rPr>
        <w:t>Instituto de Salud del Estado de México,</w:t>
      </w:r>
      <w:r>
        <w:rPr>
          <w:rFonts w:ascii="Palatino Linotype" w:eastAsia="Palatino Linotype" w:hAnsi="Palatino Linotype" w:cs="Palatino Linotype"/>
          <w:color w:val="000000"/>
        </w:rPr>
        <w:t xml:space="preserve"> al ser un Sujeto Obligado comprendido por la Legislación Local en materia de Transparencia, se encuentra obligado a hacer pública toda aquella información que genere, administre o posea.</w:t>
      </w:r>
    </w:p>
    <w:p w:rsidR="00A61978" w:rsidRDefault="00A61978">
      <w:pPr>
        <w:pBdr>
          <w:top w:val="nil"/>
          <w:left w:val="nil"/>
          <w:bottom w:val="nil"/>
          <w:right w:val="nil"/>
          <w:between w:val="nil"/>
        </w:pBdr>
        <w:spacing w:line="360" w:lineRule="auto"/>
        <w:ind w:left="720" w:right="-1071"/>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Asimismo, la solicitud de información no limitativa al personal voluntario sino a los participantes, que al ser un término genérico, resulta indudable que incumbe a servidores públicos, quienes ciertamente perciben remuneración económica por sus servicios prestados, información sueldos y percepciones; es información que resulta naturalmente procedente ordenar su entrega, al ser información que tiene el carácter de oficiosa; es decir que decir que pertenece a las obligaciones de transparencia común con que cuenta el Ayuntamiento de Tepotzotlán, para entender lo anterior, resulta necesario traer a contexto el artículo 90, de la Ley de la Materia en su siguiente fracción:</w:t>
      </w:r>
    </w:p>
    <w:p w:rsidR="00A61978" w:rsidRDefault="00C034BB">
      <w:pPr>
        <w:pBdr>
          <w:top w:val="nil"/>
          <w:left w:val="nil"/>
          <w:bottom w:val="nil"/>
          <w:right w:val="nil"/>
          <w:between w:val="nil"/>
        </w:pBdr>
        <w:spacing w:line="360" w:lineRule="auto"/>
        <w:ind w:left="426"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A61978" w:rsidRDefault="00C034BB">
      <w:pPr>
        <w:pBdr>
          <w:top w:val="nil"/>
          <w:left w:val="nil"/>
          <w:bottom w:val="nil"/>
          <w:right w:val="nil"/>
          <w:between w:val="nil"/>
        </w:pBdr>
        <w:spacing w:line="360" w:lineRule="auto"/>
        <w:ind w:left="426"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A61978" w:rsidRDefault="00C034BB">
      <w:pPr>
        <w:pBdr>
          <w:top w:val="nil"/>
          <w:left w:val="nil"/>
          <w:bottom w:val="nil"/>
          <w:right w:val="nil"/>
          <w:between w:val="nil"/>
        </w:pBdr>
        <w:spacing w:line="360" w:lineRule="auto"/>
        <w:ind w:left="426"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VIII. La remuneración bruta y neta de todos los servidores públicos de base o de confianza, de todas las percepciones, incluyendo sueldos, prestaciones, gratificaciones, primas, comisiones, dietas, bonos, estímulos, ingresos y sistemas de compensación, señalando la periodicidad de dicha remuneración;</w:t>
      </w:r>
    </w:p>
    <w:p w:rsidR="00A61978" w:rsidRDefault="00C034BB">
      <w:pPr>
        <w:pBdr>
          <w:top w:val="nil"/>
          <w:left w:val="nil"/>
          <w:bottom w:val="nil"/>
          <w:right w:val="nil"/>
          <w:between w:val="nil"/>
        </w:pBdr>
        <w:spacing w:line="360" w:lineRule="auto"/>
        <w:ind w:left="426"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w:t>
      </w:r>
    </w:p>
    <w:p w:rsidR="00A61978" w:rsidRDefault="00A61978">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 xml:space="preserve">El artículo 127 de la </w:t>
      </w:r>
      <w:r>
        <w:rPr>
          <w:rFonts w:ascii="Palatino Linotype" w:eastAsia="Palatino Linotype" w:hAnsi="Palatino Linotype" w:cs="Palatino Linotype"/>
          <w:b/>
          <w:bCs/>
          <w:color w:val="000000"/>
        </w:rPr>
        <w:t>Constitución Política de los Estados Unidos Mexicanos</w:t>
      </w:r>
      <w:r>
        <w:rPr>
          <w:rFonts w:ascii="Palatino Linotype" w:eastAsia="Palatino Linotype" w:hAnsi="Palatino Linotype" w:cs="Palatino Linotype"/>
          <w:color w:val="000000"/>
        </w:rPr>
        <w:t xml:space="preserve"> establece:</w:t>
      </w:r>
    </w:p>
    <w:p w:rsidR="00A61978" w:rsidRDefault="00C034BB">
      <w:pPr>
        <w:pBdr>
          <w:top w:val="nil"/>
          <w:left w:val="nil"/>
          <w:bottom w:val="nil"/>
          <w:right w:val="nil"/>
          <w:between w:val="nil"/>
        </w:pBdr>
        <w:spacing w:line="360" w:lineRule="auto"/>
        <w:ind w:left="851"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127.</w:t>
      </w:r>
      <w:r>
        <w:rPr>
          <w:rFonts w:ascii="Palatino Linotype" w:eastAsia="Palatino Linotype" w:hAnsi="Palatino Linotype" w:cs="Palatino Linotype"/>
          <w:i/>
          <w:iCs/>
          <w:color w:val="000000"/>
        </w:rPr>
        <w:t xml:space="preserve"> Los servidores públicos de la Federación, de los Estados, del Distrito Federal y de los Municipios, de sus entidades y dependencias, así como de sus administraciones paraestatales y paramunicipales, fideicomisos públicos, instituciones y organismos autónomos, y cualquier otro ente público, recibirán una remuneración adecuada e irrenunciable por el desempeño de su función, empleo, cargo o comisión, que deberá ser proporcional a sus responsabilidades.</w:t>
      </w:r>
    </w:p>
    <w:p w:rsidR="00A61978" w:rsidRDefault="00A61978">
      <w:pPr>
        <w:pBdr>
          <w:top w:val="nil"/>
          <w:left w:val="nil"/>
          <w:bottom w:val="nil"/>
          <w:right w:val="nil"/>
          <w:between w:val="nil"/>
        </w:pBdr>
        <w:spacing w:line="360" w:lineRule="auto"/>
        <w:ind w:left="851" w:right="-1071"/>
        <w:jc w:val="both"/>
        <w:rPr>
          <w:rFonts w:ascii="Palatino Linotype" w:eastAsia="Palatino Linotype" w:hAnsi="Palatino Linotype" w:cs="Palatino Linotype"/>
          <w:i/>
          <w:iCs/>
          <w:color w:val="000000"/>
        </w:rPr>
      </w:pPr>
    </w:p>
    <w:p w:rsidR="00A61978" w:rsidRDefault="00C034BB">
      <w:pPr>
        <w:pBdr>
          <w:top w:val="nil"/>
          <w:left w:val="nil"/>
          <w:bottom w:val="nil"/>
          <w:right w:val="nil"/>
          <w:between w:val="nil"/>
        </w:pBdr>
        <w:spacing w:line="360" w:lineRule="auto"/>
        <w:ind w:left="851"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Dicha remuneración será determinada anual y equitativamente </w:t>
      </w:r>
      <w:r>
        <w:rPr>
          <w:rFonts w:ascii="Palatino Linotype" w:eastAsia="Palatino Linotype" w:hAnsi="Palatino Linotype" w:cs="Palatino Linotype"/>
          <w:b/>
          <w:bCs/>
          <w:i/>
          <w:iCs/>
          <w:color w:val="000000"/>
          <w:u w:val="single"/>
        </w:rPr>
        <w:t>en los presupuestos de egresos</w:t>
      </w:r>
      <w:r>
        <w:rPr>
          <w:rFonts w:ascii="Palatino Linotype" w:eastAsia="Palatino Linotype" w:hAnsi="Palatino Linotype" w:cs="Palatino Linotype"/>
          <w:i/>
          <w:iCs/>
          <w:color w:val="000000"/>
        </w:rPr>
        <w:t xml:space="preserve"> correspondientes, bajo las siguientes bases:</w:t>
      </w:r>
    </w:p>
    <w:p w:rsidR="00A61978" w:rsidRDefault="00C034BB">
      <w:pPr>
        <w:pBdr>
          <w:top w:val="nil"/>
          <w:left w:val="nil"/>
          <w:bottom w:val="nil"/>
          <w:right w:val="nil"/>
          <w:between w:val="nil"/>
        </w:pBdr>
        <w:spacing w:line="360" w:lineRule="auto"/>
        <w:ind w:left="851" w:right="-107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I.</w:t>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i/>
          <w:iCs/>
          <w:color w:val="000000"/>
        </w:rPr>
        <w:tab/>
      </w:r>
      <w:r>
        <w:rPr>
          <w:rFonts w:ascii="Palatino Linotype" w:eastAsia="Palatino Linotype" w:hAnsi="Palatino Linotype" w:cs="Palatino Linotype"/>
          <w:b/>
          <w:bCs/>
          <w:i/>
          <w:iCs/>
          <w:color w:val="000000"/>
        </w:rPr>
        <w:t>Se considera remuneración o retribución toda percepción en efectivo o en especie, incluyendo dietas, aguinaldos, gratificaciones, premios, recompensas, bonos, estímulos, comisiones, compensaciones y cualquier otra, con excepción de los apoyos y los gastos sujetos a comprobación que sean propios del desarrollo del trabajo y los gastos de viaje en actividades oficiales.</w:t>
      </w:r>
    </w:p>
    <w:p w:rsidR="00A61978" w:rsidRDefault="00A61978">
      <w:pPr>
        <w:pBdr>
          <w:top w:val="nil"/>
          <w:left w:val="nil"/>
          <w:bottom w:val="nil"/>
          <w:right w:val="nil"/>
          <w:between w:val="nil"/>
        </w:pBdr>
        <w:spacing w:line="360" w:lineRule="auto"/>
        <w:ind w:left="851" w:right="-1071"/>
        <w:jc w:val="both"/>
        <w:rPr>
          <w:rFonts w:ascii="Palatino Linotype" w:eastAsia="Palatino Linotype" w:hAnsi="Palatino Linotype" w:cs="Palatino Linotype"/>
          <w:i/>
          <w:iCs/>
          <w:color w:val="000000"/>
        </w:rPr>
      </w:pPr>
    </w:p>
    <w:p w:rsidR="00A61978" w:rsidRDefault="00C034BB">
      <w:pPr>
        <w:pBdr>
          <w:top w:val="nil"/>
          <w:left w:val="nil"/>
          <w:bottom w:val="nil"/>
          <w:right w:val="nil"/>
          <w:between w:val="nil"/>
        </w:pBdr>
        <w:spacing w:line="360" w:lineRule="auto"/>
        <w:ind w:left="851"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w:t>
      </w:r>
    </w:p>
    <w:p w:rsidR="00A61978" w:rsidRDefault="00C034BB">
      <w:pPr>
        <w:pBdr>
          <w:top w:val="nil"/>
          <w:left w:val="nil"/>
          <w:bottom w:val="nil"/>
          <w:right w:val="nil"/>
          <w:between w:val="nil"/>
        </w:pBdr>
        <w:spacing w:line="360" w:lineRule="auto"/>
        <w:ind w:left="851" w:right="-107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V.</w:t>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i/>
          <w:iCs/>
          <w:color w:val="000000"/>
        </w:rPr>
        <w:tab/>
      </w:r>
      <w:r>
        <w:rPr>
          <w:rFonts w:ascii="Palatino Linotype" w:eastAsia="Palatino Linotype" w:hAnsi="Palatino Linotype" w:cs="Palatino Linotype"/>
          <w:b/>
          <w:bCs/>
          <w:i/>
          <w:iCs/>
          <w:color w:val="000000"/>
        </w:rPr>
        <w:t>Las remuneraciones y sus tabuladores serán públicos, y deberán especificar y diferenciar la totalidad de sus elementos fijos y variables tanto en efectivo como en especie.</w:t>
      </w:r>
    </w:p>
    <w:p w:rsidR="00A61978" w:rsidRDefault="00C034BB">
      <w:pPr>
        <w:pBdr>
          <w:top w:val="nil"/>
          <w:left w:val="nil"/>
          <w:bottom w:val="nil"/>
          <w:right w:val="nil"/>
          <w:between w:val="nil"/>
        </w:pBdr>
        <w:spacing w:line="360" w:lineRule="auto"/>
        <w:ind w:left="851"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A61978" w:rsidRDefault="00A61978">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lastRenderedPageBreak/>
        <w:t xml:space="preserve">Por tanto, se insiste en que resulta dable ordenar una nueva búsqueda exhaustiva y razonable de lo solicitado en todas las áreas de que de acuerdo a sus competencias, eventualmente generen, posean o </w:t>
      </w:r>
      <w:r>
        <w:rPr>
          <w:rFonts w:ascii="Palatino Linotype" w:eastAsia="Palatino Linotype" w:hAnsi="Palatino Linotype" w:cs="Palatino Linotype"/>
        </w:rPr>
        <w:t>administren</w:t>
      </w:r>
      <w:r>
        <w:rPr>
          <w:rFonts w:ascii="Palatino Linotype" w:eastAsia="Palatino Linotype" w:hAnsi="Palatino Linotype" w:cs="Palatino Linotype"/>
          <w:color w:val="000000"/>
        </w:rPr>
        <w:t xml:space="preserve"> lo solicitado y que de acuerdo Manual General de Organización Instituto de Salud del Estado de México, es de manera enunciativa </w:t>
      </w:r>
      <w:r>
        <w:rPr>
          <w:rFonts w:ascii="Palatino Linotype" w:eastAsia="Palatino Linotype" w:hAnsi="Palatino Linotype" w:cs="Palatino Linotype"/>
        </w:rPr>
        <w:t>más</w:t>
      </w:r>
      <w:r>
        <w:rPr>
          <w:rFonts w:ascii="Palatino Linotype" w:eastAsia="Palatino Linotype" w:hAnsi="Palatino Linotype" w:cs="Palatino Linotype"/>
          <w:color w:val="000000"/>
        </w:rPr>
        <w:t xml:space="preserve"> no limitativa es la Dirección de Administración a través del Departamento de Administración de Personal; en virtud que de sus facultades y atribuciones al caso concreto, está la de aplicar en el sistema de nómina los movimientos, incidencias, deducciones y bonificaciones, así como validar su correcta aplicación, de conformidad con normatividad y procedimientos aplicables; Supervisar la aplicación de los lineamientos en materia de pago de remuneraciones, de conformidad con la normatividad aplicable.</w:t>
      </w:r>
    </w:p>
    <w:p w:rsidR="00A61978" w:rsidRDefault="00A61978">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A colación de dicho Manual, finalmente se cuenta como razones o motivos de la inconformidad, la falta de entrega del Manual de referencia, ya que el particular refiere que como parte de la respuesta emitida, se menciona el Manual General de Organización del Instituto de Salud del Estado de México, por lo que se solicita se entregue dicho manual como parte de lo faltante.</w:t>
      </w:r>
    </w:p>
    <w:p w:rsidR="00A61978" w:rsidRDefault="00A61978">
      <w:pPr>
        <w:pBdr>
          <w:top w:val="nil"/>
          <w:left w:val="nil"/>
          <w:bottom w:val="nil"/>
          <w:right w:val="nil"/>
          <w:between w:val="nil"/>
        </w:pBdr>
        <w:spacing w:line="360" w:lineRule="auto"/>
        <w:ind w:left="720" w:right="-1071"/>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 xml:space="preserve">Al respecto, si bien es cierto se hizo mención de dicho Manual, fue para señalar el fundamento del </w:t>
      </w:r>
      <w:r>
        <w:rPr>
          <w:rFonts w:ascii="Palatino Linotype" w:eastAsia="Palatino Linotype" w:hAnsi="Palatino Linotype" w:cs="Palatino Linotype"/>
        </w:rPr>
        <w:t>porqué</w:t>
      </w:r>
      <w:r>
        <w:rPr>
          <w:rFonts w:ascii="Palatino Linotype" w:eastAsia="Palatino Linotype" w:hAnsi="Palatino Linotype" w:cs="Palatino Linotype"/>
          <w:color w:val="000000"/>
        </w:rPr>
        <w:t xml:space="preserve"> la solicitud de información fue </w:t>
      </w:r>
      <w:r>
        <w:rPr>
          <w:rFonts w:ascii="Palatino Linotype" w:eastAsia="Palatino Linotype" w:hAnsi="Palatino Linotype" w:cs="Palatino Linotype"/>
        </w:rPr>
        <w:t>turnada a la Dirección</w:t>
      </w:r>
      <w:r>
        <w:rPr>
          <w:rFonts w:ascii="Palatino Linotype" w:eastAsia="Palatino Linotype" w:hAnsi="Palatino Linotype" w:cs="Palatino Linotype"/>
          <w:color w:val="000000"/>
        </w:rPr>
        <w:t xml:space="preserve"> de Servicios de Salud, y señalar sus funciones y atribuciones. Luego entonces al no formar parte de la solicitud inicial, se atiende a dicho requerimiento como </w:t>
      </w:r>
      <w:r>
        <w:rPr>
          <w:rFonts w:ascii="Palatino Linotype" w:eastAsia="Palatino Linotype" w:hAnsi="Palatino Linotype" w:cs="Palatino Linotype"/>
          <w:i/>
          <w:iCs/>
          <w:color w:val="000000"/>
        </w:rPr>
        <w:t>Plus Petitio</w:t>
      </w:r>
      <w:r>
        <w:rPr>
          <w:rFonts w:ascii="Palatino Linotype" w:eastAsia="Palatino Linotype" w:hAnsi="Palatino Linotype" w:cs="Palatino Linotype"/>
          <w:color w:val="000000"/>
        </w:rPr>
        <w:t xml:space="preserve">, en términos de lo expuesto en el anterior Párrafo 30, análisis que se tiene por reproducido en el presente párrafo como a la letra se </w:t>
      </w:r>
      <w:r>
        <w:rPr>
          <w:rFonts w:ascii="Palatino Linotype" w:eastAsia="Palatino Linotype" w:hAnsi="Palatino Linotype" w:cs="Palatino Linotype"/>
        </w:rPr>
        <w:t>insertase</w:t>
      </w:r>
      <w:r>
        <w:rPr>
          <w:rFonts w:ascii="Palatino Linotype" w:eastAsia="Palatino Linotype" w:hAnsi="Palatino Linotype" w:cs="Palatino Linotype"/>
          <w:color w:val="000000"/>
        </w:rPr>
        <w:t xml:space="preserve"> en obvio de repeticiones innecesarias.</w:t>
      </w:r>
    </w:p>
    <w:p w:rsidR="00A61978" w:rsidRDefault="00A61978">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lastRenderedPageBreak/>
        <w:t xml:space="preserve">Con la determinación anterior, se estima </w:t>
      </w:r>
      <w:r>
        <w:rPr>
          <w:rFonts w:ascii="Palatino Linotype" w:eastAsia="Palatino Linotype" w:hAnsi="Palatino Linotype" w:cs="Palatino Linotype"/>
        </w:rPr>
        <w:t>quedará</w:t>
      </w:r>
      <w:r>
        <w:rPr>
          <w:rFonts w:ascii="Palatino Linotype" w:eastAsia="Palatino Linotype" w:hAnsi="Palatino Linotype" w:cs="Palatino Linotype"/>
          <w:color w:val="000000"/>
        </w:rPr>
        <w:t xml:space="preserve"> por colmado el derecho de acceso a la información del ahora Recurrente; toda vez que el Derecho que tutela este Órgano Garante corresponde a la  </w:t>
      </w:r>
      <w:r>
        <w:rPr>
          <w:rFonts w:ascii="Palatino Linotype" w:eastAsia="Palatino Linotype" w:hAnsi="Palatino Linotype" w:cs="Palatino Linotype"/>
          <w:i/>
          <w:iCs/>
          <w:color w:val="000000"/>
        </w:rPr>
        <w:t>igualdad de oportunidades para recibir, buscar e impartir información</w:t>
      </w:r>
      <w:r>
        <w:rPr>
          <w:rFonts w:ascii="Palatino Linotype" w:eastAsia="Palatino Linotype" w:hAnsi="Palatino Linotype" w:cs="Palatino Linotype"/>
          <w:i/>
          <w:iCs/>
          <w:color w:val="000000"/>
          <w:vertAlign w:val="superscript"/>
        </w:rPr>
        <w:footnoteReference w:id="6"/>
      </w:r>
      <w:r>
        <w:rPr>
          <w:rFonts w:ascii="Palatino Linotype" w:eastAsia="Palatino Linotype" w:hAnsi="Palatino Linotype" w:cs="Palatino Linotype"/>
          <w:i/>
          <w:iCs/>
          <w:color w:val="000000"/>
        </w:rPr>
        <w:t xml:space="preserve"> en posesión de cualquier autoridad, entidad, órgano y organismo de los </w:t>
      </w:r>
      <w:r>
        <w:rPr>
          <w:rFonts w:ascii="Palatino Linotype" w:eastAsia="Palatino Linotype" w:hAnsi="Palatino Linotype" w:cs="Palatino Linotype"/>
          <w:color w:val="000000"/>
        </w:rPr>
        <w:t>poderes</w:t>
      </w:r>
      <w:r>
        <w:rPr>
          <w:rFonts w:ascii="Palatino Linotype" w:eastAsia="Palatino Linotype" w:hAnsi="Palatino Linotype" w:cs="Palatino Linotype"/>
          <w:i/>
          <w:iCs/>
          <w:color w:val="000000"/>
        </w:rPr>
        <w:t xml:space="preserve"> Ejecutivo, Legislativo y Judicial, órganos autónomos, partidos políticos, </w:t>
      </w:r>
      <w:r>
        <w:rPr>
          <w:rFonts w:ascii="Palatino Linotype" w:eastAsia="Palatino Linotype" w:hAnsi="Palatino Linotype" w:cs="Palatino Linotype"/>
          <w:color w:val="000000"/>
        </w:rPr>
        <w:t>fideicomisos</w:t>
      </w:r>
      <w:r>
        <w:rPr>
          <w:rFonts w:ascii="Palatino Linotype" w:eastAsia="Palatino Linotype" w:hAnsi="Palatino Linotype" w:cs="Palatino Linotype"/>
          <w:i/>
          <w:iCs/>
          <w:color w:val="000000"/>
        </w:rPr>
        <w:t>, y fondos públicos, así como de cualquier persona física, moral o sindicato que reciba y ejerza recursos públicos o realice actos de autoridad en el ámbito federal, estatal y municipal</w:t>
      </w:r>
      <w:r>
        <w:rPr>
          <w:rFonts w:ascii="Palatino Linotype" w:eastAsia="Palatino Linotype" w:hAnsi="Palatino Linotype" w:cs="Palatino Linotype"/>
          <w:color w:val="000000"/>
          <w:vertAlign w:val="superscript"/>
        </w:rPr>
        <w:footnoteReference w:id="7"/>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color w:val="000000"/>
        </w:rPr>
        <w:t xml:space="preserve">que se constituye como una herramienta fundamental para </w:t>
      </w:r>
      <w:r>
        <w:rPr>
          <w:rFonts w:ascii="Palatino Linotype" w:eastAsia="Palatino Linotype" w:hAnsi="Palatino Linotype" w:cs="Palatino Linotype"/>
          <w:i/>
          <w:iCs/>
          <w:color w:val="000000"/>
        </w:rPr>
        <w:t>ejercer control democrático de las gestiones estatales, de forma tal que puedan cuestionar, indagar y considerar si se está dando un adecuado cumplimiento de las funciones públicas,</w:t>
      </w:r>
      <w:r>
        <w:rPr>
          <w:rFonts w:ascii="Palatino Linotype" w:eastAsia="Palatino Linotype" w:hAnsi="Palatino Linotype" w:cs="Palatino Linotype"/>
          <w:i/>
          <w:iCs/>
          <w:color w:val="000000"/>
          <w:vertAlign w:val="superscript"/>
        </w:rPr>
        <w:footnoteReference w:id="8"/>
      </w:r>
      <w:r>
        <w:rPr>
          <w:rFonts w:ascii="Palatino Linotype" w:eastAsia="Palatino Linotype" w:hAnsi="Palatino Linotype" w:cs="Palatino Linotype"/>
          <w:color w:val="000000"/>
        </w:rPr>
        <w:t>fomentando</w:t>
      </w:r>
      <w:r>
        <w:rPr>
          <w:rFonts w:ascii="Palatino Linotype" w:eastAsia="Palatino Linotype" w:hAnsi="Palatino Linotype" w:cs="Palatino Linotype"/>
          <w:i/>
          <w:iCs/>
          <w:color w:val="000000"/>
        </w:rPr>
        <w:t xml:space="preserve"> la transparencia de las actividades estatales y</w:t>
      </w:r>
      <w:r>
        <w:rPr>
          <w:rFonts w:ascii="Palatino Linotype" w:eastAsia="Palatino Linotype" w:hAnsi="Palatino Linotype" w:cs="Palatino Linotype"/>
          <w:color w:val="000000"/>
        </w:rPr>
        <w:t xml:space="preserve"> promoviendo</w:t>
      </w:r>
      <w:r>
        <w:rPr>
          <w:rFonts w:ascii="Palatino Linotype" w:eastAsia="Palatino Linotype" w:hAnsi="Palatino Linotype" w:cs="Palatino Linotype"/>
          <w:i/>
          <w:iCs/>
          <w:color w:val="000000"/>
        </w:rPr>
        <w:t xml:space="preserve"> la responsabilidad de los funcionarios sobre su gestión pública</w:t>
      </w:r>
      <w:r>
        <w:rPr>
          <w:rFonts w:ascii="Palatino Linotype" w:eastAsia="Palatino Linotype" w:hAnsi="Palatino Linotype" w:cs="Palatino Linotype"/>
          <w:i/>
          <w:iCs/>
          <w:color w:val="000000"/>
          <w:vertAlign w:val="superscript"/>
        </w:rPr>
        <w:footnoteReference w:id="9"/>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color w:val="000000"/>
        </w:rPr>
        <w:t>que permite</w:t>
      </w:r>
      <w:r>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r>
        <w:rPr>
          <w:rFonts w:ascii="Palatino Linotype" w:eastAsia="Palatino Linotype" w:hAnsi="Palatino Linotype" w:cs="Palatino Linotype"/>
          <w:i/>
          <w:iCs/>
          <w:color w:val="000000"/>
          <w:vertAlign w:val="superscript"/>
        </w:rPr>
        <w:footnoteReference w:id="10"/>
      </w:r>
      <w:r>
        <w:rPr>
          <w:rFonts w:ascii="Palatino Linotype" w:eastAsia="Palatino Linotype" w:hAnsi="Palatino Linotype" w:cs="Palatino Linotype"/>
          <w:color w:val="000000"/>
        </w:rPr>
        <w:t xml:space="preserve"> ” </w:t>
      </w:r>
    </w:p>
    <w:p w:rsidR="00A61978" w:rsidRDefault="00A61978">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 xml:space="preserve">Para entender los alcances de la información pública se considera importante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w:t>
      </w:r>
      <w:r>
        <w:rPr>
          <w:rFonts w:ascii="Palatino Linotype" w:eastAsia="Palatino Linotype" w:hAnsi="Palatino Linotype" w:cs="Palatino Linotype"/>
          <w:color w:val="000000"/>
        </w:rPr>
        <w:lastRenderedPageBreak/>
        <w:t>Soberano de México “Gaceta del Gobierno” el diecinueve de octubre de dos mil once, cuyo rubro y texto dispone:</w:t>
      </w:r>
    </w:p>
    <w:p w:rsidR="00A61978" w:rsidRDefault="00C034BB">
      <w:pPr>
        <w:spacing w:line="360" w:lineRule="auto"/>
        <w:ind w:left="426" w:right="-107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“CRITERIO 0002-11</w:t>
      </w:r>
    </w:p>
    <w:p w:rsidR="00A61978" w:rsidRDefault="00C034BB">
      <w:pPr>
        <w:spacing w:line="360" w:lineRule="auto"/>
        <w:ind w:left="425"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INFORMACIÓN PÚBLICA, CONCEPTO DE, EN MATERIA DE TRANSPARENCIA. INTERPRETACIÓN TEMÁTICA DE LOS ARTÍCULOS 2, FRACCIÓN V, XV, Y XVI, 3, 4,11 Y 41.</w:t>
      </w:r>
      <w:r>
        <w:rPr>
          <w:rFonts w:ascii="Palatino Linotype" w:eastAsia="Palatino Linotype" w:hAnsi="Palatino Linotype" w:cs="Palatino Linotype"/>
          <w:i/>
          <w:iCs/>
          <w:color w:val="000000"/>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A61978" w:rsidRDefault="00C034BB">
      <w:pPr>
        <w:spacing w:line="360" w:lineRule="auto"/>
        <w:ind w:left="425"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En consecuencia el acceso a la información se refiere a que se cumplan cualquiera de los siguientes tres supuestos:</w:t>
      </w:r>
    </w:p>
    <w:p w:rsidR="00A61978" w:rsidRDefault="00C034BB">
      <w:pPr>
        <w:spacing w:line="360" w:lineRule="auto"/>
        <w:ind w:left="425"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Que se trate de información registrada en cualquier soporte documental, que en ejercicio de las atribuciones conferidas, sea generada por los Sujetos Obligados;</w:t>
      </w:r>
    </w:p>
    <w:p w:rsidR="00A61978" w:rsidRDefault="00C034BB">
      <w:pPr>
        <w:spacing w:line="360" w:lineRule="auto"/>
        <w:ind w:left="425"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Que se trate de información registrada en cualquier soporte documental, que en ejercicio de las atribuciones conferidas, sea administrada por los Sujetos Obligados, y</w:t>
      </w:r>
    </w:p>
    <w:p w:rsidR="00A61978" w:rsidRDefault="00C034BB">
      <w:pPr>
        <w:spacing w:line="360" w:lineRule="auto"/>
        <w:ind w:left="425"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Que se trate de información registrada en cualquier soporte documental, que en ejercicio de las atribuciones conferidas, se encuentre en posesión de los Sujetos Obligados.”</w:t>
      </w:r>
    </w:p>
    <w:p w:rsidR="00A61978" w:rsidRDefault="00A61978">
      <w:pPr>
        <w:spacing w:line="360" w:lineRule="auto"/>
        <w:ind w:right="-1071"/>
        <w:jc w:val="both"/>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 xml:space="preserve">Es así que, todos los actos de autoridad que realicen los Sujetos Obligados </w:t>
      </w:r>
      <w:r>
        <w:rPr>
          <w:rFonts w:ascii="Palatino Linotype" w:eastAsia="Palatino Linotype" w:hAnsi="Palatino Linotype" w:cs="Palatino Linotype"/>
          <w:b/>
          <w:bCs/>
          <w:color w:val="000000"/>
        </w:rPr>
        <w:t xml:space="preserve">deben </w:t>
      </w:r>
      <w:r>
        <w:rPr>
          <w:rFonts w:ascii="Palatino Linotype" w:eastAsia="Palatino Linotype" w:hAnsi="Palatino Linotype" w:cs="Palatino Linotype"/>
          <w:color w:val="000000"/>
        </w:rPr>
        <w:t>estar</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documentados y, bajo el más alto estándar de transparencia deberán poner toda la información que se encuentre en su posesión, a disposición de los particulares que la soliciten.</w:t>
      </w:r>
    </w:p>
    <w:p w:rsidR="00A61978" w:rsidRDefault="00A61978">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lastRenderedPageBreak/>
        <w:t>Además, debemos tomar en cuenta los artículos 4 y 12 (antes transcrito), de la Ley de Transparencia y Acceso a la Información Pública del Estado de México y Municipios, los cuales establecen lo siguiente:</w:t>
      </w:r>
    </w:p>
    <w:p w:rsidR="00A61978" w:rsidRDefault="00C034BB">
      <w:pPr>
        <w:spacing w:line="360" w:lineRule="auto"/>
        <w:ind w:left="425"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“Artículo 4. </w:t>
      </w:r>
      <w:r>
        <w:rPr>
          <w:rFonts w:ascii="Palatino Linotype" w:eastAsia="Palatino Linotype" w:hAnsi="Palatino Linotype" w:cs="Palatino Linotype"/>
          <w:i/>
          <w:iCs/>
          <w:color w:val="000000"/>
        </w:rPr>
        <w:t>El derecho humano de acceso a la información pública es la prerrogativa de las personas para buscar, difundir, investigar, recabar, recibir y solicitar información pública, sin necesidad de acreditar personalidad ni interés jurídico.</w:t>
      </w:r>
    </w:p>
    <w:p w:rsidR="00A61978" w:rsidRDefault="00C034BB">
      <w:pPr>
        <w:spacing w:line="360" w:lineRule="auto"/>
        <w:ind w:left="426"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Toda la información</w:t>
      </w:r>
      <w:r>
        <w:rPr>
          <w:rFonts w:ascii="Palatino Linotype" w:eastAsia="Palatino Linotype" w:hAnsi="Palatino Linotype" w:cs="Palatino Linotype"/>
          <w:i/>
          <w:iCs/>
          <w:color w:val="000000"/>
        </w:rPr>
        <w:t xml:space="preserve"> generada, obtenida, adquirida, transformada, administrada o </w:t>
      </w:r>
      <w:r>
        <w:rPr>
          <w:rFonts w:ascii="Palatino Linotype" w:eastAsia="Palatino Linotype" w:hAnsi="Palatino Linotype" w:cs="Palatino Linotype"/>
          <w:b/>
          <w:bCs/>
          <w:i/>
          <w:iCs/>
          <w:color w:val="000000"/>
        </w:rPr>
        <w:t>en posesión de los sujetos obligados es pública</w:t>
      </w:r>
      <w:r>
        <w:rPr>
          <w:rFonts w:ascii="Palatino Linotype" w:eastAsia="Palatino Linotype" w:hAnsi="Palatino Linotype" w:cs="Palatino Linotype"/>
          <w:i/>
          <w:iCs/>
          <w:color w:val="000000"/>
        </w:rPr>
        <w:t xml:space="preserve">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A61978" w:rsidRDefault="00C034BB">
      <w:pPr>
        <w:spacing w:line="360" w:lineRule="auto"/>
        <w:ind w:left="426"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Los sujetos obligados deben poner en práctica, políticas y programas de acceso a la información que se apeguen a criterios de publicidad, veracidad, oportunidad, precisión y suficiencia en beneficio de los solicitantes.”</w:t>
      </w:r>
    </w:p>
    <w:p w:rsidR="00A61978" w:rsidRDefault="00A61978">
      <w:pPr>
        <w:spacing w:line="360" w:lineRule="auto"/>
        <w:ind w:right="-1071"/>
        <w:jc w:val="both"/>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Pr>
          <w:rFonts w:ascii="Palatino Linotype" w:eastAsia="Palatino Linotype" w:hAnsi="Palatino Linotype" w:cs="Palatino Linotype"/>
          <w:color w:val="000000"/>
          <w:vertAlign w:val="superscript"/>
        </w:rPr>
        <w:footnoteReference w:id="11"/>
      </w:r>
      <w:r>
        <w:rPr>
          <w:rFonts w:ascii="Palatino Linotype" w:eastAsia="Palatino Linotype" w:hAnsi="Palatino Linotype" w:cs="Palatino Linotype"/>
          <w:color w:val="000000"/>
        </w:rPr>
        <w:t xml:space="preserve"> y máxima publicidad, sobre éste </w:t>
      </w:r>
      <w:r>
        <w:rPr>
          <w:rFonts w:ascii="Palatino Linotype" w:eastAsia="Palatino Linotype" w:hAnsi="Palatino Linotype" w:cs="Palatino Linotype"/>
          <w:color w:val="000000"/>
        </w:rPr>
        <w:lastRenderedPageBreak/>
        <w:t>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A61978" w:rsidRDefault="00A61978">
      <w:pPr>
        <w:spacing w:line="360" w:lineRule="auto"/>
        <w:ind w:right="-1071"/>
        <w:jc w:val="both"/>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Robustece lo anterior la Tesis aislada identificada con la clave I.4º.A.40 A del Cuarto Tribunal colegiado en Materia Administrativa del Primer Circuito, publicada en el Seminario Judicial de la Federación y su Gaceta en el libro XVIII, Marzo 2013, Página 1899.</w:t>
      </w:r>
    </w:p>
    <w:p w:rsidR="00A61978" w:rsidRDefault="00C034BB">
      <w:pPr>
        <w:pBdr>
          <w:top w:val="nil"/>
          <w:left w:val="nil"/>
          <w:bottom w:val="nil"/>
          <w:right w:val="nil"/>
          <w:between w:val="nil"/>
        </w:pBdr>
        <w:tabs>
          <w:tab w:val="left" w:pos="851"/>
        </w:tabs>
        <w:spacing w:line="360" w:lineRule="auto"/>
        <w:ind w:left="425"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“ACCESO A LA INFORMACIÓN. IMPLICACIÓN DEL PRINCIPIO DE MÁXIMA PUBLICIDAD EN EL DERECHO FUNDAMENTAL RELATIVO.</w:t>
      </w:r>
      <w:r>
        <w:rPr>
          <w:rFonts w:ascii="Palatino Linotype" w:eastAsia="Palatino Linotype" w:hAnsi="Palatino Linotype" w:cs="Palatino Linotype"/>
          <w:i/>
          <w:iCs/>
          <w:color w:val="000000"/>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w:t>
      </w:r>
      <w:r>
        <w:rPr>
          <w:rFonts w:ascii="Palatino Linotype" w:eastAsia="Palatino Linotype" w:hAnsi="Palatino Linotype" w:cs="Palatino Linotype"/>
          <w:i/>
          <w:iCs/>
          <w:color w:val="000000"/>
        </w:rPr>
        <w:lastRenderedPageBreak/>
        <w:t>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rsidR="00A61978" w:rsidRDefault="00A61978">
      <w:pPr>
        <w:spacing w:line="360" w:lineRule="auto"/>
        <w:ind w:right="-1071"/>
        <w:rPr>
          <w:rFonts w:ascii="Palatino Linotype" w:eastAsia="Palatino Linotype" w:hAnsi="Palatino Linotype" w:cs="Palatino Linotype"/>
          <w:b/>
          <w:bCs/>
          <w:color w:val="000000"/>
        </w:rPr>
      </w:pPr>
      <w:bookmarkStart w:id="7" w:name="_heading=h.cuororuao4g9" w:colFirst="0" w:colLast="0"/>
      <w:bookmarkEnd w:id="7"/>
    </w:p>
    <w:p w:rsidR="00A61978" w:rsidRDefault="00C034BB">
      <w:pPr>
        <w:pBdr>
          <w:top w:val="nil"/>
          <w:left w:val="nil"/>
          <w:bottom w:val="nil"/>
          <w:right w:val="nil"/>
          <w:between w:val="nil"/>
        </w:pBdr>
        <w:tabs>
          <w:tab w:val="left" w:pos="284"/>
          <w:tab w:val="left" w:pos="426"/>
        </w:tabs>
        <w:spacing w:line="360" w:lineRule="auto"/>
        <w:ind w:right="-107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QUINTO. De la versión pública.</w:t>
      </w: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 xml:space="preserve">Finalmente, debe señalarse que, dada la propia y especial naturaleza de lo solicitado, eventualmente pudiera contener datos personales que deberán ser protegidos como ya quedó asentado en el Considerando anterior del presente proveído. Para dar cumplimiento a la presente resolución, contengan datos que deban ser clasificados,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deberá hacer la elaboración de la versión pública de tales documentos a fin de satisfacer el derecho de acceso a la información pública del recurrente sin menoscabo al derecho a la protección de los datos personales de terceros.</w:t>
      </w:r>
    </w:p>
    <w:p w:rsidR="00A61978" w:rsidRDefault="00A61978">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Por lo que, para efectos de la elaboración de la versión pública se deberá observar lo dispuesto por los artículos 3 fracciones IX, XX, XXI, XXXII y XLV; 6, 49 fracción VIII, 91, 137, 143 Fracción I, de la Ley de Transparencia y Acceso a la Información Pública del Estado de México y Municipios vigente, que establecen:</w:t>
      </w:r>
    </w:p>
    <w:p w:rsidR="00A61978" w:rsidRDefault="00C034BB">
      <w:pPr>
        <w:spacing w:line="360" w:lineRule="auto"/>
        <w:ind w:left="993" w:right="-107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 “Artículo 3. Para los efectos de la presente Ley se entenderá por:</w:t>
      </w:r>
    </w:p>
    <w:p w:rsidR="00A61978" w:rsidRDefault="00C034BB">
      <w:pPr>
        <w:spacing w:line="360" w:lineRule="auto"/>
        <w:ind w:left="993"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IX. Datos personales:</w:t>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b/>
          <w:bCs/>
          <w:i/>
          <w:iCs/>
          <w:color w:val="000000"/>
        </w:rPr>
        <w:t>La información concerniente a una persona, identificada o identificable</w:t>
      </w:r>
      <w:r>
        <w:rPr>
          <w:rFonts w:ascii="Palatino Linotype" w:eastAsia="Palatino Linotype" w:hAnsi="Palatino Linotype" w:cs="Palatino Linotype"/>
          <w:i/>
          <w:iCs/>
          <w:color w:val="000000"/>
        </w:rPr>
        <w:t xml:space="preserve"> según lo dispuesto por la Ley de Protección de Datos Personales del Estado de México;</w:t>
      </w:r>
    </w:p>
    <w:p w:rsidR="00A61978" w:rsidRDefault="00C034BB">
      <w:pPr>
        <w:spacing w:line="360" w:lineRule="auto"/>
        <w:ind w:left="993"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XX. Información clasificada:</w:t>
      </w:r>
      <w:r>
        <w:rPr>
          <w:rFonts w:ascii="Palatino Linotype" w:eastAsia="Palatino Linotype" w:hAnsi="Palatino Linotype" w:cs="Palatino Linotype"/>
          <w:i/>
          <w:iCs/>
          <w:color w:val="000000"/>
        </w:rPr>
        <w:t xml:space="preserve"> Aquella considerada por la presente Ley como reservada o confidencial;</w:t>
      </w:r>
    </w:p>
    <w:p w:rsidR="00A61978" w:rsidRDefault="00C034BB">
      <w:pPr>
        <w:spacing w:line="360" w:lineRule="auto"/>
        <w:ind w:left="993"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lastRenderedPageBreak/>
        <w:t>XXXII. Protección de Datos Personales:</w:t>
      </w:r>
      <w:r>
        <w:rPr>
          <w:rFonts w:ascii="Palatino Linotype" w:eastAsia="Palatino Linotype" w:hAnsi="Palatino Linotype" w:cs="Palatino Linotype"/>
          <w:i/>
          <w:iCs/>
          <w:color w:val="000000"/>
        </w:rPr>
        <w:t xml:space="preserve"> Derecho humano que tutela la privacidad de datos personales en poder de los sujetos obligados y sujetos particulares;</w:t>
      </w:r>
    </w:p>
    <w:p w:rsidR="00A61978" w:rsidRDefault="00C034BB">
      <w:pPr>
        <w:spacing w:line="360" w:lineRule="auto"/>
        <w:ind w:left="993"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XLV. Versión pública</w:t>
      </w:r>
      <w:r>
        <w:rPr>
          <w:rFonts w:ascii="Palatino Linotype" w:eastAsia="Palatino Linotype" w:hAnsi="Palatino Linotype" w:cs="Palatino Linotype"/>
          <w:i/>
          <w:iCs/>
          <w:color w:val="000000"/>
        </w:rPr>
        <w:t>: Documento en el que se elimine, suprime o borra la información clasificada como reservada o confidencial para permitir su acceso.”</w:t>
      </w:r>
    </w:p>
    <w:p w:rsidR="00A61978" w:rsidRDefault="00C034BB">
      <w:pPr>
        <w:spacing w:line="360" w:lineRule="auto"/>
        <w:ind w:left="993"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6.</w:t>
      </w:r>
      <w:r>
        <w:rPr>
          <w:rFonts w:ascii="Palatino Linotype" w:eastAsia="Palatino Linotype" w:hAnsi="Palatino Linotype" w:cs="Palatino Linotype"/>
          <w:i/>
          <w:iCs/>
          <w:color w:val="000000"/>
        </w:rPr>
        <w:t xml:space="preserve">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rsidR="00A61978" w:rsidRDefault="00A61978">
      <w:pPr>
        <w:spacing w:line="360" w:lineRule="auto"/>
        <w:ind w:left="993" w:right="-1071"/>
        <w:jc w:val="both"/>
        <w:rPr>
          <w:rFonts w:ascii="Palatino Linotype" w:eastAsia="Palatino Linotype" w:hAnsi="Palatino Linotype" w:cs="Palatino Linotype"/>
          <w:i/>
          <w:iCs/>
          <w:color w:val="000000"/>
        </w:rPr>
      </w:pPr>
    </w:p>
    <w:p w:rsidR="00A61978" w:rsidRDefault="00C034BB">
      <w:pPr>
        <w:spacing w:line="360" w:lineRule="auto"/>
        <w:ind w:left="993"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w:t>
      </w:r>
      <w:r>
        <w:rPr>
          <w:rFonts w:ascii="Palatino Linotype" w:eastAsia="Palatino Linotype" w:hAnsi="Palatino Linotype" w:cs="Palatino Linotype"/>
          <w:b/>
          <w:bCs/>
          <w:i/>
          <w:iCs/>
          <w:color w:val="000000"/>
        </w:rPr>
        <w:t>Artículo 49.</w:t>
      </w:r>
      <w:r>
        <w:rPr>
          <w:rFonts w:ascii="Palatino Linotype" w:eastAsia="Palatino Linotype" w:hAnsi="Palatino Linotype" w:cs="Palatino Linotype"/>
          <w:i/>
          <w:iCs/>
          <w:color w:val="000000"/>
        </w:rPr>
        <w:t> Los Comités de Transparencia tendrán las siguientes atribuciones:</w:t>
      </w:r>
    </w:p>
    <w:p w:rsidR="00A61978" w:rsidRDefault="00C034BB">
      <w:pPr>
        <w:spacing w:line="360" w:lineRule="auto"/>
        <w:ind w:left="993"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A61978" w:rsidRDefault="00C034BB">
      <w:pPr>
        <w:spacing w:line="360" w:lineRule="auto"/>
        <w:ind w:left="993"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VIII</w:t>
      </w:r>
      <w:r>
        <w:rPr>
          <w:rFonts w:ascii="Palatino Linotype" w:eastAsia="Palatino Linotype" w:hAnsi="Palatino Linotype" w:cs="Palatino Linotype"/>
          <w:i/>
          <w:iCs/>
          <w:color w:val="000000"/>
        </w:rPr>
        <w:t>. Aprobar, modificar o revocar la clasificación de la información;</w:t>
      </w:r>
    </w:p>
    <w:p w:rsidR="00A61978" w:rsidRDefault="00C034BB">
      <w:pPr>
        <w:spacing w:line="360" w:lineRule="auto"/>
        <w:ind w:left="993"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A61978" w:rsidRDefault="00C034BB">
      <w:pPr>
        <w:spacing w:line="360" w:lineRule="auto"/>
        <w:ind w:left="993"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Artículo 91. </w:t>
      </w:r>
      <w:r>
        <w:rPr>
          <w:rFonts w:ascii="Palatino Linotype" w:eastAsia="Palatino Linotype" w:hAnsi="Palatino Linotype" w:cs="Palatino Linotype"/>
          <w:i/>
          <w:iCs/>
          <w:color w:val="000000"/>
        </w:rPr>
        <w:t>El acceso a la información pública será restringido excepcionalmente, cuando ésta sea clasificada como reservada o confidencial.</w:t>
      </w:r>
    </w:p>
    <w:p w:rsidR="00A61978" w:rsidRDefault="00A61978">
      <w:pPr>
        <w:spacing w:line="360" w:lineRule="auto"/>
        <w:ind w:left="993" w:right="-1071"/>
        <w:jc w:val="both"/>
        <w:rPr>
          <w:rFonts w:ascii="Palatino Linotype" w:eastAsia="Palatino Linotype" w:hAnsi="Palatino Linotype" w:cs="Palatino Linotype"/>
          <w:i/>
          <w:iCs/>
          <w:color w:val="000000"/>
        </w:rPr>
      </w:pPr>
    </w:p>
    <w:p w:rsidR="00A61978" w:rsidRDefault="00C034BB">
      <w:pPr>
        <w:spacing w:line="360" w:lineRule="auto"/>
        <w:ind w:left="993" w:right="-107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“Artículo 137.</w:t>
      </w:r>
      <w:r>
        <w:rPr>
          <w:rFonts w:ascii="Palatino Linotype" w:eastAsia="Palatino Linotype" w:hAnsi="Palatino Linotype" w:cs="Palatino Linotype"/>
          <w:i/>
          <w:iCs/>
          <w:color w:val="000000"/>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rsidR="00A61978" w:rsidRDefault="00A61978">
      <w:pPr>
        <w:spacing w:line="360" w:lineRule="auto"/>
        <w:ind w:left="993" w:right="-1071"/>
        <w:jc w:val="both"/>
        <w:rPr>
          <w:rFonts w:ascii="Palatino Linotype" w:eastAsia="Palatino Linotype" w:hAnsi="Palatino Linotype" w:cs="Palatino Linotype"/>
          <w:b/>
          <w:bCs/>
          <w:i/>
          <w:iCs/>
          <w:color w:val="000000"/>
        </w:rPr>
      </w:pPr>
    </w:p>
    <w:p w:rsidR="00A61978" w:rsidRDefault="00C034BB">
      <w:pPr>
        <w:spacing w:line="360" w:lineRule="auto"/>
        <w:ind w:left="993"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lastRenderedPageBreak/>
        <w:t>“Artículo 143</w:t>
      </w:r>
      <w:r>
        <w:rPr>
          <w:rFonts w:ascii="Palatino Linotype" w:eastAsia="Palatino Linotype" w:hAnsi="Palatino Linotype" w:cs="Palatino Linotype"/>
          <w:i/>
          <w:iCs/>
          <w:color w:val="000000"/>
        </w:rPr>
        <w:t>. Para los efectos de esta Ley se considera información confidencial, la clasificada como tal, de manera permanente, por su naturaleza, cuando:</w:t>
      </w:r>
    </w:p>
    <w:p w:rsidR="00A61978" w:rsidRDefault="00C034BB">
      <w:pPr>
        <w:spacing w:line="360" w:lineRule="auto"/>
        <w:ind w:left="993"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I.</w:t>
      </w:r>
      <w:r>
        <w:rPr>
          <w:rFonts w:ascii="Palatino Linotype" w:eastAsia="Palatino Linotype" w:hAnsi="Palatino Linotype" w:cs="Palatino Linotype"/>
          <w:i/>
          <w:iCs/>
          <w:color w:val="000000"/>
        </w:rPr>
        <w:t xml:space="preserve"> Se refiera a la información privada y los datos personales concernientes a una persona física o jurídica colectiva identificada o identificable;</w:t>
      </w:r>
    </w:p>
    <w:p w:rsidR="00A61978" w:rsidRDefault="00C034BB">
      <w:pPr>
        <w:spacing w:line="360" w:lineRule="auto"/>
        <w:ind w:left="993"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II. Los secretos bancario, fiduciario, industrial, comercial, fiscal, bursátil y postal, cuya titularidad corresponda a particulares, sujetos de derecho internacional o a sujetos obligados cuando no involucren el ejercicio de recursos públicos; y</w:t>
      </w:r>
    </w:p>
    <w:p w:rsidR="00A61978" w:rsidRDefault="00C034BB">
      <w:pPr>
        <w:spacing w:line="360" w:lineRule="auto"/>
        <w:ind w:left="993"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III. La que presenten los particulares a los sujetos obligados, de conformidad con lo dispuesto por las leyes o los tratados internacionales.” </w:t>
      </w:r>
    </w:p>
    <w:p w:rsidR="00A61978" w:rsidRDefault="00A61978">
      <w:pPr>
        <w:spacing w:line="360" w:lineRule="auto"/>
        <w:ind w:left="993" w:right="-1071"/>
        <w:jc w:val="both"/>
        <w:rPr>
          <w:rFonts w:ascii="Palatino Linotype" w:eastAsia="Palatino Linotype" w:hAnsi="Palatino Linotype" w:cs="Palatino Linotype"/>
          <w:i/>
          <w:iCs/>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Sujeto Obligado deberá proceder a testar los datos personales que se encuentren contenidos en los documentos a entregar por parte del Sujeto Obligado para satisfacer el derecho de acceso a la información pública de la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 que señala la fracción XII del artículo 4 de la Ley de Protección de Datos Personales en Posesión de Sujetos Obligados del Estado de México.</w:t>
      </w:r>
    </w:p>
    <w:p w:rsidR="00A61978" w:rsidRDefault="00A61978">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 xml:space="preserve">Datos que deberá clasificar como confidenciales por tratarse precisamente de información privada, puesto que los datos personales son irrenunciables, intransferibles e </w:t>
      </w:r>
      <w:r>
        <w:rPr>
          <w:rFonts w:ascii="Palatino Linotype" w:eastAsia="Palatino Linotype" w:hAnsi="Palatino Linotype" w:cs="Palatino Linotype"/>
          <w:color w:val="000000"/>
        </w:rPr>
        <w:lastRenderedPageBreak/>
        <w:t>indelegables y los Sujetos Obligados no deberán hacer entrega de los mismos a personas ajenas a su titular.</w:t>
      </w:r>
    </w:p>
    <w:p w:rsidR="00A61978" w:rsidRDefault="00A61978">
      <w:pPr>
        <w:spacing w:line="360" w:lineRule="auto"/>
        <w:ind w:right="-1071"/>
        <w:jc w:val="both"/>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En ese contexto,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rsidR="00A61978" w:rsidRDefault="00C034BB">
      <w:pPr>
        <w:spacing w:line="360" w:lineRule="auto"/>
        <w:ind w:left="851"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49.</w:t>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b/>
          <w:bCs/>
          <w:i/>
          <w:iCs/>
          <w:color w:val="000000"/>
        </w:rPr>
        <w:t>Los Comités de Transparencia</w:t>
      </w:r>
      <w:r>
        <w:rPr>
          <w:rFonts w:ascii="Palatino Linotype" w:eastAsia="Palatino Linotype" w:hAnsi="Palatino Linotype" w:cs="Palatino Linotype"/>
          <w:i/>
          <w:iCs/>
          <w:color w:val="000000"/>
        </w:rPr>
        <w:t xml:space="preserve"> tendrán las siguientes atribuciones:</w:t>
      </w:r>
    </w:p>
    <w:p w:rsidR="00A61978" w:rsidRDefault="00C034BB">
      <w:pPr>
        <w:spacing w:line="360" w:lineRule="auto"/>
        <w:ind w:left="851"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VIII. Aprobar, modificar o revocar la clasificación de la información</w:t>
      </w:r>
      <w:r>
        <w:rPr>
          <w:rFonts w:ascii="Palatino Linotype" w:eastAsia="Palatino Linotype" w:hAnsi="Palatino Linotype" w:cs="Palatino Linotype"/>
          <w:i/>
          <w:iCs/>
          <w:color w:val="000000"/>
        </w:rPr>
        <w:t>…”</w:t>
      </w:r>
    </w:p>
    <w:p w:rsidR="00A61978" w:rsidRDefault="00C034BB">
      <w:pPr>
        <w:spacing w:line="360" w:lineRule="auto"/>
        <w:ind w:left="851"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Artículo 53.</w:t>
      </w:r>
      <w:r>
        <w:rPr>
          <w:rFonts w:ascii="Palatino Linotype" w:eastAsia="Palatino Linotype" w:hAnsi="Palatino Linotype" w:cs="Palatino Linotype"/>
          <w:i/>
          <w:iCs/>
          <w:color w:val="000000"/>
        </w:rPr>
        <w:t xml:space="preserve"> Las </w:t>
      </w:r>
      <w:r>
        <w:rPr>
          <w:rFonts w:ascii="Palatino Linotype" w:eastAsia="Palatino Linotype" w:hAnsi="Palatino Linotype" w:cs="Palatino Linotype"/>
          <w:b/>
          <w:bCs/>
          <w:i/>
          <w:iCs/>
          <w:color w:val="000000"/>
        </w:rPr>
        <w:t>Unidades de Transparencia</w:t>
      </w:r>
      <w:r>
        <w:rPr>
          <w:rFonts w:ascii="Palatino Linotype" w:eastAsia="Palatino Linotype" w:hAnsi="Palatino Linotype" w:cs="Palatino Linotype"/>
          <w:i/>
          <w:iCs/>
          <w:color w:val="000000"/>
        </w:rPr>
        <w:t xml:space="preserve"> tendrán las siguientes </w:t>
      </w:r>
      <w:r>
        <w:rPr>
          <w:rFonts w:ascii="Palatino Linotype" w:eastAsia="Palatino Linotype" w:hAnsi="Palatino Linotype" w:cs="Palatino Linotype"/>
          <w:b/>
          <w:bCs/>
          <w:i/>
          <w:iCs/>
          <w:color w:val="000000"/>
        </w:rPr>
        <w:t>funciones</w:t>
      </w:r>
      <w:r>
        <w:rPr>
          <w:rFonts w:ascii="Palatino Linotype" w:eastAsia="Palatino Linotype" w:hAnsi="Palatino Linotype" w:cs="Palatino Linotype"/>
          <w:i/>
          <w:iCs/>
          <w:color w:val="000000"/>
        </w:rPr>
        <w:t>:</w:t>
      </w:r>
    </w:p>
    <w:p w:rsidR="00A61978" w:rsidRDefault="00C034BB">
      <w:pPr>
        <w:spacing w:line="360" w:lineRule="auto"/>
        <w:ind w:left="851"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X. Presentar ante el Comité, el proyecto de clasificación de información</w:t>
      </w:r>
      <w:r>
        <w:rPr>
          <w:rFonts w:ascii="Palatino Linotype" w:eastAsia="Palatino Linotype" w:hAnsi="Palatino Linotype" w:cs="Palatino Linotype"/>
          <w:i/>
          <w:iCs/>
          <w:color w:val="000000"/>
        </w:rPr>
        <w:t xml:space="preserve">…” </w:t>
      </w:r>
    </w:p>
    <w:p w:rsidR="00A61978" w:rsidRDefault="00C034BB">
      <w:pPr>
        <w:spacing w:line="360" w:lineRule="auto"/>
        <w:ind w:left="851"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59.</w:t>
      </w:r>
      <w:r>
        <w:rPr>
          <w:rFonts w:ascii="Palatino Linotype" w:eastAsia="Palatino Linotype" w:hAnsi="Palatino Linotype" w:cs="Palatino Linotype"/>
          <w:i/>
          <w:iCs/>
          <w:color w:val="000000"/>
        </w:rPr>
        <w:t xml:space="preserve"> Los </w:t>
      </w:r>
      <w:r>
        <w:rPr>
          <w:rFonts w:ascii="Palatino Linotype" w:eastAsia="Palatino Linotype" w:hAnsi="Palatino Linotype" w:cs="Palatino Linotype"/>
          <w:b/>
          <w:bCs/>
          <w:i/>
          <w:iCs/>
          <w:color w:val="000000"/>
        </w:rPr>
        <w:t>servidores públicos habilitados</w:t>
      </w:r>
      <w:r>
        <w:rPr>
          <w:rFonts w:ascii="Palatino Linotype" w:eastAsia="Palatino Linotype" w:hAnsi="Palatino Linotype" w:cs="Palatino Linotype"/>
          <w:i/>
          <w:iCs/>
          <w:color w:val="000000"/>
        </w:rPr>
        <w:t xml:space="preserve"> tendrán las </w:t>
      </w:r>
      <w:r>
        <w:rPr>
          <w:rFonts w:ascii="Palatino Linotype" w:eastAsia="Palatino Linotype" w:hAnsi="Palatino Linotype" w:cs="Palatino Linotype"/>
          <w:b/>
          <w:bCs/>
          <w:i/>
          <w:iCs/>
          <w:color w:val="000000"/>
        </w:rPr>
        <w:t>funciones</w:t>
      </w:r>
      <w:r>
        <w:rPr>
          <w:rFonts w:ascii="Palatino Linotype" w:eastAsia="Palatino Linotype" w:hAnsi="Palatino Linotype" w:cs="Palatino Linotype"/>
          <w:i/>
          <w:iCs/>
          <w:color w:val="000000"/>
        </w:rPr>
        <w:t xml:space="preserve"> siguientes:</w:t>
      </w:r>
    </w:p>
    <w:p w:rsidR="00A61978" w:rsidRDefault="00C034BB">
      <w:pPr>
        <w:spacing w:line="360" w:lineRule="auto"/>
        <w:ind w:left="851"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V. Integrar y presentar al responsable de la Unidad de Transparencia la propuesta de clasificación de información</w:t>
      </w:r>
      <w:r>
        <w:rPr>
          <w:rFonts w:ascii="Palatino Linotype" w:eastAsia="Palatino Linotype" w:hAnsi="Palatino Linotype" w:cs="Palatino Linotype"/>
          <w:i/>
          <w:iCs/>
          <w:color w:val="000000"/>
        </w:rPr>
        <w:t>, la cual tendrá los fundamentos y argumentos en que se basa dicha propuesta…”</w:t>
      </w:r>
    </w:p>
    <w:p w:rsidR="00A61978" w:rsidRDefault="00A61978">
      <w:pPr>
        <w:spacing w:line="360" w:lineRule="auto"/>
        <w:ind w:left="851" w:right="-1071"/>
        <w:jc w:val="both"/>
        <w:rPr>
          <w:rFonts w:ascii="Palatino Linotype" w:eastAsia="Palatino Linotype" w:hAnsi="Palatino Linotype" w:cs="Palatino Linotype"/>
          <w:i/>
          <w:iCs/>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 xml:space="preserve">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w:t>
      </w:r>
      <w:r>
        <w:rPr>
          <w:rFonts w:ascii="Palatino Linotype" w:eastAsia="Palatino Linotype" w:hAnsi="Palatino Linotype" w:cs="Palatino Linotype"/>
          <w:color w:val="000000"/>
        </w:rPr>
        <w:lastRenderedPageBreak/>
        <w:t>de así resultar procedente el proyecto de clasificación de la información y finalmente sea éste último quien apruebe, modifique o revoque la clasificación de la información solicitada.</w:t>
      </w:r>
    </w:p>
    <w:p w:rsidR="00A61978" w:rsidRDefault="00A61978">
      <w:pPr>
        <w:spacing w:line="360" w:lineRule="auto"/>
        <w:ind w:right="-1071"/>
        <w:jc w:val="both"/>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Para lo cual, a su vez en el caso de información de carácter confidencial, se debe atender a lo que señala el artículo 149 de la Ley de Transparencia Local vigente, que se lee como sigue:</w:t>
      </w:r>
    </w:p>
    <w:p w:rsidR="00A61978" w:rsidRDefault="00C034BB">
      <w:pP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Artículo 149.</w:t>
      </w:r>
      <w:r>
        <w:rPr>
          <w:rFonts w:ascii="Palatino Linotype" w:eastAsia="Palatino Linotype" w:hAnsi="Palatino Linotype" w:cs="Palatino Linotype"/>
          <w:i/>
          <w:iCs/>
          <w:color w:val="000000"/>
        </w:rPr>
        <w:t xml:space="preserve"> El </w:t>
      </w:r>
      <w:r>
        <w:rPr>
          <w:rFonts w:ascii="Palatino Linotype" w:eastAsia="Palatino Linotype" w:hAnsi="Palatino Linotype" w:cs="Palatino Linotype"/>
          <w:b/>
          <w:bCs/>
          <w:i/>
          <w:iCs/>
          <w:color w:val="000000"/>
        </w:rPr>
        <w:t>acuerdo que clasifique la información como confidencial</w:t>
      </w:r>
      <w:r>
        <w:rPr>
          <w:rFonts w:ascii="Palatino Linotype" w:eastAsia="Palatino Linotype" w:hAnsi="Palatino Linotype" w:cs="Palatino Linotype"/>
          <w:i/>
          <w:iCs/>
          <w:color w:val="000000"/>
        </w:rPr>
        <w:t xml:space="preserve"> deberá contener un razonamiento lógico en el que demuestre que la información se encuentra en alguna o algunas de las hipótesis previstas en la presente Ley.”</w:t>
      </w:r>
    </w:p>
    <w:p w:rsidR="00A57866" w:rsidRDefault="00A57866">
      <w:pPr>
        <w:spacing w:line="360" w:lineRule="auto"/>
        <w:ind w:left="567" w:right="-1071"/>
        <w:jc w:val="both"/>
        <w:rPr>
          <w:rFonts w:ascii="Palatino Linotype" w:eastAsia="Palatino Linotype" w:hAnsi="Palatino Linotype" w:cs="Palatino Linotype"/>
          <w:i/>
          <w:iCs/>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Es decir, el Sujeto Obligado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parte solicitante.</w:t>
      </w:r>
    </w:p>
    <w:p w:rsidR="00A61978" w:rsidRDefault="00A61978">
      <w:pPr>
        <w:pBdr>
          <w:top w:val="nil"/>
          <w:left w:val="nil"/>
          <w:bottom w:val="nil"/>
          <w:right w:val="nil"/>
          <w:between w:val="nil"/>
        </w:pBdr>
        <w:spacing w:line="360" w:lineRule="auto"/>
        <w:ind w:left="720" w:right="-1071"/>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Por lo tanto, la entrega de documentos en su versión pública debe acompañarse necesariamente del Acuerdo del Comité de Transparencia que la sustente, en el que se expongan los fundamentos y razonamientos que llevaron al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a testar, suprimir o eliminar datos de dicho soporte documental, ya que no hacerlo implica que lo entregado no es legal ni formalmente una versión pública, sino más bien una documentación ilegible, incompleta o tachada; pues no señalar las razones por las que no se aprecian </w:t>
      </w:r>
      <w:r>
        <w:rPr>
          <w:rFonts w:ascii="Palatino Linotype" w:eastAsia="Palatino Linotype" w:hAnsi="Palatino Linotype" w:cs="Palatino Linotype"/>
          <w:color w:val="000000"/>
        </w:rPr>
        <w:lastRenderedPageBreak/>
        <w:t>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 por lo que el acuerdo respectivo, deberá hacerse del conocimiento del </w:t>
      </w:r>
      <w:r>
        <w:rPr>
          <w:rFonts w:ascii="Palatino Linotype" w:eastAsia="Palatino Linotype" w:hAnsi="Palatino Linotype" w:cs="Palatino Linotype"/>
          <w:b/>
          <w:bCs/>
          <w:color w:val="000000"/>
        </w:rPr>
        <w:t>RECURRENTE.</w:t>
      </w:r>
    </w:p>
    <w:p w:rsidR="00A61978" w:rsidRDefault="00A61978">
      <w:pPr>
        <w:pBdr>
          <w:top w:val="nil"/>
          <w:left w:val="nil"/>
          <w:bottom w:val="nil"/>
          <w:right w:val="nil"/>
          <w:between w:val="nil"/>
        </w:pBdr>
        <w:spacing w:line="360" w:lineRule="auto"/>
        <w:ind w:left="720" w:right="-1071"/>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los servidores públicos. </w:t>
      </w:r>
    </w:p>
    <w:p w:rsidR="00A61978" w:rsidRDefault="00A61978">
      <w:pPr>
        <w:pBdr>
          <w:top w:val="nil"/>
          <w:left w:val="nil"/>
          <w:bottom w:val="nil"/>
          <w:right w:val="nil"/>
          <w:between w:val="nil"/>
        </w:pBdr>
        <w:spacing w:line="360" w:lineRule="auto"/>
        <w:ind w:left="720" w:right="-1071"/>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 xml:space="preserve">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w:t>
      </w:r>
      <w:r>
        <w:rPr>
          <w:rFonts w:ascii="Palatino Linotype" w:eastAsia="Palatino Linotype" w:hAnsi="Palatino Linotype" w:cs="Palatino Linotype"/>
        </w:rPr>
        <w:t>clasificará</w:t>
      </w:r>
      <w:r>
        <w:rPr>
          <w:rFonts w:ascii="Palatino Linotype" w:eastAsia="Palatino Linotype" w:hAnsi="Palatino Linotype" w:cs="Palatino Linotype"/>
          <w:color w:val="000000"/>
        </w:rPr>
        <w:t xml:space="preserve"> como reservada o confidencial la información que posean, </w:t>
      </w:r>
      <w:r>
        <w:rPr>
          <w:rFonts w:ascii="Palatino Linotype" w:eastAsia="Palatino Linotype" w:hAnsi="Palatino Linotype" w:cs="Palatino Linotype"/>
        </w:rPr>
        <w:t>desclasificará</w:t>
      </w:r>
      <w:r>
        <w:rPr>
          <w:rFonts w:ascii="Palatino Linotype" w:eastAsia="Palatino Linotype" w:hAnsi="Palatino Linotype" w:cs="Palatino Linotype"/>
          <w:color w:val="000000"/>
        </w:rPr>
        <w:t xml:space="preserve"> y generarán, en su caso, versiones públicas de expedientes o documentos que contengan partes o secciones clasificadas.</w:t>
      </w:r>
    </w:p>
    <w:p w:rsidR="00A61978" w:rsidRDefault="00A61978">
      <w:pPr>
        <w:pBdr>
          <w:top w:val="nil"/>
          <w:left w:val="nil"/>
          <w:bottom w:val="nil"/>
          <w:right w:val="nil"/>
          <w:between w:val="nil"/>
        </w:pBdr>
        <w:spacing w:line="360" w:lineRule="auto"/>
        <w:ind w:left="720" w:right="-1071"/>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Entorno a lo que aquí nos interesa, los Lineamientos Quincuagésimo sexto, Quincuagésimo séptimo y Quincuagésimo octavo, establecen lo siguiente:</w:t>
      </w:r>
    </w:p>
    <w:p w:rsidR="00A61978" w:rsidRDefault="00C034BB">
      <w:pP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“Quincuagésimo sexto</w:t>
      </w:r>
      <w:r>
        <w:rPr>
          <w:rFonts w:ascii="Palatino Linotype" w:eastAsia="Palatino Linotype" w:hAnsi="Palatino Linotype" w:cs="Palatino Linotype"/>
          <w:b/>
          <w:bCs/>
          <w:i/>
          <w:iCs/>
          <w:color w:val="000000"/>
        </w:rPr>
        <w:t>.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rsidR="00A61978" w:rsidRDefault="00C034BB">
      <w:pP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Quincuagésimo séptimo. Se considera, en principio, como información pública y no podrá omitirse de las versiones públicas la siguiente: </w:t>
      </w:r>
    </w:p>
    <w:p w:rsidR="00A61978" w:rsidRDefault="00C034BB">
      <w:pP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 La relativa a las Obligaciones de Transparencia que contempla el Título V de la Ley General y las demás disposiciones legales aplicables; </w:t>
      </w:r>
    </w:p>
    <w:p w:rsidR="00A61978" w:rsidRDefault="00C034BB">
      <w:pP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 El nombre de los servidores públicos en los documentos, y sus firmas autógrafas, cuando sean utilizados en el ejercicio de las facultades conferidas para el desempeño del servicio público, y </w:t>
      </w:r>
    </w:p>
    <w:p w:rsidR="00A61978" w:rsidRDefault="00C034BB">
      <w:pP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III. La información que documente decisiones y los actos de autoridad concluidos de los sujetos obligados, así como el ejercicio de las facultades o actividades de los servidores públicos, de manera que se pueda valorar el desempeño de los mismos.</w:t>
      </w:r>
    </w:p>
    <w:p w:rsidR="00A61978" w:rsidRDefault="00C034BB">
      <w:pP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Lo anterior, siempre y cuando no se acredite alguna causal de clasificación, prevista en las leyes o en los tratados internaciones suscritos por el Estado mexicano. </w:t>
      </w:r>
    </w:p>
    <w:p w:rsidR="00A61978" w:rsidRDefault="00C034BB">
      <w:pP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Quincuagésimo octavo. Los sujetos obligados garantizarán que los sistemas o medios empleados para eliminar la información en las versiones públicas no permitan la recuperación o visualización de la misma.”</w:t>
      </w:r>
    </w:p>
    <w:p w:rsidR="00A61978" w:rsidRDefault="00A61978">
      <w:pPr>
        <w:spacing w:line="360" w:lineRule="auto"/>
        <w:ind w:left="851" w:right="-1071"/>
        <w:jc w:val="both"/>
        <w:rPr>
          <w:rFonts w:ascii="Palatino Linotype" w:eastAsia="Palatino Linotype" w:hAnsi="Palatino Linotype" w:cs="Palatino Linotype"/>
          <w:i/>
          <w:iCs/>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 xml:space="preserve">Por lo tanto, </w:t>
      </w:r>
      <w:r>
        <w:rPr>
          <w:rFonts w:ascii="Palatino Linotype" w:eastAsia="Palatino Linotype" w:hAnsi="Palatino Linotype" w:cs="Palatino Linotype"/>
          <w:b/>
          <w:bCs/>
          <w:color w:val="000000"/>
        </w:rPr>
        <w:t xml:space="preserve">la entrega de documentos en su versión pública debe </w:t>
      </w:r>
      <w:r>
        <w:rPr>
          <w:rFonts w:ascii="Palatino Linotype" w:eastAsia="Palatino Linotype" w:hAnsi="Palatino Linotype" w:cs="Palatino Linotype"/>
          <w:color w:val="000000"/>
        </w:rPr>
        <w:t>acompañarse</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necesariamente</w:t>
      </w:r>
      <w:r>
        <w:rPr>
          <w:rFonts w:ascii="Palatino Linotype" w:eastAsia="Palatino Linotype" w:hAnsi="Palatino Linotype" w:cs="Palatino Linotype"/>
          <w:b/>
          <w:bCs/>
          <w:color w:val="000000"/>
        </w:rPr>
        <w:t xml:space="preserve"> del Acuerdo del Comité de Transparencia que la sustente el cual debe estar debidamente fundado y motivado, en el que se expongan los fundamentos y razonamientos que llevaron al Sujeto Obligado a testar, suprimir o eliminar datos de dicho soporte documental</w:t>
      </w:r>
      <w:r>
        <w:rPr>
          <w:rFonts w:ascii="Palatino Linotype" w:eastAsia="Palatino Linotype" w:hAnsi="Palatino Linotype" w:cs="Palatino Linotype"/>
          <w:color w:val="000000"/>
        </w:rPr>
        <w:t xml:space="preserve">, ya que no hacerlo, se reitera que lo entregado no tendría un sustento jurídico ni </w:t>
      </w:r>
      <w:r>
        <w:rPr>
          <w:rFonts w:ascii="Palatino Linotype" w:eastAsia="Palatino Linotype" w:hAnsi="Palatino Linotype" w:cs="Palatino Linotype"/>
          <w:color w:val="000000"/>
        </w:rPr>
        <w:lastRenderedPageBreak/>
        <w:t>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rsidR="00A61978" w:rsidRDefault="00A61978">
      <w:pPr>
        <w:pBdr>
          <w:top w:val="nil"/>
          <w:left w:val="nil"/>
          <w:bottom w:val="nil"/>
          <w:right w:val="nil"/>
          <w:between w:val="nil"/>
        </w:pBdr>
        <w:tabs>
          <w:tab w:val="left" w:pos="284"/>
          <w:tab w:val="left" w:pos="426"/>
        </w:tabs>
        <w:spacing w:line="360" w:lineRule="auto"/>
        <w:ind w:right="-1071"/>
        <w:jc w:val="both"/>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Los sujetos obligados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tbl>
      <w:tblPr>
        <w:tblStyle w:val="a0"/>
        <w:tblW w:w="9810"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540"/>
        <w:gridCol w:w="6270"/>
      </w:tblGrid>
      <w:tr w:rsidR="00A61978">
        <w:tc>
          <w:tcPr>
            <w:tcW w:w="3540" w:type="dxa"/>
          </w:tcPr>
          <w:p w:rsidR="00A61978" w:rsidRDefault="00C034BB">
            <w:pPr>
              <w:tabs>
                <w:tab w:val="left" w:pos="284"/>
              </w:tabs>
              <w:ind w:right="8"/>
              <w:rPr>
                <w:rFonts w:ascii="Palatino Linotype" w:eastAsia="Palatino Linotype" w:hAnsi="Palatino Linotype" w:cs="Palatino Linotype"/>
                <w:color w:val="000000"/>
              </w:rPr>
            </w:pPr>
            <w:r>
              <w:rPr>
                <w:rFonts w:ascii="Palatino Linotype" w:eastAsia="Palatino Linotype" w:hAnsi="Palatino Linotype" w:cs="Palatino Linotype"/>
                <w:color w:val="000000"/>
              </w:rPr>
              <w:t>a) Requisitos previos.</w:t>
            </w:r>
          </w:p>
        </w:tc>
        <w:tc>
          <w:tcPr>
            <w:tcW w:w="6270" w:type="dxa"/>
          </w:tcPr>
          <w:p w:rsidR="00A61978" w:rsidRDefault="00C034BB">
            <w:pPr>
              <w:tabs>
                <w:tab w:val="left" w:pos="284"/>
              </w:tabs>
              <w:ind w:right="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A61978" w:rsidRDefault="00C034BB">
            <w:pPr>
              <w:tabs>
                <w:tab w:val="left" w:pos="284"/>
              </w:tabs>
              <w:ind w:right="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A61978" w:rsidRDefault="00C034BB">
            <w:pPr>
              <w:tabs>
                <w:tab w:val="left" w:pos="284"/>
              </w:tabs>
              <w:ind w:right="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rsidR="00A61978" w:rsidRDefault="00C034BB">
            <w:pPr>
              <w:tabs>
                <w:tab w:val="left" w:pos="284"/>
              </w:tabs>
              <w:ind w:right="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Pr>
                <w:rFonts w:ascii="Palatino Linotype" w:eastAsia="Palatino Linotype" w:hAnsi="Palatino Linotype" w:cs="Palatino Linotype"/>
                <w:color w:val="000000"/>
                <w:u w:val="single"/>
              </w:rPr>
              <w:t>no se puede hacer un acuerdo para clasificar de manera general todos los documentos de un expediente o área, sin</w:t>
            </w:r>
            <w:r>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p w:rsidR="00A61978" w:rsidRDefault="00A61978">
            <w:pPr>
              <w:tabs>
                <w:tab w:val="left" w:pos="284"/>
              </w:tabs>
              <w:ind w:right="8"/>
              <w:jc w:val="both"/>
              <w:rPr>
                <w:rFonts w:ascii="Palatino Linotype" w:eastAsia="Palatino Linotype" w:hAnsi="Palatino Linotype" w:cs="Palatino Linotype"/>
                <w:color w:val="000000"/>
              </w:rPr>
            </w:pPr>
          </w:p>
        </w:tc>
      </w:tr>
      <w:tr w:rsidR="00A61978">
        <w:tc>
          <w:tcPr>
            <w:tcW w:w="3540" w:type="dxa"/>
          </w:tcPr>
          <w:p w:rsidR="00A61978" w:rsidRDefault="00C034BB">
            <w:pPr>
              <w:tabs>
                <w:tab w:val="left" w:pos="284"/>
              </w:tabs>
              <w:ind w:right="8"/>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b) Supuestos de clasificación.</w:t>
            </w:r>
          </w:p>
        </w:tc>
        <w:tc>
          <w:tcPr>
            <w:tcW w:w="6270" w:type="dxa"/>
          </w:tcPr>
          <w:p w:rsidR="00A61978" w:rsidRDefault="00C034BB">
            <w:pPr>
              <w:tabs>
                <w:tab w:val="left" w:pos="284"/>
              </w:tabs>
              <w:ind w:right="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A61978" w:rsidRDefault="00C034BB">
            <w:pPr>
              <w:tabs>
                <w:tab w:val="left" w:pos="284"/>
              </w:tabs>
              <w:ind w:right="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A61978" w:rsidRDefault="00C034BB">
            <w:pPr>
              <w:tabs>
                <w:tab w:val="left" w:pos="284"/>
              </w:tabs>
              <w:ind w:right="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p w:rsidR="00A61978" w:rsidRDefault="00A61978">
            <w:pPr>
              <w:tabs>
                <w:tab w:val="left" w:pos="284"/>
              </w:tabs>
              <w:ind w:right="8"/>
              <w:jc w:val="both"/>
              <w:rPr>
                <w:rFonts w:ascii="Palatino Linotype" w:eastAsia="Palatino Linotype" w:hAnsi="Palatino Linotype" w:cs="Palatino Linotype"/>
                <w:color w:val="000000"/>
              </w:rPr>
            </w:pPr>
          </w:p>
        </w:tc>
      </w:tr>
      <w:tr w:rsidR="00A61978">
        <w:tc>
          <w:tcPr>
            <w:tcW w:w="3540" w:type="dxa"/>
          </w:tcPr>
          <w:p w:rsidR="00A61978" w:rsidRDefault="00C034BB">
            <w:pPr>
              <w:tabs>
                <w:tab w:val="left" w:pos="284"/>
              </w:tabs>
              <w:ind w:right="8"/>
              <w:rPr>
                <w:rFonts w:ascii="Palatino Linotype" w:eastAsia="Palatino Linotype" w:hAnsi="Palatino Linotype" w:cs="Palatino Linotype"/>
                <w:color w:val="000000"/>
              </w:rPr>
            </w:pPr>
            <w:r>
              <w:rPr>
                <w:rFonts w:ascii="Palatino Linotype" w:eastAsia="Palatino Linotype" w:hAnsi="Palatino Linotype" w:cs="Palatino Linotype"/>
                <w:color w:val="000000"/>
              </w:rPr>
              <w:t>c) Formalidades para emitir el acuerdo de clasificación.</w:t>
            </w:r>
          </w:p>
        </w:tc>
        <w:tc>
          <w:tcPr>
            <w:tcW w:w="6270" w:type="dxa"/>
          </w:tcPr>
          <w:p w:rsidR="00A61978" w:rsidRDefault="00C034BB">
            <w:pPr>
              <w:tabs>
                <w:tab w:val="left" w:pos="284"/>
              </w:tabs>
              <w:ind w:right="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A61978" w:rsidRDefault="00C034BB">
            <w:pPr>
              <w:tabs>
                <w:tab w:val="left" w:pos="284"/>
              </w:tabs>
              <w:ind w:right="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necesario que </w:t>
            </w:r>
            <w:r>
              <w:rPr>
                <w:rFonts w:ascii="Palatino Linotype" w:eastAsia="Palatino Linotype" w:hAnsi="Palatino Linotype" w:cs="Palatino Linotype"/>
                <w:b/>
                <w:bCs/>
                <w:color w:val="000000"/>
                <w:u w:val="single"/>
              </w:rPr>
              <w:t>el acto reúna con los requisitos elementales</w:t>
            </w:r>
            <w:r>
              <w:rPr>
                <w:rFonts w:ascii="Palatino Linotype" w:eastAsia="Palatino Linotype" w:hAnsi="Palatino Linotype" w:cs="Palatino Linotype"/>
                <w:color w:val="000000"/>
              </w:rPr>
              <w:t>, entre ellos, que la autoridad que va a emitir el acto de autoridad sea la legalmente facultada para ello.</w:t>
            </w:r>
          </w:p>
          <w:p w:rsidR="00A61978" w:rsidRDefault="00C034BB">
            <w:pPr>
              <w:tabs>
                <w:tab w:val="left" w:pos="284"/>
              </w:tabs>
              <w:ind w:right="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Pr>
                <w:rFonts w:ascii="Palatino Linotype" w:eastAsia="Palatino Linotype" w:hAnsi="Palatino Linotype" w:cs="Palatino Linotype"/>
              </w:rPr>
              <w:t>El área</w:t>
            </w:r>
            <w:r>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w:t>
            </w:r>
            <w:r>
              <w:rPr>
                <w:rFonts w:ascii="Palatino Linotype" w:eastAsia="Palatino Linotype" w:hAnsi="Palatino Linotype" w:cs="Palatino Linotype"/>
                <w:color w:val="000000"/>
              </w:rPr>
              <w:lastRenderedPageBreak/>
              <w:t>previamente por los titulares de áreas y que son sujetas a control, en primera instancia, por el Comité de Transparencia.</w:t>
            </w:r>
          </w:p>
          <w:p w:rsidR="00A61978" w:rsidRDefault="00A61978">
            <w:pPr>
              <w:tabs>
                <w:tab w:val="left" w:pos="284"/>
              </w:tabs>
              <w:ind w:right="8"/>
              <w:jc w:val="both"/>
              <w:rPr>
                <w:rFonts w:ascii="Palatino Linotype" w:eastAsia="Palatino Linotype" w:hAnsi="Palatino Linotype" w:cs="Palatino Linotype"/>
                <w:color w:val="000000"/>
              </w:rPr>
            </w:pPr>
          </w:p>
        </w:tc>
      </w:tr>
      <w:tr w:rsidR="00A61978">
        <w:tc>
          <w:tcPr>
            <w:tcW w:w="3540" w:type="dxa"/>
          </w:tcPr>
          <w:p w:rsidR="00A61978" w:rsidRDefault="00A61978">
            <w:pPr>
              <w:tabs>
                <w:tab w:val="left" w:pos="284"/>
              </w:tabs>
              <w:ind w:right="8"/>
              <w:rPr>
                <w:rFonts w:ascii="Palatino Linotype" w:eastAsia="Palatino Linotype" w:hAnsi="Palatino Linotype" w:cs="Palatino Linotype"/>
                <w:color w:val="000000"/>
              </w:rPr>
            </w:pPr>
          </w:p>
          <w:p w:rsidR="00A61978" w:rsidRDefault="00C034BB">
            <w:pPr>
              <w:tabs>
                <w:tab w:val="left" w:pos="284"/>
              </w:tabs>
              <w:ind w:right="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 Requisitos de fondo del acuerdo de clasificación. </w:t>
            </w:r>
          </w:p>
        </w:tc>
        <w:tc>
          <w:tcPr>
            <w:tcW w:w="6270" w:type="dxa"/>
          </w:tcPr>
          <w:p w:rsidR="00A61978" w:rsidRDefault="00C034BB">
            <w:pPr>
              <w:tabs>
                <w:tab w:val="left" w:pos="284"/>
              </w:tabs>
              <w:ind w:right="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color w:val="000000"/>
              </w:rPr>
              <w:t>Sujetos Obligados</w:t>
            </w:r>
            <w:r>
              <w:rPr>
                <w:rFonts w:ascii="Palatino Linotype" w:eastAsia="Palatino Linotype" w:hAnsi="Palatino Linotype" w:cs="Palatino Linotype"/>
                <w:color w:val="000000"/>
              </w:rPr>
              <w:t xml:space="preserve">, por lo que deberán fundar y motivar debidamente la clasificación. </w:t>
            </w:r>
          </w:p>
          <w:p w:rsidR="00A61978" w:rsidRDefault="00C034BB">
            <w:pPr>
              <w:tabs>
                <w:tab w:val="left" w:pos="284"/>
              </w:tabs>
              <w:ind w:right="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se desprende que para una correcta </w:t>
            </w:r>
            <w:r>
              <w:rPr>
                <w:rFonts w:ascii="Palatino Linotype" w:eastAsia="Palatino Linotype" w:hAnsi="Palatino Linotype" w:cs="Palatino Linotype"/>
                <w:b/>
                <w:bCs/>
                <w:color w:val="000000"/>
              </w:rPr>
              <w:t>clasificación total o parcial</w:t>
            </w:r>
            <w:r>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A61978" w:rsidRDefault="00C034BB">
            <w:pPr>
              <w:tabs>
                <w:tab w:val="left" w:pos="284"/>
              </w:tabs>
              <w:ind w:right="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A61978" w:rsidRDefault="00C034BB">
            <w:pPr>
              <w:tabs>
                <w:tab w:val="left" w:pos="284"/>
              </w:tabs>
              <w:ind w:right="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A61978" w:rsidRDefault="00C034BB">
            <w:pPr>
              <w:tabs>
                <w:tab w:val="left" w:pos="284"/>
              </w:tabs>
              <w:ind w:right="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w:t>
            </w:r>
            <w:r>
              <w:rPr>
                <w:rFonts w:ascii="Palatino Linotype" w:eastAsia="Palatino Linotype" w:hAnsi="Palatino Linotype" w:cs="Palatino Linotype"/>
                <w:b/>
                <w:bCs/>
                <w:color w:val="000000"/>
                <w:u w:val="single"/>
              </w:rPr>
              <w:t>para cada caso además de fundar y motivar</w:t>
            </w:r>
            <w:r>
              <w:rPr>
                <w:rFonts w:ascii="Palatino Linotype" w:eastAsia="Palatino Linotype" w:hAnsi="Palatino Linotype" w:cs="Palatino Linotype"/>
                <w:color w:val="000000"/>
              </w:rPr>
              <w:t xml:space="preserve">, se debe identificar con claridad </w:t>
            </w:r>
            <w:r>
              <w:rPr>
                <w:rFonts w:ascii="Palatino Linotype" w:eastAsia="Palatino Linotype" w:hAnsi="Palatino Linotype" w:cs="Palatino Linotype"/>
              </w:rPr>
              <w:t>qué</w:t>
            </w:r>
            <w:r>
              <w:rPr>
                <w:rFonts w:ascii="Palatino Linotype" w:eastAsia="Palatino Linotype" w:hAnsi="Palatino Linotype" w:cs="Palatino Linotype"/>
                <w:color w:val="000000"/>
              </w:rPr>
              <w:t xml:space="preserve"> datos contenidos en </w:t>
            </w:r>
            <w:r>
              <w:rPr>
                <w:rFonts w:ascii="Palatino Linotype" w:eastAsia="Palatino Linotype" w:hAnsi="Palatino Linotype" w:cs="Palatino Linotype"/>
                <w:color w:val="000000"/>
              </w:rPr>
              <w:lastRenderedPageBreak/>
              <w:t>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p w:rsidR="00A61978" w:rsidRDefault="00A61978">
            <w:pPr>
              <w:tabs>
                <w:tab w:val="left" w:pos="284"/>
              </w:tabs>
              <w:ind w:right="8"/>
              <w:jc w:val="both"/>
              <w:rPr>
                <w:rFonts w:ascii="Palatino Linotype" w:eastAsia="Palatino Linotype" w:hAnsi="Palatino Linotype" w:cs="Palatino Linotype"/>
                <w:color w:val="000000"/>
              </w:rPr>
            </w:pPr>
          </w:p>
        </w:tc>
      </w:tr>
      <w:tr w:rsidR="00A61978">
        <w:tc>
          <w:tcPr>
            <w:tcW w:w="3540" w:type="dxa"/>
          </w:tcPr>
          <w:p w:rsidR="00A61978" w:rsidRDefault="00C034BB">
            <w:pPr>
              <w:tabs>
                <w:tab w:val="left" w:pos="284"/>
              </w:tabs>
              <w:ind w:right="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e) Condiciones especiales de la clasificación de la información como confidencial. </w:t>
            </w:r>
          </w:p>
        </w:tc>
        <w:tc>
          <w:tcPr>
            <w:tcW w:w="6270" w:type="dxa"/>
          </w:tcPr>
          <w:p w:rsidR="00A61978" w:rsidRDefault="00C034BB">
            <w:pPr>
              <w:tabs>
                <w:tab w:val="left" w:pos="284"/>
              </w:tabs>
              <w:ind w:right="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A61978" w:rsidRDefault="00C034BB">
            <w:pPr>
              <w:tabs>
                <w:tab w:val="left" w:pos="284"/>
              </w:tabs>
              <w:ind w:right="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A61978" w:rsidRDefault="00C034BB">
            <w:pPr>
              <w:tabs>
                <w:tab w:val="left" w:pos="284"/>
              </w:tabs>
              <w:ind w:right="8"/>
              <w:rPr>
                <w:rFonts w:ascii="Palatino Linotype" w:eastAsia="Palatino Linotype" w:hAnsi="Palatino Linotype" w:cs="Palatino Linotype"/>
                <w:color w:val="000000"/>
              </w:rPr>
            </w:pPr>
            <w:r>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p w:rsidR="00A61978" w:rsidRDefault="00A61978">
            <w:pPr>
              <w:tabs>
                <w:tab w:val="left" w:pos="284"/>
              </w:tabs>
              <w:ind w:right="8"/>
              <w:rPr>
                <w:rFonts w:ascii="Palatino Linotype" w:eastAsia="Palatino Linotype" w:hAnsi="Palatino Linotype" w:cs="Palatino Linotype"/>
                <w:color w:val="000000"/>
              </w:rPr>
            </w:pPr>
          </w:p>
        </w:tc>
      </w:tr>
    </w:tbl>
    <w:p w:rsidR="00A61978" w:rsidRDefault="00A61978">
      <w:pPr>
        <w:tabs>
          <w:tab w:val="left" w:pos="284"/>
        </w:tabs>
        <w:spacing w:line="360" w:lineRule="auto"/>
        <w:ind w:right="-1071"/>
        <w:rPr>
          <w:rFonts w:ascii="Palatino Linotype" w:eastAsia="Palatino Linotype" w:hAnsi="Palatino Linotype" w:cs="Palatino Linotype"/>
          <w:color w:val="000000"/>
        </w:rPr>
      </w:pPr>
    </w:p>
    <w:p w:rsidR="00A61978" w:rsidRDefault="00C034BB">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rsidR="00A61978" w:rsidRDefault="00A61978">
      <w:pPr>
        <w:widowControl w:val="0"/>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rsidR="00A61978" w:rsidRPr="00287DC6" w:rsidRDefault="00C034BB" w:rsidP="00287DC6">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 xml:space="preserve">Por lo anteriormente expuesto y fundado, este Órgano Garante emite los siguientes: </w:t>
      </w:r>
      <w:r w:rsidR="00A57866">
        <w:rPr>
          <w:rFonts w:ascii="Palatino Linotype" w:eastAsia="Palatino Linotype" w:hAnsi="Palatino Linotype" w:cs="Palatino Linotype"/>
          <w:color w:val="000000"/>
        </w:rPr>
        <w:t>---</w:t>
      </w:r>
    </w:p>
    <w:p w:rsidR="00A61978" w:rsidRDefault="00A61978">
      <w:pPr>
        <w:pBdr>
          <w:top w:val="nil"/>
          <w:left w:val="nil"/>
          <w:bottom w:val="nil"/>
          <w:right w:val="nil"/>
          <w:between w:val="nil"/>
        </w:pBdr>
        <w:spacing w:line="360" w:lineRule="auto"/>
        <w:ind w:right="-1071"/>
        <w:jc w:val="both"/>
        <w:rPr>
          <w:rFonts w:ascii="Palatino Linotype" w:eastAsia="Palatino Linotype" w:hAnsi="Palatino Linotype" w:cs="Palatino Linotype"/>
        </w:rPr>
      </w:pPr>
    </w:p>
    <w:p w:rsidR="00A61978" w:rsidRDefault="00C034BB">
      <w:pPr>
        <w:pStyle w:val="Ttulo1"/>
        <w:spacing w:before="0" w:line="360" w:lineRule="auto"/>
        <w:ind w:right="-1071"/>
        <w:jc w:val="center"/>
        <w:rPr>
          <w:rFonts w:ascii="Palatino Linotype" w:eastAsia="Palatino Linotype" w:hAnsi="Palatino Linotype" w:cs="Palatino Linotype"/>
          <w:b/>
          <w:bCs/>
          <w:color w:val="000000"/>
          <w:sz w:val="24"/>
          <w:szCs w:val="24"/>
        </w:rPr>
      </w:pPr>
      <w:bookmarkStart w:id="8" w:name="_heading=h.mrk6tlbt7lvj" w:colFirst="0" w:colLast="0"/>
      <w:bookmarkEnd w:id="8"/>
      <w:r>
        <w:rPr>
          <w:rFonts w:ascii="Palatino Linotype" w:eastAsia="Palatino Linotype" w:hAnsi="Palatino Linotype" w:cs="Palatino Linotype"/>
          <w:b/>
          <w:bCs/>
          <w:color w:val="000000"/>
          <w:sz w:val="24"/>
          <w:szCs w:val="24"/>
        </w:rPr>
        <w:t>R E S O L U T I V O S</w:t>
      </w:r>
    </w:p>
    <w:p w:rsidR="00A61978" w:rsidRDefault="00A61978">
      <w:pPr>
        <w:spacing w:line="360" w:lineRule="auto"/>
        <w:ind w:right="-1071"/>
        <w:rPr>
          <w:rFonts w:ascii="Palatino Linotype" w:eastAsia="Palatino Linotype" w:hAnsi="Palatino Linotype" w:cs="Palatino Linotype"/>
          <w:color w:val="000000"/>
        </w:rPr>
      </w:pPr>
    </w:p>
    <w:p w:rsidR="00A61978" w:rsidRDefault="00C034BB">
      <w:pP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PRIMERO</w:t>
      </w:r>
      <w:r>
        <w:rPr>
          <w:rFonts w:ascii="Palatino Linotype" w:eastAsia="Palatino Linotype" w:hAnsi="Palatino Linotype" w:cs="Palatino Linotype"/>
          <w:color w:val="000000"/>
        </w:rPr>
        <w:t>. Resultan parcialmente fundadas las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razones o motivos de inconformidad hechos valer en el Recurso de Revisión </w:t>
      </w:r>
      <w:r>
        <w:rPr>
          <w:rFonts w:ascii="Palatino Linotype" w:eastAsia="Palatino Linotype" w:hAnsi="Palatino Linotype" w:cs="Palatino Linotype"/>
          <w:b/>
          <w:bCs/>
          <w:color w:val="000000"/>
        </w:rPr>
        <w:t xml:space="preserve">12068/INFOEM/IP/RR/2025, </w:t>
      </w:r>
      <w:r>
        <w:rPr>
          <w:rFonts w:ascii="Palatino Linotype" w:eastAsia="Palatino Linotype" w:hAnsi="Palatino Linotype" w:cs="Palatino Linotype"/>
          <w:color w:val="000000"/>
        </w:rPr>
        <w:t xml:space="preserve">en términos de los </w:t>
      </w:r>
      <w:r>
        <w:rPr>
          <w:rFonts w:ascii="Palatino Linotype" w:eastAsia="Palatino Linotype" w:hAnsi="Palatino Linotype" w:cs="Palatino Linotype"/>
          <w:b/>
          <w:bCs/>
          <w:color w:val="000000"/>
        </w:rPr>
        <w:t>Considerandos</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CUARTO</w:t>
      </w:r>
      <w:r>
        <w:rPr>
          <w:rFonts w:ascii="Palatino Linotype" w:eastAsia="Palatino Linotype" w:hAnsi="Palatino Linotype" w:cs="Palatino Linotype"/>
          <w:color w:val="000000"/>
        </w:rPr>
        <w:t xml:space="preserve"> y </w:t>
      </w:r>
      <w:r>
        <w:rPr>
          <w:rFonts w:ascii="Palatino Linotype" w:eastAsia="Palatino Linotype" w:hAnsi="Palatino Linotype" w:cs="Palatino Linotype"/>
          <w:b/>
          <w:bCs/>
          <w:color w:val="000000"/>
        </w:rPr>
        <w:t xml:space="preserve">QUINTO </w:t>
      </w:r>
      <w:r>
        <w:rPr>
          <w:rFonts w:ascii="Palatino Linotype" w:eastAsia="Palatino Linotype" w:hAnsi="Palatino Linotype" w:cs="Palatino Linotype"/>
          <w:color w:val="000000"/>
        </w:rPr>
        <w:t>de la presente Resolución.</w:t>
      </w:r>
    </w:p>
    <w:p w:rsidR="00A61978" w:rsidRDefault="00A61978">
      <w:pPr>
        <w:spacing w:line="360" w:lineRule="auto"/>
        <w:ind w:right="-1071"/>
        <w:jc w:val="both"/>
        <w:rPr>
          <w:rFonts w:ascii="Palatino Linotype" w:eastAsia="Palatino Linotype" w:hAnsi="Palatino Linotype" w:cs="Palatino Linotype"/>
          <w:color w:val="000000"/>
        </w:rPr>
      </w:pPr>
    </w:p>
    <w:p w:rsidR="00A61978" w:rsidRDefault="00C034BB">
      <w:pPr>
        <w:spacing w:line="360" w:lineRule="auto"/>
        <w:ind w:right="-1071"/>
        <w:jc w:val="both"/>
        <w:rPr>
          <w:rFonts w:ascii="Palatino Linotype" w:eastAsia="Palatino Linotype" w:hAnsi="Palatino Linotype" w:cs="Palatino Linotype"/>
          <w:color w:val="000000"/>
        </w:rPr>
      </w:pPr>
      <w:bookmarkStart w:id="9" w:name="_heading=h.92d8idn813q7" w:colFirst="0" w:colLast="0"/>
      <w:bookmarkEnd w:id="9"/>
      <w:r>
        <w:rPr>
          <w:rFonts w:ascii="Palatino Linotype" w:eastAsia="Palatino Linotype" w:hAnsi="Palatino Linotype" w:cs="Palatino Linotype"/>
          <w:b/>
          <w:bCs/>
          <w:color w:val="000000"/>
        </w:rPr>
        <w:t xml:space="preserve">SEGUNDO. </w:t>
      </w:r>
      <w:r>
        <w:rPr>
          <w:rFonts w:ascii="Palatino Linotype" w:eastAsia="Palatino Linotype" w:hAnsi="Palatino Linotype" w:cs="Palatino Linotype"/>
          <w:color w:val="000000"/>
        </w:rPr>
        <w:t xml:space="preserve">Se </w:t>
      </w:r>
      <w:r>
        <w:rPr>
          <w:rFonts w:ascii="Palatino Linotype" w:eastAsia="Palatino Linotype" w:hAnsi="Palatino Linotype" w:cs="Palatino Linotype"/>
          <w:b/>
          <w:bCs/>
          <w:color w:val="000000"/>
        </w:rPr>
        <w:t xml:space="preserve">MODIFICA </w:t>
      </w:r>
      <w:r>
        <w:rPr>
          <w:rFonts w:ascii="Palatino Linotype" w:eastAsia="Palatino Linotype" w:hAnsi="Palatino Linotype" w:cs="Palatino Linotype"/>
          <w:color w:val="000000"/>
        </w:rPr>
        <w:t xml:space="preserve">la respuesta emitida por el </w:t>
      </w:r>
      <w:r>
        <w:rPr>
          <w:rFonts w:ascii="Palatino Linotype" w:eastAsia="Palatino Linotype" w:hAnsi="Palatino Linotype" w:cs="Palatino Linotype"/>
          <w:b/>
          <w:bCs/>
          <w:color w:val="000000"/>
        </w:rPr>
        <w:t>Instituto de Salud del Estado de México</w:t>
      </w:r>
      <w:r>
        <w:rPr>
          <w:rFonts w:ascii="Palatino Linotype" w:eastAsia="Palatino Linotype" w:hAnsi="Palatino Linotype" w:cs="Palatino Linotype"/>
          <w:color w:val="000000"/>
        </w:rPr>
        <w:t xml:space="preserve"> y se </w:t>
      </w:r>
      <w:r>
        <w:rPr>
          <w:rFonts w:ascii="Palatino Linotype" w:eastAsia="Palatino Linotype" w:hAnsi="Palatino Linotype" w:cs="Palatino Linotype"/>
          <w:b/>
          <w:bCs/>
          <w:color w:val="000000"/>
        </w:rPr>
        <w:t>ORDENA</w:t>
      </w:r>
      <w:r>
        <w:rPr>
          <w:rFonts w:ascii="Palatino Linotype" w:eastAsia="Palatino Linotype" w:hAnsi="Palatino Linotype" w:cs="Palatino Linotype"/>
          <w:color w:val="000000"/>
        </w:rPr>
        <w:t xml:space="preserve"> entregar vía Sistema de Acceso a la Información Mexiquense (SAIMEX), de ser el caso en versión pública, previa búsqueda exhaustiva y razonable, la siguiente información:</w:t>
      </w:r>
    </w:p>
    <w:p w:rsidR="00A61978" w:rsidRDefault="00A61978">
      <w:pPr>
        <w:pBdr>
          <w:top w:val="nil"/>
          <w:left w:val="nil"/>
          <w:bottom w:val="nil"/>
          <w:right w:val="nil"/>
          <w:between w:val="nil"/>
        </w:pBdr>
        <w:tabs>
          <w:tab w:val="left" w:pos="8080"/>
        </w:tabs>
        <w:spacing w:line="360" w:lineRule="auto"/>
        <w:ind w:left="709" w:right="-1071"/>
        <w:jc w:val="both"/>
        <w:rPr>
          <w:rFonts w:ascii="Palatino Linotype" w:eastAsia="Palatino Linotype" w:hAnsi="Palatino Linotype" w:cs="Palatino Linotype"/>
          <w:i/>
          <w:iCs/>
          <w:color w:val="000000"/>
        </w:rPr>
      </w:pPr>
    </w:p>
    <w:p w:rsidR="00A61978" w:rsidRDefault="00C034BB">
      <w:pPr>
        <w:numPr>
          <w:ilvl w:val="0"/>
          <w:numId w:val="7"/>
        </w:num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Nombre(s) de el o los servidores públicos responsables de los programas o campañas de vacunación para animales, en los años 2023, 2024, y del 01 de enero al 17 de septiembre de 2025;</w:t>
      </w:r>
    </w:p>
    <w:p w:rsidR="00A61978" w:rsidRDefault="00C034BB">
      <w:pPr>
        <w:numPr>
          <w:ilvl w:val="0"/>
          <w:numId w:val="7"/>
        </w:num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Nombres de los voluntarios participantes en campañas de vacunación para animales,  que recibieron recursos públicos, en los años 2023, 2024, y del 01 de enero al 17 de septiembre de 2025;</w:t>
      </w:r>
    </w:p>
    <w:p w:rsidR="00A61978" w:rsidRDefault="00C034BB">
      <w:pPr>
        <w:numPr>
          <w:ilvl w:val="0"/>
          <w:numId w:val="7"/>
        </w:num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Acuerdo del Comité de Transparencia en el que de manera fundada y motivada, se </w:t>
      </w:r>
      <w:r>
        <w:rPr>
          <w:rFonts w:ascii="Palatino Linotype" w:eastAsia="Palatino Linotype" w:hAnsi="Palatino Linotype" w:cs="Palatino Linotype"/>
        </w:rPr>
        <w:t>clasifican</w:t>
      </w:r>
      <w:r>
        <w:rPr>
          <w:rFonts w:ascii="Palatino Linotype" w:eastAsia="Palatino Linotype" w:hAnsi="Palatino Linotype" w:cs="Palatino Linotype"/>
          <w:color w:val="000000"/>
        </w:rPr>
        <w:t xml:space="preserve"> como confidenciales los nombres de los voluntarios participantes en campañas de vacunación para animales,  que no recibieron recursos públicos, en los años 2023, 2024, y del 01 de enero al 17 de septiembre de 2025;</w:t>
      </w:r>
    </w:p>
    <w:p w:rsidR="00A61978" w:rsidRDefault="00A61978">
      <w:pPr>
        <w:pBdr>
          <w:top w:val="nil"/>
          <w:left w:val="nil"/>
          <w:bottom w:val="nil"/>
          <w:right w:val="nil"/>
          <w:between w:val="nil"/>
        </w:pBdr>
        <w:spacing w:line="360" w:lineRule="auto"/>
        <w:ind w:left="720" w:right="-1071"/>
        <w:jc w:val="both"/>
        <w:rPr>
          <w:rFonts w:ascii="Palatino Linotype" w:eastAsia="Palatino Linotype" w:hAnsi="Palatino Linotype" w:cs="Palatino Linotype"/>
          <w:color w:val="000000"/>
        </w:rPr>
      </w:pPr>
    </w:p>
    <w:p w:rsidR="00A61978" w:rsidRDefault="00C034BB">
      <w:pPr>
        <w:numPr>
          <w:ilvl w:val="0"/>
          <w:numId w:val="7"/>
        </w:num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Soporte documental en que conste o se advierta al mayor grado de desagregación las coberturas territoriales que abarcan las campañas de vacunación para animales en los años 2023, 2024, y del 01 de enero al 17 de septiembre de 2025; y</w:t>
      </w:r>
    </w:p>
    <w:p w:rsidR="00A61978" w:rsidRDefault="00C034BB">
      <w:pPr>
        <w:numPr>
          <w:ilvl w:val="0"/>
          <w:numId w:val="7"/>
        </w:num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Soporte documental en que conste o se adviertan los apoyos, remuneraciones económicas o en especie, entregados a los participantes (voluntarios y servidores públicos) de las campañas de vacunación para animales en los años 2023, 2024, y del 01 de enero al 17 de septiembre de 2025.</w:t>
      </w:r>
    </w:p>
    <w:p w:rsidR="00A61978" w:rsidRDefault="00A61978">
      <w:pPr>
        <w:pBdr>
          <w:top w:val="nil"/>
          <w:left w:val="nil"/>
          <w:bottom w:val="nil"/>
          <w:right w:val="nil"/>
          <w:between w:val="nil"/>
        </w:pBdr>
        <w:spacing w:line="360" w:lineRule="auto"/>
        <w:ind w:left="720" w:right="-1071"/>
        <w:jc w:val="both"/>
        <w:rPr>
          <w:rFonts w:ascii="Palatino Linotype" w:eastAsia="Palatino Linotype" w:hAnsi="Palatino Linotype" w:cs="Palatino Linotype"/>
          <w:b/>
          <w:bCs/>
          <w:color w:val="000000"/>
        </w:rPr>
      </w:pPr>
    </w:p>
    <w:p w:rsidR="00A61978" w:rsidRDefault="00C034BB">
      <w:pPr>
        <w:tabs>
          <w:tab w:val="left" w:pos="8080"/>
        </w:tabs>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 deberá emitir el Acuerdo del Comité de Transparencia en términos de los artículos 49, fracciones II y VIII, 132, fracción II y 143 de la Ley de Transparencia y Acceso a la Información Pública del Estado de México y Municipios, en el que funde y motive las razones sobre la eliminación de los datos y documentos confidenciales del soporte documental respectivo objeto de las versiones públicas que se formulen y se pongan a disposición del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w:t>
      </w:r>
    </w:p>
    <w:p w:rsidR="00A61978" w:rsidRDefault="00A61978">
      <w:pPr>
        <w:tabs>
          <w:tab w:val="left" w:pos="8080"/>
        </w:tabs>
        <w:spacing w:line="360" w:lineRule="auto"/>
        <w:ind w:right="-1071"/>
        <w:jc w:val="both"/>
        <w:rPr>
          <w:rFonts w:ascii="Palatino Linotype" w:eastAsia="Palatino Linotype" w:hAnsi="Palatino Linotype" w:cs="Palatino Linotype"/>
        </w:rPr>
      </w:pPr>
    </w:p>
    <w:p w:rsidR="00A61978" w:rsidRDefault="00C034BB">
      <w:pPr>
        <w:tabs>
          <w:tab w:val="left" w:pos="8080"/>
        </w:tabs>
        <w:spacing w:line="360" w:lineRule="auto"/>
        <w:ind w:right="-1071"/>
        <w:jc w:val="both"/>
        <w:rPr>
          <w:rFonts w:ascii="Palatino Linotype" w:eastAsia="Palatino Linotype" w:hAnsi="Palatino Linotype" w:cs="Palatino Linotype"/>
          <w:color w:val="000000"/>
        </w:rPr>
      </w:pPr>
      <w:bookmarkStart w:id="10" w:name="_heading=h.lhrvbi2wpgnw" w:colFirst="0" w:colLast="0"/>
      <w:bookmarkEnd w:id="10"/>
      <w:r>
        <w:rPr>
          <w:rFonts w:ascii="Palatino Linotype" w:eastAsia="Palatino Linotype" w:hAnsi="Palatino Linotype" w:cs="Palatino Linotype"/>
          <w:color w:val="000000"/>
        </w:rPr>
        <w:t xml:space="preserve">Para el caso de no contar con lo ordenado en el </w:t>
      </w:r>
      <w:r>
        <w:rPr>
          <w:rFonts w:ascii="Palatino Linotype" w:eastAsia="Palatino Linotype" w:hAnsi="Palatino Linotype" w:cs="Palatino Linotype"/>
          <w:b/>
          <w:bCs/>
          <w:color w:val="000000"/>
        </w:rPr>
        <w:t xml:space="preserve">inciso b) </w:t>
      </w:r>
      <w:r>
        <w:rPr>
          <w:rFonts w:ascii="Palatino Linotype" w:eastAsia="Palatino Linotype" w:hAnsi="Palatino Linotype" w:cs="Palatino Linotype"/>
          <w:color w:val="000000"/>
        </w:rPr>
        <w:t xml:space="preserve">porque no reciben recursos públicos o, </w:t>
      </w:r>
      <w:r>
        <w:rPr>
          <w:rFonts w:ascii="Palatino Linotype" w:eastAsia="Palatino Linotype" w:hAnsi="Palatino Linotype" w:cs="Palatino Linotype"/>
          <w:b/>
          <w:bCs/>
          <w:color w:val="000000"/>
        </w:rPr>
        <w:t xml:space="preserve">incisos c) </w:t>
      </w:r>
      <w:r>
        <w:rPr>
          <w:rFonts w:ascii="Palatino Linotype" w:eastAsia="Palatino Linotype" w:hAnsi="Palatino Linotype" w:cs="Palatino Linotype"/>
          <w:color w:val="000000"/>
        </w:rPr>
        <w:t>porque si reciben recursos públicos e,</w:t>
      </w:r>
      <w:r>
        <w:rPr>
          <w:rFonts w:ascii="Palatino Linotype" w:eastAsia="Palatino Linotype" w:hAnsi="Palatino Linotype" w:cs="Palatino Linotype"/>
          <w:b/>
          <w:bCs/>
          <w:color w:val="000000"/>
        </w:rPr>
        <w:t xml:space="preserve"> inciso e)</w:t>
      </w:r>
      <w:r>
        <w:rPr>
          <w:rFonts w:ascii="Palatino Linotype" w:eastAsia="Palatino Linotype" w:hAnsi="Palatino Linotype" w:cs="Palatino Linotype"/>
          <w:color w:val="000000"/>
        </w:rPr>
        <w:t xml:space="preserve"> en su parte relativa al voluntariado, por no haberse generado, poseído o administrado, bastará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lo haga del conocimiento del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al momento de dar cumplimiento a la presente Resolución en términos del artículo 19 párrafo segundo de la Ley de Transparencia y Acceso a la Información Pública del Estado de México y Municipios.</w:t>
      </w:r>
    </w:p>
    <w:p w:rsidR="00A61978" w:rsidRDefault="00A61978">
      <w:pPr>
        <w:tabs>
          <w:tab w:val="left" w:pos="8080"/>
        </w:tabs>
        <w:spacing w:line="360" w:lineRule="auto"/>
        <w:ind w:right="-1071"/>
        <w:jc w:val="both"/>
        <w:rPr>
          <w:rFonts w:ascii="Palatino Linotype" w:eastAsia="Palatino Linotype" w:hAnsi="Palatino Linotype" w:cs="Palatino Linotype"/>
          <w:color w:val="000000"/>
        </w:rPr>
      </w:pPr>
    </w:p>
    <w:p w:rsidR="00A61978" w:rsidRDefault="00C034BB">
      <w:pP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TERCERO. Notifíquese </w:t>
      </w:r>
      <w:r>
        <w:rPr>
          <w:rFonts w:ascii="Palatino Linotype" w:eastAsia="Palatino Linotype" w:hAnsi="Palatino Linotype" w:cs="Palatino Linotype"/>
          <w:color w:val="000000"/>
        </w:rPr>
        <w:t xml:space="preserve">la presente Resolución al Titular de la Unidad de Transparencia del Sujeto Obligado vía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 xml:space="preserve">, para que conforme al artículo 186 último párrafo, 189 segundo párrafo y 194 de la Ley de Transparencia y Acceso a la Información Pública del Estado de </w:t>
      </w:r>
      <w:r>
        <w:rPr>
          <w:rFonts w:ascii="Palatino Linotype" w:eastAsia="Palatino Linotype" w:hAnsi="Palatino Linotype" w:cs="Palatino Linotype"/>
          <w:color w:val="000000"/>
        </w:rPr>
        <w:lastRenderedPageBreak/>
        <w:t xml:space="preserve">México y Municipios; </w:t>
      </w:r>
      <w:r>
        <w:rPr>
          <w:rFonts w:ascii="Palatino Linotype" w:eastAsia="Palatino Linotype" w:hAnsi="Palatino Linotype" w:cs="Palatino Linotype"/>
          <w:b/>
          <w:bCs/>
          <w:color w:val="000000"/>
        </w:rPr>
        <w:t>dé cumplimiento a lo ordenado dentro del plazo de diez días hábiles</w:t>
      </w:r>
      <w:r>
        <w:rPr>
          <w:rFonts w:ascii="Palatino Linotype" w:eastAsia="Palatino Linotype" w:hAnsi="Palatino Linotype" w:cs="Palatino Linotype"/>
          <w:color w:val="000000"/>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A61978" w:rsidRDefault="00A61978">
      <w:pPr>
        <w:spacing w:line="360" w:lineRule="auto"/>
        <w:ind w:right="-1071"/>
        <w:jc w:val="both"/>
        <w:rPr>
          <w:rFonts w:ascii="Palatino Linotype" w:eastAsia="Palatino Linotype" w:hAnsi="Palatino Linotype" w:cs="Palatino Linotype"/>
          <w:color w:val="000000"/>
        </w:rPr>
      </w:pPr>
    </w:p>
    <w:p w:rsidR="00A61978" w:rsidRDefault="00C034BB">
      <w:pP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CUARTO. </w:t>
      </w:r>
      <w:r>
        <w:rPr>
          <w:rFonts w:ascii="Palatino Linotype" w:eastAsia="Palatino Linotype" w:hAnsi="Palatino Linotype" w:cs="Palatino Linotype"/>
          <w:color w:val="000000"/>
        </w:rPr>
        <w:t xml:space="preserve">De conformidad con el artículo 198 de la Ley de Transparencia y Acceso a la Información Pública del Estado de México y Municipios, de considerarlo procedente,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 manera fundada y motivada, podrá solicitar una ampliación de plazo para el cumplimiento de la presente Resolución.</w:t>
      </w:r>
    </w:p>
    <w:p w:rsidR="00A61978" w:rsidRDefault="00A61978">
      <w:pPr>
        <w:spacing w:line="360" w:lineRule="auto"/>
        <w:ind w:right="-1071"/>
        <w:jc w:val="both"/>
        <w:rPr>
          <w:rFonts w:ascii="Palatino Linotype" w:eastAsia="Palatino Linotype" w:hAnsi="Palatino Linotype" w:cs="Palatino Linotype"/>
        </w:rPr>
      </w:pPr>
    </w:p>
    <w:p w:rsidR="00A61978" w:rsidRDefault="00C034BB">
      <w:pPr>
        <w:tabs>
          <w:tab w:val="left" w:pos="8080"/>
        </w:tabs>
        <w:spacing w:line="360" w:lineRule="auto"/>
        <w:ind w:right="-1071"/>
        <w:jc w:val="both"/>
        <w:rPr>
          <w:rFonts w:ascii="Palatino Linotype" w:eastAsia="Palatino Linotype" w:hAnsi="Palatino Linotype" w:cs="Palatino Linotype"/>
          <w:color w:val="000000"/>
        </w:rPr>
      </w:pPr>
      <w:bookmarkStart w:id="11" w:name="_heading=h.82z0tbgfoqoc" w:colFirst="0" w:colLast="0"/>
      <w:bookmarkEnd w:id="11"/>
      <w:r>
        <w:rPr>
          <w:rFonts w:ascii="Palatino Linotype" w:eastAsia="Palatino Linotype" w:hAnsi="Palatino Linotype" w:cs="Palatino Linotype"/>
          <w:b/>
          <w:bCs/>
          <w:color w:val="000000"/>
        </w:rPr>
        <w:t xml:space="preserve">QUINTO. </w:t>
      </w:r>
      <w:r>
        <w:rPr>
          <w:rFonts w:ascii="Palatino Linotype" w:eastAsia="Palatino Linotype" w:hAnsi="Palatino Linotype" w:cs="Palatino Linotype"/>
          <w:color w:val="000000"/>
        </w:rPr>
        <w:t xml:space="preserve">Notifíquese al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la presente Resolución, vía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w:t>
      </w:r>
    </w:p>
    <w:p w:rsidR="00A61978" w:rsidRDefault="00A61978">
      <w:pPr>
        <w:tabs>
          <w:tab w:val="left" w:pos="8080"/>
        </w:tabs>
        <w:spacing w:line="360" w:lineRule="auto"/>
        <w:ind w:right="-1071"/>
        <w:jc w:val="both"/>
        <w:rPr>
          <w:rFonts w:ascii="Palatino Linotype" w:eastAsia="Palatino Linotype" w:hAnsi="Palatino Linotype" w:cs="Palatino Linotype"/>
          <w:color w:val="000000"/>
        </w:rPr>
      </w:pPr>
    </w:p>
    <w:p w:rsidR="00A61978" w:rsidRDefault="00C034BB">
      <w:pPr>
        <w:shd w:val="clear" w:color="auto" w:fill="FFFFFF"/>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SEXTO. </w:t>
      </w:r>
      <w:r>
        <w:rPr>
          <w:rFonts w:ascii="Palatino Linotype" w:eastAsia="Palatino Linotype" w:hAnsi="Palatino Linotype" w:cs="Palatino Linotype"/>
          <w:color w:val="000000"/>
        </w:rPr>
        <w:t>Se hace del conocimiento del</w:t>
      </w:r>
      <w:r>
        <w:rPr>
          <w:rFonts w:ascii="Palatino Linotype" w:eastAsia="Palatino Linotype" w:hAnsi="Palatino Linotype" w:cs="Palatino Linotype"/>
          <w:b/>
          <w:bCs/>
          <w:color w:val="000000"/>
        </w:rPr>
        <w:t xml:space="preserve"> RECURRENTE </w:t>
      </w:r>
      <w:r>
        <w:rPr>
          <w:rFonts w:ascii="Palatino Linotype" w:eastAsia="Palatino Linotype" w:hAnsi="Palatino Linotype" w:cs="Palatino Linotype"/>
          <w:color w:val="000000"/>
        </w:rPr>
        <w:t xml:space="preserve">que, de conformidad con lo establecido en el artículo 196 de la Ley de Transparencia y Acceso a la Información Pública del Estado de México y Municipios, en caso de que considere que la Resolución le cause algún perjuicio podrá </w:t>
      </w:r>
      <w:r>
        <w:rPr>
          <w:rFonts w:ascii="Palatino Linotype" w:eastAsia="Palatino Linotype" w:hAnsi="Palatino Linotype" w:cs="Palatino Linotype"/>
        </w:rPr>
        <w:t>impugnar vía</w:t>
      </w:r>
      <w:r>
        <w:rPr>
          <w:rFonts w:ascii="Palatino Linotype" w:eastAsia="Palatino Linotype" w:hAnsi="Palatino Linotype" w:cs="Palatino Linotype"/>
          <w:color w:val="000000"/>
        </w:rPr>
        <w:t xml:space="preserve"> juicio de amparo en los términos de las leyes aplicables.</w:t>
      </w:r>
    </w:p>
    <w:p w:rsidR="00A61978" w:rsidRDefault="00A61978">
      <w:pPr>
        <w:shd w:val="clear" w:color="auto" w:fill="FFFFFF"/>
        <w:spacing w:line="360" w:lineRule="auto"/>
        <w:ind w:right="-1071"/>
        <w:jc w:val="both"/>
        <w:rPr>
          <w:rFonts w:ascii="Palatino Linotype" w:eastAsia="Palatino Linotype" w:hAnsi="Palatino Linotype" w:cs="Palatino Linotype"/>
          <w:color w:val="000000"/>
        </w:rPr>
      </w:pPr>
    </w:p>
    <w:p w:rsidR="00287DC6" w:rsidRPr="003E2295" w:rsidRDefault="00287DC6" w:rsidP="00287DC6">
      <w:pPr>
        <w:spacing w:before="240" w:after="240" w:line="360" w:lineRule="auto"/>
        <w:ind w:right="-1085" w:firstLine="1"/>
        <w:jc w:val="both"/>
        <w:rPr>
          <w:rFonts w:ascii="Palatino Linotype" w:hAnsi="Palatino Linotype"/>
        </w:rPr>
      </w:pPr>
      <w:bookmarkStart w:id="12" w:name="_Hlk99014733"/>
      <w:r w:rsidRPr="003E2295">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w:t>
      </w:r>
      <w:r>
        <w:rPr>
          <w:rFonts w:ascii="Palatino Linotype" w:hAnsi="Palatino Linotype" w:cs="Palatino Linotype"/>
        </w:rPr>
        <w:t xml:space="preserve"> (AUSENCIA JUSTIFICADA)</w:t>
      </w:r>
      <w:r w:rsidRPr="003E2295">
        <w:rPr>
          <w:rFonts w:ascii="Palatino Linotype" w:hAnsi="Palatino Linotype" w:cs="Palatino Linotype"/>
        </w:rPr>
        <w:t xml:space="preserve">, MARÍA DEL </w:t>
      </w:r>
      <w:r w:rsidRPr="003E2295">
        <w:rPr>
          <w:rFonts w:ascii="Palatino Linotype" w:hAnsi="Palatino Linotype" w:cs="Palatino Linotype"/>
        </w:rPr>
        <w:lastRenderedPageBreak/>
        <w:t xml:space="preserve">ROSARIO MEJÍA AYALA, SHARON CRISTINA MORALES MARTÍNEZ, LUIS GUSTAVO PARRA NORIEGA Y GUADALUPE RAMÍREZ PEÑA; EN LA </w:t>
      </w:r>
      <w:r>
        <w:rPr>
          <w:rFonts w:ascii="Palatino Linotype" w:hAnsi="Palatino Linotype" w:cs="Palatino Linotype"/>
        </w:rPr>
        <w:t>DÉCIMA</w:t>
      </w:r>
      <w:r w:rsidRPr="003E2295">
        <w:rPr>
          <w:rFonts w:ascii="Palatino Linotype" w:hAnsi="Palatino Linotype" w:cs="Palatino Linotype"/>
        </w:rPr>
        <w:t xml:space="preserve"> </w:t>
      </w:r>
      <w:r>
        <w:rPr>
          <w:rFonts w:ascii="Palatino Linotype" w:hAnsi="Palatino Linotype" w:cs="Palatino Linotype"/>
        </w:rPr>
        <w:t xml:space="preserve">NOVENA </w:t>
      </w:r>
      <w:r w:rsidRPr="003E2295">
        <w:rPr>
          <w:rFonts w:ascii="Palatino Linotype" w:hAnsi="Palatino Linotype" w:cs="Palatino Linotype"/>
        </w:rPr>
        <w:t>SESIÓN O</w:t>
      </w:r>
      <w:r>
        <w:rPr>
          <w:rFonts w:ascii="Palatino Linotype" w:hAnsi="Palatino Linotype" w:cs="Palatino Linotype"/>
        </w:rPr>
        <w:t>RDINARIA, CELEBRADA EL VEINTISIETE (27</w:t>
      </w:r>
      <w:r w:rsidRPr="003E2295">
        <w:rPr>
          <w:rFonts w:ascii="Palatino Linotype" w:hAnsi="Palatino Linotype" w:cs="Palatino Linotype"/>
        </w:rPr>
        <w:t xml:space="preserve">) DE </w:t>
      </w:r>
      <w:r>
        <w:rPr>
          <w:rFonts w:ascii="Palatino Linotype" w:hAnsi="Palatino Linotype" w:cs="Palatino Linotype"/>
        </w:rPr>
        <w:t>MAYO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2"/>
    <w:p w:rsidR="00A61978" w:rsidRDefault="00A61978" w:rsidP="00287DC6">
      <w:pPr>
        <w:tabs>
          <w:tab w:val="left" w:pos="3374"/>
        </w:tabs>
        <w:spacing w:line="360" w:lineRule="auto"/>
        <w:ind w:right="-1085"/>
        <w:rPr>
          <w:rFonts w:ascii="Palatino Linotype" w:eastAsia="Palatino Linotype" w:hAnsi="Palatino Linotype" w:cs="Palatino Linotype"/>
          <w:color w:val="000000"/>
        </w:rPr>
      </w:pPr>
    </w:p>
    <w:p w:rsidR="00A61978" w:rsidRDefault="00A61978">
      <w:pPr>
        <w:tabs>
          <w:tab w:val="left" w:pos="3374"/>
        </w:tabs>
        <w:spacing w:line="360" w:lineRule="auto"/>
        <w:ind w:right="-1071"/>
        <w:rPr>
          <w:rFonts w:ascii="Palatino Linotype" w:eastAsia="Palatino Linotype" w:hAnsi="Palatino Linotype" w:cs="Palatino Linotype"/>
          <w:color w:val="000000"/>
        </w:rPr>
      </w:pPr>
    </w:p>
    <w:p w:rsidR="00A61978" w:rsidRDefault="00A61978">
      <w:pPr>
        <w:tabs>
          <w:tab w:val="left" w:pos="3374"/>
        </w:tabs>
        <w:spacing w:line="360" w:lineRule="auto"/>
        <w:ind w:right="-1071"/>
        <w:rPr>
          <w:rFonts w:ascii="Palatino Linotype" w:eastAsia="Palatino Linotype" w:hAnsi="Palatino Linotype" w:cs="Palatino Linotype"/>
          <w:color w:val="000000"/>
        </w:rPr>
      </w:pPr>
    </w:p>
    <w:p w:rsidR="00A61978" w:rsidRDefault="00A61978">
      <w:pPr>
        <w:tabs>
          <w:tab w:val="left" w:pos="3374"/>
        </w:tabs>
        <w:spacing w:line="360" w:lineRule="auto"/>
        <w:ind w:right="-1071"/>
        <w:rPr>
          <w:rFonts w:ascii="Palatino Linotype" w:eastAsia="Palatino Linotype" w:hAnsi="Palatino Linotype" w:cs="Palatino Linotype"/>
          <w:color w:val="000000"/>
        </w:rPr>
      </w:pPr>
    </w:p>
    <w:p w:rsidR="00A61978" w:rsidRDefault="00A61978">
      <w:pPr>
        <w:tabs>
          <w:tab w:val="left" w:pos="3374"/>
        </w:tabs>
        <w:spacing w:line="360" w:lineRule="auto"/>
        <w:ind w:right="-1071"/>
        <w:rPr>
          <w:rFonts w:ascii="Palatino Linotype" w:eastAsia="Palatino Linotype" w:hAnsi="Palatino Linotype" w:cs="Palatino Linotype"/>
          <w:color w:val="000000"/>
        </w:rPr>
      </w:pPr>
    </w:p>
    <w:p w:rsidR="00A61978" w:rsidRDefault="00A61978">
      <w:pPr>
        <w:tabs>
          <w:tab w:val="left" w:pos="3374"/>
        </w:tabs>
        <w:spacing w:line="360" w:lineRule="auto"/>
        <w:ind w:right="-1071"/>
        <w:rPr>
          <w:rFonts w:ascii="Palatino Linotype" w:eastAsia="Palatino Linotype" w:hAnsi="Palatino Linotype" w:cs="Palatino Linotype"/>
          <w:color w:val="000000"/>
        </w:rPr>
      </w:pPr>
    </w:p>
    <w:p w:rsidR="00A61978" w:rsidRDefault="00A61978">
      <w:pPr>
        <w:tabs>
          <w:tab w:val="left" w:pos="3374"/>
        </w:tabs>
        <w:spacing w:line="360" w:lineRule="auto"/>
        <w:ind w:right="-1071"/>
        <w:rPr>
          <w:rFonts w:ascii="Palatino Linotype" w:eastAsia="Palatino Linotype" w:hAnsi="Palatino Linotype" w:cs="Palatino Linotype"/>
          <w:color w:val="000000"/>
        </w:rPr>
      </w:pPr>
    </w:p>
    <w:p w:rsidR="00A61978" w:rsidRDefault="00A61978">
      <w:pPr>
        <w:spacing w:line="360" w:lineRule="auto"/>
        <w:ind w:right="-1071"/>
        <w:rPr>
          <w:rFonts w:ascii="Palatino Linotype" w:eastAsia="Palatino Linotype" w:hAnsi="Palatino Linotype" w:cs="Palatino Linotype"/>
          <w:color w:val="000000"/>
        </w:rPr>
      </w:pPr>
    </w:p>
    <w:p w:rsidR="00077A53" w:rsidRDefault="00077A53">
      <w:pPr>
        <w:spacing w:line="360" w:lineRule="auto"/>
        <w:ind w:right="-1071"/>
        <w:rPr>
          <w:rFonts w:ascii="Palatino Linotype" w:eastAsia="Palatino Linotype" w:hAnsi="Palatino Linotype" w:cs="Palatino Linotype"/>
          <w:color w:val="000000"/>
        </w:rPr>
      </w:pPr>
    </w:p>
    <w:p w:rsidR="00077A53" w:rsidRDefault="00077A53">
      <w:pPr>
        <w:spacing w:line="360" w:lineRule="auto"/>
        <w:ind w:right="-1071"/>
        <w:rPr>
          <w:rFonts w:ascii="Palatino Linotype" w:eastAsia="Palatino Linotype" w:hAnsi="Palatino Linotype" w:cs="Palatino Linotype"/>
          <w:color w:val="000000"/>
        </w:rPr>
      </w:pPr>
    </w:p>
    <w:p w:rsidR="00077A53" w:rsidRDefault="00077A53">
      <w:pPr>
        <w:spacing w:line="360" w:lineRule="auto"/>
        <w:ind w:right="-1071"/>
        <w:rPr>
          <w:rFonts w:ascii="Palatino Linotype" w:eastAsia="Palatino Linotype" w:hAnsi="Palatino Linotype" w:cs="Palatino Linotype"/>
          <w:color w:val="000000"/>
        </w:rPr>
      </w:pPr>
    </w:p>
    <w:p w:rsidR="00077A53" w:rsidRDefault="00077A53">
      <w:pPr>
        <w:spacing w:line="360" w:lineRule="auto"/>
        <w:ind w:right="-1071"/>
        <w:rPr>
          <w:rFonts w:ascii="Palatino Linotype" w:eastAsia="Palatino Linotype" w:hAnsi="Palatino Linotype" w:cs="Palatino Linotype"/>
          <w:color w:val="000000"/>
        </w:rPr>
      </w:pPr>
    </w:p>
    <w:p w:rsidR="00077A53" w:rsidRDefault="00077A53">
      <w:pPr>
        <w:spacing w:line="360" w:lineRule="auto"/>
        <w:ind w:right="-1071"/>
        <w:rPr>
          <w:rFonts w:ascii="Palatino Linotype" w:eastAsia="Palatino Linotype" w:hAnsi="Palatino Linotype" w:cs="Palatino Linotype"/>
          <w:color w:val="000000"/>
        </w:rPr>
      </w:pPr>
    </w:p>
    <w:p w:rsidR="00077A53" w:rsidRDefault="00077A53">
      <w:pPr>
        <w:spacing w:line="360" w:lineRule="auto"/>
        <w:ind w:right="-1071"/>
        <w:rPr>
          <w:rFonts w:ascii="Palatino Linotype" w:eastAsia="Palatino Linotype" w:hAnsi="Palatino Linotype" w:cs="Palatino Linotype"/>
          <w:color w:val="000000"/>
        </w:rPr>
      </w:pPr>
    </w:p>
    <w:p w:rsidR="00077A53" w:rsidRDefault="00077A53">
      <w:pPr>
        <w:spacing w:line="360" w:lineRule="auto"/>
        <w:ind w:right="-1071"/>
        <w:rPr>
          <w:rFonts w:ascii="Palatino Linotype" w:eastAsia="Palatino Linotype" w:hAnsi="Palatino Linotype" w:cs="Palatino Linotype"/>
          <w:color w:val="000000"/>
        </w:rPr>
      </w:pPr>
    </w:p>
    <w:p w:rsidR="00A57866" w:rsidRDefault="00A57866">
      <w:pPr>
        <w:spacing w:line="360" w:lineRule="auto"/>
        <w:ind w:right="-1071"/>
        <w:rPr>
          <w:rFonts w:ascii="Palatino Linotype" w:eastAsia="Palatino Linotype" w:hAnsi="Palatino Linotype" w:cs="Palatino Linotype"/>
          <w:color w:val="000000"/>
        </w:rPr>
      </w:pPr>
    </w:p>
    <w:p w:rsidR="00A57866" w:rsidRDefault="00A57866">
      <w:pPr>
        <w:spacing w:line="360" w:lineRule="auto"/>
        <w:ind w:right="-1071"/>
        <w:rPr>
          <w:rFonts w:ascii="Palatino Linotype" w:eastAsia="Palatino Linotype" w:hAnsi="Palatino Linotype" w:cs="Palatino Linotype"/>
          <w:color w:val="000000"/>
        </w:rPr>
      </w:pPr>
    </w:p>
    <w:p w:rsidR="00A57866" w:rsidRDefault="00A57866">
      <w:pPr>
        <w:spacing w:line="360" w:lineRule="auto"/>
        <w:ind w:right="-1071"/>
        <w:rPr>
          <w:rFonts w:ascii="Palatino Linotype" w:eastAsia="Palatino Linotype" w:hAnsi="Palatino Linotype" w:cs="Palatino Linotype"/>
          <w:color w:val="000000"/>
        </w:rPr>
      </w:pPr>
    </w:p>
    <w:p w:rsidR="00A57866" w:rsidRDefault="00A57866">
      <w:pPr>
        <w:spacing w:line="360" w:lineRule="auto"/>
        <w:ind w:right="-1071"/>
        <w:rPr>
          <w:rFonts w:ascii="Palatino Linotype" w:eastAsia="Palatino Linotype" w:hAnsi="Palatino Linotype" w:cs="Palatino Linotype"/>
          <w:color w:val="000000"/>
        </w:rPr>
      </w:pPr>
    </w:p>
    <w:p w:rsidR="00A57866" w:rsidRDefault="00A57866">
      <w:pPr>
        <w:spacing w:line="360" w:lineRule="auto"/>
        <w:ind w:right="-1071"/>
        <w:rPr>
          <w:rFonts w:ascii="Palatino Linotype" w:eastAsia="Palatino Linotype" w:hAnsi="Palatino Linotype" w:cs="Palatino Linotype"/>
          <w:color w:val="000000"/>
        </w:rPr>
      </w:pPr>
    </w:p>
    <w:p w:rsidR="00A57866" w:rsidRDefault="00A57866">
      <w:pPr>
        <w:spacing w:line="360" w:lineRule="auto"/>
        <w:ind w:right="-1071"/>
        <w:rPr>
          <w:rFonts w:ascii="Palatino Linotype" w:eastAsia="Palatino Linotype" w:hAnsi="Palatino Linotype" w:cs="Palatino Linotype"/>
          <w:color w:val="000000"/>
        </w:rPr>
      </w:pPr>
    </w:p>
    <w:p w:rsidR="00077A53" w:rsidRDefault="00077A53">
      <w:pPr>
        <w:spacing w:line="360" w:lineRule="auto"/>
        <w:ind w:right="-1071"/>
        <w:rPr>
          <w:rFonts w:ascii="Palatino Linotype" w:eastAsia="Palatino Linotype" w:hAnsi="Palatino Linotype" w:cs="Palatino Linotype"/>
          <w:color w:val="000000"/>
        </w:rPr>
      </w:pPr>
    </w:p>
    <w:p w:rsidR="00077A53" w:rsidRDefault="00077A53">
      <w:pPr>
        <w:spacing w:line="360" w:lineRule="auto"/>
        <w:ind w:right="-1071"/>
        <w:rPr>
          <w:rFonts w:ascii="Palatino Linotype" w:eastAsia="Palatino Linotype" w:hAnsi="Palatino Linotype" w:cs="Palatino Linotype"/>
          <w:color w:val="000000"/>
        </w:rPr>
      </w:pPr>
    </w:p>
    <w:p w:rsidR="00077A53" w:rsidRDefault="00077A53">
      <w:pPr>
        <w:spacing w:line="360" w:lineRule="auto"/>
        <w:ind w:right="-1071"/>
        <w:rPr>
          <w:rFonts w:ascii="Palatino Linotype" w:eastAsia="Palatino Linotype" w:hAnsi="Palatino Linotype" w:cs="Palatino Linotype"/>
          <w:color w:val="000000"/>
        </w:rPr>
      </w:pPr>
    </w:p>
    <w:p w:rsidR="00077A53" w:rsidRDefault="00077A53">
      <w:pPr>
        <w:spacing w:line="360" w:lineRule="auto"/>
        <w:ind w:right="-1071"/>
        <w:rPr>
          <w:rFonts w:ascii="Palatino Linotype" w:eastAsia="Palatino Linotype" w:hAnsi="Palatino Linotype" w:cs="Palatino Linotype"/>
          <w:color w:val="000000"/>
        </w:rPr>
      </w:pPr>
    </w:p>
    <w:sectPr w:rsidR="00077A53">
      <w:headerReference w:type="even" r:id="rId12"/>
      <w:headerReference w:type="default" r:id="rId13"/>
      <w:footerReference w:type="default" r:id="rId14"/>
      <w:headerReference w:type="first" r:id="rId15"/>
      <w:footerReference w:type="first" r:id="rId16"/>
      <w:pgSz w:w="12240" w:h="15840"/>
      <w:pgMar w:top="2268" w:right="1701"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B91" w:rsidRDefault="000B2B91">
      <w:r>
        <w:separator/>
      </w:r>
    </w:p>
  </w:endnote>
  <w:endnote w:type="continuationSeparator" w:id="0">
    <w:p w:rsidR="000B2B91" w:rsidRDefault="000B2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6841398B-DC75-482E-AE6F-1D5F8E259357}"/>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B8586D06-CDFE-4E62-BF3D-D138125E1A51}"/>
    <w:embedBold r:id="rId3" w:fontKey="{7EC7B7B6-94AF-44D7-9E50-5FFA72D57A5C}"/>
    <w:embedItalic r:id="rId4" w:fontKey="{F664A8A6-E494-420C-BD7D-7D7D8CB59E84}"/>
    <w:embedBoldItalic r:id="rId5" w:fontKey="{70A07C74-2FA9-489C-99FA-39D0C1BAC484}"/>
  </w:font>
  <w:font w:name="Calibri">
    <w:panose1 w:val="020F0502020204030204"/>
    <w:charset w:val="00"/>
    <w:family w:val="swiss"/>
    <w:pitch w:val="variable"/>
    <w:sig w:usb0="E4002EFF" w:usb1="C200247B" w:usb2="00000009" w:usb3="00000000" w:csb0="000001FF" w:csb1="00000000"/>
    <w:embedRegular r:id="rId6" w:fontKey="{B1831D67-C821-43D4-852F-3F34FB24A445}"/>
    <w:embedBold r:id="rId7" w:fontKey="{8F8F9F29-B189-469B-92FB-DF8D7CBAB822}"/>
    <w:embedItalic r:id="rId8" w:fontKey="{CCF53B86-F1E1-4813-A838-6788186CAD45}"/>
  </w:font>
  <w:font w:name="Georgia">
    <w:panose1 w:val="02040502050405020303"/>
    <w:charset w:val="00"/>
    <w:family w:val="roman"/>
    <w:pitch w:val="variable"/>
    <w:sig w:usb0="00000287" w:usb1="00000000" w:usb2="00000000" w:usb3="00000000" w:csb0="0000009F" w:csb1="00000000"/>
    <w:embedItalic r:id="rId9" w:fontKey="{7FA80D39-4CF9-4275-89C0-95E055B304A4}"/>
  </w:font>
  <w:font w:name="Cambria">
    <w:panose1 w:val="02040503050406030204"/>
    <w:charset w:val="00"/>
    <w:family w:val="roman"/>
    <w:pitch w:val="variable"/>
    <w:sig w:usb0="E00006FF" w:usb1="420024FF" w:usb2="02000000" w:usb3="00000000" w:csb0="0000019F" w:csb1="00000000"/>
    <w:embedRegular r:id="rId10" w:fontKey="{5B0DA039-3478-4570-90A3-431E97CF649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978" w:rsidRDefault="00C034BB">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B5779F">
      <w:rPr>
        <w:rFonts w:ascii="Palatino Linotype" w:eastAsia="Palatino Linotype" w:hAnsi="Palatino Linotype" w:cs="Palatino Linotype"/>
        <w:noProof/>
        <w:color w:val="000000"/>
        <w:sz w:val="22"/>
        <w:szCs w:val="22"/>
      </w:rPr>
      <w:t>6</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B5779F">
      <w:rPr>
        <w:rFonts w:ascii="Palatino Linotype" w:eastAsia="Palatino Linotype" w:hAnsi="Palatino Linotype" w:cs="Palatino Linotype"/>
        <w:noProof/>
        <w:color w:val="000000"/>
        <w:sz w:val="22"/>
        <w:szCs w:val="22"/>
      </w:rPr>
      <w:t>60</w:t>
    </w:r>
    <w:r>
      <w:rPr>
        <w:rFonts w:ascii="Palatino Linotype" w:eastAsia="Palatino Linotype" w:hAnsi="Palatino Linotype" w:cs="Palatino Linotype"/>
        <w:color w:val="000000"/>
        <w:sz w:val="22"/>
        <w:szCs w:val="22"/>
      </w:rPr>
      <w:fldChar w:fldCharType="end"/>
    </w:r>
  </w:p>
  <w:p w:rsidR="00A61978" w:rsidRDefault="00A61978">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978" w:rsidRDefault="00C034BB">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B5779F">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B5779F">
      <w:rPr>
        <w:rFonts w:ascii="Palatino Linotype" w:eastAsia="Palatino Linotype" w:hAnsi="Palatino Linotype" w:cs="Palatino Linotype"/>
        <w:noProof/>
        <w:color w:val="000000"/>
        <w:sz w:val="22"/>
        <w:szCs w:val="22"/>
      </w:rPr>
      <w:t>60</w:t>
    </w:r>
    <w:r>
      <w:rPr>
        <w:rFonts w:ascii="Palatino Linotype" w:eastAsia="Palatino Linotype" w:hAnsi="Palatino Linotype" w:cs="Palatino Linotype"/>
        <w:color w:val="000000"/>
        <w:sz w:val="22"/>
        <w:szCs w:val="22"/>
      </w:rPr>
      <w:fldChar w:fldCharType="end"/>
    </w:r>
  </w:p>
  <w:p w:rsidR="00A61978" w:rsidRDefault="00A61978">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B91" w:rsidRDefault="000B2B91">
      <w:r>
        <w:separator/>
      </w:r>
    </w:p>
  </w:footnote>
  <w:footnote w:type="continuationSeparator" w:id="0">
    <w:p w:rsidR="000B2B91" w:rsidRDefault="000B2B91">
      <w:r>
        <w:continuationSeparator/>
      </w:r>
    </w:p>
  </w:footnote>
  <w:footnote w:id="1">
    <w:p w:rsidR="00A61978" w:rsidRDefault="00C034BB">
      <w:pPr>
        <w:pBdr>
          <w:top w:val="nil"/>
          <w:left w:val="nil"/>
          <w:bottom w:val="nil"/>
          <w:right w:val="nil"/>
          <w:between w:val="nil"/>
        </w:pBdr>
        <w:rPr>
          <w:i/>
          <w:iCs/>
          <w:color w:val="000000"/>
          <w:sz w:val="20"/>
          <w:szCs w:val="20"/>
        </w:rPr>
      </w:pPr>
      <w:r>
        <w:rPr>
          <w:vertAlign w:val="superscript"/>
        </w:rPr>
        <w:footnoteRef/>
      </w:r>
      <w:r>
        <w:rPr>
          <w:i/>
          <w:iCs/>
          <w:color w:val="000000"/>
          <w:sz w:val="20"/>
          <w:szCs w:val="20"/>
        </w:rPr>
        <w:t xml:space="preserve"> https://salud.edomex.gob.mx/voluntariadoisem/voluntario</w:t>
      </w:r>
    </w:p>
  </w:footnote>
  <w:footnote w:id="2">
    <w:p w:rsidR="00A61978" w:rsidRDefault="00C034BB">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rFonts w:ascii="Palatino Linotype" w:eastAsia="Palatino Linotype" w:hAnsi="Palatino Linotype" w:cs="Palatino Linotype"/>
          <w:color w:val="000000"/>
          <w:sz w:val="16"/>
          <w:szCs w:val="16"/>
        </w:rPr>
        <w:t xml:space="preserve">BURGOA ORIHUELA Ignacio. </w:t>
      </w:r>
      <w:r>
        <w:rPr>
          <w:rFonts w:ascii="Palatino Linotype" w:eastAsia="Palatino Linotype" w:hAnsi="Palatino Linotype" w:cs="Palatino Linotype"/>
          <w:i/>
          <w:iCs/>
          <w:color w:val="000000"/>
          <w:sz w:val="16"/>
          <w:szCs w:val="16"/>
        </w:rPr>
        <w:t>Diccionario De Derecho Constitucional, Garantías y Amparo</w:t>
      </w:r>
      <w:r>
        <w:rPr>
          <w:rFonts w:ascii="Palatino Linotype" w:eastAsia="Palatino Linotype" w:hAnsi="Palatino Linotype" w:cs="Palatino Linotype"/>
          <w:color w:val="000000"/>
          <w:sz w:val="16"/>
          <w:szCs w:val="16"/>
        </w:rPr>
        <w:t>. Ed. Porrúa, S.A., México. 1992. p. 115.</w:t>
      </w:r>
    </w:p>
  </w:footnote>
  <w:footnote w:id="3">
    <w:p w:rsidR="00A61978" w:rsidRDefault="00C034BB">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rFonts w:ascii="Palatino Linotype" w:eastAsia="Palatino Linotype" w:hAnsi="Palatino Linotype" w:cs="Palatino Linotype"/>
          <w:color w:val="000000"/>
          <w:sz w:val="16"/>
          <w:szCs w:val="16"/>
        </w:rPr>
        <w:t xml:space="preserve">CIENFUEGOS SALGADO David. </w:t>
      </w:r>
      <w:r>
        <w:rPr>
          <w:rFonts w:ascii="Palatino Linotype" w:eastAsia="Palatino Linotype" w:hAnsi="Palatino Linotype" w:cs="Palatino Linotype"/>
          <w:i/>
          <w:iCs/>
          <w:color w:val="000000"/>
          <w:sz w:val="16"/>
          <w:szCs w:val="16"/>
        </w:rPr>
        <w:t xml:space="preserve">El Derecho de Petición en México. </w:t>
      </w:r>
      <w:r>
        <w:rPr>
          <w:rFonts w:ascii="Palatino Linotype" w:eastAsia="Palatino Linotype" w:hAnsi="Palatino Linotype" w:cs="Palatino Linotype"/>
          <w:color w:val="000000"/>
          <w:sz w:val="16"/>
          <w:szCs w:val="16"/>
        </w:rPr>
        <w:t>Ed. Instituto de Investigaciones Jurídica UNAM. México 2004. p. 31</w:t>
      </w:r>
    </w:p>
  </w:footnote>
  <w:footnote w:id="4">
    <w:p w:rsidR="00A61978" w:rsidRDefault="00C034BB">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rFonts w:ascii="Palatino Linotype" w:eastAsia="Palatino Linotype" w:hAnsi="Palatino Linotype" w:cs="Palatino Linotype"/>
          <w:color w:val="000000"/>
          <w:sz w:val="16"/>
          <w:szCs w:val="16"/>
        </w:rPr>
        <w:t xml:space="preserve">ROBLES HERNÁNDEZ José Guadalupe. </w:t>
      </w:r>
      <w:r>
        <w:rPr>
          <w:rFonts w:ascii="Palatino Linotype" w:eastAsia="Palatino Linotype" w:hAnsi="Palatino Linotype" w:cs="Palatino Linotype"/>
          <w:i/>
          <w:iCs/>
          <w:color w:val="000000"/>
          <w:sz w:val="16"/>
          <w:szCs w:val="16"/>
        </w:rPr>
        <w:t xml:space="preserve">Derecho de la Información y Comunicación Pública. </w:t>
      </w:r>
      <w:r>
        <w:rPr>
          <w:rFonts w:ascii="Palatino Linotype" w:eastAsia="Palatino Linotype" w:hAnsi="Palatino Linotype" w:cs="Palatino Linotype"/>
          <w:color w:val="000000"/>
          <w:sz w:val="16"/>
          <w:szCs w:val="16"/>
        </w:rPr>
        <w:t>Ed. Universidad de Occidente. México. 2004, p. 72</w:t>
      </w:r>
    </w:p>
  </w:footnote>
  <w:footnote w:id="5">
    <w:p w:rsidR="00A61978" w:rsidRDefault="00C034BB">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rFonts w:ascii="Palatino Linotype" w:eastAsia="Palatino Linotype" w:hAnsi="Palatino Linotype" w:cs="Palatino Linotype"/>
          <w:color w:val="000000"/>
          <w:sz w:val="16"/>
          <w:szCs w:val="16"/>
        </w:rPr>
        <w:t>VILLANUEVA VILLANUEVA Ernesto. Derecho de la Información, Ed. Porrúa. S.A., México. 2006. p. 270</w:t>
      </w:r>
    </w:p>
  </w:footnote>
  <w:footnote w:id="6">
    <w:p w:rsidR="00A61978" w:rsidRDefault="00C034BB">
      <w:pPr>
        <w:pBdr>
          <w:top w:val="nil"/>
          <w:left w:val="nil"/>
          <w:bottom w:val="nil"/>
          <w:right w:val="nil"/>
          <w:between w:val="nil"/>
        </w:pBdr>
        <w:rPr>
          <w:rFonts w:ascii="Palatino Linotype" w:eastAsia="Palatino Linotype" w:hAnsi="Palatino Linotype" w:cs="Palatino Linotype"/>
          <w:color w:val="000000"/>
          <w:sz w:val="22"/>
          <w:szCs w:val="22"/>
        </w:rPr>
      </w:pPr>
      <w:r>
        <w:rPr>
          <w:vertAlign w:val="superscript"/>
        </w:rPr>
        <w:footnoteRef/>
      </w:r>
      <w:r>
        <w:rPr>
          <w:rFonts w:ascii="Palatino Linotype" w:eastAsia="Palatino Linotype" w:hAnsi="Palatino Linotype" w:cs="Palatino Linotype"/>
          <w:color w:val="000000"/>
          <w:sz w:val="22"/>
          <w:szCs w:val="22"/>
        </w:rPr>
        <w:t xml:space="preserve"> Convención Americana sobre Derechos Humanos. Artículo 13.</w:t>
      </w:r>
    </w:p>
  </w:footnote>
  <w:footnote w:id="7">
    <w:p w:rsidR="00A61978" w:rsidRDefault="00C034BB">
      <w:pPr>
        <w:pBdr>
          <w:top w:val="nil"/>
          <w:left w:val="nil"/>
          <w:bottom w:val="nil"/>
          <w:right w:val="nil"/>
          <w:between w:val="nil"/>
        </w:pBdr>
        <w:rPr>
          <w:rFonts w:ascii="Palatino Linotype" w:eastAsia="Palatino Linotype" w:hAnsi="Palatino Linotype" w:cs="Palatino Linotype"/>
          <w:color w:val="000000"/>
          <w:sz w:val="22"/>
          <w:szCs w:val="22"/>
        </w:rPr>
      </w:pPr>
      <w:r>
        <w:rPr>
          <w:vertAlign w:val="superscript"/>
        </w:rPr>
        <w:footnoteRef/>
      </w:r>
      <w:r>
        <w:rPr>
          <w:rFonts w:ascii="Palatino Linotype" w:eastAsia="Palatino Linotype" w:hAnsi="Palatino Linotype" w:cs="Palatino Linotype"/>
          <w:color w:val="000000"/>
          <w:sz w:val="22"/>
          <w:szCs w:val="22"/>
        </w:rPr>
        <w:t xml:space="preserve"> Constitución Política de los Estados Unidos Mexicanos. Artículo sexto, sección A, Fracción I.</w:t>
      </w:r>
    </w:p>
  </w:footnote>
  <w:footnote w:id="8">
    <w:p w:rsidR="00A61978" w:rsidRDefault="00C034BB">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Corte Interamericana de Derechos Humanos. Caso Claude Reyes y otros vs Chile. Sentencia de 19 de septiembre de 2006. Serie C. No. 151. Párr. 86.</w:t>
      </w:r>
    </w:p>
  </w:footnote>
  <w:footnote w:id="9">
    <w:p w:rsidR="00A61978" w:rsidRDefault="00C034BB">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Ibídem. Párr. 87.</w:t>
      </w:r>
    </w:p>
  </w:footnote>
  <w:footnote w:id="10">
    <w:p w:rsidR="00A61978" w:rsidRDefault="00C034BB">
      <w:pPr>
        <w:pBdr>
          <w:top w:val="nil"/>
          <w:left w:val="nil"/>
          <w:bottom w:val="nil"/>
          <w:right w:val="nil"/>
          <w:between w:val="nil"/>
        </w:pBdr>
        <w:rPr>
          <w:color w:val="000000"/>
        </w:rPr>
      </w:pPr>
      <w:r>
        <w:rPr>
          <w:vertAlign w:val="superscript"/>
        </w:rPr>
        <w:footnoteRef/>
      </w:r>
      <w:r>
        <w:rPr>
          <w:rFonts w:ascii="Palatino Linotype" w:eastAsia="Palatino Linotype" w:hAnsi="Palatino Linotype" w:cs="Palatino Linotype"/>
          <w:color w:val="000000"/>
          <w:sz w:val="18"/>
          <w:szCs w:val="18"/>
        </w:rPr>
        <w:t xml:space="preserve"> Declaración conjunta del Relator Especial de las Naciones Unidas (ONU) para la Libertad de Opinión y de Expresión, el Representante para la Libertad de los Medios de Comunicación de la Organización para la Seguridad y la Cooperación en Europa (OSCE) y el Relator Especial de la Organización de los Estados Americanos (OEA) para la Libertad de Expresión (2004), disponible en </w:t>
      </w:r>
      <w:hyperlink r:id="rId1">
        <w:r>
          <w:rPr>
            <w:rFonts w:ascii="Palatino Linotype" w:eastAsia="Palatino Linotype" w:hAnsi="Palatino Linotype" w:cs="Palatino Linotype"/>
            <w:color w:val="0000FF"/>
            <w:sz w:val="18"/>
            <w:szCs w:val="18"/>
            <w:u w:val="single"/>
          </w:rPr>
          <w:t>http://www.oas.org/es/cidh/expresion/documentos_basicos/declaraciones.asp</w:t>
        </w:r>
      </w:hyperlink>
      <w:r>
        <w:rPr>
          <w:rFonts w:ascii="Palatino Linotype" w:eastAsia="Palatino Linotype" w:hAnsi="Palatino Linotype" w:cs="Palatino Linotype"/>
          <w:color w:val="000000"/>
          <w:sz w:val="18"/>
          <w:szCs w:val="18"/>
        </w:rPr>
        <w:t>.</w:t>
      </w:r>
    </w:p>
  </w:footnote>
  <w:footnote w:id="11">
    <w:p w:rsidR="00A61978" w:rsidRDefault="00C034BB">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Ley de Transparencia y Acceso a la Información Pública del Estado de México y Municipios. Artículo 9. …</w:t>
      </w:r>
    </w:p>
    <w:p w:rsidR="00A61978" w:rsidRDefault="00C034BB">
      <w:pPr>
        <w:pBdr>
          <w:top w:val="nil"/>
          <w:left w:val="nil"/>
          <w:bottom w:val="nil"/>
          <w:right w:val="nil"/>
          <w:between w:val="nil"/>
        </w:pBdr>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II. Eficacia: Obligación del Instituto para tutelar, de manera efectiva, el derecho de acceso a la información;</w:t>
      </w:r>
    </w:p>
    <w:p w:rsidR="00A61978" w:rsidRDefault="00C034BB">
      <w:pPr>
        <w:pBdr>
          <w:top w:val="nil"/>
          <w:left w:val="nil"/>
          <w:bottom w:val="nil"/>
          <w:right w:val="nil"/>
          <w:between w:val="nil"/>
        </w:pBdr>
        <w:rPr>
          <w:color w:val="000000"/>
        </w:rPr>
      </w:pPr>
      <w:r>
        <w:rPr>
          <w:color w:val="00000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978" w:rsidRDefault="000B2B91">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978" w:rsidRDefault="00A61978">
    <w:pPr>
      <w:widowControl w:val="0"/>
      <w:pBdr>
        <w:top w:val="nil"/>
        <w:left w:val="nil"/>
        <w:bottom w:val="nil"/>
        <w:right w:val="nil"/>
        <w:between w:val="nil"/>
      </w:pBdr>
      <w:spacing w:line="276" w:lineRule="auto"/>
      <w:rPr>
        <w:color w:val="000000"/>
      </w:rPr>
    </w:pPr>
  </w:p>
  <w:tbl>
    <w:tblPr>
      <w:tblStyle w:val="a1"/>
      <w:tblW w:w="7830" w:type="dxa"/>
      <w:tblInd w:w="2694" w:type="dxa"/>
      <w:tblLayout w:type="fixed"/>
      <w:tblLook w:val="0400" w:firstRow="0" w:lastRow="0" w:firstColumn="0" w:lastColumn="0" w:noHBand="0" w:noVBand="1"/>
    </w:tblPr>
    <w:tblGrid>
      <w:gridCol w:w="3174"/>
      <w:gridCol w:w="4656"/>
    </w:tblGrid>
    <w:tr w:rsidR="00A61978">
      <w:trPr>
        <w:trHeight w:val="227"/>
      </w:trPr>
      <w:tc>
        <w:tcPr>
          <w:tcW w:w="3174" w:type="dxa"/>
          <w:vAlign w:val="center"/>
        </w:tcPr>
        <w:p w:rsidR="00A61978" w:rsidRDefault="00C034BB">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656" w:type="dxa"/>
          <w:vAlign w:val="center"/>
        </w:tcPr>
        <w:p w:rsidR="00A61978" w:rsidRDefault="00C034BB">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12068/INFOEM/IP/RR/2025</w:t>
          </w:r>
        </w:p>
      </w:tc>
    </w:tr>
    <w:tr w:rsidR="00A61978">
      <w:trPr>
        <w:trHeight w:val="242"/>
      </w:trPr>
      <w:tc>
        <w:tcPr>
          <w:tcW w:w="3174" w:type="dxa"/>
          <w:vAlign w:val="center"/>
        </w:tcPr>
        <w:p w:rsidR="00A61978" w:rsidRDefault="00C034BB">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656" w:type="dxa"/>
          <w:vAlign w:val="center"/>
        </w:tcPr>
        <w:p w:rsidR="00A61978" w:rsidRDefault="00C034BB">
          <w:pPr>
            <w:pBdr>
              <w:top w:val="nil"/>
              <w:left w:val="nil"/>
              <w:bottom w:val="nil"/>
              <w:right w:val="nil"/>
              <w:between w:val="nil"/>
            </w:pBdr>
            <w:tabs>
              <w:tab w:val="center" w:pos="4419"/>
              <w:tab w:val="right" w:pos="8838"/>
            </w:tabs>
            <w:jc w:val="both"/>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Instituto de Salud del Estado de México</w:t>
          </w:r>
        </w:p>
      </w:tc>
    </w:tr>
    <w:tr w:rsidR="00A61978">
      <w:trPr>
        <w:trHeight w:val="342"/>
      </w:trPr>
      <w:tc>
        <w:tcPr>
          <w:tcW w:w="3174" w:type="dxa"/>
          <w:vAlign w:val="center"/>
        </w:tcPr>
        <w:p w:rsidR="00A61978" w:rsidRDefault="00C034BB">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656" w:type="dxa"/>
          <w:vAlign w:val="center"/>
        </w:tcPr>
        <w:p w:rsidR="00A61978" w:rsidRDefault="00C034BB">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A61978" w:rsidRDefault="000B2B91">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978" w:rsidRDefault="00A61978">
    <w:pPr>
      <w:widowControl w:val="0"/>
      <w:pBdr>
        <w:top w:val="nil"/>
        <w:left w:val="nil"/>
        <w:bottom w:val="nil"/>
        <w:right w:val="nil"/>
        <w:between w:val="nil"/>
      </w:pBdr>
      <w:spacing w:line="276" w:lineRule="auto"/>
      <w:rPr>
        <w:color w:val="000000"/>
        <w:sz w:val="14"/>
        <w:szCs w:val="14"/>
      </w:rPr>
    </w:pPr>
  </w:p>
  <w:tbl>
    <w:tblPr>
      <w:tblStyle w:val="a2"/>
      <w:tblW w:w="7905" w:type="dxa"/>
      <w:tblInd w:w="2552" w:type="dxa"/>
      <w:tblLayout w:type="fixed"/>
      <w:tblLook w:val="0400" w:firstRow="0" w:lastRow="0" w:firstColumn="0" w:lastColumn="0" w:noHBand="0" w:noVBand="1"/>
    </w:tblPr>
    <w:tblGrid>
      <w:gridCol w:w="3174"/>
      <w:gridCol w:w="4731"/>
    </w:tblGrid>
    <w:tr w:rsidR="00A61978">
      <w:trPr>
        <w:trHeight w:val="227"/>
      </w:trPr>
      <w:tc>
        <w:tcPr>
          <w:tcW w:w="3174" w:type="dxa"/>
          <w:vAlign w:val="center"/>
        </w:tcPr>
        <w:p w:rsidR="00A61978" w:rsidRDefault="00C034BB">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731" w:type="dxa"/>
          <w:vAlign w:val="center"/>
        </w:tcPr>
        <w:p w:rsidR="00A61978" w:rsidRDefault="00C034BB">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12068/INFOEM/IP/RR/2025</w:t>
          </w:r>
        </w:p>
      </w:tc>
    </w:tr>
    <w:tr w:rsidR="00A61978">
      <w:trPr>
        <w:trHeight w:val="242"/>
      </w:trPr>
      <w:tc>
        <w:tcPr>
          <w:tcW w:w="3174" w:type="dxa"/>
          <w:vAlign w:val="center"/>
        </w:tcPr>
        <w:p w:rsidR="00A61978" w:rsidRDefault="00C034BB">
          <w:pPr>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731" w:type="dxa"/>
        </w:tcPr>
        <w:p w:rsidR="00A61978" w:rsidRDefault="00B5779F">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XXXX</w:t>
          </w:r>
        </w:p>
      </w:tc>
    </w:tr>
    <w:tr w:rsidR="00A61978">
      <w:trPr>
        <w:trHeight w:val="342"/>
      </w:trPr>
      <w:tc>
        <w:tcPr>
          <w:tcW w:w="3174" w:type="dxa"/>
          <w:vAlign w:val="center"/>
        </w:tcPr>
        <w:p w:rsidR="00A61978" w:rsidRDefault="00C034BB">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731" w:type="dxa"/>
          <w:vAlign w:val="center"/>
        </w:tcPr>
        <w:p w:rsidR="00A61978" w:rsidRDefault="00C034BB">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Instituto de Salud del Estado de México</w:t>
          </w:r>
        </w:p>
      </w:tc>
    </w:tr>
    <w:tr w:rsidR="00A61978">
      <w:trPr>
        <w:trHeight w:val="342"/>
      </w:trPr>
      <w:tc>
        <w:tcPr>
          <w:tcW w:w="3174" w:type="dxa"/>
          <w:vAlign w:val="center"/>
        </w:tcPr>
        <w:p w:rsidR="00A61978" w:rsidRDefault="00C034BB">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731" w:type="dxa"/>
          <w:vAlign w:val="center"/>
        </w:tcPr>
        <w:p w:rsidR="00A61978" w:rsidRDefault="00C034BB">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A61978" w:rsidRDefault="000B2B91">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958D3"/>
    <w:multiLevelType w:val="multilevel"/>
    <w:tmpl w:val="C6D6972A"/>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 w15:restartNumberingAfterBreak="0">
    <w:nsid w:val="419F436F"/>
    <w:multiLevelType w:val="multilevel"/>
    <w:tmpl w:val="7C0651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6D4707B"/>
    <w:multiLevelType w:val="multilevel"/>
    <w:tmpl w:val="F79CB166"/>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470A1B50"/>
    <w:multiLevelType w:val="multilevel"/>
    <w:tmpl w:val="EBBC35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8C73821"/>
    <w:multiLevelType w:val="multilevel"/>
    <w:tmpl w:val="24123444"/>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5" w15:restartNumberingAfterBreak="0">
    <w:nsid w:val="5EEE22F8"/>
    <w:multiLevelType w:val="multilevel"/>
    <w:tmpl w:val="9076995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FBA3BCD"/>
    <w:multiLevelType w:val="multilevel"/>
    <w:tmpl w:val="A92ECEF2"/>
    <w:lvl w:ilvl="0">
      <w:start w:val="1"/>
      <w:numFmt w:val="decimal"/>
      <w:lvlText w:val="%1."/>
      <w:lvlJc w:val="left"/>
      <w:pPr>
        <w:ind w:left="0" w:firstLine="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3"/>
  </w:num>
  <w:num w:numId="3">
    <w:abstractNumId w:val="6"/>
  </w:num>
  <w:num w:numId="4">
    <w:abstractNumId w:val="4"/>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978"/>
    <w:rsid w:val="00077A53"/>
    <w:rsid w:val="000B2B91"/>
    <w:rsid w:val="00287DC6"/>
    <w:rsid w:val="00431FF8"/>
    <w:rsid w:val="006612C2"/>
    <w:rsid w:val="006E4F6A"/>
    <w:rsid w:val="007C2A1C"/>
    <w:rsid w:val="00A57866"/>
    <w:rsid w:val="00A61978"/>
    <w:rsid w:val="00B5779F"/>
    <w:rsid w:val="00C034B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15A2BED7-E7A5-4331-86BA-FD00AC48C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table" w:customStyle="1" w:styleId="a2">
    <w:basedOn w:val="TableNormal"/>
    <w:tblPr>
      <w:tblStyleRowBandSize w:val="1"/>
      <w:tblStyleColBandSize w:val="1"/>
      <w:tblCellMar>
        <w:top w:w="0" w:type="dxa"/>
        <w:left w:w="70" w:type="dxa"/>
        <w:bottom w:w="0" w:type="dxa"/>
        <w:right w:w="70" w:type="dxa"/>
      </w:tblCellMar>
    </w:tblPr>
  </w:style>
  <w:style w:type="paragraph" w:styleId="Piedepgina">
    <w:name w:val="footer"/>
    <w:basedOn w:val="Normal"/>
    <w:link w:val="PiedepginaCar"/>
    <w:uiPriority w:val="99"/>
    <w:unhideWhenUsed/>
    <w:rsid w:val="00287DC6"/>
    <w:pPr>
      <w:tabs>
        <w:tab w:val="center" w:pos="4419"/>
        <w:tab w:val="right" w:pos="8838"/>
      </w:tabs>
    </w:pPr>
  </w:style>
  <w:style w:type="character" w:customStyle="1" w:styleId="PiedepginaCar">
    <w:name w:val="Pie de página Car"/>
    <w:basedOn w:val="Fuentedeprrafopredeter"/>
    <w:link w:val="Piedepgina"/>
    <w:uiPriority w:val="99"/>
    <w:rsid w:val="00287D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www.oas.org/es/cidh/expresion/documentos_basicos/declaraciones.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K6/KCcA/qQAO5ZyPt+rmud0zig==">CgMxLjAyCGguZ2pkZ3hzMgloLjMwajB6bGwyCWguM3pueXNoNzIJaC4yZXQ5MnAwMghoLnR5amN3dDIOaC45bmI5bjl3eHI3eG8yDmguY3Vvcm9ydWFvNGc5Mg5oLm1yazZ0bGJ0N2x2ajIOaC45MmQ4aWRuODEzcTcyDmgubGhydmJpMndwZ253Mg5oLjgyejB0Ymdmb3FvYzgAciExeEVuc1hrTFhIU3l1TGNpMzZCemlvX29RQ2tGMGJqRks=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60</Pages>
  <Words>14073</Words>
  <Characters>77405</Characters>
  <Application>Microsoft Office Word</Application>
  <DocSecurity>0</DocSecurity>
  <Lines>645</Lines>
  <Paragraphs>182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91296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7</cp:revision>
  <cp:lastPrinted>2026-05-29T00:16:00Z</cp:lastPrinted>
  <dcterms:created xsi:type="dcterms:W3CDTF">2026-05-27T21:22:00Z</dcterms:created>
  <dcterms:modified xsi:type="dcterms:W3CDTF">2026-06-03T00:10:00Z</dcterms:modified>
</cp:coreProperties>
</file>