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87E95" w14:textId="69F1CE5A" w:rsidR="00A036A6" w:rsidRPr="00BF1428" w:rsidRDefault="00A036A6" w:rsidP="00A036A6">
      <w:pPr>
        <w:shd w:val="clear" w:color="auto" w:fill="FFFFFF"/>
        <w:spacing w:line="360" w:lineRule="auto"/>
        <w:jc w:val="both"/>
        <w:rPr>
          <w:rFonts w:ascii="Palatino Linotype" w:hAnsi="Palatino Linotype" w:cs="Arial"/>
          <w:color w:val="000000"/>
          <w:lang w:eastAsia="es-MX"/>
        </w:rPr>
      </w:pPr>
      <w:r w:rsidRPr="00BF1428">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367D38" w:rsidRPr="00BF1428">
        <w:rPr>
          <w:rFonts w:ascii="Palatino Linotype" w:hAnsi="Palatino Linotype" w:cs="Arial"/>
          <w:color w:val="000000"/>
          <w:lang w:eastAsia="es-MX"/>
        </w:rPr>
        <w:t>veinticinco de febrero de dos mil veintiséis</w:t>
      </w:r>
      <w:r w:rsidRPr="00BF1428">
        <w:rPr>
          <w:rFonts w:ascii="Palatino Linotype" w:hAnsi="Palatino Linotype" w:cs="Arial"/>
          <w:color w:val="000000"/>
          <w:lang w:eastAsia="es-MX"/>
        </w:rPr>
        <w:t>.</w:t>
      </w:r>
    </w:p>
    <w:p w14:paraId="770CFE15" w14:textId="77777777" w:rsidR="00A036A6" w:rsidRPr="00BF1428" w:rsidRDefault="00A036A6" w:rsidP="00A036A6">
      <w:pPr>
        <w:shd w:val="clear" w:color="auto" w:fill="FFFFFF"/>
        <w:spacing w:line="360" w:lineRule="auto"/>
        <w:jc w:val="both"/>
        <w:rPr>
          <w:rFonts w:ascii="Palatino Linotype" w:hAnsi="Palatino Linotype" w:cs="Arial"/>
          <w:color w:val="000000"/>
          <w:sz w:val="20"/>
          <w:lang w:eastAsia="es-MX"/>
        </w:rPr>
      </w:pPr>
    </w:p>
    <w:p w14:paraId="487C514E" w14:textId="1F30F616" w:rsidR="00A036A6" w:rsidRPr="00BF1428" w:rsidRDefault="00A036A6" w:rsidP="00731204">
      <w:pPr>
        <w:shd w:val="clear" w:color="auto" w:fill="FFFFFF"/>
        <w:spacing w:line="360" w:lineRule="auto"/>
        <w:jc w:val="both"/>
        <w:rPr>
          <w:rFonts w:ascii="Palatino Linotype" w:hAnsi="Palatino Linotype" w:cs="Arial"/>
        </w:rPr>
      </w:pPr>
      <w:r w:rsidRPr="00BF1428">
        <w:rPr>
          <w:rFonts w:ascii="Palatino Linotype" w:hAnsi="Palatino Linotype" w:cs="Arial"/>
          <w:b/>
        </w:rPr>
        <w:t>VISTO</w:t>
      </w:r>
      <w:r w:rsidRPr="00BF1428">
        <w:rPr>
          <w:rFonts w:ascii="Palatino Linotype" w:hAnsi="Palatino Linotype" w:cs="Arial"/>
        </w:rPr>
        <w:t xml:space="preserve"> el expediente electrónico formado con motivo del recurso de revisión número </w:t>
      </w:r>
      <w:bookmarkStart w:id="0" w:name="_GoBack"/>
      <w:r w:rsidR="00367D38" w:rsidRPr="00BF1428">
        <w:rPr>
          <w:rFonts w:ascii="Palatino Linotype" w:hAnsi="Palatino Linotype" w:cs="Arial"/>
          <w:b/>
          <w:bCs/>
          <w:lang w:eastAsia="es-MX"/>
        </w:rPr>
        <w:t>11515/INFOEM/ICR-50/IP/RR/2025</w:t>
      </w:r>
      <w:bookmarkEnd w:id="0"/>
      <w:r w:rsidRPr="00BF1428">
        <w:rPr>
          <w:rFonts w:ascii="Palatino Linotype" w:hAnsi="Palatino Linotype" w:cs="Arial"/>
        </w:rPr>
        <w:t xml:space="preserve">, </w:t>
      </w:r>
      <w:r w:rsidR="009E546F" w:rsidRPr="00BF1428">
        <w:rPr>
          <w:rFonts w:ascii="Palatino Linotype" w:hAnsi="Palatino Linotype" w:cs="Arial"/>
        </w:rPr>
        <w:t>de conformidad con lo previsto en el último párrafo del artículo 179</w:t>
      </w:r>
      <w:r w:rsidR="00731204" w:rsidRPr="00BF1428">
        <w:rPr>
          <w:rFonts w:ascii="Palatino Linotype" w:hAnsi="Palatino Linotype" w:cs="Arial"/>
        </w:rPr>
        <w:t>,</w:t>
      </w:r>
      <w:r w:rsidR="009E546F" w:rsidRPr="00BF1428">
        <w:rPr>
          <w:rFonts w:ascii="Palatino Linotype" w:hAnsi="Palatino Linotype" w:cs="Arial"/>
        </w:rPr>
        <w:t xml:space="preserve"> de la Ley de Transparencia y Acceso a la Información Pública del Estado de México y Municipios, </w:t>
      </w:r>
      <w:r w:rsidRPr="00BF1428">
        <w:rPr>
          <w:rFonts w:ascii="Palatino Linotype" w:hAnsi="Palatino Linotype" w:cs="Arial"/>
        </w:rPr>
        <w:t xml:space="preserve">interpuesto por </w:t>
      </w:r>
      <w:r w:rsidR="00731204" w:rsidRPr="00BF1428">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BF1428">
        <w:rPr>
          <w:rFonts w:ascii="Palatino Linotype" w:hAnsi="Palatino Linotype" w:cs="Arial"/>
          <w:b/>
        </w:rPr>
        <w:t>El Recurrente</w:t>
      </w:r>
      <w:r w:rsidR="00731204" w:rsidRPr="00BF1428">
        <w:rPr>
          <w:rFonts w:ascii="Palatino Linotype" w:hAnsi="Palatino Linotype" w:cs="Arial"/>
        </w:rPr>
        <w:t xml:space="preserve">, en contra de la respuesta del </w:t>
      </w:r>
      <w:r w:rsidR="003E069B" w:rsidRPr="00BF1428">
        <w:rPr>
          <w:rFonts w:ascii="Palatino Linotype" w:hAnsi="Palatino Linotype" w:cs="Arial"/>
          <w:b/>
        </w:rPr>
        <w:t>Ayuntamiento de Tepotzotlán</w:t>
      </w:r>
      <w:r w:rsidR="00731204" w:rsidRPr="00BF1428">
        <w:rPr>
          <w:rFonts w:ascii="Palatino Linotype" w:hAnsi="Palatino Linotype" w:cs="Arial"/>
        </w:rPr>
        <w:t xml:space="preserve">, en lo subsecuente </w:t>
      </w:r>
      <w:r w:rsidR="00731204" w:rsidRPr="00BF1428">
        <w:rPr>
          <w:rFonts w:ascii="Palatino Linotype" w:hAnsi="Palatino Linotype" w:cs="Arial"/>
          <w:b/>
        </w:rPr>
        <w:t>El Sujeto Obligado</w:t>
      </w:r>
      <w:r w:rsidR="00731204" w:rsidRPr="00BF1428">
        <w:rPr>
          <w:rFonts w:ascii="Palatino Linotype" w:hAnsi="Palatino Linotype" w:cs="Arial"/>
        </w:rPr>
        <w:t>, se procede a dictar la presente resolución.</w:t>
      </w:r>
    </w:p>
    <w:p w14:paraId="644809E8" w14:textId="77777777" w:rsidR="00731204" w:rsidRPr="00BF1428" w:rsidRDefault="00731204" w:rsidP="00731204">
      <w:pPr>
        <w:shd w:val="clear" w:color="auto" w:fill="FFFFFF"/>
        <w:spacing w:line="360" w:lineRule="auto"/>
        <w:jc w:val="both"/>
        <w:rPr>
          <w:rFonts w:ascii="Palatino Linotype" w:hAnsi="Palatino Linotype" w:cs="Arial"/>
        </w:rPr>
      </w:pPr>
    </w:p>
    <w:p w14:paraId="3AB0EAB0" w14:textId="77777777" w:rsidR="00A036A6" w:rsidRPr="00BF1428" w:rsidRDefault="00A036A6" w:rsidP="00A036A6">
      <w:pPr>
        <w:spacing w:line="360" w:lineRule="auto"/>
        <w:jc w:val="center"/>
        <w:rPr>
          <w:rFonts w:ascii="Palatino Linotype" w:hAnsi="Palatino Linotype"/>
          <w:b/>
          <w:sz w:val="28"/>
        </w:rPr>
      </w:pPr>
      <w:r w:rsidRPr="00BF1428">
        <w:rPr>
          <w:rFonts w:ascii="Palatino Linotype" w:hAnsi="Palatino Linotype"/>
          <w:b/>
          <w:sz w:val="28"/>
        </w:rPr>
        <w:t>A N T E C E D E N T E S   D E L   A S U N T O</w:t>
      </w:r>
    </w:p>
    <w:p w14:paraId="302840DF" w14:textId="77777777" w:rsidR="00A036A6" w:rsidRPr="00BF1428" w:rsidRDefault="00A036A6" w:rsidP="009E546F">
      <w:pPr>
        <w:pStyle w:val="Sinespaciado"/>
      </w:pPr>
    </w:p>
    <w:p w14:paraId="6FC69CBA" w14:textId="77777777" w:rsidR="003E40A9" w:rsidRPr="00BF1428" w:rsidRDefault="003E40A9" w:rsidP="003E40A9">
      <w:pPr>
        <w:spacing w:line="360" w:lineRule="auto"/>
        <w:jc w:val="both"/>
        <w:rPr>
          <w:rFonts w:ascii="Palatino Linotype" w:eastAsiaTheme="minorHAnsi" w:hAnsi="Palatino Linotype" w:cs="Arial"/>
          <w:b/>
          <w:sz w:val="26"/>
          <w:szCs w:val="26"/>
          <w:lang w:val="es-MX" w:eastAsia="en-US"/>
        </w:rPr>
      </w:pPr>
      <w:r w:rsidRPr="00BF1428">
        <w:rPr>
          <w:rFonts w:ascii="Palatino Linotype" w:eastAsiaTheme="minorHAnsi" w:hAnsi="Palatino Linotype" w:cs="Arial"/>
          <w:b/>
          <w:sz w:val="26"/>
          <w:szCs w:val="26"/>
          <w:lang w:val="es-MX" w:eastAsia="en-US"/>
        </w:rPr>
        <w:t>PRIMERO. De la solicitud de información.</w:t>
      </w:r>
    </w:p>
    <w:p w14:paraId="4FB619A5" w14:textId="2C9B3831" w:rsidR="003E40A9" w:rsidRPr="00BF1428" w:rsidRDefault="003E40A9" w:rsidP="003E40A9">
      <w:pPr>
        <w:spacing w:line="360" w:lineRule="auto"/>
        <w:jc w:val="both"/>
        <w:rPr>
          <w:rFonts w:ascii="Palatino Linotype" w:eastAsiaTheme="minorHAnsi" w:hAnsi="Palatino Linotype" w:cs="Arial"/>
          <w:lang w:val="es-MX" w:eastAsia="en-US"/>
        </w:rPr>
      </w:pPr>
      <w:r w:rsidRPr="00BF1428">
        <w:rPr>
          <w:rFonts w:ascii="Palatino Linotype" w:eastAsiaTheme="minorHAnsi" w:hAnsi="Palatino Linotype" w:cs="Arial"/>
          <w:lang w:val="es-MX" w:eastAsia="en-US"/>
        </w:rPr>
        <w:t xml:space="preserve">Con fecha </w:t>
      </w:r>
      <w:r w:rsidR="003E069B" w:rsidRPr="00BF1428">
        <w:rPr>
          <w:rFonts w:ascii="Palatino Linotype" w:eastAsiaTheme="minorHAnsi" w:hAnsi="Palatino Linotype" w:cs="Arial"/>
          <w:lang w:val="es-MX" w:eastAsia="en-US"/>
        </w:rPr>
        <w:t>catorce de agosto de dos mil veinticinco</w:t>
      </w:r>
      <w:r w:rsidRPr="00BF1428">
        <w:rPr>
          <w:rFonts w:ascii="Palatino Linotype" w:eastAsiaTheme="minorHAnsi" w:hAnsi="Palatino Linotype" w:cs="Arial"/>
          <w:lang w:val="es-MX" w:eastAsia="en-US"/>
        </w:rPr>
        <w:t>, el</w:t>
      </w:r>
      <w:r w:rsidRPr="00BF1428">
        <w:rPr>
          <w:rFonts w:ascii="Palatino Linotype" w:eastAsiaTheme="minorHAnsi" w:hAnsi="Palatino Linotype" w:cs="Arial"/>
          <w:b/>
          <w:lang w:val="es-MX" w:eastAsia="en-US"/>
        </w:rPr>
        <w:t xml:space="preserve"> Recurrente</w:t>
      </w:r>
      <w:r w:rsidRPr="00BF1428">
        <w:rPr>
          <w:rFonts w:ascii="Palatino Linotype" w:eastAsiaTheme="minorHAnsi" w:hAnsi="Palatino Linotype" w:cs="Arial"/>
          <w:lang w:val="es-MX" w:eastAsia="en-US"/>
        </w:rPr>
        <w:t xml:space="preserve"> presentó a través del Sistema de Acceso a la Información Mexiquense </w:t>
      </w:r>
      <w:r w:rsidRPr="00BF1428">
        <w:rPr>
          <w:rFonts w:ascii="Palatino Linotype" w:eastAsiaTheme="minorHAnsi" w:hAnsi="Palatino Linotype" w:cs="Arial"/>
          <w:b/>
          <w:bCs/>
          <w:lang w:val="es-MX" w:eastAsia="en-US"/>
        </w:rPr>
        <w:t>(S</w:t>
      </w:r>
      <w:r w:rsidRPr="00BF1428">
        <w:rPr>
          <w:rFonts w:ascii="Palatino Linotype" w:eastAsiaTheme="minorHAnsi" w:hAnsi="Palatino Linotype" w:cs="Arial"/>
          <w:b/>
          <w:lang w:val="es-MX" w:eastAsia="en-US"/>
        </w:rPr>
        <w:t>AIMEX)</w:t>
      </w:r>
      <w:r w:rsidRPr="00BF1428">
        <w:rPr>
          <w:rFonts w:ascii="Palatino Linotype" w:eastAsiaTheme="minorHAnsi" w:hAnsi="Palatino Linotype" w:cs="Arial"/>
          <w:lang w:val="es-MX" w:eastAsia="en-US"/>
        </w:rPr>
        <w:t xml:space="preserve">, ante </w:t>
      </w:r>
      <w:r w:rsidRPr="00BF1428">
        <w:rPr>
          <w:rFonts w:ascii="Palatino Linotype" w:eastAsiaTheme="minorHAnsi" w:hAnsi="Palatino Linotype" w:cs="Arial"/>
          <w:b/>
          <w:lang w:val="es-MX" w:eastAsia="en-US"/>
        </w:rPr>
        <w:t>el Sujeto Obligado</w:t>
      </w:r>
      <w:r w:rsidRPr="00BF1428">
        <w:rPr>
          <w:rFonts w:ascii="Palatino Linotype" w:eastAsiaTheme="minorHAnsi" w:hAnsi="Palatino Linotype" w:cs="Arial"/>
          <w:lang w:val="es-MX" w:eastAsia="en-US"/>
        </w:rPr>
        <w:t>, solicitud de acceso a la información pública registrada bajo el número</w:t>
      </w:r>
      <w:r w:rsidRPr="00BF1428">
        <w:rPr>
          <w:rFonts w:ascii="Verdana" w:eastAsiaTheme="minorHAnsi" w:hAnsi="Verdana" w:cstheme="minorBidi"/>
          <w:b/>
          <w:bCs/>
          <w:color w:val="FF0000"/>
          <w:sz w:val="22"/>
          <w:szCs w:val="22"/>
          <w:lang w:val="es-MX" w:eastAsia="en-US"/>
        </w:rPr>
        <w:t xml:space="preserve"> </w:t>
      </w:r>
      <w:r w:rsidRPr="00BF1428">
        <w:rPr>
          <w:rFonts w:ascii="Palatino Linotype" w:eastAsiaTheme="minorHAnsi" w:hAnsi="Palatino Linotype" w:cstheme="minorBidi"/>
          <w:lang w:val="es-MX" w:eastAsia="en-US"/>
        </w:rPr>
        <w:t>de expediente</w:t>
      </w:r>
      <w:r w:rsidRPr="00BF1428">
        <w:rPr>
          <w:rFonts w:ascii="Verdana" w:eastAsiaTheme="minorHAnsi" w:hAnsi="Verdana" w:cstheme="minorBidi"/>
          <w:b/>
          <w:bCs/>
          <w:sz w:val="22"/>
          <w:szCs w:val="22"/>
          <w:lang w:val="es-MX" w:eastAsia="en-US"/>
        </w:rPr>
        <w:t xml:space="preserve"> </w:t>
      </w:r>
      <w:r w:rsidR="003E069B" w:rsidRPr="00BF1428">
        <w:rPr>
          <w:rFonts w:ascii="Palatino Linotype" w:eastAsiaTheme="minorHAnsi" w:hAnsi="Palatino Linotype" w:cs="Arial"/>
          <w:b/>
          <w:bCs/>
          <w:lang w:val="es-MX" w:eastAsia="en-US"/>
        </w:rPr>
        <w:t>00436/TEPOTZOT/IP/2025</w:t>
      </w:r>
      <w:r w:rsidRPr="00BF1428">
        <w:rPr>
          <w:rFonts w:ascii="Palatino Linotype" w:eastAsiaTheme="minorHAnsi" w:hAnsi="Palatino Linotype" w:cstheme="minorBidi"/>
          <w:b/>
          <w:bCs/>
          <w:lang w:val="es-MX" w:eastAsia="en-US"/>
        </w:rPr>
        <w:t xml:space="preserve">, </w:t>
      </w:r>
      <w:r w:rsidRPr="00BF1428">
        <w:rPr>
          <w:rFonts w:ascii="Palatino Linotype" w:eastAsiaTheme="minorHAnsi" w:hAnsi="Palatino Linotype" w:cstheme="minorBidi"/>
          <w:bCs/>
          <w:lang w:val="es-MX" w:eastAsia="en-US"/>
        </w:rPr>
        <w:t xml:space="preserve">mediante </w:t>
      </w:r>
      <w:r w:rsidRPr="00BF1428">
        <w:rPr>
          <w:rFonts w:ascii="Palatino Linotype" w:eastAsiaTheme="minorHAnsi" w:hAnsi="Palatino Linotype" w:cs="Arial"/>
          <w:lang w:val="es-MX" w:eastAsia="en-US"/>
        </w:rPr>
        <w:t>la cual se solicitó información en el tenor siguiente:</w:t>
      </w:r>
    </w:p>
    <w:p w14:paraId="7C765273" w14:textId="77777777" w:rsidR="003E40A9" w:rsidRPr="00BF1428" w:rsidRDefault="003E40A9" w:rsidP="003E40A9">
      <w:pPr>
        <w:spacing w:line="360" w:lineRule="auto"/>
        <w:jc w:val="both"/>
        <w:rPr>
          <w:rFonts w:ascii="Palatino Linotype" w:eastAsiaTheme="minorHAnsi" w:hAnsi="Palatino Linotype" w:cs="Arial"/>
          <w:lang w:val="es-MX" w:eastAsia="en-US"/>
        </w:rPr>
      </w:pPr>
    </w:p>
    <w:p w14:paraId="0D2588CF" w14:textId="77777777" w:rsidR="003E069B" w:rsidRPr="00BF1428" w:rsidRDefault="003E069B" w:rsidP="003E069B">
      <w:pPr>
        <w:spacing w:line="276" w:lineRule="auto"/>
        <w:ind w:left="567" w:right="474"/>
        <w:jc w:val="both"/>
        <w:rPr>
          <w:rFonts w:ascii="Palatino Linotype" w:hAnsi="Palatino Linotype" w:cs="Palatino Linotype"/>
          <w:i/>
          <w:lang w:eastAsia="es-MX"/>
        </w:rPr>
      </w:pPr>
      <w:r w:rsidRPr="00BF1428">
        <w:rPr>
          <w:rFonts w:ascii="Palatino Linotype" w:hAnsi="Palatino Linotype" w:cs="Palatino Linotype"/>
          <w:i/>
          <w:lang w:eastAsia="es-MX"/>
        </w:rPr>
        <w:t xml:space="preserve">“el registro de carga de gasolina del </w:t>
      </w:r>
      <w:proofErr w:type="spellStart"/>
      <w:r w:rsidRPr="00BF1428">
        <w:rPr>
          <w:rFonts w:ascii="Palatino Linotype" w:hAnsi="Palatino Linotype" w:cs="Palatino Linotype"/>
          <w:i/>
          <w:lang w:eastAsia="es-MX"/>
        </w:rPr>
        <w:t>vehiculo</w:t>
      </w:r>
      <w:proofErr w:type="spellEnd"/>
      <w:r w:rsidRPr="00BF1428">
        <w:rPr>
          <w:rFonts w:ascii="Palatino Linotype" w:hAnsi="Palatino Linotype" w:cs="Palatino Linotype"/>
          <w:i/>
          <w:lang w:eastAsia="es-MX"/>
        </w:rPr>
        <w:t xml:space="preserve"> de la directora de desarrollo </w:t>
      </w:r>
      <w:proofErr w:type="spellStart"/>
      <w:r w:rsidRPr="00BF1428">
        <w:rPr>
          <w:rFonts w:ascii="Palatino Linotype" w:hAnsi="Palatino Linotype" w:cs="Palatino Linotype"/>
          <w:i/>
          <w:lang w:eastAsia="es-MX"/>
        </w:rPr>
        <w:t>economico</w:t>
      </w:r>
      <w:proofErr w:type="spellEnd"/>
      <w:r w:rsidRPr="00BF1428">
        <w:rPr>
          <w:rFonts w:ascii="Palatino Linotype" w:hAnsi="Palatino Linotype" w:cs="Palatino Linotype"/>
          <w:i/>
          <w:lang w:eastAsia="es-MX"/>
        </w:rPr>
        <w:t xml:space="preserve"> durante todo el 2025” (Sic). </w:t>
      </w:r>
    </w:p>
    <w:p w14:paraId="3A67E2F0" w14:textId="65126124" w:rsidR="003E40A9" w:rsidRPr="00BF1428" w:rsidRDefault="003E40A9" w:rsidP="003E40A9">
      <w:pPr>
        <w:tabs>
          <w:tab w:val="left" w:pos="5647"/>
        </w:tabs>
        <w:spacing w:line="360" w:lineRule="auto"/>
        <w:ind w:left="567" w:right="850"/>
        <w:jc w:val="both"/>
        <w:rPr>
          <w:rFonts w:ascii="Palatino Linotype" w:eastAsiaTheme="minorHAnsi" w:hAnsi="Palatino Linotype" w:cstheme="minorBidi"/>
          <w:i/>
          <w:color w:val="000000"/>
          <w:lang w:val="es-MX" w:eastAsia="en-US"/>
        </w:rPr>
      </w:pPr>
    </w:p>
    <w:p w14:paraId="3E79F2E5" w14:textId="0899A107" w:rsidR="003E40A9" w:rsidRPr="00BF1428" w:rsidRDefault="003E40A9" w:rsidP="003E40A9">
      <w:pPr>
        <w:spacing w:line="360" w:lineRule="auto"/>
        <w:jc w:val="both"/>
        <w:rPr>
          <w:rFonts w:ascii="Palatino Linotype" w:hAnsi="Palatino Linotype"/>
          <w:iCs/>
          <w:lang w:val="es-ES_tradnl"/>
        </w:rPr>
      </w:pPr>
      <w:r w:rsidRPr="00BF1428">
        <w:rPr>
          <w:rFonts w:ascii="Palatino Linotype" w:hAnsi="Palatino Linotype"/>
          <w:b/>
          <w:lang w:val="es-ES_tradnl"/>
        </w:rPr>
        <w:lastRenderedPageBreak/>
        <w:t>MODALIDAD DE ENTREGA:</w:t>
      </w:r>
      <w:r w:rsidRPr="00BF1428">
        <w:rPr>
          <w:rFonts w:ascii="Palatino Linotype" w:hAnsi="Palatino Linotype"/>
          <w:lang w:val="es-ES_tradnl"/>
        </w:rPr>
        <w:t xml:space="preserve"> A través del </w:t>
      </w:r>
      <w:r w:rsidRPr="00BF1428">
        <w:rPr>
          <w:rFonts w:ascii="Palatino Linotype" w:hAnsi="Palatino Linotype"/>
          <w:b/>
          <w:bCs/>
          <w:lang w:val="es-ES_tradnl"/>
        </w:rPr>
        <w:t>SAIMEX</w:t>
      </w:r>
      <w:r w:rsidRPr="00BF1428">
        <w:rPr>
          <w:rFonts w:ascii="Palatino Linotype" w:hAnsi="Palatino Linotype"/>
          <w:lang w:val="es-ES_tradnl"/>
        </w:rPr>
        <w:t xml:space="preserve">. </w:t>
      </w:r>
    </w:p>
    <w:p w14:paraId="67680FA2" w14:textId="77777777" w:rsidR="003E40A9" w:rsidRPr="00BF1428" w:rsidRDefault="003E40A9" w:rsidP="003E40A9">
      <w:pPr>
        <w:spacing w:line="360" w:lineRule="auto"/>
        <w:jc w:val="both"/>
        <w:rPr>
          <w:rFonts w:ascii="Palatino Linotype" w:hAnsi="Palatino Linotype"/>
          <w:lang w:val="es-ES_tradnl"/>
        </w:rPr>
      </w:pPr>
    </w:p>
    <w:p w14:paraId="1E2CAEE4" w14:textId="77777777" w:rsidR="003E40A9" w:rsidRPr="00BF1428" w:rsidRDefault="003E40A9" w:rsidP="003E40A9">
      <w:pPr>
        <w:spacing w:line="360" w:lineRule="auto"/>
        <w:jc w:val="both"/>
        <w:rPr>
          <w:rFonts w:ascii="Palatino Linotype" w:eastAsiaTheme="minorHAnsi" w:hAnsi="Palatino Linotype" w:cs="Arial"/>
          <w:b/>
          <w:sz w:val="26"/>
          <w:szCs w:val="26"/>
          <w:lang w:val="es-MX" w:eastAsia="en-US"/>
        </w:rPr>
      </w:pPr>
      <w:r w:rsidRPr="00BF1428">
        <w:rPr>
          <w:rFonts w:ascii="Palatino Linotype" w:eastAsiaTheme="minorHAnsi" w:hAnsi="Palatino Linotype" w:cs="Arial"/>
          <w:b/>
          <w:sz w:val="26"/>
          <w:szCs w:val="26"/>
          <w:lang w:val="es-MX" w:eastAsia="en-US"/>
        </w:rPr>
        <w:t>SEGUNDO. De la respuesta del Sujeto Obligado.</w:t>
      </w:r>
    </w:p>
    <w:p w14:paraId="333E3007" w14:textId="77777777" w:rsidR="003E40A9" w:rsidRPr="00BF1428" w:rsidRDefault="003E40A9" w:rsidP="003E40A9">
      <w:pPr>
        <w:spacing w:line="360" w:lineRule="auto"/>
        <w:jc w:val="both"/>
        <w:rPr>
          <w:rFonts w:ascii="Palatino Linotype" w:eastAsiaTheme="minorHAnsi" w:hAnsi="Palatino Linotype" w:cs="Arial"/>
          <w:lang w:val="es-MX" w:eastAsia="en-US"/>
        </w:rPr>
      </w:pPr>
      <w:r w:rsidRPr="00BF1428">
        <w:rPr>
          <w:rFonts w:ascii="Palatino Linotype" w:eastAsiaTheme="minorHAnsi" w:hAnsi="Palatino Linotype" w:cs="Arial"/>
          <w:lang w:val="es-MX" w:eastAsia="en-US"/>
        </w:rPr>
        <w:t xml:space="preserve">De las constancias del expediente electrónico SAIMEX, se aprecia que el </w:t>
      </w:r>
      <w:r w:rsidRPr="00BF1428">
        <w:rPr>
          <w:rFonts w:ascii="Palatino Linotype" w:eastAsiaTheme="minorHAnsi" w:hAnsi="Palatino Linotype" w:cs="Arial"/>
          <w:b/>
          <w:lang w:val="es-MX" w:eastAsia="en-US"/>
        </w:rPr>
        <w:t>Sujeto Obligado</w:t>
      </w:r>
      <w:r w:rsidRPr="00BF1428">
        <w:rPr>
          <w:rFonts w:ascii="Palatino Linotype" w:eastAsiaTheme="minorHAnsi" w:hAnsi="Palatino Linotype" w:cs="Arial"/>
          <w:lang w:val="es-MX" w:eastAsia="en-US"/>
        </w:rPr>
        <w:t xml:space="preserve"> fue omiso en dar respuesta a la solicitud de información presentada por </w:t>
      </w:r>
      <w:r w:rsidRPr="00BF1428">
        <w:rPr>
          <w:rFonts w:ascii="Palatino Linotype" w:eastAsiaTheme="minorHAnsi" w:hAnsi="Palatino Linotype" w:cs="Arial"/>
          <w:b/>
          <w:bCs/>
          <w:lang w:val="es-MX" w:eastAsia="en-US"/>
        </w:rPr>
        <w:t xml:space="preserve">El </w:t>
      </w:r>
      <w:r w:rsidRPr="00BF1428">
        <w:rPr>
          <w:rFonts w:ascii="Palatino Linotype" w:eastAsiaTheme="minorHAnsi" w:hAnsi="Palatino Linotype" w:cs="Arial"/>
          <w:b/>
          <w:lang w:val="es-MX" w:eastAsia="en-US"/>
        </w:rPr>
        <w:t>Recurrente</w:t>
      </w:r>
      <w:r w:rsidRPr="00BF1428">
        <w:rPr>
          <w:rFonts w:ascii="Palatino Linotype" w:eastAsiaTheme="minorHAnsi" w:hAnsi="Palatino Linotype" w:cs="Arial"/>
          <w:lang w:val="es-MX" w:eastAsia="en-US"/>
        </w:rPr>
        <w:t xml:space="preserve">. Derivado de lo anterior, se constituye la figura de la </w:t>
      </w:r>
      <w:r w:rsidRPr="00BF1428">
        <w:rPr>
          <w:rFonts w:ascii="Palatino Linotype" w:eastAsiaTheme="minorHAnsi" w:hAnsi="Palatino Linotype" w:cs="Arial"/>
          <w:b/>
          <w:bCs/>
          <w:i/>
          <w:iCs/>
          <w:lang w:val="es-MX" w:eastAsia="en-US"/>
        </w:rPr>
        <w:t>NEGATIVA FICTA</w:t>
      </w:r>
      <w:r w:rsidRPr="00BF1428">
        <w:rPr>
          <w:rFonts w:ascii="Palatino Linotype" w:eastAsiaTheme="minorHAnsi" w:hAnsi="Palatino Linotype" w:cs="Arial"/>
          <w:lang w:val="es-MX" w:eastAsia="en-US"/>
        </w:rPr>
        <w:t xml:space="preserve">, cuya esencia consiste en atribuir un efecto negativo de la autoridad administrativa frente a las instancias y solicitudes que hagan los particulares. </w:t>
      </w:r>
    </w:p>
    <w:p w14:paraId="73C55628" w14:textId="77777777" w:rsidR="003E40A9" w:rsidRPr="00BF1428" w:rsidRDefault="003E40A9" w:rsidP="003E40A9">
      <w:pPr>
        <w:spacing w:line="360" w:lineRule="auto"/>
        <w:jc w:val="both"/>
        <w:rPr>
          <w:rFonts w:ascii="Palatino Linotype" w:eastAsiaTheme="minorHAnsi" w:hAnsi="Palatino Linotype" w:cs="Arial"/>
          <w:lang w:val="es-MX" w:eastAsia="en-US"/>
        </w:rPr>
      </w:pPr>
    </w:p>
    <w:p w14:paraId="74871FA9" w14:textId="08C347BD" w:rsidR="003E40A9" w:rsidRPr="00BF1428" w:rsidRDefault="003E40A9" w:rsidP="003E40A9">
      <w:pPr>
        <w:spacing w:line="360" w:lineRule="auto"/>
        <w:jc w:val="both"/>
        <w:rPr>
          <w:rFonts w:ascii="Palatino Linotype" w:eastAsiaTheme="minorHAnsi" w:hAnsi="Palatino Linotype" w:cs="Arial"/>
          <w:sz w:val="26"/>
          <w:szCs w:val="26"/>
          <w:lang w:val="es-MX" w:eastAsia="en-US"/>
        </w:rPr>
      </w:pPr>
      <w:r w:rsidRPr="00BF1428">
        <w:rPr>
          <w:rFonts w:ascii="Palatino Linotype" w:hAnsi="Palatino Linotype" w:cs="Arial"/>
          <w:b/>
          <w:sz w:val="26"/>
          <w:szCs w:val="26"/>
          <w:lang w:val="es-MX"/>
        </w:rPr>
        <w:t>TERCERO</w:t>
      </w:r>
      <w:r w:rsidRPr="00BF1428">
        <w:rPr>
          <w:rFonts w:ascii="Palatino Linotype" w:eastAsiaTheme="minorHAnsi" w:hAnsi="Palatino Linotype" w:cs="Arial"/>
          <w:b/>
          <w:bCs/>
          <w:sz w:val="26"/>
          <w:szCs w:val="26"/>
          <w:lang w:val="es-MX" w:eastAsia="en-US"/>
        </w:rPr>
        <w:t>. Del recurso de revisión.</w:t>
      </w:r>
    </w:p>
    <w:p w14:paraId="7ED67C38" w14:textId="1D6C125C" w:rsidR="003E40A9" w:rsidRPr="00BF1428" w:rsidRDefault="003E40A9" w:rsidP="003E40A9">
      <w:pPr>
        <w:spacing w:line="360" w:lineRule="auto"/>
        <w:jc w:val="both"/>
        <w:rPr>
          <w:rFonts w:ascii="Palatino Linotype" w:eastAsiaTheme="minorHAnsi" w:hAnsi="Palatino Linotype" w:cs="Arial"/>
          <w:lang w:val="es-MX" w:eastAsia="en-US"/>
        </w:rPr>
      </w:pPr>
      <w:r w:rsidRPr="00BF1428">
        <w:rPr>
          <w:rFonts w:ascii="Palatino Linotype" w:eastAsiaTheme="minorHAnsi" w:hAnsi="Palatino Linotype" w:cs="Arial"/>
          <w:bCs/>
          <w:lang w:val="es-MX" w:eastAsia="en-US"/>
        </w:rPr>
        <w:t>I</w:t>
      </w:r>
      <w:r w:rsidRPr="00BF1428">
        <w:rPr>
          <w:rFonts w:ascii="Palatino Linotype" w:eastAsiaTheme="minorHAnsi" w:hAnsi="Palatino Linotype" w:cs="Arial"/>
          <w:lang w:val="es-MX" w:eastAsia="en-US"/>
        </w:rPr>
        <w:t xml:space="preserve">nconforme ante la falta de respuesta por parte del </w:t>
      </w:r>
      <w:r w:rsidRPr="00BF1428">
        <w:rPr>
          <w:rFonts w:ascii="Palatino Linotype" w:eastAsiaTheme="minorHAnsi" w:hAnsi="Palatino Linotype" w:cs="Arial"/>
          <w:b/>
          <w:lang w:val="es-MX" w:eastAsia="en-US"/>
        </w:rPr>
        <w:t>Sujeto Obligado</w:t>
      </w:r>
      <w:r w:rsidRPr="00BF1428">
        <w:rPr>
          <w:rFonts w:ascii="Palatino Linotype" w:eastAsiaTheme="minorHAnsi" w:hAnsi="Palatino Linotype" w:cs="Arial"/>
          <w:lang w:val="es-MX" w:eastAsia="en-US"/>
        </w:rPr>
        <w:t xml:space="preserve">, el ahora </w:t>
      </w:r>
      <w:r w:rsidRPr="00BF1428">
        <w:rPr>
          <w:rFonts w:ascii="Palatino Linotype" w:eastAsiaTheme="minorHAnsi" w:hAnsi="Palatino Linotype" w:cs="Arial"/>
          <w:b/>
          <w:lang w:val="es-MX" w:eastAsia="en-US"/>
        </w:rPr>
        <w:t>Recurrente</w:t>
      </w:r>
      <w:r w:rsidRPr="00BF1428">
        <w:rPr>
          <w:rFonts w:ascii="Palatino Linotype" w:eastAsiaTheme="minorHAnsi" w:hAnsi="Palatino Linotype" w:cs="Arial"/>
          <w:lang w:val="es-MX" w:eastAsia="en-US"/>
        </w:rPr>
        <w:t xml:space="preserve"> en fecha </w:t>
      </w:r>
      <w:r w:rsidR="003E069B" w:rsidRPr="00BF1428">
        <w:rPr>
          <w:rFonts w:ascii="Palatino Linotype" w:eastAsiaTheme="minorHAnsi" w:hAnsi="Palatino Linotype" w:cs="Arial"/>
          <w:lang w:val="es-MX" w:eastAsia="en-US"/>
        </w:rPr>
        <w:t>cinco de octubre de dos mil veinticinco</w:t>
      </w:r>
      <w:r w:rsidRPr="00BF1428">
        <w:rPr>
          <w:rFonts w:ascii="Palatino Linotype" w:eastAsiaTheme="minorHAnsi" w:hAnsi="Palatino Linotype" w:cs="Arial"/>
          <w:lang w:val="es-MX" w:eastAsia="en-US"/>
        </w:rPr>
        <w:t xml:space="preserve"> interpuso el recurso de revisión</w:t>
      </w:r>
      <w:r w:rsidR="003E069B" w:rsidRPr="00BF1428">
        <w:t xml:space="preserve"> </w:t>
      </w:r>
      <w:r w:rsidR="003E069B" w:rsidRPr="00BF1428">
        <w:rPr>
          <w:rFonts w:ascii="Palatino Linotype" w:eastAsiaTheme="minorHAnsi" w:hAnsi="Palatino Linotype" w:cs="Arial"/>
          <w:lang w:val="es-MX" w:eastAsia="en-US"/>
        </w:rPr>
        <w:t>que, al corresponder a un día inhábil, se tuvo por presentado en fecha seis de octubre de dos mil veinticinco</w:t>
      </w:r>
      <w:r w:rsidRPr="00BF1428">
        <w:rPr>
          <w:rFonts w:ascii="Palatino Linotype" w:eastAsiaTheme="minorHAnsi" w:hAnsi="Palatino Linotype" w:cs="Arial"/>
          <w:lang w:val="es-MX" w:eastAsia="en-US"/>
        </w:rPr>
        <w:t>, mismo que fue registrado</w:t>
      </w:r>
      <w:r w:rsidRPr="00BF1428">
        <w:rPr>
          <w:rFonts w:ascii="Palatino Linotype" w:eastAsiaTheme="minorHAnsi" w:hAnsi="Palatino Linotype" w:cs="Arial"/>
          <w:b/>
          <w:lang w:val="es-MX" w:eastAsia="en-US"/>
        </w:rPr>
        <w:t xml:space="preserve"> </w:t>
      </w:r>
      <w:r w:rsidRPr="00BF1428">
        <w:rPr>
          <w:rFonts w:ascii="Palatino Linotype" w:eastAsiaTheme="minorHAnsi" w:hAnsi="Palatino Linotype" w:cs="Arial"/>
          <w:lang w:val="es-MX" w:eastAsia="en-US"/>
        </w:rPr>
        <w:t xml:space="preserve">en el sistema electrónico </w:t>
      </w:r>
      <w:r w:rsidRPr="00BF1428">
        <w:rPr>
          <w:rFonts w:ascii="Palatino Linotype" w:eastAsiaTheme="minorHAnsi" w:hAnsi="Palatino Linotype" w:cs="Arial"/>
          <w:b/>
          <w:bCs/>
          <w:lang w:val="es-MX" w:eastAsia="en-US"/>
        </w:rPr>
        <w:t>SAIMEX</w:t>
      </w:r>
      <w:r w:rsidRPr="00BF1428">
        <w:rPr>
          <w:rFonts w:ascii="Palatino Linotype" w:eastAsiaTheme="minorHAnsi" w:hAnsi="Palatino Linotype" w:cs="Arial"/>
          <w:lang w:val="es-MX" w:eastAsia="en-US"/>
        </w:rPr>
        <w:t xml:space="preserve"> con número de expediente </w:t>
      </w:r>
      <w:r w:rsidR="003E069B" w:rsidRPr="00BF1428">
        <w:rPr>
          <w:rFonts w:ascii="Palatino Linotype" w:eastAsiaTheme="minorHAnsi" w:hAnsi="Palatino Linotype" w:cs="Arial"/>
          <w:b/>
          <w:bCs/>
          <w:lang w:val="es-MX" w:eastAsia="en-US"/>
        </w:rPr>
        <w:t>11515/INFOEM/IP/RR/2025</w:t>
      </w:r>
      <w:r w:rsidRPr="00BF1428">
        <w:rPr>
          <w:rFonts w:ascii="Palatino Linotype" w:eastAsiaTheme="minorHAnsi" w:hAnsi="Palatino Linotype" w:cs="Arial"/>
          <w:lang w:val="es-MX" w:eastAsia="en-US"/>
        </w:rPr>
        <w:t xml:space="preserve">, aduciendo como acto impugnado y razones o motivos de inconformidad, </w:t>
      </w:r>
      <w:r w:rsidR="003E069B" w:rsidRPr="00BF1428">
        <w:rPr>
          <w:rFonts w:ascii="Palatino Linotype" w:eastAsiaTheme="minorHAnsi" w:hAnsi="Palatino Linotype" w:cs="Arial"/>
          <w:lang w:val="es-MX" w:eastAsia="en-US"/>
        </w:rPr>
        <w:t>lo</w:t>
      </w:r>
      <w:r w:rsidRPr="00BF1428">
        <w:rPr>
          <w:rFonts w:ascii="Palatino Linotype" w:eastAsiaTheme="minorHAnsi" w:hAnsi="Palatino Linotype" w:cs="Arial"/>
          <w:lang w:val="es-MX" w:eastAsia="en-US"/>
        </w:rPr>
        <w:t xml:space="preserve"> siguiente:</w:t>
      </w:r>
    </w:p>
    <w:p w14:paraId="185260B2" w14:textId="77777777" w:rsidR="003E40A9" w:rsidRPr="00BF1428" w:rsidRDefault="003E40A9" w:rsidP="003E40A9">
      <w:pPr>
        <w:tabs>
          <w:tab w:val="left" w:pos="3060"/>
        </w:tabs>
        <w:spacing w:line="360" w:lineRule="auto"/>
        <w:jc w:val="both"/>
        <w:rPr>
          <w:rFonts w:ascii="Palatino Linotype" w:eastAsiaTheme="minorHAnsi" w:hAnsi="Palatino Linotype" w:cs="Arial"/>
          <w:b/>
          <w:lang w:val="es-MX" w:eastAsia="en-US"/>
        </w:rPr>
      </w:pPr>
    </w:p>
    <w:p w14:paraId="5E7E0979" w14:textId="7649C97E" w:rsidR="003E40A9" w:rsidRPr="00BF1428" w:rsidRDefault="003E40A9" w:rsidP="003E40A9">
      <w:pPr>
        <w:pStyle w:val="Prrafodelista"/>
        <w:numPr>
          <w:ilvl w:val="0"/>
          <w:numId w:val="40"/>
        </w:numPr>
        <w:tabs>
          <w:tab w:val="left" w:pos="3060"/>
        </w:tabs>
        <w:spacing w:line="360" w:lineRule="auto"/>
        <w:jc w:val="both"/>
        <w:rPr>
          <w:rFonts w:ascii="Palatino Linotype" w:hAnsi="Palatino Linotype" w:cs="Arial"/>
          <w:b/>
        </w:rPr>
      </w:pPr>
      <w:r w:rsidRPr="00BF1428">
        <w:rPr>
          <w:rFonts w:ascii="Palatino Linotype" w:hAnsi="Palatino Linotype" w:cs="Arial"/>
          <w:b/>
        </w:rPr>
        <w:t xml:space="preserve">Acto Impugnado: </w:t>
      </w:r>
      <w:r w:rsidR="003E069B" w:rsidRPr="00BF1428">
        <w:rPr>
          <w:rFonts w:ascii="Palatino Linotype" w:hAnsi="Palatino Linotype"/>
          <w:i/>
          <w:sz w:val="22"/>
          <w:szCs w:val="22"/>
          <w:lang w:val="es-MX" w:eastAsia="es-MX"/>
        </w:rPr>
        <w:t>“sin respuesta” (Sic).</w:t>
      </w:r>
    </w:p>
    <w:p w14:paraId="7E19DDAD" w14:textId="77777777" w:rsidR="003E069B" w:rsidRPr="00BF1428" w:rsidRDefault="003E069B" w:rsidP="003E069B">
      <w:pPr>
        <w:pStyle w:val="Prrafodelista"/>
        <w:tabs>
          <w:tab w:val="left" w:pos="3060"/>
        </w:tabs>
        <w:spacing w:line="360" w:lineRule="auto"/>
        <w:ind w:left="720"/>
        <w:jc w:val="both"/>
        <w:rPr>
          <w:rFonts w:ascii="Palatino Linotype" w:hAnsi="Palatino Linotype" w:cs="Arial"/>
          <w:b/>
        </w:rPr>
      </w:pPr>
    </w:p>
    <w:p w14:paraId="5570FD16" w14:textId="66CEEFF2" w:rsidR="003E40A9" w:rsidRPr="00BF1428" w:rsidRDefault="003E40A9" w:rsidP="003E40A9">
      <w:pPr>
        <w:pStyle w:val="Prrafodelista"/>
        <w:numPr>
          <w:ilvl w:val="0"/>
          <w:numId w:val="40"/>
        </w:numPr>
        <w:tabs>
          <w:tab w:val="left" w:pos="3060"/>
        </w:tabs>
        <w:spacing w:line="360" w:lineRule="auto"/>
        <w:jc w:val="both"/>
        <w:rPr>
          <w:rFonts w:ascii="Palatino Linotype" w:hAnsi="Palatino Linotype" w:cs="Arial"/>
          <w:b/>
        </w:rPr>
      </w:pPr>
      <w:r w:rsidRPr="00BF1428">
        <w:rPr>
          <w:rFonts w:ascii="Palatino Linotype" w:eastAsiaTheme="minorHAnsi" w:hAnsi="Palatino Linotype" w:cs="Arial"/>
          <w:b/>
          <w:lang w:val="es-MX" w:eastAsia="en-US"/>
        </w:rPr>
        <w:t xml:space="preserve">Razones o motivos de inconformidad: </w:t>
      </w:r>
      <w:r w:rsidR="003E069B" w:rsidRPr="00BF1428">
        <w:rPr>
          <w:rFonts w:ascii="Palatino Linotype" w:hAnsi="Palatino Linotype"/>
          <w:i/>
          <w:sz w:val="22"/>
          <w:szCs w:val="22"/>
          <w:lang w:val="es-MX" w:eastAsia="es-MX"/>
        </w:rPr>
        <w:t>“falta la respuesta” (Sic).</w:t>
      </w:r>
    </w:p>
    <w:p w14:paraId="6CEBCF1B" w14:textId="77777777" w:rsidR="003E40A9" w:rsidRPr="00BF1428" w:rsidRDefault="003E40A9" w:rsidP="003E40A9">
      <w:pPr>
        <w:pStyle w:val="Prrafodelista"/>
        <w:tabs>
          <w:tab w:val="left" w:pos="3060"/>
        </w:tabs>
        <w:spacing w:line="360" w:lineRule="auto"/>
        <w:ind w:left="720"/>
        <w:jc w:val="both"/>
        <w:rPr>
          <w:rFonts w:ascii="Palatino Linotype" w:hAnsi="Palatino Linotype" w:cs="Arial"/>
          <w:b/>
        </w:rPr>
      </w:pPr>
    </w:p>
    <w:p w14:paraId="6AAA06E3" w14:textId="77777777" w:rsidR="003E40A9" w:rsidRPr="00BF1428" w:rsidRDefault="003E40A9" w:rsidP="003E40A9">
      <w:pPr>
        <w:spacing w:line="360" w:lineRule="auto"/>
        <w:jc w:val="both"/>
        <w:rPr>
          <w:rFonts w:ascii="Palatino Linotype" w:hAnsi="Palatino Linotype" w:cs="Arial"/>
          <w:b/>
          <w:sz w:val="26"/>
          <w:szCs w:val="26"/>
          <w:lang w:val="es-MX"/>
        </w:rPr>
      </w:pPr>
      <w:r w:rsidRPr="00BF1428">
        <w:rPr>
          <w:rFonts w:ascii="Palatino Linotype" w:hAnsi="Palatino Linotype" w:cs="Arial"/>
          <w:b/>
          <w:sz w:val="26"/>
          <w:szCs w:val="26"/>
          <w:lang w:val="es-MX"/>
        </w:rPr>
        <w:t>CUARTO. Del turno del recurso de revisión.</w:t>
      </w:r>
    </w:p>
    <w:p w14:paraId="17D720C3" w14:textId="01492C57" w:rsidR="003E40A9" w:rsidRPr="00BF1428" w:rsidRDefault="003E40A9" w:rsidP="003E40A9">
      <w:pPr>
        <w:spacing w:line="360" w:lineRule="auto"/>
        <w:jc w:val="both"/>
        <w:rPr>
          <w:rFonts w:ascii="Palatino Linotype" w:hAnsi="Palatino Linotype" w:cs="Arial"/>
          <w:lang w:val="es-ES_tradnl"/>
        </w:rPr>
      </w:pPr>
      <w:r w:rsidRPr="00BF1428">
        <w:rPr>
          <w:rFonts w:ascii="Palatino Linotype" w:hAnsi="Palatino Linotype" w:cs="Arial"/>
        </w:rPr>
        <w:t xml:space="preserve">En fecha </w:t>
      </w:r>
      <w:r w:rsidR="003E069B" w:rsidRPr="00BF1428">
        <w:rPr>
          <w:rFonts w:ascii="Palatino Linotype" w:hAnsi="Palatino Linotype" w:cs="Arial"/>
        </w:rPr>
        <w:t>cinco de octubre de dos mil veinticinco</w:t>
      </w:r>
      <w:r w:rsidRPr="00BF1428">
        <w:rPr>
          <w:rFonts w:ascii="Palatino Linotype" w:hAnsi="Palatino Linotype" w:cs="Arial"/>
        </w:rPr>
        <w:t>, el recurso</w:t>
      </w:r>
      <w:r w:rsidRPr="00BF1428">
        <w:rPr>
          <w:rFonts w:ascii="Palatino Linotype" w:hAnsi="Palatino Linotype" w:cs="Arial"/>
          <w:lang w:val="es-ES_tradnl"/>
        </w:rPr>
        <w:t xml:space="preserve"> de revisión de mérito se envió electrónicamente al Instituto de </w:t>
      </w:r>
      <w:r w:rsidRPr="00BF1428">
        <w:rPr>
          <w:rFonts w:ascii="Palatino Linotype" w:eastAsia="Arial Unicode MS" w:hAnsi="Palatino Linotype" w:cs="Arial"/>
        </w:rPr>
        <w:t>Transparencia</w:t>
      </w:r>
      <w:r w:rsidRPr="00BF1428">
        <w:rPr>
          <w:rFonts w:ascii="Palatino Linotype" w:hAnsi="Palatino Linotype" w:cs="Arial"/>
          <w:lang w:val="es-ES_tradnl"/>
        </w:rPr>
        <w:t xml:space="preserve">, Acceso a la Información Pública </w:t>
      </w:r>
      <w:r w:rsidRPr="00BF1428">
        <w:rPr>
          <w:rFonts w:ascii="Palatino Linotype" w:hAnsi="Palatino Linotype" w:cs="Arial"/>
          <w:lang w:val="es-ES_tradnl"/>
        </w:rPr>
        <w:lastRenderedPageBreak/>
        <w:t xml:space="preserve">y Protección de Datos Personales del Estado de México y Municipios y con fundamento en el artículo 185 fracción I de la </w:t>
      </w:r>
      <w:r w:rsidRPr="00BF1428">
        <w:rPr>
          <w:rFonts w:ascii="Palatino Linotype" w:hAnsi="Palatino Linotype"/>
        </w:rPr>
        <w:t>Ley de Transparencia y Acceso a la Información Pública del Estado de México y Municipios</w:t>
      </w:r>
      <w:r w:rsidRPr="00BF1428">
        <w:rPr>
          <w:rFonts w:ascii="Palatino Linotype" w:hAnsi="Palatino Linotype" w:cs="Arial"/>
          <w:lang w:val="es-ES_tradnl"/>
        </w:rPr>
        <w:t>, se turnó a través del</w:t>
      </w:r>
      <w:r w:rsidRPr="00BF1428">
        <w:rPr>
          <w:rFonts w:ascii="Palatino Linotype" w:eastAsia="Arial Unicode MS" w:hAnsi="Palatino Linotype" w:cs="Arial"/>
          <w:lang w:val="es-ES_tradnl"/>
        </w:rPr>
        <w:t xml:space="preserve"> </w:t>
      </w:r>
      <w:r w:rsidRPr="00BF1428">
        <w:rPr>
          <w:rFonts w:ascii="Palatino Linotype" w:eastAsia="Arial Unicode MS" w:hAnsi="Palatino Linotype" w:cs="Arial"/>
          <w:b/>
          <w:lang w:val="es-ES_tradnl"/>
        </w:rPr>
        <w:t>SAIMEX</w:t>
      </w:r>
      <w:r w:rsidRPr="00BF1428">
        <w:rPr>
          <w:rFonts w:ascii="Palatino Linotype" w:hAnsi="Palatino Linotype"/>
        </w:rPr>
        <w:t xml:space="preserve"> al </w:t>
      </w:r>
      <w:r w:rsidRPr="00BF1428">
        <w:rPr>
          <w:rFonts w:ascii="Palatino Linotype" w:hAnsi="Palatino Linotype" w:cs="Arial"/>
          <w:lang w:val="es-ES_tradnl"/>
        </w:rPr>
        <w:t xml:space="preserve">Comisionado Presidente </w:t>
      </w:r>
      <w:r w:rsidRPr="00BF1428">
        <w:rPr>
          <w:rFonts w:ascii="Palatino Linotype" w:hAnsi="Palatino Linotype" w:cs="Arial"/>
          <w:b/>
          <w:lang w:val="es-ES_tradnl"/>
        </w:rPr>
        <w:t xml:space="preserve">José Martínez Vilchis, </w:t>
      </w:r>
      <w:r w:rsidRPr="00BF1428">
        <w:rPr>
          <w:rFonts w:ascii="Palatino Linotype" w:hAnsi="Palatino Linotype" w:cs="Arial"/>
          <w:lang w:val="es-ES_tradnl"/>
        </w:rPr>
        <w:t>a efecto de que decretara su admisión o desechamiento.</w:t>
      </w:r>
    </w:p>
    <w:p w14:paraId="1F0BB845" w14:textId="77777777" w:rsidR="003E40A9" w:rsidRPr="00BF1428" w:rsidRDefault="003E40A9" w:rsidP="003E40A9">
      <w:pPr>
        <w:spacing w:line="360" w:lineRule="auto"/>
        <w:ind w:right="49"/>
        <w:jc w:val="both"/>
        <w:rPr>
          <w:rFonts w:ascii="Palatino Linotype" w:hAnsi="Palatino Linotype" w:cs="Arial"/>
          <w:b/>
          <w:lang w:val="es-ES_tradnl"/>
        </w:rPr>
      </w:pPr>
    </w:p>
    <w:p w14:paraId="1FA8F07B" w14:textId="77777777" w:rsidR="003E40A9" w:rsidRPr="00BF1428" w:rsidRDefault="003E40A9" w:rsidP="003E40A9">
      <w:pPr>
        <w:spacing w:line="360" w:lineRule="auto"/>
        <w:ind w:right="49"/>
        <w:jc w:val="both"/>
        <w:rPr>
          <w:rFonts w:ascii="Palatino Linotype" w:hAnsi="Palatino Linotype" w:cs="Arial"/>
          <w:b/>
          <w:sz w:val="26"/>
          <w:szCs w:val="26"/>
          <w:lang w:val="es-ES_tradnl"/>
        </w:rPr>
      </w:pPr>
      <w:r w:rsidRPr="00BF1428">
        <w:rPr>
          <w:rFonts w:ascii="Palatino Linotype" w:hAnsi="Palatino Linotype" w:cs="Arial"/>
          <w:b/>
          <w:sz w:val="26"/>
          <w:szCs w:val="26"/>
          <w:lang w:val="es-ES_tradnl"/>
        </w:rPr>
        <w:t>QUINTO. De la admisión del recurso de revisión.</w:t>
      </w:r>
    </w:p>
    <w:p w14:paraId="2F1E681D" w14:textId="19DA257A" w:rsidR="003E40A9" w:rsidRPr="00BF1428" w:rsidRDefault="003E40A9" w:rsidP="003E40A9">
      <w:pPr>
        <w:spacing w:line="360" w:lineRule="auto"/>
        <w:ind w:right="49"/>
        <w:jc w:val="both"/>
        <w:rPr>
          <w:rFonts w:ascii="Palatino Linotype" w:hAnsi="Palatino Linotype" w:cs="Arial"/>
        </w:rPr>
      </w:pPr>
      <w:r w:rsidRPr="00BF1428">
        <w:rPr>
          <w:rFonts w:ascii="Palatino Linotype" w:hAnsi="Palatino Linotype" w:cs="Arial"/>
          <w:lang w:val="es-ES_tradnl"/>
        </w:rPr>
        <w:t>E</w:t>
      </w:r>
      <w:r w:rsidRPr="00BF1428">
        <w:rPr>
          <w:rFonts w:ascii="Palatino Linotype" w:hAnsi="Palatino Linotype" w:cs="Arial"/>
        </w:rPr>
        <w:t xml:space="preserve">n fecha </w:t>
      </w:r>
      <w:r w:rsidR="003E069B" w:rsidRPr="00BF1428">
        <w:rPr>
          <w:rFonts w:ascii="Palatino Linotype" w:hAnsi="Palatino Linotype" w:cs="Arial"/>
        </w:rPr>
        <w:t>nueve de octubre de dos mil veinticinco</w:t>
      </w:r>
      <w:r w:rsidRPr="00BF1428">
        <w:rPr>
          <w:rFonts w:ascii="Palatino Linotype" w:hAnsi="Palatino Linotype" w:cs="Arial"/>
        </w:rPr>
        <w:t xml:space="preserve">, atento a lo dispuesto en el </w:t>
      </w:r>
      <w:r w:rsidRPr="00BF1428">
        <w:rPr>
          <w:rFonts w:ascii="Palatino Linotype" w:hAnsi="Palatino Linotype" w:cs="Arial"/>
          <w:lang w:val="es-ES_tradnl"/>
        </w:rPr>
        <w:t>artículo</w:t>
      </w:r>
      <w:r w:rsidRPr="00BF1428">
        <w:rPr>
          <w:rFonts w:ascii="Palatino Linotype" w:hAnsi="Palatino Linotype" w:cs="Arial"/>
        </w:rPr>
        <w:t xml:space="preserve"> 185 fracciones I, II y IV </w:t>
      </w:r>
      <w:r w:rsidRPr="00BF1428">
        <w:rPr>
          <w:rFonts w:ascii="Palatino Linotype" w:hAnsi="Palatino Linotype" w:cs="Arial"/>
          <w:lang w:val="es-ES_tradnl"/>
        </w:rPr>
        <w:t xml:space="preserve">de la </w:t>
      </w:r>
      <w:r w:rsidRPr="00BF1428">
        <w:rPr>
          <w:rFonts w:ascii="Palatino Linotype" w:hAnsi="Palatino Linotype"/>
        </w:rPr>
        <w:t>Ley de Transparencia y Acceso a la Información Pública del Estado de México y Municipios, se a</w:t>
      </w:r>
      <w:r w:rsidRPr="00BF1428">
        <w:rPr>
          <w:rFonts w:ascii="Palatino Linotype" w:hAnsi="Palatino Linotype" w:cs="Arial"/>
        </w:rPr>
        <w:t xml:space="preserve">cordó la admisión a trámite del recurso de revisión </w:t>
      </w:r>
      <w:r w:rsidR="003E069B" w:rsidRPr="00BF1428">
        <w:rPr>
          <w:rFonts w:ascii="Palatino Linotype" w:eastAsiaTheme="minorHAnsi" w:hAnsi="Palatino Linotype" w:cs="Arial"/>
          <w:b/>
          <w:bCs/>
          <w:lang w:val="es-MX" w:eastAsia="es-MX"/>
        </w:rPr>
        <w:t>11515/INFOEM/IP/RR/2025</w:t>
      </w:r>
      <w:r w:rsidRPr="00BF1428">
        <w:rPr>
          <w:rFonts w:ascii="Palatino Linotype" w:eastAsiaTheme="minorHAnsi" w:hAnsi="Palatino Linotype" w:cs="Arial"/>
          <w:lang w:val="es-MX" w:eastAsia="en-US"/>
        </w:rPr>
        <w:t xml:space="preserve">, </w:t>
      </w:r>
      <w:r w:rsidRPr="00BF1428">
        <w:rPr>
          <w:rFonts w:ascii="Palatino Linotype" w:hAnsi="Palatino Linotype" w:cs="Arial"/>
        </w:rPr>
        <w:t>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C8CFAAD" w14:textId="77777777" w:rsidR="003E40A9" w:rsidRPr="00BF1428" w:rsidRDefault="003E40A9" w:rsidP="003E40A9">
      <w:pPr>
        <w:spacing w:line="360" w:lineRule="auto"/>
        <w:ind w:right="49"/>
        <w:jc w:val="both"/>
        <w:rPr>
          <w:rFonts w:ascii="Palatino Linotype" w:hAnsi="Palatino Linotype" w:cs="Arial"/>
        </w:rPr>
      </w:pPr>
    </w:p>
    <w:p w14:paraId="07798609" w14:textId="77777777" w:rsidR="003E40A9" w:rsidRPr="00BF1428" w:rsidRDefault="003E40A9" w:rsidP="003E40A9">
      <w:pPr>
        <w:spacing w:line="360" w:lineRule="auto"/>
        <w:jc w:val="both"/>
        <w:rPr>
          <w:rFonts w:ascii="Palatino Linotype" w:eastAsiaTheme="minorHAnsi" w:hAnsi="Palatino Linotype" w:cs="Arial"/>
          <w:b/>
          <w:sz w:val="26"/>
          <w:szCs w:val="26"/>
          <w:lang w:val="es-MX" w:eastAsia="en-US"/>
        </w:rPr>
      </w:pPr>
      <w:r w:rsidRPr="00BF1428">
        <w:rPr>
          <w:rFonts w:ascii="Palatino Linotype" w:hAnsi="Palatino Linotype" w:cs="Arial"/>
          <w:b/>
          <w:sz w:val="26"/>
          <w:szCs w:val="26"/>
          <w:lang w:val="es-ES_tradnl"/>
        </w:rPr>
        <w:t>SEXTO</w:t>
      </w:r>
      <w:r w:rsidRPr="00BF1428">
        <w:rPr>
          <w:rFonts w:ascii="Palatino Linotype" w:eastAsiaTheme="minorHAnsi" w:hAnsi="Palatino Linotype" w:cs="Arial"/>
          <w:b/>
          <w:sz w:val="26"/>
          <w:szCs w:val="26"/>
          <w:lang w:val="es-MX" w:eastAsia="en-US"/>
        </w:rPr>
        <w:t>. De la etapa de instrucción.</w:t>
      </w:r>
    </w:p>
    <w:p w14:paraId="5C17A9CF" w14:textId="77777777" w:rsidR="003E40A9" w:rsidRPr="00BF1428" w:rsidRDefault="003E40A9" w:rsidP="003E40A9">
      <w:pPr>
        <w:spacing w:line="360" w:lineRule="auto"/>
        <w:jc w:val="both"/>
        <w:rPr>
          <w:rFonts w:ascii="Palatino Linotype" w:eastAsiaTheme="minorHAnsi" w:hAnsi="Palatino Linotype" w:cs="Arial"/>
          <w:lang w:val="es-MX" w:eastAsia="en-US"/>
        </w:rPr>
      </w:pPr>
      <w:r w:rsidRPr="00BF1428">
        <w:rPr>
          <w:rFonts w:ascii="Palatino Linotype" w:eastAsiaTheme="minorHAnsi" w:hAnsi="Palatino Linotype" w:cs="Arial"/>
          <w:lang w:val="es-MX" w:eastAsia="en-US"/>
        </w:rPr>
        <w:t xml:space="preserve">Así, una vez abierta la etapa de instrucción, en el sumario se observa que </w:t>
      </w:r>
      <w:r w:rsidRPr="00BF1428">
        <w:rPr>
          <w:rFonts w:ascii="Palatino Linotype" w:eastAsiaTheme="minorHAnsi" w:hAnsi="Palatino Linotype" w:cs="Arial"/>
          <w:b/>
          <w:bCs/>
          <w:lang w:val="es-MX" w:eastAsia="en-US"/>
        </w:rPr>
        <w:t>El Sujeto Obligado</w:t>
      </w:r>
      <w:r w:rsidRPr="00BF1428">
        <w:rPr>
          <w:rFonts w:ascii="Palatino Linotype" w:eastAsiaTheme="minorHAnsi" w:hAnsi="Palatino Linotype" w:cs="Arial"/>
          <w:lang w:val="es-MX" w:eastAsia="en-US"/>
        </w:rPr>
        <w:t xml:space="preserve"> fue omiso en remitir su informe justificado, por su parte, </w:t>
      </w:r>
      <w:r w:rsidRPr="00BF1428">
        <w:rPr>
          <w:rFonts w:ascii="Palatino Linotype" w:eastAsiaTheme="minorHAnsi" w:hAnsi="Palatino Linotype" w:cs="Arial"/>
          <w:b/>
          <w:bCs/>
          <w:lang w:val="es-MX" w:eastAsia="en-US"/>
        </w:rPr>
        <w:t>El Recurrente</w:t>
      </w:r>
      <w:r w:rsidRPr="00BF1428">
        <w:rPr>
          <w:rFonts w:ascii="Palatino Linotype" w:eastAsiaTheme="minorHAnsi" w:hAnsi="Palatino Linotype" w:cs="Arial"/>
          <w:lang w:val="es-MX" w:eastAsia="en-US"/>
        </w:rPr>
        <w:t>, tampoco realizó alegatos, pruebas o manifestaciones, finalmente se advierte de las constancias que integran el presente expediente, que no existe prueba alguna que deba desahogarse.</w:t>
      </w:r>
    </w:p>
    <w:p w14:paraId="12DA604A" w14:textId="77777777" w:rsidR="003E40A9" w:rsidRPr="00BF1428" w:rsidRDefault="003E40A9" w:rsidP="003E40A9">
      <w:pPr>
        <w:spacing w:line="360" w:lineRule="auto"/>
        <w:jc w:val="both"/>
        <w:rPr>
          <w:rFonts w:ascii="Palatino Linotype" w:eastAsiaTheme="minorHAnsi" w:hAnsi="Palatino Linotype" w:cs="Arial"/>
          <w:lang w:val="es-MX" w:eastAsia="en-US"/>
        </w:rPr>
      </w:pPr>
      <w:r w:rsidRPr="00BF1428">
        <w:rPr>
          <w:rFonts w:ascii="Palatino Linotype" w:eastAsiaTheme="minorHAnsi" w:hAnsi="Palatino Linotype" w:cs="Arial"/>
          <w:lang w:val="es-MX" w:eastAsia="en-US"/>
        </w:rPr>
        <w:t xml:space="preserve"> </w:t>
      </w:r>
    </w:p>
    <w:p w14:paraId="5EACB48C" w14:textId="77777777" w:rsidR="003E40A9" w:rsidRPr="00BF1428" w:rsidRDefault="003E40A9" w:rsidP="003E40A9">
      <w:pPr>
        <w:spacing w:line="360" w:lineRule="auto"/>
        <w:jc w:val="both"/>
        <w:rPr>
          <w:rFonts w:ascii="Palatino Linotype" w:eastAsiaTheme="minorHAnsi" w:hAnsi="Palatino Linotype" w:cs="Arial"/>
          <w:lang w:val="es-MX" w:eastAsia="en-US"/>
        </w:rPr>
      </w:pPr>
      <w:r w:rsidRPr="00BF1428">
        <w:rPr>
          <w:rFonts w:ascii="Palatino Linotype" w:eastAsiaTheme="minorHAnsi" w:hAnsi="Palatino Linotype" w:cs="Arial"/>
          <w:lang w:val="es-MX" w:eastAsia="en-US"/>
        </w:rPr>
        <w:t xml:space="preserve">Así mismo se aprecia que no se llevaron a cabo audiencias durante la sustanciación del recurso de revisión, ni se ofrecieron pruebas por parte del hoy </w:t>
      </w:r>
      <w:r w:rsidRPr="00BF1428">
        <w:rPr>
          <w:rFonts w:ascii="Palatino Linotype" w:eastAsiaTheme="minorHAnsi" w:hAnsi="Palatino Linotype" w:cs="Arial"/>
          <w:b/>
          <w:lang w:val="es-MX" w:eastAsia="en-US"/>
        </w:rPr>
        <w:t>Recurrente</w:t>
      </w:r>
      <w:r w:rsidRPr="00BF1428">
        <w:rPr>
          <w:rFonts w:ascii="Palatino Linotype" w:eastAsiaTheme="minorHAnsi" w:hAnsi="Palatino Linotype" w:cs="Arial"/>
          <w:lang w:val="es-MX" w:eastAsia="en-US"/>
        </w:rPr>
        <w:t xml:space="preserve">; todo lo </w:t>
      </w:r>
      <w:r w:rsidRPr="00BF1428">
        <w:rPr>
          <w:rFonts w:ascii="Palatino Linotype" w:eastAsiaTheme="minorHAnsi" w:hAnsi="Palatino Linotype" w:cs="Arial"/>
          <w:lang w:val="es-MX" w:eastAsia="en-US"/>
        </w:rPr>
        <w:lastRenderedPageBreak/>
        <w:t>anterior en términos de los artículos 185 fracciones II y IV, y 195 de la Ley de Transparencia y Acceso a la Información Pública del Estado de México y Municipios.</w:t>
      </w:r>
    </w:p>
    <w:p w14:paraId="46D9095E" w14:textId="77777777" w:rsidR="00D16858" w:rsidRPr="00BF1428" w:rsidRDefault="00D16858" w:rsidP="003E40A9">
      <w:pPr>
        <w:spacing w:line="360" w:lineRule="auto"/>
        <w:jc w:val="both"/>
        <w:rPr>
          <w:rFonts w:ascii="Palatino Linotype" w:eastAsiaTheme="minorHAnsi" w:hAnsi="Palatino Linotype" w:cs="Arial"/>
          <w:lang w:val="es-MX" w:eastAsia="en-US"/>
        </w:rPr>
      </w:pPr>
    </w:p>
    <w:p w14:paraId="03DD1859" w14:textId="77777777" w:rsidR="00D16858" w:rsidRPr="00BF1428" w:rsidRDefault="00D16858" w:rsidP="00D16858">
      <w:pPr>
        <w:spacing w:line="360" w:lineRule="auto"/>
        <w:jc w:val="both"/>
        <w:rPr>
          <w:rFonts w:ascii="Palatino Linotype" w:eastAsiaTheme="minorHAnsi" w:hAnsi="Palatino Linotype" w:cs="Arial"/>
          <w:b/>
          <w:sz w:val="26"/>
          <w:szCs w:val="26"/>
          <w:lang w:val="es-MX" w:eastAsia="en-US"/>
        </w:rPr>
      </w:pPr>
      <w:r w:rsidRPr="00BF1428">
        <w:rPr>
          <w:rFonts w:ascii="Palatino Linotype" w:eastAsiaTheme="minorHAnsi" w:hAnsi="Palatino Linotype" w:cs="Arial"/>
          <w:b/>
          <w:sz w:val="26"/>
          <w:szCs w:val="26"/>
          <w:lang w:val="es-MX" w:eastAsia="en-US"/>
        </w:rPr>
        <w:t>SÉPTIMO. Del cierre de instrucción.</w:t>
      </w:r>
    </w:p>
    <w:p w14:paraId="53FBCF25" w14:textId="78462FA9" w:rsidR="00D16858" w:rsidRPr="00BF1428" w:rsidRDefault="00D16858" w:rsidP="00D16858">
      <w:pPr>
        <w:spacing w:line="360" w:lineRule="auto"/>
        <w:jc w:val="both"/>
        <w:rPr>
          <w:rFonts w:ascii="Palatino Linotype" w:eastAsiaTheme="minorHAnsi" w:hAnsi="Palatino Linotype" w:cs="Arial"/>
          <w:lang w:val="es-MX" w:eastAsia="en-US"/>
        </w:rPr>
      </w:pPr>
      <w:r w:rsidRPr="00BF1428">
        <w:rPr>
          <w:rFonts w:ascii="Palatino Linotype" w:eastAsiaTheme="minorHAns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E069B" w:rsidRPr="00BF1428">
        <w:rPr>
          <w:rFonts w:ascii="Palatino Linotype" w:eastAsiaTheme="minorHAnsi" w:hAnsi="Palatino Linotype" w:cs="Arial"/>
          <w:lang w:val="es-MX" w:eastAsia="en-US"/>
        </w:rPr>
        <w:t>veintidós de octubre de dos mil veinticinco</w:t>
      </w:r>
      <w:r w:rsidRPr="00BF1428">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487E1F33" w14:textId="77777777" w:rsidR="005C369D" w:rsidRPr="00BF1428" w:rsidRDefault="005C369D" w:rsidP="009E546F">
      <w:pPr>
        <w:spacing w:line="360" w:lineRule="auto"/>
        <w:jc w:val="both"/>
        <w:rPr>
          <w:rFonts w:ascii="Palatino Linotype" w:hAnsi="Palatino Linotype" w:cs="Arial"/>
        </w:rPr>
      </w:pPr>
    </w:p>
    <w:p w14:paraId="297FB9E0" w14:textId="2D9F0AE5" w:rsidR="009E546F" w:rsidRPr="00BF1428" w:rsidRDefault="00D16858" w:rsidP="009E546F">
      <w:pPr>
        <w:spacing w:line="360" w:lineRule="auto"/>
        <w:jc w:val="both"/>
        <w:rPr>
          <w:rFonts w:ascii="Palatino Linotype" w:eastAsia="Calibri" w:hAnsi="Palatino Linotype" w:cs="Arial"/>
          <w:b/>
          <w:sz w:val="26"/>
          <w:szCs w:val="26"/>
          <w:lang w:val="es-MX" w:eastAsia="en-US"/>
        </w:rPr>
      </w:pPr>
      <w:r w:rsidRPr="00BF1428">
        <w:rPr>
          <w:rFonts w:ascii="Palatino Linotype" w:eastAsia="Calibri" w:hAnsi="Palatino Linotype" w:cs="Arial"/>
          <w:b/>
          <w:sz w:val="26"/>
          <w:szCs w:val="26"/>
          <w:lang w:val="es-MX" w:eastAsia="en-US"/>
        </w:rPr>
        <w:t>OCTAV</w:t>
      </w:r>
      <w:r w:rsidR="00731204" w:rsidRPr="00BF1428">
        <w:rPr>
          <w:rFonts w:ascii="Palatino Linotype" w:eastAsia="Calibri" w:hAnsi="Palatino Linotype" w:cs="Arial"/>
          <w:b/>
          <w:sz w:val="26"/>
          <w:szCs w:val="26"/>
          <w:lang w:val="es-MX" w:eastAsia="en-US"/>
        </w:rPr>
        <w:t>O</w:t>
      </w:r>
      <w:r w:rsidR="009E546F" w:rsidRPr="00BF1428">
        <w:rPr>
          <w:rFonts w:ascii="Palatino Linotype" w:eastAsia="Calibri" w:hAnsi="Palatino Linotype" w:cs="Arial"/>
          <w:b/>
          <w:sz w:val="26"/>
          <w:szCs w:val="26"/>
          <w:lang w:val="es-MX" w:eastAsia="en-US"/>
        </w:rPr>
        <w:t>. Resolución del recurso de revisión.</w:t>
      </w:r>
    </w:p>
    <w:p w14:paraId="240A91C1" w14:textId="0DA0F35A" w:rsidR="009E546F" w:rsidRPr="00BF1428" w:rsidRDefault="009E546F" w:rsidP="009E546F">
      <w:pPr>
        <w:spacing w:line="360" w:lineRule="auto"/>
        <w:jc w:val="both"/>
        <w:rPr>
          <w:rFonts w:ascii="Palatino Linotype" w:hAnsi="Palatino Linotype"/>
        </w:rPr>
      </w:pPr>
      <w:r w:rsidRPr="00BF1428">
        <w:rPr>
          <w:rFonts w:ascii="Palatino Linotype" w:eastAsia="Palatino Linotype" w:hAnsi="Palatino Linotype" w:cs="Palatino Linotype"/>
          <w:lang w:val="es-ES_tradnl"/>
        </w:rPr>
        <w:t xml:space="preserve">En fecha </w:t>
      </w:r>
      <w:r w:rsidR="003E069B" w:rsidRPr="00BF1428">
        <w:rPr>
          <w:rFonts w:ascii="Palatino Linotype" w:eastAsia="Palatino Linotype" w:hAnsi="Palatino Linotype" w:cs="Palatino Linotype"/>
          <w:lang w:val="es-ES_tradnl"/>
        </w:rPr>
        <w:t>cinco de noviembre de dos mil veinticinco</w:t>
      </w:r>
      <w:r w:rsidRPr="00BF1428">
        <w:rPr>
          <w:rFonts w:ascii="Palatino Linotype" w:eastAsia="Palatino Linotype" w:hAnsi="Palatino Linotype" w:cs="Palatino Linotype"/>
          <w:lang w:val="es-ES_tradnl"/>
        </w:rPr>
        <w:t xml:space="preserve">, en la </w:t>
      </w:r>
      <w:r w:rsidR="003E069B" w:rsidRPr="00BF1428">
        <w:rPr>
          <w:rFonts w:ascii="Palatino Linotype" w:eastAsia="Palatino Linotype" w:hAnsi="Palatino Linotype" w:cs="Palatino Linotype"/>
          <w:lang w:val="es-ES_tradnl"/>
        </w:rPr>
        <w:t>Cuadragésima</w:t>
      </w:r>
      <w:r w:rsidR="005C369D" w:rsidRPr="00BF1428">
        <w:rPr>
          <w:rFonts w:ascii="Palatino Linotype" w:eastAsia="Palatino Linotype" w:hAnsi="Palatino Linotype" w:cs="Palatino Linotype"/>
          <w:lang w:val="es-ES_tradnl"/>
        </w:rPr>
        <w:t xml:space="preserve"> </w:t>
      </w:r>
      <w:r w:rsidR="00C33B4A" w:rsidRPr="00BF1428">
        <w:rPr>
          <w:rFonts w:ascii="Palatino Linotype" w:eastAsia="Palatino Linotype" w:hAnsi="Palatino Linotype" w:cs="Palatino Linotype"/>
          <w:lang w:val="es-ES_tradnl"/>
        </w:rPr>
        <w:t xml:space="preserve">Sesión </w:t>
      </w:r>
      <w:r w:rsidRPr="00BF1428">
        <w:rPr>
          <w:rFonts w:ascii="Palatino Linotype" w:eastAsia="Palatino Linotype" w:hAnsi="Palatino Linotype" w:cs="Palatino Linotype"/>
          <w:lang w:val="es-ES_tradnl"/>
        </w:rPr>
        <w:t xml:space="preserve">Ordinaria, el Pleno del Instituto de Transparencia, Acceso a la Información Pública y Protección de Datos Personales del Estado de México y Municipios aprobó, por </w:t>
      </w:r>
      <w:r w:rsidR="00731204" w:rsidRPr="00BF1428">
        <w:rPr>
          <w:rFonts w:ascii="Palatino Linotype" w:eastAsia="Palatino Linotype" w:hAnsi="Palatino Linotype" w:cs="Palatino Linotype"/>
          <w:lang w:val="es-ES_tradnl"/>
        </w:rPr>
        <w:t>unanimidad</w:t>
      </w:r>
      <w:r w:rsidRPr="00BF1428">
        <w:rPr>
          <w:rFonts w:ascii="Palatino Linotype" w:eastAsia="Palatino Linotype" w:hAnsi="Palatino Linotype" w:cs="Palatino Linotype"/>
          <w:lang w:val="es-ES_tradnl"/>
        </w:rPr>
        <w:t xml:space="preserve"> de votos, la resolución </w:t>
      </w:r>
      <w:r w:rsidR="003E069B" w:rsidRPr="00BF1428">
        <w:rPr>
          <w:rFonts w:ascii="Palatino Linotype" w:eastAsia="Palatino Linotype" w:hAnsi="Palatino Linotype" w:cs="Palatino Linotype"/>
          <w:b/>
          <w:lang w:val="es-ES_tradnl"/>
        </w:rPr>
        <w:t>11515/INFOEM/IP/RR/2025</w:t>
      </w:r>
      <w:r w:rsidRPr="00BF1428">
        <w:rPr>
          <w:rFonts w:ascii="Palatino Linotype" w:hAnsi="Palatino Linotype"/>
        </w:rPr>
        <w:t>, en la cual se determinó lo siguiente:</w:t>
      </w:r>
    </w:p>
    <w:p w14:paraId="4486689D" w14:textId="77777777" w:rsidR="009E546F" w:rsidRPr="00BF1428" w:rsidRDefault="009E546F" w:rsidP="00D16858">
      <w:pPr>
        <w:pStyle w:val="Sinespaciado"/>
      </w:pPr>
    </w:p>
    <w:p w14:paraId="37E46520" w14:textId="77777777" w:rsidR="003E069B" w:rsidRPr="00BF1428" w:rsidRDefault="009E546F" w:rsidP="003E069B">
      <w:pPr>
        <w:spacing w:line="276" w:lineRule="auto"/>
        <w:ind w:left="567" w:right="567"/>
        <w:jc w:val="both"/>
        <w:rPr>
          <w:rFonts w:ascii="Palatino Linotype" w:eastAsia="Calibri" w:hAnsi="Palatino Linotype"/>
          <w:bCs/>
          <w:i/>
          <w:sz w:val="22"/>
          <w:szCs w:val="22"/>
          <w:lang w:eastAsia="en-US"/>
        </w:rPr>
      </w:pPr>
      <w:r w:rsidRPr="00BF1428">
        <w:rPr>
          <w:rFonts w:ascii="Palatino Linotype" w:eastAsia="Calibri" w:hAnsi="Palatino Linotype"/>
          <w:i/>
          <w:sz w:val="22"/>
          <w:szCs w:val="22"/>
          <w:lang w:val="es-MX" w:eastAsia="en-US"/>
        </w:rPr>
        <w:t>“</w:t>
      </w:r>
      <w:r w:rsidR="003E069B" w:rsidRPr="00BF1428">
        <w:rPr>
          <w:rFonts w:ascii="Palatino Linotype" w:eastAsia="Calibri" w:hAnsi="Palatino Linotype"/>
          <w:b/>
          <w:bCs/>
          <w:i/>
          <w:sz w:val="22"/>
          <w:szCs w:val="22"/>
          <w:lang w:eastAsia="en-US"/>
        </w:rPr>
        <w:t>PRIMERO.</w:t>
      </w:r>
      <w:r w:rsidR="003E069B" w:rsidRPr="00BF1428">
        <w:rPr>
          <w:rFonts w:ascii="Palatino Linotype" w:eastAsia="Calibri" w:hAnsi="Palatino Linotype"/>
          <w:bCs/>
          <w:i/>
          <w:sz w:val="22"/>
          <w:szCs w:val="22"/>
          <w:lang w:eastAsia="en-US"/>
        </w:rPr>
        <w:t xml:space="preserve"> Resultan fundadas las razones o motivos de inconformidad hechos valer por la parte </w:t>
      </w:r>
      <w:r w:rsidR="003E069B" w:rsidRPr="00BF1428">
        <w:rPr>
          <w:rFonts w:ascii="Palatino Linotype" w:eastAsia="Calibri" w:hAnsi="Palatino Linotype"/>
          <w:b/>
          <w:bCs/>
          <w:i/>
          <w:sz w:val="22"/>
          <w:szCs w:val="22"/>
          <w:lang w:eastAsia="en-US"/>
        </w:rPr>
        <w:t>Recurrente,</w:t>
      </w:r>
      <w:r w:rsidR="003E069B" w:rsidRPr="00BF1428">
        <w:rPr>
          <w:rFonts w:ascii="Palatino Linotype" w:eastAsia="Calibri" w:hAnsi="Palatino Linotype"/>
          <w:bCs/>
          <w:i/>
          <w:sz w:val="22"/>
          <w:szCs w:val="22"/>
          <w:lang w:eastAsia="en-US"/>
        </w:rPr>
        <w:t xml:space="preserve"> en términos del Considerando </w:t>
      </w:r>
      <w:r w:rsidR="003E069B" w:rsidRPr="00BF1428">
        <w:rPr>
          <w:rFonts w:ascii="Palatino Linotype" w:eastAsia="Calibri" w:hAnsi="Palatino Linotype"/>
          <w:b/>
          <w:bCs/>
          <w:i/>
          <w:sz w:val="22"/>
          <w:szCs w:val="22"/>
          <w:lang w:eastAsia="en-US"/>
        </w:rPr>
        <w:t xml:space="preserve">QUINTO </w:t>
      </w:r>
      <w:r w:rsidR="003E069B" w:rsidRPr="00BF1428">
        <w:rPr>
          <w:rFonts w:ascii="Palatino Linotype" w:eastAsia="Calibri" w:hAnsi="Palatino Linotype"/>
          <w:bCs/>
          <w:i/>
          <w:sz w:val="22"/>
          <w:szCs w:val="22"/>
          <w:lang w:eastAsia="en-US"/>
        </w:rPr>
        <w:t>de la presente resolución.</w:t>
      </w:r>
    </w:p>
    <w:p w14:paraId="50085E8E" w14:textId="77777777" w:rsidR="003E069B" w:rsidRPr="00BF1428" w:rsidRDefault="003E069B" w:rsidP="003E069B">
      <w:pPr>
        <w:spacing w:line="276" w:lineRule="auto"/>
        <w:ind w:left="567" w:right="567"/>
        <w:jc w:val="both"/>
        <w:rPr>
          <w:rFonts w:ascii="Palatino Linotype" w:eastAsia="Calibri" w:hAnsi="Palatino Linotype"/>
          <w:bCs/>
          <w:i/>
          <w:sz w:val="22"/>
          <w:szCs w:val="22"/>
          <w:lang w:eastAsia="en-US"/>
        </w:rPr>
      </w:pPr>
    </w:p>
    <w:p w14:paraId="6C2056EF" w14:textId="77777777" w:rsidR="003E069B" w:rsidRPr="00BF1428" w:rsidRDefault="003E069B" w:rsidP="003E069B">
      <w:pPr>
        <w:spacing w:line="276" w:lineRule="auto"/>
        <w:ind w:left="567" w:right="567"/>
        <w:jc w:val="both"/>
        <w:rPr>
          <w:rFonts w:ascii="Palatino Linotype" w:eastAsia="Calibri" w:hAnsi="Palatino Linotype"/>
          <w:bCs/>
          <w:i/>
          <w:sz w:val="22"/>
          <w:szCs w:val="22"/>
          <w:lang w:eastAsia="en-US"/>
        </w:rPr>
      </w:pPr>
      <w:r w:rsidRPr="00BF1428">
        <w:rPr>
          <w:rFonts w:ascii="Palatino Linotype" w:eastAsia="Calibri" w:hAnsi="Palatino Linotype"/>
          <w:b/>
          <w:bCs/>
          <w:i/>
          <w:sz w:val="22"/>
          <w:szCs w:val="22"/>
          <w:lang w:eastAsia="en-US"/>
        </w:rPr>
        <w:t>SEGUNDO</w:t>
      </w:r>
      <w:r w:rsidRPr="00BF1428">
        <w:rPr>
          <w:rFonts w:ascii="Palatino Linotype" w:eastAsia="Calibri" w:hAnsi="Palatino Linotype"/>
          <w:bCs/>
          <w:i/>
          <w:sz w:val="22"/>
          <w:szCs w:val="22"/>
          <w:lang w:eastAsia="en-US"/>
        </w:rPr>
        <w:t>. Se</w:t>
      </w:r>
      <w:r w:rsidRPr="00BF1428">
        <w:rPr>
          <w:rFonts w:ascii="Palatino Linotype" w:eastAsia="Calibri" w:hAnsi="Palatino Linotype"/>
          <w:b/>
          <w:bCs/>
          <w:i/>
          <w:sz w:val="22"/>
          <w:szCs w:val="22"/>
          <w:lang w:eastAsia="en-US"/>
        </w:rPr>
        <w:t> ORDENA </w:t>
      </w:r>
      <w:r w:rsidRPr="00BF1428">
        <w:rPr>
          <w:rFonts w:ascii="Palatino Linotype" w:eastAsia="Calibri" w:hAnsi="Palatino Linotype"/>
          <w:bCs/>
          <w:i/>
          <w:sz w:val="22"/>
          <w:szCs w:val="22"/>
          <w:lang w:eastAsia="en-US"/>
        </w:rPr>
        <w:t xml:space="preserve">al </w:t>
      </w:r>
      <w:r w:rsidRPr="00BF1428">
        <w:rPr>
          <w:rFonts w:ascii="Palatino Linotype" w:eastAsia="Calibri" w:hAnsi="Palatino Linotype"/>
          <w:b/>
          <w:bCs/>
          <w:i/>
          <w:sz w:val="22"/>
          <w:szCs w:val="22"/>
          <w:lang w:eastAsia="en-US"/>
        </w:rPr>
        <w:t>Sujeto Obligado</w:t>
      </w:r>
      <w:r w:rsidRPr="00BF1428">
        <w:rPr>
          <w:rFonts w:ascii="Palatino Linotype" w:eastAsia="Calibri" w:hAnsi="Palatino Linotype"/>
          <w:bCs/>
          <w:i/>
          <w:sz w:val="22"/>
          <w:szCs w:val="22"/>
          <w:lang w:eastAsia="en-US"/>
        </w:rPr>
        <w:t xml:space="preserve">, atienda la solicitud de información número </w:t>
      </w:r>
      <w:r w:rsidRPr="00BF1428">
        <w:rPr>
          <w:rFonts w:ascii="Palatino Linotype" w:eastAsia="Calibri" w:hAnsi="Palatino Linotype"/>
          <w:b/>
          <w:bCs/>
          <w:i/>
          <w:sz w:val="22"/>
          <w:szCs w:val="22"/>
          <w:lang w:eastAsia="en-US"/>
        </w:rPr>
        <w:t>00436/TEPOTZOT/IP/2025</w:t>
      </w:r>
      <w:r w:rsidRPr="00BF1428">
        <w:rPr>
          <w:rFonts w:ascii="Palatino Linotype" w:eastAsia="Calibri" w:hAnsi="Palatino Linotype"/>
          <w:bCs/>
          <w:i/>
          <w:sz w:val="22"/>
          <w:szCs w:val="22"/>
          <w:lang w:eastAsia="en-US"/>
        </w:rPr>
        <w:t>,</w:t>
      </w:r>
      <w:r w:rsidRPr="00BF1428">
        <w:rPr>
          <w:rFonts w:ascii="Palatino Linotype" w:eastAsia="Calibri" w:hAnsi="Palatino Linotype"/>
          <w:b/>
          <w:bCs/>
          <w:i/>
          <w:sz w:val="22"/>
          <w:szCs w:val="22"/>
          <w:lang w:eastAsia="en-US"/>
        </w:rPr>
        <w:t xml:space="preserve"> </w:t>
      </w:r>
      <w:r w:rsidRPr="00BF1428">
        <w:rPr>
          <w:rFonts w:ascii="Palatino Linotype" w:eastAsia="Calibri" w:hAnsi="Palatino Linotype"/>
          <w:bCs/>
          <w:i/>
          <w:sz w:val="22"/>
          <w:szCs w:val="22"/>
          <w:lang w:eastAsia="en-US"/>
        </w:rPr>
        <w:t xml:space="preserve">en términos del Considerando </w:t>
      </w:r>
      <w:r w:rsidRPr="00BF1428">
        <w:rPr>
          <w:rFonts w:ascii="Palatino Linotype" w:eastAsia="Calibri" w:hAnsi="Palatino Linotype"/>
          <w:b/>
          <w:bCs/>
          <w:i/>
          <w:sz w:val="22"/>
          <w:szCs w:val="22"/>
          <w:lang w:eastAsia="en-US"/>
        </w:rPr>
        <w:t>QUINTO</w:t>
      </w:r>
      <w:r w:rsidRPr="00BF1428">
        <w:rPr>
          <w:rFonts w:ascii="Palatino Linotype" w:eastAsia="Calibri" w:hAnsi="Palatino Linotype"/>
          <w:bCs/>
          <w:i/>
          <w:sz w:val="22"/>
          <w:szCs w:val="22"/>
          <w:lang w:eastAsia="en-US"/>
        </w:rPr>
        <w:t xml:space="preserve"> de esta resolución, vía Sistema de Acceso a la Información Mexiquense </w:t>
      </w:r>
      <w:r w:rsidRPr="00BF1428">
        <w:rPr>
          <w:rFonts w:ascii="Palatino Linotype" w:eastAsia="Calibri" w:hAnsi="Palatino Linotype"/>
          <w:b/>
          <w:bCs/>
          <w:i/>
          <w:sz w:val="22"/>
          <w:szCs w:val="22"/>
          <w:lang w:eastAsia="en-US"/>
        </w:rPr>
        <w:t>(SAIMEX)</w:t>
      </w:r>
      <w:r w:rsidRPr="00BF1428">
        <w:rPr>
          <w:rFonts w:ascii="Palatino Linotype" w:eastAsia="Calibri" w:hAnsi="Palatino Linotype"/>
          <w:bCs/>
          <w:i/>
          <w:sz w:val="22"/>
          <w:szCs w:val="22"/>
          <w:lang w:eastAsia="en-US"/>
        </w:rPr>
        <w:t>.</w:t>
      </w:r>
    </w:p>
    <w:p w14:paraId="2FB3F780" w14:textId="77777777" w:rsidR="003E069B" w:rsidRPr="00BF1428" w:rsidRDefault="003E069B" w:rsidP="003E069B">
      <w:pPr>
        <w:spacing w:line="276" w:lineRule="auto"/>
        <w:ind w:left="567" w:right="567"/>
        <w:jc w:val="both"/>
        <w:rPr>
          <w:rFonts w:ascii="Palatino Linotype" w:eastAsia="Calibri" w:hAnsi="Palatino Linotype"/>
          <w:bCs/>
          <w:i/>
          <w:sz w:val="22"/>
          <w:szCs w:val="22"/>
          <w:lang w:eastAsia="en-US"/>
        </w:rPr>
      </w:pPr>
    </w:p>
    <w:p w14:paraId="262AB9E6" w14:textId="77777777" w:rsidR="003E069B" w:rsidRPr="00BF1428" w:rsidRDefault="003E069B" w:rsidP="003E069B">
      <w:pPr>
        <w:spacing w:line="276" w:lineRule="auto"/>
        <w:ind w:left="567" w:right="567"/>
        <w:jc w:val="both"/>
        <w:rPr>
          <w:rFonts w:ascii="Palatino Linotype" w:eastAsia="Calibri" w:hAnsi="Palatino Linotype"/>
          <w:bCs/>
          <w:i/>
          <w:sz w:val="22"/>
          <w:szCs w:val="22"/>
          <w:lang w:eastAsia="en-US"/>
        </w:rPr>
      </w:pPr>
      <w:r w:rsidRPr="00BF1428">
        <w:rPr>
          <w:rFonts w:ascii="Palatino Linotype" w:eastAsia="Calibri" w:hAnsi="Palatino Linotype"/>
          <w:b/>
          <w:bCs/>
          <w:i/>
          <w:sz w:val="22"/>
          <w:szCs w:val="22"/>
          <w:lang w:eastAsia="en-US"/>
        </w:rPr>
        <w:lastRenderedPageBreak/>
        <w:t>TERCERO</w:t>
      </w:r>
      <w:r w:rsidRPr="00BF1428">
        <w:rPr>
          <w:rFonts w:ascii="Palatino Linotype" w:eastAsia="Calibri" w:hAnsi="Palatino Linotype"/>
          <w:bCs/>
          <w:i/>
          <w:sz w:val="22"/>
          <w:szCs w:val="22"/>
          <w:lang w:eastAsia="en-US"/>
        </w:rPr>
        <w:t xml:space="preserve">. </w:t>
      </w:r>
      <w:r w:rsidRPr="00BF1428">
        <w:rPr>
          <w:rFonts w:ascii="Palatino Linotype" w:eastAsia="Calibri" w:hAnsi="Palatino Linotype"/>
          <w:b/>
          <w:bCs/>
          <w:i/>
          <w:sz w:val="22"/>
          <w:szCs w:val="22"/>
          <w:lang w:eastAsia="en-US"/>
        </w:rPr>
        <w:t>NOTIFÍQUESE</w:t>
      </w:r>
      <w:r w:rsidRPr="00BF1428">
        <w:rPr>
          <w:rFonts w:ascii="Palatino Linotype" w:eastAsia="Calibri" w:hAnsi="Palatino Linotype"/>
          <w:bCs/>
          <w:i/>
          <w:sz w:val="22"/>
          <w:szCs w:val="22"/>
          <w:lang w:eastAsia="en-US"/>
        </w:rPr>
        <w:t xml:space="preserve">, vía Sistema de Acceso a la Información Mexiquense </w:t>
      </w:r>
      <w:r w:rsidRPr="00BF1428">
        <w:rPr>
          <w:rFonts w:ascii="Palatino Linotype" w:eastAsia="Calibri" w:hAnsi="Palatino Linotype"/>
          <w:b/>
          <w:bCs/>
          <w:i/>
          <w:sz w:val="22"/>
          <w:szCs w:val="22"/>
          <w:lang w:eastAsia="en-US"/>
        </w:rPr>
        <w:t>(SAIMEX)</w:t>
      </w:r>
      <w:r w:rsidRPr="00BF1428">
        <w:rPr>
          <w:rFonts w:ascii="Palatino Linotype" w:eastAsia="Calibri" w:hAnsi="Palatino Linotype"/>
          <w:bCs/>
          <w:i/>
          <w:sz w:val="22"/>
          <w:szCs w:val="22"/>
          <w:lang w:eastAsia="en-US"/>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2A8292" w14:textId="77777777" w:rsidR="003E069B" w:rsidRPr="00BF1428" w:rsidRDefault="003E069B" w:rsidP="003E069B">
      <w:pPr>
        <w:spacing w:line="276" w:lineRule="auto"/>
        <w:ind w:left="567" w:right="567"/>
        <w:jc w:val="both"/>
        <w:rPr>
          <w:rFonts w:ascii="Palatino Linotype" w:eastAsia="Calibri" w:hAnsi="Palatino Linotype"/>
          <w:bCs/>
          <w:i/>
          <w:sz w:val="22"/>
          <w:szCs w:val="22"/>
          <w:lang w:eastAsia="en-US"/>
        </w:rPr>
      </w:pPr>
    </w:p>
    <w:p w14:paraId="09E008F6" w14:textId="77777777" w:rsidR="003E069B" w:rsidRPr="00BF1428" w:rsidRDefault="003E069B" w:rsidP="003E069B">
      <w:pPr>
        <w:spacing w:line="276" w:lineRule="auto"/>
        <w:ind w:left="567" w:right="567"/>
        <w:jc w:val="both"/>
        <w:rPr>
          <w:rFonts w:ascii="Palatino Linotype" w:eastAsia="Calibri" w:hAnsi="Palatino Linotype"/>
          <w:bCs/>
          <w:i/>
          <w:sz w:val="22"/>
          <w:szCs w:val="22"/>
          <w:lang w:eastAsia="en-US"/>
        </w:rPr>
      </w:pPr>
      <w:r w:rsidRPr="00BF1428">
        <w:rPr>
          <w:rFonts w:ascii="Palatino Linotype" w:eastAsia="Calibri" w:hAnsi="Palatino Linotype"/>
          <w:b/>
          <w:bCs/>
          <w:i/>
          <w:sz w:val="22"/>
          <w:szCs w:val="22"/>
          <w:lang w:eastAsia="en-US"/>
        </w:rPr>
        <w:t>CUARTO</w:t>
      </w:r>
      <w:r w:rsidRPr="00BF1428">
        <w:rPr>
          <w:rFonts w:ascii="Palatino Linotype" w:eastAsia="Calibri" w:hAnsi="Palatino Linotype"/>
          <w:bCs/>
          <w:i/>
          <w:sz w:val="22"/>
          <w:szCs w:val="22"/>
          <w:lang w:eastAsia="en-US"/>
        </w:rPr>
        <w:t xml:space="preserve">. </w:t>
      </w:r>
      <w:r w:rsidRPr="00BF1428">
        <w:rPr>
          <w:rFonts w:ascii="Palatino Linotype" w:eastAsia="Calibri" w:hAnsi="Palatino Linotype"/>
          <w:b/>
          <w:bCs/>
          <w:i/>
          <w:sz w:val="22"/>
          <w:szCs w:val="22"/>
          <w:lang w:eastAsia="en-US"/>
        </w:rPr>
        <w:t>NOTIFÍQUESE</w:t>
      </w:r>
      <w:r w:rsidRPr="00BF1428">
        <w:rPr>
          <w:rFonts w:ascii="Palatino Linotype" w:eastAsia="Calibri" w:hAnsi="Palatino Linotype"/>
          <w:bCs/>
          <w:i/>
          <w:sz w:val="22"/>
          <w:szCs w:val="22"/>
          <w:lang w:eastAsia="en-US"/>
        </w:rPr>
        <w:t xml:space="preserve">, vía Sistema de Acceso a la Información Mexiquense </w:t>
      </w:r>
      <w:r w:rsidRPr="00BF1428">
        <w:rPr>
          <w:rFonts w:ascii="Palatino Linotype" w:eastAsia="Calibri" w:hAnsi="Palatino Linotype"/>
          <w:b/>
          <w:bCs/>
          <w:i/>
          <w:sz w:val="22"/>
          <w:szCs w:val="22"/>
          <w:lang w:eastAsia="en-US"/>
        </w:rPr>
        <w:t>(SAIMEX)</w:t>
      </w:r>
      <w:r w:rsidRPr="00BF1428">
        <w:rPr>
          <w:rFonts w:ascii="Palatino Linotype" w:eastAsia="Calibri" w:hAnsi="Palatino Linotype"/>
          <w:bCs/>
          <w:i/>
          <w:sz w:val="22"/>
          <w:szCs w:val="22"/>
          <w:lang w:eastAsia="en-US"/>
        </w:rPr>
        <w:t xml:space="preserve"> a la parte </w:t>
      </w:r>
      <w:r w:rsidRPr="00BF1428">
        <w:rPr>
          <w:rFonts w:ascii="Palatino Linotype" w:eastAsia="Calibri" w:hAnsi="Palatino Linotype"/>
          <w:b/>
          <w:bCs/>
          <w:i/>
          <w:sz w:val="22"/>
          <w:szCs w:val="22"/>
          <w:lang w:eastAsia="en-US"/>
        </w:rPr>
        <w:t>Recurrente</w:t>
      </w:r>
      <w:r w:rsidRPr="00BF1428">
        <w:rPr>
          <w:rFonts w:ascii="Palatino Linotype" w:eastAsia="Calibri" w:hAnsi="Palatino Linotype"/>
          <w:bCs/>
          <w:i/>
          <w:sz w:val="22"/>
          <w:szCs w:val="22"/>
          <w:lang w:eastAsia="en-US"/>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2C48ABF" w14:textId="77777777" w:rsidR="003E069B" w:rsidRPr="00BF1428" w:rsidRDefault="003E069B" w:rsidP="003E069B">
      <w:pPr>
        <w:spacing w:line="276" w:lineRule="auto"/>
        <w:ind w:left="567" w:right="567"/>
        <w:jc w:val="both"/>
        <w:rPr>
          <w:rFonts w:ascii="Palatino Linotype" w:eastAsia="Calibri" w:hAnsi="Palatino Linotype"/>
          <w:bCs/>
          <w:i/>
          <w:sz w:val="22"/>
          <w:szCs w:val="22"/>
          <w:lang w:eastAsia="en-US"/>
        </w:rPr>
      </w:pPr>
    </w:p>
    <w:p w14:paraId="790BC93B" w14:textId="77777777" w:rsidR="003E069B" w:rsidRPr="00BF1428" w:rsidRDefault="003E069B" w:rsidP="003E069B">
      <w:pPr>
        <w:spacing w:line="276" w:lineRule="auto"/>
        <w:ind w:left="567" w:right="567"/>
        <w:jc w:val="both"/>
        <w:rPr>
          <w:rFonts w:ascii="Palatino Linotype" w:eastAsia="Calibri" w:hAnsi="Palatino Linotype"/>
          <w:bCs/>
          <w:i/>
          <w:sz w:val="22"/>
          <w:szCs w:val="22"/>
          <w:lang w:eastAsia="en-US"/>
        </w:rPr>
      </w:pPr>
      <w:r w:rsidRPr="00BF1428">
        <w:rPr>
          <w:rFonts w:ascii="Palatino Linotype" w:eastAsia="Calibri" w:hAnsi="Palatino Linotype"/>
          <w:b/>
          <w:bCs/>
          <w:i/>
          <w:sz w:val="22"/>
          <w:szCs w:val="22"/>
          <w:lang w:eastAsia="en-US"/>
        </w:rPr>
        <w:t>QUINTO</w:t>
      </w:r>
      <w:r w:rsidRPr="00BF1428">
        <w:rPr>
          <w:rFonts w:ascii="Palatino Linotype" w:eastAsia="Calibri" w:hAnsi="Palatino Linotype"/>
          <w:bCs/>
          <w:i/>
          <w:sz w:val="22"/>
          <w:szCs w:val="22"/>
          <w:lang w:eastAsia="en-US"/>
        </w:rPr>
        <w:t xml:space="preserve">. Se hace del conocimiento de la parte </w:t>
      </w:r>
      <w:r w:rsidRPr="00BF1428">
        <w:rPr>
          <w:rFonts w:ascii="Palatino Linotype" w:eastAsia="Calibri" w:hAnsi="Palatino Linotype"/>
          <w:b/>
          <w:bCs/>
          <w:i/>
          <w:sz w:val="22"/>
          <w:szCs w:val="22"/>
          <w:lang w:eastAsia="en-US"/>
        </w:rPr>
        <w:t>Recurrente</w:t>
      </w:r>
      <w:r w:rsidRPr="00BF1428">
        <w:rPr>
          <w:rFonts w:ascii="Palatino Linotype" w:eastAsia="Calibri" w:hAnsi="Palatino Linotype"/>
          <w:bCs/>
          <w:i/>
          <w:sz w:val="22"/>
          <w:szCs w:val="22"/>
          <w:lang w:eastAsia="en-US"/>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433C269" w14:textId="77777777" w:rsidR="003E069B" w:rsidRPr="00BF1428" w:rsidRDefault="003E069B" w:rsidP="003E069B">
      <w:pPr>
        <w:spacing w:line="276" w:lineRule="auto"/>
        <w:ind w:left="567" w:right="567"/>
        <w:jc w:val="both"/>
        <w:rPr>
          <w:rFonts w:ascii="Palatino Linotype" w:eastAsia="Calibri" w:hAnsi="Palatino Linotype"/>
          <w:bCs/>
          <w:i/>
          <w:sz w:val="22"/>
          <w:szCs w:val="22"/>
          <w:lang w:eastAsia="en-US"/>
        </w:rPr>
      </w:pPr>
    </w:p>
    <w:p w14:paraId="70D7BD9E" w14:textId="72A6A268" w:rsidR="009E546F" w:rsidRPr="00BF1428" w:rsidRDefault="003E069B" w:rsidP="003E069B">
      <w:pPr>
        <w:spacing w:line="276" w:lineRule="auto"/>
        <w:ind w:left="567" w:right="567"/>
        <w:jc w:val="both"/>
        <w:rPr>
          <w:rFonts w:ascii="Palatino Linotype" w:eastAsia="Calibri" w:hAnsi="Palatino Linotype"/>
          <w:bCs/>
          <w:i/>
          <w:sz w:val="22"/>
          <w:szCs w:val="22"/>
          <w:lang w:eastAsia="en-US"/>
        </w:rPr>
      </w:pPr>
      <w:r w:rsidRPr="00BF1428">
        <w:rPr>
          <w:rFonts w:ascii="Palatino Linotype" w:eastAsia="Calibri" w:hAnsi="Palatino Linotype"/>
          <w:b/>
          <w:bCs/>
          <w:i/>
          <w:sz w:val="22"/>
          <w:szCs w:val="22"/>
          <w:lang w:eastAsia="en-US"/>
        </w:rPr>
        <w:t>SEXTO</w:t>
      </w:r>
      <w:r w:rsidRPr="00BF1428">
        <w:rPr>
          <w:rFonts w:ascii="Palatino Linotype" w:eastAsia="Calibri" w:hAnsi="Palatino Linotype"/>
          <w:bCs/>
          <w:i/>
          <w:sz w:val="22"/>
          <w:szCs w:val="22"/>
          <w:lang w:eastAsia="en-US"/>
        </w:rPr>
        <w:t xml:space="preserve">. </w:t>
      </w:r>
      <w:r w:rsidRPr="00BF1428">
        <w:rPr>
          <w:rFonts w:ascii="Palatino Linotype" w:eastAsia="Calibri" w:hAnsi="Palatino Linotype"/>
          <w:b/>
          <w:bCs/>
          <w:i/>
          <w:sz w:val="22"/>
          <w:szCs w:val="22"/>
          <w:lang w:eastAsia="en-US"/>
        </w:rPr>
        <w:t>GÍRESE</w:t>
      </w:r>
      <w:r w:rsidRPr="00BF1428">
        <w:rPr>
          <w:rFonts w:ascii="Palatino Linotype" w:eastAsia="Calibri" w:hAnsi="Palatino Linotype"/>
          <w:bCs/>
          <w:i/>
          <w:sz w:val="22"/>
          <w:szCs w:val="22"/>
          <w:lang w:eastAsia="en-US"/>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BF1428">
        <w:rPr>
          <w:rFonts w:ascii="Palatino Linotype" w:eastAsia="Calibri" w:hAnsi="Palatino Linotype"/>
          <w:b/>
          <w:bCs/>
          <w:i/>
          <w:sz w:val="22"/>
          <w:szCs w:val="22"/>
          <w:lang w:eastAsia="en-US"/>
        </w:rPr>
        <w:t>QUINTO</w:t>
      </w:r>
      <w:r w:rsidRPr="00BF1428">
        <w:rPr>
          <w:rFonts w:ascii="Palatino Linotype" w:eastAsia="Calibri" w:hAnsi="Palatino Linotype"/>
          <w:bCs/>
          <w:i/>
          <w:sz w:val="22"/>
          <w:szCs w:val="22"/>
          <w:lang w:eastAsia="en-US"/>
        </w:rPr>
        <w:t xml:space="preserve"> de la presente resolución.</w:t>
      </w:r>
      <w:r w:rsidR="009E546F" w:rsidRPr="00BF1428">
        <w:rPr>
          <w:rFonts w:ascii="Palatino Linotype" w:eastAsia="Calibri" w:hAnsi="Palatino Linotype" w:cs="Arial"/>
          <w:i/>
          <w:sz w:val="22"/>
          <w:szCs w:val="22"/>
          <w:lang w:val="es-ES_tradnl" w:eastAsia="en-US"/>
        </w:rPr>
        <w:t>”</w:t>
      </w:r>
    </w:p>
    <w:p w14:paraId="1F925867" w14:textId="77777777" w:rsidR="00D17F30" w:rsidRPr="00BF1428" w:rsidRDefault="00D17F30" w:rsidP="009E546F">
      <w:pPr>
        <w:spacing w:line="360" w:lineRule="auto"/>
        <w:jc w:val="both"/>
        <w:rPr>
          <w:rFonts w:ascii="Palatino Linotype" w:hAnsi="Palatino Linotype"/>
        </w:rPr>
      </w:pPr>
    </w:p>
    <w:p w14:paraId="4C562096" w14:textId="4818C8D5" w:rsidR="009E546F" w:rsidRPr="00BF1428" w:rsidRDefault="00D16858" w:rsidP="009E546F">
      <w:pPr>
        <w:widowControl w:val="0"/>
        <w:tabs>
          <w:tab w:val="left" w:pos="1701"/>
        </w:tabs>
        <w:autoSpaceDE w:val="0"/>
        <w:autoSpaceDN w:val="0"/>
        <w:adjustRightInd w:val="0"/>
        <w:spacing w:line="360" w:lineRule="auto"/>
        <w:jc w:val="both"/>
        <w:rPr>
          <w:rFonts w:ascii="Palatino Linotype" w:hAnsi="Palatino Linotype"/>
          <w:b/>
          <w:color w:val="000000"/>
          <w:sz w:val="26"/>
          <w:szCs w:val="26"/>
        </w:rPr>
      </w:pPr>
      <w:r w:rsidRPr="00BF1428">
        <w:rPr>
          <w:rFonts w:ascii="Palatino Linotype" w:hAnsi="Palatino Linotype"/>
          <w:b/>
          <w:color w:val="000000"/>
          <w:sz w:val="26"/>
          <w:szCs w:val="26"/>
        </w:rPr>
        <w:t>NOVEN</w:t>
      </w:r>
      <w:r w:rsidR="00B16D3E" w:rsidRPr="00BF1428">
        <w:rPr>
          <w:rFonts w:ascii="Palatino Linotype" w:hAnsi="Palatino Linotype"/>
          <w:b/>
          <w:color w:val="000000"/>
          <w:sz w:val="26"/>
          <w:szCs w:val="26"/>
        </w:rPr>
        <w:t>O</w:t>
      </w:r>
      <w:r w:rsidR="009E546F" w:rsidRPr="00BF1428">
        <w:rPr>
          <w:rFonts w:ascii="Palatino Linotype" w:hAnsi="Palatino Linotype"/>
          <w:b/>
          <w:color w:val="000000"/>
          <w:sz w:val="26"/>
          <w:szCs w:val="26"/>
        </w:rPr>
        <w:t xml:space="preserve">. </w:t>
      </w:r>
      <w:r w:rsidR="009762F4" w:rsidRPr="00BF1428">
        <w:rPr>
          <w:rFonts w:ascii="Palatino Linotype" w:hAnsi="Palatino Linotype"/>
          <w:b/>
          <w:color w:val="000000"/>
          <w:sz w:val="26"/>
          <w:szCs w:val="26"/>
        </w:rPr>
        <w:t>De</w:t>
      </w:r>
      <w:r w:rsidR="002A33F2" w:rsidRPr="00BF1428">
        <w:rPr>
          <w:rFonts w:ascii="Palatino Linotype" w:hAnsi="Palatino Linotype"/>
          <w:b/>
          <w:color w:val="000000"/>
          <w:sz w:val="26"/>
          <w:szCs w:val="26"/>
        </w:rPr>
        <w:t xml:space="preserve"> la </w:t>
      </w:r>
      <w:r w:rsidR="00A40825" w:rsidRPr="00BF1428">
        <w:rPr>
          <w:rFonts w:ascii="Palatino Linotype" w:hAnsi="Palatino Linotype"/>
          <w:b/>
          <w:color w:val="000000"/>
          <w:sz w:val="26"/>
          <w:szCs w:val="26"/>
        </w:rPr>
        <w:t>entrega de la información por parte del Sujeto Obligado</w:t>
      </w:r>
      <w:r w:rsidR="009E546F" w:rsidRPr="00BF1428">
        <w:rPr>
          <w:rFonts w:ascii="Palatino Linotype" w:hAnsi="Palatino Linotype"/>
          <w:b/>
          <w:color w:val="000000"/>
          <w:sz w:val="26"/>
          <w:szCs w:val="26"/>
        </w:rPr>
        <w:t xml:space="preserve">. </w:t>
      </w:r>
    </w:p>
    <w:p w14:paraId="268F33A4" w14:textId="3932A546" w:rsidR="002A33F2" w:rsidRPr="00BF1428" w:rsidRDefault="009E546F" w:rsidP="002A33F2">
      <w:pPr>
        <w:widowControl w:val="0"/>
        <w:tabs>
          <w:tab w:val="left" w:pos="1701"/>
        </w:tabs>
        <w:autoSpaceDE w:val="0"/>
        <w:autoSpaceDN w:val="0"/>
        <w:adjustRightInd w:val="0"/>
        <w:spacing w:line="360" w:lineRule="auto"/>
        <w:jc w:val="both"/>
        <w:rPr>
          <w:rFonts w:ascii="Palatino Linotype" w:hAnsi="Palatino Linotype"/>
          <w:lang w:val="es-ES_tradnl"/>
        </w:rPr>
      </w:pPr>
      <w:r w:rsidRPr="00BF1428">
        <w:rPr>
          <w:rFonts w:ascii="Palatino Linotype" w:hAnsi="Palatino Linotype"/>
        </w:rPr>
        <w:t xml:space="preserve">De las constancias que obran en el expediente electrónico del </w:t>
      </w:r>
      <w:r w:rsidRPr="00BF1428">
        <w:rPr>
          <w:rFonts w:ascii="Palatino Linotype" w:hAnsi="Palatino Linotype"/>
          <w:color w:val="222222"/>
          <w:shd w:val="clear" w:color="auto" w:fill="FFFFFF"/>
        </w:rPr>
        <w:t xml:space="preserve">Sistema de Acceso a la Información Mexiquense </w:t>
      </w:r>
      <w:r w:rsidRPr="00BF1428">
        <w:rPr>
          <w:rFonts w:ascii="Palatino Linotype" w:hAnsi="Palatino Linotype"/>
          <w:b/>
          <w:bCs/>
          <w:color w:val="222222"/>
          <w:shd w:val="clear" w:color="auto" w:fill="FFFFFF"/>
        </w:rPr>
        <w:t>(</w:t>
      </w:r>
      <w:r w:rsidRPr="00BF1428">
        <w:rPr>
          <w:rFonts w:ascii="Palatino Linotype" w:hAnsi="Palatino Linotype"/>
          <w:b/>
          <w:bCs/>
        </w:rPr>
        <w:t>SAIMEX)</w:t>
      </w:r>
      <w:r w:rsidR="002A33F2" w:rsidRPr="00BF1428">
        <w:rPr>
          <w:rFonts w:ascii="Palatino Linotype" w:hAnsi="Palatino Linotype"/>
          <w:b/>
          <w:bCs/>
        </w:rPr>
        <w:t>,</w:t>
      </w:r>
      <w:r w:rsidRPr="00BF1428">
        <w:rPr>
          <w:rFonts w:ascii="Palatino Linotype" w:hAnsi="Palatino Linotype"/>
        </w:rPr>
        <w:t xml:space="preserve"> se puede advertir que</w:t>
      </w:r>
      <w:r w:rsidR="00BB7FCA" w:rsidRPr="00BF1428">
        <w:rPr>
          <w:rFonts w:ascii="Palatino Linotype" w:hAnsi="Palatino Linotype"/>
        </w:rPr>
        <w:t xml:space="preserve"> </w:t>
      </w:r>
      <w:r w:rsidR="002A33F2" w:rsidRPr="00BF1428">
        <w:rPr>
          <w:rFonts w:ascii="Palatino Linotype" w:hAnsi="Palatino Linotype"/>
          <w:lang w:val="es-ES_tradnl"/>
        </w:rPr>
        <w:t xml:space="preserve">el Sujeto Obligado, en </w:t>
      </w:r>
      <w:r w:rsidR="002A33F2" w:rsidRPr="00BF1428">
        <w:rPr>
          <w:rFonts w:ascii="Palatino Linotype" w:hAnsi="Palatino Linotype"/>
          <w:lang w:val="es-ES_tradnl"/>
        </w:rPr>
        <w:lastRenderedPageBreak/>
        <w:t>cumplimiento a lo dispuesto en la resolución dictada por el Pleno de este Instituto, manifestó hacer entrega de la información solicitada conforme a lo siguiente:</w:t>
      </w:r>
    </w:p>
    <w:p w14:paraId="4ECD10E0" w14:textId="77777777" w:rsidR="002A33F2" w:rsidRPr="00BF1428" w:rsidRDefault="002A33F2" w:rsidP="002A33F2">
      <w:pPr>
        <w:widowControl w:val="0"/>
        <w:tabs>
          <w:tab w:val="left" w:pos="1701"/>
        </w:tabs>
        <w:autoSpaceDE w:val="0"/>
        <w:autoSpaceDN w:val="0"/>
        <w:adjustRightInd w:val="0"/>
        <w:spacing w:line="360" w:lineRule="auto"/>
        <w:jc w:val="both"/>
        <w:rPr>
          <w:rFonts w:ascii="Palatino Linotype" w:hAnsi="Palatino Linotype"/>
          <w:lang w:val="es-ES_tradnl"/>
        </w:rPr>
      </w:pPr>
    </w:p>
    <w:p w14:paraId="5EBCE102" w14:textId="312391C0" w:rsidR="002A33F2" w:rsidRPr="00BF1428" w:rsidRDefault="002A33F2" w:rsidP="002A33F2">
      <w:pPr>
        <w:widowControl w:val="0"/>
        <w:tabs>
          <w:tab w:val="left" w:pos="1701"/>
        </w:tabs>
        <w:autoSpaceDE w:val="0"/>
        <w:autoSpaceDN w:val="0"/>
        <w:adjustRightInd w:val="0"/>
        <w:spacing w:line="360" w:lineRule="auto"/>
        <w:jc w:val="both"/>
        <w:rPr>
          <w:rFonts w:ascii="Palatino Linotype" w:hAnsi="Palatino Linotype"/>
          <w:b/>
          <w:bCs/>
          <w:i/>
          <w:lang w:val="es-MX"/>
        </w:rPr>
      </w:pPr>
      <w:r w:rsidRPr="00BF1428">
        <w:rPr>
          <w:rFonts w:ascii="Palatino Linotype" w:hAnsi="Palatino Linotype"/>
          <w:i/>
          <w:lang w:val="es-MX"/>
        </w:rPr>
        <w:t xml:space="preserve">“SE ADJUNTA RESPUESTA DE SERVIDOR PÚBLICO HABILITADO” </w:t>
      </w:r>
      <w:r w:rsidRPr="00BF1428">
        <w:rPr>
          <w:rFonts w:ascii="Palatino Linotype" w:hAnsi="Palatino Linotype"/>
          <w:b/>
          <w:bCs/>
          <w:i/>
          <w:lang w:val="es-MX"/>
        </w:rPr>
        <w:t xml:space="preserve">(Sic) </w:t>
      </w:r>
    </w:p>
    <w:p w14:paraId="7A45797B" w14:textId="0F11000B" w:rsidR="00BB7FCA" w:rsidRPr="00BF1428" w:rsidRDefault="00BB7FCA" w:rsidP="002A33F2">
      <w:pPr>
        <w:widowControl w:val="0"/>
        <w:tabs>
          <w:tab w:val="left" w:pos="1701"/>
        </w:tabs>
        <w:autoSpaceDE w:val="0"/>
        <w:autoSpaceDN w:val="0"/>
        <w:adjustRightInd w:val="0"/>
        <w:spacing w:line="360" w:lineRule="auto"/>
        <w:jc w:val="both"/>
        <w:rPr>
          <w:rFonts w:ascii="Palatino Linotype" w:hAnsi="Palatino Linotype"/>
          <w:i/>
          <w:sz w:val="22"/>
        </w:rPr>
      </w:pPr>
    </w:p>
    <w:p w14:paraId="29B6F27B" w14:textId="2510B010" w:rsidR="002A33F2" w:rsidRPr="00BF1428" w:rsidRDefault="002A33F2" w:rsidP="002A33F2">
      <w:pPr>
        <w:widowControl w:val="0"/>
        <w:tabs>
          <w:tab w:val="left" w:pos="1701"/>
        </w:tabs>
        <w:autoSpaceDE w:val="0"/>
        <w:autoSpaceDN w:val="0"/>
        <w:adjustRightInd w:val="0"/>
        <w:spacing w:line="360" w:lineRule="auto"/>
        <w:jc w:val="center"/>
        <w:rPr>
          <w:rFonts w:ascii="Palatino Linotype" w:hAnsi="Palatino Linotype"/>
          <w:i/>
          <w:sz w:val="22"/>
        </w:rPr>
      </w:pPr>
      <w:r w:rsidRPr="00BF1428">
        <w:rPr>
          <w:rFonts w:ascii="Palatino Linotype" w:hAnsi="Palatino Linotype"/>
          <w:i/>
          <w:noProof/>
          <w:sz w:val="22"/>
          <w:lang w:val="es-MX" w:eastAsia="es-MX"/>
        </w:rPr>
        <w:drawing>
          <wp:inline distT="0" distB="0" distL="0" distR="0" wp14:anchorId="0C3F1BCD" wp14:editId="0CEE3E6A">
            <wp:extent cx="3019846" cy="1428949"/>
            <wp:effectExtent l="190500" t="190500" r="200025" b="190500"/>
            <wp:docPr id="3224691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69180" name=""/>
                    <pic:cNvPicPr/>
                  </pic:nvPicPr>
                  <pic:blipFill>
                    <a:blip r:embed="rId8"/>
                    <a:stretch>
                      <a:fillRect/>
                    </a:stretch>
                  </pic:blipFill>
                  <pic:spPr>
                    <a:xfrm>
                      <a:off x="0" y="0"/>
                      <a:ext cx="3019846" cy="1428949"/>
                    </a:xfrm>
                    <a:prstGeom prst="rect">
                      <a:avLst/>
                    </a:prstGeom>
                    <a:effectLst>
                      <a:outerShdw blurRad="190500" algn="ctr" rotWithShape="0">
                        <a:prstClr val="black">
                          <a:alpha val="70000"/>
                        </a:prstClr>
                      </a:outerShdw>
                    </a:effectLst>
                  </pic:spPr>
                </pic:pic>
              </a:graphicData>
            </a:graphic>
          </wp:inline>
        </w:drawing>
      </w:r>
    </w:p>
    <w:p w14:paraId="42F8EE6B" w14:textId="77777777" w:rsidR="00885CA0" w:rsidRPr="00BF1428" w:rsidRDefault="00885CA0" w:rsidP="008764AE">
      <w:pPr>
        <w:widowControl w:val="0"/>
        <w:tabs>
          <w:tab w:val="left" w:pos="1701"/>
        </w:tabs>
        <w:autoSpaceDE w:val="0"/>
        <w:autoSpaceDN w:val="0"/>
        <w:adjustRightInd w:val="0"/>
        <w:spacing w:line="360" w:lineRule="auto"/>
        <w:jc w:val="both"/>
        <w:rPr>
          <w:rFonts w:ascii="Palatino Linotype" w:hAnsi="Palatino Linotype"/>
        </w:rPr>
      </w:pPr>
    </w:p>
    <w:p w14:paraId="085349B8" w14:textId="60C3D2E3" w:rsidR="008764AE" w:rsidRPr="00BF1428" w:rsidRDefault="00B16D3E" w:rsidP="008764AE">
      <w:pPr>
        <w:widowControl w:val="0"/>
        <w:tabs>
          <w:tab w:val="left" w:pos="1701"/>
        </w:tabs>
        <w:autoSpaceDE w:val="0"/>
        <w:autoSpaceDN w:val="0"/>
        <w:adjustRightInd w:val="0"/>
        <w:spacing w:line="360" w:lineRule="auto"/>
        <w:jc w:val="both"/>
        <w:rPr>
          <w:rFonts w:ascii="Palatino Linotype" w:hAnsi="Palatino Linotype"/>
          <w:sz w:val="26"/>
          <w:szCs w:val="26"/>
        </w:rPr>
      </w:pPr>
      <w:r w:rsidRPr="00BF1428">
        <w:rPr>
          <w:rFonts w:ascii="Palatino Linotype" w:hAnsi="Palatino Linotype"/>
          <w:b/>
          <w:color w:val="000000"/>
          <w:sz w:val="26"/>
          <w:szCs w:val="26"/>
        </w:rPr>
        <w:t>DÉCIMO</w:t>
      </w:r>
      <w:r w:rsidR="008764AE" w:rsidRPr="00BF1428">
        <w:rPr>
          <w:rFonts w:ascii="Palatino Linotype" w:hAnsi="Palatino Linotype"/>
          <w:b/>
          <w:color w:val="000000"/>
          <w:sz w:val="26"/>
          <w:szCs w:val="26"/>
        </w:rPr>
        <w:t>. Interposición del segundo recurso de revisión</w:t>
      </w:r>
      <w:r w:rsidR="002A33F2" w:rsidRPr="00BF1428">
        <w:t xml:space="preserve"> </w:t>
      </w:r>
      <w:r w:rsidR="002A33F2" w:rsidRPr="00BF1428">
        <w:rPr>
          <w:rFonts w:ascii="Palatino Linotype" w:hAnsi="Palatino Linotype"/>
          <w:b/>
          <w:color w:val="000000"/>
          <w:sz w:val="26"/>
          <w:szCs w:val="26"/>
        </w:rPr>
        <w:t>11515/INFOEM/ICR-50/IP/RR/2025</w:t>
      </w:r>
      <w:r w:rsidR="008764AE" w:rsidRPr="00BF1428">
        <w:rPr>
          <w:rFonts w:ascii="Palatino Linotype" w:hAnsi="Palatino Linotype"/>
          <w:sz w:val="26"/>
          <w:szCs w:val="26"/>
        </w:rPr>
        <w:t xml:space="preserve">. </w:t>
      </w:r>
    </w:p>
    <w:p w14:paraId="7E3FCEC3" w14:textId="7A54D6C8" w:rsidR="005E4AFF" w:rsidRPr="00BF1428"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BF1428">
        <w:rPr>
          <w:rFonts w:ascii="Palatino Linotype" w:hAnsi="Palatino Linotype"/>
        </w:rPr>
        <w:t xml:space="preserve">Inconforme con la </w:t>
      </w:r>
      <w:r w:rsidR="005E4AFF" w:rsidRPr="00BF1428">
        <w:rPr>
          <w:rFonts w:ascii="Palatino Linotype" w:hAnsi="Palatino Linotype"/>
        </w:rPr>
        <w:t xml:space="preserve">respuesta </w:t>
      </w:r>
      <w:r w:rsidR="00885CA0" w:rsidRPr="00BF1428">
        <w:rPr>
          <w:rFonts w:ascii="Palatino Linotype" w:hAnsi="Palatino Linotype"/>
        </w:rPr>
        <w:t xml:space="preserve">en </w:t>
      </w:r>
      <w:r w:rsidRPr="00BF1428">
        <w:rPr>
          <w:rFonts w:ascii="Palatino Linotype" w:hAnsi="Palatino Linotype"/>
        </w:rPr>
        <w:t xml:space="preserve">cumplimiento a la resolución de fecha </w:t>
      </w:r>
      <w:r w:rsidR="002A33F2" w:rsidRPr="00BF1428">
        <w:rPr>
          <w:rFonts w:ascii="Palatino Linotype" w:hAnsi="Palatino Linotype"/>
          <w:lang w:val="es-ES_tradnl"/>
        </w:rPr>
        <w:t>dos de diciembre de dos mil veinticinco</w:t>
      </w:r>
      <w:r w:rsidRPr="00BF1428">
        <w:rPr>
          <w:rFonts w:ascii="Palatino Linotype" w:hAnsi="Palatino Linotype"/>
        </w:rPr>
        <w:t xml:space="preserve">, el hoy </w:t>
      </w:r>
      <w:r w:rsidRPr="00BF1428">
        <w:rPr>
          <w:rFonts w:ascii="Palatino Linotype" w:hAnsi="Palatino Linotype"/>
          <w:b/>
        </w:rPr>
        <w:t xml:space="preserve">Recurrente </w:t>
      </w:r>
      <w:r w:rsidRPr="00BF1428">
        <w:rPr>
          <w:rFonts w:ascii="Palatino Linotype" w:hAnsi="Palatino Linotype"/>
        </w:rPr>
        <w:t xml:space="preserve">en fecha </w:t>
      </w:r>
      <w:r w:rsidR="002A33F2" w:rsidRPr="00BF1428">
        <w:rPr>
          <w:rFonts w:ascii="Palatino Linotype" w:hAnsi="Palatino Linotype"/>
        </w:rPr>
        <w:t>veintidós de enero de dos mil veintiséis</w:t>
      </w:r>
      <w:r w:rsidRPr="00BF1428">
        <w:rPr>
          <w:rFonts w:ascii="Palatino Linotype" w:hAnsi="Palatino Linotype"/>
        </w:rPr>
        <w:t>, interpuso el medio de impugnación en estudio</w:t>
      </w:r>
      <w:r w:rsidR="005E4AFF" w:rsidRPr="00BF1428">
        <w:rPr>
          <w:rFonts w:ascii="Palatino Linotype" w:hAnsi="Palatino Linotype"/>
        </w:rPr>
        <w:t>,</w:t>
      </w:r>
      <w:r w:rsidRPr="00BF1428">
        <w:rPr>
          <w:rFonts w:ascii="Palatino Linotype" w:hAnsi="Palatino Linotype"/>
        </w:rPr>
        <w:t xml:space="preserve"> indicando</w:t>
      </w:r>
      <w:r w:rsidR="005E4AFF" w:rsidRPr="00BF1428">
        <w:rPr>
          <w:rFonts w:ascii="Palatino Linotype" w:hAnsi="Palatino Linotype"/>
        </w:rPr>
        <w:t xml:space="preserve"> lo siguiente:</w:t>
      </w:r>
    </w:p>
    <w:p w14:paraId="70EC1482" w14:textId="77777777" w:rsidR="005E4AFF" w:rsidRPr="00BF1428" w:rsidRDefault="005E4AFF" w:rsidP="008764AE">
      <w:pPr>
        <w:widowControl w:val="0"/>
        <w:tabs>
          <w:tab w:val="left" w:pos="1701"/>
        </w:tabs>
        <w:autoSpaceDE w:val="0"/>
        <w:autoSpaceDN w:val="0"/>
        <w:adjustRightInd w:val="0"/>
        <w:spacing w:line="360" w:lineRule="auto"/>
        <w:jc w:val="both"/>
        <w:rPr>
          <w:rFonts w:ascii="Palatino Linotype" w:hAnsi="Palatino Linotype"/>
          <w:sz w:val="16"/>
          <w:szCs w:val="16"/>
        </w:rPr>
      </w:pPr>
    </w:p>
    <w:p w14:paraId="1BF2CC14" w14:textId="77777777" w:rsidR="002A33F2" w:rsidRPr="00BF1428" w:rsidRDefault="002A33F2" w:rsidP="008764AE">
      <w:pPr>
        <w:widowControl w:val="0"/>
        <w:tabs>
          <w:tab w:val="left" w:pos="1701"/>
        </w:tabs>
        <w:autoSpaceDE w:val="0"/>
        <w:autoSpaceDN w:val="0"/>
        <w:adjustRightInd w:val="0"/>
        <w:spacing w:line="360" w:lineRule="auto"/>
        <w:jc w:val="both"/>
        <w:rPr>
          <w:rFonts w:ascii="Palatino Linotype" w:hAnsi="Palatino Linotype"/>
          <w:sz w:val="16"/>
          <w:szCs w:val="16"/>
        </w:rPr>
      </w:pPr>
    </w:p>
    <w:p w14:paraId="2BDBC13B" w14:textId="2E8AB366" w:rsidR="005E4AFF" w:rsidRPr="00BF1428" w:rsidRDefault="00D93427" w:rsidP="00305A7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BF1428">
        <w:rPr>
          <w:rFonts w:ascii="Palatino Linotype" w:hAnsi="Palatino Linotype"/>
          <w:b/>
        </w:rPr>
        <w:t xml:space="preserve">Acto Impugnado: </w:t>
      </w:r>
      <w:r w:rsidR="005E4AFF" w:rsidRPr="00BF1428">
        <w:rPr>
          <w:rFonts w:ascii="Palatino Linotype" w:hAnsi="Palatino Linotype"/>
          <w:i/>
        </w:rPr>
        <w:t>“</w:t>
      </w:r>
      <w:r w:rsidR="002A33F2" w:rsidRPr="00BF1428">
        <w:rPr>
          <w:rFonts w:ascii="Palatino Linotype" w:hAnsi="Palatino Linotype"/>
          <w:i/>
        </w:rPr>
        <w:t>Información incompleta</w:t>
      </w:r>
      <w:r w:rsidR="005E4AFF" w:rsidRPr="00BF1428">
        <w:rPr>
          <w:rFonts w:ascii="Palatino Linotype" w:hAnsi="Palatino Linotype"/>
          <w:i/>
        </w:rPr>
        <w:t>”</w:t>
      </w:r>
      <w:r w:rsidR="008C17F0" w:rsidRPr="00BF1428">
        <w:rPr>
          <w:rFonts w:ascii="Palatino Linotype" w:hAnsi="Palatino Linotype"/>
          <w:i/>
        </w:rPr>
        <w:t xml:space="preserve"> </w:t>
      </w:r>
      <w:r w:rsidR="005E4AFF" w:rsidRPr="00BF1428">
        <w:rPr>
          <w:rFonts w:ascii="Palatino Linotype" w:hAnsi="Palatino Linotype"/>
          <w:i/>
        </w:rPr>
        <w:t>(Sic).</w:t>
      </w:r>
    </w:p>
    <w:p w14:paraId="2DA07D01" w14:textId="77777777" w:rsidR="002A33F2" w:rsidRPr="00BF1428" w:rsidRDefault="002A33F2" w:rsidP="008C17F0">
      <w:pPr>
        <w:pStyle w:val="Sinespaciado"/>
        <w:rPr>
          <w:sz w:val="20"/>
          <w:szCs w:val="20"/>
        </w:rPr>
      </w:pPr>
    </w:p>
    <w:p w14:paraId="6B4D2D46" w14:textId="77777777" w:rsidR="002A33F2" w:rsidRPr="00BF1428" w:rsidRDefault="002A33F2" w:rsidP="008C17F0">
      <w:pPr>
        <w:pStyle w:val="Sinespaciado"/>
        <w:rPr>
          <w:sz w:val="20"/>
          <w:szCs w:val="20"/>
        </w:rPr>
      </w:pPr>
    </w:p>
    <w:p w14:paraId="5160DD7D" w14:textId="68D7BC9F" w:rsidR="005E4AFF" w:rsidRPr="00BF1428" w:rsidRDefault="005E4AFF" w:rsidP="00305A7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BF1428">
        <w:rPr>
          <w:rFonts w:ascii="Palatino Linotype" w:hAnsi="Palatino Linotype"/>
          <w:b/>
        </w:rPr>
        <w:t xml:space="preserve">Razones o Motivos de Inconformidad: </w:t>
      </w:r>
      <w:r w:rsidRPr="00BF1428">
        <w:rPr>
          <w:rFonts w:ascii="Palatino Linotype" w:hAnsi="Palatino Linotype" w:cs="Arial"/>
          <w:i/>
        </w:rPr>
        <w:t>“</w:t>
      </w:r>
      <w:r w:rsidR="002A33F2" w:rsidRPr="00BF1428">
        <w:rPr>
          <w:rFonts w:ascii="Palatino Linotype" w:hAnsi="Palatino Linotype" w:cs="Arial"/>
          <w:i/>
        </w:rPr>
        <w:t>Información incompleta sin sustento</w:t>
      </w:r>
      <w:r w:rsidRPr="00BF1428">
        <w:rPr>
          <w:rFonts w:ascii="Palatino Linotype" w:hAnsi="Palatino Linotype" w:cs="Arial"/>
          <w:i/>
        </w:rPr>
        <w:t>” (Sic).</w:t>
      </w:r>
    </w:p>
    <w:p w14:paraId="0C1DD782" w14:textId="77777777" w:rsidR="00D93427" w:rsidRPr="00BF1428" w:rsidRDefault="00D93427" w:rsidP="005E4AFF">
      <w:pPr>
        <w:spacing w:line="360" w:lineRule="auto"/>
        <w:jc w:val="both"/>
        <w:rPr>
          <w:rFonts w:ascii="Palatino Linotype" w:eastAsia="Calibri" w:hAnsi="Palatino Linotype" w:cs="Arial"/>
          <w:lang w:val="es-MX" w:eastAsia="en-US"/>
        </w:rPr>
      </w:pPr>
    </w:p>
    <w:p w14:paraId="26580D2B" w14:textId="77777777" w:rsidR="002A33F2" w:rsidRPr="00BF1428" w:rsidRDefault="002A33F2" w:rsidP="005E4AFF">
      <w:pPr>
        <w:spacing w:line="360" w:lineRule="auto"/>
        <w:jc w:val="both"/>
        <w:rPr>
          <w:rFonts w:ascii="Palatino Linotype" w:eastAsia="Calibri" w:hAnsi="Palatino Linotype" w:cs="Arial"/>
          <w:lang w:val="es-MX" w:eastAsia="en-US"/>
        </w:rPr>
      </w:pPr>
    </w:p>
    <w:p w14:paraId="6FE15A8F" w14:textId="4404AB12" w:rsidR="005E4AFF" w:rsidRPr="00BF1428" w:rsidRDefault="005E4AFF" w:rsidP="005E4AFF">
      <w:pPr>
        <w:tabs>
          <w:tab w:val="center" w:pos="4419"/>
          <w:tab w:val="right" w:pos="8838"/>
        </w:tabs>
        <w:spacing w:line="360" w:lineRule="auto"/>
        <w:jc w:val="both"/>
        <w:rPr>
          <w:rFonts w:ascii="Palatino Linotype" w:eastAsia="Calibri" w:hAnsi="Palatino Linotype" w:cs="Arial"/>
          <w:b/>
          <w:color w:val="000000"/>
          <w:sz w:val="26"/>
          <w:szCs w:val="26"/>
        </w:rPr>
      </w:pPr>
      <w:r w:rsidRPr="00BF1428">
        <w:rPr>
          <w:rFonts w:ascii="Palatino Linotype" w:eastAsia="Calibri" w:hAnsi="Palatino Linotype" w:cs="Arial"/>
          <w:b/>
          <w:color w:val="000000"/>
          <w:sz w:val="26"/>
          <w:szCs w:val="26"/>
        </w:rPr>
        <w:lastRenderedPageBreak/>
        <w:t>DÉCIMO</w:t>
      </w:r>
      <w:r w:rsidR="00B16D3E" w:rsidRPr="00BF1428">
        <w:rPr>
          <w:rFonts w:ascii="Palatino Linotype" w:eastAsia="Calibri" w:hAnsi="Palatino Linotype" w:cs="Arial"/>
          <w:b/>
          <w:color w:val="000000"/>
          <w:sz w:val="26"/>
          <w:szCs w:val="26"/>
        </w:rPr>
        <w:t xml:space="preserve"> </w:t>
      </w:r>
      <w:r w:rsidR="002A33F2" w:rsidRPr="00BF1428">
        <w:rPr>
          <w:rFonts w:ascii="Palatino Linotype" w:eastAsia="Calibri" w:hAnsi="Palatino Linotype" w:cs="Arial"/>
          <w:b/>
          <w:color w:val="000000"/>
          <w:sz w:val="26"/>
          <w:szCs w:val="26"/>
        </w:rPr>
        <w:t>PRIMERO</w:t>
      </w:r>
      <w:r w:rsidRPr="00BF1428">
        <w:rPr>
          <w:rFonts w:ascii="Palatino Linotype" w:eastAsia="Calibri" w:hAnsi="Palatino Linotype" w:cs="Arial"/>
          <w:b/>
          <w:color w:val="000000"/>
          <w:sz w:val="26"/>
          <w:szCs w:val="26"/>
        </w:rPr>
        <w:t>. Admisión del recurso de revisión.</w:t>
      </w:r>
    </w:p>
    <w:p w14:paraId="335C12F7" w14:textId="54094456" w:rsidR="005E4AFF" w:rsidRPr="00BF1428" w:rsidRDefault="005E4AFF" w:rsidP="005E4AFF">
      <w:pPr>
        <w:tabs>
          <w:tab w:val="center" w:pos="4419"/>
          <w:tab w:val="right" w:pos="8838"/>
        </w:tabs>
        <w:spacing w:line="360" w:lineRule="auto"/>
        <w:jc w:val="both"/>
        <w:rPr>
          <w:rFonts w:ascii="Palatino Linotype" w:eastAsia="Calibri" w:hAnsi="Palatino Linotype" w:cs="Arial"/>
          <w:color w:val="000000"/>
        </w:rPr>
      </w:pPr>
      <w:r w:rsidRPr="00BF1428">
        <w:rPr>
          <w:rFonts w:ascii="Palatino Linotype" w:eastAsia="Calibri" w:hAnsi="Palatino Linotype" w:cs="Arial"/>
          <w:color w:val="000000"/>
        </w:rPr>
        <w:t xml:space="preserve">De las constancias del expediente electrónico del </w:t>
      </w:r>
      <w:r w:rsidRPr="00BF1428">
        <w:rPr>
          <w:rFonts w:ascii="Palatino Linotype" w:eastAsia="Calibri" w:hAnsi="Palatino Linotype"/>
          <w:color w:val="222222"/>
          <w:shd w:val="clear" w:color="auto" w:fill="FFFFFF"/>
        </w:rPr>
        <w:t>Sistema de Acceso a la Información Mexiquense</w:t>
      </w:r>
      <w:r w:rsidRPr="00BF1428">
        <w:rPr>
          <w:rFonts w:ascii="Palatino Linotype" w:eastAsia="Calibri" w:hAnsi="Palatino Linotype" w:cs="Arial"/>
          <w:b/>
          <w:color w:val="000000"/>
        </w:rPr>
        <w:t xml:space="preserve"> </w:t>
      </w:r>
      <w:r w:rsidRPr="00BF1428">
        <w:rPr>
          <w:rFonts w:ascii="Palatino Linotype" w:eastAsia="Calibri" w:hAnsi="Palatino Linotype" w:cs="Arial"/>
          <w:color w:val="000000"/>
        </w:rPr>
        <w:t xml:space="preserve">(SAIMEX), se advierte que en fecha </w:t>
      </w:r>
      <w:r w:rsidR="002A33F2" w:rsidRPr="00BF1428">
        <w:rPr>
          <w:rFonts w:ascii="Palatino Linotype" w:eastAsia="Calibri" w:hAnsi="Palatino Linotype" w:cs="Arial"/>
          <w:bCs/>
          <w:color w:val="000000"/>
        </w:rPr>
        <w:t>veintinueve de enero de dos mil veintiséis</w:t>
      </w:r>
      <w:r w:rsidRPr="00BF1428">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BF1428">
        <w:rPr>
          <w:rFonts w:ascii="Palatino Linotype" w:eastAsia="Calibri" w:hAnsi="Palatino Linotype" w:cs="Arial"/>
          <w:b/>
          <w:color w:val="000000"/>
        </w:rPr>
        <w:t xml:space="preserve"> Sujeto Obligado </w:t>
      </w:r>
      <w:r w:rsidRPr="00BF1428">
        <w:rPr>
          <w:rFonts w:ascii="Palatino Linotype" w:eastAsia="Calibri" w:hAnsi="Palatino Linotype" w:cs="Arial"/>
          <w:color w:val="000000"/>
        </w:rPr>
        <w:t>rindiera su</w:t>
      </w:r>
      <w:r w:rsidRPr="00BF1428">
        <w:rPr>
          <w:rFonts w:ascii="Palatino Linotype" w:eastAsia="Calibri" w:hAnsi="Palatino Linotype" w:cs="Arial"/>
          <w:b/>
          <w:color w:val="000000"/>
        </w:rPr>
        <w:t xml:space="preserve"> </w:t>
      </w:r>
      <w:r w:rsidRPr="00BF1428">
        <w:rPr>
          <w:rFonts w:ascii="Palatino Linotype" w:eastAsia="Calibri" w:hAnsi="Palatino Linotype" w:cs="Arial"/>
          <w:color w:val="000000"/>
        </w:rPr>
        <w:t>Informe Justificado.</w:t>
      </w:r>
    </w:p>
    <w:p w14:paraId="6E5060AC" w14:textId="77777777" w:rsidR="00D93427" w:rsidRPr="00BF1428" w:rsidRDefault="00D93427" w:rsidP="005E4AFF">
      <w:pPr>
        <w:tabs>
          <w:tab w:val="center" w:pos="4419"/>
          <w:tab w:val="right" w:pos="8838"/>
        </w:tabs>
        <w:spacing w:line="360" w:lineRule="auto"/>
        <w:jc w:val="both"/>
        <w:rPr>
          <w:rFonts w:ascii="Palatino Linotype" w:eastAsia="Calibri" w:hAnsi="Palatino Linotype" w:cs="Arial"/>
          <w:color w:val="000000"/>
        </w:rPr>
      </w:pPr>
    </w:p>
    <w:p w14:paraId="1C99A99D" w14:textId="556A3B91" w:rsidR="005E4AFF" w:rsidRPr="00BF1428" w:rsidRDefault="005E4AFF" w:rsidP="005E4AFF">
      <w:pPr>
        <w:spacing w:line="360" w:lineRule="auto"/>
        <w:jc w:val="both"/>
        <w:rPr>
          <w:rFonts w:ascii="Palatino Linotype" w:eastAsia="Calibri" w:hAnsi="Palatino Linotype" w:cs="Arial"/>
          <w:b/>
          <w:sz w:val="26"/>
          <w:szCs w:val="26"/>
          <w:lang w:val="es-MX" w:eastAsia="en-US"/>
        </w:rPr>
      </w:pPr>
      <w:r w:rsidRPr="00BF1428">
        <w:rPr>
          <w:rFonts w:ascii="Palatino Linotype" w:eastAsia="Arial Unicode MS" w:hAnsi="Palatino Linotype" w:cs="Arial"/>
          <w:b/>
          <w:color w:val="000000"/>
          <w:sz w:val="26"/>
          <w:szCs w:val="26"/>
          <w:lang w:val="es-MX" w:eastAsia="en-US"/>
        </w:rPr>
        <w:t xml:space="preserve">DÉCIMO </w:t>
      </w:r>
      <w:r w:rsidR="002A33F2" w:rsidRPr="00BF1428">
        <w:rPr>
          <w:rFonts w:ascii="Palatino Linotype" w:eastAsia="Arial Unicode MS" w:hAnsi="Palatino Linotype" w:cs="Arial"/>
          <w:b/>
          <w:color w:val="000000"/>
          <w:sz w:val="26"/>
          <w:szCs w:val="26"/>
          <w:lang w:val="es-MX" w:eastAsia="en-US"/>
        </w:rPr>
        <w:t>SEGUNDO</w:t>
      </w:r>
      <w:r w:rsidRPr="00BF1428">
        <w:rPr>
          <w:rFonts w:ascii="Palatino Linotype" w:eastAsia="Arial Unicode MS" w:hAnsi="Palatino Linotype" w:cs="Arial"/>
          <w:b/>
          <w:color w:val="000000"/>
          <w:sz w:val="26"/>
          <w:szCs w:val="26"/>
          <w:lang w:val="es-MX" w:eastAsia="en-US"/>
        </w:rPr>
        <w:t xml:space="preserve">. </w:t>
      </w:r>
      <w:r w:rsidRPr="00BF1428">
        <w:rPr>
          <w:rFonts w:ascii="Palatino Linotype" w:eastAsia="Calibri" w:hAnsi="Palatino Linotype" w:cs="Arial"/>
          <w:b/>
          <w:sz w:val="26"/>
          <w:szCs w:val="26"/>
          <w:lang w:val="es-MX" w:eastAsia="en-US"/>
        </w:rPr>
        <w:t>De la etapa de manifestaciones y/o alegatos.</w:t>
      </w:r>
    </w:p>
    <w:p w14:paraId="4E0C9AB7" w14:textId="1391C167" w:rsidR="00D93427" w:rsidRPr="00BF1428" w:rsidRDefault="002A33F2" w:rsidP="00403A45">
      <w:pPr>
        <w:spacing w:line="360" w:lineRule="auto"/>
        <w:contextualSpacing/>
        <w:jc w:val="both"/>
        <w:rPr>
          <w:rFonts w:ascii="Palatino Linotype" w:hAnsi="Palatino Linotype" w:cs="Palatino Linotype"/>
          <w:color w:val="000000"/>
          <w:lang w:val="es-ES_tradnl" w:eastAsia="es-MX"/>
        </w:rPr>
      </w:pPr>
      <w:r w:rsidRPr="00BF1428">
        <w:rPr>
          <w:rFonts w:ascii="Palatino Linotype" w:hAnsi="Palatino Linotype" w:cs="Palatino Linotype"/>
          <w:color w:val="000000"/>
          <w:lang w:val="es-ES_tradnl" w:eastAsia="es-MX"/>
        </w:rPr>
        <w:t>Una vez abierta la etapa de instrucción, se observa que el</w:t>
      </w:r>
      <w:r w:rsidRPr="00BF1428">
        <w:rPr>
          <w:rFonts w:ascii="Palatino Linotype" w:hAnsi="Palatino Linotype" w:cs="Palatino Linotype"/>
          <w:b/>
          <w:bCs/>
          <w:color w:val="000000"/>
          <w:lang w:val="es-ES_tradnl" w:eastAsia="es-MX"/>
        </w:rPr>
        <w:t xml:space="preserve"> Sujeto Obligado</w:t>
      </w:r>
      <w:r w:rsidRPr="00BF1428">
        <w:rPr>
          <w:rFonts w:ascii="Palatino Linotype" w:hAnsi="Palatino Linotype" w:cs="Palatino Linotype"/>
          <w:color w:val="000000"/>
          <w:lang w:val="es-ES_tradnl" w:eastAsia="es-MX"/>
        </w:rPr>
        <w:t xml:space="preserve"> omitió rendir su Informe Justificado. Asimismo, </w:t>
      </w:r>
      <w:r w:rsidRPr="00BF1428">
        <w:rPr>
          <w:rFonts w:ascii="Palatino Linotype" w:hAnsi="Palatino Linotype" w:cs="Palatino Linotype"/>
          <w:b/>
          <w:bCs/>
          <w:color w:val="000000"/>
          <w:lang w:val="es-ES_tradnl" w:eastAsia="es-MX"/>
        </w:rPr>
        <w:t>el Recurrente</w:t>
      </w:r>
      <w:r w:rsidRPr="00BF1428">
        <w:rPr>
          <w:rFonts w:ascii="Palatino Linotype" w:hAnsi="Palatino Linotype" w:cs="Palatino Linotype"/>
          <w:color w:val="000000"/>
          <w:lang w:val="es-ES_tradnl" w:eastAsia="es-MX"/>
        </w:rPr>
        <w:t xml:space="preserve"> no presentó manifestaciones, rindió alegatos ni presentó pruebas que a su derecho convinieran.</w:t>
      </w:r>
    </w:p>
    <w:p w14:paraId="54983E8A" w14:textId="77777777" w:rsidR="00403A45" w:rsidRPr="00BF1428" w:rsidRDefault="00403A45" w:rsidP="00403A45">
      <w:pPr>
        <w:spacing w:line="360" w:lineRule="auto"/>
        <w:jc w:val="both"/>
        <w:rPr>
          <w:rFonts w:ascii="Palatino Linotype" w:eastAsia="Calibri" w:hAnsi="Palatino Linotype" w:cs="Arial"/>
          <w:lang w:val="es-MX" w:eastAsia="en-US"/>
        </w:rPr>
      </w:pPr>
    </w:p>
    <w:p w14:paraId="2E134606" w14:textId="07047576" w:rsidR="005E4AFF" w:rsidRPr="00BF1428" w:rsidRDefault="005E4AFF" w:rsidP="005E4AFF">
      <w:pPr>
        <w:spacing w:line="360" w:lineRule="auto"/>
        <w:jc w:val="both"/>
        <w:rPr>
          <w:rFonts w:ascii="Palatino Linotype" w:eastAsia="Calibri" w:hAnsi="Palatino Linotype"/>
          <w:b/>
          <w:color w:val="000000"/>
          <w:sz w:val="26"/>
          <w:szCs w:val="26"/>
          <w:lang w:val="es-MX" w:eastAsia="en-US"/>
        </w:rPr>
      </w:pPr>
      <w:r w:rsidRPr="00BF1428">
        <w:rPr>
          <w:rFonts w:ascii="Palatino Linotype" w:eastAsia="Calibri" w:hAnsi="Palatino Linotype"/>
          <w:b/>
          <w:color w:val="000000"/>
          <w:sz w:val="26"/>
          <w:szCs w:val="26"/>
          <w:lang w:val="es-MX" w:eastAsia="en-US"/>
        </w:rPr>
        <w:t>DÉCIMO</w:t>
      </w:r>
      <w:r w:rsidR="003F0DA1" w:rsidRPr="00BF1428">
        <w:rPr>
          <w:rFonts w:ascii="Palatino Linotype" w:eastAsia="Calibri" w:hAnsi="Palatino Linotype"/>
          <w:b/>
          <w:color w:val="000000"/>
          <w:sz w:val="26"/>
          <w:szCs w:val="26"/>
          <w:lang w:val="es-MX" w:eastAsia="en-US"/>
        </w:rPr>
        <w:t xml:space="preserve"> </w:t>
      </w:r>
      <w:r w:rsidR="002A33F2" w:rsidRPr="00BF1428">
        <w:rPr>
          <w:rFonts w:ascii="Palatino Linotype" w:eastAsia="Calibri" w:hAnsi="Palatino Linotype"/>
          <w:b/>
          <w:color w:val="000000"/>
          <w:sz w:val="26"/>
          <w:szCs w:val="26"/>
          <w:lang w:val="es-MX" w:eastAsia="en-US"/>
        </w:rPr>
        <w:t>TERCERO</w:t>
      </w:r>
      <w:r w:rsidRPr="00BF1428">
        <w:rPr>
          <w:rFonts w:ascii="Palatino Linotype" w:eastAsia="Calibri" w:hAnsi="Palatino Linotype"/>
          <w:b/>
          <w:color w:val="000000"/>
          <w:sz w:val="26"/>
          <w:szCs w:val="26"/>
          <w:lang w:val="es-MX" w:eastAsia="en-US"/>
        </w:rPr>
        <w:t>. Del Cierre de instrucción.</w:t>
      </w:r>
    </w:p>
    <w:p w14:paraId="3472281A" w14:textId="0A8ADBFB" w:rsidR="005C3BA4" w:rsidRPr="00BF1428" w:rsidRDefault="005E4AFF" w:rsidP="005E4AFF">
      <w:pPr>
        <w:spacing w:line="360" w:lineRule="auto"/>
        <w:jc w:val="both"/>
        <w:rPr>
          <w:rFonts w:ascii="Palatino Linotype" w:eastAsia="Calibri" w:hAnsi="Palatino Linotype" w:cs="Arial"/>
          <w:color w:val="000000"/>
          <w:lang w:val="es-MX" w:eastAsia="en-US"/>
        </w:rPr>
      </w:pPr>
      <w:r w:rsidRPr="00BF1428">
        <w:rPr>
          <w:rFonts w:ascii="Palatino Linotype" w:eastAsia="Calibri" w:hAnsi="Palatino Linotype" w:cs="Arial"/>
          <w:lang w:val="es-MX" w:eastAsia="en-US"/>
        </w:rPr>
        <w:t xml:space="preserve">Una vez </w:t>
      </w:r>
      <w:r w:rsidRPr="00BF1428">
        <w:rPr>
          <w:rFonts w:ascii="Palatino Linotype" w:eastAsia="Calibri" w:hAnsi="Palatino Linotype" w:cs="Arial"/>
          <w:color w:val="000000"/>
          <w:lang w:val="es-MX" w:eastAsia="en-US"/>
        </w:rPr>
        <w:t>analizado</w:t>
      </w:r>
      <w:r w:rsidRPr="00BF1428">
        <w:rPr>
          <w:rFonts w:ascii="Palatino Linotype" w:eastAsia="Calibri" w:hAnsi="Palatino Linotype" w:cs="Arial"/>
          <w:lang w:val="es-MX" w:eastAsia="en-US"/>
        </w:rPr>
        <w:t xml:space="preserve"> el estado procesal que guardaba el expediente, en fecha </w:t>
      </w:r>
      <w:r w:rsidR="002A33F2" w:rsidRPr="00BF1428">
        <w:rPr>
          <w:rFonts w:ascii="Palatino Linotype" w:eastAsia="Calibri" w:hAnsi="Palatino Linotype" w:cs="Arial"/>
          <w:bCs/>
          <w:lang w:val="es-MX" w:eastAsia="en-US"/>
        </w:rPr>
        <w:t>once de enero de dos mil veintiséis</w:t>
      </w:r>
      <w:r w:rsidRPr="00BF1428">
        <w:rPr>
          <w:rFonts w:ascii="Palatino Linotype" w:eastAsia="Calibri" w:hAnsi="Palatino Linotype"/>
          <w:color w:val="000000"/>
          <w:lang w:val="es-MX" w:eastAsia="en-US"/>
        </w:rPr>
        <w:t>,</w:t>
      </w:r>
      <w:r w:rsidRPr="00BF1428">
        <w:rPr>
          <w:rFonts w:ascii="Palatino Linotype" w:eastAsia="Calibri" w:hAnsi="Palatino Linotype" w:cs="Arial"/>
          <w:lang w:val="es-MX" w:eastAsia="en-US"/>
        </w:rPr>
        <w:t xml:space="preserve"> el Comisionado Ponente acordó el cierre de instrucción; así </w:t>
      </w:r>
      <w:r w:rsidRPr="00BF1428">
        <w:rPr>
          <w:rFonts w:ascii="Palatino Linotype" w:eastAsia="Calibri" w:hAnsi="Palatino Linotype" w:cs="Arial"/>
          <w:lang w:val="es-ES_tradnl" w:eastAsia="en-US"/>
        </w:rPr>
        <w:t>como,</w:t>
      </w:r>
      <w:r w:rsidRPr="00BF1428">
        <w:rPr>
          <w:rFonts w:ascii="Palatino Linotype" w:eastAsia="Calibri" w:hAnsi="Palatino Linotype" w:cs="Arial"/>
          <w:lang w:val="es-MX" w:eastAsia="en-US"/>
        </w:rPr>
        <w:t xml:space="preserve"> la remisión del mismo a efecto </w:t>
      </w:r>
      <w:r w:rsidRPr="00BF1428">
        <w:rPr>
          <w:rFonts w:ascii="Palatino Linotype" w:eastAsia="Calibri" w:hAnsi="Palatino Linotype" w:cs="Arial"/>
          <w:lang w:val="es-ES_tradnl" w:eastAsia="en-US"/>
        </w:rPr>
        <w:t>de</w:t>
      </w:r>
      <w:r w:rsidRPr="00BF1428">
        <w:rPr>
          <w:rFonts w:ascii="Palatino Linotype" w:eastAsia="Calibri" w:hAnsi="Palatino Linotype" w:cs="Arial"/>
          <w:lang w:val="es-MX" w:eastAsia="en-US"/>
        </w:rPr>
        <w:t xml:space="preserve"> ser resuelto, de conformidad con lo establecido en el artículo 185, fracciones VI y VIII</w:t>
      </w:r>
      <w:r w:rsidR="000D3B9A" w:rsidRPr="00BF1428">
        <w:rPr>
          <w:rFonts w:ascii="Palatino Linotype" w:eastAsia="Calibri" w:hAnsi="Palatino Linotype" w:cs="Arial"/>
          <w:lang w:val="es-MX" w:eastAsia="en-US"/>
        </w:rPr>
        <w:t>,</w:t>
      </w:r>
      <w:r w:rsidRPr="00BF1428">
        <w:rPr>
          <w:rFonts w:ascii="Palatino Linotype" w:eastAsia="Calibri" w:hAnsi="Palatino Linotype" w:cs="Arial"/>
          <w:lang w:val="es-MX" w:eastAsia="en-US"/>
        </w:rPr>
        <w:t xml:space="preserve"> de la Ley de Transparencia y Acceso a la Información Pública del Estado de México y Municipios</w:t>
      </w:r>
      <w:r w:rsidR="00016984" w:rsidRPr="00BF1428">
        <w:rPr>
          <w:rFonts w:ascii="Palatino Linotype" w:eastAsia="Calibri" w:hAnsi="Palatino Linotype" w:cs="Arial"/>
          <w:color w:val="000000"/>
          <w:lang w:val="es-MX" w:eastAsia="en-US"/>
        </w:rPr>
        <w:t>.</w:t>
      </w:r>
    </w:p>
    <w:p w14:paraId="1A7931B5" w14:textId="77777777" w:rsidR="00B35922" w:rsidRPr="00BF1428" w:rsidRDefault="00B35922" w:rsidP="005E4AFF">
      <w:pPr>
        <w:spacing w:line="360" w:lineRule="auto"/>
        <w:jc w:val="both"/>
        <w:rPr>
          <w:rFonts w:ascii="Palatino Linotype" w:eastAsia="Calibri" w:hAnsi="Palatino Linotype" w:cs="Arial"/>
          <w:color w:val="000000"/>
          <w:lang w:val="es-MX" w:eastAsia="en-US"/>
        </w:rPr>
      </w:pPr>
    </w:p>
    <w:p w14:paraId="08502134" w14:textId="77777777" w:rsidR="009B08BD" w:rsidRPr="00BF1428" w:rsidRDefault="009B08BD" w:rsidP="005E4AFF">
      <w:pPr>
        <w:spacing w:line="360" w:lineRule="auto"/>
        <w:jc w:val="both"/>
        <w:rPr>
          <w:rFonts w:ascii="Palatino Linotype" w:eastAsia="Calibri" w:hAnsi="Palatino Linotype" w:cs="Arial"/>
          <w:color w:val="000000"/>
          <w:lang w:val="es-MX" w:eastAsia="en-US"/>
        </w:rPr>
      </w:pPr>
    </w:p>
    <w:p w14:paraId="3674B270" w14:textId="77777777" w:rsidR="00A036A6" w:rsidRPr="00BF1428" w:rsidRDefault="00A036A6" w:rsidP="00305A77">
      <w:pPr>
        <w:spacing w:line="360" w:lineRule="auto"/>
        <w:jc w:val="center"/>
        <w:rPr>
          <w:rFonts w:ascii="Palatino Linotype" w:hAnsi="Palatino Linotype" w:cs="Arial"/>
          <w:b/>
          <w:sz w:val="28"/>
        </w:rPr>
      </w:pPr>
      <w:r w:rsidRPr="00BF1428">
        <w:rPr>
          <w:rFonts w:ascii="Palatino Linotype" w:hAnsi="Palatino Linotype" w:cs="Arial"/>
          <w:b/>
          <w:sz w:val="28"/>
        </w:rPr>
        <w:lastRenderedPageBreak/>
        <w:t>C O N S I D E R A</w:t>
      </w:r>
      <w:r w:rsidR="00305A77" w:rsidRPr="00BF1428">
        <w:rPr>
          <w:rFonts w:ascii="Palatino Linotype" w:hAnsi="Palatino Linotype" w:cs="Arial"/>
          <w:b/>
          <w:sz w:val="28"/>
        </w:rPr>
        <w:t xml:space="preserve"> N D O </w:t>
      </w:r>
    </w:p>
    <w:p w14:paraId="35EE49AE" w14:textId="77777777" w:rsidR="00305A77" w:rsidRPr="00BF1428" w:rsidRDefault="00305A77" w:rsidP="00305A77">
      <w:pPr>
        <w:pStyle w:val="Sinespaciado"/>
      </w:pPr>
    </w:p>
    <w:p w14:paraId="118D6DA2" w14:textId="77777777" w:rsidR="00A036A6" w:rsidRPr="00BF1428" w:rsidRDefault="00A036A6" w:rsidP="00A036A6">
      <w:pPr>
        <w:spacing w:line="360" w:lineRule="auto"/>
        <w:jc w:val="both"/>
        <w:rPr>
          <w:rFonts w:ascii="Palatino Linotype" w:hAnsi="Palatino Linotype" w:cs="Arial"/>
        </w:rPr>
      </w:pPr>
      <w:r w:rsidRPr="00BF1428">
        <w:rPr>
          <w:rFonts w:ascii="Palatino Linotype" w:hAnsi="Palatino Linotype" w:cs="Arial"/>
          <w:b/>
          <w:sz w:val="28"/>
        </w:rPr>
        <w:t>PRIMERO.</w:t>
      </w:r>
      <w:r w:rsidRPr="00BF1428">
        <w:rPr>
          <w:rFonts w:ascii="Palatino Linotype" w:hAnsi="Palatino Linotype" w:cs="Arial"/>
          <w:b/>
        </w:rPr>
        <w:t xml:space="preserve"> </w:t>
      </w:r>
      <w:r w:rsidRPr="00BF1428">
        <w:rPr>
          <w:rFonts w:ascii="Palatino Linotype" w:hAnsi="Palatino Linotype" w:cs="Arial"/>
          <w:b/>
          <w:sz w:val="28"/>
          <w:szCs w:val="28"/>
        </w:rPr>
        <w:t>De la competencia</w:t>
      </w:r>
      <w:r w:rsidRPr="00BF1428">
        <w:rPr>
          <w:rFonts w:ascii="Palatino Linotype" w:hAnsi="Palatino Linotype" w:cs="Arial"/>
          <w:sz w:val="28"/>
          <w:szCs w:val="28"/>
        </w:rPr>
        <w:t>.</w:t>
      </w:r>
    </w:p>
    <w:p w14:paraId="752D2E1A" w14:textId="4A8C313D" w:rsidR="00C16EB1" w:rsidRPr="00BF1428" w:rsidRDefault="002A33F2" w:rsidP="00C16EB1">
      <w:pPr>
        <w:spacing w:line="360" w:lineRule="auto"/>
        <w:jc w:val="both"/>
        <w:rPr>
          <w:rFonts w:ascii="Palatino Linotype" w:hAnsi="Palatino Linotype"/>
          <w:sz w:val="28"/>
          <w:szCs w:val="28"/>
        </w:rPr>
      </w:pPr>
      <w:r w:rsidRPr="00BF1428">
        <w:rPr>
          <w:rFonts w:ascii="Palatino Linotype" w:hAnsi="Palatino Linotype" w:cs="Segoe UI"/>
          <w:color w:val="000000"/>
          <w:shd w:val="clear" w:color="auto" w:fill="FFFFFF"/>
        </w:rPr>
        <w:t>Este Instituto de Transparencia, Acceso a la Información Pública y Protección de Datos Personales del Estado de México y Municipios es competente para conocer y resolver el presente recurso de revisión conforme a lo dispuesto en los artículos 5 párrafos trigésimo noveno, cuadragésimo y cuadragésimo primero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98F4A87" w14:textId="77777777" w:rsidR="00305A77" w:rsidRPr="00BF1428" w:rsidRDefault="00305A77" w:rsidP="00A036A6">
      <w:pPr>
        <w:pStyle w:val="Prrafodelista"/>
        <w:autoSpaceDE w:val="0"/>
        <w:autoSpaceDN w:val="0"/>
        <w:adjustRightInd w:val="0"/>
        <w:spacing w:line="360" w:lineRule="auto"/>
        <w:ind w:left="0"/>
        <w:jc w:val="both"/>
        <w:rPr>
          <w:rFonts w:ascii="Palatino Linotype" w:hAnsi="Palatino Linotype" w:cs="Arial"/>
          <w:b/>
        </w:rPr>
      </w:pPr>
    </w:p>
    <w:p w14:paraId="092B220B" w14:textId="77777777" w:rsidR="00A036A6" w:rsidRPr="00BF142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F1428">
        <w:rPr>
          <w:rFonts w:ascii="Palatino Linotype" w:hAnsi="Palatino Linotype" w:cs="Arial"/>
          <w:b/>
          <w:sz w:val="28"/>
        </w:rPr>
        <w:t>SEGUNDO</w:t>
      </w:r>
      <w:r w:rsidRPr="00BF1428">
        <w:rPr>
          <w:rFonts w:ascii="Palatino Linotype" w:hAnsi="Palatino Linotype" w:cs="Arial"/>
          <w:b/>
        </w:rPr>
        <w:t xml:space="preserve">. </w:t>
      </w:r>
      <w:r w:rsidRPr="00BF1428">
        <w:rPr>
          <w:rFonts w:ascii="Palatino Linotype" w:hAnsi="Palatino Linotype" w:cs="Arial"/>
          <w:b/>
          <w:sz w:val="28"/>
          <w:szCs w:val="28"/>
        </w:rPr>
        <w:t>Sobre los alcances del recurso de revisión.</w:t>
      </w:r>
      <w:r w:rsidRPr="00BF1428">
        <w:rPr>
          <w:rFonts w:ascii="Palatino Linotype" w:hAnsi="Palatino Linotype" w:cs="Arial"/>
          <w:b/>
        </w:rPr>
        <w:t xml:space="preserve"> </w:t>
      </w:r>
    </w:p>
    <w:p w14:paraId="56C5C35B" w14:textId="77777777" w:rsidR="00CB3A02" w:rsidRPr="00BF1428" w:rsidRDefault="000D3B9A" w:rsidP="00A036A6">
      <w:pPr>
        <w:pStyle w:val="Prrafodelista"/>
        <w:autoSpaceDE w:val="0"/>
        <w:autoSpaceDN w:val="0"/>
        <w:adjustRightInd w:val="0"/>
        <w:spacing w:line="360" w:lineRule="auto"/>
        <w:ind w:left="0"/>
        <w:jc w:val="both"/>
        <w:rPr>
          <w:rFonts w:ascii="Palatino Linotype" w:hAnsi="Palatino Linotype" w:cs="Arial"/>
        </w:rPr>
      </w:pPr>
      <w:r w:rsidRPr="00BF1428">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BE45F35" w14:textId="77777777" w:rsidR="003F0DA1" w:rsidRPr="00BF1428" w:rsidRDefault="003F0DA1" w:rsidP="00A036A6">
      <w:pPr>
        <w:pStyle w:val="Prrafodelista"/>
        <w:autoSpaceDE w:val="0"/>
        <w:autoSpaceDN w:val="0"/>
        <w:adjustRightInd w:val="0"/>
        <w:spacing w:line="360" w:lineRule="auto"/>
        <w:ind w:left="0"/>
        <w:jc w:val="both"/>
        <w:rPr>
          <w:rFonts w:ascii="Palatino Linotype" w:hAnsi="Palatino Linotype" w:cs="Arial"/>
        </w:rPr>
      </w:pPr>
    </w:p>
    <w:p w14:paraId="03257CB4" w14:textId="77777777" w:rsidR="00CB3A02" w:rsidRPr="00BF1428" w:rsidRDefault="00CB3A02" w:rsidP="00CB3A02">
      <w:pPr>
        <w:spacing w:line="360" w:lineRule="auto"/>
        <w:jc w:val="both"/>
        <w:rPr>
          <w:rFonts w:ascii="Palatino Linotype" w:eastAsia="Calibri" w:hAnsi="Palatino Linotype" w:cs="Arial"/>
          <w:sz w:val="26"/>
          <w:szCs w:val="26"/>
        </w:rPr>
      </w:pPr>
      <w:r w:rsidRPr="00BF1428">
        <w:rPr>
          <w:rFonts w:ascii="Palatino Linotype" w:eastAsia="Calibri" w:hAnsi="Palatino Linotype" w:cs="Arial"/>
          <w:b/>
          <w:sz w:val="26"/>
          <w:szCs w:val="26"/>
        </w:rPr>
        <w:t>TERCERO. Cuestiones de previo y especial pronunciamiento.</w:t>
      </w:r>
    </w:p>
    <w:p w14:paraId="6F651CD2" w14:textId="77777777" w:rsidR="0064529E" w:rsidRPr="00BF1428" w:rsidRDefault="0064529E" w:rsidP="0064529E">
      <w:pPr>
        <w:spacing w:line="360" w:lineRule="auto"/>
        <w:jc w:val="both"/>
        <w:rPr>
          <w:rFonts w:ascii="Palatino Linotype" w:eastAsiaTheme="minorHAnsi" w:hAnsi="Palatino Linotype" w:cs="Palatino Linotype"/>
        </w:rPr>
      </w:pPr>
      <w:r w:rsidRPr="00BF1428">
        <w:rPr>
          <w:rFonts w:ascii="Palatino Linotype" w:eastAsiaTheme="minorHAnsi" w:hAnsi="Palatino Linotype" w:cs="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150FA565" w14:textId="77777777" w:rsidR="0064529E" w:rsidRPr="00BF1428" w:rsidRDefault="0064529E" w:rsidP="0064529E">
      <w:pPr>
        <w:spacing w:after="160" w:line="360" w:lineRule="auto"/>
        <w:contextualSpacing/>
        <w:jc w:val="both"/>
        <w:rPr>
          <w:rFonts w:ascii="Palatino Linotype" w:eastAsiaTheme="minorHAnsi" w:hAnsi="Palatino Linotype" w:cs="Palatino Linotype"/>
          <w:sz w:val="22"/>
          <w:szCs w:val="22"/>
          <w:lang w:eastAsia="en-US"/>
        </w:rPr>
      </w:pPr>
    </w:p>
    <w:p w14:paraId="1448C5F9"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b/>
          <w:i/>
          <w:sz w:val="22"/>
          <w:szCs w:val="22"/>
          <w:lang w:eastAsia="en-US"/>
        </w:rPr>
        <w:t xml:space="preserve">Artículo 180. </w:t>
      </w:r>
      <w:r w:rsidRPr="00BF1428">
        <w:rPr>
          <w:rFonts w:ascii="Palatino Linotype" w:eastAsiaTheme="minorHAnsi" w:hAnsi="Palatino Linotype" w:cs="Palatino Linotype"/>
          <w:i/>
          <w:sz w:val="22"/>
          <w:szCs w:val="22"/>
          <w:lang w:eastAsia="en-US"/>
        </w:rPr>
        <w:t>El recurso de revisión contendrá:</w:t>
      </w:r>
    </w:p>
    <w:p w14:paraId="46DF905D"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9B20E63"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I. El sujeto obligado ante la cual se presentó la solicitud;</w:t>
      </w:r>
    </w:p>
    <w:p w14:paraId="0EDEB433"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b/>
          <w:i/>
          <w:sz w:val="22"/>
          <w:szCs w:val="22"/>
          <w:lang w:eastAsia="en-US"/>
        </w:rPr>
        <w:t>II. El nombre del solicitante que recurre</w:t>
      </w:r>
      <w:r w:rsidRPr="00BF1428">
        <w:rPr>
          <w:rFonts w:ascii="Palatino Linotype" w:eastAsiaTheme="minorHAnsi" w:hAnsi="Palatino Linotype" w:cs="Palatino Linotype"/>
          <w:i/>
          <w:sz w:val="22"/>
          <w:szCs w:val="22"/>
          <w:lang w:eastAsia="en-US"/>
        </w:rPr>
        <w:t xml:space="preserve"> o de su representante y, en su caso, del tercero interesado, así como la dirección o medio que señale para recibir notificaciones;</w:t>
      </w:r>
    </w:p>
    <w:p w14:paraId="10B3BFE7"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III. El número de folio de respuesta de la solicitud de acceso;</w:t>
      </w:r>
    </w:p>
    <w:p w14:paraId="5AD5BD4F"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IV. La fecha en que fue notificada la respuesta al solicitante o tuvo conocimiento del acto reclamado, o de presentación de la solicitud, en caso de falta de respuesta;</w:t>
      </w:r>
    </w:p>
    <w:p w14:paraId="54CC68F9"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V. El acto que se recurre;</w:t>
      </w:r>
    </w:p>
    <w:p w14:paraId="40E3FA2A"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VI. Las razones o motivos de inconformidad;</w:t>
      </w:r>
    </w:p>
    <w:p w14:paraId="0500F1B5"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VII. La copia de la respuesta que se impugna y, en su caso, de la notificación correspondiente, en el caso de respuesta de la solicitud; y</w:t>
      </w:r>
    </w:p>
    <w:p w14:paraId="10455512"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VIII. Firma del recurrente, en su caso, cuando se presente por escrito, requisito sin el cual se dará trámite al recurso.</w:t>
      </w:r>
    </w:p>
    <w:p w14:paraId="4EDD3C60"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862087E"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Adicionalmente, se podrán anexar las pruebas y demás elementos que considere procedentes someter a juicio del Instituto.</w:t>
      </w:r>
    </w:p>
    <w:p w14:paraId="03EC868B"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23F241E3"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En ningún caso será necesario que el particular ratifique el recurso de revisión interpuesto.</w:t>
      </w:r>
    </w:p>
    <w:p w14:paraId="1FD66E91"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05C86FF"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BF1428">
        <w:rPr>
          <w:rFonts w:ascii="Palatino Linotype" w:eastAsiaTheme="minorHAnsi" w:hAnsi="Palatino Linotype" w:cs="Palatino Linotype"/>
          <w:b/>
          <w:bCs/>
          <w:i/>
          <w:iCs/>
          <w:sz w:val="22"/>
          <w:szCs w:val="22"/>
          <w:lang w:eastAsia="en-US"/>
        </w:rPr>
        <w:t>En caso de que el recurso se interponga de manera electrónica no será indispensable que contengan los requisitos establecidos en las fracciones II</w:t>
      </w:r>
      <w:r w:rsidRPr="00BF1428">
        <w:rPr>
          <w:rFonts w:ascii="Palatino Linotype" w:eastAsiaTheme="minorHAnsi" w:hAnsi="Palatino Linotype" w:cs="Palatino Linotype"/>
          <w:i/>
          <w:iCs/>
          <w:sz w:val="22"/>
          <w:szCs w:val="22"/>
          <w:lang w:eastAsia="en-US"/>
        </w:rPr>
        <w:t>, IV, VII y VIII.</w:t>
      </w:r>
    </w:p>
    <w:p w14:paraId="78B3A1B3" w14:textId="77777777" w:rsidR="0064529E" w:rsidRPr="00BF1428" w:rsidRDefault="0064529E" w:rsidP="0064529E">
      <w:pPr>
        <w:spacing w:after="160" w:line="360" w:lineRule="auto"/>
        <w:contextualSpacing/>
        <w:jc w:val="both"/>
        <w:rPr>
          <w:rFonts w:ascii="Palatino Linotype" w:eastAsiaTheme="minorHAnsi" w:hAnsi="Palatino Linotype" w:cs="Palatino Linotype"/>
          <w:bCs/>
          <w:iCs/>
          <w:sz w:val="22"/>
          <w:szCs w:val="22"/>
          <w:lang w:eastAsia="en-US"/>
        </w:rPr>
      </w:pPr>
    </w:p>
    <w:p w14:paraId="1E4F51A8" w14:textId="77777777" w:rsidR="0064529E" w:rsidRPr="00BF1428" w:rsidRDefault="0064529E" w:rsidP="0064529E">
      <w:pPr>
        <w:spacing w:after="160" w:line="360" w:lineRule="auto"/>
        <w:contextualSpacing/>
        <w:jc w:val="both"/>
        <w:rPr>
          <w:rFonts w:ascii="Palatino Linotype" w:eastAsiaTheme="minorHAnsi" w:hAnsi="Palatino Linotype" w:cs="Palatino Linotype"/>
          <w:lang w:eastAsia="en-US"/>
        </w:rPr>
      </w:pPr>
      <w:r w:rsidRPr="00BF1428">
        <w:rPr>
          <w:rFonts w:ascii="Palatino Linotype" w:eastAsiaTheme="minorHAnsi" w:hAnsi="Palatino Linotype" w:cs="Palatino Linotype"/>
          <w:lang w:eastAsia="en-US"/>
        </w:rPr>
        <w:t xml:space="preserve">Cabe señalar que el hoy Recurrente </w:t>
      </w:r>
      <w:r w:rsidRPr="00BF1428">
        <w:rPr>
          <w:rFonts w:ascii="Palatino Linotype" w:eastAsiaTheme="minorHAnsi" w:hAnsi="Palatino Linotype" w:cstheme="minorBidi"/>
          <w:lang w:eastAsia="en-US"/>
        </w:rPr>
        <w:t xml:space="preserve">en ejercicio de su derecho de acceso a la información pública, no proporcionó un nombre para que </w:t>
      </w:r>
      <w:r w:rsidRPr="00BF1428">
        <w:rPr>
          <w:rFonts w:ascii="Palatino Linotype" w:eastAsiaTheme="minorHAnsi" w:hAnsi="Palatino Linotype" w:cs="Arial"/>
          <w:lang w:eastAsia="en-US"/>
        </w:rPr>
        <w:t>sea</w:t>
      </w:r>
      <w:r w:rsidRPr="00BF1428">
        <w:rPr>
          <w:rFonts w:ascii="Palatino Linotype" w:eastAsiaTheme="minorHAnsi" w:hAnsi="Palatino Linotype" w:cstheme="minorBidi"/>
          <w:lang w:eastAsia="en-US"/>
        </w:rPr>
        <w:t xml:space="preserve"> identificado; por lo que no tiene certeza sobre su identidad</w:t>
      </w:r>
      <w:r w:rsidRPr="00BF1428">
        <w:rPr>
          <w:rFonts w:ascii="Palatino Linotype" w:eastAsiaTheme="minorHAnsi" w:hAnsi="Palatino Linotype" w:cs="Palatino Linotype"/>
          <w:lang w:eastAsia="en-US"/>
        </w:rPr>
        <w:t xml:space="preserve">; no obstante, proporcionar el nombre incompleto, seudónimo o realizar la solicitud de manera anónima, no es motivo para desechar las solicitudes de acceso a la información pública conforme a lo previsto en el artículo 155, </w:t>
      </w:r>
      <w:r w:rsidRPr="00BF1428">
        <w:rPr>
          <w:rFonts w:ascii="Palatino Linotype" w:eastAsiaTheme="minorHAnsi" w:hAnsi="Palatino Linotype" w:cs="Palatino Linotype"/>
          <w:lang w:eastAsia="en-US"/>
        </w:rPr>
        <w:lastRenderedPageBreak/>
        <w:t>penúltimo párrafo de la Ley de Transparencia y Acceso a la Información Pública del Estado de México y Municipios que señala lo siguiente:</w:t>
      </w:r>
    </w:p>
    <w:p w14:paraId="63FC6508" w14:textId="77777777" w:rsidR="0064529E" w:rsidRPr="00BF1428" w:rsidRDefault="0064529E" w:rsidP="0064529E">
      <w:pPr>
        <w:spacing w:after="160" w:line="360" w:lineRule="auto"/>
        <w:contextualSpacing/>
        <w:jc w:val="both"/>
        <w:rPr>
          <w:rFonts w:ascii="Palatino Linotype" w:eastAsiaTheme="minorHAnsi" w:hAnsi="Palatino Linotype" w:cs="Palatino Linotype"/>
          <w:sz w:val="22"/>
          <w:szCs w:val="22"/>
          <w:lang w:eastAsia="en-US"/>
        </w:rPr>
      </w:pPr>
    </w:p>
    <w:p w14:paraId="64BCDD4A"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b/>
          <w:i/>
          <w:sz w:val="22"/>
          <w:szCs w:val="22"/>
          <w:lang w:eastAsia="en-US"/>
        </w:rPr>
        <w:t>Artículo 155.</w:t>
      </w:r>
      <w:r w:rsidRPr="00BF1428">
        <w:rPr>
          <w:rFonts w:ascii="Palatino Linotype" w:eastAsiaTheme="minorHAnsi" w:hAnsi="Palatino Linotype" w:cs="Palatino Linotype"/>
          <w:i/>
          <w:sz w:val="22"/>
          <w:szCs w:val="22"/>
          <w:lang w:eastAsia="en-US"/>
        </w:rPr>
        <w:t xml:space="preserve"> […]</w:t>
      </w:r>
    </w:p>
    <w:p w14:paraId="3C82439D"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C68AECE"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b/>
          <w:i/>
          <w:sz w:val="22"/>
          <w:szCs w:val="22"/>
          <w:lang w:eastAsia="en-US"/>
        </w:rPr>
        <w:t>Las solicitudes anónimas</w:t>
      </w:r>
      <w:r w:rsidRPr="00BF1428">
        <w:rPr>
          <w:rFonts w:ascii="Palatino Linotype" w:eastAsiaTheme="minorHAnsi" w:hAnsi="Palatino Linotype" w:cs="Palatino Linotype"/>
          <w:i/>
          <w:sz w:val="22"/>
          <w:szCs w:val="22"/>
          <w:lang w:eastAsia="en-US"/>
        </w:rPr>
        <w:t xml:space="preserve">, con nombre incompleto o seudónimo </w:t>
      </w:r>
      <w:r w:rsidRPr="00BF1428">
        <w:rPr>
          <w:rFonts w:ascii="Palatino Linotype" w:eastAsiaTheme="minorHAnsi" w:hAnsi="Palatino Linotype" w:cs="Palatino Linotype"/>
          <w:b/>
          <w:i/>
          <w:sz w:val="22"/>
          <w:szCs w:val="22"/>
          <w:lang w:eastAsia="en-US"/>
        </w:rPr>
        <w:t>serán procedentes para su trámite</w:t>
      </w:r>
      <w:r w:rsidRPr="00BF1428">
        <w:rPr>
          <w:rFonts w:ascii="Palatino Linotype" w:eastAsiaTheme="minorHAnsi" w:hAnsi="Palatino Linotype" w:cs="Palatino Linotype"/>
          <w:i/>
          <w:sz w:val="22"/>
          <w:szCs w:val="22"/>
          <w:lang w:eastAsia="en-US"/>
        </w:rPr>
        <w:t xml:space="preserve"> por parte del sujeto obligado ante quien se presente. No podrá requerirse información adicional con motivo del nombre proporcionado por el solicitante.</w:t>
      </w:r>
    </w:p>
    <w:p w14:paraId="07070DB3" w14:textId="77777777" w:rsidR="0064529E" w:rsidRPr="00BF1428" w:rsidRDefault="0064529E" w:rsidP="0064529E">
      <w:pPr>
        <w:spacing w:after="160" w:line="360" w:lineRule="auto"/>
        <w:contextualSpacing/>
        <w:jc w:val="both"/>
        <w:rPr>
          <w:rFonts w:ascii="Palatino Linotype" w:eastAsiaTheme="minorHAnsi" w:hAnsi="Palatino Linotype" w:cs="Palatino Linotype"/>
          <w:sz w:val="22"/>
          <w:szCs w:val="22"/>
          <w:lang w:eastAsia="en-US"/>
        </w:rPr>
      </w:pPr>
    </w:p>
    <w:p w14:paraId="34A53F0E" w14:textId="77777777" w:rsidR="0064529E" w:rsidRPr="00BF1428" w:rsidRDefault="0064529E" w:rsidP="0064529E">
      <w:pPr>
        <w:spacing w:after="160" w:line="360" w:lineRule="auto"/>
        <w:contextualSpacing/>
        <w:jc w:val="both"/>
        <w:rPr>
          <w:rFonts w:ascii="Palatino Linotype" w:eastAsiaTheme="minorHAnsi" w:hAnsi="Palatino Linotype" w:cs="Palatino Linotype"/>
          <w:lang w:eastAsia="en-US"/>
        </w:rPr>
      </w:pPr>
      <w:r w:rsidRPr="00BF1428">
        <w:rPr>
          <w:rFonts w:ascii="Palatino Linotype" w:eastAsiaTheme="minorHAnsi" w:hAnsi="Palatino Linotype" w:cs="Palatino Linotype"/>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270CA50" w14:textId="77777777" w:rsidR="0064529E" w:rsidRPr="00BF1428" w:rsidRDefault="0064529E" w:rsidP="0064529E">
      <w:pPr>
        <w:spacing w:after="160" w:line="360" w:lineRule="auto"/>
        <w:contextualSpacing/>
        <w:jc w:val="both"/>
        <w:rPr>
          <w:rFonts w:ascii="Palatino Linotype" w:eastAsiaTheme="minorHAnsi" w:hAnsi="Palatino Linotype" w:cs="Palatino Linotype"/>
          <w:sz w:val="22"/>
          <w:szCs w:val="22"/>
          <w:lang w:eastAsia="en-US"/>
        </w:rPr>
      </w:pPr>
    </w:p>
    <w:p w14:paraId="7C0E2AD0" w14:textId="77777777" w:rsidR="0064529E" w:rsidRPr="00BF1428" w:rsidRDefault="0064529E" w:rsidP="0064529E">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BF1428">
        <w:rPr>
          <w:rFonts w:ascii="Palatino Linotype" w:eastAsiaTheme="minorHAnsi" w:hAnsi="Palatino Linotype" w:cs="Palatino Linotype"/>
          <w:b/>
          <w:i/>
          <w:sz w:val="22"/>
          <w:szCs w:val="22"/>
          <w:u w:val="single"/>
          <w:lang w:eastAsia="en-US"/>
        </w:rPr>
        <w:t>Constitución Política de los Estados Unidos Mexicanos</w:t>
      </w:r>
    </w:p>
    <w:p w14:paraId="468D5FE7"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BF1428">
        <w:rPr>
          <w:rFonts w:ascii="Palatino Linotype" w:eastAsiaTheme="minorHAnsi" w:hAnsi="Palatino Linotype" w:cs="Palatino Linotype"/>
          <w:b/>
          <w:bCs/>
          <w:i/>
          <w:iCs/>
          <w:sz w:val="22"/>
          <w:szCs w:val="22"/>
          <w:lang w:eastAsia="en-US"/>
        </w:rPr>
        <w:t xml:space="preserve">Artículo 6.- </w:t>
      </w:r>
      <w:r w:rsidRPr="00BF1428">
        <w:rPr>
          <w:rFonts w:ascii="Palatino Linotype" w:eastAsiaTheme="minorHAnsi" w:hAnsi="Palatino Linotype" w:cs="Palatino Linotype"/>
          <w:i/>
          <w:iCs/>
          <w:sz w:val="22"/>
          <w:szCs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8A501F3"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w:t>
      </w:r>
    </w:p>
    <w:p w14:paraId="2D48A9BC"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 xml:space="preserve">Para efectos de lo dispuesto en el presente artículo se observará lo siguiente: </w:t>
      </w:r>
    </w:p>
    <w:p w14:paraId="57A45EB2"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57D1C4DB"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A. Para el ejercicio del derecho de acceso a la información, la Federación y las entidades federativas, en el ámbito de sus respectivas competencias, se regirán por los siguientes principios y bases:</w:t>
      </w:r>
    </w:p>
    <w:p w14:paraId="2579D882"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w:t>
      </w:r>
    </w:p>
    <w:p w14:paraId="4E73A9A0"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BF1428">
        <w:rPr>
          <w:rFonts w:ascii="Palatino Linotype" w:eastAsiaTheme="minorHAnsi" w:hAnsi="Palatino Linotype" w:cs="Palatino Linotype"/>
          <w:i/>
          <w:iCs/>
          <w:sz w:val="22"/>
          <w:szCs w:val="22"/>
          <w:lang w:eastAsia="en-US"/>
        </w:rPr>
        <w:t xml:space="preserve">III. Toda persona, sin necesidad de acreditar interés alguno o justificar su utilización, tendrá acceso gratuito a la información pública, a sus datos personales o a la rectificación de éstos. </w:t>
      </w:r>
    </w:p>
    <w:p w14:paraId="463F3405"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IV. Se establecerán mecanismos de acceso a la información pública y procedimientos de revisión expeditos que se sustanciarán ante las instancias competentes en los términos que fija esta Constitución y las leyes.</w:t>
      </w:r>
    </w:p>
    <w:p w14:paraId="01BB75F1"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FA85507" w14:textId="77777777" w:rsidR="0064529E" w:rsidRPr="00BF1428" w:rsidRDefault="0064529E" w:rsidP="0064529E">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BF1428">
        <w:rPr>
          <w:rFonts w:ascii="Palatino Linotype" w:eastAsiaTheme="minorHAnsi" w:hAnsi="Palatino Linotype" w:cs="Palatino Linotype"/>
          <w:b/>
          <w:i/>
          <w:sz w:val="22"/>
          <w:szCs w:val="22"/>
          <w:u w:val="single"/>
          <w:lang w:eastAsia="en-US"/>
        </w:rPr>
        <w:lastRenderedPageBreak/>
        <w:t>Constitución Política del Estado Libre y Soberano de México</w:t>
      </w:r>
    </w:p>
    <w:p w14:paraId="47D2A30B"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b/>
          <w:i/>
          <w:sz w:val="22"/>
          <w:szCs w:val="22"/>
          <w:lang w:eastAsia="en-US"/>
        </w:rPr>
        <w:t>Artículo 5</w:t>
      </w:r>
      <w:r w:rsidRPr="00BF1428">
        <w:rPr>
          <w:rFonts w:ascii="Palatino Linotype" w:eastAsiaTheme="minorHAnsi" w:hAnsi="Palatino Linotype" w:cs="Palatino Linotype"/>
          <w:i/>
          <w:sz w:val="22"/>
          <w:szCs w:val="22"/>
          <w:lang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6C5C1FF"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w:t>
      </w:r>
    </w:p>
    <w:p w14:paraId="1BB04E26"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BF1428">
        <w:rPr>
          <w:rFonts w:ascii="Palatino Linotype" w:eastAsiaTheme="minorHAnsi" w:hAnsi="Palatino Linotype" w:cs="Palatino Linotype"/>
          <w:i/>
          <w:iCs/>
          <w:sz w:val="22"/>
          <w:szCs w:val="22"/>
          <w:lang w:eastAsia="en-US"/>
        </w:rPr>
        <w:t>Toda persona en el Estado de México, tiene derecho al libre acceso a la información plural y oportuna, así como a buscar recibir y difundir información e ideas de toda índole por cualquier medio de expresión.</w:t>
      </w:r>
    </w:p>
    <w:p w14:paraId="55B2BAAE"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w:t>
      </w:r>
    </w:p>
    <w:p w14:paraId="44B08BDD"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43F27148"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6F0A262"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BF1428">
        <w:rPr>
          <w:rFonts w:ascii="Palatino Linotype" w:eastAsiaTheme="minorHAnsi" w:hAnsi="Palatino Linotype" w:cs="Palatino Linotype"/>
          <w:i/>
          <w:iCs/>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927188"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51A1F69"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Este derecho se regirá por los principios y bases siguientes:</w:t>
      </w:r>
    </w:p>
    <w:p w14:paraId="1633D10B"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w:t>
      </w:r>
    </w:p>
    <w:p w14:paraId="5CE75AED"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b/>
          <w:i/>
          <w:sz w:val="22"/>
          <w:szCs w:val="22"/>
          <w:lang w:eastAsia="en-US"/>
        </w:rPr>
        <w:t>III.</w:t>
      </w:r>
      <w:r w:rsidRPr="00BF1428">
        <w:rPr>
          <w:rFonts w:ascii="Palatino Linotype" w:eastAsiaTheme="minorHAnsi" w:hAnsi="Palatino Linotype" w:cs="Palatino Linotype"/>
          <w:i/>
          <w:sz w:val="22"/>
          <w:szCs w:val="22"/>
          <w:lang w:eastAsia="en-US"/>
        </w:rPr>
        <w:t xml:space="preserve"> Toda persona, sin necesidad de acreditar interés alguno o justificar su utilización, tendrá acceso gratuito a la información pública, a sus datos personales o a la rectificación de éstos;</w:t>
      </w:r>
    </w:p>
    <w:p w14:paraId="32981E53"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b/>
          <w:i/>
          <w:sz w:val="22"/>
          <w:szCs w:val="22"/>
          <w:lang w:eastAsia="en-US"/>
        </w:rPr>
        <w:t>IV.</w:t>
      </w:r>
      <w:r w:rsidRPr="00BF1428">
        <w:rPr>
          <w:rFonts w:ascii="Palatino Linotype" w:eastAsiaTheme="minorHAnsi" w:hAnsi="Palatino Linotype" w:cs="Palatino Linotype"/>
          <w:i/>
          <w:sz w:val="22"/>
          <w:szCs w:val="22"/>
          <w:lang w:eastAsia="en-US"/>
        </w:rPr>
        <w:t xml:space="preserve"> Se establecerán mecanismos de acceso a la información y procedimientos de revisión expeditos que se sustanciarán ante el organismo autónomo especializado e imparcial que establece esta Constitución.</w:t>
      </w:r>
    </w:p>
    <w:p w14:paraId="10D02308"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w:t>
      </w:r>
    </w:p>
    <w:p w14:paraId="1BDCAB52"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b/>
          <w:i/>
          <w:sz w:val="22"/>
          <w:szCs w:val="22"/>
          <w:lang w:eastAsia="en-US"/>
        </w:rPr>
        <w:t>VIII.</w:t>
      </w:r>
      <w:r w:rsidRPr="00BF1428">
        <w:rPr>
          <w:rFonts w:ascii="Palatino Linotype" w:eastAsiaTheme="minorHAnsi" w:hAnsi="Palatino Linotype" w:cs="Palatino Linotype"/>
          <w:i/>
          <w:sz w:val="22"/>
          <w:szCs w:val="22"/>
          <w:lang w:eastAsia="en-U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BA53237"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i/>
          <w:sz w:val="22"/>
          <w:szCs w:val="22"/>
          <w:lang w:eastAsia="en-US"/>
        </w:rPr>
        <w:t>[…]</w:t>
      </w:r>
    </w:p>
    <w:p w14:paraId="0B84687C" w14:textId="77777777" w:rsidR="0064529E" w:rsidRPr="00BF1428" w:rsidRDefault="0064529E" w:rsidP="0064529E">
      <w:pPr>
        <w:spacing w:after="160" w:line="360" w:lineRule="auto"/>
        <w:ind w:left="567" w:right="567"/>
        <w:contextualSpacing/>
        <w:jc w:val="both"/>
        <w:rPr>
          <w:rFonts w:ascii="Palatino Linotype" w:eastAsiaTheme="minorHAnsi" w:hAnsi="Palatino Linotype" w:cs="Palatino Linotype"/>
          <w:sz w:val="22"/>
          <w:szCs w:val="22"/>
          <w:lang w:eastAsia="en-US"/>
        </w:rPr>
      </w:pPr>
    </w:p>
    <w:p w14:paraId="71A9244D" w14:textId="77777777" w:rsidR="0064529E" w:rsidRPr="00BF1428" w:rsidRDefault="0064529E" w:rsidP="0064529E">
      <w:pPr>
        <w:spacing w:after="160" w:line="360" w:lineRule="auto"/>
        <w:ind w:right="49"/>
        <w:contextualSpacing/>
        <w:jc w:val="both"/>
        <w:rPr>
          <w:rFonts w:ascii="Palatino Linotype" w:eastAsiaTheme="minorHAnsi" w:hAnsi="Palatino Linotype" w:cs="Palatino Linotype"/>
          <w:lang w:eastAsia="en-US"/>
        </w:rPr>
      </w:pPr>
      <w:r w:rsidRPr="00BF1428">
        <w:rPr>
          <w:rFonts w:ascii="Palatino Linotype" w:eastAsiaTheme="minorHAnsi" w:hAnsi="Palatino Linotype" w:cs="Palatino Linotype"/>
          <w:lang w:eastAsia="en-US"/>
        </w:rPr>
        <w:lastRenderedPageBreak/>
        <w:t>Por otra parte, del contenido del artículo 1 de la Constitución Política de los Estados Unidos Mexicanos, se destaca lo siguiente:</w:t>
      </w:r>
    </w:p>
    <w:p w14:paraId="00E29437" w14:textId="77777777" w:rsidR="0064529E" w:rsidRPr="00BF1428" w:rsidRDefault="0064529E" w:rsidP="0064529E">
      <w:pPr>
        <w:spacing w:after="160" w:line="360" w:lineRule="auto"/>
        <w:ind w:right="49"/>
        <w:contextualSpacing/>
        <w:jc w:val="both"/>
        <w:rPr>
          <w:rFonts w:ascii="Palatino Linotype" w:eastAsiaTheme="minorHAnsi" w:hAnsi="Palatino Linotype" w:cs="Palatino Linotype"/>
          <w:sz w:val="22"/>
          <w:szCs w:val="22"/>
          <w:lang w:eastAsia="en-US"/>
        </w:rPr>
      </w:pPr>
    </w:p>
    <w:p w14:paraId="0F5CA75F"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BF1428">
        <w:rPr>
          <w:rFonts w:ascii="Palatino Linotype" w:eastAsiaTheme="minorHAnsi" w:hAnsi="Palatino Linotype" w:cs="Palatino Linotype"/>
          <w:b/>
          <w:i/>
          <w:sz w:val="22"/>
          <w:szCs w:val="22"/>
          <w:lang w:eastAsia="en-US"/>
        </w:rPr>
        <w:t>Artículo 1o</w:t>
      </w:r>
      <w:r w:rsidRPr="00BF1428">
        <w:rPr>
          <w:rFonts w:ascii="Palatino Linotype" w:eastAsiaTheme="minorHAnsi" w:hAnsi="Palatino Linotype" w:cs="Palatino Linotype"/>
          <w:i/>
          <w:sz w:val="22"/>
          <w:szCs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8DB37D"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72BAECC"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BF1428">
        <w:rPr>
          <w:rFonts w:ascii="Palatino Linotype" w:eastAsiaTheme="minorHAnsi" w:hAnsi="Palatino Linotype" w:cs="Palatino Linotype"/>
          <w:i/>
          <w:iCs/>
          <w:sz w:val="22"/>
          <w:szCs w:val="22"/>
          <w:lang w:eastAsia="en-US"/>
        </w:rPr>
        <w:t>Las normas relativas a los derechos humanos se interpretarán de conformidad con esta Constitución y con los tratados internacionales de la materia favoreciendo en todo tiempo a las personas la protección más amplia.</w:t>
      </w:r>
    </w:p>
    <w:p w14:paraId="31DD8507"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A452ADF" w14:textId="77777777" w:rsidR="0064529E" w:rsidRPr="00BF1428" w:rsidRDefault="0064529E" w:rsidP="0064529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BF1428">
        <w:rPr>
          <w:rFonts w:ascii="Palatino Linotype" w:eastAsiaTheme="minorHAnsi" w:hAnsi="Palatino Linotype" w:cs="Palatino Linotype"/>
          <w:i/>
          <w:iCs/>
          <w:sz w:val="22"/>
          <w:szCs w:val="22"/>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A8A71DE" w14:textId="77777777" w:rsidR="0064529E" w:rsidRPr="00BF1428" w:rsidRDefault="0064529E" w:rsidP="0064529E">
      <w:pPr>
        <w:spacing w:after="160" w:line="360" w:lineRule="auto"/>
        <w:jc w:val="both"/>
        <w:rPr>
          <w:rFonts w:ascii="Palatino Linotype" w:eastAsiaTheme="minorHAnsi" w:hAnsi="Palatino Linotype" w:cs="Calibri"/>
          <w:sz w:val="22"/>
          <w:szCs w:val="22"/>
          <w:lang w:eastAsia="en-US"/>
        </w:rPr>
      </w:pPr>
    </w:p>
    <w:p w14:paraId="5C3F4F14" w14:textId="77777777" w:rsidR="0064529E" w:rsidRPr="00BF1428" w:rsidRDefault="0064529E" w:rsidP="0064529E">
      <w:pPr>
        <w:spacing w:line="360" w:lineRule="auto"/>
        <w:jc w:val="both"/>
        <w:rPr>
          <w:rFonts w:ascii="Palatino Linotype" w:eastAsiaTheme="minorHAnsi" w:hAnsi="Palatino Linotype" w:cs="Palatino Linotype"/>
          <w:lang w:eastAsia="en-US"/>
        </w:rPr>
      </w:pPr>
      <w:r w:rsidRPr="00BF1428">
        <w:rPr>
          <w:rFonts w:ascii="Palatino Linotype" w:eastAsiaTheme="minorHAnsi" w:hAnsi="Palatino Linotype" w:cs="Palatino Linotype"/>
          <w:lang w:eastAsia="en-U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3C98EA8" w14:textId="77777777" w:rsidR="0064529E" w:rsidRPr="00BF1428" w:rsidRDefault="0064529E" w:rsidP="0064529E">
      <w:pPr>
        <w:spacing w:line="360" w:lineRule="auto"/>
        <w:jc w:val="both"/>
        <w:rPr>
          <w:rFonts w:ascii="Palatino Linotype" w:eastAsiaTheme="minorHAnsi" w:hAnsi="Palatino Linotype" w:cs="Palatino Linotype"/>
          <w:lang w:eastAsia="en-US"/>
        </w:rPr>
      </w:pPr>
    </w:p>
    <w:p w14:paraId="35C65A78" w14:textId="03560B2B" w:rsidR="009B08BD" w:rsidRPr="00BF1428" w:rsidRDefault="0064529E" w:rsidP="0064529E">
      <w:pPr>
        <w:pStyle w:val="Sinespaciado"/>
        <w:spacing w:line="360" w:lineRule="auto"/>
        <w:jc w:val="both"/>
        <w:rPr>
          <w:rFonts w:ascii="Palatino Linotype" w:eastAsia="Palatino Linotype" w:hAnsi="Palatino Linotype" w:cs="Palatino Linotype"/>
          <w:color w:val="000000"/>
          <w:lang w:val="es-ES_tradnl" w:eastAsia="es-MX"/>
        </w:rPr>
      </w:pPr>
      <w:r w:rsidRPr="00BF1428">
        <w:rPr>
          <w:rFonts w:ascii="Palatino Linotype" w:eastAsiaTheme="minorHAnsi" w:hAnsi="Palatino Linotype" w:cs="Palatino Linotype"/>
          <w:color w:val="000000"/>
          <w:lang w:val="es-ES_tradnl" w:eastAsia="en-US"/>
        </w:rPr>
        <w:t xml:space="preserve">En conclusión, se cubrieron los requisitos de procedencia y </w:t>
      </w:r>
      <w:proofErr w:type="spellStart"/>
      <w:r w:rsidRPr="00BF1428">
        <w:rPr>
          <w:rFonts w:ascii="Palatino Linotype" w:eastAsiaTheme="minorHAnsi" w:hAnsi="Palatino Linotype" w:cs="Palatino Linotype"/>
          <w:color w:val="000000"/>
          <w:lang w:val="es-ES_tradnl" w:eastAsia="en-US"/>
        </w:rPr>
        <w:t>procedibilidad</w:t>
      </w:r>
      <w:proofErr w:type="spellEnd"/>
      <w:r w:rsidRPr="00BF1428">
        <w:rPr>
          <w:rFonts w:ascii="Palatino Linotype" w:eastAsiaTheme="minorHAnsi" w:hAnsi="Palatino Linotype" w:cs="Palatino Linotype"/>
          <w:color w:val="000000"/>
          <w:lang w:val="es-ES_tradnl" w:eastAsia="en-US"/>
        </w:rPr>
        <w:t xml:space="preserve"> y conforme a las constancias que obran en el expediente.</w:t>
      </w:r>
    </w:p>
    <w:p w14:paraId="7DAE33A7" w14:textId="029A8F5F" w:rsidR="009B08BD" w:rsidRPr="00BF1428" w:rsidRDefault="009B08BD" w:rsidP="009B08BD">
      <w:pPr>
        <w:autoSpaceDE w:val="0"/>
        <w:autoSpaceDN w:val="0"/>
        <w:adjustRightInd w:val="0"/>
        <w:spacing w:line="360" w:lineRule="auto"/>
        <w:jc w:val="both"/>
        <w:rPr>
          <w:rFonts w:ascii="Palatino Linotype" w:eastAsiaTheme="minorHAnsi" w:hAnsi="Palatino Linotype" w:cs="Arial"/>
          <w:b/>
          <w:sz w:val="28"/>
          <w:szCs w:val="22"/>
          <w:lang w:val="es-MX" w:eastAsia="en-US"/>
        </w:rPr>
      </w:pPr>
      <w:r w:rsidRPr="00BF1428">
        <w:rPr>
          <w:rFonts w:ascii="Palatino Linotype" w:eastAsiaTheme="minorHAnsi" w:hAnsi="Palatino Linotype" w:cs="Arial"/>
          <w:b/>
          <w:sz w:val="28"/>
          <w:szCs w:val="22"/>
          <w:lang w:val="es-MX" w:eastAsia="en-US"/>
        </w:rPr>
        <w:lastRenderedPageBreak/>
        <w:t xml:space="preserve">CUARTO. </w:t>
      </w:r>
      <w:r w:rsidRPr="00BF1428">
        <w:rPr>
          <w:rFonts w:ascii="Palatino Linotype" w:eastAsia="Calibri" w:hAnsi="Palatino Linotype" w:cs="Arial"/>
          <w:b/>
          <w:sz w:val="28"/>
          <w:szCs w:val="22"/>
          <w:lang w:val="es-MX" w:eastAsia="en-US"/>
        </w:rPr>
        <w:t>Análisis de las causales de sobreseimiento</w:t>
      </w:r>
      <w:r w:rsidRPr="00BF1428">
        <w:rPr>
          <w:rFonts w:ascii="Palatino Linotype" w:eastAsiaTheme="minorHAnsi" w:hAnsi="Palatino Linotype" w:cstheme="minorBidi"/>
          <w:b/>
          <w:sz w:val="28"/>
          <w:szCs w:val="22"/>
          <w:lang w:val="es-MX" w:eastAsia="en-US"/>
        </w:rPr>
        <w:t>.</w:t>
      </w:r>
    </w:p>
    <w:p w14:paraId="1F008196" w14:textId="7E7AE289"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Calibri" w:hAnsi="Palatino Linotype" w:cs="Arial"/>
          <w:szCs w:val="22"/>
          <w:lang w:val="es-MX" w:eastAsia="en-US"/>
        </w:rPr>
        <w:t xml:space="preserve">Derivado del caso en concreto que nos ocupa, </w:t>
      </w:r>
      <w:r w:rsidRPr="00BF1428">
        <w:rPr>
          <w:rFonts w:ascii="Palatino Linotype" w:eastAsiaTheme="minorHAnsi" w:hAnsi="Palatino Linotype" w:cs="Arial"/>
          <w:szCs w:val="22"/>
          <w:lang w:val="es-MX" w:eastAsia="en-US"/>
        </w:rPr>
        <w:t>por cuestión de método y técnica jurídica, se procede a estudiar el presente asunto bajo la luz de lo que establece la fracción IV, del artículo 192, de la Ley de Transparencia y Acceso a la Información Pública del Estado de México y Municipios, que establece:</w:t>
      </w:r>
    </w:p>
    <w:p w14:paraId="71780AF7"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p>
    <w:p w14:paraId="25499DC4"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w:t>
      </w:r>
      <w:r w:rsidRPr="00BF1428">
        <w:rPr>
          <w:rFonts w:ascii="Palatino Linotype" w:eastAsiaTheme="minorHAnsi" w:hAnsi="Palatino Linotype" w:cs="Arial"/>
          <w:b/>
          <w:i/>
          <w:sz w:val="22"/>
          <w:szCs w:val="22"/>
          <w:lang w:val="es-MX" w:eastAsia="en-US"/>
        </w:rPr>
        <w:t>Artículo 192.</w:t>
      </w:r>
      <w:r w:rsidRPr="00BF1428">
        <w:rPr>
          <w:rFonts w:ascii="Palatino Linotype" w:eastAsiaTheme="minorHAnsi" w:hAnsi="Palatino Linotype" w:cs="Arial"/>
          <w:i/>
          <w:sz w:val="22"/>
          <w:szCs w:val="22"/>
          <w:lang w:val="es-MX" w:eastAsia="en-US"/>
        </w:rPr>
        <w:t xml:space="preserve"> El recurso será sobreseído, en todo o en parte, cuando una vez admitido, se actualicen alguno de los siguientes supuestos:</w:t>
      </w:r>
    </w:p>
    <w:p w14:paraId="143641BF"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w:t>
      </w:r>
    </w:p>
    <w:p w14:paraId="0084F230"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b/>
          <w:bCs/>
          <w:i/>
          <w:sz w:val="22"/>
          <w:szCs w:val="22"/>
          <w:lang w:val="es-MX" w:eastAsia="en-US"/>
        </w:rPr>
        <w:t>IV.</w:t>
      </w:r>
      <w:r w:rsidRPr="00BF1428">
        <w:rPr>
          <w:rFonts w:ascii="Palatino Linotype" w:eastAsiaTheme="minorHAnsi" w:hAnsi="Palatino Linotype" w:cs="Arial"/>
          <w:i/>
          <w:sz w:val="22"/>
          <w:szCs w:val="22"/>
          <w:lang w:val="es-MX" w:eastAsia="en-US"/>
        </w:rPr>
        <w:t xml:space="preserve"> Admitido el recurso de revisión, aparezca alguna causal de improcedencia en los términos de la presente ley;”</w:t>
      </w:r>
    </w:p>
    <w:p w14:paraId="074BDEF4"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04B4DD02"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 xml:space="preserve">Precepto legal que contiene tres elementos normativos: </w:t>
      </w:r>
    </w:p>
    <w:p w14:paraId="298F54B5" w14:textId="77777777" w:rsidR="009B08BD" w:rsidRPr="00BF1428" w:rsidRDefault="009B08BD" w:rsidP="009B08BD">
      <w:pPr>
        <w:rPr>
          <w:lang w:val="es-MX"/>
        </w:rPr>
      </w:pPr>
    </w:p>
    <w:p w14:paraId="7AB15DB5" w14:textId="77777777" w:rsidR="009B08BD" w:rsidRPr="00BF1428" w:rsidRDefault="009B08BD" w:rsidP="009B08BD">
      <w:pPr>
        <w:numPr>
          <w:ilvl w:val="0"/>
          <w:numId w:val="41"/>
        </w:numPr>
        <w:spacing w:after="160" w:line="360" w:lineRule="auto"/>
        <w:jc w:val="both"/>
        <w:rPr>
          <w:rFonts w:ascii="Palatino Linotype" w:hAnsi="Palatino Linotype" w:cs="Arial"/>
        </w:rPr>
      </w:pPr>
      <w:r w:rsidRPr="00BF1428">
        <w:rPr>
          <w:rFonts w:ascii="Palatino Linotype" w:hAnsi="Palatino Linotype" w:cs="Arial"/>
        </w:rPr>
        <w:t>Admitido el recurso de revisión;</w:t>
      </w:r>
    </w:p>
    <w:p w14:paraId="0164E8EC" w14:textId="77777777" w:rsidR="009B08BD" w:rsidRPr="00BF1428" w:rsidRDefault="009B08BD" w:rsidP="009B08BD">
      <w:pPr>
        <w:numPr>
          <w:ilvl w:val="0"/>
          <w:numId w:val="41"/>
        </w:numPr>
        <w:spacing w:after="160" w:line="360" w:lineRule="auto"/>
        <w:jc w:val="both"/>
        <w:rPr>
          <w:rFonts w:ascii="Palatino Linotype" w:hAnsi="Palatino Linotype" w:cs="Arial"/>
        </w:rPr>
      </w:pPr>
      <w:r w:rsidRPr="00BF1428">
        <w:rPr>
          <w:rFonts w:ascii="Palatino Linotype" w:hAnsi="Palatino Linotype" w:cs="Arial"/>
        </w:rPr>
        <w:t>Aparezca alguna causal de improcedencia;</w:t>
      </w:r>
    </w:p>
    <w:p w14:paraId="174860DB" w14:textId="77777777" w:rsidR="009B08BD" w:rsidRPr="00BF1428" w:rsidRDefault="009B08BD" w:rsidP="009B08BD">
      <w:pPr>
        <w:numPr>
          <w:ilvl w:val="0"/>
          <w:numId w:val="41"/>
        </w:numPr>
        <w:spacing w:after="160" w:line="360" w:lineRule="auto"/>
        <w:jc w:val="both"/>
        <w:rPr>
          <w:rFonts w:ascii="Palatino Linotype" w:hAnsi="Palatino Linotype" w:cs="Arial"/>
        </w:rPr>
      </w:pPr>
      <w:r w:rsidRPr="00BF1428">
        <w:rPr>
          <w:rFonts w:ascii="Palatino Linotype" w:hAnsi="Palatino Linotype" w:cs="Arial"/>
        </w:rPr>
        <w:t>En los términos de la presente ley.</w:t>
      </w:r>
    </w:p>
    <w:p w14:paraId="4EB87119" w14:textId="77777777" w:rsidR="009B08BD" w:rsidRPr="00BF1428" w:rsidRDefault="009B08BD" w:rsidP="009B08BD">
      <w:pPr>
        <w:rPr>
          <w:lang w:val="es-MX"/>
        </w:rPr>
      </w:pPr>
    </w:p>
    <w:p w14:paraId="14D7B2A0"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 xml:space="preserve">Al respecto dicho artículo, señala que, podrá interponerse Recurso de Revisión, dentro de los quince días hábiles siguientes, a la fecha de notificación de la respuesta por parte del </w:t>
      </w:r>
      <w:r w:rsidRPr="00BF1428">
        <w:rPr>
          <w:rFonts w:ascii="Palatino Linotype" w:eastAsiaTheme="minorHAnsi" w:hAnsi="Palatino Linotype" w:cs="Arial"/>
          <w:b/>
          <w:szCs w:val="22"/>
          <w:lang w:val="es-MX" w:eastAsia="en-US"/>
        </w:rPr>
        <w:t>Sujeto Obligado</w:t>
      </w:r>
      <w:r w:rsidRPr="00BF1428">
        <w:rPr>
          <w:rFonts w:ascii="Palatino Linotype" w:eastAsiaTheme="minorHAnsi" w:hAnsi="Palatino Linotype" w:cs="Arial"/>
          <w:szCs w:val="22"/>
          <w:lang w:val="es-MX" w:eastAsia="en-US"/>
        </w:rPr>
        <w:t xml:space="preserve"> </w:t>
      </w:r>
      <w:r w:rsidRPr="00BF1428">
        <w:rPr>
          <w:rFonts w:ascii="Palatino Linotype" w:eastAsiaTheme="minorHAnsi" w:hAnsi="Palatino Linotype" w:cs="Arial"/>
          <w:i/>
          <w:szCs w:val="22"/>
          <w:lang w:val="es-MX" w:eastAsia="en-US"/>
        </w:rPr>
        <w:t>(contestación a la solicitud de información o a la derivada por el cumplimiento a la Resolución de un Recurso de Revisión)</w:t>
      </w:r>
      <w:r w:rsidRPr="00BF1428">
        <w:rPr>
          <w:rFonts w:ascii="Palatino Linotype" w:eastAsiaTheme="minorHAnsi" w:hAnsi="Palatino Linotype" w:cs="Arial"/>
          <w:szCs w:val="22"/>
          <w:lang w:val="es-MX" w:eastAsia="en-US"/>
        </w:rPr>
        <w:t>.</w:t>
      </w:r>
    </w:p>
    <w:p w14:paraId="31EC5A86"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53599B93" w14:textId="55836083"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 xml:space="preserve">El primer elemento normativo en el caso en concreto que se resuelve se actualiza, ya que el presente recurso de revisión fue admitido en fecha </w:t>
      </w:r>
      <w:r w:rsidR="0064529E" w:rsidRPr="00BF1428">
        <w:rPr>
          <w:rFonts w:ascii="Palatino Linotype" w:eastAsiaTheme="minorHAnsi" w:hAnsi="Palatino Linotype" w:cs="Arial"/>
          <w:b/>
          <w:szCs w:val="22"/>
          <w:lang w:val="es-MX" w:eastAsia="en-US"/>
        </w:rPr>
        <w:t xml:space="preserve">veintinueve de enero de dos </w:t>
      </w:r>
      <w:r w:rsidR="0064529E" w:rsidRPr="00BF1428">
        <w:rPr>
          <w:rFonts w:ascii="Palatino Linotype" w:eastAsiaTheme="minorHAnsi" w:hAnsi="Palatino Linotype" w:cs="Arial"/>
          <w:b/>
          <w:szCs w:val="22"/>
          <w:lang w:val="es-MX" w:eastAsia="en-US"/>
        </w:rPr>
        <w:lastRenderedPageBreak/>
        <w:t>mil veintiséis</w:t>
      </w:r>
      <w:r w:rsidRPr="00BF1428">
        <w:rPr>
          <w:rFonts w:ascii="Palatino Linotype" w:eastAsiaTheme="minorHAnsi" w:hAnsi="Palatino Linotype" w:cs="Arial"/>
          <w:szCs w:val="22"/>
          <w:lang w:val="es-MX" w:eastAsia="en-US"/>
        </w:rPr>
        <w:t>, es decir, ya aconteció el presupuesto primario que prevé la hipótesis legal, para que está opere.</w:t>
      </w:r>
    </w:p>
    <w:p w14:paraId="2FB22886"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60C97984"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 xml:space="preserve">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w:t>
      </w:r>
      <w:proofErr w:type="spellStart"/>
      <w:r w:rsidRPr="00BF1428">
        <w:rPr>
          <w:rFonts w:ascii="Palatino Linotype" w:eastAsiaTheme="minorHAnsi" w:hAnsi="Palatino Linotype" w:cs="Arial"/>
          <w:szCs w:val="22"/>
          <w:lang w:val="es-MX" w:eastAsia="en-US"/>
        </w:rPr>
        <w:t>procedibilidad</w:t>
      </w:r>
      <w:proofErr w:type="spellEnd"/>
      <w:r w:rsidRPr="00BF1428">
        <w:rPr>
          <w:rFonts w:ascii="Palatino Linotype" w:eastAsiaTheme="minorHAnsi" w:hAnsi="Palatino Linotype" w:cs="Arial"/>
          <w:szCs w:val="22"/>
          <w:lang w:val="es-MX" w:eastAsia="en-US"/>
        </w:rPr>
        <w:t xml:space="preserve">, es decir, no son dos cuestiones diversas que se deban tramitar por separado </w:t>
      </w:r>
      <w:r w:rsidRPr="00BF1428">
        <w:rPr>
          <w:rFonts w:ascii="Palatino Linotype" w:eastAsiaTheme="minorHAnsi" w:hAnsi="Palatino Linotype" w:cs="Arial"/>
          <w:i/>
          <w:szCs w:val="22"/>
          <w:lang w:val="es-MX" w:eastAsia="en-US"/>
        </w:rPr>
        <w:t xml:space="preserve">(la admisión y la </w:t>
      </w:r>
      <w:proofErr w:type="spellStart"/>
      <w:r w:rsidRPr="00BF1428">
        <w:rPr>
          <w:rFonts w:ascii="Palatino Linotype" w:eastAsiaTheme="minorHAnsi" w:hAnsi="Palatino Linotype" w:cs="Arial"/>
          <w:i/>
          <w:szCs w:val="22"/>
          <w:lang w:val="es-MX" w:eastAsia="en-US"/>
        </w:rPr>
        <w:t>procedibilidad</w:t>
      </w:r>
      <w:proofErr w:type="spellEnd"/>
      <w:r w:rsidRPr="00BF1428">
        <w:rPr>
          <w:rFonts w:ascii="Palatino Linotype" w:eastAsiaTheme="minorHAnsi" w:hAnsi="Palatino Linotype" w:cs="Arial"/>
          <w:i/>
          <w:szCs w:val="22"/>
          <w:lang w:val="es-MX" w:eastAsia="en-US"/>
        </w:rPr>
        <w:t>)</w:t>
      </w:r>
      <w:r w:rsidRPr="00BF1428">
        <w:rPr>
          <w:rFonts w:ascii="Palatino Linotype" w:eastAsiaTheme="minorHAnsi" w:hAnsi="Palatino Linotype" w:cs="Arial"/>
          <w:szCs w:val="22"/>
          <w:lang w:val="es-MX" w:eastAsia="en-US"/>
        </w:rPr>
        <w:t>, sino que una va inmersa en la otra, se entiende ello de la lectura del siguiente dispositivo normativo contenido en la Ley de Transparencia y Acceso a la Información Pública del Estado de México y Municipios:</w:t>
      </w:r>
    </w:p>
    <w:p w14:paraId="2C4798D1"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51BE57ED"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w:t>
      </w:r>
      <w:r w:rsidRPr="00BF1428">
        <w:rPr>
          <w:rFonts w:ascii="Palatino Linotype" w:eastAsiaTheme="minorHAnsi" w:hAnsi="Palatino Linotype" w:cs="Arial"/>
          <w:b/>
          <w:i/>
          <w:sz w:val="22"/>
          <w:szCs w:val="22"/>
          <w:lang w:val="es-MX" w:eastAsia="en-US"/>
        </w:rPr>
        <w:t>Artículo 185.</w:t>
      </w:r>
      <w:r w:rsidRPr="00BF1428">
        <w:rPr>
          <w:rFonts w:ascii="Palatino Linotype" w:eastAsiaTheme="minorHAnsi" w:hAnsi="Palatino Linotype" w:cs="Arial"/>
          <w:i/>
          <w:sz w:val="22"/>
          <w:szCs w:val="22"/>
          <w:lang w:val="es-MX" w:eastAsia="en-US"/>
        </w:rPr>
        <w:t xml:space="preserve"> El Instituto resolverá el recurso de revisión conforme a lo siguiente:</w:t>
      </w:r>
    </w:p>
    <w:p w14:paraId="0E3FFC50"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 xml:space="preserve">I. Interpuesto el recurso de revisión, el sistema electrónico y excepcionalmente, el Presidente del Pleno lo turnará en un plazo no mayor de tres días hábiles, al Comisionado ponente que corresponda, </w:t>
      </w:r>
      <w:r w:rsidRPr="00BF1428">
        <w:rPr>
          <w:rFonts w:ascii="Palatino Linotype" w:eastAsiaTheme="minorHAnsi" w:hAnsi="Palatino Linotype" w:cs="Arial"/>
          <w:b/>
          <w:i/>
          <w:sz w:val="22"/>
          <w:szCs w:val="22"/>
          <w:u w:val="single"/>
          <w:lang w:val="es-MX" w:eastAsia="en-US"/>
        </w:rPr>
        <w:t>quien deberá proceder a su análisis para que decrete su admisión o su desechamiento</w:t>
      </w:r>
      <w:r w:rsidRPr="00BF1428">
        <w:rPr>
          <w:rFonts w:ascii="Palatino Linotype" w:eastAsiaTheme="minorHAnsi" w:hAnsi="Palatino Linotype" w:cs="Arial"/>
          <w:i/>
          <w:sz w:val="22"/>
          <w:szCs w:val="22"/>
          <w:lang w:val="es-MX" w:eastAsia="en-US"/>
        </w:rPr>
        <w:t>;”</w:t>
      </w:r>
    </w:p>
    <w:p w14:paraId="47BF3B0A" w14:textId="77777777" w:rsidR="009B08BD" w:rsidRPr="00BF1428" w:rsidRDefault="009B08BD" w:rsidP="009B08BD">
      <w:pPr>
        <w:spacing w:after="160" w:line="360" w:lineRule="auto"/>
        <w:jc w:val="both"/>
        <w:rPr>
          <w:rFonts w:ascii="Palatino Linotype" w:eastAsiaTheme="minorHAnsi" w:hAnsi="Palatino Linotype" w:cs="Arial"/>
          <w:sz w:val="22"/>
          <w:szCs w:val="22"/>
          <w:lang w:val="es-MX" w:eastAsia="en-US"/>
        </w:rPr>
      </w:pPr>
    </w:p>
    <w:p w14:paraId="0E48CE65"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ambos casos se debe analizar si el recurso es procedente o no, para llegar a la determinación de admitir o desechar.</w:t>
      </w:r>
    </w:p>
    <w:p w14:paraId="1A22B16A"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3FFCF63E"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BF1428">
        <w:rPr>
          <w:rFonts w:ascii="Palatino Linotype" w:eastAsiaTheme="minorHAnsi" w:hAnsi="Palatino Linotype" w:cs="Arial"/>
          <w:i/>
          <w:szCs w:val="22"/>
          <w:lang w:val="es-MX" w:eastAsia="en-US"/>
        </w:rPr>
        <w:t>sensu,</w:t>
      </w:r>
      <w:r w:rsidRPr="00BF1428">
        <w:rPr>
          <w:rFonts w:ascii="Palatino Linotype" w:eastAsiaTheme="minorHAnsi" w:hAnsi="Palatino Linotype" w:cs="Arial"/>
          <w:szCs w:val="22"/>
          <w:lang w:val="es-MX" w:eastAsia="en-US"/>
        </w:rPr>
        <w:t xml:space="preserve"> no podemos referirnos a que sí se actualiza una causal de desechamiento sea visto como un asunto procedente; sino que al admitirse un asunto es porque se llegó a la conclusión de que operaron las condiciones necesarias que hacen a un recurso de revisión como procedente, en suma, la admisión y la procedencia deben tratarse como un solo acto, porque la ley no hace tal distinción sino que establece ambos en un solo acto, citado en el supuesto legal arriba transcrito.</w:t>
      </w:r>
    </w:p>
    <w:p w14:paraId="667F6DFB"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41AB1EA2" w14:textId="218EDBBD"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Toda vez que</w:t>
      </w:r>
      <w:r w:rsidR="00511E3C" w:rsidRPr="00BF1428">
        <w:rPr>
          <w:rFonts w:ascii="Palatino Linotype" w:eastAsiaTheme="minorHAnsi" w:hAnsi="Palatino Linotype" w:cs="Arial"/>
          <w:szCs w:val="22"/>
          <w:lang w:val="es-MX" w:eastAsia="en-US"/>
        </w:rPr>
        <w:t>,</w:t>
      </w:r>
      <w:r w:rsidRPr="00BF1428">
        <w:rPr>
          <w:rFonts w:ascii="Palatino Linotype" w:eastAsiaTheme="minorHAnsi" w:hAnsi="Palatino Linotype" w:cs="Arial"/>
          <w:szCs w:val="22"/>
          <w:lang w:val="es-MX" w:eastAsia="en-US"/>
        </w:rPr>
        <w:t xml:space="preserve"> en el recurso de revisión en estudio, se ha decretado su admisión y por ende su procedencia, lo es así ya que se actualiza alguna de las hipótesis previstas en el artículo 179, de la Ley en la materia, que claramente establece:</w:t>
      </w:r>
    </w:p>
    <w:p w14:paraId="5CC30EA2" w14:textId="77777777" w:rsidR="009B08BD" w:rsidRPr="00BF1428" w:rsidRDefault="009B08BD" w:rsidP="009B08BD">
      <w:pPr>
        <w:spacing w:after="160" w:line="259" w:lineRule="auto"/>
        <w:rPr>
          <w:rFonts w:asciiTheme="minorHAnsi" w:eastAsiaTheme="minorHAnsi" w:hAnsiTheme="minorHAnsi" w:cstheme="minorBidi"/>
          <w:sz w:val="22"/>
          <w:szCs w:val="22"/>
          <w:lang w:val="es-MX" w:eastAsia="en-US"/>
        </w:rPr>
      </w:pPr>
    </w:p>
    <w:p w14:paraId="42153844"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w:t>
      </w:r>
      <w:r w:rsidRPr="00BF1428">
        <w:rPr>
          <w:rFonts w:ascii="Palatino Linotype" w:eastAsiaTheme="minorHAnsi" w:hAnsi="Palatino Linotype" w:cs="Arial"/>
          <w:b/>
          <w:i/>
          <w:sz w:val="22"/>
          <w:szCs w:val="22"/>
          <w:lang w:val="es-MX" w:eastAsia="en-US"/>
        </w:rPr>
        <w:t>Artículo 179.</w:t>
      </w:r>
      <w:r w:rsidRPr="00BF1428">
        <w:rPr>
          <w:rFonts w:ascii="Palatino Linotype" w:eastAsiaTheme="minorHAnsi" w:hAnsi="Palatino Linotype" w:cs="Arial"/>
          <w:i/>
          <w:sz w:val="22"/>
          <w:szCs w:val="22"/>
          <w:lang w:val="es-MX" w:eastAsia="en-US"/>
        </w:rPr>
        <w:t xml:space="preserve"> El recurso de revisión es un medio de protección que la Ley otorga a los particulares, para hacer valer su derecho de acceso a la información pública, </w:t>
      </w:r>
      <w:r w:rsidRPr="00BF1428">
        <w:rPr>
          <w:rFonts w:ascii="Palatino Linotype" w:eastAsiaTheme="minorHAnsi" w:hAnsi="Palatino Linotype" w:cs="Arial"/>
          <w:b/>
          <w:i/>
          <w:sz w:val="22"/>
          <w:szCs w:val="22"/>
          <w:u w:val="single"/>
          <w:lang w:val="es-MX" w:eastAsia="en-US"/>
        </w:rPr>
        <w:t>y procederá</w:t>
      </w:r>
      <w:r w:rsidRPr="00BF1428">
        <w:rPr>
          <w:rFonts w:ascii="Palatino Linotype" w:eastAsiaTheme="minorHAnsi" w:hAnsi="Palatino Linotype" w:cs="Arial"/>
          <w:i/>
          <w:sz w:val="22"/>
          <w:szCs w:val="22"/>
          <w:lang w:val="es-MX" w:eastAsia="en-US"/>
        </w:rPr>
        <w:t xml:space="preserve"> en contra de las siguientes causas:”</w:t>
      </w:r>
    </w:p>
    <w:p w14:paraId="431C5342" w14:textId="77777777" w:rsidR="009B08BD" w:rsidRPr="00BF1428" w:rsidRDefault="009B08BD" w:rsidP="009B08BD">
      <w:pPr>
        <w:spacing w:after="160" w:line="360" w:lineRule="auto"/>
        <w:jc w:val="both"/>
        <w:rPr>
          <w:rFonts w:ascii="Palatino Linotype" w:eastAsiaTheme="minorHAnsi" w:hAnsi="Palatino Linotype" w:cs="Arial"/>
          <w:sz w:val="22"/>
          <w:szCs w:val="22"/>
          <w:lang w:val="es-MX" w:eastAsia="en-US"/>
        </w:rPr>
      </w:pPr>
    </w:p>
    <w:p w14:paraId="30B2DA8D"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 xml:space="preserve">Como se puede observar, el artículo en cita es el único dentro de la Ley de Transparencia y Acceso a la Información Pública del Estado de México y Municipios, que prevé las causas de procedencia de los recursos de revisión, </w:t>
      </w:r>
      <w:r w:rsidRPr="00BF1428">
        <w:rPr>
          <w:rFonts w:ascii="Palatino Linotype" w:eastAsiaTheme="minorHAnsi" w:hAnsi="Palatino Linotype" w:cs="Arial"/>
          <w:i/>
          <w:szCs w:val="22"/>
          <w:lang w:val="es-MX" w:eastAsia="en-US"/>
        </w:rPr>
        <w:t>(sin que se advierte la existencia de alguno otro)</w:t>
      </w:r>
      <w:r w:rsidRPr="00BF1428">
        <w:rPr>
          <w:rFonts w:ascii="Palatino Linotype" w:eastAsiaTheme="minorHAnsi" w:hAnsi="Palatino Linotype" w:cs="Arial"/>
          <w:szCs w:val="22"/>
          <w:lang w:val="es-MX" w:eastAsia="en-US"/>
        </w:rPr>
        <w:t xml:space="preserve"> por ende es que para que se admita un recurso de revisión se debe actualizar uno de los supuestos previstos en el artículo aludido.</w:t>
      </w:r>
    </w:p>
    <w:p w14:paraId="58772950"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6E78D6F3"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lastRenderedPageBreak/>
        <w:t>De una interpretación armónica a los supuestos que prevé la Ley precitada, lo anterior se robustece con lo que establece el artículo 191, que estipula:</w:t>
      </w:r>
    </w:p>
    <w:p w14:paraId="2CDB0FE8"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6AFDF2D9"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w:t>
      </w:r>
      <w:r w:rsidRPr="00BF1428">
        <w:rPr>
          <w:rFonts w:ascii="Palatino Linotype" w:eastAsiaTheme="minorHAnsi" w:hAnsi="Palatino Linotype" w:cs="Arial"/>
          <w:b/>
          <w:i/>
          <w:sz w:val="22"/>
          <w:szCs w:val="22"/>
          <w:lang w:val="es-MX" w:eastAsia="en-US"/>
        </w:rPr>
        <w:t>Artículo 191.</w:t>
      </w:r>
      <w:r w:rsidRPr="00BF1428">
        <w:rPr>
          <w:rFonts w:ascii="Palatino Linotype" w:eastAsiaTheme="minorHAnsi" w:hAnsi="Palatino Linotype" w:cs="Arial"/>
          <w:i/>
          <w:sz w:val="22"/>
          <w:szCs w:val="22"/>
          <w:lang w:val="es-MX" w:eastAsia="en-US"/>
        </w:rPr>
        <w:t xml:space="preserve"> El recurso será desechado por improcedente cuando:  </w:t>
      </w:r>
    </w:p>
    <w:p w14:paraId="2B5A582F"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b/>
          <w:i/>
          <w:sz w:val="22"/>
          <w:szCs w:val="22"/>
          <w:u w:val="single"/>
          <w:lang w:val="es-MX" w:eastAsia="en-US"/>
        </w:rPr>
        <w:t>I. Sea extemporáneo por haber transcurrido el plazo establecido en la presente Ley, a partir de la respuesta</w:t>
      </w:r>
      <w:r w:rsidRPr="00BF1428">
        <w:rPr>
          <w:rFonts w:ascii="Palatino Linotype" w:eastAsiaTheme="minorHAnsi" w:hAnsi="Palatino Linotype" w:cs="Arial"/>
          <w:i/>
          <w:sz w:val="22"/>
          <w:szCs w:val="22"/>
          <w:lang w:val="es-MX" w:eastAsia="en-US"/>
        </w:rPr>
        <w:t xml:space="preserve">;  </w:t>
      </w:r>
    </w:p>
    <w:p w14:paraId="43F5C589"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 xml:space="preserve">II. Se esté tramitando ante el Poder Judicial de la Federación algún recurso o medio de defensa interpuesto por el recurrente;  </w:t>
      </w:r>
    </w:p>
    <w:p w14:paraId="46A7F707"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 xml:space="preserve">III. No actualice alguno de los supuestos previstos en la presente Ley;  </w:t>
      </w:r>
    </w:p>
    <w:p w14:paraId="34BCB4B7"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 xml:space="preserve">IV. No se haya desahogado la prevención en los términos establecidos en la presente Ley;  </w:t>
      </w:r>
    </w:p>
    <w:p w14:paraId="466D9CE8"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 xml:space="preserve">V. Se impugne la veracidad de la información proporcionada;  </w:t>
      </w:r>
    </w:p>
    <w:p w14:paraId="7629549B"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 xml:space="preserve">VI. Se trate de una consulta, o trámite en específico; y  </w:t>
      </w:r>
    </w:p>
    <w:p w14:paraId="2A9FC6D4" w14:textId="77777777" w:rsidR="009B08BD" w:rsidRPr="00BF1428" w:rsidRDefault="009B08BD" w:rsidP="009B08BD">
      <w:pPr>
        <w:spacing w:line="276" w:lineRule="auto"/>
        <w:ind w:left="567" w:right="567"/>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VII. El recurrente amplíe su solicitud en el recurso de revisión, únicamente respecto de los nuevos contenidos.”</w:t>
      </w:r>
    </w:p>
    <w:p w14:paraId="4E9B8B0E" w14:textId="77777777" w:rsidR="009B08BD" w:rsidRPr="00BF1428" w:rsidRDefault="009B08BD" w:rsidP="009B08BD">
      <w:pPr>
        <w:spacing w:after="160" w:line="360" w:lineRule="auto"/>
        <w:jc w:val="both"/>
        <w:rPr>
          <w:rFonts w:ascii="Palatino Linotype" w:eastAsiaTheme="minorHAnsi" w:hAnsi="Palatino Linotype" w:cs="Arial"/>
          <w:sz w:val="22"/>
          <w:szCs w:val="22"/>
          <w:lang w:val="es-MX" w:eastAsia="en-US"/>
        </w:rPr>
      </w:pPr>
    </w:p>
    <w:p w14:paraId="40328256"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14:paraId="6CBEE672"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729B8F02"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 xml:space="preserve">La ley es clara en ese sentido, por lo que no es posible invocar dicho precepto ulteriormente a que ha sido admitido </w:t>
      </w:r>
      <w:r w:rsidRPr="00BF1428">
        <w:rPr>
          <w:rFonts w:ascii="Palatino Linotype" w:eastAsiaTheme="minorHAnsi" w:hAnsi="Palatino Linotype" w:cs="Arial"/>
          <w:i/>
          <w:szCs w:val="22"/>
          <w:lang w:val="es-MX" w:eastAsia="en-US"/>
        </w:rPr>
        <w:t>(y por ende procedente)</w:t>
      </w:r>
      <w:r w:rsidRPr="00BF1428">
        <w:rPr>
          <w:rFonts w:ascii="Palatino Linotype" w:eastAsiaTheme="minorHAnsi" w:hAnsi="Palatino Linotype" w:cs="Arial"/>
          <w:szCs w:val="22"/>
          <w:lang w:val="es-MX" w:eastAsia="en-US"/>
        </w:rPr>
        <w:t>, alegando la actualización de un desechamiento, porque este ya sería posterior a la etapa procedimental en la que debió desecharse.</w:t>
      </w:r>
    </w:p>
    <w:p w14:paraId="54CA39A2"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6D11EA12" w14:textId="5C6E76CC"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 xml:space="preserve">En ese sentido es que el presente recurso de revisión actualiza el primer elemento normativo del supuesto previsto en la fracción IV, del artículo 192, de la Ley en la </w:t>
      </w:r>
      <w:r w:rsidRPr="00BF1428">
        <w:rPr>
          <w:rFonts w:ascii="Palatino Linotype" w:eastAsiaTheme="minorHAnsi" w:hAnsi="Palatino Linotype" w:cs="Arial"/>
          <w:szCs w:val="22"/>
          <w:lang w:val="es-MX" w:eastAsia="en-US"/>
        </w:rPr>
        <w:lastRenderedPageBreak/>
        <w:t xml:space="preserve">materia, ya que éste fue admitido, mediante acuerdo de fecha </w:t>
      </w:r>
      <w:r w:rsidR="0064529E" w:rsidRPr="00BF1428">
        <w:rPr>
          <w:rFonts w:ascii="Palatino Linotype" w:eastAsiaTheme="minorHAnsi" w:hAnsi="Palatino Linotype" w:cs="Arial"/>
          <w:szCs w:val="22"/>
          <w:lang w:val="es-MX" w:eastAsia="en-US"/>
        </w:rPr>
        <w:t>veintinueve de enero de dos mil veintiséis</w:t>
      </w:r>
      <w:r w:rsidRPr="00BF1428">
        <w:rPr>
          <w:rFonts w:ascii="Palatino Linotype" w:eastAsiaTheme="minorHAnsi" w:hAnsi="Palatino Linotype" w:cs="Arial"/>
          <w:szCs w:val="22"/>
          <w:lang w:val="es-MX" w:eastAsia="en-US"/>
        </w:rPr>
        <w:t>, en el que no se desechó por contener alguna causal de improcedencia.</w:t>
      </w:r>
    </w:p>
    <w:p w14:paraId="634D95CB"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p>
    <w:p w14:paraId="32788442"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szCs w:val="22"/>
          <w:lang w:val="es-MX" w:eastAsia="en-US"/>
        </w:rPr>
        <w:t xml:space="preserve">Por lo que hace al segundo elemento normativo consistente en: “2.- </w:t>
      </w:r>
      <w:r w:rsidRPr="00BF1428">
        <w:rPr>
          <w:rFonts w:ascii="Palatino Linotype" w:eastAsiaTheme="minorHAnsi" w:hAnsi="Palatino Linotype" w:cs="Arial"/>
          <w:i/>
          <w:szCs w:val="22"/>
          <w:lang w:val="es-MX" w:eastAsia="en-US"/>
        </w:rPr>
        <w:t>Aparezca alguna causal de improcedencia</w:t>
      </w:r>
      <w:r w:rsidRPr="00BF1428">
        <w:rPr>
          <w:rFonts w:ascii="Palatino Linotype" w:eastAsiaTheme="minorHAnsi" w:hAnsi="Palatino Linotype" w:cs="Arial"/>
          <w:szCs w:val="22"/>
          <w:lang w:val="es-MX" w:eastAsia="en-US"/>
        </w:rPr>
        <w:t xml:space="preserve">;”,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w:t>
      </w:r>
      <w:r w:rsidRPr="00BF1428">
        <w:rPr>
          <w:rFonts w:ascii="Palatino Linotype" w:eastAsiaTheme="minorHAnsi" w:hAnsi="Palatino Linotype" w:cs="Arial"/>
          <w:b/>
          <w:szCs w:val="22"/>
          <w:lang w:val="es-MX" w:eastAsia="en-US"/>
        </w:rPr>
        <w:t>a)</w:t>
      </w:r>
      <w:r w:rsidRPr="00BF1428">
        <w:rPr>
          <w:rFonts w:ascii="Palatino Linotype" w:eastAsiaTheme="minorHAnsi" w:hAnsi="Palatino Linotype" w:cs="Arial"/>
          <w:szCs w:val="22"/>
          <w:lang w:val="es-MX" w:eastAsia="en-US"/>
        </w:rPr>
        <w:t xml:space="preserve"> La existencia de una causal de improcedencia en el expediente, y </w:t>
      </w:r>
      <w:r w:rsidRPr="00BF1428">
        <w:rPr>
          <w:rFonts w:ascii="Palatino Linotype" w:eastAsiaTheme="minorHAnsi" w:hAnsi="Palatino Linotype" w:cs="Arial"/>
          <w:b/>
          <w:szCs w:val="22"/>
          <w:lang w:val="es-MX" w:eastAsia="en-US"/>
        </w:rPr>
        <w:t>b)</w:t>
      </w:r>
      <w:r w:rsidRPr="00BF1428">
        <w:rPr>
          <w:rFonts w:ascii="Palatino Linotype" w:eastAsiaTheme="minorHAnsi" w:hAnsi="Palatino Linotype" w:cs="Arial"/>
          <w:szCs w:val="22"/>
          <w:lang w:val="es-MX" w:eastAsia="en-US"/>
        </w:rPr>
        <w:t xml:space="preserve"> La forma en que la autoridad ha de detectarla, señalarla y valorarla, es decir, a que “</w:t>
      </w:r>
      <w:r w:rsidRPr="00BF1428">
        <w:rPr>
          <w:rFonts w:ascii="Palatino Linotype" w:eastAsiaTheme="minorHAnsi" w:hAnsi="Palatino Linotype" w:cs="Arial"/>
          <w:i/>
          <w:szCs w:val="22"/>
          <w:lang w:val="es-MX" w:eastAsia="en-US"/>
        </w:rPr>
        <w:t>aparezca</w:t>
      </w:r>
      <w:r w:rsidRPr="00BF1428">
        <w:rPr>
          <w:rFonts w:ascii="Palatino Linotype" w:eastAsiaTheme="minorHAnsi" w:hAnsi="Palatino Linotype" w:cs="Arial"/>
          <w:szCs w:val="22"/>
          <w:lang w:val="es-MX" w:eastAsia="en-US"/>
        </w:rPr>
        <w:t>”; ahora bien, por lo que hace al inciso “</w:t>
      </w:r>
      <w:r w:rsidRPr="00BF1428">
        <w:rPr>
          <w:rFonts w:ascii="Palatino Linotype" w:eastAsiaTheme="minorHAnsi" w:hAnsi="Palatino Linotype" w:cs="Arial"/>
          <w:b/>
          <w:szCs w:val="22"/>
          <w:lang w:val="es-MX" w:eastAsia="en-US"/>
        </w:rPr>
        <w:t>a)</w:t>
      </w:r>
      <w:r w:rsidRPr="00BF1428">
        <w:rPr>
          <w:rFonts w:ascii="Palatino Linotype" w:eastAsiaTheme="minorHAnsi" w:hAnsi="Palatino Linotype" w:cs="Arial"/>
          <w:szCs w:val="22"/>
          <w:lang w:val="es-MX" w:eastAsia="en-US"/>
        </w:rPr>
        <w:t>”, la Ley en la materia los especifica en el artículo 191 arriba transcrito, en cuya fracción IV, se establece:</w:t>
      </w:r>
    </w:p>
    <w:p w14:paraId="5476A6F3" w14:textId="77777777" w:rsidR="009B08BD" w:rsidRPr="00BF1428" w:rsidRDefault="009B08BD" w:rsidP="009B08BD">
      <w:pPr>
        <w:rPr>
          <w:lang w:val="es-MX"/>
        </w:rPr>
      </w:pPr>
    </w:p>
    <w:p w14:paraId="66EFA359" w14:textId="77777777" w:rsidR="009B08BD" w:rsidRPr="00BF1428" w:rsidRDefault="009B08BD" w:rsidP="009B08BD">
      <w:pPr>
        <w:spacing w:line="276" w:lineRule="auto"/>
        <w:ind w:left="851" w:right="900"/>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i/>
          <w:sz w:val="22"/>
          <w:szCs w:val="22"/>
          <w:lang w:val="es-MX" w:eastAsia="en-US"/>
        </w:rPr>
        <w:t>“</w:t>
      </w:r>
      <w:r w:rsidRPr="00BF1428">
        <w:rPr>
          <w:rFonts w:ascii="Palatino Linotype" w:eastAsiaTheme="minorHAnsi" w:hAnsi="Palatino Linotype" w:cs="Arial"/>
          <w:b/>
          <w:i/>
          <w:sz w:val="22"/>
          <w:szCs w:val="22"/>
          <w:lang w:val="es-MX" w:eastAsia="en-US"/>
        </w:rPr>
        <w:t>Artículo 191.</w:t>
      </w:r>
      <w:r w:rsidRPr="00BF1428">
        <w:rPr>
          <w:rFonts w:ascii="Palatino Linotype" w:eastAsiaTheme="minorHAnsi" w:hAnsi="Palatino Linotype" w:cs="Arial"/>
          <w:i/>
          <w:sz w:val="22"/>
          <w:szCs w:val="22"/>
          <w:lang w:val="es-MX" w:eastAsia="en-US"/>
        </w:rPr>
        <w:t xml:space="preserve"> El recurso será desechado por improcedente cuando: </w:t>
      </w:r>
    </w:p>
    <w:p w14:paraId="125A7CD4" w14:textId="77777777" w:rsidR="009B08BD" w:rsidRPr="00BF1428" w:rsidRDefault="009B08BD" w:rsidP="009B08BD">
      <w:pPr>
        <w:spacing w:line="276" w:lineRule="auto"/>
        <w:ind w:left="851" w:right="900"/>
        <w:jc w:val="both"/>
        <w:rPr>
          <w:rFonts w:ascii="Palatino Linotype" w:eastAsiaTheme="minorHAnsi" w:hAnsi="Palatino Linotype" w:cs="Arial"/>
          <w:i/>
          <w:sz w:val="22"/>
          <w:szCs w:val="22"/>
          <w:lang w:val="es-MX" w:eastAsia="en-US"/>
        </w:rPr>
      </w:pPr>
      <w:r w:rsidRPr="00BF1428">
        <w:rPr>
          <w:rFonts w:ascii="Palatino Linotype" w:eastAsiaTheme="minorHAnsi" w:hAnsi="Palatino Linotype" w:cs="Arial"/>
          <w:b/>
          <w:i/>
          <w:sz w:val="22"/>
          <w:szCs w:val="22"/>
          <w:lang w:val="es-MX" w:eastAsia="en-US"/>
        </w:rPr>
        <w:t>I.</w:t>
      </w:r>
      <w:r w:rsidRPr="00BF1428">
        <w:rPr>
          <w:rFonts w:ascii="Palatino Linotype" w:eastAsiaTheme="minorHAnsi" w:hAnsi="Palatino Linotype" w:cs="Arial"/>
          <w:i/>
          <w:sz w:val="22"/>
          <w:szCs w:val="22"/>
          <w:lang w:val="es-MX" w:eastAsia="en-US"/>
        </w:rPr>
        <w:t xml:space="preserve"> </w:t>
      </w:r>
      <w:r w:rsidRPr="00BF1428">
        <w:rPr>
          <w:rFonts w:ascii="Palatino Linotype" w:eastAsiaTheme="minorHAnsi" w:hAnsi="Palatino Linotype" w:cs="Arial"/>
          <w:i/>
          <w:sz w:val="22"/>
          <w:szCs w:val="22"/>
          <w:u w:val="single"/>
          <w:lang w:val="es-MX" w:eastAsia="en-US"/>
        </w:rPr>
        <w:t>Sea extemporáneo por haber transcurrido el plazo establecido en la presente Ley, a partir de la respuesta</w:t>
      </w:r>
      <w:r w:rsidRPr="00BF1428">
        <w:rPr>
          <w:rFonts w:ascii="Palatino Linotype" w:eastAsiaTheme="minorHAnsi" w:hAnsi="Palatino Linotype" w:cs="Arial"/>
          <w:i/>
          <w:sz w:val="22"/>
          <w:szCs w:val="22"/>
          <w:lang w:val="es-MX" w:eastAsia="en-US"/>
        </w:rPr>
        <w:t>;”</w:t>
      </w:r>
    </w:p>
    <w:p w14:paraId="34738F48" w14:textId="77777777" w:rsidR="009B08BD" w:rsidRPr="00BF1428" w:rsidRDefault="009B08BD" w:rsidP="009B08BD">
      <w:pPr>
        <w:pStyle w:val="Prrafodelista"/>
        <w:autoSpaceDE w:val="0"/>
        <w:autoSpaceDN w:val="0"/>
        <w:adjustRightInd w:val="0"/>
        <w:spacing w:line="360" w:lineRule="auto"/>
        <w:ind w:left="0"/>
        <w:jc w:val="both"/>
        <w:rPr>
          <w:rFonts w:ascii="Palatino Linotype" w:hAnsi="Palatino Linotype" w:cs="Arial"/>
        </w:rPr>
      </w:pPr>
    </w:p>
    <w:p w14:paraId="504C94D2" w14:textId="3D28F59B"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BF1428">
        <w:rPr>
          <w:rFonts w:ascii="Palatino Linotype" w:eastAsia="Calibri" w:hAnsi="Palatino Linotype" w:cs="Tahoma"/>
          <w:color w:val="000000"/>
          <w:szCs w:val="22"/>
          <w:lang w:val="es-MX" w:eastAsia="es-MX"/>
        </w:rPr>
        <w:t xml:space="preserve">En ese sentido, del acuse generado por el Sistema de Acceso a la Información Mexiquense </w:t>
      </w:r>
      <w:r w:rsidRPr="00BF1428">
        <w:rPr>
          <w:rFonts w:ascii="Palatino Linotype" w:eastAsia="Calibri" w:hAnsi="Palatino Linotype" w:cs="Tahoma"/>
          <w:b/>
          <w:color w:val="000000"/>
          <w:szCs w:val="22"/>
          <w:lang w:val="es-MX" w:eastAsia="es-MX"/>
        </w:rPr>
        <w:t>(SAIMEX)</w:t>
      </w:r>
      <w:r w:rsidRPr="00BF1428">
        <w:rPr>
          <w:rFonts w:ascii="Palatino Linotype" w:eastAsia="Calibri" w:hAnsi="Palatino Linotype" w:cs="Tahoma"/>
          <w:color w:val="000000"/>
          <w:szCs w:val="22"/>
          <w:lang w:val="es-MX" w:eastAsia="es-MX"/>
        </w:rPr>
        <w:t xml:space="preserve">, se advierte que el </w:t>
      </w:r>
      <w:r w:rsidRPr="00BF1428">
        <w:rPr>
          <w:rFonts w:ascii="Palatino Linotype" w:eastAsia="Calibri" w:hAnsi="Palatino Linotype" w:cs="Tahoma"/>
          <w:b/>
          <w:color w:val="000000"/>
          <w:szCs w:val="22"/>
          <w:lang w:val="es-MX" w:eastAsia="es-MX"/>
        </w:rPr>
        <w:t>Sujeto Obligado</w:t>
      </w:r>
      <w:r w:rsidRPr="00BF1428">
        <w:rPr>
          <w:rFonts w:ascii="Palatino Linotype" w:eastAsia="Calibri" w:hAnsi="Palatino Linotype" w:cs="Tahoma"/>
          <w:color w:val="000000"/>
          <w:szCs w:val="22"/>
          <w:lang w:val="es-MX" w:eastAsia="es-MX"/>
        </w:rPr>
        <w:t xml:space="preserve">, notificó la respuesta al Particular, en cumplimiento a la Resolución del Recurso de Revisión con número </w:t>
      </w:r>
      <w:r w:rsidR="0064529E" w:rsidRPr="00BF1428">
        <w:rPr>
          <w:rFonts w:ascii="Palatino Linotype" w:eastAsia="Calibri" w:hAnsi="Palatino Linotype" w:cs="Tahoma"/>
          <w:b/>
          <w:color w:val="000000"/>
          <w:szCs w:val="22"/>
          <w:lang w:val="es-MX" w:eastAsia="es-MX"/>
        </w:rPr>
        <w:t>11515/INFOEM/IP/RR/2025</w:t>
      </w:r>
      <w:r w:rsidRPr="00BF1428">
        <w:rPr>
          <w:rFonts w:ascii="Palatino Linotype" w:eastAsia="Calibri" w:hAnsi="Palatino Linotype" w:cs="Tahoma"/>
          <w:color w:val="000000"/>
          <w:szCs w:val="22"/>
          <w:lang w:val="es-MX" w:eastAsia="es-MX"/>
        </w:rPr>
        <w:t xml:space="preserve">, el </w:t>
      </w:r>
      <w:r w:rsidR="0064529E" w:rsidRPr="00BF1428">
        <w:rPr>
          <w:rFonts w:ascii="Palatino Linotype" w:eastAsia="Calibri" w:hAnsi="Palatino Linotype" w:cs="Tahoma"/>
          <w:b/>
          <w:color w:val="000000"/>
          <w:szCs w:val="22"/>
          <w:lang w:val="es-MX" w:eastAsia="es-MX"/>
        </w:rPr>
        <w:t>dos de diciembre de dos mil veinticinco</w:t>
      </w:r>
      <w:r w:rsidR="0064529E" w:rsidRPr="00BF1428">
        <w:rPr>
          <w:rFonts w:ascii="Palatino Linotype" w:eastAsia="Calibri" w:hAnsi="Palatino Linotype" w:cs="Tahoma"/>
          <w:color w:val="000000"/>
          <w:szCs w:val="22"/>
          <w:lang w:val="es-MX" w:eastAsia="es-MX"/>
        </w:rPr>
        <w:t>.</w:t>
      </w:r>
    </w:p>
    <w:p w14:paraId="24F62A10" w14:textId="77777777"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12B85F43" w14:textId="49CB63F9"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BF1428">
        <w:rPr>
          <w:rFonts w:ascii="Palatino Linotype" w:eastAsia="Calibri" w:hAnsi="Palatino Linotype" w:cs="Tahoma"/>
          <w:color w:val="000000"/>
          <w:szCs w:val="22"/>
          <w:lang w:val="es-MX" w:eastAsia="es-MX"/>
        </w:rPr>
        <w:t xml:space="preserve">Por lo tanto, el plazo de quince días, contados a partir del día hábil siguiente de la notificación de la contestación, con el que contaba el </w:t>
      </w:r>
      <w:r w:rsidR="009D3EA4" w:rsidRPr="00BF1428">
        <w:rPr>
          <w:rFonts w:ascii="Palatino Linotype" w:eastAsia="Calibri" w:hAnsi="Palatino Linotype" w:cs="Tahoma"/>
          <w:color w:val="000000"/>
          <w:szCs w:val="22"/>
          <w:lang w:val="es-MX" w:eastAsia="es-MX"/>
        </w:rPr>
        <w:t>s</w:t>
      </w:r>
      <w:r w:rsidRPr="00BF1428">
        <w:rPr>
          <w:rFonts w:ascii="Palatino Linotype" w:eastAsia="Calibri" w:hAnsi="Palatino Linotype" w:cs="Tahoma"/>
          <w:color w:val="000000"/>
          <w:szCs w:val="22"/>
          <w:lang w:val="es-MX" w:eastAsia="es-MX"/>
        </w:rPr>
        <w:t xml:space="preserve">olicitante para interponer su </w:t>
      </w:r>
      <w:r w:rsidRPr="00BF1428">
        <w:rPr>
          <w:rFonts w:ascii="Palatino Linotype" w:eastAsia="Calibri" w:hAnsi="Palatino Linotype" w:cs="Tahoma"/>
          <w:color w:val="000000"/>
          <w:szCs w:val="22"/>
          <w:lang w:val="es-MX" w:eastAsia="es-MX"/>
        </w:rPr>
        <w:lastRenderedPageBreak/>
        <w:t xml:space="preserve">segundo Recurso de Revisión, comenzó a computarse el </w:t>
      </w:r>
      <w:r w:rsidR="0064529E" w:rsidRPr="00BF1428">
        <w:rPr>
          <w:rFonts w:ascii="Palatino Linotype" w:eastAsia="Calibri" w:hAnsi="Palatino Linotype" w:cs="Tahoma"/>
          <w:b/>
          <w:color w:val="000000"/>
          <w:szCs w:val="22"/>
          <w:lang w:val="es-MX" w:eastAsia="es-MX"/>
        </w:rPr>
        <w:t>tres de diciembre de dos mil veinticinco</w:t>
      </w:r>
      <w:r w:rsidRPr="00BF1428">
        <w:rPr>
          <w:rFonts w:ascii="Palatino Linotype" w:eastAsia="Calibri" w:hAnsi="Palatino Linotype" w:cs="Tahoma"/>
          <w:color w:val="000000"/>
          <w:szCs w:val="22"/>
          <w:lang w:val="es-MX" w:eastAsia="es-MX"/>
        </w:rPr>
        <w:t xml:space="preserve"> y concluyó el </w:t>
      </w:r>
      <w:r w:rsidR="0064529E" w:rsidRPr="00BF1428">
        <w:rPr>
          <w:rFonts w:ascii="Palatino Linotype" w:eastAsia="Calibri" w:hAnsi="Palatino Linotype" w:cs="Tahoma"/>
          <w:b/>
          <w:color w:val="000000"/>
          <w:szCs w:val="22"/>
          <w:lang w:val="es-MX" w:eastAsia="es-MX"/>
        </w:rPr>
        <w:t>trece de enero de dos mil veintiséis</w:t>
      </w:r>
      <w:r w:rsidRPr="00BF1428">
        <w:rPr>
          <w:rFonts w:ascii="Palatino Linotype" w:eastAsia="Calibri" w:hAnsi="Palatino Linotype" w:cs="Tahoma"/>
          <w:color w:val="000000"/>
          <w:szCs w:val="22"/>
          <w:lang w:val="es-MX" w:eastAsia="es-MX"/>
        </w:rPr>
        <w:t>, ello sin contar  los</w:t>
      </w:r>
      <w:r w:rsidR="009D3EA4" w:rsidRPr="00BF1428">
        <w:rPr>
          <w:rFonts w:ascii="Palatino Linotype" w:eastAsia="Calibri" w:hAnsi="Palatino Linotype" w:cs="Tahoma"/>
          <w:color w:val="000000"/>
          <w:szCs w:val="22"/>
          <w:lang w:val="es-MX" w:eastAsia="es-MX"/>
        </w:rPr>
        <w:t xml:space="preserve"> días</w:t>
      </w:r>
      <w:r w:rsidRPr="00BF1428">
        <w:rPr>
          <w:rFonts w:ascii="Palatino Linotype" w:eastAsia="Calibri" w:hAnsi="Palatino Linotype" w:cs="Tahoma"/>
          <w:color w:val="000000"/>
          <w:szCs w:val="22"/>
          <w:lang w:val="es-MX" w:eastAsia="es-MX"/>
        </w:rPr>
        <w:t xml:space="preserve"> inhábiles, de conformidad con el artículo 3°, fracción X, de la Ley de Transparencia y Acceso a la Información Pública del Estado de México y Municipios, el Calendario Oficial en Materia de Transparencia, Acceso a la Información Pública y Protección de Datos Personales del Estado de México y Municipios, así como de laborales de este Instituto, para el año dos mil </w:t>
      </w:r>
      <w:r w:rsidR="0064529E" w:rsidRPr="00BF1428">
        <w:rPr>
          <w:rFonts w:ascii="Palatino Linotype" w:eastAsia="Calibri" w:hAnsi="Palatino Linotype" w:cs="Tahoma"/>
          <w:color w:val="000000"/>
          <w:szCs w:val="22"/>
          <w:lang w:val="es-MX" w:eastAsia="es-MX"/>
        </w:rPr>
        <w:t>veinticinco</w:t>
      </w:r>
      <w:r w:rsidRPr="00BF1428">
        <w:rPr>
          <w:rFonts w:ascii="Palatino Linotype" w:eastAsia="Calibri" w:hAnsi="Palatino Linotype" w:cs="Tahoma"/>
          <w:color w:val="000000"/>
          <w:szCs w:val="22"/>
          <w:lang w:val="es-MX" w:eastAsia="es-MX"/>
        </w:rPr>
        <w:t xml:space="preserve"> y enero dos mil </w:t>
      </w:r>
      <w:r w:rsidR="0064529E" w:rsidRPr="00BF1428">
        <w:rPr>
          <w:rFonts w:ascii="Palatino Linotype" w:eastAsia="Calibri" w:hAnsi="Palatino Linotype" w:cs="Tahoma"/>
          <w:color w:val="000000"/>
          <w:szCs w:val="22"/>
          <w:lang w:val="es-MX" w:eastAsia="es-MX"/>
        </w:rPr>
        <w:t>veintiséis</w:t>
      </w:r>
      <w:r w:rsidRPr="00BF1428">
        <w:rPr>
          <w:rFonts w:ascii="Palatino Linotype" w:eastAsia="Calibri" w:hAnsi="Palatino Linotype" w:cs="Tahoma"/>
          <w:color w:val="000000"/>
          <w:szCs w:val="22"/>
          <w:lang w:val="es-MX" w:eastAsia="es-MX"/>
        </w:rPr>
        <w:t>.</w:t>
      </w:r>
    </w:p>
    <w:p w14:paraId="462B50B3" w14:textId="77777777"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06C3C82F" w14:textId="15F20617"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BF1428">
        <w:rPr>
          <w:rFonts w:ascii="Palatino Linotype" w:eastAsia="Calibri" w:hAnsi="Palatino Linotype" w:cs="Tahoma"/>
          <w:color w:val="000000"/>
          <w:szCs w:val="22"/>
          <w:lang w:val="es-MX" w:eastAsia="es-MX"/>
        </w:rPr>
        <w:t xml:space="preserve">Por su parte, el ahora </w:t>
      </w:r>
      <w:r w:rsidRPr="00BF1428">
        <w:rPr>
          <w:rFonts w:ascii="Palatino Linotype" w:eastAsia="Calibri" w:hAnsi="Palatino Linotype" w:cs="Tahoma"/>
          <w:b/>
          <w:color w:val="000000"/>
          <w:szCs w:val="22"/>
          <w:lang w:val="es-MX" w:eastAsia="es-MX"/>
        </w:rPr>
        <w:t>Recurrente</w:t>
      </w:r>
      <w:r w:rsidRPr="00BF1428">
        <w:rPr>
          <w:rFonts w:ascii="Palatino Linotype" w:eastAsia="Calibri" w:hAnsi="Palatino Linotype" w:cs="Tahoma"/>
          <w:color w:val="000000"/>
          <w:szCs w:val="22"/>
          <w:lang w:val="es-MX" w:eastAsia="es-MX"/>
        </w:rPr>
        <w:t xml:space="preserve"> como se desprende del Sistema de Acceso a la Información Mexiquense </w:t>
      </w:r>
      <w:r w:rsidRPr="00BF1428">
        <w:rPr>
          <w:rFonts w:ascii="Palatino Linotype" w:eastAsia="Calibri" w:hAnsi="Palatino Linotype" w:cs="Tahoma"/>
          <w:b/>
          <w:color w:val="000000"/>
          <w:szCs w:val="22"/>
          <w:lang w:val="es-MX" w:eastAsia="es-MX"/>
        </w:rPr>
        <w:t>(SAIMEX)</w:t>
      </w:r>
      <w:r w:rsidRPr="00BF1428">
        <w:rPr>
          <w:rFonts w:ascii="Palatino Linotype" w:eastAsia="Calibri" w:hAnsi="Palatino Linotype" w:cs="Tahoma"/>
          <w:color w:val="000000"/>
          <w:szCs w:val="22"/>
          <w:lang w:val="es-MX" w:eastAsia="es-MX"/>
        </w:rPr>
        <w:t xml:space="preserve">, interpuso su segundo medio de impugnación, hasta el día </w:t>
      </w:r>
      <w:r w:rsidR="0064529E" w:rsidRPr="00BF1428">
        <w:rPr>
          <w:rFonts w:ascii="Palatino Linotype" w:eastAsia="Calibri" w:hAnsi="Palatino Linotype" w:cs="Tahoma"/>
          <w:b/>
          <w:color w:val="000000"/>
          <w:szCs w:val="22"/>
          <w:lang w:val="es-MX" w:eastAsia="es-MX"/>
        </w:rPr>
        <w:t>veintidós de enero de dos mil veintiséis</w:t>
      </w:r>
      <w:r w:rsidRPr="00BF1428">
        <w:rPr>
          <w:rFonts w:ascii="Palatino Linotype" w:eastAsia="Calibri" w:hAnsi="Palatino Linotype" w:cs="Tahoma"/>
          <w:color w:val="000000"/>
          <w:szCs w:val="22"/>
          <w:lang w:val="es-MX" w:eastAsia="es-MX"/>
        </w:rPr>
        <w:t>.</w:t>
      </w:r>
    </w:p>
    <w:p w14:paraId="1FE36ECB" w14:textId="77777777"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731E32AA" w14:textId="262B449A"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BF1428">
        <w:rPr>
          <w:rFonts w:ascii="Palatino Linotype" w:eastAsia="Calibri" w:hAnsi="Palatino Linotype" w:cs="Tahoma"/>
          <w:color w:val="000000"/>
          <w:szCs w:val="22"/>
          <w:lang w:val="es-MX" w:eastAsia="es-MX"/>
        </w:rPr>
        <w:t xml:space="preserve">Por tanto, al interponerse el Recurso de Revisión ante este Instituto, en dicha fecha, se concluye que se realizó una vez </w:t>
      </w:r>
      <w:r w:rsidRPr="00BF1428">
        <w:rPr>
          <w:rFonts w:ascii="Palatino Linotype" w:eastAsia="Calibri" w:hAnsi="Palatino Linotype" w:cs="Tahoma"/>
          <w:b/>
          <w:bCs/>
          <w:color w:val="000000"/>
          <w:szCs w:val="22"/>
          <w:u w:val="single"/>
          <w:lang w:val="es-MX" w:eastAsia="es-MX"/>
        </w:rPr>
        <w:t>fenecido el plazo legal establecido</w:t>
      </w:r>
      <w:r w:rsidRPr="00BF1428">
        <w:rPr>
          <w:rFonts w:ascii="Palatino Linotype" w:eastAsia="Calibri" w:hAnsi="Palatino Linotype" w:cs="Tahoma"/>
          <w:color w:val="000000"/>
          <w:szCs w:val="22"/>
          <w:lang w:val="es-MX" w:eastAsia="es-MX"/>
        </w:rPr>
        <w:t xml:space="preserve">, posteriores a la contestación realizada por el Ente Recurrido en cumplimiento a la Resolución del Recurso de Revisión con número </w:t>
      </w:r>
      <w:r w:rsidR="0064529E" w:rsidRPr="00BF1428">
        <w:rPr>
          <w:rFonts w:ascii="Palatino Linotype" w:eastAsia="Calibri" w:hAnsi="Palatino Linotype" w:cs="Tahoma"/>
          <w:b/>
          <w:color w:val="000000"/>
          <w:szCs w:val="22"/>
          <w:lang w:val="es-MX" w:eastAsia="es-MX"/>
        </w:rPr>
        <w:t>11515/INFOEM/IP/RR/2025</w:t>
      </w:r>
      <w:r w:rsidRPr="00BF1428">
        <w:rPr>
          <w:rFonts w:ascii="Palatino Linotype" w:eastAsia="Calibri" w:hAnsi="Palatino Linotype" w:cs="Tahoma"/>
          <w:color w:val="000000"/>
          <w:szCs w:val="22"/>
          <w:lang w:val="es-MX" w:eastAsia="es-MX"/>
        </w:rPr>
        <w:t xml:space="preserve">; resultando extemporáneo la presentación del Medio de Impugnación. </w:t>
      </w:r>
    </w:p>
    <w:p w14:paraId="688AAA8D" w14:textId="77777777"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2ABDDABC" w14:textId="77777777"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BF1428">
        <w:rPr>
          <w:rFonts w:ascii="Palatino Linotype" w:eastAsia="Calibri" w:hAnsi="Palatino Linotype" w:cs="Tahoma"/>
          <w:color w:val="000000"/>
          <w:szCs w:val="22"/>
          <w:lang w:val="es-MX" w:eastAsia="es-MX"/>
        </w:rPr>
        <w:t xml:space="preserve">Dicha situación, se robustece, con el historial de la solicitud de información citado al rubro, localizado en el Sistema de Acceso a la Información Mexiquense </w:t>
      </w:r>
      <w:r w:rsidRPr="00BF1428">
        <w:rPr>
          <w:rFonts w:ascii="Palatino Linotype" w:eastAsia="Calibri" w:hAnsi="Palatino Linotype" w:cs="Tahoma"/>
          <w:b/>
          <w:color w:val="000000"/>
          <w:szCs w:val="22"/>
          <w:lang w:val="es-MX" w:eastAsia="es-MX"/>
        </w:rPr>
        <w:t>(SAIMEX)</w:t>
      </w:r>
      <w:r w:rsidRPr="00BF1428">
        <w:rPr>
          <w:rFonts w:ascii="Palatino Linotype" w:eastAsia="Calibri" w:hAnsi="Palatino Linotype" w:cs="Tahoma"/>
          <w:color w:val="000000"/>
          <w:szCs w:val="22"/>
          <w:lang w:val="es-MX" w:eastAsia="es-MX"/>
        </w:rPr>
        <w:t>.</w:t>
      </w:r>
    </w:p>
    <w:p w14:paraId="507D2D45" w14:textId="77777777"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6D3E9B23" w14:textId="77777777"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BF1428">
        <w:rPr>
          <w:rFonts w:ascii="Palatino Linotype" w:eastAsia="Calibri" w:hAnsi="Palatino Linotype" w:cs="Tahoma"/>
          <w:color w:val="000000"/>
          <w:szCs w:val="22"/>
          <w:lang w:val="es-MX" w:eastAsia="es-MX"/>
        </w:rPr>
        <w:t xml:space="preserve">En consecuencia, en virtud de haber presentado de manera extemporánea el Medio de Impugnación, el segundo Recurso de Revisión actualiza la causal de sobreseimiento, prevista en el artículo 192, fracción IV, por sobrevenir la causal de improcedencia, establecida en el artículo 191, fracción I, de la Ley de Transparencia y Acceso a la </w:t>
      </w:r>
      <w:r w:rsidRPr="00BF1428">
        <w:rPr>
          <w:rFonts w:ascii="Palatino Linotype" w:eastAsia="Calibri" w:hAnsi="Palatino Linotype" w:cs="Tahoma"/>
          <w:color w:val="000000"/>
          <w:szCs w:val="22"/>
          <w:lang w:val="es-MX" w:eastAsia="es-MX"/>
        </w:rPr>
        <w:lastRenderedPageBreak/>
        <w:t>Información Pública del Estado de México y Municipios; esto es el Recurso se presentó de forma extemporánea por haber transcurrido el plazo de Ley.</w:t>
      </w:r>
    </w:p>
    <w:p w14:paraId="15D27D36" w14:textId="77777777" w:rsidR="009B08BD" w:rsidRPr="00BF1428" w:rsidRDefault="009B08BD" w:rsidP="009B08BD">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471A3EE2" w14:textId="1B788A47" w:rsidR="009B08BD" w:rsidRPr="00BF1428" w:rsidRDefault="009B08BD" w:rsidP="009B08BD">
      <w:pPr>
        <w:spacing w:line="360" w:lineRule="auto"/>
        <w:ind w:right="51"/>
        <w:jc w:val="both"/>
        <w:rPr>
          <w:rFonts w:ascii="Palatino Linotype" w:eastAsiaTheme="minorHAnsi" w:hAnsi="Palatino Linotype" w:cs="Arial"/>
          <w:lang w:val="es-MX" w:eastAsia="en-US"/>
        </w:rPr>
      </w:pPr>
      <w:r w:rsidRPr="00BF1428">
        <w:rPr>
          <w:rFonts w:ascii="Palatino Linotype" w:eastAsiaTheme="minorHAnsi" w:hAnsi="Palatino Linotype" w:cstheme="minorBidi"/>
          <w:lang w:val="es-MX" w:eastAsia="en-US"/>
        </w:rPr>
        <w:t xml:space="preserve">En mérito de lo expuesto en líneas anteriores, </w:t>
      </w:r>
      <w:r w:rsidRPr="00BF1428">
        <w:rPr>
          <w:rFonts w:ascii="Palatino Linotype" w:eastAsiaTheme="minorHAnsi" w:hAnsi="Palatino Linotype" w:cs="Arial"/>
          <w:lang w:val="es-MX" w:eastAsia="en-US"/>
        </w:rPr>
        <w:t xml:space="preserve">con fundamento en el artículo 186, fracción I, de la Ley de Transparencia y Acceso a la Información Pública del Estado de México y Municipios, se </w:t>
      </w:r>
      <w:r w:rsidRPr="00BF1428">
        <w:rPr>
          <w:rFonts w:ascii="Palatino Linotype" w:eastAsiaTheme="minorHAnsi" w:hAnsi="Palatino Linotype" w:cs="Arial"/>
          <w:b/>
          <w:lang w:val="es-MX" w:eastAsia="en-US"/>
        </w:rPr>
        <w:t>SOBRESEE</w:t>
      </w:r>
      <w:r w:rsidRPr="00BF1428">
        <w:rPr>
          <w:rFonts w:ascii="Palatino Linotype" w:eastAsiaTheme="minorHAnsi" w:hAnsi="Palatino Linotype" w:cs="Arial"/>
          <w:lang w:val="es-MX" w:eastAsia="en-US"/>
        </w:rPr>
        <w:t xml:space="preserve"> el recurso de revisión </w:t>
      </w:r>
      <w:r w:rsidR="0064529E" w:rsidRPr="00BF1428">
        <w:rPr>
          <w:rFonts w:ascii="Palatino Linotype" w:eastAsiaTheme="minorHAnsi" w:hAnsi="Palatino Linotype" w:cs="Arial"/>
          <w:b/>
          <w:lang w:val="es-MX" w:eastAsia="en-US"/>
        </w:rPr>
        <w:tab/>
        <w:t>11515/INFOEM/ICR-50/IP/RR/2025</w:t>
      </w:r>
      <w:r w:rsidRPr="00BF1428">
        <w:rPr>
          <w:rFonts w:ascii="Palatino Linotype" w:eastAsiaTheme="minorHAnsi" w:hAnsi="Palatino Linotype" w:cs="Arial"/>
          <w:lang w:val="es-MX" w:eastAsia="en-US"/>
        </w:rPr>
        <w:t>, que ha sido materia del presente fallo.</w:t>
      </w:r>
    </w:p>
    <w:p w14:paraId="54EB3BC4" w14:textId="77777777" w:rsidR="009B08BD" w:rsidRPr="00BF1428" w:rsidRDefault="009B08BD" w:rsidP="009B08BD">
      <w:pPr>
        <w:spacing w:line="360" w:lineRule="auto"/>
        <w:ind w:right="51"/>
        <w:jc w:val="both"/>
        <w:rPr>
          <w:rFonts w:ascii="Palatino Linotype" w:eastAsiaTheme="minorHAnsi" w:hAnsi="Palatino Linotype" w:cs="Arial"/>
          <w:lang w:val="es-MX" w:eastAsia="en-US"/>
        </w:rPr>
      </w:pPr>
    </w:p>
    <w:p w14:paraId="63719283" w14:textId="7A5D918B" w:rsidR="009D3EA4" w:rsidRPr="00BF1428" w:rsidRDefault="009B08BD" w:rsidP="009B08BD">
      <w:pPr>
        <w:tabs>
          <w:tab w:val="left" w:pos="709"/>
        </w:tabs>
        <w:spacing w:line="360" w:lineRule="auto"/>
        <w:ind w:right="51"/>
        <w:jc w:val="both"/>
        <w:rPr>
          <w:rFonts w:ascii="Palatino Linotype" w:eastAsiaTheme="minorHAnsi" w:hAnsi="Palatino Linotype" w:cs="Arial"/>
          <w:lang w:val="es-MX" w:eastAsia="en-US"/>
        </w:rPr>
      </w:pPr>
      <w:r w:rsidRPr="00BF1428">
        <w:rPr>
          <w:rFonts w:ascii="Palatino Linotype" w:eastAsiaTheme="minorHAnsi" w:hAnsi="Palatino Linotype" w:cs="Arial"/>
          <w:lang w:val="es-MX" w:eastAsia="en-US"/>
        </w:rPr>
        <w:t>Por lo antes expuesto y fundado es de resolverse y,</w:t>
      </w:r>
    </w:p>
    <w:p w14:paraId="27436F0B" w14:textId="77777777" w:rsidR="009D3EA4" w:rsidRPr="00BF1428" w:rsidRDefault="009D3EA4" w:rsidP="009B08BD">
      <w:pPr>
        <w:tabs>
          <w:tab w:val="left" w:pos="709"/>
        </w:tabs>
        <w:spacing w:line="360" w:lineRule="auto"/>
        <w:ind w:right="51"/>
        <w:jc w:val="both"/>
        <w:rPr>
          <w:rFonts w:ascii="Palatino Linotype" w:eastAsiaTheme="minorHAnsi" w:hAnsi="Palatino Linotype" w:cs="Arial"/>
          <w:lang w:val="es-MX" w:eastAsia="en-US"/>
        </w:rPr>
      </w:pPr>
    </w:p>
    <w:p w14:paraId="118E716A" w14:textId="77777777" w:rsidR="009D3EA4" w:rsidRPr="00BF1428" w:rsidRDefault="009D3EA4" w:rsidP="009B08BD">
      <w:pPr>
        <w:tabs>
          <w:tab w:val="left" w:pos="709"/>
        </w:tabs>
        <w:spacing w:line="360" w:lineRule="auto"/>
        <w:ind w:right="51"/>
        <w:jc w:val="both"/>
        <w:rPr>
          <w:rFonts w:ascii="Palatino Linotype" w:eastAsiaTheme="minorHAnsi" w:hAnsi="Palatino Linotype" w:cs="Arial"/>
          <w:lang w:val="es-MX" w:eastAsia="en-US"/>
        </w:rPr>
      </w:pPr>
    </w:p>
    <w:p w14:paraId="28B571C1" w14:textId="77777777" w:rsidR="009B08BD" w:rsidRPr="00BF1428" w:rsidRDefault="009B08BD" w:rsidP="009B08BD">
      <w:pPr>
        <w:spacing w:after="160" w:line="360" w:lineRule="auto"/>
        <w:jc w:val="center"/>
        <w:rPr>
          <w:rFonts w:ascii="Palatino Linotype" w:eastAsiaTheme="minorHAnsi" w:hAnsi="Palatino Linotype" w:cstheme="minorBidi"/>
          <w:b/>
          <w:bCs/>
          <w:spacing w:val="60"/>
          <w:sz w:val="28"/>
          <w:szCs w:val="22"/>
          <w:lang w:val="es-ES_tradnl" w:eastAsia="en-US"/>
        </w:rPr>
      </w:pPr>
      <w:r w:rsidRPr="00BF1428">
        <w:rPr>
          <w:rFonts w:ascii="Palatino Linotype" w:eastAsiaTheme="minorHAnsi" w:hAnsi="Palatino Linotype" w:cstheme="minorBidi"/>
          <w:b/>
          <w:bCs/>
          <w:spacing w:val="60"/>
          <w:sz w:val="28"/>
          <w:szCs w:val="22"/>
          <w:lang w:val="es-ES_tradnl" w:eastAsia="en-US"/>
        </w:rPr>
        <w:t>SE    RESUELVE</w:t>
      </w:r>
    </w:p>
    <w:p w14:paraId="53D9B4D5" w14:textId="77777777" w:rsidR="009B08BD" w:rsidRPr="00BF1428" w:rsidRDefault="009B08BD" w:rsidP="009B08BD">
      <w:pPr>
        <w:pStyle w:val="Sinespaciado"/>
        <w:rPr>
          <w:rFonts w:eastAsiaTheme="minorHAnsi"/>
          <w:sz w:val="2"/>
          <w:lang w:eastAsia="en-US"/>
        </w:rPr>
      </w:pPr>
    </w:p>
    <w:p w14:paraId="61FB204D" w14:textId="33D4BCA6" w:rsidR="009B08BD" w:rsidRPr="00BF1428" w:rsidRDefault="009B08BD" w:rsidP="009B08BD">
      <w:pPr>
        <w:spacing w:line="360" w:lineRule="auto"/>
        <w:jc w:val="both"/>
        <w:rPr>
          <w:rFonts w:ascii="Palatino Linotype" w:eastAsiaTheme="minorHAnsi" w:hAnsi="Palatino Linotype" w:cs="Arial"/>
          <w:sz w:val="22"/>
          <w:szCs w:val="22"/>
          <w:lang w:val="es-ES_tradnl" w:eastAsia="en-US"/>
        </w:rPr>
      </w:pPr>
      <w:r w:rsidRPr="00BF1428">
        <w:rPr>
          <w:rFonts w:ascii="Palatino Linotype" w:eastAsiaTheme="minorHAnsi" w:hAnsi="Palatino Linotype" w:cs="Arial"/>
          <w:b/>
          <w:sz w:val="28"/>
          <w:szCs w:val="22"/>
          <w:lang w:val="es-MX" w:eastAsia="en-US"/>
        </w:rPr>
        <w:t>PRIMERO.</w:t>
      </w:r>
      <w:r w:rsidRPr="00BF1428">
        <w:rPr>
          <w:rFonts w:ascii="Palatino Linotype" w:eastAsiaTheme="minorHAnsi" w:hAnsi="Palatino Linotype" w:cs="Arial"/>
          <w:sz w:val="28"/>
          <w:szCs w:val="22"/>
          <w:lang w:val="es-MX" w:eastAsia="en-US"/>
        </w:rPr>
        <w:t xml:space="preserve"> </w:t>
      </w:r>
      <w:r w:rsidRPr="00BF1428">
        <w:rPr>
          <w:rFonts w:ascii="Palatino Linotype" w:eastAsiaTheme="minorHAnsi" w:hAnsi="Palatino Linotype" w:cs="Arial"/>
          <w:szCs w:val="22"/>
          <w:lang w:val="es-MX" w:eastAsia="en-US"/>
        </w:rPr>
        <w:t xml:space="preserve">Se </w:t>
      </w:r>
      <w:r w:rsidRPr="00BF1428">
        <w:rPr>
          <w:rFonts w:ascii="Palatino Linotype" w:eastAsiaTheme="minorHAnsi" w:hAnsi="Palatino Linotype" w:cs="Arial"/>
          <w:b/>
          <w:szCs w:val="22"/>
          <w:lang w:val="es-MX" w:eastAsia="en-US"/>
        </w:rPr>
        <w:t>SOBRESEE</w:t>
      </w:r>
      <w:r w:rsidRPr="00BF1428">
        <w:rPr>
          <w:rFonts w:ascii="Palatino Linotype" w:eastAsiaTheme="minorHAnsi" w:hAnsi="Palatino Linotype" w:cs="Arial"/>
          <w:szCs w:val="22"/>
          <w:lang w:val="es-MX" w:eastAsia="en-US"/>
        </w:rPr>
        <w:t xml:space="preserve"> el recurso de revisión número </w:t>
      </w:r>
      <w:r w:rsidR="0064529E" w:rsidRPr="00BF1428">
        <w:rPr>
          <w:rFonts w:ascii="Palatino Linotype" w:eastAsiaTheme="minorHAnsi" w:hAnsi="Palatino Linotype" w:cs="Arial"/>
          <w:b/>
          <w:szCs w:val="22"/>
          <w:lang w:val="es-MX" w:eastAsia="en-US"/>
        </w:rPr>
        <w:tab/>
        <w:t>11515/INFOEM/ICR-50/IP/RR/2025</w:t>
      </w:r>
      <w:r w:rsidRPr="00BF1428">
        <w:rPr>
          <w:rFonts w:ascii="Palatino Linotype" w:eastAsiaTheme="minorHAnsi" w:hAnsi="Palatino Linotype" w:cs="Arial"/>
          <w:szCs w:val="22"/>
          <w:lang w:val="es-MX" w:eastAsia="en-US"/>
        </w:rPr>
        <w:t xml:space="preserve">, por actualizarse la causal de improcedencia inmersa en la fracción I, del artículo 191, de conformidad con el artículo 192, fracción IV, ambos de la Ley de Transparencia y Acceso a la Información Pública del Estado de México y Municipios, en términos del Considerando </w:t>
      </w:r>
      <w:r w:rsidRPr="00BF1428">
        <w:rPr>
          <w:rFonts w:ascii="Palatino Linotype" w:eastAsiaTheme="minorHAnsi" w:hAnsi="Palatino Linotype" w:cs="Arial"/>
          <w:b/>
          <w:szCs w:val="22"/>
          <w:lang w:val="es-MX" w:eastAsia="en-US"/>
        </w:rPr>
        <w:t>CUARTO</w:t>
      </w:r>
      <w:r w:rsidRPr="00BF1428">
        <w:rPr>
          <w:rFonts w:ascii="Palatino Linotype" w:eastAsiaTheme="minorHAnsi" w:hAnsi="Palatino Linotype" w:cs="Arial"/>
          <w:szCs w:val="22"/>
          <w:lang w:val="es-MX" w:eastAsia="en-US"/>
        </w:rPr>
        <w:t xml:space="preserve"> de la presente resolución.</w:t>
      </w:r>
    </w:p>
    <w:p w14:paraId="7A130A67" w14:textId="77777777" w:rsidR="009B08BD" w:rsidRPr="00BF1428" w:rsidRDefault="009B08BD" w:rsidP="009B08BD">
      <w:pPr>
        <w:spacing w:line="360" w:lineRule="auto"/>
        <w:jc w:val="both"/>
        <w:rPr>
          <w:rFonts w:ascii="Palatino Linotype" w:eastAsiaTheme="minorHAnsi" w:hAnsi="Palatino Linotype" w:cs="Arial"/>
          <w:b/>
          <w:sz w:val="28"/>
          <w:szCs w:val="22"/>
          <w:lang w:val="es-MX" w:eastAsia="en-US"/>
        </w:rPr>
      </w:pPr>
    </w:p>
    <w:p w14:paraId="478308DB" w14:textId="77777777" w:rsidR="009B08BD" w:rsidRPr="00BF1428" w:rsidRDefault="009B08BD" w:rsidP="009B08BD">
      <w:pPr>
        <w:spacing w:line="360" w:lineRule="auto"/>
        <w:jc w:val="both"/>
        <w:rPr>
          <w:rFonts w:ascii="Palatino Linotype" w:eastAsiaTheme="minorHAnsi" w:hAnsi="Palatino Linotype" w:cs="Arial"/>
          <w:szCs w:val="22"/>
          <w:lang w:val="es-MX" w:eastAsia="en-US"/>
        </w:rPr>
      </w:pPr>
      <w:r w:rsidRPr="00BF1428">
        <w:rPr>
          <w:rFonts w:ascii="Palatino Linotype" w:eastAsiaTheme="minorHAnsi" w:hAnsi="Palatino Linotype" w:cs="Arial"/>
          <w:b/>
          <w:sz w:val="28"/>
          <w:szCs w:val="22"/>
          <w:lang w:val="es-MX" w:eastAsia="en-US"/>
        </w:rPr>
        <w:t>SEGUNDO</w:t>
      </w:r>
      <w:r w:rsidRPr="00BF1428">
        <w:rPr>
          <w:rFonts w:ascii="Palatino Linotype" w:eastAsiaTheme="minorHAnsi" w:hAnsi="Palatino Linotype" w:cs="Arial"/>
          <w:sz w:val="28"/>
          <w:szCs w:val="22"/>
          <w:lang w:val="es-MX" w:eastAsia="en-US"/>
        </w:rPr>
        <w:t xml:space="preserve">. </w:t>
      </w:r>
      <w:r w:rsidRPr="00BF1428">
        <w:rPr>
          <w:rFonts w:ascii="Palatino Linotype" w:eastAsiaTheme="minorHAnsi" w:hAnsi="Palatino Linotype" w:cs="Arial"/>
          <w:b/>
          <w:szCs w:val="22"/>
          <w:lang w:val="es-MX" w:eastAsia="en-US"/>
        </w:rPr>
        <w:t>NOTIFÍQUESE</w:t>
      </w:r>
      <w:r w:rsidRPr="00BF1428">
        <w:rPr>
          <w:rFonts w:ascii="Palatino Linotype" w:eastAsiaTheme="minorHAnsi" w:hAnsi="Palatino Linotype" w:cs="Arial"/>
          <w:szCs w:val="22"/>
          <w:lang w:val="es-MX" w:eastAsia="en-US"/>
        </w:rPr>
        <w:t xml:space="preserve"> vía Sistema de Acceso a la Información Mexiquense </w:t>
      </w:r>
      <w:r w:rsidRPr="00BF1428">
        <w:rPr>
          <w:rFonts w:ascii="Palatino Linotype" w:eastAsiaTheme="minorHAnsi" w:hAnsi="Palatino Linotype" w:cs="Arial"/>
          <w:b/>
          <w:szCs w:val="22"/>
          <w:lang w:val="es-MX" w:eastAsia="en-US"/>
        </w:rPr>
        <w:t>(SAIMEX)</w:t>
      </w:r>
      <w:r w:rsidRPr="00BF1428">
        <w:rPr>
          <w:rFonts w:ascii="Palatino Linotype" w:eastAsiaTheme="minorHAnsi" w:hAnsi="Palatino Linotype" w:cstheme="minorBidi"/>
          <w:b/>
          <w:szCs w:val="22"/>
          <w:lang w:val="es-MX" w:eastAsia="en-US"/>
        </w:rPr>
        <w:t xml:space="preserve"> </w:t>
      </w:r>
      <w:r w:rsidRPr="00BF1428">
        <w:rPr>
          <w:rFonts w:ascii="Palatino Linotype" w:eastAsiaTheme="minorHAnsi" w:hAnsi="Palatino Linotype" w:cs="Arial"/>
          <w:szCs w:val="22"/>
          <w:lang w:val="es-MX" w:eastAsia="en-US"/>
        </w:rPr>
        <w:t>la presente resolución al</w:t>
      </w:r>
      <w:r w:rsidRPr="00BF1428">
        <w:rPr>
          <w:rFonts w:ascii="Palatino Linotype" w:eastAsiaTheme="minorHAnsi" w:hAnsi="Palatino Linotype" w:cstheme="minorBidi"/>
          <w:szCs w:val="22"/>
          <w:lang w:val="es-MX" w:eastAsia="en-US"/>
        </w:rPr>
        <w:t xml:space="preserve"> </w:t>
      </w:r>
      <w:r w:rsidRPr="00BF1428">
        <w:rPr>
          <w:rFonts w:ascii="Palatino Linotype" w:eastAsiaTheme="minorHAnsi" w:hAnsi="Palatino Linotype" w:cs="Arial"/>
          <w:szCs w:val="22"/>
          <w:lang w:val="es-MX" w:eastAsia="en-US"/>
        </w:rPr>
        <w:t>Titular</w:t>
      </w:r>
      <w:r w:rsidRPr="00BF1428">
        <w:rPr>
          <w:rFonts w:ascii="Palatino Linotype" w:eastAsiaTheme="minorHAnsi" w:hAnsi="Palatino Linotype" w:cstheme="minorBidi"/>
          <w:szCs w:val="22"/>
          <w:lang w:val="es-MX" w:eastAsia="en-US"/>
        </w:rPr>
        <w:t xml:space="preserve"> </w:t>
      </w:r>
      <w:r w:rsidRPr="00BF1428">
        <w:rPr>
          <w:rFonts w:ascii="Palatino Linotype" w:eastAsiaTheme="minorHAnsi" w:hAnsi="Palatino Linotype" w:cs="Arial"/>
          <w:szCs w:val="22"/>
          <w:lang w:val="es-MX" w:eastAsia="en-US"/>
        </w:rPr>
        <w:t xml:space="preserve">de la Unidad de Transparencia del </w:t>
      </w:r>
      <w:r w:rsidRPr="00BF1428">
        <w:rPr>
          <w:rFonts w:ascii="Palatino Linotype" w:eastAsiaTheme="minorHAnsi" w:hAnsi="Palatino Linotype" w:cs="Arial"/>
          <w:b/>
          <w:szCs w:val="22"/>
          <w:lang w:val="es-MX" w:eastAsia="en-US"/>
        </w:rPr>
        <w:t>Sujeto Obligado</w:t>
      </w:r>
      <w:r w:rsidRPr="00BF1428">
        <w:rPr>
          <w:rFonts w:ascii="Palatino Linotype" w:eastAsiaTheme="minorHAnsi" w:hAnsi="Palatino Linotype" w:cs="Arial"/>
          <w:szCs w:val="22"/>
          <w:lang w:val="es-MX" w:eastAsia="en-US"/>
        </w:rPr>
        <w:t>.</w:t>
      </w:r>
    </w:p>
    <w:p w14:paraId="08F781B8" w14:textId="77777777" w:rsidR="009B08BD" w:rsidRPr="00BF1428" w:rsidRDefault="009B08BD" w:rsidP="009B08BD">
      <w:pPr>
        <w:spacing w:line="360" w:lineRule="auto"/>
        <w:ind w:right="51"/>
        <w:jc w:val="both"/>
        <w:rPr>
          <w:rFonts w:ascii="Palatino Linotype" w:eastAsiaTheme="minorHAnsi" w:hAnsi="Palatino Linotype" w:cs="Arial"/>
          <w:b/>
          <w:sz w:val="28"/>
          <w:szCs w:val="22"/>
          <w:lang w:val="es-MX" w:eastAsia="en-US"/>
        </w:rPr>
      </w:pPr>
    </w:p>
    <w:p w14:paraId="1A382040" w14:textId="1AAC6A5D" w:rsidR="009B08BD" w:rsidRPr="00BF1428" w:rsidRDefault="009B08BD" w:rsidP="009B08BD">
      <w:pPr>
        <w:spacing w:line="360" w:lineRule="auto"/>
        <w:ind w:right="51"/>
        <w:jc w:val="both"/>
        <w:rPr>
          <w:rFonts w:ascii="Palatino Linotype" w:eastAsiaTheme="minorHAnsi" w:hAnsi="Palatino Linotype" w:cs="Arial"/>
          <w:szCs w:val="22"/>
          <w:lang w:val="es-MX" w:eastAsia="en-US"/>
        </w:rPr>
      </w:pPr>
      <w:r w:rsidRPr="00BF1428">
        <w:rPr>
          <w:rFonts w:ascii="Palatino Linotype" w:eastAsiaTheme="minorHAnsi" w:hAnsi="Palatino Linotype" w:cs="Arial"/>
          <w:b/>
          <w:sz w:val="28"/>
          <w:szCs w:val="22"/>
          <w:lang w:val="es-MX" w:eastAsia="en-US"/>
        </w:rPr>
        <w:lastRenderedPageBreak/>
        <w:t>TERCERO</w:t>
      </w:r>
      <w:r w:rsidRPr="00BF1428">
        <w:rPr>
          <w:rFonts w:ascii="Palatino Linotype" w:eastAsiaTheme="minorHAnsi" w:hAnsi="Palatino Linotype" w:cs="Arial"/>
          <w:sz w:val="28"/>
          <w:szCs w:val="22"/>
          <w:lang w:val="es-MX" w:eastAsia="en-US"/>
        </w:rPr>
        <w:t xml:space="preserve">. </w:t>
      </w:r>
      <w:r w:rsidRPr="00BF1428">
        <w:rPr>
          <w:rFonts w:ascii="Palatino Linotype" w:eastAsiaTheme="minorHAnsi" w:hAnsi="Palatino Linotype" w:cs="Arial"/>
          <w:b/>
          <w:szCs w:val="22"/>
          <w:lang w:val="es-MX" w:eastAsia="en-US"/>
        </w:rPr>
        <w:t xml:space="preserve">NOTIFÍQUESE </w:t>
      </w:r>
      <w:r w:rsidRPr="00BF1428">
        <w:rPr>
          <w:rFonts w:ascii="Palatino Linotype" w:eastAsiaTheme="minorHAnsi" w:hAnsi="Palatino Linotype" w:cs="Arial"/>
          <w:szCs w:val="22"/>
          <w:lang w:val="es-MX" w:eastAsia="en-US"/>
        </w:rPr>
        <w:t xml:space="preserve">al </w:t>
      </w:r>
      <w:r w:rsidRPr="00BF1428">
        <w:rPr>
          <w:rFonts w:ascii="Palatino Linotype" w:eastAsiaTheme="minorHAnsi" w:hAnsi="Palatino Linotype" w:cs="Arial"/>
          <w:b/>
          <w:szCs w:val="22"/>
          <w:lang w:val="es-MX" w:eastAsia="en-US"/>
        </w:rPr>
        <w:t>Recurrente</w:t>
      </w:r>
      <w:r w:rsidRPr="00BF1428">
        <w:rPr>
          <w:rFonts w:ascii="Palatino Linotype" w:eastAsiaTheme="minorHAnsi" w:hAnsi="Palatino Linotype" w:cs="Arial"/>
          <w:szCs w:val="22"/>
          <w:lang w:val="es-MX" w:eastAsia="en-US"/>
        </w:rPr>
        <w:t xml:space="preserve"> mediante el Sistema de Acceso a la Información Mexiquense </w:t>
      </w:r>
      <w:r w:rsidRPr="00BF1428">
        <w:rPr>
          <w:rFonts w:ascii="Palatino Linotype" w:eastAsiaTheme="minorHAnsi" w:hAnsi="Palatino Linotype" w:cs="Arial"/>
          <w:b/>
          <w:szCs w:val="22"/>
          <w:lang w:val="es-MX" w:eastAsia="en-US"/>
        </w:rPr>
        <w:t>(SAIMEX)</w:t>
      </w:r>
      <w:r w:rsidRPr="00BF1428">
        <w:rPr>
          <w:rFonts w:ascii="Palatino Linotype" w:eastAsiaTheme="minorHAnsi" w:hAnsi="Palatino Linotype" w:cs="Arial"/>
          <w:szCs w:val="22"/>
          <w:lang w:val="es-MX" w:eastAsia="en-US"/>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7F0BE326" w14:textId="77777777" w:rsidR="00016984" w:rsidRPr="00BF1428" w:rsidRDefault="00016984" w:rsidP="00451DA3">
      <w:pPr>
        <w:autoSpaceDE w:val="0"/>
        <w:autoSpaceDN w:val="0"/>
        <w:adjustRightInd w:val="0"/>
        <w:spacing w:line="360" w:lineRule="auto"/>
        <w:jc w:val="both"/>
        <w:rPr>
          <w:rFonts w:ascii="Palatino Linotype" w:hAnsi="Palatino Linotype" w:cs="Arial"/>
        </w:rPr>
      </w:pPr>
    </w:p>
    <w:p w14:paraId="375D40DA" w14:textId="62EAEFC5" w:rsidR="007B4F95" w:rsidRPr="00BF1428" w:rsidRDefault="00BF1428" w:rsidP="003529BA">
      <w:pPr>
        <w:spacing w:line="360" w:lineRule="auto"/>
        <w:jc w:val="both"/>
        <w:rPr>
          <w:rFonts w:ascii="Palatino Linotype" w:hAnsi="Palatino Linotype" w:cs="Arial"/>
        </w:rPr>
      </w:pPr>
      <w:r w:rsidRPr="00BF142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A036A6" w:rsidRPr="00BF1428">
        <w:rPr>
          <w:rFonts w:ascii="Palatino Linotype" w:hAnsi="Palatino Linotype" w:cs="Arial"/>
        </w:rPr>
        <w:t>.-----------------------------------------------------------</w:t>
      </w:r>
      <w:r w:rsidR="003E40A9" w:rsidRPr="00BF1428">
        <w:rPr>
          <w:rFonts w:ascii="Palatino Linotype" w:hAnsi="Palatino Linotype" w:cs="Arial"/>
        </w:rPr>
        <w:t>-------------------------------------------------------------------------------------------------------------------------------------------------------------------------------------------------------------------------------------------------------------------------------------------------------------------------------------------------------------------</w:t>
      </w:r>
      <w:r w:rsidR="009D3EA4" w:rsidRPr="00BF1428">
        <w:rPr>
          <w:rFonts w:ascii="Palatino Linotype" w:hAnsi="Palatino Linotype" w:cs="Arial"/>
        </w:rPr>
        <w:t>---------------------------------------------------------------------------------------------------------------------------------------------------------------------------------------------------------------------------------------------------------------------------------------------------------------------------------------------------------------------------------------------------------------------------------------------------------------------------------------------------------------------------------------------------------------------------------------------------------------------------------------------------------------------------------------------------------------------------------------</w:t>
      </w:r>
    </w:p>
    <w:p w14:paraId="0F8DB9A6" w14:textId="58B7AC2F" w:rsidR="00A036A6" w:rsidRPr="00C11688" w:rsidRDefault="00A036A6" w:rsidP="00A036A6">
      <w:pPr>
        <w:spacing w:line="360" w:lineRule="auto"/>
        <w:jc w:val="both"/>
        <w:rPr>
          <w:rFonts w:ascii="Palatino Linotype" w:hAnsi="Palatino Linotype" w:cs="Arial"/>
          <w:sz w:val="16"/>
        </w:rPr>
      </w:pPr>
      <w:r w:rsidRPr="00BF1428">
        <w:rPr>
          <w:rFonts w:ascii="Palatino Linotype" w:hAnsi="Palatino Linotype" w:cs="Arial"/>
          <w:sz w:val="16"/>
        </w:rPr>
        <w:t>JMV/CCR/</w:t>
      </w:r>
      <w:r w:rsidR="0064529E" w:rsidRPr="00BF1428">
        <w:rPr>
          <w:rFonts w:ascii="Palatino Linotype" w:hAnsi="Palatino Linotype" w:cs="Arial"/>
          <w:sz w:val="16"/>
        </w:rPr>
        <w:t>EJDG</w:t>
      </w:r>
    </w:p>
    <w:p w14:paraId="4B17CF99" w14:textId="77777777" w:rsidR="00A036A6" w:rsidRPr="00154A3D" w:rsidRDefault="00A036A6" w:rsidP="00A036A6">
      <w:pPr>
        <w:spacing w:line="360" w:lineRule="auto"/>
        <w:jc w:val="both"/>
        <w:rPr>
          <w:rFonts w:ascii="Palatino Linotype" w:hAnsi="Palatino Linotype" w:cs="Arial"/>
          <w:sz w:val="32"/>
        </w:rPr>
      </w:pPr>
    </w:p>
    <w:p w14:paraId="6B84068F" w14:textId="77777777" w:rsidR="00A036A6" w:rsidRPr="00154A3D" w:rsidRDefault="00A036A6" w:rsidP="00A036A6">
      <w:pPr>
        <w:spacing w:line="360" w:lineRule="auto"/>
        <w:jc w:val="both"/>
        <w:rPr>
          <w:rFonts w:ascii="Palatino Linotype" w:hAnsi="Palatino Linotype" w:cs="Arial"/>
        </w:rPr>
      </w:pPr>
    </w:p>
    <w:p w14:paraId="42FC7DF5" w14:textId="77777777" w:rsidR="00A036A6" w:rsidRPr="00154A3D" w:rsidRDefault="00A036A6" w:rsidP="00A036A6">
      <w:pPr>
        <w:spacing w:line="360" w:lineRule="auto"/>
        <w:jc w:val="both"/>
        <w:rPr>
          <w:rFonts w:ascii="Palatino Linotype" w:hAnsi="Palatino Linotype" w:cs="Arial"/>
        </w:rPr>
      </w:pPr>
    </w:p>
    <w:p w14:paraId="6B78E9F5" w14:textId="77777777" w:rsidR="00A036A6" w:rsidRPr="00154A3D" w:rsidRDefault="00A036A6" w:rsidP="00A036A6">
      <w:pPr>
        <w:spacing w:line="360" w:lineRule="auto"/>
        <w:jc w:val="both"/>
        <w:rPr>
          <w:rFonts w:ascii="Palatino Linotype" w:hAnsi="Palatino Linotype" w:cs="Arial"/>
        </w:rPr>
      </w:pPr>
    </w:p>
    <w:p w14:paraId="18B4408F"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1D7ECC"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4963193"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0F8A99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E8F1A36"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02ED7C56" w14:textId="77777777" w:rsidR="00A036A6" w:rsidRPr="00154A3D" w:rsidRDefault="00A036A6" w:rsidP="00A036A6">
      <w:pPr>
        <w:spacing w:line="480" w:lineRule="auto"/>
        <w:jc w:val="both"/>
        <w:rPr>
          <w:rFonts w:ascii="Palatino Linotype" w:hAnsi="Palatino Linotype"/>
        </w:rPr>
      </w:pPr>
    </w:p>
    <w:p w14:paraId="6BC7A650" w14:textId="77777777" w:rsidR="00A036A6" w:rsidRPr="00154A3D" w:rsidRDefault="00A036A6" w:rsidP="00A036A6">
      <w:pPr>
        <w:spacing w:line="480" w:lineRule="auto"/>
        <w:jc w:val="center"/>
        <w:rPr>
          <w:rFonts w:ascii="Palatino Linotype" w:hAnsi="Palatino Linotype"/>
        </w:rPr>
      </w:pPr>
    </w:p>
    <w:p w14:paraId="6544384F" w14:textId="77777777" w:rsidR="00A036A6" w:rsidRPr="00154A3D" w:rsidRDefault="00A036A6" w:rsidP="00A036A6">
      <w:pPr>
        <w:spacing w:line="480" w:lineRule="auto"/>
        <w:rPr>
          <w:rFonts w:ascii="Palatino Linotype" w:hAnsi="Palatino Linotype"/>
          <w:b/>
        </w:rPr>
      </w:pPr>
    </w:p>
    <w:p w14:paraId="0531192D" w14:textId="77777777" w:rsidR="00A036A6" w:rsidRPr="00154A3D" w:rsidRDefault="00A036A6" w:rsidP="00A036A6">
      <w:pPr>
        <w:spacing w:line="480" w:lineRule="auto"/>
        <w:rPr>
          <w:rFonts w:ascii="Palatino Linotype" w:hAnsi="Palatino Linotype"/>
          <w:b/>
        </w:rPr>
      </w:pPr>
    </w:p>
    <w:p w14:paraId="479F8B18" w14:textId="77777777" w:rsidR="00A036A6" w:rsidRPr="00154A3D" w:rsidRDefault="00A036A6" w:rsidP="00A036A6">
      <w:pPr>
        <w:spacing w:line="480" w:lineRule="auto"/>
        <w:rPr>
          <w:rFonts w:ascii="Palatino Linotype" w:hAnsi="Palatino Linotype"/>
          <w:b/>
        </w:rPr>
      </w:pPr>
    </w:p>
    <w:p w14:paraId="4EA7F6F4" w14:textId="77777777" w:rsidR="00A036A6" w:rsidRPr="00154A3D" w:rsidRDefault="00A036A6" w:rsidP="00A036A6">
      <w:pPr>
        <w:spacing w:line="480" w:lineRule="auto"/>
        <w:rPr>
          <w:rFonts w:ascii="Palatino Linotype" w:hAnsi="Palatino Linotype"/>
          <w:b/>
        </w:rPr>
      </w:pPr>
    </w:p>
    <w:p w14:paraId="4E8039FE" w14:textId="77777777" w:rsidR="00A036A6" w:rsidRPr="00154A3D" w:rsidRDefault="00A036A6" w:rsidP="00A036A6">
      <w:pPr>
        <w:spacing w:line="480" w:lineRule="auto"/>
        <w:rPr>
          <w:rFonts w:ascii="Palatino Linotype" w:hAnsi="Palatino Linotype"/>
          <w:b/>
        </w:rPr>
      </w:pPr>
    </w:p>
    <w:p w14:paraId="283DA003" w14:textId="77777777" w:rsidR="00A036A6" w:rsidRPr="00154A3D" w:rsidRDefault="00A036A6" w:rsidP="00A036A6">
      <w:pPr>
        <w:tabs>
          <w:tab w:val="left" w:pos="709"/>
        </w:tabs>
        <w:spacing w:line="360" w:lineRule="auto"/>
        <w:ind w:right="51"/>
        <w:jc w:val="both"/>
        <w:rPr>
          <w:rFonts w:ascii="Palatino Linotype" w:hAnsi="Palatino Linotype"/>
        </w:rPr>
      </w:pPr>
    </w:p>
    <w:p w14:paraId="5F306BA7"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2410A" w14:textId="77777777" w:rsidR="0039596B" w:rsidRDefault="0039596B" w:rsidP="000B5E25">
      <w:r>
        <w:separator/>
      </w:r>
    </w:p>
  </w:endnote>
  <w:endnote w:type="continuationSeparator" w:id="0">
    <w:p w14:paraId="15ED9819" w14:textId="77777777" w:rsidR="0039596B" w:rsidRDefault="0039596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0706E" w14:textId="77777777" w:rsidR="005C369D" w:rsidRPr="00D00D20" w:rsidRDefault="005C369D"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723979">
      <w:rPr>
        <w:rFonts w:ascii="Palatino Linotype" w:hAnsi="Palatino Linotype" w:cs="Arial"/>
        <w:bCs/>
        <w:noProof/>
        <w:sz w:val="20"/>
        <w:szCs w:val="20"/>
      </w:rPr>
      <w:t>3</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723979">
      <w:rPr>
        <w:rFonts w:ascii="Palatino Linotype" w:hAnsi="Palatino Linotype" w:cs="Arial"/>
        <w:bCs/>
        <w:noProof/>
        <w:sz w:val="20"/>
        <w:szCs w:val="20"/>
      </w:rPr>
      <w:t>21</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C8CC6" w14:textId="77777777" w:rsidR="005C369D" w:rsidRPr="003E40A9" w:rsidRDefault="005C369D" w:rsidP="0043515A">
    <w:pPr>
      <w:pStyle w:val="Piedepgina"/>
      <w:jc w:val="right"/>
      <w:rPr>
        <w:rFonts w:ascii="Palatino Linotype" w:hAnsi="Palatino Linotype" w:cs="Arial"/>
        <w:sz w:val="20"/>
        <w:szCs w:val="20"/>
      </w:rPr>
    </w:pPr>
    <w:r w:rsidRPr="003E40A9">
      <w:rPr>
        <w:rFonts w:ascii="Palatino Linotype" w:hAnsi="Palatino Linotype" w:cs="Arial"/>
        <w:sz w:val="20"/>
        <w:szCs w:val="20"/>
      </w:rPr>
      <w:t xml:space="preserve">Página </w:t>
    </w:r>
    <w:r w:rsidRPr="003E40A9">
      <w:rPr>
        <w:rFonts w:ascii="Palatino Linotype" w:hAnsi="Palatino Linotype" w:cs="Arial"/>
        <w:sz w:val="20"/>
        <w:szCs w:val="20"/>
      </w:rPr>
      <w:fldChar w:fldCharType="begin"/>
    </w:r>
    <w:r w:rsidRPr="003E40A9">
      <w:rPr>
        <w:rFonts w:ascii="Palatino Linotype" w:hAnsi="Palatino Linotype" w:cs="Arial"/>
        <w:sz w:val="20"/>
        <w:szCs w:val="20"/>
      </w:rPr>
      <w:instrText>PAGE</w:instrText>
    </w:r>
    <w:r w:rsidRPr="003E40A9">
      <w:rPr>
        <w:rFonts w:ascii="Palatino Linotype" w:hAnsi="Palatino Linotype" w:cs="Arial"/>
        <w:sz w:val="20"/>
        <w:szCs w:val="20"/>
      </w:rPr>
      <w:fldChar w:fldCharType="separate"/>
    </w:r>
    <w:r w:rsidR="00723979">
      <w:rPr>
        <w:rFonts w:ascii="Palatino Linotype" w:hAnsi="Palatino Linotype" w:cs="Arial"/>
        <w:noProof/>
        <w:sz w:val="20"/>
        <w:szCs w:val="20"/>
      </w:rPr>
      <w:t>1</w:t>
    </w:r>
    <w:r w:rsidRPr="003E40A9">
      <w:rPr>
        <w:rFonts w:ascii="Palatino Linotype" w:hAnsi="Palatino Linotype" w:cs="Arial"/>
        <w:sz w:val="20"/>
        <w:szCs w:val="20"/>
      </w:rPr>
      <w:fldChar w:fldCharType="end"/>
    </w:r>
    <w:r w:rsidRPr="003E40A9">
      <w:rPr>
        <w:rFonts w:ascii="Palatino Linotype" w:hAnsi="Palatino Linotype" w:cs="Arial"/>
        <w:sz w:val="20"/>
        <w:szCs w:val="20"/>
      </w:rPr>
      <w:t xml:space="preserve"> de </w:t>
    </w:r>
    <w:r w:rsidRPr="003E40A9">
      <w:rPr>
        <w:rFonts w:ascii="Palatino Linotype" w:hAnsi="Palatino Linotype" w:cs="Arial"/>
        <w:sz w:val="20"/>
        <w:szCs w:val="20"/>
      </w:rPr>
      <w:fldChar w:fldCharType="begin"/>
    </w:r>
    <w:r w:rsidRPr="003E40A9">
      <w:rPr>
        <w:rFonts w:ascii="Palatino Linotype" w:hAnsi="Palatino Linotype" w:cs="Arial"/>
        <w:sz w:val="20"/>
        <w:szCs w:val="20"/>
      </w:rPr>
      <w:instrText>NUMPAGES</w:instrText>
    </w:r>
    <w:r w:rsidRPr="003E40A9">
      <w:rPr>
        <w:rFonts w:ascii="Palatino Linotype" w:hAnsi="Palatino Linotype" w:cs="Arial"/>
        <w:sz w:val="20"/>
        <w:szCs w:val="20"/>
      </w:rPr>
      <w:fldChar w:fldCharType="separate"/>
    </w:r>
    <w:r w:rsidR="00723979">
      <w:rPr>
        <w:rFonts w:ascii="Palatino Linotype" w:hAnsi="Palatino Linotype" w:cs="Arial"/>
        <w:noProof/>
        <w:sz w:val="20"/>
        <w:szCs w:val="20"/>
      </w:rPr>
      <w:t>21</w:t>
    </w:r>
    <w:r w:rsidRPr="003E40A9">
      <w:rPr>
        <w:rFonts w:ascii="Palatino Linotype" w:hAnsi="Palatino Linotype"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3A705" w14:textId="77777777" w:rsidR="0039596B" w:rsidRDefault="0039596B" w:rsidP="000B5E25">
      <w:r>
        <w:separator/>
      </w:r>
    </w:p>
  </w:footnote>
  <w:footnote w:type="continuationSeparator" w:id="0">
    <w:p w14:paraId="6D6C66F3" w14:textId="77777777" w:rsidR="0039596B" w:rsidRDefault="0039596B"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6DD48" w14:textId="77777777" w:rsidR="005C369D" w:rsidRDefault="0039596B">
    <w:pPr>
      <w:pStyle w:val="Encabezado"/>
    </w:pPr>
    <w:r>
      <w:rPr>
        <w:noProof/>
        <w:lang w:val="es-MX" w:eastAsia="es-MX"/>
      </w:rPr>
      <w:pict w14:anchorId="62DFF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268"/>
      <w:gridCol w:w="3969"/>
    </w:tblGrid>
    <w:tr w:rsidR="005C369D" w:rsidRPr="004D67A7" w14:paraId="697EC1E3" w14:textId="77777777" w:rsidTr="004D67A7">
      <w:tc>
        <w:tcPr>
          <w:tcW w:w="2268" w:type="dxa"/>
          <w:vAlign w:val="center"/>
        </w:tcPr>
        <w:p w14:paraId="13C924A5" w14:textId="77777777" w:rsidR="005C369D" w:rsidRPr="004D67A7" w:rsidRDefault="005C369D" w:rsidP="004D67A7">
          <w:pPr>
            <w:spacing w:line="276" w:lineRule="auto"/>
            <w:jc w:val="right"/>
            <w:rPr>
              <w:rFonts w:ascii="Palatino Linotype" w:hAnsi="Palatino Linotype"/>
              <w:sz w:val="22"/>
              <w:szCs w:val="22"/>
              <w:lang w:val="es-ES_tradnl"/>
            </w:rPr>
          </w:pPr>
          <w:r w:rsidRPr="004D67A7">
            <w:rPr>
              <w:rFonts w:ascii="Palatino Linotype" w:hAnsi="Palatino Linotype"/>
              <w:sz w:val="22"/>
              <w:szCs w:val="22"/>
              <w:lang w:val="es-ES_tradnl"/>
            </w:rPr>
            <w:t>Recurso de revisión:</w:t>
          </w:r>
        </w:p>
      </w:tc>
      <w:tc>
        <w:tcPr>
          <w:tcW w:w="3969" w:type="dxa"/>
          <w:vAlign w:val="center"/>
        </w:tcPr>
        <w:p w14:paraId="268F7B6D" w14:textId="284A80F1" w:rsidR="005C369D" w:rsidRPr="004D67A7" w:rsidRDefault="00367D38" w:rsidP="004D67A7">
          <w:pPr>
            <w:spacing w:line="276" w:lineRule="auto"/>
            <w:jc w:val="right"/>
            <w:rPr>
              <w:rFonts w:ascii="Palatino Linotype" w:hAnsi="Palatino Linotype"/>
              <w:sz w:val="22"/>
              <w:szCs w:val="22"/>
              <w:lang w:val="es-ES_tradnl"/>
            </w:rPr>
          </w:pPr>
          <w:r w:rsidRPr="00367D38">
            <w:rPr>
              <w:rFonts w:ascii="Palatino Linotype" w:hAnsi="Palatino Linotype"/>
              <w:sz w:val="22"/>
              <w:szCs w:val="22"/>
              <w:lang w:val="es-ES_tradnl"/>
            </w:rPr>
            <w:t>11515/INFOEM/ICR-50/IP/RR/2025</w:t>
          </w:r>
        </w:p>
      </w:tc>
    </w:tr>
    <w:tr w:rsidR="005C369D" w:rsidRPr="004D67A7" w14:paraId="312BB689" w14:textId="77777777" w:rsidTr="004D67A7">
      <w:tc>
        <w:tcPr>
          <w:tcW w:w="2268" w:type="dxa"/>
          <w:vAlign w:val="center"/>
        </w:tcPr>
        <w:p w14:paraId="3EE111A2" w14:textId="77777777" w:rsidR="005C369D" w:rsidRPr="004D67A7" w:rsidRDefault="005C369D" w:rsidP="004D67A7">
          <w:pPr>
            <w:spacing w:line="276" w:lineRule="auto"/>
            <w:jc w:val="right"/>
            <w:rPr>
              <w:rFonts w:ascii="Palatino Linotype" w:hAnsi="Palatino Linotype"/>
              <w:sz w:val="22"/>
              <w:szCs w:val="22"/>
              <w:lang w:val="es-ES_tradnl"/>
            </w:rPr>
          </w:pPr>
          <w:r w:rsidRPr="004D67A7">
            <w:rPr>
              <w:rFonts w:ascii="Palatino Linotype" w:hAnsi="Palatino Linotype"/>
              <w:sz w:val="22"/>
              <w:szCs w:val="22"/>
              <w:lang w:val="es-ES_tradnl"/>
            </w:rPr>
            <w:t>Sujeto Obligado:</w:t>
          </w:r>
        </w:p>
      </w:tc>
      <w:tc>
        <w:tcPr>
          <w:tcW w:w="3969" w:type="dxa"/>
          <w:vAlign w:val="center"/>
        </w:tcPr>
        <w:p w14:paraId="5B6E4A78" w14:textId="630B47B6" w:rsidR="005C369D" w:rsidRPr="004D67A7" w:rsidRDefault="003E069B" w:rsidP="004D67A7">
          <w:pPr>
            <w:spacing w:line="276" w:lineRule="auto"/>
            <w:jc w:val="right"/>
            <w:rPr>
              <w:rFonts w:ascii="Palatino Linotype" w:hAnsi="Palatino Linotype"/>
              <w:sz w:val="22"/>
              <w:szCs w:val="22"/>
              <w:lang w:val="es-ES_tradnl"/>
            </w:rPr>
          </w:pPr>
          <w:r w:rsidRPr="003E069B">
            <w:rPr>
              <w:rFonts w:ascii="Palatino Linotype" w:hAnsi="Palatino Linotype"/>
              <w:color w:val="000000"/>
              <w:sz w:val="22"/>
              <w:szCs w:val="22"/>
            </w:rPr>
            <w:t>Ayuntamiento de Tepotzotlán</w:t>
          </w:r>
        </w:p>
      </w:tc>
    </w:tr>
    <w:tr w:rsidR="005C369D" w:rsidRPr="004D67A7" w14:paraId="303FC669" w14:textId="77777777" w:rsidTr="004D67A7">
      <w:trPr>
        <w:trHeight w:val="228"/>
      </w:trPr>
      <w:tc>
        <w:tcPr>
          <w:tcW w:w="2268" w:type="dxa"/>
          <w:vAlign w:val="center"/>
        </w:tcPr>
        <w:p w14:paraId="7506708C" w14:textId="77777777" w:rsidR="005C369D" w:rsidRPr="004D67A7" w:rsidRDefault="005C369D" w:rsidP="004D67A7">
          <w:pPr>
            <w:spacing w:line="276" w:lineRule="auto"/>
            <w:jc w:val="right"/>
            <w:rPr>
              <w:rFonts w:ascii="Palatino Linotype" w:hAnsi="Palatino Linotype"/>
              <w:sz w:val="22"/>
              <w:szCs w:val="22"/>
              <w:lang w:val="es-ES_tradnl"/>
            </w:rPr>
          </w:pPr>
          <w:r w:rsidRPr="004D67A7">
            <w:rPr>
              <w:rFonts w:ascii="Palatino Linotype" w:hAnsi="Palatino Linotype"/>
              <w:sz w:val="22"/>
              <w:szCs w:val="22"/>
              <w:lang w:val="es-ES_tradnl"/>
            </w:rPr>
            <w:t>Comisionado Ponente:</w:t>
          </w:r>
        </w:p>
      </w:tc>
      <w:tc>
        <w:tcPr>
          <w:tcW w:w="3969" w:type="dxa"/>
          <w:vAlign w:val="center"/>
        </w:tcPr>
        <w:p w14:paraId="13188F57" w14:textId="77777777" w:rsidR="005C369D" w:rsidRPr="004D67A7" w:rsidRDefault="005C369D" w:rsidP="004D67A7">
          <w:pPr>
            <w:spacing w:line="276" w:lineRule="auto"/>
            <w:jc w:val="right"/>
            <w:rPr>
              <w:rFonts w:ascii="Palatino Linotype" w:hAnsi="Palatino Linotype"/>
              <w:sz w:val="22"/>
              <w:szCs w:val="22"/>
              <w:lang w:val="es-ES_tradnl"/>
            </w:rPr>
          </w:pPr>
          <w:r w:rsidRPr="004D67A7">
            <w:rPr>
              <w:rFonts w:ascii="Palatino Linotype" w:hAnsi="Palatino Linotype"/>
              <w:sz w:val="22"/>
              <w:szCs w:val="22"/>
              <w:lang w:val="es-ES_tradnl"/>
            </w:rPr>
            <w:t>José Martínez Vilchis</w:t>
          </w:r>
        </w:p>
      </w:tc>
    </w:tr>
  </w:tbl>
  <w:p w14:paraId="19AB80C4" w14:textId="77777777" w:rsidR="005C369D" w:rsidRPr="001779E0" w:rsidRDefault="0039596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CC6B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4.15pt;margin-top:-127.7pt;width:609.4pt;height:793.75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551"/>
      <w:gridCol w:w="3827"/>
    </w:tblGrid>
    <w:tr w:rsidR="005C369D" w:rsidRPr="008F2CCC" w14:paraId="2C85CF1B" w14:textId="77777777" w:rsidTr="004D67A7">
      <w:tc>
        <w:tcPr>
          <w:tcW w:w="2551" w:type="dxa"/>
          <w:vAlign w:val="center"/>
        </w:tcPr>
        <w:p w14:paraId="17F146A5" w14:textId="77777777" w:rsidR="005C369D" w:rsidRPr="00807CDA" w:rsidRDefault="005C369D" w:rsidP="004D67A7">
          <w:pPr>
            <w:spacing w:line="360"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vAlign w:val="center"/>
        </w:tcPr>
        <w:p w14:paraId="1E2FD833" w14:textId="22516799" w:rsidR="005C369D" w:rsidRPr="00A036A6" w:rsidRDefault="00367D38" w:rsidP="004D67A7">
          <w:pPr>
            <w:spacing w:line="276" w:lineRule="auto"/>
            <w:jc w:val="right"/>
            <w:rPr>
              <w:rFonts w:ascii="Palatino Linotype" w:hAnsi="Palatino Linotype"/>
              <w:sz w:val="22"/>
              <w:szCs w:val="22"/>
              <w:lang w:val="es-ES_tradnl"/>
            </w:rPr>
          </w:pPr>
          <w:r w:rsidRPr="00367D38">
            <w:rPr>
              <w:rFonts w:ascii="Palatino Linotype" w:hAnsi="Palatino Linotype"/>
              <w:sz w:val="22"/>
              <w:szCs w:val="22"/>
              <w:lang w:val="es-ES_tradnl"/>
            </w:rPr>
            <w:t>11515/INFOEM/ICR-50/IP/RR/2025</w:t>
          </w:r>
        </w:p>
      </w:tc>
    </w:tr>
    <w:tr w:rsidR="005C369D" w:rsidRPr="008F2CCC" w14:paraId="148A5130" w14:textId="77777777" w:rsidTr="004D67A7">
      <w:tc>
        <w:tcPr>
          <w:tcW w:w="2551" w:type="dxa"/>
          <w:vAlign w:val="center"/>
        </w:tcPr>
        <w:p w14:paraId="24670997" w14:textId="77777777" w:rsidR="005C369D" w:rsidRPr="00807CDA" w:rsidRDefault="005C369D" w:rsidP="004D67A7">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vAlign w:val="center"/>
        </w:tcPr>
        <w:p w14:paraId="1FE7A3F9" w14:textId="281108EE" w:rsidR="005C369D" w:rsidRPr="00A036A6" w:rsidRDefault="00723979" w:rsidP="004D67A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5C369D" w:rsidRPr="008F2CCC" w14:paraId="5571267D" w14:textId="77777777" w:rsidTr="004D67A7">
      <w:trPr>
        <w:trHeight w:val="228"/>
      </w:trPr>
      <w:tc>
        <w:tcPr>
          <w:tcW w:w="2551" w:type="dxa"/>
          <w:vAlign w:val="center"/>
        </w:tcPr>
        <w:p w14:paraId="19596E17" w14:textId="77777777" w:rsidR="005C369D" w:rsidRPr="00807CDA" w:rsidRDefault="005C369D" w:rsidP="004D67A7">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vAlign w:val="center"/>
        </w:tcPr>
        <w:p w14:paraId="16E11F0E" w14:textId="096D5504" w:rsidR="005C369D" w:rsidRPr="00A036A6" w:rsidRDefault="003E069B" w:rsidP="004D67A7">
          <w:pPr>
            <w:spacing w:line="276" w:lineRule="auto"/>
            <w:jc w:val="right"/>
            <w:rPr>
              <w:rFonts w:ascii="Palatino Linotype" w:hAnsi="Palatino Linotype"/>
              <w:sz w:val="22"/>
              <w:szCs w:val="22"/>
            </w:rPr>
          </w:pPr>
          <w:r w:rsidRPr="003E069B">
            <w:rPr>
              <w:rFonts w:ascii="Palatino Linotype" w:hAnsi="Palatino Linotype"/>
              <w:sz w:val="22"/>
              <w:szCs w:val="22"/>
            </w:rPr>
            <w:t>Ayuntamiento de Tepotzotlán</w:t>
          </w:r>
        </w:p>
      </w:tc>
    </w:tr>
    <w:tr w:rsidR="005C369D" w:rsidRPr="008F2CCC" w14:paraId="5A72E788" w14:textId="77777777" w:rsidTr="004D67A7">
      <w:tc>
        <w:tcPr>
          <w:tcW w:w="2551" w:type="dxa"/>
          <w:vAlign w:val="center"/>
        </w:tcPr>
        <w:p w14:paraId="70DE7168" w14:textId="77777777" w:rsidR="005C369D" w:rsidRPr="00807CDA" w:rsidRDefault="005C369D" w:rsidP="004D67A7">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vAlign w:val="center"/>
        </w:tcPr>
        <w:p w14:paraId="20B1A77B" w14:textId="77777777" w:rsidR="005C369D" w:rsidRPr="00A036A6" w:rsidRDefault="005C369D" w:rsidP="004D67A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529420C" w14:textId="77777777" w:rsidR="005C369D" w:rsidRPr="009F1AB6" w:rsidRDefault="0039596B">
    <w:pPr>
      <w:pStyle w:val="Encabezado"/>
      <w:rPr>
        <w:sz w:val="10"/>
      </w:rPr>
    </w:pPr>
    <w:r>
      <w:rPr>
        <w:noProof/>
        <w:sz w:val="10"/>
        <w:lang w:val="es-MX" w:eastAsia="es-MX"/>
      </w:rPr>
      <w:pict w14:anchorId="4CF19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6.95pt;margin-top:-130.8pt;width:609.4pt;height:793.75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AA9"/>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4C2955"/>
    <w:multiLevelType w:val="hybridMultilevel"/>
    <w:tmpl w:val="46A23A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8C1E62"/>
    <w:multiLevelType w:val="hybridMultilevel"/>
    <w:tmpl w:val="03F057DE"/>
    <w:lvl w:ilvl="0" w:tplc="A598516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093FE8"/>
    <w:multiLevelType w:val="multilevel"/>
    <w:tmpl w:val="087601D2"/>
    <w:lvl w:ilvl="0">
      <w:start w:val="1"/>
      <w:numFmt w:val="upperRoman"/>
      <w:lvlText w:val="%1."/>
      <w:lvlJc w:val="left"/>
      <w:pPr>
        <w:ind w:left="709" w:hanging="42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352F13"/>
    <w:multiLevelType w:val="hybridMultilevel"/>
    <w:tmpl w:val="5F36FA98"/>
    <w:lvl w:ilvl="0" w:tplc="02C457CA">
      <w:start w:val="1"/>
      <w:numFmt w:val="upp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CB7BE6"/>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316AAA"/>
    <w:multiLevelType w:val="hybridMultilevel"/>
    <w:tmpl w:val="D2C2EDDA"/>
    <w:lvl w:ilvl="0" w:tplc="080A0017">
      <w:start w:val="1"/>
      <w:numFmt w:val="lowerLetter"/>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AC4F24"/>
    <w:multiLevelType w:val="hybridMultilevel"/>
    <w:tmpl w:val="EEF24D20"/>
    <w:lvl w:ilvl="0" w:tplc="13108E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2B2F49"/>
    <w:multiLevelType w:val="hybridMultilevel"/>
    <w:tmpl w:val="D4F8D29C"/>
    <w:lvl w:ilvl="0" w:tplc="2166AF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4264D"/>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5"/>
  </w:num>
  <w:num w:numId="3">
    <w:abstractNumId w:val="34"/>
  </w:num>
  <w:num w:numId="4">
    <w:abstractNumId w:val="9"/>
  </w:num>
  <w:num w:numId="5">
    <w:abstractNumId w:val="24"/>
  </w:num>
  <w:num w:numId="6">
    <w:abstractNumId w:val="21"/>
  </w:num>
  <w:num w:numId="7">
    <w:abstractNumId w:val="26"/>
  </w:num>
  <w:num w:numId="8">
    <w:abstractNumId w:val="1"/>
  </w:num>
  <w:num w:numId="9">
    <w:abstractNumId w:val="36"/>
  </w:num>
  <w:num w:numId="10">
    <w:abstractNumId w:val="40"/>
  </w:num>
  <w:num w:numId="11">
    <w:abstractNumId w:val="3"/>
  </w:num>
  <w:num w:numId="12">
    <w:abstractNumId w:val="8"/>
  </w:num>
  <w:num w:numId="13">
    <w:abstractNumId w:val="31"/>
  </w:num>
  <w:num w:numId="14">
    <w:abstractNumId w:val="37"/>
  </w:num>
  <w:num w:numId="15">
    <w:abstractNumId w:val="7"/>
  </w:num>
  <w:num w:numId="16">
    <w:abstractNumId w:val="33"/>
  </w:num>
  <w:num w:numId="17">
    <w:abstractNumId w:val="14"/>
  </w:num>
  <w:num w:numId="18">
    <w:abstractNumId w:val="13"/>
  </w:num>
  <w:num w:numId="19">
    <w:abstractNumId w:val="5"/>
  </w:num>
  <w:num w:numId="20">
    <w:abstractNumId w:val="39"/>
  </w:num>
  <w:num w:numId="21">
    <w:abstractNumId w:val="30"/>
  </w:num>
  <w:num w:numId="22">
    <w:abstractNumId w:val="2"/>
  </w:num>
  <w:num w:numId="23">
    <w:abstractNumId w:val="6"/>
  </w:num>
  <w:num w:numId="24">
    <w:abstractNumId w:val="22"/>
  </w:num>
  <w:num w:numId="25">
    <w:abstractNumId w:val="15"/>
  </w:num>
  <w:num w:numId="26">
    <w:abstractNumId w:val="11"/>
  </w:num>
  <w:num w:numId="27">
    <w:abstractNumId w:val="29"/>
  </w:num>
  <w:num w:numId="28">
    <w:abstractNumId w:val="20"/>
  </w:num>
  <w:num w:numId="29">
    <w:abstractNumId w:val="16"/>
  </w:num>
  <w:num w:numId="30">
    <w:abstractNumId w:val="38"/>
  </w:num>
  <w:num w:numId="31">
    <w:abstractNumId w:val="28"/>
  </w:num>
  <w:num w:numId="32">
    <w:abstractNumId w:val="32"/>
  </w:num>
  <w:num w:numId="33">
    <w:abstractNumId w:val="0"/>
  </w:num>
  <w:num w:numId="34">
    <w:abstractNumId w:val="4"/>
  </w:num>
  <w:num w:numId="35">
    <w:abstractNumId w:val="12"/>
  </w:num>
  <w:num w:numId="36">
    <w:abstractNumId w:val="27"/>
  </w:num>
  <w:num w:numId="37">
    <w:abstractNumId w:val="18"/>
  </w:num>
  <w:num w:numId="38">
    <w:abstractNumId w:val="10"/>
  </w:num>
  <w:num w:numId="39">
    <w:abstractNumId w:val="19"/>
  </w:num>
  <w:num w:numId="40">
    <w:abstractNumId w:val="2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6984"/>
    <w:rsid w:val="000210AA"/>
    <w:rsid w:val="00036F8B"/>
    <w:rsid w:val="00047A75"/>
    <w:rsid w:val="000572E9"/>
    <w:rsid w:val="00083C53"/>
    <w:rsid w:val="00093AE1"/>
    <w:rsid w:val="000A717C"/>
    <w:rsid w:val="000B33EB"/>
    <w:rsid w:val="000B5E25"/>
    <w:rsid w:val="000D2153"/>
    <w:rsid w:val="000D3B9A"/>
    <w:rsid w:val="000F16BA"/>
    <w:rsid w:val="00101AD8"/>
    <w:rsid w:val="001215C7"/>
    <w:rsid w:val="00123996"/>
    <w:rsid w:val="0012510D"/>
    <w:rsid w:val="00173B0F"/>
    <w:rsid w:val="00177E73"/>
    <w:rsid w:val="00186CCB"/>
    <w:rsid w:val="00190AB4"/>
    <w:rsid w:val="0019170F"/>
    <w:rsid w:val="001A51A0"/>
    <w:rsid w:val="001B3562"/>
    <w:rsid w:val="001C0380"/>
    <w:rsid w:val="001D4046"/>
    <w:rsid w:val="0020249A"/>
    <w:rsid w:val="002167BB"/>
    <w:rsid w:val="00222129"/>
    <w:rsid w:val="00225163"/>
    <w:rsid w:val="00235936"/>
    <w:rsid w:val="00247E4F"/>
    <w:rsid w:val="00267BB5"/>
    <w:rsid w:val="002930E2"/>
    <w:rsid w:val="00295B3F"/>
    <w:rsid w:val="002A33F2"/>
    <w:rsid w:val="002A4B43"/>
    <w:rsid w:val="002A676F"/>
    <w:rsid w:val="002A7227"/>
    <w:rsid w:val="002C0BE5"/>
    <w:rsid w:val="002E3085"/>
    <w:rsid w:val="002F3B20"/>
    <w:rsid w:val="00305A77"/>
    <w:rsid w:val="00307006"/>
    <w:rsid w:val="0030701F"/>
    <w:rsid w:val="003139F1"/>
    <w:rsid w:val="00330FC3"/>
    <w:rsid w:val="00343F0B"/>
    <w:rsid w:val="0034785D"/>
    <w:rsid w:val="003520C5"/>
    <w:rsid w:val="003529BA"/>
    <w:rsid w:val="00367D38"/>
    <w:rsid w:val="003746DE"/>
    <w:rsid w:val="00375CFD"/>
    <w:rsid w:val="003804E8"/>
    <w:rsid w:val="00380D3E"/>
    <w:rsid w:val="0039596B"/>
    <w:rsid w:val="003B1C85"/>
    <w:rsid w:val="003E069B"/>
    <w:rsid w:val="003E38AB"/>
    <w:rsid w:val="003E40A9"/>
    <w:rsid w:val="003E56C9"/>
    <w:rsid w:val="003F0DA1"/>
    <w:rsid w:val="004018F9"/>
    <w:rsid w:val="00403A45"/>
    <w:rsid w:val="00403FC4"/>
    <w:rsid w:val="00406D31"/>
    <w:rsid w:val="00425E0F"/>
    <w:rsid w:val="004344EA"/>
    <w:rsid w:val="0043515A"/>
    <w:rsid w:val="00442FD8"/>
    <w:rsid w:val="00443892"/>
    <w:rsid w:val="004445A1"/>
    <w:rsid w:val="00445CAA"/>
    <w:rsid w:val="00451DA3"/>
    <w:rsid w:val="0049352E"/>
    <w:rsid w:val="00497A4F"/>
    <w:rsid w:val="004D67A7"/>
    <w:rsid w:val="004D6F71"/>
    <w:rsid w:val="00503D67"/>
    <w:rsid w:val="00511E3C"/>
    <w:rsid w:val="00555C87"/>
    <w:rsid w:val="00575EE2"/>
    <w:rsid w:val="0059032F"/>
    <w:rsid w:val="005A6216"/>
    <w:rsid w:val="005B234D"/>
    <w:rsid w:val="005B26AD"/>
    <w:rsid w:val="005B36A8"/>
    <w:rsid w:val="005B5693"/>
    <w:rsid w:val="005C369D"/>
    <w:rsid w:val="005C3BA4"/>
    <w:rsid w:val="005C6646"/>
    <w:rsid w:val="005D4E17"/>
    <w:rsid w:val="005D77CC"/>
    <w:rsid w:val="005E1803"/>
    <w:rsid w:val="005E4AFF"/>
    <w:rsid w:val="005E5716"/>
    <w:rsid w:val="006002E0"/>
    <w:rsid w:val="00620280"/>
    <w:rsid w:val="006258FD"/>
    <w:rsid w:val="00632E48"/>
    <w:rsid w:val="0064529E"/>
    <w:rsid w:val="00663AB1"/>
    <w:rsid w:val="00694976"/>
    <w:rsid w:val="006A62E4"/>
    <w:rsid w:val="006B321A"/>
    <w:rsid w:val="006B418F"/>
    <w:rsid w:val="006D1713"/>
    <w:rsid w:val="006D2F88"/>
    <w:rsid w:val="006D3A03"/>
    <w:rsid w:val="006E08FA"/>
    <w:rsid w:val="006E48F4"/>
    <w:rsid w:val="006F1720"/>
    <w:rsid w:val="006F5F93"/>
    <w:rsid w:val="00710FED"/>
    <w:rsid w:val="00723979"/>
    <w:rsid w:val="00731204"/>
    <w:rsid w:val="00732345"/>
    <w:rsid w:val="00747D30"/>
    <w:rsid w:val="00756F04"/>
    <w:rsid w:val="00764E7D"/>
    <w:rsid w:val="00770F18"/>
    <w:rsid w:val="0078564A"/>
    <w:rsid w:val="007A118C"/>
    <w:rsid w:val="007A3B8C"/>
    <w:rsid w:val="007B4F95"/>
    <w:rsid w:val="007D2A81"/>
    <w:rsid w:val="007D3F6F"/>
    <w:rsid w:val="007E534B"/>
    <w:rsid w:val="007E7C02"/>
    <w:rsid w:val="007F48FC"/>
    <w:rsid w:val="007F7462"/>
    <w:rsid w:val="00802662"/>
    <w:rsid w:val="0082108C"/>
    <w:rsid w:val="008230C3"/>
    <w:rsid w:val="00835035"/>
    <w:rsid w:val="00852668"/>
    <w:rsid w:val="008578BF"/>
    <w:rsid w:val="008660D6"/>
    <w:rsid w:val="008764AE"/>
    <w:rsid w:val="00885CA0"/>
    <w:rsid w:val="008A1A90"/>
    <w:rsid w:val="008B5909"/>
    <w:rsid w:val="008C17F0"/>
    <w:rsid w:val="008C3B24"/>
    <w:rsid w:val="008D3085"/>
    <w:rsid w:val="008E01E4"/>
    <w:rsid w:val="00900C9B"/>
    <w:rsid w:val="00901487"/>
    <w:rsid w:val="00926C44"/>
    <w:rsid w:val="00935C61"/>
    <w:rsid w:val="0093645B"/>
    <w:rsid w:val="00937461"/>
    <w:rsid w:val="009758CB"/>
    <w:rsid w:val="009762F4"/>
    <w:rsid w:val="00993406"/>
    <w:rsid w:val="009962F0"/>
    <w:rsid w:val="009A0F77"/>
    <w:rsid w:val="009A3DAA"/>
    <w:rsid w:val="009A5223"/>
    <w:rsid w:val="009B08BD"/>
    <w:rsid w:val="009B23B7"/>
    <w:rsid w:val="009B2B6B"/>
    <w:rsid w:val="009D2E87"/>
    <w:rsid w:val="009D39B3"/>
    <w:rsid w:val="009D3EA4"/>
    <w:rsid w:val="009E1F26"/>
    <w:rsid w:val="009E546F"/>
    <w:rsid w:val="009F4FF4"/>
    <w:rsid w:val="009F62C3"/>
    <w:rsid w:val="009F71DC"/>
    <w:rsid w:val="00A0100D"/>
    <w:rsid w:val="00A036A6"/>
    <w:rsid w:val="00A05133"/>
    <w:rsid w:val="00A05D3A"/>
    <w:rsid w:val="00A40825"/>
    <w:rsid w:val="00A5260D"/>
    <w:rsid w:val="00A6692F"/>
    <w:rsid w:val="00A72262"/>
    <w:rsid w:val="00A8092A"/>
    <w:rsid w:val="00A85B63"/>
    <w:rsid w:val="00A87E4E"/>
    <w:rsid w:val="00AA26B4"/>
    <w:rsid w:val="00AB15E3"/>
    <w:rsid w:val="00AB1646"/>
    <w:rsid w:val="00AC6EC2"/>
    <w:rsid w:val="00AD33BE"/>
    <w:rsid w:val="00AE1A47"/>
    <w:rsid w:val="00AE5995"/>
    <w:rsid w:val="00AF20F0"/>
    <w:rsid w:val="00B01BD5"/>
    <w:rsid w:val="00B05B83"/>
    <w:rsid w:val="00B15B42"/>
    <w:rsid w:val="00B16D3E"/>
    <w:rsid w:val="00B17992"/>
    <w:rsid w:val="00B31853"/>
    <w:rsid w:val="00B35922"/>
    <w:rsid w:val="00B50B07"/>
    <w:rsid w:val="00B8098B"/>
    <w:rsid w:val="00B83D44"/>
    <w:rsid w:val="00B850E7"/>
    <w:rsid w:val="00BB7FCA"/>
    <w:rsid w:val="00BC0CFA"/>
    <w:rsid w:val="00BD14B3"/>
    <w:rsid w:val="00BD390D"/>
    <w:rsid w:val="00BE233B"/>
    <w:rsid w:val="00BE7A6E"/>
    <w:rsid w:val="00BF1428"/>
    <w:rsid w:val="00C11688"/>
    <w:rsid w:val="00C16EB1"/>
    <w:rsid w:val="00C25B4B"/>
    <w:rsid w:val="00C33B4A"/>
    <w:rsid w:val="00C56DD5"/>
    <w:rsid w:val="00C70B95"/>
    <w:rsid w:val="00C802FB"/>
    <w:rsid w:val="00CA16AA"/>
    <w:rsid w:val="00CA216C"/>
    <w:rsid w:val="00CB3A02"/>
    <w:rsid w:val="00CC0700"/>
    <w:rsid w:val="00CC501E"/>
    <w:rsid w:val="00CD024D"/>
    <w:rsid w:val="00CD2FF0"/>
    <w:rsid w:val="00CE7096"/>
    <w:rsid w:val="00D00D20"/>
    <w:rsid w:val="00D16858"/>
    <w:rsid w:val="00D17F30"/>
    <w:rsid w:val="00D27537"/>
    <w:rsid w:val="00D4431A"/>
    <w:rsid w:val="00D57210"/>
    <w:rsid w:val="00D901D7"/>
    <w:rsid w:val="00D92BFE"/>
    <w:rsid w:val="00D93427"/>
    <w:rsid w:val="00DC667E"/>
    <w:rsid w:val="00DD1866"/>
    <w:rsid w:val="00DE0A8D"/>
    <w:rsid w:val="00DE233B"/>
    <w:rsid w:val="00DE562A"/>
    <w:rsid w:val="00E31658"/>
    <w:rsid w:val="00E37E3F"/>
    <w:rsid w:val="00E42B2B"/>
    <w:rsid w:val="00E5230C"/>
    <w:rsid w:val="00E5647F"/>
    <w:rsid w:val="00E607B6"/>
    <w:rsid w:val="00E61AB3"/>
    <w:rsid w:val="00E65F37"/>
    <w:rsid w:val="00E711DE"/>
    <w:rsid w:val="00E71FF9"/>
    <w:rsid w:val="00E823B8"/>
    <w:rsid w:val="00E87ACF"/>
    <w:rsid w:val="00E9091C"/>
    <w:rsid w:val="00EA61B9"/>
    <w:rsid w:val="00EA7BF4"/>
    <w:rsid w:val="00EB6C62"/>
    <w:rsid w:val="00EC3D51"/>
    <w:rsid w:val="00ED1B38"/>
    <w:rsid w:val="00EE2D4C"/>
    <w:rsid w:val="00EE4D9C"/>
    <w:rsid w:val="00EE6265"/>
    <w:rsid w:val="00EE7518"/>
    <w:rsid w:val="00EF193B"/>
    <w:rsid w:val="00EF638E"/>
    <w:rsid w:val="00F34A32"/>
    <w:rsid w:val="00F455F1"/>
    <w:rsid w:val="00F570D3"/>
    <w:rsid w:val="00F8513C"/>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69BDF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1679-066E-4BD7-BB25-B1C0BFA7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4972</Words>
  <Characters>27348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2026-02-27T16:44:00Z</cp:lastPrinted>
  <dcterms:created xsi:type="dcterms:W3CDTF">2026-02-12T01:45:00Z</dcterms:created>
  <dcterms:modified xsi:type="dcterms:W3CDTF">2026-04-07T18:43:00Z</dcterms:modified>
</cp:coreProperties>
</file>