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4AEB" w:rsidRPr="00663B2F" w:rsidRDefault="00774AEB" w:rsidP="00774AEB">
      <w:pPr>
        <w:spacing w:line="360" w:lineRule="auto"/>
        <w:jc w:val="both"/>
        <w:rPr>
          <w:rFonts w:ascii="Palatino Linotype" w:eastAsia="Palatino Linotype" w:hAnsi="Palatino Linotype" w:cs="Palatino Linotype"/>
          <w:b/>
        </w:rPr>
      </w:pPr>
      <w:r w:rsidRPr="00663B2F">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w:t>
      </w:r>
      <w:r w:rsidR="00663B2F">
        <w:rPr>
          <w:rFonts w:ascii="Palatino Linotype" w:eastAsia="Palatino Linotype" w:hAnsi="Palatino Linotype" w:cs="Palatino Linotype"/>
        </w:rPr>
        <w:t xml:space="preserve"> de México; de fecha </w:t>
      </w:r>
      <w:r w:rsidRPr="00663B2F">
        <w:rPr>
          <w:rFonts w:ascii="Palatino Linotype" w:eastAsia="Palatino Linotype" w:hAnsi="Palatino Linotype" w:cs="Palatino Linotype"/>
          <w:b/>
        </w:rPr>
        <w:t xml:space="preserve">veinte </w:t>
      </w:r>
      <w:r w:rsidR="00663B2F" w:rsidRPr="00663B2F">
        <w:rPr>
          <w:rFonts w:ascii="Palatino Linotype" w:eastAsia="Palatino Linotype" w:hAnsi="Palatino Linotype" w:cs="Palatino Linotype"/>
          <w:b/>
        </w:rPr>
        <w:t xml:space="preserve">(20) </w:t>
      </w:r>
      <w:r w:rsidRPr="00663B2F">
        <w:rPr>
          <w:rFonts w:ascii="Palatino Linotype" w:eastAsia="Palatino Linotype" w:hAnsi="Palatino Linotype" w:cs="Palatino Linotype"/>
          <w:b/>
        </w:rPr>
        <w:t>de mayo de dos mil veintiséis.</w:t>
      </w:r>
    </w:p>
    <w:p w:rsidR="00774AEB" w:rsidRPr="00663B2F" w:rsidRDefault="00774AEB" w:rsidP="00774AEB">
      <w:pPr>
        <w:spacing w:line="360" w:lineRule="auto"/>
        <w:jc w:val="both"/>
        <w:rPr>
          <w:rFonts w:ascii="Palatino Linotype" w:eastAsia="Palatino Linotype" w:hAnsi="Palatino Linotype" w:cs="Palatino Linotype"/>
        </w:rPr>
      </w:pPr>
    </w:p>
    <w:p w:rsidR="00774AEB" w:rsidRPr="00663B2F" w:rsidRDefault="00774AEB" w:rsidP="00774AEB">
      <w:pPr>
        <w:spacing w:line="360" w:lineRule="auto"/>
        <w:jc w:val="both"/>
        <w:rPr>
          <w:rFonts w:ascii="Palatino Linotype" w:eastAsia="Palatino Linotype" w:hAnsi="Palatino Linotype" w:cs="Palatino Linotype"/>
        </w:rPr>
      </w:pPr>
      <w:r w:rsidRPr="00663B2F">
        <w:rPr>
          <w:rFonts w:ascii="Palatino Linotype" w:eastAsia="Palatino Linotype" w:hAnsi="Palatino Linotype" w:cs="Palatino Linotype"/>
          <w:b/>
          <w:bCs/>
        </w:rPr>
        <w:t>VISTO</w:t>
      </w:r>
      <w:r w:rsidRPr="00663B2F">
        <w:rPr>
          <w:rFonts w:ascii="Palatino Linotype" w:eastAsia="Palatino Linotype" w:hAnsi="Palatino Linotype" w:cs="Palatino Linotype"/>
        </w:rPr>
        <w:t xml:space="preserve"> el expediente electrónico formado con motivo del recurso de revisión </w:t>
      </w:r>
      <w:r w:rsidRPr="00663B2F">
        <w:rPr>
          <w:rFonts w:ascii="Palatino Linotype" w:eastAsia="Palatino Linotype" w:hAnsi="Palatino Linotype" w:cs="Palatino Linotype"/>
          <w:b/>
          <w:bCs/>
        </w:rPr>
        <w:t xml:space="preserve">10758/INFOEM/IP/RR/2025, </w:t>
      </w:r>
      <w:r w:rsidRPr="00663B2F">
        <w:rPr>
          <w:rFonts w:ascii="Palatino Linotype" w:eastAsia="Palatino Linotype" w:hAnsi="Palatino Linotype" w:cs="Palatino Linotype"/>
        </w:rPr>
        <w:t xml:space="preserve">promovido por </w:t>
      </w:r>
      <w:r w:rsidR="00DB3C01">
        <w:rPr>
          <w:rFonts w:ascii="Palatino Linotype" w:eastAsia="Palatino Linotype" w:hAnsi="Palatino Linotype" w:cs="Palatino Linotype"/>
          <w:b/>
          <w:bCs/>
        </w:rPr>
        <w:t>XXXX</w:t>
      </w:r>
      <w:r w:rsidRPr="00663B2F">
        <w:rPr>
          <w:rFonts w:ascii="Palatino Linotype" w:eastAsia="Palatino Linotype" w:hAnsi="Palatino Linotype" w:cs="Palatino Linotype"/>
          <w:b/>
          <w:bCs/>
        </w:rPr>
        <w:t>,</w:t>
      </w:r>
      <w:r w:rsidRPr="00663B2F">
        <w:rPr>
          <w:rFonts w:ascii="Palatino Linotype" w:eastAsia="Palatino Linotype" w:hAnsi="Palatino Linotype" w:cs="Palatino Linotype"/>
        </w:rPr>
        <w:t xml:space="preserve"> a quien en lo sucesivo se identificará como </w:t>
      </w:r>
      <w:r w:rsidRPr="00663B2F">
        <w:rPr>
          <w:rFonts w:ascii="Palatino Linotype" w:eastAsia="Palatino Linotype" w:hAnsi="Palatino Linotype" w:cs="Palatino Linotype"/>
          <w:b/>
          <w:bCs/>
        </w:rPr>
        <w:t>EL RECURRENTE</w:t>
      </w:r>
      <w:r w:rsidRPr="00663B2F">
        <w:rPr>
          <w:rFonts w:ascii="Palatino Linotype" w:eastAsia="Palatino Linotype" w:hAnsi="Palatino Linotype" w:cs="Palatino Linotype"/>
        </w:rPr>
        <w:t xml:space="preserve">, en contra de la respuesta del </w:t>
      </w:r>
      <w:r w:rsidRPr="00663B2F">
        <w:rPr>
          <w:rFonts w:ascii="Palatino Linotype" w:eastAsia="Palatino Linotype" w:hAnsi="Palatino Linotype" w:cs="Palatino Linotype"/>
          <w:b/>
          <w:bCs/>
        </w:rPr>
        <w:t xml:space="preserve">Ayuntamiento de Cuautitlán Izcalli, </w:t>
      </w:r>
      <w:r w:rsidRPr="00663B2F">
        <w:rPr>
          <w:rFonts w:ascii="Palatino Linotype" w:eastAsia="Palatino Linotype" w:hAnsi="Palatino Linotype" w:cs="Palatino Linotype"/>
        </w:rPr>
        <w:t>en adelante el</w:t>
      </w:r>
      <w:r w:rsidRPr="00663B2F">
        <w:rPr>
          <w:rFonts w:ascii="Palatino Linotype" w:eastAsia="Palatino Linotype" w:hAnsi="Palatino Linotype" w:cs="Palatino Linotype"/>
          <w:b/>
          <w:bCs/>
        </w:rPr>
        <w:t xml:space="preserve"> SUJETO OBLIGADO</w:t>
      </w:r>
      <w:r w:rsidRPr="00663B2F">
        <w:rPr>
          <w:rFonts w:ascii="Palatino Linotype" w:eastAsia="Palatino Linotype" w:hAnsi="Palatino Linotype" w:cs="Palatino Linotype"/>
        </w:rPr>
        <w:t xml:space="preserve">, por lo que se procede a dictar la presente resolución, con base en los siguientes: </w:t>
      </w:r>
      <w:bookmarkStart w:id="0" w:name="_GoBack"/>
      <w:bookmarkEnd w:id="0"/>
    </w:p>
    <w:p w:rsidR="00774AEB" w:rsidRPr="00663B2F" w:rsidRDefault="00774AEB" w:rsidP="00774AEB">
      <w:pPr>
        <w:spacing w:line="360" w:lineRule="auto"/>
        <w:jc w:val="both"/>
        <w:rPr>
          <w:rFonts w:ascii="Palatino Linotype" w:eastAsia="Palatino Linotype" w:hAnsi="Palatino Linotype" w:cs="Palatino Linotype"/>
          <w:b/>
          <w:bCs/>
        </w:rPr>
      </w:pPr>
    </w:p>
    <w:p w:rsidR="00774AEB" w:rsidRPr="00663B2F" w:rsidRDefault="00774AEB" w:rsidP="00774AEB">
      <w:pPr>
        <w:keepNext/>
        <w:keepLines/>
        <w:spacing w:line="360" w:lineRule="auto"/>
        <w:jc w:val="center"/>
        <w:rPr>
          <w:rFonts w:ascii="Palatino Linotype" w:eastAsia="Palatino Linotype" w:hAnsi="Palatino Linotype" w:cs="Palatino Linotype"/>
          <w:b/>
          <w:bCs/>
        </w:rPr>
      </w:pPr>
      <w:bookmarkStart w:id="1" w:name="_heading=h.gjdgxs" w:colFirst="0" w:colLast="0"/>
      <w:bookmarkEnd w:id="1"/>
      <w:r w:rsidRPr="00663B2F">
        <w:rPr>
          <w:rFonts w:ascii="Palatino Linotype" w:eastAsia="Palatino Linotype" w:hAnsi="Palatino Linotype" w:cs="Palatino Linotype"/>
          <w:b/>
          <w:bCs/>
        </w:rPr>
        <w:t>A N T E C E D E N T E S</w:t>
      </w:r>
    </w:p>
    <w:p w:rsidR="00774AEB" w:rsidRPr="00663B2F" w:rsidRDefault="00774AEB" w:rsidP="00774AEB">
      <w:pPr>
        <w:spacing w:line="360" w:lineRule="auto"/>
        <w:rPr>
          <w:rFonts w:ascii="Palatino Linotype" w:eastAsia="Palatino Linotype" w:hAnsi="Palatino Linotype" w:cs="Palatino Linotype"/>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El </w:t>
      </w:r>
      <w:r w:rsidRPr="00663B2F">
        <w:rPr>
          <w:rFonts w:ascii="Palatino Linotype" w:eastAsia="Palatino Linotype" w:hAnsi="Palatino Linotype" w:cs="Palatino Linotype"/>
          <w:b/>
          <w:bCs/>
          <w:color w:val="000000"/>
        </w:rPr>
        <w:t>diecinueve de agosto de dos mil veinticinco</w:t>
      </w:r>
      <w:r w:rsidRPr="00663B2F">
        <w:rPr>
          <w:rFonts w:ascii="Palatino Linotype" w:eastAsia="Palatino Linotype" w:hAnsi="Palatino Linotype" w:cs="Palatino Linotype"/>
          <w:color w:val="000000"/>
        </w:rPr>
        <w:t xml:space="preserve">, </w:t>
      </w:r>
      <w:r w:rsidRPr="00663B2F">
        <w:rPr>
          <w:rFonts w:ascii="Palatino Linotype" w:eastAsia="Palatino Linotype" w:hAnsi="Palatino Linotype" w:cs="Palatino Linotype"/>
          <w:b/>
          <w:bCs/>
          <w:color w:val="000000"/>
        </w:rPr>
        <w:t>EL RECURRENTE,</w:t>
      </w:r>
      <w:r w:rsidRPr="00663B2F">
        <w:rPr>
          <w:rFonts w:ascii="Palatino Linotype" w:eastAsia="Palatino Linotype" w:hAnsi="Palatino Linotype" w:cs="Palatino Linotype"/>
          <w:color w:val="000000"/>
        </w:rPr>
        <w:t xml:space="preserve"> ante el </w:t>
      </w:r>
      <w:r w:rsidRPr="00663B2F">
        <w:rPr>
          <w:rFonts w:ascii="Palatino Linotype" w:eastAsia="Palatino Linotype" w:hAnsi="Palatino Linotype" w:cs="Palatino Linotype"/>
          <w:b/>
          <w:bCs/>
          <w:color w:val="000000"/>
        </w:rPr>
        <w:t>SUJETO OBLIGADO</w:t>
      </w:r>
      <w:r w:rsidRPr="00663B2F">
        <w:rPr>
          <w:rFonts w:ascii="Palatino Linotype" w:eastAsia="Palatino Linotype" w:hAnsi="Palatino Linotype" w:cs="Palatino Linotype"/>
          <w:color w:val="000000"/>
        </w:rPr>
        <w:t xml:space="preserve"> a través del Sistema de Acceso a la Información Mexiquense (SAIMEX), presentó una solicitud de información registrada con el número </w:t>
      </w:r>
      <w:r w:rsidRPr="00663B2F">
        <w:rPr>
          <w:rFonts w:ascii="Palatino Linotype" w:eastAsia="Palatino Linotype" w:hAnsi="Palatino Linotype" w:cs="Palatino Linotype"/>
          <w:b/>
          <w:bCs/>
          <w:color w:val="000000"/>
        </w:rPr>
        <w:t xml:space="preserve">01393/CUAUTIZC/IP/2025, </w:t>
      </w:r>
      <w:r w:rsidRPr="00663B2F">
        <w:rPr>
          <w:rFonts w:ascii="Palatino Linotype" w:eastAsia="Palatino Linotype" w:hAnsi="Palatino Linotype" w:cs="Palatino Linotype"/>
        </w:rPr>
        <w:t>en la que se</w:t>
      </w:r>
      <w:r w:rsidRPr="00663B2F">
        <w:rPr>
          <w:rFonts w:ascii="Palatino Linotype" w:eastAsia="Palatino Linotype" w:hAnsi="Palatino Linotype" w:cs="Palatino Linotype"/>
          <w:color w:val="000000"/>
        </w:rPr>
        <w:t xml:space="preserve"> solicitó lo siguiente:</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4AEB" w:rsidRPr="00663B2F" w:rsidRDefault="00774AEB" w:rsidP="00774AEB">
      <w:pPr>
        <w:pBdr>
          <w:top w:val="nil"/>
          <w:left w:val="nil"/>
          <w:bottom w:val="nil"/>
          <w:right w:val="nil"/>
          <w:between w:val="nil"/>
        </w:pBdr>
        <w:spacing w:line="360" w:lineRule="auto"/>
        <w:ind w:left="720" w:right="822"/>
        <w:jc w:val="both"/>
        <w:rPr>
          <w:rFonts w:ascii="Palatino Linotype" w:eastAsia="Palatino Linotype" w:hAnsi="Palatino Linotype" w:cs="Palatino Linotype"/>
          <w:i/>
          <w:iCs/>
          <w:color w:val="000000"/>
        </w:rPr>
      </w:pPr>
      <w:r w:rsidRPr="00663B2F">
        <w:rPr>
          <w:rFonts w:ascii="Palatino Linotype" w:eastAsia="Palatino Linotype" w:hAnsi="Palatino Linotype" w:cs="Palatino Linotype"/>
          <w:i/>
          <w:iCs/>
          <w:color w:val="000000"/>
        </w:rPr>
        <w:t xml:space="preserve">“Solicito para los ejercicios fiscales del 2021, 2022, 2023, 2024, 2025, en formato Excel y pdf. Lo siguiente: • Tabulador de sueldos de todas las categorías, y plazas, de todos los puestos de mando (sean mandos superiores, mandos medios, operativos, sindicalizadas) y base, con todos los componentes salariales (sueldo base, prestaciones, bonos, gratificaciones, etc.) • Tabuladores o escalafón de sueldos y compensaciones de los servidores públicos municipales. • Contrato colectivo de trabajo • Presupuesto anual del capítulo 1000, por partida y plazas • Formatos de: 1.-Tabulador de sueldos (PbRM-05), </w:t>
      </w:r>
      <w:r w:rsidRPr="00663B2F">
        <w:rPr>
          <w:rFonts w:ascii="Palatino Linotype" w:eastAsia="Palatino Linotype" w:hAnsi="Palatino Linotype" w:cs="Palatino Linotype"/>
          <w:i/>
          <w:iCs/>
          <w:color w:val="000000"/>
        </w:rPr>
        <w:lastRenderedPageBreak/>
        <w:t xml:space="preserve">y 2.- Presupuesto de Egreso Global Calendarizado (PbRM-04c), estos referenciados en el Manual para la Planeación, Programación y Presupuesto de Egresos Municipal de cada ejercicio fiscal.” (Sic) </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Se señaló como modalidad de entrega a través de SAIMEX.</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El </w:t>
      </w:r>
      <w:r w:rsidRPr="00663B2F">
        <w:rPr>
          <w:rFonts w:ascii="Palatino Linotype" w:eastAsia="Palatino Linotype" w:hAnsi="Palatino Linotype" w:cs="Palatino Linotype"/>
          <w:b/>
          <w:color w:val="000000"/>
        </w:rPr>
        <w:t>diecinueve de agosto de dos mil veinticinco</w:t>
      </w:r>
      <w:r w:rsidRPr="00663B2F">
        <w:rPr>
          <w:rFonts w:ascii="Palatino Linotype" w:eastAsia="Palatino Linotype" w:hAnsi="Palatino Linotype" w:cs="Palatino Linotype"/>
          <w:color w:val="000000"/>
        </w:rPr>
        <w:t xml:space="preserve">, se realizó un requerimiento al servidor público habilitado. </w:t>
      </w:r>
    </w:p>
    <w:p w:rsidR="00774AEB" w:rsidRPr="00663B2F" w:rsidRDefault="00774AEB" w:rsidP="00774AEB">
      <w:pPr>
        <w:pBdr>
          <w:top w:val="nil"/>
          <w:left w:val="nil"/>
          <w:bottom w:val="nil"/>
          <w:right w:val="nil"/>
          <w:between w:val="nil"/>
        </w:pBdr>
        <w:ind w:left="720"/>
        <w:rPr>
          <w:rFonts w:ascii="Palatino Linotype" w:eastAsia="Palatino Linotype" w:hAnsi="Palatino Linotype" w:cs="Palatino Linotype"/>
          <w:color w:val="000000"/>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El </w:t>
      </w:r>
      <w:r w:rsidRPr="00663B2F">
        <w:rPr>
          <w:rFonts w:ascii="Palatino Linotype" w:eastAsia="Palatino Linotype" w:hAnsi="Palatino Linotype" w:cs="Palatino Linotype"/>
          <w:b/>
          <w:bCs/>
          <w:color w:val="000000"/>
        </w:rPr>
        <w:t>nueve de septiembre de dos mil veinticinco</w:t>
      </w:r>
      <w:r w:rsidRPr="00663B2F">
        <w:rPr>
          <w:rFonts w:ascii="Palatino Linotype" w:eastAsia="Palatino Linotype" w:hAnsi="Palatino Linotype" w:cs="Palatino Linotype"/>
          <w:color w:val="000000"/>
        </w:rPr>
        <w:t>, el Sujeto Obligado dio respuesta a la solicitud de información en los siguientes términos:</w:t>
      </w:r>
    </w:p>
    <w:tbl>
      <w:tblPr>
        <w:tblW w:w="7530" w:type="dxa"/>
        <w:jc w:val="center"/>
        <w:tblCellSpacing w:w="0" w:type="dxa"/>
        <w:tblCellMar>
          <w:left w:w="0" w:type="dxa"/>
          <w:right w:w="0" w:type="dxa"/>
        </w:tblCellMar>
        <w:tblLook w:val="04A0" w:firstRow="1" w:lastRow="0" w:firstColumn="1" w:lastColumn="0" w:noHBand="0" w:noVBand="1"/>
      </w:tblPr>
      <w:tblGrid>
        <w:gridCol w:w="7530"/>
      </w:tblGrid>
      <w:tr w:rsidR="00774AEB" w:rsidRPr="00663B2F" w:rsidTr="00774AEB">
        <w:trPr>
          <w:trHeight w:val="317"/>
          <w:tblCellSpacing w:w="0" w:type="dxa"/>
          <w:jc w:val="center"/>
        </w:trPr>
        <w:tc>
          <w:tcPr>
            <w:tcW w:w="0" w:type="auto"/>
            <w:vAlign w:val="center"/>
            <w:hideMark/>
          </w:tcPr>
          <w:p w:rsidR="00774AEB" w:rsidRPr="00663B2F" w:rsidRDefault="00774AEB" w:rsidP="00774AEB">
            <w:pPr>
              <w:jc w:val="right"/>
              <w:rPr>
                <w:rFonts w:ascii="Palatino Linotype" w:hAnsi="Palatino Linotype"/>
                <w:i/>
              </w:rPr>
            </w:pPr>
            <w:r w:rsidRPr="00663B2F">
              <w:rPr>
                <w:rFonts w:ascii="Palatino Linotype" w:hAnsi="Palatino Linotype"/>
                <w:i/>
              </w:rPr>
              <w:t>“Cuautitlán Izcalli, México a 09 de Septiembre de 2025</w:t>
            </w:r>
          </w:p>
        </w:tc>
      </w:tr>
      <w:tr w:rsidR="00774AEB" w:rsidRPr="00663B2F" w:rsidTr="00774AEB">
        <w:trPr>
          <w:trHeight w:val="317"/>
          <w:tblCellSpacing w:w="0" w:type="dxa"/>
          <w:jc w:val="center"/>
        </w:trPr>
        <w:tc>
          <w:tcPr>
            <w:tcW w:w="0" w:type="auto"/>
            <w:vAlign w:val="center"/>
            <w:hideMark/>
          </w:tcPr>
          <w:p w:rsidR="00774AEB" w:rsidRPr="00663B2F" w:rsidRDefault="00774AEB" w:rsidP="00774AEB">
            <w:pPr>
              <w:jc w:val="right"/>
              <w:rPr>
                <w:rFonts w:ascii="Palatino Linotype" w:hAnsi="Palatino Linotype"/>
                <w:i/>
              </w:rPr>
            </w:pPr>
            <w:r w:rsidRPr="00663B2F">
              <w:rPr>
                <w:rFonts w:ascii="Palatino Linotype" w:hAnsi="Palatino Linotype"/>
                <w:i/>
              </w:rPr>
              <w:t>Nombre del solicitante: C. Solicitante</w:t>
            </w:r>
          </w:p>
        </w:tc>
      </w:tr>
      <w:tr w:rsidR="00774AEB" w:rsidRPr="00663B2F" w:rsidTr="00774AEB">
        <w:trPr>
          <w:trHeight w:val="317"/>
          <w:tblCellSpacing w:w="0" w:type="dxa"/>
          <w:jc w:val="center"/>
        </w:trPr>
        <w:tc>
          <w:tcPr>
            <w:tcW w:w="0" w:type="auto"/>
            <w:vAlign w:val="center"/>
            <w:hideMark/>
          </w:tcPr>
          <w:p w:rsidR="00774AEB" w:rsidRPr="00663B2F" w:rsidRDefault="00774AEB" w:rsidP="00774AEB">
            <w:pPr>
              <w:jc w:val="right"/>
              <w:rPr>
                <w:rFonts w:ascii="Palatino Linotype" w:hAnsi="Palatino Linotype"/>
                <w:i/>
              </w:rPr>
            </w:pPr>
            <w:r w:rsidRPr="00663B2F">
              <w:rPr>
                <w:rFonts w:ascii="Palatino Linotype" w:hAnsi="Palatino Linotype"/>
                <w:i/>
              </w:rPr>
              <w:t>Folio de la solicitud: 01393/CUAUTIZC/IP/2025</w:t>
            </w:r>
          </w:p>
        </w:tc>
      </w:tr>
      <w:tr w:rsidR="00774AEB" w:rsidRPr="00663B2F" w:rsidTr="00774AEB">
        <w:trPr>
          <w:trHeight w:val="476"/>
          <w:tblCellSpacing w:w="0" w:type="dxa"/>
          <w:jc w:val="center"/>
        </w:trPr>
        <w:tc>
          <w:tcPr>
            <w:tcW w:w="0" w:type="auto"/>
            <w:vAlign w:val="center"/>
            <w:hideMark/>
          </w:tcPr>
          <w:p w:rsidR="00774AEB" w:rsidRPr="00663B2F" w:rsidRDefault="00774AEB" w:rsidP="00774AEB">
            <w:pPr>
              <w:jc w:val="right"/>
              <w:rPr>
                <w:rFonts w:ascii="Palatino Linotype" w:hAnsi="Palatino Linotype"/>
                <w:i/>
              </w:rPr>
            </w:pPr>
          </w:p>
        </w:tc>
      </w:tr>
      <w:tr w:rsidR="00774AEB" w:rsidRPr="00663B2F" w:rsidTr="00774AEB">
        <w:trPr>
          <w:trHeight w:val="158"/>
          <w:tblCellSpacing w:w="0" w:type="dxa"/>
          <w:jc w:val="center"/>
        </w:trPr>
        <w:tc>
          <w:tcPr>
            <w:tcW w:w="0" w:type="auto"/>
            <w:vAlign w:val="center"/>
            <w:hideMark/>
          </w:tcPr>
          <w:p w:rsidR="00774AEB" w:rsidRPr="00663B2F" w:rsidRDefault="00774AEB" w:rsidP="00774AEB">
            <w:pPr>
              <w:rPr>
                <w:rFonts w:ascii="Palatino Linotype" w:hAnsi="Palatino Linotype"/>
                <w:i/>
              </w:rPr>
            </w:pPr>
            <w:r w:rsidRPr="00663B2F">
              <w:rPr>
                <w:rFonts w:ascii="Palatino Linotype" w:hAnsi="Palatino Linotype"/>
                <w:i/>
              </w:rPr>
              <w:t>En respuesta a la solicitud recibida, nos permitimos hacer de su conocimiento que con fundamento en el artículo 53, Fracciones: II, V y VI de la Ley de Transparencia y Acceso a la Información Pública del Estado de México y Municipios, le contestamos que:</w:t>
            </w:r>
          </w:p>
        </w:tc>
      </w:tr>
      <w:tr w:rsidR="00774AEB" w:rsidRPr="00663B2F" w:rsidTr="00774AEB">
        <w:trPr>
          <w:trHeight w:val="397"/>
          <w:tblCellSpacing w:w="0" w:type="dxa"/>
          <w:jc w:val="center"/>
        </w:trPr>
        <w:tc>
          <w:tcPr>
            <w:tcW w:w="0" w:type="auto"/>
            <w:vAlign w:val="center"/>
            <w:hideMark/>
          </w:tcPr>
          <w:p w:rsidR="00774AEB" w:rsidRPr="00663B2F" w:rsidRDefault="00774AEB" w:rsidP="00774AEB">
            <w:pPr>
              <w:rPr>
                <w:rFonts w:ascii="Palatino Linotype" w:hAnsi="Palatino Linotype"/>
                <w:i/>
              </w:rPr>
            </w:pPr>
          </w:p>
        </w:tc>
      </w:tr>
      <w:tr w:rsidR="00774AEB" w:rsidRPr="00663B2F" w:rsidTr="00774AEB">
        <w:trPr>
          <w:trHeight w:val="158"/>
          <w:tblCellSpacing w:w="0" w:type="dxa"/>
          <w:jc w:val="center"/>
        </w:trPr>
        <w:tc>
          <w:tcPr>
            <w:tcW w:w="0" w:type="auto"/>
            <w:vAlign w:val="center"/>
            <w:hideMark/>
          </w:tcPr>
          <w:p w:rsidR="00774AEB" w:rsidRPr="00663B2F" w:rsidRDefault="00774AEB" w:rsidP="00774AEB">
            <w:pPr>
              <w:rPr>
                <w:rFonts w:ascii="Palatino Linotype" w:hAnsi="Palatino Linotype"/>
                <w:i/>
              </w:rPr>
            </w:pPr>
            <w:r w:rsidRPr="00663B2F">
              <w:rPr>
                <w:rFonts w:ascii="Palatino Linotype" w:hAnsi="Palatino Linotype"/>
                <w:i/>
              </w:rPr>
              <w:t>Se procede a notificar la respuesta a la solicitud de información pública. Así mismo se hace de su conocimiento que usted puede interponer su recurso de revisión dentro del plazo de 15 días hábiles contados a partir de la fecha en que se realice la notificación vía electrónica, a través del SAIMEX</w:t>
            </w:r>
          </w:p>
        </w:tc>
      </w:tr>
      <w:tr w:rsidR="00774AEB" w:rsidRPr="00663B2F" w:rsidTr="00774AEB">
        <w:trPr>
          <w:trHeight w:val="397"/>
          <w:tblCellSpacing w:w="0" w:type="dxa"/>
          <w:jc w:val="center"/>
        </w:trPr>
        <w:tc>
          <w:tcPr>
            <w:tcW w:w="0" w:type="auto"/>
            <w:vAlign w:val="center"/>
            <w:hideMark/>
          </w:tcPr>
          <w:p w:rsidR="00774AEB" w:rsidRPr="00663B2F" w:rsidRDefault="00774AEB" w:rsidP="00774AEB">
            <w:pPr>
              <w:rPr>
                <w:rFonts w:ascii="Palatino Linotype" w:hAnsi="Palatino Linotype"/>
                <w:i/>
              </w:rPr>
            </w:pPr>
          </w:p>
        </w:tc>
      </w:tr>
      <w:tr w:rsidR="00774AEB" w:rsidRPr="00663B2F" w:rsidTr="00774AEB">
        <w:trPr>
          <w:trHeight w:val="158"/>
          <w:tblCellSpacing w:w="0" w:type="dxa"/>
          <w:jc w:val="center"/>
        </w:trPr>
        <w:tc>
          <w:tcPr>
            <w:tcW w:w="0" w:type="auto"/>
            <w:vAlign w:val="center"/>
            <w:hideMark/>
          </w:tcPr>
          <w:p w:rsidR="00774AEB" w:rsidRPr="00663B2F" w:rsidRDefault="00774AEB" w:rsidP="00774AEB">
            <w:pPr>
              <w:jc w:val="center"/>
              <w:rPr>
                <w:rFonts w:ascii="Palatino Linotype" w:hAnsi="Palatino Linotype"/>
                <w:i/>
              </w:rPr>
            </w:pPr>
          </w:p>
        </w:tc>
      </w:tr>
      <w:tr w:rsidR="00774AEB" w:rsidRPr="00663B2F" w:rsidTr="00774AEB">
        <w:trPr>
          <w:trHeight w:val="158"/>
          <w:tblCellSpacing w:w="0" w:type="dxa"/>
          <w:jc w:val="center"/>
        </w:trPr>
        <w:tc>
          <w:tcPr>
            <w:tcW w:w="0" w:type="auto"/>
            <w:vAlign w:val="center"/>
            <w:hideMark/>
          </w:tcPr>
          <w:p w:rsidR="00774AEB" w:rsidRPr="00663B2F" w:rsidRDefault="00774AEB" w:rsidP="00774AEB">
            <w:pPr>
              <w:rPr>
                <w:rFonts w:ascii="Palatino Linotype" w:hAnsi="Palatino Linotype"/>
                <w:i/>
              </w:rPr>
            </w:pPr>
          </w:p>
        </w:tc>
      </w:tr>
      <w:tr w:rsidR="00774AEB" w:rsidRPr="00663B2F" w:rsidTr="00774AEB">
        <w:trPr>
          <w:trHeight w:val="158"/>
          <w:tblCellSpacing w:w="0" w:type="dxa"/>
          <w:jc w:val="center"/>
        </w:trPr>
        <w:tc>
          <w:tcPr>
            <w:tcW w:w="0" w:type="auto"/>
            <w:vAlign w:val="center"/>
            <w:hideMark/>
          </w:tcPr>
          <w:p w:rsidR="00774AEB" w:rsidRPr="00663B2F" w:rsidRDefault="00774AEB" w:rsidP="00774AEB">
            <w:pPr>
              <w:rPr>
                <w:rFonts w:ascii="Palatino Linotype" w:hAnsi="Palatino Linotype"/>
                <w:i/>
              </w:rPr>
            </w:pPr>
            <w:r w:rsidRPr="00663B2F">
              <w:rPr>
                <w:rFonts w:ascii="Palatino Linotype" w:hAnsi="Palatino Linotype"/>
                <w:i/>
              </w:rPr>
              <w:t>ATENTAMENTE</w:t>
            </w:r>
          </w:p>
        </w:tc>
      </w:tr>
      <w:tr w:rsidR="00774AEB" w:rsidRPr="00663B2F" w:rsidTr="00774AEB">
        <w:trPr>
          <w:trHeight w:val="326"/>
          <w:tblCellSpacing w:w="0" w:type="dxa"/>
          <w:jc w:val="center"/>
        </w:trPr>
        <w:tc>
          <w:tcPr>
            <w:tcW w:w="0" w:type="auto"/>
            <w:vAlign w:val="center"/>
            <w:hideMark/>
          </w:tcPr>
          <w:p w:rsidR="00774AEB" w:rsidRPr="00663B2F" w:rsidRDefault="00774AEB" w:rsidP="00774AEB">
            <w:pPr>
              <w:rPr>
                <w:rFonts w:ascii="Palatino Linotype" w:hAnsi="Palatino Linotype"/>
                <w:i/>
              </w:rPr>
            </w:pPr>
          </w:p>
        </w:tc>
      </w:tr>
      <w:tr w:rsidR="00774AEB" w:rsidRPr="00663B2F" w:rsidTr="00774AEB">
        <w:trPr>
          <w:trHeight w:val="158"/>
          <w:tblCellSpacing w:w="0" w:type="dxa"/>
          <w:jc w:val="center"/>
        </w:trPr>
        <w:tc>
          <w:tcPr>
            <w:tcW w:w="0" w:type="auto"/>
            <w:vAlign w:val="center"/>
            <w:hideMark/>
          </w:tcPr>
          <w:p w:rsidR="00774AEB" w:rsidRPr="00663B2F" w:rsidRDefault="00774AEB" w:rsidP="00774AEB">
            <w:pPr>
              <w:rPr>
                <w:rFonts w:ascii="Palatino Linotype" w:hAnsi="Palatino Linotype"/>
                <w:i/>
              </w:rPr>
            </w:pPr>
            <w:r w:rsidRPr="00663B2F">
              <w:rPr>
                <w:rFonts w:ascii="Palatino Linotype" w:hAnsi="Palatino Linotype"/>
                <w:i/>
              </w:rPr>
              <w:t>GABRIELA ELIZABETH MORALES CRUZ”</w:t>
            </w:r>
          </w:p>
        </w:tc>
      </w:tr>
    </w:tbl>
    <w:p w:rsidR="00774AEB" w:rsidRPr="00663B2F" w:rsidRDefault="00774AEB" w:rsidP="00774AEB">
      <w:pPr>
        <w:spacing w:line="360" w:lineRule="auto"/>
        <w:jc w:val="both"/>
        <w:rPr>
          <w:rFonts w:ascii="Palatino Linotype" w:eastAsia="Palatino Linotype" w:hAnsi="Palatino Linotype" w:cs="Palatino Linotype"/>
        </w:rPr>
      </w:pPr>
    </w:p>
    <w:p w:rsidR="00774AEB" w:rsidRPr="00663B2F" w:rsidRDefault="00774AEB" w:rsidP="00774AEB">
      <w:pPr>
        <w:numPr>
          <w:ilvl w:val="0"/>
          <w:numId w:val="3"/>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lastRenderedPageBreak/>
        <w:t xml:space="preserve">A la respuesta, el Sujeto Obligado adjuntó el archivo denominado </w:t>
      </w:r>
      <w:hyperlink r:id="rId7" w:tgtFrame="_blank" w:history="1">
        <w:r w:rsidRPr="00663B2F">
          <w:rPr>
            <w:rStyle w:val="Hipervnculo"/>
            <w:rFonts w:ascii="Palatino Linotype" w:eastAsia="Palatino Linotype" w:hAnsi="Palatino Linotype" w:cs="Palatino Linotype"/>
            <w:b/>
            <w:bCs/>
          </w:rPr>
          <w:t>RESPUESTA 1393.pdf</w:t>
        </w:r>
      </w:hyperlink>
      <w:r w:rsidRPr="00663B2F">
        <w:rPr>
          <w:rFonts w:ascii="Palatino Linotype" w:eastAsia="Palatino Linotype" w:hAnsi="Palatino Linotype" w:cs="Palatino Linotype"/>
          <w:color w:val="000000"/>
        </w:rPr>
        <w:t>, en el que se advierte el oficio número DA/TRANSP/0299/2025, de fecha nueve de septiembre de dos mil veinticinco</w:t>
      </w:r>
      <w:r w:rsidR="006229DB" w:rsidRPr="00663B2F">
        <w:rPr>
          <w:rFonts w:ascii="Palatino Linotype" w:eastAsia="Palatino Linotype" w:hAnsi="Palatino Linotype" w:cs="Palatino Linotype"/>
          <w:color w:val="000000"/>
        </w:rPr>
        <w:t>, suscrito por el Servidor Público Habilitado  de la Dirección de Administración, quien señaló unas ligas electrónicas (que no están en datos abiertos), para consultar los tabuladores de sueldos del ejercicio fiscal 2021, 2022, 2023, 2024 y 2025,</w:t>
      </w:r>
      <w:r w:rsidR="00583691" w:rsidRPr="00663B2F">
        <w:rPr>
          <w:rFonts w:ascii="Palatino Linotype" w:eastAsia="Palatino Linotype" w:hAnsi="Palatino Linotype" w:cs="Palatino Linotype"/>
          <w:color w:val="000000"/>
        </w:rPr>
        <w:t xml:space="preserve"> asimismo, señaló que no tienen co</w:t>
      </w:r>
      <w:r w:rsidR="006229DB" w:rsidRPr="00663B2F">
        <w:rPr>
          <w:rFonts w:ascii="Palatino Linotype" w:eastAsia="Palatino Linotype" w:hAnsi="Palatino Linotype" w:cs="Palatino Linotype"/>
          <w:color w:val="000000"/>
        </w:rPr>
        <w:t xml:space="preserve">ntrato colectivo de </w:t>
      </w:r>
      <w:r w:rsidR="00583691" w:rsidRPr="00663B2F">
        <w:rPr>
          <w:rFonts w:ascii="Palatino Linotype" w:eastAsia="Palatino Linotype" w:hAnsi="Palatino Linotype" w:cs="Palatino Linotype"/>
          <w:color w:val="000000"/>
        </w:rPr>
        <w:t xml:space="preserve">trabajo y referente al presupuesto anual del capítulo 1000, por partida y plazas de formatos de tabulados de sueldos, presupuesto de egresos global calendarizado de cada ejercicio fiscal, señaló que no es atribución de su unidad. </w:t>
      </w:r>
    </w:p>
    <w:p w:rsidR="00774AEB" w:rsidRPr="00663B2F" w:rsidRDefault="00774AEB" w:rsidP="00774AEB">
      <w:pPr>
        <w:pBdr>
          <w:top w:val="nil"/>
          <w:left w:val="nil"/>
          <w:bottom w:val="nil"/>
          <w:right w:val="nil"/>
          <w:between w:val="nil"/>
        </w:pBdr>
        <w:spacing w:line="360" w:lineRule="auto"/>
        <w:ind w:left="720"/>
        <w:jc w:val="both"/>
        <w:rPr>
          <w:rFonts w:ascii="Palatino Linotype" w:eastAsia="Palatino Linotype" w:hAnsi="Palatino Linotype" w:cs="Palatino Linotype"/>
          <w:color w:val="000000"/>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El </w:t>
      </w:r>
      <w:r w:rsidR="00583691" w:rsidRPr="00663B2F">
        <w:rPr>
          <w:rFonts w:ascii="Palatino Linotype" w:eastAsia="Palatino Linotype" w:hAnsi="Palatino Linotype" w:cs="Palatino Linotype"/>
          <w:b/>
          <w:bCs/>
          <w:color w:val="000000"/>
        </w:rPr>
        <w:t>once</w:t>
      </w:r>
      <w:r w:rsidRPr="00663B2F">
        <w:rPr>
          <w:rFonts w:ascii="Palatino Linotype" w:eastAsia="Palatino Linotype" w:hAnsi="Palatino Linotype" w:cs="Palatino Linotype"/>
          <w:b/>
          <w:bCs/>
          <w:color w:val="000000"/>
        </w:rPr>
        <w:t xml:space="preserve"> de septiembre de dos mil veinticinco</w:t>
      </w:r>
      <w:r w:rsidRPr="00663B2F">
        <w:rPr>
          <w:rFonts w:ascii="Palatino Linotype" w:eastAsia="Palatino Linotype" w:hAnsi="Palatino Linotype" w:cs="Palatino Linotype"/>
          <w:color w:val="000000"/>
        </w:rPr>
        <w:t xml:space="preserve">, </w:t>
      </w:r>
      <w:r w:rsidRPr="00663B2F">
        <w:rPr>
          <w:rFonts w:ascii="Palatino Linotype" w:eastAsia="Palatino Linotype" w:hAnsi="Palatino Linotype" w:cs="Palatino Linotype"/>
          <w:b/>
          <w:bCs/>
          <w:color w:val="000000"/>
        </w:rPr>
        <w:t>EL RECURRENTE</w:t>
      </w:r>
      <w:r w:rsidRPr="00663B2F">
        <w:rPr>
          <w:rFonts w:ascii="Palatino Linotype" w:eastAsia="Palatino Linotype" w:hAnsi="Palatino Linotype" w:cs="Palatino Linotype"/>
          <w:color w:val="000000"/>
        </w:rPr>
        <w:t xml:space="preserve"> interpuso el recurso de revisión, en contra de la respuesta, señalando como:</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4AEB" w:rsidRPr="00663B2F" w:rsidRDefault="00774AEB" w:rsidP="00774AEB">
      <w:pPr>
        <w:numPr>
          <w:ilvl w:val="0"/>
          <w:numId w:val="1"/>
        </w:numPr>
        <w:spacing w:line="360" w:lineRule="auto"/>
        <w:ind w:left="851" w:right="822" w:firstLine="0"/>
        <w:jc w:val="both"/>
      </w:pPr>
      <w:r w:rsidRPr="00663B2F">
        <w:rPr>
          <w:rFonts w:ascii="Palatino Linotype" w:eastAsia="Palatino Linotype" w:hAnsi="Palatino Linotype" w:cs="Palatino Linotype"/>
          <w:b/>
          <w:bCs/>
        </w:rPr>
        <w:t>Acto impugnado</w:t>
      </w:r>
      <w:r w:rsidRPr="00663B2F">
        <w:rPr>
          <w:rFonts w:ascii="Palatino Linotype" w:eastAsia="Palatino Linotype" w:hAnsi="Palatino Linotype" w:cs="Palatino Linotype"/>
          <w:b/>
          <w:bCs/>
          <w:i/>
          <w:iCs/>
        </w:rPr>
        <w:t>:</w:t>
      </w:r>
      <w:r w:rsidRPr="00663B2F">
        <w:rPr>
          <w:rFonts w:ascii="Palatino Linotype" w:eastAsia="Palatino Linotype" w:hAnsi="Palatino Linotype" w:cs="Palatino Linotype"/>
          <w:i/>
          <w:iCs/>
          <w:color w:val="000000"/>
        </w:rPr>
        <w:t xml:space="preserve"> “</w:t>
      </w:r>
      <w:r w:rsidR="00583691" w:rsidRPr="00663B2F">
        <w:rPr>
          <w:rFonts w:ascii="Palatino Linotype" w:eastAsia="Palatino Linotype" w:hAnsi="Palatino Linotype" w:cs="Palatino Linotype"/>
          <w:i/>
          <w:iCs/>
          <w:color w:val="000000"/>
        </w:rPr>
        <w:t>No dio respuesta, indico que la respuesta estaba en una ligas de una pagina oficial, mismas que no funcionan, caducaron</w:t>
      </w:r>
      <w:r w:rsidRPr="00663B2F">
        <w:rPr>
          <w:rFonts w:ascii="Palatino Linotype" w:eastAsia="Palatino Linotype" w:hAnsi="Palatino Linotype" w:cs="Palatino Linotype"/>
          <w:i/>
          <w:iCs/>
          <w:color w:val="000000"/>
        </w:rPr>
        <w:t xml:space="preserve"> " (Sic)</w:t>
      </w:r>
    </w:p>
    <w:p w:rsidR="00774AEB" w:rsidRPr="00663B2F" w:rsidRDefault="00774AEB" w:rsidP="00774AEB">
      <w:pPr>
        <w:spacing w:line="360" w:lineRule="auto"/>
        <w:ind w:left="851" w:right="822"/>
        <w:jc w:val="both"/>
      </w:pPr>
    </w:p>
    <w:p w:rsidR="00774AEB" w:rsidRPr="00663B2F" w:rsidRDefault="00774AEB" w:rsidP="00774AEB">
      <w:pPr>
        <w:numPr>
          <w:ilvl w:val="0"/>
          <w:numId w:val="1"/>
        </w:numPr>
        <w:spacing w:line="360" w:lineRule="auto"/>
        <w:ind w:left="851" w:right="822" w:firstLine="0"/>
        <w:jc w:val="both"/>
        <w:rPr>
          <w:rFonts w:ascii="Palatino Linotype" w:eastAsia="Palatino Linotype" w:hAnsi="Palatino Linotype" w:cs="Palatino Linotype"/>
        </w:rPr>
      </w:pPr>
      <w:r w:rsidRPr="00663B2F">
        <w:rPr>
          <w:rFonts w:ascii="Palatino Linotype" w:eastAsia="Palatino Linotype" w:hAnsi="Palatino Linotype" w:cs="Palatino Linotype"/>
          <w:b/>
          <w:bCs/>
        </w:rPr>
        <w:t xml:space="preserve">Razones o Motivos de inconformidad: </w:t>
      </w:r>
      <w:r w:rsidRPr="00663B2F">
        <w:rPr>
          <w:rFonts w:ascii="Palatino Linotype" w:eastAsia="Palatino Linotype" w:hAnsi="Palatino Linotype" w:cs="Palatino Linotype"/>
          <w:i/>
          <w:iCs/>
        </w:rPr>
        <w:t>"</w:t>
      </w:r>
      <w:r w:rsidR="00B324C6" w:rsidRPr="00663B2F">
        <w:rPr>
          <w:rFonts w:ascii="Palatino Linotype" w:hAnsi="Palatino Linotype"/>
          <w:i/>
          <w:color w:val="000000"/>
        </w:rPr>
        <w:t>No dio respuesta, indico que la respuesta estaba en una ligas de una pagina oficial, mismas que no funcionan, caducaron</w:t>
      </w:r>
      <w:r w:rsidRPr="00663B2F">
        <w:rPr>
          <w:rFonts w:ascii="Palatino Linotype" w:eastAsia="Palatino Linotype" w:hAnsi="Palatino Linotype" w:cs="Palatino Linotype"/>
          <w:i/>
          <w:iCs/>
        </w:rPr>
        <w:t>" (Sic)</w:t>
      </w:r>
    </w:p>
    <w:p w:rsidR="00774AEB" w:rsidRPr="00663B2F" w:rsidRDefault="00774AEB" w:rsidP="00774AEB">
      <w:pPr>
        <w:spacing w:line="360" w:lineRule="auto"/>
        <w:jc w:val="both"/>
        <w:rPr>
          <w:rFonts w:ascii="Palatino Linotype" w:eastAsia="Palatino Linotype" w:hAnsi="Palatino Linotype" w:cs="Palatino Linotype"/>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Se registró el recurso de revisión bajo el número de expediente al rubro indicado, asimismo con fundamento en lo dispuesto por el artículo 185 fracción I de la </w:t>
      </w:r>
      <w:r w:rsidRPr="00663B2F">
        <w:rPr>
          <w:rFonts w:ascii="Palatino Linotype" w:eastAsia="Palatino Linotype" w:hAnsi="Palatino Linotype" w:cs="Palatino Linotype"/>
          <w:b/>
          <w:bCs/>
          <w:color w:val="000000"/>
        </w:rPr>
        <w:t xml:space="preserve">Ley de Transparencia y Acceso a la Información Pública del Estado de México y Municipios </w:t>
      </w:r>
      <w:r w:rsidRPr="00663B2F">
        <w:rPr>
          <w:rFonts w:ascii="Palatino Linotype" w:eastAsia="Palatino Linotype" w:hAnsi="Palatino Linotype" w:cs="Palatino Linotype"/>
          <w:color w:val="000000"/>
        </w:rPr>
        <w:t xml:space="preserve">se </w:t>
      </w:r>
      <w:r w:rsidRPr="00663B2F">
        <w:rPr>
          <w:rFonts w:ascii="Palatino Linotype" w:eastAsia="Palatino Linotype" w:hAnsi="Palatino Linotype" w:cs="Palatino Linotype"/>
        </w:rPr>
        <w:t>turna</w:t>
      </w:r>
      <w:r w:rsidRPr="00663B2F">
        <w:rPr>
          <w:rFonts w:ascii="Palatino Linotype" w:eastAsia="Palatino Linotype" w:hAnsi="Palatino Linotype" w:cs="Palatino Linotype"/>
          <w:color w:val="000000"/>
        </w:rPr>
        <w:t xml:space="preserve"> a la </w:t>
      </w:r>
      <w:r w:rsidRPr="00663B2F">
        <w:rPr>
          <w:rFonts w:ascii="Palatino Linotype" w:eastAsia="Palatino Linotype" w:hAnsi="Palatino Linotype" w:cs="Palatino Linotype"/>
          <w:b/>
          <w:bCs/>
          <w:color w:val="000000"/>
        </w:rPr>
        <w:t xml:space="preserve">Comisionada María del Rosario Mejía Ayala, </w:t>
      </w:r>
      <w:r w:rsidRPr="00663B2F">
        <w:rPr>
          <w:rFonts w:ascii="Palatino Linotype" w:eastAsia="Palatino Linotype" w:hAnsi="Palatino Linotype" w:cs="Palatino Linotype"/>
        </w:rPr>
        <w:t xml:space="preserve">para </w:t>
      </w:r>
      <w:r w:rsidRPr="00663B2F">
        <w:rPr>
          <w:rFonts w:ascii="Palatino Linotype" w:eastAsia="Palatino Linotype" w:hAnsi="Palatino Linotype" w:cs="Palatino Linotype"/>
          <w:color w:val="000000"/>
        </w:rPr>
        <w:t xml:space="preserve">su análisis. </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rPr>
        <w:lastRenderedPageBreak/>
        <w:t>La</w:t>
      </w:r>
      <w:r w:rsidRPr="00663B2F">
        <w:rPr>
          <w:rFonts w:ascii="Palatino Linotype" w:eastAsia="Palatino Linotype" w:hAnsi="Palatino Linotype" w:cs="Palatino Linotype"/>
          <w:color w:val="000000"/>
        </w:rPr>
        <w:t xml:space="preserve"> Comisionad</w:t>
      </w:r>
      <w:r w:rsidRPr="00663B2F">
        <w:rPr>
          <w:rFonts w:ascii="Palatino Linotype" w:eastAsia="Palatino Linotype" w:hAnsi="Palatino Linotype" w:cs="Palatino Linotype"/>
        </w:rPr>
        <w:t>a</w:t>
      </w:r>
      <w:r w:rsidRPr="00663B2F">
        <w:rPr>
          <w:rFonts w:ascii="Palatino Linotype" w:eastAsia="Palatino Linotype" w:hAnsi="Palatino Linotype" w:cs="Palatino Linotype"/>
          <w:color w:val="000000"/>
        </w:rPr>
        <w:t xml:space="preserve"> Ponente con fundamento en lo dispuesto por el artículo 185 fracción II de la ley de la materia, a través del acuerdo de admisión del </w:t>
      </w:r>
      <w:r w:rsidR="00B324C6" w:rsidRPr="00663B2F">
        <w:rPr>
          <w:rFonts w:ascii="Palatino Linotype" w:eastAsia="Palatino Linotype" w:hAnsi="Palatino Linotype" w:cs="Palatino Linotype"/>
          <w:b/>
          <w:bCs/>
          <w:color w:val="000000"/>
        </w:rPr>
        <w:t>diecisiete</w:t>
      </w:r>
      <w:r w:rsidRPr="00663B2F">
        <w:rPr>
          <w:rFonts w:ascii="Palatino Linotype" w:eastAsia="Palatino Linotype" w:hAnsi="Palatino Linotype" w:cs="Palatino Linotype"/>
          <w:b/>
          <w:bCs/>
          <w:color w:val="000000"/>
        </w:rPr>
        <w:t xml:space="preserve"> de septiembre de dos mil veinticinco</w:t>
      </w:r>
      <w:r w:rsidRPr="00663B2F">
        <w:rPr>
          <w:rFonts w:ascii="Palatino Linotype" w:eastAsia="Palatino Linotype" w:hAnsi="Palatino Linotype" w:cs="Palatino Linotype"/>
          <w:color w:val="000000"/>
        </w:rPr>
        <w:t xml:space="preserve">, puso a disposición de las partes el expediente electrónico vía </w:t>
      </w:r>
      <w:r w:rsidRPr="00663B2F">
        <w:rPr>
          <w:rFonts w:ascii="Palatino Linotype" w:eastAsia="Palatino Linotype" w:hAnsi="Palatino Linotype" w:cs="Palatino Linotype"/>
          <w:b/>
          <w:bCs/>
          <w:color w:val="000000"/>
        </w:rPr>
        <w:t xml:space="preserve">SAIMEX </w:t>
      </w:r>
      <w:r w:rsidRPr="00663B2F">
        <w:rPr>
          <w:rFonts w:ascii="Palatino Linotype" w:eastAsia="Palatino Linotype" w:hAnsi="Palatino Linotype" w:cs="Palatino Linotype"/>
          <w:color w:val="000000"/>
        </w:rPr>
        <w:t xml:space="preserve">a efecto de que en un plazo máximo de siete días </w:t>
      </w:r>
      <w:r w:rsidRPr="00663B2F">
        <w:rPr>
          <w:rFonts w:ascii="Palatino Linotype" w:eastAsia="Palatino Linotype" w:hAnsi="Palatino Linotype" w:cs="Palatino Linotype"/>
        </w:rPr>
        <w:t>manifestara</w:t>
      </w:r>
      <w:r w:rsidRPr="00663B2F">
        <w:rPr>
          <w:rFonts w:ascii="Palatino Linotype" w:eastAsia="Palatino Linotype" w:hAnsi="Palatino Linotype" w:cs="Palatino Linotype"/>
          <w:color w:val="000000"/>
        </w:rPr>
        <w:t xml:space="preserve"> lo que a derecho </w:t>
      </w:r>
      <w:r w:rsidRPr="00663B2F">
        <w:rPr>
          <w:rFonts w:ascii="Palatino Linotype" w:eastAsia="Palatino Linotype" w:hAnsi="Palatino Linotype" w:cs="Palatino Linotype"/>
        </w:rPr>
        <w:t>conviniera</w:t>
      </w:r>
      <w:r w:rsidRPr="00663B2F">
        <w:rPr>
          <w:rFonts w:ascii="Palatino Linotype" w:eastAsia="Palatino Linotype" w:hAnsi="Palatino Linotype" w:cs="Palatino Linotype"/>
          <w:color w:val="000000"/>
        </w:rPr>
        <w:t xml:space="preserve">, </w:t>
      </w:r>
      <w:r w:rsidRPr="00663B2F">
        <w:rPr>
          <w:rFonts w:ascii="Palatino Linotype" w:eastAsia="Palatino Linotype" w:hAnsi="Palatino Linotype" w:cs="Palatino Linotype"/>
        </w:rPr>
        <w:t>ofreciera</w:t>
      </w:r>
      <w:r w:rsidRPr="00663B2F">
        <w:rPr>
          <w:rFonts w:ascii="Palatino Linotype" w:eastAsia="Palatino Linotype" w:hAnsi="Palatino Linotype" w:cs="Palatino Linotype"/>
          <w:color w:val="000000"/>
        </w:rPr>
        <w:t xml:space="preserve"> pruebas y alegatos según corresponda al caso concreto, de esta forma para que el </w:t>
      </w:r>
      <w:r w:rsidRPr="00663B2F">
        <w:rPr>
          <w:rFonts w:ascii="Palatino Linotype" w:eastAsia="Palatino Linotype" w:hAnsi="Palatino Linotype" w:cs="Palatino Linotype"/>
          <w:b/>
          <w:bCs/>
          <w:color w:val="000000"/>
        </w:rPr>
        <w:t>SUJETO OBLIGADO</w:t>
      </w:r>
      <w:r w:rsidRPr="00663B2F">
        <w:rPr>
          <w:rFonts w:ascii="Palatino Linotype" w:eastAsia="Palatino Linotype" w:hAnsi="Palatino Linotype" w:cs="Palatino Linotype"/>
          <w:color w:val="000000"/>
        </w:rPr>
        <w:t xml:space="preserve"> </w:t>
      </w:r>
      <w:r w:rsidRPr="00663B2F">
        <w:rPr>
          <w:rFonts w:ascii="Palatino Linotype" w:eastAsia="Palatino Linotype" w:hAnsi="Palatino Linotype" w:cs="Palatino Linotype"/>
        </w:rPr>
        <w:t>presentará</w:t>
      </w:r>
      <w:r w:rsidRPr="00663B2F">
        <w:rPr>
          <w:rFonts w:ascii="Palatino Linotype" w:eastAsia="Palatino Linotype" w:hAnsi="Palatino Linotype" w:cs="Palatino Linotype"/>
          <w:color w:val="000000"/>
        </w:rPr>
        <w:t xml:space="preserve"> el informe justificado procedente. </w:t>
      </w:r>
    </w:p>
    <w:p w:rsidR="00774AEB" w:rsidRPr="00663B2F" w:rsidRDefault="00774AEB" w:rsidP="00774AEB">
      <w:pPr>
        <w:pBdr>
          <w:top w:val="nil"/>
          <w:left w:val="nil"/>
          <w:bottom w:val="nil"/>
          <w:right w:val="nil"/>
          <w:between w:val="nil"/>
        </w:pBdr>
        <w:ind w:left="720"/>
        <w:rPr>
          <w:rFonts w:ascii="Palatino Linotype" w:eastAsia="Palatino Linotype" w:hAnsi="Palatino Linotype" w:cs="Palatino Linotype"/>
          <w:color w:val="000000"/>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De las constancias del expediente electrónico SAIMEX se advierte que el Recurrente no realizó manifestaciones que a su derecho convinieran; por su parte, el Sujeto Obligado </w:t>
      </w:r>
      <w:r w:rsidR="00B324C6" w:rsidRPr="00663B2F">
        <w:rPr>
          <w:rFonts w:ascii="Palatino Linotype" w:eastAsia="Palatino Linotype" w:hAnsi="Palatino Linotype" w:cs="Palatino Linotype"/>
          <w:color w:val="000000"/>
        </w:rPr>
        <w:t>entregó informe justificado el veinticuatro de septiembre de dos mil veinticinco, mismo que se puso a la vista del Recurrente el dieciséis de abril de dos mil veintiséis y que consta de los archivos que se describen enseguida:</w:t>
      </w:r>
    </w:p>
    <w:p w:rsidR="00B324C6" w:rsidRPr="00663B2F" w:rsidRDefault="004F2BA2" w:rsidP="00406F23">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hyperlink r:id="rId8" w:history="1">
        <w:r w:rsidR="00B324C6" w:rsidRPr="00663B2F">
          <w:rPr>
            <w:rStyle w:val="Hipervnculo"/>
            <w:rFonts w:ascii="Palatino Linotype" w:eastAsia="Calibri" w:hAnsi="Palatino Linotype" w:cs="Arial"/>
            <w:b/>
            <w:bCs/>
            <w:color w:val="auto"/>
          </w:rPr>
          <w:t>Informe Justificado RR 10758.pdf</w:t>
        </w:r>
      </w:hyperlink>
      <w:r w:rsidR="00B324C6" w:rsidRPr="00663B2F">
        <w:rPr>
          <w:rFonts w:ascii="Palatino Linotype" w:hAnsi="Palatino Linotype"/>
        </w:rPr>
        <w:t xml:space="preserve">: oficio número DA/TRANSP/0309/2025 de fecha diecinueve de septiembre de dos mil veinticinco, suscrito por el Servidor Público Habilitado de la Dirección de Administración quien señaló que, </w:t>
      </w:r>
      <w:r w:rsidR="004F7C41" w:rsidRPr="00663B2F">
        <w:rPr>
          <w:rFonts w:ascii="Palatino Linotype" w:hAnsi="Palatino Linotype"/>
        </w:rPr>
        <w:t xml:space="preserve">se puso a la vista del recurrente la información referente a los tabuladores de sueldos del ejercicio fiscal 2021, 2022, 2023, 204 y 2025 a través de dos ligas electrónicas que no están en datos abiertos, asimismo, señaló que se ponen a disposición de Recurrente en formato PDF los tabuladores de sueldos de los ejercicios fiscales 2021, 2022, 2023, 2024 y 2025. </w:t>
      </w:r>
    </w:p>
    <w:p w:rsidR="00B324C6" w:rsidRPr="00663B2F" w:rsidRDefault="004F2BA2" w:rsidP="00B324C6">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hyperlink r:id="rId9" w:history="1">
        <w:r w:rsidR="00B324C6" w:rsidRPr="00663B2F">
          <w:rPr>
            <w:rStyle w:val="Hipervnculo"/>
            <w:rFonts w:ascii="Palatino Linotype" w:eastAsia="Calibri" w:hAnsi="Palatino Linotype" w:cs="Arial"/>
            <w:b/>
            <w:bCs/>
            <w:color w:val="auto"/>
          </w:rPr>
          <w:t>TABULADOR-DE-SUELDOS-2024.pdf</w:t>
        </w:r>
      </w:hyperlink>
      <w:r w:rsidR="00B324C6" w:rsidRPr="00663B2F">
        <w:rPr>
          <w:rFonts w:ascii="Palatino Linotype" w:hAnsi="Palatino Linotype"/>
        </w:rPr>
        <w:t>:</w:t>
      </w:r>
      <w:r w:rsidR="00E16CCA" w:rsidRPr="00663B2F">
        <w:rPr>
          <w:rFonts w:ascii="Palatino Linotype" w:hAnsi="Palatino Linotype"/>
        </w:rPr>
        <w:t xml:space="preserve"> tabulador de sueldos del periodo comprendido del 01 de octubre al 31 de diciembre de 2024. </w:t>
      </w:r>
    </w:p>
    <w:p w:rsidR="00B324C6" w:rsidRPr="00663B2F" w:rsidRDefault="004F2BA2" w:rsidP="00B324C6">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hyperlink r:id="rId10" w:history="1">
        <w:r w:rsidR="00B324C6" w:rsidRPr="00663B2F">
          <w:rPr>
            <w:rStyle w:val="Hipervnculo"/>
            <w:rFonts w:ascii="Palatino Linotype" w:eastAsia="Calibri" w:hAnsi="Palatino Linotype" w:cs="Arial"/>
            <w:b/>
            <w:bCs/>
            <w:color w:val="auto"/>
          </w:rPr>
          <w:t>Tabulador-de-Sueldos-Aytto--2021.pdf</w:t>
        </w:r>
      </w:hyperlink>
      <w:r w:rsidR="00B324C6" w:rsidRPr="00663B2F">
        <w:rPr>
          <w:rFonts w:ascii="Palatino Linotype" w:hAnsi="Palatino Linotype"/>
        </w:rPr>
        <w:t>:</w:t>
      </w:r>
      <w:r w:rsidR="00E16CCA" w:rsidRPr="00663B2F">
        <w:rPr>
          <w:rFonts w:ascii="Palatino Linotype" w:hAnsi="Palatino Linotype"/>
        </w:rPr>
        <w:t xml:space="preserve"> Tabulador de sueldos del 01 de enero al 31 de diciembre de 2021. </w:t>
      </w:r>
    </w:p>
    <w:p w:rsidR="00B324C6" w:rsidRPr="00663B2F" w:rsidRDefault="004F2BA2" w:rsidP="00B324C6">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hyperlink r:id="rId11" w:history="1">
        <w:r w:rsidR="00B324C6" w:rsidRPr="00663B2F">
          <w:rPr>
            <w:rStyle w:val="Hipervnculo"/>
            <w:rFonts w:ascii="Palatino Linotype" w:eastAsia="Calibri" w:hAnsi="Palatino Linotype" w:cs="Arial"/>
            <w:b/>
            <w:bCs/>
            <w:color w:val="auto"/>
          </w:rPr>
          <w:t>TABULADOR-2025.pdf</w:t>
        </w:r>
      </w:hyperlink>
      <w:r w:rsidR="00B324C6" w:rsidRPr="00663B2F">
        <w:rPr>
          <w:rFonts w:ascii="Palatino Linotype" w:hAnsi="Palatino Linotype" w:cs="Arial"/>
        </w:rPr>
        <w:t>:</w:t>
      </w:r>
      <w:r w:rsidR="00E16CCA" w:rsidRPr="00663B2F">
        <w:rPr>
          <w:rFonts w:ascii="Palatino Linotype" w:hAnsi="Palatino Linotype" w:cs="Arial"/>
        </w:rPr>
        <w:t xml:space="preserve"> tabulador de sueldos del 01 de enero al 31 de diciembre de 2025</w:t>
      </w:r>
      <w:r w:rsidR="00406F23" w:rsidRPr="00663B2F">
        <w:rPr>
          <w:rFonts w:ascii="Palatino Linotype" w:hAnsi="Palatino Linotype" w:cs="Arial"/>
        </w:rPr>
        <w:t>.</w:t>
      </w:r>
    </w:p>
    <w:p w:rsidR="00B324C6" w:rsidRPr="00663B2F" w:rsidRDefault="004F2BA2" w:rsidP="00606513">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hyperlink r:id="rId12" w:history="1">
        <w:r w:rsidR="00B324C6" w:rsidRPr="00663B2F">
          <w:rPr>
            <w:rStyle w:val="Hipervnculo"/>
            <w:rFonts w:ascii="Palatino Linotype" w:eastAsia="Calibri" w:hAnsi="Palatino Linotype" w:cs="Arial"/>
            <w:b/>
            <w:bCs/>
            <w:color w:val="auto"/>
          </w:rPr>
          <w:t>Formato-Tabulador-Ejercicio-Fiscal-2022B.pdf</w:t>
        </w:r>
      </w:hyperlink>
      <w:r w:rsidR="00B324C6" w:rsidRPr="00663B2F">
        <w:rPr>
          <w:rFonts w:ascii="Palatino Linotype" w:hAnsi="Palatino Linotype"/>
        </w:rPr>
        <w:t>:</w:t>
      </w:r>
      <w:r w:rsidR="00E16CCA" w:rsidRPr="00663B2F">
        <w:rPr>
          <w:rFonts w:ascii="Palatino Linotype" w:hAnsi="Palatino Linotype"/>
        </w:rPr>
        <w:t xml:space="preserve"> </w:t>
      </w:r>
      <w:r w:rsidR="00061B95" w:rsidRPr="00663B2F">
        <w:rPr>
          <w:rFonts w:ascii="Palatino Linotype" w:hAnsi="Palatino Linotype"/>
        </w:rPr>
        <w:t>Tabulador de sueldos del 01 de enero al 31 de diciembre</w:t>
      </w:r>
      <w:r w:rsidR="00406F23" w:rsidRPr="00663B2F">
        <w:rPr>
          <w:rFonts w:ascii="Palatino Linotype" w:hAnsi="Palatino Linotype"/>
        </w:rPr>
        <w:t xml:space="preserve"> de 2022. </w:t>
      </w:r>
    </w:p>
    <w:p w:rsidR="00B324C6" w:rsidRPr="00663B2F" w:rsidRDefault="004F2BA2" w:rsidP="00B324C6">
      <w:pPr>
        <w:pStyle w:val="Prrafodelista"/>
        <w:numPr>
          <w:ilvl w:val="0"/>
          <w:numId w:val="10"/>
        </w:numPr>
        <w:pBdr>
          <w:top w:val="nil"/>
          <w:left w:val="nil"/>
          <w:bottom w:val="nil"/>
          <w:right w:val="nil"/>
          <w:between w:val="nil"/>
        </w:pBdr>
        <w:spacing w:line="360" w:lineRule="auto"/>
        <w:jc w:val="both"/>
        <w:rPr>
          <w:rFonts w:ascii="Palatino Linotype" w:eastAsia="Palatino Linotype" w:hAnsi="Palatino Linotype" w:cs="Palatino Linotype"/>
        </w:rPr>
      </w:pPr>
      <w:hyperlink r:id="rId13" w:history="1">
        <w:r w:rsidR="00B324C6" w:rsidRPr="00663B2F">
          <w:rPr>
            <w:rStyle w:val="Hipervnculo"/>
            <w:rFonts w:ascii="Palatino Linotype" w:eastAsia="Calibri" w:hAnsi="Palatino Linotype" w:cs="Arial"/>
            <w:b/>
            <w:bCs/>
            <w:color w:val="auto"/>
          </w:rPr>
          <w:t>Tabulador-2023B.pdf</w:t>
        </w:r>
      </w:hyperlink>
      <w:r w:rsidR="00B324C6" w:rsidRPr="00663B2F">
        <w:rPr>
          <w:rFonts w:ascii="Palatino Linotype" w:hAnsi="Palatino Linotype"/>
        </w:rPr>
        <w:t xml:space="preserve">: </w:t>
      </w:r>
      <w:r w:rsidR="00061B95" w:rsidRPr="00663B2F">
        <w:rPr>
          <w:rFonts w:ascii="Palatino Linotype" w:hAnsi="Palatino Linotype"/>
        </w:rPr>
        <w:t xml:space="preserve">Tabulador de sueldos del 01 de enero al 31 de diciembre de 2023. </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El </w:t>
      </w:r>
      <w:r w:rsidRPr="00663B2F">
        <w:rPr>
          <w:rFonts w:ascii="Palatino Linotype" w:eastAsia="Palatino Linotype" w:hAnsi="Palatino Linotype" w:cs="Palatino Linotype"/>
          <w:b/>
          <w:bCs/>
          <w:color w:val="000000"/>
        </w:rPr>
        <w:t>veintiséis de enero de dos mil veintiséis</w:t>
      </w:r>
      <w:r w:rsidRPr="00663B2F">
        <w:rPr>
          <w:rFonts w:ascii="Palatino Linotype" w:eastAsia="Palatino Linotype" w:hAnsi="Palatino Linotype" w:cs="Palatino Linotype"/>
          <w:color w:val="000000"/>
        </w:rPr>
        <w:t xml:space="preserve">, se notificó el acuerdo mediante el cual se aprobó la ampliación de plazo para emitir resolución. </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La Comisionada Ponente decretó el cierre de instrucción mediante el acuerdo del </w:t>
      </w:r>
      <w:r w:rsidR="00061B95" w:rsidRPr="00663B2F">
        <w:rPr>
          <w:rFonts w:ascii="Palatino Linotype" w:eastAsia="Palatino Linotype" w:hAnsi="Palatino Linotype" w:cs="Palatino Linotype"/>
          <w:b/>
          <w:bCs/>
          <w:color w:val="000000"/>
        </w:rPr>
        <w:t>catorce</w:t>
      </w:r>
      <w:r w:rsidRPr="00663B2F">
        <w:rPr>
          <w:rFonts w:ascii="Palatino Linotype" w:eastAsia="Palatino Linotype" w:hAnsi="Palatino Linotype" w:cs="Palatino Linotype"/>
          <w:b/>
          <w:bCs/>
          <w:color w:val="000000"/>
        </w:rPr>
        <w:t xml:space="preserve"> de mayo de dos mil veintiséis.</w:t>
      </w:r>
    </w:p>
    <w:p w:rsidR="00774AEB" w:rsidRPr="00663B2F" w:rsidRDefault="00774AEB" w:rsidP="00774AEB">
      <w:pPr>
        <w:spacing w:line="360" w:lineRule="auto"/>
        <w:rPr>
          <w:rFonts w:ascii="Palatino Linotype" w:eastAsia="Palatino Linotype" w:hAnsi="Palatino Linotype" w:cs="Palatino Linotype"/>
        </w:rPr>
      </w:pPr>
    </w:p>
    <w:p w:rsidR="00774AEB" w:rsidRPr="00663B2F" w:rsidRDefault="00774AEB" w:rsidP="00774AEB">
      <w:pPr>
        <w:spacing w:line="360" w:lineRule="auto"/>
        <w:jc w:val="center"/>
        <w:rPr>
          <w:rFonts w:ascii="Palatino Linotype" w:eastAsia="Palatino Linotype" w:hAnsi="Palatino Linotype" w:cs="Palatino Linotype"/>
        </w:rPr>
      </w:pPr>
      <w:bookmarkStart w:id="2" w:name="_heading=h.1fob9te" w:colFirst="0" w:colLast="0"/>
      <w:bookmarkEnd w:id="2"/>
      <w:r w:rsidRPr="00663B2F">
        <w:rPr>
          <w:rFonts w:ascii="Palatino Linotype" w:eastAsia="Palatino Linotype" w:hAnsi="Palatino Linotype" w:cs="Palatino Linotype"/>
          <w:b/>
          <w:bCs/>
        </w:rPr>
        <w:t>C O N S I D E R A N D O</w:t>
      </w:r>
    </w:p>
    <w:p w:rsidR="00774AEB" w:rsidRPr="00663B2F" w:rsidRDefault="00774AEB" w:rsidP="00774AEB">
      <w:pPr>
        <w:spacing w:line="360" w:lineRule="auto"/>
        <w:jc w:val="center"/>
        <w:rPr>
          <w:rFonts w:ascii="Palatino Linotype" w:eastAsia="Palatino Linotype" w:hAnsi="Palatino Linotype" w:cs="Palatino Linotype"/>
        </w:rPr>
      </w:pPr>
    </w:p>
    <w:p w:rsidR="00774AEB" w:rsidRPr="00663B2F" w:rsidRDefault="00774AEB" w:rsidP="00774AEB">
      <w:pPr>
        <w:spacing w:line="360" w:lineRule="auto"/>
        <w:jc w:val="both"/>
        <w:rPr>
          <w:rFonts w:ascii="Palatino Linotype" w:eastAsia="Palatino Linotype" w:hAnsi="Palatino Linotype" w:cs="Palatino Linotype"/>
          <w:b/>
          <w:bCs/>
        </w:rPr>
      </w:pPr>
      <w:bookmarkStart w:id="3" w:name="_heading=h.3znysh7" w:colFirst="0" w:colLast="0"/>
      <w:bookmarkEnd w:id="3"/>
      <w:r w:rsidRPr="00663B2F">
        <w:rPr>
          <w:rFonts w:ascii="Palatino Linotype" w:eastAsia="Palatino Linotype" w:hAnsi="Palatino Linotype" w:cs="Palatino Linotype"/>
          <w:b/>
          <w:bCs/>
        </w:rPr>
        <w:t>PRIMERO. De la competencia</w:t>
      </w:r>
    </w:p>
    <w:p w:rsidR="00774AEB" w:rsidRPr="00663B2F" w:rsidRDefault="00774AEB" w:rsidP="00774AEB">
      <w:pPr>
        <w:numPr>
          <w:ilvl w:val="0"/>
          <w:numId w:val="2"/>
        </w:numPr>
        <w:pBdr>
          <w:top w:val="nil"/>
          <w:left w:val="nil"/>
          <w:bottom w:val="nil"/>
          <w:right w:val="nil"/>
          <w:between w:val="nil"/>
        </w:pBdr>
        <w:spacing w:before="240"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noveno, cuadragésimo y cuadragésimo primero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XXIII, y 11 del Reglamento Interior del Instituto de Transparencia, Acceso a la Información Pública y Protección de Datos Personales del Estado de México y Municipios. </w:t>
      </w:r>
    </w:p>
    <w:p w:rsidR="00774AEB" w:rsidRPr="00663B2F" w:rsidRDefault="00774AEB" w:rsidP="00774AEB">
      <w:pPr>
        <w:pBdr>
          <w:top w:val="nil"/>
          <w:left w:val="nil"/>
          <w:bottom w:val="nil"/>
          <w:right w:val="nil"/>
          <w:between w:val="nil"/>
        </w:pBdr>
        <w:spacing w:before="240" w:line="360" w:lineRule="auto"/>
        <w:jc w:val="both"/>
        <w:rPr>
          <w:rFonts w:ascii="Palatino Linotype" w:eastAsia="Palatino Linotype" w:hAnsi="Palatino Linotype" w:cs="Palatino Linotype"/>
          <w:color w:val="000000"/>
        </w:rPr>
      </w:pPr>
    </w:p>
    <w:p w:rsidR="00774AEB" w:rsidRPr="00663B2F" w:rsidRDefault="00774AEB" w:rsidP="00774AEB">
      <w:pPr>
        <w:keepNext/>
        <w:keepLines/>
        <w:spacing w:line="360" w:lineRule="auto"/>
        <w:rPr>
          <w:rFonts w:ascii="Palatino Linotype" w:eastAsia="Palatino Linotype" w:hAnsi="Palatino Linotype" w:cs="Palatino Linotype"/>
          <w:b/>
          <w:bCs/>
        </w:rPr>
      </w:pPr>
      <w:bookmarkStart w:id="4" w:name="_heading=h.2et92p0" w:colFirst="0" w:colLast="0"/>
      <w:bookmarkEnd w:id="4"/>
      <w:r w:rsidRPr="00663B2F">
        <w:rPr>
          <w:rFonts w:ascii="Palatino Linotype" w:eastAsia="Palatino Linotype" w:hAnsi="Palatino Linotype" w:cs="Palatino Linotype"/>
          <w:b/>
          <w:bCs/>
        </w:rPr>
        <w:lastRenderedPageBreak/>
        <w:t>SEGUNDO. De la oportunidad y procedencia.</w:t>
      </w: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El medio de impugnación fue presentado a través del </w:t>
      </w:r>
      <w:r w:rsidRPr="00663B2F">
        <w:rPr>
          <w:rFonts w:ascii="Palatino Linotype" w:eastAsia="Palatino Linotype" w:hAnsi="Palatino Linotype" w:cs="Palatino Linotype"/>
          <w:b/>
          <w:bCs/>
          <w:color w:val="000000"/>
        </w:rPr>
        <w:t>SAIMEX,</w:t>
      </w:r>
      <w:r w:rsidRPr="00663B2F">
        <w:rPr>
          <w:rFonts w:ascii="Palatino Linotype" w:eastAsia="Palatino Linotype" w:hAnsi="Palatino Linotype" w:cs="Palatino Linotype"/>
          <w:color w:val="000000"/>
        </w:rPr>
        <w:t xml:space="preserve"> en el formato previamente aprobado para tal efecto y dentro del plazo legal de quince días hábiles otorgados; siendo así que el </w:t>
      </w:r>
      <w:r w:rsidRPr="00663B2F">
        <w:rPr>
          <w:rFonts w:ascii="Palatino Linotype" w:eastAsia="Palatino Linotype" w:hAnsi="Palatino Linotype" w:cs="Palatino Linotype"/>
          <w:b/>
          <w:bCs/>
          <w:color w:val="000000"/>
        </w:rPr>
        <w:t>SUJETO OBLIGADO</w:t>
      </w:r>
      <w:r w:rsidRPr="00663B2F">
        <w:rPr>
          <w:rFonts w:ascii="Palatino Linotype" w:eastAsia="Palatino Linotype" w:hAnsi="Palatino Linotype" w:cs="Palatino Linotype"/>
          <w:color w:val="000000"/>
        </w:rPr>
        <w:t xml:space="preserve"> entregó respuesta a la solicitud el día </w:t>
      </w:r>
      <w:r w:rsidR="00061B95" w:rsidRPr="00663B2F">
        <w:rPr>
          <w:rFonts w:ascii="Palatino Linotype" w:eastAsia="Palatino Linotype" w:hAnsi="Palatino Linotype" w:cs="Palatino Linotype"/>
          <w:b/>
          <w:bCs/>
          <w:color w:val="000000"/>
        </w:rPr>
        <w:t xml:space="preserve"> nueve</w:t>
      </w:r>
      <w:r w:rsidRPr="00663B2F">
        <w:rPr>
          <w:rFonts w:ascii="Palatino Linotype" w:eastAsia="Palatino Linotype" w:hAnsi="Palatino Linotype" w:cs="Palatino Linotype"/>
          <w:b/>
          <w:bCs/>
          <w:color w:val="000000"/>
        </w:rPr>
        <w:t xml:space="preserve"> de septiembre de dos mil veinticinco</w:t>
      </w:r>
      <w:r w:rsidRPr="00663B2F">
        <w:rPr>
          <w:rFonts w:ascii="Palatino Linotype" w:eastAsia="Palatino Linotype" w:hAnsi="Palatino Linotype" w:cs="Palatino Linotype"/>
          <w:color w:val="000000"/>
        </w:rPr>
        <w:t>, de tal forma que el plazo para interponer el recurso de revisión transcurrió del</w:t>
      </w:r>
      <w:r w:rsidRPr="00663B2F">
        <w:rPr>
          <w:rFonts w:ascii="Palatino Linotype" w:eastAsia="Palatino Linotype" w:hAnsi="Palatino Linotype" w:cs="Palatino Linotype"/>
          <w:b/>
          <w:bCs/>
          <w:color w:val="000000"/>
        </w:rPr>
        <w:t xml:space="preserve"> </w:t>
      </w:r>
      <w:r w:rsidR="00061B95" w:rsidRPr="00663B2F">
        <w:rPr>
          <w:rFonts w:ascii="Palatino Linotype" w:eastAsia="Palatino Linotype" w:hAnsi="Palatino Linotype" w:cs="Palatino Linotype"/>
          <w:b/>
          <w:bCs/>
          <w:color w:val="000000"/>
        </w:rPr>
        <w:t>diez de septiembre al primero de octubre</w:t>
      </w:r>
      <w:r w:rsidRPr="00663B2F">
        <w:rPr>
          <w:rFonts w:ascii="Palatino Linotype" w:eastAsia="Palatino Linotype" w:hAnsi="Palatino Linotype" w:cs="Palatino Linotype"/>
          <w:b/>
          <w:bCs/>
          <w:color w:val="000000"/>
        </w:rPr>
        <w:t xml:space="preserve"> de dos mil veinticinco</w:t>
      </w:r>
      <w:r w:rsidRPr="00663B2F">
        <w:rPr>
          <w:rFonts w:ascii="Palatino Linotype" w:eastAsia="Palatino Linotype" w:hAnsi="Palatino Linotype" w:cs="Palatino Linotype"/>
          <w:color w:val="000000"/>
        </w:rPr>
        <w:t xml:space="preserve">; en consecuencia, presentó su inconformidad el día </w:t>
      </w:r>
      <w:r w:rsidR="00061B95" w:rsidRPr="00663B2F">
        <w:rPr>
          <w:rFonts w:ascii="Palatino Linotype" w:eastAsia="Palatino Linotype" w:hAnsi="Palatino Linotype" w:cs="Palatino Linotype"/>
          <w:b/>
          <w:bCs/>
          <w:color w:val="000000"/>
        </w:rPr>
        <w:t>once</w:t>
      </w:r>
      <w:r w:rsidRPr="00663B2F">
        <w:rPr>
          <w:rFonts w:ascii="Palatino Linotype" w:eastAsia="Palatino Linotype" w:hAnsi="Palatino Linotype" w:cs="Palatino Linotype"/>
          <w:b/>
          <w:bCs/>
          <w:color w:val="000000"/>
        </w:rPr>
        <w:t xml:space="preserve"> de septiembre de dos mil veinticinco</w:t>
      </w:r>
      <w:r w:rsidRPr="00663B2F">
        <w:rPr>
          <w:rFonts w:ascii="Palatino Linotype" w:eastAsia="Palatino Linotype" w:hAnsi="Palatino Linotype" w:cs="Palatino Linotype"/>
          <w:color w:val="000000"/>
        </w:rPr>
        <w:t xml:space="preserve">, por lo que se encuentra dentro de los márgenes temporales previstos en el artículo 178 de la </w:t>
      </w:r>
      <w:r w:rsidRPr="00663B2F">
        <w:rPr>
          <w:rFonts w:ascii="Palatino Linotype" w:eastAsia="Palatino Linotype" w:hAnsi="Palatino Linotype" w:cs="Palatino Linotype"/>
          <w:b/>
          <w:bCs/>
          <w:color w:val="000000"/>
        </w:rPr>
        <w:t xml:space="preserve">Ley de Transparencia y Acceso a la Información Pública del Estado de México y Municipios </w:t>
      </w:r>
      <w:r w:rsidRPr="00663B2F">
        <w:rPr>
          <w:rFonts w:ascii="Palatino Linotype" w:eastAsia="Palatino Linotype" w:hAnsi="Palatino Linotype" w:cs="Palatino Linotype"/>
          <w:color w:val="000000"/>
        </w:rPr>
        <w:t>vigente.</w:t>
      </w:r>
    </w:p>
    <w:p w:rsidR="00774AEB" w:rsidRPr="00663B2F" w:rsidRDefault="00774AEB" w:rsidP="00774AEB">
      <w:pPr>
        <w:rPr>
          <w:rFonts w:ascii="Palatino Linotype" w:eastAsia="Palatino Linotype" w:hAnsi="Palatino Linotype" w:cs="Palatino Linotype"/>
          <w:color w:val="000000"/>
        </w:rPr>
      </w:pP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Por otro lado,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774AEB" w:rsidRPr="00663B2F" w:rsidRDefault="00774AEB" w:rsidP="00774AEB">
      <w:pPr>
        <w:pStyle w:val="Ttulo1"/>
        <w:spacing w:line="360" w:lineRule="auto"/>
        <w:rPr>
          <w:rFonts w:ascii="Palatino Linotype" w:eastAsia="Palatino Linotype" w:hAnsi="Palatino Linotype" w:cs="Palatino Linotype"/>
          <w:b/>
          <w:bCs/>
          <w:i/>
          <w:iCs/>
          <w:color w:val="000000"/>
          <w:sz w:val="24"/>
          <w:szCs w:val="24"/>
        </w:rPr>
      </w:pPr>
      <w:r w:rsidRPr="00663B2F">
        <w:rPr>
          <w:rFonts w:ascii="Palatino Linotype" w:eastAsia="Palatino Linotype" w:hAnsi="Palatino Linotype" w:cs="Palatino Linotype"/>
          <w:b/>
          <w:bCs/>
          <w:color w:val="000000"/>
          <w:sz w:val="24"/>
          <w:szCs w:val="24"/>
        </w:rPr>
        <w:t>TERCERO. Del planteamiento de la Litis</w:t>
      </w:r>
    </w:p>
    <w:p w:rsidR="00774AEB" w:rsidRPr="00663B2F" w:rsidRDefault="00774AEB" w:rsidP="00774AEB">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663B2F">
        <w:rPr>
          <w:rFonts w:ascii="Palatino Linotype" w:eastAsia="Palatino Linotype" w:hAnsi="Palatino Linotype" w:cs="Palatino Linotype"/>
          <w:color w:val="000000"/>
        </w:rPr>
        <w:t xml:space="preserve">El particular solicitó </w:t>
      </w:r>
      <w:r w:rsidR="00061B95" w:rsidRPr="00663B2F">
        <w:rPr>
          <w:rFonts w:ascii="Palatino Linotype" w:eastAsia="Palatino Linotype" w:hAnsi="Palatino Linotype" w:cs="Palatino Linotype"/>
          <w:color w:val="000000"/>
        </w:rPr>
        <w:t xml:space="preserve">de los ejercicios fiscales 2021, 2022, 2023, 2024 y 2025, el tabulador de sueldos, contrato colectivo de trabajo, presupuesto anual del capítulo 1000 por partida y plazas, presupuesto </w:t>
      </w:r>
      <w:r w:rsidR="00D02B11" w:rsidRPr="00663B2F">
        <w:rPr>
          <w:rFonts w:ascii="Palatino Linotype" w:eastAsia="Palatino Linotype" w:hAnsi="Palatino Linotype" w:cs="Palatino Linotype"/>
          <w:color w:val="000000"/>
        </w:rPr>
        <w:t xml:space="preserve">de egresos global calendarizado. </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D02B11" w:rsidRPr="00663B2F" w:rsidRDefault="00774AEB" w:rsidP="00D02B11">
      <w:pPr>
        <w:numPr>
          <w:ilvl w:val="0"/>
          <w:numId w:val="2"/>
        </w:numPr>
        <w:spacing w:line="360" w:lineRule="auto"/>
        <w:ind w:left="0" w:firstLine="0"/>
        <w:jc w:val="both"/>
        <w:rPr>
          <w:rFonts w:ascii="Palatino Linotype" w:eastAsia="Palatino Linotype" w:hAnsi="Palatino Linotype" w:cs="Palatino Linotype"/>
        </w:rPr>
      </w:pPr>
      <w:r w:rsidRPr="00663B2F">
        <w:rPr>
          <w:rFonts w:ascii="Palatino Linotype" w:eastAsia="Palatino Linotype" w:hAnsi="Palatino Linotype" w:cs="Palatino Linotype"/>
        </w:rPr>
        <w:t xml:space="preserve">En respuesta, el Sujeto Obligado </w:t>
      </w:r>
      <w:r w:rsidR="00D02B11" w:rsidRPr="00663B2F">
        <w:rPr>
          <w:rFonts w:ascii="Palatino Linotype" w:eastAsia="Palatino Linotype" w:hAnsi="Palatino Linotype" w:cs="Palatino Linotype"/>
        </w:rPr>
        <w:t xml:space="preserve">a través de la Dirección de Administración entregó dos ligas electrónicas en las que señaló se localizan los tabuladores de sueldos requeridos, señaló que no hay un contrato colectivos de trabajo y en cuanto al presupuesto anual por capítulo y presupuesto de egresos calendarizado señaló que no está dentro de sus atribuciones. </w:t>
      </w:r>
      <w:r w:rsidR="00D02B11" w:rsidRPr="00663B2F">
        <w:rPr>
          <w:rFonts w:ascii="Palatino Linotype" w:eastAsia="Palatino Linotype" w:hAnsi="Palatino Linotype" w:cs="Palatino Linotype"/>
        </w:rPr>
        <w:lastRenderedPageBreak/>
        <w:t xml:space="preserve">Posteriormente, el Recurrente se inconformó por que las ligas electrónicas que le entregaron no funcionan. </w:t>
      </w:r>
    </w:p>
    <w:p w:rsidR="00D02B11" w:rsidRPr="00663B2F" w:rsidRDefault="00D02B11" w:rsidP="00D02B11">
      <w:pPr>
        <w:pStyle w:val="Prrafodelista"/>
        <w:rPr>
          <w:rFonts w:ascii="Palatino Linotype" w:eastAsia="Palatino Linotype" w:hAnsi="Palatino Linotype" w:cs="Palatino Linotype"/>
        </w:rPr>
      </w:pPr>
    </w:p>
    <w:p w:rsidR="00774AEB" w:rsidRPr="00663B2F" w:rsidRDefault="00774AEB" w:rsidP="00D02B11">
      <w:pPr>
        <w:numPr>
          <w:ilvl w:val="0"/>
          <w:numId w:val="2"/>
        </w:numPr>
        <w:spacing w:line="360" w:lineRule="auto"/>
        <w:ind w:left="0" w:firstLine="0"/>
        <w:jc w:val="both"/>
        <w:rPr>
          <w:rFonts w:ascii="Palatino Linotype" w:eastAsia="Palatino Linotype" w:hAnsi="Palatino Linotype" w:cs="Palatino Linotype"/>
        </w:rPr>
      </w:pPr>
      <w:r w:rsidRPr="00663B2F">
        <w:rPr>
          <w:rFonts w:ascii="Palatino Linotype" w:eastAsia="Palatino Linotype" w:hAnsi="Palatino Linotype" w:cs="Palatino Linotype"/>
        </w:rPr>
        <w:t>En consecuencia, la Litis a resolver en este recurso, se circunscribe a determinar si la respuesta colma con lo solicitado o si se actualiza la causal de procedencia previst</w:t>
      </w:r>
      <w:r w:rsidR="00D02B11" w:rsidRPr="00663B2F">
        <w:rPr>
          <w:rFonts w:ascii="Palatino Linotype" w:eastAsia="Palatino Linotype" w:hAnsi="Palatino Linotype" w:cs="Palatino Linotype"/>
        </w:rPr>
        <w:t>a en el artículo 179, fracción IX</w:t>
      </w:r>
      <w:r w:rsidRPr="00663B2F">
        <w:rPr>
          <w:rFonts w:ascii="Palatino Linotype" w:eastAsia="Palatino Linotype" w:hAnsi="Palatino Linotype" w:cs="Palatino Linotype"/>
        </w:rPr>
        <w:t xml:space="preserve"> de la Ley de Transparencia y Acceso a la Información Pública del Estado de México y Municipios; que est</w:t>
      </w:r>
      <w:r w:rsidR="00D02B11" w:rsidRPr="00663B2F">
        <w:rPr>
          <w:rFonts w:ascii="Palatino Linotype" w:eastAsia="Palatino Linotype" w:hAnsi="Palatino Linotype" w:cs="Palatino Linotype"/>
        </w:rPr>
        <w:t>ablece la entrega o puesta a disposición de información en un formato incomprensible y/o no accesible para el solicitante</w:t>
      </w:r>
      <w:r w:rsidRPr="00663B2F">
        <w:rPr>
          <w:rFonts w:ascii="Palatino Linotype" w:eastAsia="Palatino Linotype" w:hAnsi="Palatino Linotype" w:cs="Palatino Linotype"/>
        </w:rPr>
        <w:t xml:space="preserve">.  </w:t>
      </w:r>
    </w:p>
    <w:p w:rsidR="00774AEB" w:rsidRPr="00663B2F" w:rsidRDefault="00774AEB" w:rsidP="00774AEB">
      <w:pPr>
        <w:pStyle w:val="Ttulo1"/>
        <w:spacing w:line="360" w:lineRule="auto"/>
        <w:rPr>
          <w:rFonts w:ascii="Palatino Linotype" w:eastAsia="Palatino Linotype" w:hAnsi="Palatino Linotype" w:cs="Palatino Linotype"/>
          <w:b/>
          <w:bCs/>
          <w:color w:val="000000"/>
          <w:sz w:val="24"/>
          <w:szCs w:val="24"/>
        </w:rPr>
      </w:pPr>
      <w:bookmarkStart w:id="5" w:name="_heading=h.3dy6vkm" w:colFirst="0" w:colLast="0"/>
      <w:bookmarkEnd w:id="5"/>
      <w:r w:rsidRPr="00663B2F">
        <w:rPr>
          <w:rFonts w:ascii="Palatino Linotype" w:eastAsia="Palatino Linotype" w:hAnsi="Palatino Linotype" w:cs="Palatino Linotype"/>
          <w:b/>
          <w:bCs/>
          <w:color w:val="000000"/>
          <w:sz w:val="24"/>
          <w:szCs w:val="24"/>
        </w:rPr>
        <w:t xml:space="preserve">CUARTO. Estudio y resolución del recurso de revisión. </w:t>
      </w:r>
    </w:p>
    <w:p w:rsidR="00774AEB" w:rsidRPr="00663B2F" w:rsidRDefault="00774AEB" w:rsidP="00774AEB">
      <w:pPr>
        <w:numPr>
          <w:ilvl w:val="0"/>
          <w:numId w:val="2"/>
        </w:numPr>
        <w:pBdr>
          <w:top w:val="nil"/>
          <w:left w:val="nil"/>
          <w:bottom w:val="nil"/>
          <w:right w:val="nil"/>
          <w:between w:val="nil"/>
        </w:pBdr>
        <w:tabs>
          <w:tab w:val="left" w:pos="567"/>
        </w:tabs>
        <w:spacing w:line="360" w:lineRule="auto"/>
        <w:ind w:left="0"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Consecuentemente y derivado del Planteamiento de la Litis, se procede analizar el contenido íntegro de las actuaciones que obran en el expediente electrónico, y así este Órgano Garante dicte la resolución correspondiente, tomando en consideración los elementos aportados por las partes y apegándose en todo momento al principio de máxima publicidad de acuerdo con lo establecido en el artículo 8 de la </w:t>
      </w:r>
      <w:r w:rsidRPr="00663B2F">
        <w:rPr>
          <w:rFonts w:ascii="Palatino Linotype" w:eastAsia="Palatino Linotype" w:hAnsi="Palatino Linotype" w:cs="Palatino Linotype"/>
          <w:b/>
          <w:bCs/>
          <w:color w:val="000000"/>
        </w:rPr>
        <w:t>Ley de Transparencia y Acceso a la Información Pública del Estado de México y Municipios</w:t>
      </w:r>
      <w:r w:rsidRPr="00663B2F">
        <w:rPr>
          <w:rFonts w:ascii="Palatino Linotype" w:eastAsia="Palatino Linotype" w:hAnsi="Palatino Linotype" w:cs="Palatino Linotype"/>
          <w:color w:val="000000"/>
        </w:rPr>
        <w:t>.</w:t>
      </w:r>
    </w:p>
    <w:p w:rsidR="00774AEB" w:rsidRPr="00663B2F" w:rsidRDefault="00774AEB" w:rsidP="00774AEB">
      <w:pPr>
        <w:spacing w:line="360" w:lineRule="auto"/>
        <w:jc w:val="both"/>
        <w:rPr>
          <w:rFonts w:ascii="Palatino Linotype" w:eastAsia="Palatino Linotype" w:hAnsi="Palatino Linotype" w:cs="Palatino Linotype"/>
        </w:rPr>
      </w:pPr>
      <w:bookmarkStart w:id="6" w:name="_heading=h.4d34og8" w:colFirst="0" w:colLast="0"/>
      <w:bookmarkEnd w:id="6"/>
    </w:p>
    <w:p w:rsidR="00774AEB" w:rsidRPr="00663B2F" w:rsidRDefault="00774AEB" w:rsidP="00774AEB">
      <w:pPr>
        <w:numPr>
          <w:ilvl w:val="0"/>
          <w:numId w:val="2"/>
        </w:numPr>
        <w:tabs>
          <w:tab w:val="left" w:pos="0"/>
          <w:tab w:val="left" w:pos="567"/>
        </w:tabs>
        <w:spacing w:after="240" w:line="360" w:lineRule="auto"/>
        <w:ind w:left="0" w:firstLine="0"/>
        <w:jc w:val="both"/>
        <w:rPr>
          <w:rFonts w:ascii="Palatino Linotype" w:eastAsia="Palatino Linotype" w:hAnsi="Palatino Linotype" w:cs="Palatino Linotype"/>
        </w:rPr>
      </w:pPr>
      <w:r w:rsidRPr="00663B2F">
        <w:rPr>
          <w:rFonts w:ascii="Palatino Linotype" w:eastAsia="Palatino Linotype" w:hAnsi="Palatino Linotype" w:cs="Palatino Linotype"/>
          <w:color w:val="000000"/>
        </w:rPr>
        <w:t xml:space="preserve">Así, este Instituto de Transparencia, de conformidad con los principios de eficacia y profesionalismo, procederá a verificar la información remitida por el </w:t>
      </w:r>
      <w:r w:rsidRPr="00663B2F">
        <w:rPr>
          <w:rFonts w:ascii="Palatino Linotype" w:eastAsia="Palatino Linotype" w:hAnsi="Palatino Linotype" w:cs="Palatino Linotype"/>
          <w:b/>
          <w:bCs/>
          <w:color w:val="000000"/>
        </w:rPr>
        <w:t>SUJETO OBLIGADO y</w:t>
      </w:r>
      <w:r w:rsidRPr="00663B2F">
        <w:rPr>
          <w:rFonts w:ascii="Palatino Linotype" w:eastAsia="Palatino Linotype" w:hAnsi="Palatino Linotype" w:cs="Palatino Linotype"/>
          <w:color w:val="000000"/>
        </w:rPr>
        <w:t xml:space="preserve"> las manifestaciones realizadas por el </w:t>
      </w:r>
      <w:r w:rsidRPr="00663B2F">
        <w:rPr>
          <w:rFonts w:ascii="Palatino Linotype" w:eastAsia="Palatino Linotype" w:hAnsi="Palatino Linotype" w:cs="Palatino Linotype"/>
          <w:b/>
          <w:bCs/>
        </w:rPr>
        <w:t>SOLICITANTE</w:t>
      </w:r>
      <w:r w:rsidRPr="00663B2F">
        <w:rPr>
          <w:rFonts w:ascii="Palatino Linotype" w:eastAsia="Palatino Linotype" w:hAnsi="Palatino Linotype" w:cs="Palatino Linotype"/>
          <w:b/>
          <w:bCs/>
          <w:color w:val="000000"/>
        </w:rPr>
        <w:t xml:space="preserve"> </w:t>
      </w:r>
      <w:r w:rsidRPr="00663B2F">
        <w:rPr>
          <w:rFonts w:ascii="Palatino Linotype" w:eastAsia="Palatino Linotype" w:hAnsi="Palatino Linotype" w:cs="Palatino Linotype"/>
          <w:color w:val="000000"/>
        </w:rPr>
        <w:t xml:space="preserve">a efecto de determinar si la información remitida se encuentra apegada a lo que establece la Ley en materia de Transparencia. </w:t>
      </w:r>
    </w:p>
    <w:p w:rsidR="00774AEB" w:rsidRPr="00663B2F" w:rsidRDefault="00774AEB" w:rsidP="00774AEB">
      <w:pPr>
        <w:pBdr>
          <w:top w:val="nil"/>
          <w:left w:val="nil"/>
          <w:bottom w:val="nil"/>
          <w:right w:val="nil"/>
          <w:between w:val="nil"/>
        </w:pBdr>
        <w:ind w:left="720"/>
        <w:rPr>
          <w:rFonts w:ascii="Palatino Linotype" w:eastAsia="Palatino Linotype" w:hAnsi="Palatino Linotype" w:cs="Palatino Linotype"/>
          <w:color w:val="000000"/>
        </w:rPr>
      </w:pPr>
    </w:p>
    <w:p w:rsidR="00074B30" w:rsidRPr="00663B2F" w:rsidRDefault="00774AEB" w:rsidP="00074B3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663B2F">
        <w:rPr>
          <w:rFonts w:ascii="Palatino Linotype" w:eastAsia="Palatino Linotype" w:hAnsi="Palatino Linotype" w:cs="Palatino Linotype"/>
        </w:rPr>
        <w:t xml:space="preserve">Ahora bien, </w:t>
      </w:r>
      <w:r w:rsidR="00074B30" w:rsidRPr="00663B2F">
        <w:rPr>
          <w:rFonts w:ascii="Palatino Linotype" w:eastAsia="Palatino Linotype" w:hAnsi="Palatino Linotype" w:cs="Palatino Linotype"/>
        </w:rPr>
        <w:t xml:space="preserve">recordemos que el Recurrente solicitó </w:t>
      </w:r>
      <w:r w:rsidR="00074B30" w:rsidRPr="00663B2F">
        <w:rPr>
          <w:rFonts w:ascii="Palatino Linotype" w:eastAsia="Palatino Linotype" w:hAnsi="Palatino Linotype" w:cs="Palatino Linotype"/>
          <w:color w:val="000000"/>
        </w:rPr>
        <w:t xml:space="preserve">de los ejercicios fiscales 2021, 2022, 2023, 2024 y 2025, el tabulador de sueldos, contrato colectivo de trabajo, presupuesto anual del capítulo 1000 por partida y plazas, presupuesto de egresos global calendarizado. </w:t>
      </w:r>
    </w:p>
    <w:p w:rsidR="00074B30" w:rsidRPr="00663B2F" w:rsidRDefault="00074B30" w:rsidP="00074B3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663B2F">
        <w:rPr>
          <w:rFonts w:ascii="Palatino Linotype" w:eastAsia="Palatino Linotype" w:hAnsi="Palatino Linotype" w:cs="Palatino Linotype"/>
        </w:rPr>
        <w:lastRenderedPageBreak/>
        <w:t>En respuesta, el Sujeto Obligado a través de la Dirección de Administración entregó dos ligas electrónicas en las que señaló se localizan los tabuladores de sueldos requeridos, señaló que no hay un contrato colectivos de trabajo y en cuanto al presupuesto anual por capítulo y presupuesto de egresos calendarizado señaló que no está dentro de sus atribuciones.</w:t>
      </w:r>
    </w:p>
    <w:p w:rsidR="00074B30" w:rsidRPr="00663B2F" w:rsidRDefault="00074B30" w:rsidP="00074B30">
      <w:pPr>
        <w:pStyle w:val="Prrafodelista"/>
        <w:rPr>
          <w:rFonts w:ascii="Palatino Linotype" w:eastAsia="Palatino Linotype" w:hAnsi="Palatino Linotype" w:cs="Palatino Linotype"/>
          <w:i/>
          <w:iCs/>
          <w:color w:val="000000"/>
        </w:rPr>
      </w:pPr>
    </w:p>
    <w:p w:rsidR="00074B30" w:rsidRPr="00663B2F" w:rsidRDefault="00074B30" w:rsidP="00074B30">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i/>
          <w:iCs/>
          <w:color w:val="000000"/>
        </w:rPr>
      </w:pPr>
      <w:r w:rsidRPr="00663B2F">
        <w:rPr>
          <w:rFonts w:ascii="Palatino Linotype" w:eastAsia="Palatino Linotype" w:hAnsi="Palatino Linotype" w:cs="Palatino Linotype"/>
          <w:iCs/>
          <w:color w:val="000000"/>
        </w:rPr>
        <w:t>Posteriormente, el Recurrente se inconformó por las siguientes razones: “</w:t>
      </w:r>
      <w:r w:rsidRPr="00663B2F">
        <w:rPr>
          <w:rFonts w:ascii="Palatino Linotype" w:eastAsia="Palatino Linotype" w:hAnsi="Palatino Linotype" w:cs="Palatino Linotype"/>
          <w:i/>
          <w:iCs/>
          <w:color w:val="000000"/>
        </w:rPr>
        <w:t>No dio respuesta, indico que la respuesta estaba en una ligas de una pagina oficial, mismas que no funcionan, caducaron</w:t>
      </w:r>
      <w:r w:rsidRPr="00663B2F">
        <w:rPr>
          <w:rFonts w:ascii="Palatino Linotype" w:eastAsia="Palatino Linotype" w:hAnsi="Palatino Linotype" w:cs="Palatino Linotype"/>
          <w:iCs/>
          <w:color w:val="000000"/>
        </w:rPr>
        <w:t xml:space="preserve">”. </w:t>
      </w:r>
      <w:r w:rsidRPr="00663B2F">
        <w:rPr>
          <w:rFonts w:ascii="Palatino Linotype" w:eastAsia="MS Mincho" w:hAnsi="Palatino Linotype" w:cs="Arial"/>
          <w:lang w:eastAsia="es-ES"/>
        </w:rPr>
        <w:t xml:space="preserve">Ahora bien, la inconformidad del Recurrente es sobre las ligas electrónicas en las que se señaló que se localizaban los tabuladores, es decir, que el particular no se inconformó por el resto de la información; en este caso, la parte de la respuesta que no fue impugnada debe declararse consentida, toda vez que al no realizar manifestaciones de inconformidad respecto de la respuesta proporcionada, no pueden producirse efectos jurídicos tendentes a revocar, confirmar o modificar el acto reclamado, ya que no realizó manifestación alguna al respecto. </w:t>
      </w:r>
    </w:p>
    <w:p w:rsidR="00074B30" w:rsidRPr="00663B2F" w:rsidRDefault="00074B30" w:rsidP="00074B30">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663B2F">
        <w:rPr>
          <w:rFonts w:ascii="Palatino Linotype" w:eastAsia="MS Mincho" w:hAnsi="Palatino Linotype" w:cs="Arial"/>
          <w:lang w:eastAsia="es-ES"/>
        </w:rPr>
        <w:t>Sirve de sustento, la tesis jurisprudencial número VI.3o.C. J/60, publicada en el Semanario Judicial de la Federación y su Gaceta bajo el número de registro 176,608 que a la letra dice:</w:t>
      </w:r>
    </w:p>
    <w:p w:rsidR="00074B30" w:rsidRPr="00663B2F" w:rsidRDefault="00074B30" w:rsidP="00074B30">
      <w:pPr>
        <w:pStyle w:val="Prrafodelista"/>
        <w:spacing w:before="240" w:after="240" w:line="360" w:lineRule="auto"/>
        <w:ind w:left="851" w:right="822"/>
        <w:jc w:val="both"/>
        <w:rPr>
          <w:rFonts w:ascii="Palatino Linotype" w:eastAsia="MS Mincho" w:hAnsi="Palatino Linotype" w:cs="Arial"/>
          <w:i/>
          <w:lang w:eastAsia="es-ES"/>
        </w:rPr>
      </w:pPr>
      <w:r w:rsidRPr="00663B2F">
        <w:rPr>
          <w:rFonts w:ascii="Palatino Linotype" w:eastAsia="MS Mincho" w:hAnsi="Palatino Linotype" w:cs="Arial"/>
          <w:i/>
          <w:lang w:eastAsia="es-ES"/>
        </w:rPr>
        <w:t>“ACTOS CONSENTIDOS. SON LOS QUE NO SE IMPUGNAN MEDIANTE EL RECURSO IDÓNEO. Debe reputarse como consentido el acto que no se impugnó por el medio establecido por la ley, ya que si se hizo uso de otro no previsto por ella o si se hace una simple manifestación de inconformidad, tales actuaciones no producen efectos jurídicos tendientes a revocar, confirmar o modificar el acto reclamado en amparo, lo que significa consentimiento del mismo por falta de impugnación eficaz.”</w:t>
      </w:r>
    </w:p>
    <w:p w:rsidR="00074B30" w:rsidRPr="00663B2F" w:rsidRDefault="00074B30" w:rsidP="00074B30">
      <w:pPr>
        <w:pStyle w:val="Prrafodelista"/>
        <w:spacing w:before="240" w:after="240" w:line="360" w:lineRule="auto"/>
        <w:ind w:left="851" w:right="822"/>
        <w:jc w:val="both"/>
        <w:rPr>
          <w:rFonts w:ascii="Palatino Linotype" w:eastAsia="MS Mincho" w:hAnsi="Palatino Linotype" w:cs="Arial"/>
          <w:i/>
          <w:lang w:eastAsia="es-ES"/>
        </w:rPr>
      </w:pPr>
    </w:p>
    <w:p w:rsidR="00074B30" w:rsidRPr="00663B2F" w:rsidRDefault="00074B30" w:rsidP="00074B30">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663B2F">
        <w:rPr>
          <w:rFonts w:ascii="Palatino Linotype" w:eastAsia="MS Mincho" w:hAnsi="Palatino Linotype" w:cs="Arial"/>
          <w:lang w:eastAsia="es-ES"/>
        </w:rPr>
        <w:lastRenderedPageBreak/>
        <w:t xml:space="preserve">Lo anterior es así, debido a que cuando el particular impugnó la respuesta del SUJETO OBLIGADO, y no expresó razón o motivo de inconformidad en contra de lo que se le hizo entrega, por tanto, estos deben declararse atendidos, pues se entiende que EL RECURRENTE está conforme con la respuesta proporcionada por EL SUJETO OBLIGADO, al no contravenir la misma. </w:t>
      </w:r>
    </w:p>
    <w:p w:rsidR="00074B30" w:rsidRPr="00663B2F" w:rsidRDefault="00074B30" w:rsidP="00074B30">
      <w:pPr>
        <w:pStyle w:val="Prrafodelista"/>
        <w:spacing w:before="240" w:after="240" w:line="360" w:lineRule="auto"/>
        <w:ind w:left="0" w:right="48"/>
        <w:jc w:val="both"/>
        <w:rPr>
          <w:rFonts w:ascii="Palatino Linotype" w:eastAsia="MS Mincho" w:hAnsi="Palatino Linotype" w:cs="Arial"/>
          <w:lang w:eastAsia="es-ES"/>
        </w:rPr>
      </w:pPr>
    </w:p>
    <w:p w:rsidR="00074B30" w:rsidRPr="00663B2F" w:rsidRDefault="00074B30" w:rsidP="00074B30">
      <w:pPr>
        <w:pStyle w:val="Prrafodelista"/>
        <w:numPr>
          <w:ilvl w:val="0"/>
          <w:numId w:val="2"/>
        </w:numPr>
        <w:spacing w:before="240" w:after="240" w:line="360" w:lineRule="auto"/>
        <w:ind w:left="0" w:right="48" w:firstLine="0"/>
        <w:jc w:val="both"/>
        <w:rPr>
          <w:rFonts w:ascii="Palatino Linotype" w:eastAsia="MS Mincho" w:hAnsi="Palatino Linotype" w:cs="Arial"/>
          <w:lang w:eastAsia="es-ES"/>
        </w:rPr>
      </w:pPr>
      <w:r w:rsidRPr="00663B2F">
        <w:rPr>
          <w:rFonts w:ascii="Palatino Linotype" w:eastAsia="MS Mincho" w:hAnsi="Palatino Linotype" w:cs="Arial"/>
          <w:lang w:eastAsia="es-ES"/>
        </w:rPr>
        <w:t>Atento a ello, es importante traer a contexto la Tesis Jurisprudencial Número 3ª./J.7/91, Publicada en el Semanario Judicial de la Federación y su Gaceta bajo el número de registro 174,177, que establece lo siguiente:</w:t>
      </w:r>
    </w:p>
    <w:p w:rsidR="00074B30" w:rsidRPr="00663B2F" w:rsidRDefault="00074B30" w:rsidP="00074B30">
      <w:pPr>
        <w:pStyle w:val="Prrafodelista"/>
        <w:spacing w:before="240" w:after="240" w:line="360" w:lineRule="auto"/>
        <w:ind w:left="851" w:right="822"/>
        <w:jc w:val="both"/>
        <w:rPr>
          <w:rFonts w:ascii="Palatino Linotype" w:eastAsia="MS Mincho" w:hAnsi="Palatino Linotype" w:cs="Arial"/>
          <w:i/>
          <w:lang w:eastAsia="es-ES"/>
        </w:rPr>
      </w:pPr>
      <w:r w:rsidRPr="00663B2F">
        <w:rPr>
          <w:rFonts w:ascii="Palatino Linotype" w:eastAsia="MS Mincho" w:hAnsi="Palatino Linotype" w:cs="Arial"/>
          <w:i/>
          <w:lang w:eastAsia="es-ES"/>
        </w:rPr>
        <w:t>“REVISIÓN EN AMPARO. LOS RESOLUTIVOS NO COMBATIDOS DEBEN DECLARARSE FIRMES. Cuando algún resolutivo de la sentencia impugnada afecta a la recurrente, y ésta no expresa agravio en contra de las consideraciones que le sirven de base, dicho resolutivo debe declararse firme. Esto es, en el caso referido, no obstante que la materia de la revisión comprende a todos los resolutivos que afectan a la recurrente, deben declararse firmes aquéllos en contra de los cuales no se formuló agravio y dicha declaración de firmeza debe reflejarse en la parte considerativa y en los resolutivos debe confirmarse la sentencia recurrida en la parte correspondiente.”</w:t>
      </w:r>
    </w:p>
    <w:p w:rsidR="00074B30" w:rsidRPr="00663B2F" w:rsidRDefault="00074B30" w:rsidP="00074B30">
      <w:pPr>
        <w:numPr>
          <w:ilvl w:val="0"/>
          <w:numId w:val="2"/>
        </w:numPr>
        <w:spacing w:line="360" w:lineRule="auto"/>
        <w:ind w:left="0" w:right="49" w:firstLine="0"/>
        <w:contextualSpacing/>
        <w:jc w:val="both"/>
        <w:rPr>
          <w:rFonts w:ascii="Palatino Linotype" w:eastAsiaTheme="minorEastAsia" w:hAnsi="Palatino Linotype"/>
          <w:lang w:val="es-ES_tradnl" w:eastAsia="es-ES"/>
        </w:rPr>
      </w:pPr>
      <w:r w:rsidRPr="00663B2F">
        <w:rPr>
          <w:rFonts w:ascii="Palatino Linotype" w:hAnsi="Palatino Linotype" w:cs="Tahoma"/>
          <w:bCs/>
          <w:lang w:eastAsia="es-ES"/>
        </w:rPr>
        <w:t xml:space="preserve">Conforme al Criterio establecido, es improcedente entrar al análisis de las partes de la respuesta del Sujeto Obligado que no fueron impugnadas por el Recurrente; por lo que, en el presente caso, se tiene por consentida parte de la información proporcionada por el Ente Recurrido, en respuesta. </w:t>
      </w:r>
      <w:r w:rsidRPr="00663B2F">
        <w:rPr>
          <w:rFonts w:ascii="Palatino Linotype" w:hAnsi="Palatino Linotype" w:cs="Tahoma"/>
          <w:bCs/>
          <w:iCs/>
          <w:lang w:eastAsia="es-ES"/>
        </w:rPr>
        <w:t xml:space="preserve">En este contexto, se hará pronunciamiento, únicamente por el tema de los tabuladores de sueldos. </w:t>
      </w:r>
    </w:p>
    <w:p w:rsidR="00074B30" w:rsidRPr="00663B2F" w:rsidRDefault="00074B30" w:rsidP="00074B30">
      <w:pPr>
        <w:pStyle w:val="Prrafodelista"/>
        <w:rPr>
          <w:rFonts w:ascii="Palatino Linotype" w:eastAsia="Palatino Linotype" w:hAnsi="Palatino Linotype" w:cs="Palatino Linotype"/>
        </w:rPr>
      </w:pPr>
    </w:p>
    <w:p w:rsidR="009D6CA7" w:rsidRPr="00663B2F" w:rsidRDefault="00074B30" w:rsidP="009D6CA7">
      <w:pPr>
        <w:numPr>
          <w:ilvl w:val="0"/>
          <w:numId w:val="2"/>
        </w:numPr>
        <w:spacing w:line="360" w:lineRule="auto"/>
        <w:ind w:left="0" w:firstLine="0"/>
        <w:jc w:val="both"/>
        <w:rPr>
          <w:rFonts w:ascii="Palatino Linotype" w:eastAsia="Palatino Linotype" w:hAnsi="Palatino Linotype" w:cs="Palatino Linotype"/>
        </w:rPr>
      </w:pPr>
      <w:r w:rsidRPr="00663B2F">
        <w:rPr>
          <w:rFonts w:ascii="Palatino Linotype" w:eastAsia="Palatino Linotype" w:hAnsi="Palatino Linotype" w:cs="Palatino Linotype"/>
        </w:rPr>
        <w:lastRenderedPageBreak/>
        <w:t xml:space="preserve">Ahora bien, recordemos que el Sujeto Obligado señaló en respuesta que la información referente a los tabuladores podía ser localizada en las ligas electrónicas que entregó, mismas que no se encuentran en datos abiertos, razón por la cual, se puede suponer que no puso acceder el Recurrente. </w:t>
      </w:r>
      <w:r w:rsidR="009D6CA7" w:rsidRPr="00663B2F">
        <w:rPr>
          <w:rFonts w:ascii="Palatino Linotype" w:eastAsia="Palatino Linotype" w:hAnsi="Palatino Linotype" w:cs="Palatino Linotype"/>
        </w:rPr>
        <w:t>Al respecto conviene señalar el artículo 161 de la citada Ley de Transparencia Local:</w:t>
      </w:r>
    </w:p>
    <w:p w:rsidR="009D6CA7" w:rsidRPr="00663B2F" w:rsidRDefault="009D6CA7" w:rsidP="009D6CA7">
      <w:pPr>
        <w:spacing w:line="360" w:lineRule="auto"/>
        <w:ind w:left="851" w:right="822"/>
        <w:jc w:val="both"/>
        <w:rPr>
          <w:rFonts w:ascii="Palatino Linotype" w:eastAsia="Palatino Linotype" w:hAnsi="Palatino Linotype" w:cs="Palatino Linotype"/>
          <w:i/>
          <w:iCs/>
        </w:rPr>
      </w:pPr>
      <w:r w:rsidRPr="00663B2F">
        <w:rPr>
          <w:rFonts w:ascii="Palatino Linotype" w:eastAsia="Palatino Linotype" w:hAnsi="Palatino Linotype" w:cs="Palatino Linotype"/>
          <w:b/>
          <w:bCs/>
          <w:i/>
          <w:iCs/>
        </w:rPr>
        <w:t>Artículo 161. Cuando la información requerida por el solicitante ya esté disponible</w:t>
      </w:r>
      <w:r w:rsidRPr="00663B2F">
        <w:rPr>
          <w:rFonts w:ascii="Palatino Linotype" w:eastAsia="Palatino Linotype" w:hAnsi="Palatino Linotype" w:cs="Palatino Linotype"/>
          <w:i/>
          <w:iCs/>
        </w:rPr>
        <w:t xml:space="preserve"> al público en medios impresos, tales como libros, compendios, trípticos, registros públicos, </w:t>
      </w:r>
      <w:r w:rsidRPr="00663B2F">
        <w:rPr>
          <w:rFonts w:ascii="Palatino Linotype" w:eastAsia="Palatino Linotype" w:hAnsi="Palatino Linotype" w:cs="Palatino Linotype"/>
          <w:b/>
          <w:bCs/>
          <w:i/>
          <w:iCs/>
        </w:rPr>
        <w:t xml:space="preserve">en formatos electrónicos disponibles en Internet </w:t>
      </w:r>
      <w:r w:rsidRPr="00663B2F">
        <w:rPr>
          <w:rFonts w:ascii="Palatino Linotype" w:eastAsia="Palatino Linotype" w:hAnsi="Palatino Linotype" w:cs="Palatino Linotype"/>
          <w:i/>
          <w:iCs/>
        </w:rPr>
        <w:t xml:space="preserve">o en cualquier otro medio, se le hará saber por el medio requerido por el solicitante la fuente, el lugar y la forma en que puede consultar, reproducir o adquirir dicha información </w:t>
      </w:r>
      <w:r w:rsidRPr="00663B2F">
        <w:rPr>
          <w:rFonts w:ascii="Palatino Linotype" w:eastAsia="Palatino Linotype" w:hAnsi="Palatino Linotype" w:cs="Palatino Linotype"/>
          <w:b/>
          <w:bCs/>
          <w:i/>
          <w:iCs/>
        </w:rPr>
        <w:t>en un plazo no mayor a cinco días hábiles</w:t>
      </w:r>
      <w:r w:rsidRPr="00663B2F">
        <w:rPr>
          <w:rFonts w:ascii="Palatino Linotype" w:eastAsia="Palatino Linotype" w:hAnsi="Palatino Linotype" w:cs="Palatino Linotype"/>
          <w:i/>
          <w:iCs/>
        </w:rPr>
        <w:t xml:space="preserve">. </w:t>
      </w:r>
      <w:r w:rsidRPr="00663B2F">
        <w:rPr>
          <w:rFonts w:ascii="Palatino Linotype" w:eastAsia="Palatino Linotype" w:hAnsi="Palatino Linotype" w:cs="Palatino Linotype"/>
          <w:b/>
          <w:bCs/>
          <w:i/>
          <w:iCs/>
        </w:rPr>
        <w:t>La fuente deberá ser precisa y concreta y no debe implicar que el solicitante realice una búsqueda en toda la información que se encuentre disponible</w:t>
      </w:r>
      <w:r w:rsidRPr="00663B2F">
        <w:rPr>
          <w:rFonts w:ascii="Palatino Linotype" w:eastAsia="Palatino Linotype" w:hAnsi="Palatino Linotype" w:cs="Palatino Linotype"/>
          <w:i/>
          <w:iCs/>
        </w:rPr>
        <w:t>.</w:t>
      </w:r>
    </w:p>
    <w:p w:rsidR="009D6CA7" w:rsidRPr="00663B2F" w:rsidRDefault="009D6CA7" w:rsidP="009D6CA7">
      <w:pPr>
        <w:numPr>
          <w:ilvl w:val="0"/>
          <w:numId w:val="2"/>
        </w:numPr>
        <w:pBdr>
          <w:top w:val="nil"/>
          <w:left w:val="nil"/>
          <w:bottom w:val="nil"/>
          <w:right w:val="nil"/>
          <w:between w:val="nil"/>
        </w:pBdr>
        <w:tabs>
          <w:tab w:val="left" w:pos="851"/>
        </w:tabs>
        <w:spacing w:before="240" w:line="360" w:lineRule="auto"/>
        <w:ind w:left="0" w:right="49" w:firstLine="0"/>
        <w:jc w:val="both"/>
        <w:rPr>
          <w:rFonts w:ascii="Palatino Linotype" w:eastAsia="Palatino Linotype" w:hAnsi="Palatino Linotype" w:cs="Palatino Linotype"/>
          <w:i/>
          <w:iCs/>
        </w:rPr>
      </w:pPr>
      <w:r w:rsidRPr="00663B2F">
        <w:rPr>
          <w:rFonts w:ascii="Palatino Linotype" w:eastAsia="Palatino Linotype" w:hAnsi="Palatino Linotype" w:cs="Palatino Linotype"/>
        </w:rPr>
        <w:t xml:space="preserve">Es así que, toda aquella información que sea requerida por los particulares pero que, previamente se encuentre disponible en sitios electrónicos, como puede ser de manera enunciativa más no limitativa, el sitio oficial del Sujeto Obligado o el portal IPOMEX o las páginas institucionales. Los Sujetos Obligado pueden indicar la dirección electrónica donde obra la información solicitada. Esta dirección electrónica debe </w:t>
      </w:r>
      <w:r w:rsidRPr="00663B2F">
        <w:rPr>
          <w:rFonts w:ascii="Palatino Linotype" w:eastAsia="Palatino Linotype" w:hAnsi="Palatino Linotype" w:cs="Palatino Linotype"/>
          <w:b/>
          <w:u w:val="single"/>
        </w:rPr>
        <w:t>ser precisa, de tal modo que no implique realizar una búsqueda en toda la información que ahí se encuentre</w:t>
      </w:r>
      <w:r w:rsidRPr="00663B2F">
        <w:rPr>
          <w:rFonts w:ascii="Palatino Linotype" w:eastAsia="Palatino Linotype" w:hAnsi="Palatino Linotype" w:cs="Palatino Linotype"/>
        </w:rPr>
        <w:t>. Además, debe ir acompañada del procedimiento a seguir, en caso de que la información se encuentre en distintos puntos del sitio electrónico referido.</w:t>
      </w:r>
    </w:p>
    <w:p w:rsidR="009D6CA7" w:rsidRPr="00663B2F" w:rsidRDefault="009D6CA7" w:rsidP="009D6CA7">
      <w:pPr>
        <w:numPr>
          <w:ilvl w:val="0"/>
          <w:numId w:val="2"/>
        </w:numPr>
        <w:pBdr>
          <w:top w:val="nil"/>
          <w:left w:val="nil"/>
          <w:bottom w:val="nil"/>
          <w:right w:val="nil"/>
          <w:between w:val="nil"/>
        </w:pBdr>
        <w:tabs>
          <w:tab w:val="left" w:pos="851"/>
        </w:tabs>
        <w:spacing w:before="240" w:line="360" w:lineRule="auto"/>
        <w:ind w:left="0" w:right="49" w:firstLine="0"/>
        <w:jc w:val="both"/>
        <w:rPr>
          <w:rFonts w:ascii="Palatino Linotype" w:eastAsia="Palatino Linotype" w:hAnsi="Palatino Linotype" w:cs="Palatino Linotype"/>
          <w:i/>
          <w:iCs/>
        </w:rPr>
      </w:pPr>
      <w:r w:rsidRPr="00663B2F">
        <w:rPr>
          <w:rFonts w:ascii="Palatino Linotype" w:eastAsia="Palatino Linotype" w:hAnsi="Palatino Linotype" w:cs="Palatino Linotype"/>
        </w:rPr>
        <w:t xml:space="preserve">Asimismo, es oportuno mencionar lo que debemos entender por datos abiertos, siendo estos los datos digitales de carácter público que pueden ser usados, reutilizados y redistribuidos por cualquier interesado y que tienen como característica ser accesibles, </w:t>
      </w:r>
      <w:r w:rsidRPr="00663B2F">
        <w:rPr>
          <w:rFonts w:ascii="Palatino Linotype" w:eastAsia="Palatino Linotype" w:hAnsi="Palatino Linotype" w:cs="Palatino Linotype"/>
        </w:rPr>
        <w:lastRenderedPageBreak/>
        <w:t>integrales, gratuitos, no discriminatorios, oportunos, permanentes, primarios, legibles por las máquinas, en formatos abiertos y de libre uso.  En este mismo sentido, nuestra Ley de Transparencia y Acceso a la Información Pública del Estado de México y Municipios, expresa en su artículo 3, de manera textual lo siguiente:</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b/>
          <w:bCs/>
          <w:i/>
          <w:iCs/>
        </w:rPr>
        <w:t>“VIII. Datos abiertos: Los datos digitales de carácter público que son accesibles en línea que pueden ser usados, reutilizados y redistribuidos por cualquier interesado y que tienen las siguientes características:</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i/>
          <w:iCs/>
        </w:rPr>
        <w:t>a) Accesibles: Los datos están disponibles para la gama más amplia de usuarios, para cualquier propósito;</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i/>
          <w:iCs/>
        </w:rPr>
        <w:t>b) Integrales: Contienen el tema que describen a detalle y con los metadatos necesarios;</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i/>
          <w:iCs/>
        </w:rPr>
        <w:t>c) Gratuitos: Se obtienen sin entregar a cambio contraprestación alguna;</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i/>
          <w:iCs/>
        </w:rPr>
        <w:t>d) No discriminatorios: Los datos están disponibles para cualquier persona, sin necesidad de registro;</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i/>
          <w:iCs/>
        </w:rPr>
        <w:t>e) Oportunos: Son actualizados, periódicamente, conforme se generen;</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i/>
          <w:iCs/>
        </w:rPr>
        <w:t>f) Permanentes: Se conservan en el tiempo, para lo cual, las versiones históricas relevantes para uso público se mantendrán disponibles con identificadores adecuados al efecto;</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i/>
          <w:iCs/>
        </w:rPr>
        <w:t>g) Primarios: Provienen de la fuente de origen con el máximo nivel de desagregación posible;</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i/>
          <w:iCs/>
        </w:rPr>
        <w:t>h) Legibles por máquinas: Deberán estar estructurados, total o parcialmente, para ser procesados e interpretados por equipos electrónicos de manera automática;</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b/>
          <w:bCs/>
          <w:i/>
          <w:iCs/>
        </w:rPr>
        <w:t>i) En formatos abiertos: Los datos estarán disponibles con el conjunto de características técnicas y de presentación que corresponden a la estructura lógica usada para almacenar datos en un archivo digital, cuyas especificaciones técnicas están disponibles públicamente, que no suponen una dificultad de acceso y que su aplicación y reproducción no estén condicionadas a contraprestación alguna</w:t>
      </w:r>
      <w:r w:rsidRPr="00663B2F">
        <w:rPr>
          <w:rFonts w:ascii="Palatino Linotype" w:eastAsia="Palatino Linotype" w:hAnsi="Palatino Linotype" w:cs="Palatino Linotype"/>
          <w:i/>
          <w:iCs/>
        </w:rPr>
        <w:t>; y</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rPr>
      </w:pPr>
      <w:r w:rsidRPr="00663B2F">
        <w:rPr>
          <w:rFonts w:ascii="Palatino Linotype" w:eastAsia="Palatino Linotype" w:hAnsi="Palatino Linotype" w:cs="Palatino Linotype"/>
          <w:i/>
          <w:iCs/>
        </w:rPr>
        <w:t>j) De libre uso: Citan la fuente de origen como único requerimiento para ser utilizados libremente.</w:t>
      </w:r>
    </w:p>
    <w:p w:rsidR="009D6CA7" w:rsidRPr="00663B2F" w:rsidRDefault="009D6CA7" w:rsidP="009D6CA7">
      <w:pPr>
        <w:pBdr>
          <w:top w:val="nil"/>
          <w:left w:val="nil"/>
          <w:bottom w:val="nil"/>
          <w:right w:val="nil"/>
          <w:between w:val="nil"/>
        </w:pBdr>
        <w:shd w:val="clear" w:color="auto" w:fill="FFFFFF"/>
        <w:spacing w:line="276" w:lineRule="auto"/>
        <w:ind w:left="851" w:right="822"/>
        <w:jc w:val="both"/>
        <w:rPr>
          <w:rFonts w:ascii="Palatino Linotype" w:eastAsia="Palatino Linotype" w:hAnsi="Palatino Linotype" w:cs="Palatino Linotype"/>
          <w:i/>
          <w:iCs/>
        </w:rPr>
      </w:pPr>
      <w:r w:rsidRPr="00663B2F">
        <w:rPr>
          <w:rFonts w:ascii="Palatino Linotype" w:eastAsia="Palatino Linotype" w:hAnsi="Palatino Linotype" w:cs="Palatino Linotype"/>
          <w:i/>
          <w:iCs/>
        </w:rPr>
        <w:t>(Énfasis añadido)</w:t>
      </w:r>
    </w:p>
    <w:p w:rsidR="009D6CA7" w:rsidRPr="00663B2F" w:rsidRDefault="009D6CA7" w:rsidP="009D6CA7">
      <w:pPr>
        <w:pBdr>
          <w:top w:val="nil"/>
          <w:left w:val="nil"/>
          <w:bottom w:val="nil"/>
          <w:right w:val="nil"/>
          <w:between w:val="nil"/>
        </w:pBdr>
        <w:spacing w:line="360" w:lineRule="auto"/>
        <w:jc w:val="both"/>
        <w:rPr>
          <w:rFonts w:ascii="Palatino Linotype" w:eastAsia="Palatino Linotype" w:hAnsi="Palatino Linotype" w:cs="Palatino Linotype"/>
          <w:b/>
          <w:bCs/>
        </w:rPr>
      </w:pPr>
    </w:p>
    <w:p w:rsidR="009D6CA7" w:rsidRPr="00663B2F" w:rsidRDefault="009D6CA7" w:rsidP="009D6CA7">
      <w:pPr>
        <w:numPr>
          <w:ilvl w:val="0"/>
          <w:numId w:val="2"/>
        </w:numPr>
        <w:pBdr>
          <w:top w:val="nil"/>
          <w:left w:val="nil"/>
          <w:bottom w:val="nil"/>
          <w:right w:val="nil"/>
          <w:between w:val="nil"/>
        </w:pBdr>
        <w:spacing w:line="360" w:lineRule="auto"/>
        <w:ind w:left="0" w:firstLine="0"/>
        <w:jc w:val="both"/>
        <w:rPr>
          <w:rFonts w:ascii="Palatino Linotype" w:eastAsia="Palatino Linotype" w:hAnsi="Palatino Linotype" w:cs="Palatino Linotype"/>
        </w:rPr>
      </w:pPr>
      <w:r w:rsidRPr="00663B2F">
        <w:rPr>
          <w:rFonts w:ascii="Palatino Linotype" w:eastAsia="Palatino Linotype" w:hAnsi="Palatino Linotype" w:cs="Palatino Linotype"/>
        </w:rPr>
        <w:lastRenderedPageBreak/>
        <w:t>El dispositivo legal estatal aplicable a la materia, establece en su artículo 41 que el Instituto promoverá la publicación de la información en datos abiertos y accesibles, de tal manera que este Órgano Garante se encuentra en posibilidades de ordenar al Sujeto Obligado, en caso de tener la información en formatos abiertos entregar la misma en el formato solicitado. En este caso, la ligas entregadas en respuesta no atienden el requerimiento del Recurrente; sin embargo, en aras de garantizar el derecho de acceso a la información del Recurrente, el Sujeto Obligado entregó en informe justificado los tabuladores de sueldos en formato PDF, de los que se desprenden las siguientes observaciones:</w:t>
      </w:r>
    </w:p>
    <w:p w:rsidR="009D6CA7" w:rsidRPr="00663B2F" w:rsidRDefault="009D6CA7" w:rsidP="00360707">
      <w:pPr>
        <w:pStyle w:val="Prrafodelista"/>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rPr>
      </w:pPr>
      <w:r w:rsidRPr="00663B2F">
        <w:rPr>
          <w:rFonts w:ascii="Palatino Linotype" w:eastAsia="Palatino Linotype" w:hAnsi="Palatino Linotype" w:cs="Palatino Linotype"/>
          <w:b/>
        </w:rPr>
        <w:t>Tabulador de sueldos del ejercicio fiscal 2021</w:t>
      </w:r>
      <w:r w:rsidRPr="00663B2F">
        <w:rPr>
          <w:rFonts w:ascii="Palatino Linotype" w:eastAsia="Palatino Linotype" w:hAnsi="Palatino Linotype" w:cs="Palatino Linotype"/>
        </w:rPr>
        <w:t xml:space="preserve">: </w:t>
      </w:r>
      <w:r w:rsidR="00406F23" w:rsidRPr="00663B2F">
        <w:rPr>
          <w:rFonts w:ascii="Palatino Linotype" w:eastAsia="Palatino Linotype" w:hAnsi="Palatino Linotype" w:cs="Palatino Linotype"/>
        </w:rPr>
        <w:t xml:space="preserve">entregó el </w:t>
      </w:r>
      <w:r w:rsidR="00406F23" w:rsidRPr="00663B2F">
        <w:rPr>
          <w:rFonts w:ascii="Palatino Linotype" w:hAnsi="Palatino Linotype"/>
        </w:rPr>
        <w:t xml:space="preserve">Tabulador de sueldos del 01 de enero al 31 de diciembre de 2021, sin embargo, es ilegible. </w:t>
      </w:r>
    </w:p>
    <w:p w:rsidR="009D6CA7" w:rsidRPr="00663B2F" w:rsidRDefault="009D6CA7" w:rsidP="009D6CA7">
      <w:pPr>
        <w:pStyle w:val="Prrafodelista"/>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rPr>
      </w:pPr>
      <w:r w:rsidRPr="00663B2F">
        <w:rPr>
          <w:rFonts w:ascii="Palatino Linotype" w:eastAsia="Palatino Linotype" w:hAnsi="Palatino Linotype" w:cs="Palatino Linotype"/>
          <w:b/>
        </w:rPr>
        <w:t>Tabulador de sueldos del ejercicio fiscal 2022:</w:t>
      </w:r>
      <w:r w:rsidR="00406F23" w:rsidRPr="00663B2F">
        <w:rPr>
          <w:rFonts w:ascii="Palatino Linotype" w:eastAsia="Palatino Linotype" w:hAnsi="Palatino Linotype" w:cs="Palatino Linotype"/>
        </w:rPr>
        <w:t xml:space="preserve"> </w:t>
      </w:r>
      <w:r w:rsidR="00406F23" w:rsidRPr="00663B2F">
        <w:rPr>
          <w:rFonts w:ascii="Palatino Linotype" w:hAnsi="Palatino Linotype"/>
        </w:rPr>
        <w:t xml:space="preserve">Tabulador de sueldos del 01 de enero al 31 de diciembre de 2022. </w:t>
      </w:r>
    </w:p>
    <w:p w:rsidR="009D6CA7" w:rsidRPr="00663B2F" w:rsidRDefault="009D6CA7" w:rsidP="009D6CA7">
      <w:pPr>
        <w:pStyle w:val="Prrafodelista"/>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rPr>
      </w:pPr>
      <w:r w:rsidRPr="00663B2F">
        <w:rPr>
          <w:rFonts w:ascii="Palatino Linotype" w:eastAsia="Palatino Linotype" w:hAnsi="Palatino Linotype" w:cs="Palatino Linotype"/>
          <w:b/>
        </w:rPr>
        <w:t>Tabulador de sueldos del ejercicio fiscal 2023</w:t>
      </w:r>
      <w:r w:rsidRPr="00663B2F">
        <w:rPr>
          <w:rFonts w:ascii="Palatino Linotype" w:eastAsia="Palatino Linotype" w:hAnsi="Palatino Linotype" w:cs="Palatino Linotype"/>
        </w:rPr>
        <w:t>:</w:t>
      </w:r>
      <w:r w:rsidR="00406F23" w:rsidRPr="00663B2F">
        <w:rPr>
          <w:rFonts w:ascii="Palatino Linotype" w:eastAsia="Palatino Linotype" w:hAnsi="Palatino Linotype" w:cs="Palatino Linotype"/>
        </w:rPr>
        <w:t xml:space="preserve"> </w:t>
      </w:r>
      <w:r w:rsidR="00406F23" w:rsidRPr="00663B2F">
        <w:rPr>
          <w:rFonts w:ascii="Palatino Linotype" w:hAnsi="Palatino Linotype"/>
        </w:rPr>
        <w:t>Tabulador de sueldos del 01 de enero al 31 de diciembre de 2023.</w:t>
      </w:r>
    </w:p>
    <w:p w:rsidR="009D6CA7" w:rsidRPr="00663B2F" w:rsidRDefault="009D6CA7" w:rsidP="009D6CA7">
      <w:pPr>
        <w:pStyle w:val="Prrafodelista"/>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rPr>
      </w:pPr>
      <w:r w:rsidRPr="00663B2F">
        <w:rPr>
          <w:rFonts w:ascii="Palatino Linotype" w:eastAsia="Palatino Linotype" w:hAnsi="Palatino Linotype" w:cs="Palatino Linotype"/>
          <w:b/>
        </w:rPr>
        <w:t>Tabulador de sueldos del ejercicio fiscal 2024</w:t>
      </w:r>
      <w:r w:rsidRPr="00663B2F">
        <w:rPr>
          <w:rFonts w:ascii="Palatino Linotype" w:eastAsia="Palatino Linotype" w:hAnsi="Palatino Linotype" w:cs="Palatino Linotype"/>
        </w:rPr>
        <w:t>:</w:t>
      </w:r>
      <w:r w:rsidR="00406F23" w:rsidRPr="00663B2F">
        <w:rPr>
          <w:rFonts w:ascii="Palatino Linotype" w:eastAsia="Palatino Linotype" w:hAnsi="Palatino Linotype" w:cs="Palatino Linotype"/>
        </w:rPr>
        <w:t xml:space="preserve"> se entregó del periodo comprendido del 01 de octubre al 31 de diciembre de 2024, es decir, falta del 01 de enero al 30 de septiembre de 2024. </w:t>
      </w:r>
    </w:p>
    <w:p w:rsidR="009D6CA7" w:rsidRPr="00663B2F" w:rsidRDefault="009D6CA7" w:rsidP="009D6CA7">
      <w:pPr>
        <w:pStyle w:val="Prrafodelista"/>
        <w:numPr>
          <w:ilvl w:val="0"/>
          <w:numId w:val="13"/>
        </w:numPr>
        <w:pBdr>
          <w:top w:val="nil"/>
          <w:left w:val="nil"/>
          <w:bottom w:val="nil"/>
          <w:right w:val="nil"/>
          <w:between w:val="nil"/>
        </w:pBdr>
        <w:spacing w:line="360" w:lineRule="auto"/>
        <w:jc w:val="both"/>
        <w:rPr>
          <w:rFonts w:ascii="Palatino Linotype" w:eastAsia="Palatino Linotype" w:hAnsi="Palatino Linotype" w:cs="Palatino Linotype"/>
        </w:rPr>
      </w:pPr>
      <w:r w:rsidRPr="00663B2F">
        <w:rPr>
          <w:rFonts w:ascii="Palatino Linotype" w:eastAsia="Palatino Linotype" w:hAnsi="Palatino Linotype" w:cs="Palatino Linotype"/>
          <w:b/>
        </w:rPr>
        <w:t>Tabulador de sueldos del ejercicio fiscal 2025</w:t>
      </w:r>
      <w:r w:rsidRPr="00663B2F">
        <w:rPr>
          <w:rFonts w:ascii="Palatino Linotype" w:eastAsia="Palatino Linotype" w:hAnsi="Palatino Linotype" w:cs="Palatino Linotype"/>
        </w:rPr>
        <w:t>:</w:t>
      </w:r>
      <w:r w:rsidR="00406F23" w:rsidRPr="00663B2F">
        <w:rPr>
          <w:rFonts w:ascii="Palatino Linotype" w:eastAsia="Palatino Linotype" w:hAnsi="Palatino Linotype" w:cs="Palatino Linotype"/>
        </w:rPr>
        <w:t xml:space="preserve"> </w:t>
      </w:r>
      <w:r w:rsidR="00406F23" w:rsidRPr="00663B2F">
        <w:rPr>
          <w:rFonts w:ascii="Palatino Linotype" w:hAnsi="Palatino Linotype" w:cs="Arial"/>
        </w:rPr>
        <w:t xml:space="preserve">tabulador de sueldos del 01 de enero al 31 de diciembre de 2025. </w:t>
      </w:r>
    </w:p>
    <w:p w:rsidR="009D6CA7" w:rsidRPr="00663B2F" w:rsidRDefault="009D6CA7" w:rsidP="009D6CA7">
      <w:pPr>
        <w:pBdr>
          <w:top w:val="nil"/>
          <w:left w:val="nil"/>
          <w:bottom w:val="nil"/>
          <w:right w:val="nil"/>
          <w:between w:val="nil"/>
        </w:pBdr>
        <w:spacing w:line="360" w:lineRule="auto"/>
        <w:jc w:val="both"/>
        <w:rPr>
          <w:rFonts w:ascii="Palatino Linotype" w:eastAsia="Palatino Linotype" w:hAnsi="Palatino Linotype" w:cs="Palatino Linotype"/>
        </w:rPr>
      </w:pPr>
    </w:p>
    <w:p w:rsidR="00795CC1" w:rsidRPr="00663B2F" w:rsidRDefault="00406F23" w:rsidP="00795CC1">
      <w:pPr>
        <w:numPr>
          <w:ilvl w:val="0"/>
          <w:numId w:val="2"/>
        </w:numPr>
        <w:spacing w:line="360" w:lineRule="auto"/>
        <w:ind w:left="0" w:firstLine="0"/>
        <w:jc w:val="both"/>
        <w:rPr>
          <w:rFonts w:ascii="Palatino Linotype" w:eastAsia="Palatino Linotype" w:hAnsi="Palatino Linotype" w:cs="Palatino Linotype"/>
        </w:rPr>
      </w:pPr>
      <w:r w:rsidRPr="00663B2F">
        <w:rPr>
          <w:rFonts w:ascii="Palatino Linotype" w:eastAsia="Palatino Linotype" w:hAnsi="Palatino Linotype" w:cs="Palatino Linotype"/>
        </w:rPr>
        <w:t xml:space="preserve">De la información remitida por el Sujeto Obligado en informe justificado, se advierte que colma </w:t>
      </w:r>
      <w:r w:rsidR="00795CC1" w:rsidRPr="00663B2F">
        <w:rPr>
          <w:rFonts w:ascii="Palatino Linotype" w:eastAsia="Palatino Linotype" w:hAnsi="Palatino Linotype" w:cs="Palatino Linotype"/>
        </w:rPr>
        <w:t xml:space="preserve">con la información del ejercicio fiscal 2022, 2023 y 2025, sin embargo, referente al ejercicio fiscal 2021 se entregó de forma elegible y respecto al ejercicio 2024 está incompleto; al respecto, conviene señalar que </w:t>
      </w:r>
      <w:r w:rsidR="00795CC1" w:rsidRPr="00663B2F">
        <w:rPr>
          <w:rFonts w:ascii="Palatino Linotype" w:eastAsia="Palatino Linotype" w:hAnsi="Palatino Linotype" w:cs="Palatino Linotype"/>
          <w:color w:val="000000"/>
        </w:rPr>
        <w:t xml:space="preserve">la información que proporcionen los Sujetos Obligados para dar cumplimiento al derecho de acceso a la información debe ser clara, precisa, </w:t>
      </w:r>
      <w:r w:rsidR="00795CC1" w:rsidRPr="00663B2F">
        <w:rPr>
          <w:rFonts w:ascii="Palatino Linotype" w:eastAsia="Palatino Linotype" w:hAnsi="Palatino Linotype" w:cs="Palatino Linotype"/>
          <w:b/>
          <w:color w:val="000000"/>
          <w:u w:val="single"/>
        </w:rPr>
        <w:t>completa y</w:t>
      </w:r>
      <w:r w:rsidR="00795CC1" w:rsidRPr="00663B2F">
        <w:rPr>
          <w:rFonts w:ascii="Palatino Linotype" w:eastAsia="Palatino Linotype" w:hAnsi="Palatino Linotype" w:cs="Palatino Linotype"/>
          <w:color w:val="000000"/>
        </w:rPr>
        <w:t xml:space="preserve"> </w:t>
      </w:r>
      <w:r w:rsidR="00795CC1" w:rsidRPr="00663B2F">
        <w:rPr>
          <w:rFonts w:ascii="Palatino Linotype" w:eastAsia="Palatino Linotype" w:hAnsi="Palatino Linotype" w:cs="Palatino Linotype"/>
          <w:b/>
          <w:color w:val="000000"/>
          <w:u w:val="single"/>
        </w:rPr>
        <w:t xml:space="preserve">sobre </w:t>
      </w:r>
      <w:r w:rsidR="00795CC1" w:rsidRPr="00663B2F">
        <w:rPr>
          <w:rFonts w:ascii="Palatino Linotype" w:eastAsia="Palatino Linotype" w:hAnsi="Palatino Linotype" w:cs="Palatino Linotype"/>
          <w:b/>
          <w:color w:val="000000"/>
          <w:u w:val="single"/>
        </w:rPr>
        <w:lastRenderedPageBreak/>
        <w:t>todo legible</w:t>
      </w:r>
      <w:r w:rsidR="00795CC1" w:rsidRPr="00663B2F">
        <w:rPr>
          <w:rFonts w:ascii="Palatino Linotype" w:eastAsia="Palatino Linotype" w:hAnsi="Palatino Linotype" w:cs="Palatino Linotype"/>
          <w:color w:val="000000"/>
          <w:u w:val="single"/>
        </w:rPr>
        <w:t>,</w:t>
      </w:r>
      <w:r w:rsidR="00795CC1" w:rsidRPr="00663B2F">
        <w:rPr>
          <w:rFonts w:ascii="Palatino Linotype" w:eastAsia="Palatino Linotype" w:hAnsi="Palatino Linotype" w:cs="Palatino Linotype"/>
          <w:color w:val="000000"/>
        </w:rPr>
        <w:t xml:space="preserve"> puesto que de lo contrario se restringe de manera ilegítima el derecho de los particulares al impedirles conocer el contenido de los documentos.</w:t>
      </w:r>
      <w:r w:rsidR="00795CC1" w:rsidRPr="00663B2F">
        <w:rPr>
          <w:rFonts w:ascii="Palatino Linotype" w:eastAsia="Palatino Linotype" w:hAnsi="Palatino Linotype" w:cs="Palatino Linotype"/>
        </w:rPr>
        <w:t xml:space="preserve"> </w:t>
      </w:r>
      <w:r w:rsidR="00795CC1" w:rsidRPr="00663B2F">
        <w:rPr>
          <w:rFonts w:ascii="Palatino Linotype" w:eastAsia="Palatino Linotype" w:hAnsi="Palatino Linotype" w:cs="Palatino Linotype"/>
          <w:color w:val="000000"/>
        </w:rPr>
        <w:t xml:space="preserve">Sirve de sustento a lo anterior, el criterio </w:t>
      </w:r>
      <w:r w:rsidR="00795CC1" w:rsidRPr="00663B2F">
        <w:rPr>
          <w:rFonts w:ascii="Palatino Linotype" w:eastAsia="Palatino Linotype" w:hAnsi="Palatino Linotype" w:cs="Palatino Linotype"/>
        </w:rPr>
        <w:t>orientador de la tesis</w:t>
      </w:r>
      <w:r w:rsidR="00795CC1" w:rsidRPr="00663B2F">
        <w:rPr>
          <w:rFonts w:ascii="Palatino Linotype" w:eastAsia="Palatino Linotype" w:hAnsi="Palatino Linotype" w:cs="Palatino Linotype"/>
          <w:color w:val="000000"/>
        </w:rPr>
        <w:t xml:space="preserve"> número II. 1°. C.T. 55 C, publicada en el Semanario Judicial de la Federación y su Gaceta bajo el número de 3 registro 201,412, que a la letra dice:</w:t>
      </w:r>
    </w:p>
    <w:p w:rsidR="00795CC1" w:rsidRPr="00663B2F" w:rsidRDefault="00795CC1" w:rsidP="00795CC1">
      <w:pPr>
        <w:pBdr>
          <w:top w:val="nil"/>
          <w:left w:val="nil"/>
          <w:bottom w:val="nil"/>
          <w:right w:val="nil"/>
          <w:between w:val="nil"/>
        </w:pBdr>
        <w:spacing w:line="360" w:lineRule="auto"/>
        <w:ind w:left="851" w:right="616"/>
        <w:jc w:val="both"/>
        <w:rPr>
          <w:rFonts w:ascii="Palatino Linotype" w:eastAsia="Palatino Linotype" w:hAnsi="Palatino Linotype" w:cs="Palatino Linotype"/>
          <w:i/>
          <w:color w:val="000000"/>
        </w:rPr>
      </w:pPr>
      <w:r w:rsidRPr="00663B2F">
        <w:rPr>
          <w:rFonts w:ascii="Palatino Linotype" w:eastAsia="Palatino Linotype" w:hAnsi="Palatino Linotype" w:cs="Palatino Linotype"/>
          <w:b/>
          <w:i/>
          <w:color w:val="000000"/>
        </w:rPr>
        <w:t>COTEJO DE COPIAS FOTOSTÁTICAS ILEGIBLES. AL NO SER POSIBLE CONSTATAR SU AUTENTICIDAD ES INÚTIL E INTRASCENDENTE SU PERFECCIONAMIENTO, POR LO QUE LA JUNTA ESTÁ IMPEDIDA PARA ORDENAR SU DESAHOGO.</w:t>
      </w:r>
      <w:r w:rsidRPr="00663B2F">
        <w:rPr>
          <w:rFonts w:ascii="Palatino Linotype" w:eastAsia="Palatino Linotype" w:hAnsi="Palatino Linotype" w:cs="Palatino Linotype"/>
          <w:i/>
          <w:color w:val="000000"/>
        </w:rPr>
        <w:t xml:space="preserve"> Cuando alguna de las partes en el juicio laboral ofrece como prueba algún documento en copia fotostática y su perfeccionamiento por medio del cotejo con su original, la Junta estará impedida para ordenar su desahogo, si el texto de esas reproducciones fotostáticas es ilegible en alguna de sus partes, toda vez que el actuario no podrá constatar, a través de sus sentidos, si concuerdan o no las copias aportadas al sumario con sus originales, pues no es posible que en caso de que la parte legible de esas reproducciones resulte igual que sus originales y, que por ese hecho, considerara lo mismo respecto de la otra parte a la que no puede dar lectura, dado que es ilegible; por tanto, al ser imposible constatar su autenticidad por medio del citado perfeccionamiento, dicha probanza se torna inútil e intrascendente, conforme al artículo 779 de la Ley Federal del Trabajo.</w:t>
      </w:r>
    </w:p>
    <w:p w:rsidR="00795CC1" w:rsidRPr="00663B2F" w:rsidRDefault="00795CC1" w:rsidP="00795CC1">
      <w:pPr>
        <w:pBdr>
          <w:top w:val="nil"/>
          <w:left w:val="nil"/>
          <w:bottom w:val="nil"/>
          <w:right w:val="nil"/>
          <w:between w:val="nil"/>
        </w:pBdr>
        <w:tabs>
          <w:tab w:val="left" w:pos="426"/>
        </w:tabs>
        <w:spacing w:line="360" w:lineRule="auto"/>
        <w:ind w:right="51"/>
        <w:jc w:val="both"/>
        <w:rPr>
          <w:rFonts w:ascii="Palatino Linotype" w:eastAsia="Palatino Linotype" w:hAnsi="Palatino Linotype" w:cs="Palatino Linotype"/>
          <w:color w:val="000000"/>
        </w:rPr>
      </w:pPr>
    </w:p>
    <w:p w:rsidR="00DD4E57" w:rsidRPr="00663B2F" w:rsidRDefault="00795CC1" w:rsidP="00DD4E57">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Por lo que, la información proporcionada por el Sujeto Obligado no colma totalmente el requerimiento del particular, en razón de que, al ser ilegibles e incompleta impide en plenitud el acceso a la información, pues impide el conocimiento del texto completo dentro del documento., por lo tanto, este Órgano Garante determina procedente ordenar los tabuladores de sueldos del ejercicio fiscal 2021 y 2024.  </w:t>
      </w:r>
    </w:p>
    <w:p w:rsidR="00DD4E57" w:rsidRPr="00663B2F" w:rsidRDefault="00DD4E57" w:rsidP="00DD4E57">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lastRenderedPageBreak/>
        <w:t xml:space="preserve">Por otro lado, recordemos que el tabulador de sueldos forma parte de las obligaciones de transparencia común, que se encuentra establecido en el  artículo 92, fracción VIII, que establece la publicación de la remuneración bruta y neta de todos los servidores públicos de base o de confianza, de todas las percepciones, incluyendo sueldos, prestaciones, gratificaciones, primas, comisiones, dietas, bonos, estímulos, ingresos y sistemas de compensación, señalando la periodicidad de dicha remuneración. </w:t>
      </w:r>
    </w:p>
    <w:p w:rsidR="00795CC1" w:rsidRPr="00663B2F" w:rsidRDefault="00795CC1" w:rsidP="00795CC1">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774AEB" w:rsidRPr="00663B2F" w:rsidRDefault="00774AEB" w:rsidP="00795CC1">
      <w:pPr>
        <w:numPr>
          <w:ilvl w:val="0"/>
          <w:numId w:val="2"/>
        </w:numPr>
        <w:pBdr>
          <w:top w:val="nil"/>
          <w:left w:val="nil"/>
          <w:bottom w:val="nil"/>
          <w:right w:val="nil"/>
          <w:between w:val="nil"/>
        </w:pBdr>
        <w:tabs>
          <w:tab w:val="left" w:pos="0"/>
        </w:tabs>
        <w:spacing w:line="360" w:lineRule="auto"/>
        <w:ind w:left="0" w:right="51" w:firstLine="0"/>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color w:val="000000"/>
        </w:rPr>
        <w:t xml:space="preserve">Por lo tanto, en consecuencia y en mérito de lo expuesto en líneas anteriores, resultan fundadas las razones o motivos de inconformidad hechos valer por el </w:t>
      </w:r>
      <w:r w:rsidRPr="00663B2F">
        <w:rPr>
          <w:rFonts w:ascii="Palatino Linotype" w:eastAsia="Palatino Linotype" w:hAnsi="Palatino Linotype" w:cs="Palatino Linotype"/>
          <w:b/>
          <w:bCs/>
          <w:color w:val="000000"/>
        </w:rPr>
        <w:t>RECURRENTE</w:t>
      </w:r>
      <w:r w:rsidRPr="00663B2F">
        <w:rPr>
          <w:rFonts w:ascii="Palatino Linotype" w:eastAsia="Palatino Linotype" w:hAnsi="Palatino Linotype" w:cs="Palatino Linotype"/>
          <w:color w:val="000000"/>
        </w:rPr>
        <w:t xml:space="preserve"> dentro del recurso de revisión </w:t>
      </w:r>
      <w:r w:rsidR="00795CC1" w:rsidRPr="00663B2F">
        <w:rPr>
          <w:rFonts w:ascii="Palatino Linotype" w:eastAsia="Palatino Linotype" w:hAnsi="Palatino Linotype" w:cs="Palatino Linotype"/>
          <w:b/>
          <w:bCs/>
          <w:color w:val="000000"/>
        </w:rPr>
        <w:t>10758</w:t>
      </w:r>
      <w:r w:rsidRPr="00663B2F">
        <w:rPr>
          <w:rFonts w:ascii="Palatino Linotype" w:eastAsia="Palatino Linotype" w:hAnsi="Palatino Linotype" w:cs="Palatino Linotype"/>
          <w:b/>
          <w:bCs/>
          <w:color w:val="000000"/>
        </w:rPr>
        <w:t>/INFOEM/IP/RR/2025</w:t>
      </w:r>
      <w:r w:rsidRPr="00663B2F">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sidRPr="00663B2F">
        <w:rPr>
          <w:rFonts w:ascii="Palatino Linotype" w:eastAsia="Palatino Linotype" w:hAnsi="Palatino Linotype" w:cs="Palatino Linotype"/>
          <w:b/>
          <w:bCs/>
          <w:color w:val="000000"/>
        </w:rPr>
        <w:t>MODIFICA</w:t>
      </w:r>
      <w:r w:rsidRPr="00663B2F">
        <w:rPr>
          <w:rFonts w:ascii="Palatino Linotype" w:eastAsia="Palatino Linotype" w:hAnsi="Palatino Linotype" w:cs="Palatino Linotype"/>
          <w:color w:val="000000"/>
        </w:rPr>
        <w:t xml:space="preserve"> la respuesta a la solicitud de información número </w:t>
      </w:r>
      <w:r w:rsidR="00795CC1" w:rsidRPr="00663B2F">
        <w:rPr>
          <w:rFonts w:ascii="Palatino Linotype" w:eastAsia="Palatino Linotype" w:hAnsi="Palatino Linotype" w:cs="Palatino Linotype"/>
          <w:b/>
          <w:bCs/>
          <w:color w:val="000000"/>
        </w:rPr>
        <w:t>01393/CUAUTIZC/IP/2025</w:t>
      </w:r>
      <w:r w:rsidRPr="00663B2F">
        <w:rPr>
          <w:rFonts w:ascii="Palatino Linotype" w:eastAsia="Palatino Linotype" w:hAnsi="Palatino Linotype" w:cs="Palatino Linotype"/>
          <w:b/>
          <w:bCs/>
          <w:color w:val="000000"/>
        </w:rPr>
        <w:t xml:space="preserve"> </w:t>
      </w:r>
      <w:r w:rsidRPr="00663B2F">
        <w:rPr>
          <w:rFonts w:ascii="Palatino Linotype" w:eastAsia="Palatino Linotype" w:hAnsi="Palatino Linotype" w:cs="Palatino Linotype"/>
          <w:color w:val="000000"/>
        </w:rPr>
        <w:t xml:space="preserve">y se </w:t>
      </w:r>
      <w:r w:rsidRPr="00663B2F">
        <w:rPr>
          <w:rFonts w:ascii="Palatino Linotype" w:eastAsia="Palatino Linotype" w:hAnsi="Palatino Linotype" w:cs="Palatino Linotype"/>
          <w:b/>
          <w:bCs/>
          <w:color w:val="000000"/>
        </w:rPr>
        <w:t xml:space="preserve">ORDENA </w:t>
      </w:r>
      <w:r w:rsidRPr="00663B2F">
        <w:rPr>
          <w:rFonts w:ascii="Palatino Linotype" w:eastAsia="Palatino Linotype" w:hAnsi="Palatino Linotype" w:cs="Palatino Linotype"/>
          <w:color w:val="000000"/>
        </w:rPr>
        <w:t>entregar:</w:t>
      </w:r>
    </w:p>
    <w:p w:rsidR="00795CC1" w:rsidRPr="00663B2F" w:rsidRDefault="00795CC1" w:rsidP="00795CC1">
      <w:pPr>
        <w:pBdr>
          <w:top w:val="nil"/>
          <w:left w:val="nil"/>
          <w:bottom w:val="nil"/>
          <w:right w:val="nil"/>
          <w:between w:val="nil"/>
        </w:pBdr>
        <w:tabs>
          <w:tab w:val="left" w:pos="0"/>
        </w:tabs>
        <w:spacing w:line="360" w:lineRule="auto"/>
        <w:ind w:right="51"/>
        <w:jc w:val="both"/>
        <w:rPr>
          <w:rFonts w:ascii="Palatino Linotype" w:eastAsia="Palatino Linotype" w:hAnsi="Palatino Linotype" w:cs="Palatino Linotype"/>
          <w:color w:val="000000"/>
        </w:rPr>
      </w:pPr>
    </w:p>
    <w:p w:rsidR="00774AEB" w:rsidRPr="00663B2F" w:rsidRDefault="00795CC1" w:rsidP="00795CC1">
      <w:pPr>
        <w:pStyle w:val="Prrafodelista"/>
        <w:numPr>
          <w:ilvl w:val="0"/>
          <w:numId w:val="14"/>
        </w:numPr>
        <w:pBdr>
          <w:top w:val="nil"/>
          <w:left w:val="nil"/>
          <w:bottom w:val="nil"/>
          <w:right w:val="nil"/>
          <w:between w:val="nil"/>
        </w:pBdr>
        <w:spacing w:line="360" w:lineRule="auto"/>
        <w:ind w:left="851" w:right="822" w:firstLine="0"/>
        <w:jc w:val="both"/>
        <w:rPr>
          <w:rFonts w:ascii="Palatino Linotype" w:eastAsia="Palatino Linotype" w:hAnsi="Palatino Linotype" w:cs="Palatino Linotype"/>
          <w:b/>
        </w:rPr>
      </w:pPr>
      <w:r w:rsidRPr="00663B2F">
        <w:rPr>
          <w:rFonts w:ascii="Palatino Linotype" w:eastAsia="Palatino Linotype" w:hAnsi="Palatino Linotype" w:cs="Palatino Linotype"/>
          <w:b/>
        </w:rPr>
        <w:t xml:space="preserve">Tabulador de sueldos del ejercicio fiscal 2021 y del 01 de enero al 30 de septiembre del ejercicio fiscal 2024. </w:t>
      </w:r>
    </w:p>
    <w:p w:rsidR="00795CC1" w:rsidRPr="00663B2F" w:rsidRDefault="00795CC1" w:rsidP="00795CC1">
      <w:pPr>
        <w:pStyle w:val="Prrafodelista"/>
        <w:pBdr>
          <w:top w:val="nil"/>
          <w:left w:val="nil"/>
          <w:bottom w:val="nil"/>
          <w:right w:val="nil"/>
          <w:between w:val="nil"/>
        </w:pBdr>
        <w:spacing w:line="360" w:lineRule="auto"/>
        <w:ind w:left="1800"/>
        <w:jc w:val="both"/>
        <w:rPr>
          <w:rFonts w:ascii="Palatino Linotype" w:eastAsia="Palatino Linotype" w:hAnsi="Palatino Linotype" w:cs="Palatino Linotype"/>
        </w:rPr>
      </w:pPr>
    </w:p>
    <w:p w:rsidR="00795CC1" w:rsidRPr="00663B2F" w:rsidRDefault="00774AEB" w:rsidP="00795CC1">
      <w:pPr>
        <w:numPr>
          <w:ilvl w:val="0"/>
          <w:numId w:val="2"/>
        </w:numPr>
        <w:spacing w:line="360" w:lineRule="auto"/>
        <w:ind w:left="0" w:firstLine="0"/>
        <w:jc w:val="both"/>
        <w:rPr>
          <w:rFonts w:ascii="Palatino Linotype" w:eastAsia="Palatino Linotype" w:hAnsi="Palatino Linotype" w:cs="Palatino Linotype"/>
        </w:rPr>
      </w:pPr>
      <w:r w:rsidRPr="00663B2F">
        <w:rPr>
          <w:rFonts w:ascii="Palatino Linotype" w:eastAsia="Palatino Linotype" w:hAnsi="Palatino Linotype" w:cs="Palatino Linotype"/>
          <w:color w:val="000000"/>
        </w:rPr>
        <w:t xml:space="preserve">Por lo anteriormente expuesto y fundado, este </w:t>
      </w:r>
      <w:r w:rsidRPr="00663B2F">
        <w:rPr>
          <w:rFonts w:ascii="Palatino Linotype" w:eastAsia="Palatino Linotype" w:hAnsi="Palatino Linotype" w:cs="Palatino Linotype"/>
          <w:b/>
          <w:bCs/>
          <w:color w:val="000000"/>
        </w:rPr>
        <w:t>ÓRGANO GARANTE</w:t>
      </w:r>
      <w:r w:rsidRPr="00663B2F">
        <w:rPr>
          <w:rFonts w:ascii="Palatino Linotype" w:eastAsia="Palatino Linotype" w:hAnsi="Palatino Linotype" w:cs="Palatino Linotype"/>
          <w:color w:val="000000"/>
        </w:rPr>
        <w:t xml:space="preserve"> emite los siguientes:</w:t>
      </w:r>
      <w:r w:rsidR="00663B2F">
        <w:rPr>
          <w:rFonts w:ascii="Palatino Linotype" w:eastAsia="Palatino Linotype" w:hAnsi="Palatino Linotype" w:cs="Palatino Linotype"/>
          <w:color w:val="000000"/>
        </w:rPr>
        <w:t xml:space="preserve"> --------------------------------------------------------------------------------------------------------------</w:t>
      </w:r>
    </w:p>
    <w:p w:rsidR="00795CC1" w:rsidRPr="00663B2F" w:rsidRDefault="00795CC1" w:rsidP="00795CC1">
      <w:pPr>
        <w:spacing w:line="360" w:lineRule="auto"/>
        <w:jc w:val="both"/>
        <w:rPr>
          <w:rFonts w:ascii="Palatino Linotype" w:eastAsia="Palatino Linotype" w:hAnsi="Palatino Linotype" w:cs="Palatino Linotype"/>
        </w:rPr>
      </w:pPr>
    </w:p>
    <w:p w:rsidR="00774AEB" w:rsidRPr="00663B2F" w:rsidRDefault="00774AEB" w:rsidP="00774AEB">
      <w:pPr>
        <w:keepNext/>
        <w:keepLines/>
        <w:spacing w:before="240" w:line="360" w:lineRule="auto"/>
        <w:jc w:val="center"/>
        <w:rPr>
          <w:rFonts w:ascii="Palatino Linotype" w:eastAsia="Palatino Linotype" w:hAnsi="Palatino Linotype" w:cs="Palatino Linotype"/>
          <w:b/>
          <w:bCs/>
          <w:color w:val="000000"/>
        </w:rPr>
      </w:pPr>
      <w:r w:rsidRPr="00663B2F">
        <w:rPr>
          <w:rFonts w:ascii="Palatino Linotype" w:eastAsia="Palatino Linotype" w:hAnsi="Palatino Linotype" w:cs="Palatino Linotype"/>
          <w:b/>
          <w:bCs/>
          <w:color w:val="000000"/>
        </w:rPr>
        <w:lastRenderedPageBreak/>
        <w:t>R E S O L U T I V O S</w:t>
      </w:r>
    </w:p>
    <w:p w:rsidR="00774AEB" w:rsidRPr="00663B2F" w:rsidRDefault="00774AEB" w:rsidP="00774AEB">
      <w:pPr>
        <w:keepNext/>
        <w:keepLines/>
        <w:spacing w:before="240" w:line="360" w:lineRule="auto"/>
        <w:jc w:val="center"/>
        <w:rPr>
          <w:rFonts w:ascii="Palatino Linotype" w:eastAsia="Palatino Linotype" w:hAnsi="Palatino Linotype" w:cs="Palatino Linotype"/>
          <w:b/>
          <w:bCs/>
          <w:color w:val="000000"/>
        </w:rPr>
      </w:pPr>
    </w:p>
    <w:p w:rsidR="00774AEB" w:rsidRPr="00663B2F" w:rsidRDefault="00774AEB" w:rsidP="00774AEB">
      <w:pPr>
        <w:spacing w:line="360" w:lineRule="auto"/>
        <w:jc w:val="both"/>
        <w:rPr>
          <w:rFonts w:ascii="Palatino Linotype" w:eastAsia="Palatino Linotype" w:hAnsi="Palatino Linotype" w:cs="Palatino Linotype"/>
        </w:rPr>
      </w:pPr>
      <w:r w:rsidRPr="00663B2F">
        <w:rPr>
          <w:rFonts w:ascii="Palatino Linotype" w:eastAsia="Palatino Linotype" w:hAnsi="Palatino Linotype" w:cs="Palatino Linotype"/>
          <w:b/>
          <w:bCs/>
        </w:rPr>
        <w:t xml:space="preserve">PRIMERO. </w:t>
      </w:r>
      <w:r w:rsidRPr="00663B2F">
        <w:rPr>
          <w:rFonts w:ascii="Palatino Linotype" w:eastAsia="Palatino Linotype" w:hAnsi="Palatino Linotype" w:cs="Palatino Linotype"/>
        </w:rPr>
        <w:t>Resultan parcialmente fundadas las</w:t>
      </w:r>
      <w:r w:rsidRPr="00663B2F">
        <w:rPr>
          <w:rFonts w:ascii="Palatino Linotype" w:eastAsia="Palatino Linotype" w:hAnsi="Palatino Linotype" w:cs="Palatino Linotype"/>
          <w:b/>
          <w:bCs/>
        </w:rPr>
        <w:t xml:space="preserve"> </w:t>
      </w:r>
      <w:r w:rsidRPr="00663B2F">
        <w:rPr>
          <w:rFonts w:ascii="Palatino Linotype" w:eastAsia="Palatino Linotype" w:hAnsi="Palatino Linotype" w:cs="Palatino Linotype"/>
        </w:rPr>
        <w:t xml:space="preserve">razones o motivos de inconformidad hechos valer en el recurso de revisión </w:t>
      </w:r>
      <w:r w:rsidR="00795CC1" w:rsidRPr="00663B2F">
        <w:rPr>
          <w:rFonts w:ascii="Palatino Linotype" w:eastAsia="Palatino Linotype" w:hAnsi="Palatino Linotype" w:cs="Palatino Linotype"/>
          <w:b/>
          <w:bCs/>
        </w:rPr>
        <w:t>10758</w:t>
      </w:r>
      <w:r w:rsidRPr="00663B2F">
        <w:rPr>
          <w:rFonts w:ascii="Palatino Linotype" w:eastAsia="Palatino Linotype" w:hAnsi="Palatino Linotype" w:cs="Palatino Linotype"/>
          <w:b/>
          <w:bCs/>
        </w:rPr>
        <w:t xml:space="preserve">/INFOEM/IP/RR/2025 </w:t>
      </w:r>
      <w:r w:rsidRPr="00663B2F">
        <w:rPr>
          <w:rFonts w:ascii="Palatino Linotype" w:eastAsia="Palatino Linotype" w:hAnsi="Palatino Linotype" w:cs="Palatino Linotype"/>
        </w:rPr>
        <w:t xml:space="preserve">en términos del </w:t>
      </w:r>
      <w:r w:rsidRPr="00663B2F">
        <w:rPr>
          <w:rFonts w:ascii="Palatino Linotype" w:eastAsia="Palatino Linotype" w:hAnsi="Palatino Linotype" w:cs="Palatino Linotype"/>
          <w:b/>
          <w:bCs/>
        </w:rPr>
        <w:t>Considerando</w:t>
      </w:r>
      <w:r w:rsidRPr="00663B2F">
        <w:rPr>
          <w:rFonts w:ascii="Palatino Linotype" w:eastAsia="Palatino Linotype" w:hAnsi="Palatino Linotype" w:cs="Palatino Linotype"/>
        </w:rPr>
        <w:t xml:space="preserve"> </w:t>
      </w:r>
      <w:r w:rsidR="00795CC1" w:rsidRPr="00663B2F">
        <w:rPr>
          <w:rFonts w:ascii="Palatino Linotype" w:eastAsia="Palatino Linotype" w:hAnsi="Palatino Linotype" w:cs="Palatino Linotype"/>
          <w:b/>
          <w:bCs/>
        </w:rPr>
        <w:t>CUARTO</w:t>
      </w:r>
      <w:r w:rsidRPr="00663B2F">
        <w:rPr>
          <w:rFonts w:ascii="Palatino Linotype" w:eastAsia="Palatino Linotype" w:hAnsi="Palatino Linotype" w:cs="Palatino Linotype"/>
          <w:b/>
          <w:bCs/>
        </w:rPr>
        <w:t xml:space="preserve"> </w:t>
      </w:r>
      <w:r w:rsidRPr="00663B2F">
        <w:rPr>
          <w:rFonts w:ascii="Palatino Linotype" w:eastAsia="Palatino Linotype" w:hAnsi="Palatino Linotype" w:cs="Palatino Linotype"/>
        </w:rPr>
        <w:t>de la presente resolución.</w:t>
      </w:r>
    </w:p>
    <w:p w:rsidR="00774AEB" w:rsidRPr="00663B2F" w:rsidRDefault="00774AEB" w:rsidP="00774AEB">
      <w:pPr>
        <w:spacing w:line="360" w:lineRule="auto"/>
        <w:jc w:val="both"/>
        <w:rPr>
          <w:rFonts w:ascii="Palatino Linotype" w:eastAsia="Palatino Linotype" w:hAnsi="Palatino Linotype" w:cs="Palatino Linotype"/>
        </w:rPr>
      </w:pPr>
    </w:p>
    <w:p w:rsidR="00774AEB" w:rsidRPr="00663B2F" w:rsidRDefault="00774AEB" w:rsidP="00774AEB">
      <w:pPr>
        <w:spacing w:line="360" w:lineRule="auto"/>
        <w:jc w:val="both"/>
        <w:rPr>
          <w:rFonts w:ascii="Palatino Linotype" w:eastAsia="Palatino Linotype" w:hAnsi="Palatino Linotype" w:cs="Palatino Linotype"/>
        </w:rPr>
      </w:pPr>
      <w:bookmarkStart w:id="7" w:name="_heading=h.26in1rg" w:colFirst="0" w:colLast="0"/>
      <w:bookmarkEnd w:id="7"/>
      <w:r w:rsidRPr="00663B2F">
        <w:rPr>
          <w:rFonts w:ascii="Palatino Linotype" w:eastAsia="Palatino Linotype" w:hAnsi="Palatino Linotype" w:cs="Palatino Linotype"/>
          <w:b/>
          <w:bCs/>
        </w:rPr>
        <w:t>SEGUNDO.</w:t>
      </w:r>
      <w:r w:rsidRPr="00663B2F">
        <w:rPr>
          <w:rFonts w:ascii="Palatino Linotype" w:eastAsia="Palatino Linotype" w:hAnsi="Palatino Linotype" w:cs="Palatino Linotype"/>
          <w:color w:val="2F5496"/>
        </w:rPr>
        <w:t xml:space="preserve"> </w:t>
      </w:r>
      <w:r w:rsidRPr="00663B2F">
        <w:rPr>
          <w:rFonts w:ascii="Palatino Linotype" w:eastAsia="Palatino Linotype" w:hAnsi="Palatino Linotype" w:cs="Palatino Linotype"/>
        </w:rPr>
        <w:t>Se</w:t>
      </w:r>
      <w:r w:rsidRPr="00663B2F">
        <w:rPr>
          <w:rFonts w:ascii="Palatino Linotype" w:eastAsia="Palatino Linotype" w:hAnsi="Palatino Linotype" w:cs="Palatino Linotype"/>
          <w:b/>
          <w:bCs/>
        </w:rPr>
        <w:t xml:space="preserve"> MODIFICA </w:t>
      </w:r>
      <w:r w:rsidRPr="00663B2F">
        <w:rPr>
          <w:rFonts w:ascii="Palatino Linotype" w:eastAsia="Palatino Linotype" w:hAnsi="Palatino Linotype" w:cs="Palatino Linotype"/>
        </w:rPr>
        <w:t xml:space="preserve">la respuesta emitida por el </w:t>
      </w:r>
      <w:r w:rsidR="00795CC1" w:rsidRPr="00663B2F">
        <w:rPr>
          <w:rFonts w:ascii="Palatino Linotype" w:eastAsia="Palatino Linotype" w:hAnsi="Palatino Linotype" w:cs="Palatino Linotype"/>
          <w:b/>
          <w:bCs/>
        </w:rPr>
        <w:t>Ayuntamiento de Cuautitlán Izcalli</w:t>
      </w:r>
      <w:r w:rsidRPr="00663B2F">
        <w:rPr>
          <w:rFonts w:ascii="Palatino Linotype" w:eastAsia="Palatino Linotype" w:hAnsi="Palatino Linotype" w:cs="Palatino Linotype"/>
          <w:b/>
          <w:bCs/>
        </w:rPr>
        <w:t xml:space="preserve"> </w:t>
      </w:r>
      <w:r w:rsidRPr="00663B2F">
        <w:rPr>
          <w:rFonts w:ascii="Palatino Linotype" w:eastAsia="Palatino Linotype" w:hAnsi="Palatino Linotype" w:cs="Palatino Linotype"/>
        </w:rPr>
        <w:t xml:space="preserve">a la solicitud </w:t>
      </w:r>
      <w:r w:rsidR="00795CC1" w:rsidRPr="00663B2F">
        <w:rPr>
          <w:rFonts w:ascii="Palatino Linotype" w:eastAsia="Palatino Linotype" w:hAnsi="Palatino Linotype" w:cs="Palatino Linotype"/>
          <w:b/>
          <w:bCs/>
          <w:color w:val="000000"/>
        </w:rPr>
        <w:t>01393/CUAUTIZC/IP/2025</w:t>
      </w:r>
      <w:r w:rsidRPr="00663B2F">
        <w:rPr>
          <w:rFonts w:ascii="Palatino Linotype" w:eastAsia="Palatino Linotype" w:hAnsi="Palatino Linotype" w:cs="Palatino Linotype"/>
          <w:b/>
          <w:bCs/>
          <w:color w:val="000000"/>
        </w:rPr>
        <w:t>,</w:t>
      </w:r>
      <w:r w:rsidRPr="00663B2F">
        <w:rPr>
          <w:rFonts w:ascii="Palatino Linotype" w:eastAsia="Palatino Linotype" w:hAnsi="Palatino Linotype" w:cs="Palatino Linotype"/>
        </w:rPr>
        <w:t xml:space="preserve"> y se </w:t>
      </w:r>
      <w:r w:rsidRPr="00663B2F">
        <w:rPr>
          <w:rFonts w:ascii="Palatino Linotype" w:eastAsia="Palatino Linotype" w:hAnsi="Palatino Linotype" w:cs="Palatino Linotype"/>
          <w:b/>
          <w:bCs/>
        </w:rPr>
        <w:t>ORDENA</w:t>
      </w:r>
      <w:r w:rsidRPr="00663B2F">
        <w:rPr>
          <w:rFonts w:ascii="Palatino Linotype" w:eastAsia="Palatino Linotype" w:hAnsi="Palatino Linotype" w:cs="Palatino Linotype"/>
        </w:rPr>
        <w:t xml:space="preserve"> la entrega, a través del Sistema de Acceso a la Información Mexiquense, la siguiente información:</w:t>
      </w:r>
    </w:p>
    <w:p w:rsidR="00774AEB" w:rsidRPr="00663B2F" w:rsidRDefault="00774AEB" w:rsidP="00774AEB">
      <w:pPr>
        <w:spacing w:line="360" w:lineRule="auto"/>
        <w:jc w:val="both"/>
        <w:rPr>
          <w:rFonts w:ascii="Palatino Linotype" w:eastAsia="Palatino Linotype" w:hAnsi="Palatino Linotype" w:cs="Palatino Linotype"/>
        </w:rPr>
      </w:pPr>
    </w:p>
    <w:p w:rsidR="00774AEB" w:rsidRPr="00663B2F" w:rsidRDefault="00795CC1" w:rsidP="00795CC1">
      <w:pPr>
        <w:pStyle w:val="Prrafodelista"/>
        <w:numPr>
          <w:ilvl w:val="0"/>
          <w:numId w:val="4"/>
        </w:numPr>
        <w:pBdr>
          <w:top w:val="nil"/>
          <w:left w:val="nil"/>
          <w:bottom w:val="nil"/>
          <w:right w:val="nil"/>
          <w:between w:val="nil"/>
        </w:pBdr>
        <w:spacing w:line="360" w:lineRule="auto"/>
        <w:ind w:right="822"/>
        <w:jc w:val="both"/>
        <w:rPr>
          <w:rFonts w:ascii="Palatino Linotype" w:eastAsia="Palatino Linotype" w:hAnsi="Palatino Linotype" w:cs="Palatino Linotype"/>
          <w:b/>
        </w:rPr>
      </w:pPr>
      <w:bookmarkStart w:id="8" w:name="_heading=h.6oxbj6l8i40c" w:colFirst="0" w:colLast="0"/>
      <w:bookmarkEnd w:id="8"/>
      <w:r w:rsidRPr="00663B2F">
        <w:rPr>
          <w:rFonts w:ascii="Palatino Linotype" w:eastAsia="Palatino Linotype" w:hAnsi="Palatino Linotype" w:cs="Palatino Linotype"/>
          <w:b/>
        </w:rPr>
        <w:t>Tabulador de suel</w:t>
      </w:r>
      <w:r w:rsidR="00DD4E57" w:rsidRPr="00663B2F">
        <w:rPr>
          <w:rFonts w:ascii="Palatino Linotype" w:eastAsia="Palatino Linotype" w:hAnsi="Palatino Linotype" w:cs="Palatino Linotype"/>
          <w:b/>
        </w:rPr>
        <w:t>dos del ejercicio fiscal 2021 y</w:t>
      </w:r>
      <w:r w:rsidRPr="00663B2F">
        <w:rPr>
          <w:rFonts w:ascii="Palatino Linotype" w:eastAsia="Palatino Linotype" w:hAnsi="Palatino Linotype" w:cs="Palatino Linotype"/>
          <w:b/>
        </w:rPr>
        <w:t xml:space="preserve"> 2024. </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b/>
        </w:rPr>
      </w:pPr>
    </w:p>
    <w:p w:rsidR="00774AEB" w:rsidRPr="00663B2F" w:rsidRDefault="00774AEB" w:rsidP="00774AEB">
      <w:pPr>
        <w:shd w:val="clear" w:color="auto" w:fill="FFFFFF"/>
        <w:spacing w:line="360" w:lineRule="auto"/>
        <w:jc w:val="both"/>
        <w:rPr>
          <w:rFonts w:ascii="Palatino Linotype" w:eastAsia="Palatino Linotype" w:hAnsi="Palatino Linotype" w:cs="Palatino Linotype"/>
          <w:color w:val="222222"/>
        </w:rPr>
      </w:pPr>
      <w:r w:rsidRPr="00663B2F">
        <w:rPr>
          <w:rFonts w:ascii="Palatino Linotype" w:eastAsia="Palatino Linotype" w:hAnsi="Palatino Linotype" w:cs="Palatino Linotype"/>
          <w:b/>
          <w:bCs/>
          <w:color w:val="222222"/>
        </w:rPr>
        <w:t xml:space="preserve">TERCERO. </w:t>
      </w:r>
      <w:r w:rsidRPr="00663B2F">
        <w:rPr>
          <w:rFonts w:ascii="Palatino Linotype" w:eastAsia="Palatino Linotype" w:hAnsi="Palatino Linotype" w:cs="Palatino Linotype"/>
          <w:color w:val="222222"/>
        </w:rPr>
        <w:t xml:space="preserve">Notifíquese vía SAIMEX la presente resolución al Titular de la Unidad de Transparencia del Sujeto Obligado, para que conforme al artículo 186 último párrafo, 189 segundo párrafo y 194 de la Ley de Transparencia y Acceso a la Información Pública del Estado de México y Municipios </w:t>
      </w:r>
      <w:r w:rsidRPr="00663B2F">
        <w:rPr>
          <w:rFonts w:ascii="Palatino Linotype" w:eastAsia="Palatino Linotype" w:hAnsi="Palatino Linotype" w:cs="Palatino Linotype"/>
          <w:b/>
          <w:bCs/>
          <w:color w:val="222222"/>
        </w:rPr>
        <w:t>dé cumplimiento a lo ordenado dentro del plazo de diez días hábiles,</w:t>
      </w:r>
      <w:r w:rsidRPr="00663B2F">
        <w:rPr>
          <w:rFonts w:ascii="Palatino Linotype" w:eastAsia="Palatino Linotype" w:hAnsi="Palatino Linotype" w:cs="Palatino Linotype"/>
          <w:color w:val="222222"/>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774AEB" w:rsidRPr="00663B2F" w:rsidRDefault="00774AEB" w:rsidP="00774AEB">
      <w:pPr>
        <w:shd w:val="clear" w:color="auto" w:fill="FFFFFF"/>
        <w:spacing w:line="360" w:lineRule="auto"/>
        <w:jc w:val="both"/>
        <w:rPr>
          <w:rFonts w:ascii="Palatino Linotype" w:eastAsia="Palatino Linotype" w:hAnsi="Palatino Linotype" w:cs="Palatino Linotype"/>
          <w:b/>
          <w:bCs/>
          <w:color w:val="222222"/>
        </w:rPr>
      </w:pPr>
    </w:p>
    <w:p w:rsidR="00774AEB" w:rsidRPr="00663B2F" w:rsidRDefault="00774AEB" w:rsidP="00774AEB">
      <w:pPr>
        <w:shd w:val="clear" w:color="auto" w:fill="FFFFFF"/>
        <w:spacing w:line="360" w:lineRule="auto"/>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b/>
          <w:bCs/>
          <w:color w:val="000000"/>
        </w:rPr>
        <w:t>CUARTO.</w:t>
      </w:r>
      <w:r w:rsidRPr="00663B2F">
        <w:rPr>
          <w:rFonts w:ascii="Palatino Linotype" w:eastAsia="Palatino Linotype" w:hAnsi="Palatino Linotype" w:cs="Palatino Linotype"/>
          <w:color w:val="000000"/>
        </w:rPr>
        <w:t xml:space="preserve"> De conformidad con el artículo 198 de la Ley de Transparencia y Acceso a la Información Pública del Estado de México y Municipios, de considerarlo procedente, el </w:t>
      </w:r>
      <w:r w:rsidRPr="00663B2F">
        <w:rPr>
          <w:rFonts w:ascii="Palatino Linotype" w:eastAsia="Palatino Linotype" w:hAnsi="Palatino Linotype" w:cs="Palatino Linotype"/>
          <w:b/>
          <w:bCs/>
          <w:color w:val="000000"/>
        </w:rPr>
        <w:lastRenderedPageBreak/>
        <w:t>SUJETO OBLIGADO</w:t>
      </w:r>
      <w:r w:rsidRPr="00663B2F">
        <w:rPr>
          <w:rFonts w:ascii="Palatino Linotype" w:eastAsia="Palatino Linotype" w:hAnsi="Palatino Linotype" w:cs="Palatino Linotype"/>
          <w:color w:val="000000"/>
        </w:rPr>
        <w:t xml:space="preserve"> podrá, de manera fundada y motivada, solicitar una ampliación de plazo para el cumplimiento de la presente resolución.</w:t>
      </w:r>
    </w:p>
    <w:p w:rsidR="00774AEB" w:rsidRPr="00663B2F" w:rsidRDefault="00774AEB" w:rsidP="00774AEB">
      <w:pPr>
        <w:spacing w:line="360" w:lineRule="auto"/>
        <w:rPr>
          <w:rFonts w:ascii="Palatino Linotype" w:eastAsia="Palatino Linotype" w:hAnsi="Palatino Linotype" w:cs="Palatino Linotype"/>
        </w:rPr>
      </w:pPr>
    </w:p>
    <w:p w:rsidR="00774AEB" w:rsidRPr="00663B2F" w:rsidRDefault="00774AEB" w:rsidP="00774AEB">
      <w:pPr>
        <w:shd w:val="clear" w:color="auto" w:fill="FFFFFF"/>
        <w:spacing w:line="360" w:lineRule="auto"/>
        <w:jc w:val="both"/>
        <w:rPr>
          <w:rFonts w:ascii="Palatino Linotype" w:eastAsia="Palatino Linotype" w:hAnsi="Palatino Linotype" w:cs="Palatino Linotype"/>
          <w:color w:val="000000"/>
        </w:rPr>
      </w:pPr>
      <w:r w:rsidRPr="00663B2F">
        <w:rPr>
          <w:rFonts w:ascii="Palatino Linotype" w:eastAsia="Palatino Linotype" w:hAnsi="Palatino Linotype" w:cs="Palatino Linotype"/>
          <w:b/>
          <w:bCs/>
        </w:rPr>
        <w:t xml:space="preserve">QUINTO. </w:t>
      </w:r>
      <w:r w:rsidRPr="00663B2F">
        <w:rPr>
          <w:rFonts w:ascii="Palatino Linotype" w:eastAsia="Palatino Linotype" w:hAnsi="Palatino Linotype" w:cs="Palatino Linotype"/>
          <w:b/>
          <w:bCs/>
          <w:color w:val="222222"/>
        </w:rPr>
        <w:t xml:space="preserve">Notifíquese </w:t>
      </w:r>
      <w:r w:rsidRPr="00663B2F">
        <w:rPr>
          <w:rFonts w:ascii="Palatino Linotype" w:eastAsia="Palatino Linotype" w:hAnsi="Palatino Linotype" w:cs="Palatino Linotype"/>
          <w:color w:val="222222"/>
        </w:rPr>
        <w:t xml:space="preserve">al </w:t>
      </w:r>
      <w:r w:rsidRPr="00663B2F">
        <w:rPr>
          <w:rFonts w:ascii="Palatino Linotype" w:eastAsia="Palatino Linotype" w:hAnsi="Palatino Linotype" w:cs="Palatino Linotype"/>
          <w:b/>
          <w:bCs/>
          <w:color w:val="222222"/>
        </w:rPr>
        <w:t>RECURRENTE</w:t>
      </w:r>
      <w:r w:rsidRPr="00663B2F">
        <w:rPr>
          <w:rFonts w:ascii="Palatino Linotype" w:eastAsia="Palatino Linotype" w:hAnsi="Palatino Linotype" w:cs="Palatino Linotype"/>
          <w:color w:val="222222"/>
        </w:rPr>
        <w:t xml:space="preserve"> </w:t>
      </w:r>
      <w:r w:rsidRPr="00663B2F">
        <w:rPr>
          <w:rFonts w:ascii="Palatino Linotype" w:eastAsia="Palatino Linotype" w:hAnsi="Palatino Linotype" w:cs="Palatino Linotype"/>
        </w:rPr>
        <w:t>la presente resolución vía Sistema de Acceso a la Información Mexiquense (SAIMEX).</w:t>
      </w:r>
    </w:p>
    <w:p w:rsidR="00774AEB" w:rsidRPr="00663B2F" w:rsidRDefault="00774AEB" w:rsidP="00774AEB">
      <w:pPr>
        <w:shd w:val="clear" w:color="auto" w:fill="FFFFFF"/>
        <w:spacing w:line="360" w:lineRule="auto"/>
        <w:jc w:val="both"/>
        <w:rPr>
          <w:rFonts w:ascii="Palatino Linotype" w:eastAsia="Palatino Linotype" w:hAnsi="Palatino Linotype" w:cs="Palatino Linotype"/>
        </w:rPr>
      </w:pPr>
    </w:p>
    <w:p w:rsidR="00774AEB" w:rsidRPr="00663B2F" w:rsidRDefault="00774AEB" w:rsidP="00774AEB">
      <w:pPr>
        <w:spacing w:line="360" w:lineRule="auto"/>
        <w:jc w:val="both"/>
        <w:rPr>
          <w:rFonts w:ascii="Palatino Linotype" w:eastAsia="Palatino Linotype" w:hAnsi="Palatino Linotype" w:cs="Palatino Linotype"/>
        </w:rPr>
      </w:pPr>
      <w:r w:rsidRPr="00663B2F">
        <w:rPr>
          <w:rFonts w:ascii="Palatino Linotype" w:eastAsia="Palatino Linotype" w:hAnsi="Palatino Linotype" w:cs="Palatino Linotype"/>
          <w:b/>
          <w:bCs/>
        </w:rPr>
        <w:t>SEXTO.</w:t>
      </w:r>
      <w:r w:rsidRPr="00663B2F">
        <w:rPr>
          <w:rFonts w:ascii="Palatino Linotype" w:eastAsia="Palatino Linotype" w:hAnsi="Palatino Linotype" w:cs="Palatino Linotype"/>
        </w:rPr>
        <w:t xml:space="preserve"> Se hace del conocimiento del </w:t>
      </w:r>
      <w:r w:rsidRPr="00663B2F">
        <w:rPr>
          <w:rFonts w:ascii="Palatino Linotype" w:eastAsia="Palatino Linotype" w:hAnsi="Palatino Linotype" w:cs="Palatino Linotype"/>
          <w:b/>
          <w:bCs/>
        </w:rPr>
        <w:t>RECURRENTE</w:t>
      </w:r>
      <w:r w:rsidRPr="00663B2F">
        <w:rPr>
          <w:rFonts w:ascii="Palatino Linotype" w:eastAsia="Palatino Linotype" w:hAnsi="Palatino Linotype" w:cs="Palatino Linotype"/>
          <w:color w:val="222222"/>
        </w:rPr>
        <w:t xml:space="preserve"> </w:t>
      </w:r>
      <w:r w:rsidRPr="00663B2F">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A24EE2" w:rsidRPr="00663B2F" w:rsidRDefault="00A24EE2" w:rsidP="00A24EE2">
      <w:pPr>
        <w:spacing w:before="240" w:after="240" w:line="360" w:lineRule="auto"/>
        <w:ind w:firstLine="1"/>
        <w:jc w:val="both"/>
        <w:rPr>
          <w:rFonts w:ascii="Palatino Linotype" w:hAnsi="Palatino Linotype"/>
        </w:rPr>
      </w:pPr>
      <w:bookmarkStart w:id="9" w:name="_Hlk99014733"/>
      <w:r w:rsidRPr="00663B2F">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DÉCIMA OCTAVA SESIÓN ORDINARIA, CELEBRADA EL VEINTE (20) DE MAYO DE DOS MIL VEINTISÉIS, ANTE EL SECRETARIO TÉCNICO DEL PLENO </w:t>
      </w:r>
      <w:r w:rsidRPr="00663B2F">
        <w:rPr>
          <w:rFonts w:ascii="Palatino Linotype" w:hAnsi="Palatino Linotype" w:cs="Palatino Linotype"/>
          <w:color w:val="000000" w:themeColor="text1"/>
        </w:rPr>
        <w:t>ALEXIS TAPIA RAMÍREZ.</w:t>
      </w:r>
    </w:p>
    <w:bookmarkEnd w:id="9"/>
    <w:p w:rsidR="00774AEB" w:rsidRPr="00663B2F" w:rsidRDefault="00774AEB" w:rsidP="00774AE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774AEB" w:rsidRPr="00663B2F" w:rsidRDefault="00774AEB" w:rsidP="00774AE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774AEB" w:rsidRPr="00663B2F" w:rsidRDefault="00774AEB" w:rsidP="00774AE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774AEB" w:rsidRPr="00663B2F" w:rsidRDefault="00774AEB" w:rsidP="00774AE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774AEB" w:rsidRPr="00663B2F" w:rsidRDefault="00774AEB" w:rsidP="00774AEB">
      <w:pPr>
        <w:pBdr>
          <w:top w:val="nil"/>
          <w:left w:val="nil"/>
          <w:bottom w:val="nil"/>
          <w:right w:val="nil"/>
          <w:between w:val="nil"/>
        </w:pBdr>
        <w:tabs>
          <w:tab w:val="left" w:pos="284"/>
        </w:tabs>
        <w:spacing w:line="360" w:lineRule="auto"/>
        <w:jc w:val="both"/>
        <w:rPr>
          <w:rFonts w:ascii="Palatino Linotype" w:eastAsia="Palatino Linotype" w:hAnsi="Palatino Linotype" w:cs="Palatino Linotype"/>
        </w:rPr>
      </w:pP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4AEB" w:rsidRPr="00663B2F" w:rsidRDefault="00774AEB" w:rsidP="00774AEB">
      <w:pPr>
        <w:pBdr>
          <w:top w:val="nil"/>
          <w:left w:val="nil"/>
          <w:bottom w:val="nil"/>
          <w:right w:val="nil"/>
          <w:between w:val="nil"/>
        </w:pBdr>
        <w:ind w:left="720"/>
        <w:rPr>
          <w:rFonts w:ascii="Palatino Linotype" w:eastAsia="Palatino Linotype" w:hAnsi="Palatino Linotype" w:cs="Palatino Linotype"/>
          <w:color w:val="000000"/>
        </w:rPr>
      </w:pPr>
    </w:p>
    <w:p w:rsidR="00774AEB" w:rsidRPr="00663B2F" w:rsidRDefault="00774AEB" w:rsidP="00774AEB">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774AEB" w:rsidRPr="00663B2F" w:rsidRDefault="00774AEB" w:rsidP="00774AEB"/>
    <w:p w:rsidR="00774AEB" w:rsidRPr="00663B2F" w:rsidRDefault="00774AEB" w:rsidP="00774AEB"/>
    <w:p w:rsidR="00774AEB" w:rsidRPr="00663B2F" w:rsidRDefault="00774AEB" w:rsidP="00774AEB"/>
    <w:p w:rsidR="00774AEB" w:rsidRPr="00663B2F" w:rsidRDefault="00774AEB" w:rsidP="00774AEB"/>
    <w:p w:rsidR="00774AEB" w:rsidRPr="00663B2F" w:rsidRDefault="00774AEB" w:rsidP="00774AEB"/>
    <w:p w:rsidR="00774AEB" w:rsidRPr="00663B2F" w:rsidRDefault="00774AEB" w:rsidP="00774AEB"/>
    <w:p w:rsidR="00774AEB" w:rsidRPr="00663B2F" w:rsidRDefault="00774AEB" w:rsidP="00774AEB"/>
    <w:p w:rsidR="00774AEB" w:rsidRPr="00663B2F" w:rsidRDefault="00774AEB" w:rsidP="00774AEB"/>
    <w:p w:rsidR="00774AEB" w:rsidRPr="00663B2F" w:rsidRDefault="00774AEB" w:rsidP="00774AEB"/>
    <w:p w:rsidR="00774AEB" w:rsidRPr="00663B2F" w:rsidRDefault="00774AEB" w:rsidP="00774AEB"/>
    <w:p w:rsidR="00774AEB" w:rsidRPr="00663B2F" w:rsidRDefault="00774AEB" w:rsidP="00774AEB"/>
    <w:p w:rsidR="00217BD1" w:rsidRPr="00663B2F" w:rsidRDefault="00217BD1"/>
    <w:sectPr w:rsidR="00217BD1" w:rsidRPr="00663B2F" w:rsidSect="00663B2F">
      <w:headerReference w:type="even" r:id="rId14"/>
      <w:headerReference w:type="default" r:id="rId15"/>
      <w:footerReference w:type="default" r:id="rId16"/>
      <w:headerReference w:type="first" r:id="rId17"/>
      <w:footerReference w:type="first" r:id="rId18"/>
      <w:pgSz w:w="12240" w:h="15840"/>
      <w:pgMar w:top="80" w:right="616" w:bottom="1418" w:left="1588" w:header="709"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F2BA2" w:rsidRDefault="004F2BA2" w:rsidP="00774AEB">
      <w:r>
        <w:separator/>
      </w:r>
    </w:p>
  </w:endnote>
  <w:endnote w:type="continuationSeparator" w:id="0">
    <w:p w:rsidR="004F2BA2" w:rsidRDefault="004F2BA2" w:rsidP="00774A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Palatino Linotype">
    <w:altName w:val="Palatino"/>
    <w:panose1 w:val="02040502050505030304"/>
    <w:charset w:val="00"/>
    <w:family w:val="roman"/>
    <w:pitch w:val="variable"/>
    <w:sig w:usb0="E0000287" w:usb1="40000013" w:usb2="00000000" w:usb3="00000000" w:csb0="0000019F" w:csb1="00000000"/>
  </w:font>
  <w:font w:name="Noto Sans Symbol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B30" w:rsidRPr="00663B2F" w:rsidRDefault="00074B3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663B2F">
      <w:rPr>
        <w:rFonts w:ascii="Palatino Linotype" w:hAnsi="Palatino Linotype"/>
        <w:color w:val="000000"/>
        <w:sz w:val="22"/>
      </w:rPr>
      <w:t xml:space="preserve">Página </w:t>
    </w:r>
    <w:r w:rsidRPr="00663B2F">
      <w:rPr>
        <w:rFonts w:ascii="Palatino Linotype" w:hAnsi="Palatino Linotype"/>
        <w:b/>
        <w:bCs/>
        <w:color w:val="000000"/>
        <w:sz w:val="22"/>
      </w:rPr>
      <w:fldChar w:fldCharType="begin"/>
    </w:r>
    <w:r w:rsidRPr="00663B2F">
      <w:rPr>
        <w:rFonts w:ascii="Palatino Linotype" w:hAnsi="Palatino Linotype"/>
        <w:b/>
        <w:bCs/>
        <w:color w:val="000000"/>
        <w:sz w:val="22"/>
      </w:rPr>
      <w:instrText>PAGE</w:instrText>
    </w:r>
    <w:r w:rsidRPr="00663B2F">
      <w:rPr>
        <w:rFonts w:ascii="Palatino Linotype" w:hAnsi="Palatino Linotype"/>
        <w:b/>
        <w:bCs/>
        <w:color w:val="000000"/>
        <w:sz w:val="22"/>
      </w:rPr>
      <w:fldChar w:fldCharType="separate"/>
    </w:r>
    <w:r w:rsidR="00DB3C01">
      <w:rPr>
        <w:rFonts w:ascii="Palatino Linotype" w:hAnsi="Palatino Linotype"/>
        <w:b/>
        <w:bCs/>
        <w:noProof/>
        <w:color w:val="000000"/>
        <w:sz w:val="22"/>
      </w:rPr>
      <w:t>7</w:t>
    </w:r>
    <w:r w:rsidRPr="00663B2F">
      <w:rPr>
        <w:rFonts w:ascii="Palatino Linotype" w:hAnsi="Palatino Linotype"/>
        <w:b/>
        <w:bCs/>
        <w:color w:val="000000"/>
        <w:sz w:val="22"/>
      </w:rPr>
      <w:fldChar w:fldCharType="end"/>
    </w:r>
    <w:r w:rsidRPr="00663B2F">
      <w:rPr>
        <w:rFonts w:ascii="Palatino Linotype" w:hAnsi="Palatino Linotype"/>
        <w:color w:val="000000"/>
        <w:sz w:val="22"/>
      </w:rPr>
      <w:t xml:space="preserve"> de </w:t>
    </w:r>
    <w:r w:rsidRPr="00663B2F">
      <w:rPr>
        <w:rFonts w:ascii="Palatino Linotype" w:hAnsi="Palatino Linotype"/>
        <w:b/>
        <w:bCs/>
        <w:color w:val="000000"/>
        <w:sz w:val="22"/>
      </w:rPr>
      <w:fldChar w:fldCharType="begin"/>
    </w:r>
    <w:r w:rsidRPr="00663B2F">
      <w:rPr>
        <w:rFonts w:ascii="Palatino Linotype" w:hAnsi="Palatino Linotype"/>
        <w:b/>
        <w:bCs/>
        <w:color w:val="000000"/>
        <w:sz w:val="22"/>
      </w:rPr>
      <w:instrText>NUMPAGES</w:instrText>
    </w:r>
    <w:r w:rsidRPr="00663B2F">
      <w:rPr>
        <w:rFonts w:ascii="Palatino Linotype" w:hAnsi="Palatino Linotype"/>
        <w:b/>
        <w:bCs/>
        <w:color w:val="000000"/>
        <w:sz w:val="22"/>
      </w:rPr>
      <w:fldChar w:fldCharType="separate"/>
    </w:r>
    <w:r w:rsidR="00DB3C01">
      <w:rPr>
        <w:rFonts w:ascii="Palatino Linotype" w:hAnsi="Palatino Linotype"/>
        <w:b/>
        <w:bCs/>
        <w:noProof/>
        <w:color w:val="000000"/>
        <w:sz w:val="22"/>
      </w:rPr>
      <w:t>17</w:t>
    </w:r>
    <w:r w:rsidRPr="00663B2F">
      <w:rPr>
        <w:rFonts w:ascii="Palatino Linotype" w:hAnsi="Palatino Linotype"/>
        <w:b/>
        <w:bCs/>
        <w:color w:val="000000"/>
        <w:sz w:val="22"/>
      </w:rPr>
      <w:fldChar w:fldCharType="end"/>
    </w:r>
  </w:p>
  <w:p w:rsidR="00074B30" w:rsidRDefault="00074B30">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B30" w:rsidRPr="00663B2F" w:rsidRDefault="00074B30">
    <w:pPr>
      <w:pBdr>
        <w:top w:val="nil"/>
        <w:left w:val="nil"/>
        <w:bottom w:val="nil"/>
        <w:right w:val="nil"/>
        <w:between w:val="nil"/>
      </w:pBdr>
      <w:tabs>
        <w:tab w:val="center" w:pos="4419"/>
        <w:tab w:val="right" w:pos="8838"/>
      </w:tabs>
      <w:jc w:val="right"/>
      <w:rPr>
        <w:rFonts w:ascii="Palatino Linotype" w:hAnsi="Palatino Linotype"/>
        <w:color w:val="000000"/>
        <w:sz w:val="22"/>
      </w:rPr>
    </w:pPr>
    <w:r w:rsidRPr="00663B2F">
      <w:rPr>
        <w:rFonts w:ascii="Palatino Linotype" w:hAnsi="Palatino Linotype"/>
        <w:color w:val="000000"/>
        <w:sz w:val="22"/>
      </w:rPr>
      <w:t xml:space="preserve">Página </w:t>
    </w:r>
    <w:r w:rsidRPr="00663B2F">
      <w:rPr>
        <w:rFonts w:ascii="Palatino Linotype" w:hAnsi="Palatino Linotype"/>
        <w:b/>
        <w:bCs/>
        <w:color w:val="000000"/>
        <w:sz w:val="22"/>
      </w:rPr>
      <w:fldChar w:fldCharType="begin"/>
    </w:r>
    <w:r w:rsidRPr="00663B2F">
      <w:rPr>
        <w:rFonts w:ascii="Palatino Linotype" w:hAnsi="Palatino Linotype"/>
        <w:b/>
        <w:bCs/>
        <w:color w:val="000000"/>
        <w:sz w:val="22"/>
      </w:rPr>
      <w:instrText>PAGE</w:instrText>
    </w:r>
    <w:r w:rsidRPr="00663B2F">
      <w:rPr>
        <w:rFonts w:ascii="Palatino Linotype" w:hAnsi="Palatino Linotype"/>
        <w:b/>
        <w:bCs/>
        <w:color w:val="000000"/>
        <w:sz w:val="22"/>
      </w:rPr>
      <w:fldChar w:fldCharType="separate"/>
    </w:r>
    <w:r w:rsidR="00DB3C01">
      <w:rPr>
        <w:rFonts w:ascii="Palatino Linotype" w:hAnsi="Palatino Linotype"/>
        <w:b/>
        <w:bCs/>
        <w:noProof/>
        <w:color w:val="000000"/>
        <w:sz w:val="22"/>
      </w:rPr>
      <w:t>1</w:t>
    </w:r>
    <w:r w:rsidRPr="00663B2F">
      <w:rPr>
        <w:rFonts w:ascii="Palatino Linotype" w:hAnsi="Palatino Linotype"/>
        <w:b/>
        <w:bCs/>
        <w:color w:val="000000"/>
        <w:sz w:val="22"/>
      </w:rPr>
      <w:fldChar w:fldCharType="end"/>
    </w:r>
    <w:r w:rsidRPr="00663B2F">
      <w:rPr>
        <w:rFonts w:ascii="Palatino Linotype" w:hAnsi="Palatino Linotype"/>
        <w:color w:val="000000"/>
        <w:sz w:val="22"/>
      </w:rPr>
      <w:t xml:space="preserve"> de </w:t>
    </w:r>
    <w:r w:rsidRPr="00663B2F">
      <w:rPr>
        <w:rFonts w:ascii="Palatino Linotype" w:hAnsi="Palatino Linotype"/>
        <w:b/>
        <w:bCs/>
        <w:color w:val="000000"/>
        <w:sz w:val="22"/>
      </w:rPr>
      <w:fldChar w:fldCharType="begin"/>
    </w:r>
    <w:r w:rsidRPr="00663B2F">
      <w:rPr>
        <w:rFonts w:ascii="Palatino Linotype" w:hAnsi="Palatino Linotype"/>
        <w:b/>
        <w:bCs/>
        <w:color w:val="000000"/>
        <w:sz w:val="22"/>
      </w:rPr>
      <w:instrText>NUMPAGES</w:instrText>
    </w:r>
    <w:r w:rsidRPr="00663B2F">
      <w:rPr>
        <w:rFonts w:ascii="Palatino Linotype" w:hAnsi="Palatino Linotype"/>
        <w:b/>
        <w:bCs/>
        <w:color w:val="000000"/>
        <w:sz w:val="22"/>
      </w:rPr>
      <w:fldChar w:fldCharType="separate"/>
    </w:r>
    <w:r w:rsidR="00DB3C01">
      <w:rPr>
        <w:rFonts w:ascii="Palatino Linotype" w:hAnsi="Palatino Linotype"/>
        <w:b/>
        <w:bCs/>
        <w:noProof/>
        <w:color w:val="000000"/>
        <w:sz w:val="22"/>
      </w:rPr>
      <w:t>17</w:t>
    </w:r>
    <w:r w:rsidRPr="00663B2F">
      <w:rPr>
        <w:rFonts w:ascii="Palatino Linotype" w:hAnsi="Palatino Linotype"/>
        <w:b/>
        <w:bCs/>
        <w:color w:val="000000"/>
        <w:sz w:val="22"/>
      </w:rPr>
      <w:fldChar w:fldCharType="end"/>
    </w:r>
  </w:p>
  <w:p w:rsidR="00074B30" w:rsidRDefault="00074B30">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F2BA2" w:rsidRDefault="004F2BA2" w:rsidP="00774AEB">
      <w:r>
        <w:separator/>
      </w:r>
    </w:p>
  </w:footnote>
  <w:footnote w:type="continuationSeparator" w:id="0">
    <w:p w:rsidR="004F2BA2" w:rsidRDefault="004F2BA2" w:rsidP="00774A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B30" w:rsidRDefault="004F2BA2">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alt="" style="position:absolute;margin-left:0;margin-top:0;width:589.8pt;height:768pt;z-index:-251659776;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490" w:type="dxa"/>
      <w:tblLayout w:type="fixed"/>
      <w:tblLook w:val="0400" w:firstRow="0" w:lastRow="0" w:firstColumn="0" w:lastColumn="0" w:noHBand="0" w:noVBand="1"/>
    </w:tblPr>
    <w:tblGrid>
      <w:gridCol w:w="2268"/>
      <w:gridCol w:w="8222"/>
    </w:tblGrid>
    <w:tr w:rsidR="00074B30" w:rsidTr="00663B2F">
      <w:trPr>
        <w:trHeight w:val="1435"/>
      </w:trPr>
      <w:tc>
        <w:tcPr>
          <w:tcW w:w="2268" w:type="dxa"/>
          <w:shd w:val="clear" w:color="auto" w:fill="auto"/>
        </w:tcPr>
        <w:p w:rsidR="00074B30" w:rsidRDefault="00074B30">
          <w:pPr>
            <w:tabs>
              <w:tab w:val="right" w:pos="4273"/>
            </w:tabs>
            <w:rPr>
              <w:rFonts w:ascii="Garamond" w:eastAsia="Garamond" w:hAnsi="Garamond" w:cs="Garamond"/>
              <w:sz w:val="16"/>
              <w:szCs w:val="16"/>
            </w:rPr>
          </w:pPr>
        </w:p>
      </w:tc>
      <w:tc>
        <w:tcPr>
          <w:tcW w:w="8222" w:type="dxa"/>
          <w:shd w:val="clear" w:color="auto" w:fill="auto"/>
        </w:tcPr>
        <w:tbl>
          <w:tblPr>
            <w:tblW w:w="6940" w:type="dxa"/>
            <w:tblInd w:w="885" w:type="dxa"/>
            <w:tblLayout w:type="fixed"/>
            <w:tblLook w:val="0400" w:firstRow="0" w:lastRow="0" w:firstColumn="0" w:lastColumn="0" w:noHBand="0" w:noVBand="1"/>
          </w:tblPr>
          <w:tblGrid>
            <w:gridCol w:w="2829"/>
            <w:gridCol w:w="4111"/>
          </w:tblGrid>
          <w:tr w:rsidR="00074B30" w:rsidTr="00663B2F">
            <w:trPr>
              <w:trHeight w:val="150"/>
            </w:trPr>
            <w:tc>
              <w:tcPr>
                <w:tcW w:w="2829" w:type="dxa"/>
                <w:shd w:val="clear" w:color="auto" w:fill="auto"/>
              </w:tcPr>
              <w:p w:rsidR="00074B30" w:rsidRPr="00663B2F" w:rsidRDefault="00074B30">
                <w:pPr>
                  <w:tabs>
                    <w:tab w:val="right" w:pos="8838"/>
                  </w:tabs>
                  <w:ind w:right="-105"/>
                  <w:rPr>
                    <w:rFonts w:ascii="Palatino Linotype" w:eastAsia="Palatino Linotype" w:hAnsi="Palatino Linotype" w:cs="Palatino Linotype"/>
                    <w:b/>
                    <w:bCs/>
                    <w:szCs w:val="22"/>
                  </w:rPr>
                </w:pPr>
                <w:r w:rsidRPr="00663B2F">
                  <w:rPr>
                    <w:rFonts w:ascii="Palatino Linotype" w:eastAsia="Palatino Linotype" w:hAnsi="Palatino Linotype" w:cs="Palatino Linotype"/>
                    <w:b/>
                    <w:bCs/>
                    <w:szCs w:val="22"/>
                  </w:rPr>
                  <w:t>Recurso de Revisión:</w:t>
                </w:r>
              </w:p>
            </w:tc>
            <w:tc>
              <w:tcPr>
                <w:tcW w:w="4111" w:type="dxa"/>
                <w:shd w:val="clear" w:color="auto" w:fill="auto"/>
              </w:tcPr>
              <w:p w:rsidR="00074B30" w:rsidRPr="00663B2F" w:rsidRDefault="00074B30">
                <w:pPr>
                  <w:tabs>
                    <w:tab w:val="right" w:pos="8838"/>
                  </w:tabs>
                  <w:ind w:left="-108" w:right="-1090"/>
                  <w:jc w:val="both"/>
                  <w:rPr>
                    <w:rFonts w:ascii="Palatino Linotype" w:eastAsia="Palatino Linotype" w:hAnsi="Palatino Linotype" w:cs="Palatino Linotype"/>
                    <w:szCs w:val="22"/>
                  </w:rPr>
                </w:pPr>
                <w:r w:rsidRPr="00663B2F">
                  <w:rPr>
                    <w:rFonts w:ascii="Palatino Linotype" w:eastAsia="Palatino Linotype" w:hAnsi="Palatino Linotype" w:cs="Palatino Linotype"/>
                    <w:szCs w:val="22"/>
                  </w:rPr>
                  <w:t>10758/INFOEM/IP/RR/2025</w:t>
                </w:r>
                <w:r w:rsidRPr="00663B2F">
                  <w:rPr>
                    <w:rFonts w:ascii="Palatino Linotype" w:eastAsia="Palatino Linotype" w:hAnsi="Palatino Linotype" w:cs="Palatino Linotype"/>
                    <w:b/>
                    <w:bCs/>
                    <w:szCs w:val="22"/>
                  </w:rPr>
                  <w:t xml:space="preserve"> </w:t>
                </w:r>
              </w:p>
            </w:tc>
          </w:tr>
          <w:tr w:rsidR="00074B30" w:rsidTr="00663B2F">
            <w:trPr>
              <w:trHeight w:val="295"/>
            </w:trPr>
            <w:tc>
              <w:tcPr>
                <w:tcW w:w="2829" w:type="dxa"/>
                <w:shd w:val="clear" w:color="auto" w:fill="auto"/>
              </w:tcPr>
              <w:p w:rsidR="00074B30" w:rsidRPr="00663B2F" w:rsidRDefault="00074B30">
                <w:pPr>
                  <w:tabs>
                    <w:tab w:val="right" w:pos="8838"/>
                  </w:tabs>
                  <w:ind w:right="-105"/>
                  <w:rPr>
                    <w:rFonts w:ascii="Palatino Linotype" w:eastAsia="Palatino Linotype" w:hAnsi="Palatino Linotype" w:cs="Palatino Linotype"/>
                    <w:b/>
                    <w:bCs/>
                    <w:szCs w:val="22"/>
                  </w:rPr>
                </w:pPr>
                <w:r w:rsidRPr="00663B2F">
                  <w:rPr>
                    <w:rFonts w:ascii="Palatino Linotype" w:eastAsia="Palatino Linotype" w:hAnsi="Palatino Linotype" w:cs="Palatino Linotype"/>
                    <w:b/>
                    <w:bCs/>
                    <w:szCs w:val="22"/>
                  </w:rPr>
                  <w:t>Sujeto Obligado:</w:t>
                </w:r>
              </w:p>
            </w:tc>
            <w:tc>
              <w:tcPr>
                <w:tcW w:w="4111" w:type="dxa"/>
                <w:shd w:val="clear" w:color="auto" w:fill="auto"/>
              </w:tcPr>
              <w:p w:rsidR="00074B30" w:rsidRPr="00663B2F" w:rsidRDefault="00074B30">
                <w:pPr>
                  <w:tabs>
                    <w:tab w:val="left" w:pos="2834"/>
                    <w:tab w:val="right" w:pos="8838"/>
                  </w:tabs>
                  <w:ind w:left="-108" w:right="-1090"/>
                  <w:jc w:val="both"/>
                  <w:rPr>
                    <w:rFonts w:ascii="Palatino Linotype" w:eastAsia="Palatino Linotype" w:hAnsi="Palatino Linotype" w:cs="Palatino Linotype"/>
                    <w:szCs w:val="22"/>
                  </w:rPr>
                </w:pPr>
                <w:r w:rsidRPr="00663B2F">
                  <w:rPr>
                    <w:rFonts w:ascii="Palatino Linotype" w:eastAsia="Palatino Linotype" w:hAnsi="Palatino Linotype" w:cs="Palatino Linotype"/>
                    <w:bCs/>
                    <w:szCs w:val="22"/>
                  </w:rPr>
                  <w:t>Ayuntamiento de Cuautitlán Izcalli</w:t>
                </w:r>
              </w:p>
            </w:tc>
          </w:tr>
          <w:tr w:rsidR="00074B30" w:rsidTr="00663B2F">
            <w:trPr>
              <w:trHeight w:val="295"/>
            </w:trPr>
            <w:tc>
              <w:tcPr>
                <w:tcW w:w="2829" w:type="dxa"/>
                <w:shd w:val="clear" w:color="auto" w:fill="auto"/>
              </w:tcPr>
              <w:p w:rsidR="00074B30" w:rsidRPr="00663B2F" w:rsidRDefault="00074B30">
                <w:pPr>
                  <w:tabs>
                    <w:tab w:val="right" w:pos="8838"/>
                  </w:tabs>
                  <w:ind w:right="-105"/>
                  <w:rPr>
                    <w:rFonts w:ascii="Palatino Linotype" w:eastAsia="Palatino Linotype" w:hAnsi="Palatino Linotype" w:cs="Palatino Linotype"/>
                    <w:b/>
                    <w:bCs/>
                    <w:szCs w:val="22"/>
                  </w:rPr>
                </w:pPr>
                <w:r w:rsidRPr="00663B2F">
                  <w:rPr>
                    <w:rFonts w:ascii="Palatino Linotype" w:eastAsia="Palatino Linotype" w:hAnsi="Palatino Linotype" w:cs="Palatino Linotype"/>
                    <w:b/>
                    <w:bCs/>
                    <w:szCs w:val="22"/>
                  </w:rPr>
                  <w:t>Comisionado ponente:</w:t>
                </w:r>
              </w:p>
            </w:tc>
            <w:tc>
              <w:tcPr>
                <w:tcW w:w="4111" w:type="dxa"/>
                <w:shd w:val="clear" w:color="auto" w:fill="auto"/>
              </w:tcPr>
              <w:p w:rsidR="00074B30" w:rsidRPr="00663B2F" w:rsidRDefault="00074B30">
                <w:pPr>
                  <w:tabs>
                    <w:tab w:val="right" w:pos="8838"/>
                  </w:tabs>
                  <w:ind w:left="-108" w:right="-1090"/>
                  <w:jc w:val="both"/>
                  <w:rPr>
                    <w:rFonts w:ascii="Palatino Linotype" w:eastAsia="Palatino Linotype" w:hAnsi="Palatino Linotype" w:cs="Palatino Linotype"/>
                    <w:szCs w:val="22"/>
                  </w:rPr>
                </w:pPr>
                <w:r w:rsidRPr="00663B2F">
                  <w:rPr>
                    <w:rFonts w:ascii="Palatino Linotype" w:eastAsia="Palatino Linotype" w:hAnsi="Palatino Linotype" w:cs="Palatino Linotype"/>
                    <w:szCs w:val="22"/>
                  </w:rPr>
                  <w:t>María del Rosario Mejía Ayala</w:t>
                </w:r>
              </w:p>
              <w:p w:rsidR="00074B30" w:rsidRPr="00663B2F" w:rsidRDefault="00074B30">
                <w:pPr>
                  <w:tabs>
                    <w:tab w:val="right" w:pos="8838"/>
                  </w:tabs>
                  <w:ind w:left="-108" w:right="-1090"/>
                  <w:jc w:val="both"/>
                  <w:rPr>
                    <w:rFonts w:ascii="Palatino Linotype" w:eastAsia="Palatino Linotype" w:hAnsi="Palatino Linotype" w:cs="Palatino Linotype"/>
                    <w:b/>
                    <w:bCs/>
                    <w:szCs w:val="22"/>
                  </w:rPr>
                </w:pPr>
              </w:p>
            </w:tc>
          </w:tr>
        </w:tbl>
        <w:p w:rsidR="00074B30" w:rsidRDefault="00074B30">
          <w:pPr>
            <w:tabs>
              <w:tab w:val="right" w:pos="8838"/>
            </w:tabs>
            <w:ind w:left="-28"/>
            <w:jc w:val="both"/>
            <w:rPr>
              <w:rFonts w:ascii="Arial" w:eastAsia="Arial" w:hAnsi="Arial" w:cs="Arial"/>
              <w:b/>
              <w:bCs/>
              <w:sz w:val="22"/>
              <w:szCs w:val="22"/>
            </w:rPr>
          </w:pPr>
        </w:p>
      </w:tc>
    </w:tr>
  </w:tbl>
  <w:p w:rsidR="00074B30" w:rsidRDefault="004F2BA2">
    <w:pPr>
      <w:pBdr>
        <w:top w:val="nil"/>
        <w:left w:val="nil"/>
        <w:bottom w:val="nil"/>
        <w:right w:val="nil"/>
        <w:between w:val="nil"/>
      </w:pBdr>
      <w:tabs>
        <w:tab w:val="center" w:pos="4419"/>
        <w:tab w:val="right" w:pos="8838"/>
      </w:tabs>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50" type="#_x0000_t75" alt="" style="position:absolute;margin-left:-68.8pt;margin-top:-120.5pt;width:589.8pt;height:768pt;z-index:-251658752;mso-position-horizontal:absolute;mso-position-horizontal-relative:margin;mso-position-vertical:absolute;mso-position-vertical-relative:margin">
          <v:imagedata r:id="rId1" o:title="image2"/>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74B30" w:rsidRDefault="004F2BA2">
    <w:pPr>
      <w:widowControl w:val="0"/>
      <w:pBdr>
        <w:top w:val="nil"/>
        <w:left w:val="nil"/>
        <w:bottom w:val="nil"/>
        <w:right w:val="nil"/>
        <w:between w:val="nil"/>
      </w:pBdr>
      <w:spacing w:line="276" w:lineRule="auto"/>
      <w:rPr>
        <w:color w:val="000000"/>
        <w:sz w:val="14"/>
        <w:szCs w:val="14"/>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46.2pt;margin-top:-121.9pt;width:589.8pt;height:768pt;z-index:-251657728;mso-position-horizontal:absolute;mso-position-horizontal-relative:margin;mso-position-vertical:absolute;mso-position-vertical-relative:margin">
          <v:imagedata r:id="rId1" o:title="image2"/>
          <w10:wrap anchorx="margin" anchory="margin"/>
        </v:shape>
      </w:pict>
    </w:r>
  </w:p>
  <w:tbl>
    <w:tblPr>
      <w:tblW w:w="10020" w:type="dxa"/>
      <w:tblLayout w:type="fixed"/>
      <w:tblLook w:val="0400" w:firstRow="0" w:lastRow="0" w:firstColumn="0" w:lastColumn="0" w:noHBand="0" w:noVBand="1"/>
    </w:tblPr>
    <w:tblGrid>
      <w:gridCol w:w="2265"/>
      <w:gridCol w:w="7755"/>
    </w:tblGrid>
    <w:tr w:rsidR="00074B30">
      <w:trPr>
        <w:trHeight w:val="1435"/>
      </w:trPr>
      <w:tc>
        <w:tcPr>
          <w:tcW w:w="2265" w:type="dxa"/>
          <w:shd w:val="clear" w:color="auto" w:fill="auto"/>
        </w:tcPr>
        <w:p w:rsidR="00074B30" w:rsidRDefault="00074B30">
          <w:pPr>
            <w:tabs>
              <w:tab w:val="right" w:pos="4273"/>
            </w:tabs>
            <w:rPr>
              <w:rFonts w:ascii="Garamond" w:eastAsia="Garamond" w:hAnsi="Garamond" w:cs="Garamond"/>
              <w:sz w:val="22"/>
              <w:szCs w:val="22"/>
            </w:rPr>
          </w:pPr>
        </w:p>
      </w:tc>
      <w:tc>
        <w:tcPr>
          <w:tcW w:w="7755" w:type="dxa"/>
          <w:shd w:val="clear" w:color="auto" w:fill="auto"/>
        </w:tcPr>
        <w:tbl>
          <w:tblPr>
            <w:tblW w:w="7658" w:type="dxa"/>
            <w:tblInd w:w="1171" w:type="dxa"/>
            <w:tblLayout w:type="fixed"/>
            <w:tblLook w:val="0400" w:firstRow="0" w:lastRow="0" w:firstColumn="0" w:lastColumn="0" w:noHBand="0" w:noVBand="1"/>
          </w:tblPr>
          <w:tblGrid>
            <w:gridCol w:w="2693"/>
            <w:gridCol w:w="4965"/>
          </w:tblGrid>
          <w:tr w:rsidR="00074B30" w:rsidTr="00663B2F">
            <w:trPr>
              <w:trHeight w:val="144"/>
            </w:trPr>
            <w:tc>
              <w:tcPr>
                <w:tcW w:w="2693" w:type="dxa"/>
                <w:shd w:val="clear" w:color="auto" w:fill="auto"/>
              </w:tcPr>
              <w:p w:rsidR="00074B30" w:rsidRPr="00663B2F" w:rsidRDefault="00074B30">
                <w:pPr>
                  <w:tabs>
                    <w:tab w:val="right" w:pos="8838"/>
                  </w:tabs>
                  <w:ind w:left="-264" w:right="-105" w:firstLine="195"/>
                  <w:rPr>
                    <w:rFonts w:ascii="Palatino Linotype" w:eastAsia="Palatino Linotype" w:hAnsi="Palatino Linotype" w:cs="Palatino Linotype"/>
                    <w:b/>
                    <w:bCs/>
                    <w:szCs w:val="22"/>
                  </w:rPr>
                </w:pPr>
                <w:r w:rsidRPr="00663B2F">
                  <w:rPr>
                    <w:rFonts w:ascii="Palatino Linotype" w:eastAsia="Palatino Linotype" w:hAnsi="Palatino Linotype" w:cs="Palatino Linotype"/>
                    <w:b/>
                    <w:bCs/>
                    <w:szCs w:val="22"/>
                  </w:rPr>
                  <w:t>Recurso de Revisión:</w:t>
                </w:r>
              </w:p>
            </w:tc>
            <w:tc>
              <w:tcPr>
                <w:tcW w:w="4965" w:type="dxa"/>
                <w:shd w:val="clear" w:color="auto" w:fill="auto"/>
              </w:tcPr>
              <w:p w:rsidR="00074B30" w:rsidRPr="00663B2F" w:rsidRDefault="00074B30">
                <w:pPr>
                  <w:tabs>
                    <w:tab w:val="right" w:pos="8838"/>
                  </w:tabs>
                  <w:ind w:left="-74" w:right="-1269"/>
                  <w:rPr>
                    <w:rFonts w:ascii="Palatino Linotype" w:eastAsia="Palatino Linotype" w:hAnsi="Palatino Linotype" w:cs="Palatino Linotype"/>
                    <w:szCs w:val="22"/>
                  </w:rPr>
                </w:pPr>
                <w:r w:rsidRPr="00663B2F">
                  <w:rPr>
                    <w:rFonts w:ascii="Palatino Linotype" w:eastAsia="Palatino Linotype" w:hAnsi="Palatino Linotype" w:cs="Palatino Linotype"/>
                    <w:szCs w:val="22"/>
                  </w:rPr>
                  <w:t>10758/INFOEM/IP/RR/2025</w:t>
                </w:r>
              </w:p>
            </w:tc>
          </w:tr>
          <w:tr w:rsidR="00074B30" w:rsidTr="00663B2F">
            <w:trPr>
              <w:trHeight w:val="144"/>
            </w:trPr>
            <w:tc>
              <w:tcPr>
                <w:tcW w:w="2693" w:type="dxa"/>
                <w:shd w:val="clear" w:color="auto" w:fill="auto"/>
              </w:tcPr>
              <w:p w:rsidR="00074B30" w:rsidRPr="00663B2F" w:rsidRDefault="00074B30">
                <w:pPr>
                  <w:tabs>
                    <w:tab w:val="right" w:pos="8838"/>
                  </w:tabs>
                  <w:ind w:left="-74" w:right="-105"/>
                  <w:rPr>
                    <w:rFonts w:ascii="Palatino Linotype" w:eastAsia="Palatino Linotype" w:hAnsi="Palatino Linotype" w:cs="Palatino Linotype"/>
                    <w:b/>
                    <w:bCs/>
                    <w:szCs w:val="22"/>
                  </w:rPr>
                </w:pPr>
                <w:r w:rsidRPr="00663B2F">
                  <w:rPr>
                    <w:rFonts w:ascii="Palatino Linotype" w:eastAsia="Palatino Linotype" w:hAnsi="Palatino Linotype" w:cs="Palatino Linotype"/>
                    <w:b/>
                    <w:bCs/>
                    <w:szCs w:val="22"/>
                  </w:rPr>
                  <w:t>Recurrente:</w:t>
                </w:r>
              </w:p>
            </w:tc>
            <w:tc>
              <w:tcPr>
                <w:tcW w:w="4965" w:type="dxa"/>
                <w:shd w:val="clear" w:color="auto" w:fill="auto"/>
              </w:tcPr>
              <w:p w:rsidR="00074B30" w:rsidRPr="00663B2F" w:rsidRDefault="00074B30" w:rsidP="00DB3C01">
                <w:pPr>
                  <w:tabs>
                    <w:tab w:val="left" w:pos="3122"/>
                    <w:tab w:val="right" w:pos="8838"/>
                  </w:tabs>
                  <w:ind w:left="-74" w:right="-1269"/>
                  <w:rPr>
                    <w:rFonts w:ascii="Palatino Linotype" w:eastAsia="Palatino Linotype" w:hAnsi="Palatino Linotype" w:cs="Palatino Linotype"/>
                    <w:szCs w:val="22"/>
                  </w:rPr>
                </w:pPr>
                <w:r w:rsidRPr="00663B2F">
                  <w:rPr>
                    <w:rFonts w:ascii="Palatino Linotype" w:eastAsia="Palatino Linotype" w:hAnsi="Palatino Linotype" w:cs="Palatino Linotype"/>
                    <w:b/>
                    <w:bCs/>
                    <w:szCs w:val="22"/>
                  </w:rPr>
                  <w:t> </w:t>
                </w:r>
                <w:r w:rsidR="00DB3C01">
                  <w:rPr>
                    <w:rFonts w:ascii="Palatino Linotype" w:eastAsia="Palatino Linotype" w:hAnsi="Palatino Linotype" w:cs="Palatino Linotype"/>
                    <w:bCs/>
                    <w:szCs w:val="22"/>
                  </w:rPr>
                  <w:t>XXXX</w:t>
                </w:r>
              </w:p>
            </w:tc>
          </w:tr>
          <w:tr w:rsidR="00074B30" w:rsidTr="00663B2F">
            <w:trPr>
              <w:trHeight w:val="283"/>
            </w:trPr>
            <w:tc>
              <w:tcPr>
                <w:tcW w:w="2693" w:type="dxa"/>
                <w:shd w:val="clear" w:color="auto" w:fill="auto"/>
              </w:tcPr>
              <w:p w:rsidR="00074B30" w:rsidRPr="00663B2F" w:rsidRDefault="00074B30">
                <w:pPr>
                  <w:tabs>
                    <w:tab w:val="right" w:pos="8838"/>
                  </w:tabs>
                  <w:ind w:left="-74" w:right="-105"/>
                  <w:rPr>
                    <w:rFonts w:ascii="Palatino Linotype" w:eastAsia="Palatino Linotype" w:hAnsi="Palatino Linotype" w:cs="Palatino Linotype"/>
                    <w:b/>
                    <w:bCs/>
                    <w:szCs w:val="22"/>
                  </w:rPr>
                </w:pPr>
                <w:r w:rsidRPr="00663B2F">
                  <w:rPr>
                    <w:rFonts w:ascii="Palatino Linotype" w:eastAsia="Palatino Linotype" w:hAnsi="Palatino Linotype" w:cs="Palatino Linotype"/>
                    <w:b/>
                    <w:bCs/>
                    <w:szCs w:val="22"/>
                  </w:rPr>
                  <w:t>Sujeto Obligado:</w:t>
                </w:r>
              </w:p>
            </w:tc>
            <w:tc>
              <w:tcPr>
                <w:tcW w:w="4965" w:type="dxa"/>
                <w:shd w:val="clear" w:color="auto" w:fill="auto"/>
              </w:tcPr>
              <w:p w:rsidR="00074B30" w:rsidRPr="00663B2F" w:rsidRDefault="00074B30">
                <w:pPr>
                  <w:tabs>
                    <w:tab w:val="left" w:pos="2834"/>
                    <w:tab w:val="right" w:pos="8838"/>
                  </w:tabs>
                  <w:ind w:left="-74" w:right="-1269"/>
                  <w:rPr>
                    <w:rFonts w:ascii="Palatino Linotype" w:eastAsia="Palatino Linotype" w:hAnsi="Palatino Linotype" w:cs="Palatino Linotype"/>
                    <w:szCs w:val="22"/>
                  </w:rPr>
                </w:pPr>
                <w:r w:rsidRPr="00663B2F">
                  <w:rPr>
                    <w:rFonts w:ascii="Palatino Linotype" w:eastAsia="Palatino Linotype" w:hAnsi="Palatino Linotype" w:cs="Palatino Linotype"/>
                    <w:bCs/>
                    <w:szCs w:val="22"/>
                  </w:rPr>
                  <w:t>Ayuntamiento de Cuautitlán Izcalli</w:t>
                </w:r>
              </w:p>
            </w:tc>
          </w:tr>
          <w:tr w:rsidR="00074B30" w:rsidTr="00663B2F">
            <w:trPr>
              <w:trHeight w:val="283"/>
            </w:trPr>
            <w:tc>
              <w:tcPr>
                <w:tcW w:w="2693" w:type="dxa"/>
                <w:shd w:val="clear" w:color="auto" w:fill="auto"/>
              </w:tcPr>
              <w:p w:rsidR="00074B30" w:rsidRPr="00663B2F" w:rsidRDefault="00074B30">
                <w:pPr>
                  <w:tabs>
                    <w:tab w:val="right" w:pos="8838"/>
                  </w:tabs>
                  <w:ind w:left="-74" w:right="-105"/>
                  <w:rPr>
                    <w:rFonts w:ascii="Palatino Linotype" w:eastAsia="Palatino Linotype" w:hAnsi="Palatino Linotype" w:cs="Palatino Linotype"/>
                    <w:b/>
                    <w:bCs/>
                    <w:szCs w:val="22"/>
                  </w:rPr>
                </w:pPr>
                <w:r w:rsidRPr="00663B2F">
                  <w:rPr>
                    <w:rFonts w:ascii="Palatino Linotype" w:eastAsia="Palatino Linotype" w:hAnsi="Palatino Linotype" w:cs="Palatino Linotype"/>
                    <w:b/>
                    <w:bCs/>
                    <w:szCs w:val="22"/>
                  </w:rPr>
                  <w:t>Comisionado ponente:</w:t>
                </w:r>
              </w:p>
            </w:tc>
            <w:tc>
              <w:tcPr>
                <w:tcW w:w="4965" w:type="dxa"/>
                <w:shd w:val="clear" w:color="auto" w:fill="auto"/>
              </w:tcPr>
              <w:p w:rsidR="00074B30" w:rsidRPr="00663B2F" w:rsidRDefault="00074B30">
                <w:pPr>
                  <w:tabs>
                    <w:tab w:val="right" w:pos="8838"/>
                  </w:tabs>
                  <w:ind w:left="-74" w:right="-1269"/>
                  <w:rPr>
                    <w:rFonts w:ascii="Palatino Linotype" w:eastAsia="Palatino Linotype" w:hAnsi="Palatino Linotype" w:cs="Palatino Linotype"/>
                    <w:szCs w:val="22"/>
                  </w:rPr>
                </w:pPr>
                <w:r w:rsidRPr="00663B2F">
                  <w:rPr>
                    <w:rFonts w:ascii="Palatino Linotype" w:eastAsia="Palatino Linotype" w:hAnsi="Palatino Linotype" w:cs="Palatino Linotype"/>
                    <w:szCs w:val="22"/>
                  </w:rPr>
                  <w:t>María del Rosario Mejía Ayala</w:t>
                </w:r>
              </w:p>
              <w:p w:rsidR="00074B30" w:rsidRPr="00663B2F" w:rsidRDefault="00074B30">
                <w:pPr>
                  <w:tabs>
                    <w:tab w:val="right" w:pos="8838"/>
                  </w:tabs>
                  <w:ind w:left="-74" w:right="-1269"/>
                  <w:rPr>
                    <w:rFonts w:ascii="Palatino Linotype" w:eastAsia="Palatino Linotype" w:hAnsi="Palatino Linotype" w:cs="Palatino Linotype"/>
                    <w:b/>
                    <w:bCs/>
                    <w:szCs w:val="22"/>
                  </w:rPr>
                </w:pPr>
              </w:p>
            </w:tc>
          </w:tr>
        </w:tbl>
        <w:p w:rsidR="00074B30" w:rsidRDefault="00074B30">
          <w:pPr>
            <w:tabs>
              <w:tab w:val="right" w:pos="8838"/>
            </w:tabs>
            <w:ind w:left="-28"/>
            <w:jc w:val="both"/>
            <w:rPr>
              <w:rFonts w:ascii="Arial" w:eastAsia="Arial" w:hAnsi="Arial" w:cs="Arial"/>
              <w:b/>
              <w:bCs/>
              <w:sz w:val="22"/>
              <w:szCs w:val="22"/>
            </w:rPr>
          </w:pPr>
        </w:p>
      </w:tc>
    </w:tr>
  </w:tbl>
  <w:p w:rsidR="00074B30" w:rsidRDefault="00074B30">
    <w:pPr>
      <w:pBdr>
        <w:top w:val="nil"/>
        <w:left w:val="nil"/>
        <w:bottom w:val="nil"/>
        <w:right w:val="nil"/>
        <w:between w:val="nil"/>
      </w:pBdr>
      <w:tabs>
        <w:tab w:val="center" w:pos="4419"/>
        <w:tab w:val="right" w:pos="8838"/>
      </w:tabs>
      <w:rPr>
        <w:color w:val="000000"/>
        <w:sz w:val="2"/>
        <w:szCs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567DC0"/>
    <w:multiLevelType w:val="hybridMultilevel"/>
    <w:tmpl w:val="182008BA"/>
    <w:lvl w:ilvl="0" w:tplc="080A0005">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 w15:restartNumberingAfterBreak="0">
    <w:nsid w:val="089314B4"/>
    <w:multiLevelType w:val="multilevel"/>
    <w:tmpl w:val="04381908"/>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B63682"/>
    <w:multiLevelType w:val="hybridMultilevel"/>
    <w:tmpl w:val="ECB46516"/>
    <w:lvl w:ilvl="0" w:tplc="648A9126">
      <w:numFmt w:val="bullet"/>
      <w:lvlText w:val="-"/>
      <w:lvlJc w:val="left"/>
      <w:pPr>
        <w:ind w:left="1800" w:hanging="360"/>
      </w:pPr>
      <w:rPr>
        <w:rFonts w:ascii="Palatino Linotype" w:eastAsia="Palatino Linotype" w:hAnsi="Palatino Linotype" w:cs="Palatino Linotype" w:hint="default"/>
        <w:b/>
        <w:color w:val="000000"/>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3" w15:restartNumberingAfterBreak="0">
    <w:nsid w:val="1DDE7723"/>
    <w:multiLevelType w:val="hybridMultilevel"/>
    <w:tmpl w:val="9A4022F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20DA0A7D"/>
    <w:multiLevelType w:val="hybridMultilevel"/>
    <w:tmpl w:val="2828CCCC"/>
    <w:lvl w:ilvl="0" w:tplc="080A0003">
      <w:start w:val="1"/>
      <w:numFmt w:val="bullet"/>
      <w:lvlText w:val="o"/>
      <w:lvlJc w:val="left"/>
      <w:pPr>
        <w:ind w:left="2880" w:hanging="360"/>
      </w:pPr>
      <w:rPr>
        <w:rFonts w:ascii="Courier New" w:hAnsi="Courier New" w:cs="Courier New"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5" w15:restartNumberingAfterBreak="0">
    <w:nsid w:val="25381D6B"/>
    <w:multiLevelType w:val="multilevel"/>
    <w:tmpl w:val="81ECC8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D12C80"/>
    <w:multiLevelType w:val="hybridMultilevel"/>
    <w:tmpl w:val="EC4A6BE8"/>
    <w:lvl w:ilvl="0" w:tplc="6D48FB40">
      <w:numFmt w:val="bullet"/>
      <w:lvlText w:val="-"/>
      <w:lvlJc w:val="left"/>
      <w:pPr>
        <w:ind w:left="1440" w:hanging="360"/>
      </w:pPr>
      <w:rPr>
        <w:rFonts w:ascii="Palatino Linotype" w:eastAsia="Palatino Linotype" w:hAnsi="Palatino Linotype" w:cs="Palatino Linotype"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7" w15:restartNumberingAfterBreak="0">
    <w:nsid w:val="36B50EB4"/>
    <w:multiLevelType w:val="hybridMultilevel"/>
    <w:tmpl w:val="4D46E5A2"/>
    <w:lvl w:ilvl="0" w:tplc="080A0003">
      <w:start w:val="1"/>
      <w:numFmt w:val="bullet"/>
      <w:lvlText w:val="o"/>
      <w:lvlJc w:val="left"/>
      <w:pPr>
        <w:ind w:left="2880" w:hanging="360"/>
      </w:pPr>
      <w:rPr>
        <w:rFonts w:ascii="Courier New" w:hAnsi="Courier New" w:cs="Courier New" w:hint="default"/>
      </w:rPr>
    </w:lvl>
    <w:lvl w:ilvl="1" w:tplc="080A0003" w:tentative="1">
      <w:start w:val="1"/>
      <w:numFmt w:val="bullet"/>
      <w:lvlText w:val="o"/>
      <w:lvlJc w:val="left"/>
      <w:pPr>
        <w:ind w:left="3600" w:hanging="360"/>
      </w:pPr>
      <w:rPr>
        <w:rFonts w:ascii="Courier New" w:hAnsi="Courier New" w:cs="Courier New" w:hint="default"/>
      </w:rPr>
    </w:lvl>
    <w:lvl w:ilvl="2" w:tplc="080A0005" w:tentative="1">
      <w:start w:val="1"/>
      <w:numFmt w:val="bullet"/>
      <w:lvlText w:val=""/>
      <w:lvlJc w:val="left"/>
      <w:pPr>
        <w:ind w:left="4320" w:hanging="360"/>
      </w:pPr>
      <w:rPr>
        <w:rFonts w:ascii="Wingdings" w:hAnsi="Wingdings" w:hint="default"/>
      </w:rPr>
    </w:lvl>
    <w:lvl w:ilvl="3" w:tplc="080A0001" w:tentative="1">
      <w:start w:val="1"/>
      <w:numFmt w:val="bullet"/>
      <w:lvlText w:val=""/>
      <w:lvlJc w:val="left"/>
      <w:pPr>
        <w:ind w:left="5040" w:hanging="360"/>
      </w:pPr>
      <w:rPr>
        <w:rFonts w:ascii="Symbol" w:hAnsi="Symbol" w:hint="default"/>
      </w:rPr>
    </w:lvl>
    <w:lvl w:ilvl="4" w:tplc="080A0003" w:tentative="1">
      <w:start w:val="1"/>
      <w:numFmt w:val="bullet"/>
      <w:lvlText w:val="o"/>
      <w:lvlJc w:val="left"/>
      <w:pPr>
        <w:ind w:left="5760" w:hanging="360"/>
      </w:pPr>
      <w:rPr>
        <w:rFonts w:ascii="Courier New" w:hAnsi="Courier New" w:cs="Courier New" w:hint="default"/>
      </w:rPr>
    </w:lvl>
    <w:lvl w:ilvl="5" w:tplc="080A0005" w:tentative="1">
      <w:start w:val="1"/>
      <w:numFmt w:val="bullet"/>
      <w:lvlText w:val=""/>
      <w:lvlJc w:val="left"/>
      <w:pPr>
        <w:ind w:left="6480" w:hanging="360"/>
      </w:pPr>
      <w:rPr>
        <w:rFonts w:ascii="Wingdings" w:hAnsi="Wingdings" w:hint="default"/>
      </w:rPr>
    </w:lvl>
    <w:lvl w:ilvl="6" w:tplc="080A0001" w:tentative="1">
      <w:start w:val="1"/>
      <w:numFmt w:val="bullet"/>
      <w:lvlText w:val=""/>
      <w:lvlJc w:val="left"/>
      <w:pPr>
        <w:ind w:left="7200" w:hanging="360"/>
      </w:pPr>
      <w:rPr>
        <w:rFonts w:ascii="Symbol" w:hAnsi="Symbol" w:hint="default"/>
      </w:rPr>
    </w:lvl>
    <w:lvl w:ilvl="7" w:tplc="080A0003" w:tentative="1">
      <w:start w:val="1"/>
      <w:numFmt w:val="bullet"/>
      <w:lvlText w:val="o"/>
      <w:lvlJc w:val="left"/>
      <w:pPr>
        <w:ind w:left="7920" w:hanging="360"/>
      </w:pPr>
      <w:rPr>
        <w:rFonts w:ascii="Courier New" w:hAnsi="Courier New" w:cs="Courier New" w:hint="default"/>
      </w:rPr>
    </w:lvl>
    <w:lvl w:ilvl="8" w:tplc="080A0005" w:tentative="1">
      <w:start w:val="1"/>
      <w:numFmt w:val="bullet"/>
      <w:lvlText w:val=""/>
      <w:lvlJc w:val="left"/>
      <w:pPr>
        <w:ind w:left="8640" w:hanging="360"/>
      </w:pPr>
      <w:rPr>
        <w:rFonts w:ascii="Wingdings" w:hAnsi="Wingdings" w:hint="default"/>
      </w:rPr>
    </w:lvl>
  </w:abstractNum>
  <w:abstractNum w:abstractNumId="8" w15:restartNumberingAfterBreak="0">
    <w:nsid w:val="4F677A2B"/>
    <w:multiLevelType w:val="hybridMultilevel"/>
    <w:tmpl w:val="42424E20"/>
    <w:lvl w:ilvl="0" w:tplc="6D48FB40">
      <w:numFmt w:val="bullet"/>
      <w:lvlText w:val="-"/>
      <w:lvlJc w:val="left"/>
      <w:pPr>
        <w:ind w:left="720" w:hanging="360"/>
      </w:pPr>
      <w:rPr>
        <w:rFonts w:ascii="Palatino Linotype" w:eastAsia="Palatino Linotype" w:hAnsi="Palatino Linotype"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55ED2C3A"/>
    <w:multiLevelType w:val="multilevel"/>
    <w:tmpl w:val="E7B0E20A"/>
    <w:lvl w:ilvl="0">
      <w:start w:val="1"/>
      <w:numFmt w:val="lowerLetter"/>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602B190D"/>
    <w:multiLevelType w:val="hybridMultilevel"/>
    <w:tmpl w:val="88B4C39A"/>
    <w:lvl w:ilvl="0" w:tplc="3EF48730">
      <w:start w:val="1"/>
      <w:numFmt w:val="decimal"/>
      <w:lvlText w:val="%1."/>
      <w:lvlJc w:val="left"/>
      <w:pPr>
        <w:ind w:left="360" w:hanging="360"/>
      </w:pPr>
      <w:rPr>
        <w:rFonts w:ascii="Palatino Linotype" w:hAnsi="Palatino Linotype" w:hint="default"/>
        <w:b/>
        <w:i w:val="0"/>
        <w:color w:val="auto"/>
        <w:sz w:val="24"/>
      </w:r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11" w15:restartNumberingAfterBreak="0">
    <w:nsid w:val="6531640B"/>
    <w:multiLevelType w:val="multilevel"/>
    <w:tmpl w:val="7B68C7CC"/>
    <w:lvl w:ilvl="0">
      <w:start w:val="1"/>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7A90B33"/>
    <w:multiLevelType w:val="multilevel"/>
    <w:tmpl w:val="AB2AE9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BDC6748"/>
    <w:multiLevelType w:val="hybridMultilevel"/>
    <w:tmpl w:val="02F25D7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5"/>
  </w:num>
  <w:num w:numId="2">
    <w:abstractNumId w:val="1"/>
  </w:num>
  <w:num w:numId="3">
    <w:abstractNumId w:val="12"/>
  </w:num>
  <w:num w:numId="4">
    <w:abstractNumId w:val="9"/>
  </w:num>
  <w:num w:numId="5">
    <w:abstractNumId w:val="6"/>
  </w:num>
  <w:num w:numId="6">
    <w:abstractNumId w:val="0"/>
  </w:num>
  <w:num w:numId="7">
    <w:abstractNumId w:val="7"/>
  </w:num>
  <w:num w:numId="8">
    <w:abstractNumId w:val="4"/>
  </w:num>
  <w:num w:numId="9">
    <w:abstractNumId w:val="8"/>
  </w:num>
  <w:num w:numId="10">
    <w:abstractNumId w:val="13"/>
  </w:num>
  <w:num w:numId="11">
    <w:abstractNumId w:val="10"/>
  </w:num>
  <w:num w:numId="12">
    <w:abstractNumId w:val="11"/>
  </w:num>
  <w:num w:numId="13">
    <w:abstractNumId w:val="3"/>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EB"/>
    <w:rsid w:val="00061B95"/>
    <w:rsid w:val="00074B30"/>
    <w:rsid w:val="001A47B0"/>
    <w:rsid w:val="00217BD1"/>
    <w:rsid w:val="00406F23"/>
    <w:rsid w:val="00483512"/>
    <w:rsid w:val="004F2BA2"/>
    <w:rsid w:val="004F7C41"/>
    <w:rsid w:val="00583691"/>
    <w:rsid w:val="006229DB"/>
    <w:rsid w:val="00663B2F"/>
    <w:rsid w:val="00774AEB"/>
    <w:rsid w:val="00795CC1"/>
    <w:rsid w:val="008843F0"/>
    <w:rsid w:val="009D6CA7"/>
    <w:rsid w:val="00A01AE5"/>
    <w:rsid w:val="00A24EE2"/>
    <w:rsid w:val="00B22F1A"/>
    <w:rsid w:val="00B324C6"/>
    <w:rsid w:val="00CD2DC2"/>
    <w:rsid w:val="00D02B11"/>
    <w:rsid w:val="00D73568"/>
    <w:rsid w:val="00DB3C01"/>
    <w:rsid w:val="00DD4E57"/>
    <w:rsid w:val="00E0558A"/>
    <w:rsid w:val="00E16CCA"/>
    <w:rsid w:val="00FE2FE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4228DE72-0DDC-4B58-874C-C5B1A6139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774AEB"/>
    <w:pPr>
      <w:spacing w:after="0" w:line="240" w:lineRule="auto"/>
    </w:pPr>
    <w:rPr>
      <w:rFonts w:ascii="Times New Roman" w:eastAsia="Times New Roman" w:hAnsi="Times New Roman" w:cs="Times New Roman"/>
      <w:sz w:val="24"/>
      <w:szCs w:val="24"/>
      <w:lang w:eastAsia="es-MX"/>
    </w:rPr>
  </w:style>
  <w:style w:type="paragraph" w:styleId="Ttulo1">
    <w:name w:val="heading 1"/>
    <w:basedOn w:val="Normal"/>
    <w:next w:val="Normal"/>
    <w:link w:val="Ttulo1Car"/>
    <w:rsid w:val="00774AEB"/>
    <w:pPr>
      <w:keepNext/>
      <w:keepLines/>
      <w:spacing w:before="240"/>
      <w:outlineLvl w:val="0"/>
    </w:pPr>
    <w:rPr>
      <w:rFonts w:ascii="Calibri" w:eastAsia="Calibri" w:hAnsi="Calibri" w:cs="Calibri"/>
      <w:color w:val="2E75B5"/>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774AEB"/>
    <w:rPr>
      <w:rFonts w:ascii="Calibri" w:eastAsia="Calibri" w:hAnsi="Calibri" w:cs="Calibri"/>
      <w:color w:val="2E75B5"/>
      <w:sz w:val="32"/>
      <w:szCs w:val="32"/>
      <w:lang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774AEB"/>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774AEB"/>
    <w:rPr>
      <w:rFonts w:ascii="Times New Roman" w:eastAsia="Times New Roman" w:hAnsi="Times New Roman" w:cs="Times New Roman"/>
      <w:sz w:val="24"/>
      <w:szCs w:val="24"/>
      <w:lang w:eastAsia="es-MX"/>
    </w:rPr>
  </w:style>
  <w:style w:type="character" w:styleId="Hipervnculo">
    <w:name w:val="Hyperlink"/>
    <w:basedOn w:val="Fuentedeprrafopredeter"/>
    <w:uiPriority w:val="99"/>
    <w:unhideWhenUsed/>
    <w:rsid w:val="00774AEB"/>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774AEB"/>
    <w:rPr>
      <w:rFonts w:ascii="Calibri" w:eastAsia="Calibri" w:hAnsi="Calibri"/>
      <w:sz w:val="20"/>
      <w:szCs w:val="20"/>
      <w:lang w:eastAsia="en-US"/>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774AEB"/>
    <w:rPr>
      <w:rFonts w:ascii="Calibri" w:eastAsia="Calibri" w:hAnsi="Calibri" w:cs="Times New Roman"/>
      <w:sz w:val="20"/>
      <w:szCs w:val="20"/>
    </w:rPr>
  </w:style>
  <w:style w:type="character" w:styleId="Refdenotaalpie">
    <w:name w:val="footnote reference"/>
    <w:aliases w:val="Footnotes refss,Texto de nota al pie,Ref. de nota al pie 2,Appel note de bas de page,referencia nota al pie,BVI fnr,Footnote number,4_G,16 Point,Superscript 6 Point,Texto nota al pie,Footnote Reference Char3,Ref,de nota al pie,註腳內容,f"/>
    <w:basedOn w:val="Fuentedeprrafopredeter"/>
    <w:uiPriority w:val="99"/>
    <w:unhideWhenUsed/>
    <w:qFormat/>
    <w:rsid w:val="00774AEB"/>
    <w:rPr>
      <w:vertAlign w:val="superscript"/>
    </w:rPr>
  </w:style>
  <w:style w:type="character" w:customStyle="1" w:styleId="normaltextrun">
    <w:name w:val="normaltextrun"/>
    <w:basedOn w:val="Fuentedeprrafopredeter"/>
    <w:rsid w:val="00774AEB"/>
  </w:style>
  <w:style w:type="paragraph" w:styleId="Piedepgina">
    <w:name w:val="footer"/>
    <w:basedOn w:val="Normal"/>
    <w:link w:val="PiedepginaCar"/>
    <w:uiPriority w:val="99"/>
    <w:unhideWhenUsed/>
    <w:rsid w:val="00774AEB"/>
    <w:pPr>
      <w:tabs>
        <w:tab w:val="center" w:pos="4419"/>
        <w:tab w:val="right" w:pos="8838"/>
      </w:tabs>
    </w:pPr>
  </w:style>
  <w:style w:type="character" w:customStyle="1" w:styleId="PiedepginaCar">
    <w:name w:val="Pie de página Car"/>
    <w:basedOn w:val="Fuentedeprrafopredeter"/>
    <w:link w:val="Piedepgina"/>
    <w:uiPriority w:val="99"/>
    <w:rsid w:val="00774AEB"/>
    <w:rPr>
      <w:rFonts w:ascii="Times New Roman" w:eastAsia="Times New Roman" w:hAnsi="Times New Roman" w:cs="Times New Roman"/>
      <w:sz w:val="24"/>
      <w:szCs w:val="24"/>
      <w:lang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7310430">
      <w:bodyDiv w:val="1"/>
      <w:marLeft w:val="0"/>
      <w:marRight w:val="0"/>
      <w:marTop w:val="0"/>
      <w:marBottom w:val="0"/>
      <w:divBdr>
        <w:top w:val="none" w:sz="0" w:space="0" w:color="auto"/>
        <w:left w:val="none" w:sz="0" w:space="0" w:color="auto"/>
        <w:bottom w:val="none" w:sz="0" w:space="0" w:color="auto"/>
        <w:right w:val="none" w:sz="0" w:space="0" w:color="auto"/>
      </w:divBdr>
    </w:div>
    <w:div w:id="1179155999">
      <w:bodyDiv w:val="1"/>
      <w:marLeft w:val="0"/>
      <w:marRight w:val="0"/>
      <w:marTop w:val="0"/>
      <w:marBottom w:val="0"/>
      <w:divBdr>
        <w:top w:val="none" w:sz="0" w:space="0" w:color="auto"/>
        <w:left w:val="none" w:sz="0" w:space="0" w:color="auto"/>
        <w:bottom w:val="none" w:sz="0" w:space="0" w:color="auto"/>
        <w:right w:val="none" w:sz="0" w:space="0" w:color="auto"/>
      </w:divBdr>
    </w:div>
    <w:div w:id="20405470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aimex.org.mx/saimex/solicitud/downloadAttach/2573411.page" TargetMode="External"/><Relationship Id="rId13" Type="http://schemas.openxmlformats.org/officeDocument/2006/relationships/hyperlink" Target="https://www.saimex.org.mx/saimex/solicitud/downloadAttach/2573427.page" TargetMode="External"/><Relationship Id="rId1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saimex.org.mx/saimex/solicitud/downloadAttach/2561443.page" TargetMode="External"/><Relationship Id="rId12" Type="http://schemas.openxmlformats.org/officeDocument/2006/relationships/hyperlink" Target="https://www.saimex.org.mx/saimex/solicitud/downloadAttach/2573426.page"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saimex.org.mx/saimex/solicitud/downloadAttach/2573425.page"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https://www.saimex.org.mx/saimex/solicitud/downloadAttach/2573424.page"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saimex.org.mx/saimex/solicitud/downloadAttach/2573423.page"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17</Pages>
  <Words>4058</Words>
  <Characters>22322</Characters>
  <Application>Microsoft Office Word</Application>
  <DocSecurity>0</DocSecurity>
  <Lines>186</Lines>
  <Paragraphs>52</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26328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INFOEM549</dc:creator>
  <cp:keywords/>
  <dc:description/>
  <cp:lastModifiedBy>Cuenta Microsoft</cp:lastModifiedBy>
  <cp:revision>8</cp:revision>
  <cp:lastPrinted>2026-05-21T23:19:00Z</cp:lastPrinted>
  <dcterms:created xsi:type="dcterms:W3CDTF">2026-05-18T18:50:00Z</dcterms:created>
  <dcterms:modified xsi:type="dcterms:W3CDTF">2026-05-28T23:40:00Z</dcterms:modified>
</cp:coreProperties>
</file>