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510E" w:rsidRPr="005C4C61" w:rsidRDefault="00C83BDF">
      <w:pPr>
        <w:tabs>
          <w:tab w:val="left" w:pos="3465"/>
        </w:tabs>
        <w:spacing w:line="360" w:lineRule="auto"/>
        <w:jc w:val="both"/>
        <w:rPr>
          <w:rFonts w:ascii="Palatino Linotype" w:eastAsia="Palatino Linotype" w:hAnsi="Palatino Linotype" w:cs="Palatino Linotype"/>
          <w:b/>
          <w:color w:val="000000"/>
        </w:rPr>
      </w:pPr>
      <w:bookmarkStart w:id="0" w:name="_GoBack"/>
      <w:bookmarkEnd w:id="0"/>
      <w:r w:rsidRPr="005C4C61">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Pr="005C4C61">
        <w:rPr>
          <w:rFonts w:ascii="Palatino Linotype" w:eastAsia="Palatino Linotype" w:hAnsi="Palatino Linotype" w:cs="Palatino Linotype"/>
          <w:b/>
        </w:rPr>
        <w:t xml:space="preserve">de fecha </w:t>
      </w:r>
      <w:r w:rsidRPr="005C4C61">
        <w:rPr>
          <w:rFonts w:ascii="Palatino Linotype" w:eastAsia="Palatino Linotype" w:hAnsi="Palatino Linotype" w:cs="Palatino Linotype"/>
          <w:b/>
          <w:color w:val="000000"/>
        </w:rPr>
        <w:t>once</w:t>
      </w:r>
      <w:r w:rsidR="005C4C61" w:rsidRPr="005C4C61">
        <w:rPr>
          <w:rFonts w:ascii="Palatino Linotype" w:eastAsia="Palatino Linotype" w:hAnsi="Palatino Linotype" w:cs="Palatino Linotype"/>
          <w:b/>
          <w:color w:val="000000"/>
        </w:rPr>
        <w:t xml:space="preserve"> (11)</w:t>
      </w:r>
      <w:r w:rsidRPr="005C4C61">
        <w:rPr>
          <w:rFonts w:ascii="Palatino Linotype" w:eastAsia="Palatino Linotype" w:hAnsi="Palatino Linotype" w:cs="Palatino Linotype"/>
          <w:b/>
          <w:color w:val="000000"/>
        </w:rPr>
        <w:t xml:space="preserve"> de marzo de dos mil veintiséis.</w:t>
      </w:r>
    </w:p>
    <w:p w:rsidR="00C2510E" w:rsidRPr="005C4C61" w:rsidRDefault="00C2510E">
      <w:pPr>
        <w:tabs>
          <w:tab w:val="left" w:pos="3465"/>
        </w:tabs>
        <w:spacing w:line="360" w:lineRule="auto"/>
        <w:jc w:val="both"/>
        <w:rPr>
          <w:rFonts w:ascii="Palatino Linotype" w:eastAsia="Palatino Linotype" w:hAnsi="Palatino Linotype" w:cs="Palatino Linotype"/>
        </w:rPr>
      </w:pPr>
    </w:p>
    <w:p w:rsidR="00C2510E" w:rsidRPr="005C4C61" w:rsidRDefault="00C83BDF">
      <w:pPr>
        <w:spacing w:line="360" w:lineRule="auto"/>
        <w:jc w:val="both"/>
        <w:rPr>
          <w:rFonts w:ascii="Palatino Linotype" w:eastAsia="Palatino Linotype" w:hAnsi="Palatino Linotype" w:cs="Palatino Linotype"/>
        </w:rPr>
      </w:pPr>
      <w:r w:rsidRPr="005C4C61">
        <w:rPr>
          <w:rFonts w:ascii="Palatino Linotype" w:eastAsia="Palatino Linotype" w:hAnsi="Palatino Linotype" w:cs="Palatino Linotype"/>
          <w:b/>
          <w:bCs/>
        </w:rPr>
        <w:t>VISTO</w:t>
      </w:r>
      <w:r w:rsidRPr="005C4C61">
        <w:rPr>
          <w:rFonts w:ascii="Palatino Linotype" w:eastAsia="Palatino Linotype" w:hAnsi="Palatino Linotype" w:cs="Palatino Linotype"/>
        </w:rPr>
        <w:t xml:space="preserve"> el expediente electrónico formado con motivo del Recurso de Revisión </w:t>
      </w:r>
      <w:r w:rsidRPr="005C4C61">
        <w:rPr>
          <w:rFonts w:ascii="Palatino Linotype" w:eastAsia="Palatino Linotype" w:hAnsi="Palatino Linotype" w:cs="Palatino Linotype"/>
          <w:b/>
          <w:bCs/>
        </w:rPr>
        <w:t>08753/INFOEM/IP/RR/2025</w:t>
      </w:r>
      <w:r w:rsidRPr="005C4C61">
        <w:rPr>
          <w:rFonts w:ascii="Palatino Linotype" w:eastAsia="Palatino Linotype" w:hAnsi="Palatino Linotype" w:cs="Palatino Linotype"/>
        </w:rPr>
        <w:t>,</w:t>
      </w:r>
      <w:r w:rsidRPr="005C4C61">
        <w:rPr>
          <w:rFonts w:ascii="Palatino Linotype" w:eastAsia="Palatino Linotype" w:hAnsi="Palatino Linotype" w:cs="Palatino Linotype"/>
          <w:b/>
          <w:bCs/>
        </w:rPr>
        <w:t xml:space="preserve"> </w:t>
      </w:r>
      <w:r w:rsidRPr="005C4C61">
        <w:rPr>
          <w:rFonts w:ascii="Palatino Linotype" w:eastAsia="Palatino Linotype" w:hAnsi="Palatino Linotype" w:cs="Palatino Linotype"/>
        </w:rPr>
        <w:t xml:space="preserve">promovido por </w:t>
      </w:r>
      <w:r w:rsidR="00992627">
        <w:rPr>
          <w:rFonts w:ascii="Palatino Linotype" w:eastAsia="Palatino Linotype" w:hAnsi="Palatino Linotype" w:cs="Palatino Linotype"/>
          <w:b/>
          <w:bCs/>
        </w:rPr>
        <w:t>XXXX</w:t>
      </w:r>
      <w:r w:rsidRPr="005C4C61">
        <w:rPr>
          <w:rFonts w:ascii="Palatino Linotype" w:eastAsia="Palatino Linotype" w:hAnsi="Palatino Linotype" w:cs="Palatino Linotype"/>
          <w:b/>
          <w:bCs/>
        </w:rPr>
        <w:t>,</w:t>
      </w:r>
      <w:r w:rsidRPr="005C4C61">
        <w:rPr>
          <w:rFonts w:ascii="Palatino Linotype" w:eastAsia="Palatino Linotype" w:hAnsi="Palatino Linotype" w:cs="Palatino Linotype"/>
        </w:rPr>
        <w:t xml:space="preserve"> a quien en lo sucesivo se le identificará como </w:t>
      </w:r>
      <w:r w:rsidRPr="005C4C61">
        <w:rPr>
          <w:rFonts w:ascii="Palatino Linotype" w:eastAsia="Palatino Linotype" w:hAnsi="Palatino Linotype" w:cs="Palatino Linotype"/>
          <w:b/>
          <w:bCs/>
        </w:rPr>
        <w:t>EL RECURRENTE</w:t>
      </w:r>
      <w:r w:rsidRPr="005C4C61">
        <w:rPr>
          <w:rFonts w:ascii="Palatino Linotype" w:eastAsia="Palatino Linotype" w:hAnsi="Palatino Linotype" w:cs="Palatino Linotype"/>
        </w:rPr>
        <w:t>, en contra de la respuesta de</w:t>
      </w:r>
      <w:r w:rsidR="00B0458B" w:rsidRPr="005C4C61">
        <w:rPr>
          <w:rFonts w:ascii="Palatino Linotype" w:eastAsia="Palatino Linotype" w:hAnsi="Palatino Linotype" w:cs="Palatino Linotype"/>
        </w:rPr>
        <w:t xml:space="preserve"> </w:t>
      </w:r>
      <w:r w:rsidRPr="005C4C61">
        <w:rPr>
          <w:rFonts w:ascii="Palatino Linotype" w:eastAsia="Palatino Linotype" w:hAnsi="Palatino Linotype" w:cs="Palatino Linotype"/>
        </w:rPr>
        <w:t>l</w:t>
      </w:r>
      <w:r w:rsidR="00B0458B" w:rsidRPr="005C4C61">
        <w:rPr>
          <w:rFonts w:ascii="Palatino Linotype" w:eastAsia="Palatino Linotype" w:hAnsi="Palatino Linotype" w:cs="Palatino Linotype"/>
        </w:rPr>
        <w:t>a</w:t>
      </w:r>
      <w:r w:rsidRPr="005C4C61">
        <w:rPr>
          <w:rFonts w:ascii="Palatino Linotype" w:eastAsia="Palatino Linotype" w:hAnsi="Palatino Linotype" w:cs="Palatino Linotype"/>
        </w:rPr>
        <w:t xml:space="preserve"> </w:t>
      </w:r>
      <w:r w:rsidRPr="005C4C61">
        <w:rPr>
          <w:rFonts w:ascii="Palatino Linotype" w:eastAsia="Palatino Linotype" w:hAnsi="Palatino Linotype" w:cs="Palatino Linotype"/>
          <w:b/>
          <w:bCs/>
        </w:rPr>
        <w:t xml:space="preserve">Universidad Estatal del Valle de Toluca, </w:t>
      </w:r>
      <w:r w:rsidRPr="005C4C61">
        <w:rPr>
          <w:rFonts w:ascii="Palatino Linotype" w:eastAsia="Palatino Linotype" w:hAnsi="Palatino Linotype" w:cs="Palatino Linotype"/>
        </w:rPr>
        <w:t xml:space="preserve">en </w:t>
      </w:r>
      <w:r w:rsidR="005C4C61">
        <w:rPr>
          <w:rFonts w:ascii="Palatino Linotype" w:eastAsia="Palatino Linotype" w:hAnsi="Palatino Linotype" w:cs="Palatino Linotype"/>
        </w:rPr>
        <w:t>adelante</w:t>
      </w:r>
      <w:r w:rsidRPr="005C4C61">
        <w:rPr>
          <w:rFonts w:ascii="Palatino Linotype" w:eastAsia="Palatino Linotype" w:hAnsi="Palatino Linotype" w:cs="Palatino Linotype"/>
        </w:rPr>
        <w:t xml:space="preserve"> el</w:t>
      </w:r>
      <w:r w:rsidRPr="005C4C61">
        <w:rPr>
          <w:rFonts w:ascii="Palatino Linotype" w:eastAsia="Palatino Linotype" w:hAnsi="Palatino Linotype" w:cs="Palatino Linotype"/>
          <w:b/>
          <w:bCs/>
        </w:rPr>
        <w:t xml:space="preserve"> SUJETO OBLIGADO</w:t>
      </w:r>
      <w:r w:rsidRPr="005C4C61">
        <w:rPr>
          <w:rFonts w:ascii="Palatino Linotype" w:eastAsia="Palatino Linotype" w:hAnsi="Palatino Linotype" w:cs="Palatino Linotype"/>
        </w:rPr>
        <w:t>, s</w:t>
      </w:r>
      <w:r w:rsidR="005C4C61">
        <w:rPr>
          <w:rFonts w:ascii="Palatino Linotype" w:eastAsia="Palatino Linotype" w:hAnsi="Palatino Linotype" w:cs="Palatino Linotype"/>
        </w:rPr>
        <w:t>e procede a dictar la presente r</w:t>
      </w:r>
      <w:r w:rsidRPr="005C4C61">
        <w:rPr>
          <w:rFonts w:ascii="Palatino Linotype" w:eastAsia="Palatino Linotype" w:hAnsi="Palatino Linotype" w:cs="Palatino Linotype"/>
        </w:rPr>
        <w:t>esolución, con base en los siguientes:</w:t>
      </w:r>
    </w:p>
    <w:p w:rsidR="00C2510E" w:rsidRPr="005C4C61" w:rsidRDefault="00C2510E">
      <w:pPr>
        <w:spacing w:line="360" w:lineRule="auto"/>
        <w:jc w:val="both"/>
        <w:rPr>
          <w:rFonts w:ascii="Palatino Linotype" w:eastAsia="Palatino Linotype" w:hAnsi="Palatino Linotype" w:cs="Palatino Linotype"/>
        </w:rPr>
      </w:pPr>
    </w:p>
    <w:p w:rsidR="00C2510E" w:rsidRPr="005C4C61" w:rsidRDefault="00C83BDF">
      <w:pPr>
        <w:pStyle w:val="Ttulo1"/>
        <w:spacing w:before="0" w:line="360" w:lineRule="auto"/>
        <w:jc w:val="center"/>
        <w:rPr>
          <w:rFonts w:ascii="Palatino Linotype" w:eastAsia="Palatino Linotype" w:hAnsi="Palatino Linotype" w:cs="Palatino Linotype"/>
          <w:b/>
          <w:bCs/>
          <w:color w:val="000000"/>
          <w:sz w:val="24"/>
          <w:szCs w:val="24"/>
        </w:rPr>
      </w:pPr>
      <w:bookmarkStart w:id="1" w:name="_heading=h.qpyjdylt8ay8" w:colFirst="0" w:colLast="0"/>
      <w:bookmarkEnd w:id="1"/>
      <w:r w:rsidRPr="005C4C61">
        <w:rPr>
          <w:rFonts w:ascii="Palatino Linotype" w:eastAsia="Palatino Linotype" w:hAnsi="Palatino Linotype" w:cs="Palatino Linotype"/>
          <w:b/>
          <w:bCs/>
          <w:color w:val="000000"/>
          <w:sz w:val="24"/>
          <w:szCs w:val="24"/>
        </w:rPr>
        <w:t>A</w:t>
      </w:r>
      <w:r w:rsidR="005C4C61">
        <w:rPr>
          <w:rFonts w:ascii="Palatino Linotype" w:eastAsia="Palatino Linotype" w:hAnsi="Palatino Linotype" w:cs="Palatino Linotype"/>
          <w:b/>
          <w:bCs/>
          <w:color w:val="000000"/>
          <w:sz w:val="24"/>
          <w:szCs w:val="24"/>
        </w:rPr>
        <w:t xml:space="preserve"> </w:t>
      </w:r>
      <w:r w:rsidRPr="005C4C61">
        <w:rPr>
          <w:rFonts w:ascii="Palatino Linotype" w:eastAsia="Palatino Linotype" w:hAnsi="Palatino Linotype" w:cs="Palatino Linotype"/>
          <w:b/>
          <w:bCs/>
          <w:color w:val="000000"/>
          <w:sz w:val="24"/>
          <w:szCs w:val="24"/>
        </w:rPr>
        <w:t>N</w:t>
      </w:r>
      <w:r w:rsidR="005C4C61">
        <w:rPr>
          <w:rFonts w:ascii="Palatino Linotype" w:eastAsia="Palatino Linotype" w:hAnsi="Palatino Linotype" w:cs="Palatino Linotype"/>
          <w:b/>
          <w:bCs/>
          <w:color w:val="000000"/>
          <w:sz w:val="24"/>
          <w:szCs w:val="24"/>
        </w:rPr>
        <w:t xml:space="preserve"> </w:t>
      </w:r>
      <w:r w:rsidRPr="005C4C61">
        <w:rPr>
          <w:rFonts w:ascii="Palatino Linotype" w:eastAsia="Palatino Linotype" w:hAnsi="Palatino Linotype" w:cs="Palatino Linotype"/>
          <w:b/>
          <w:bCs/>
          <w:color w:val="000000"/>
          <w:sz w:val="24"/>
          <w:szCs w:val="24"/>
        </w:rPr>
        <w:t>T</w:t>
      </w:r>
      <w:r w:rsidR="005C4C61">
        <w:rPr>
          <w:rFonts w:ascii="Palatino Linotype" w:eastAsia="Palatino Linotype" w:hAnsi="Palatino Linotype" w:cs="Palatino Linotype"/>
          <w:b/>
          <w:bCs/>
          <w:color w:val="000000"/>
          <w:sz w:val="24"/>
          <w:szCs w:val="24"/>
        </w:rPr>
        <w:t xml:space="preserve"> </w:t>
      </w:r>
      <w:r w:rsidRPr="005C4C61">
        <w:rPr>
          <w:rFonts w:ascii="Palatino Linotype" w:eastAsia="Palatino Linotype" w:hAnsi="Palatino Linotype" w:cs="Palatino Linotype"/>
          <w:b/>
          <w:bCs/>
          <w:color w:val="000000"/>
          <w:sz w:val="24"/>
          <w:szCs w:val="24"/>
        </w:rPr>
        <w:t>E</w:t>
      </w:r>
      <w:r w:rsidR="005C4C61">
        <w:rPr>
          <w:rFonts w:ascii="Palatino Linotype" w:eastAsia="Palatino Linotype" w:hAnsi="Palatino Linotype" w:cs="Palatino Linotype"/>
          <w:b/>
          <w:bCs/>
          <w:color w:val="000000"/>
          <w:sz w:val="24"/>
          <w:szCs w:val="24"/>
        </w:rPr>
        <w:t xml:space="preserve"> </w:t>
      </w:r>
      <w:r w:rsidRPr="005C4C61">
        <w:rPr>
          <w:rFonts w:ascii="Palatino Linotype" w:eastAsia="Palatino Linotype" w:hAnsi="Palatino Linotype" w:cs="Palatino Linotype"/>
          <w:b/>
          <w:bCs/>
          <w:color w:val="000000"/>
          <w:sz w:val="24"/>
          <w:szCs w:val="24"/>
        </w:rPr>
        <w:t>C</w:t>
      </w:r>
      <w:r w:rsidR="005C4C61">
        <w:rPr>
          <w:rFonts w:ascii="Palatino Linotype" w:eastAsia="Palatino Linotype" w:hAnsi="Palatino Linotype" w:cs="Palatino Linotype"/>
          <w:b/>
          <w:bCs/>
          <w:color w:val="000000"/>
          <w:sz w:val="24"/>
          <w:szCs w:val="24"/>
        </w:rPr>
        <w:t xml:space="preserve"> </w:t>
      </w:r>
      <w:r w:rsidRPr="005C4C61">
        <w:rPr>
          <w:rFonts w:ascii="Palatino Linotype" w:eastAsia="Palatino Linotype" w:hAnsi="Palatino Linotype" w:cs="Palatino Linotype"/>
          <w:b/>
          <w:bCs/>
          <w:color w:val="000000"/>
          <w:sz w:val="24"/>
          <w:szCs w:val="24"/>
        </w:rPr>
        <w:t>E</w:t>
      </w:r>
      <w:r w:rsidR="005C4C61">
        <w:rPr>
          <w:rFonts w:ascii="Palatino Linotype" w:eastAsia="Palatino Linotype" w:hAnsi="Palatino Linotype" w:cs="Palatino Linotype"/>
          <w:b/>
          <w:bCs/>
          <w:color w:val="000000"/>
          <w:sz w:val="24"/>
          <w:szCs w:val="24"/>
        </w:rPr>
        <w:t xml:space="preserve"> </w:t>
      </w:r>
      <w:r w:rsidRPr="005C4C61">
        <w:rPr>
          <w:rFonts w:ascii="Palatino Linotype" w:eastAsia="Palatino Linotype" w:hAnsi="Palatino Linotype" w:cs="Palatino Linotype"/>
          <w:b/>
          <w:bCs/>
          <w:color w:val="000000"/>
          <w:sz w:val="24"/>
          <w:szCs w:val="24"/>
        </w:rPr>
        <w:t>D</w:t>
      </w:r>
      <w:r w:rsidR="005C4C61">
        <w:rPr>
          <w:rFonts w:ascii="Palatino Linotype" w:eastAsia="Palatino Linotype" w:hAnsi="Palatino Linotype" w:cs="Palatino Linotype"/>
          <w:b/>
          <w:bCs/>
          <w:color w:val="000000"/>
          <w:sz w:val="24"/>
          <w:szCs w:val="24"/>
        </w:rPr>
        <w:t xml:space="preserve"> </w:t>
      </w:r>
      <w:r w:rsidRPr="005C4C61">
        <w:rPr>
          <w:rFonts w:ascii="Palatino Linotype" w:eastAsia="Palatino Linotype" w:hAnsi="Palatino Linotype" w:cs="Palatino Linotype"/>
          <w:b/>
          <w:bCs/>
          <w:color w:val="000000"/>
          <w:sz w:val="24"/>
          <w:szCs w:val="24"/>
        </w:rPr>
        <w:t>E</w:t>
      </w:r>
      <w:r w:rsidR="005C4C61">
        <w:rPr>
          <w:rFonts w:ascii="Palatino Linotype" w:eastAsia="Palatino Linotype" w:hAnsi="Palatino Linotype" w:cs="Palatino Linotype"/>
          <w:b/>
          <w:bCs/>
          <w:color w:val="000000"/>
          <w:sz w:val="24"/>
          <w:szCs w:val="24"/>
        </w:rPr>
        <w:t xml:space="preserve"> </w:t>
      </w:r>
      <w:r w:rsidRPr="005C4C61">
        <w:rPr>
          <w:rFonts w:ascii="Palatino Linotype" w:eastAsia="Palatino Linotype" w:hAnsi="Palatino Linotype" w:cs="Palatino Linotype"/>
          <w:b/>
          <w:bCs/>
          <w:color w:val="000000"/>
          <w:sz w:val="24"/>
          <w:szCs w:val="24"/>
        </w:rPr>
        <w:t>N</w:t>
      </w:r>
      <w:r w:rsidR="005C4C61">
        <w:rPr>
          <w:rFonts w:ascii="Palatino Linotype" w:eastAsia="Palatino Linotype" w:hAnsi="Palatino Linotype" w:cs="Palatino Linotype"/>
          <w:b/>
          <w:bCs/>
          <w:color w:val="000000"/>
          <w:sz w:val="24"/>
          <w:szCs w:val="24"/>
        </w:rPr>
        <w:t xml:space="preserve"> </w:t>
      </w:r>
      <w:r w:rsidRPr="005C4C61">
        <w:rPr>
          <w:rFonts w:ascii="Palatino Linotype" w:eastAsia="Palatino Linotype" w:hAnsi="Palatino Linotype" w:cs="Palatino Linotype"/>
          <w:b/>
          <w:bCs/>
          <w:color w:val="000000"/>
          <w:sz w:val="24"/>
          <w:szCs w:val="24"/>
        </w:rPr>
        <w:t>T</w:t>
      </w:r>
      <w:r w:rsidR="005C4C61">
        <w:rPr>
          <w:rFonts w:ascii="Palatino Linotype" w:eastAsia="Palatino Linotype" w:hAnsi="Palatino Linotype" w:cs="Palatino Linotype"/>
          <w:b/>
          <w:bCs/>
          <w:color w:val="000000"/>
          <w:sz w:val="24"/>
          <w:szCs w:val="24"/>
        </w:rPr>
        <w:t xml:space="preserve"> </w:t>
      </w:r>
      <w:r w:rsidRPr="005C4C61">
        <w:rPr>
          <w:rFonts w:ascii="Palatino Linotype" w:eastAsia="Palatino Linotype" w:hAnsi="Palatino Linotype" w:cs="Palatino Linotype"/>
          <w:b/>
          <w:bCs/>
          <w:color w:val="000000"/>
          <w:sz w:val="24"/>
          <w:szCs w:val="24"/>
        </w:rPr>
        <w:t>E</w:t>
      </w:r>
      <w:r w:rsidR="005C4C61">
        <w:rPr>
          <w:rFonts w:ascii="Palatino Linotype" w:eastAsia="Palatino Linotype" w:hAnsi="Palatino Linotype" w:cs="Palatino Linotype"/>
          <w:b/>
          <w:bCs/>
          <w:color w:val="000000"/>
          <w:sz w:val="24"/>
          <w:szCs w:val="24"/>
        </w:rPr>
        <w:t xml:space="preserve"> </w:t>
      </w:r>
      <w:r w:rsidRPr="005C4C61">
        <w:rPr>
          <w:rFonts w:ascii="Palatino Linotype" w:eastAsia="Palatino Linotype" w:hAnsi="Palatino Linotype" w:cs="Palatino Linotype"/>
          <w:b/>
          <w:bCs/>
          <w:color w:val="000000"/>
          <w:sz w:val="24"/>
          <w:szCs w:val="24"/>
        </w:rPr>
        <w:t>S</w:t>
      </w:r>
    </w:p>
    <w:p w:rsidR="00C2510E" w:rsidRPr="005C4C61" w:rsidRDefault="00C2510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2510E" w:rsidRPr="005C4C61" w:rsidRDefault="00C83BD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C4C61">
        <w:rPr>
          <w:rFonts w:ascii="Palatino Linotype" w:eastAsia="Palatino Linotype" w:hAnsi="Palatino Linotype" w:cs="Palatino Linotype"/>
          <w:color w:val="000000"/>
        </w:rPr>
        <w:t xml:space="preserve">El día </w:t>
      </w:r>
      <w:r w:rsidRPr="005C4C61">
        <w:rPr>
          <w:rFonts w:ascii="Palatino Linotype" w:eastAsia="Palatino Linotype" w:hAnsi="Palatino Linotype" w:cs="Palatino Linotype"/>
          <w:b/>
          <w:bCs/>
          <w:color w:val="000000"/>
        </w:rPr>
        <w:t xml:space="preserve">seis de junio dos mil veinticinco, </w:t>
      </w:r>
      <w:r w:rsidRPr="005C4C61">
        <w:rPr>
          <w:rFonts w:ascii="Palatino Linotype" w:eastAsia="Palatino Linotype" w:hAnsi="Palatino Linotype" w:cs="Palatino Linotype"/>
          <w:color w:val="000000"/>
        </w:rPr>
        <w:t xml:space="preserve">se presentó ante el </w:t>
      </w:r>
      <w:r w:rsidRPr="005C4C61">
        <w:rPr>
          <w:rFonts w:ascii="Palatino Linotype" w:eastAsia="Palatino Linotype" w:hAnsi="Palatino Linotype" w:cs="Palatino Linotype"/>
          <w:b/>
          <w:bCs/>
          <w:color w:val="000000"/>
        </w:rPr>
        <w:t>SUJETO OBLIGADO</w:t>
      </w:r>
      <w:r w:rsidRPr="005C4C61">
        <w:rPr>
          <w:rFonts w:ascii="Palatino Linotype" w:eastAsia="Palatino Linotype" w:hAnsi="Palatino Linotype" w:cs="Palatino Linotype"/>
          <w:color w:val="000000"/>
        </w:rPr>
        <w:t xml:space="preserve"> vía Sistema de Acceso a la Información Mexiquense (SAIMEX), la Solicitud de Información Pública registrada con el número</w:t>
      </w:r>
      <w:r w:rsidRPr="005C4C61">
        <w:rPr>
          <w:rFonts w:ascii="Palatino Linotype" w:eastAsia="Palatino Linotype" w:hAnsi="Palatino Linotype" w:cs="Palatino Linotype"/>
          <w:b/>
          <w:bCs/>
          <w:color w:val="000000"/>
        </w:rPr>
        <w:t xml:space="preserve"> 00032/UNEVT/IP/2025; </w:t>
      </w:r>
      <w:r w:rsidR="00992627">
        <w:rPr>
          <w:rFonts w:ascii="Palatino Linotype" w:eastAsia="Palatino Linotype" w:hAnsi="Palatino Linotype" w:cs="Palatino Linotype"/>
          <w:color w:val="000000"/>
        </w:rPr>
        <w:t xml:space="preserve">en la que </w:t>
      </w:r>
      <w:r w:rsidRPr="005C4C61">
        <w:rPr>
          <w:rFonts w:ascii="Palatino Linotype" w:eastAsia="Palatino Linotype" w:hAnsi="Palatino Linotype" w:cs="Palatino Linotype"/>
          <w:color w:val="000000"/>
        </w:rPr>
        <w:t>se solicitó la siguiente información:</w:t>
      </w:r>
    </w:p>
    <w:p w:rsidR="00C2510E" w:rsidRPr="005C4C61" w:rsidRDefault="00C2510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2510E" w:rsidRPr="005C4C61" w:rsidRDefault="00C83BDF">
      <w:pPr>
        <w:pBdr>
          <w:top w:val="nil"/>
          <w:left w:val="nil"/>
          <w:bottom w:val="nil"/>
          <w:right w:val="nil"/>
          <w:between w:val="nil"/>
        </w:pBdr>
        <w:spacing w:line="360" w:lineRule="auto"/>
        <w:ind w:left="426" w:right="474"/>
        <w:jc w:val="both"/>
        <w:rPr>
          <w:rFonts w:ascii="Palatino Linotype" w:eastAsia="Palatino Linotype" w:hAnsi="Palatino Linotype" w:cs="Palatino Linotype"/>
          <w:i/>
          <w:iCs/>
          <w:color w:val="000000"/>
        </w:rPr>
      </w:pPr>
      <w:r w:rsidRPr="005C4C61">
        <w:rPr>
          <w:rFonts w:ascii="Palatino Linotype" w:eastAsia="Palatino Linotype" w:hAnsi="Palatino Linotype" w:cs="Palatino Linotype"/>
          <w:i/>
          <w:iCs/>
          <w:color w:val="000000"/>
        </w:rPr>
        <w:t>“REQUIERO EL EXPEDIENTE EN VERSION PUBLICA DEL PROCEDIMIENTO DE LICITACION PUBLICA UNEVT/LP-001-2025”</w:t>
      </w:r>
    </w:p>
    <w:p w:rsidR="00C2510E" w:rsidRPr="005C4C61" w:rsidRDefault="00C2510E">
      <w:pPr>
        <w:pBdr>
          <w:top w:val="nil"/>
          <w:left w:val="nil"/>
          <w:bottom w:val="nil"/>
          <w:right w:val="nil"/>
          <w:between w:val="nil"/>
        </w:pBdr>
        <w:spacing w:line="360" w:lineRule="auto"/>
        <w:ind w:left="426" w:right="474"/>
        <w:jc w:val="both"/>
        <w:rPr>
          <w:rFonts w:ascii="Palatino Linotype" w:eastAsia="Palatino Linotype" w:hAnsi="Palatino Linotype" w:cs="Palatino Linotype"/>
          <w:i/>
          <w:iCs/>
          <w:color w:val="000000"/>
        </w:rPr>
      </w:pPr>
    </w:p>
    <w:p w:rsidR="00C2510E" w:rsidRDefault="00C83BDF" w:rsidP="005C4C61">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C4C61">
        <w:rPr>
          <w:rFonts w:ascii="Palatino Linotype" w:eastAsia="Palatino Linotype" w:hAnsi="Palatino Linotype" w:cs="Palatino Linotype"/>
          <w:color w:val="000000"/>
        </w:rPr>
        <w:t>Modalidad de entrega de la información: Vía SAIMEX.</w:t>
      </w:r>
    </w:p>
    <w:p w:rsidR="005C4C61" w:rsidRPr="005C4C61" w:rsidRDefault="005C4C61" w:rsidP="005C4C6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2510E" w:rsidRPr="005C4C61" w:rsidRDefault="00C83BD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r w:rsidRPr="005C4C61">
        <w:rPr>
          <w:rFonts w:ascii="Palatino Linotype" w:eastAsia="Palatino Linotype" w:hAnsi="Palatino Linotype" w:cs="Palatino Linotype"/>
          <w:color w:val="000000"/>
        </w:rPr>
        <w:lastRenderedPageBreak/>
        <w:t xml:space="preserve">El </w:t>
      </w:r>
      <w:r w:rsidRPr="005C4C61">
        <w:rPr>
          <w:rFonts w:ascii="Palatino Linotype" w:eastAsia="Palatino Linotype" w:hAnsi="Palatino Linotype" w:cs="Palatino Linotype"/>
          <w:b/>
          <w:bCs/>
          <w:color w:val="000000"/>
        </w:rPr>
        <w:t>veintisiete de junio de dos mil veinticinco</w:t>
      </w:r>
      <w:r w:rsidRPr="005C4C61">
        <w:rPr>
          <w:rFonts w:ascii="Palatino Linotype" w:eastAsia="Palatino Linotype" w:hAnsi="Palatino Linotype" w:cs="Palatino Linotype"/>
          <w:color w:val="000000"/>
        </w:rPr>
        <w:t xml:space="preserve">, el </w:t>
      </w:r>
      <w:r w:rsidRPr="005C4C61">
        <w:rPr>
          <w:rFonts w:ascii="Palatino Linotype" w:eastAsia="Palatino Linotype" w:hAnsi="Palatino Linotype" w:cs="Palatino Linotype"/>
          <w:b/>
          <w:bCs/>
          <w:color w:val="000000"/>
        </w:rPr>
        <w:t>SUJETO OBLIGADO</w:t>
      </w:r>
      <w:r w:rsidRPr="005C4C61">
        <w:rPr>
          <w:rFonts w:ascii="Palatino Linotype" w:eastAsia="Palatino Linotype" w:hAnsi="Palatino Linotype" w:cs="Palatino Linotype"/>
          <w:color w:val="000000"/>
        </w:rPr>
        <w:t xml:space="preserve"> dio respuesta mediante los archivos electrónicos denominados </w:t>
      </w:r>
      <w:r w:rsidRPr="005C4C61">
        <w:rPr>
          <w:rFonts w:ascii="Palatino Linotype" w:eastAsia="Palatino Linotype" w:hAnsi="Palatino Linotype" w:cs="Palatino Linotype"/>
          <w:b/>
          <w:bCs/>
          <w:i/>
          <w:iCs/>
          <w:color w:val="000000"/>
        </w:rPr>
        <w:t>RES-UNEVT-SE-23_02-2025.pdf, R_SPH_RMyF.pdf, R_Solicitante.pdf, R_Solicitante_ampliación.pdf y, RES-UNEVT-SE-24_03-2025.pdf</w:t>
      </w:r>
      <w:r w:rsidRPr="005C4C61">
        <w:rPr>
          <w:rFonts w:ascii="Palatino Linotype" w:eastAsia="Palatino Linotype" w:hAnsi="Palatino Linotype" w:cs="Palatino Linotype"/>
          <w:color w:val="000000"/>
        </w:rPr>
        <w:t>, cuyo contenido de manera general corresponde el Acuerdo por medio del cual se aprueba la ampliación de plazo para dar respuesta a la solicitud de información en un periodo adicional al plazo ordinario; y un oficio signado por el Jefe del Departamento de Recursos Materiales y Financieros, mediante el cual realiza la solicitud de ampliación de plazo para emitir respuesta en razón de la carga de trabajo.</w:t>
      </w:r>
    </w:p>
    <w:p w:rsidR="00C2510E" w:rsidRPr="005C4C61" w:rsidRDefault="00C2510E">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p>
    <w:p w:rsidR="00C2510E" w:rsidRPr="005C4C61" w:rsidRDefault="00C83BD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C4C61">
        <w:rPr>
          <w:rFonts w:ascii="Palatino Linotype" w:eastAsia="Palatino Linotype" w:hAnsi="Palatino Linotype" w:cs="Palatino Linotype"/>
          <w:color w:val="000000"/>
        </w:rPr>
        <w:t xml:space="preserve">Inconforme con la respuesta emitida, el </w:t>
      </w:r>
      <w:r w:rsidRPr="005C4C61">
        <w:rPr>
          <w:rFonts w:ascii="Palatino Linotype" w:eastAsia="Palatino Linotype" w:hAnsi="Palatino Linotype" w:cs="Palatino Linotype"/>
          <w:b/>
          <w:bCs/>
          <w:color w:val="000000"/>
        </w:rPr>
        <w:t>treinta de junio de dos mil veinticinco</w:t>
      </w:r>
      <w:r w:rsidRPr="005C4C61">
        <w:rPr>
          <w:rFonts w:ascii="Palatino Linotype" w:eastAsia="Palatino Linotype" w:hAnsi="Palatino Linotype" w:cs="Palatino Linotype"/>
          <w:color w:val="000000"/>
        </w:rPr>
        <w:t xml:space="preserve">, la parte </w:t>
      </w:r>
      <w:r w:rsidRPr="005C4C61">
        <w:rPr>
          <w:rFonts w:ascii="Palatino Linotype" w:eastAsia="Palatino Linotype" w:hAnsi="Palatino Linotype" w:cs="Palatino Linotype"/>
          <w:b/>
          <w:bCs/>
          <w:color w:val="000000"/>
        </w:rPr>
        <w:t>RECURRENTE</w:t>
      </w:r>
      <w:r w:rsidRPr="005C4C61">
        <w:rPr>
          <w:rFonts w:ascii="Palatino Linotype" w:eastAsia="Palatino Linotype" w:hAnsi="Palatino Linotype" w:cs="Palatino Linotype"/>
          <w:color w:val="000000"/>
        </w:rPr>
        <w:t xml:space="preserve"> interpuso su Recurso de Revisión, señalando como acto impugnado y razones o motivos de inconformidad, lo siguiente:</w:t>
      </w:r>
    </w:p>
    <w:p w:rsidR="00C2510E" w:rsidRPr="005C4C61" w:rsidRDefault="00C2510E">
      <w:p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p>
    <w:p w:rsidR="00C2510E" w:rsidRPr="005C4C61" w:rsidRDefault="00C83BDF" w:rsidP="005C4C61">
      <w:pPr>
        <w:pStyle w:val="Prrafodelista"/>
        <w:numPr>
          <w:ilvl w:val="0"/>
          <w:numId w:val="6"/>
        </w:numPr>
        <w:pBdr>
          <w:top w:val="nil"/>
          <w:left w:val="nil"/>
          <w:bottom w:val="nil"/>
          <w:right w:val="nil"/>
          <w:between w:val="nil"/>
        </w:pBdr>
        <w:spacing w:line="360" w:lineRule="auto"/>
        <w:ind w:left="426" w:right="426"/>
        <w:jc w:val="both"/>
        <w:rPr>
          <w:rFonts w:ascii="Palatino Linotype" w:eastAsia="Palatino Linotype" w:hAnsi="Palatino Linotype" w:cs="Palatino Linotype"/>
          <w:b/>
          <w:bCs/>
          <w:color w:val="000000"/>
        </w:rPr>
      </w:pPr>
      <w:bookmarkStart w:id="2" w:name="_heading=h.1i697fcz5jhk" w:colFirst="0" w:colLast="0"/>
      <w:bookmarkEnd w:id="2"/>
      <w:r w:rsidRPr="005C4C61">
        <w:rPr>
          <w:rFonts w:ascii="Palatino Linotype" w:eastAsia="Palatino Linotype" w:hAnsi="Palatino Linotype" w:cs="Palatino Linotype"/>
          <w:b/>
          <w:bCs/>
          <w:color w:val="000000"/>
        </w:rPr>
        <w:t>ACTO IMPUGNADO:</w:t>
      </w:r>
    </w:p>
    <w:p w:rsidR="00C2510E" w:rsidRPr="005C4C61" w:rsidRDefault="00C83BDF">
      <w:pPr>
        <w:pBdr>
          <w:top w:val="nil"/>
          <w:left w:val="nil"/>
          <w:bottom w:val="nil"/>
          <w:right w:val="nil"/>
          <w:between w:val="nil"/>
        </w:pBdr>
        <w:spacing w:line="360" w:lineRule="auto"/>
        <w:ind w:left="426" w:right="426"/>
        <w:jc w:val="both"/>
        <w:rPr>
          <w:rFonts w:ascii="Palatino Linotype" w:eastAsia="Palatino Linotype" w:hAnsi="Palatino Linotype" w:cs="Palatino Linotype"/>
          <w:i/>
          <w:iCs/>
          <w:color w:val="000000"/>
        </w:rPr>
      </w:pPr>
      <w:r w:rsidRPr="005C4C61">
        <w:rPr>
          <w:rFonts w:ascii="Palatino Linotype" w:eastAsia="Palatino Linotype" w:hAnsi="Palatino Linotype" w:cs="Palatino Linotype"/>
          <w:i/>
          <w:iCs/>
          <w:color w:val="000000"/>
        </w:rPr>
        <w:t>“FALTA DE RESPUESTA”</w:t>
      </w:r>
    </w:p>
    <w:p w:rsidR="00C2510E" w:rsidRPr="005C4C61" w:rsidRDefault="00C2510E">
      <w:pPr>
        <w:pBdr>
          <w:top w:val="nil"/>
          <w:left w:val="nil"/>
          <w:bottom w:val="nil"/>
          <w:right w:val="nil"/>
          <w:between w:val="nil"/>
        </w:pBdr>
        <w:spacing w:line="360" w:lineRule="auto"/>
        <w:ind w:left="426" w:right="426"/>
        <w:jc w:val="both"/>
        <w:rPr>
          <w:rFonts w:ascii="Palatino Linotype" w:eastAsia="Palatino Linotype" w:hAnsi="Palatino Linotype" w:cs="Palatino Linotype"/>
          <w:i/>
          <w:iCs/>
          <w:color w:val="000000"/>
        </w:rPr>
      </w:pPr>
    </w:p>
    <w:p w:rsidR="00C2510E" w:rsidRPr="005C4C61" w:rsidRDefault="00C83BDF" w:rsidP="005C4C61">
      <w:pPr>
        <w:pStyle w:val="Prrafodelista"/>
        <w:numPr>
          <w:ilvl w:val="0"/>
          <w:numId w:val="6"/>
        </w:numPr>
        <w:pBdr>
          <w:top w:val="nil"/>
          <w:left w:val="nil"/>
          <w:bottom w:val="nil"/>
          <w:right w:val="nil"/>
          <w:between w:val="nil"/>
        </w:pBdr>
        <w:spacing w:line="360" w:lineRule="auto"/>
        <w:ind w:left="426" w:right="426"/>
        <w:jc w:val="both"/>
        <w:rPr>
          <w:rFonts w:ascii="Palatino Linotype" w:eastAsia="Palatino Linotype" w:hAnsi="Palatino Linotype" w:cs="Palatino Linotype"/>
          <w:b/>
          <w:bCs/>
          <w:color w:val="000000"/>
        </w:rPr>
      </w:pPr>
      <w:r w:rsidRPr="005C4C61">
        <w:rPr>
          <w:rFonts w:ascii="Palatino Linotype" w:eastAsia="Palatino Linotype" w:hAnsi="Palatino Linotype" w:cs="Palatino Linotype"/>
          <w:b/>
          <w:bCs/>
          <w:color w:val="000000"/>
        </w:rPr>
        <w:t>RAZONES O MOTIVOS DE LA INCONFORMIDAD</w:t>
      </w:r>
      <w:r w:rsidRPr="005C4C61">
        <w:rPr>
          <w:rFonts w:ascii="Palatino Linotype" w:eastAsia="Palatino Linotype" w:hAnsi="Palatino Linotype" w:cs="Palatino Linotype"/>
          <w:b/>
          <w:bCs/>
          <w:color w:val="000000"/>
        </w:rPr>
        <w:tab/>
      </w:r>
    </w:p>
    <w:p w:rsidR="00C2510E" w:rsidRPr="005C4C61" w:rsidRDefault="00C83BDF">
      <w:pPr>
        <w:pBdr>
          <w:top w:val="nil"/>
          <w:left w:val="nil"/>
          <w:bottom w:val="nil"/>
          <w:right w:val="nil"/>
          <w:between w:val="nil"/>
        </w:pBdr>
        <w:spacing w:line="360" w:lineRule="auto"/>
        <w:ind w:left="426" w:right="426"/>
        <w:jc w:val="both"/>
        <w:rPr>
          <w:rFonts w:ascii="Palatino Linotype" w:eastAsia="Palatino Linotype" w:hAnsi="Palatino Linotype" w:cs="Palatino Linotype"/>
          <w:i/>
          <w:iCs/>
          <w:color w:val="000000"/>
        </w:rPr>
      </w:pPr>
      <w:r w:rsidRPr="005C4C61">
        <w:rPr>
          <w:rFonts w:ascii="Palatino Linotype" w:eastAsia="Palatino Linotype" w:hAnsi="Palatino Linotype" w:cs="Palatino Linotype"/>
          <w:i/>
          <w:iCs/>
          <w:color w:val="000000"/>
        </w:rPr>
        <w:t>“INCUMPLIMIENTO AL ACUERDO MEDIANTE EL CUAL SE EMITE RESOLUCIÓN DE AMPLIACIÓN DE PLAZO DE RESPUESTА RES-UNEVT-SEXT-23_02-2025”</w:t>
      </w:r>
    </w:p>
    <w:p w:rsidR="00C2510E" w:rsidRPr="005C4C61" w:rsidRDefault="00C2510E">
      <w:pPr>
        <w:pBdr>
          <w:top w:val="nil"/>
          <w:left w:val="nil"/>
          <w:bottom w:val="nil"/>
          <w:right w:val="nil"/>
          <w:between w:val="nil"/>
        </w:pBdr>
        <w:spacing w:line="360" w:lineRule="auto"/>
        <w:ind w:left="426" w:right="426"/>
        <w:jc w:val="both"/>
        <w:rPr>
          <w:rFonts w:ascii="Palatino Linotype" w:eastAsia="Palatino Linotype" w:hAnsi="Palatino Linotype" w:cs="Palatino Linotype"/>
          <w:i/>
          <w:iCs/>
          <w:color w:val="000000"/>
        </w:rPr>
      </w:pPr>
    </w:p>
    <w:p w:rsidR="00C2510E" w:rsidRPr="005C4C61" w:rsidRDefault="005C4C61">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rPr>
      </w:pPr>
      <w:r>
        <w:rPr>
          <w:rFonts w:ascii="Palatino Linotype" w:eastAsia="Palatino Linotype" w:hAnsi="Palatino Linotype" w:cs="Palatino Linotype"/>
          <w:color w:val="000000"/>
        </w:rPr>
        <w:t>La Comisionada p</w:t>
      </w:r>
      <w:r w:rsidR="00C83BDF" w:rsidRPr="005C4C61">
        <w:rPr>
          <w:rFonts w:ascii="Palatino Linotype" w:eastAsia="Palatino Linotype" w:hAnsi="Palatino Linotype" w:cs="Palatino Linotype"/>
          <w:color w:val="000000"/>
        </w:rPr>
        <w:t xml:space="preserve">onente con fundamento en lo dispuesto por el artículo 185 fracción II de la ley de la materia, a través del acuerdo de admisión de fecha </w:t>
      </w:r>
      <w:r w:rsidR="00C83BDF" w:rsidRPr="005C4C61">
        <w:rPr>
          <w:rFonts w:ascii="Palatino Linotype" w:eastAsia="Palatino Linotype" w:hAnsi="Palatino Linotype" w:cs="Palatino Linotype"/>
          <w:b/>
          <w:bCs/>
          <w:color w:val="000000"/>
        </w:rPr>
        <w:t xml:space="preserve">dieciocho de julio dos </w:t>
      </w:r>
      <w:r w:rsidR="00C83BDF" w:rsidRPr="005C4C61">
        <w:rPr>
          <w:rFonts w:ascii="Palatino Linotype" w:eastAsia="Palatino Linotype" w:hAnsi="Palatino Linotype" w:cs="Palatino Linotype"/>
          <w:b/>
          <w:bCs/>
          <w:color w:val="000000"/>
        </w:rPr>
        <w:lastRenderedPageBreak/>
        <w:t>mil veinticinco</w:t>
      </w:r>
      <w:r w:rsidR="00C83BDF" w:rsidRPr="005C4C61">
        <w:rPr>
          <w:rFonts w:ascii="Palatino Linotype" w:eastAsia="Palatino Linotype" w:hAnsi="Palatino Linotype" w:cs="Palatino Linotype"/>
          <w:color w:val="000000"/>
        </w:rPr>
        <w:t xml:space="preserve">, puso a disposición de las partes el expediente electrónico vía </w:t>
      </w:r>
      <w:r w:rsidR="00C83BDF" w:rsidRPr="005C4C61">
        <w:rPr>
          <w:rFonts w:ascii="Palatino Linotype" w:eastAsia="Palatino Linotype" w:hAnsi="Palatino Linotype" w:cs="Palatino Linotype"/>
          <w:b/>
          <w:bCs/>
          <w:color w:val="000000"/>
        </w:rPr>
        <w:t xml:space="preserve">SAIMEX </w:t>
      </w:r>
      <w:r w:rsidR="00C83BDF" w:rsidRPr="005C4C61">
        <w:rPr>
          <w:rFonts w:ascii="Palatino Linotype" w:eastAsia="Palatino Linotype" w:hAnsi="Palatino Linotype" w:cs="Palatino Linotype"/>
          <w:color w:val="000000"/>
        </w:rPr>
        <w:t xml:space="preserve">a efecto de que en un plazo máximo de siete días manifestaran lo que a su derecho conviniera, ofrecieran pruebas y alegatos según corresponda a los casos concretos, y el </w:t>
      </w:r>
      <w:r w:rsidR="00C83BDF" w:rsidRPr="005C4C61">
        <w:rPr>
          <w:rFonts w:ascii="Palatino Linotype" w:eastAsia="Palatino Linotype" w:hAnsi="Palatino Linotype" w:cs="Palatino Linotype"/>
          <w:b/>
          <w:bCs/>
          <w:color w:val="000000"/>
        </w:rPr>
        <w:t>SUJETO OBLIGADO</w:t>
      </w:r>
      <w:r w:rsidR="00C83BDF" w:rsidRPr="005C4C61">
        <w:rPr>
          <w:rFonts w:ascii="Palatino Linotype" w:eastAsia="Palatino Linotype" w:hAnsi="Palatino Linotype" w:cs="Palatino Linotype"/>
          <w:color w:val="000000"/>
        </w:rPr>
        <w:t xml:space="preserve"> presentará el Informe Justificado procedente.</w:t>
      </w:r>
    </w:p>
    <w:p w:rsidR="00C2510E" w:rsidRPr="005C4C61" w:rsidRDefault="00C2510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2510E" w:rsidRPr="005C4C61" w:rsidRDefault="00C83BD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C4C61">
        <w:rPr>
          <w:rFonts w:ascii="Palatino Linotype" w:eastAsia="Palatino Linotype" w:hAnsi="Palatino Linotype" w:cs="Palatino Linotype"/>
          <w:color w:val="000000"/>
        </w:rPr>
        <w:t xml:space="preserve">El </w:t>
      </w:r>
      <w:r w:rsidRPr="005C4C61">
        <w:rPr>
          <w:rFonts w:ascii="Palatino Linotype" w:eastAsia="Palatino Linotype" w:hAnsi="Palatino Linotype" w:cs="Palatino Linotype"/>
          <w:b/>
          <w:bCs/>
          <w:color w:val="000000"/>
        </w:rPr>
        <w:t>SUJETO OBLIGADO</w:t>
      </w:r>
      <w:r w:rsidRPr="005C4C61">
        <w:rPr>
          <w:rFonts w:ascii="Palatino Linotype" w:eastAsia="Palatino Linotype" w:hAnsi="Palatino Linotype" w:cs="Palatino Linotype"/>
          <w:color w:val="000000"/>
        </w:rPr>
        <w:t xml:space="preserve"> fue omiso en rendir el informe justificado correspondiente. Por su parte el </w:t>
      </w:r>
      <w:r w:rsidRPr="005C4C61">
        <w:rPr>
          <w:rFonts w:ascii="Palatino Linotype" w:eastAsia="Palatino Linotype" w:hAnsi="Palatino Linotype" w:cs="Palatino Linotype"/>
          <w:b/>
          <w:bCs/>
          <w:color w:val="000000"/>
        </w:rPr>
        <w:t>RECURRENTE</w:t>
      </w:r>
      <w:r w:rsidRPr="005C4C61">
        <w:rPr>
          <w:rFonts w:ascii="Palatino Linotype" w:eastAsia="Palatino Linotype" w:hAnsi="Palatino Linotype" w:cs="Palatino Linotype"/>
          <w:color w:val="000000"/>
        </w:rPr>
        <w:t xml:space="preserve"> no realizó manifestaciones que a su derecho conviniera y asistiera.</w:t>
      </w:r>
    </w:p>
    <w:p w:rsidR="00C2510E" w:rsidRPr="005C4C61" w:rsidRDefault="00C2510E">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C2510E" w:rsidRPr="005C4C61" w:rsidRDefault="00C83BD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C4C61">
        <w:rPr>
          <w:rFonts w:ascii="Palatino Linotype" w:eastAsia="Palatino Linotype" w:hAnsi="Palatino Linotype" w:cs="Palatino Linotype"/>
          <w:color w:val="000000"/>
        </w:rPr>
        <w:t xml:space="preserve">El </w:t>
      </w:r>
      <w:r w:rsidRPr="005C4C61">
        <w:rPr>
          <w:rFonts w:ascii="Palatino Linotype" w:eastAsia="Palatino Linotype" w:hAnsi="Palatino Linotype" w:cs="Palatino Linotype"/>
          <w:b/>
          <w:bCs/>
          <w:color w:val="000000"/>
        </w:rPr>
        <w:t>tres de marzo de dos mil veintiséis</w:t>
      </w:r>
      <w:r w:rsidRPr="005C4C61">
        <w:rPr>
          <w:rFonts w:ascii="Palatino Linotype" w:eastAsia="Palatino Linotype" w:hAnsi="Palatino Linotype" w:cs="Palatino Linotype"/>
          <w:color w:val="000000"/>
        </w:rPr>
        <w:t>, con fundamento en el artículo 181, tercer párrafo, de la Ley de Transparencia y Acceso a la Información Pública del Estado de México y Municipios se notificó que el plazo de treinta días para resolver el Recurso de Revisión sería ampliado por un periodo de quince días hábiles adicionales.</w:t>
      </w:r>
    </w:p>
    <w:p w:rsidR="00C2510E" w:rsidRPr="005C4C61" w:rsidRDefault="00C2510E">
      <w:pPr>
        <w:pBdr>
          <w:top w:val="nil"/>
          <w:left w:val="nil"/>
          <w:bottom w:val="nil"/>
          <w:right w:val="nil"/>
          <w:between w:val="nil"/>
        </w:pBdr>
        <w:ind w:left="720"/>
        <w:rPr>
          <w:rFonts w:ascii="Palatino Linotype" w:eastAsia="Palatino Linotype" w:hAnsi="Palatino Linotype" w:cs="Palatino Linotype"/>
          <w:color w:val="000000"/>
        </w:rPr>
      </w:pPr>
    </w:p>
    <w:p w:rsidR="00C2510E" w:rsidRPr="005C4C61" w:rsidRDefault="00C83BD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C4C61">
        <w:rPr>
          <w:rFonts w:ascii="Palatino Linotype" w:eastAsia="Palatino Linotype" w:hAnsi="Palatino Linotype" w:cs="Palatino Linotype"/>
          <w:color w:val="000000"/>
        </w:rPr>
        <w:t>Este Organismo Garante no pasa por alto explicar que la dilación en la resolución del presente asunto encuentra su justificación en que, el alto número de recursos de revisión recibidos ha incrementado el número de medios de impugnación que deben resolverse por este instituto, circunstancia atípica que ha rebasado las capacidades técnicas y humanas del personal encargado de la elaboración de resoluciones a dichos medios de impugnación.</w:t>
      </w:r>
    </w:p>
    <w:p w:rsidR="00C2510E" w:rsidRPr="005C4C61" w:rsidRDefault="00C2510E">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C2510E" w:rsidRPr="005C4C61" w:rsidRDefault="00C83BD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C4C61">
        <w:rPr>
          <w:rFonts w:ascii="Palatino Linotype" w:eastAsia="Palatino Linotype" w:hAnsi="Palatino Linotype" w:cs="Palatino Linotype"/>
          <w:color w:val="000000"/>
        </w:rPr>
        <w:t>Seguidamente al no existir pendientes o diligencia por desahogar, mediante Acuerdo de misma fecha se decretó el cierre de instrucción, por lo que: ---------------</w:t>
      </w:r>
      <w:r w:rsidR="005C4C61">
        <w:rPr>
          <w:rFonts w:ascii="Palatino Linotype" w:eastAsia="Palatino Linotype" w:hAnsi="Palatino Linotype" w:cs="Palatino Linotype"/>
          <w:color w:val="000000"/>
        </w:rPr>
        <w:t>-------------------------</w:t>
      </w:r>
    </w:p>
    <w:p w:rsidR="00C2510E" w:rsidRPr="005C4C61" w:rsidRDefault="00C2510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2510E" w:rsidRPr="005C4C61" w:rsidRDefault="00C83BDF">
      <w:pPr>
        <w:pStyle w:val="Ttulo1"/>
        <w:spacing w:before="0" w:line="360" w:lineRule="auto"/>
        <w:jc w:val="center"/>
        <w:rPr>
          <w:rFonts w:ascii="Palatino Linotype" w:eastAsia="Palatino Linotype" w:hAnsi="Palatino Linotype" w:cs="Palatino Linotype"/>
          <w:b/>
          <w:bCs/>
          <w:color w:val="000000"/>
          <w:sz w:val="24"/>
          <w:szCs w:val="24"/>
        </w:rPr>
      </w:pPr>
      <w:bookmarkStart w:id="3" w:name="_heading=h.tqoelx8qogll" w:colFirst="0" w:colLast="0"/>
      <w:bookmarkEnd w:id="3"/>
      <w:r w:rsidRPr="005C4C61">
        <w:rPr>
          <w:rFonts w:ascii="Palatino Linotype" w:eastAsia="Palatino Linotype" w:hAnsi="Palatino Linotype" w:cs="Palatino Linotype"/>
          <w:b/>
          <w:bCs/>
          <w:color w:val="000000"/>
          <w:sz w:val="24"/>
          <w:szCs w:val="24"/>
        </w:rPr>
        <w:lastRenderedPageBreak/>
        <w:t>C</w:t>
      </w:r>
      <w:r w:rsidR="005C4C61">
        <w:rPr>
          <w:rFonts w:ascii="Palatino Linotype" w:eastAsia="Palatino Linotype" w:hAnsi="Palatino Linotype" w:cs="Palatino Linotype"/>
          <w:b/>
          <w:bCs/>
          <w:color w:val="000000"/>
          <w:sz w:val="24"/>
          <w:szCs w:val="24"/>
        </w:rPr>
        <w:t xml:space="preserve"> </w:t>
      </w:r>
      <w:r w:rsidRPr="005C4C61">
        <w:rPr>
          <w:rFonts w:ascii="Palatino Linotype" w:eastAsia="Palatino Linotype" w:hAnsi="Palatino Linotype" w:cs="Palatino Linotype"/>
          <w:b/>
          <w:bCs/>
          <w:color w:val="000000"/>
          <w:sz w:val="24"/>
          <w:szCs w:val="24"/>
        </w:rPr>
        <w:t>O</w:t>
      </w:r>
      <w:r w:rsidR="005C4C61">
        <w:rPr>
          <w:rFonts w:ascii="Palatino Linotype" w:eastAsia="Palatino Linotype" w:hAnsi="Palatino Linotype" w:cs="Palatino Linotype"/>
          <w:b/>
          <w:bCs/>
          <w:color w:val="000000"/>
          <w:sz w:val="24"/>
          <w:szCs w:val="24"/>
        </w:rPr>
        <w:t xml:space="preserve"> </w:t>
      </w:r>
      <w:r w:rsidRPr="005C4C61">
        <w:rPr>
          <w:rFonts w:ascii="Palatino Linotype" w:eastAsia="Palatino Linotype" w:hAnsi="Palatino Linotype" w:cs="Palatino Linotype"/>
          <w:b/>
          <w:bCs/>
          <w:color w:val="000000"/>
          <w:sz w:val="24"/>
          <w:szCs w:val="24"/>
        </w:rPr>
        <w:t>N</w:t>
      </w:r>
      <w:r w:rsidR="005C4C61">
        <w:rPr>
          <w:rFonts w:ascii="Palatino Linotype" w:eastAsia="Palatino Linotype" w:hAnsi="Palatino Linotype" w:cs="Palatino Linotype"/>
          <w:b/>
          <w:bCs/>
          <w:color w:val="000000"/>
          <w:sz w:val="24"/>
          <w:szCs w:val="24"/>
        </w:rPr>
        <w:t xml:space="preserve"> </w:t>
      </w:r>
      <w:r w:rsidRPr="005C4C61">
        <w:rPr>
          <w:rFonts w:ascii="Palatino Linotype" w:eastAsia="Palatino Linotype" w:hAnsi="Palatino Linotype" w:cs="Palatino Linotype"/>
          <w:b/>
          <w:bCs/>
          <w:color w:val="000000"/>
          <w:sz w:val="24"/>
          <w:szCs w:val="24"/>
        </w:rPr>
        <w:t>S</w:t>
      </w:r>
      <w:r w:rsidR="005C4C61">
        <w:rPr>
          <w:rFonts w:ascii="Palatino Linotype" w:eastAsia="Palatino Linotype" w:hAnsi="Palatino Linotype" w:cs="Palatino Linotype"/>
          <w:b/>
          <w:bCs/>
          <w:color w:val="000000"/>
          <w:sz w:val="24"/>
          <w:szCs w:val="24"/>
        </w:rPr>
        <w:t xml:space="preserve"> </w:t>
      </w:r>
      <w:r w:rsidRPr="005C4C61">
        <w:rPr>
          <w:rFonts w:ascii="Palatino Linotype" w:eastAsia="Palatino Linotype" w:hAnsi="Palatino Linotype" w:cs="Palatino Linotype"/>
          <w:b/>
          <w:bCs/>
          <w:color w:val="000000"/>
          <w:sz w:val="24"/>
          <w:szCs w:val="24"/>
        </w:rPr>
        <w:t>I</w:t>
      </w:r>
      <w:r w:rsidR="005C4C61">
        <w:rPr>
          <w:rFonts w:ascii="Palatino Linotype" w:eastAsia="Palatino Linotype" w:hAnsi="Palatino Linotype" w:cs="Palatino Linotype"/>
          <w:b/>
          <w:bCs/>
          <w:color w:val="000000"/>
          <w:sz w:val="24"/>
          <w:szCs w:val="24"/>
        </w:rPr>
        <w:t xml:space="preserve"> </w:t>
      </w:r>
      <w:r w:rsidRPr="005C4C61">
        <w:rPr>
          <w:rFonts w:ascii="Palatino Linotype" w:eastAsia="Palatino Linotype" w:hAnsi="Palatino Linotype" w:cs="Palatino Linotype"/>
          <w:b/>
          <w:bCs/>
          <w:color w:val="000000"/>
          <w:sz w:val="24"/>
          <w:szCs w:val="24"/>
        </w:rPr>
        <w:t>D</w:t>
      </w:r>
      <w:r w:rsidR="005C4C61">
        <w:rPr>
          <w:rFonts w:ascii="Palatino Linotype" w:eastAsia="Palatino Linotype" w:hAnsi="Palatino Linotype" w:cs="Palatino Linotype"/>
          <w:b/>
          <w:bCs/>
          <w:color w:val="000000"/>
          <w:sz w:val="24"/>
          <w:szCs w:val="24"/>
        </w:rPr>
        <w:t xml:space="preserve"> </w:t>
      </w:r>
      <w:r w:rsidRPr="005C4C61">
        <w:rPr>
          <w:rFonts w:ascii="Palatino Linotype" w:eastAsia="Palatino Linotype" w:hAnsi="Palatino Linotype" w:cs="Palatino Linotype"/>
          <w:b/>
          <w:bCs/>
          <w:color w:val="000000"/>
          <w:sz w:val="24"/>
          <w:szCs w:val="24"/>
        </w:rPr>
        <w:t>E</w:t>
      </w:r>
      <w:r w:rsidR="005C4C61">
        <w:rPr>
          <w:rFonts w:ascii="Palatino Linotype" w:eastAsia="Palatino Linotype" w:hAnsi="Palatino Linotype" w:cs="Palatino Linotype"/>
          <w:b/>
          <w:bCs/>
          <w:color w:val="000000"/>
          <w:sz w:val="24"/>
          <w:szCs w:val="24"/>
        </w:rPr>
        <w:t xml:space="preserve"> </w:t>
      </w:r>
      <w:r w:rsidRPr="005C4C61">
        <w:rPr>
          <w:rFonts w:ascii="Palatino Linotype" w:eastAsia="Palatino Linotype" w:hAnsi="Palatino Linotype" w:cs="Palatino Linotype"/>
          <w:b/>
          <w:bCs/>
          <w:color w:val="000000"/>
          <w:sz w:val="24"/>
          <w:szCs w:val="24"/>
        </w:rPr>
        <w:t>R</w:t>
      </w:r>
      <w:r w:rsidR="005C4C61">
        <w:rPr>
          <w:rFonts w:ascii="Palatino Linotype" w:eastAsia="Palatino Linotype" w:hAnsi="Palatino Linotype" w:cs="Palatino Linotype"/>
          <w:b/>
          <w:bCs/>
          <w:color w:val="000000"/>
          <w:sz w:val="24"/>
          <w:szCs w:val="24"/>
        </w:rPr>
        <w:t xml:space="preserve"> </w:t>
      </w:r>
      <w:r w:rsidRPr="005C4C61">
        <w:rPr>
          <w:rFonts w:ascii="Palatino Linotype" w:eastAsia="Palatino Linotype" w:hAnsi="Palatino Linotype" w:cs="Palatino Linotype"/>
          <w:b/>
          <w:bCs/>
          <w:color w:val="000000"/>
          <w:sz w:val="24"/>
          <w:szCs w:val="24"/>
        </w:rPr>
        <w:t>A</w:t>
      </w:r>
      <w:r w:rsidR="005C4C61">
        <w:rPr>
          <w:rFonts w:ascii="Palatino Linotype" w:eastAsia="Palatino Linotype" w:hAnsi="Palatino Linotype" w:cs="Palatino Linotype"/>
          <w:b/>
          <w:bCs/>
          <w:color w:val="000000"/>
          <w:sz w:val="24"/>
          <w:szCs w:val="24"/>
        </w:rPr>
        <w:t xml:space="preserve"> </w:t>
      </w:r>
      <w:r w:rsidRPr="005C4C61">
        <w:rPr>
          <w:rFonts w:ascii="Palatino Linotype" w:eastAsia="Palatino Linotype" w:hAnsi="Palatino Linotype" w:cs="Palatino Linotype"/>
          <w:b/>
          <w:bCs/>
          <w:color w:val="000000"/>
          <w:sz w:val="24"/>
          <w:szCs w:val="24"/>
        </w:rPr>
        <w:t>N</w:t>
      </w:r>
      <w:r w:rsidR="005C4C61">
        <w:rPr>
          <w:rFonts w:ascii="Palatino Linotype" w:eastAsia="Palatino Linotype" w:hAnsi="Palatino Linotype" w:cs="Palatino Linotype"/>
          <w:b/>
          <w:bCs/>
          <w:color w:val="000000"/>
          <w:sz w:val="24"/>
          <w:szCs w:val="24"/>
        </w:rPr>
        <w:t xml:space="preserve"> </w:t>
      </w:r>
      <w:r w:rsidRPr="005C4C61">
        <w:rPr>
          <w:rFonts w:ascii="Palatino Linotype" w:eastAsia="Palatino Linotype" w:hAnsi="Palatino Linotype" w:cs="Palatino Linotype"/>
          <w:b/>
          <w:bCs/>
          <w:color w:val="000000"/>
          <w:sz w:val="24"/>
          <w:szCs w:val="24"/>
        </w:rPr>
        <w:t>D</w:t>
      </w:r>
      <w:r w:rsidR="005C4C61">
        <w:rPr>
          <w:rFonts w:ascii="Palatino Linotype" w:eastAsia="Palatino Linotype" w:hAnsi="Palatino Linotype" w:cs="Palatino Linotype"/>
          <w:b/>
          <w:bCs/>
          <w:color w:val="000000"/>
          <w:sz w:val="24"/>
          <w:szCs w:val="24"/>
        </w:rPr>
        <w:t xml:space="preserve"> </w:t>
      </w:r>
      <w:r w:rsidRPr="005C4C61">
        <w:rPr>
          <w:rFonts w:ascii="Palatino Linotype" w:eastAsia="Palatino Linotype" w:hAnsi="Palatino Linotype" w:cs="Palatino Linotype"/>
          <w:b/>
          <w:bCs/>
          <w:color w:val="000000"/>
          <w:sz w:val="24"/>
          <w:szCs w:val="24"/>
        </w:rPr>
        <w:t>O</w:t>
      </w:r>
    </w:p>
    <w:p w:rsidR="00C2510E" w:rsidRPr="005C4C61" w:rsidRDefault="00C2510E">
      <w:pPr>
        <w:pStyle w:val="Ttulo2"/>
        <w:spacing w:before="0" w:line="360" w:lineRule="auto"/>
        <w:rPr>
          <w:rFonts w:ascii="Palatino Linotype" w:eastAsia="Palatino Linotype" w:hAnsi="Palatino Linotype" w:cs="Palatino Linotype"/>
          <w:b/>
          <w:bCs/>
          <w:color w:val="000000"/>
          <w:sz w:val="24"/>
          <w:szCs w:val="24"/>
        </w:rPr>
      </w:pPr>
      <w:bookmarkStart w:id="4" w:name="_heading=h.i1d600e4hg1" w:colFirst="0" w:colLast="0"/>
      <w:bookmarkEnd w:id="4"/>
    </w:p>
    <w:p w:rsidR="00C2510E" w:rsidRPr="005C4C61" w:rsidRDefault="00C83BDF">
      <w:pPr>
        <w:pStyle w:val="Ttulo2"/>
        <w:spacing w:before="0" w:line="360" w:lineRule="auto"/>
        <w:rPr>
          <w:rFonts w:ascii="Palatino Linotype" w:eastAsia="Palatino Linotype" w:hAnsi="Palatino Linotype" w:cs="Palatino Linotype"/>
          <w:b/>
          <w:bCs/>
          <w:color w:val="000000"/>
          <w:sz w:val="24"/>
          <w:szCs w:val="24"/>
        </w:rPr>
      </w:pPr>
      <w:r w:rsidRPr="005C4C61">
        <w:rPr>
          <w:rFonts w:ascii="Palatino Linotype" w:eastAsia="Palatino Linotype" w:hAnsi="Palatino Linotype" w:cs="Palatino Linotype"/>
          <w:b/>
          <w:bCs/>
          <w:color w:val="000000"/>
          <w:sz w:val="24"/>
          <w:szCs w:val="24"/>
        </w:rPr>
        <w:t>PRIMERO. De la competencia</w:t>
      </w:r>
    </w:p>
    <w:p w:rsidR="00C2510E" w:rsidRPr="005C4C61" w:rsidRDefault="00C83BD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C4C61">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C2510E" w:rsidRPr="005C4C61" w:rsidRDefault="00C2510E">
      <w:pPr>
        <w:spacing w:line="360" w:lineRule="auto"/>
        <w:jc w:val="both"/>
        <w:rPr>
          <w:rFonts w:ascii="Palatino Linotype" w:eastAsia="Palatino Linotype" w:hAnsi="Palatino Linotype" w:cs="Palatino Linotype"/>
          <w:color w:val="000000"/>
        </w:rPr>
      </w:pPr>
    </w:p>
    <w:p w:rsidR="00C2510E" w:rsidRPr="005C4C61" w:rsidRDefault="00C83BDF">
      <w:pPr>
        <w:spacing w:line="360" w:lineRule="auto"/>
        <w:jc w:val="both"/>
        <w:rPr>
          <w:rFonts w:ascii="Palatino Linotype" w:eastAsia="Palatino Linotype" w:hAnsi="Palatino Linotype" w:cs="Palatino Linotype"/>
          <w:b/>
          <w:bCs/>
        </w:rPr>
      </w:pPr>
      <w:bookmarkStart w:id="5" w:name="_heading=h.3aqqqp9ln43y" w:colFirst="0" w:colLast="0"/>
      <w:bookmarkEnd w:id="5"/>
      <w:r w:rsidRPr="005C4C61">
        <w:rPr>
          <w:rFonts w:ascii="Palatino Linotype" w:eastAsia="Palatino Linotype" w:hAnsi="Palatino Linotype" w:cs="Palatino Linotype"/>
          <w:color w:val="000000"/>
        </w:rPr>
        <w:t xml:space="preserve"> </w:t>
      </w:r>
      <w:r w:rsidRPr="005C4C61">
        <w:rPr>
          <w:rFonts w:ascii="Palatino Linotype" w:eastAsia="Palatino Linotype" w:hAnsi="Palatino Linotype" w:cs="Palatino Linotype"/>
          <w:b/>
          <w:bCs/>
        </w:rPr>
        <w:t>SEGUNDO. De la oportunidad y procedencia.</w:t>
      </w: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rPr>
      </w:pPr>
      <w:r w:rsidRPr="005C4C61">
        <w:rPr>
          <w:rFonts w:ascii="Palatino Linotype" w:eastAsia="Palatino Linotype" w:hAnsi="Palatino Linotype" w:cs="Palatino Linotype"/>
        </w:rPr>
        <w:t xml:space="preserve">Este Órgano Garante considera que el medio de impugnación reúne los requisitos de procedencia </w:t>
      </w:r>
      <w:r w:rsidRPr="005C4C61">
        <w:rPr>
          <w:rFonts w:ascii="Palatino Linotype" w:eastAsia="Palatino Linotype" w:hAnsi="Palatino Linotype" w:cs="Palatino Linotype"/>
          <w:color w:val="000000"/>
        </w:rPr>
        <w:t xml:space="preserve">toda vez que: el recurso fue presentado dentro del plazo establecido en el artículo 178 de la Ley de Transparencia y Acceso a la Información Pública del Estado de México y Municipios; asimismo no se tiene conocimiento de que se encuentre en trámite algún medio de defensa presentado por </w:t>
      </w:r>
      <w:r w:rsidRPr="005C4C61">
        <w:rPr>
          <w:rFonts w:ascii="Palatino Linotype" w:eastAsia="Palatino Linotype" w:hAnsi="Palatino Linotype" w:cs="Palatino Linotype"/>
          <w:b/>
          <w:bCs/>
          <w:color w:val="000000"/>
        </w:rPr>
        <w:t>LA RECURRENTE</w:t>
      </w:r>
      <w:r w:rsidRPr="005C4C61">
        <w:rPr>
          <w:rFonts w:ascii="Palatino Linotype" w:eastAsia="Palatino Linotype" w:hAnsi="Palatino Linotype" w:cs="Palatino Linotype"/>
          <w:color w:val="000000"/>
        </w:rPr>
        <w:t xml:space="preserve"> ante otra instancia.</w:t>
      </w:r>
    </w:p>
    <w:p w:rsidR="00C2510E" w:rsidRPr="005C4C61" w:rsidRDefault="00C2510E">
      <w:pPr>
        <w:spacing w:line="360" w:lineRule="auto"/>
        <w:jc w:val="both"/>
        <w:rPr>
          <w:rFonts w:ascii="Palatino Linotype" w:eastAsia="Palatino Linotype" w:hAnsi="Palatino Linotype" w:cs="Palatino Linotype"/>
        </w:rPr>
      </w:pP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rPr>
      </w:pPr>
      <w:r w:rsidRPr="005C4C61">
        <w:rPr>
          <w:rFonts w:ascii="Palatino Linotype" w:eastAsia="Palatino Linotype" w:hAnsi="Palatino Linotype" w:cs="Palatino Linotype"/>
        </w:rPr>
        <w:t xml:space="preserve">Por otro lado, es de suma importancia señalar que la parte recurrente no proporciona un nombre </w:t>
      </w:r>
      <w:r w:rsidRPr="005C4C61">
        <w:rPr>
          <w:rFonts w:ascii="Palatino Linotype" w:eastAsia="Palatino Linotype" w:hAnsi="Palatino Linotype" w:cs="Palatino Linotype"/>
          <w:u w:val="single"/>
        </w:rPr>
        <w:t xml:space="preserve">completo </w:t>
      </w:r>
      <w:r w:rsidRPr="005C4C61">
        <w:rPr>
          <w:rFonts w:ascii="Palatino Linotype" w:eastAsia="Palatino Linotype" w:hAnsi="Palatino Linotype" w:cs="Palatino Linotype"/>
        </w:rPr>
        <w:t xml:space="preserve">o datos de identificación como se advierte en el detalle de seguimiento del SAIMEX, no obstante lo anterior, no proporcionar el nombre completo no es motivo para </w:t>
      </w:r>
      <w:r w:rsidRPr="005C4C61">
        <w:rPr>
          <w:rFonts w:ascii="Palatino Linotype" w:eastAsia="Palatino Linotype" w:hAnsi="Palatino Linotype" w:cs="Palatino Linotype"/>
        </w:rPr>
        <w:lastRenderedPageBreak/>
        <w:t>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C2510E" w:rsidRPr="005C4C61" w:rsidRDefault="00C83BDF">
      <w:pPr>
        <w:spacing w:line="360" w:lineRule="auto"/>
        <w:ind w:left="567" w:right="567"/>
        <w:jc w:val="both"/>
        <w:rPr>
          <w:rFonts w:ascii="Palatino Linotype" w:eastAsia="Palatino Linotype" w:hAnsi="Palatino Linotype" w:cs="Palatino Linotype"/>
          <w:i/>
          <w:iCs/>
        </w:rPr>
      </w:pPr>
      <w:r w:rsidRPr="005C4C61">
        <w:rPr>
          <w:rFonts w:ascii="Palatino Linotype" w:eastAsia="Palatino Linotype" w:hAnsi="Palatino Linotype" w:cs="Palatino Linotype"/>
          <w:i/>
          <w:iCs/>
        </w:rPr>
        <w:t>"</w:t>
      </w:r>
      <w:r w:rsidRPr="005C4C61">
        <w:rPr>
          <w:rFonts w:ascii="Palatino Linotype" w:eastAsia="Palatino Linotype" w:hAnsi="Palatino Linotype" w:cs="Palatino Linotype"/>
          <w:b/>
          <w:bCs/>
          <w:i/>
          <w:iCs/>
        </w:rPr>
        <w:t>Las solicitudes anónimas</w:t>
      </w:r>
      <w:r w:rsidRPr="005C4C61">
        <w:rPr>
          <w:rFonts w:ascii="Palatino Linotype" w:eastAsia="Palatino Linotype" w:hAnsi="Palatino Linotype" w:cs="Palatino Linotype"/>
          <w:i/>
          <w:iCs/>
        </w:rPr>
        <w:t xml:space="preserve">, con nombre incompleto o seudónimo </w:t>
      </w:r>
      <w:r w:rsidRPr="005C4C61">
        <w:rPr>
          <w:rFonts w:ascii="Palatino Linotype" w:eastAsia="Palatino Linotype" w:hAnsi="Palatino Linotype" w:cs="Palatino Linotype"/>
          <w:b/>
          <w:bCs/>
          <w:i/>
          <w:iCs/>
        </w:rPr>
        <w:t>serán procedentes para su trámite por parte del sujeto obligado ante quien se presente</w:t>
      </w:r>
      <w:r w:rsidRPr="005C4C61">
        <w:rPr>
          <w:rFonts w:ascii="Palatino Linotype" w:eastAsia="Palatino Linotype" w:hAnsi="Palatino Linotype" w:cs="Palatino Linotype"/>
          <w:i/>
          <w:iCs/>
        </w:rPr>
        <w:t>. No podrá requerirse información adicional con motivo del nombre proporcionado por el solicitante."</w:t>
      </w:r>
    </w:p>
    <w:p w:rsidR="00C2510E" w:rsidRPr="005C4C61" w:rsidRDefault="00C2510E">
      <w:pPr>
        <w:spacing w:line="360" w:lineRule="auto"/>
        <w:rPr>
          <w:rFonts w:ascii="Palatino Linotype" w:eastAsia="Palatino Linotype" w:hAnsi="Palatino Linotype" w:cs="Palatino Linotype"/>
        </w:rPr>
      </w:pPr>
    </w:p>
    <w:p w:rsidR="00C2510E" w:rsidRDefault="00C83BDF">
      <w:pPr>
        <w:numPr>
          <w:ilvl w:val="0"/>
          <w:numId w:val="1"/>
        </w:numPr>
        <w:spacing w:line="360" w:lineRule="auto"/>
        <w:ind w:left="0" w:firstLine="0"/>
        <w:jc w:val="both"/>
        <w:rPr>
          <w:rFonts w:ascii="Palatino Linotype" w:eastAsia="Palatino Linotype" w:hAnsi="Palatino Linotype" w:cs="Palatino Linotype"/>
        </w:rPr>
      </w:pPr>
      <w:r w:rsidRPr="005C4C61">
        <w:rPr>
          <w:rFonts w:ascii="Palatino Linotype" w:eastAsia="Palatino Linotype" w:hAnsi="Palatino Linotype" w:cs="Palatino Linotype"/>
        </w:rPr>
        <w:t xml:space="preserve">Finalmente, el escrito contiene las formalidades previstas por el artículo 180 último párrafo de la citada Ley de la materia, por lo que es procedente que este Instituto </w:t>
      </w:r>
      <w:r w:rsidR="005C4C61">
        <w:rPr>
          <w:rFonts w:ascii="Palatino Linotype" w:eastAsia="Palatino Linotype" w:hAnsi="Palatino Linotype" w:cs="Palatino Linotype"/>
        </w:rPr>
        <w:t>conozca y resuelva el presente r</w:t>
      </w:r>
      <w:r w:rsidRPr="005C4C61">
        <w:rPr>
          <w:rFonts w:ascii="Palatino Linotype" w:eastAsia="Palatino Linotype" w:hAnsi="Palatino Linotype" w:cs="Palatino Linotype"/>
        </w:rPr>
        <w:t>ecurso.</w:t>
      </w:r>
    </w:p>
    <w:p w:rsidR="005C4C61" w:rsidRPr="005C4C61" w:rsidRDefault="005C4C61" w:rsidP="005C4C61">
      <w:pPr>
        <w:spacing w:line="360" w:lineRule="auto"/>
        <w:jc w:val="both"/>
        <w:rPr>
          <w:rFonts w:ascii="Palatino Linotype" w:eastAsia="Palatino Linotype" w:hAnsi="Palatino Linotype" w:cs="Palatino Linotype"/>
        </w:rPr>
      </w:pPr>
    </w:p>
    <w:p w:rsidR="00C2510E" w:rsidRPr="005C4C61" w:rsidRDefault="00C83BDF">
      <w:pPr>
        <w:pStyle w:val="Ttulo2"/>
        <w:spacing w:before="0" w:line="360" w:lineRule="auto"/>
        <w:rPr>
          <w:rFonts w:ascii="Palatino Linotype" w:eastAsia="Palatino Linotype" w:hAnsi="Palatino Linotype" w:cs="Palatino Linotype"/>
          <w:b/>
          <w:bCs/>
          <w:color w:val="000000"/>
          <w:sz w:val="24"/>
          <w:szCs w:val="24"/>
        </w:rPr>
      </w:pPr>
      <w:bookmarkStart w:id="6" w:name="_heading=h.7dw5bkptrfzl" w:colFirst="0" w:colLast="0"/>
      <w:bookmarkEnd w:id="6"/>
      <w:r w:rsidRPr="005C4C61">
        <w:rPr>
          <w:rFonts w:ascii="Palatino Linotype" w:eastAsia="Palatino Linotype" w:hAnsi="Palatino Linotype" w:cs="Palatino Linotype"/>
          <w:b/>
          <w:bCs/>
          <w:color w:val="000000"/>
          <w:sz w:val="24"/>
          <w:szCs w:val="24"/>
        </w:rPr>
        <w:t>TERCERO. Del planteamiento de la</w:t>
      </w:r>
      <w:r w:rsidRPr="005C4C61">
        <w:rPr>
          <w:rFonts w:ascii="Palatino Linotype" w:eastAsia="Palatino Linotype" w:hAnsi="Palatino Linotype" w:cs="Palatino Linotype"/>
          <w:b/>
          <w:bCs/>
          <w:i/>
          <w:iCs/>
          <w:color w:val="000000"/>
          <w:sz w:val="24"/>
          <w:szCs w:val="24"/>
        </w:rPr>
        <w:t xml:space="preserve"> Litis</w:t>
      </w:r>
    </w:p>
    <w:p w:rsidR="00C2510E" w:rsidRPr="005C4C61" w:rsidRDefault="00C83BD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C4C61">
        <w:rPr>
          <w:rFonts w:ascii="Palatino Linotype" w:eastAsia="Palatino Linotype" w:hAnsi="Palatino Linotype" w:cs="Palatino Linotype"/>
          <w:color w:val="000000"/>
        </w:rPr>
        <w:t>Se solicitó tener acceso, a la información que a continuación se desagrega:</w:t>
      </w:r>
    </w:p>
    <w:p w:rsidR="00C2510E" w:rsidRPr="005C4C61" w:rsidRDefault="00C83BDF">
      <w:pPr>
        <w:numPr>
          <w:ilvl w:val="0"/>
          <w:numId w:val="3"/>
        </w:numPr>
        <w:pBdr>
          <w:top w:val="nil"/>
          <w:left w:val="nil"/>
          <w:bottom w:val="nil"/>
          <w:right w:val="nil"/>
          <w:between w:val="nil"/>
        </w:pBdr>
        <w:spacing w:line="360" w:lineRule="auto"/>
        <w:ind w:right="851"/>
        <w:jc w:val="both"/>
        <w:rPr>
          <w:rFonts w:ascii="Palatino Linotype" w:eastAsia="Palatino Linotype" w:hAnsi="Palatino Linotype" w:cs="Palatino Linotype"/>
          <w:b/>
          <w:bCs/>
          <w:color w:val="000000"/>
        </w:rPr>
      </w:pPr>
      <w:r w:rsidRPr="005C4C61">
        <w:rPr>
          <w:rFonts w:ascii="Palatino Linotype" w:eastAsia="Palatino Linotype" w:hAnsi="Palatino Linotype" w:cs="Palatino Linotype"/>
          <w:b/>
          <w:bCs/>
          <w:color w:val="000000"/>
        </w:rPr>
        <w:t>Expediente del procedimiento de licitación pública: UNEVT/LP-001-2025.</w:t>
      </w:r>
    </w:p>
    <w:p w:rsidR="00C2510E" w:rsidRPr="005C4C61" w:rsidRDefault="00C2510E">
      <w:pPr>
        <w:pBdr>
          <w:top w:val="nil"/>
          <w:left w:val="nil"/>
          <w:bottom w:val="nil"/>
          <w:right w:val="nil"/>
          <w:between w:val="nil"/>
        </w:pBdr>
        <w:spacing w:line="360" w:lineRule="auto"/>
        <w:ind w:left="778" w:right="851"/>
        <w:jc w:val="both"/>
        <w:rPr>
          <w:rFonts w:ascii="Palatino Linotype" w:eastAsia="Palatino Linotype" w:hAnsi="Palatino Linotype" w:cs="Palatino Linotype"/>
          <w:b/>
          <w:bCs/>
          <w:color w:val="000000"/>
        </w:rPr>
      </w:pPr>
    </w:p>
    <w:p w:rsidR="00C2510E" w:rsidRPr="005C4C61" w:rsidRDefault="00C83BDF">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5C4C61">
        <w:rPr>
          <w:rFonts w:ascii="Palatino Linotype" w:eastAsia="Palatino Linotype" w:hAnsi="Palatino Linotype" w:cs="Palatino Linotype"/>
          <w:color w:val="000000"/>
        </w:rPr>
        <w:t xml:space="preserve">En respuesta, el </w:t>
      </w:r>
      <w:r w:rsidRPr="005C4C61">
        <w:rPr>
          <w:rFonts w:ascii="Palatino Linotype" w:eastAsia="Palatino Linotype" w:hAnsi="Palatino Linotype" w:cs="Palatino Linotype"/>
          <w:b/>
          <w:bCs/>
          <w:color w:val="000000"/>
        </w:rPr>
        <w:t xml:space="preserve">SUJETO OBLIGADO </w:t>
      </w:r>
      <w:r w:rsidRPr="005C4C61">
        <w:rPr>
          <w:rFonts w:ascii="Palatino Linotype" w:eastAsia="Palatino Linotype" w:hAnsi="Palatino Linotype" w:cs="Palatino Linotype"/>
          <w:color w:val="000000"/>
        </w:rPr>
        <w:t xml:space="preserve">remitió el archivo ya descrito en el anterior Párrafo 2; no obstante el particular se colige se inconformó, por la negativa a la entrega de la información ante el incumplimiento del acuerdo de ampliación de plazo; en dichas condiciones, la </w:t>
      </w:r>
      <w:r w:rsidRPr="005C4C61">
        <w:rPr>
          <w:rFonts w:ascii="Palatino Linotype" w:eastAsia="Palatino Linotype" w:hAnsi="Palatino Linotype" w:cs="Palatino Linotype"/>
          <w:i/>
          <w:iCs/>
          <w:color w:val="000000"/>
        </w:rPr>
        <w:t>Litis</w:t>
      </w:r>
      <w:r w:rsidRPr="005C4C61">
        <w:rPr>
          <w:rFonts w:ascii="Palatino Linotype" w:eastAsia="Palatino Linotype" w:hAnsi="Palatino Linotype" w:cs="Palatino Linotype"/>
          <w:color w:val="000000"/>
        </w:rPr>
        <w:t xml:space="preserve"> a resolver en el recurso de revisión se circunscribe a determinar si se actualiza la causal de procedencia prevista en el artículo 179, </w:t>
      </w:r>
      <w:r w:rsidRPr="005C4C61">
        <w:rPr>
          <w:rFonts w:ascii="Palatino Linotype" w:eastAsia="Palatino Linotype" w:hAnsi="Palatino Linotype" w:cs="Palatino Linotype"/>
          <w:b/>
          <w:bCs/>
          <w:color w:val="000000"/>
        </w:rPr>
        <w:t xml:space="preserve">fracción I </w:t>
      </w:r>
      <w:r w:rsidRPr="005C4C61">
        <w:rPr>
          <w:rFonts w:ascii="Palatino Linotype" w:eastAsia="Palatino Linotype" w:hAnsi="Palatino Linotype" w:cs="Palatino Linotype"/>
          <w:color w:val="000000"/>
        </w:rPr>
        <w:t xml:space="preserve">de la </w:t>
      </w:r>
      <w:r w:rsidRPr="005C4C61">
        <w:rPr>
          <w:rFonts w:ascii="Palatino Linotype" w:eastAsia="Palatino Linotype" w:hAnsi="Palatino Linotype" w:cs="Palatino Linotype"/>
          <w:b/>
          <w:bCs/>
          <w:color w:val="000000"/>
        </w:rPr>
        <w:t>Ley de Transparencia y Acceso a la Información Pública del Estado de México y Municipios</w:t>
      </w:r>
      <w:r w:rsidRPr="005C4C61">
        <w:rPr>
          <w:rFonts w:ascii="Palatino Linotype" w:eastAsia="Palatino Linotype" w:hAnsi="Palatino Linotype" w:cs="Palatino Linotype"/>
          <w:color w:val="000000"/>
        </w:rPr>
        <w:t xml:space="preserve">; fracción que determina las hipótesis jurídica relativa a la negativa de entrega de la </w:t>
      </w:r>
      <w:r w:rsidRPr="005C4C61">
        <w:rPr>
          <w:rFonts w:ascii="Palatino Linotype" w:eastAsia="Palatino Linotype" w:hAnsi="Palatino Linotype" w:cs="Palatino Linotype"/>
          <w:color w:val="000000"/>
        </w:rPr>
        <w:lastRenderedPageBreak/>
        <w:t xml:space="preserve">información; contexto del cual se dolió </w:t>
      </w:r>
      <w:r w:rsidRPr="005C4C61">
        <w:rPr>
          <w:rFonts w:ascii="Palatino Linotype" w:eastAsia="Palatino Linotype" w:hAnsi="Palatino Linotype" w:cs="Palatino Linotype"/>
          <w:b/>
          <w:bCs/>
          <w:color w:val="000000"/>
        </w:rPr>
        <w:t xml:space="preserve">EL RECURRENTE </w:t>
      </w:r>
      <w:r w:rsidRPr="005C4C61">
        <w:rPr>
          <w:rFonts w:ascii="Palatino Linotype" w:eastAsia="Palatino Linotype" w:hAnsi="Palatino Linotype" w:cs="Palatino Linotype"/>
          <w:color w:val="000000"/>
        </w:rPr>
        <w:t xml:space="preserve">al momento de interponer su inconformidad. </w:t>
      </w:r>
    </w:p>
    <w:p w:rsidR="00C2510E" w:rsidRPr="005C4C61" w:rsidRDefault="00C2510E">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rPr>
      </w:pPr>
      <w:r w:rsidRPr="005C4C61">
        <w:rPr>
          <w:rFonts w:ascii="Palatino Linotype" w:eastAsia="Palatino Linotype" w:hAnsi="Palatino Linotype" w:cs="Palatino Linotype"/>
          <w:color w:val="000000"/>
        </w:rPr>
        <w:t xml:space="preserve">De modo tal que el presente Recurso de Revisión se abocara en determinar si el </w:t>
      </w:r>
      <w:r w:rsidRPr="005C4C61">
        <w:rPr>
          <w:rFonts w:ascii="Palatino Linotype" w:eastAsia="Palatino Linotype" w:hAnsi="Palatino Linotype" w:cs="Palatino Linotype"/>
          <w:b/>
          <w:bCs/>
          <w:color w:val="000000"/>
        </w:rPr>
        <w:t>SUJETO</w:t>
      </w:r>
      <w:r w:rsidRPr="005C4C61">
        <w:rPr>
          <w:rFonts w:ascii="Palatino Linotype" w:eastAsia="Palatino Linotype" w:hAnsi="Palatino Linotype" w:cs="Palatino Linotype"/>
          <w:color w:val="000000"/>
        </w:rPr>
        <w:t xml:space="preserve"> </w:t>
      </w:r>
      <w:r w:rsidRPr="005C4C61">
        <w:rPr>
          <w:rFonts w:ascii="Palatino Linotype" w:eastAsia="Palatino Linotype" w:hAnsi="Palatino Linotype" w:cs="Palatino Linotype"/>
          <w:b/>
          <w:bCs/>
          <w:color w:val="000000"/>
        </w:rPr>
        <w:t>OBLIGADO</w:t>
      </w:r>
      <w:r w:rsidRPr="005C4C61">
        <w:rPr>
          <w:rFonts w:ascii="Palatino Linotype" w:eastAsia="Palatino Linotype" w:hAnsi="Palatino Linotype" w:cs="Palatino Linotype"/>
          <w:color w:val="000000"/>
        </w:rPr>
        <w:t xml:space="preserve"> con su respuesta ciertamente actualiza la causal de procedencia</w:t>
      </w:r>
      <w:r w:rsidRPr="005C4C61">
        <w:rPr>
          <w:rFonts w:ascii="Palatino Linotype" w:eastAsia="Palatino Linotype" w:hAnsi="Palatino Linotype" w:cs="Palatino Linotype"/>
          <w:b/>
          <w:bCs/>
          <w:color w:val="000000"/>
        </w:rPr>
        <w:t xml:space="preserve"> </w:t>
      </w:r>
      <w:r w:rsidRPr="005C4C61">
        <w:rPr>
          <w:rFonts w:ascii="Palatino Linotype" w:eastAsia="Palatino Linotype" w:hAnsi="Palatino Linotype" w:cs="Palatino Linotype"/>
          <w:color w:val="000000"/>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C2510E" w:rsidRPr="005C4C61" w:rsidRDefault="00C2510E">
      <w:pPr>
        <w:pBdr>
          <w:top w:val="nil"/>
          <w:left w:val="nil"/>
          <w:bottom w:val="nil"/>
          <w:right w:val="nil"/>
          <w:between w:val="nil"/>
        </w:pBdr>
        <w:ind w:left="720"/>
        <w:rPr>
          <w:rFonts w:ascii="Palatino Linotype" w:eastAsia="Palatino Linotype" w:hAnsi="Palatino Linotype" w:cs="Palatino Linotype"/>
          <w:color w:val="000000"/>
        </w:rPr>
      </w:pPr>
    </w:p>
    <w:p w:rsidR="00C2510E" w:rsidRPr="005C4C61" w:rsidRDefault="00C83BDF">
      <w:pPr>
        <w:pStyle w:val="Ttulo2"/>
        <w:spacing w:before="0" w:line="360" w:lineRule="auto"/>
        <w:rPr>
          <w:rFonts w:ascii="Palatino Linotype" w:eastAsia="Palatino Linotype" w:hAnsi="Palatino Linotype" w:cs="Palatino Linotype"/>
          <w:b/>
          <w:bCs/>
          <w:color w:val="000000"/>
          <w:sz w:val="24"/>
          <w:szCs w:val="24"/>
        </w:rPr>
      </w:pPr>
      <w:r w:rsidRPr="005C4C61">
        <w:rPr>
          <w:rFonts w:ascii="Palatino Linotype" w:eastAsia="Palatino Linotype" w:hAnsi="Palatino Linotype" w:cs="Palatino Linotype"/>
          <w:b/>
          <w:bCs/>
          <w:color w:val="000000"/>
          <w:sz w:val="24"/>
          <w:szCs w:val="24"/>
        </w:rPr>
        <w:t>CUARTO. Del estudio y resolución del estudio</w:t>
      </w: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rPr>
      </w:pPr>
      <w:r w:rsidRPr="005C4C61">
        <w:rPr>
          <w:rFonts w:ascii="Palatino Linotype" w:eastAsia="Palatino Linotype" w:hAnsi="Palatino Linotype" w:cs="Palatino Linotype"/>
        </w:rPr>
        <w:t xml:space="preserve">Determinado lo anterior; revisaremos la atención otorgada por el Sujeto Obligado a la solicitud que dio origen a este recurso, considerando imprescindible establecer lo que la regulación determina, por ello, en primer lugar, vamos a revisar lo que mandata nuestra Ley de </w:t>
      </w:r>
      <w:r w:rsidRPr="005C4C61">
        <w:rPr>
          <w:rFonts w:ascii="Palatino Linotype" w:eastAsia="Palatino Linotype" w:hAnsi="Palatino Linotype" w:cs="Palatino Linotype"/>
          <w:color w:val="000000"/>
        </w:rPr>
        <w:t>Transparencia</w:t>
      </w:r>
      <w:r w:rsidRPr="005C4C61">
        <w:rPr>
          <w:rFonts w:ascii="Palatino Linotype" w:eastAsia="Palatino Linotype" w:hAnsi="Palatino Linotype" w:cs="Palatino Linotype"/>
        </w:rPr>
        <w:t xml:space="preserve">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C2510E" w:rsidRPr="005C4C61" w:rsidRDefault="00C2510E">
      <w:pPr>
        <w:spacing w:line="360" w:lineRule="auto"/>
        <w:jc w:val="both"/>
        <w:rPr>
          <w:rFonts w:ascii="Palatino Linotype" w:eastAsia="Palatino Linotype" w:hAnsi="Palatino Linotype" w:cs="Palatino Linotype"/>
        </w:rPr>
      </w:pP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rPr>
      </w:pPr>
      <w:r w:rsidRPr="005C4C61">
        <w:rPr>
          <w:rFonts w:ascii="Palatino Linotype" w:eastAsia="Palatino Linotype" w:hAnsi="Palatino Linotype" w:cs="Palatino Linotype"/>
        </w:rPr>
        <w:t xml:space="preserve">Asimismo, es relevante mencionar que el artículo 19 del ordenamiento local de la materia señala que se presume que la información debe existir si se refiere a las facultades, </w:t>
      </w:r>
      <w:r w:rsidRPr="005C4C61">
        <w:rPr>
          <w:rFonts w:ascii="Palatino Linotype" w:eastAsia="Palatino Linotype" w:hAnsi="Palatino Linotype" w:cs="Palatino Linotype"/>
        </w:rPr>
        <w:lastRenderedPageBreak/>
        <w:t>competencias y funciones que los ordenamientos jurídicos aplicables otorgan a los sujetos obligados y en caso de que dichas facultades no se hayan ejercido, se deberá motivar la respuesta en función de las causas que motivaron tal circunstancia.</w:t>
      </w:r>
    </w:p>
    <w:p w:rsidR="00C2510E" w:rsidRPr="005C4C61" w:rsidRDefault="00C2510E">
      <w:pPr>
        <w:spacing w:line="360" w:lineRule="auto"/>
        <w:rPr>
          <w:rFonts w:ascii="Palatino Linotype" w:eastAsia="Palatino Linotype" w:hAnsi="Palatino Linotype" w:cs="Palatino Linotype"/>
        </w:rPr>
      </w:pP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rPr>
      </w:pPr>
      <w:r w:rsidRPr="005C4C61">
        <w:rPr>
          <w:rFonts w:ascii="Palatino Linotype" w:eastAsia="Palatino Linotype" w:hAnsi="Palatino Linotype" w:cs="Palatino Linotype"/>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C2510E" w:rsidRPr="005C4C61" w:rsidRDefault="00C2510E">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color w:val="000000"/>
        </w:rPr>
      </w:pP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rPr>
      </w:pPr>
      <w:r w:rsidRPr="005C4C61">
        <w:rPr>
          <w:rFonts w:ascii="Palatino Linotype" w:eastAsia="Palatino Linotype" w:hAnsi="Palatino Linotype" w:cs="Palatino Linotype"/>
        </w:rPr>
        <w:t xml:space="preserve">Acotado lo anterior y, a efecto de dirimir la controversia, resulta conveniente primeramente analizar los motivos de inconformidad por razón de orden argumentativo; mismos que impugnan el acuerdo de ampliación de plazo para emitir una respuesta a la solicitud de información en el lapso ordinaria de quince días hábiles. </w:t>
      </w:r>
    </w:p>
    <w:p w:rsidR="00C2510E" w:rsidRPr="005C4C61" w:rsidRDefault="00C2510E">
      <w:pPr>
        <w:pBdr>
          <w:top w:val="nil"/>
          <w:left w:val="nil"/>
          <w:bottom w:val="nil"/>
          <w:right w:val="nil"/>
          <w:between w:val="nil"/>
        </w:pBdr>
        <w:ind w:left="720"/>
        <w:rPr>
          <w:rFonts w:ascii="Palatino Linotype" w:eastAsia="Palatino Linotype" w:hAnsi="Palatino Linotype" w:cs="Palatino Linotype"/>
          <w:color w:val="000000"/>
        </w:rPr>
      </w:pP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rPr>
      </w:pPr>
      <w:r w:rsidRPr="005C4C61">
        <w:rPr>
          <w:rFonts w:ascii="Palatino Linotype" w:eastAsia="Palatino Linotype" w:hAnsi="Palatino Linotype" w:cs="Palatino Linotype"/>
        </w:rPr>
        <w:t xml:space="preserve"> Al respecto, si bien la Ley local de la materia establece que 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w:t>
      </w:r>
      <w:r w:rsidRPr="005C4C61">
        <w:rPr>
          <w:rFonts w:ascii="Palatino Linotype" w:eastAsia="Palatino Linotype" w:hAnsi="Palatino Linotype" w:cs="Palatino Linotype"/>
        </w:rPr>
        <w:lastRenderedPageBreak/>
        <w:t xml:space="preserve">solicitante, antes de su vencimiento; también lo es que la pretendida ampliación de plazo no se requirió de manera adecuada conforme a los procedimientos del SAIMEX, sino que se remitió la solicitud en calidad de respuesta, lo que en todo caso implica que inicie el plazo de quince días hábiles para que el solicitante interponga recurso de revisión y no el lapso adicional para que el </w:t>
      </w:r>
      <w:r w:rsidRPr="005C4C61">
        <w:rPr>
          <w:rFonts w:ascii="Palatino Linotype" w:eastAsia="Palatino Linotype" w:hAnsi="Palatino Linotype" w:cs="Palatino Linotype"/>
          <w:b/>
          <w:bCs/>
        </w:rPr>
        <w:t>SUJETO OBLIGADO</w:t>
      </w:r>
      <w:r w:rsidRPr="005C4C61">
        <w:rPr>
          <w:rFonts w:ascii="Palatino Linotype" w:eastAsia="Palatino Linotype" w:hAnsi="Palatino Linotype" w:cs="Palatino Linotype"/>
        </w:rPr>
        <w:t xml:space="preserve"> emita una respuesta, conculcando los derechos del ahora </w:t>
      </w:r>
      <w:r w:rsidRPr="005C4C61">
        <w:rPr>
          <w:rFonts w:ascii="Palatino Linotype" w:eastAsia="Palatino Linotype" w:hAnsi="Palatino Linotype" w:cs="Palatino Linotype"/>
          <w:b/>
          <w:bCs/>
        </w:rPr>
        <w:t>RECURRENTE.</w:t>
      </w:r>
    </w:p>
    <w:p w:rsidR="00C2510E" w:rsidRPr="005C4C61" w:rsidRDefault="00C2510E">
      <w:pPr>
        <w:pBdr>
          <w:top w:val="nil"/>
          <w:left w:val="nil"/>
          <w:bottom w:val="nil"/>
          <w:right w:val="nil"/>
          <w:between w:val="nil"/>
        </w:pBdr>
        <w:ind w:left="720"/>
        <w:rPr>
          <w:rFonts w:ascii="Palatino Linotype" w:eastAsia="Palatino Linotype" w:hAnsi="Palatino Linotype" w:cs="Palatino Linotype"/>
          <w:color w:val="000000"/>
        </w:rPr>
      </w:pP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rPr>
      </w:pPr>
      <w:r w:rsidRPr="005C4C61">
        <w:rPr>
          <w:rFonts w:ascii="Palatino Linotype" w:eastAsia="Palatino Linotype" w:hAnsi="Palatino Linotype" w:cs="Palatino Linotype"/>
        </w:rPr>
        <w:t xml:space="preserve">Adicional a lo anterior, una vez admitido el recurso de revisión, el </w:t>
      </w:r>
      <w:r w:rsidRPr="005C4C61">
        <w:rPr>
          <w:rFonts w:ascii="Palatino Linotype" w:eastAsia="Palatino Linotype" w:hAnsi="Palatino Linotype" w:cs="Palatino Linotype"/>
          <w:b/>
          <w:bCs/>
        </w:rPr>
        <w:t>SUJETO OBLIGADO</w:t>
      </w:r>
      <w:r w:rsidRPr="005C4C61">
        <w:rPr>
          <w:rFonts w:ascii="Palatino Linotype" w:eastAsia="Palatino Linotype" w:hAnsi="Palatino Linotype" w:cs="Palatino Linotype"/>
        </w:rPr>
        <w:t xml:space="preserve"> fue omiso en emitir el informe justificado correspondiente, etapa procesal en la que pudo subsanar su falta de respuesta al requerimiento, tomando en consideración que la información no la negó; sino únicamente argumentó requerir mayor tiempo en razón de la carga de trabajo, sin embargo, continuó omiso en atender el requerimiento. Atento a lo anterior, resulta invariable que los motivos de inconformidad devienen procedentes.</w:t>
      </w:r>
    </w:p>
    <w:p w:rsidR="00C2510E" w:rsidRPr="005C4C61" w:rsidRDefault="00C2510E">
      <w:pPr>
        <w:pBdr>
          <w:top w:val="nil"/>
          <w:left w:val="nil"/>
          <w:bottom w:val="nil"/>
          <w:right w:val="nil"/>
          <w:between w:val="nil"/>
        </w:pBdr>
        <w:ind w:left="720"/>
        <w:rPr>
          <w:rFonts w:ascii="Palatino Linotype" w:eastAsia="Palatino Linotype" w:hAnsi="Palatino Linotype" w:cs="Palatino Linotype"/>
          <w:color w:val="000000"/>
        </w:rPr>
      </w:pP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color w:val="000000"/>
        </w:rPr>
      </w:pPr>
      <w:r w:rsidRPr="005C4C61">
        <w:rPr>
          <w:rFonts w:ascii="Palatino Linotype" w:eastAsia="Palatino Linotype" w:hAnsi="Palatino Linotype" w:cs="Palatino Linotype"/>
        </w:rPr>
        <w:t xml:space="preserve">Ahora bien, respecto de lo solicitado -licitación pública- resulta provechoso inicialmente analizar la fuente obligacional de la Universidad Estatal del Valle de Toluca, al tenor de las siguientes consideraciones. </w:t>
      </w:r>
      <w:r w:rsidRPr="005C4C61">
        <w:rPr>
          <w:rFonts w:ascii="Palatino Linotype" w:eastAsia="Palatino Linotype" w:hAnsi="Palatino Linotype" w:cs="Palatino Linotype"/>
          <w:color w:val="000000"/>
        </w:rPr>
        <w:t xml:space="preserve">Primeramente, trayendo a colación lo dispuesto en la Ley de la Contratación Pública del Estado de México y Municipios, la cual tiene por objeto regular los actos relativos a la planeación, programación, presupuestación, ejecución y control de la adquisición, enajenación y arrendamiento de bienes, y la contratación de servicios de cualquier naturaleza, que realicen los Ayuntamientos del Estado; los cuales se </w:t>
      </w:r>
      <w:r w:rsidRPr="005C4C61">
        <w:rPr>
          <w:rFonts w:ascii="Palatino Linotype" w:eastAsia="Palatino Linotype" w:hAnsi="Palatino Linotype" w:cs="Palatino Linotype"/>
        </w:rPr>
        <w:t>adjudicarán</w:t>
      </w:r>
      <w:r w:rsidRPr="005C4C61">
        <w:rPr>
          <w:rFonts w:ascii="Palatino Linotype" w:eastAsia="Palatino Linotype" w:hAnsi="Palatino Linotype" w:cs="Palatino Linotype"/>
          <w:color w:val="000000"/>
        </w:rPr>
        <w:t xml:space="preserve"> a través de </w:t>
      </w:r>
      <w:r w:rsidRPr="005C4C61">
        <w:rPr>
          <w:rFonts w:ascii="Palatino Linotype" w:eastAsia="Palatino Linotype" w:hAnsi="Palatino Linotype" w:cs="Palatino Linotype"/>
          <w:color w:val="000000"/>
          <w:u w:val="single"/>
        </w:rPr>
        <w:t>licitaciones públicas</w:t>
      </w:r>
      <w:r w:rsidRPr="005C4C61">
        <w:rPr>
          <w:rFonts w:ascii="Palatino Linotype" w:eastAsia="Palatino Linotype" w:hAnsi="Palatino Linotype" w:cs="Palatino Linotype"/>
          <w:color w:val="000000"/>
        </w:rPr>
        <w:t>, i</w:t>
      </w:r>
      <w:r w:rsidRPr="005C4C61">
        <w:rPr>
          <w:rFonts w:ascii="Palatino Linotype" w:eastAsia="Palatino Linotype" w:hAnsi="Palatino Linotype" w:cs="Palatino Linotype"/>
          <w:color w:val="000000"/>
          <w:u w:val="single"/>
        </w:rPr>
        <w:t>nvitación restringida o adjudicación directa,</w:t>
      </w:r>
      <w:r w:rsidRPr="005C4C61">
        <w:rPr>
          <w:rFonts w:ascii="Palatino Linotype" w:eastAsia="Palatino Linotype" w:hAnsi="Palatino Linotype" w:cs="Palatino Linotype"/>
          <w:color w:val="000000"/>
        </w:rPr>
        <w:t xml:space="preserve"> mediante convocatoria pública, tal y como lo establecen los artículos 4, 26 y 27 de dicha Ley, los cuales son del tenor siguiente:</w:t>
      </w:r>
    </w:p>
    <w:p w:rsidR="00C2510E" w:rsidRPr="005C4C61" w:rsidRDefault="00C83BDF">
      <w:pPr>
        <w:spacing w:line="360" w:lineRule="auto"/>
        <w:ind w:left="851" w:right="822"/>
        <w:jc w:val="both"/>
        <w:rPr>
          <w:rFonts w:ascii="Palatino Linotype" w:eastAsia="Palatino Linotype" w:hAnsi="Palatino Linotype" w:cs="Palatino Linotype"/>
          <w:i/>
          <w:iCs/>
        </w:rPr>
      </w:pPr>
      <w:r w:rsidRPr="005C4C61">
        <w:rPr>
          <w:rFonts w:ascii="Palatino Linotype" w:eastAsia="Palatino Linotype" w:hAnsi="Palatino Linotype" w:cs="Palatino Linotype"/>
          <w:i/>
          <w:iCs/>
        </w:rPr>
        <w:lastRenderedPageBreak/>
        <w:t>“</w:t>
      </w:r>
      <w:r w:rsidRPr="005C4C61">
        <w:rPr>
          <w:rFonts w:ascii="Palatino Linotype" w:eastAsia="Palatino Linotype" w:hAnsi="Palatino Linotype" w:cs="Palatino Linotype"/>
          <w:b/>
          <w:bCs/>
          <w:i/>
          <w:iCs/>
        </w:rPr>
        <w:t>Artículo 4.-</w:t>
      </w:r>
      <w:r w:rsidRPr="005C4C61">
        <w:rPr>
          <w:rFonts w:ascii="Palatino Linotype" w:eastAsia="Palatino Linotype" w:hAnsi="Palatino Linotype" w:cs="Palatino Linotype"/>
          <w:i/>
          <w:iCs/>
        </w:rPr>
        <w:t xml:space="preserve"> Para los efectos de esta Ley, en las adquisiciones, enajenaciones, arrendamientos y servicios, quedan comprendidos: </w:t>
      </w:r>
    </w:p>
    <w:p w:rsidR="00C2510E" w:rsidRPr="005C4C61" w:rsidRDefault="00C83BDF">
      <w:pPr>
        <w:spacing w:line="360" w:lineRule="auto"/>
        <w:ind w:left="851" w:right="822"/>
        <w:jc w:val="both"/>
        <w:rPr>
          <w:rFonts w:ascii="Palatino Linotype" w:eastAsia="Palatino Linotype" w:hAnsi="Palatino Linotype" w:cs="Palatino Linotype"/>
          <w:b/>
          <w:bCs/>
          <w:i/>
          <w:iCs/>
          <w:u w:val="single"/>
        </w:rPr>
      </w:pPr>
      <w:r w:rsidRPr="005C4C61">
        <w:rPr>
          <w:rFonts w:ascii="Palatino Linotype" w:eastAsia="Palatino Linotype" w:hAnsi="Palatino Linotype" w:cs="Palatino Linotype"/>
          <w:b/>
          <w:bCs/>
          <w:i/>
          <w:iCs/>
          <w:u w:val="single"/>
        </w:rPr>
        <w:t xml:space="preserve">I. La adquisición de bienes muebles. </w:t>
      </w:r>
    </w:p>
    <w:p w:rsidR="00C2510E" w:rsidRPr="005C4C61" w:rsidRDefault="00C83BDF">
      <w:pPr>
        <w:spacing w:line="360" w:lineRule="auto"/>
        <w:ind w:left="851" w:right="822"/>
        <w:jc w:val="both"/>
        <w:rPr>
          <w:rFonts w:ascii="Palatino Linotype" w:eastAsia="Palatino Linotype" w:hAnsi="Palatino Linotype" w:cs="Palatino Linotype"/>
          <w:i/>
          <w:iCs/>
        </w:rPr>
      </w:pPr>
      <w:r w:rsidRPr="005C4C61">
        <w:rPr>
          <w:rFonts w:ascii="Palatino Linotype" w:eastAsia="Palatino Linotype" w:hAnsi="Palatino Linotype" w:cs="Palatino Linotype"/>
          <w:i/>
          <w:iCs/>
        </w:rPr>
        <w:t xml:space="preserve">II. La adquisición de bienes inmuebles, a través de compraventa. </w:t>
      </w:r>
    </w:p>
    <w:p w:rsidR="00C2510E" w:rsidRPr="005C4C61" w:rsidRDefault="00C83BDF">
      <w:pPr>
        <w:spacing w:line="360" w:lineRule="auto"/>
        <w:ind w:left="851" w:right="822"/>
        <w:jc w:val="both"/>
        <w:rPr>
          <w:rFonts w:ascii="Palatino Linotype" w:eastAsia="Palatino Linotype" w:hAnsi="Palatino Linotype" w:cs="Palatino Linotype"/>
          <w:i/>
          <w:iCs/>
        </w:rPr>
      </w:pPr>
      <w:r w:rsidRPr="005C4C61">
        <w:rPr>
          <w:rFonts w:ascii="Palatino Linotype" w:eastAsia="Palatino Linotype" w:hAnsi="Palatino Linotype" w:cs="Palatino Linotype"/>
          <w:i/>
          <w:iCs/>
        </w:rPr>
        <w:t xml:space="preserve">III. La enajenación de bienes muebles e inmuebles. </w:t>
      </w:r>
    </w:p>
    <w:p w:rsidR="00C2510E" w:rsidRPr="005C4C61" w:rsidRDefault="00C83BDF">
      <w:pPr>
        <w:spacing w:line="360" w:lineRule="auto"/>
        <w:ind w:left="851" w:right="822"/>
        <w:jc w:val="both"/>
        <w:rPr>
          <w:rFonts w:ascii="Palatino Linotype" w:eastAsia="Palatino Linotype" w:hAnsi="Palatino Linotype" w:cs="Palatino Linotype"/>
          <w:i/>
          <w:iCs/>
        </w:rPr>
      </w:pPr>
      <w:r w:rsidRPr="005C4C61">
        <w:rPr>
          <w:rFonts w:ascii="Palatino Linotype" w:eastAsia="Palatino Linotype" w:hAnsi="Palatino Linotype" w:cs="Palatino Linotype"/>
          <w:i/>
          <w:iCs/>
        </w:rPr>
        <w:t xml:space="preserve">IV. El arrendamiento de bienes muebles e inmuebles. </w:t>
      </w:r>
    </w:p>
    <w:p w:rsidR="00C2510E" w:rsidRPr="005C4C61" w:rsidRDefault="00C83BDF">
      <w:pPr>
        <w:spacing w:line="360" w:lineRule="auto"/>
        <w:ind w:left="851" w:right="822"/>
        <w:jc w:val="both"/>
        <w:rPr>
          <w:rFonts w:ascii="Palatino Linotype" w:eastAsia="Palatino Linotype" w:hAnsi="Palatino Linotype" w:cs="Palatino Linotype"/>
          <w:i/>
          <w:iCs/>
        </w:rPr>
      </w:pPr>
      <w:r w:rsidRPr="005C4C61">
        <w:rPr>
          <w:rFonts w:ascii="Palatino Linotype" w:eastAsia="Palatino Linotype" w:hAnsi="Palatino Linotype" w:cs="Palatino Linotype"/>
          <w:i/>
          <w:iCs/>
        </w:rPr>
        <w:t xml:space="preserve">V. La contratación de los servicios, relacionados con bienes muebles que se encuentran incorporados o adheridos a bienes inmuebles, cuya instalación o mantenimiento no implique modificación al bien inmueble. </w:t>
      </w:r>
    </w:p>
    <w:p w:rsidR="00C2510E" w:rsidRPr="005C4C61" w:rsidRDefault="00C83BDF">
      <w:pPr>
        <w:spacing w:line="360" w:lineRule="auto"/>
        <w:ind w:left="851" w:right="822"/>
        <w:jc w:val="both"/>
        <w:rPr>
          <w:rFonts w:ascii="Palatino Linotype" w:eastAsia="Palatino Linotype" w:hAnsi="Palatino Linotype" w:cs="Palatino Linotype"/>
          <w:i/>
          <w:iCs/>
        </w:rPr>
      </w:pPr>
      <w:r w:rsidRPr="005C4C61">
        <w:rPr>
          <w:rFonts w:ascii="Palatino Linotype" w:eastAsia="Palatino Linotype" w:hAnsi="Palatino Linotype" w:cs="Palatino Linotype"/>
          <w:i/>
          <w:iCs/>
        </w:rPr>
        <w:t xml:space="preserve">VI. La contratación de los servicios de reconstrucción y mantenimiento de bienes muebles. </w:t>
      </w:r>
    </w:p>
    <w:p w:rsidR="00C2510E" w:rsidRPr="005C4C61" w:rsidRDefault="00C83BDF">
      <w:pPr>
        <w:spacing w:line="360" w:lineRule="auto"/>
        <w:ind w:left="851" w:right="822"/>
        <w:jc w:val="both"/>
        <w:rPr>
          <w:rFonts w:ascii="Palatino Linotype" w:eastAsia="Palatino Linotype" w:hAnsi="Palatino Linotype" w:cs="Palatino Linotype"/>
          <w:i/>
          <w:iCs/>
        </w:rPr>
      </w:pPr>
      <w:r w:rsidRPr="005C4C61">
        <w:rPr>
          <w:rFonts w:ascii="Palatino Linotype" w:eastAsia="Palatino Linotype" w:hAnsi="Palatino Linotype" w:cs="Palatino Linotype"/>
          <w:b/>
          <w:bCs/>
          <w:i/>
          <w:iCs/>
          <w:u w:val="single"/>
        </w:rPr>
        <w:t>VII. La contratación de los servicios de maquila,</w:t>
      </w:r>
      <w:r w:rsidRPr="005C4C61">
        <w:rPr>
          <w:rFonts w:ascii="Palatino Linotype" w:eastAsia="Palatino Linotype" w:hAnsi="Palatino Linotype" w:cs="Palatino Linotype"/>
          <w:i/>
          <w:iCs/>
        </w:rPr>
        <w:t xml:space="preserve"> seguros y transportación, así como de los de limpieza y vigilancia de bienes inmuebles</w:t>
      </w:r>
    </w:p>
    <w:p w:rsidR="00C2510E" w:rsidRPr="005C4C61" w:rsidRDefault="00C83BDF">
      <w:pPr>
        <w:spacing w:line="360" w:lineRule="auto"/>
        <w:ind w:left="851" w:right="822"/>
        <w:jc w:val="both"/>
        <w:rPr>
          <w:rFonts w:ascii="Palatino Linotype" w:eastAsia="Palatino Linotype" w:hAnsi="Palatino Linotype" w:cs="Palatino Linotype"/>
          <w:i/>
          <w:iCs/>
        </w:rPr>
      </w:pPr>
      <w:r w:rsidRPr="005C4C61">
        <w:rPr>
          <w:rFonts w:ascii="Palatino Linotype" w:eastAsia="Palatino Linotype" w:hAnsi="Palatino Linotype" w:cs="Palatino Linotype"/>
          <w:i/>
          <w:iCs/>
        </w:rPr>
        <w:t xml:space="preserve">VIII. La prestación de servicios profesionales, la contratación de consultorías, asesorías y estudios e investigaciones, excepto la contratación de servicios personales de personas físicas bajo el régimen de honorarios. </w:t>
      </w:r>
    </w:p>
    <w:p w:rsidR="00C2510E" w:rsidRPr="005C4C61" w:rsidRDefault="00C83BDF">
      <w:pPr>
        <w:spacing w:line="360" w:lineRule="auto"/>
        <w:ind w:left="851" w:right="822"/>
        <w:jc w:val="both"/>
        <w:rPr>
          <w:rFonts w:ascii="Palatino Linotype" w:eastAsia="Palatino Linotype" w:hAnsi="Palatino Linotype" w:cs="Palatino Linotype"/>
          <w:b/>
          <w:bCs/>
          <w:i/>
          <w:iCs/>
          <w:u w:val="single"/>
        </w:rPr>
      </w:pPr>
      <w:r w:rsidRPr="005C4C61">
        <w:rPr>
          <w:rFonts w:ascii="Palatino Linotype" w:eastAsia="Palatino Linotype" w:hAnsi="Palatino Linotype" w:cs="Palatino Linotype"/>
          <w:b/>
          <w:bCs/>
          <w:i/>
          <w:iCs/>
          <w:u w:val="single"/>
        </w:rPr>
        <w:t>En general, otros actos que impliquen la contratación de servicios de cualquier naturaleza.</w:t>
      </w:r>
    </w:p>
    <w:p w:rsidR="00C2510E" w:rsidRPr="005C4C61" w:rsidRDefault="00C2510E">
      <w:pPr>
        <w:spacing w:line="360" w:lineRule="auto"/>
        <w:ind w:left="851" w:right="822"/>
        <w:jc w:val="both"/>
        <w:rPr>
          <w:rFonts w:ascii="Palatino Linotype" w:eastAsia="Palatino Linotype" w:hAnsi="Palatino Linotype" w:cs="Palatino Linotype"/>
          <w:b/>
          <w:bCs/>
          <w:i/>
          <w:iCs/>
          <w:u w:val="single"/>
        </w:rPr>
      </w:pPr>
    </w:p>
    <w:p w:rsidR="00C2510E" w:rsidRPr="005C4C61" w:rsidRDefault="00C83BDF">
      <w:pPr>
        <w:spacing w:line="360" w:lineRule="auto"/>
        <w:ind w:left="851" w:right="822"/>
        <w:jc w:val="both"/>
        <w:rPr>
          <w:rFonts w:ascii="Palatino Linotype" w:eastAsia="Palatino Linotype" w:hAnsi="Palatino Linotype" w:cs="Palatino Linotype"/>
          <w:b/>
          <w:bCs/>
          <w:i/>
          <w:iCs/>
        </w:rPr>
      </w:pPr>
      <w:r w:rsidRPr="005C4C61">
        <w:rPr>
          <w:rFonts w:ascii="Palatino Linotype" w:eastAsia="Palatino Linotype" w:hAnsi="Palatino Linotype" w:cs="Palatino Linotype"/>
          <w:b/>
          <w:bCs/>
          <w:i/>
          <w:iCs/>
        </w:rPr>
        <w:t>Artículo 26.- Las adquisiciones, arrendamientos y servicios se adjudicarán a través de licitaciones públicas, mediante convocatoria pública.</w:t>
      </w:r>
    </w:p>
    <w:p w:rsidR="00C2510E" w:rsidRPr="005C4C61" w:rsidRDefault="00C2510E">
      <w:pPr>
        <w:spacing w:line="360" w:lineRule="auto"/>
        <w:ind w:left="851" w:right="822"/>
        <w:jc w:val="both"/>
        <w:rPr>
          <w:rFonts w:ascii="Palatino Linotype" w:eastAsia="Palatino Linotype" w:hAnsi="Palatino Linotype" w:cs="Palatino Linotype"/>
          <w:b/>
          <w:bCs/>
          <w:i/>
          <w:iCs/>
        </w:rPr>
      </w:pPr>
    </w:p>
    <w:p w:rsidR="00C2510E" w:rsidRPr="005C4C61" w:rsidRDefault="00C83BDF">
      <w:pPr>
        <w:spacing w:line="360" w:lineRule="auto"/>
        <w:ind w:left="851" w:right="822"/>
        <w:jc w:val="both"/>
        <w:rPr>
          <w:rFonts w:ascii="Palatino Linotype" w:eastAsia="Palatino Linotype" w:hAnsi="Palatino Linotype" w:cs="Palatino Linotype"/>
          <w:i/>
          <w:iCs/>
        </w:rPr>
      </w:pPr>
      <w:r w:rsidRPr="005C4C61">
        <w:rPr>
          <w:rFonts w:ascii="Palatino Linotype" w:eastAsia="Palatino Linotype" w:hAnsi="Palatino Linotype" w:cs="Palatino Linotype"/>
          <w:b/>
          <w:bCs/>
          <w:i/>
          <w:iCs/>
        </w:rPr>
        <w:lastRenderedPageBreak/>
        <w:t xml:space="preserve">Artículo 27.- </w:t>
      </w:r>
      <w:r w:rsidRPr="005C4C61">
        <w:rPr>
          <w:rFonts w:ascii="Palatino Linotype" w:eastAsia="Palatino Linotype" w:hAnsi="Palatino Linotype" w:cs="Palatino Linotype"/>
          <w:i/>
          <w:iCs/>
        </w:rPr>
        <w:t xml:space="preserve">La Secretaría, las entidades, los tribunales administrativos y los ayuntamientos podrán adjudicar adquisiciones, arrendamientos y servicios, mediante las excepciones al procedimiento de licitación que a continuación se señalan: </w:t>
      </w:r>
    </w:p>
    <w:p w:rsidR="00C2510E" w:rsidRPr="005C4C61" w:rsidRDefault="00C83BDF">
      <w:pPr>
        <w:spacing w:line="360" w:lineRule="auto"/>
        <w:ind w:left="851" w:right="822"/>
        <w:jc w:val="both"/>
        <w:rPr>
          <w:rFonts w:ascii="Palatino Linotype" w:eastAsia="Palatino Linotype" w:hAnsi="Palatino Linotype" w:cs="Palatino Linotype"/>
          <w:b/>
          <w:bCs/>
          <w:i/>
          <w:iCs/>
        </w:rPr>
      </w:pPr>
      <w:r w:rsidRPr="005C4C61">
        <w:rPr>
          <w:rFonts w:ascii="Palatino Linotype" w:eastAsia="Palatino Linotype" w:hAnsi="Palatino Linotype" w:cs="Palatino Linotype"/>
          <w:b/>
          <w:bCs/>
          <w:i/>
          <w:iCs/>
        </w:rPr>
        <w:t xml:space="preserve">I. Invitación restringida. </w:t>
      </w:r>
    </w:p>
    <w:p w:rsidR="00C2510E" w:rsidRPr="005C4C61" w:rsidRDefault="00C83BDF">
      <w:pPr>
        <w:spacing w:line="360" w:lineRule="auto"/>
        <w:ind w:left="851" w:right="822"/>
        <w:jc w:val="both"/>
        <w:rPr>
          <w:rFonts w:ascii="Palatino Linotype" w:eastAsia="Palatino Linotype" w:hAnsi="Palatino Linotype" w:cs="Palatino Linotype"/>
          <w:b/>
          <w:bCs/>
          <w:i/>
          <w:iCs/>
        </w:rPr>
      </w:pPr>
      <w:r w:rsidRPr="005C4C61">
        <w:rPr>
          <w:rFonts w:ascii="Palatino Linotype" w:eastAsia="Palatino Linotype" w:hAnsi="Palatino Linotype" w:cs="Palatino Linotype"/>
          <w:b/>
          <w:bCs/>
          <w:i/>
          <w:iCs/>
        </w:rPr>
        <w:t>II. Adjudicación directa.”</w:t>
      </w:r>
    </w:p>
    <w:p w:rsidR="00C2510E" w:rsidRPr="005C4C61" w:rsidRDefault="00C83BDF">
      <w:pPr>
        <w:spacing w:line="360" w:lineRule="auto"/>
        <w:ind w:left="567" w:right="567"/>
        <w:rPr>
          <w:rFonts w:ascii="Palatino Linotype" w:eastAsia="Palatino Linotype" w:hAnsi="Palatino Linotype" w:cs="Palatino Linotype"/>
        </w:rPr>
      </w:pPr>
      <w:r w:rsidRPr="005C4C61">
        <w:rPr>
          <w:rFonts w:ascii="Palatino Linotype" w:eastAsia="Palatino Linotype" w:hAnsi="Palatino Linotype" w:cs="Palatino Linotype"/>
        </w:rPr>
        <w:t xml:space="preserve">(Énfasis añadido) </w:t>
      </w:r>
    </w:p>
    <w:p w:rsidR="00C2510E" w:rsidRPr="005C4C61" w:rsidRDefault="00C2510E">
      <w:pPr>
        <w:spacing w:line="360" w:lineRule="auto"/>
        <w:jc w:val="both"/>
        <w:rPr>
          <w:rFonts w:ascii="Palatino Linotype" w:eastAsia="Palatino Linotype" w:hAnsi="Palatino Linotype" w:cs="Palatino Linotype"/>
        </w:rPr>
      </w:pP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color w:val="000000"/>
        </w:rPr>
      </w:pPr>
      <w:r w:rsidRPr="005C4C61">
        <w:rPr>
          <w:rFonts w:ascii="Palatino Linotype" w:eastAsia="Palatino Linotype" w:hAnsi="Palatino Linotype" w:cs="Palatino Linotype"/>
          <w:color w:val="000000"/>
        </w:rPr>
        <w:t>Asimismo, en las licitaciones se debe seguir el procedimiento marcado en el artículo 35 del precitado ordenamiento, que literalmente establece:</w:t>
      </w:r>
    </w:p>
    <w:p w:rsidR="00C2510E" w:rsidRPr="005C4C61" w:rsidRDefault="00C83BDF">
      <w:pPr>
        <w:spacing w:line="360" w:lineRule="auto"/>
        <w:ind w:left="567" w:right="567"/>
        <w:jc w:val="both"/>
        <w:rPr>
          <w:rFonts w:ascii="Palatino Linotype" w:eastAsia="Palatino Linotype" w:hAnsi="Palatino Linotype" w:cs="Palatino Linotype"/>
          <w:i/>
          <w:iCs/>
        </w:rPr>
      </w:pPr>
      <w:r w:rsidRPr="005C4C61">
        <w:rPr>
          <w:rFonts w:ascii="Palatino Linotype" w:eastAsia="Palatino Linotype" w:hAnsi="Palatino Linotype" w:cs="Palatino Linotype"/>
          <w:b/>
          <w:bCs/>
          <w:i/>
          <w:iCs/>
        </w:rPr>
        <w:t>“Artículo 35</w:t>
      </w:r>
      <w:r w:rsidRPr="005C4C61">
        <w:rPr>
          <w:rFonts w:ascii="Palatino Linotype" w:eastAsia="Palatino Linotype" w:hAnsi="Palatino Linotype" w:cs="Palatino Linotype"/>
          <w:i/>
          <w:iCs/>
        </w:rPr>
        <w:t>.- En los procedimientos de licitación pública se observará lo siguiente:</w:t>
      </w:r>
    </w:p>
    <w:p w:rsidR="00C2510E" w:rsidRPr="005C4C61" w:rsidRDefault="00C83BDF">
      <w:pPr>
        <w:spacing w:line="360" w:lineRule="auto"/>
        <w:ind w:left="567" w:right="567"/>
        <w:jc w:val="both"/>
        <w:rPr>
          <w:rFonts w:ascii="Palatino Linotype" w:eastAsia="Palatino Linotype" w:hAnsi="Palatino Linotype" w:cs="Palatino Linotype"/>
          <w:i/>
          <w:iCs/>
        </w:rPr>
      </w:pPr>
      <w:r w:rsidRPr="005C4C61">
        <w:rPr>
          <w:rFonts w:ascii="Palatino Linotype" w:eastAsia="Palatino Linotype" w:hAnsi="Palatino Linotype" w:cs="Palatino Linotype"/>
          <w:i/>
          <w:iCs/>
        </w:rPr>
        <w:t>I. El acto de presentación y apertura de propuestas se llevará a cabo por el servidor público que designe la convocante, conforme al procedimiento que se establezca en el reglamento de esta Ley.</w:t>
      </w:r>
    </w:p>
    <w:p w:rsidR="00C2510E" w:rsidRPr="005C4C61" w:rsidRDefault="00C83BDF">
      <w:pPr>
        <w:spacing w:line="360" w:lineRule="auto"/>
        <w:ind w:left="567" w:right="567"/>
        <w:jc w:val="both"/>
        <w:rPr>
          <w:rFonts w:ascii="Palatino Linotype" w:eastAsia="Palatino Linotype" w:hAnsi="Palatino Linotype" w:cs="Palatino Linotype"/>
          <w:i/>
          <w:iCs/>
        </w:rPr>
      </w:pPr>
      <w:r w:rsidRPr="005C4C61">
        <w:rPr>
          <w:rFonts w:ascii="Palatino Linotype" w:eastAsia="Palatino Linotype" w:hAnsi="Palatino Linotype" w:cs="Palatino Linotype"/>
          <w:i/>
          <w:iCs/>
        </w:rPr>
        <w:t>II. El comité de adquisiciones y servicios evaluará y analizará las propuestas técnicas y económicas presentadas por los licitantes en el ámbito de las respectivas competencias de sus integrantes, y emitirá el dictamen de adjudicación.</w:t>
      </w:r>
    </w:p>
    <w:p w:rsidR="00C2510E" w:rsidRPr="005C4C61" w:rsidRDefault="00C83BDF">
      <w:pPr>
        <w:spacing w:line="360" w:lineRule="auto"/>
        <w:ind w:left="567" w:right="567"/>
        <w:jc w:val="both"/>
        <w:rPr>
          <w:rFonts w:ascii="Palatino Linotype" w:eastAsia="Palatino Linotype" w:hAnsi="Palatino Linotype" w:cs="Palatino Linotype"/>
          <w:i/>
          <w:iCs/>
          <w:u w:val="single"/>
        </w:rPr>
      </w:pPr>
      <w:r w:rsidRPr="005C4C61">
        <w:rPr>
          <w:rFonts w:ascii="Palatino Linotype" w:eastAsia="Palatino Linotype" w:hAnsi="Palatino Linotype" w:cs="Palatino Linotype"/>
          <w:i/>
          <w:iCs/>
          <w:u w:val="single"/>
        </w:rPr>
        <w:t xml:space="preserve">III. Las bases de licitación se pondrán a la venta a partir de la fecha de publicación de la convocatoria y hasta el día hábil anterior a la fecha de celebración </w:t>
      </w:r>
      <w:r w:rsidRPr="005C4C61">
        <w:rPr>
          <w:rFonts w:ascii="Palatino Linotype" w:eastAsia="Palatino Linotype" w:hAnsi="Palatino Linotype" w:cs="Palatino Linotype"/>
          <w:b/>
          <w:bCs/>
          <w:i/>
          <w:iCs/>
          <w:u w:val="single"/>
        </w:rPr>
        <w:t>de la junta de aclaraciones</w:t>
      </w:r>
      <w:r w:rsidRPr="005C4C61">
        <w:rPr>
          <w:rFonts w:ascii="Palatino Linotype" w:eastAsia="Palatino Linotype" w:hAnsi="Palatino Linotype" w:cs="Palatino Linotype"/>
          <w:i/>
          <w:iCs/>
          <w:u w:val="single"/>
        </w:rPr>
        <w:t xml:space="preserve"> o, en su defecto, del acto de presentación y apertura de propuestas.</w:t>
      </w:r>
    </w:p>
    <w:p w:rsidR="00C2510E" w:rsidRPr="005C4C61" w:rsidRDefault="00C83BDF">
      <w:pPr>
        <w:spacing w:line="360" w:lineRule="auto"/>
        <w:ind w:left="567" w:right="567"/>
        <w:jc w:val="both"/>
        <w:rPr>
          <w:rFonts w:ascii="Palatino Linotype" w:eastAsia="Palatino Linotype" w:hAnsi="Palatino Linotype" w:cs="Palatino Linotype"/>
          <w:i/>
          <w:iCs/>
        </w:rPr>
      </w:pPr>
      <w:r w:rsidRPr="005C4C61">
        <w:rPr>
          <w:rFonts w:ascii="Palatino Linotype" w:eastAsia="Palatino Linotype" w:hAnsi="Palatino Linotype" w:cs="Palatino Linotype"/>
          <w:i/>
          <w:iCs/>
        </w:rPr>
        <w:t>IV. Las convocantes podrán modificar los plazos y términos establecidos en la convocatoria o en las bases de licitación, hasta cinco días hábiles anteriores a la fecha de la celebración del acto de presentación y apertura de propuestas.</w:t>
      </w:r>
    </w:p>
    <w:p w:rsidR="00C2510E" w:rsidRPr="005C4C61" w:rsidRDefault="00C83BDF">
      <w:pPr>
        <w:spacing w:line="360" w:lineRule="auto"/>
        <w:ind w:left="567" w:right="567"/>
        <w:jc w:val="both"/>
        <w:rPr>
          <w:rFonts w:ascii="Palatino Linotype" w:eastAsia="Palatino Linotype" w:hAnsi="Palatino Linotype" w:cs="Palatino Linotype"/>
          <w:i/>
          <w:iCs/>
        </w:rPr>
      </w:pPr>
      <w:r w:rsidRPr="005C4C61">
        <w:rPr>
          <w:rFonts w:ascii="Palatino Linotype" w:eastAsia="Palatino Linotype" w:hAnsi="Palatino Linotype" w:cs="Palatino Linotype"/>
          <w:i/>
          <w:iCs/>
        </w:rPr>
        <w:lastRenderedPageBreak/>
        <w:t>V. Las modificaciones no podrán limitar el número de licitantes, sustituir o variar sustancialmente los bienes o servicios convocados originalmente, ni adicionar otros  distintos.</w:t>
      </w:r>
    </w:p>
    <w:p w:rsidR="00C2510E" w:rsidRPr="005C4C61" w:rsidRDefault="00C83BDF">
      <w:pPr>
        <w:spacing w:line="360" w:lineRule="auto"/>
        <w:ind w:left="567" w:right="567"/>
        <w:jc w:val="both"/>
        <w:rPr>
          <w:rFonts w:ascii="Palatino Linotype" w:eastAsia="Palatino Linotype" w:hAnsi="Palatino Linotype" w:cs="Palatino Linotype"/>
          <w:i/>
          <w:iCs/>
        </w:rPr>
      </w:pPr>
      <w:r w:rsidRPr="005C4C61">
        <w:rPr>
          <w:rFonts w:ascii="Palatino Linotype" w:eastAsia="Palatino Linotype" w:hAnsi="Palatino Linotype" w:cs="Palatino Linotype"/>
          <w:i/>
          <w:iCs/>
        </w:rPr>
        <w:t>VI. Las modificaciones a la convocatoria o a las bases se harán del conocimiento de los interesados hasta tres días hábiles antes de la fecha señalada para el acto de presentación y apertura de propuestas.</w:t>
      </w:r>
    </w:p>
    <w:p w:rsidR="00C2510E" w:rsidRPr="005C4C61" w:rsidRDefault="00C83BDF">
      <w:pPr>
        <w:spacing w:line="360" w:lineRule="auto"/>
        <w:ind w:left="567" w:right="567"/>
        <w:jc w:val="both"/>
        <w:rPr>
          <w:rFonts w:ascii="Palatino Linotype" w:eastAsia="Palatino Linotype" w:hAnsi="Palatino Linotype" w:cs="Palatino Linotype"/>
          <w:i/>
          <w:iCs/>
        </w:rPr>
      </w:pPr>
      <w:r w:rsidRPr="005C4C61">
        <w:rPr>
          <w:rFonts w:ascii="Palatino Linotype" w:eastAsia="Palatino Linotype" w:hAnsi="Palatino Linotype" w:cs="Palatino Linotype"/>
          <w:i/>
          <w:iCs/>
        </w:rPr>
        <w:t>VII. Se emitirá el fallo dentro de los 15 días hábiles siguientes a la publicación de la convocatoria.</w:t>
      </w:r>
    </w:p>
    <w:p w:rsidR="00C2510E" w:rsidRPr="005C4C61" w:rsidRDefault="00C83BDF">
      <w:pPr>
        <w:spacing w:line="360" w:lineRule="auto"/>
        <w:ind w:left="567" w:right="567"/>
        <w:jc w:val="both"/>
        <w:rPr>
          <w:rFonts w:ascii="Palatino Linotype" w:eastAsia="Palatino Linotype" w:hAnsi="Palatino Linotype" w:cs="Palatino Linotype"/>
          <w:i/>
          <w:iCs/>
        </w:rPr>
      </w:pPr>
      <w:r w:rsidRPr="005C4C61">
        <w:rPr>
          <w:rFonts w:ascii="Palatino Linotype" w:eastAsia="Palatino Linotype" w:hAnsi="Palatino Linotype" w:cs="Palatino Linotype"/>
          <w:i/>
          <w:iCs/>
        </w:rPr>
        <w:t>VIII. Los licitantes se podrán registrar hasta el día y la hora fijados para el acto de presentación y apertura de propuestas.</w:t>
      </w:r>
      <w:r w:rsidRPr="005C4C61">
        <w:rPr>
          <w:rFonts w:ascii="Palatino Linotype" w:eastAsia="Palatino Linotype" w:hAnsi="Palatino Linotype" w:cs="Palatino Linotype"/>
          <w:b/>
          <w:bCs/>
          <w:i/>
          <w:iCs/>
        </w:rPr>
        <w:t>”</w:t>
      </w:r>
    </w:p>
    <w:p w:rsidR="00C2510E" w:rsidRPr="005C4C61" w:rsidRDefault="00C83BDF">
      <w:pPr>
        <w:spacing w:line="360" w:lineRule="auto"/>
        <w:ind w:left="567" w:right="567"/>
        <w:rPr>
          <w:rFonts w:ascii="Palatino Linotype" w:eastAsia="Palatino Linotype" w:hAnsi="Palatino Linotype" w:cs="Palatino Linotype"/>
        </w:rPr>
      </w:pPr>
      <w:r w:rsidRPr="005C4C61">
        <w:rPr>
          <w:rFonts w:ascii="Palatino Linotype" w:eastAsia="Palatino Linotype" w:hAnsi="Palatino Linotype" w:cs="Palatino Linotype"/>
        </w:rPr>
        <w:t>(Énfasis añadido)</w:t>
      </w:r>
    </w:p>
    <w:p w:rsidR="00C2510E" w:rsidRPr="005C4C61" w:rsidRDefault="00C2510E">
      <w:pPr>
        <w:spacing w:line="360" w:lineRule="auto"/>
        <w:ind w:left="567" w:right="567"/>
        <w:jc w:val="right"/>
        <w:rPr>
          <w:rFonts w:ascii="Palatino Linotype" w:eastAsia="Palatino Linotype" w:hAnsi="Palatino Linotype" w:cs="Palatino Linotype"/>
        </w:rPr>
      </w:pP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color w:val="000000"/>
        </w:rPr>
      </w:pPr>
      <w:r w:rsidRPr="005C4C61">
        <w:rPr>
          <w:rFonts w:ascii="Palatino Linotype" w:eastAsia="Palatino Linotype" w:hAnsi="Palatino Linotype" w:cs="Palatino Linotype"/>
          <w:color w:val="000000"/>
        </w:rPr>
        <w:t>Del precepto legal, se desprende que, los comités de adquisiciones y servicios, les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rsidR="00C2510E" w:rsidRPr="005C4C61" w:rsidRDefault="00C2510E">
      <w:pPr>
        <w:spacing w:line="360" w:lineRule="auto"/>
        <w:ind w:left="502"/>
        <w:jc w:val="both"/>
        <w:rPr>
          <w:rFonts w:ascii="Palatino Linotype" w:eastAsia="Palatino Linotype" w:hAnsi="Palatino Linotype" w:cs="Palatino Linotype"/>
        </w:rPr>
      </w:pP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color w:val="000000"/>
        </w:rPr>
      </w:pPr>
      <w:r w:rsidRPr="005C4C61">
        <w:rPr>
          <w:rFonts w:ascii="Palatino Linotype" w:eastAsia="Palatino Linotype" w:hAnsi="Palatino Linotype" w:cs="Palatino Linotype"/>
          <w:color w:val="000000"/>
        </w:rPr>
        <w:t xml:space="preserve">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 </w:t>
      </w: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color w:val="000000"/>
        </w:rPr>
      </w:pPr>
      <w:r w:rsidRPr="005C4C61">
        <w:rPr>
          <w:rFonts w:ascii="Palatino Linotype" w:eastAsia="Palatino Linotype" w:hAnsi="Palatino Linotype" w:cs="Palatino Linotype"/>
          <w:color w:val="000000"/>
        </w:rPr>
        <w:lastRenderedPageBreak/>
        <w:t xml:space="preserve">En este sentido, debe decirse que los </w:t>
      </w:r>
      <w:r w:rsidRPr="005C4C61">
        <w:rPr>
          <w:rFonts w:ascii="Palatino Linotype" w:eastAsia="Palatino Linotype" w:hAnsi="Palatino Linotype" w:cs="Palatino Linotype"/>
          <w:b/>
          <w:bCs/>
          <w:color w:val="000000"/>
          <w:u w:val="single"/>
        </w:rPr>
        <w:t>expedientes de las adquisiciones, arrendamientos, enajenaciones y servicios</w:t>
      </w:r>
      <w:r w:rsidRPr="005C4C61">
        <w:rPr>
          <w:rFonts w:ascii="Palatino Linotype" w:eastAsia="Palatino Linotype" w:hAnsi="Palatino Linotype" w:cs="Palatino Linotype"/>
          <w:color w:val="000000"/>
        </w:rPr>
        <w:t>, se encuentra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rsidR="00C2510E" w:rsidRPr="005C4C61" w:rsidRDefault="00C83BDF">
      <w:pPr>
        <w:spacing w:line="360" w:lineRule="auto"/>
        <w:ind w:left="851" w:right="822"/>
        <w:jc w:val="both"/>
        <w:rPr>
          <w:rFonts w:ascii="Palatino Linotype" w:eastAsia="Palatino Linotype" w:hAnsi="Palatino Linotype" w:cs="Palatino Linotype"/>
        </w:rPr>
      </w:pPr>
      <w:r w:rsidRPr="005C4C61">
        <w:rPr>
          <w:rFonts w:ascii="Palatino Linotype" w:eastAsia="Palatino Linotype" w:hAnsi="Palatino Linotype" w:cs="Palatino Linotype"/>
          <w:b/>
          <w:bCs/>
          <w:i/>
          <w:iCs/>
        </w:rPr>
        <w:t>“Artículo 92. </w:t>
      </w:r>
      <w:r w:rsidRPr="005C4C61">
        <w:rPr>
          <w:rFonts w:ascii="Palatino Linotype" w:eastAsia="Palatino Linotype" w:hAnsi="Palatino Linotype" w:cs="Palatino Linotype"/>
          <w:i/>
          <w:iC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C2510E" w:rsidRPr="005C4C61" w:rsidRDefault="00C83BDF">
      <w:pPr>
        <w:spacing w:line="360" w:lineRule="auto"/>
        <w:ind w:left="851" w:right="822"/>
        <w:jc w:val="both"/>
        <w:rPr>
          <w:rFonts w:ascii="Palatino Linotype" w:eastAsia="Palatino Linotype" w:hAnsi="Palatino Linotype" w:cs="Palatino Linotype"/>
        </w:rPr>
      </w:pPr>
      <w:r w:rsidRPr="005C4C61">
        <w:rPr>
          <w:rFonts w:ascii="Palatino Linotype" w:eastAsia="Palatino Linotype" w:hAnsi="Palatino Linotype" w:cs="Palatino Linotype"/>
          <w:i/>
          <w:iCs/>
        </w:rPr>
        <w:t>(…)</w:t>
      </w:r>
    </w:p>
    <w:p w:rsidR="00C2510E" w:rsidRPr="005C4C61" w:rsidRDefault="00C2510E">
      <w:pPr>
        <w:spacing w:line="360" w:lineRule="auto"/>
        <w:ind w:left="851" w:right="822"/>
        <w:jc w:val="both"/>
        <w:rPr>
          <w:rFonts w:ascii="Palatino Linotype" w:eastAsia="Palatino Linotype" w:hAnsi="Palatino Linotype" w:cs="Palatino Linotype"/>
          <w:b/>
          <w:bCs/>
          <w:i/>
          <w:iCs/>
        </w:rPr>
      </w:pPr>
    </w:p>
    <w:p w:rsidR="00C2510E" w:rsidRPr="005C4C61" w:rsidRDefault="00C83BDF">
      <w:pPr>
        <w:spacing w:line="360" w:lineRule="auto"/>
        <w:ind w:left="851" w:right="822"/>
        <w:jc w:val="both"/>
        <w:rPr>
          <w:rFonts w:ascii="Palatino Linotype" w:eastAsia="Palatino Linotype" w:hAnsi="Palatino Linotype" w:cs="Palatino Linotype"/>
        </w:rPr>
      </w:pPr>
      <w:r w:rsidRPr="005C4C61">
        <w:rPr>
          <w:rFonts w:ascii="Palatino Linotype" w:eastAsia="Palatino Linotype" w:hAnsi="Palatino Linotype" w:cs="Palatino Linotype"/>
          <w:b/>
          <w:bCs/>
          <w:i/>
          <w:iCs/>
        </w:rPr>
        <w:t>XXIX. </w:t>
      </w:r>
      <w:r w:rsidRPr="005C4C61">
        <w:rPr>
          <w:rFonts w:ascii="Palatino Linotype" w:eastAsia="Palatino Linotype" w:hAnsi="Palatino Linotype" w:cs="Palatino Linotype"/>
          <w:i/>
          <w:iCs/>
        </w:rPr>
        <w:t>La información sobre los procesos y resultados sobre procedimientos de adjudicación directa, invitación restringida y licitación de cualquier naturaleza, </w:t>
      </w:r>
      <w:r w:rsidRPr="005C4C61">
        <w:rPr>
          <w:rFonts w:ascii="Palatino Linotype" w:eastAsia="Palatino Linotype" w:hAnsi="Palatino Linotype" w:cs="Palatino Linotype"/>
          <w:b/>
          <w:bCs/>
          <w:i/>
          <w:iCs/>
          <w:u w:val="single"/>
        </w:rPr>
        <w:t>incluyendo la versión pública del expediente respectivo y de los contratos</w:t>
      </w:r>
      <w:r w:rsidRPr="005C4C61">
        <w:rPr>
          <w:rFonts w:ascii="Palatino Linotype" w:eastAsia="Palatino Linotype" w:hAnsi="Palatino Linotype" w:cs="Palatino Linotype"/>
          <w:i/>
          <w:iCs/>
        </w:rPr>
        <w:t> celebrados, que deberán contener, por los menos, lo siguiente:</w:t>
      </w:r>
    </w:p>
    <w:p w:rsidR="00C2510E" w:rsidRPr="005C4C61" w:rsidRDefault="00C83BDF">
      <w:pPr>
        <w:spacing w:line="360" w:lineRule="auto"/>
        <w:ind w:left="851" w:right="822"/>
        <w:jc w:val="both"/>
        <w:rPr>
          <w:rFonts w:ascii="Palatino Linotype" w:eastAsia="Palatino Linotype" w:hAnsi="Palatino Linotype" w:cs="Palatino Linotype"/>
        </w:rPr>
      </w:pPr>
      <w:r w:rsidRPr="005C4C61">
        <w:rPr>
          <w:rFonts w:ascii="Palatino Linotype" w:eastAsia="Palatino Linotype" w:hAnsi="Palatino Linotype" w:cs="Palatino Linotype"/>
          <w:b/>
          <w:bCs/>
          <w:i/>
          <w:iCs/>
        </w:rPr>
        <w:t>a) </w:t>
      </w:r>
      <w:r w:rsidRPr="005C4C61">
        <w:rPr>
          <w:rFonts w:ascii="Palatino Linotype" w:eastAsia="Palatino Linotype" w:hAnsi="Palatino Linotype" w:cs="Palatino Linotype"/>
          <w:i/>
          <w:iCs/>
        </w:rPr>
        <w:t>De licitaciones públicas o procedimientos de invitación restringida:</w:t>
      </w:r>
    </w:p>
    <w:p w:rsidR="00C2510E" w:rsidRPr="005C4C61" w:rsidRDefault="00C83BDF">
      <w:pPr>
        <w:spacing w:line="360" w:lineRule="auto"/>
        <w:ind w:left="851" w:right="822"/>
        <w:jc w:val="both"/>
        <w:rPr>
          <w:rFonts w:ascii="Palatino Linotype" w:eastAsia="Palatino Linotype" w:hAnsi="Palatino Linotype" w:cs="Palatino Linotype"/>
        </w:rPr>
      </w:pPr>
      <w:r w:rsidRPr="005C4C61">
        <w:rPr>
          <w:rFonts w:ascii="Palatino Linotype" w:eastAsia="Palatino Linotype" w:hAnsi="Palatino Linotype" w:cs="Palatino Linotype"/>
          <w:b/>
          <w:bCs/>
          <w:i/>
          <w:iCs/>
        </w:rPr>
        <w:t>1)</w:t>
      </w:r>
      <w:r w:rsidRPr="005C4C61">
        <w:rPr>
          <w:rFonts w:ascii="Palatino Linotype" w:eastAsia="Palatino Linotype" w:hAnsi="Palatino Linotype" w:cs="Palatino Linotype"/>
          <w:i/>
          <w:iCs/>
        </w:rPr>
        <w:t> La convocatoria o invitación emitida, así como los fundamentos legales aplicados para llevarla a cabo;</w:t>
      </w:r>
    </w:p>
    <w:p w:rsidR="00C2510E" w:rsidRPr="005C4C61" w:rsidRDefault="00C83BDF">
      <w:pPr>
        <w:spacing w:line="360" w:lineRule="auto"/>
        <w:ind w:left="851" w:right="822"/>
        <w:jc w:val="both"/>
        <w:rPr>
          <w:rFonts w:ascii="Palatino Linotype" w:eastAsia="Palatino Linotype" w:hAnsi="Palatino Linotype" w:cs="Palatino Linotype"/>
        </w:rPr>
      </w:pPr>
      <w:r w:rsidRPr="005C4C61">
        <w:rPr>
          <w:rFonts w:ascii="Palatino Linotype" w:eastAsia="Palatino Linotype" w:hAnsi="Palatino Linotype" w:cs="Palatino Linotype"/>
          <w:b/>
          <w:bCs/>
          <w:i/>
          <w:iCs/>
        </w:rPr>
        <w:t>2) </w:t>
      </w:r>
      <w:r w:rsidRPr="005C4C61">
        <w:rPr>
          <w:rFonts w:ascii="Palatino Linotype" w:eastAsia="Palatino Linotype" w:hAnsi="Palatino Linotype" w:cs="Palatino Linotype"/>
          <w:i/>
          <w:iCs/>
        </w:rPr>
        <w:t>Los nombres de los participantes o invitados;</w:t>
      </w:r>
    </w:p>
    <w:p w:rsidR="00C2510E" w:rsidRPr="005C4C61" w:rsidRDefault="00C83BDF">
      <w:pPr>
        <w:spacing w:line="360" w:lineRule="auto"/>
        <w:ind w:left="851" w:right="822"/>
        <w:jc w:val="both"/>
        <w:rPr>
          <w:rFonts w:ascii="Palatino Linotype" w:eastAsia="Palatino Linotype" w:hAnsi="Palatino Linotype" w:cs="Palatino Linotype"/>
        </w:rPr>
      </w:pPr>
      <w:r w:rsidRPr="005C4C61">
        <w:rPr>
          <w:rFonts w:ascii="Palatino Linotype" w:eastAsia="Palatino Linotype" w:hAnsi="Palatino Linotype" w:cs="Palatino Linotype"/>
          <w:b/>
          <w:bCs/>
          <w:i/>
          <w:iCs/>
        </w:rPr>
        <w:lastRenderedPageBreak/>
        <w:t>3)</w:t>
      </w:r>
      <w:r w:rsidRPr="005C4C61">
        <w:rPr>
          <w:rFonts w:ascii="Palatino Linotype" w:eastAsia="Palatino Linotype" w:hAnsi="Palatino Linotype" w:cs="Palatino Linotype"/>
          <w:i/>
          <w:iCs/>
        </w:rPr>
        <w:t> El nombre del ganador y las razones que lo justifican;</w:t>
      </w:r>
    </w:p>
    <w:p w:rsidR="00C2510E" w:rsidRPr="005C4C61" w:rsidRDefault="00C83BDF">
      <w:pPr>
        <w:spacing w:line="360" w:lineRule="auto"/>
        <w:ind w:left="851" w:right="822"/>
        <w:jc w:val="both"/>
        <w:rPr>
          <w:rFonts w:ascii="Palatino Linotype" w:eastAsia="Palatino Linotype" w:hAnsi="Palatino Linotype" w:cs="Palatino Linotype"/>
        </w:rPr>
      </w:pPr>
      <w:r w:rsidRPr="005C4C61">
        <w:rPr>
          <w:rFonts w:ascii="Palatino Linotype" w:eastAsia="Palatino Linotype" w:hAnsi="Palatino Linotype" w:cs="Palatino Linotype"/>
          <w:b/>
          <w:bCs/>
          <w:i/>
          <w:iCs/>
        </w:rPr>
        <w:t>4) </w:t>
      </w:r>
      <w:r w:rsidRPr="005C4C61">
        <w:rPr>
          <w:rFonts w:ascii="Palatino Linotype" w:eastAsia="Palatino Linotype" w:hAnsi="Palatino Linotype" w:cs="Palatino Linotype"/>
          <w:i/>
          <w:iCs/>
        </w:rPr>
        <w:t>El área solicitante y la responsable de su ejecución;</w:t>
      </w:r>
    </w:p>
    <w:p w:rsidR="00C2510E" w:rsidRPr="005C4C61" w:rsidRDefault="00C83BDF">
      <w:pPr>
        <w:spacing w:line="360" w:lineRule="auto"/>
        <w:ind w:left="851" w:right="822"/>
        <w:jc w:val="both"/>
        <w:rPr>
          <w:rFonts w:ascii="Palatino Linotype" w:eastAsia="Palatino Linotype" w:hAnsi="Palatino Linotype" w:cs="Palatino Linotype"/>
        </w:rPr>
      </w:pPr>
      <w:r w:rsidRPr="005C4C61">
        <w:rPr>
          <w:rFonts w:ascii="Palatino Linotype" w:eastAsia="Palatino Linotype" w:hAnsi="Palatino Linotype" w:cs="Palatino Linotype"/>
          <w:b/>
          <w:bCs/>
          <w:i/>
          <w:iCs/>
        </w:rPr>
        <w:t>5) </w:t>
      </w:r>
      <w:r w:rsidRPr="005C4C61">
        <w:rPr>
          <w:rFonts w:ascii="Palatino Linotype" w:eastAsia="Palatino Linotype" w:hAnsi="Palatino Linotype" w:cs="Palatino Linotype"/>
          <w:i/>
          <w:iCs/>
        </w:rPr>
        <w:t>Las convocatorias e invitaciones emitidas;</w:t>
      </w:r>
    </w:p>
    <w:p w:rsidR="00C2510E" w:rsidRPr="005C4C61" w:rsidRDefault="00C83BDF">
      <w:pPr>
        <w:spacing w:line="360" w:lineRule="auto"/>
        <w:ind w:left="851" w:right="822"/>
        <w:jc w:val="both"/>
        <w:rPr>
          <w:rFonts w:ascii="Palatino Linotype" w:eastAsia="Palatino Linotype" w:hAnsi="Palatino Linotype" w:cs="Palatino Linotype"/>
          <w:i/>
          <w:iCs/>
        </w:rPr>
      </w:pPr>
      <w:r w:rsidRPr="005C4C61">
        <w:rPr>
          <w:rFonts w:ascii="Palatino Linotype" w:eastAsia="Palatino Linotype" w:hAnsi="Palatino Linotype" w:cs="Palatino Linotype"/>
          <w:i/>
          <w:iCs/>
        </w:rPr>
        <w:t>6) Los dictámenes y fallo de adjudicación;</w:t>
      </w:r>
    </w:p>
    <w:p w:rsidR="00C2510E" w:rsidRPr="005C4C61" w:rsidRDefault="00C83BDF">
      <w:pPr>
        <w:spacing w:line="360" w:lineRule="auto"/>
        <w:ind w:left="851" w:right="822"/>
        <w:jc w:val="both"/>
        <w:rPr>
          <w:rFonts w:ascii="Palatino Linotype" w:eastAsia="Palatino Linotype" w:hAnsi="Palatino Linotype" w:cs="Palatino Linotype"/>
          <w:i/>
          <w:iCs/>
        </w:rPr>
      </w:pPr>
      <w:r w:rsidRPr="005C4C61">
        <w:rPr>
          <w:rFonts w:ascii="Palatino Linotype" w:eastAsia="Palatino Linotype" w:hAnsi="Palatino Linotype" w:cs="Palatino Linotype"/>
          <w:i/>
          <w:iCs/>
          <w:u w:val="single"/>
        </w:rPr>
        <w:t>7) El contrato y, en su caso, sus anexos</w:t>
      </w:r>
      <w:r w:rsidRPr="005C4C61">
        <w:rPr>
          <w:rFonts w:ascii="Palatino Linotype" w:eastAsia="Palatino Linotype" w:hAnsi="Palatino Linotype" w:cs="Palatino Linotype"/>
          <w:i/>
          <w:iCs/>
        </w:rPr>
        <w:t>;</w:t>
      </w:r>
    </w:p>
    <w:p w:rsidR="00C2510E" w:rsidRPr="005C4C61" w:rsidRDefault="00C83BDF">
      <w:pPr>
        <w:spacing w:line="360" w:lineRule="auto"/>
        <w:ind w:left="851" w:right="822"/>
        <w:jc w:val="both"/>
        <w:rPr>
          <w:rFonts w:ascii="Palatino Linotype" w:eastAsia="Palatino Linotype" w:hAnsi="Palatino Linotype" w:cs="Palatino Linotype"/>
          <w:i/>
          <w:iCs/>
        </w:rPr>
      </w:pPr>
      <w:r w:rsidRPr="005C4C61">
        <w:rPr>
          <w:rFonts w:ascii="Palatino Linotype" w:eastAsia="Palatino Linotype" w:hAnsi="Palatino Linotype" w:cs="Palatino Linotype"/>
          <w:i/>
          <w:iCs/>
        </w:rPr>
        <w:t>8) Los mecanismos de vigilancia y supervisión, incluyendo en su caso, los estudios de impacto urbano y ambiental, según corresponda;</w:t>
      </w:r>
    </w:p>
    <w:p w:rsidR="00C2510E" w:rsidRPr="005C4C61" w:rsidRDefault="00C83BDF">
      <w:pPr>
        <w:spacing w:line="360" w:lineRule="auto"/>
        <w:ind w:left="851" w:right="822"/>
        <w:jc w:val="both"/>
        <w:rPr>
          <w:rFonts w:ascii="Palatino Linotype" w:eastAsia="Palatino Linotype" w:hAnsi="Palatino Linotype" w:cs="Palatino Linotype"/>
        </w:rPr>
      </w:pPr>
      <w:r w:rsidRPr="005C4C61">
        <w:rPr>
          <w:rFonts w:ascii="Palatino Linotype" w:eastAsia="Palatino Linotype" w:hAnsi="Palatino Linotype" w:cs="Palatino Linotype"/>
          <w:b/>
          <w:bCs/>
          <w:i/>
          <w:iCs/>
        </w:rPr>
        <w:t>9) </w:t>
      </w:r>
      <w:r w:rsidRPr="005C4C61">
        <w:rPr>
          <w:rFonts w:ascii="Palatino Linotype" w:eastAsia="Palatino Linotype" w:hAnsi="Palatino Linotype" w:cs="Palatino Linotype"/>
          <w:i/>
          <w:iCs/>
        </w:rPr>
        <w:t>La partida presupuestal, de conformidad con el clasificador por objeto del gasto, en el caso de ser aplicable;</w:t>
      </w:r>
    </w:p>
    <w:p w:rsidR="00C2510E" w:rsidRPr="005C4C61" w:rsidRDefault="00C83BDF">
      <w:pPr>
        <w:spacing w:line="360" w:lineRule="auto"/>
        <w:ind w:left="851" w:right="822"/>
        <w:jc w:val="both"/>
        <w:rPr>
          <w:rFonts w:ascii="Palatino Linotype" w:eastAsia="Palatino Linotype" w:hAnsi="Palatino Linotype" w:cs="Palatino Linotype"/>
        </w:rPr>
      </w:pPr>
      <w:r w:rsidRPr="005C4C61">
        <w:rPr>
          <w:rFonts w:ascii="Palatino Linotype" w:eastAsia="Palatino Linotype" w:hAnsi="Palatino Linotype" w:cs="Palatino Linotype"/>
          <w:i/>
          <w:iCs/>
        </w:rPr>
        <w:t>10) Origen de los recursos especificando si son federales, estatales o municipales, así como el tipo de fondo de participación o aportación respectiva;</w:t>
      </w:r>
    </w:p>
    <w:p w:rsidR="00C2510E" w:rsidRPr="005C4C61" w:rsidRDefault="00C83BDF">
      <w:pPr>
        <w:spacing w:line="360" w:lineRule="auto"/>
        <w:ind w:left="851" w:right="822"/>
        <w:jc w:val="both"/>
        <w:rPr>
          <w:rFonts w:ascii="Palatino Linotype" w:eastAsia="Palatino Linotype" w:hAnsi="Palatino Linotype" w:cs="Palatino Linotype"/>
        </w:rPr>
      </w:pPr>
      <w:r w:rsidRPr="005C4C61">
        <w:rPr>
          <w:rFonts w:ascii="Palatino Linotype" w:eastAsia="Palatino Linotype" w:hAnsi="Palatino Linotype" w:cs="Palatino Linotype"/>
          <w:b/>
          <w:bCs/>
          <w:i/>
          <w:iCs/>
        </w:rPr>
        <w:t>11) </w:t>
      </w:r>
      <w:r w:rsidRPr="005C4C61">
        <w:rPr>
          <w:rFonts w:ascii="Palatino Linotype" w:eastAsia="Palatino Linotype" w:hAnsi="Palatino Linotype" w:cs="Palatino Linotype"/>
          <w:i/>
          <w:iCs/>
        </w:rPr>
        <w:t>Los convenios modificatorios que, en su caso, sean firmados, precisando el objeto y la fecha de celebración;</w:t>
      </w:r>
    </w:p>
    <w:p w:rsidR="00C2510E" w:rsidRPr="005C4C61" w:rsidRDefault="00C83BDF">
      <w:pPr>
        <w:spacing w:line="360" w:lineRule="auto"/>
        <w:ind w:left="851" w:right="822"/>
        <w:jc w:val="both"/>
        <w:rPr>
          <w:rFonts w:ascii="Palatino Linotype" w:eastAsia="Palatino Linotype" w:hAnsi="Palatino Linotype" w:cs="Palatino Linotype"/>
        </w:rPr>
      </w:pPr>
      <w:r w:rsidRPr="005C4C61">
        <w:rPr>
          <w:rFonts w:ascii="Palatino Linotype" w:eastAsia="Palatino Linotype" w:hAnsi="Palatino Linotype" w:cs="Palatino Linotype"/>
          <w:b/>
          <w:bCs/>
          <w:i/>
          <w:iCs/>
        </w:rPr>
        <w:t>12) </w:t>
      </w:r>
      <w:r w:rsidRPr="005C4C61">
        <w:rPr>
          <w:rFonts w:ascii="Palatino Linotype" w:eastAsia="Palatino Linotype" w:hAnsi="Palatino Linotype" w:cs="Palatino Linotype"/>
          <w:i/>
          <w:iCs/>
        </w:rPr>
        <w:t>Los informes de avance físico y financiero sobre las obras o servicios contratados;</w:t>
      </w:r>
    </w:p>
    <w:p w:rsidR="00C2510E" w:rsidRPr="005C4C61" w:rsidRDefault="00C83BDF">
      <w:pPr>
        <w:spacing w:line="360" w:lineRule="auto"/>
        <w:ind w:left="851" w:right="822"/>
        <w:jc w:val="both"/>
        <w:rPr>
          <w:rFonts w:ascii="Palatino Linotype" w:eastAsia="Palatino Linotype" w:hAnsi="Palatino Linotype" w:cs="Palatino Linotype"/>
        </w:rPr>
      </w:pPr>
      <w:r w:rsidRPr="005C4C61">
        <w:rPr>
          <w:rFonts w:ascii="Palatino Linotype" w:eastAsia="Palatino Linotype" w:hAnsi="Palatino Linotype" w:cs="Palatino Linotype"/>
          <w:b/>
          <w:bCs/>
          <w:i/>
          <w:iCs/>
        </w:rPr>
        <w:t>13) </w:t>
      </w:r>
      <w:r w:rsidRPr="005C4C61">
        <w:rPr>
          <w:rFonts w:ascii="Palatino Linotype" w:eastAsia="Palatino Linotype" w:hAnsi="Palatino Linotype" w:cs="Palatino Linotype"/>
          <w:i/>
          <w:iCs/>
        </w:rPr>
        <w:t>El convenio de terminación; y</w:t>
      </w:r>
    </w:p>
    <w:p w:rsidR="00C2510E" w:rsidRPr="005C4C61" w:rsidRDefault="00C83BDF">
      <w:pPr>
        <w:spacing w:line="360" w:lineRule="auto"/>
        <w:ind w:left="851" w:right="822"/>
        <w:jc w:val="both"/>
        <w:rPr>
          <w:rFonts w:ascii="Palatino Linotype" w:eastAsia="Palatino Linotype" w:hAnsi="Palatino Linotype" w:cs="Palatino Linotype"/>
        </w:rPr>
      </w:pPr>
      <w:r w:rsidRPr="005C4C61">
        <w:rPr>
          <w:rFonts w:ascii="Palatino Linotype" w:eastAsia="Palatino Linotype" w:hAnsi="Palatino Linotype" w:cs="Palatino Linotype"/>
          <w:b/>
          <w:bCs/>
          <w:i/>
          <w:iCs/>
        </w:rPr>
        <w:t>14) </w:t>
      </w:r>
      <w:r w:rsidRPr="005C4C61">
        <w:rPr>
          <w:rFonts w:ascii="Palatino Linotype" w:eastAsia="Palatino Linotype" w:hAnsi="Palatino Linotype" w:cs="Palatino Linotype"/>
          <w:i/>
          <w:iCs/>
        </w:rPr>
        <w:t>El finiquito.</w:t>
      </w:r>
    </w:p>
    <w:p w:rsidR="00C2510E" w:rsidRPr="005C4C61" w:rsidRDefault="00C83BDF">
      <w:pPr>
        <w:spacing w:line="360" w:lineRule="auto"/>
        <w:ind w:left="851" w:right="822"/>
        <w:jc w:val="both"/>
        <w:rPr>
          <w:rFonts w:ascii="Palatino Linotype" w:eastAsia="Palatino Linotype" w:hAnsi="Palatino Linotype" w:cs="Palatino Linotype"/>
          <w:b/>
          <w:bCs/>
        </w:rPr>
      </w:pPr>
      <w:r w:rsidRPr="005C4C61">
        <w:rPr>
          <w:rFonts w:ascii="Palatino Linotype" w:eastAsia="Palatino Linotype" w:hAnsi="Palatino Linotype" w:cs="Palatino Linotype"/>
          <w:b/>
          <w:bCs/>
          <w:i/>
          <w:iCs/>
        </w:rPr>
        <w:t>b) De las adjudicaciones directas:</w:t>
      </w:r>
    </w:p>
    <w:p w:rsidR="00C2510E" w:rsidRPr="005C4C61" w:rsidRDefault="00C83BDF">
      <w:pPr>
        <w:spacing w:line="360" w:lineRule="auto"/>
        <w:ind w:left="851" w:right="822"/>
        <w:jc w:val="both"/>
        <w:rPr>
          <w:rFonts w:ascii="Palatino Linotype" w:eastAsia="Palatino Linotype" w:hAnsi="Palatino Linotype" w:cs="Palatino Linotype"/>
        </w:rPr>
      </w:pPr>
      <w:r w:rsidRPr="005C4C61">
        <w:rPr>
          <w:rFonts w:ascii="Palatino Linotype" w:eastAsia="Palatino Linotype" w:hAnsi="Palatino Linotype" w:cs="Palatino Linotype"/>
          <w:b/>
          <w:bCs/>
          <w:i/>
          <w:iCs/>
        </w:rPr>
        <w:t>1) </w:t>
      </w:r>
      <w:r w:rsidRPr="005C4C61">
        <w:rPr>
          <w:rFonts w:ascii="Palatino Linotype" w:eastAsia="Palatino Linotype" w:hAnsi="Palatino Linotype" w:cs="Palatino Linotype"/>
          <w:i/>
          <w:iCs/>
        </w:rPr>
        <w:t>La propuesta enviada por el participante;</w:t>
      </w:r>
    </w:p>
    <w:p w:rsidR="00C2510E" w:rsidRPr="005C4C61" w:rsidRDefault="00C83BDF">
      <w:pPr>
        <w:spacing w:line="360" w:lineRule="auto"/>
        <w:ind w:left="851" w:right="822"/>
        <w:jc w:val="both"/>
        <w:rPr>
          <w:rFonts w:ascii="Palatino Linotype" w:eastAsia="Palatino Linotype" w:hAnsi="Palatino Linotype" w:cs="Palatino Linotype"/>
        </w:rPr>
      </w:pPr>
      <w:r w:rsidRPr="005C4C61">
        <w:rPr>
          <w:rFonts w:ascii="Palatino Linotype" w:eastAsia="Palatino Linotype" w:hAnsi="Palatino Linotype" w:cs="Palatino Linotype"/>
          <w:b/>
          <w:bCs/>
          <w:i/>
          <w:iCs/>
        </w:rPr>
        <w:t>2) </w:t>
      </w:r>
      <w:r w:rsidRPr="005C4C61">
        <w:rPr>
          <w:rFonts w:ascii="Palatino Linotype" w:eastAsia="Palatino Linotype" w:hAnsi="Palatino Linotype" w:cs="Palatino Linotype"/>
          <w:i/>
          <w:iCs/>
        </w:rPr>
        <w:t>Los motivos y fundamentos legales aplicados para llevarla a cabo;</w:t>
      </w:r>
    </w:p>
    <w:p w:rsidR="00C2510E" w:rsidRPr="005C4C61" w:rsidRDefault="00C83BDF">
      <w:pPr>
        <w:spacing w:line="360" w:lineRule="auto"/>
        <w:ind w:left="851" w:right="822"/>
        <w:jc w:val="both"/>
        <w:rPr>
          <w:rFonts w:ascii="Palatino Linotype" w:eastAsia="Palatino Linotype" w:hAnsi="Palatino Linotype" w:cs="Palatino Linotype"/>
        </w:rPr>
      </w:pPr>
      <w:r w:rsidRPr="005C4C61">
        <w:rPr>
          <w:rFonts w:ascii="Palatino Linotype" w:eastAsia="Palatino Linotype" w:hAnsi="Palatino Linotype" w:cs="Palatino Linotype"/>
          <w:b/>
          <w:bCs/>
          <w:i/>
          <w:iCs/>
        </w:rPr>
        <w:t>3) </w:t>
      </w:r>
      <w:r w:rsidRPr="005C4C61">
        <w:rPr>
          <w:rFonts w:ascii="Palatino Linotype" w:eastAsia="Palatino Linotype" w:hAnsi="Palatino Linotype" w:cs="Palatino Linotype"/>
          <w:i/>
          <w:iCs/>
        </w:rPr>
        <w:t>La autorización del ejercicio de la opción;</w:t>
      </w:r>
    </w:p>
    <w:p w:rsidR="00C2510E" w:rsidRPr="005C4C61" w:rsidRDefault="00C83BDF">
      <w:pPr>
        <w:spacing w:line="360" w:lineRule="auto"/>
        <w:ind w:left="851" w:right="822"/>
        <w:jc w:val="both"/>
        <w:rPr>
          <w:rFonts w:ascii="Palatino Linotype" w:eastAsia="Palatino Linotype" w:hAnsi="Palatino Linotype" w:cs="Palatino Linotype"/>
        </w:rPr>
      </w:pPr>
      <w:r w:rsidRPr="005C4C61">
        <w:rPr>
          <w:rFonts w:ascii="Palatino Linotype" w:eastAsia="Palatino Linotype" w:hAnsi="Palatino Linotype" w:cs="Palatino Linotype"/>
          <w:i/>
          <w:iCs/>
        </w:rPr>
        <w:t>4) En su caso, las cotizaciones consideradas, especificando los nombres de los proveedores y sus montos;</w:t>
      </w:r>
    </w:p>
    <w:p w:rsidR="00C2510E" w:rsidRPr="005C4C61" w:rsidRDefault="00C83BDF">
      <w:pPr>
        <w:spacing w:line="360" w:lineRule="auto"/>
        <w:ind w:left="851" w:right="822"/>
        <w:jc w:val="both"/>
        <w:rPr>
          <w:rFonts w:ascii="Palatino Linotype" w:eastAsia="Palatino Linotype" w:hAnsi="Palatino Linotype" w:cs="Palatino Linotype"/>
        </w:rPr>
      </w:pPr>
      <w:r w:rsidRPr="005C4C61">
        <w:rPr>
          <w:rFonts w:ascii="Palatino Linotype" w:eastAsia="Palatino Linotype" w:hAnsi="Palatino Linotype" w:cs="Palatino Linotype"/>
          <w:b/>
          <w:bCs/>
          <w:i/>
          <w:iCs/>
        </w:rPr>
        <w:t>5) </w:t>
      </w:r>
      <w:r w:rsidRPr="005C4C61">
        <w:rPr>
          <w:rFonts w:ascii="Palatino Linotype" w:eastAsia="Palatino Linotype" w:hAnsi="Palatino Linotype" w:cs="Palatino Linotype"/>
          <w:i/>
          <w:iCs/>
        </w:rPr>
        <w:t>El nombre de la persona física o jurídica colectiva adjudicada;</w:t>
      </w:r>
    </w:p>
    <w:p w:rsidR="00C2510E" w:rsidRPr="005C4C61" w:rsidRDefault="00C83BDF">
      <w:pPr>
        <w:spacing w:line="360" w:lineRule="auto"/>
        <w:ind w:left="851" w:right="822"/>
        <w:jc w:val="both"/>
        <w:rPr>
          <w:rFonts w:ascii="Palatino Linotype" w:eastAsia="Palatino Linotype" w:hAnsi="Palatino Linotype" w:cs="Palatino Linotype"/>
        </w:rPr>
      </w:pPr>
      <w:r w:rsidRPr="005C4C61">
        <w:rPr>
          <w:rFonts w:ascii="Palatino Linotype" w:eastAsia="Palatino Linotype" w:hAnsi="Palatino Linotype" w:cs="Palatino Linotype"/>
          <w:b/>
          <w:bCs/>
          <w:i/>
          <w:iCs/>
        </w:rPr>
        <w:lastRenderedPageBreak/>
        <w:t>6) </w:t>
      </w:r>
      <w:r w:rsidRPr="005C4C61">
        <w:rPr>
          <w:rFonts w:ascii="Palatino Linotype" w:eastAsia="Palatino Linotype" w:hAnsi="Palatino Linotype" w:cs="Palatino Linotype"/>
          <w:i/>
          <w:iCs/>
        </w:rPr>
        <w:t>La unidad administrativa solicitante y la responsable de su ejecución;</w:t>
      </w:r>
    </w:p>
    <w:p w:rsidR="00C2510E" w:rsidRPr="005C4C61" w:rsidRDefault="00C83BDF">
      <w:pPr>
        <w:spacing w:line="360" w:lineRule="auto"/>
        <w:ind w:left="851" w:right="822"/>
        <w:jc w:val="both"/>
        <w:rPr>
          <w:rFonts w:ascii="Palatino Linotype" w:eastAsia="Palatino Linotype" w:hAnsi="Palatino Linotype" w:cs="Palatino Linotype"/>
        </w:rPr>
      </w:pPr>
      <w:r w:rsidRPr="005C4C61">
        <w:rPr>
          <w:rFonts w:ascii="Palatino Linotype" w:eastAsia="Palatino Linotype" w:hAnsi="Palatino Linotype" w:cs="Palatino Linotype"/>
          <w:b/>
          <w:bCs/>
          <w:i/>
          <w:iCs/>
        </w:rPr>
        <w:t>7)</w:t>
      </w:r>
      <w:r w:rsidRPr="005C4C61">
        <w:rPr>
          <w:rFonts w:ascii="Palatino Linotype" w:eastAsia="Palatino Linotype" w:hAnsi="Palatino Linotype" w:cs="Palatino Linotype"/>
          <w:i/>
          <w:iCs/>
        </w:rPr>
        <w:t> El número, fecha, el monto del contrato y el plazo de entrega o de ejecución de los servicios u obra;</w:t>
      </w:r>
    </w:p>
    <w:p w:rsidR="00C2510E" w:rsidRPr="005C4C61" w:rsidRDefault="00C83BDF">
      <w:pPr>
        <w:spacing w:line="360" w:lineRule="auto"/>
        <w:ind w:left="851" w:right="822"/>
        <w:jc w:val="both"/>
        <w:rPr>
          <w:rFonts w:ascii="Palatino Linotype" w:eastAsia="Palatino Linotype" w:hAnsi="Palatino Linotype" w:cs="Palatino Linotype"/>
        </w:rPr>
      </w:pPr>
      <w:r w:rsidRPr="005C4C61">
        <w:rPr>
          <w:rFonts w:ascii="Palatino Linotype" w:eastAsia="Palatino Linotype" w:hAnsi="Palatino Linotype" w:cs="Palatino Linotype"/>
          <w:b/>
          <w:bCs/>
          <w:i/>
          <w:iCs/>
        </w:rPr>
        <w:t>8) </w:t>
      </w:r>
      <w:r w:rsidRPr="005C4C61">
        <w:rPr>
          <w:rFonts w:ascii="Palatino Linotype" w:eastAsia="Palatino Linotype" w:hAnsi="Palatino Linotype" w:cs="Palatino Linotype"/>
          <w:i/>
          <w:iCs/>
        </w:rPr>
        <w:t>Los mecanismos de vigilancia y supervisión, incluyendo, en su caso, los estudios de impacto urbano y ambiental, según corresponda;</w:t>
      </w:r>
    </w:p>
    <w:p w:rsidR="00C2510E" w:rsidRPr="005C4C61" w:rsidRDefault="00C83BDF">
      <w:pPr>
        <w:spacing w:line="360" w:lineRule="auto"/>
        <w:ind w:left="851" w:right="822"/>
        <w:jc w:val="both"/>
        <w:rPr>
          <w:rFonts w:ascii="Palatino Linotype" w:eastAsia="Palatino Linotype" w:hAnsi="Palatino Linotype" w:cs="Palatino Linotype"/>
        </w:rPr>
      </w:pPr>
      <w:r w:rsidRPr="005C4C61">
        <w:rPr>
          <w:rFonts w:ascii="Palatino Linotype" w:eastAsia="Palatino Linotype" w:hAnsi="Palatino Linotype" w:cs="Palatino Linotype"/>
          <w:b/>
          <w:bCs/>
          <w:i/>
          <w:iCs/>
        </w:rPr>
        <w:t>9) </w:t>
      </w:r>
      <w:r w:rsidRPr="005C4C61">
        <w:rPr>
          <w:rFonts w:ascii="Palatino Linotype" w:eastAsia="Palatino Linotype" w:hAnsi="Palatino Linotype" w:cs="Palatino Linotype"/>
          <w:i/>
          <w:iCs/>
        </w:rPr>
        <w:t>Los informes de avance sobre las obras o servicios contratados;</w:t>
      </w:r>
    </w:p>
    <w:p w:rsidR="00C2510E" w:rsidRPr="005C4C61" w:rsidRDefault="00C83BDF">
      <w:pPr>
        <w:spacing w:line="360" w:lineRule="auto"/>
        <w:ind w:left="851" w:right="822"/>
        <w:jc w:val="both"/>
        <w:rPr>
          <w:rFonts w:ascii="Palatino Linotype" w:eastAsia="Palatino Linotype" w:hAnsi="Palatino Linotype" w:cs="Palatino Linotype"/>
        </w:rPr>
      </w:pPr>
      <w:r w:rsidRPr="005C4C61">
        <w:rPr>
          <w:rFonts w:ascii="Palatino Linotype" w:eastAsia="Palatino Linotype" w:hAnsi="Palatino Linotype" w:cs="Palatino Linotype"/>
          <w:b/>
          <w:bCs/>
          <w:i/>
          <w:iCs/>
        </w:rPr>
        <w:t>10) </w:t>
      </w:r>
      <w:r w:rsidRPr="005C4C61">
        <w:rPr>
          <w:rFonts w:ascii="Palatino Linotype" w:eastAsia="Palatino Linotype" w:hAnsi="Palatino Linotype" w:cs="Palatino Linotype"/>
          <w:i/>
          <w:iCs/>
        </w:rPr>
        <w:t>El convenio de terminación; y</w:t>
      </w:r>
    </w:p>
    <w:p w:rsidR="00C2510E" w:rsidRPr="005C4C61" w:rsidRDefault="00C83BDF">
      <w:pPr>
        <w:spacing w:line="360" w:lineRule="auto"/>
        <w:ind w:left="851" w:right="822"/>
        <w:jc w:val="both"/>
        <w:rPr>
          <w:rFonts w:ascii="Palatino Linotype" w:eastAsia="Palatino Linotype" w:hAnsi="Palatino Linotype" w:cs="Palatino Linotype"/>
          <w:b/>
          <w:bCs/>
          <w:i/>
          <w:iCs/>
        </w:rPr>
      </w:pPr>
      <w:r w:rsidRPr="005C4C61">
        <w:rPr>
          <w:rFonts w:ascii="Palatino Linotype" w:eastAsia="Palatino Linotype" w:hAnsi="Palatino Linotype" w:cs="Palatino Linotype"/>
          <w:b/>
          <w:bCs/>
          <w:i/>
          <w:iCs/>
        </w:rPr>
        <w:t>11) </w:t>
      </w:r>
      <w:r w:rsidRPr="005C4C61">
        <w:rPr>
          <w:rFonts w:ascii="Palatino Linotype" w:eastAsia="Palatino Linotype" w:hAnsi="Palatino Linotype" w:cs="Palatino Linotype"/>
          <w:i/>
          <w:iCs/>
        </w:rPr>
        <w:t>El finiquito.</w:t>
      </w:r>
      <w:r w:rsidRPr="005C4C61">
        <w:rPr>
          <w:rFonts w:ascii="Palatino Linotype" w:eastAsia="Palatino Linotype" w:hAnsi="Palatino Linotype" w:cs="Palatino Linotype"/>
          <w:b/>
          <w:bCs/>
          <w:i/>
          <w:iCs/>
        </w:rPr>
        <w:t>”</w:t>
      </w:r>
    </w:p>
    <w:p w:rsidR="00C2510E" w:rsidRPr="005C4C61" w:rsidRDefault="00C2510E">
      <w:pPr>
        <w:spacing w:line="360" w:lineRule="auto"/>
        <w:ind w:left="851" w:right="850"/>
        <w:jc w:val="both"/>
        <w:rPr>
          <w:rFonts w:ascii="Palatino Linotype" w:eastAsia="Palatino Linotype" w:hAnsi="Palatino Linotype" w:cs="Palatino Linotype"/>
        </w:rPr>
      </w:pP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color w:val="000000"/>
        </w:rPr>
      </w:pPr>
      <w:r w:rsidRPr="005C4C61">
        <w:rPr>
          <w:rFonts w:ascii="Palatino Linotype" w:eastAsia="Palatino Linotype" w:hAnsi="Palatino Linotype" w:cs="Palatino Linotype"/>
          <w:color w:val="000000"/>
        </w:rPr>
        <w:t>En consecuencia, se determina que ciertamente existe fuente obligacional para celebrar contratos relacionados con la adquisición de bienes y servicios, a través de procedimientos de licitación, invitación restringida o adjudicación directa, en todos los casos, existe la obligación de hacer pública la información relacionada con las mismas, de acuerdo al artículo 92 de la Ley de Transparencia Local, ya que existe un interés colectivo de conocer el uso y destino de los recursos públicos.</w:t>
      </w:r>
    </w:p>
    <w:p w:rsidR="00C2510E" w:rsidRPr="005C4C61" w:rsidRDefault="00C2510E">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color w:val="000000"/>
        </w:rPr>
      </w:pPr>
      <w:r w:rsidRPr="005C4C61">
        <w:rPr>
          <w:rFonts w:ascii="Palatino Linotype" w:eastAsia="Palatino Linotype" w:hAnsi="Palatino Linotype" w:cs="Palatino Linotype"/>
          <w:color w:val="000000"/>
        </w:rPr>
        <w:t>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dentro de la versión pública del expediente respectivo toda la información relativa a dichos procedimientos, desde la convocatoria hasta el fallo de adjudicación, contratos y demás información, conforme a lo dispuesto en la normatividad en la materia.</w:t>
      </w: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rPr>
      </w:pPr>
      <w:r w:rsidRPr="005C4C61">
        <w:rPr>
          <w:rFonts w:ascii="Palatino Linotype" w:eastAsia="Palatino Linotype" w:hAnsi="Palatino Linotype" w:cs="Palatino Linotype"/>
        </w:rPr>
        <w:lastRenderedPageBreak/>
        <w:t>En esa tesitura el Manual General de Organización de la Universidad Estatal del Valle de Toluca, establece al Departamento De Recursos Materiales Y Financieros, las siguientes funciones y atribuciones:</w:t>
      </w:r>
    </w:p>
    <w:p w:rsidR="00C2510E" w:rsidRPr="005C4C61" w:rsidRDefault="00C83BDF">
      <w:pPr>
        <w:ind w:left="567" w:right="567"/>
        <w:rPr>
          <w:rFonts w:ascii="Palatino Linotype" w:eastAsia="Palatino Linotype" w:hAnsi="Palatino Linotype" w:cs="Palatino Linotype"/>
          <w:b/>
          <w:bCs/>
          <w:i/>
          <w:iCs/>
        </w:rPr>
      </w:pPr>
      <w:r w:rsidRPr="005C4C61">
        <w:rPr>
          <w:rFonts w:ascii="Palatino Linotype" w:eastAsia="Palatino Linotype" w:hAnsi="Palatino Linotype" w:cs="Palatino Linotype"/>
          <w:b/>
          <w:bCs/>
          <w:i/>
          <w:iCs/>
        </w:rPr>
        <w:t>“210C3101060001L DEPARTAMENTO DE RECURSOS MATERIALES Y FINANCIEROS</w:t>
      </w:r>
    </w:p>
    <w:p w:rsidR="00C2510E" w:rsidRPr="005C4C61" w:rsidRDefault="00C83BDF">
      <w:pPr>
        <w:ind w:left="567" w:right="567"/>
        <w:rPr>
          <w:rFonts w:ascii="Palatino Linotype" w:eastAsia="Palatino Linotype" w:hAnsi="Palatino Linotype" w:cs="Palatino Linotype"/>
          <w:b/>
          <w:bCs/>
          <w:i/>
          <w:iCs/>
        </w:rPr>
      </w:pPr>
      <w:r w:rsidRPr="005C4C61">
        <w:rPr>
          <w:rFonts w:ascii="Palatino Linotype" w:eastAsia="Palatino Linotype" w:hAnsi="Palatino Linotype" w:cs="Palatino Linotype"/>
          <w:b/>
          <w:bCs/>
          <w:i/>
          <w:iCs/>
        </w:rPr>
        <w:t>OBJETIVO:</w:t>
      </w:r>
    </w:p>
    <w:p w:rsidR="00C2510E" w:rsidRPr="005C4C61" w:rsidRDefault="00C83BDF">
      <w:pPr>
        <w:ind w:left="567" w:right="567"/>
        <w:rPr>
          <w:rFonts w:ascii="Palatino Linotype" w:eastAsia="Palatino Linotype" w:hAnsi="Palatino Linotype" w:cs="Palatino Linotype"/>
          <w:i/>
          <w:iCs/>
        </w:rPr>
      </w:pPr>
      <w:r w:rsidRPr="005C4C61">
        <w:rPr>
          <w:rFonts w:ascii="Palatino Linotype" w:eastAsia="Palatino Linotype" w:hAnsi="Palatino Linotype" w:cs="Palatino Linotype"/>
          <w:i/>
          <w:iCs/>
        </w:rPr>
        <w:t>Gestionar, adquirir, almacenar, suministrar y controlar los enseres, bienes, artículos y servicios, así como establecer los sistemas de control de inventario de bienes muebles e inmuebles y prestar los servicios generales requeridos por las unidades administrativas adscritas a la Universidad, para el logro de los objetivos establecidos.</w:t>
      </w:r>
    </w:p>
    <w:p w:rsidR="00C2510E" w:rsidRPr="005C4C61" w:rsidRDefault="00C83BDF">
      <w:pPr>
        <w:ind w:left="567" w:right="567"/>
        <w:rPr>
          <w:rFonts w:ascii="Palatino Linotype" w:eastAsia="Palatino Linotype" w:hAnsi="Palatino Linotype" w:cs="Palatino Linotype"/>
          <w:b/>
          <w:bCs/>
          <w:i/>
          <w:iCs/>
        </w:rPr>
      </w:pPr>
      <w:r w:rsidRPr="005C4C61">
        <w:rPr>
          <w:rFonts w:ascii="Palatino Linotype" w:eastAsia="Palatino Linotype" w:hAnsi="Palatino Linotype" w:cs="Palatino Linotype"/>
          <w:b/>
          <w:bCs/>
          <w:i/>
          <w:iCs/>
        </w:rPr>
        <w:t>FUNCIONES:</w:t>
      </w:r>
    </w:p>
    <w:p w:rsidR="00C2510E" w:rsidRPr="005C4C61" w:rsidRDefault="00C83BDF">
      <w:pPr>
        <w:ind w:left="567" w:right="567"/>
        <w:rPr>
          <w:rFonts w:ascii="Palatino Linotype" w:eastAsia="Palatino Linotype" w:hAnsi="Palatino Linotype" w:cs="Palatino Linotype"/>
          <w:i/>
          <w:iCs/>
        </w:rPr>
      </w:pPr>
      <w:r w:rsidRPr="005C4C61">
        <w:rPr>
          <w:rFonts w:ascii="Palatino Linotype" w:eastAsia="Palatino Linotype" w:hAnsi="Palatino Linotype" w:cs="Palatino Linotype"/>
          <w:i/>
          <w:iCs/>
        </w:rPr>
        <w:t>− Integrar el Programa Anual de Adquisiciones, Arrendamientos y Servicios conforme a los requerimientos de las unidades administrativas adscritas a la Universidad, con apego a la normatividad en la materia.</w:t>
      </w:r>
    </w:p>
    <w:p w:rsidR="00C2510E" w:rsidRPr="005C4C61" w:rsidRDefault="00C83BDF">
      <w:pPr>
        <w:ind w:left="567" w:right="567"/>
        <w:rPr>
          <w:rFonts w:ascii="Palatino Linotype" w:eastAsia="Palatino Linotype" w:hAnsi="Palatino Linotype" w:cs="Palatino Linotype"/>
          <w:i/>
          <w:iCs/>
        </w:rPr>
      </w:pPr>
      <w:r w:rsidRPr="005C4C61">
        <w:rPr>
          <w:rFonts w:ascii="Palatino Linotype" w:eastAsia="Palatino Linotype" w:hAnsi="Palatino Linotype" w:cs="Palatino Linotype"/>
          <w:i/>
          <w:iCs/>
        </w:rPr>
        <w:t xml:space="preserve">− </w:t>
      </w:r>
      <w:r w:rsidRPr="005C4C61">
        <w:rPr>
          <w:rFonts w:ascii="Palatino Linotype" w:eastAsia="Palatino Linotype" w:hAnsi="Palatino Linotype" w:cs="Palatino Linotype"/>
          <w:b/>
          <w:bCs/>
          <w:i/>
          <w:iCs/>
        </w:rPr>
        <w:t>Integrar y ejecutar los procedimientos de adjudicación directa, invitación a cuando menos tres personas, invitación restringida o licitación pública para la adquisición de los insumos, bienes muebles, materiales y equipo que requieran las unidades administrativas de la Universidad para el desarrollo de sus funciones de acuerdo con las disposiciones señaladas por la normatividad establecida</w:t>
      </w:r>
      <w:r w:rsidRPr="005C4C61">
        <w:rPr>
          <w:rFonts w:ascii="Palatino Linotype" w:eastAsia="Palatino Linotype" w:hAnsi="Palatino Linotype" w:cs="Palatino Linotype"/>
          <w:i/>
          <w:iCs/>
        </w:rPr>
        <w:t>.</w:t>
      </w:r>
    </w:p>
    <w:p w:rsidR="00C2510E" w:rsidRPr="005C4C61" w:rsidRDefault="00C83BDF">
      <w:pPr>
        <w:ind w:left="567" w:right="567"/>
        <w:rPr>
          <w:rFonts w:ascii="Palatino Linotype" w:eastAsia="Palatino Linotype" w:hAnsi="Palatino Linotype" w:cs="Palatino Linotype"/>
          <w:i/>
          <w:iCs/>
        </w:rPr>
      </w:pPr>
      <w:r w:rsidRPr="005C4C61">
        <w:rPr>
          <w:rFonts w:ascii="Palatino Linotype" w:eastAsia="Palatino Linotype" w:hAnsi="Palatino Linotype" w:cs="Palatino Linotype"/>
          <w:i/>
          <w:iCs/>
        </w:rPr>
        <w:t>− Cotizar los requerimientos de adquisición de bienes y contratación de servicios, o en su caso de obra pública y servicios relacionados con las mismas; así como ejecutar las adjudicaciones que deriven de la autorización de los cuadros comparativos, de conformidad con las disposiciones señaladas por la normatividad establecida.</w:t>
      </w:r>
    </w:p>
    <w:p w:rsidR="00C2510E" w:rsidRPr="005C4C61" w:rsidRDefault="00C83BDF">
      <w:pPr>
        <w:ind w:left="567" w:right="567"/>
        <w:rPr>
          <w:rFonts w:ascii="Palatino Linotype" w:eastAsia="Palatino Linotype" w:hAnsi="Palatino Linotype" w:cs="Palatino Linotype"/>
        </w:rPr>
      </w:pPr>
      <w:r w:rsidRPr="005C4C61">
        <w:rPr>
          <w:rFonts w:ascii="Palatino Linotype" w:eastAsia="Palatino Linotype" w:hAnsi="Palatino Linotype" w:cs="Palatino Linotype"/>
          <w:i/>
          <w:iCs/>
        </w:rPr>
        <w:t xml:space="preserve">(…)” </w:t>
      </w:r>
      <w:r w:rsidRPr="005C4C61">
        <w:rPr>
          <w:rFonts w:ascii="Palatino Linotype" w:eastAsia="Palatino Linotype" w:hAnsi="Palatino Linotype" w:cs="Palatino Linotype"/>
        </w:rPr>
        <w:t>Énfasis propio</w:t>
      </w:r>
    </w:p>
    <w:p w:rsidR="00C2510E" w:rsidRPr="005C4C61" w:rsidRDefault="00C2510E">
      <w:pPr>
        <w:spacing w:line="360" w:lineRule="auto"/>
        <w:jc w:val="both"/>
        <w:rPr>
          <w:rFonts w:ascii="Palatino Linotype" w:eastAsia="Palatino Linotype" w:hAnsi="Palatino Linotype" w:cs="Palatino Linotype"/>
        </w:rPr>
      </w:pPr>
    </w:p>
    <w:p w:rsidR="00C2510E" w:rsidRPr="005C4C61" w:rsidRDefault="00C2510E">
      <w:pPr>
        <w:pBdr>
          <w:top w:val="nil"/>
          <w:left w:val="nil"/>
          <w:bottom w:val="nil"/>
          <w:right w:val="nil"/>
          <w:between w:val="nil"/>
        </w:pBdr>
        <w:ind w:left="720"/>
        <w:rPr>
          <w:rFonts w:ascii="Palatino Linotype" w:eastAsia="Palatino Linotype" w:hAnsi="Palatino Linotype" w:cs="Palatino Linotype"/>
          <w:color w:val="000000"/>
        </w:rPr>
      </w:pPr>
    </w:p>
    <w:p w:rsidR="00C83BDF" w:rsidRPr="005C4C61" w:rsidRDefault="00C83BDF">
      <w:pPr>
        <w:numPr>
          <w:ilvl w:val="0"/>
          <w:numId w:val="1"/>
        </w:numPr>
        <w:spacing w:line="360" w:lineRule="auto"/>
        <w:ind w:left="0" w:firstLine="0"/>
        <w:jc w:val="both"/>
        <w:rPr>
          <w:rFonts w:ascii="Palatino Linotype" w:eastAsia="Palatino Linotype" w:hAnsi="Palatino Linotype" w:cs="Palatino Linotype"/>
        </w:rPr>
      </w:pPr>
      <w:r w:rsidRPr="005C4C61">
        <w:rPr>
          <w:rFonts w:ascii="Palatino Linotype" w:eastAsia="Palatino Linotype" w:hAnsi="Palatino Linotype" w:cs="Palatino Linotype"/>
        </w:rPr>
        <w:t xml:space="preserve">Luego entonces el </w:t>
      </w:r>
      <w:r w:rsidRPr="005C4C61">
        <w:rPr>
          <w:rFonts w:ascii="Palatino Linotype" w:eastAsia="Palatino Linotype" w:hAnsi="Palatino Linotype" w:cs="Palatino Linotype"/>
          <w:b/>
          <w:bCs/>
        </w:rPr>
        <w:t>SUJETO OBLIGADO</w:t>
      </w:r>
      <w:r w:rsidRPr="005C4C61">
        <w:rPr>
          <w:rFonts w:ascii="Palatino Linotype" w:eastAsia="Palatino Linotype" w:hAnsi="Palatino Linotype" w:cs="Palatino Linotype"/>
        </w:rPr>
        <w:t xml:space="preserve"> deberá realizar la búsqueda de la información en las áreas competentes que de acuerdo a sus funciones generen, posean o administren lo solicitado y que de manera enunciativa más no limitativa es la ya señalada. </w:t>
      </w:r>
    </w:p>
    <w:p w:rsidR="00C83BDF" w:rsidRPr="005C4C61" w:rsidRDefault="00C83BDF" w:rsidP="00C83BDF">
      <w:pPr>
        <w:spacing w:line="360" w:lineRule="auto"/>
        <w:jc w:val="both"/>
        <w:rPr>
          <w:rFonts w:ascii="Palatino Linotype" w:eastAsia="Palatino Linotype" w:hAnsi="Palatino Linotype" w:cs="Palatino Linotype"/>
        </w:rPr>
      </w:pPr>
    </w:p>
    <w:p w:rsidR="00C83BDF" w:rsidRPr="005C4C61" w:rsidRDefault="00C83BDF" w:rsidP="00C83BDF">
      <w:pPr>
        <w:numPr>
          <w:ilvl w:val="0"/>
          <w:numId w:val="1"/>
        </w:numPr>
        <w:spacing w:line="360" w:lineRule="auto"/>
        <w:ind w:left="0" w:firstLine="0"/>
        <w:jc w:val="both"/>
        <w:rPr>
          <w:rFonts w:ascii="Palatino Linotype" w:eastAsia="Palatino Linotype" w:hAnsi="Palatino Linotype" w:cs="Palatino Linotype"/>
        </w:rPr>
      </w:pPr>
      <w:r w:rsidRPr="005C4C61">
        <w:rPr>
          <w:rFonts w:ascii="Palatino Linotype" w:eastAsia="Palatino Linotype" w:hAnsi="Palatino Linotype" w:cs="Palatino Linotype"/>
        </w:rPr>
        <w:lastRenderedPageBreak/>
        <w:t xml:space="preserve">Asimismo, no pasa desapercibido que si existió un pronunciamiento respecto de la existencia de la información, en el archivo de nominado </w:t>
      </w:r>
      <w:r w:rsidRPr="005C4C61">
        <w:rPr>
          <w:rFonts w:ascii="Palatino Linotype" w:eastAsia="Palatino Linotype" w:hAnsi="Palatino Linotype" w:cs="Palatino Linotype"/>
          <w:b/>
          <w:i/>
        </w:rPr>
        <w:t>RES-UNEVT-SE-24_03-2025.pdf</w:t>
      </w:r>
      <w:r w:rsidRPr="005C4C61">
        <w:rPr>
          <w:rFonts w:ascii="Palatino Linotype" w:eastAsia="Palatino Linotype" w:hAnsi="Palatino Linotype" w:cs="Palatino Linotype"/>
        </w:rPr>
        <w:t xml:space="preserve">, cuyo contenido corresponde a un Acuerdo mediante el cual se pretende clasificar la información; del cual </w:t>
      </w:r>
      <w:r w:rsidRPr="005C4C61">
        <w:rPr>
          <w:rFonts w:ascii="Palatino Linotype" w:eastAsia="Palatino Linotype" w:hAnsi="Palatino Linotype" w:cs="Palatino Linotype"/>
          <w:u w:val="single"/>
        </w:rPr>
        <w:t>se omite un análisis pormenorizado respecto de la procedencia de la misma</w:t>
      </w:r>
      <w:r w:rsidRPr="005C4C61">
        <w:rPr>
          <w:rFonts w:ascii="Palatino Linotype" w:eastAsia="Palatino Linotype" w:hAnsi="Palatino Linotype" w:cs="Palatino Linotype"/>
        </w:rPr>
        <w:t>, o de si se colman o no los requisitos para la procedencia de la clasificación, en razón de que resulta innecesario por tratarse de información pública de oficio, conforme al análisis previo.</w:t>
      </w:r>
    </w:p>
    <w:p w:rsidR="00C83BDF" w:rsidRPr="005C4C61" w:rsidRDefault="00C83BDF" w:rsidP="00C83BDF">
      <w:pPr>
        <w:pStyle w:val="Prrafodelista"/>
        <w:rPr>
          <w:rFonts w:ascii="Palatino Linotype" w:eastAsia="Palatino Linotype" w:hAnsi="Palatino Linotype" w:cs="Palatino Linotype"/>
        </w:rPr>
      </w:pPr>
    </w:p>
    <w:p w:rsidR="00C83BDF" w:rsidRPr="005C4C61" w:rsidRDefault="00557B3C" w:rsidP="00557B3C">
      <w:pPr>
        <w:numPr>
          <w:ilvl w:val="0"/>
          <w:numId w:val="1"/>
        </w:numPr>
        <w:spacing w:line="360" w:lineRule="auto"/>
        <w:ind w:left="0" w:firstLine="0"/>
        <w:jc w:val="both"/>
        <w:rPr>
          <w:rFonts w:ascii="Palatino Linotype" w:eastAsia="Palatino Linotype" w:hAnsi="Palatino Linotype" w:cs="Palatino Linotype"/>
        </w:rPr>
      </w:pPr>
      <w:r w:rsidRPr="005C4C61">
        <w:rPr>
          <w:rFonts w:ascii="Palatino Linotype" w:eastAsia="Palatino Linotype" w:hAnsi="Palatino Linotype" w:cs="Palatino Linotype"/>
        </w:rPr>
        <w:t xml:space="preserve">Lo anterior resulta así, en virtud que </w:t>
      </w:r>
      <w:r w:rsidR="00C83BDF" w:rsidRPr="005C4C61">
        <w:rPr>
          <w:rFonts w:ascii="Palatino Linotype" w:eastAsia="Palatino Linotype" w:hAnsi="Palatino Linotype" w:cs="Palatino Linotype"/>
          <w:u w:val="single"/>
        </w:rPr>
        <w:t xml:space="preserve">si la propia ley ya determinó que debe </w:t>
      </w:r>
      <w:r w:rsidRPr="005C4C61">
        <w:rPr>
          <w:rFonts w:ascii="Palatino Linotype" w:eastAsia="Palatino Linotype" w:hAnsi="Palatino Linotype" w:cs="Palatino Linotype"/>
          <w:u w:val="single"/>
        </w:rPr>
        <w:t>ser pública por mandato expreso, i</w:t>
      </w:r>
      <w:r w:rsidR="00C83BDF" w:rsidRPr="005C4C61">
        <w:rPr>
          <w:rFonts w:ascii="Palatino Linotype" w:eastAsia="Palatino Linotype" w:hAnsi="Palatino Linotype" w:cs="Palatino Linotype"/>
          <w:u w:val="single"/>
        </w:rPr>
        <w:t>ntentar clasificarla como reservada sería una contradicción legal y un acto de opacidad que vulneraría los derechos de los ciudadanos</w:t>
      </w:r>
      <w:r w:rsidRPr="005C4C61">
        <w:rPr>
          <w:rFonts w:ascii="Palatino Linotype" w:eastAsia="Palatino Linotype" w:hAnsi="Palatino Linotype" w:cs="Palatino Linotype"/>
          <w:u w:val="single"/>
        </w:rPr>
        <w:t>, porque son conceptos jurídicamente opuestos dentro de la propia ley de la materia</w:t>
      </w:r>
      <w:r w:rsidRPr="005C4C61">
        <w:rPr>
          <w:rFonts w:ascii="Palatino Linotype" w:eastAsia="Palatino Linotype" w:hAnsi="Palatino Linotype" w:cs="Palatino Linotype"/>
        </w:rPr>
        <w:t>.</w:t>
      </w:r>
    </w:p>
    <w:p w:rsidR="00C83BDF" w:rsidRPr="005C4C61" w:rsidRDefault="00C83BDF" w:rsidP="00C83BDF">
      <w:pPr>
        <w:spacing w:line="360" w:lineRule="auto"/>
        <w:jc w:val="both"/>
        <w:rPr>
          <w:rFonts w:ascii="Palatino Linotype" w:eastAsia="Palatino Linotype" w:hAnsi="Palatino Linotype" w:cs="Palatino Linotype"/>
        </w:rPr>
      </w:pPr>
    </w:p>
    <w:p w:rsidR="00557B3C" w:rsidRPr="005C4C61" w:rsidRDefault="00557B3C">
      <w:pPr>
        <w:numPr>
          <w:ilvl w:val="0"/>
          <w:numId w:val="1"/>
        </w:numPr>
        <w:spacing w:line="360" w:lineRule="auto"/>
        <w:ind w:left="0" w:firstLine="0"/>
        <w:jc w:val="both"/>
        <w:rPr>
          <w:rFonts w:ascii="Palatino Linotype" w:eastAsia="Palatino Linotype" w:hAnsi="Palatino Linotype" w:cs="Palatino Linotype"/>
        </w:rPr>
      </w:pPr>
      <w:r w:rsidRPr="005C4C61">
        <w:rPr>
          <w:rFonts w:ascii="Palatino Linotype" w:eastAsia="Palatino Linotype" w:hAnsi="Palatino Linotype" w:cs="Palatino Linotype"/>
        </w:rPr>
        <w:t xml:space="preserve">No obstante de dicho pronunciamiento, es de destacar un aspecto relevante como lo es que el </w:t>
      </w:r>
      <w:r w:rsidRPr="005C4C61">
        <w:rPr>
          <w:rFonts w:ascii="Palatino Linotype" w:eastAsia="Palatino Linotype" w:hAnsi="Palatino Linotype" w:cs="Palatino Linotype"/>
          <w:b/>
        </w:rPr>
        <w:t>SUJETO OBLIGADO</w:t>
      </w:r>
      <w:r w:rsidRPr="005C4C61">
        <w:rPr>
          <w:rFonts w:ascii="Palatino Linotype" w:eastAsia="Palatino Linotype" w:hAnsi="Palatino Linotype" w:cs="Palatino Linotype"/>
        </w:rPr>
        <w:t xml:space="preserve"> haya aceptado que si género, posee y administra lo solicitado en el presente asunto; tan es así que pretende clasificarlo. Lo que en consecuencia trae consigo que además de resultar procedente su entrega, sea sin contemplar una eventual salvedad para el caso de no localizar la información luego de la búsqueda exhaustiva y razonable.</w:t>
      </w:r>
    </w:p>
    <w:p w:rsidR="00557B3C" w:rsidRPr="005C4C61" w:rsidRDefault="00557B3C" w:rsidP="00557B3C">
      <w:pPr>
        <w:pStyle w:val="Prrafodelista"/>
        <w:rPr>
          <w:rFonts w:ascii="Palatino Linotype" w:eastAsia="Palatino Linotype" w:hAnsi="Palatino Linotype" w:cs="Palatino Linotype"/>
        </w:rPr>
      </w:pPr>
    </w:p>
    <w:p w:rsidR="00557B3C" w:rsidRPr="005C4C61" w:rsidRDefault="00557B3C" w:rsidP="00557B3C">
      <w:pPr>
        <w:numPr>
          <w:ilvl w:val="0"/>
          <w:numId w:val="1"/>
        </w:numPr>
        <w:spacing w:line="360" w:lineRule="auto"/>
        <w:ind w:left="0" w:firstLine="0"/>
        <w:jc w:val="both"/>
        <w:rPr>
          <w:rFonts w:ascii="Palatino Linotype" w:eastAsia="Palatino Linotype" w:hAnsi="Palatino Linotype" w:cs="Palatino Linotype"/>
        </w:rPr>
      </w:pPr>
      <w:r w:rsidRPr="005C4C61">
        <w:rPr>
          <w:rFonts w:ascii="Palatino Linotype" w:eastAsia="Palatino Linotype" w:hAnsi="Palatino Linotype" w:cs="Palatino Linotype"/>
        </w:rPr>
        <w:t>Finalmente, respecto del argumento relativo a que se puede identificar o hacer identificable a una persona: tampoco corresponde a una causal de clasificación como reservada, en todo caso se deberá someter a un procedimiento de clasificación como confidencial, de los datos personales, no así a la totalidad del soporte documental que como se ha venido repitiendo, tiene el carácter de eminentemente pública.</w:t>
      </w: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color w:val="000000"/>
        </w:rPr>
      </w:pPr>
      <w:r w:rsidRPr="005C4C61">
        <w:rPr>
          <w:rFonts w:ascii="Palatino Linotype" w:eastAsia="Palatino Linotype" w:hAnsi="Palatino Linotype" w:cs="Palatino Linotype"/>
          <w:color w:val="000000"/>
        </w:rPr>
        <w:lastRenderedPageBreak/>
        <w:t xml:space="preserve">Con la </w:t>
      </w:r>
      <w:r w:rsidRPr="005C4C61">
        <w:rPr>
          <w:rFonts w:ascii="Palatino Linotype" w:eastAsia="Palatino Linotype" w:hAnsi="Palatino Linotype" w:cs="Palatino Linotype"/>
        </w:rPr>
        <w:t>determinación</w:t>
      </w:r>
      <w:r w:rsidRPr="005C4C61">
        <w:rPr>
          <w:rFonts w:ascii="Palatino Linotype" w:eastAsia="Palatino Linotype" w:hAnsi="Palatino Linotype" w:cs="Palatino Linotype"/>
          <w:color w:val="000000"/>
        </w:rPr>
        <w:t xml:space="preserve"> anterior quedará por colmado el derecho de acceso a la información del ahora Recurrente; toda vez que el Derecho que tutela este Órgano Garante </w:t>
      </w:r>
      <w:r w:rsidRPr="005C4C61">
        <w:rPr>
          <w:rFonts w:ascii="Palatino Linotype" w:eastAsia="Palatino Linotype" w:hAnsi="Palatino Linotype" w:cs="Palatino Linotype"/>
        </w:rPr>
        <w:t>corresponde</w:t>
      </w:r>
      <w:r w:rsidRPr="005C4C61">
        <w:rPr>
          <w:rFonts w:ascii="Palatino Linotype" w:eastAsia="Palatino Linotype" w:hAnsi="Palatino Linotype" w:cs="Palatino Linotype"/>
          <w:color w:val="000000"/>
        </w:rPr>
        <w:t xml:space="preserve"> a la  </w:t>
      </w:r>
      <w:r w:rsidRPr="005C4C61">
        <w:rPr>
          <w:rFonts w:ascii="Palatino Linotype" w:eastAsia="Palatino Linotype" w:hAnsi="Palatino Linotype" w:cs="Palatino Linotype"/>
          <w:i/>
          <w:iCs/>
          <w:color w:val="000000"/>
        </w:rPr>
        <w:t>igualdad de oportunidades para recibir, buscar e impartir información</w:t>
      </w:r>
      <w:r w:rsidRPr="005C4C61">
        <w:rPr>
          <w:rFonts w:ascii="Palatino Linotype" w:eastAsia="Palatino Linotype" w:hAnsi="Palatino Linotype" w:cs="Palatino Linotype"/>
          <w:i/>
          <w:iCs/>
          <w:color w:val="000000"/>
          <w:vertAlign w:val="superscript"/>
        </w:rPr>
        <w:footnoteReference w:id="1"/>
      </w:r>
      <w:r w:rsidRPr="005C4C61">
        <w:rPr>
          <w:rFonts w:ascii="Palatino Linotype" w:eastAsia="Palatino Linotype" w:hAnsi="Palatino Linotype" w:cs="Palatino Linotype"/>
          <w:i/>
          <w:iCs/>
          <w:color w:val="000000"/>
        </w:rPr>
        <w:t xml:space="preserve"> en posesión de cualquier autoridad, entidad, órgano y organismo de los </w:t>
      </w:r>
      <w:r w:rsidRPr="005C4C61">
        <w:rPr>
          <w:rFonts w:ascii="Palatino Linotype" w:eastAsia="Palatino Linotype" w:hAnsi="Palatino Linotype" w:cs="Palatino Linotype"/>
          <w:color w:val="000000"/>
        </w:rPr>
        <w:t>poderes</w:t>
      </w:r>
      <w:r w:rsidRPr="005C4C61">
        <w:rPr>
          <w:rFonts w:ascii="Palatino Linotype" w:eastAsia="Palatino Linotype" w:hAnsi="Palatino Linotype" w:cs="Palatino Linotype"/>
          <w:i/>
          <w:iCs/>
          <w:color w:val="000000"/>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C4C61">
        <w:rPr>
          <w:rFonts w:ascii="Palatino Linotype" w:eastAsia="Palatino Linotype" w:hAnsi="Palatino Linotype" w:cs="Palatino Linotype"/>
          <w:color w:val="000000"/>
          <w:vertAlign w:val="superscript"/>
        </w:rPr>
        <w:footnoteReference w:id="2"/>
      </w:r>
      <w:r w:rsidRPr="005C4C61">
        <w:rPr>
          <w:rFonts w:ascii="Palatino Linotype" w:eastAsia="Palatino Linotype" w:hAnsi="Palatino Linotype" w:cs="Palatino Linotype"/>
          <w:i/>
          <w:iCs/>
          <w:color w:val="000000"/>
        </w:rPr>
        <w:t xml:space="preserve"> </w:t>
      </w:r>
      <w:r w:rsidRPr="005C4C61">
        <w:rPr>
          <w:rFonts w:ascii="Palatino Linotype" w:eastAsia="Palatino Linotype" w:hAnsi="Palatino Linotype" w:cs="Palatino Linotype"/>
          <w:color w:val="000000"/>
        </w:rPr>
        <w:t xml:space="preserve">que se constituye como una herramienta fundamental para </w:t>
      </w:r>
      <w:r w:rsidRPr="005C4C61">
        <w:rPr>
          <w:rFonts w:ascii="Palatino Linotype" w:eastAsia="Palatino Linotype" w:hAnsi="Palatino Linotype" w:cs="Palatino Linotype"/>
          <w:i/>
          <w:iCs/>
          <w:color w:val="000000"/>
        </w:rPr>
        <w:t>ejercer control democrático de las gestiones estatales, de forma tal que puedan cuestionar, indagar y considerar si se está dando un adecuado cumplimiento de las funciones públicas,</w:t>
      </w:r>
      <w:r w:rsidRPr="005C4C61">
        <w:rPr>
          <w:rFonts w:ascii="Palatino Linotype" w:eastAsia="Palatino Linotype" w:hAnsi="Palatino Linotype" w:cs="Palatino Linotype"/>
          <w:i/>
          <w:iCs/>
          <w:color w:val="000000"/>
          <w:vertAlign w:val="superscript"/>
        </w:rPr>
        <w:footnoteReference w:id="3"/>
      </w:r>
      <w:r w:rsidRPr="005C4C61">
        <w:rPr>
          <w:rFonts w:ascii="Palatino Linotype" w:eastAsia="Palatino Linotype" w:hAnsi="Palatino Linotype" w:cs="Palatino Linotype"/>
          <w:color w:val="000000"/>
        </w:rPr>
        <w:t>fomentando</w:t>
      </w:r>
      <w:r w:rsidRPr="005C4C61">
        <w:rPr>
          <w:rFonts w:ascii="Palatino Linotype" w:eastAsia="Palatino Linotype" w:hAnsi="Palatino Linotype" w:cs="Palatino Linotype"/>
          <w:i/>
          <w:iCs/>
          <w:color w:val="000000"/>
        </w:rPr>
        <w:t xml:space="preserve"> la transparencia de las actividades estatales y</w:t>
      </w:r>
      <w:r w:rsidRPr="005C4C61">
        <w:rPr>
          <w:rFonts w:ascii="Palatino Linotype" w:eastAsia="Palatino Linotype" w:hAnsi="Palatino Linotype" w:cs="Palatino Linotype"/>
          <w:color w:val="000000"/>
        </w:rPr>
        <w:t xml:space="preserve"> promoviendo</w:t>
      </w:r>
      <w:r w:rsidRPr="005C4C61">
        <w:rPr>
          <w:rFonts w:ascii="Palatino Linotype" w:eastAsia="Palatino Linotype" w:hAnsi="Palatino Linotype" w:cs="Palatino Linotype"/>
          <w:i/>
          <w:iCs/>
          <w:color w:val="000000"/>
        </w:rPr>
        <w:t xml:space="preserve"> la responsabilidad de los funcionarios sobre su gestión pública</w:t>
      </w:r>
      <w:r w:rsidRPr="005C4C61">
        <w:rPr>
          <w:rFonts w:ascii="Palatino Linotype" w:eastAsia="Palatino Linotype" w:hAnsi="Palatino Linotype" w:cs="Palatino Linotype"/>
          <w:i/>
          <w:iCs/>
          <w:color w:val="000000"/>
          <w:vertAlign w:val="superscript"/>
        </w:rPr>
        <w:footnoteReference w:id="4"/>
      </w:r>
      <w:r w:rsidRPr="005C4C61">
        <w:rPr>
          <w:rFonts w:ascii="Palatino Linotype" w:eastAsia="Palatino Linotype" w:hAnsi="Palatino Linotype" w:cs="Palatino Linotype"/>
          <w:i/>
          <w:iCs/>
          <w:color w:val="000000"/>
        </w:rPr>
        <w:t xml:space="preserve"> </w:t>
      </w:r>
      <w:r w:rsidRPr="005C4C61">
        <w:rPr>
          <w:rFonts w:ascii="Palatino Linotype" w:eastAsia="Palatino Linotype" w:hAnsi="Palatino Linotype" w:cs="Palatino Linotype"/>
          <w:color w:val="000000"/>
        </w:rPr>
        <w:t>que permite</w:t>
      </w:r>
      <w:r w:rsidRPr="005C4C61">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r w:rsidRPr="005C4C61">
        <w:rPr>
          <w:rFonts w:ascii="Palatino Linotype" w:eastAsia="Palatino Linotype" w:hAnsi="Palatino Linotype" w:cs="Palatino Linotype"/>
          <w:i/>
          <w:iCs/>
          <w:color w:val="000000"/>
          <w:vertAlign w:val="superscript"/>
        </w:rPr>
        <w:footnoteReference w:id="5"/>
      </w:r>
      <w:r w:rsidRPr="005C4C61">
        <w:rPr>
          <w:rFonts w:ascii="Palatino Linotype" w:eastAsia="Palatino Linotype" w:hAnsi="Palatino Linotype" w:cs="Palatino Linotype"/>
          <w:color w:val="000000"/>
        </w:rPr>
        <w:t xml:space="preserve"> ”</w:t>
      </w:r>
    </w:p>
    <w:p w:rsidR="00C2510E" w:rsidRPr="005C4C61" w:rsidRDefault="00C2510E">
      <w:pPr>
        <w:spacing w:line="360" w:lineRule="auto"/>
        <w:jc w:val="both"/>
        <w:rPr>
          <w:rFonts w:ascii="Palatino Linotype" w:eastAsia="Palatino Linotype" w:hAnsi="Palatino Linotype" w:cs="Palatino Linotype"/>
          <w:color w:val="000000"/>
        </w:rPr>
      </w:pP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i/>
          <w:iCs/>
          <w:color w:val="000000"/>
        </w:rPr>
      </w:pPr>
      <w:r w:rsidRPr="005C4C61">
        <w:rPr>
          <w:rFonts w:ascii="Palatino Linotype" w:eastAsia="Palatino Linotype" w:hAnsi="Palatino Linotype" w:cs="Palatino Linotype"/>
          <w:color w:val="000000"/>
        </w:rPr>
        <w:t xml:space="preserve">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w:t>
      </w:r>
      <w:r w:rsidRPr="005C4C61">
        <w:rPr>
          <w:rFonts w:ascii="Palatino Linotype" w:eastAsia="Palatino Linotype" w:hAnsi="Palatino Linotype" w:cs="Palatino Linotype"/>
          <w:color w:val="000000"/>
        </w:rPr>
        <w:lastRenderedPageBreak/>
        <w:t>Soberano de México “Gaceta del Gobierno” el diecinueve de octubre de dos mil once, cuyo rubro y texto dispone:</w:t>
      </w:r>
    </w:p>
    <w:p w:rsidR="00C2510E" w:rsidRPr="005C4C61" w:rsidRDefault="00C83BDF">
      <w:pPr>
        <w:spacing w:line="360" w:lineRule="auto"/>
        <w:ind w:left="426" w:right="474"/>
        <w:jc w:val="both"/>
        <w:rPr>
          <w:rFonts w:ascii="Palatino Linotype" w:eastAsia="Palatino Linotype" w:hAnsi="Palatino Linotype" w:cs="Palatino Linotype"/>
          <w:b/>
          <w:bCs/>
          <w:i/>
          <w:iCs/>
          <w:color w:val="000000"/>
        </w:rPr>
      </w:pPr>
      <w:r w:rsidRPr="005C4C61">
        <w:rPr>
          <w:rFonts w:ascii="Palatino Linotype" w:eastAsia="Palatino Linotype" w:hAnsi="Palatino Linotype" w:cs="Palatino Linotype"/>
          <w:b/>
          <w:bCs/>
          <w:i/>
          <w:iCs/>
          <w:color w:val="000000"/>
        </w:rPr>
        <w:t>“CRITERIO 0002-11</w:t>
      </w:r>
    </w:p>
    <w:p w:rsidR="00C2510E" w:rsidRPr="005C4C61" w:rsidRDefault="00C83BDF">
      <w:pPr>
        <w:spacing w:line="360" w:lineRule="auto"/>
        <w:ind w:left="426" w:right="474"/>
        <w:jc w:val="both"/>
        <w:rPr>
          <w:rFonts w:ascii="Palatino Linotype" w:eastAsia="Palatino Linotype" w:hAnsi="Palatino Linotype" w:cs="Palatino Linotype"/>
          <w:i/>
          <w:iCs/>
          <w:color w:val="000000"/>
        </w:rPr>
      </w:pPr>
      <w:r w:rsidRPr="005C4C61">
        <w:rPr>
          <w:rFonts w:ascii="Palatino Linotype" w:eastAsia="Palatino Linotype" w:hAnsi="Palatino Linotype" w:cs="Palatino Linotype"/>
          <w:b/>
          <w:bCs/>
          <w:i/>
          <w:iCs/>
          <w:color w:val="000000"/>
        </w:rPr>
        <w:t>INFORMACIÓN PÚBLICA, CONCEPTO DE, EN MATERIA DE TRANSPARENCIA. INTERPRETACIÓN TEMÁTICA DE LOS ARTÍCULOS 2, FRACCIÓN V, XV, Y XVI, 3, 4,11 Y 41.</w:t>
      </w:r>
      <w:r w:rsidRPr="005C4C61">
        <w:rPr>
          <w:rFonts w:ascii="Palatino Linotype" w:eastAsia="Palatino Linotype" w:hAnsi="Palatino Linotype" w:cs="Palatino Linotype"/>
          <w:i/>
          <w:iCs/>
          <w:color w:val="00000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2510E" w:rsidRPr="005C4C61" w:rsidRDefault="00C83BDF">
      <w:pPr>
        <w:spacing w:line="360" w:lineRule="auto"/>
        <w:ind w:left="426" w:right="474"/>
        <w:jc w:val="both"/>
        <w:rPr>
          <w:rFonts w:ascii="Palatino Linotype" w:eastAsia="Palatino Linotype" w:hAnsi="Palatino Linotype" w:cs="Palatino Linotype"/>
          <w:i/>
          <w:iCs/>
          <w:color w:val="000000"/>
        </w:rPr>
      </w:pPr>
      <w:r w:rsidRPr="005C4C61">
        <w:rPr>
          <w:rFonts w:ascii="Palatino Linotype" w:eastAsia="Palatino Linotype" w:hAnsi="Palatino Linotype" w:cs="Palatino Linotype"/>
          <w:i/>
          <w:iCs/>
          <w:color w:val="000000"/>
        </w:rPr>
        <w:t>En consecuencia el acceso a la información se refiere a que se cumplan cualquiera de los siguientes tres supuestos:</w:t>
      </w:r>
    </w:p>
    <w:p w:rsidR="00C2510E" w:rsidRPr="005C4C61" w:rsidRDefault="00C83BDF">
      <w:pPr>
        <w:spacing w:line="360" w:lineRule="auto"/>
        <w:ind w:left="426" w:right="474"/>
        <w:jc w:val="both"/>
        <w:rPr>
          <w:rFonts w:ascii="Palatino Linotype" w:eastAsia="Palatino Linotype" w:hAnsi="Palatino Linotype" w:cs="Palatino Linotype"/>
          <w:i/>
          <w:iCs/>
          <w:color w:val="000000"/>
        </w:rPr>
      </w:pPr>
      <w:r w:rsidRPr="005C4C61">
        <w:rPr>
          <w:rFonts w:ascii="Palatino Linotype" w:eastAsia="Palatino Linotype" w:hAnsi="Palatino Linotype" w:cs="Palatino Linotype"/>
          <w:i/>
          <w:iCs/>
          <w:color w:val="000000"/>
        </w:rPr>
        <w:t>Que se trate de información registrada en cualquier soporte documental, que en ejercicio de las atribuciones conferidas, sea generada por los Sujetos Obligados;</w:t>
      </w:r>
    </w:p>
    <w:p w:rsidR="00C2510E" w:rsidRPr="005C4C61" w:rsidRDefault="00C83BDF">
      <w:pPr>
        <w:spacing w:line="360" w:lineRule="auto"/>
        <w:ind w:left="426" w:right="474"/>
        <w:jc w:val="both"/>
        <w:rPr>
          <w:rFonts w:ascii="Palatino Linotype" w:eastAsia="Palatino Linotype" w:hAnsi="Palatino Linotype" w:cs="Palatino Linotype"/>
          <w:i/>
          <w:iCs/>
          <w:color w:val="000000"/>
        </w:rPr>
      </w:pPr>
      <w:r w:rsidRPr="005C4C61">
        <w:rPr>
          <w:rFonts w:ascii="Palatino Linotype" w:eastAsia="Palatino Linotype" w:hAnsi="Palatino Linotype" w:cs="Palatino Linotype"/>
          <w:i/>
          <w:iCs/>
          <w:color w:val="000000"/>
        </w:rPr>
        <w:t>Que se trate de información registrada en cualquier soporte documental, que en ejercicio de las atribuciones conferidas, sea administrada por los Sujetos Obligados, y</w:t>
      </w:r>
    </w:p>
    <w:p w:rsidR="00C2510E" w:rsidRDefault="00C83BDF">
      <w:pPr>
        <w:spacing w:line="360" w:lineRule="auto"/>
        <w:ind w:left="426" w:right="474"/>
        <w:jc w:val="both"/>
        <w:rPr>
          <w:rFonts w:ascii="Palatino Linotype" w:eastAsia="Palatino Linotype" w:hAnsi="Palatino Linotype" w:cs="Palatino Linotype"/>
          <w:i/>
          <w:iCs/>
          <w:color w:val="000000"/>
        </w:rPr>
      </w:pPr>
      <w:r w:rsidRPr="005C4C61">
        <w:rPr>
          <w:rFonts w:ascii="Palatino Linotype" w:eastAsia="Palatino Linotype" w:hAnsi="Palatino Linotype" w:cs="Palatino Linotype"/>
          <w:i/>
          <w:iCs/>
          <w:color w:val="000000"/>
        </w:rPr>
        <w:t>Que se trate de información registrada en cualquier soporte documental, que en ejercicio de las atribuciones conferidas, se encuentre en posesión de los Sujetos Obligados.”</w:t>
      </w:r>
    </w:p>
    <w:p w:rsidR="005C4C61" w:rsidRPr="005C4C61" w:rsidRDefault="005C4C61">
      <w:pPr>
        <w:spacing w:line="360" w:lineRule="auto"/>
        <w:ind w:left="426" w:right="474"/>
        <w:jc w:val="both"/>
        <w:rPr>
          <w:rFonts w:ascii="Palatino Linotype" w:eastAsia="Palatino Linotype" w:hAnsi="Palatino Linotype" w:cs="Palatino Linotype"/>
          <w:i/>
          <w:iCs/>
          <w:color w:val="000000"/>
        </w:rPr>
      </w:pP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color w:val="000000"/>
        </w:rPr>
      </w:pPr>
      <w:r w:rsidRPr="005C4C61">
        <w:rPr>
          <w:rFonts w:ascii="Palatino Linotype" w:eastAsia="Palatino Linotype" w:hAnsi="Palatino Linotype" w:cs="Palatino Linotype"/>
          <w:color w:val="000000"/>
        </w:rPr>
        <w:t>El derecho de acceso a la información encuentra su materia elemental en los documentos, y la Ley de Transparencia local  nos brinda el siguiente concepto, para darnos un mejor panorama:</w:t>
      </w:r>
    </w:p>
    <w:p w:rsidR="00C2510E" w:rsidRPr="005C4C61" w:rsidRDefault="00C83BDF">
      <w:pPr>
        <w:spacing w:line="360" w:lineRule="auto"/>
        <w:ind w:left="426" w:right="474"/>
        <w:jc w:val="both"/>
        <w:rPr>
          <w:rFonts w:ascii="Palatino Linotype" w:eastAsia="Palatino Linotype" w:hAnsi="Palatino Linotype" w:cs="Palatino Linotype"/>
          <w:i/>
          <w:iCs/>
          <w:color w:val="000000"/>
        </w:rPr>
      </w:pPr>
      <w:r w:rsidRPr="005C4C61">
        <w:rPr>
          <w:rFonts w:ascii="Palatino Linotype" w:eastAsia="Palatino Linotype" w:hAnsi="Palatino Linotype" w:cs="Palatino Linotype"/>
          <w:b/>
          <w:bCs/>
          <w:i/>
          <w:iCs/>
          <w:color w:val="000000"/>
        </w:rPr>
        <w:lastRenderedPageBreak/>
        <w:t xml:space="preserve">XI. Documento: </w:t>
      </w:r>
      <w:r w:rsidRPr="005C4C61">
        <w:rPr>
          <w:rFonts w:ascii="Palatino Linotype" w:eastAsia="Palatino Linotype" w:hAnsi="Palatino Linotype" w:cs="Palatino Linotype"/>
          <w:i/>
          <w:iCs/>
          <w:color w:val="000000"/>
        </w:rPr>
        <w:t xml:space="preserve">Los expedientes, reportes, estudios, actas, resoluciones, oficios, correspondencia, acuerdos, directivas, directrices, circulares, contratos, convenios, instructivos, notas, memorandos, estadísticas o bien, </w:t>
      </w:r>
      <w:r w:rsidRPr="005C4C61">
        <w:rPr>
          <w:rFonts w:ascii="Palatino Linotype" w:eastAsia="Palatino Linotype" w:hAnsi="Palatino Linotype" w:cs="Palatino Linotype"/>
          <w:b/>
          <w:bCs/>
          <w:i/>
          <w:iCs/>
          <w:color w:val="000000"/>
        </w:rPr>
        <w:t>cualquier otro registro</w:t>
      </w:r>
      <w:r w:rsidRPr="005C4C61">
        <w:rPr>
          <w:rFonts w:ascii="Palatino Linotype" w:eastAsia="Palatino Linotype" w:hAnsi="Palatino Linotype" w:cs="Palatino Linotype"/>
          <w:i/>
          <w:iCs/>
          <w:color w:val="000000"/>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C2510E" w:rsidRPr="005C4C61" w:rsidRDefault="00C2510E">
      <w:pPr>
        <w:spacing w:line="360" w:lineRule="auto"/>
        <w:ind w:left="567" w:right="567"/>
        <w:jc w:val="both"/>
        <w:rPr>
          <w:rFonts w:ascii="Palatino Linotype" w:eastAsia="Palatino Linotype" w:hAnsi="Palatino Linotype" w:cs="Palatino Linotype"/>
          <w:i/>
          <w:iCs/>
          <w:color w:val="000000"/>
        </w:rPr>
      </w:pP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color w:val="000000"/>
        </w:rPr>
      </w:pPr>
      <w:r w:rsidRPr="005C4C61">
        <w:rPr>
          <w:rFonts w:ascii="Palatino Linotype" w:eastAsia="Palatino Linotype" w:hAnsi="Palatino Linotype" w:cs="Palatino Linotype"/>
          <w:color w:val="000000"/>
        </w:rPr>
        <w:t xml:space="preserve">Es así que, todos los actos de autoridad que realicen los Sujetos Obligados </w:t>
      </w:r>
      <w:r w:rsidRPr="005C4C61">
        <w:rPr>
          <w:rFonts w:ascii="Palatino Linotype" w:eastAsia="Palatino Linotype" w:hAnsi="Palatino Linotype" w:cs="Palatino Linotype"/>
          <w:b/>
          <w:bCs/>
          <w:color w:val="000000"/>
        </w:rPr>
        <w:t xml:space="preserve">deben </w:t>
      </w:r>
      <w:r w:rsidRPr="005C4C61">
        <w:rPr>
          <w:rFonts w:ascii="Palatino Linotype" w:eastAsia="Palatino Linotype" w:hAnsi="Palatino Linotype" w:cs="Palatino Linotype"/>
          <w:color w:val="000000"/>
        </w:rPr>
        <w:t>estar</w:t>
      </w:r>
      <w:r w:rsidRPr="005C4C61">
        <w:rPr>
          <w:rFonts w:ascii="Palatino Linotype" w:eastAsia="Palatino Linotype" w:hAnsi="Palatino Linotype" w:cs="Palatino Linotype"/>
          <w:b/>
          <w:bCs/>
          <w:color w:val="000000"/>
        </w:rPr>
        <w:t xml:space="preserve"> </w:t>
      </w:r>
      <w:r w:rsidRPr="005C4C61">
        <w:rPr>
          <w:rFonts w:ascii="Palatino Linotype" w:eastAsia="Palatino Linotype" w:hAnsi="Palatino Linotype" w:cs="Palatino Linotype"/>
          <w:color w:val="000000"/>
        </w:rPr>
        <w:t>documentados y, bajo el más alto estándar de transparencia deberán poner toda la información que se encuentre en su posesión, a disposición de los particulares que la soliciten.</w:t>
      </w:r>
    </w:p>
    <w:p w:rsidR="00C2510E" w:rsidRPr="005C4C61" w:rsidRDefault="00C2510E">
      <w:pPr>
        <w:pBdr>
          <w:top w:val="nil"/>
          <w:left w:val="nil"/>
          <w:bottom w:val="nil"/>
          <w:right w:val="nil"/>
          <w:between w:val="nil"/>
        </w:pBdr>
        <w:tabs>
          <w:tab w:val="left" w:pos="284"/>
        </w:tabs>
        <w:spacing w:line="360" w:lineRule="auto"/>
        <w:ind w:right="51"/>
        <w:jc w:val="both"/>
        <w:rPr>
          <w:rFonts w:ascii="Palatino Linotype" w:eastAsia="Palatino Linotype" w:hAnsi="Palatino Linotype" w:cs="Palatino Linotype"/>
          <w:color w:val="000000"/>
        </w:rPr>
      </w:pP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color w:val="000000"/>
        </w:rPr>
      </w:pPr>
      <w:r w:rsidRPr="005C4C61">
        <w:rPr>
          <w:rFonts w:ascii="Palatino Linotype" w:eastAsia="Palatino Linotype" w:hAnsi="Palatino Linotype" w:cs="Palatino Linotype"/>
          <w:color w:val="000000"/>
        </w:rPr>
        <w:t>Además, debemos tomar en cuenta los artículos 4 y 12 (antes transcrito), de la Ley de Transparencia y Acceso a la Información Pública del Estado de México y Municipios, los cuales establecen lo siguiente:</w:t>
      </w:r>
    </w:p>
    <w:p w:rsidR="00C2510E" w:rsidRPr="005C4C61" w:rsidRDefault="00C83BDF">
      <w:pPr>
        <w:spacing w:line="360" w:lineRule="auto"/>
        <w:ind w:left="426" w:right="567"/>
        <w:jc w:val="both"/>
        <w:rPr>
          <w:rFonts w:ascii="Palatino Linotype" w:eastAsia="Palatino Linotype" w:hAnsi="Palatino Linotype" w:cs="Palatino Linotype"/>
          <w:i/>
          <w:iCs/>
          <w:color w:val="000000"/>
        </w:rPr>
      </w:pPr>
      <w:r w:rsidRPr="005C4C61">
        <w:rPr>
          <w:rFonts w:ascii="Palatino Linotype" w:eastAsia="Palatino Linotype" w:hAnsi="Palatino Linotype" w:cs="Palatino Linotype"/>
          <w:b/>
          <w:bCs/>
          <w:i/>
          <w:iCs/>
          <w:color w:val="000000"/>
        </w:rPr>
        <w:t xml:space="preserve">Artículo 4. </w:t>
      </w:r>
      <w:r w:rsidRPr="005C4C61">
        <w:rPr>
          <w:rFonts w:ascii="Palatino Linotype" w:eastAsia="Palatino Linotype" w:hAnsi="Palatino Linotype" w:cs="Palatino Linotype"/>
          <w:i/>
          <w:iCs/>
          <w:color w:val="000000"/>
        </w:rPr>
        <w:t>El derecho humano de acceso a la información pública es la prerrogativa de las personas para buscar, difundir, investigar, recabar, recibir y solicitar información pública, sin necesidad de acreditar personalidad ni interés jurídico.</w:t>
      </w:r>
    </w:p>
    <w:p w:rsidR="00C2510E" w:rsidRPr="005C4C61" w:rsidRDefault="00C83BDF">
      <w:pPr>
        <w:spacing w:line="360" w:lineRule="auto"/>
        <w:ind w:left="426" w:right="567"/>
        <w:jc w:val="both"/>
        <w:rPr>
          <w:rFonts w:ascii="Palatino Linotype" w:eastAsia="Palatino Linotype" w:hAnsi="Palatino Linotype" w:cs="Palatino Linotype"/>
          <w:i/>
          <w:iCs/>
          <w:color w:val="000000"/>
        </w:rPr>
      </w:pPr>
      <w:r w:rsidRPr="005C4C61">
        <w:rPr>
          <w:rFonts w:ascii="Palatino Linotype" w:eastAsia="Palatino Linotype" w:hAnsi="Palatino Linotype" w:cs="Palatino Linotype"/>
          <w:b/>
          <w:bCs/>
          <w:i/>
          <w:iCs/>
          <w:color w:val="000000"/>
        </w:rPr>
        <w:t>Toda la información</w:t>
      </w:r>
      <w:r w:rsidRPr="005C4C61">
        <w:rPr>
          <w:rFonts w:ascii="Palatino Linotype" w:eastAsia="Palatino Linotype" w:hAnsi="Palatino Linotype" w:cs="Palatino Linotype"/>
          <w:i/>
          <w:iCs/>
          <w:color w:val="000000"/>
        </w:rPr>
        <w:t xml:space="preserve"> generada, obtenida, adquirida, transformada, administrada o </w:t>
      </w:r>
      <w:r w:rsidRPr="005C4C61">
        <w:rPr>
          <w:rFonts w:ascii="Palatino Linotype" w:eastAsia="Palatino Linotype" w:hAnsi="Palatino Linotype" w:cs="Palatino Linotype"/>
          <w:b/>
          <w:bCs/>
          <w:i/>
          <w:iCs/>
          <w:color w:val="000000"/>
        </w:rPr>
        <w:t>en posesión de los sujetos obligados es pública</w:t>
      </w:r>
      <w:r w:rsidRPr="005C4C61">
        <w:rPr>
          <w:rFonts w:ascii="Palatino Linotype" w:eastAsia="Palatino Linotype" w:hAnsi="Palatino Linotype" w:cs="Palatino Linotype"/>
          <w:i/>
          <w:iCs/>
          <w:color w:val="000000"/>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w:t>
      </w:r>
      <w:r w:rsidRPr="005C4C61">
        <w:rPr>
          <w:rFonts w:ascii="Palatino Linotype" w:eastAsia="Palatino Linotype" w:hAnsi="Palatino Linotype" w:cs="Palatino Linotype"/>
          <w:i/>
          <w:iCs/>
          <w:color w:val="000000"/>
        </w:rPr>
        <w:lastRenderedPageBreak/>
        <w:t>información. Solo podrá ser clasificada excepcionalmente como reservada temporalmente por razones de interés público, en los términos de las causas legítimas y estrictamente necesarias previstas por esta Ley.</w:t>
      </w:r>
    </w:p>
    <w:p w:rsidR="00C2510E" w:rsidRPr="005C4C61" w:rsidRDefault="00C83BDF">
      <w:pPr>
        <w:spacing w:line="360" w:lineRule="auto"/>
        <w:ind w:left="426" w:right="567"/>
        <w:jc w:val="both"/>
        <w:rPr>
          <w:rFonts w:ascii="Palatino Linotype" w:eastAsia="Palatino Linotype" w:hAnsi="Palatino Linotype" w:cs="Palatino Linotype"/>
          <w:i/>
          <w:iCs/>
          <w:color w:val="000000"/>
        </w:rPr>
      </w:pPr>
      <w:r w:rsidRPr="005C4C61">
        <w:rPr>
          <w:rFonts w:ascii="Palatino Linotype" w:eastAsia="Palatino Linotype" w:hAnsi="Palatino Linotype" w:cs="Palatino Linotype"/>
          <w:i/>
          <w:iCs/>
          <w:color w:val="000000"/>
        </w:rPr>
        <w:t>Los sujetos obligados deben poner en práctica, políticas y programas de acceso a la información que se apeguen a criterios de publicidad, veracidad, oportunidad, precisión y suficiencia en beneficio de los solicitantes.”</w:t>
      </w:r>
    </w:p>
    <w:p w:rsidR="00C2510E" w:rsidRPr="005C4C61" w:rsidRDefault="00C2510E">
      <w:pPr>
        <w:spacing w:line="360" w:lineRule="auto"/>
        <w:ind w:left="567" w:right="567"/>
        <w:jc w:val="both"/>
        <w:rPr>
          <w:rFonts w:ascii="Palatino Linotype" w:eastAsia="Palatino Linotype" w:hAnsi="Palatino Linotype" w:cs="Palatino Linotype"/>
          <w:i/>
          <w:iCs/>
          <w:color w:val="000000"/>
        </w:rPr>
      </w:pP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color w:val="000000"/>
        </w:rPr>
      </w:pPr>
      <w:r w:rsidRPr="005C4C61">
        <w:rPr>
          <w:rFonts w:ascii="Palatino Linotype" w:eastAsia="Palatino Linotype" w:hAnsi="Palatino Linotype" w:cs="Palatino Linotype"/>
          <w:color w:val="000000"/>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5C4C61">
        <w:rPr>
          <w:rFonts w:ascii="Palatino Linotype" w:eastAsia="Palatino Linotype" w:hAnsi="Palatino Linotype" w:cs="Palatino Linotype"/>
          <w:color w:val="000000"/>
          <w:vertAlign w:val="superscript"/>
        </w:rPr>
        <w:footnoteReference w:id="6"/>
      </w:r>
      <w:r w:rsidRPr="005C4C61">
        <w:rPr>
          <w:rFonts w:ascii="Palatino Linotype" w:eastAsia="Palatino Linotype" w:hAnsi="Palatino Linotype" w:cs="Palatino Linotype"/>
          <w:color w:val="000000"/>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C2510E" w:rsidRPr="005C4C61" w:rsidRDefault="00C2510E">
      <w:pPr>
        <w:spacing w:line="360" w:lineRule="auto"/>
        <w:jc w:val="both"/>
        <w:rPr>
          <w:rFonts w:ascii="Palatino Linotype" w:eastAsia="Palatino Linotype" w:hAnsi="Palatino Linotype" w:cs="Palatino Linotype"/>
          <w:color w:val="000000"/>
        </w:rPr>
      </w:pP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color w:val="000000"/>
        </w:rPr>
      </w:pPr>
      <w:r w:rsidRPr="005C4C61">
        <w:rPr>
          <w:rFonts w:ascii="Palatino Linotype" w:eastAsia="Palatino Linotype" w:hAnsi="Palatino Linotype" w:cs="Palatino Linotype"/>
          <w:color w:val="000000"/>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C2510E" w:rsidRPr="005C4C61" w:rsidRDefault="00C83BDF">
      <w:pPr>
        <w:pBdr>
          <w:top w:val="nil"/>
          <w:left w:val="nil"/>
          <w:bottom w:val="nil"/>
          <w:right w:val="nil"/>
          <w:between w:val="nil"/>
        </w:pBdr>
        <w:tabs>
          <w:tab w:val="left" w:pos="851"/>
        </w:tabs>
        <w:spacing w:line="360" w:lineRule="auto"/>
        <w:ind w:left="425" w:right="476"/>
        <w:jc w:val="both"/>
        <w:rPr>
          <w:rFonts w:ascii="Palatino Linotype" w:eastAsia="Palatino Linotype" w:hAnsi="Palatino Linotype" w:cs="Palatino Linotype"/>
          <w:i/>
          <w:iCs/>
          <w:color w:val="000000"/>
        </w:rPr>
      </w:pPr>
      <w:r w:rsidRPr="005C4C61">
        <w:rPr>
          <w:rFonts w:ascii="Palatino Linotype" w:eastAsia="Palatino Linotype" w:hAnsi="Palatino Linotype" w:cs="Palatino Linotype"/>
          <w:b/>
          <w:bCs/>
          <w:i/>
          <w:iCs/>
          <w:color w:val="000000"/>
        </w:rPr>
        <w:t>ACCESO A LA INFORMACIÓN. IMPLICACIÓN DEL PRINCIPIO DE MÁXIMA PUBLICIDAD EN EL DERECHO FUNDAMENTAL RELATIVO.</w:t>
      </w:r>
      <w:r w:rsidRPr="005C4C61">
        <w:rPr>
          <w:rFonts w:ascii="Palatino Linotype" w:eastAsia="Palatino Linotype" w:hAnsi="Palatino Linotype" w:cs="Palatino Linotype"/>
          <w:i/>
          <w:iCs/>
          <w:color w:val="000000"/>
        </w:rPr>
        <w:t xml:space="preserve"> Del artículo 6o. de la Constitución Política de los Estados Unidos Mexicanos se advierte que el Estado Mexicano </w:t>
      </w:r>
      <w:r w:rsidRPr="005C4C61">
        <w:rPr>
          <w:rFonts w:ascii="Palatino Linotype" w:eastAsia="Palatino Linotype" w:hAnsi="Palatino Linotype" w:cs="Palatino Linotype"/>
          <w:i/>
          <w:iCs/>
          <w:color w:val="000000"/>
        </w:rPr>
        <w:lastRenderedPageBreak/>
        <w:t>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C2510E" w:rsidRPr="005C4C61" w:rsidRDefault="00C2510E">
      <w:pPr>
        <w:spacing w:line="360" w:lineRule="auto"/>
        <w:rPr>
          <w:rFonts w:ascii="Palatino Linotype" w:eastAsia="Palatino Linotype" w:hAnsi="Palatino Linotype" w:cs="Palatino Linotype"/>
        </w:rPr>
      </w:pPr>
    </w:p>
    <w:p w:rsidR="00C2510E" w:rsidRPr="005C4C61" w:rsidRDefault="00C83BDF">
      <w:pPr>
        <w:spacing w:line="360" w:lineRule="auto"/>
        <w:ind w:right="49"/>
        <w:jc w:val="both"/>
        <w:rPr>
          <w:rFonts w:ascii="Palatino Linotype" w:eastAsia="Palatino Linotype" w:hAnsi="Palatino Linotype" w:cs="Palatino Linotype"/>
          <w:b/>
          <w:bCs/>
        </w:rPr>
      </w:pPr>
      <w:r w:rsidRPr="005C4C61">
        <w:rPr>
          <w:rFonts w:ascii="Palatino Linotype" w:eastAsia="Palatino Linotype" w:hAnsi="Palatino Linotype" w:cs="Palatino Linotype"/>
          <w:b/>
          <w:bCs/>
        </w:rPr>
        <w:t>QUINTO. De la versión pública.</w:t>
      </w: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rPr>
      </w:pPr>
      <w:r w:rsidRPr="005C4C61">
        <w:rPr>
          <w:rFonts w:ascii="Palatino Linotype" w:eastAsia="Palatino Linotype" w:hAnsi="Palatino Linotype" w:cs="Palatino Linotype"/>
          <w:color w:val="000000"/>
        </w:rPr>
        <w:t>Para</w:t>
      </w:r>
      <w:r w:rsidRPr="005C4C61">
        <w:rPr>
          <w:rFonts w:ascii="Palatino Linotype" w:eastAsia="Palatino Linotype" w:hAnsi="Palatino Linotype" w:cs="Palatino Linotype"/>
        </w:rPr>
        <w:t xml:space="preserve"> dar cumplimiento a la presente Resolución, el </w:t>
      </w:r>
      <w:r w:rsidRPr="005C4C61">
        <w:rPr>
          <w:rFonts w:ascii="Palatino Linotype" w:eastAsia="Palatino Linotype" w:hAnsi="Palatino Linotype" w:cs="Palatino Linotype"/>
          <w:b/>
          <w:bCs/>
        </w:rPr>
        <w:t>SUJETO OBLIGADO</w:t>
      </w:r>
      <w:r w:rsidRPr="005C4C61">
        <w:rPr>
          <w:rFonts w:ascii="Palatino Linotype" w:eastAsia="Palatino Linotype" w:hAnsi="Palatino Linotype" w:cs="Palatino Linotype"/>
        </w:rPr>
        <w:t xml:space="preserve"> deberá hacer la elaboración de la versión pública en términos del Considerando anterior. Por lo que, </w:t>
      </w:r>
      <w:r w:rsidRPr="005C4C61">
        <w:rPr>
          <w:rFonts w:ascii="Palatino Linotype" w:eastAsia="Palatino Linotype" w:hAnsi="Palatino Linotype" w:cs="Palatino Linotype"/>
        </w:rPr>
        <w:lastRenderedPageBreak/>
        <w:t>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rsidR="00C2510E" w:rsidRPr="005C4C61" w:rsidRDefault="00C83BDF">
      <w:pPr>
        <w:spacing w:line="360" w:lineRule="auto"/>
        <w:ind w:left="851" w:right="1041"/>
        <w:jc w:val="both"/>
        <w:rPr>
          <w:rFonts w:ascii="Palatino Linotype" w:eastAsia="Palatino Linotype" w:hAnsi="Palatino Linotype" w:cs="Palatino Linotype"/>
          <w:b/>
          <w:bCs/>
          <w:i/>
          <w:iCs/>
        </w:rPr>
      </w:pPr>
      <w:r w:rsidRPr="005C4C61">
        <w:rPr>
          <w:rFonts w:ascii="Palatino Linotype" w:eastAsia="Palatino Linotype" w:hAnsi="Palatino Linotype" w:cs="Palatino Linotype"/>
          <w:b/>
          <w:bCs/>
          <w:i/>
          <w:iCs/>
        </w:rPr>
        <w:t xml:space="preserve"> “Artículo 3. Para los efectos de la presente Ley se entenderá por:</w:t>
      </w:r>
    </w:p>
    <w:p w:rsidR="00C2510E" w:rsidRPr="005C4C61" w:rsidRDefault="00C83BDF">
      <w:pPr>
        <w:spacing w:line="360" w:lineRule="auto"/>
        <w:ind w:left="851" w:right="1041"/>
        <w:jc w:val="both"/>
        <w:rPr>
          <w:rFonts w:ascii="Palatino Linotype" w:eastAsia="Palatino Linotype" w:hAnsi="Palatino Linotype" w:cs="Palatino Linotype"/>
          <w:i/>
          <w:iCs/>
        </w:rPr>
      </w:pPr>
      <w:r w:rsidRPr="005C4C61">
        <w:rPr>
          <w:rFonts w:ascii="Palatino Linotype" w:eastAsia="Palatino Linotype" w:hAnsi="Palatino Linotype" w:cs="Palatino Linotype"/>
          <w:b/>
          <w:bCs/>
          <w:i/>
          <w:iCs/>
        </w:rPr>
        <w:t>IX. Datos personales:</w:t>
      </w:r>
      <w:r w:rsidRPr="005C4C61">
        <w:rPr>
          <w:rFonts w:ascii="Palatino Linotype" w:eastAsia="Palatino Linotype" w:hAnsi="Palatino Linotype" w:cs="Palatino Linotype"/>
          <w:i/>
          <w:iCs/>
        </w:rPr>
        <w:t xml:space="preserve"> </w:t>
      </w:r>
      <w:r w:rsidRPr="005C4C61">
        <w:rPr>
          <w:rFonts w:ascii="Palatino Linotype" w:eastAsia="Palatino Linotype" w:hAnsi="Palatino Linotype" w:cs="Palatino Linotype"/>
          <w:b/>
          <w:bCs/>
          <w:i/>
          <w:iCs/>
        </w:rPr>
        <w:t>La información concerniente a una persona, identificada o identificable</w:t>
      </w:r>
      <w:r w:rsidRPr="005C4C61">
        <w:rPr>
          <w:rFonts w:ascii="Palatino Linotype" w:eastAsia="Palatino Linotype" w:hAnsi="Palatino Linotype" w:cs="Palatino Linotype"/>
          <w:i/>
          <w:iCs/>
        </w:rPr>
        <w:t xml:space="preserve"> según lo dispuesto por la Ley de Protección de Datos Personales del Estado de México;</w:t>
      </w:r>
    </w:p>
    <w:p w:rsidR="00C2510E" w:rsidRPr="005C4C61" w:rsidRDefault="00C83BDF">
      <w:pPr>
        <w:spacing w:line="360" w:lineRule="auto"/>
        <w:ind w:left="851" w:right="1041"/>
        <w:jc w:val="both"/>
        <w:rPr>
          <w:rFonts w:ascii="Palatino Linotype" w:eastAsia="Palatino Linotype" w:hAnsi="Palatino Linotype" w:cs="Palatino Linotype"/>
          <w:i/>
          <w:iCs/>
        </w:rPr>
      </w:pPr>
      <w:r w:rsidRPr="005C4C61">
        <w:rPr>
          <w:rFonts w:ascii="Palatino Linotype" w:eastAsia="Palatino Linotype" w:hAnsi="Palatino Linotype" w:cs="Palatino Linotype"/>
          <w:b/>
          <w:bCs/>
          <w:i/>
          <w:iCs/>
        </w:rPr>
        <w:t>XX. Información clasificada:</w:t>
      </w:r>
      <w:r w:rsidRPr="005C4C61">
        <w:rPr>
          <w:rFonts w:ascii="Palatino Linotype" w:eastAsia="Palatino Linotype" w:hAnsi="Palatino Linotype" w:cs="Palatino Linotype"/>
          <w:i/>
          <w:iCs/>
        </w:rPr>
        <w:t xml:space="preserve"> Aquella considerada por la presente Ley como reservada o confidencial;</w:t>
      </w:r>
    </w:p>
    <w:p w:rsidR="00C2510E" w:rsidRPr="005C4C61" w:rsidRDefault="00C83BDF">
      <w:pPr>
        <w:spacing w:line="360" w:lineRule="auto"/>
        <w:ind w:left="851" w:right="1041"/>
        <w:jc w:val="both"/>
        <w:rPr>
          <w:rFonts w:ascii="Palatino Linotype" w:eastAsia="Palatino Linotype" w:hAnsi="Palatino Linotype" w:cs="Palatino Linotype"/>
          <w:i/>
          <w:iCs/>
        </w:rPr>
      </w:pPr>
      <w:r w:rsidRPr="005C4C61">
        <w:rPr>
          <w:rFonts w:ascii="Palatino Linotype" w:eastAsia="Palatino Linotype" w:hAnsi="Palatino Linotype" w:cs="Palatino Linotype"/>
          <w:b/>
          <w:bCs/>
          <w:i/>
          <w:iCs/>
        </w:rPr>
        <w:t>XXXII. Protección de Datos Personales:</w:t>
      </w:r>
      <w:r w:rsidRPr="005C4C61">
        <w:rPr>
          <w:rFonts w:ascii="Palatino Linotype" w:eastAsia="Palatino Linotype" w:hAnsi="Palatino Linotype" w:cs="Palatino Linotype"/>
          <w:i/>
          <w:iCs/>
        </w:rPr>
        <w:t xml:space="preserve"> Derecho humano que tutela la privacidad de datos personales en poder de los sujetos obligados y sujetos particulares;</w:t>
      </w:r>
    </w:p>
    <w:p w:rsidR="00C2510E" w:rsidRPr="005C4C61" w:rsidRDefault="00C83BDF">
      <w:pPr>
        <w:spacing w:line="360" w:lineRule="auto"/>
        <w:ind w:left="851" w:right="1041"/>
        <w:jc w:val="both"/>
        <w:rPr>
          <w:rFonts w:ascii="Palatino Linotype" w:eastAsia="Palatino Linotype" w:hAnsi="Palatino Linotype" w:cs="Palatino Linotype"/>
          <w:i/>
          <w:iCs/>
        </w:rPr>
      </w:pPr>
      <w:r w:rsidRPr="005C4C61">
        <w:rPr>
          <w:rFonts w:ascii="Palatino Linotype" w:eastAsia="Palatino Linotype" w:hAnsi="Palatino Linotype" w:cs="Palatino Linotype"/>
          <w:b/>
          <w:bCs/>
          <w:i/>
          <w:iCs/>
        </w:rPr>
        <w:t>XLV. Versión pública</w:t>
      </w:r>
      <w:r w:rsidRPr="005C4C61">
        <w:rPr>
          <w:rFonts w:ascii="Palatino Linotype" w:eastAsia="Palatino Linotype" w:hAnsi="Palatino Linotype" w:cs="Palatino Linotype"/>
          <w:i/>
          <w:iCs/>
        </w:rPr>
        <w:t>: Documento en el que se elimine, suprime o borra la información clasificada como reservada o confidencial para permitir su acceso.”</w:t>
      </w:r>
    </w:p>
    <w:p w:rsidR="00C2510E" w:rsidRPr="005C4C61" w:rsidRDefault="00C2510E">
      <w:pPr>
        <w:spacing w:line="360" w:lineRule="auto"/>
        <w:ind w:left="851" w:right="1041"/>
        <w:jc w:val="both"/>
        <w:rPr>
          <w:rFonts w:ascii="Palatino Linotype" w:eastAsia="Palatino Linotype" w:hAnsi="Palatino Linotype" w:cs="Palatino Linotype"/>
          <w:i/>
          <w:iCs/>
        </w:rPr>
      </w:pPr>
    </w:p>
    <w:p w:rsidR="00C2510E" w:rsidRPr="005C4C61" w:rsidRDefault="00C83BDF">
      <w:pPr>
        <w:spacing w:line="360" w:lineRule="auto"/>
        <w:ind w:left="851" w:right="1041"/>
        <w:jc w:val="both"/>
        <w:rPr>
          <w:rFonts w:ascii="Palatino Linotype" w:eastAsia="Palatino Linotype" w:hAnsi="Palatino Linotype" w:cs="Palatino Linotype"/>
          <w:i/>
          <w:iCs/>
        </w:rPr>
      </w:pPr>
      <w:r w:rsidRPr="005C4C61">
        <w:rPr>
          <w:rFonts w:ascii="Palatino Linotype" w:eastAsia="Palatino Linotype" w:hAnsi="Palatino Linotype" w:cs="Palatino Linotype"/>
          <w:b/>
          <w:bCs/>
          <w:i/>
          <w:iCs/>
        </w:rPr>
        <w:t>“Artículo 6.</w:t>
      </w:r>
      <w:r w:rsidRPr="005C4C61">
        <w:rPr>
          <w:rFonts w:ascii="Palatino Linotype" w:eastAsia="Palatino Linotype" w:hAnsi="Palatino Linotype" w:cs="Palatino Linotype"/>
          <w:i/>
          <w:iCs/>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C2510E" w:rsidRPr="005C4C61" w:rsidRDefault="00C83BDF">
      <w:pPr>
        <w:spacing w:line="360" w:lineRule="auto"/>
        <w:ind w:left="851" w:right="1041"/>
        <w:jc w:val="both"/>
        <w:rPr>
          <w:rFonts w:ascii="Palatino Linotype" w:eastAsia="Palatino Linotype" w:hAnsi="Palatino Linotype" w:cs="Palatino Linotype"/>
          <w:i/>
          <w:iCs/>
        </w:rPr>
      </w:pPr>
      <w:r w:rsidRPr="005C4C61">
        <w:rPr>
          <w:rFonts w:ascii="Palatino Linotype" w:eastAsia="Palatino Linotype" w:hAnsi="Palatino Linotype" w:cs="Palatino Linotype"/>
          <w:i/>
          <w:iCs/>
        </w:rPr>
        <w:lastRenderedPageBreak/>
        <w:t> </w:t>
      </w:r>
      <w:r w:rsidRPr="005C4C61">
        <w:rPr>
          <w:rFonts w:ascii="Palatino Linotype" w:eastAsia="Palatino Linotype" w:hAnsi="Palatino Linotype" w:cs="Palatino Linotype"/>
          <w:b/>
          <w:bCs/>
          <w:i/>
          <w:iCs/>
        </w:rPr>
        <w:t>Artículo 49.</w:t>
      </w:r>
      <w:r w:rsidRPr="005C4C61">
        <w:rPr>
          <w:rFonts w:ascii="Palatino Linotype" w:eastAsia="Palatino Linotype" w:hAnsi="Palatino Linotype" w:cs="Palatino Linotype"/>
          <w:i/>
          <w:iCs/>
        </w:rPr>
        <w:t> Los Comités de Transparencia tendrán las siguientes atribuciones:</w:t>
      </w:r>
    </w:p>
    <w:p w:rsidR="00C2510E" w:rsidRPr="005C4C61" w:rsidRDefault="00C83BDF">
      <w:pPr>
        <w:spacing w:line="360" w:lineRule="auto"/>
        <w:ind w:left="851" w:right="1041"/>
        <w:jc w:val="both"/>
        <w:rPr>
          <w:rFonts w:ascii="Palatino Linotype" w:eastAsia="Palatino Linotype" w:hAnsi="Palatino Linotype" w:cs="Palatino Linotype"/>
          <w:i/>
          <w:iCs/>
        </w:rPr>
      </w:pPr>
      <w:r w:rsidRPr="005C4C61">
        <w:rPr>
          <w:rFonts w:ascii="Palatino Linotype" w:eastAsia="Palatino Linotype" w:hAnsi="Palatino Linotype" w:cs="Palatino Linotype"/>
          <w:i/>
          <w:iCs/>
        </w:rPr>
        <w:t>(…)</w:t>
      </w:r>
    </w:p>
    <w:p w:rsidR="00C2510E" w:rsidRPr="005C4C61" w:rsidRDefault="00C83BDF">
      <w:pPr>
        <w:spacing w:line="360" w:lineRule="auto"/>
        <w:ind w:left="851" w:right="1041"/>
        <w:jc w:val="both"/>
        <w:rPr>
          <w:rFonts w:ascii="Palatino Linotype" w:eastAsia="Palatino Linotype" w:hAnsi="Palatino Linotype" w:cs="Palatino Linotype"/>
          <w:i/>
          <w:iCs/>
        </w:rPr>
      </w:pPr>
      <w:r w:rsidRPr="005C4C61">
        <w:rPr>
          <w:rFonts w:ascii="Palatino Linotype" w:eastAsia="Palatino Linotype" w:hAnsi="Palatino Linotype" w:cs="Palatino Linotype"/>
          <w:b/>
          <w:bCs/>
          <w:i/>
          <w:iCs/>
        </w:rPr>
        <w:t>VIII</w:t>
      </w:r>
      <w:r w:rsidRPr="005C4C61">
        <w:rPr>
          <w:rFonts w:ascii="Palatino Linotype" w:eastAsia="Palatino Linotype" w:hAnsi="Palatino Linotype" w:cs="Palatino Linotype"/>
          <w:i/>
          <w:iCs/>
        </w:rPr>
        <w:t>. Aprobar, modificar o revocar la clasificación de la información;</w:t>
      </w:r>
    </w:p>
    <w:p w:rsidR="00C2510E" w:rsidRPr="005C4C61" w:rsidRDefault="00C83BDF">
      <w:pPr>
        <w:spacing w:line="360" w:lineRule="auto"/>
        <w:ind w:left="851" w:right="1041"/>
        <w:jc w:val="both"/>
        <w:rPr>
          <w:rFonts w:ascii="Palatino Linotype" w:eastAsia="Palatino Linotype" w:hAnsi="Palatino Linotype" w:cs="Palatino Linotype"/>
          <w:i/>
          <w:iCs/>
        </w:rPr>
      </w:pPr>
      <w:r w:rsidRPr="005C4C61">
        <w:rPr>
          <w:rFonts w:ascii="Palatino Linotype" w:eastAsia="Palatino Linotype" w:hAnsi="Palatino Linotype" w:cs="Palatino Linotype"/>
          <w:i/>
          <w:iCs/>
        </w:rPr>
        <w:t>(…)</w:t>
      </w:r>
    </w:p>
    <w:p w:rsidR="00C2510E" w:rsidRPr="005C4C61" w:rsidRDefault="00C83BDF">
      <w:pPr>
        <w:spacing w:line="360" w:lineRule="auto"/>
        <w:ind w:left="851" w:right="1041"/>
        <w:jc w:val="both"/>
        <w:rPr>
          <w:rFonts w:ascii="Palatino Linotype" w:eastAsia="Palatino Linotype" w:hAnsi="Palatino Linotype" w:cs="Palatino Linotype"/>
          <w:i/>
          <w:iCs/>
        </w:rPr>
      </w:pPr>
      <w:r w:rsidRPr="005C4C61">
        <w:rPr>
          <w:rFonts w:ascii="Palatino Linotype" w:eastAsia="Palatino Linotype" w:hAnsi="Palatino Linotype" w:cs="Palatino Linotype"/>
          <w:b/>
          <w:bCs/>
          <w:i/>
          <w:iCs/>
        </w:rPr>
        <w:t xml:space="preserve">Artículo 91. </w:t>
      </w:r>
      <w:r w:rsidRPr="005C4C61">
        <w:rPr>
          <w:rFonts w:ascii="Palatino Linotype" w:eastAsia="Palatino Linotype" w:hAnsi="Palatino Linotype" w:cs="Palatino Linotype"/>
          <w:i/>
          <w:iCs/>
        </w:rPr>
        <w:t>El acceso a la información pública será restringido excepcionalmente, cuando ésta sea clasificada como reservada o confidencial.</w:t>
      </w:r>
    </w:p>
    <w:p w:rsidR="00C2510E" w:rsidRPr="005C4C61" w:rsidRDefault="00C2510E">
      <w:pPr>
        <w:spacing w:line="360" w:lineRule="auto"/>
        <w:ind w:left="851" w:right="1041"/>
        <w:jc w:val="both"/>
        <w:rPr>
          <w:rFonts w:ascii="Palatino Linotype" w:eastAsia="Palatino Linotype" w:hAnsi="Palatino Linotype" w:cs="Palatino Linotype"/>
          <w:i/>
          <w:iCs/>
        </w:rPr>
      </w:pPr>
    </w:p>
    <w:p w:rsidR="00C2510E" w:rsidRPr="005C4C61" w:rsidRDefault="00C83BDF">
      <w:pPr>
        <w:spacing w:line="360" w:lineRule="auto"/>
        <w:ind w:left="851" w:right="1041"/>
        <w:jc w:val="both"/>
        <w:rPr>
          <w:rFonts w:ascii="Palatino Linotype" w:eastAsia="Palatino Linotype" w:hAnsi="Palatino Linotype" w:cs="Palatino Linotype"/>
          <w:b/>
          <w:bCs/>
          <w:i/>
          <w:iCs/>
        </w:rPr>
      </w:pPr>
      <w:r w:rsidRPr="005C4C61">
        <w:rPr>
          <w:rFonts w:ascii="Palatino Linotype" w:eastAsia="Palatino Linotype" w:hAnsi="Palatino Linotype" w:cs="Palatino Linotype"/>
          <w:b/>
          <w:bCs/>
          <w:i/>
          <w:iCs/>
        </w:rPr>
        <w:t>“Artículo 137.</w:t>
      </w:r>
      <w:r w:rsidRPr="005C4C61">
        <w:rPr>
          <w:rFonts w:ascii="Palatino Linotype" w:eastAsia="Palatino Linotype" w:hAnsi="Palatino Linotype" w:cs="Palatino Linotype"/>
          <w:i/>
          <w:iCs/>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C2510E" w:rsidRPr="005C4C61" w:rsidRDefault="00C2510E">
      <w:pPr>
        <w:spacing w:line="360" w:lineRule="auto"/>
        <w:ind w:left="851" w:right="1041"/>
        <w:jc w:val="both"/>
        <w:rPr>
          <w:rFonts w:ascii="Palatino Linotype" w:eastAsia="Palatino Linotype" w:hAnsi="Palatino Linotype" w:cs="Palatino Linotype"/>
          <w:b/>
          <w:bCs/>
          <w:i/>
          <w:iCs/>
        </w:rPr>
      </w:pPr>
    </w:p>
    <w:p w:rsidR="00C2510E" w:rsidRPr="005C4C61" w:rsidRDefault="00C83BDF">
      <w:pPr>
        <w:spacing w:line="360" w:lineRule="auto"/>
        <w:ind w:left="851" w:right="1041"/>
        <w:jc w:val="both"/>
        <w:rPr>
          <w:rFonts w:ascii="Palatino Linotype" w:eastAsia="Palatino Linotype" w:hAnsi="Palatino Linotype" w:cs="Palatino Linotype"/>
          <w:i/>
          <w:iCs/>
        </w:rPr>
      </w:pPr>
      <w:r w:rsidRPr="005C4C61">
        <w:rPr>
          <w:rFonts w:ascii="Palatino Linotype" w:eastAsia="Palatino Linotype" w:hAnsi="Palatino Linotype" w:cs="Palatino Linotype"/>
          <w:b/>
          <w:bCs/>
          <w:i/>
          <w:iCs/>
        </w:rPr>
        <w:t>“Artículo 143</w:t>
      </w:r>
      <w:r w:rsidRPr="005C4C61">
        <w:rPr>
          <w:rFonts w:ascii="Palatino Linotype" w:eastAsia="Palatino Linotype" w:hAnsi="Palatino Linotype" w:cs="Palatino Linotype"/>
          <w:i/>
          <w:iCs/>
        </w:rPr>
        <w:t>. Para los efectos de esta Ley se considera información confidencial, la clasificada como tal, de manera permanente, por su naturaleza, cuando:</w:t>
      </w:r>
    </w:p>
    <w:p w:rsidR="00C2510E" w:rsidRPr="005C4C61" w:rsidRDefault="00C83BDF">
      <w:pPr>
        <w:spacing w:line="360" w:lineRule="auto"/>
        <w:ind w:left="851" w:right="1041"/>
        <w:jc w:val="both"/>
        <w:rPr>
          <w:rFonts w:ascii="Palatino Linotype" w:eastAsia="Palatino Linotype" w:hAnsi="Palatino Linotype" w:cs="Palatino Linotype"/>
          <w:i/>
          <w:iCs/>
        </w:rPr>
      </w:pPr>
      <w:r w:rsidRPr="005C4C61">
        <w:rPr>
          <w:rFonts w:ascii="Palatino Linotype" w:eastAsia="Palatino Linotype" w:hAnsi="Palatino Linotype" w:cs="Palatino Linotype"/>
          <w:b/>
          <w:bCs/>
          <w:i/>
          <w:iCs/>
        </w:rPr>
        <w:t>I.</w:t>
      </w:r>
      <w:r w:rsidRPr="005C4C61">
        <w:rPr>
          <w:rFonts w:ascii="Palatino Linotype" w:eastAsia="Palatino Linotype" w:hAnsi="Palatino Linotype" w:cs="Palatino Linotype"/>
          <w:i/>
          <w:iCs/>
        </w:rPr>
        <w:t xml:space="preserve"> Se refiera a la información privada y los datos personales concernientes a una persona física o jurídica colectiva identificada o identificable;</w:t>
      </w:r>
    </w:p>
    <w:p w:rsidR="00C2510E" w:rsidRPr="005C4C61" w:rsidRDefault="00C83BDF">
      <w:pPr>
        <w:spacing w:line="360" w:lineRule="auto"/>
        <w:ind w:left="851" w:right="1041"/>
        <w:jc w:val="both"/>
        <w:rPr>
          <w:rFonts w:ascii="Palatino Linotype" w:eastAsia="Palatino Linotype" w:hAnsi="Palatino Linotype" w:cs="Palatino Linotype"/>
          <w:i/>
          <w:iCs/>
        </w:rPr>
      </w:pPr>
      <w:r w:rsidRPr="005C4C61">
        <w:rPr>
          <w:rFonts w:ascii="Palatino Linotype" w:eastAsia="Palatino Linotype" w:hAnsi="Palatino Linotype" w:cs="Palatino Linotype"/>
          <w:i/>
          <w:iCs/>
        </w:rPr>
        <w:t>II. Los secretos bancario, fiduciario, industrial, comercial, fiscal, bursátil y postal, cuya titularidad corresponda a particulares, sujetos de derecho internacional o a sujetos obligados cuando no involucren el ejercicio de recursos públicos; y</w:t>
      </w:r>
    </w:p>
    <w:p w:rsidR="00C2510E" w:rsidRPr="005C4C61" w:rsidRDefault="00C83BDF">
      <w:pPr>
        <w:spacing w:line="360" w:lineRule="auto"/>
        <w:ind w:left="851" w:right="1041"/>
        <w:jc w:val="both"/>
        <w:rPr>
          <w:rFonts w:ascii="Palatino Linotype" w:eastAsia="Palatino Linotype" w:hAnsi="Palatino Linotype" w:cs="Palatino Linotype"/>
          <w:i/>
          <w:iCs/>
        </w:rPr>
      </w:pPr>
      <w:r w:rsidRPr="005C4C61">
        <w:rPr>
          <w:rFonts w:ascii="Palatino Linotype" w:eastAsia="Palatino Linotype" w:hAnsi="Palatino Linotype" w:cs="Palatino Linotype"/>
          <w:i/>
          <w:iCs/>
        </w:rPr>
        <w:t xml:space="preserve">III. La que presenten los particulares a los sujetos obligados, de conformidad con lo dispuesto por las leyes o los tratados internacionales.” </w:t>
      </w:r>
    </w:p>
    <w:p w:rsidR="00C2510E" w:rsidRPr="005C4C61" w:rsidRDefault="00C2510E">
      <w:pPr>
        <w:spacing w:line="360" w:lineRule="auto"/>
        <w:ind w:left="993" w:right="1041"/>
        <w:jc w:val="both"/>
        <w:rPr>
          <w:rFonts w:ascii="Palatino Linotype" w:eastAsia="Palatino Linotype" w:hAnsi="Palatino Linotype" w:cs="Palatino Linotype"/>
          <w:i/>
          <w:iCs/>
        </w:rPr>
      </w:pP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rPr>
      </w:pPr>
      <w:r w:rsidRPr="005C4C61">
        <w:rPr>
          <w:rFonts w:ascii="Palatino Linotype" w:eastAsia="Palatino Linotype" w:hAnsi="Palatino Linotype" w:cs="Palatino Linotype"/>
        </w:rPr>
        <w:lastRenderedPageBreak/>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C2510E" w:rsidRPr="005C4C61" w:rsidRDefault="00C2510E">
      <w:pPr>
        <w:spacing w:line="360" w:lineRule="auto"/>
        <w:jc w:val="both"/>
        <w:rPr>
          <w:rFonts w:ascii="Palatino Linotype" w:eastAsia="Palatino Linotype" w:hAnsi="Palatino Linotype" w:cs="Palatino Linotype"/>
        </w:rPr>
      </w:pP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rPr>
      </w:pPr>
      <w:r w:rsidRPr="005C4C61">
        <w:rPr>
          <w:rFonts w:ascii="Palatino Linotype" w:eastAsia="Palatino Linotype" w:hAnsi="Palatino Linotype" w:cs="Palatino Linotype"/>
        </w:rPr>
        <w:t>En el caso concreto, de manera enunciativa más no limitativa, el RFC de proveedores, no puede considerarse como clasificado aun siendo de personas físicas ya que corresponde a un requisito indispensable para ser contratista y/o proveedor y llevar a cabo actividades comerciales con los sujetos obligados de la Entidad, ya que sin este, no se pueden realizar, por lo que su entrega es un elemento adicional que respalda la legalidad de los procesos de contratación de obra pública, como corresponde a lo solicitado.</w:t>
      </w:r>
    </w:p>
    <w:p w:rsidR="00C2510E" w:rsidRPr="005C4C61" w:rsidRDefault="00C2510E">
      <w:pPr>
        <w:spacing w:line="360" w:lineRule="auto"/>
        <w:ind w:right="-91"/>
        <w:jc w:val="both"/>
        <w:rPr>
          <w:rFonts w:ascii="Palatino Linotype" w:eastAsia="Palatino Linotype" w:hAnsi="Palatino Linotype" w:cs="Palatino Linotype"/>
        </w:rPr>
      </w:pPr>
    </w:p>
    <w:p w:rsidR="00C2510E" w:rsidRDefault="00C83BDF">
      <w:pPr>
        <w:numPr>
          <w:ilvl w:val="0"/>
          <w:numId w:val="1"/>
        </w:numPr>
        <w:spacing w:line="360" w:lineRule="auto"/>
        <w:ind w:left="0" w:firstLine="0"/>
        <w:jc w:val="both"/>
        <w:rPr>
          <w:rFonts w:ascii="Palatino Linotype" w:eastAsia="Palatino Linotype" w:hAnsi="Palatino Linotype" w:cs="Palatino Linotype"/>
        </w:rPr>
      </w:pPr>
      <w:r w:rsidRPr="005C4C61">
        <w:rPr>
          <w:rFonts w:ascii="Palatino Linotype" w:eastAsia="Palatino Linotype" w:hAnsi="Palatino Linotype" w:cs="Palatino Linotype"/>
        </w:rPr>
        <w:t xml:space="preserve">En ese contexto, entregar el Registro Federal de Contribuyentes de personas físicas cuando aceptan realizar la construcción de obras públicas con recursos del erario, favorece la rendición de cuentas, al permitir verificar que se cumplió con uno de los requisitos necesarios conforme a la normatividad aplicable en materia de contrataciones, lo cual, transparenta el </w:t>
      </w:r>
      <w:r w:rsidRPr="005C4C61">
        <w:rPr>
          <w:rFonts w:ascii="Palatino Linotype" w:eastAsia="Palatino Linotype" w:hAnsi="Palatino Linotype" w:cs="Palatino Linotype"/>
        </w:rPr>
        <w:lastRenderedPageBreak/>
        <w:t>correcto ejercicio de recursos públicos por parte de los sujetos obligados, lo que es acorde con el principio de máxima publicidad.</w:t>
      </w:r>
    </w:p>
    <w:p w:rsidR="005C4C61" w:rsidRPr="005C4C61" w:rsidRDefault="005C4C61" w:rsidP="005C4C61">
      <w:pPr>
        <w:spacing w:line="360" w:lineRule="auto"/>
        <w:jc w:val="both"/>
        <w:rPr>
          <w:rFonts w:ascii="Palatino Linotype" w:eastAsia="Palatino Linotype" w:hAnsi="Palatino Linotype" w:cs="Palatino Linotype"/>
        </w:rPr>
      </w:pP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rPr>
      </w:pPr>
      <w:r w:rsidRPr="005C4C61">
        <w:rPr>
          <w:rFonts w:ascii="Palatino Linotype" w:eastAsia="Palatino Linotype" w:hAnsi="Palatino Linotype" w:cs="Palatino Linotype"/>
        </w:rPr>
        <w:t>No debe dejarse de lado, que cualquier persona que pretenda tener cualquier tipo de relación, laboral, empresarial, de trámites, servicios o comercial, para el caso que nos ocupa, debe en cierta medida ceder información relacionada con su vida, en aras de obtener el beneficio pretendido, como formar parte de los proveedores gubernamentales, al respecto, la información sobre la que se debe conceder publicidad sólo es aquella relacionada con el ejercicio de recursos públicos o de funciones y las facturas, pólizas y documentos en donde constan las transferencias bancarias de pagos de sujetos obligados, están vinculadas directamente con el ejercicio de recursos públicos.</w:t>
      </w:r>
    </w:p>
    <w:p w:rsidR="00C2510E" w:rsidRPr="005C4C61" w:rsidRDefault="00C2510E">
      <w:pPr>
        <w:spacing w:line="360" w:lineRule="auto"/>
        <w:ind w:right="-91"/>
        <w:jc w:val="both"/>
        <w:rPr>
          <w:rFonts w:ascii="Palatino Linotype" w:eastAsia="Palatino Linotype" w:hAnsi="Palatino Linotype" w:cs="Palatino Linotype"/>
        </w:rPr>
      </w:pP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rPr>
      </w:pPr>
      <w:r w:rsidRPr="005C4C61">
        <w:rPr>
          <w:rFonts w:ascii="Palatino Linotype" w:eastAsia="Palatino Linotype" w:hAnsi="Palatino Linotype" w:cs="Palatino Linotype"/>
        </w:rPr>
        <w:t>Por lo que refiere al RFC de personas jurídico-colectivas, se reitera que no constituyen información confidencial, tal y como lo estableció en Instituto Nacional de Transparencia, Acceso a la Información Pública y Protección de Datos Personales –INAI-, en su Criterio histórico 1/2014.</w:t>
      </w:r>
    </w:p>
    <w:p w:rsidR="00C2510E" w:rsidRPr="005C4C61" w:rsidRDefault="00C83BDF">
      <w:pPr>
        <w:spacing w:line="360" w:lineRule="auto"/>
        <w:ind w:left="567" w:right="539"/>
        <w:jc w:val="both"/>
        <w:rPr>
          <w:rFonts w:ascii="Palatino Linotype" w:eastAsia="Palatino Linotype" w:hAnsi="Palatino Linotype" w:cs="Palatino Linotype"/>
          <w:i/>
          <w:iCs/>
        </w:rPr>
      </w:pPr>
      <w:r w:rsidRPr="005C4C61">
        <w:rPr>
          <w:rFonts w:ascii="Palatino Linotype" w:eastAsia="Palatino Linotype" w:hAnsi="Palatino Linotype" w:cs="Palatino Linotype"/>
          <w:b/>
          <w:bCs/>
          <w:i/>
          <w:iCs/>
        </w:rPr>
        <w:t>Denominación o razón social, y Registro Federal de Contribuyentes de personas morales, no constituyen información confidencial</w:t>
      </w:r>
      <w:r w:rsidRPr="005C4C61">
        <w:rPr>
          <w:rFonts w:ascii="Palatino Linotype" w:eastAsia="Palatino Linotype" w:hAnsi="Palatino Linotype" w:cs="Palatino Linotype"/>
          <w:i/>
          <w:iCs/>
        </w:rPr>
        <w:t xml:space="preserve">. La denominación o razón social de personas morales es pública, por encontrarse inscritas en el Registro Público de Comercio. Por lo que respecta a su Registro Federal de Contribuyentes (RFC), en principio, también es público, ya que no se refiere a hechos o actos de carácter económico, contable, jurídico o administrativo que sean útiles o representen una ventaja a sus competidores, en términos de lo dispuesto en el artículo 18, fracción I de la Ley Federal de Transparencia y Acceso a </w:t>
      </w:r>
      <w:r w:rsidRPr="005C4C61">
        <w:rPr>
          <w:rFonts w:ascii="Palatino Linotype" w:eastAsia="Palatino Linotype" w:hAnsi="Palatino Linotype" w:cs="Palatino Linotype"/>
          <w:i/>
          <w:iCs/>
        </w:rPr>
        <w:lastRenderedPageBreak/>
        <w:t>la Información Pública Gubernamental y en el Trigésimo Sexto de los Lineamientos Generales para la clasificación y desclasificación de la información de las dependencias y entidades de la Administración Pública Federal; aunado al hecho de que tampoco se trata de información concerniente a personas físicas, por lo que no puede considerarse un dato personal, con fundamento en lo previsto en el artículo 18, fracción II de ese ordenamiento legal. Por lo anterior, la denominación o razón social, así como el RFC de personas morales, no constituye información confidencial.</w:t>
      </w:r>
    </w:p>
    <w:p w:rsidR="00C2510E" w:rsidRPr="005C4C61" w:rsidRDefault="00C2510E">
      <w:pPr>
        <w:spacing w:line="360" w:lineRule="auto"/>
        <w:ind w:right="-91"/>
        <w:jc w:val="both"/>
        <w:rPr>
          <w:rFonts w:ascii="Palatino Linotype" w:eastAsia="Palatino Linotype" w:hAnsi="Palatino Linotype" w:cs="Palatino Linotype"/>
        </w:rPr>
      </w:pP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rPr>
      </w:pPr>
      <w:r w:rsidRPr="005C4C61">
        <w:rPr>
          <w:rFonts w:ascii="Palatino Linotype" w:eastAsia="Palatino Linotype" w:hAnsi="Palatino Linotype" w:cs="Palatino Linotype"/>
        </w:rPr>
        <w:t>Por consiguiente, no procede clasificar como confidencial con fundamento en el artículo 143, fracción I, de la Ley de Transparencia y Acceso a la Información Pública del Estado de México y Municipios y, eliminar RFC de personas físicas ni de personas jurídico-colectivas en los documentos que pudiera proporcionar el Sujeto Obligado.</w:t>
      </w:r>
    </w:p>
    <w:p w:rsidR="00C2510E" w:rsidRPr="005C4C61" w:rsidRDefault="00C2510E">
      <w:pPr>
        <w:spacing w:line="360" w:lineRule="auto"/>
        <w:ind w:right="-93"/>
        <w:jc w:val="both"/>
        <w:rPr>
          <w:rFonts w:ascii="Palatino Linotype" w:eastAsia="Palatino Linotype" w:hAnsi="Palatino Linotype" w:cs="Palatino Linotype"/>
        </w:rPr>
      </w:pPr>
    </w:p>
    <w:p w:rsidR="00C2510E" w:rsidRPr="005C4C61" w:rsidRDefault="00C83BDF">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5C4C61">
        <w:rPr>
          <w:rFonts w:ascii="Palatino Linotype" w:eastAsia="Palatino Linotype" w:hAnsi="Palatino Linotype" w:cs="Palatino Linotype"/>
          <w:b/>
          <w:bCs/>
          <w:color w:val="000000"/>
        </w:rPr>
        <w:t xml:space="preserve">Clave </w:t>
      </w:r>
      <w:r w:rsidRPr="005C4C61">
        <w:rPr>
          <w:rFonts w:ascii="Palatino Linotype" w:eastAsia="Palatino Linotype" w:hAnsi="Palatino Linotype" w:cs="Palatino Linotype"/>
          <w:b/>
          <w:bCs/>
          <w:smallCaps/>
          <w:color w:val="000000"/>
        </w:rPr>
        <w:t>Ú</w:t>
      </w:r>
      <w:r w:rsidRPr="005C4C61">
        <w:rPr>
          <w:rFonts w:ascii="Palatino Linotype" w:eastAsia="Palatino Linotype" w:hAnsi="Palatino Linotype" w:cs="Palatino Linotype"/>
          <w:b/>
          <w:bCs/>
          <w:color w:val="000000"/>
        </w:rPr>
        <w:t>nica de Registro de Población –CURP-.</w:t>
      </w: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rPr>
      </w:pPr>
      <w:r w:rsidRPr="005C4C61">
        <w:rPr>
          <w:rFonts w:ascii="Palatino Linotype" w:eastAsia="Palatino Linotype" w:hAnsi="Palatino Linotype" w:cs="Palatino Linotype"/>
        </w:rPr>
        <w:t xml:space="preserve">El artículo 36 de la Constitución Política de los Estados Unidos Mexicanos, dispone la obligación de los ciudadanos de inscribirse en el Registro Nacional de Ciudadanos. </w:t>
      </w:r>
    </w:p>
    <w:p w:rsidR="00C2510E" w:rsidRPr="005C4C61" w:rsidRDefault="00C2510E">
      <w:pPr>
        <w:spacing w:line="360" w:lineRule="auto"/>
        <w:jc w:val="both"/>
        <w:rPr>
          <w:rFonts w:ascii="Palatino Linotype" w:eastAsia="Palatino Linotype" w:hAnsi="Palatino Linotype" w:cs="Palatino Linotype"/>
        </w:rPr>
      </w:pP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rPr>
      </w:pPr>
      <w:r w:rsidRPr="005C4C61">
        <w:rPr>
          <w:rFonts w:ascii="Palatino Linotype" w:eastAsia="Palatino Linotype" w:hAnsi="Palatino Linotype" w:cs="Palatino Linotype"/>
        </w:rPr>
        <w:t>El artículo 85 de la Ley General de Población, prevé que corresponde a la Secretaría de Gobernación el registro y acreditación de la identidad de todas las personas residentes en el país y de los nacionales que residan en el extranjero.</w:t>
      </w:r>
    </w:p>
    <w:p w:rsidR="00C2510E" w:rsidRPr="005C4C61" w:rsidRDefault="00C2510E">
      <w:pPr>
        <w:spacing w:line="360" w:lineRule="auto"/>
        <w:jc w:val="both"/>
        <w:rPr>
          <w:rFonts w:ascii="Palatino Linotype" w:eastAsia="Palatino Linotype" w:hAnsi="Palatino Linotype" w:cs="Palatino Linotype"/>
        </w:rPr>
      </w:pP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rPr>
      </w:pPr>
      <w:r w:rsidRPr="005C4C61">
        <w:rPr>
          <w:rFonts w:ascii="Palatino Linotype" w:eastAsia="Palatino Linotype" w:hAnsi="Palatino Linotype" w:cs="Palatino Linotype"/>
        </w:rPr>
        <w:t xml:space="preserve">Acorde con lo anterior, el artículo 22 del Reglamento Interior de la Secretaría de Gobernación, establece en su fracción III, que la Dirección General del Registro Nacional de </w:t>
      </w:r>
      <w:r w:rsidRPr="005C4C61">
        <w:rPr>
          <w:rFonts w:ascii="Palatino Linotype" w:eastAsia="Palatino Linotype" w:hAnsi="Palatino Linotype" w:cs="Palatino Linotype"/>
        </w:rPr>
        <w:lastRenderedPageBreak/>
        <w:t>Población e Identificación Personal tiene la atribución de asignar y depurar la Clave Única de Registro de Población a todas las personas residentes en el país, así como a los mexicanos que residan en el extranjero.</w:t>
      </w:r>
    </w:p>
    <w:p w:rsidR="00C2510E" w:rsidRPr="005C4C61" w:rsidRDefault="00C2510E">
      <w:pPr>
        <w:spacing w:line="360" w:lineRule="auto"/>
        <w:jc w:val="both"/>
        <w:rPr>
          <w:rFonts w:ascii="Palatino Linotype" w:eastAsia="Palatino Linotype" w:hAnsi="Palatino Linotype" w:cs="Palatino Linotype"/>
          <w:b/>
          <w:bCs/>
        </w:rPr>
      </w:pP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rPr>
      </w:pPr>
      <w:r w:rsidRPr="005C4C61">
        <w:rPr>
          <w:rFonts w:ascii="Palatino Linotype" w:eastAsia="Palatino Linotype" w:hAnsi="Palatino Linotype" w:cs="Palatino Linotype"/>
        </w:rPr>
        <w:t>Luego entonces,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00C2510E" w:rsidRPr="005C4C61" w:rsidRDefault="00C2510E">
      <w:pPr>
        <w:spacing w:line="360" w:lineRule="auto"/>
        <w:jc w:val="both"/>
        <w:rPr>
          <w:rFonts w:ascii="Palatino Linotype" w:eastAsia="Palatino Linotype" w:hAnsi="Palatino Linotype" w:cs="Palatino Linotype"/>
        </w:rPr>
      </w:pP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rPr>
      </w:pPr>
      <w:r w:rsidRPr="005C4C61">
        <w:rPr>
          <w:rFonts w:ascii="Palatino Linotype" w:eastAsia="Palatino Linotype" w:hAnsi="Palatino Linotype" w:cs="Palatino Linotype"/>
        </w:rPr>
        <w:t>Resulta aplicable en la especie, como argumento orientador, el Criterio 3/10, emitido por el entonces INAI.</w:t>
      </w:r>
    </w:p>
    <w:p w:rsidR="00C2510E" w:rsidRPr="005C4C61" w:rsidRDefault="00C83BDF">
      <w:pPr>
        <w:spacing w:line="360" w:lineRule="auto"/>
        <w:ind w:left="567" w:right="567"/>
        <w:jc w:val="both"/>
        <w:rPr>
          <w:rFonts w:ascii="Palatino Linotype" w:eastAsia="Palatino Linotype" w:hAnsi="Palatino Linotype" w:cs="Palatino Linotype"/>
          <w:i/>
          <w:iCs/>
          <w:color w:val="000000"/>
        </w:rPr>
      </w:pPr>
      <w:r w:rsidRPr="005C4C61">
        <w:rPr>
          <w:rFonts w:ascii="Palatino Linotype" w:eastAsia="Palatino Linotype" w:hAnsi="Palatino Linotype" w:cs="Palatino Linotype"/>
          <w:b/>
          <w:bCs/>
          <w:i/>
          <w:iCs/>
          <w:color w:val="000000"/>
        </w:rPr>
        <w:t xml:space="preserve">Clave Única de Registro de Población (CURP) es un dato personal confidencial. </w:t>
      </w:r>
      <w:r w:rsidRPr="005C4C61">
        <w:rPr>
          <w:rFonts w:ascii="Palatino Linotype" w:eastAsia="Palatino Linotype" w:hAnsi="Palatino Linotype" w:cs="Palatino Linotype"/>
          <w:i/>
          <w:iCs/>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rPr>
      </w:pPr>
      <w:r w:rsidRPr="005C4C61">
        <w:rPr>
          <w:rFonts w:ascii="Palatino Linotype" w:eastAsia="Palatino Linotype" w:hAnsi="Palatino Linotype" w:cs="Palatino Linotype"/>
        </w:rPr>
        <w:lastRenderedPageBreak/>
        <w:t>De acuerdo con lo anterior, se la clave CURP, es un dato personal confidencial, en términos del artículo 143, fracción I de la Ley de Transparencia y Acceso a la Información Pública del Estado de México y Municipios.</w:t>
      </w: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rPr>
      </w:pPr>
      <w:r w:rsidRPr="005C4C61">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C2510E" w:rsidRPr="005C4C61" w:rsidRDefault="00C83BDF">
      <w:pPr>
        <w:spacing w:line="360" w:lineRule="auto"/>
        <w:ind w:left="992" w:right="1043"/>
        <w:jc w:val="both"/>
        <w:rPr>
          <w:rFonts w:ascii="Palatino Linotype" w:eastAsia="Palatino Linotype" w:hAnsi="Palatino Linotype" w:cs="Palatino Linotype"/>
          <w:i/>
          <w:iCs/>
        </w:rPr>
      </w:pPr>
      <w:r w:rsidRPr="005C4C61">
        <w:rPr>
          <w:rFonts w:ascii="Palatino Linotype" w:eastAsia="Palatino Linotype" w:hAnsi="Palatino Linotype" w:cs="Palatino Linotype"/>
          <w:b/>
          <w:bCs/>
          <w:i/>
          <w:iCs/>
        </w:rPr>
        <w:t>“Artículo 49.</w:t>
      </w:r>
      <w:r w:rsidRPr="005C4C61">
        <w:rPr>
          <w:rFonts w:ascii="Palatino Linotype" w:eastAsia="Palatino Linotype" w:hAnsi="Palatino Linotype" w:cs="Palatino Linotype"/>
          <w:i/>
          <w:iCs/>
        </w:rPr>
        <w:t xml:space="preserve"> </w:t>
      </w:r>
      <w:r w:rsidRPr="005C4C61">
        <w:rPr>
          <w:rFonts w:ascii="Palatino Linotype" w:eastAsia="Palatino Linotype" w:hAnsi="Palatino Linotype" w:cs="Palatino Linotype"/>
          <w:b/>
          <w:bCs/>
          <w:i/>
          <w:iCs/>
        </w:rPr>
        <w:t>Los Comités de Transparencia</w:t>
      </w:r>
      <w:r w:rsidRPr="005C4C61">
        <w:rPr>
          <w:rFonts w:ascii="Palatino Linotype" w:eastAsia="Palatino Linotype" w:hAnsi="Palatino Linotype" w:cs="Palatino Linotype"/>
          <w:i/>
          <w:iCs/>
        </w:rPr>
        <w:t xml:space="preserve"> tendrán las siguientes atribuciones:</w:t>
      </w:r>
    </w:p>
    <w:p w:rsidR="00C2510E" w:rsidRPr="005C4C61" w:rsidRDefault="00C83BDF">
      <w:pPr>
        <w:spacing w:line="360" w:lineRule="auto"/>
        <w:ind w:left="992" w:right="1043"/>
        <w:jc w:val="both"/>
        <w:rPr>
          <w:rFonts w:ascii="Palatino Linotype" w:eastAsia="Palatino Linotype" w:hAnsi="Palatino Linotype" w:cs="Palatino Linotype"/>
          <w:i/>
          <w:iCs/>
        </w:rPr>
      </w:pPr>
      <w:r w:rsidRPr="005C4C61">
        <w:rPr>
          <w:rFonts w:ascii="Palatino Linotype" w:eastAsia="Palatino Linotype" w:hAnsi="Palatino Linotype" w:cs="Palatino Linotype"/>
          <w:b/>
          <w:bCs/>
          <w:i/>
          <w:iCs/>
        </w:rPr>
        <w:t>VIII. Aprobar, modificar o revocar la clasificación de la información</w:t>
      </w:r>
      <w:r w:rsidRPr="005C4C61">
        <w:rPr>
          <w:rFonts w:ascii="Palatino Linotype" w:eastAsia="Palatino Linotype" w:hAnsi="Palatino Linotype" w:cs="Palatino Linotype"/>
          <w:i/>
          <w:iCs/>
        </w:rPr>
        <w:t>…”</w:t>
      </w:r>
    </w:p>
    <w:p w:rsidR="00C2510E" w:rsidRPr="005C4C61" w:rsidRDefault="00C83BDF">
      <w:pPr>
        <w:spacing w:line="360" w:lineRule="auto"/>
        <w:ind w:left="992" w:right="1043"/>
        <w:jc w:val="both"/>
        <w:rPr>
          <w:rFonts w:ascii="Palatino Linotype" w:eastAsia="Palatino Linotype" w:hAnsi="Palatino Linotype" w:cs="Palatino Linotype"/>
          <w:i/>
          <w:iCs/>
        </w:rPr>
      </w:pPr>
      <w:r w:rsidRPr="005C4C61">
        <w:rPr>
          <w:rFonts w:ascii="Palatino Linotype" w:eastAsia="Palatino Linotype" w:hAnsi="Palatino Linotype" w:cs="Palatino Linotype"/>
          <w:i/>
          <w:iCs/>
        </w:rPr>
        <w:t>“</w:t>
      </w:r>
      <w:r w:rsidRPr="005C4C61">
        <w:rPr>
          <w:rFonts w:ascii="Palatino Linotype" w:eastAsia="Palatino Linotype" w:hAnsi="Palatino Linotype" w:cs="Palatino Linotype"/>
          <w:b/>
          <w:bCs/>
          <w:i/>
          <w:iCs/>
        </w:rPr>
        <w:t>Artículo 53.</w:t>
      </w:r>
      <w:r w:rsidRPr="005C4C61">
        <w:rPr>
          <w:rFonts w:ascii="Palatino Linotype" w:eastAsia="Palatino Linotype" w:hAnsi="Palatino Linotype" w:cs="Palatino Linotype"/>
          <w:i/>
          <w:iCs/>
        </w:rPr>
        <w:t xml:space="preserve"> Las </w:t>
      </w:r>
      <w:r w:rsidRPr="005C4C61">
        <w:rPr>
          <w:rFonts w:ascii="Palatino Linotype" w:eastAsia="Palatino Linotype" w:hAnsi="Palatino Linotype" w:cs="Palatino Linotype"/>
          <w:b/>
          <w:bCs/>
          <w:i/>
          <w:iCs/>
        </w:rPr>
        <w:t>Unidades de Transparencia</w:t>
      </w:r>
      <w:r w:rsidRPr="005C4C61">
        <w:rPr>
          <w:rFonts w:ascii="Palatino Linotype" w:eastAsia="Palatino Linotype" w:hAnsi="Palatino Linotype" w:cs="Palatino Linotype"/>
          <w:i/>
          <w:iCs/>
        </w:rPr>
        <w:t xml:space="preserve"> tendrán las siguientes </w:t>
      </w:r>
      <w:r w:rsidRPr="005C4C61">
        <w:rPr>
          <w:rFonts w:ascii="Palatino Linotype" w:eastAsia="Palatino Linotype" w:hAnsi="Palatino Linotype" w:cs="Palatino Linotype"/>
          <w:b/>
          <w:bCs/>
          <w:i/>
          <w:iCs/>
        </w:rPr>
        <w:t>funciones</w:t>
      </w:r>
      <w:r w:rsidRPr="005C4C61">
        <w:rPr>
          <w:rFonts w:ascii="Palatino Linotype" w:eastAsia="Palatino Linotype" w:hAnsi="Palatino Linotype" w:cs="Palatino Linotype"/>
          <w:i/>
          <w:iCs/>
        </w:rPr>
        <w:t>:</w:t>
      </w:r>
    </w:p>
    <w:p w:rsidR="00C2510E" w:rsidRPr="005C4C61" w:rsidRDefault="00C83BDF">
      <w:pPr>
        <w:spacing w:line="360" w:lineRule="auto"/>
        <w:ind w:left="992" w:right="1043"/>
        <w:jc w:val="both"/>
        <w:rPr>
          <w:rFonts w:ascii="Palatino Linotype" w:eastAsia="Palatino Linotype" w:hAnsi="Palatino Linotype" w:cs="Palatino Linotype"/>
          <w:i/>
          <w:iCs/>
        </w:rPr>
      </w:pPr>
      <w:r w:rsidRPr="005C4C61">
        <w:rPr>
          <w:rFonts w:ascii="Palatino Linotype" w:eastAsia="Palatino Linotype" w:hAnsi="Palatino Linotype" w:cs="Palatino Linotype"/>
          <w:b/>
          <w:bCs/>
          <w:i/>
          <w:iCs/>
        </w:rPr>
        <w:t>X. Presentar ante el Comité, el proyecto de clasificación de información</w:t>
      </w:r>
      <w:r w:rsidRPr="005C4C61">
        <w:rPr>
          <w:rFonts w:ascii="Palatino Linotype" w:eastAsia="Palatino Linotype" w:hAnsi="Palatino Linotype" w:cs="Palatino Linotype"/>
          <w:i/>
          <w:iCs/>
        </w:rPr>
        <w:t xml:space="preserve">…” </w:t>
      </w:r>
    </w:p>
    <w:p w:rsidR="00C2510E" w:rsidRPr="005C4C61" w:rsidRDefault="00C83BDF">
      <w:pPr>
        <w:spacing w:line="360" w:lineRule="auto"/>
        <w:ind w:left="992" w:right="1043"/>
        <w:jc w:val="both"/>
        <w:rPr>
          <w:rFonts w:ascii="Palatino Linotype" w:eastAsia="Palatino Linotype" w:hAnsi="Palatino Linotype" w:cs="Palatino Linotype"/>
          <w:i/>
          <w:iCs/>
        </w:rPr>
      </w:pPr>
      <w:r w:rsidRPr="005C4C61">
        <w:rPr>
          <w:rFonts w:ascii="Palatino Linotype" w:eastAsia="Palatino Linotype" w:hAnsi="Palatino Linotype" w:cs="Palatino Linotype"/>
          <w:b/>
          <w:bCs/>
          <w:i/>
          <w:iCs/>
        </w:rPr>
        <w:t>“Artículo 59.</w:t>
      </w:r>
      <w:r w:rsidRPr="005C4C61">
        <w:rPr>
          <w:rFonts w:ascii="Palatino Linotype" w:eastAsia="Palatino Linotype" w:hAnsi="Palatino Linotype" w:cs="Palatino Linotype"/>
          <w:i/>
          <w:iCs/>
        </w:rPr>
        <w:t xml:space="preserve"> Los </w:t>
      </w:r>
      <w:r w:rsidRPr="005C4C61">
        <w:rPr>
          <w:rFonts w:ascii="Palatino Linotype" w:eastAsia="Palatino Linotype" w:hAnsi="Palatino Linotype" w:cs="Palatino Linotype"/>
          <w:b/>
          <w:bCs/>
          <w:i/>
          <w:iCs/>
        </w:rPr>
        <w:t>servidores públicos habilitados</w:t>
      </w:r>
      <w:r w:rsidRPr="005C4C61">
        <w:rPr>
          <w:rFonts w:ascii="Palatino Linotype" w:eastAsia="Palatino Linotype" w:hAnsi="Palatino Linotype" w:cs="Palatino Linotype"/>
          <w:i/>
          <w:iCs/>
        </w:rPr>
        <w:t xml:space="preserve"> tendrán las </w:t>
      </w:r>
      <w:r w:rsidRPr="005C4C61">
        <w:rPr>
          <w:rFonts w:ascii="Palatino Linotype" w:eastAsia="Palatino Linotype" w:hAnsi="Palatino Linotype" w:cs="Palatino Linotype"/>
          <w:b/>
          <w:bCs/>
          <w:i/>
          <w:iCs/>
        </w:rPr>
        <w:t>funciones</w:t>
      </w:r>
      <w:r w:rsidRPr="005C4C61">
        <w:rPr>
          <w:rFonts w:ascii="Palatino Linotype" w:eastAsia="Palatino Linotype" w:hAnsi="Palatino Linotype" w:cs="Palatino Linotype"/>
          <w:i/>
          <w:iCs/>
        </w:rPr>
        <w:t xml:space="preserve"> siguientes:</w:t>
      </w:r>
    </w:p>
    <w:p w:rsidR="00C2510E" w:rsidRPr="005C4C61" w:rsidRDefault="00C83BDF">
      <w:pPr>
        <w:spacing w:line="360" w:lineRule="auto"/>
        <w:ind w:left="992" w:right="1043"/>
        <w:jc w:val="both"/>
        <w:rPr>
          <w:rFonts w:ascii="Palatino Linotype" w:eastAsia="Palatino Linotype" w:hAnsi="Palatino Linotype" w:cs="Palatino Linotype"/>
          <w:i/>
          <w:iCs/>
        </w:rPr>
      </w:pPr>
      <w:r w:rsidRPr="005C4C61">
        <w:rPr>
          <w:rFonts w:ascii="Palatino Linotype" w:eastAsia="Palatino Linotype" w:hAnsi="Palatino Linotype" w:cs="Palatino Linotype"/>
          <w:b/>
          <w:bCs/>
          <w:i/>
          <w:iCs/>
        </w:rPr>
        <w:t>V. Integrar y presentar al responsable de la Unidad de Transparencia la propuesta de clasificación de información</w:t>
      </w:r>
      <w:r w:rsidRPr="005C4C61">
        <w:rPr>
          <w:rFonts w:ascii="Palatino Linotype" w:eastAsia="Palatino Linotype" w:hAnsi="Palatino Linotype" w:cs="Palatino Linotype"/>
          <w:i/>
          <w:iCs/>
        </w:rPr>
        <w:t>, la cual tendrá los fundamentos y argumentos en que se basa dicha propuesta…”</w:t>
      </w:r>
    </w:p>
    <w:p w:rsidR="00C2510E" w:rsidRPr="005C4C61" w:rsidRDefault="00C2510E">
      <w:pPr>
        <w:spacing w:line="360" w:lineRule="auto"/>
        <w:ind w:left="992" w:right="1043"/>
        <w:jc w:val="both"/>
        <w:rPr>
          <w:rFonts w:ascii="Palatino Linotype" w:eastAsia="Palatino Linotype" w:hAnsi="Palatino Linotype" w:cs="Palatino Linotype"/>
          <w:i/>
          <w:iCs/>
        </w:rPr>
      </w:pP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rPr>
      </w:pPr>
      <w:r w:rsidRPr="005C4C61">
        <w:rPr>
          <w:rFonts w:ascii="Palatino Linotype" w:eastAsia="Palatino Linotype" w:hAnsi="Palatino Linotype" w:cs="Palatino Linotype"/>
        </w:rPr>
        <w:lastRenderedPageBreak/>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C2510E" w:rsidRPr="005C4C61" w:rsidRDefault="00C2510E">
      <w:pPr>
        <w:spacing w:line="360" w:lineRule="auto"/>
        <w:jc w:val="both"/>
        <w:rPr>
          <w:rFonts w:ascii="Palatino Linotype" w:eastAsia="Palatino Linotype" w:hAnsi="Palatino Linotype" w:cs="Palatino Linotype"/>
        </w:rPr>
      </w:pP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rPr>
      </w:pPr>
      <w:r w:rsidRPr="005C4C61">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C2510E" w:rsidRPr="005C4C61" w:rsidRDefault="00C83BDF">
      <w:pPr>
        <w:spacing w:line="360" w:lineRule="auto"/>
        <w:ind w:left="993" w:right="1041"/>
        <w:jc w:val="both"/>
        <w:rPr>
          <w:rFonts w:ascii="Palatino Linotype" w:eastAsia="Palatino Linotype" w:hAnsi="Palatino Linotype" w:cs="Palatino Linotype"/>
          <w:i/>
          <w:iCs/>
        </w:rPr>
      </w:pPr>
      <w:r w:rsidRPr="005C4C61">
        <w:rPr>
          <w:rFonts w:ascii="Palatino Linotype" w:eastAsia="Palatino Linotype" w:hAnsi="Palatino Linotype" w:cs="Palatino Linotype"/>
          <w:i/>
          <w:iCs/>
        </w:rPr>
        <w:t>“</w:t>
      </w:r>
      <w:r w:rsidRPr="005C4C61">
        <w:rPr>
          <w:rFonts w:ascii="Palatino Linotype" w:eastAsia="Palatino Linotype" w:hAnsi="Palatino Linotype" w:cs="Palatino Linotype"/>
          <w:b/>
          <w:bCs/>
          <w:i/>
          <w:iCs/>
        </w:rPr>
        <w:t>Artículo 149.</w:t>
      </w:r>
      <w:r w:rsidRPr="005C4C61">
        <w:rPr>
          <w:rFonts w:ascii="Palatino Linotype" w:eastAsia="Palatino Linotype" w:hAnsi="Palatino Linotype" w:cs="Palatino Linotype"/>
          <w:i/>
          <w:iCs/>
        </w:rPr>
        <w:t xml:space="preserve"> El </w:t>
      </w:r>
      <w:r w:rsidRPr="005C4C61">
        <w:rPr>
          <w:rFonts w:ascii="Palatino Linotype" w:eastAsia="Palatino Linotype" w:hAnsi="Palatino Linotype" w:cs="Palatino Linotype"/>
          <w:b/>
          <w:bCs/>
          <w:i/>
          <w:iCs/>
        </w:rPr>
        <w:t>acuerdo que clasifique la información como confidencial</w:t>
      </w:r>
      <w:r w:rsidRPr="005C4C61">
        <w:rPr>
          <w:rFonts w:ascii="Palatino Linotype" w:eastAsia="Palatino Linotype" w:hAnsi="Palatino Linotype" w:cs="Palatino Linotype"/>
          <w:i/>
          <w:iCs/>
        </w:rPr>
        <w:t xml:space="preserve"> deberá contener un razonamiento lógico en el que demuestre que la información se encuentra en alguna o algunas de las hipótesis previstas en la presente Ley.”</w:t>
      </w:r>
    </w:p>
    <w:p w:rsidR="00C2510E" w:rsidRPr="005C4C61" w:rsidRDefault="00C2510E">
      <w:pPr>
        <w:spacing w:line="360" w:lineRule="auto"/>
        <w:ind w:left="993" w:right="1041"/>
        <w:jc w:val="both"/>
        <w:rPr>
          <w:rFonts w:ascii="Palatino Linotype" w:eastAsia="Palatino Linotype" w:hAnsi="Palatino Linotype" w:cs="Palatino Linotype"/>
          <w:i/>
          <w:iCs/>
        </w:rPr>
      </w:pP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rPr>
      </w:pPr>
      <w:r w:rsidRPr="005C4C61">
        <w:rPr>
          <w:rFonts w:ascii="Palatino Linotype" w:eastAsia="Palatino Linotype" w:hAnsi="Palatino Linotype" w:cs="Palatino Linotype"/>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rPr>
      </w:pPr>
      <w:r w:rsidRPr="005C4C61">
        <w:rPr>
          <w:rFonts w:ascii="Palatino Linotype" w:eastAsia="Palatino Linotype" w:hAnsi="Palatino Linotype" w:cs="Palatino Linotype"/>
        </w:rPr>
        <w:lastRenderedPageBreak/>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rsidR="00C2510E" w:rsidRPr="005C4C61" w:rsidRDefault="00C2510E">
      <w:pPr>
        <w:spacing w:line="360" w:lineRule="auto"/>
        <w:jc w:val="both"/>
        <w:rPr>
          <w:rFonts w:ascii="Palatino Linotype" w:eastAsia="Palatino Linotype" w:hAnsi="Palatino Linotype" w:cs="Palatino Linotype"/>
        </w:rPr>
      </w:pP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rPr>
      </w:pPr>
      <w:r w:rsidRPr="005C4C61">
        <w:rPr>
          <w:rFonts w:ascii="Palatino Linotype" w:eastAsia="Palatino Linotype" w:hAnsi="Palatino Linotype" w:cs="Palatino Linotype"/>
        </w:rPr>
        <w:t xml:space="preserve">Sirven de sustento a lo anterior, las tesis jurisprudenciales </w:t>
      </w:r>
      <w:r w:rsidRPr="005C4C61">
        <w:rPr>
          <w:rFonts w:ascii="Palatino Linotype" w:eastAsia="Palatino Linotype" w:hAnsi="Palatino Linotype" w:cs="Palatino Linotype"/>
          <w:i/>
          <w:iCs/>
        </w:rPr>
        <w:t xml:space="preserve">P. LX/2000 </w:t>
      </w:r>
      <w:r w:rsidRPr="005C4C61">
        <w:rPr>
          <w:rFonts w:ascii="Palatino Linotype" w:eastAsia="Palatino Linotype" w:hAnsi="Palatino Linotype" w:cs="Palatino Linotype"/>
        </w:rPr>
        <w:t xml:space="preserve">y </w:t>
      </w:r>
      <w:r w:rsidRPr="005C4C61">
        <w:rPr>
          <w:rFonts w:ascii="Palatino Linotype" w:eastAsia="Palatino Linotype" w:hAnsi="Palatino Linotype" w:cs="Palatino Linotype"/>
          <w:i/>
          <w:iCs/>
        </w:rPr>
        <w:t>2a. XLIII/</w:t>
      </w:r>
      <w:r w:rsidRPr="005C4C61">
        <w:rPr>
          <w:rFonts w:ascii="Palatino Linotype" w:eastAsia="Palatino Linotype" w:hAnsi="Palatino Linotype" w:cs="Palatino Linotype"/>
        </w:rPr>
        <w:t>2008</w:t>
      </w:r>
      <w:r w:rsidRPr="005C4C61">
        <w:rPr>
          <w:rFonts w:ascii="Palatino Linotype" w:eastAsia="Palatino Linotype" w:hAnsi="Palatino Linotype" w:cs="Palatino Linotype"/>
          <w:b/>
          <w:bCs/>
        </w:rPr>
        <w:t xml:space="preserve"> </w:t>
      </w:r>
      <w:r w:rsidRPr="005C4C61">
        <w:rPr>
          <w:rFonts w:ascii="Palatino Linotype" w:eastAsia="Palatino Linotype" w:hAnsi="Palatino Linotype" w:cs="Palatino Linotype"/>
        </w:rPr>
        <w:t>emitidas por el Peno y la Segunda Sala de la Suprema Corte de Justicia de la Nación, respectivamente, que son del tenor literal siguiente:</w:t>
      </w:r>
    </w:p>
    <w:p w:rsidR="00C2510E" w:rsidRPr="005C4C61" w:rsidRDefault="00C83BDF">
      <w:pPr>
        <w:spacing w:line="360" w:lineRule="auto"/>
        <w:ind w:left="851" w:right="851"/>
        <w:jc w:val="both"/>
        <w:rPr>
          <w:rFonts w:ascii="Palatino Linotype" w:eastAsia="Palatino Linotype" w:hAnsi="Palatino Linotype" w:cs="Palatino Linotype"/>
          <w:i/>
          <w:iCs/>
        </w:rPr>
      </w:pPr>
      <w:r w:rsidRPr="005C4C61">
        <w:rPr>
          <w:rFonts w:ascii="Palatino Linotype" w:eastAsia="Palatino Linotype" w:hAnsi="Palatino Linotype" w:cs="Palatino Linotype"/>
          <w:b/>
          <w:bCs/>
          <w:i/>
          <w:iCs/>
        </w:rPr>
        <w:t xml:space="preserve">“DERECHO A LA INFORMACIÓN. SU EJERCICIO SE ENCUENTRA LIMITADO TANTO POR LOS INTERESES NACIONALES Y DE LA SOCIEDAD, COMO POR LOS DERECHOS DE TERCEROS. </w:t>
      </w:r>
      <w:r w:rsidRPr="005C4C61">
        <w:rPr>
          <w:rFonts w:ascii="Palatino Linotype" w:eastAsia="Palatino Linotype" w:hAnsi="Palatino Linotype" w:cs="Palatino Linotype"/>
          <w:i/>
          <w:iCs/>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w:t>
      </w:r>
      <w:r w:rsidRPr="005C4C61">
        <w:rPr>
          <w:rFonts w:ascii="Palatino Linotype" w:eastAsia="Palatino Linotype" w:hAnsi="Palatino Linotype" w:cs="Palatino Linotype"/>
          <w:i/>
          <w:iCs/>
        </w:rPr>
        <w:lastRenderedPageBreak/>
        <w:t xml:space="preserve">cuanto a la seguridad nacional, se tienen normas que, por un lado, </w:t>
      </w:r>
      <w:r w:rsidRPr="005C4C61">
        <w:rPr>
          <w:rFonts w:ascii="Palatino Linotype" w:eastAsia="Palatino Linotype" w:hAnsi="Palatino Linotype" w:cs="Palatino Linotype"/>
          <w:b/>
          <w:bCs/>
          <w:i/>
          <w:iCs/>
        </w:rPr>
        <w:t>restringen el acceso a la información en esta materia, en razón de que su conocimiento público puede generar daños a los intereses nacionales y, por el otro, sancionan la inobservancia de esa reserva</w:t>
      </w:r>
      <w:r w:rsidRPr="005C4C61">
        <w:rPr>
          <w:rFonts w:ascii="Palatino Linotype" w:eastAsia="Palatino Linotype" w:hAnsi="Palatino Linotype" w:cs="Palatino Linotype"/>
          <w:i/>
          <w:iCs/>
        </w:rPr>
        <w:t xml:space="preserve">; por lo que hace al interés social, se cuenta con normas que tienden a proteger la averiguación de los delitos, la salud y la moral públicas, </w:t>
      </w:r>
      <w:r w:rsidRPr="005C4C61">
        <w:rPr>
          <w:rFonts w:ascii="Palatino Linotype" w:eastAsia="Palatino Linotype" w:hAnsi="Palatino Linotype" w:cs="Palatino Linotype"/>
          <w:b/>
          <w:bCs/>
          <w:i/>
          <w:iCs/>
        </w:rPr>
        <w:t>mientras que por lo que respecta a la protección de la persona existen normas que protegen el derecho a la vida o a la privacidad de los gobernados</w:t>
      </w:r>
      <w:r w:rsidRPr="005C4C61">
        <w:rPr>
          <w:rFonts w:ascii="Palatino Linotype" w:eastAsia="Palatino Linotype" w:hAnsi="Palatino Linotype" w:cs="Palatino Linotype"/>
          <w:i/>
          <w:iCs/>
        </w:rPr>
        <w:t>.”</w:t>
      </w:r>
    </w:p>
    <w:p w:rsidR="00C2510E" w:rsidRPr="005C4C61" w:rsidRDefault="00C2510E">
      <w:pPr>
        <w:spacing w:line="360" w:lineRule="auto"/>
        <w:ind w:left="851" w:right="851"/>
        <w:jc w:val="both"/>
        <w:rPr>
          <w:rFonts w:ascii="Palatino Linotype" w:eastAsia="Palatino Linotype" w:hAnsi="Palatino Linotype" w:cs="Palatino Linotype"/>
          <w:i/>
          <w:iCs/>
        </w:rPr>
      </w:pPr>
    </w:p>
    <w:p w:rsidR="00C2510E" w:rsidRPr="005C4C61" w:rsidRDefault="00C83BDF">
      <w:pPr>
        <w:spacing w:line="360" w:lineRule="auto"/>
        <w:ind w:left="851" w:right="851"/>
        <w:jc w:val="both"/>
        <w:rPr>
          <w:rFonts w:ascii="Palatino Linotype" w:eastAsia="Palatino Linotype" w:hAnsi="Palatino Linotype" w:cs="Palatino Linotype"/>
          <w:i/>
          <w:iCs/>
        </w:rPr>
      </w:pPr>
      <w:r w:rsidRPr="005C4C61">
        <w:rPr>
          <w:rFonts w:ascii="Palatino Linotype" w:eastAsia="Palatino Linotype" w:hAnsi="Palatino Linotype" w:cs="Palatino Linotype"/>
          <w:b/>
          <w:bCs/>
          <w:i/>
          <w:iCs/>
        </w:rPr>
        <w:t xml:space="preserve">“TRANSPARENCIA Y ACCESO A LA INFORMACIÓN PÚBLICA GUBERNAMENTAL. EL ARTÍCULO 14, FRACCIÓN I, DE LA LEY FEDERAL RELATIVA, NO VIOLA LA GARANTÍA DE ACCESO A LA INFORMACIÓN. </w:t>
      </w:r>
      <w:r w:rsidRPr="005C4C61">
        <w:rPr>
          <w:rFonts w:ascii="Palatino Linotype" w:eastAsia="Palatino Linotype" w:hAnsi="Palatino Linotype" w:cs="Palatino Linotype"/>
          <w:i/>
          <w:iCs/>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w:t>
      </w:r>
      <w:r w:rsidRPr="005C4C61">
        <w:rPr>
          <w:rFonts w:ascii="Palatino Linotype" w:eastAsia="Palatino Linotype" w:hAnsi="Palatino Linotype" w:cs="Palatino Linotype"/>
          <w:i/>
          <w:iCs/>
        </w:rPr>
        <w:lastRenderedPageBreak/>
        <w:t xml:space="preserve">contenida en el artículo 6o. de la Constitución Política de los Estados Unidos Mexicanos, porque es jurídicamente adecuado que en las leyes reguladoras de cada materia, </w:t>
      </w:r>
      <w:r w:rsidRPr="005C4C61">
        <w:rPr>
          <w:rFonts w:ascii="Palatino Linotype" w:eastAsia="Palatino Linotype" w:hAnsi="Palatino Linotype" w:cs="Palatino Linotype"/>
          <w:b/>
          <w:bCs/>
          <w:i/>
          <w:iCs/>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5C4C61">
        <w:rPr>
          <w:rFonts w:ascii="Palatino Linotype" w:eastAsia="Palatino Linotype" w:hAnsi="Palatino Linotype" w:cs="Palatino Linotype"/>
          <w:i/>
          <w:iCs/>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rsidR="00C2510E" w:rsidRPr="005C4C61" w:rsidRDefault="00C2510E">
      <w:pPr>
        <w:spacing w:line="360" w:lineRule="auto"/>
        <w:ind w:left="851" w:right="851"/>
        <w:jc w:val="both"/>
        <w:rPr>
          <w:rFonts w:ascii="Palatino Linotype" w:eastAsia="Palatino Linotype" w:hAnsi="Palatino Linotype" w:cs="Palatino Linotype"/>
          <w:i/>
          <w:iCs/>
        </w:rPr>
      </w:pP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rPr>
      </w:pPr>
      <w:r w:rsidRPr="005C4C61">
        <w:rPr>
          <w:rFonts w:ascii="Palatino Linotype" w:eastAsia="Palatino Linotype" w:hAnsi="Palatino Linotype" w:cs="Palatino Linotype"/>
        </w:rPr>
        <w:t>Finalmente, la entrega de documentos en su versión pública debe acompañarse necesariamente del Acuerdo del Comité de Transparencia que la sustente, en el que se expongan los fundamentos y razonamientos que llevaron al </w:t>
      </w:r>
      <w:r w:rsidRPr="005C4C61">
        <w:rPr>
          <w:rFonts w:ascii="Palatino Linotype" w:eastAsia="Palatino Linotype" w:hAnsi="Palatino Linotype" w:cs="Palatino Linotype"/>
          <w:b/>
          <w:bCs/>
        </w:rPr>
        <w:t>SUJETO OBLIGADO</w:t>
      </w:r>
      <w:r w:rsidRPr="005C4C61">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w:t>
      </w:r>
      <w:r w:rsidRPr="005C4C61">
        <w:rPr>
          <w:rFonts w:ascii="Palatino Linotype" w:eastAsia="Palatino Linotype" w:hAnsi="Palatino Linotype" w:cs="Palatino Linotype"/>
        </w:rPr>
        <w:lastRenderedPageBreak/>
        <w:t>violentando desde un inicio el derecho de acceso a la información del solicitante, por lo que el acuerdo respectivo, deberá hacerse del conocimiento del </w:t>
      </w:r>
      <w:r w:rsidRPr="005C4C61">
        <w:rPr>
          <w:rFonts w:ascii="Palatino Linotype" w:eastAsia="Palatino Linotype" w:hAnsi="Palatino Linotype" w:cs="Palatino Linotype"/>
          <w:b/>
          <w:bCs/>
        </w:rPr>
        <w:t>RECURRENTE.</w:t>
      </w:r>
    </w:p>
    <w:p w:rsidR="00C2510E" w:rsidRPr="005C4C61" w:rsidRDefault="00C2510E">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rPr>
      </w:pPr>
      <w:r w:rsidRPr="005C4C61">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rsidR="00C2510E" w:rsidRPr="005C4C61" w:rsidRDefault="00C2510E">
      <w:pPr>
        <w:pBdr>
          <w:top w:val="nil"/>
          <w:left w:val="nil"/>
          <w:bottom w:val="nil"/>
          <w:right w:val="nil"/>
          <w:between w:val="nil"/>
        </w:pBdr>
        <w:ind w:left="720"/>
        <w:rPr>
          <w:rFonts w:ascii="Palatino Linotype" w:eastAsia="Palatino Linotype" w:hAnsi="Palatino Linotype" w:cs="Palatino Linotype"/>
          <w:color w:val="000000"/>
        </w:rPr>
      </w:pP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rPr>
      </w:pPr>
      <w:r w:rsidRPr="005C4C61">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C2510E" w:rsidRPr="005C4C61" w:rsidRDefault="00C2510E">
      <w:pPr>
        <w:spacing w:line="360" w:lineRule="auto"/>
        <w:ind w:left="502"/>
        <w:jc w:val="both"/>
        <w:rPr>
          <w:rFonts w:ascii="Palatino Linotype" w:eastAsia="Palatino Linotype" w:hAnsi="Palatino Linotype" w:cs="Palatino Linotype"/>
        </w:rPr>
      </w:pP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rPr>
      </w:pPr>
      <w:r w:rsidRPr="005C4C61">
        <w:rPr>
          <w:rFonts w:ascii="Palatino Linotype" w:eastAsia="Palatino Linotype" w:hAnsi="Palatino Linotype" w:cs="Palatino Linotype"/>
        </w:rPr>
        <w:t>Entorno a lo que aquí nos interesa, los Lineamientos Quincuagésimo sexto, Quincuagésimo séptimo y Quincuagésimo octavo, establecen lo siguiente:</w:t>
      </w:r>
    </w:p>
    <w:p w:rsidR="00C2510E" w:rsidRPr="005C4C61" w:rsidRDefault="00C83BDF">
      <w:pPr>
        <w:spacing w:line="360" w:lineRule="auto"/>
        <w:ind w:left="851" w:right="902"/>
        <w:jc w:val="both"/>
        <w:rPr>
          <w:rFonts w:ascii="Palatino Linotype" w:eastAsia="Palatino Linotype" w:hAnsi="Palatino Linotype" w:cs="Palatino Linotype"/>
          <w:i/>
          <w:iCs/>
        </w:rPr>
      </w:pPr>
      <w:r w:rsidRPr="005C4C61">
        <w:rPr>
          <w:rFonts w:ascii="Palatino Linotype" w:eastAsia="Palatino Linotype" w:hAnsi="Palatino Linotype" w:cs="Palatino Linotype"/>
          <w:i/>
          <w:iCs/>
        </w:rPr>
        <w:t>“Quincuagésimo sexto</w:t>
      </w:r>
      <w:r w:rsidRPr="005C4C61">
        <w:rPr>
          <w:rFonts w:ascii="Palatino Linotype" w:eastAsia="Palatino Linotype" w:hAnsi="Palatino Linotype" w:cs="Palatino Linotype"/>
          <w:b/>
          <w:bCs/>
          <w:i/>
          <w:iCs/>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C2510E" w:rsidRPr="005C4C61" w:rsidRDefault="00C83BDF">
      <w:pPr>
        <w:spacing w:line="360" w:lineRule="auto"/>
        <w:ind w:left="851" w:right="902"/>
        <w:jc w:val="both"/>
        <w:rPr>
          <w:rFonts w:ascii="Palatino Linotype" w:eastAsia="Palatino Linotype" w:hAnsi="Palatino Linotype" w:cs="Palatino Linotype"/>
          <w:i/>
          <w:iCs/>
        </w:rPr>
      </w:pPr>
      <w:r w:rsidRPr="005C4C61">
        <w:rPr>
          <w:rFonts w:ascii="Palatino Linotype" w:eastAsia="Palatino Linotype" w:hAnsi="Palatino Linotype" w:cs="Palatino Linotype"/>
          <w:i/>
          <w:iCs/>
        </w:rPr>
        <w:lastRenderedPageBreak/>
        <w:t xml:space="preserve">Quincuagésimo séptimo. Se considera, en principio, como información pública y no podrá omitirse de las versiones públicas la siguiente: </w:t>
      </w:r>
    </w:p>
    <w:p w:rsidR="00C2510E" w:rsidRPr="005C4C61" w:rsidRDefault="00C83BDF">
      <w:pPr>
        <w:spacing w:line="360" w:lineRule="auto"/>
        <w:ind w:left="851" w:right="902"/>
        <w:jc w:val="both"/>
        <w:rPr>
          <w:rFonts w:ascii="Palatino Linotype" w:eastAsia="Palatino Linotype" w:hAnsi="Palatino Linotype" w:cs="Palatino Linotype"/>
          <w:i/>
          <w:iCs/>
        </w:rPr>
      </w:pPr>
      <w:r w:rsidRPr="005C4C61">
        <w:rPr>
          <w:rFonts w:ascii="Palatino Linotype" w:eastAsia="Palatino Linotype" w:hAnsi="Palatino Linotype" w:cs="Palatino Linotype"/>
          <w:i/>
          <w:iCs/>
        </w:rPr>
        <w:t xml:space="preserve">I. La relativa a las Obligaciones de Transparencia que contempla el Título V de la Ley General y las demás disposiciones legales aplicables; </w:t>
      </w:r>
    </w:p>
    <w:p w:rsidR="00C2510E" w:rsidRPr="005C4C61" w:rsidRDefault="00C83BDF">
      <w:pPr>
        <w:spacing w:line="360" w:lineRule="auto"/>
        <w:ind w:left="851" w:right="902"/>
        <w:jc w:val="both"/>
        <w:rPr>
          <w:rFonts w:ascii="Palatino Linotype" w:eastAsia="Palatino Linotype" w:hAnsi="Palatino Linotype" w:cs="Palatino Linotype"/>
          <w:i/>
          <w:iCs/>
        </w:rPr>
      </w:pPr>
      <w:r w:rsidRPr="005C4C61">
        <w:rPr>
          <w:rFonts w:ascii="Palatino Linotype" w:eastAsia="Palatino Linotype" w:hAnsi="Palatino Linotype" w:cs="Palatino Linotype"/>
          <w:i/>
          <w:iCs/>
        </w:rPr>
        <w:t xml:space="preserve">II. El nombre de los servidores públicos en los documentos, y sus firmas autógrafas, cuando sean utilizados en el ejercicio de las facultades conferidas para el desempeño del servicio público, y </w:t>
      </w:r>
    </w:p>
    <w:p w:rsidR="00C2510E" w:rsidRPr="005C4C61" w:rsidRDefault="00C83BDF">
      <w:pPr>
        <w:spacing w:line="360" w:lineRule="auto"/>
        <w:ind w:left="851" w:right="902"/>
        <w:jc w:val="both"/>
        <w:rPr>
          <w:rFonts w:ascii="Palatino Linotype" w:eastAsia="Palatino Linotype" w:hAnsi="Palatino Linotype" w:cs="Palatino Linotype"/>
          <w:i/>
          <w:iCs/>
        </w:rPr>
      </w:pPr>
      <w:r w:rsidRPr="005C4C61">
        <w:rPr>
          <w:rFonts w:ascii="Palatino Linotype" w:eastAsia="Palatino Linotype" w:hAnsi="Palatino Linotype" w:cs="Palatino Linotype"/>
          <w:i/>
          <w:iCs/>
        </w:rPr>
        <w:t>III. La información que documente decisiones y los actos de autoridad concluidos de los sujetos obligados, así como el ejercicio de las facultades o actividades de los servidores públicos, de manera que se pueda valorar el desempeño de los mismos.</w:t>
      </w:r>
    </w:p>
    <w:p w:rsidR="00C2510E" w:rsidRPr="005C4C61" w:rsidRDefault="00C83BDF">
      <w:pPr>
        <w:spacing w:line="360" w:lineRule="auto"/>
        <w:ind w:left="851" w:right="902"/>
        <w:jc w:val="both"/>
        <w:rPr>
          <w:rFonts w:ascii="Palatino Linotype" w:eastAsia="Palatino Linotype" w:hAnsi="Palatino Linotype" w:cs="Palatino Linotype"/>
          <w:i/>
          <w:iCs/>
        </w:rPr>
      </w:pPr>
      <w:r w:rsidRPr="005C4C61">
        <w:rPr>
          <w:rFonts w:ascii="Palatino Linotype" w:eastAsia="Palatino Linotype" w:hAnsi="Palatino Linotype" w:cs="Palatino Linotype"/>
          <w:i/>
          <w:iCs/>
        </w:rPr>
        <w:t xml:space="preserve">Lo anterior, siempre y cuando no se acredite alguna causal de clasificación, prevista en las leyes o en los tratados internaciones suscritos por el Estado mexicano. </w:t>
      </w:r>
    </w:p>
    <w:p w:rsidR="00C2510E" w:rsidRPr="005C4C61" w:rsidRDefault="00C83BDF">
      <w:pPr>
        <w:spacing w:line="360" w:lineRule="auto"/>
        <w:ind w:left="851" w:right="902"/>
        <w:jc w:val="both"/>
        <w:rPr>
          <w:rFonts w:ascii="Palatino Linotype" w:eastAsia="Palatino Linotype" w:hAnsi="Palatino Linotype" w:cs="Palatino Linotype"/>
          <w:i/>
          <w:iCs/>
        </w:rPr>
      </w:pPr>
      <w:r w:rsidRPr="005C4C61">
        <w:rPr>
          <w:rFonts w:ascii="Palatino Linotype" w:eastAsia="Palatino Linotype" w:hAnsi="Palatino Linotype" w:cs="Palatino Linotype"/>
          <w:i/>
          <w:iCs/>
        </w:rPr>
        <w:t>Quincuagésimo octavo. Los sujetos obligados garantizarán que los sistemas o medios empleados para eliminar la información en las versiones públicas no permitan la recuperación o visualización de la misma.”</w:t>
      </w:r>
    </w:p>
    <w:p w:rsidR="00C2510E" w:rsidRPr="005C4C61" w:rsidRDefault="00C2510E">
      <w:pPr>
        <w:spacing w:line="360" w:lineRule="auto"/>
        <w:ind w:left="851" w:right="902"/>
        <w:jc w:val="both"/>
        <w:rPr>
          <w:rFonts w:ascii="Palatino Linotype" w:eastAsia="Palatino Linotype" w:hAnsi="Palatino Linotype" w:cs="Palatino Linotype"/>
          <w:i/>
          <w:iCs/>
        </w:rPr>
      </w:pP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rPr>
      </w:pPr>
      <w:r w:rsidRPr="005C4C61">
        <w:rPr>
          <w:rFonts w:ascii="Palatino Linotype" w:eastAsia="Palatino Linotype" w:hAnsi="Palatino Linotype" w:cs="Palatino Linotype"/>
        </w:rPr>
        <w:t xml:space="preserve">Por lo tanto, </w:t>
      </w:r>
      <w:r w:rsidRPr="005C4C61">
        <w:rPr>
          <w:rFonts w:ascii="Palatino Linotype" w:eastAsia="Palatino Linotype" w:hAnsi="Palatino Linotype" w:cs="Palatino Linotype"/>
          <w:b/>
          <w:bCs/>
        </w:rPr>
        <w:t xml:space="preserve">la entrega de documentos en su versión pública debe acompañarse </w:t>
      </w:r>
      <w:r w:rsidRPr="005C4C61">
        <w:rPr>
          <w:rFonts w:ascii="Palatino Linotype" w:eastAsia="Palatino Linotype" w:hAnsi="Palatino Linotype" w:cs="Palatino Linotype"/>
        </w:rPr>
        <w:t>necesariamente</w:t>
      </w:r>
      <w:r w:rsidRPr="005C4C61">
        <w:rPr>
          <w:rFonts w:ascii="Palatino Linotype" w:eastAsia="Palatino Linotype" w:hAnsi="Palatino Linotype" w:cs="Palatino Linotype"/>
          <w:b/>
          <w:bCs/>
        </w:rPr>
        <w:t xml:space="preserve"> del Acuerdo del Comité de Transparencia que la sustente el cual debe estar debidamente fundado y motivado, en el que se expongan los fundamentos y razonamientos que llevaron al Sujeto Obligado a testar, suprimir o eliminar datos de dicho soporte documental</w:t>
      </w:r>
      <w:r w:rsidRPr="005C4C61">
        <w:rPr>
          <w:rFonts w:ascii="Palatino Linotype" w:eastAsia="Palatino Linotype" w:hAnsi="Palatino Linotype" w:cs="Palatino Linotype"/>
        </w:rPr>
        <w:t xml:space="preserve">, ya que no hacerlo, se reitera que lo entregado no tendría un sustento jurídico ni resultaría ser una versión pública, sino más bien una documentación ilegible, incompleta o tachada; ya que el no justificar las causas o motivos por las que no se aprecian </w:t>
      </w:r>
      <w:r w:rsidRPr="005C4C61">
        <w:rPr>
          <w:rFonts w:ascii="Palatino Linotype" w:eastAsia="Palatino Linotype" w:hAnsi="Palatino Linotype" w:cs="Palatino Linotype"/>
        </w:rPr>
        <w:lastRenderedPageBreak/>
        <w:t>determinados datos -ya sea porque se testan o suprimen- deja al solicitante en estado de incertidumbre, al no conocer o comprender porque no aparecen en la documentación respectiva.</w:t>
      </w:r>
    </w:p>
    <w:p w:rsidR="00C2510E" w:rsidRPr="005C4C61" w:rsidRDefault="00C2510E">
      <w:pPr>
        <w:pBdr>
          <w:top w:val="nil"/>
          <w:left w:val="nil"/>
          <w:bottom w:val="nil"/>
          <w:right w:val="nil"/>
          <w:between w:val="nil"/>
        </w:pBdr>
        <w:tabs>
          <w:tab w:val="left" w:pos="284"/>
          <w:tab w:val="left" w:pos="426"/>
        </w:tabs>
        <w:spacing w:line="360" w:lineRule="auto"/>
        <w:ind w:right="49"/>
        <w:jc w:val="both"/>
        <w:rPr>
          <w:rFonts w:ascii="Palatino Linotype" w:eastAsia="Palatino Linotype" w:hAnsi="Palatino Linotype" w:cs="Palatino Linotype"/>
          <w:color w:val="000000"/>
        </w:rPr>
      </w:pP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color w:val="000000"/>
        </w:rPr>
      </w:pPr>
      <w:r w:rsidRPr="005C4C61">
        <w:rPr>
          <w:rFonts w:ascii="Palatino Linotype" w:eastAsia="Palatino Linotype" w:hAnsi="Palatino Linotype" w:cs="Palatino Linotype"/>
          <w:color w:val="000000"/>
        </w:rPr>
        <w:t xml:space="preserve">Los </w:t>
      </w:r>
      <w:r w:rsidRPr="005C4C61">
        <w:rPr>
          <w:rFonts w:ascii="Palatino Linotype" w:eastAsia="Palatino Linotype" w:hAnsi="Palatino Linotype" w:cs="Palatino Linotype"/>
        </w:rPr>
        <w:t>sujetos</w:t>
      </w:r>
      <w:r w:rsidRPr="005C4C61">
        <w:rPr>
          <w:rFonts w:ascii="Palatino Linotype" w:eastAsia="Palatino Linotype" w:hAnsi="Palatino Linotype" w:cs="Palatino Linotype"/>
          <w:color w:val="000000"/>
        </w:rPr>
        <w:t xml:space="preserve"> obligados</w:t>
      </w:r>
      <w:r w:rsidRPr="005C4C61">
        <w:rPr>
          <w:rFonts w:ascii="Palatino Linotype" w:eastAsia="Palatino Linotype" w:hAnsi="Palatino Linotype" w:cs="Palatino Linotype"/>
          <w:b/>
          <w:bCs/>
          <w:color w:val="000000"/>
        </w:rPr>
        <w:t xml:space="preserve"> </w:t>
      </w:r>
      <w:r w:rsidRPr="005C4C61">
        <w:rPr>
          <w:rFonts w:ascii="Palatino Linotype" w:eastAsia="Palatino Linotype" w:hAnsi="Palatino Linotype" w:cs="Palatino Linotype"/>
          <w:color w:val="000000"/>
        </w:rPr>
        <w:t xml:space="preserve">serán responsables de los datos personales en su </w:t>
      </w:r>
      <w:r w:rsidRPr="005C4C61">
        <w:rPr>
          <w:rFonts w:ascii="Palatino Linotype" w:eastAsia="Palatino Linotype" w:hAnsi="Palatino Linotype" w:cs="Palatino Linotype"/>
        </w:rPr>
        <w:t>posesión</w:t>
      </w:r>
      <w:r w:rsidRPr="005C4C61">
        <w:rPr>
          <w:rFonts w:ascii="Palatino Linotype" w:eastAsia="Palatino Linotype" w:hAnsi="Palatino Linotype" w:cs="Palatino Linotype"/>
          <w:color w:val="000000"/>
        </w:rPr>
        <w:t xml:space="preserve"> y que, en </w:t>
      </w:r>
      <w:r w:rsidRPr="005C4C61">
        <w:rPr>
          <w:rFonts w:ascii="Palatino Linotype" w:eastAsia="Palatino Linotype" w:hAnsi="Palatino Linotype" w:cs="Palatino Linotype"/>
        </w:rPr>
        <w:t>caso</w:t>
      </w:r>
      <w:r w:rsidRPr="005C4C61">
        <w:rPr>
          <w:rFonts w:ascii="Palatino Linotype" w:eastAsia="Palatino Linotype" w:hAnsi="Palatino Linotype" w:cs="Palatino Linotype"/>
          <w:color w:val="000000"/>
        </w:rPr>
        <w:t xml:space="preserve"> de localizarse datos concernientes a terceros, éstos no podrán difundir, </w:t>
      </w:r>
      <w:r w:rsidRPr="005C4C61">
        <w:rPr>
          <w:rFonts w:ascii="Palatino Linotype" w:eastAsia="Palatino Linotype" w:hAnsi="Palatino Linotype" w:cs="Palatino Linotype"/>
        </w:rPr>
        <w:t>distribuir</w:t>
      </w:r>
      <w:r w:rsidRPr="005C4C61">
        <w:rPr>
          <w:rFonts w:ascii="Palatino Linotype" w:eastAsia="Palatino Linotype" w:hAnsi="Palatino Linotype" w:cs="Palatino Linotype"/>
          <w:color w:val="000000"/>
        </w:rPr>
        <w:t xml:space="preserve"> o comercializar los datos personales.  Cabe destacar que, para la realización de la clasificación de la información, se deben seguir una serie de pasos y procedimientos, por lo que es menester reiterar los mismos:</w:t>
      </w:r>
    </w:p>
    <w:p w:rsidR="00C2510E" w:rsidRPr="005C4C61" w:rsidRDefault="00C2510E">
      <w:pPr>
        <w:tabs>
          <w:tab w:val="left" w:pos="284"/>
        </w:tabs>
        <w:spacing w:line="360" w:lineRule="auto"/>
        <w:ind w:right="49"/>
        <w:jc w:val="both"/>
        <w:rPr>
          <w:rFonts w:ascii="Palatino Linotype" w:eastAsia="Palatino Linotype" w:hAnsi="Palatino Linotype" w:cs="Palatino Linotype"/>
          <w:color w:val="000000"/>
        </w:rPr>
      </w:pPr>
    </w:p>
    <w:tbl>
      <w:tblPr>
        <w:tblStyle w:val="a"/>
        <w:tblW w:w="991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91"/>
        <w:gridCol w:w="7227"/>
      </w:tblGrid>
      <w:tr w:rsidR="00C2510E" w:rsidRPr="005C4C61" w:rsidTr="005C4C61">
        <w:tc>
          <w:tcPr>
            <w:tcW w:w="2691" w:type="dxa"/>
            <w:tcBorders>
              <w:top w:val="single" w:sz="4" w:space="0" w:color="BFBFBF"/>
              <w:left w:val="single" w:sz="4" w:space="0" w:color="BFBFBF"/>
              <w:bottom w:val="single" w:sz="4" w:space="0" w:color="BFBFBF"/>
              <w:right w:val="single" w:sz="4" w:space="0" w:color="BFBFBF"/>
            </w:tcBorders>
          </w:tcPr>
          <w:p w:rsidR="00C2510E" w:rsidRPr="005C4C61" w:rsidRDefault="00C83BDF">
            <w:pPr>
              <w:tabs>
                <w:tab w:val="left" w:pos="284"/>
              </w:tabs>
              <w:rPr>
                <w:rFonts w:ascii="Palatino Linotype" w:eastAsia="Palatino Linotype" w:hAnsi="Palatino Linotype" w:cs="Palatino Linotype"/>
              </w:rPr>
            </w:pPr>
            <w:r w:rsidRPr="005C4C61">
              <w:rPr>
                <w:rFonts w:ascii="Palatino Linotype" w:eastAsia="Palatino Linotype" w:hAnsi="Palatino Linotype" w:cs="Palatino Linotype"/>
              </w:rPr>
              <w:t>a) Requisitos previos.</w:t>
            </w:r>
          </w:p>
        </w:tc>
        <w:tc>
          <w:tcPr>
            <w:tcW w:w="7227" w:type="dxa"/>
            <w:tcBorders>
              <w:top w:val="single" w:sz="4" w:space="0" w:color="BFBFBF"/>
              <w:left w:val="single" w:sz="4" w:space="0" w:color="BFBFBF"/>
              <w:bottom w:val="single" w:sz="4" w:space="0" w:color="BFBFBF"/>
              <w:right w:val="single" w:sz="4" w:space="0" w:color="BFBFBF"/>
            </w:tcBorders>
          </w:tcPr>
          <w:p w:rsidR="00C2510E" w:rsidRPr="005C4C61" w:rsidRDefault="00C83BDF">
            <w:pPr>
              <w:tabs>
                <w:tab w:val="left" w:pos="284"/>
              </w:tabs>
              <w:ind w:right="49"/>
              <w:jc w:val="both"/>
              <w:rPr>
                <w:rFonts w:ascii="Palatino Linotype" w:eastAsia="Palatino Linotype" w:hAnsi="Palatino Linotype" w:cs="Palatino Linotype"/>
                <w:color w:val="000000"/>
              </w:rPr>
            </w:pPr>
            <w:r w:rsidRPr="005C4C61">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C2510E" w:rsidRPr="005C4C61" w:rsidRDefault="00C83BDF">
            <w:pPr>
              <w:tabs>
                <w:tab w:val="left" w:pos="284"/>
              </w:tabs>
              <w:ind w:right="49"/>
              <w:jc w:val="both"/>
              <w:rPr>
                <w:rFonts w:ascii="Palatino Linotype" w:eastAsia="Palatino Linotype" w:hAnsi="Palatino Linotype" w:cs="Palatino Linotype"/>
                <w:color w:val="000000"/>
              </w:rPr>
            </w:pPr>
            <w:r w:rsidRPr="005C4C61">
              <w:rPr>
                <w:rFonts w:ascii="Palatino Linotype" w:eastAsia="Palatino Linotype" w:hAnsi="Palatino Linotype" w:cs="Palatino Linotype"/>
                <w:color w:val="000000"/>
              </w:rPr>
              <w:t>Al hacerlo tienen que precisar de qué información se trata, señalando el supuesto de clasificación (confidencialidad o reserva).</w:t>
            </w:r>
          </w:p>
          <w:p w:rsidR="00C2510E" w:rsidRPr="005C4C61" w:rsidRDefault="00C83BDF">
            <w:pPr>
              <w:tabs>
                <w:tab w:val="left" w:pos="284"/>
              </w:tabs>
              <w:ind w:right="49"/>
              <w:jc w:val="both"/>
              <w:rPr>
                <w:rFonts w:ascii="Palatino Linotype" w:eastAsia="Palatino Linotype" w:hAnsi="Palatino Linotype" w:cs="Palatino Linotype"/>
                <w:color w:val="000000"/>
              </w:rPr>
            </w:pPr>
            <w:r w:rsidRPr="005C4C61">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rsidR="00C2510E" w:rsidRPr="005C4C61" w:rsidRDefault="00C83BDF">
            <w:pPr>
              <w:tabs>
                <w:tab w:val="left" w:pos="284"/>
              </w:tabs>
              <w:jc w:val="both"/>
              <w:rPr>
                <w:rFonts w:ascii="Palatino Linotype" w:eastAsia="Palatino Linotype" w:hAnsi="Palatino Linotype" w:cs="Palatino Linotype"/>
                <w:color w:val="000000"/>
              </w:rPr>
            </w:pPr>
            <w:r w:rsidRPr="005C4C61">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5C4C61">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5C4C61">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p w:rsidR="00C2510E" w:rsidRPr="005C4C61" w:rsidRDefault="00C2510E">
            <w:pPr>
              <w:tabs>
                <w:tab w:val="left" w:pos="284"/>
              </w:tabs>
              <w:jc w:val="both"/>
              <w:rPr>
                <w:rFonts w:ascii="Palatino Linotype" w:eastAsia="Palatino Linotype" w:hAnsi="Palatino Linotype" w:cs="Palatino Linotype"/>
              </w:rPr>
            </w:pPr>
          </w:p>
        </w:tc>
      </w:tr>
      <w:tr w:rsidR="00C2510E" w:rsidRPr="005C4C61" w:rsidTr="005C4C61">
        <w:tc>
          <w:tcPr>
            <w:tcW w:w="2691" w:type="dxa"/>
            <w:tcBorders>
              <w:top w:val="single" w:sz="4" w:space="0" w:color="BFBFBF"/>
              <w:left w:val="single" w:sz="4" w:space="0" w:color="BFBFBF"/>
              <w:bottom w:val="single" w:sz="4" w:space="0" w:color="BFBFBF"/>
              <w:right w:val="single" w:sz="4" w:space="0" w:color="BFBFBF"/>
            </w:tcBorders>
          </w:tcPr>
          <w:p w:rsidR="00C2510E" w:rsidRPr="005C4C61" w:rsidRDefault="00C83BDF">
            <w:pPr>
              <w:tabs>
                <w:tab w:val="left" w:pos="284"/>
              </w:tabs>
              <w:rPr>
                <w:rFonts w:ascii="Palatino Linotype" w:eastAsia="Palatino Linotype" w:hAnsi="Palatino Linotype" w:cs="Palatino Linotype"/>
              </w:rPr>
            </w:pPr>
            <w:r w:rsidRPr="005C4C61">
              <w:rPr>
                <w:rFonts w:ascii="Palatino Linotype" w:eastAsia="Palatino Linotype" w:hAnsi="Palatino Linotype" w:cs="Palatino Linotype"/>
              </w:rPr>
              <w:lastRenderedPageBreak/>
              <w:t>b) Supuestos de clasificación.</w:t>
            </w:r>
          </w:p>
        </w:tc>
        <w:tc>
          <w:tcPr>
            <w:tcW w:w="7227" w:type="dxa"/>
            <w:tcBorders>
              <w:top w:val="single" w:sz="4" w:space="0" w:color="BFBFBF"/>
              <w:left w:val="single" w:sz="4" w:space="0" w:color="BFBFBF"/>
              <w:bottom w:val="single" w:sz="4" w:space="0" w:color="BFBFBF"/>
              <w:right w:val="single" w:sz="4" w:space="0" w:color="BFBFBF"/>
            </w:tcBorders>
          </w:tcPr>
          <w:p w:rsidR="00C2510E" w:rsidRPr="005C4C61" w:rsidRDefault="00C83BDF">
            <w:pPr>
              <w:tabs>
                <w:tab w:val="left" w:pos="284"/>
              </w:tabs>
              <w:ind w:right="49"/>
              <w:jc w:val="both"/>
              <w:rPr>
                <w:rFonts w:ascii="Palatino Linotype" w:eastAsia="Palatino Linotype" w:hAnsi="Palatino Linotype" w:cs="Palatino Linotype"/>
                <w:color w:val="000000"/>
              </w:rPr>
            </w:pPr>
            <w:r w:rsidRPr="005C4C61">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C2510E" w:rsidRPr="005C4C61" w:rsidRDefault="00C83BDF">
            <w:pPr>
              <w:tabs>
                <w:tab w:val="left" w:pos="284"/>
              </w:tabs>
              <w:ind w:right="49"/>
              <w:jc w:val="both"/>
              <w:rPr>
                <w:rFonts w:ascii="Palatino Linotype" w:eastAsia="Palatino Linotype" w:hAnsi="Palatino Linotype" w:cs="Palatino Linotype"/>
                <w:color w:val="000000"/>
              </w:rPr>
            </w:pPr>
            <w:r w:rsidRPr="005C4C61">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C2510E" w:rsidRPr="005C4C61" w:rsidRDefault="00C83BDF">
            <w:pPr>
              <w:tabs>
                <w:tab w:val="left" w:pos="284"/>
              </w:tabs>
              <w:jc w:val="both"/>
              <w:rPr>
                <w:rFonts w:ascii="Palatino Linotype" w:eastAsia="Palatino Linotype" w:hAnsi="Palatino Linotype" w:cs="Palatino Linotype"/>
                <w:color w:val="000000"/>
              </w:rPr>
            </w:pPr>
            <w:r w:rsidRPr="005C4C61">
              <w:rPr>
                <w:rFonts w:ascii="Palatino Linotype" w:eastAsia="Palatino Linotype" w:hAnsi="Palatino Linotype" w:cs="Palatino Linotype"/>
                <w:color w:val="000000"/>
              </w:rPr>
              <w:t xml:space="preserve">El </w:t>
            </w:r>
            <w:r w:rsidRPr="005C4C61">
              <w:rPr>
                <w:rFonts w:ascii="Palatino Linotype" w:eastAsia="Palatino Linotype" w:hAnsi="Palatino Linotype" w:cs="Palatino Linotype"/>
                <w:b/>
                <w:bCs/>
                <w:color w:val="000000"/>
              </w:rPr>
              <w:t>Sujeto Obligado</w:t>
            </w:r>
            <w:r w:rsidRPr="005C4C61">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rsidR="00C2510E" w:rsidRPr="005C4C61" w:rsidRDefault="00C2510E">
            <w:pPr>
              <w:tabs>
                <w:tab w:val="left" w:pos="284"/>
              </w:tabs>
              <w:jc w:val="both"/>
              <w:rPr>
                <w:rFonts w:ascii="Palatino Linotype" w:eastAsia="Palatino Linotype" w:hAnsi="Palatino Linotype" w:cs="Palatino Linotype"/>
              </w:rPr>
            </w:pPr>
          </w:p>
        </w:tc>
      </w:tr>
      <w:tr w:rsidR="00C2510E" w:rsidRPr="005C4C61" w:rsidTr="005C4C61">
        <w:tc>
          <w:tcPr>
            <w:tcW w:w="2691" w:type="dxa"/>
            <w:tcBorders>
              <w:top w:val="single" w:sz="4" w:space="0" w:color="BFBFBF"/>
              <w:left w:val="single" w:sz="4" w:space="0" w:color="BFBFBF"/>
              <w:bottom w:val="single" w:sz="4" w:space="0" w:color="BFBFBF"/>
              <w:right w:val="single" w:sz="4" w:space="0" w:color="BFBFBF"/>
            </w:tcBorders>
          </w:tcPr>
          <w:p w:rsidR="00C2510E" w:rsidRPr="005C4C61" w:rsidRDefault="00C83BDF">
            <w:pPr>
              <w:tabs>
                <w:tab w:val="left" w:pos="284"/>
              </w:tabs>
              <w:rPr>
                <w:rFonts w:ascii="Palatino Linotype" w:eastAsia="Palatino Linotype" w:hAnsi="Palatino Linotype" w:cs="Palatino Linotype"/>
              </w:rPr>
            </w:pPr>
            <w:r w:rsidRPr="005C4C61">
              <w:rPr>
                <w:rFonts w:ascii="Palatino Linotype" w:eastAsia="Palatino Linotype" w:hAnsi="Palatino Linotype" w:cs="Palatino Linotype"/>
              </w:rPr>
              <w:t>c) Formalidades para emitir el acuerdo de clasificación.</w:t>
            </w:r>
          </w:p>
        </w:tc>
        <w:tc>
          <w:tcPr>
            <w:tcW w:w="7227" w:type="dxa"/>
            <w:tcBorders>
              <w:top w:val="single" w:sz="4" w:space="0" w:color="BFBFBF"/>
              <w:left w:val="single" w:sz="4" w:space="0" w:color="BFBFBF"/>
              <w:bottom w:val="single" w:sz="4" w:space="0" w:color="BFBFBF"/>
              <w:right w:val="single" w:sz="4" w:space="0" w:color="BFBFBF"/>
            </w:tcBorders>
          </w:tcPr>
          <w:p w:rsidR="00C2510E" w:rsidRPr="005C4C61" w:rsidRDefault="00C83BDF">
            <w:pPr>
              <w:tabs>
                <w:tab w:val="left" w:pos="284"/>
              </w:tabs>
              <w:ind w:right="49"/>
              <w:jc w:val="both"/>
              <w:rPr>
                <w:rFonts w:ascii="Palatino Linotype" w:eastAsia="Palatino Linotype" w:hAnsi="Palatino Linotype" w:cs="Palatino Linotype"/>
                <w:color w:val="000000"/>
              </w:rPr>
            </w:pPr>
            <w:r w:rsidRPr="005C4C61">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C2510E" w:rsidRPr="005C4C61" w:rsidRDefault="00C83BDF">
            <w:pPr>
              <w:tabs>
                <w:tab w:val="left" w:pos="284"/>
              </w:tabs>
              <w:ind w:right="49"/>
              <w:jc w:val="both"/>
              <w:rPr>
                <w:rFonts w:ascii="Palatino Linotype" w:eastAsia="Palatino Linotype" w:hAnsi="Palatino Linotype" w:cs="Palatino Linotype"/>
                <w:color w:val="000000"/>
              </w:rPr>
            </w:pPr>
            <w:r w:rsidRPr="005C4C61">
              <w:rPr>
                <w:rFonts w:ascii="Palatino Linotype" w:eastAsia="Palatino Linotype" w:hAnsi="Palatino Linotype" w:cs="Palatino Linotype"/>
                <w:color w:val="000000"/>
              </w:rPr>
              <w:t xml:space="preserve">Es necesario que </w:t>
            </w:r>
            <w:r w:rsidRPr="005C4C61">
              <w:rPr>
                <w:rFonts w:ascii="Palatino Linotype" w:eastAsia="Palatino Linotype" w:hAnsi="Palatino Linotype" w:cs="Palatino Linotype"/>
                <w:b/>
                <w:bCs/>
                <w:color w:val="000000"/>
                <w:u w:val="single"/>
              </w:rPr>
              <w:t>el acto reúna con los requisitos elementales</w:t>
            </w:r>
            <w:r w:rsidRPr="005C4C61">
              <w:rPr>
                <w:rFonts w:ascii="Palatino Linotype" w:eastAsia="Palatino Linotype" w:hAnsi="Palatino Linotype" w:cs="Palatino Linotype"/>
                <w:color w:val="000000"/>
              </w:rPr>
              <w:t>, entre ellos, que la autoridad que va a emitir el acto de autoridad sea la legalmente facultada para ello.</w:t>
            </w:r>
          </w:p>
          <w:p w:rsidR="00C2510E" w:rsidRPr="005C4C61" w:rsidRDefault="00C83BDF">
            <w:pPr>
              <w:tabs>
                <w:tab w:val="left" w:pos="284"/>
              </w:tabs>
              <w:jc w:val="both"/>
              <w:rPr>
                <w:rFonts w:ascii="Palatino Linotype" w:eastAsia="Palatino Linotype" w:hAnsi="Palatino Linotype" w:cs="Palatino Linotype"/>
                <w:color w:val="000000"/>
              </w:rPr>
            </w:pPr>
            <w:r w:rsidRPr="005C4C61">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C2510E" w:rsidRPr="005C4C61" w:rsidRDefault="00C2510E">
            <w:pPr>
              <w:tabs>
                <w:tab w:val="left" w:pos="284"/>
              </w:tabs>
              <w:jc w:val="both"/>
              <w:rPr>
                <w:rFonts w:ascii="Palatino Linotype" w:eastAsia="Palatino Linotype" w:hAnsi="Palatino Linotype" w:cs="Palatino Linotype"/>
              </w:rPr>
            </w:pPr>
          </w:p>
        </w:tc>
      </w:tr>
      <w:tr w:rsidR="00C2510E" w:rsidRPr="005C4C61" w:rsidTr="005C4C61">
        <w:tc>
          <w:tcPr>
            <w:tcW w:w="2691" w:type="dxa"/>
            <w:tcBorders>
              <w:top w:val="single" w:sz="4" w:space="0" w:color="BFBFBF"/>
              <w:left w:val="single" w:sz="4" w:space="0" w:color="BFBFBF"/>
              <w:bottom w:val="single" w:sz="4" w:space="0" w:color="BFBFBF"/>
              <w:right w:val="single" w:sz="4" w:space="0" w:color="BFBFBF"/>
            </w:tcBorders>
          </w:tcPr>
          <w:p w:rsidR="00C2510E" w:rsidRPr="005C4C61" w:rsidRDefault="00C2510E">
            <w:pPr>
              <w:tabs>
                <w:tab w:val="left" w:pos="284"/>
              </w:tabs>
              <w:rPr>
                <w:rFonts w:ascii="Palatino Linotype" w:eastAsia="Palatino Linotype" w:hAnsi="Palatino Linotype" w:cs="Palatino Linotype"/>
              </w:rPr>
            </w:pPr>
          </w:p>
          <w:p w:rsidR="00C2510E" w:rsidRPr="005C4C61" w:rsidRDefault="00C83BDF">
            <w:pPr>
              <w:tabs>
                <w:tab w:val="left" w:pos="284"/>
              </w:tabs>
              <w:jc w:val="both"/>
              <w:rPr>
                <w:rFonts w:ascii="Palatino Linotype" w:eastAsia="Palatino Linotype" w:hAnsi="Palatino Linotype" w:cs="Palatino Linotype"/>
              </w:rPr>
            </w:pPr>
            <w:r w:rsidRPr="005C4C61">
              <w:rPr>
                <w:rFonts w:ascii="Palatino Linotype" w:eastAsia="Palatino Linotype" w:hAnsi="Palatino Linotype" w:cs="Palatino Linotype"/>
                <w:color w:val="000000"/>
              </w:rPr>
              <w:t xml:space="preserve">d) Requisitos de fondo del acuerdo de clasificación. </w:t>
            </w:r>
          </w:p>
        </w:tc>
        <w:tc>
          <w:tcPr>
            <w:tcW w:w="7227" w:type="dxa"/>
            <w:tcBorders>
              <w:top w:val="single" w:sz="4" w:space="0" w:color="BFBFBF"/>
              <w:left w:val="single" w:sz="4" w:space="0" w:color="BFBFBF"/>
              <w:bottom w:val="single" w:sz="4" w:space="0" w:color="BFBFBF"/>
              <w:right w:val="single" w:sz="4" w:space="0" w:color="BFBFBF"/>
            </w:tcBorders>
          </w:tcPr>
          <w:p w:rsidR="00C2510E" w:rsidRPr="005C4C61" w:rsidRDefault="00C83BDF">
            <w:pPr>
              <w:tabs>
                <w:tab w:val="left" w:pos="284"/>
              </w:tabs>
              <w:ind w:right="49"/>
              <w:jc w:val="both"/>
              <w:rPr>
                <w:rFonts w:ascii="Palatino Linotype" w:eastAsia="Palatino Linotype" w:hAnsi="Palatino Linotype" w:cs="Palatino Linotype"/>
                <w:color w:val="000000"/>
              </w:rPr>
            </w:pPr>
            <w:r w:rsidRPr="005C4C61">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5C4C61">
              <w:rPr>
                <w:rFonts w:ascii="Palatino Linotype" w:eastAsia="Palatino Linotype" w:hAnsi="Palatino Linotype" w:cs="Palatino Linotype"/>
                <w:b/>
                <w:bCs/>
                <w:color w:val="000000"/>
              </w:rPr>
              <w:t>Sujetos Obligados</w:t>
            </w:r>
            <w:r w:rsidRPr="005C4C61">
              <w:rPr>
                <w:rFonts w:ascii="Palatino Linotype" w:eastAsia="Palatino Linotype" w:hAnsi="Palatino Linotype" w:cs="Palatino Linotype"/>
                <w:color w:val="000000"/>
              </w:rPr>
              <w:t xml:space="preserve">, por lo que deberán fundar y motivar debidamente la clasificación. </w:t>
            </w:r>
          </w:p>
          <w:p w:rsidR="00C2510E" w:rsidRPr="005C4C61" w:rsidRDefault="00C83BDF">
            <w:pPr>
              <w:tabs>
                <w:tab w:val="left" w:pos="284"/>
              </w:tabs>
              <w:ind w:right="49"/>
              <w:jc w:val="both"/>
              <w:rPr>
                <w:rFonts w:ascii="Palatino Linotype" w:eastAsia="Palatino Linotype" w:hAnsi="Palatino Linotype" w:cs="Palatino Linotype"/>
                <w:color w:val="000000"/>
              </w:rPr>
            </w:pPr>
            <w:r w:rsidRPr="005C4C61">
              <w:rPr>
                <w:rFonts w:ascii="Palatino Linotype" w:eastAsia="Palatino Linotype" w:hAnsi="Palatino Linotype" w:cs="Palatino Linotype"/>
                <w:color w:val="000000"/>
              </w:rPr>
              <w:t xml:space="preserve">De lo anterior, se desprende que para una correcta </w:t>
            </w:r>
            <w:r w:rsidRPr="005C4C61">
              <w:rPr>
                <w:rFonts w:ascii="Palatino Linotype" w:eastAsia="Palatino Linotype" w:hAnsi="Palatino Linotype" w:cs="Palatino Linotype"/>
                <w:b/>
                <w:bCs/>
                <w:color w:val="000000"/>
              </w:rPr>
              <w:t>clasificación total o parcial</w:t>
            </w:r>
            <w:r w:rsidRPr="005C4C61">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C2510E" w:rsidRPr="005C4C61" w:rsidRDefault="00C83BDF">
            <w:pPr>
              <w:tabs>
                <w:tab w:val="left" w:pos="284"/>
              </w:tabs>
              <w:ind w:right="49"/>
              <w:jc w:val="both"/>
              <w:rPr>
                <w:rFonts w:ascii="Palatino Linotype" w:eastAsia="Palatino Linotype" w:hAnsi="Palatino Linotype" w:cs="Palatino Linotype"/>
                <w:color w:val="000000"/>
              </w:rPr>
            </w:pPr>
            <w:r w:rsidRPr="005C4C61">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C2510E" w:rsidRPr="005C4C61" w:rsidRDefault="00C83BDF">
            <w:pPr>
              <w:tabs>
                <w:tab w:val="left" w:pos="284"/>
              </w:tabs>
              <w:ind w:right="49"/>
              <w:jc w:val="both"/>
              <w:rPr>
                <w:rFonts w:ascii="Palatino Linotype" w:eastAsia="Palatino Linotype" w:hAnsi="Palatino Linotype" w:cs="Palatino Linotype"/>
                <w:color w:val="000000"/>
              </w:rPr>
            </w:pPr>
            <w:r w:rsidRPr="005C4C61">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C2510E" w:rsidRPr="005C4C61" w:rsidRDefault="00C83BDF">
            <w:pPr>
              <w:tabs>
                <w:tab w:val="left" w:pos="284"/>
              </w:tabs>
              <w:ind w:right="49"/>
              <w:jc w:val="both"/>
              <w:rPr>
                <w:rFonts w:ascii="Palatino Linotype" w:eastAsia="Palatino Linotype" w:hAnsi="Palatino Linotype" w:cs="Palatino Linotype"/>
                <w:color w:val="000000"/>
              </w:rPr>
            </w:pPr>
            <w:r w:rsidRPr="005C4C61">
              <w:rPr>
                <w:rFonts w:ascii="Palatino Linotype" w:eastAsia="Palatino Linotype" w:hAnsi="Palatino Linotype" w:cs="Palatino Linotype"/>
                <w:color w:val="000000"/>
              </w:rPr>
              <w:t xml:space="preserve">Ahora bien, </w:t>
            </w:r>
            <w:r w:rsidRPr="005C4C61">
              <w:rPr>
                <w:rFonts w:ascii="Palatino Linotype" w:eastAsia="Palatino Linotype" w:hAnsi="Palatino Linotype" w:cs="Palatino Linotype"/>
                <w:b/>
                <w:bCs/>
                <w:color w:val="000000"/>
                <w:u w:val="single"/>
              </w:rPr>
              <w:t>para cada caso además de fundar y motivar</w:t>
            </w:r>
            <w:r w:rsidRPr="005C4C61">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p w:rsidR="00C2510E" w:rsidRPr="005C4C61" w:rsidRDefault="00C2510E">
            <w:pPr>
              <w:tabs>
                <w:tab w:val="left" w:pos="284"/>
              </w:tabs>
              <w:ind w:right="49"/>
              <w:jc w:val="both"/>
              <w:rPr>
                <w:rFonts w:ascii="Palatino Linotype" w:eastAsia="Palatino Linotype" w:hAnsi="Palatino Linotype" w:cs="Palatino Linotype"/>
                <w:color w:val="000000"/>
              </w:rPr>
            </w:pPr>
          </w:p>
        </w:tc>
      </w:tr>
      <w:tr w:rsidR="00C2510E" w:rsidRPr="005C4C61" w:rsidTr="005C4C61">
        <w:tc>
          <w:tcPr>
            <w:tcW w:w="2691" w:type="dxa"/>
            <w:tcBorders>
              <w:top w:val="single" w:sz="4" w:space="0" w:color="BFBFBF"/>
              <w:left w:val="single" w:sz="4" w:space="0" w:color="BFBFBF"/>
              <w:bottom w:val="single" w:sz="4" w:space="0" w:color="BFBFBF"/>
              <w:right w:val="single" w:sz="4" w:space="0" w:color="BFBFBF"/>
            </w:tcBorders>
          </w:tcPr>
          <w:p w:rsidR="00C2510E" w:rsidRPr="005C4C61" w:rsidRDefault="00C83BDF">
            <w:pPr>
              <w:tabs>
                <w:tab w:val="left" w:pos="284"/>
              </w:tabs>
              <w:ind w:right="49"/>
              <w:jc w:val="both"/>
              <w:rPr>
                <w:rFonts w:ascii="Palatino Linotype" w:eastAsia="Palatino Linotype" w:hAnsi="Palatino Linotype" w:cs="Palatino Linotype"/>
              </w:rPr>
            </w:pPr>
            <w:r w:rsidRPr="005C4C61">
              <w:rPr>
                <w:rFonts w:ascii="Palatino Linotype" w:eastAsia="Palatino Linotype" w:hAnsi="Palatino Linotype" w:cs="Palatino Linotype"/>
              </w:rPr>
              <w:lastRenderedPageBreak/>
              <w:t xml:space="preserve">e) Condiciones especiales de la clasificación de la información como confidencial. </w:t>
            </w:r>
          </w:p>
        </w:tc>
        <w:tc>
          <w:tcPr>
            <w:tcW w:w="7227" w:type="dxa"/>
            <w:tcBorders>
              <w:top w:val="single" w:sz="4" w:space="0" w:color="BFBFBF"/>
              <w:left w:val="single" w:sz="4" w:space="0" w:color="BFBFBF"/>
              <w:bottom w:val="single" w:sz="4" w:space="0" w:color="BFBFBF"/>
              <w:right w:val="single" w:sz="4" w:space="0" w:color="BFBFBF"/>
            </w:tcBorders>
          </w:tcPr>
          <w:p w:rsidR="00C2510E" w:rsidRPr="005C4C61" w:rsidRDefault="00C83BDF">
            <w:pPr>
              <w:tabs>
                <w:tab w:val="left" w:pos="284"/>
              </w:tabs>
              <w:ind w:right="49"/>
              <w:jc w:val="both"/>
              <w:rPr>
                <w:rFonts w:ascii="Palatino Linotype" w:eastAsia="Palatino Linotype" w:hAnsi="Palatino Linotype" w:cs="Palatino Linotype"/>
                <w:color w:val="000000"/>
              </w:rPr>
            </w:pPr>
            <w:r w:rsidRPr="005C4C61">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rsidR="00C2510E" w:rsidRPr="005C4C61" w:rsidRDefault="00C83BDF">
            <w:pPr>
              <w:tabs>
                <w:tab w:val="left" w:pos="284"/>
              </w:tabs>
              <w:ind w:right="49"/>
              <w:jc w:val="both"/>
              <w:rPr>
                <w:rFonts w:ascii="Palatino Linotype" w:eastAsia="Palatino Linotype" w:hAnsi="Palatino Linotype" w:cs="Palatino Linotype"/>
                <w:color w:val="000000"/>
              </w:rPr>
            </w:pPr>
            <w:r w:rsidRPr="005C4C61">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C2510E" w:rsidRPr="005C4C61" w:rsidRDefault="00C83BDF">
            <w:pPr>
              <w:tabs>
                <w:tab w:val="left" w:pos="284"/>
              </w:tabs>
              <w:rPr>
                <w:rFonts w:ascii="Palatino Linotype" w:eastAsia="Palatino Linotype" w:hAnsi="Palatino Linotype" w:cs="Palatino Linotype"/>
                <w:color w:val="000000"/>
              </w:rPr>
            </w:pPr>
            <w:r w:rsidRPr="005C4C61">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p w:rsidR="00C2510E" w:rsidRPr="005C4C61" w:rsidRDefault="00C2510E">
            <w:pPr>
              <w:tabs>
                <w:tab w:val="left" w:pos="284"/>
              </w:tabs>
              <w:rPr>
                <w:rFonts w:ascii="Palatino Linotype" w:eastAsia="Palatino Linotype" w:hAnsi="Palatino Linotype" w:cs="Palatino Linotype"/>
              </w:rPr>
            </w:pPr>
          </w:p>
        </w:tc>
      </w:tr>
    </w:tbl>
    <w:p w:rsidR="00C2510E" w:rsidRPr="005C4C61" w:rsidRDefault="00C2510E">
      <w:pPr>
        <w:tabs>
          <w:tab w:val="left" w:pos="284"/>
        </w:tabs>
        <w:spacing w:line="360" w:lineRule="auto"/>
        <w:rPr>
          <w:rFonts w:ascii="Palatino Linotype" w:eastAsia="Palatino Linotype" w:hAnsi="Palatino Linotype" w:cs="Palatino Linotype"/>
          <w:color w:val="000000"/>
        </w:rPr>
      </w:pP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color w:val="000000"/>
        </w:rPr>
      </w:pPr>
      <w:r w:rsidRPr="005C4C61">
        <w:rPr>
          <w:rFonts w:ascii="Palatino Linotype" w:eastAsia="Palatino Linotype" w:hAnsi="Palatino Linotype" w:cs="Palatino Linotype"/>
        </w:rPr>
        <w:t xml:space="preserve">Si el </w:t>
      </w:r>
      <w:r w:rsidRPr="005C4C61">
        <w:rPr>
          <w:rFonts w:ascii="Palatino Linotype" w:eastAsia="Palatino Linotype" w:hAnsi="Palatino Linotype" w:cs="Palatino Linotype"/>
          <w:color w:val="000000"/>
        </w:rPr>
        <w:t>servidor</w:t>
      </w:r>
      <w:r w:rsidRPr="005C4C61">
        <w:rPr>
          <w:rFonts w:ascii="Palatino Linotype" w:eastAsia="Palatino Linotype" w:hAnsi="Palatino Linotype" w:cs="Palatino Linotype"/>
        </w:rPr>
        <w:t xml:space="preserve"> público incumple con estas formalidades y entrega la información </w:t>
      </w:r>
      <w:r w:rsidRPr="005C4C61">
        <w:rPr>
          <w:rFonts w:ascii="Palatino Linotype" w:eastAsia="Palatino Linotype" w:hAnsi="Palatino Linotype" w:cs="Palatino Linotype"/>
          <w:color w:val="000000"/>
        </w:rPr>
        <w:t>sin</w:t>
      </w:r>
      <w:r w:rsidRPr="005C4C61">
        <w:rPr>
          <w:rFonts w:ascii="Palatino Linotype" w:eastAsia="Palatino Linotype" w:hAnsi="Palatino Linotype" w:cs="Palatino Linotype"/>
        </w:rPr>
        <w:t xml:space="preserve"> </w:t>
      </w:r>
      <w:r w:rsidRPr="005C4C61">
        <w:rPr>
          <w:rFonts w:ascii="Palatino Linotype" w:eastAsia="Palatino Linotype" w:hAnsi="Palatino Linotype" w:cs="Palatino Linotype"/>
          <w:color w:val="000000"/>
        </w:rPr>
        <w:t>proteger</w:t>
      </w:r>
      <w:r w:rsidRPr="005C4C61">
        <w:rPr>
          <w:rFonts w:ascii="Palatino Linotype" w:eastAsia="Palatino Linotype" w:hAnsi="Palatino Linotype" w:cs="Palatino Linotype"/>
        </w:rPr>
        <w:t xml:space="preserve"> los datos personales incumple con lo que estipula las </w:t>
      </w:r>
      <w:r w:rsidRPr="005C4C61">
        <w:rPr>
          <w:rFonts w:ascii="Palatino Linotype" w:eastAsia="Palatino Linotype" w:hAnsi="Palatino Linotype" w:cs="Palatino Linotype"/>
          <w:color w:val="000000"/>
        </w:rPr>
        <w:t>disposiciones</w:t>
      </w:r>
      <w:r w:rsidRPr="005C4C61">
        <w:rPr>
          <w:rFonts w:ascii="Palatino Linotype" w:eastAsia="Palatino Linotype" w:hAnsi="Palatino Linotype" w:cs="Palatino Linotype"/>
        </w:rPr>
        <w:t xml:space="preserve"> legales </w:t>
      </w:r>
      <w:r w:rsidRPr="005C4C61">
        <w:rPr>
          <w:rFonts w:ascii="Palatino Linotype" w:eastAsia="Palatino Linotype" w:hAnsi="Palatino Linotype" w:cs="Palatino Linotype"/>
          <w:color w:val="000000"/>
        </w:rPr>
        <w:t>establecidas</w:t>
      </w:r>
      <w:r w:rsidRPr="005C4C61">
        <w:rPr>
          <w:rFonts w:ascii="Palatino Linotype" w:eastAsia="Palatino Linotype" w:hAnsi="Palatino Linotype" w:cs="Palatino Linotype"/>
        </w:rPr>
        <w:t>, asimismo que si entrega un documento testado sin el debido acuerdo de clasificación.</w:t>
      </w:r>
    </w:p>
    <w:p w:rsidR="00C2510E" w:rsidRPr="005C4C61" w:rsidRDefault="00C2510E">
      <w:pPr>
        <w:spacing w:line="360" w:lineRule="auto"/>
        <w:jc w:val="both"/>
        <w:rPr>
          <w:rFonts w:ascii="Palatino Linotype" w:eastAsia="Palatino Linotype" w:hAnsi="Palatino Linotype" w:cs="Palatino Linotype"/>
          <w:color w:val="000000"/>
        </w:rPr>
      </w:pPr>
    </w:p>
    <w:p w:rsidR="00C2510E" w:rsidRPr="005C4C61" w:rsidRDefault="00C83BDF">
      <w:pPr>
        <w:numPr>
          <w:ilvl w:val="0"/>
          <w:numId w:val="1"/>
        </w:numPr>
        <w:spacing w:line="360" w:lineRule="auto"/>
        <w:ind w:left="0" w:firstLine="0"/>
        <w:jc w:val="both"/>
        <w:rPr>
          <w:rFonts w:ascii="Palatino Linotype" w:eastAsia="Palatino Linotype" w:hAnsi="Palatino Linotype" w:cs="Palatino Linotype"/>
        </w:rPr>
      </w:pPr>
      <w:r w:rsidRPr="005C4C61">
        <w:rPr>
          <w:rFonts w:ascii="Palatino Linotype" w:eastAsia="Palatino Linotype" w:hAnsi="Palatino Linotype" w:cs="Palatino Linotype"/>
          <w:color w:val="222222"/>
        </w:rPr>
        <w:t xml:space="preserve">Por lo </w:t>
      </w:r>
      <w:r w:rsidRPr="005C4C61">
        <w:rPr>
          <w:rFonts w:ascii="Palatino Linotype" w:eastAsia="Palatino Linotype" w:hAnsi="Palatino Linotype" w:cs="Palatino Linotype"/>
        </w:rPr>
        <w:t>anteriormente</w:t>
      </w:r>
      <w:r w:rsidRPr="005C4C61">
        <w:rPr>
          <w:rFonts w:ascii="Palatino Linotype" w:eastAsia="Palatino Linotype" w:hAnsi="Palatino Linotype" w:cs="Palatino Linotype"/>
          <w:color w:val="222222"/>
        </w:rPr>
        <w:t xml:space="preserve"> expuesto y fundado, este </w:t>
      </w:r>
      <w:r w:rsidRPr="005C4C61">
        <w:rPr>
          <w:rFonts w:ascii="Palatino Linotype" w:eastAsia="Palatino Linotype" w:hAnsi="Palatino Linotype" w:cs="Palatino Linotype"/>
          <w:b/>
          <w:bCs/>
          <w:color w:val="222222"/>
        </w:rPr>
        <w:t>ÓRGANO GARANTE</w:t>
      </w:r>
      <w:r w:rsidRPr="005C4C61">
        <w:rPr>
          <w:rFonts w:ascii="Palatino Linotype" w:eastAsia="Palatino Linotype" w:hAnsi="Palatino Linotype" w:cs="Palatino Linotype"/>
          <w:color w:val="222222"/>
        </w:rPr>
        <w:t xml:space="preserve"> emite los </w:t>
      </w:r>
      <w:r w:rsidRPr="005C4C61">
        <w:rPr>
          <w:rFonts w:ascii="Palatino Linotype" w:eastAsia="Palatino Linotype" w:hAnsi="Palatino Linotype" w:cs="Palatino Linotype"/>
        </w:rPr>
        <w:t>siguientes</w:t>
      </w:r>
      <w:r w:rsidRPr="005C4C61">
        <w:rPr>
          <w:rFonts w:ascii="Palatino Linotype" w:eastAsia="Palatino Linotype" w:hAnsi="Palatino Linotype" w:cs="Palatino Linotype"/>
          <w:color w:val="222222"/>
        </w:rPr>
        <w:t>:</w:t>
      </w:r>
    </w:p>
    <w:p w:rsidR="00C2510E" w:rsidRPr="005C4C61" w:rsidRDefault="00C2510E">
      <w:pPr>
        <w:pBdr>
          <w:top w:val="nil"/>
          <w:left w:val="nil"/>
          <w:bottom w:val="nil"/>
          <w:right w:val="nil"/>
          <w:between w:val="nil"/>
        </w:pBdr>
        <w:ind w:left="720"/>
        <w:rPr>
          <w:rFonts w:ascii="Palatino Linotype" w:eastAsia="Palatino Linotype" w:hAnsi="Palatino Linotype" w:cs="Palatino Linotype"/>
          <w:color w:val="000000"/>
        </w:rPr>
      </w:pPr>
    </w:p>
    <w:p w:rsidR="00C2510E" w:rsidRPr="005C4C61" w:rsidRDefault="00C83BDF">
      <w:pPr>
        <w:pBdr>
          <w:top w:val="nil"/>
          <w:left w:val="nil"/>
          <w:bottom w:val="nil"/>
          <w:right w:val="nil"/>
          <w:between w:val="nil"/>
        </w:pBdr>
        <w:spacing w:line="360" w:lineRule="auto"/>
        <w:jc w:val="center"/>
        <w:rPr>
          <w:rFonts w:ascii="Palatino Linotype" w:eastAsia="Palatino Linotype" w:hAnsi="Palatino Linotype" w:cs="Palatino Linotype"/>
          <w:b/>
          <w:bCs/>
        </w:rPr>
      </w:pPr>
      <w:r w:rsidRPr="005C4C61">
        <w:rPr>
          <w:rFonts w:ascii="Palatino Linotype" w:eastAsia="Palatino Linotype" w:hAnsi="Palatino Linotype" w:cs="Palatino Linotype"/>
          <w:b/>
          <w:bCs/>
        </w:rPr>
        <w:t>R E S O L U T I V O S</w:t>
      </w:r>
    </w:p>
    <w:p w:rsidR="00C2510E" w:rsidRPr="005C4C61" w:rsidRDefault="00C2510E">
      <w:pPr>
        <w:pBdr>
          <w:top w:val="nil"/>
          <w:left w:val="nil"/>
          <w:bottom w:val="nil"/>
          <w:right w:val="nil"/>
          <w:between w:val="nil"/>
        </w:pBdr>
        <w:spacing w:line="360" w:lineRule="auto"/>
        <w:jc w:val="center"/>
        <w:rPr>
          <w:rFonts w:ascii="Palatino Linotype" w:eastAsia="Palatino Linotype" w:hAnsi="Palatino Linotype" w:cs="Palatino Linotype"/>
          <w:b/>
          <w:bCs/>
        </w:rPr>
      </w:pPr>
    </w:p>
    <w:p w:rsidR="00C2510E" w:rsidRPr="005C4C61" w:rsidRDefault="00C83BDF">
      <w:pPr>
        <w:spacing w:line="360" w:lineRule="auto"/>
        <w:jc w:val="both"/>
        <w:rPr>
          <w:rFonts w:ascii="Palatino Linotype" w:eastAsia="Palatino Linotype" w:hAnsi="Palatino Linotype" w:cs="Palatino Linotype"/>
        </w:rPr>
      </w:pPr>
      <w:r w:rsidRPr="005C4C61">
        <w:rPr>
          <w:rFonts w:ascii="Palatino Linotype" w:eastAsia="Palatino Linotype" w:hAnsi="Palatino Linotype" w:cs="Palatino Linotype"/>
          <w:b/>
          <w:bCs/>
        </w:rPr>
        <w:t>PRIMERO</w:t>
      </w:r>
      <w:r w:rsidRPr="005C4C61">
        <w:rPr>
          <w:rFonts w:ascii="Palatino Linotype" w:eastAsia="Palatino Linotype" w:hAnsi="Palatino Linotype" w:cs="Palatino Linotype"/>
        </w:rPr>
        <w:t xml:space="preserve">. Resultan fundadas las razones o motivos de inconformidad hechos valer en el Recurso de Revisión </w:t>
      </w:r>
      <w:r w:rsidRPr="005C4C61">
        <w:rPr>
          <w:rFonts w:ascii="Palatino Linotype" w:eastAsia="Palatino Linotype" w:hAnsi="Palatino Linotype" w:cs="Palatino Linotype"/>
          <w:b/>
          <w:bCs/>
        </w:rPr>
        <w:t xml:space="preserve">08753/INFOEM/IP/RR/2025, </w:t>
      </w:r>
      <w:r w:rsidRPr="005C4C61">
        <w:rPr>
          <w:rFonts w:ascii="Palatino Linotype" w:eastAsia="Palatino Linotype" w:hAnsi="Palatino Linotype" w:cs="Palatino Linotype"/>
        </w:rPr>
        <w:t xml:space="preserve">en términos de los </w:t>
      </w:r>
      <w:r w:rsidRPr="005C4C61">
        <w:rPr>
          <w:rFonts w:ascii="Palatino Linotype" w:eastAsia="Palatino Linotype" w:hAnsi="Palatino Linotype" w:cs="Palatino Linotype"/>
          <w:b/>
          <w:bCs/>
        </w:rPr>
        <w:t>Considerandos</w:t>
      </w:r>
      <w:r w:rsidRPr="005C4C61">
        <w:rPr>
          <w:rFonts w:ascii="Palatino Linotype" w:eastAsia="Palatino Linotype" w:hAnsi="Palatino Linotype" w:cs="Palatino Linotype"/>
        </w:rPr>
        <w:t xml:space="preserve"> </w:t>
      </w:r>
      <w:r w:rsidRPr="005C4C61">
        <w:rPr>
          <w:rFonts w:ascii="Palatino Linotype" w:eastAsia="Palatino Linotype" w:hAnsi="Palatino Linotype" w:cs="Palatino Linotype"/>
          <w:b/>
          <w:bCs/>
        </w:rPr>
        <w:t>Cuarto</w:t>
      </w:r>
      <w:r w:rsidRPr="005C4C61">
        <w:rPr>
          <w:rFonts w:ascii="Palatino Linotype" w:eastAsia="Palatino Linotype" w:hAnsi="Palatino Linotype" w:cs="Palatino Linotype"/>
        </w:rPr>
        <w:t xml:space="preserve"> y</w:t>
      </w:r>
      <w:r w:rsidRPr="005C4C61">
        <w:rPr>
          <w:rFonts w:ascii="Palatino Linotype" w:eastAsia="Palatino Linotype" w:hAnsi="Palatino Linotype" w:cs="Palatino Linotype"/>
          <w:b/>
          <w:bCs/>
        </w:rPr>
        <w:t xml:space="preserve"> Quinto </w:t>
      </w:r>
      <w:r w:rsidRPr="005C4C61">
        <w:rPr>
          <w:rFonts w:ascii="Palatino Linotype" w:eastAsia="Palatino Linotype" w:hAnsi="Palatino Linotype" w:cs="Palatino Linotype"/>
        </w:rPr>
        <w:t>de la presente Resolución.</w:t>
      </w:r>
    </w:p>
    <w:p w:rsidR="00C2510E" w:rsidRPr="005C4C61" w:rsidRDefault="00C83BDF">
      <w:pPr>
        <w:spacing w:line="360" w:lineRule="auto"/>
        <w:jc w:val="both"/>
        <w:rPr>
          <w:rFonts w:ascii="Palatino Linotype" w:eastAsia="Palatino Linotype" w:hAnsi="Palatino Linotype" w:cs="Palatino Linotype"/>
        </w:rPr>
      </w:pPr>
      <w:r w:rsidRPr="005C4C61">
        <w:rPr>
          <w:rFonts w:ascii="Palatino Linotype" w:eastAsia="Palatino Linotype" w:hAnsi="Palatino Linotype" w:cs="Palatino Linotype"/>
          <w:b/>
          <w:bCs/>
        </w:rPr>
        <w:lastRenderedPageBreak/>
        <w:t xml:space="preserve">SEGUNDO. </w:t>
      </w:r>
      <w:r w:rsidRPr="005C4C61">
        <w:rPr>
          <w:rFonts w:ascii="Palatino Linotype" w:eastAsia="Palatino Linotype" w:hAnsi="Palatino Linotype" w:cs="Palatino Linotype"/>
          <w:color w:val="000000"/>
        </w:rPr>
        <w:t xml:space="preserve">Se </w:t>
      </w:r>
      <w:r w:rsidRPr="005C4C61">
        <w:rPr>
          <w:rFonts w:ascii="Palatino Linotype" w:eastAsia="Palatino Linotype" w:hAnsi="Palatino Linotype" w:cs="Palatino Linotype"/>
          <w:b/>
          <w:bCs/>
          <w:color w:val="000000"/>
        </w:rPr>
        <w:t xml:space="preserve">REVOCA </w:t>
      </w:r>
      <w:r w:rsidR="00B0458B" w:rsidRPr="005C4C61">
        <w:rPr>
          <w:rFonts w:ascii="Palatino Linotype" w:eastAsia="Palatino Linotype" w:hAnsi="Palatino Linotype" w:cs="Palatino Linotype"/>
          <w:color w:val="000000"/>
        </w:rPr>
        <w:t>la respuesta emitida por la</w:t>
      </w:r>
      <w:r w:rsidRPr="005C4C61">
        <w:rPr>
          <w:rFonts w:ascii="Palatino Linotype" w:eastAsia="Palatino Linotype" w:hAnsi="Palatino Linotype" w:cs="Palatino Linotype"/>
          <w:color w:val="000000"/>
        </w:rPr>
        <w:t xml:space="preserve"> </w:t>
      </w:r>
      <w:r w:rsidRPr="005C4C61">
        <w:rPr>
          <w:rFonts w:ascii="Palatino Linotype" w:eastAsia="Palatino Linotype" w:hAnsi="Palatino Linotype" w:cs="Palatino Linotype"/>
          <w:b/>
          <w:bCs/>
          <w:color w:val="000000"/>
        </w:rPr>
        <w:t xml:space="preserve">Universidad Estatal del Valle de Toluca </w:t>
      </w:r>
      <w:r w:rsidRPr="005C4C61">
        <w:rPr>
          <w:rFonts w:ascii="Palatino Linotype" w:eastAsia="Palatino Linotype" w:hAnsi="Palatino Linotype" w:cs="Palatino Linotype"/>
          <w:color w:val="000000"/>
        </w:rPr>
        <w:t>a la Solicitud de Información</w:t>
      </w:r>
      <w:r w:rsidRPr="005C4C61">
        <w:rPr>
          <w:rFonts w:ascii="Palatino Linotype" w:eastAsia="Palatino Linotype" w:hAnsi="Palatino Linotype" w:cs="Palatino Linotype"/>
          <w:b/>
          <w:bCs/>
          <w:color w:val="000000"/>
        </w:rPr>
        <w:t xml:space="preserve"> </w:t>
      </w:r>
      <w:r w:rsidRPr="005C4C61">
        <w:rPr>
          <w:rFonts w:ascii="Palatino Linotype" w:eastAsia="Palatino Linotype" w:hAnsi="Palatino Linotype" w:cs="Palatino Linotype"/>
          <w:b/>
          <w:bCs/>
        </w:rPr>
        <w:t>00032/UNEVT/IP/2025;</w:t>
      </w:r>
      <w:r w:rsidRPr="005C4C61">
        <w:rPr>
          <w:rFonts w:ascii="Palatino Linotype" w:eastAsia="Palatino Linotype" w:hAnsi="Palatino Linotype" w:cs="Palatino Linotype"/>
        </w:rPr>
        <w:t xml:space="preserve"> por lo que</w:t>
      </w:r>
      <w:r w:rsidRPr="005C4C61">
        <w:rPr>
          <w:rFonts w:ascii="Palatino Linotype" w:eastAsia="Palatino Linotype" w:hAnsi="Palatino Linotype" w:cs="Palatino Linotype"/>
          <w:color w:val="000000"/>
        </w:rPr>
        <w:t xml:space="preserve"> se </w:t>
      </w:r>
      <w:r w:rsidRPr="005C4C61">
        <w:rPr>
          <w:rFonts w:ascii="Palatino Linotype" w:eastAsia="Palatino Linotype" w:hAnsi="Palatino Linotype" w:cs="Palatino Linotype"/>
          <w:b/>
          <w:bCs/>
          <w:color w:val="000000"/>
        </w:rPr>
        <w:t>ORDENA</w:t>
      </w:r>
      <w:r w:rsidRPr="005C4C61">
        <w:rPr>
          <w:rFonts w:ascii="Palatino Linotype" w:eastAsia="Palatino Linotype" w:hAnsi="Palatino Linotype" w:cs="Palatino Linotype"/>
          <w:color w:val="000000"/>
        </w:rPr>
        <w:t xml:space="preserve"> entregar vía Sistema de Acceso a la Información Mexiquense (</w:t>
      </w:r>
      <w:r w:rsidRPr="005C4C61">
        <w:rPr>
          <w:rFonts w:ascii="Palatino Linotype" w:eastAsia="Palatino Linotype" w:hAnsi="Palatino Linotype" w:cs="Palatino Linotype"/>
          <w:b/>
          <w:bCs/>
          <w:color w:val="000000"/>
        </w:rPr>
        <w:t>SAIMEX</w:t>
      </w:r>
      <w:r w:rsidRPr="005C4C61">
        <w:rPr>
          <w:rFonts w:ascii="Palatino Linotype" w:eastAsia="Palatino Linotype" w:hAnsi="Palatino Linotype" w:cs="Palatino Linotype"/>
          <w:color w:val="000000"/>
        </w:rPr>
        <w:t xml:space="preserve">), la siguiente información, generada, poseída o administrada al </w:t>
      </w:r>
      <w:r w:rsidRPr="005C4C61">
        <w:rPr>
          <w:rFonts w:ascii="Palatino Linotype" w:eastAsia="Palatino Linotype" w:hAnsi="Palatino Linotype" w:cs="Palatino Linotype"/>
        </w:rPr>
        <w:t>seis de junio dos mil veinticinco, en versión pública:</w:t>
      </w:r>
    </w:p>
    <w:p w:rsidR="00C2510E" w:rsidRPr="005C4C61" w:rsidRDefault="00C2510E">
      <w:pPr>
        <w:pBdr>
          <w:top w:val="nil"/>
          <w:left w:val="nil"/>
          <w:bottom w:val="nil"/>
          <w:right w:val="nil"/>
          <w:between w:val="nil"/>
        </w:pBdr>
        <w:tabs>
          <w:tab w:val="left" w:pos="8080"/>
        </w:tabs>
        <w:spacing w:line="360" w:lineRule="auto"/>
        <w:ind w:left="709" w:right="474"/>
        <w:jc w:val="both"/>
        <w:rPr>
          <w:rFonts w:ascii="Palatino Linotype" w:eastAsia="Palatino Linotype" w:hAnsi="Palatino Linotype" w:cs="Palatino Linotype"/>
          <w:i/>
          <w:iCs/>
          <w:color w:val="000000"/>
        </w:rPr>
      </w:pPr>
    </w:p>
    <w:p w:rsidR="00C2510E" w:rsidRPr="005C4C61" w:rsidRDefault="00C83BDF">
      <w:pPr>
        <w:numPr>
          <w:ilvl w:val="0"/>
          <w:numId w:val="2"/>
        </w:numPr>
        <w:pBdr>
          <w:top w:val="nil"/>
          <w:left w:val="nil"/>
          <w:bottom w:val="nil"/>
          <w:right w:val="nil"/>
          <w:between w:val="nil"/>
        </w:pBdr>
        <w:spacing w:line="360" w:lineRule="auto"/>
        <w:ind w:left="426"/>
        <w:jc w:val="center"/>
        <w:rPr>
          <w:rFonts w:ascii="Palatino Linotype" w:eastAsia="Palatino Linotype" w:hAnsi="Palatino Linotype" w:cs="Palatino Linotype"/>
          <w:b/>
          <w:bCs/>
          <w:color w:val="000000"/>
        </w:rPr>
      </w:pPr>
      <w:r w:rsidRPr="005C4C61">
        <w:rPr>
          <w:rFonts w:ascii="Palatino Linotype" w:eastAsia="Palatino Linotype" w:hAnsi="Palatino Linotype" w:cs="Palatino Linotype"/>
          <w:b/>
          <w:bCs/>
          <w:color w:val="000000"/>
        </w:rPr>
        <w:t>Expediente del procedimiento de licitación pública UNEVT/LP-001-2025.</w:t>
      </w:r>
    </w:p>
    <w:p w:rsidR="00C2510E" w:rsidRPr="005C4C61" w:rsidRDefault="00C2510E">
      <w:pPr>
        <w:pBdr>
          <w:top w:val="nil"/>
          <w:left w:val="nil"/>
          <w:bottom w:val="nil"/>
          <w:right w:val="nil"/>
          <w:between w:val="nil"/>
        </w:pBdr>
        <w:spacing w:line="360" w:lineRule="auto"/>
        <w:ind w:left="778" w:right="284"/>
        <w:jc w:val="both"/>
        <w:rPr>
          <w:rFonts w:ascii="Palatino Linotype" w:eastAsia="Palatino Linotype" w:hAnsi="Palatino Linotype" w:cs="Palatino Linotype"/>
          <w:b/>
          <w:bCs/>
          <w:color w:val="000000"/>
        </w:rPr>
      </w:pPr>
    </w:p>
    <w:p w:rsidR="00C2510E" w:rsidRPr="005C4C61" w:rsidRDefault="00C83BDF">
      <w:pPr>
        <w:spacing w:line="360" w:lineRule="auto"/>
        <w:jc w:val="both"/>
        <w:rPr>
          <w:rFonts w:ascii="Palatino Linotype" w:eastAsia="Palatino Linotype" w:hAnsi="Palatino Linotype" w:cs="Palatino Linotype"/>
        </w:rPr>
      </w:pPr>
      <w:r w:rsidRPr="005C4C61">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 </w:t>
      </w:r>
    </w:p>
    <w:p w:rsidR="00C2510E" w:rsidRPr="005C4C61" w:rsidRDefault="00C2510E">
      <w:pPr>
        <w:spacing w:line="360" w:lineRule="auto"/>
        <w:jc w:val="both"/>
        <w:rPr>
          <w:rFonts w:ascii="Palatino Linotype" w:eastAsia="Palatino Linotype" w:hAnsi="Palatino Linotype" w:cs="Palatino Linotype"/>
        </w:rPr>
      </w:pPr>
    </w:p>
    <w:p w:rsidR="00C2510E" w:rsidRPr="005C4C61" w:rsidRDefault="00C83BDF">
      <w:pPr>
        <w:spacing w:line="360" w:lineRule="auto"/>
        <w:ind w:right="51"/>
        <w:jc w:val="both"/>
        <w:rPr>
          <w:rFonts w:ascii="Palatino Linotype" w:eastAsia="Palatino Linotype" w:hAnsi="Palatino Linotype" w:cs="Palatino Linotype"/>
        </w:rPr>
      </w:pPr>
      <w:r w:rsidRPr="005C4C61">
        <w:rPr>
          <w:rFonts w:ascii="Palatino Linotype" w:eastAsia="Palatino Linotype" w:hAnsi="Palatino Linotype" w:cs="Palatino Linotype"/>
          <w:b/>
          <w:bCs/>
        </w:rPr>
        <w:t xml:space="preserve">TERCERO. Notifíquese </w:t>
      </w:r>
      <w:r w:rsidRPr="005C4C61">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5C4C61">
        <w:rPr>
          <w:rFonts w:ascii="Palatino Linotype" w:eastAsia="Palatino Linotype" w:hAnsi="Palatino Linotype" w:cs="Palatino Linotype"/>
          <w:b/>
          <w:bCs/>
        </w:rPr>
        <w:t>dé cumplimiento a lo ordenado dentro del plazo de diez días hábiles,</w:t>
      </w:r>
      <w:r w:rsidRPr="005C4C61">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C2510E" w:rsidRPr="005C4C61" w:rsidRDefault="00C83BDF">
      <w:pPr>
        <w:spacing w:line="360" w:lineRule="auto"/>
        <w:ind w:right="51"/>
        <w:jc w:val="both"/>
        <w:rPr>
          <w:rFonts w:ascii="Palatino Linotype" w:eastAsia="Palatino Linotype" w:hAnsi="Palatino Linotype" w:cs="Palatino Linotype"/>
        </w:rPr>
      </w:pPr>
      <w:r w:rsidRPr="005C4C61">
        <w:rPr>
          <w:rFonts w:ascii="Palatino Linotype" w:eastAsia="Palatino Linotype" w:hAnsi="Palatino Linotype" w:cs="Palatino Linotype"/>
          <w:b/>
          <w:bCs/>
        </w:rPr>
        <w:lastRenderedPageBreak/>
        <w:t xml:space="preserve">CUARTO. </w:t>
      </w:r>
      <w:r w:rsidRPr="005C4C61">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5C4C61">
        <w:rPr>
          <w:rFonts w:ascii="Palatino Linotype" w:eastAsia="Palatino Linotype" w:hAnsi="Palatino Linotype" w:cs="Palatino Linotype"/>
          <w:b/>
          <w:bCs/>
        </w:rPr>
        <w:t>SUJETO OBLIGADO</w:t>
      </w:r>
      <w:r w:rsidRPr="005C4C61">
        <w:rPr>
          <w:rFonts w:ascii="Palatino Linotype" w:eastAsia="Palatino Linotype" w:hAnsi="Palatino Linotype" w:cs="Palatino Linotype"/>
        </w:rPr>
        <w:t xml:space="preserve"> de manera fundada y motivada, podrá solicitar una ampliación de plazo para el cumplimiento de la presente Resolución.</w:t>
      </w:r>
    </w:p>
    <w:p w:rsidR="00C2510E" w:rsidRPr="005C4C61" w:rsidRDefault="00C2510E">
      <w:pPr>
        <w:spacing w:line="360" w:lineRule="auto"/>
        <w:ind w:right="51"/>
        <w:jc w:val="both"/>
        <w:rPr>
          <w:rFonts w:ascii="Palatino Linotype" w:eastAsia="Palatino Linotype" w:hAnsi="Palatino Linotype" w:cs="Palatino Linotype"/>
        </w:rPr>
      </w:pPr>
    </w:p>
    <w:p w:rsidR="00C2510E" w:rsidRPr="005C4C61" w:rsidRDefault="00C83BDF">
      <w:pPr>
        <w:tabs>
          <w:tab w:val="left" w:pos="8080"/>
        </w:tabs>
        <w:spacing w:line="360" w:lineRule="auto"/>
        <w:ind w:right="51"/>
        <w:jc w:val="both"/>
        <w:rPr>
          <w:rFonts w:ascii="Palatino Linotype" w:eastAsia="Palatino Linotype" w:hAnsi="Palatino Linotype" w:cs="Palatino Linotype"/>
        </w:rPr>
      </w:pPr>
      <w:bookmarkStart w:id="7" w:name="_heading=h.lnxbz9" w:colFirst="0" w:colLast="0"/>
      <w:bookmarkEnd w:id="7"/>
      <w:r w:rsidRPr="005C4C61">
        <w:rPr>
          <w:rFonts w:ascii="Palatino Linotype" w:eastAsia="Palatino Linotype" w:hAnsi="Palatino Linotype" w:cs="Palatino Linotype"/>
          <w:b/>
          <w:bCs/>
        </w:rPr>
        <w:t xml:space="preserve">QUINTO. </w:t>
      </w:r>
      <w:r w:rsidRPr="005C4C61">
        <w:rPr>
          <w:rFonts w:ascii="Palatino Linotype" w:eastAsia="Palatino Linotype" w:hAnsi="Palatino Linotype" w:cs="Palatino Linotype"/>
        </w:rPr>
        <w:t xml:space="preserve">Notifíquese al </w:t>
      </w:r>
      <w:r w:rsidRPr="005C4C61">
        <w:rPr>
          <w:rFonts w:ascii="Palatino Linotype" w:eastAsia="Palatino Linotype" w:hAnsi="Palatino Linotype" w:cs="Palatino Linotype"/>
          <w:b/>
          <w:bCs/>
        </w:rPr>
        <w:t>RECURRENTE</w:t>
      </w:r>
      <w:r w:rsidRPr="005C4C61">
        <w:rPr>
          <w:rFonts w:ascii="Palatino Linotype" w:eastAsia="Palatino Linotype" w:hAnsi="Palatino Linotype" w:cs="Palatino Linotype"/>
        </w:rPr>
        <w:t xml:space="preserve"> la presente Resolución, vía </w:t>
      </w:r>
      <w:r w:rsidRPr="005C4C61">
        <w:rPr>
          <w:rFonts w:ascii="Palatino Linotype" w:eastAsia="Palatino Linotype" w:hAnsi="Palatino Linotype" w:cs="Palatino Linotype"/>
          <w:b/>
          <w:bCs/>
        </w:rPr>
        <w:t>SAIMEX</w:t>
      </w:r>
      <w:r w:rsidRPr="005C4C61">
        <w:rPr>
          <w:rFonts w:ascii="Palatino Linotype" w:eastAsia="Palatino Linotype" w:hAnsi="Palatino Linotype" w:cs="Palatino Linotype"/>
        </w:rPr>
        <w:t>.</w:t>
      </w:r>
    </w:p>
    <w:p w:rsidR="00C2510E" w:rsidRPr="005C4C61" w:rsidRDefault="00C2510E">
      <w:pPr>
        <w:tabs>
          <w:tab w:val="left" w:pos="8080"/>
        </w:tabs>
        <w:spacing w:line="360" w:lineRule="auto"/>
        <w:ind w:right="51"/>
        <w:jc w:val="both"/>
        <w:rPr>
          <w:rFonts w:ascii="Palatino Linotype" w:eastAsia="Palatino Linotype" w:hAnsi="Palatino Linotype" w:cs="Palatino Linotype"/>
        </w:rPr>
      </w:pPr>
    </w:p>
    <w:p w:rsidR="00C2510E" w:rsidRPr="005C4C61" w:rsidRDefault="00C83BDF">
      <w:pPr>
        <w:shd w:val="clear" w:color="auto" w:fill="FFFFFF"/>
        <w:spacing w:line="360" w:lineRule="auto"/>
        <w:ind w:right="51"/>
        <w:jc w:val="both"/>
        <w:rPr>
          <w:rFonts w:ascii="Palatino Linotype" w:eastAsia="Palatino Linotype" w:hAnsi="Palatino Linotype" w:cs="Palatino Linotype"/>
        </w:rPr>
      </w:pPr>
      <w:r w:rsidRPr="005C4C61">
        <w:rPr>
          <w:rFonts w:ascii="Palatino Linotype" w:eastAsia="Palatino Linotype" w:hAnsi="Palatino Linotype" w:cs="Palatino Linotype"/>
          <w:b/>
          <w:bCs/>
        </w:rPr>
        <w:t xml:space="preserve">SEXTO. </w:t>
      </w:r>
      <w:r w:rsidRPr="005C4C61">
        <w:rPr>
          <w:rFonts w:ascii="Palatino Linotype" w:eastAsia="Palatino Linotype" w:hAnsi="Palatino Linotype" w:cs="Palatino Linotype"/>
        </w:rPr>
        <w:t>Se hace del conocimiento del</w:t>
      </w:r>
      <w:r w:rsidRPr="005C4C61">
        <w:rPr>
          <w:rFonts w:ascii="Palatino Linotype" w:eastAsia="Palatino Linotype" w:hAnsi="Palatino Linotype" w:cs="Palatino Linotype"/>
          <w:b/>
          <w:bCs/>
        </w:rPr>
        <w:t xml:space="preserve"> RECURRENTE </w:t>
      </w:r>
      <w:r w:rsidRPr="005C4C61">
        <w:rPr>
          <w:rFonts w:ascii="Palatino Linotype" w:eastAsia="Palatino Linotype" w:hAnsi="Palatino Linotype" w:cs="Palatino Linotype"/>
        </w:rPr>
        <w:t>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C2510E" w:rsidRPr="005C4C61" w:rsidRDefault="00C2510E">
      <w:pPr>
        <w:shd w:val="clear" w:color="auto" w:fill="FFFFFF"/>
        <w:spacing w:line="360" w:lineRule="auto"/>
        <w:jc w:val="both"/>
        <w:rPr>
          <w:rFonts w:ascii="Palatino Linotype" w:eastAsia="Palatino Linotype" w:hAnsi="Palatino Linotype" w:cs="Palatino Linotype"/>
        </w:rPr>
      </w:pPr>
    </w:p>
    <w:p w:rsidR="00B0458B" w:rsidRPr="005C4C61" w:rsidRDefault="00B0458B" w:rsidP="00B0458B">
      <w:pPr>
        <w:spacing w:before="240" w:after="240" w:line="360" w:lineRule="auto"/>
        <w:ind w:firstLine="1"/>
        <w:jc w:val="both"/>
        <w:rPr>
          <w:rFonts w:ascii="Palatino Linotype" w:hAnsi="Palatino Linotype"/>
        </w:rPr>
      </w:pPr>
      <w:bookmarkStart w:id="8" w:name="_Hlk99014733"/>
      <w:r w:rsidRPr="005C4C61">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NOVENA SESIÓN ORDINARIA, CELEBRADA EL ONCE (11) DE MARZO DE DOS MIL VEINTISÉIS, ANTE EL SECRETARIO TÉCNICO DEL PLENO </w:t>
      </w:r>
      <w:r w:rsidRPr="005C4C61">
        <w:rPr>
          <w:rFonts w:ascii="Palatino Linotype" w:hAnsi="Palatino Linotype" w:cs="Palatino Linotype"/>
          <w:color w:val="000000" w:themeColor="text1"/>
        </w:rPr>
        <w:t>ALEXIS TAPIA RAMÍREZ.</w:t>
      </w:r>
    </w:p>
    <w:bookmarkEnd w:id="8"/>
    <w:p w:rsidR="00C2510E" w:rsidRPr="005C4C61" w:rsidRDefault="00C2510E">
      <w:pPr>
        <w:spacing w:line="360" w:lineRule="auto"/>
        <w:rPr>
          <w:rFonts w:ascii="Palatino Linotype" w:eastAsia="Palatino Linotype" w:hAnsi="Palatino Linotype" w:cs="Palatino Linotype"/>
        </w:rPr>
      </w:pPr>
    </w:p>
    <w:p w:rsidR="00C2510E" w:rsidRPr="005C4C61" w:rsidRDefault="00C2510E">
      <w:pPr>
        <w:spacing w:line="360" w:lineRule="auto"/>
        <w:rPr>
          <w:rFonts w:ascii="Palatino Linotype" w:eastAsia="Palatino Linotype" w:hAnsi="Palatino Linotype" w:cs="Palatino Linotype"/>
        </w:rPr>
      </w:pPr>
    </w:p>
    <w:p w:rsidR="00C2510E" w:rsidRPr="005C4C61" w:rsidRDefault="00C2510E">
      <w:pPr>
        <w:spacing w:line="360" w:lineRule="auto"/>
        <w:rPr>
          <w:rFonts w:ascii="Palatino Linotype" w:eastAsia="Palatino Linotype" w:hAnsi="Palatino Linotype" w:cs="Palatino Linotype"/>
        </w:rPr>
      </w:pPr>
    </w:p>
    <w:p w:rsidR="00C2510E" w:rsidRPr="005C4C61" w:rsidRDefault="00C2510E">
      <w:pPr>
        <w:spacing w:line="360" w:lineRule="auto"/>
        <w:rPr>
          <w:rFonts w:ascii="Palatino Linotype" w:eastAsia="Palatino Linotype" w:hAnsi="Palatino Linotype" w:cs="Palatino Linotype"/>
        </w:rPr>
      </w:pPr>
    </w:p>
    <w:p w:rsidR="00C2510E" w:rsidRPr="005C4C61" w:rsidRDefault="00C2510E">
      <w:pPr>
        <w:spacing w:line="360" w:lineRule="auto"/>
        <w:rPr>
          <w:rFonts w:ascii="Palatino Linotype" w:eastAsia="Palatino Linotype" w:hAnsi="Palatino Linotype" w:cs="Palatino Linotype"/>
        </w:rPr>
      </w:pPr>
    </w:p>
    <w:p w:rsidR="00C2510E" w:rsidRPr="005C4C61" w:rsidRDefault="00C2510E">
      <w:pPr>
        <w:spacing w:line="360" w:lineRule="auto"/>
        <w:rPr>
          <w:rFonts w:ascii="Palatino Linotype" w:eastAsia="Palatino Linotype" w:hAnsi="Palatino Linotype" w:cs="Palatino Linotype"/>
        </w:rPr>
      </w:pPr>
    </w:p>
    <w:p w:rsidR="00C2510E" w:rsidRPr="005C4C61" w:rsidRDefault="00C83BDF">
      <w:pPr>
        <w:tabs>
          <w:tab w:val="left" w:pos="3374"/>
        </w:tabs>
        <w:spacing w:line="360" w:lineRule="auto"/>
        <w:rPr>
          <w:rFonts w:ascii="Palatino Linotype" w:eastAsia="Palatino Linotype" w:hAnsi="Palatino Linotype" w:cs="Palatino Linotype"/>
        </w:rPr>
      </w:pPr>
      <w:r w:rsidRPr="005C4C61">
        <w:rPr>
          <w:rFonts w:ascii="Palatino Linotype" w:eastAsia="Palatino Linotype" w:hAnsi="Palatino Linotype" w:cs="Palatino Linotype"/>
        </w:rPr>
        <w:tab/>
      </w:r>
    </w:p>
    <w:p w:rsidR="00C2510E" w:rsidRPr="005C4C61" w:rsidRDefault="00C2510E">
      <w:pPr>
        <w:tabs>
          <w:tab w:val="left" w:pos="3374"/>
        </w:tabs>
        <w:spacing w:line="360" w:lineRule="auto"/>
        <w:rPr>
          <w:rFonts w:ascii="Palatino Linotype" w:eastAsia="Palatino Linotype" w:hAnsi="Palatino Linotype" w:cs="Palatino Linotype"/>
        </w:rPr>
      </w:pPr>
    </w:p>
    <w:p w:rsidR="00C2510E" w:rsidRPr="005C4C61" w:rsidRDefault="00C2510E">
      <w:pPr>
        <w:tabs>
          <w:tab w:val="left" w:pos="3374"/>
        </w:tabs>
        <w:spacing w:line="360" w:lineRule="auto"/>
        <w:rPr>
          <w:rFonts w:ascii="Palatino Linotype" w:eastAsia="Palatino Linotype" w:hAnsi="Palatino Linotype" w:cs="Palatino Linotype"/>
        </w:rPr>
      </w:pPr>
    </w:p>
    <w:p w:rsidR="00C2510E" w:rsidRPr="005C4C61" w:rsidRDefault="00C2510E">
      <w:pPr>
        <w:tabs>
          <w:tab w:val="left" w:pos="3374"/>
        </w:tabs>
        <w:spacing w:line="360" w:lineRule="auto"/>
        <w:rPr>
          <w:rFonts w:ascii="Palatino Linotype" w:eastAsia="Palatino Linotype" w:hAnsi="Palatino Linotype" w:cs="Palatino Linotype"/>
        </w:rPr>
      </w:pPr>
    </w:p>
    <w:p w:rsidR="00C2510E" w:rsidRPr="005C4C61" w:rsidRDefault="00C2510E">
      <w:pPr>
        <w:tabs>
          <w:tab w:val="left" w:pos="3374"/>
        </w:tabs>
        <w:spacing w:line="360" w:lineRule="auto"/>
        <w:rPr>
          <w:rFonts w:ascii="Palatino Linotype" w:eastAsia="Palatino Linotype" w:hAnsi="Palatino Linotype" w:cs="Palatino Linotype"/>
        </w:rPr>
      </w:pPr>
    </w:p>
    <w:p w:rsidR="00C2510E" w:rsidRPr="005C4C61" w:rsidRDefault="00C2510E">
      <w:pPr>
        <w:tabs>
          <w:tab w:val="left" w:pos="3374"/>
        </w:tabs>
        <w:spacing w:line="360" w:lineRule="auto"/>
        <w:rPr>
          <w:rFonts w:ascii="Palatino Linotype" w:eastAsia="Palatino Linotype" w:hAnsi="Palatino Linotype" w:cs="Palatino Linotype"/>
        </w:rPr>
      </w:pPr>
    </w:p>
    <w:p w:rsidR="00C2510E" w:rsidRPr="005C4C61" w:rsidRDefault="00C2510E">
      <w:pPr>
        <w:tabs>
          <w:tab w:val="left" w:pos="3374"/>
        </w:tabs>
        <w:spacing w:line="360" w:lineRule="auto"/>
        <w:rPr>
          <w:rFonts w:ascii="Palatino Linotype" w:eastAsia="Palatino Linotype" w:hAnsi="Palatino Linotype" w:cs="Palatino Linotype"/>
        </w:rPr>
      </w:pPr>
    </w:p>
    <w:p w:rsidR="00C2510E" w:rsidRPr="005C4C61" w:rsidRDefault="00C2510E">
      <w:pPr>
        <w:tabs>
          <w:tab w:val="left" w:pos="3374"/>
        </w:tabs>
        <w:spacing w:line="360" w:lineRule="auto"/>
        <w:rPr>
          <w:rFonts w:ascii="Palatino Linotype" w:eastAsia="Palatino Linotype" w:hAnsi="Palatino Linotype" w:cs="Palatino Linotype"/>
        </w:rPr>
      </w:pPr>
    </w:p>
    <w:p w:rsidR="00C2510E" w:rsidRPr="005C4C61" w:rsidRDefault="00C2510E">
      <w:pPr>
        <w:tabs>
          <w:tab w:val="left" w:pos="3374"/>
        </w:tabs>
        <w:spacing w:line="360" w:lineRule="auto"/>
        <w:rPr>
          <w:rFonts w:ascii="Palatino Linotype" w:eastAsia="Palatino Linotype" w:hAnsi="Palatino Linotype" w:cs="Palatino Linotype"/>
        </w:rPr>
      </w:pPr>
    </w:p>
    <w:p w:rsidR="00C2510E" w:rsidRPr="005C4C61" w:rsidRDefault="00C2510E">
      <w:pPr>
        <w:tabs>
          <w:tab w:val="left" w:pos="3374"/>
        </w:tabs>
        <w:spacing w:line="360" w:lineRule="auto"/>
        <w:rPr>
          <w:rFonts w:ascii="Palatino Linotype" w:eastAsia="Palatino Linotype" w:hAnsi="Palatino Linotype" w:cs="Palatino Linotype"/>
        </w:rPr>
      </w:pPr>
    </w:p>
    <w:p w:rsidR="00C2510E" w:rsidRPr="005C4C61" w:rsidRDefault="00C2510E">
      <w:pPr>
        <w:tabs>
          <w:tab w:val="left" w:pos="3374"/>
        </w:tabs>
        <w:spacing w:line="360" w:lineRule="auto"/>
        <w:rPr>
          <w:rFonts w:ascii="Palatino Linotype" w:eastAsia="Palatino Linotype" w:hAnsi="Palatino Linotype" w:cs="Palatino Linotype"/>
        </w:rPr>
      </w:pPr>
    </w:p>
    <w:p w:rsidR="00C2510E" w:rsidRPr="005C4C61" w:rsidRDefault="00C2510E">
      <w:pPr>
        <w:spacing w:line="360" w:lineRule="auto"/>
        <w:rPr>
          <w:rFonts w:ascii="Palatino Linotype" w:eastAsia="Palatino Linotype" w:hAnsi="Palatino Linotype" w:cs="Palatino Linotype"/>
        </w:rPr>
      </w:pPr>
    </w:p>
    <w:p w:rsidR="00C2510E" w:rsidRPr="005C4C61" w:rsidRDefault="00C2510E">
      <w:pPr>
        <w:spacing w:line="360" w:lineRule="auto"/>
        <w:rPr>
          <w:rFonts w:ascii="Palatino Linotype" w:eastAsia="Palatino Linotype" w:hAnsi="Palatino Linotype" w:cs="Palatino Linotype"/>
        </w:rPr>
      </w:pPr>
    </w:p>
    <w:p w:rsidR="00C2510E" w:rsidRPr="005C4C61" w:rsidRDefault="00C2510E">
      <w:pPr>
        <w:spacing w:line="360" w:lineRule="auto"/>
        <w:rPr>
          <w:rFonts w:ascii="Palatino Linotype" w:eastAsia="Palatino Linotype" w:hAnsi="Palatino Linotype" w:cs="Palatino Linotype"/>
        </w:rPr>
      </w:pPr>
    </w:p>
    <w:p w:rsidR="00C2510E" w:rsidRPr="005C4C61" w:rsidRDefault="00C2510E">
      <w:pPr>
        <w:spacing w:line="360" w:lineRule="auto"/>
        <w:rPr>
          <w:rFonts w:ascii="Palatino Linotype" w:eastAsia="Palatino Linotype" w:hAnsi="Palatino Linotype" w:cs="Palatino Linotype"/>
        </w:rPr>
      </w:pPr>
    </w:p>
    <w:sectPr w:rsidR="00C2510E" w:rsidRPr="005C4C61" w:rsidSect="005C4C61">
      <w:headerReference w:type="even" r:id="rId8"/>
      <w:headerReference w:type="default" r:id="rId9"/>
      <w:footerReference w:type="default" r:id="rId10"/>
      <w:headerReference w:type="first" r:id="rId11"/>
      <w:footerReference w:type="first" r:id="rId12"/>
      <w:pgSz w:w="12240" w:h="15840"/>
      <w:pgMar w:top="2269" w:right="758" w:bottom="2127"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7349" w:rsidRDefault="00F17349">
      <w:r>
        <w:separator/>
      </w:r>
    </w:p>
  </w:endnote>
  <w:endnote w:type="continuationSeparator" w:id="0">
    <w:p w:rsidR="00F17349" w:rsidRDefault="00F17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6E72A31C-3C4E-48EC-A83D-2FFCBF90A342}"/>
    <w:embedBold r:id="rId2" w:fontKey="{E8756D42-3C44-405B-A60A-27D6452D1BD5}"/>
    <w:embedItalic r:id="rId3" w:fontKey="{4065A2F1-8909-4454-A1DB-9F4B83D85F70}"/>
    <w:embedBoldItalic r:id="rId4" w:fontKey="{7FC8DD3E-6EE6-45DA-A254-0EEC35D9BAD6}"/>
  </w:font>
  <w:font w:name="Noto Sans Symbols">
    <w:altName w:val="Times New Roman"/>
    <w:charset w:val="00"/>
    <w:family w:val="auto"/>
    <w:pitch w:val="default"/>
    <w:embedRegular r:id="rId5" w:fontKey="{42CA573B-981C-4B7B-BBA7-3791E6B3A3DB}"/>
  </w:font>
  <w:font w:name="Calibri">
    <w:panose1 w:val="020F0502020204030204"/>
    <w:charset w:val="00"/>
    <w:family w:val="swiss"/>
    <w:pitch w:val="variable"/>
    <w:sig w:usb0="E4002EFF" w:usb1="C200247B" w:usb2="00000009" w:usb3="00000000" w:csb0="000001FF" w:csb1="00000000"/>
    <w:embedRegular r:id="rId6" w:fontKey="{29CE0DF9-9169-49C5-8A27-953765A21E52}"/>
    <w:embedBold r:id="rId7" w:fontKey="{19E3031C-3232-4E54-826A-B7782F9D8232}"/>
    <w:embedItalic r:id="rId8" w:fontKey="{25F57A61-8760-4810-83FD-CC38C81A8C79}"/>
  </w:font>
  <w:font w:name="Calibri Light">
    <w:panose1 w:val="020F0302020204030204"/>
    <w:charset w:val="00"/>
    <w:family w:val="swiss"/>
    <w:pitch w:val="variable"/>
    <w:sig w:usb0="E4002EFF" w:usb1="C200247B" w:usb2="00000009" w:usb3="00000000" w:csb0="000001FF" w:csb1="00000000"/>
    <w:embedRegular r:id="rId9" w:fontKey="{DB8BB978-DBBF-4FA7-A0C6-1F44F8878C6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0" w:fontKey="{86C09777-8CD2-4DAB-A6C8-C742F03DA1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BDF" w:rsidRPr="005C4C61" w:rsidRDefault="00C83BDF">
    <w:pPr>
      <w:pBdr>
        <w:top w:val="nil"/>
        <w:left w:val="nil"/>
        <w:bottom w:val="nil"/>
        <w:right w:val="nil"/>
        <w:between w:val="nil"/>
      </w:pBdr>
      <w:tabs>
        <w:tab w:val="center" w:pos="4419"/>
        <w:tab w:val="right" w:pos="8838"/>
      </w:tabs>
      <w:jc w:val="right"/>
      <w:rPr>
        <w:rFonts w:ascii="Palatino Linotype" w:eastAsia="Palatino Linotype" w:hAnsi="Palatino Linotype" w:cs="Palatino Linotype"/>
        <w:b/>
        <w:color w:val="000000"/>
        <w:sz w:val="22"/>
        <w:szCs w:val="20"/>
      </w:rPr>
    </w:pPr>
    <w:r w:rsidRPr="005C4C61">
      <w:rPr>
        <w:rFonts w:ascii="Palatino Linotype" w:eastAsia="Palatino Linotype" w:hAnsi="Palatino Linotype" w:cs="Palatino Linotype"/>
        <w:b/>
        <w:color w:val="000000"/>
        <w:sz w:val="22"/>
        <w:szCs w:val="20"/>
      </w:rPr>
      <w:t xml:space="preserve">Página </w:t>
    </w:r>
    <w:r w:rsidRPr="005C4C61">
      <w:rPr>
        <w:rFonts w:ascii="Palatino Linotype" w:eastAsia="Palatino Linotype" w:hAnsi="Palatino Linotype" w:cs="Palatino Linotype"/>
        <w:b/>
        <w:color w:val="000000"/>
        <w:sz w:val="22"/>
        <w:szCs w:val="20"/>
      </w:rPr>
      <w:fldChar w:fldCharType="begin"/>
    </w:r>
    <w:r w:rsidRPr="005C4C61">
      <w:rPr>
        <w:rFonts w:ascii="Palatino Linotype" w:eastAsia="Palatino Linotype" w:hAnsi="Palatino Linotype" w:cs="Palatino Linotype"/>
        <w:b/>
        <w:color w:val="000000"/>
        <w:sz w:val="22"/>
        <w:szCs w:val="20"/>
      </w:rPr>
      <w:instrText>PAGE</w:instrText>
    </w:r>
    <w:r w:rsidRPr="005C4C61">
      <w:rPr>
        <w:rFonts w:ascii="Palatino Linotype" w:eastAsia="Palatino Linotype" w:hAnsi="Palatino Linotype" w:cs="Palatino Linotype"/>
        <w:b/>
        <w:color w:val="000000"/>
        <w:sz w:val="22"/>
        <w:szCs w:val="20"/>
      </w:rPr>
      <w:fldChar w:fldCharType="separate"/>
    </w:r>
    <w:r w:rsidR="00992627">
      <w:rPr>
        <w:rFonts w:ascii="Palatino Linotype" w:eastAsia="Palatino Linotype" w:hAnsi="Palatino Linotype" w:cs="Palatino Linotype"/>
        <w:b/>
        <w:noProof/>
        <w:color w:val="000000"/>
        <w:sz w:val="22"/>
        <w:szCs w:val="20"/>
      </w:rPr>
      <w:t>21</w:t>
    </w:r>
    <w:r w:rsidRPr="005C4C61">
      <w:rPr>
        <w:rFonts w:ascii="Palatino Linotype" w:eastAsia="Palatino Linotype" w:hAnsi="Palatino Linotype" w:cs="Palatino Linotype"/>
        <w:b/>
        <w:color w:val="000000"/>
        <w:sz w:val="22"/>
        <w:szCs w:val="20"/>
      </w:rPr>
      <w:fldChar w:fldCharType="end"/>
    </w:r>
    <w:r w:rsidRPr="005C4C61">
      <w:rPr>
        <w:rFonts w:ascii="Palatino Linotype" w:eastAsia="Palatino Linotype" w:hAnsi="Palatino Linotype" w:cs="Palatino Linotype"/>
        <w:b/>
        <w:color w:val="000000"/>
        <w:sz w:val="22"/>
        <w:szCs w:val="20"/>
      </w:rPr>
      <w:t xml:space="preserve"> de </w:t>
    </w:r>
    <w:r w:rsidRPr="005C4C61">
      <w:rPr>
        <w:rFonts w:ascii="Palatino Linotype" w:eastAsia="Palatino Linotype" w:hAnsi="Palatino Linotype" w:cs="Palatino Linotype"/>
        <w:b/>
        <w:color w:val="000000"/>
        <w:sz w:val="22"/>
        <w:szCs w:val="20"/>
      </w:rPr>
      <w:fldChar w:fldCharType="begin"/>
    </w:r>
    <w:r w:rsidRPr="005C4C61">
      <w:rPr>
        <w:rFonts w:ascii="Palatino Linotype" w:eastAsia="Palatino Linotype" w:hAnsi="Palatino Linotype" w:cs="Palatino Linotype"/>
        <w:b/>
        <w:color w:val="000000"/>
        <w:sz w:val="22"/>
        <w:szCs w:val="20"/>
      </w:rPr>
      <w:instrText>NUMPAGES</w:instrText>
    </w:r>
    <w:r w:rsidRPr="005C4C61">
      <w:rPr>
        <w:rFonts w:ascii="Palatino Linotype" w:eastAsia="Palatino Linotype" w:hAnsi="Palatino Linotype" w:cs="Palatino Linotype"/>
        <w:b/>
        <w:color w:val="000000"/>
        <w:sz w:val="22"/>
        <w:szCs w:val="20"/>
      </w:rPr>
      <w:fldChar w:fldCharType="separate"/>
    </w:r>
    <w:r w:rsidR="00992627">
      <w:rPr>
        <w:rFonts w:ascii="Palatino Linotype" w:eastAsia="Palatino Linotype" w:hAnsi="Palatino Linotype" w:cs="Palatino Linotype"/>
        <w:b/>
        <w:noProof/>
        <w:color w:val="000000"/>
        <w:sz w:val="22"/>
        <w:szCs w:val="20"/>
      </w:rPr>
      <w:t>41</w:t>
    </w:r>
    <w:r w:rsidRPr="005C4C61">
      <w:rPr>
        <w:rFonts w:ascii="Palatino Linotype" w:eastAsia="Palatino Linotype" w:hAnsi="Palatino Linotype" w:cs="Palatino Linotype"/>
        <w:b/>
        <w:color w:val="000000"/>
        <w:sz w:val="22"/>
        <w:szCs w:val="20"/>
      </w:rPr>
      <w:fldChar w:fldCharType="end"/>
    </w:r>
  </w:p>
  <w:p w:rsidR="00C83BDF" w:rsidRDefault="00C83BDF">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BDF" w:rsidRPr="005C4C61" w:rsidRDefault="00C83BDF">
    <w:pPr>
      <w:pBdr>
        <w:top w:val="nil"/>
        <w:left w:val="nil"/>
        <w:bottom w:val="nil"/>
        <w:right w:val="nil"/>
        <w:between w:val="nil"/>
      </w:pBdr>
      <w:tabs>
        <w:tab w:val="center" w:pos="4419"/>
        <w:tab w:val="right" w:pos="8838"/>
      </w:tabs>
      <w:jc w:val="right"/>
      <w:rPr>
        <w:rFonts w:ascii="Palatino Linotype" w:eastAsia="Palatino Linotype" w:hAnsi="Palatino Linotype" w:cs="Palatino Linotype"/>
        <w:b/>
        <w:color w:val="000000"/>
        <w:sz w:val="22"/>
        <w:szCs w:val="20"/>
      </w:rPr>
    </w:pPr>
    <w:r w:rsidRPr="005C4C61">
      <w:rPr>
        <w:rFonts w:ascii="Palatino Linotype" w:eastAsia="Palatino Linotype" w:hAnsi="Palatino Linotype" w:cs="Palatino Linotype"/>
        <w:b/>
        <w:color w:val="000000"/>
        <w:sz w:val="22"/>
        <w:szCs w:val="20"/>
      </w:rPr>
      <w:t xml:space="preserve">Página </w:t>
    </w:r>
    <w:r w:rsidRPr="005C4C61">
      <w:rPr>
        <w:rFonts w:ascii="Palatino Linotype" w:eastAsia="Palatino Linotype" w:hAnsi="Palatino Linotype" w:cs="Palatino Linotype"/>
        <w:b/>
        <w:color w:val="000000"/>
        <w:sz w:val="22"/>
        <w:szCs w:val="20"/>
      </w:rPr>
      <w:fldChar w:fldCharType="begin"/>
    </w:r>
    <w:r w:rsidRPr="005C4C61">
      <w:rPr>
        <w:rFonts w:ascii="Palatino Linotype" w:eastAsia="Palatino Linotype" w:hAnsi="Palatino Linotype" w:cs="Palatino Linotype"/>
        <w:b/>
        <w:color w:val="000000"/>
        <w:sz w:val="22"/>
        <w:szCs w:val="20"/>
      </w:rPr>
      <w:instrText>PAGE</w:instrText>
    </w:r>
    <w:r w:rsidRPr="005C4C61">
      <w:rPr>
        <w:rFonts w:ascii="Palatino Linotype" w:eastAsia="Palatino Linotype" w:hAnsi="Palatino Linotype" w:cs="Palatino Linotype"/>
        <w:b/>
        <w:color w:val="000000"/>
        <w:sz w:val="22"/>
        <w:szCs w:val="20"/>
      </w:rPr>
      <w:fldChar w:fldCharType="separate"/>
    </w:r>
    <w:r w:rsidR="00992627">
      <w:rPr>
        <w:rFonts w:ascii="Palatino Linotype" w:eastAsia="Palatino Linotype" w:hAnsi="Palatino Linotype" w:cs="Palatino Linotype"/>
        <w:b/>
        <w:noProof/>
        <w:color w:val="000000"/>
        <w:sz w:val="22"/>
        <w:szCs w:val="20"/>
      </w:rPr>
      <w:t>1</w:t>
    </w:r>
    <w:r w:rsidRPr="005C4C61">
      <w:rPr>
        <w:rFonts w:ascii="Palatino Linotype" w:eastAsia="Palatino Linotype" w:hAnsi="Palatino Linotype" w:cs="Palatino Linotype"/>
        <w:b/>
        <w:color w:val="000000"/>
        <w:sz w:val="22"/>
        <w:szCs w:val="20"/>
      </w:rPr>
      <w:fldChar w:fldCharType="end"/>
    </w:r>
    <w:r w:rsidRPr="005C4C61">
      <w:rPr>
        <w:rFonts w:ascii="Palatino Linotype" w:eastAsia="Palatino Linotype" w:hAnsi="Palatino Linotype" w:cs="Palatino Linotype"/>
        <w:b/>
        <w:color w:val="000000"/>
        <w:sz w:val="22"/>
        <w:szCs w:val="20"/>
      </w:rPr>
      <w:t xml:space="preserve"> de </w:t>
    </w:r>
    <w:r w:rsidRPr="005C4C61">
      <w:rPr>
        <w:rFonts w:ascii="Palatino Linotype" w:eastAsia="Palatino Linotype" w:hAnsi="Palatino Linotype" w:cs="Palatino Linotype"/>
        <w:b/>
        <w:color w:val="000000"/>
        <w:sz w:val="22"/>
        <w:szCs w:val="20"/>
      </w:rPr>
      <w:fldChar w:fldCharType="begin"/>
    </w:r>
    <w:r w:rsidRPr="005C4C61">
      <w:rPr>
        <w:rFonts w:ascii="Palatino Linotype" w:eastAsia="Palatino Linotype" w:hAnsi="Palatino Linotype" w:cs="Palatino Linotype"/>
        <w:b/>
        <w:color w:val="000000"/>
        <w:sz w:val="22"/>
        <w:szCs w:val="20"/>
      </w:rPr>
      <w:instrText>NUMPAGES</w:instrText>
    </w:r>
    <w:r w:rsidRPr="005C4C61">
      <w:rPr>
        <w:rFonts w:ascii="Palatino Linotype" w:eastAsia="Palatino Linotype" w:hAnsi="Palatino Linotype" w:cs="Palatino Linotype"/>
        <w:b/>
        <w:color w:val="000000"/>
        <w:sz w:val="22"/>
        <w:szCs w:val="20"/>
      </w:rPr>
      <w:fldChar w:fldCharType="separate"/>
    </w:r>
    <w:r w:rsidR="00992627">
      <w:rPr>
        <w:rFonts w:ascii="Palatino Linotype" w:eastAsia="Palatino Linotype" w:hAnsi="Palatino Linotype" w:cs="Palatino Linotype"/>
        <w:b/>
        <w:noProof/>
        <w:color w:val="000000"/>
        <w:sz w:val="22"/>
        <w:szCs w:val="20"/>
      </w:rPr>
      <w:t>41</w:t>
    </w:r>
    <w:r w:rsidRPr="005C4C61">
      <w:rPr>
        <w:rFonts w:ascii="Palatino Linotype" w:eastAsia="Palatino Linotype" w:hAnsi="Palatino Linotype" w:cs="Palatino Linotype"/>
        <w:b/>
        <w:color w:val="000000"/>
        <w:sz w:val="22"/>
        <w:szCs w:val="20"/>
      </w:rPr>
      <w:fldChar w:fldCharType="end"/>
    </w:r>
  </w:p>
  <w:p w:rsidR="00C83BDF" w:rsidRDefault="00C83BDF">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7349" w:rsidRDefault="00F17349">
      <w:r>
        <w:separator/>
      </w:r>
    </w:p>
  </w:footnote>
  <w:footnote w:type="continuationSeparator" w:id="0">
    <w:p w:rsidR="00F17349" w:rsidRDefault="00F17349">
      <w:r>
        <w:continuationSeparator/>
      </w:r>
    </w:p>
  </w:footnote>
  <w:footnote w:id="1">
    <w:p w:rsidR="00C83BDF" w:rsidRDefault="00C83BD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C83BDF" w:rsidRDefault="00C83BDF">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C83BDF" w:rsidRDefault="00C83BDF">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Corte Interamericana de Derechos Humanos. Caso Claude Reyes y otros vs Chile. Sentencia de 19 de septiembre de 2006. Serie C. No. 151. Párr. 86.</w:t>
      </w:r>
    </w:p>
  </w:footnote>
  <w:footnote w:id="4">
    <w:p w:rsidR="00C83BDF" w:rsidRDefault="00C83BDF">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Ibídem. Párr. 87.</w:t>
      </w:r>
    </w:p>
  </w:footnote>
  <w:footnote w:id="5">
    <w:p w:rsidR="00C83BDF" w:rsidRDefault="00C83BDF">
      <w:pPr>
        <w:pBdr>
          <w:top w:val="nil"/>
          <w:left w:val="nil"/>
          <w:bottom w:val="nil"/>
          <w:right w:val="nil"/>
          <w:between w:val="nil"/>
        </w:pBdr>
        <w:rPr>
          <w:color w:val="000000"/>
          <w:sz w:val="20"/>
          <w:szCs w:val="20"/>
        </w:rPr>
      </w:pPr>
      <w:r>
        <w:rPr>
          <w:vertAlign w:val="superscript"/>
        </w:rPr>
        <w:footnoteRef/>
      </w:r>
      <w:r>
        <w:rPr>
          <w:rFonts w:ascii="Palatino Linotype" w:eastAsia="Palatino Linotype" w:hAnsi="Palatino Linotype" w:cs="Palatino Linotype"/>
          <w:color w:val="000000"/>
          <w:sz w:val="18"/>
          <w:szCs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r>
          <w:rPr>
            <w:rFonts w:ascii="Palatino Linotype" w:eastAsia="Palatino Linotype" w:hAnsi="Palatino Linotype" w:cs="Palatino Linotype"/>
            <w:color w:val="0000FF"/>
            <w:sz w:val="18"/>
            <w:szCs w:val="18"/>
            <w:u w:val="single"/>
          </w:rPr>
          <w:t>http://www.oas.org/es/cidh/expresion/documentos_basicos/declaraciones.asp</w:t>
        </w:r>
      </w:hyperlink>
      <w:r>
        <w:rPr>
          <w:rFonts w:ascii="Palatino Linotype" w:eastAsia="Palatino Linotype" w:hAnsi="Palatino Linotype" w:cs="Palatino Linotype"/>
          <w:color w:val="000000"/>
          <w:sz w:val="18"/>
          <w:szCs w:val="18"/>
        </w:rPr>
        <w:t>.</w:t>
      </w:r>
    </w:p>
  </w:footnote>
  <w:footnote w:id="6">
    <w:p w:rsidR="00C83BDF" w:rsidRDefault="00C83BDF">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Ley de Transparencia y Acceso a la Información Pública del Estado de México y Municipios. Artículo 9. …</w:t>
      </w:r>
    </w:p>
    <w:p w:rsidR="00C83BDF" w:rsidRDefault="00C83BDF">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rsidR="00C83BDF" w:rsidRDefault="00C83BDF">
      <w:pPr>
        <w:pBdr>
          <w:top w:val="nil"/>
          <w:left w:val="nil"/>
          <w:bottom w:val="nil"/>
          <w:right w:val="nil"/>
          <w:between w:val="nil"/>
        </w:pBdr>
        <w:rPr>
          <w:color w:val="000000"/>
          <w:sz w:val="20"/>
          <w:szCs w:val="20"/>
        </w:rPr>
      </w:pPr>
      <w:r>
        <w:rPr>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BDF" w:rsidRDefault="00F17349">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09.4pt;height:793.75pt;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7512" w:type="dxa"/>
      <w:tblInd w:w="2127" w:type="dxa"/>
      <w:tblLayout w:type="fixed"/>
      <w:tblLook w:val="0400" w:firstRow="0" w:lastRow="0" w:firstColumn="0" w:lastColumn="0" w:noHBand="0" w:noVBand="1"/>
    </w:tblPr>
    <w:tblGrid>
      <w:gridCol w:w="2976"/>
      <w:gridCol w:w="4536"/>
    </w:tblGrid>
    <w:tr w:rsidR="00C83BDF" w:rsidRPr="005C4C61" w:rsidTr="005C4C61">
      <w:trPr>
        <w:trHeight w:val="227"/>
      </w:trPr>
      <w:tc>
        <w:tcPr>
          <w:tcW w:w="2976" w:type="dxa"/>
          <w:vAlign w:val="center"/>
        </w:tcPr>
        <w:p w:rsidR="00C83BDF" w:rsidRPr="005C4C61" w:rsidRDefault="00C83BDF">
          <w:pPr>
            <w:ind w:right="34"/>
            <w:jc w:val="right"/>
            <w:rPr>
              <w:rFonts w:ascii="Palatino Linotype" w:eastAsia="Palatino Linotype" w:hAnsi="Palatino Linotype" w:cs="Palatino Linotype"/>
              <w:b/>
              <w:bCs/>
              <w:szCs w:val="22"/>
            </w:rPr>
          </w:pPr>
          <w:r w:rsidRPr="005C4C61">
            <w:rPr>
              <w:rFonts w:ascii="Palatino Linotype" w:eastAsia="Palatino Linotype" w:hAnsi="Palatino Linotype" w:cs="Palatino Linotype"/>
              <w:b/>
              <w:bCs/>
              <w:szCs w:val="22"/>
            </w:rPr>
            <w:t>Recurso de Revisión:</w:t>
          </w:r>
        </w:p>
      </w:tc>
      <w:tc>
        <w:tcPr>
          <w:tcW w:w="4536" w:type="dxa"/>
          <w:vAlign w:val="center"/>
        </w:tcPr>
        <w:p w:rsidR="00C83BDF" w:rsidRPr="005C4C61" w:rsidRDefault="00C83BDF" w:rsidP="005C4C61">
          <w:pPr>
            <w:pBdr>
              <w:top w:val="nil"/>
              <w:left w:val="nil"/>
              <w:bottom w:val="nil"/>
              <w:right w:val="nil"/>
              <w:between w:val="nil"/>
            </w:pBdr>
            <w:tabs>
              <w:tab w:val="right" w:pos="8838"/>
            </w:tabs>
            <w:rPr>
              <w:rFonts w:ascii="Palatino Linotype" w:eastAsia="Palatino Linotype" w:hAnsi="Palatino Linotype" w:cs="Palatino Linotype"/>
              <w:bCs/>
              <w:color w:val="000000"/>
              <w:szCs w:val="22"/>
            </w:rPr>
          </w:pPr>
          <w:r w:rsidRPr="005C4C61">
            <w:rPr>
              <w:rFonts w:ascii="Palatino Linotype" w:eastAsia="Palatino Linotype" w:hAnsi="Palatino Linotype" w:cs="Palatino Linotype"/>
              <w:bCs/>
              <w:color w:val="000000"/>
              <w:szCs w:val="22"/>
            </w:rPr>
            <w:t>08753/INFOEM/IP/RR/2025</w:t>
          </w:r>
        </w:p>
      </w:tc>
    </w:tr>
    <w:tr w:rsidR="00C83BDF" w:rsidRPr="005C4C61" w:rsidTr="005C4C61">
      <w:trPr>
        <w:trHeight w:val="242"/>
      </w:trPr>
      <w:tc>
        <w:tcPr>
          <w:tcW w:w="2976" w:type="dxa"/>
          <w:vAlign w:val="center"/>
        </w:tcPr>
        <w:p w:rsidR="00C83BDF" w:rsidRPr="005C4C61" w:rsidRDefault="00C83BDF">
          <w:pPr>
            <w:ind w:right="34"/>
            <w:jc w:val="right"/>
            <w:rPr>
              <w:rFonts w:ascii="Palatino Linotype" w:eastAsia="Palatino Linotype" w:hAnsi="Palatino Linotype" w:cs="Palatino Linotype"/>
              <w:b/>
              <w:bCs/>
              <w:szCs w:val="22"/>
            </w:rPr>
          </w:pPr>
          <w:r w:rsidRPr="005C4C61">
            <w:rPr>
              <w:rFonts w:ascii="Palatino Linotype" w:eastAsia="Palatino Linotype" w:hAnsi="Palatino Linotype" w:cs="Palatino Linotype"/>
              <w:b/>
              <w:bCs/>
              <w:szCs w:val="22"/>
            </w:rPr>
            <w:t>Sujeto Obligado:</w:t>
          </w:r>
        </w:p>
      </w:tc>
      <w:tc>
        <w:tcPr>
          <w:tcW w:w="4536" w:type="dxa"/>
          <w:vAlign w:val="center"/>
        </w:tcPr>
        <w:p w:rsidR="00C83BDF" w:rsidRPr="005C4C61" w:rsidRDefault="00C83BDF" w:rsidP="005C4C61">
          <w:pPr>
            <w:pBdr>
              <w:top w:val="nil"/>
              <w:left w:val="nil"/>
              <w:bottom w:val="nil"/>
              <w:right w:val="nil"/>
              <w:between w:val="nil"/>
            </w:pBdr>
            <w:tabs>
              <w:tab w:val="right" w:pos="8838"/>
            </w:tabs>
            <w:ind w:right="212"/>
            <w:jc w:val="both"/>
            <w:rPr>
              <w:rFonts w:ascii="Palatino Linotype" w:eastAsia="Palatino Linotype" w:hAnsi="Palatino Linotype" w:cs="Palatino Linotype"/>
              <w:bCs/>
              <w:color w:val="000000"/>
              <w:szCs w:val="22"/>
            </w:rPr>
          </w:pPr>
          <w:r w:rsidRPr="005C4C61">
            <w:rPr>
              <w:rFonts w:ascii="Palatino Linotype" w:eastAsia="Palatino Linotype" w:hAnsi="Palatino Linotype" w:cs="Palatino Linotype"/>
              <w:bCs/>
              <w:color w:val="000000"/>
              <w:szCs w:val="22"/>
            </w:rPr>
            <w:t>Universidad Estatal del Valle de Toluca</w:t>
          </w:r>
        </w:p>
      </w:tc>
    </w:tr>
    <w:tr w:rsidR="00C83BDF" w:rsidRPr="005C4C61" w:rsidTr="005C4C61">
      <w:trPr>
        <w:trHeight w:val="342"/>
      </w:trPr>
      <w:tc>
        <w:tcPr>
          <w:tcW w:w="2976" w:type="dxa"/>
          <w:vAlign w:val="center"/>
        </w:tcPr>
        <w:p w:rsidR="00C83BDF" w:rsidRPr="005C4C61" w:rsidRDefault="00C83BDF">
          <w:pPr>
            <w:ind w:right="34"/>
            <w:jc w:val="right"/>
            <w:rPr>
              <w:rFonts w:ascii="Palatino Linotype" w:eastAsia="Palatino Linotype" w:hAnsi="Palatino Linotype" w:cs="Palatino Linotype"/>
              <w:b/>
              <w:bCs/>
              <w:szCs w:val="22"/>
            </w:rPr>
          </w:pPr>
          <w:r w:rsidRPr="005C4C61">
            <w:rPr>
              <w:rFonts w:ascii="Palatino Linotype" w:eastAsia="Palatino Linotype" w:hAnsi="Palatino Linotype" w:cs="Palatino Linotype"/>
              <w:b/>
              <w:bCs/>
              <w:szCs w:val="22"/>
            </w:rPr>
            <w:t>Comisionada Ponente:</w:t>
          </w:r>
        </w:p>
      </w:tc>
      <w:tc>
        <w:tcPr>
          <w:tcW w:w="4536" w:type="dxa"/>
          <w:vAlign w:val="center"/>
        </w:tcPr>
        <w:p w:rsidR="00C83BDF" w:rsidRPr="005C4C61" w:rsidRDefault="00C83BDF" w:rsidP="005C4C61">
          <w:pPr>
            <w:pBdr>
              <w:top w:val="nil"/>
              <w:left w:val="nil"/>
              <w:bottom w:val="nil"/>
              <w:right w:val="nil"/>
              <w:between w:val="nil"/>
            </w:pBdr>
            <w:tabs>
              <w:tab w:val="right" w:pos="8838"/>
            </w:tabs>
            <w:rPr>
              <w:rFonts w:ascii="Palatino Linotype" w:eastAsia="Palatino Linotype" w:hAnsi="Palatino Linotype" w:cs="Palatino Linotype"/>
              <w:bCs/>
              <w:color w:val="000000"/>
              <w:szCs w:val="22"/>
            </w:rPr>
          </w:pPr>
          <w:r w:rsidRPr="005C4C61">
            <w:rPr>
              <w:rFonts w:ascii="Palatino Linotype" w:eastAsia="Palatino Linotype" w:hAnsi="Palatino Linotype" w:cs="Palatino Linotype"/>
              <w:bCs/>
              <w:color w:val="000000"/>
              <w:szCs w:val="22"/>
            </w:rPr>
            <w:t>María del Rosario Mejía Ayala</w:t>
          </w:r>
        </w:p>
      </w:tc>
    </w:tr>
  </w:tbl>
  <w:p w:rsidR="00C83BDF" w:rsidRDefault="00F17349">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80.3pt;margin-top:-126.4pt;width:609.4pt;height:793.75pt;z-index:-251659776;mso-position-horizontal-relative:margin;mso-position-vertical-relative:margin">
          <v:imagedata r:id="rId1" o:title="image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7513" w:type="dxa"/>
      <w:tblInd w:w="2552" w:type="dxa"/>
      <w:tblLayout w:type="fixed"/>
      <w:tblLook w:val="0400" w:firstRow="0" w:lastRow="0" w:firstColumn="0" w:lastColumn="0" w:noHBand="0" w:noVBand="1"/>
    </w:tblPr>
    <w:tblGrid>
      <w:gridCol w:w="2977"/>
      <w:gridCol w:w="4536"/>
    </w:tblGrid>
    <w:tr w:rsidR="00C83BDF" w:rsidTr="005C4C61">
      <w:trPr>
        <w:trHeight w:val="227"/>
      </w:trPr>
      <w:tc>
        <w:tcPr>
          <w:tcW w:w="2977" w:type="dxa"/>
          <w:vAlign w:val="center"/>
        </w:tcPr>
        <w:p w:rsidR="00C83BDF" w:rsidRPr="005C4C61" w:rsidRDefault="00C83BDF">
          <w:pPr>
            <w:jc w:val="right"/>
            <w:rPr>
              <w:rFonts w:ascii="Palatino Linotype" w:eastAsia="Palatino Linotype" w:hAnsi="Palatino Linotype" w:cs="Palatino Linotype"/>
              <w:b/>
              <w:bCs/>
            </w:rPr>
          </w:pPr>
          <w:r w:rsidRPr="005C4C61">
            <w:rPr>
              <w:rFonts w:ascii="Palatino Linotype" w:eastAsia="Palatino Linotype" w:hAnsi="Palatino Linotype" w:cs="Palatino Linotype"/>
              <w:b/>
              <w:bCs/>
            </w:rPr>
            <w:t>Recurso de Revisión:</w:t>
          </w:r>
        </w:p>
      </w:tc>
      <w:tc>
        <w:tcPr>
          <w:tcW w:w="4536" w:type="dxa"/>
          <w:vAlign w:val="center"/>
        </w:tcPr>
        <w:p w:rsidR="00C83BDF" w:rsidRPr="005C4C61" w:rsidRDefault="00C83BDF">
          <w:pPr>
            <w:pBdr>
              <w:top w:val="nil"/>
              <w:left w:val="nil"/>
              <w:bottom w:val="nil"/>
              <w:right w:val="nil"/>
              <w:between w:val="nil"/>
            </w:pBdr>
            <w:tabs>
              <w:tab w:val="center" w:pos="4419"/>
              <w:tab w:val="right" w:pos="8838"/>
            </w:tabs>
            <w:rPr>
              <w:rFonts w:ascii="Palatino Linotype" w:eastAsia="Palatino Linotype" w:hAnsi="Palatino Linotype" w:cs="Palatino Linotype"/>
              <w:bCs/>
              <w:color w:val="000000"/>
            </w:rPr>
          </w:pPr>
          <w:r w:rsidRPr="005C4C61">
            <w:rPr>
              <w:rFonts w:ascii="Palatino Linotype" w:eastAsia="Palatino Linotype" w:hAnsi="Palatino Linotype" w:cs="Palatino Linotype"/>
              <w:bCs/>
              <w:color w:val="000000"/>
            </w:rPr>
            <w:t>08753/INFOEM/IP/RR/2025</w:t>
          </w:r>
        </w:p>
      </w:tc>
    </w:tr>
    <w:tr w:rsidR="00C83BDF" w:rsidTr="005C4C61">
      <w:trPr>
        <w:trHeight w:val="242"/>
      </w:trPr>
      <w:tc>
        <w:tcPr>
          <w:tcW w:w="2977" w:type="dxa"/>
          <w:vAlign w:val="center"/>
        </w:tcPr>
        <w:p w:rsidR="00C83BDF" w:rsidRPr="005C4C61" w:rsidRDefault="00C83BDF">
          <w:pPr>
            <w:jc w:val="right"/>
            <w:rPr>
              <w:rFonts w:ascii="Palatino Linotype" w:eastAsia="Palatino Linotype" w:hAnsi="Palatino Linotype" w:cs="Palatino Linotype"/>
              <w:b/>
              <w:bCs/>
            </w:rPr>
          </w:pPr>
          <w:r w:rsidRPr="005C4C61">
            <w:rPr>
              <w:rFonts w:ascii="Palatino Linotype" w:eastAsia="Palatino Linotype" w:hAnsi="Palatino Linotype" w:cs="Palatino Linotype"/>
              <w:b/>
              <w:bCs/>
            </w:rPr>
            <w:t>Recurrente:</w:t>
          </w:r>
        </w:p>
      </w:tc>
      <w:tc>
        <w:tcPr>
          <w:tcW w:w="4536" w:type="dxa"/>
        </w:tcPr>
        <w:p w:rsidR="00C83BDF" w:rsidRPr="005C4C61" w:rsidRDefault="00992627">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bCs/>
              <w:color w:val="000000"/>
            </w:rPr>
          </w:pPr>
          <w:r>
            <w:rPr>
              <w:rFonts w:ascii="Palatino Linotype" w:eastAsia="Palatino Linotype" w:hAnsi="Palatino Linotype" w:cs="Palatino Linotype"/>
              <w:bCs/>
              <w:color w:val="000000"/>
            </w:rPr>
            <w:t>XXXX</w:t>
          </w:r>
        </w:p>
      </w:tc>
    </w:tr>
    <w:tr w:rsidR="00C83BDF" w:rsidTr="005C4C61">
      <w:trPr>
        <w:trHeight w:val="342"/>
      </w:trPr>
      <w:tc>
        <w:tcPr>
          <w:tcW w:w="2977" w:type="dxa"/>
          <w:vAlign w:val="center"/>
        </w:tcPr>
        <w:p w:rsidR="00C83BDF" w:rsidRPr="005C4C61" w:rsidRDefault="00C83BDF">
          <w:pPr>
            <w:jc w:val="right"/>
            <w:rPr>
              <w:rFonts w:ascii="Palatino Linotype" w:eastAsia="Palatino Linotype" w:hAnsi="Palatino Linotype" w:cs="Palatino Linotype"/>
              <w:b/>
              <w:bCs/>
            </w:rPr>
          </w:pPr>
          <w:r w:rsidRPr="005C4C61">
            <w:rPr>
              <w:rFonts w:ascii="Palatino Linotype" w:eastAsia="Palatino Linotype" w:hAnsi="Palatino Linotype" w:cs="Palatino Linotype"/>
              <w:b/>
              <w:bCs/>
            </w:rPr>
            <w:t>Sujeto Obligado:</w:t>
          </w:r>
        </w:p>
      </w:tc>
      <w:tc>
        <w:tcPr>
          <w:tcW w:w="4536" w:type="dxa"/>
          <w:vAlign w:val="center"/>
        </w:tcPr>
        <w:p w:rsidR="00C83BDF" w:rsidRPr="005C4C61" w:rsidRDefault="00C83BDF">
          <w:pPr>
            <w:pBdr>
              <w:top w:val="nil"/>
              <w:left w:val="nil"/>
              <w:bottom w:val="nil"/>
              <w:right w:val="nil"/>
              <w:between w:val="nil"/>
            </w:pBdr>
            <w:tabs>
              <w:tab w:val="center" w:pos="4419"/>
              <w:tab w:val="right" w:pos="8838"/>
            </w:tabs>
            <w:jc w:val="both"/>
            <w:rPr>
              <w:rFonts w:ascii="Palatino Linotype" w:eastAsia="Palatino Linotype" w:hAnsi="Palatino Linotype" w:cs="Palatino Linotype"/>
              <w:bCs/>
              <w:color w:val="000000"/>
            </w:rPr>
          </w:pPr>
          <w:r w:rsidRPr="005C4C61">
            <w:rPr>
              <w:rFonts w:ascii="Palatino Linotype" w:eastAsia="Palatino Linotype" w:hAnsi="Palatino Linotype" w:cs="Palatino Linotype"/>
              <w:bCs/>
              <w:color w:val="000000"/>
            </w:rPr>
            <w:t>Universidad Estatal del Valle de Toluca</w:t>
          </w:r>
        </w:p>
      </w:tc>
    </w:tr>
    <w:tr w:rsidR="00C83BDF" w:rsidTr="005C4C61">
      <w:trPr>
        <w:trHeight w:val="342"/>
      </w:trPr>
      <w:tc>
        <w:tcPr>
          <w:tcW w:w="2977" w:type="dxa"/>
          <w:vAlign w:val="center"/>
        </w:tcPr>
        <w:p w:rsidR="00C83BDF" w:rsidRPr="005C4C61" w:rsidRDefault="00C83BDF">
          <w:pPr>
            <w:jc w:val="right"/>
            <w:rPr>
              <w:rFonts w:ascii="Palatino Linotype" w:eastAsia="Palatino Linotype" w:hAnsi="Palatino Linotype" w:cs="Palatino Linotype"/>
              <w:b/>
              <w:bCs/>
            </w:rPr>
          </w:pPr>
          <w:r w:rsidRPr="005C4C61">
            <w:rPr>
              <w:rFonts w:ascii="Palatino Linotype" w:eastAsia="Palatino Linotype" w:hAnsi="Palatino Linotype" w:cs="Palatino Linotype"/>
              <w:b/>
              <w:bCs/>
            </w:rPr>
            <w:t>Comisionada Ponente:</w:t>
          </w:r>
        </w:p>
      </w:tc>
      <w:tc>
        <w:tcPr>
          <w:tcW w:w="4536" w:type="dxa"/>
          <w:vAlign w:val="center"/>
        </w:tcPr>
        <w:p w:rsidR="00C83BDF" w:rsidRPr="005C4C61" w:rsidRDefault="00C83BDF">
          <w:pPr>
            <w:pBdr>
              <w:top w:val="nil"/>
              <w:left w:val="nil"/>
              <w:bottom w:val="nil"/>
              <w:right w:val="nil"/>
              <w:between w:val="nil"/>
            </w:pBdr>
            <w:tabs>
              <w:tab w:val="center" w:pos="4419"/>
              <w:tab w:val="right" w:pos="8838"/>
            </w:tabs>
            <w:rPr>
              <w:rFonts w:ascii="Palatino Linotype" w:eastAsia="Palatino Linotype" w:hAnsi="Palatino Linotype" w:cs="Palatino Linotype"/>
              <w:bCs/>
              <w:color w:val="000000"/>
            </w:rPr>
          </w:pPr>
          <w:r w:rsidRPr="005C4C61">
            <w:rPr>
              <w:rFonts w:ascii="Palatino Linotype" w:eastAsia="Palatino Linotype" w:hAnsi="Palatino Linotype" w:cs="Palatino Linotype"/>
              <w:bCs/>
              <w:color w:val="000000"/>
            </w:rPr>
            <w:t>María del Rosario Mejía Ayala</w:t>
          </w:r>
        </w:p>
      </w:tc>
    </w:tr>
  </w:tbl>
  <w:p w:rsidR="00C83BDF" w:rsidRDefault="00F17349">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84.55pt;margin-top:-122.3pt;width:609.4pt;height:793.75pt;z-index:-251658752;mso-position-horizontal:absolute;mso-position-horizontal-relative:margin;mso-position-vertical:absolute;mso-position-vertical-relative:margin">
          <v:imagedata r:id="rId1" o:title="image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D4543"/>
    <w:multiLevelType w:val="multilevel"/>
    <w:tmpl w:val="C6867CE6"/>
    <w:lvl w:ilvl="0">
      <w:start w:val="1"/>
      <w:numFmt w:val="lowerLetter"/>
      <w:lvlText w:val="%1)"/>
      <w:lvlJc w:val="left"/>
      <w:pPr>
        <w:ind w:left="778"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193107B"/>
    <w:multiLevelType w:val="hybridMultilevel"/>
    <w:tmpl w:val="A9325D2A"/>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 w15:restartNumberingAfterBreak="0">
    <w:nsid w:val="3BB713E5"/>
    <w:multiLevelType w:val="multilevel"/>
    <w:tmpl w:val="F384DA80"/>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C743DC0"/>
    <w:multiLevelType w:val="multilevel"/>
    <w:tmpl w:val="82AA4B9C"/>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4" w15:restartNumberingAfterBreak="0">
    <w:nsid w:val="54F44BDB"/>
    <w:multiLevelType w:val="multilevel"/>
    <w:tmpl w:val="88269D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B0536FC"/>
    <w:multiLevelType w:val="multilevel"/>
    <w:tmpl w:val="61EC01AE"/>
    <w:lvl w:ilvl="0">
      <w:start w:val="1"/>
      <w:numFmt w:val="lowerLetter"/>
      <w:lvlText w:val="%1)"/>
      <w:lvlJc w:val="left"/>
      <w:pPr>
        <w:ind w:left="778" w:hanging="360"/>
      </w:p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num w:numId="1">
    <w:abstractNumId w:val="2"/>
  </w:num>
  <w:num w:numId="2">
    <w:abstractNumId w:val="0"/>
  </w:num>
  <w:num w:numId="3">
    <w:abstractNumId w:val="5"/>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10E"/>
    <w:rsid w:val="00165BDC"/>
    <w:rsid w:val="002056F2"/>
    <w:rsid w:val="0038538E"/>
    <w:rsid w:val="004A2ED6"/>
    <w:rsid w:val="00557B3C"/>
    <w:rsid w:val="005C4C61"/>
    <w:rsid w:val="006C726F"/>
    <w:rsid w:val="00992627"/>
    <w:rsid w:val="00A40DA8"/>
    <w:rsid w:val="00B0458B"/>
    <w:rsid w:val="00C2510E"/>
    <w:rsid w:val="00C83BDF"/>
    <w:rsid w:val="00F17349"/>
    <w:rsid w:val="00F34A5A"/>
    <w:rsid w:val="00FA46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1755F170-ED4D-4CF1-AE85-C02B41BDD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40"/>
      <w:outlineLvl w:val="2"/>
    </w:pPr>
    <w:rPr>
      <w:color w:val="1F3863"/>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947C3B"/>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7C3B"/>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7C3B"/>
    <w:pPr>
      <w:tabs>
        <w:tab w:val="center" w:pos="4419"/>
        <w:tab w:val="right" w:pos="8838"/>
      </w:tabs>
    </w:pPr>
  </w:style>
  <w:style w:type="character" w:customStyle="1" w:styleId="EncabezadoCar">
    <w:name w:val="Encabezado Car"/>
    <w:basedOn w:val="Fuentedeprrafopredeter"/>
    <w:link w:val="Encabezado"/>
    <w:uiPriority w:val="99"/>
    <w:rsid w:val="00947C3B"/>
    <w:rPr>
      <w:rFonts w:eastAsiaTheme="minorEastAsia"/>
      <w:sz w:val="24"/>
      <w:szCs w:val="24"/>
      <w:lang w:val="es-ES_tradnl" w:eastAsia="es-ES"/>
    </w:rPr>
  </w:style>
  <w:style w:type="paragraph" w:styleId="Piedepgina">
    <w:name w:val="footer"/>
    <w:basedOn w:val="Normal"/>
    <w:link w:val="PiedepginaCar"/>
    <w:uiPriority w:val="99"/>
    <w:unhideWhenUsed/>
    <w:rsid w:val="00947C3B"/>
    <w:pPr>
      <w:tabs>
        <w:tab w:val="center" w:pos="4419"/>
        <w:tab w:val="right" w:pos="8838"/>
      </w:tabs>
    </w:pPr>
  </w:style>
  <w:style w:type="character" w:customStyle="1" w:styleId="PiedepginaCar">
    <w:name w:val="Pie de página Car"/>
    <w:basedOn w:val="Fuentedeprrafopredeter"/>
    <w:link w:val="Piedepgina"/>
    <w:uiPriority w:val="99"/>
    <w:rsid w:val="00947C3B"/>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7C3B"/>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7C3B"/>
    <w:rPr>
      <w:rFonts w:eastAsiaTheme="minorEastAsia"/>
      <w:sz w:val="24"/>
      <w:szCs w:val="24"/>
      <w:lang w:val="es-ES_tradnl" w:eastAsia="es-ES"/>
    </w:rPr>
  </w:style>
  <w:style w:type="character" w:styleId="Hipervnculo">
    <w:name w:val="Hyperlink"/>
    <w:basedOn w:val="Fuentedeprrafopredeter"/>
    <w:uiPriority w:val="99"/>
    <w:unhideWhenUsed/>
    <w:rsid w:val="00947C3B"/>
    <w:rPr>
      <w:color w:val="0000FF"/>
      <w:u w:val="single"/>
    </w:rPr>
  </w:style>
  <w:style w:type="table" w:customStyle="1" w:styleId="Tablanormal12">
    <w:name w:val="Tabla normal 12"/>
    <w:basedOn w:val="Tablanormal"/>
    <w:next w:val="Tablanormal1"/>
    <w:uiPriority w:val="41"/>
    <w:rsid w:val="00947C3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947C3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cinsinresolver1">
    <w:name w:val="Mención sin resolver1"/>
    <w:basedOn w:val="Fuentedeprrafopredeter"/>
    <w:uiPriority w:val="99"/>
    <w:semiHidden/>
    <w:unhideWhenUsed/>
    <w:rsid w:val="008A09B0"/>
    <w:rPr>
      <w:color w:val="605E5C"/>
      <w:shd w:val="clear" w:color="auto" w:fill="E1DFDD"/>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5F346E"/>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F346E"/>
    <w:rPr>
      <w:rFonts w:eastAsiaTheme="minorHAnsi"/>
      <w:sz w:val="20"/>
      <w:szCs w:val="20"/>
      <w:lang w:val="es-MX" w:eastAsia="en-US"/>
    </w:rPr>
  </w:style>
  <w:style w:type="character" w:customStyle="1" w:styleId="TextonotapieCar1">
    <w:name w:val="Texto nota pie Car1"/>
    <w:basedOn w:val="Fuentedeprrafopredeter"/>
    <w:uiPriority w:val="99"/>
    <w:semiHidden/>
    <w:rsid w:val="005F346E"/>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5F346E"/>
    <w:rPr>
      <w:vertAlign w:val="superscript"/>
    </w:rPr>
  </w:style>
  <w:style w:type="paragraph" w:customStyle="1" w:styleId="Citas">
    <w:name w:val="Citas"/>
    <w:basedOn w:val="Normal"/>
    <w:qFormat/>
    <w:rsid w:val="002124C5"/>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Sinespaciado">
    <w:name w:val="No Spacing"/>
    <w:aliases w:val="Francesa,INAI"/>
    <w:link w:val="SinespaciadoCar"/>
    <w:uiPriority w:val="1"/>
    <w:qFormat/>
    <w:rsid w:val="00B90932"/>
  </w:style>
  <w:style w:type="character" w:customStyle="1" w:styleId="SinespaciadoCar">
    <w:name w:val="Sin espaciado Car"/>
    <w:aliases w:val="Francesa Car,INAI Car"/>
    <w:link w:val="Sinespaciado"/>
    <w:uiPriority w:val="1"/>
    <w:locked/>
    <w:rsid w:val="00B90932"/>
  </w:style>
  <w:style w:type="paragraph" w:customStyle="1" w:styleId="Default">
    <w:name w:val="Default"/>
    <w:qFormat/>
    <w:rsid w:val="008809BF"/>
    <w:pPr>
      <w:autoSpaceDE w:val="0"/>
      <w:autoSpaceDN w:val="0"/>
      <w:adjustRightInd w:val="0"/>
    </w:pPr>
    <w:rPr>
      <w:rFonts w:ascii="Arial" w:hAnsi="Arial" w:cs="Arial"/>
      <w:color w:val="000000"/>
    </w:rPr>
  </w:style>
  <w:style w:type="paragraph" w:styleId="Textoindependiente">
    <w:name w:val="Body Text"/>
    <w:basedOn w:val="Normal"/>
    <w:link w:val="TextoindependienteCar"/>
    <w:rsid w:val="00186EC3"/>
    <w:pPr>
      <w:jc w:val="both"/>
    </w:pPr>
    <w:rPr>
      <w:rFonts w:ascii="Arial" w:eastAsia="Times New Roman" w:hAnsi="Arial" w:cs="Times New Roman"/>
      <w:szCs w:val="20"/>
      <w:lang w:val="es-MX" w:eastAsia="es-ES_tradnl"/>
    </w:rPr>
  </w:style>
  <w:style w:type="character" w:customStyle="1" w:styleId="TextoindependienteCar">
    <w:name w:val="Texto independiente Car"/>
    <w:basedOn w:val="Fuentedeprrafopredeter"/>
    <w:link w:val="Textoindependiente"/>
    <w:rsid w:val="00186EC3"/>
    <w:rPr>
      <w:rFonts w:ascii="Arial" w:eastAsia="Times New Roman" w:hAnsi="Arial" w:cs="Times New Roman"/>
      <w:sz w:val="24"/>
      <w:szCs w:val="20"/>
      <w:lang w:eastAsia="es-ES_tradnl"/>
    </w:rPr>
  </w:style>
  <w:style w:type="character" w:customStyle="1" w:styleId="Ttulo3Car">
    <w:name w:val="Título 3 Car"/>
    <w:basedOn w:val="Fuentedeprrafopredeter"/>
    <w:uiPriority w:val="9"/>
    <w:rsid w:val="00826670"/>
    <w:rPr>
      <w:rFonts w:asciiTheme="majorHAnsi" w:eastAsiaTheme="majorEastAsia" w:hAnsiTheme="majorHAnsi" w:cstheme="majorBidi"/>
      <w:color w:val="1F3763" w:themeColor="accent1" w:themeShade="7F"/>
      <w:sz w:val="24"/>
      <w:szCs w:val="24"/>
      <w:lang w:val="es-ES_tradnl" w:eastAsia="es-ES"/>
    </w:rPr>
  </w:style>
  <w:style w:type="paragraph" w:customStyle="1" w:styleId="j">
    <w:name w:val="j"/>
    <w:basedOn w:val="Normal"/>
    <w:rsid w:val="00826670"/>
    <w:pPr>
      <w:spacing w:before="100" w:beforeAutospacing="1" w:after="100" w:afterAutospacing="1"/>
    </w:pPr>
    <w:rPr>
      <w:rFonts w:ascii="Times New Roman" w:eastAsia="Times New Roman" w:hAnsi="Times New Roman" w:cs="Times New Roman"/>
      <w:lang w:val="es-MX"/>
    </w:rPr>
  </w:style>
  <w:style w:type="paragraph" w:customStyle="1" w:styleId="francesa">
    <w:name w:val="francesa"/>
    <w:basedOn w:val="Normal"/>
    <w:rsid w:val="00826670"/>
    <w:pPr>
      <w:spacing w:before="100" w:beforeAutospacing="1" w:after="100" w:afterAutospacing="1"/>
    </w:pPr>
    <w:rPr>
      <w:rFonts w:ascii="Times New Roman" w:eastAsia="Times New Roman" w:hAnsi="Times New Roman" w:cs="Times New Roman"/>
      <w:lang w:val="es-MX"/>
    </w:rPr>
  </w:style>
  <w:style w:type="character" w:customStyle="1" w:styleId="charoverride-2">
    <w:name w:val="charoverride-2"/>
    <w:basedOn w:val="Fuentedeprrafopredeter"/>
    <w:rsid w:val="00826670"/>
  </w:style>
  <w:style w:type="character" w:customStyle="1" w:styleId="charoverride-1">
    <w:name w:val="charoverride-1"/>
    <w:basedOn w:val="Fuentedeprrafopredeter"/>
    <w:rsid w:val="00826670"/>
  </w:style>
  <w:style w:type="paragraph" w:styleId="NormalWeb">
    <w:name w:val="Normal (Web)"/>
    <w:basedOn w:val="Normal"/>
    <w:uiPriority w:val="99"/>
    <w:unhideWhenUsed/>
    <w:rsid w:val="004A64CC"/>
    <w:pPr>
      <w:spacing w:before="100" w:beforeAutospacing="1" w:after="100" w:afterAutospacing="1"/>
    </w:pPr>
    <w:rPr>
      <w:rFonts w:ascii="Times New Roman" w:eastAsia="Times New Roman" w:hAnsi="Times New Roman" w:cs="Times New Roman"/>
      <w:lang w:val="es-MX"/>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sFMwPcmXQ6hgMz10UXijUTfkOA==">CgMxLjAyDmgucXB5amR5bHQ4YXk4Mg5oLjFpNjk3ZmN6NWpoazIOaC50cW9lbHg4cW9nbGwyDWguaTFkNjAwZTRoZzEyDmguM2FxcXFwOWxuNDN5Mg5oLjdkdzVia3B0cmZ6bDIIaC5sbnhiejk4AHIhMVJpZUZZWlhQQVd3UkFLZV9udlloOXZSNlp6UkM4cWFf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41</Pages>
  <Words>9753</Words>
  <Characters>53647</Characters>
  <Application>Microsoft Office Word</Application>
  <DocSecurity>0</DocSecurity>
  <Lines>447</Lines>
  <Paragraphs>126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63274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Cuenta Microsoft</cp:lastModifiedBy>
  <cp:revision>10</cp:revision>
  <cp:lastPrinted>2026-03-12T23:15:00Z</cp:lastPrinted>
  <dcterms:created xsi:type="dcterms:W3CDTF">2026-03-09T18:50:00Z</dcterms:created>
  <dcterms:modified xsi:type="dcterms:W3CDTF">2026-03-23T17:09:00Z</dcterms:modified>
</cp:coreProperties>
</file>