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A59" w:rsidRDefault="0036112A">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bookmarkStart w:id="0" w:name="_heading=h.2s8yiqq96kgp" w:colFirst="0" w:colLast="0"/>
      <w:bookmarkEnd w:id="0"/>
      <w:r>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fecha </w:t>
      </w:r>
      <w:r w:rsidR="0056325F">
        <w:rPr>
          <w:rFonts w:ascii="Palatino Linotype" w:eastAsia="Palatino Linotype" w:hAnsi="Palatino Linotype" w:cs="Palatino Linotype"/>
          <w:b/>
          <w:bCs/>
          <w:color w:val="000000"/>
        </w:rPr>
        <w:t>veinticinco</w:t>
      </w:r>
      <w:r>
        <w:rPr>
          <w:rFonts w:ascii="Palatino Linotype" w:eastAsia="Palatino Linotype" w:hAnsi="Palatino Linotype" w:cs="Palatino Linotype"/>
          <w:b/>
          <w:bCs/>
          <w:color w:val="000000"/>
        </w:rPr>
        <w:t xml:space="preserve"> </w:t>
      </w:r>
      <w:r w:rsidR="00701E6D">
        <w:rPr>
          <w:rFonts w:ascii="Palatino Linotype" w:eastAsia="Palatino Linotype" w:hAnsi="Palatino Linotype" w:cs="Palatino Linotype"/>
          <w:b/>
          <w:bCs/>
          <w:color w:val="000000"/>
        </w:rPr>
        <w:t xml:space="preserve">(25) </w:t>
      </w:r>
      <w:r>
        <w:rPr>
          <w:rFonts w:ascii="Palatino Linotype" w:eastAsia="Palatino Linotype" w:hAnsi="Palatino Linotype" w:cs="Palatino Linotype"/>
          <w:b/>
          <w:bCs/>
          <w:color w:val="000000"/>
        </w:rPr>
        <w:t>de junio de dos mil veintiséis</w:t>
      </w:r>
      <w:r>
        <w:rPr>
          <w:rFonts w:ascii="Palatino Linotype" w:eastAsia="Palatino Linotype" w:hAnsi="Palatino Linotype" w:cs="Palatino Linotype"/>
          <w:color w:val="000000"/>
        </w:rPr>
        <w:t>.</w:t>
      </w:r>
    </w:p>
    <w:p w:rsidR="00B27A59" w:rsidRDefault="00B27A59">
      <w:pPr>
        <w:pBdr>
          <w:top w:val="nil"/>
          <w:left w:val="nil"/>
          <w:bottom w:val="nil"/>
          <w:right w:val="nil"/>
          <w:between w:val="nil"/>
        </w:pBdr>
        <w:spacing w:line="360" w:lineRule="auto"/>
        <w:ind w:right="-1701"/>
        <w:jc w:val="both"/>
        <w:rPr>
          <w:rFonts w:ascii="Palatino Linotype" w:eastAsia="Palatino Linotype" w:hAnsi="Palatino Linotype" w:cs="Palatino Linotype"/>
          <w:b/>
          <w:bCs/>
          <w:color w:val="000000"/>
        </w:rPr>
      </w:pPr>
    </w:p>
    <w:p w:rsidR="00B27A59" w:rsidRDefault="0036112A">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bookmarkStart w:id="1" w:name="_heading=h.gjdgxs" w:colFirst="0" w:colLast="0"/>
      <w:bookmarkEnd w:id="1"/>
      <w:r>
        <w:rPr>
          <w:rFonts w:ascii="Palatino Linotype" w:eastAsia="Palatino Linotype" w:hAnsi="Palatino Linotype" w:cs="Palatino Linotype"/>
          <w:b/>
          <w:bCs/>
          <w:color w:val="000000"/>
        </w:rPr>
        <w:t xml:space="preserve">VISTO </w:t>
      </w:r>
      <w:r>
        <w:rPr>
          <w:rFonts w:ascii="Palatino Linotype" w:eastAsia="Palatino Linotype" w:hAnsi="Palatino Linotype" w:cs="Palatino Linotype"/>
          <w:color w:val="000000"/>
        </w:rPr>
        <w:t xml:space="preserve">el expediente electrónico formado con motivo del Recursos de Revisión </w:t>
      </w:r>
      <w:r>
        <w:rPr>
          <w:rFonts w:ascii="Palatino Linotype" w:eastAsia="Palatino Linotype" w:hAnsi="Palatino Linotype" w:cs="Palatino Linotype"/>
          <w:b/>
          <w:bCs/>
          <w:color w:val="000000"/>
        </w:rPr>
        <w:t xml:space="preserve">02643/INFOEM/IP/RR/2026 </w:t>
      </w:r>
      <w:r>
        <w:rPr>
          <w:rFonts w:ascii="Palatino Linotype" w:eastAsia="Palatino Linotype" w:hAnsi="Palatino Linotype" w:cs="Palatino Linotype"/>
          <w:color w:val="000000"/>
        </w:rPr>
        <w:t xml:space="preserve">promovido por </w:t>
      </w:r>
      <w:r w:rsidR="006B0125">
        <w:rPr>
          <w:rFonts w:ascii="Palatino Linotype" w:eastAsia="Palatino Linotype" w:hAnsi="Palatino Linotype" w:cs="Palatino Linotype"/>
          <w:b/>
          <w:bCs/>
        </w:rPr>
        <w:t>XXXX</w:t>
      </w:r>
      <w:r>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en contra de las respuestas del </w:t>
      </w:r>
      <w:r>
        <w:rPr>
          <w:rFonts w:ascii="Palatino Linotype" w:eastAsia="Palatino Linotype" w:hAnsi="Palatino Linotype" w:cs="Palatino Linotype"/>
          <w:b/>
          <w:bCs/>
          <w:color w:val="000000"/>
        </w:rPr>
        <w:t>Ayuntamiento de Tlalnepantla de Baz</w:t>
      </w:r>
      <w:r>
        <w:rPr>
          <w:rFonts w:ascii="Palatino Linotype" w:eastAsia="Palatino Linotype" w:hAnsi="Palatino Linotype" w:cs="Palatino Linotype"/>
          <w:color w:val="000000"/>
        </w:rPr>
        <w:t xml:space="preserve">, en </w:t>
      </w:r>
      <w:r>
        <w:rPr>
          <w:rFonts w:ascii="Palatino Linotype" w:eastAsia="Palatino Linotype" w:hAnsi="Palatino Linotype" w:cs="Palatino Linotype"/>
        </w:rPr>
        <w:t>adelante</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se procede a dictar la presente resolución, con base en los siguientes:</w:t>
      </w:r>
    </w:p>
    <w:p w:rsidR="00B27A59" w:rsidRDefault="00B27A59">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B27A59" w:rsidRDefault="0036112A">
      <w:pPr>
        <w:pBdr>
          <w:top w:val="nil"/>
          <w:left w:val="nil"/>
          <w:bottom w:val="nil"/>
          <w:right w:val="nil"/>
          <w:between w:val="nil"/>
        </w:pBdr>
        <w:spacing w:line="360" w:lineRule="auto"/>
        <w:ind w:right="-170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 N T E C E D E N T E S</w:t>
      </w:r>
    </w:p>
    <w:p w:rsidR="00B27A59" w:rsidRDefault="00B27A59">
      <w:pPr>
        <w:spacing w:line="360" w:lineRule="auto"/>
        <w:ind w:right="-1701"/>
        <w:jc w:val="both"/>
        <w:rPr>
          <w:rFonts w:ascii="Palatino Linotype" w:eastAsia="Palatino Linotype" w:hAnsi="Palatino Linotype" w:cs="Palatino Linotype"/>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tres de febrero de dos mil veintiséis,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la solicitud de información pública registrada con el número </w:t>
      </w:r>
      <w:r>
        <w:rPr>
          <w:rFonts w:ascii="Palatino Linotype" w:eastAsia="Palatino Linotype" w:hAnsi="Palatino Linotype" w:cs="Palatino Linotype"/>
          <w:b/>
          <w:bCs/>
          <w:color w:val="000000"/>
        </w:rPr>
        <w:t xml:space="preserve">00158/TLALNEPA/IP/2026, </w:t>
      </w:r>
      <w:r>
        <w:rPr>
          <w:rFonts w:ascii="Palatino Linotype" w:eastAsia="Palatino Linotype" w:hAnsi="Palatino Linotype" w:cs="Palatino Linotype"/>
        </w:rPr>
        <w:t xml:space="preserve">en la que </w:t>
      </w:r>
      <w:r>
        <w:rPr>
          <w:rFonts w:ascii="Palatino Linotype" w:eastAsia="Palatino Linotype" w:hAnsi="Palatino Linotype" w:cs="Palatino Linotype"/>
          <w:color w:val="000000"/>
        </w:rPr>
        <w:t>se solicitó la siguiente información:</w:t>
      </w:r>
    </w:p>
    <w:p w:rsidR="00B27A59" w:rsidRDefault="00B27A59">
      <w:pPr>
        <w:ind w:right="-1701"/>
        <w:jc w:val="both"/>
        <w:rPr>
          <w:rFonts w:ascii="Palatino Linotype" w:eastAsia="Palatino Linotype" w:hAnsi="Palatino Linotype" w:cs="Palatino Linotype"/>
          <w:i/>
          <w:iCs/>
        </w:rPr>
      </w:pPr>
    </w:p>
    <w:p w:rsidR="00B27A59" w:rsidRDefault="0036112A">
      <w:pPr>
        <w:pBdr>
          <w:top w:val="nil"/>
          <w:left w:val="nil"/>
          <w:bottom w:val="nil"/>
          <w:right w:val="nil"/>
          <w:between w:val="nil"/>
        </w:pBdr>
        <w:ind w:left="1701"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“Por este medio solicito a la Administración Pública Municipal de Tlalnepantla de Baz la respuesta oficial al oficio OP35379, en versión pública, conforme a los principios de máxima publicidad, relativo a la petición para la realización del bazar navideño en el Fraccionamiento Valle Ceylán. Lo anterior, con fundamento en el Artículo 6 de la Constitución Política de los Estados Unidos Mexicanos, que garantiza el acceso a la información y la obligación de las autoridades de responder de manera oportuna. Para facilitar su localización, se adjunta copia del documento OP35379 sellado de recibido. Quedo en espera de la respuesta correspondiente.”</w:t>
      </w:r>
    </w:p>
    <w:p w:rsidR="00B27A59" w:rsidRDefault="00B27A59">
      <w:pPr>
        <w:pBdr>
          <w:top w:val="nil"/>
          <w:left w:val="nil"/>
          <w:bottom w:val="nil"/>
          <w:right w:val="nil"/>
          <w:between w:val="nil"/>
        </w:pBdr>
        <w:spacing w:line="360" w:lineRule="auto"/>
        <w:ind w:left="1134" w:right="-1701"/>
        <w:jc w:val="both"/>
        <w:rPr>
          <w:rFonts w:ascii="Palatino Linotype" w:eastAsia="Palatino Linotype" w:hAnsi="Palatino Linotype" w:cs="Palatino Linotype"/>
          <w:i/>
          <w:iCs/>
        </w:rPr>
      </w:pPr>
    </w:p>
    <w:p w:rsidR="00B27A59" w:rsidRDefault="0036112A">
      <w:pPr>
        <w:numPr>
          <w:ilvl w:val="0"/>
          <w:numId w:val="1"/>
        </w:numPr>
        <w:pBdr>
          <w:top w:val="nil"/>
          <w:left w:val="nil"/>
          <w:bottom w:val="nil"/>
          <w:right w:val="nil"/>
          <w:between w:val="nil"/>
        </w:pBdr>
        <w:spacing w:line="360" w:lineRule="auto"/>
        <w:ind w:left="709" w:right="-170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lastRenderedPageBreak/>
        <w:t>Modalidad de entrega</w:t>
      </w:r>
      <w:r>
        <w:rPr>
          <w:rFonts w:ascii="Palatino Linotype" w:eastAsia="Palatino Linotype" w:hAnsi="Palatino Linotype" w:cs="Palatino Linotype"/>
          <w:color w:val="000000"/>
        </w:rPr>
        <w:t>: Sistema de Acceso a la Información</w:t>
      </w:r>
    </w:p>
    <w:p w:rsidR="00B27A59" w:rsidRDefault="00B27A59">
      <w:pPr>
        <w:pBdr>
          <w:top w:val="nil"/>
          <w:left w:val="nil"/>
          <w:bottom w:val="nil"/>
          <w:right w:val="nil"/>
          <w:between w:val="nil"/>
        </w:pBdr>
        <w:spacing w:line="360" w:lineRule="auto"/>
        <w:ind w:left="709" w:right="-1701"/>
        <w:jc w:val="both"/>
        <w:rPr>
          <w:rFonts w:ascii="Palatino Linotype" w:eastAsia="Palatino Linotype" w:hAnsi="Palatino Linotype" w:cs="Palatino Linotype"/>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Al momento de ingresar la solicitud de información el entonces </w:t>
      </w:r>
      <w:r>
        <w:rPr>
          <w:rFonts w:ascii="Palatino Linotype" w:eastAsia="Palatino Linotype" w:hAnsi="Palatino Linotype" w:cs="Palatino Linotype"/>
          <w:b/>
          <w:bCs/>
          <w:color w:val="000000"/>
        </w:rPr>
        <w:t xml:space="preserve">SOLICITANTE </w:t>
      </w:r>
      <w:r>
        <w:rPr>
          <w:rFonts w:ascii="Palatino Linotype" w:eastAsia="Palatino Linotype" w:hAnsi="Palatino Linotype" w:cs="Palatino Linotype"/>
        </w:rPr>
        <w:t>anexó</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i/>
          <w:iCs/>
          <w:color w:val="000000"/>
        </w:rPr>
        <w:t xml:space="preserve">documento CCI_000130.jpg, </w:t>
      </w:r>
      <w:r>
        <w:rPr>
          <w:rFonts w:ascii="Palatino Linotype" w:eastAsia="Palatino Linotype" w:hAnsi="Palatino Linotype" w:cs="Palatino Linotype"/>
          <w:color w:val="000000"/>
        </w:rPr>
        <w:t xml:space="preserve">que contiene el oficio del cual se solicitan las respuestas se seguimiento. </w:t>
      </w:r>
    </w:p>
    <w:p w:rsidR="00B27A59" w:rsidRDefault="00B27A59">
      <w:pPr>
        <w:ind w:right="-1701"/>
        <w:jc w:val="both"/>
        <w:rPr>
          <w:rFonts w:ascii="Palatino Linotype" w:eastAsia="Palatino Linotype" w:hAnsi="Palatino Linotype" w:cs="Palatino Linotype"/>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esa línea, el </w:t>
      </w:r>
      <w:r>
        <w:rPr>
          <w:rFonts w:ascii="Palatino Linotype" w:eastAsia="Palatino Linotype" w:hAnsi="Palatino Linotype" w:cs="Palatino Linotype"/>
          <w:b/>
          <w:bCs/>
          <w:color w:val="000000"/>
        </w:rPr>
        <w:t>veinticuatro de febrero de dos mil veintiséis,</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dio respuesta a la solicitud de información mediante una carpeta zip que contiene los siguientes documentos. </w:t>
      </w:r>
    </w:p>
    <w:p w:rsidR="00B27A59" w:rsidRDefault="0036112A">
      <w:pPr>
        <w:spacing w:after="16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RESPUESTA SAIMEX 158\03_CT_12-ORD_2026.pdf: </w:t>
      </w:r>
      <w:r>
        <w:rPr>
          <w:rFonts w:ascii="Palatino Linotype" w:eastAsia="Palatino Linotype" w:hAnsi="Palatino Linotype" w:cs="Palatino Linotype"/>
          <w:i/>
          <w:iCs/>
        </w:rPr>
        <w:t xml:space="preserve">Acuerdo del Comité de Transparencia, mediante el cual se aprobó la clasificación de los datos de nombre de particular(es) o tercero(s); domicilio y teléfono de particulares, por la Dirección de Gobierno </w:t>
      </w:r>
    </w:p>
    <w:p w:rsidR="00B27A59" w:rsidRDefault="0036112A">
      <w:pPr>
        <w:spacing w:after="16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RESPUESTA SAIMEX 158\14_CT_12-ORD_2026.pdf: </w:t>
      </w:r>
      <w:r>
        <w:rPr>
          <w:rFonts w:ascii="Palatino Linotype" w:eastAsia="Palatino Linotype" w:hAnsi="Palatino Linotype" w:cs="Palatino Linotype"/>
          <w:i/>
          <w:iCs/>
        </w:rPr>
        <w:t xml:space="preserve">Acuerdo del Comité de Transparencia, mediante el cual se aprobó la clasificación de los datos de nombre de particular(es) o tercero(s); domicilio y teléfono de particulares, por la Comisaria  General de Proximidad y Seguridad Ciudadana. </w:t>
      </w:r>
    </w:p>
    <w:p w:rsidR="00B27A59" w:rsidRDefault="0036112A">
      <w:pPr>
        <w:spacing w:after="160"/>
        <w:ind w:left="1134" w:right="-170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RESPUESTA SAIMEX 158\24_CT_12-ORD_2026.pdf: </w:t>
      </w:r>
      <w:r>
        <w:rPr>
          <w:rFonts w:ascii="Palatino Linotype" w:eastAsia="Palatino Linotype" w:hAnsi="Palatino Linotype" w:cs="Palatino Linotype"/>
          <w:i/>
          <w:iCs/>
        </w:rPr>
        <w:t xml:space="preserve">Acuerdo del Comité de Transparencia, mediante el cual se aprueba la clasificación nombre, puesto (cargo), unidad y turno del elemento que elaboró la Tarjeta Informativa Atención Ciudadana No. R5-S13-88 del personal operativo, por la  Comisaria  General de Proximidad y Seguridad Ciudadana, </w:t>
      </w:r>
      <w:r>
        <w:rPr>
          <w:rFonts w:ascii="Palatino Linotype" w:eastAsia="Palatino Linotype" w:hAnsi="Palatino Linotype" w:cs="Palatino Linotype"/>
          <w:b/>
          <w:bCs/>
          <w:i/>
          <w:iCs/>
        </w:rPr>
        <w:t>no se anexo la prueba de daño.</w:t>
      </w:r>
    </w:p>
    <w:p w:rsidR="00B27A59" w:rsidRDefault="0036112A">
      <w:pPr>
        <w:spacing w:after="16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RESPUESTA SAIMEX 158\ANEXO COMISARIA.pdf: </w:t>
      </w:r>
      <w:r>
        <w:rPr>
          <w:rFonts w:ascii="Palatino Linotype" w:eastAsia="Palatino Linotype" w:hAnsi="Palatino Linotype" w:cs="Palatino Linotype"/>
          <w:i/>
          <w:iCs/>
        </w:rPr>
        <w:t xml:space="preserve">oficio de seguimiento por parte de la Comisaría  General de Proximidad y Seguridad Ciudadana, del cual se observa que se clasifica la firma de servidores públicos. </w:t>
      </w:r>
    </w:p>
    <w:p w:rsidR="00B27A59" w:rsidRDefault="0036112A">
      <w:pPr>
        <w:spacing w:after="16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RESPUESTA SAIMEX 158\RESPUESTA COMISARIA 158.pdf: </w:t>
      </w:r>
      <w:r>
        <w:rPr>
          <w:rFonts w:ascii="Palatino Linotype" w:eastAsia="Palatino Linotype" w:hAnsi="Palatino Linotype" w:cs="Palatino Linotype"/>
          <w:i/>
          <w:iCs/>
        </w:rPr>
        <w:t xml:space="preserve">oficio del Subdirector Jurídico de la Comisaría General de Proximidad y Seguridad Ciudadana, mediante el cual informa que se entrega la información solicitada en versión pública. </w:t>
      </w:r>
    </w:p>
    <w:p w:rsidR="00B27A59" w:rsidRDefault="0036112A">
      <w:pPr>
        <w:spacing w:after="16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 xml:space="preserve">RESPUESTA SAIMEX 158\RESPUESTA GOBIERNO 158.pdf: </w:t>
      </w:r>
      <w:r>
        <w:rPr>
          <w:rFonts w:ascii="Palatino Linotype" w:eastAsia="Palatino Linotype" w:hAnsi="Palatino Linotype" w:cs="Palatino Linotype"/>
          <w:i/>
          <w:iCs/>
        </w:rPr>
        <w:t xml:space="preserve">oficio de la Dirección de Gobierno, mediante el cual anexa el oficio de respuesta al oficio referido en la solicitud de información, entregado en versión pública. </w:t>
      </w:r>
    </w:p>
    <w:p w:rsidR="00B27A59" w:rsidRDefault="0036112A">
      <w:pPr>
        <w:spacing w:after="16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RESPUESTA SAIMEX 158\RESPUESTA JURIDICO 158.pdf: </w:t>
      </w:r>
      <w:r>
        <w:rPr>
          <w:rFonts w:ascii="Palatino Linotype" w:eastAsia="Palatino Linotype" w:hAnsi="Palatino Linotype" w:cs="Palatino Linotype"/>
          <w:i/>
          <w:iCs/>
        </w:rPr>
        <w:t xml:space="preserve">oficio de la Titular de la Unidad de Verificación, mediante el cual informa que no es el área competente para conocer de la información por los cambios en estructura que ha tenido la administración. </w:t>
      </w:r>
    </w:p>
    <w:p w:rsidR="00B27A59" w:rsidRDefault="0036112A">
      <w:pPr>
        <w:spacing w:after="16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RESPUESTA SAIMEX 158\RESPUESTA PE 158.pdf: </w:t>
      </w:r>
      <w:r>
        <w:rPr>
          <w:rFonts w:ascii="Palatino Linotype" w:eastAsia="Palatino Linotype" w:hAnsi="Palatino Linotype" w:cs="Palatino Linotype"/>
          <w:i/>
          <w:iCs/>
        </w:rPr>
        <w:t xml:space="preserve">oficio del Director de Promoción Económica, mediante el cual informa que turno el oficio a la Dirección de Gobierno por ser de su competencia. </w:t>
      </w:r>
    </w:p>
    <w:p w:rsidR="00B27A59" w:rsidRDefault="00B27A59">
      <w:pPr>
        <w:pBdr>
          <w:top w:val="nil"/>
          <w:left w:val="nil"/>
          <w:bottom w:val="nil"/>
          <w:right w:val="nil"/>
          <w:between w:val="nil"/>
        </w:pBdr>
        <w:ind w:left="1134" w:right="-1701"/>
        <w:jc w:val="both"/>
        <w:rPr>
          <w:rFonts w:ascii="Palatino Linotype" w:eastAsia="Palatino Linotype" w:hAnsi="Palatino Linotype" w:cs="Palatino Linotype"/>
          <w:i/>
          <w:iCs/>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veinticuatro de marzo de dos mil veintiséis</w:t>
      </w:r>
      <w:r>
        <w:rPr>
          <w:rFonts w:ascii="Palatino Linotype" w:eastAsia="Palatino Linotype" w:hAnsi="Palatino Linotype" w:cs="Palatino Linotype"/>
          <w:color w:val="000000"/>
        </w:rPr>
        <w:t xml:space="preserve">, el solicitante interpuso recurso de revisión en contra de la respuestas emitida 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señalando las siguientes razones o motivos de inconformidad:</w:t>
      </w:r>
    </w:p>
    <w:p w:rsidR="00B27A59" w:rsidRDefault="00B27A59">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B27A59" w:rsidRDefault="0036112A">
      <w:pPr>
        <w:numPr>
          <w:ilvl w:val="0"/>
          <w:numId w:val="2"/>
        </w:numPr>
        <w:pBdr>
          <w:top w:val="nil"/>
          <w:left w:val="nil"/>
          <w:bottom w:val="nil"/>
          <w:right w:val="nil"/>
          <w:between w:val="nil"/>
        </w:pBdr>
        <w:ind w:left="1134" w:right="-1701" w:firstLine="0"/>
        <w:jc w:val="both"/>
        <w:rPr>
          <w:rFonts w:ascii="Palatino Linotype" w:eastAsia="Palatino Linotype" w:hAnsi="Palatino Linotype" w:cs="Palatino Linotype"/>
          <w:color w:val="000000"/>
        </w:rPr>
      </w:pPr>
      <w:bookmarkStart w:id="2" w:name="_heading=h.1fob9te" w:colFirst="0" w:colLast="0"/>
      <w:bookmarkEnd w:id="2"/>
      <w:r>
        <w:rPr>
          <w:rFonts w:ascii="Palatino Linotype" w:eastAsia="Palatino Linotype" w:hAnsi="Palatino Linotype" w:cs="Palatino Linotype"/>
          <w:b/>
          <w:bCs/>
          <w:color w:val="000000"/>
        </w:rPr>
        <w:t xml:space="preserve">Acto impugnado: </w:t>
      </w:r>
      <w:r>
        <w:rPr>
          <w:rFonts w:ascii="Palatino Linotype" w:eastAsia="Palatino Linotype" w:hAnsi="Palatino Linotype" w:cs="Palatino Linotype"/>
          <w:i/>
          <w:iCs/>
          <w:color w:val="000000"/>
        </w:rPr>
        <w:t>“Negativa parcial y clasificación indebida de información como “confidencial” por parte de la Unidad de Transparencia del H. Ayuntamiento de Tlalnepantla de Baz, dentro de la respuesta a la solicitud folio 00158/TLALNEPA/IP/2026..”</w:t>
      </w:r>
    </w:p>
    <w:p w:rsidR="00B27A59" w:rsidRDefault="00B27A59">
      <w:pPr>
        <w:pBdr>
          <w:top w:val="nil"/>
          <w:left w:val="nil"/>
          <w:bottom w:val="nil"/>
          <w:right w:val="nil"/>
          <w:between w:val="nil"/>
        </w:pBdr>
        <w:ind w:left="1134" w:right="-1701"/>
        <w:jc w:val="both"/>
        <w:rPr>
          <w:rFonts w:ascii="Palatino Linotype" w:eastAsia="Palatino Linotype" w:hAnsi="Palatino Linotype" w:cs="Palatino Linotype"/>
          <w:color w:val="000000"/>
        </w:rPr>
      </w:pPr>
    </w:p>
    <w:p w:rsidR="00B27A59" w:rsidRDefault="0036112A">
      <w:pPr>
        <w:numPr>
          <w:ilvl w:val="0"/>
          <w:numId w:val="2"/>
        </w:numPr>
        <w:pBdr>
          <w:top w:val="nil"/>
          <w:left w:val="nil"/>
          <w:bottom w:val="nil"/>
          <w:right w:val="nil"/>
          <w:between w:val="nil"/>
        </w:pBdr>
        <w:ind w:left="1134" w:right="-1701" w:firstLine="0"/>
        <w:jc w:val="both"/>
        <w:rPr>
          <w:rFonts w:ascii="Palatino Linotype" w:eastAsia="Palatino Linotype" w:hAnsi="Palatino Linotype" w:cs="Palatino Linotype"/>
          <w:color w:val="000000"/>
        </w:rPr>
      </w:pPr>
      <w:bookmarkStart w:id="3" w:name="_heading=h.3znysh7" w:colFirst="0" w:colLast="0"/>
      <w:bookmarkEnd w:id="3"/>
      <w:r>
        <w:rPr>
          <w:rFonts w:ascii="Palatino Linotype" w:eastAsia="Palatino Linotype" w:hAnsi="Palatino Linotype" w:cs="Palatino Linotype"/>
          <w:b/>
          <w:bCs/>
          <w:color w:val="000000"/>
        </w:rPr>
        <w:t xml:space="preserve">Razones o Motivos de inconformidad: </w:t>
      </w:r>
      <w:r>
        <w:rPr>
          <w:rFonts w:ascii="Palatino Linotype" w:eastAsia="Palatino Linotype" w:hAnsi="Palatino Linotype" w:cs="Palatino Linotype"/>
          <w:i/>
          <w:iCs/>
          <w:color w:val="000000"/>
        </w:rPr>
        <w:t>“No estoy conforme con la respuesta porque: Se clasificó indebidamente como confidencial un documento público relacionado con el oficio OP35379, sin fundamentación ni motivación. No se aplicó la prueba de daño, como exige el artículo 144 de la Ley de Transparencia. La versión entregada es incompleta y con testados injustificados, violando el principio de máxima publicidad del artículo 6 constitucional. Los permisos y oficios emitidos por autoridades son información pública, por lo que no deben reservarse. La autoridad intenta ocultar información relevante sobre una autorización municipal. Solicito que se revoque la respuesta y se ordene la entrega íntegra del documento solicitado, sin testados ni clasificaciones improcedentes..”</w:t>
      </w:r>
    </w:p>
    <w:p w:rsidR="00B27A59" w:rsidRDefault="00B27A59">
      <w:pPr>
        <w:ind w:right="-1701"/>
        <w:jc w:val="both"/>
        <w:rPr>
          <w:rFonts w:ascii="Palatino Linotype" w:eastAsia="Palatino Linotype" w:hAnsi="Palatino Linotype" w:cs="Palatino Linotype"/>
          <w:b/>
          <w:bCs/>
          <w:i/>
          <w:iCs/>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Al momento de interponer el recurso de revisión el entonces </w:t>
      </w:r>
      <w:r>
        <w:rPr>
          <w:rFonts w:ascii="Palatino Linotype" w:eastAsia="Palatino Linotype" w:hAnsi="Palatino Linotype" w:cs="Palatino Linotype"/>
          <w:b/>
          <w:bCs/>
          <w:color w:val="000000"/>
        </w:rPr>
        <w:t xml:space="preserve">SOLICITANTE </w:t>
      </w:r>
      <w:r>
        <w:rPr>
          <w:rFonts w:ascii="Palatino Linotype" w:eastAsia="Palatino Linotype" w:hAnsi="Palatino Linotype" w:cs="Palatino Linotype"/>
          <w:color w:val="000000"/>
        </w:rPr>
        <w:t xml:space="preserve">anexo como archivo la carpeta zip con la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dio respuesta a la solicitud de información </w:t>
      </w:r>
      <w:r>
        <w:rPr>
          <w:rFonts w:ascii="Palatino Linotype" w:eastAsia="Palatino Linotype" w:hAnsi="Palatino Linotype" w:cs="Palatino Linotype"/>
          <w:b/>
          <w:bCs/>
          <w:color w:val="000000"/>
        </w:rPr>
        <w:t>00158/TLALNEPA/IP/2026.</w:t>
      </w:r>
    </w:p>
    <w:p w:rsidR="00B27A59" w:rsidRDefault="00B27A59">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Consecutivamente</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Pr>
          <w:rFonts w:ascii="Palatino Linotype" w:eastAsia="Palatino Linotype" w:hAnsi="Palatino Linotype" w:cs="Palatino Linotype"/>
          <w:b/>
          <w:bCs/>
          <w:color w:val="000000"/>
        </w:rPr>
        <w:t>Comisionada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María del Rosario Mejía Ayala</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con el objeto de su análisis.</w:t>
      </w:r>
    </w:p>
    <w:p w:rsidR="00B27A59" w:rsidRDefault="00B27A59">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del </w:t>
      </w:r>
      <w:r>
        <w:rPr>
          <w:rFonts w:ascii="Palatino Linotype" w:eastAsia="Palatino Linotype" w:hAnsi="Palatino Linotype" w:cs="Palatino Linotype"/>
          <w:b/>
          <w:bCs/>
          <w:color w:val="000000"/>
        </w:rPr>
        <w:t xml:space="preserve">veintisiete de febrero de dos mil veintiséis,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B27A59" w:rsidRDefault="00B27A59">
      <w:pPr>
        <w:pBdr>
          <w:top w:val="nil"/>
          <w:left w:val="nil"/>
          <w:bottom w:val="nil"/>
          <w:right w:val="nil"/>
          <w:between w:val="nil"/>
        </w:pBdr>
        <w:ind w:left="708" w:right="-1701"/>
        <w:jc w:val="both"/>
        <w:rPr>
          <w:rFonts w:ascii="Palatino Linotype" w:eastAsia="Palatino Linotype" w:hAnsi="Palatino Linotype" w:cs="Palatino Linotype"/>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esa línea, el </w:t>
      </w:r>
      <w:r>
        <w:rPr>
          <w:rFonts w:ascii="Palatino Linotype" w:eastAsia="Palatino Linotype" w:hAnsi="Palatino Linotype" w:cs="Palatino Linotype"/>
          <w:b/>
          <w:bCs/>
          <w:color w:val="000000"/>
        </w:rPr>
        <w:t xml:space="preserve">seis de marzo de dos mil veintiséis,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anexó</w:t>
      </w:r>
      <w:r>
        <w:rPr>
          <w:rFonts w:ascii="Palatino Linotype" w:eastAsia="Palatino Linotype" w:hAnsi="Palatino Linotype" w:cs="Palatino Linotype"/>
          <w:color w:val="000000"/>
        </w:rPr>
        <w:t xml:space="preserve"> una carpeta zip que contiene el siguiente archivo.</w:t>
      </w:r>
    </w:p>
    <w:p w:rsidR="00B27A59" w:rsidRDefault="0036112A">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MANIFESTACIONES COMISARIA 158.zip: </w:t>
      </w:r>
      <w:r>
        <w:rPr>
          <w:rFonts w:ascii="Palatino Linotype" w:eastAsia="Palatino Linotype" w:hAnsi="Palatino Linotype" w:cs="Palatino Linotype"/>
          <w:i/>
          <w:iCs/>
          <w:color w:val="000000"/>
        </w:rPr>
        <w:t xml:space="preserve">oficio del Subdirector Jurídico de la Comisaría General de Proximidad y Seguridad Ciudadana, mediante el cual ratifica la respuesta inicial. </w:t>
      </w:r>
    </w:p>
    <w:p w:rsidR="00B27A59" w:rsidRDefault="00B27A59">
      <w:pPr>
        <w:pBdr>
          <w:top w:val="nil"/>
          <w:left w:val="nil"/>
          <w:bottom w:val="nil"/>
          <w:right w:val="nil"/>
          <w:between w:val="nil"/>
        </w:pBdr>
        <w:ind w:left="720" w:right="-1701"/>
        <w:rPr>
          <w:rFonts w:ascii="Palatino Linotype" w:eastAsia="Palatino Linotype" w:hAnsi="Palatino Linotype" w:cs="Palatino Linotype"/>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su parte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fue omiso en manifestar lo que a su derecho conviniera y asistiera. </w:t>
      </w:r>
    </w:p>
    <w:p w:rsidR="00B27A59" w:rsidRDefault="00B27A59">
      <w:pPr>
        <w:pBdr>
          <w:top w:val="nil"/>
          <w:left w:val="nil"/>
          <w:bottom w:val="nil"/>
          <w:right w:val="nil"/>
          <w:between w:val="nil"/>
        </w:pBdr>
        <w:spacing w:line="360" w:lineRule="auto"/>
        <w:ind w:right="-1701"/>
        <w:jc w:val="both"/>
        <w:rPr>
          <w:rFonts w:ascii="Palatino Linotype" w:eastAsia="Palatino Linotype" w:hAnsi="Palatino Linotype" w:cs="Palatino Linotype"/>
          <w:b/>
          <w:bCs/>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veintiuno de mayo de dos mil veintiséis</w:t>
      </w:r>
      <w:r>
        <w:rPr>
          <w:rFonts w:ascii="Palatino Linotype" w:eastAsia="Palatino Linotype" w:hAnsi="Palatino Linotype" w:cs="Palatino Linotype"/>
          <w:color w:val="000000"/>
        </w:rPr>
        <w:t xml:space="preserve">, la Comisionada Ponente notificó el </w:t>
      </w:r>
      <w:r>
        <w:rPr>
          <w:rFonts w:ascii="Palatino Linotype" w:eastAsia="Palatino Linotype" w:hAnsi="Palatino Linotype" w:cs="Palatino Linotype"/>
          <w:b/>
          <w:bCs/>
          <w:color w:val="000000"/>
        </w:rPr>
        <w:t>acuerdo de ampliación</w:t>
      </w:r>
      <w:r>
        <w:rPr>
          <w:rFonts w:ascii="Palatino Linotype" w:eastAsia="Palatino Linotype" w:hAnsi="Palatino Linotype" w:cs="Palatino Linotype"/>
          <w:color w:val="000000"/>
        </w:rPr>
        <w:t xml:space="preserve"> de plazo para emitir resolución.</w:t>
      </w:r>
    </w:p>
    <w:p w:rsidR="00B27A59" w:rsidRDefault="00B27A59">
      <w:pPr>
        <w:pBdr>
          <w:top w:val="nil"/>
          <w:left w:val="nil"/>
          <w:bottom w:val="nil"/>
          <w:right w:val="nil"/>
          <w:between w:val="nil"/>
        </w:pBdr>
        <w:spacing w:line="360" w:lineRule="auto"/>
        <w:ind w:right="-1701"/>
        <w:jc w:val="both"/>
        <w:rPr>
          <w:rFonts w:ascii="Palatino Linotype" w:eastAsia="Palatino Linotype" w:hAnsi="Palatino Linotype" w:cs="Palatino Linotype"/>
          <w:b/>
          <w:bCs/>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b/>
          <w:bCs/>
          <w:color w:val="000000"/>
        </w:rPr>
      </w:pPr>
      <w:bookmarkStart w:id="4" w:name="_heading=h.2et92p0" w:colFirst="0" w:colLast="0"/>
      <w:bookmarkEnd w:id="4"/>
      <w:r>
        <w:rPr>
          <w:rFonts w:ascii="Palatino Linotype" w:eastAsia="Palatino Linotype" w:hAnsi="Palatino Linotype" w:cs="Palatino Linotype"/>
          <w:color w:val="000000"/>
        </w:rPr>
        <w:t>Finalmente, la Comisionada Ponente mediante acuerdo de fecha</w:t>
      </w:r>
      <w:r>
        <w:rPr>
          <w:rFonts w:ascii="Palatino Linotype" w:eastAsia="Palatino Linotype" w:hAnsi="Palatino Linotype" w:cs="Palatino Linotype"/>
          <w:b/>
          <w:bCs/>
          <w:color w:val="000000"/>
        </w:rPr>
        <w:t xml:space="preserve"> veinticuatro de junio de dos mil veintiséis</w:t>
      </w:r>
      <w:r>
        <w:rPr>
          <w:rFonts w:ascii="Palatino Linotype" w:eastAsia="Palatino Linotype" w:hAnsi="Palatino Linotype" w:cs="Palatino Linotype"/>
          <w:color w:val="000000"/>
        </w:rPr>
        <w:t>, decretó el cierre de instrucción de los expedientes, por lo que no habiendo más que hacer constar, y</w:t>
      </w:r>
    </w:p>
    <w:p w:rsidR="00B27A59" w:rsidRDefault="00B27A59">
      <w:pPr>
        <w:spacing w:line="360" w:lineRule="auto"/>
        <w:ind w:right="-1701"/>
        <w:jc w:val="both"/>
        <w:rPr>
          <w:rFonts w:ascii="Palatino Linotype" w:eastAsia="Palatino Linotype" w:hAnsi="Palatino Linotype" w:cs="Palatino Linotype"/>
          <w:b/>
          <w:bCs/>
          <w:color w:val="000000"/>
        </w:rPr>
      </w:pPr>
      <w:bookmarkStart w:id="5" w:name="_heading=h.162m1m3fkzl6" w:colFirst="0" w:colLast="0"/>
      <w:bookmarkEnd w:id="5"/>
    </w:p>
    <w:p w:rsidR="00B27A59" w:rsidRDefault="0036112A">
      <w:pPr>
        <w:pBdr>
          <w:top w:val="nil"/>
          <w:left w:val="nil"/>
          <w:bottom w:val="nil"/>
          <w:right w:val="nil"/>
          <w:between w:val="nil"/>
        </w:pBdr>
        <w:spacing w:line="360" w:lineRule="auto"/>
        <w:ind w:right="-170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 O N S I D E R A N D O</w:t>
      </w:r>
    </w:p>
    <w:p w:rsidR="00B27A59" w:rsidRDefault="0036112A">
      <w:pPr>
        <w:pStyle w:val="Ttulo2"/>
        <w:spacing w:before="0" w:line="360" w:lineRule="auto"/>
        <w:ind w:right="-1701"/>
        <w:jc w:val="both"/>
        <w:rPr>
          <w:rFonts w:ascii="Palatino Linotype" w:eastAsia="Palatino Linotype" w:hAnsi="Palatino Linotype" w:cs="Palatino Linotype"/>
          <w:b/>
          <w:bCs/>
          <w:color w:val="000000"/>
          <w:sz w:val="24"/>
          <w:szCs w:val="24"/>
        </w:rPr>
      </w:pPr>
      <w:bookmarkStart w:id="6" w:name="_heading=h.tyjcwt" w:colFirst="0" w:colLast="0"/>
      <w:bookmarkEnd w:id="6"/>
      <w:r>
        <w:rPr>
          <w:rFonts w:ascii="Palatino Linotype" w:eastAsia="Palatino Linotype" w:hAnsi="Palatino Linotype" w:cs="Palatino Linotype"/>
          <w:b/>
          <w:bCs/>
          <w:color w:val="000000"/>
          <w:sz w:val="24"/>
          <w:szCs w:val="24"/>
        </w:rPr>
        <w:t>PRIMERO. De la competencia</w:t>
      </w: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bookmarkStart w:id="7" w:name="_heading=h.3dy6vkm" w:colFirst="0" w:colLast="0"/>
      <w:bookmarkEnd w:id="7"/>
      <w:r>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B27A59" w:rsidRDefault="00B27A59">
      <w:pPr>
        <w:pBdr>
          <w:top w:val="nil"/>
          <w:left w:val="nil"/>
          <w:bottom w:val="nil"/>
          <w:right w:val="nil"/>
          <w:between w:val="nil"/>
        </w:pBdr>
        <w:tabs>
          <w:tab w:val="left" w:pos="426"/>
        </w:tabs>
        <w:spacing w:line="360" w:lineRule="auto"/>
        <w:ind w:right="-1701"/>
        <w:jc w:val="both"/>
        <w:rPr>
          <w:rFonts w:ascii="Palatino Linotype" w:eastAsia="Palatino Linotype" w:hAnsi="Palatino Linotype" w:cs="Palatino Linotype"/>
          <w:b/>
          <w:bCs/>
          <w:color w:val="000000"/>
        </w:rPr>
      </w:pPr>
    </w:p>
    <w:p w:rsidR="00B27A59" w:rsidRDefault="0036112A">
      <w:pPr>
        <w:pBdr>
          <w:top w:val="nil"/>
          <w:left w:val="nil"/>
          <w:bottom w:val="nil"/>
          <w:right w:val="nil"/>
          <w:between w:val="nil"/>
        </w:pBdr>
        <w:tabs>
          <w:tab w:val="left" w:pos="426"/>
        </w:tabs>
        <w:spacing w:line="360" w:lineRule="auto"/>
        <w:ind w:right="-1701"/>
        <w:jc w:val="both"/>
        <w:rPr>
          <w:rFonts w:ascii="Palatino Linotype" w:eastAsia="Palatino Linotype" w:hAnsi="Palatino Linotype" w:cs="Palatino Linotype"/>
          <w:b/>
          <w:bCs/>
          <w:color w:val="000000"/>
        </w:rPr>
      </w:pPr>
      <w:bookmarkStart w:id="8" w:name="_heading=h.1t3h5sf" w:colFirst="0" w:colLast="0"/>
      <w:bookmarkEnd w:id="8"/>
      <w:r>
        <w:rPr>
          <w:rFonts w:ascii="Palatino Linotype" w:eastAsia="Palatino Linotype" w:hAnsi="Palatino Linotype" w:cs="Palatino Linotype"/>
          <w:b/>
          <w:bCs/>
          <w:color w:val="000000"/>
        </w:rPr>
        <w:t>SEGUNDO. De la oportunidad y procedencia.</w:t>
      </w: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bookmarkStart w:id="9" w:name="_heading=h.4d34og8" w:colFirst="0" w:colLast="0"/>
      <w:bookmarkEnd w:id="9"/>
      <w:r>
        <w:rPr>
          <w:rFonts w:ascii="Palatino Linotype" w:eastAsia="Palatino Linotype" w:hAnsi="Palatino Linotype" w:cs="Palatino Linotype"/>
          <w:color w:val="000000"/>
        </w:rPr>
        <w:t xml:space="preserve">Los medios de impugnación fueron presentados a través del SAIMEX, en el formato previamente aprobado para tal efecto y dentro del plazo legal de quince días hábiles otorgados; para el caso en particular es de señalar que el SUJETO OBLIGADO entregó su respuesta </w:t>
      </w:r>
      <w:r>
        <w:rPr>
          <w:rFonts w:ascii="Palatino Linotype" w:eastAsia="Palatino Linotype" w:hAnsi="Palatino Linotype" w:cs="Palatino Linotype"/>
          <w:b/>
          <w:bCs/>
          <w:color w:val="000000"/>
        </w:rPr>
        <w:t xml:space="preserve">el </w:t>
      </w:r>
      <w:r>
        <w:rPr>
          <w:rFonts w:ascii="Palatino Linotype" w:eastAsia="Palatino Linotype" w:hAnsi="Palatino Linotype" w:cs="Palatino Linotype"/>
          <w:b/>
          <w:bCs/>
          <w:color w:val="000000"/>
        </w:rPr>
        <w:lastRenderedPageBreak/>
        <w:t>veinticuatro de febrero de dos mil veintiséis</w:t>
      </w:r>
      <w:r>
        <w:rPr>
          <w:rFonts w:ascii="Palatino Linotype" w:eastAsia="Palatino Linotype" w:hAnsi="Palatino Linotype" w:cs="Palatino Linotype"/>
          <w:color w:val="000000"/>
        </w:rPr>
        <w:t xml:space="preserve">, de tal forma que el plazo para interponer el recurso de revisión transcurrió del </w:t>
      </w:r>
      <w:r>
        <w:rPr>
          <w:rFonts w:ascii="Palatino Linotype" w:eastAsia="Palatino Linotype" w:hAnsi="Palatino Linotype" w:cs="Palatino Linotype"/>
          <w:b/>
          <w:bCs/>
          <w:color w:val="000000"/>
        </w:rPr>
        <w:t>veinticinco de febrero al diecinueve marzo de dos mil veintiséis</w:t>
      </w:r>
      <w:r>
        <w:rPr>
          <w:rFonts w:ascii="Palatino Linotype" w:eastAsia="Palatino Linotype" w:hAnsi="Palatino Linotype" w:cs="Palatino Linotype"/>
          <w:color w:val="000000"/>
        </w:rPr>
        <w:t xml:space="preserve">; en consecuencia, 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presentó su inconformidad el </w:t>
      </w:r>
      <w:r>
        <w:rPr>
          <w:rFonts w:ascii="Palatino Linotype" w:eastAsia="Palatino Linotype" w:hAnsi="Palatino Linotype" w:cs="Palatino Linotype"/>
          <w:b/>
          <w:bCs/>
          <w:color w:val="000000"/>
        </w:rPr>
        <w:t>veinticuatro de febrero de dos mil veintiséis</w:t>
      </w:r>
      <w:r>
        <w:rPr>
          <w:rFonts w:ascii="Palatino Linotype" w:eastAsia="Palatino Linotype" w:hAnsi="Palatino Linotype" w:cs="Palatino Linotype"/>
          <w:color w:val="000000"/>
        </w:rPr>
        <w:t>; es decir dentro del lapso legalmente establecido para tal efecto.</w:t>
      </w:r>
    </w:p>
    <w:p w:rsidR="00B27A59" w:rsidRDefault="00B27A59">
      <w:pPr>
        <w:pBdr>
          <w:top w:val="nil"/>
          <w:left w:val="nil"/>
          <w:bottom w:val="nil"/>
          <w:right w:val="nil"/>
          <w:between w:val="nil"/>
        </w:pBdr>
        <w:ind w:right="-1701"/>
        <w:jc w:val="both"/>
        <w:rPr>
          <w:rFonts w:ascii="Palatino Linotype" w:eastAsia="Palatino Linotype" w:hAnsi="Palatino Linotype" w:cs="Palatino Linotype"/>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555555"/>
        </w:rPr>
      </w:pPr>
      <w:r>
        <w:rPr>
          <w:rFonts w:ascii="Palatino Linotype" w:eastAsia="Palatino Linotype" w:hAnsi="Palatino Linotype" w:cs="Palatino Linotype"/>
        </w:rPr>
        <w:t xml:space="preserve">Al respecto </w:t>
      </w:r>
      <w:r>
        <w:rPr>
          <w:rFonts w:ascii="Palatino Linotype" w:eastAsia="Palatino Linotype" w:hAnsi="Palatino Linotype" w:cs="Palatino Linotype"/>
          <w:color w:val="000000"/>
        </w:rPr>
        <w:t>resulta necesario precisar que cuando el medio de impugnación, se haya interpuesto antes que inicie el término para tal efecto, resulta insuficiente para tener por extemporáneo el recurso de revisión de mérito, toda vez que el precepto legal citado, sólo establece que este medio de defensa se ha de promover dentro de los quince días hábiles siguientes en que se tenga conocimiento de la respuesta impugnada; sin embargo, no prohíbe que el recurso de revisión, se presente el mismo día en que esta fue notificada. Por lo que es de señalar que en aras de privilegiar el derecho de acceso a la información se entra al estudio del presente recurso de revisión sin que la fecha en que se presentó afecte la resolución.</w:t>
      </w:r>
    </w:p>
    <w:p w:rsidR="00B27A59" w:rsidRDefault="00B27A59">
      <w:pPr>
        <w:spacing w:line="360" w:lineRule="auto"/>
        <w:ind w:left="360" w:right="-1701" w:hanging="360"/>
        <w:rPr>
          <w:rFonts w:ascii="Palatino Linotype" w:eastAsia="Palatino Linotype" w:hAnsi="Palatino Linotype" w:cs="Palatino Linotype"/>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555555"/>
        </w:rPr>
      </w:pPr>
      <w:r>
        <w:rPr>
          <w:rFonts w:ascii="Palatino Linotype" w:eastAsia="Palatino Linotype" w:hAnsi="Palatino Linotype" w:cs="Palatino Linotype"/>
        </w:rPr>
        <w:t xml:space="preserve">Lo </w:t>
      </w:r>
      <w:r>
        <w:rPr>
          <w:rFonts w:ascii="Palatino Linotype" w:eastAsia="Palatino Linotype" w:hAnsi="Palatino Linotype" w:cs="Palatino Linotype"/>
          <w:color w:val="000000"/>
        </w:rPr>
        <w:t>anterior</w:t>
      </w:r>
      <w:r>
        <w:rPr>
          <w:rFonts w:ascii="Palatino Linotype" w:eastAsia="Palatino Linotype" w:hAnsi="Palatino Linotype" w:cs="Palatino Linotype"/>
        </w:rPr>
        <w:t xml:space="preserve"> se robustece con la jurisprudencia número 1a./J. 41/2015 (10a.), Décima </w:t>
      </w:r>
      <w:r>
        <w:rPr>
          <w:rFonts w:ascii="Palatino Linotype" w:eastAsia="Palatino Linotype" w:hAnsi="Palatino Linotype" w:cs="Palatino Linotype"/>
          <w:color w:val="000000"/>
        </w:rPr>
        <w:t>época</w:t>
      </w:r>
      <w:r>
        <w:rPr>
          <w:rFonts w:ascii="Palatino Linotype" w:eastAsia="Palatino Linotype" w:hAnsi="Palatino Linotype" w:cs="Palatino Linotype"/>
        </w:rPr>
        <w:t xml:space="preserve">, sustentada por la Primera Sala de la Suprema Corte de Justicia de la Nación, visible en la página 569, libro 19, tomo I, de la Gaceta del Semanario Judicial de la Federación, del diecinueve de junio de 2015, cuyo rubro y texto disponen: </w:t>
      </w:r>
    </w:p>
    <w:p w:rsidR="00B27A59" w:rsidRDefault="0036112A">
      <w:pPr>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b/>
          <w:bCs/>
          <w:i/>
          <w:iCs/>
        </w:rPr>
        <w:t>“RECURSO DE RECLAMACIÓN. SU INTERPOSICIÓN NO ES EXTEMPORÁNEA SI SE REALIZA ANTES DE QUE INICIE EL PLAZO PARA HACERLO</w:t>
      </w:r>
      <w:r>
        <w:rPr>
          <w:rFonts w:ascii="Palatino Linotype" w:eastAsia="Palatino Linotype" w:hAnsi="Palatino Linotype" w:cs="Palatino Linotype"/>
          <w:i/>
          <w:iCs/>
        </w:rPr>
        <w:t xml:space="preserve">.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w:t>
      </w:r>
      <w:r>
        <w:rPr>
          <w:rFonts w:ascii="Palatino Linotype" w:eastAsia="Palatino Linotype" w:hAnsi="Palatino Linotype" w:cs="Palatino Linotype"/>
          <w:i/>
          <w:iCs/>
        </w:rPr>
        <w:lastRenderedPageBreak/>
        <w:t>iniciado ese término. De ahí que si dicho recurso se interpone antes de que inicie el plazo para hacerlo, su presentación no es extemporánea.”</w:t>
      </w:r>
    </w:p>
    <w:p w:rsidR="00B27A59" w:rsidRDefault="00B27A59">
      <w:pPr>
        <w:spacing w:line="360" w:lineRule="auto"/>
        <w:ind w:left="426" w:right="-1701"/>
        <w:jc w:val="both"/>
        <w:rPr>
          <w:rFonts w:ascii="Palatino Linotype" w:eastAsia="Palatino Linotype" w:hAnsi="Palatino Linotype" w:cs="Palatino Linotype"/>
          <w:i/>
          <w:iCs/>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Esto es así porque en primer lugar es necesario que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conozca el acto que le provoca </w:t>
      </w:r>
      <w:r>
        <w:rPr>
          <w:rFonts w:ascii="Palatino Linotype" w:eastAsia="Palatino Linotype" w:hAnsi="Palatino Linotype" w:cs="Palatino Linotype"/>
          <w:color w:val="000000"/>
        </w:rPr>
        <w:t>agravio</w:t>
      </w:r>
      <w:r>
        <w:rPr>
          <w:rFonts w:ascii="Palatino Linotype" w:eastAsia="Palatino Linotype" w:hAnsi="Palatino Linotype" w:cs="Palatino Linotype"/>
        </w:rPr>
        <w:t xml:space="preserve"> y a partir de ahí formular su recurso de revisión </w:t>
      </w:r>
      <w:r>
        <w:rPr>
          <w:rFonts w:ascii="Palatino Linotype" w:eastAsia="Palatino Linotype" w:hAnsi="Palatino Linotype" w:cs="Palatino Linotype"/>
          <w:color w:val="000000"/>
        </w:rPr>
        <w:t>señalando</w:t>
      </w:r>
      <w:r>
        <w:rPr>
          <w:rFonts w:ascii="Palatino Linotype" w:eastAsia="Palatino Linotype" w:hAnsi="Palatino Linotype" w:cs="Palatino Linotype"/>
        </w:rPr>
        <w:t xml:space="preserve"> tanto el acto impugnado como el motivo de inconformidad. Y si bien la ley señala que el plazo corre un día después de haber sido notificada la respuesta, en nada se afecta al proceso que el </w:t>
      </w:r>
      <w:r>
        <w:rPr>
          <w:rFonts w:ascii="Palatino Linotype" w:eastAsia="Palatino Linotype" w:hAnsi="Palatino Linotype" w:cs="Palatino Linotype"/>
          <w:color w:val="000000"/>
        </w:rPr>
        <w:t>mismo</w:t>
      </w:r>
      <w:r>
        <w:rPr>
          <w:rFonts w:ascii="Palatino Linotype" w:eastAsia="Palatino Linotype" w:hAnsi="Palatino Linotype" w:cs="Palatino Linotype"/>
        </w:rPr>
        <w:t xml:space="preserve"> día de </w:t>
      </w:r>
      <w:r>
        <w:rPr>
          <w:rFonts w:ascii="Palatino Linotype" w:eastAsia="Palatino Linotype" w:hAnsi="Palatino Linotype" w:cs="Palatino Linotype"/>
          <w:b/>
          <w:bCs/>
        </w:rPr>
        <w:t>notificada EL RECURRENTE</w:t>
      </w:r>
      <w:r>
        <w:rPr>
          <w:rFonts w:ascii="Palatino Linotype" w:eastAsia="Palatino Linotype" w:hAnsi="Palatino Linotype" w:cs="Palatino Linotype"/>
        </w:rPr>
        <w:t xml:space="preserve"> actúe, ya que al contrario lo que demuestra es el interés del mismo para ejercer su derecho bajo el principio constitucional de justicia expedita.</w:t>
      </w:r>
    </w:p>
    <w:p w:rsidR="00B27A59" w:rsidRDefault="00B27A59">
      <w:pPr>
        <w:pBdr>
          <w:top w:val="nil"/>
          <w:left w:val="nil"/>
          <w:bottom w:val="nil"/>
          <w:right w:val="nil"/>
          <w:between w:val="nil"/>
        </w:pBdr>
        <w:tabs>
          <w:tab w:val="left" w:pos="0"/>
        </w:tabs>
        <w:spacing w:line="360" w:lineRule="auto"/>
        <w:ind w:right="-1701"/>
        <w:jc w:val="both"/>
        <w:rPr>
          <w:rFonts w:ascii="Palatino Linotype" w:eastAsia="Palatino Linotype" w:hAnsi="Palatino Linotype" w:cs="Palatino Linotype"/>
          <w:i/>
          <w:iCs/>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que la presentación del recurso, el mismo día del conocimiento de la respuesta, -se insiste- no constituye un acto que altere el procedimiento, solo permite su gestión de manera rápida lo que no afecta ningún principio procesal y es protector del derecho de </w:t>
      </w:r>
      <w:r>
        <w:rPr>
          <w:rFonts w:ascii="Palatino Linotype" w:eastAsia="Palatino Linotype" w:hAnsi="Palatino Linotype" w:cs="Palatino Linotype"/>
          <w:color w:val="000000"/>
        </w:rPr>
        <w:t>acceso</w:t>
      </w:r>
      <w:r>
        <w:rPr>
          <w:rFonts w:ascii="Palatino Linotype" w:eastAsia="Palatino Linotype" w:hAnsi="Palatino Linotype" w:cs="Palatino Linotype"/>
        </w:rPr>
        <w:t xml:space="preserve"> a la justicia pronta y expedita.</w:t>
      </w:r>
    </w:p>
    <w:p w:rsidR="00B27A59" w:rsidRDefault="00B27A59">
      <w:pPr>
        <w:spacing w:line="360" w:lineRule="auto"/>
        <w:ind w:left="360" w:right="-1701" w:hanging="360"/>
        <w:rPr>
          <w:rFonts w:ascii="Palatino Linotype" w:eastAsia="Palatino Linotype" w:hAnsi="Palatino Linotype" w:cs="Palatino Linotype"/>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tanto, la interposición del recurso de revisión antes de que inicie el plazo para su presentación no es determinante para declararlo extemporáneo, siempre y cuando ello ocurra de manera posterior a que se ha notificado la respuesta del </w:t>
      </w:r>
      <w:r>
        <w:rPr>
          <w:rFonts w:ascii="Palatino Linotype" w:eastAsia="Palatino Linotype" w:hAnsi="Palatino Linotype" w:cs="Palatino Linotype"/>
          <w:b/>
          <w:bCs/>
        </w:rPr>
        <w:t>SUJETO OBLIGADO.</w:t>
      </w:r>
    </w:p>
    <w:p w:rsidR="00B27A59" w:rsidRDefault="00B27A59">
      <w:pPr>
        <w:ind w:right="-1701"/>
        <w:rPr>
          <w:rFonts w:ascii="Palatino Linotype" w:eastAsia="Palatino Linotype" w:hAnsi="Palatino Linotype" w:cs="Palatino Linotype"/>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B27A59" w:rsidRDefault="0036112A">
      <w:pPr>
        <w:pStyle w:val="Ttulo1"/>
        <w:spacing w:before="0" w:line="360" w:lineRule="auto"/>
        <w:ind w:right="-1701"/>
        <w:jc w:val="both"/>
        <w:rPr>
          <w:rFonts w:ascii="Palatino Linotype" w:eastAsia="Palatino Linotype" w:hAnsi="Palatino Linotype" w:cs="Palatino Linotype"/>
          <w:b/>
          <w:bCs/>
          <w:color w:val="000000"/>
          <w:sz w:val="24"/>
          <w:szCs w:val="24"/>
        </w:rPr>
      </w:pPr>
      <w:bookmarkStart w:id="10" w:name="_heading=h.2s8eyo1" w:colFirst="0" w:colLast="0"/>
      <w:bookmarkEnd w:id="10"/>
      <w:r>
        <w:rPr>
          <w:rFonts w:ascii="Palatino Linotype" w:eastAsia="Palatino Linotype" w:hAnsi="Palatino Linotype" w:cs="Palatino Linotype"/>
          <w:b/>
          <w:bCs/>
          <w:color w:val="000000"/>
          <w:sz w:val="24"/>
          <w:szCs w:val="24"/>
        </w:rPr>
        <w:lastRenderedPageBreak/>
        <w:t xml:space="preserve">TERCERO. Del planteamiento de la </w:t>
      </w:r>
      <w:r>
        <w:rPr>
          <w:rFonts w:ascii="Palatino Linotype" w:eastAsia="Palatino Linotype" w:hAnsi="Palatino Linotype" w:cs="Palatino Linotype"/>
          <w:b/>
          <w:bCs/>
          <w:i/>
          <w:iCs/>
          <w:color w:val="000000"/>
          <w:sz w:val="24"/>
          <w:szCs w:val="24"/>
        </w:rPr>
        <w:t>Litis</w:t>
      </w:r>
      <w:r>
        <w:rPr>
          <w:rFonts w:ascii="Palatino Linotype" w:eastAsia="Palatino Linotype" w:hAnsi="Palatino Linotype" w:cs="Palatino Linotype"/>
          <w:b/>
          <w:bCs/>
          <w:color w:val="000000"/>
          <w:sz w:val="24"/>
          <w:szCs w:val="24"/>
        </w:rPr>
        <w:t>.</w:t>
      </w: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las constancias en el expediente al rubro indicado, se desprende que la particular solicitó la información que a continuación se desagrega:</w:t>
      </w:r>
    </w:p>
    <w:p w:rsidR="00B27A59" w:rsidRDefault="0036112A">
      <w:pPr>
        <w:ind w:left="1134" w:right="-170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Respuesta oficial al oficio OP35379, relativo a la petición para la realización del bazar navideño en el Fraccionamiento Valle Ceylán, en versión pública. </w:t>
      </w:r>
    </w:p>
    <w:p w:rsidR="00B27A59" w:rsidRDefault="00B27A59">
      <w:pPr>
        <w:ind w:left="1134" w:right="-1701"/>
        <w:jc w:val="both"/>
        <w:rPr>
          <w:rFonts w:ascii="Palatino Linotype" w:eastAsia="Palatino Linotype" w:hAnsi="Palatino Linotype" w:cs="Palatino Linotype"/>
          <w:b/>
          <w:bCs/>
          <w:i/>
          <w:iCs/>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respuesta,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entregó</w:t>
      </w:r>
      <w:r>
        <w:rPr>
          <w:rFonts w:ascii="Palatino Linotype" w:eastAsia="Palatino Linotype" w:hAnsi="Palatino Linotype" w:cs="Palatino Linotype"/>
          <w:color w:val="000000"/>
        </w:rPr>
        <w:t xml:space="preserve"> la información que fue descrita en el párrafo tres de la presente resolución.</w:t>
      </w:r>
    </w:p>
    <w:p w:rsidR="00B27A59" w:rsidRDefault="00B27A59">
      <w:pPr>
        <w:pBdr>
          <w:top w:val="nil"/>
          <w:left w:val="nil"/>
          <w:bottom w:val="nil"/>
          <w:right w:val="nil"/>
          <w:between w:val="nil"/>
        </w:pBdr>
        <w:spacing w:line="360" w:lineRule="auto"/>
        <w:ind w:right="-1701"/>
        <w:jc w:val="both"/>
        <w:rPr>
          <w:rFonts w:ascii="Palatino Linotype" w:eastAsia="Palatino Linotype" w:hAnsi="Palatino Linotype" w:cs="Palatino Linotype"/>
          <w:i/>
          <w:iCs/>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dichas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Pr>
          <w:rFonts w:ascii="Palatino Linotype" w:eastAsia="Palatino Linotype" w:hAnsi="Palatino Linotype" w:cs="Palatino Linotype"/>
          <w:b/>
          <w:bCs/>
          <w:color w:val="000000"/>
        </w:rPr>
        <w:t xml:space="preserve">fracción I y II </w:t>
      </w:r>
      <w:r>
        <w:rPr>
          <w:rFonts w:ascii="Palatino Linotype" w:eastAsia="Palatino Linotype" w:hAnsi="Palatino Linotype" w:cs="Palatino Linotype"/>
          <w:color w:val="000000"/>
        </w:rPr>
        <w:t>de la Ley</w:t>
      </w:r>
      <w:r>
        <w:rPr>
          <w:rFonts w:ascii="Palatino Linotype" w:eastAsia="Palatino Linotype" w:hAnsi="Palatino Linotype" w:cs="Palatino Linotype"/>
          <w:b/>
          <w:bCs/>
          <w:color w:val="000000"/>
        </w:rPr>
        <w:t xml:space="preserve"> de Transparencia y Acceso a la Información Pública del Estado de </w:t>
      </w:r>
      <w:r>
        <w:rPr>
          <w:rFonts w:ascii="Palatino Linotype" w:eastAsia="Palatino Linotype" w:hAnsi="Palatino Linotype" w:cs="Palatino Linotype"/>
          <w:color w:val="000000"/>
        </w:rPr>
        <w:t>México</w:t>
      </w:r>
      <w:r>
        <w:rPr>
          <w:rFonts w:ascii="Palatino Linotype" w:eastAsia="Palatino Linotype" w:hAnsi="Palatino Linotype" w:cs="Palatino Linotype"/>
          <w:b/>
          <w:bCs/>
          <w:color w:val="000000"/>
        </w:rPr>
        <w:t xml:space="preserve"> y Municipios</w:t>
      </w:r>
      <w:r>
        <w:rPr>
          <w:rFonts w:ascii="Palatino Linotype" w:eastAsia="Palatino Linotype" w:hAnsi="Palatino Linotype" w:cs="Palatino Linotype"/>
          <w:color w:val="000000"/>
        </w:rPr>
        <w:t xml:space="preserve">; fracciones que determinan las hipótesis jurídicas relativas a la negativa de la información y a la clasificación de la información; contextos de los cuales se dolió </w:t>
      </w:r>
      <w:r>
        <w:rPr>
          <w:rFonts w:ascii="Palatino Linotype" w:eastAsia="Palatino Linotype" w:hAnsi="Palatino Linotype" w:cs="Palatino Linotype"/>
          <w:b/>
          <w:bCs/>
          <w:color w:val="000000"/>
        </w:rPr>
        <w:t xml:space="preserve">EL RECURRENTE </w:t>
      </w:r>
      <w:r>
        <w:rPr>
          <w:rFonts w:ascii="Palatino Linotype" w:eastAsia="Palatino Linotype" w:hAnsi="Palatino Linotype" w:cs="Palatino Linotype"/>
          <w:color w:val="000000"/>
        </w:rPr>
        <w:t>al momento de interponer su inconformidad.</w:t>
      </w:r>
    </w:p>
    <w:p w:rsidR="00B27A59" w:rsidRDefault="00B27A59">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modo tal que el presente recurso de revisión se </w:t>
      </w:r>
      <w:r>
        <w:rPr>
          <w:rFonts w:ascii="Palatino Linotype" w:eastAsia="Palatino Linotype" w:hAnsi="Palatino Linotype" w:cs="Palatino Linotype"/>
        </w:rPr>
        <w:t>abocara</w:t>
      </w:r>
      <w:r>
        <w:rPr>
          <w:rFonts w:ascii="Palatino Linotype" w:eastAsia="Palatino Linotype" w:hAnsi="Palatino Linotype" w:cs="Palatino Linotype"/>
          <w:color w:val="000000"/>
        </w:rPr>
        <w:t xml:space="preserve"> en determinar si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B27A59" w:rsidRDefault="00B27A59">
      <w:pPr>
        <w:pBdr>
          <w:top w:val="nil"/>
          <w:left w:val="nil"/>
          <w:bottom w:val="nil"/>
          <w:right w:val="nil"/>
          <w:between w:val="nil"/>
        </w:pBdr>
        <w:spacing w:line="360" w:lineRule="auto"/>
        <w:ind w:left="709" w:right="-1701"/>
        <w:jc w:val="both"/>
        <w:rPr>
          <w:rFonts w:ascii="Palatino Linotype" w:eastAsia="Palatino Linotype" w:hAnsi="Palatino Linotype" w:cs="Palatino Linotype"/>
          <w:color w:val="000000"/>
        </w:rPr>
      </w:pPr>
    </w:p>
    <w:p w:rsidR="00B27A59" w:rsidRDefault="0036112A">
      <w:pPr>
        <w:keepNext/>
        <w:keepLines/>
        <w:spacing w:line="360" w:lineRule="auto"/>
        <w:ind w:right="-170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CUARTO. Del estudio y resolución del estudio.</w:t>
      </w:r>
    </w:p>
    <w:p w:rsidR="00B27A59" w:rsidRDefault="0036112A">
      <w:pPr>
        <w:keepNext/>
        <w:keepLines/>
        <w:numPr>
          <w:ilvl w:val="0"/>
          <w:numId w:val="5"/>
        </w:numPr>
        <w:spacing w:after="240" w:line="360" w:lineRule="auto"/>
        <w:ind w:left="786" w:right="-1701"/>
        <w:jc w:val="both"/>
        <w:rPr>
          <w:rFonts w:ascii="Palatino Linotype" w:eastAsia="Palatino Linotype" w:hAnsi="Palatino Linotype" w:cs="Palatino Linotype"/>
          <w:b/>
          <w:bCs/>
          <w:color w:val="000000"/>
        </w:rPr>
      </w:pPr>
      <w:bookmarkStart w:id="11" w:name="_heading=h.17dp8vu" w:colFirst="0" w:colLast="0"/>
      <w:bookmarkEnd w:id="11"/>
      <w:r>
        <w:rPr>
          <w:rFonts w:ascii="Palatino Linotype" w:eastAsia="Palatino Linotype" w:hAnsi="Palatino Linotype" w:cs="Palatino Linotype"/>
          <w:b/>
          <w:bCs/>
          <w:color w:val="000000"/>
        </w:rPr>
        <w:t>De</w:t>
      </w:r>
      <w:bookmarkStart w:id="12" w:name="_GoBack"/>
      <w:bookmarkEnd w:id="12"/>
      <w:r>
        <w:rPr>
          <w:rFonts w:ascii="Palatino Linotype" w:eastAsia="Palatino Linotype" w:hAnsi="Palatino Linotype" w:cs="Palatino Linotype"/>
          <w:b/>
          <w:bCs/>
          <w:color w:val="000000"/>
        </w:rPr>
        <w:t>l derecho de acceso a la información.</w:t>
      </w: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B27A59" w:rsidRDefault="0036112A">
      <w:pPr>
        <w:numPr>
          <w:ilvl w:val="0"/>
          <w:numId w:val="4"/>
        </w:numPr>
        <w:spacing w:before="240"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B27A59" w:rsidRDefault="00B27A59">
      <w:pPr>
        <w:spacing w:line="360" w:lineRule="auto"/>
        <w:ind w:right="-1701"/>
        <w:jc w:val="both"/>
        <w:rPr>
          <w:rFonts w:ascii="Palatino Linotype" w:eastAsia="Palatino Linotype" w:hAnsi="Palatino Linotype" w:cs="Palatino Linotype"/>
        </w:rPr>
      </w:pPr>
    </w:p>
    <w:p w:rsidR="00B27A59" w:rsidRDefault="0036112A">
      <w:pPr>
        <w:numPr>
          <w:ilvl w:val="0"/>
          <w:numId w:val="4"/>
        </w:numP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En México, además de los derechos, están reconocidas las garantías para su protección, en ese sentido el párrafo tercero de artículo primero de la Constitución Política de los Estados Unidos Mexicanos dispone lo siguiente:</w:t>
      </w:r>
    </w:p>
    <w:p w:rsidR="00B27A59" w:rsidRDefault="0036112A">
      <w:pPr>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B27A59" w:rsidRDefault="0036112A">
      <w:pPr>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B27A59" w:rsidRDefault="0036112A">
      <w:pPr>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B27A59" w:rsidRDefault="0036112A">
      <w:pPr>
        <w:ind w:left="1134" w:right="-1701"/>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rsidR="00B27A59" w:rsidRDefault="00B27A59">
      <w:pPr>
        <w:ind w:right="-1701"/>
        <w:jc w:val="both"/>
        <w:rPr>
          <w:rFonts w:ascii="Palatino Linotype" w:eastAsia="Palatino Linotype" w:hAnsi="Palatino Linotype" w:cs="Palatino Linotype"/>
          <w:b/>
          <w:bCs/>
        </w:rPr>
      </w:pPr>
    </w:p>
    <w:p w:rsidR="00B27A59" w:rsidRDefault="0036112A">
      <w:pPr>
        <w:numPr>
          <w:ilvl w:val="0"/>
          <w:numId w:val="4"/>
        </w:numP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B27A59" w:rsidRDefault="00B27A59">
      <w:pPr>
        <w:spacing w:line="360" w:lineRule="auto"/>
        <w:ind w:right="-1701"/>
        <w:jc w:val="both"/>
        <w:rPr>
          <w:rFonts w:ascii="Palatino Linotype" w:eastAsia="Palatino Linotype" w:hAnsi="Palatino Linotype" w:cs="Palatino Linotype"/>
        </w:rPr>
      </w:pPr>
    </w:p>
    <w:p w:rsidR="00B27A59" w:rsidRDefault="0036112A">
      <w:pPr>
        <w:numPr>
          <w:ilvl w:val="0"/>
          <w:numId w:val="4"/>
        </w:numP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B27A59" w:rsidRDefault="0036112A">
      <w:pPr>
        <w:spacing w:after="240"/>
        <w:ind w:left="1134" w:right="-170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B27A59" w:rsidRDefault="0036112A">
      <w:pPr>
        <w:spacing w:before="240" w:after="240"/>
        <w:ind w:left="1134" w:right="-170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rsidR="00B27A59" w:rsidRDefault="0036112A">
      <w:pPr>
        <w:spacing w:before="240" w:after="24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B27A59" w:rsidRDefault="0036112A">
      <w:pPr>
        <w:spacing w:before="240" w:after="24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B27A59" w:rsidRDefault="0036112A">
      <w:pPr>
        <w:spacing w:before="240" w:after="240"/>
        <w:ind w:left="1134" w:right="-170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B27A59" w:rsidRDefault="0036112A">
      <w:pPr>
        <w:spacing w:before="240" w:after="24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 </w:t>
      </w:r>
      <w:r>
        <w:rPr>
          <w:rFonts w:ascii="Palatino Linotype" w:eastAsia="Palatino Linotype" w:hAnsi="Palatino Linotype" w:cs="Palatino Linotype"/>
          <w:b/>
          <w:bCs/>
          <w:i/>
          <w:iCs/>
        </w:rPr>
        <w:tab/>
        <w:t>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B27A59" w:rsidRDefault="00B27A59">
      <w:pPr>
        <w:pBdr>
          <w:top w:val="nil"/>
          <w:left w:val="nil"/>
          <w:bottom w:val="nil"/>
          <w:right w:val="nil"/>
          <w:between w:val="nil"/>
        </w:pBdr>
        <w:tabs>
          <w:tab w:val="left" w:pos="567"/>
        </w:tabs>
        <w:spacing w:before="240" w:after="240"/>
        <w:ind w:left="1134" w:right="-1701"/>
        <w:jc w:val="both"/>
        <w:rPr>
          <w:rFonts w:ascii="Palatino Linotype" w:eastAsia="Palatino Linotype" w:hAnsi="Palatino Linotype" w:cs="Palatino Linotype"/>
          <w:b/>
          <w:bCs/>
          <w:i/>
          <w:iCs/>
          <w:color w:val="000000"/>
        </w:rPr>
      </w:pPr>
    </w:p>
    <w:p w:rsidR="00B27A59" w:rsidRDefault="0036112A">
      <w:pPr>
        <w:spacing w:before="240" w:after="240"/>
        <w:ind w:left="1134" w:right="-170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B27A59" w:rsidRDefault="0036112A">
      <w:pPr>
        <w:spacing w:before="240" w:after="24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rsidR="00B27A59" w:rsidRDefault="0036112A">
      <w:pPr>
        <w:spacing w:before="240" w:after="24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B27A59" w:rsidRDefault="0036112A">
      <w:pPr>
        <w:spacing w:before="240" w:after="24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B27A59" w:rsidRDefault="0036112A">
      <w:pPr>
        <w:spacing w:before="240" w:after="24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B27A59" w:rsidRDefault="0036112A">
      <w:pPr>
        <w:spacing w:before="240" w:after="24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B27A59" w:rsidRDefault="0036112A">
      <w:pPr>
        <w:spacing w:before="240" w:after="24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w:t>
      </w:r>
      <w:r>
        <w:rPr>
          <w:rFonts w:ascii="Palatino Linotype" w:eastAsia="Palatino Linotype" w:hAnsi="Palatino Linotype" w:cs="Palatino Linotype"/>
          <w:i/>
          <w:iCs/>
        </w:rPr>
        <w:lastRenderedPageBreak/>
        <w:t xml:space="preserve">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B27A59" w:rsidRDefault="00B27A59">
      <w:pPr>
        <w:tabs>
          <w:tab w:val="left" w:pos="567"/>
        </w:tabs>
        <w:spacing w:before="240" w:after="240"/>
        <w:ind w:right="-1701"/>
        <w:jc w:val="both"/>
        <w:rPr>
          <w:rFonts w:ascii="Palatino Linotype" w:eastAsia="Palatino Linotype" w:hAnsi="Palatino Linotype" w:cs="Palatino Linotype"/>
          <w:b/>
          <w:bCs/>
          <w:i/>
          <w:iCs/>
        </w:rPr>
      </w:pPr>
    </w:p>
    <w:p w:rsidR="00B27A59" w:rsidRDefault="0036112A">
      <w:pPr>
        <w:numPr>
          <w:ilvl w:val="0"/>
          <w:numId w:val="4"/>
        </w:numPr>
        <w:spacing w:before="240"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B27A59" w:rsidRDefault="00B27A59">
      <w:pPr>
        <w:spacing w:line="360" w:lineRule="auto"/>
        <w:ind w:right="-1701"/>
        <w:jc w:val="both"/>
        <w:rPr>
          <w:rFonts w:ascii="Palatino Linotype" w:eastAsia="Palatino Linotype" w:hAnsi="Palatino Linotype" w:cs="Palatino Linotype"/>
        </w:rPr>
      </w:pPr>
    </w:p>
    <w:p w:rsidR="00B27A59" w:rsidRDefault="0036112A">
      <w:pPr>
        <w:numPr>
          <w:ilvl w:val="0"/>
          <w:numId w:val="4"/>
        </w:numP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B27A59" w:rsidRDefault="00B27A59">
      <w:pPr>
        <w:spacing w:line="360" w:lineRule="auto"/>
        <w:ind w:right="-1701"/>
        <w:jc w:val="both"/>
        <w:rPr>
          <w:rFonts w:ascii="Palatino Linotype" w:eastAsia="Palatino Linotype" w:hAnsi="Palatino Linotype" w:cs="Palatino Linotype"/>
        </w:rPr>
      </w:pPr>
    </w:p>
    <w:p w:rsidR="00B27A59" w:rsidRDefault="0036112A">
      <w:pPr>
        <w:numPr>
          <w:ilvl w:val="0"/>
          <w:numId w:val="4"/>
        </w:numPr>
        <w:spacing w:line="360" w:lineRule="auto"/>
        <w:ind w:left="0" w:right="-1701" w:firstLine="0"/>
        <w:jc w:val="both"/>
        <w:rPr>
          <w:rFonts w:ascii="Palatino Linotype" w:eastAsia="Palatino Linotype" w:hAnsi="Palatino Linotype" w:cs="Palatino Linotype"/>
        </w:rPr>
      </w:pPr>
      <w:bookmarkStart w:id="13" w:name="_heading=h.3rdcrjn" w:colFirst="0" w:colLast="0"/>
      <w:bookmarkEnd w:id="13"/>
      <w:r>
        <w:rPr>
          <w:rFonts w:ascii="Palatino Linotype" w:eastAsia="Palatino Linotype" w:hAnsi="Palatino Linotype" w:cs="Palatino Linotype"/>
        </w:rPr>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B27A59" w:rsidRDefault="00B27A59">
      <w:pPr>
        <w:spacing w:line="360" w:lineRule="auto"/>
        <w:ind w:right="-1701"/>
        <w:jc w:val="both"/>
        <w:rPr>
          <w:rFonts w:ascii="Palatino Linotype" w:eastAsia="Palatino Linotype" w:hAnsi="Palatino Linotype" w:cs="Palatino Linotype"/>
        </w:rPr>
      </w:pPr>
    </w:p>
    <w:p w:rsidR="00B27A59" w:rsidRDefault="0036112A">
      <w:pPr>
        <w:pStyle w:val="Ttulo1"/>
        <w:spacing w:before="0" w:after="240" w:line="360" w:lineRule="auto"/>
        <w:ind w:right="-1701"/>
        <w:jc w:val="both"/>
        <w:rPr>
          <w:rFonts w:ascii="Palatino Linotype" w:eastAsia="Palatino Linotype" w:hAnsi="Palatino Linotype" w:cs="Palatino Linotype"/>
          <w:b/>
          <w:bCs/>
          <w:color w:val="000000"/>
          <w:sz w:val="24"/>
          <w:szCs w:val="24"/>
        </w:rPr>
      </w:pPr>
      <w:bookmarkStart w:id="14" w:name="_heading=h.26in1rg" w:colFirst="0" w:colLast="0"/>
      <w:bookmarkEnd w:id="14"/>
      <w:r>
        <w:rPr>
          <w:rFonts w:ascii="Palatino Linotype" w:eastAsia="Palatino Linotype" w:hAnsi="Palatino Linotype" w:cs="Palatino Linotype"/>
          <w:b/>
          <w:bCs/>
          <w:color w:val="000000"/>
          <w:sz w:val="24"/>
          <w:szCs w:val="24"/>
        </w:rPr>
        <w:lastRenderedPageBreak/>
        <w:t>II.  De la información solicitada y la respuesta del SUJETO OBLIGADO</w:t>
      </w:r>
    </w:p>
    <w:p w:rsidR="00B27A59" w:rsidRDefault="0036112A">
      <w:pPr>
        <w:numPr>
          <w:ilvl w:val="0"/>
          <w:numId w:val="4"/>
        </w:numP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Acotada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del presente asunto se debe de analizar mediante el siguiente cuadro si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con la información remitida </w:t>
      </w:r>
      <w:r>
        <w:rPr>
          <w:rFonts w:ascii="Palatino Linotype" w:eastAsia="Palatino Linotype" w:hAnsi="Palatino Linotype" w:cs="Palatino Linotype"/>
        </w:rPr>
        <w:t>como</w:t>
      </w:r>
      <w:r>
        <w:rPr>
          <w:rFonts w:ascii="Palatino Linotype" w:eastAsia="Palatino Linotype" w:hAnsi="Palatino Linotype" w:cs="Palatino Linotype"/>
          <w:color w:val="000000"/>
        </w:rPr>
        <w:t xml:space="preserve"> el derecho de acceso a la información del </w:t>
      </w:r>
      <w:r>
        <w:rPr>
          <w:rFonts w:ascii="Palatino Linotype" w:eastAsia="Palatino Linotype" w:hAnsi="Palatino Linotype" w:cs="Palatino Linotype"/>
          <w:b/>
          <w:bCs/>
          <w:color w:val="000000"/>
        </w:rPr>
        <w:t xml:space="preserve">RECURRENTE. </w:t>
      </w:r>
    </w:p>
    <w:p w:rsidR="00B27A59" w:rsidRDefault="00B27A59">
      <w:pPr>
        <w:pBdr>
          <w:top w:val="nil"/>
          <w:left w:val="nil"/>
          <w:bottom w:val="nil"/>
          <w:right w:val="nil"/>
          <w:between w:val="nil"/>
        </w:pBdr>
        <w:spacing w:line="360" w:lineRule="auto"/>
        <w:ind w:right="-1701"/>
        <w:jc w:val="both"/>
        <w:rPr>
          <w:rFonts w:ascii="Palatino Linotype" w:eastAsia="Palatino Linotype" w:hAnsi="Palatino Linotype" w:cs="Palatino Linotype"/>
          <w:b/>
          <w:bCs/>
          <w:i/>
          <w:iCs/>
          <w:color w:val="000000"/>
        </w:rPr>
      </w:pPr>
    </w:p>
    <w:tbl>
      <w:tblPr>
        <w:tblStyle w:val="a"/>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0"/>
        <w:gridCol w:w="3150"/>
        <w:gridCol w:w="2522"/>
        <w:gridCol w:w="1843"/>
      </w:tblGrid>
      <w:tr w:rsidR="00B27A59" w:rsidTr="00701E6D">
        <w:tc>
          <w:tcPr>
            <w:tcW w:w="2550" w:type="dxa"/>
          </w:tcPr>
          <w:p w:rsidR="00B27A59" w:rsidRDefault="0036112A" w:rsidP="00701E6D">
            <w:pPr>
              <w:ind w:right="12"/>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Información solicitada</w:t>
            </w:r>
          </w:p>
        </w:tc>
        <w:tc>
          <w:tcPr>
            <w:tcW w:w="3150" w:type="dxa"/>
          </w:tcPr>
          <w:p w:rsidR="00B27A59" w:rsidRDefault="0036112A" w:rsidP="00701E6D">
            <w:pPr>
              <w:ind w:right="12"/>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Respuesta inicial</w:t>
            </w:r>
          </w:p>
        </w:tc>
        <w:tc>
          <w:tcPr>
            <w:tcW w:w="2522" w:type="dxa"/>
          </w:tcPr>
          <w:p w:rsidR="00B27A59" w:rsidRDefault="0036112A" w:rsidP="00701E6D">
            <w:pPr>
              <w:ind w:right="12"/>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Manifestaciones</w:t>
            </w:r>
          </w:p>
        </w:tc>
        <w:tc>
          <w:tcPr>
            <w:tcW w:w="1843" w:type="dxa"/>
          </w:tcPr>
          <w:p w:rsidR="00B27A59" w:rsidRDefault="0036112A" w:rsidP="00701E6D">
            <w:pPr>
              <w:ind w:right="12"/>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Colma</w:t>
            </w:r>
          </w:p>
        </w:tc>
      </w:tr>
      <w:tr w:rsidR="00B27A59" w:rsidTr="00701E6D">
        <w:tc>
          <w:tcPr>
            <w:tcW w:w="2550" w:type="dxa"/>
          </w:tcPr>
          <w:p w:rsidR="00B27A59" w:rsidRDefault="0036112A">
            <w:pPr>
              <w:tabs>
                <w:tab w:val="left" w:pos="1163"/>
              </w:tabs>
              <w:ind w:right="12"/>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Respuesta oficial al oficio OP35379, relativo a la petición para la realización del bazar navideño en el Fraccionamiento Valle Ceylán, en versión pública. </w:t>
            </w:r>
          </w:p>
          <w:p w:rsidR="00B27A59" w:rsidRDefault="00B27A59">
            <w:pPr>
              <w:tabs>
                <w:tab w:val="left" w:pos="1163"/>
              </w:tabs>
              <w:ind w:right="12"/>
              <w:jc w:val="both"/>
              <w:rPr>
                <w:rFonts w:ascii="Palatino Linotype" w:eastAsia="Palatino Linotype" w:hAnsi="Palatino Linotype" w:cs="Palatino Linotype"/>
                <w:b/>
                <w:bCs/>
                <w:i/>
                <w:iCs/>
              </w:rPr>
            </w:pPr>
          </w:p>
        </w:tc>
        <w:tc>
          <w:tcPr>
            <w:tcW w:w="3150" w:type="dxa"/>
          </w:tcPr>
          <w:p w:rsidR="00B27A59" w:rsidRDefault="0036112A">
            <w:pPr>
              <w:pBdr>
                <w:top w:val="nil"/>
                <w:left w:val="nil"/>
                <w:bottom w:val="nil"/>
                <w:right w:val="nil"/>
                <w:between w:val="nil"/>
              </w:pBdr>
              <w:ind w:right="12"/>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RESPUESTA SAIMEX 158\03_CT_12-ORD_2026.pdf: </w:t>
            </w:r>
            <w:r>
              <w:rPr>
                <w:rFonts w:ascii="Palatino Linotype" w:eastAsia="Palatino Linotype" w:hAnsi="Palatino Linotype" w:cs="Palatino Linotype"/>
                <w:i/>
                <w:iCs/>
              </w:rPr>
              <w:t xml:space="preserve">Acuerdo del Comité de Transparencia, mediante el cual se aprobó la clasificación de los datos de nombre de particular(es) o tercero(s); domicilio y teléfono de particulares, por la Dirección de Gobierno </w:t>
            </w:r>
          </w:p>
          <w:p w:rsidR="00B27A59" w:rsidRDefault="0036112A">
            <w:pPr>
              <w:pBdr>
                <w:top w:val="nil"/>
                <w:left w:val="nil"/>
                <w:bottom w:val="nil"/>
                <w:right w:val="nil"/>
                <w:between w:val="nil"/>
              </w:pBdr>
              <w:ind w:right="12"/>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RESPUESTA SAIMEX 158\14_CT_12-ORD_2026.pdf: </w:t>
            </w:r>
            <w:r>
              <w:rPr>
                <w:rFonts w:ascii="Palatino Linotype" w:eastAsia="Palatino Linotype" w:hAnsi="Palatino Linotype" w:cs="Palatino Linotype"/>
                <w:i/>
                <w:iCs/>
              </w:rPr>
              <w:t xml:space="preserve">Acuerdo del Comité de Transparencia, mediante el cual se aprobó la clasificación de los datos de nombre de particular(es) o tercero(s); domicilio y teléfono de particulares, por la Comisaria  General de Proximidad y Seguridad Ciudadana. </w:t>
            </w:r>
          </w:p>
          <w:p w:rsidR="00B27A59" w:rsidRDefault="0036112A">
            <w:pPr>
              <w:pBdr>
                <w:top w:val="nil"/>
                <w:left w:val="nil"/>
                <w:bottom w:val="nil"/>
                <w:right w:val="nil"/>
                <w:between w:val="nil"/>
              </w:pBdr>
              <w:ind w:right="12"/>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RESPUESTA SAIMEX 158\24_CT_12-ORD_2026.pdf: </w:t>
            </w:r>
            <w:r>
              <w:rPr>
                <w:rFonts w:ascii="Palatino Linotype" w:eastAsia="Palatino Linotype" w:hAnsi="Palatino Linotype" w:cs="Palatino Linotype"/>
                <w:i/>
                <w:iCs/>
              </w:rPr>
              <w:t xml:space="preserve">Acuerdo del </w:t>
            </w:r>
            <w:r>
              <w:rPr>
                <w:rFonts w:ascii="Palatino Linotype" w:eastAsia="Palatino Linotype" w:hAnsi="Palatino Linotype" w:cs="Palatino Linotype"/>
                <w:i/>
                <w:iCs/>
              </w:rPr>
              <w:lastRenderedPageBreak/>
              <w:t xml:space="preserve">Comité de Transparencia, mediante el cual se aprueba la clasificación nombre, puesto (cargo), unidad y turno del elemento que elaboró la Tarjeta Informativa Atención Ciudadana No. R5-S13-88 del personal operativo, por la  Comisaria  General de Proximidad y Seguridad Ciudadana, </w:t>
            </w:r>
            <w:r>
              <w:rPr>
                <w:rFonts w:ascii="Palatino Linotype" w:eastAsia="Palatino Linotype" w:hAnsi="Palatino Linotype" w:cs="Palatino Linotype"/>
                <w:b/>
                <w:bCs/>
                <w:i/>
                <w:iCs/>
              </w:rPr>
              <w:t>no se anexo la prueba de daño.</w:t>
            </w:r>
          </w:p>
          <w:p w:rsidR="00B27A59" w:rsidRDefault="0036112A">
            <w:pPr>
              <w:pBdr>
                <w:top w:val="nil"/>
                <w:left w:val="nil"/>
                <w:bottom w:val="nil"/>
                <w:right w:val="nil"/>
                <w:between w:val="nil"/>
              </w:pBdr>
              <w:ind w:right="12"/>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RESPUESTA SAIMEX 158\ANEXO COMISARIA.pdf: </w:t>
            </w:r>
            <w:r>
              <w:rPr>
                <w:rFonts w:ascii="Palatino Linotype" w:eastAsia="Palatino Linotype" w:hAnsi="Palatino Linotype" w:cs="Palatino Linotype"/>
                <w:i/>
                <w:iCs/>
              </w:rPr>
              <w:t xml:space="preserve">oficio de seguimiento por parte de la Comisaría  General de Proximidad y Seguridad Ciudadana, del cual se observa que se clasifica la firma de servidores públicos. </w:t>
            </w:r>
          </w:p>
          <w:p w:rsidR="00B27A59" w:rsidRDefault="0036112A">
            <w:pPr>
              <w:pBdr>
                <w:top w:val="nil"/>
                <w:left w:val="nil"/>
                <w:bottom w:val="nil"/>
                <w:right w:val="nil"/>
                <w:between w:val="nil"/>
              </w:pBdr>
              <w:ind w:right="12"/>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RESPUESTA SAIMEX 158\RESPUESTA COMISARIA 158.pdf: </w:t>
            </w:r>
            <w:r>
              <w:rPr>
                <w:rFonts w:ascii="Palatino Linotype" w:eastAsia="Palatino Linotype" w:hAnsi="Palatino Linotype" w:cs="Palatino Linotype"/>
                <w:i/>
                <w:iCs/>
              </w:rPr>
              <w:t xml:space="preserve">oficio del Subdirector Jurídico de la Comisaría General de Proximidad y Seguridad Ciudadana, mediante el cual informa que se entrega la información solicitada en versión pública. </w:t>
            </w:r>
          </w:p>
          <w:p w:rsidR="00B27A59" w:rsidRDefault="0036112A">
            <w:pPr>
              <w:pBdr>
                <w:top w:val="nil"/>
                <w:left w:val="nil"/>
                <w:bottom w:val="nil"/>
                <w:right w:val="nil"/>
                <w:between w:val="nil"/>
              </w:pBdr>
              <w:ind w:right="12"/>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RESPUESTA SAIMEX 158\RESPUESTA GOBIERNO 158.pdf: </w:t>
            </w:r>
            <w:r>
              <w:rPr>
                <w:rFonts w:ascii="Palatino Linotype" w:eastAsia="Palatino Linotype" w:hAnsi="Palatino Linotype" w:cs="Palatino Linotype"/>
                <w:i/>
                <w:iCs/>
              </w:rPr>
              <w:t xml:space="preserve">oficio de la Dirección de Gobierno, </w:t>
            </w:r>
            <w:r>
              <w:rPr>
                <w:rFonts w:ascii="Palatino Linotype" w:eastAsia="Palatino Linotype" w:hAnsi="Palatino Linotype" w:cs="Palatino Linotype"/>
                <w:i/>
                <w:iCs/>
              </w:rPr>
              <w:lastRenderedPageBreak/>
              <w:t xml:space="preserve">mediante el cual anexa el oficio se respuesta al oficio referido en la solicitud de información, entregado en versión pública. </w:t>
            </w:r>
          </w:p>
          <w:p w:rsidR="00B27A59" w:rsidRDefault="0036112A">
            <w:pPr>
              <w:pBdr>
                <w:top w:val="nil"/>
                <w:left w:val="nil"/>
                <w:bottom w:val="nil"/>
                <w:right w:val="nil"/>
                <w:between w:val="nil"/>
              </w:pBdr>
              <w:ind w:right="12"/>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RESPUESTA SAIMEX 158\RESPUESTA JURIDICO 158.pdf: </w:t>
            </w:r>
            <w:r>
              <w:rPr>
                <w:rFonts w:ascii="Palatino Linotype" w:eastAsia="Palatino Linotype" w:hAnsi="Palatino Linotype" w:cs="Palatino Linotype"/>
                <w:i/>
                <w:iCs/>
              </w:rPr>
              <w:t xml:space="preserve">oficio de la Titular de la Unidad de Verificación, mediante el cual informa que no es el área competente para conocer de la información por los cambios en estructura que ha tenido la administración. </w:t>
            </w:r>
          </w:p>
          <w:p w:rsidR="00B27A59" w:rsidRDefault="0036112A">
            <w:pPr>
              <w:pBdr>
                <w:top w:val="nil"/>
                <w:left w:val="nil"/>
                <w:bottom w:val="nil"/>
                <w:right w:val="nil"/>
                <w:between w:val="nil"/>
              </w:pBdr>
              <w:ind w:right="12"/>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RESPUESTA SAIMEX 158\RESPUESTA PE 158.pdf: </w:t>
            </w:r>
            <w:r>
              <w:rPr>
                <w:rFonts w:ascii="Palatino Linotype" w:eastAsia="Palatino Linotype" w:hAnsi="Palatino Linotype" w:cs="Palatino Linotype"/>
                <w:i/>
                <w:iCs/>
              </w:rPr>
              <w:t xml:space="preserve">oficio del Director de Promoción Económica, mediante el cual informa que turno el oficio a la Dirección de Gobierno por ser de su competencia. </w:t>
            </w:r>
          </w:p>
          <w:p w:rsidR="00B27A59" w:rsidRDefault="00B27A59">
            <w:pPr>
              <w:pBdr>
                <w:top w:val="nil"/>
                <w:left w:val="nil"/>
                <w:bottom w:val="nil"/>
                <w:right w:val="nil"/>
                <w:between w:val="nil"/>
              </w:pBdr>
              <w:ind w:right="12"/>
              <w:jc w:val="both"/>
              <w:rPr>
                <w:rFonts w:ascii="Palatino Linotype" w:eastAsia="Palatino Linotype" w:hAnsi="Palatino Linotype" w:cs="Palatino Linotype"/>
                <w:i/>
                <w:iCs/>
              </w:rPr>
            </w:pPr>
          </w:p>
        </w:tc>
        <w:tc>
          <w:tcPr>
            <w:tcW w:w="2522" w:type="dxa"/>
          </w:tcPr>
          <w:p w:rsidR="00B27A59" w:rsidRDefault="0036112A">
            <w:pPr>
              <w:ind w:right="12"/>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 xml:space="preserve">MANIFESTACIONES COMISARIA 158.zip: </w:t>
            </w:r>
            <w:r>
              <w:rPr>
                <w:rFonts w:ascii="Palatino Linotype" w:eastAsia="Palatino Linotype" w:hAnsi="Palatino Linotype" w:cs="Palatino Linotype"/>
                <w:i/>
                <w:iCs/>
              </w:rPr>
              <w:t xml:space="preserve">oficio del Subdirector Jurídico de la Comisaría General de Proximidad y Seguridad Ciudadana, mediante el cual ratifica la respuesta inicial. </w:t>
            </w:r>
          </w:p>
          <w:p w:rsidR="00B27A59" w:rsidRDefault="00B27A59">
            <w:pPr>
              <w:ind w:right="12"/>
              <w:jc w:val="both"/>
              <w:rPr>
                <w:rFonts w:ascii="Palatino Linotype" w:eastAsia="Palatino Linotype" w:hAnsi="Palatino Linotype" w:cs="Palatino Linotype"/>
                <w:b/>
                <w:bCs/>
                <w:i/>
                <w:iCs/>
              </w:rPr>
            </w:pPr>
          </w:p>
        </w:tc>
        <w:tc>
          <w:tcPr>
            <w:tcW w:w="1843" w:type="dxa"/>
          </w:tcPr>
          <w:p w:rsidR="00B27A59" w:rsidRDefault="0036112A">
            <w:pPr>
              <w:ind w:right="1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Colma parcialmente, toda vez que la Dirección de Gobierno, remite el oficio de respuesta al oficio referido en la solicitud de información. </w:t>
            </w:r>
          </w:p>
          <w:p w:rsidR="00B27A59" w:rsidRDefault="0036112A">
            <w:pPr>
              <w:ind w:right="1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En cuanto a la respuesta de la Comisaría  General de Proximidad y Seguridad Ciudadana, se debe de precisar que reservo información de personal operativo, sin embargo no se entrego la prueba de daño </w:t>
            </w:r>
            <w:r>
              <w:rPr>
                <w:rFonts w:ascii="Palatino Linotype" w:eastAsia="Palatino Linotype" w:hAnsi="Palatino Linotype" w:cs="Palatino Linotype"/>
                <w:i/>
                <w:iCs/>
              </w:rPr>
              <w:lastRenderedPageBreak/>
              <w:t xml:space="preserve">correspondientes, así mismo en el oficio se clasifico el turno, el número de unidad y la firma de servidores públicos, datos que se analizaran en los párrafos siguientes. </w:t>
            </w:r>
          </w:p>
        </w:tc>
      </w:tr>
    </w:tbl>
    <w:p w:rsidR="00B27A59" w:rsidRDefault="00B27A59">
      <w:pPr>
        <w:spacing w:line="360" w:lineRule="auto"/>
        <w:ind w:right="-1701"/>
        <w:jc w:val="both"/>
        <w:rPr>
          <w:rFonts w:ascii="Palatino Linotype" w:eastAsia="Palatino Linotype" w:hAnsi="Palatino Linotype" w:cs="Palatino Linotype"/>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tiene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colmo parcialmente el derecho de acceso a la información del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situación por la cual se precisa lo siguiente. </w:t>
      </w:r>
    </w:p>
    <w:p w:rsidR="00B27A59" w:rsidRDefault="00B27A59">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esa línea, se debe dar respuesta al oficio adjuntando por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las áreas que dieron atención a la petición, </w:t>
      </w:r>
      <w:r w:rsidR="0056325F">
        <w:rPr>
          <w:rFonts w:ascii="Palatino Linotype" w:eastAsia="Palatino Linotype" w:hAnsi="Palatino Linotype" w:cs="Palatino Linotype"/>
        </w:rPr>
        <w:t>situación por</w:t>
      </w:r>
      <w:r>
        <w:rPr>
          <w:rFonts w:ascii="Palatino Linotype" w:eastAsia="Palatino Linotype" w:hAnsi="Palatino Linotype" w:cs="Palatino Linotype"/>
        </w:rPr>
        <w:t xml:space="preserve"> la cual se analiza la versión pública entregada de los oficios remitidos en respuesta. </w:t>
      </w: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En cuanto a la Dirección de Gobierno, se tiene que se clasificaron datos de nombre de particulares, domicilio y teléfono de particulares, de acuerdo con el acuerdo aprobado en el Acta del Comité de Transparencia. </w:t>
      </w:r>
    </w:p>
    <w:p w:rsidR="00B27A59" w:rsidRDefault="0036112A">
      <w:pPr>
        <w:pBdr>
          <w:top w:val="nil"/>
          <w:left w:val="nil"/>
          <w:bottom w:val="nil"/>
          <w:right w:val="nil"/>
          <w:between w:val="nil"/>
        </w:pBdr>
        <w:spacing w:line="360" w:lineRule="auto"/>
        <w:ind w:right="-1701"/>
        <w:jc w:val="center"/>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extent cx="2704773" cy="347060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704773" cy="3470604"/>
                    </a:xfrm>
                    <a:prstGeom prst="rect">
                      <a:avLst/>
                    </a:prstGeom>
                    <a:ln/>
                  </pic:spPr>
                </pic:pic>
              </a:graphicData>
            </a:graphic>
          </wp:inline>
        </w:drawing>
      </w:r>
    </w:p>
    <w:p w:rsidR="00701E6D" w:rsidRDefault="00701E6D">
      <w:pPr>
        <w:pBdr>
          <w:top w:val="nil"/>
          <w:left w:val="nil"/>
          <w:bottom w:val="nil"/>
          <w:right w:val="nil"/>
          <w:between w:val="nil"/>
        </w:pBdr>
        <w:spacing w:line="360" w:lineRule="auto"/>
        <w:ind w:right="-1701"/>
        <w:jc w:val="center"/>
        <w:rPr>
          <w:rFonts w:ascii="Palatino Linotype" w:eastAsia="Palatino Linotype" w:hAnsi="Palatino Linotype" w:cs="Palatino Linotype"/>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esa línea, se analizan los datos que fueron clasificados por el Comité de Transparencia, en relación con el oficio de respuesta al oficio referido en la solicitud de información. </w:t>
      </w:r>
    </w:p>
    <w:p w:rsidR="00B27A59" w:rsidRDefault="00B27A59">
      <w:pPr>
        <w:pBdr>
          <w:top w:val="nil"/>
          <w:left w:val="nil"/>
          <w:bottom w:val="nil"/>
          <w:right w:val="nil"/>
          <w:between w:val="nil"/>
        </w:pBdr>
        <w:spacing w:line="360" w:lineRule="auto"/>
        <w:ind w:right="-1701"/>
        <w:jc w:val="both"/>
        <w:rPr>
          <w:rFonts w:ascii="Palatino Linotype" w:eastAsia="Palatino Linotype" w:hAnsi="Palatino Linotype" w:cs="Palatino Linotype"/>
        </w:rPr>
      </w:pPr>
    </w:p>
    <w:p w:rsidR="00B27A59" w:rsidRDefault="0036112A">
      <w:pPr>
        <w:spacing w:line="360" w:lineRule="auto"/>
        <w:ind w:right="-1701"/>
        <w:jc w:val="both"/>
        <w:rPr>
          <w:rFonts w:ascii="Palatino Linotype" w:eastAsia="Palatino Linotype" w:hAnsi="Palatino Linotype" w:cs="Palatino Linotype"/>
        </w:rPr>
      </w:pPr>
      <w:r>
        <w:rPr>
          <w:rFonts w:ascii="Palatino Linotype" w:eastAsia="Palatino Linotype" w:hAnsi="Palatino Linotype" w:cs="Palatino Linotype"/>
          <w:b/>
          <w:bCs/>
        </w:rPr>
        <w:t>Nombre de particulares</w:t>
      </w:r>
      <w:r>
        <w:rPr>
          <w:rFonts w:ascii="Palatino Linotype" w:eastAsia="Palatino Linotype" w:hAnsi="Palatino Linotype" w:cs="Palatino Linotype"/>
        </w:rPr>
        <w:t xml:space="preserve"> </w:t>
      </w: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nombre se integra con el sustantivo propio y el primer apellido de los padres, en el orden que, de común acuerdo determinen; asimismo es la manifestación principal del derecho subjetivo a la personalidad y atributo de esta en términos del artículo 2.3 del Código Civil del </w:t>
      </w:r>
      <w:r>
        <w:rPr>
          <w:rFonts w:ascii="Palatino Linotype" w:eastAsia="Palatino Linotype" w:hAnsi="Palatino Linotype" w:cs="Palatino Linotype"/>
        </w:rPr>
        <w:lastRenderedPageBreak/>
        <w:t xml:space="preserve">Estado de México, de tal suerte, el nombre per se es un elemento que hace a una persona física identificada o identificable, por lo que, se considera un dato personal. Por lo que el nombre de personas físicas que no tienen nada que ver con el servicio público y que no realizan actos de autoridad o reciben recursos públicos, es un dato confidencial, en términos del artículo 143, fracción I de la Ley de Transparencia y Acceso a la Información. </w:t>
      </w:r>
    </w:p>
    <w:p w:rsidR="00B27A59" w:rsidRDefault="00B27A59">
      <w:pPr>
        <w:spacing w:line="360" w:lineRule="auto"/>
        <w:ind w:right="-1701"/>
        <w:jc w:val="both"/>
        <w:rPr>
          <w:rFonts w:ascii="Palatino Linotype" w:eastAsia="Palatino Linotype" w:hAnsi="Palatino Linotype" w:cs="Palatino Linotype"/>
          <w:i/>
          <w:iCs/>
          <w:color w:val="000000"/>
        </w:rPr>
      </w:pPr>
    </w:p>
    <w:p w:rsidR="00B27A59" w:rsidRDefault="0036112A">
      <w:pPr>
        <w:spacing w:line="360" w:lineRule="auto"/>
        <w:ind w:right="-1701"/>
        <w:jc w:val="both"/>
        <w:rPr>
          <w:rFonts w:ascii="Palatino Linotype" w:eastAsia="Palatino Linotype" w:hAnsi="Palatino Linotype" w:cs="Palatino Linotype"/>
          <w:b/>
          <w:bCs/>
        </w:rPr>
      </w:pPr>
      <w:r>
        <w:rPr>
          <w:rFonts w:ascii="Palatino Linotype" w:eastAsia="Palatino Linotype" w:hAnsi="Palatino Linotype" w:cs="Palatino Linotype"/>
          <w:b/>
          <w:bCs/>
        </w:rPr>
        <w:t>Números telefónicos de particulares</w:t>
      </w: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b/>
          <w:bCs/>
        </w:rPr>
      </w:pPr>
      <w:r>
        <w:rPr>
          <w:rFonts w:ascii="Palatino Linotype" w:eastAsia="Palatino Linotype" w:hAnsi="Palatino Linotype" w:cs="Palatino Linotype"/>
        </w:rPr>
        <w:t>El número asignado a un teléfono particular o celular permite localizar a una persona física identificada o identificable, ya sea a través de un dispositivo móvil o bien, en un lugar como el domicilio; por lo que, la titularidad del mismo corresponde a la persona física en su calidad de particular. En tales consideraciones, dicho dato personal es susceptible de ser clasificado como confidencial, con fundamento en el artículo 143, fracción I de la Ley de Transparencia y Acceso a la Información Pública.</w:t>
      </w:r>
    </w:p>
    <w:p w:rsidR="00B27A59" w:rsidRDefault="00B27A59">
      <w:pPr>
        <w:pBdr>
          <w:top w:val="nil"/>
          <w:left w:val="nil"/>
          <w:bottom w:val="nil"/>
          <w:right w:val="nil"/>
          <w:between w:val="nil"/>
        </w:pBdr>
        <w:spacing w:line="360" w:lineRule="auto"/>
        <w:ind w:right="-1701"/>
        <w:jc w:val="both"/>
        <w:rPr>
          <w:rFonts w:ascii="Palatino Linotype" w:eastAsia="Palatino Linotype" w:hAnsi="Palatino Linotype" w:cs="Palatino Linotype"/>
        </w:rPr>
      </w:pPr>
    </w:p>
    <w:p w:rsidR="00B27A59" w:rsidRDefault="0036112A">
      <w:pPr>
        <w:spacing w:line="360" w:lineRule="auto"/>
        <w:ind w:right="-170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Domicilio de Particulares</w:t>
      </w: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de acuerdo a lo señalado en los artículos 2.3 y 2.5, fracción V del Código Civil del Estado de México, el domicilio es un atributo de la personalidad y un derecho de las personas. Este tiene como propósito que una </w:t>
      </w:r>
      <w:r>
        <w:rPr>
          <w:rFonts w:ascii="Palatino Linotype" w:eastAsia="Palatino Linotype" w:hAnsi="Palatino Linotype" w:cs="Palatino Linotype"/>
        </w:rPr>
        <w:t>persona</w:t>
      </w:r>
      <w:r>
        <w:rPr>
          <w:rFonts w:ascii="Palatino Linotype" w:eastAsia="Palatino Linotype" w:hAnsi="Palatino Linotype" w:cs="Palatino Linotype"/>
          <w:color w:val="000000"/>
        </w:rPr>
        <w:t xml:space="preserve"> pueda establecerse temporal o 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Pr>
          <w:rFonts w:ascii="Palatino Linotype" w:eastAsia="Palatino Linotype" w:hAnsi="Palatino Linotype" w:cs="Palatino Linotype"/>
          <w:b/>
          <w:bCs/>
          <w:color w:val="000000"/>
        </w:rPr>
        <w:t xml:space="preserve">el </w:t>
      </w:r>
      <w:r>
        <w:rPr>
          <w:rFonts w:ascii="Palatino Linotype" w:eastAsia="Palatino Linotype" w:hAnsi="Palatino Linotype" w:cs="Palatino Linotype"/>
          <w:b/>
          <w:bCs/>
          <w:color w:val="000000"/>
        </w:rPr>
        <w:lastRenderedPageBreak/>
        <w:t>domicilio particular</w:t>
      </w:r>
      <w:r>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rsidR="00B27A59" w:rsidRDefault="00B27A59">
      <w:pPr>
        <w:pBdr>
          <w:top w:val="nil"/>
          <w:left w:val="nil"/>
          <w:bottom w:val="nil"/>
          <w:right w:val="nil"/>
          <w:between w:val="nil"/>
        </w:pBdr>
        <w:ind w:left="720" w:right="-1701"/>
        <w:rPr>
          <w:rFonts w:ascii="Palatino Linotype" w:eastAsia="Palatino Linotype" w:hAnsi="Palatino Linotype" w:cs="Palatino Linotype"/>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los párrafos anteriores, se determina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por medio de la Dirección de Gobierno, clasificó los datos de nombre de particulares</w:t>
      </w:r>
      <w:r w:rsidR="0056325F">
        <w:rPr>
          <w:rFonts w:ascii="Palatino Linotype" w:eastAsia="Palatino Linotype" w:hAnsi="Palatino Linotype" w:cs="Palatino Linotype"/>
        </w:rPr>
        <w:t>, domicilio</w:t>
      </w:r>
      <w:r>
        <w:rPr>
          <w:rFonts w:ascii="Palatino Linotype" w:eastAsia="Palatino Linotype" w:hAnsi="Palatino Linotype" w:cs="Palatino Linotype"/>
        </w:rPr>
        <w:t xml:space="preserve"> y número telefónico de particulares, de conformidad con el artículo 143 fracción I de la Ley de Transparencia y Acceso a la Información Pública del Estado de México y Municipios.</w:t>
      </w:r>
    </w:p>
    <w:p w:rsidR="00B27A59" w:rsidRDefault="00B27A59">
      <w:pPr>
        <w:pBdr>
          <w:top w:val="nil"/>
          <w:left w:val="nil"/>
          <w:bottom w:val="nil"/>
          <w:right w:val="nil"/>
          <w:between w:val="nil"/>
        </w:pBdr>
        <w:ind w:left="720" w:right="-1701"/>
        <w:rPr>
          <w:rFonts w:ascii="Palatino Linotype" w:eastAsia="Palatino Linotype" w:hAnsi="Palatino Linotype" w:cs="Palatino Linotype"/>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consecuencia, se debe de precisar que si bien los sujetos obligados deben de entregar la información que se genere, administre o posea en sus archivos, también lo es que deben de resguardar los datos que por su naturaleza deban de clasificados como confidenciales o reservados de acuerdo con la Ley de Transparencia y Acceso a la Información Pública del Estado de México y Municipios, situación por lo cual se tiene que la Dirección de Gobierno, realizó una correcta versión pública del oficio remitido en respuesta. </w:t>
      </w:r>
    </w:p>
    <w:p w:rsidR="00B27A59" w:rsidRDefault="00B27A59">
      <w:pPr>
        <w:pBdr>
          <w:top w:val="nil"/>
          <w:left w:val="nil"/>
          <w:bottom w:val="nil"/>
          <w:right w:val="nil"/>
          <w:between w:val="nil"/>
        </w:pBdr>
        <w:ind w:left="720" w:right="-1701"/>
        <w:rPr>
          <w:rFonts w:ascii="Palatino Linotype" w:eastAsia="Palatino Linotype" w:hAnsi="Palatino Linotype" w:cs="Palatino Linotype"/>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Ahora bien, en cuanto al oficio de respuesta de la Comisaría  General de Proximidad y Seguridad Ciudadana, se tiene que en respuesta se informó que se clasifica como confidencial el  nombre de particulares, domicilio y teléfono de particulares, datos que como fueron analizados en párrafos anteriores si deben de clasificarse al ser datos que hacen identificables a las personas.</w:t>
      </w:r>
    </w:p>
    <w:p w:rsidR="00B27A59" w:rsidRDefault="00B27A59">
      <w:pPr>
        <w:pBdr>
          <w:top w:val="nil"/>
          <w:left w:val="nil"/>
          <w:bottom w:val="nil"/>
          <w:right w:val="nil"/>
          <w:between w:val="nil"/>
        </w:pBdr>
        <w:spacing w:line="360" w:lineRule="auto"/>
        <w:ind w:right="-1701"/>
        <w:jc w:val="both"/>
        <w:rPr>
          <w:rFonts w:ascii="Palatino Linotype" w:eastAsia="Palatino Linotype" w:hAnsi="Palatino Linotype" w:cs="Palatino Linotype"/>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Seguidamente, la Comisaría  General de Proximidad y Seguridad Ciudadana, informó que clasificaba el  nombre, puesto (cargo), unidad y turno del elemento operativo  que elaboró </w:t>
      </w:r>
      <w:r>
        <w:rPr>
          <w:rFonts w:ascii="Palatino Linotype" w:eastAsia="Palatino Linotype" w:hAnsi="Palatino Linotype" w:cs="Palatino Linotype"/>
        </w:rPr>
        <w:lastRenderedPageBreak/>
        <w:t xml:space="preserve">la Tarjeta Informativa Atención Ciudadana No. R5-S13-88, relacionada con el oficio referido en la solicitud de información. </w:t>
      </w:r>
    </w:p>
    <w:p w:rsidR="00B27A59" w:rsidRDefault="00B27A59">
      <w:pPr>
        <w:pBdr>
          <w:top w:val="nil"/>
          <w:left w:val="nil"/>
          <w:bottom w:val="nil"/>
          <w:right w:val="nil"/>
          <w:between w:val="nil"/>
        </w:pBdr>
        <w:ind w:left="720" w:right="-1701"/>
        <w:rPr>
          <w:rFonts w:ascii="Palatino Linotype" w:eastAsia="Palatino Linotype" w:hAnsi="Palatino Linotype" w:cs="Palatino Linotype"/>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De lo anterior, se debe de precisar que la Comisaría  General de Proximidad y Seguridad Ciudadana, clasificó el nombre de personal operativo, situación por la cual se analiza lo siguiente.</w:t>
      </w:r>
    </w:p>
    <w:p w:rsidR="00B27A59" w:rsidRDefault="00B27A59">
      <w:pPr>
        <w:ind w:right="-1701"/>
        <w:rPr>
          <w:rFonts w:ascii="Palatino Linotype" w:eastAsia="Palatino Linotype" w:hAnsi="Palatino Linotype" w:cs="Palatino Linotype"/>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ese orden de ideas si bien por regla general los nombres de los trabajadores gubernamentales son información pública de oficio, existe una excepción relativa a aquellos que </w:t>
      </w:r>
      <w:r>
        <w:rPr>
          <w:rFonts w:ascii="Palatino Linotype" w:eastAsia="Palatino Linotype" w:hAnsi="Palatino Linotype" w:cs="Palatino Linotype"/>
        </w:rPr>
        <w:t>realicen</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actividades operativas en materia de seguridad</w:t>
      </w:r>
      <w:r>
        <w:rPr>
          <w:rFonts w:ascii="Palatino Linotype" w:eastAsia="Palatino Linotype" w:hAnsi="Palatino Linotype" w:cs="Palatino Linotype"/>
          <w:color w:val="000000"/>
        </w:rPr>
        <w:t>, como es el caso de los elementos operativos y la policía municipal.</w:t>
      </w:r>
    </w:p>
    <w:p w:rsidR="00B27A59" w:rsidRDefault="00B27A59">
      <w:pPr>
        <w:pBdr>
          <w:top w:val="nil"/>
          <w:left w:val="nil"/>
          <w:bottom w:val="nil"/>
          <w:right w:val="nil"/>
          <w:between w:val="nil"/>
        </w:pBdr>
        <w:ind w:left="720" w:right="-1701"/>
        <w:rPr>
          <w:rFonts w:ascii="Palatino Linotype" w:eastAsia="Palatino Linotype" w:hAnsi="Palatino Linotype" w:cs="Palatino Linotype"/>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lo que dar a conocer el nombre de las personas, que son elementos operativos o policías </w:t>
      </w:r>
      <w:r>
        <w:rPr>
          <w:rFonts w:ascii="Palatino Linotype" w:eastAsia="Palatino Linotype" w:hAnsi="Palatino Linotype" w:cs="Palatino Linotype"/>
        </w:rPr>
        <w:t>municipales</w:t>
      </w:r>
      <w:r>
        <w:rPr>
          <w:rFonts w:ascii="Palatino Linotype" w:eastAsia="Palatino Linotype" w:hAnsi="Palatino Linotype" w:cs="Palatino Linotype"/>
          <w:color w:val="000000"/>
        </w:rPr>
        <w:t>, los vuelve identificables y posiblemente reconocibles para grupos delictivos, puesto que pueden relacionarlos directamente con actividades u operativos pasados, presentes, o ubicarlos simplemente por el hecho de pertenecer o haber sido parte de una organización que lleve a cabo actividades de prevención y salvaguarda de la integridad de las personas en el combate a la delincuencia; además, dicha información puede ser utilizada para vulnerar su vida, seguridad o salud, incluso la de sus familias o entorno social, al aumentar el riesgo de que personas ajenas a los intereses institucionales que persigue dicha área, intenten realizar actos tendientes a inhibir o entrometerse en las funciones de los policías municipales, lo cual causaría una vulneración a la seguridad municipal.</w:t>
      </w:r>
    </w:p>
    <w:p w:rsidR="00B27A59" w:rsidRDefault="00B27A59">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De tal situación, se considera que dar a conocer el nombre de los elementos operativos, que incluye a los policías municipales, puede poner en riesgo la vida, seguridad y salud de </w:t>
      </w:r>
      <w:r>
        <w:rPr>
          <w:rFonts w:ascii="Palatino Linotype" w:eastAsia="Palatino Linotype" w:hAnsi="Palatino Linotype" w:cs="Palatino Linotype"/>
        </w:rPr>
        <w:t>estos</w:t>
      </w:r>
      <w:r>
        <w:rPr>
          <w:rFonts w:ascii="Palatino Linotype" w:eastAsia="Palatino Linotype" w:hAnsi="Palatino Linotype" w:cs="Palatino Linotype"/>
          <w:color w:val="000000"/>
        </w:rPr>
        <w:t>, de sus familias e incluso su entorno social, pues al hacerlos identificables, los hacen blancos de los agentes delincuenciales o inclusive a la delincuencia organizada, los cuales podrían amenazar o causarles algún daño, con el fin de entorpecer o disminuir la seguridad pública y aumentar la comisión de actos ilícitos.</w:t>
      </w:r>
    </w:p>
    <w:p w:rsidR="00B27A59" w:rsidRDefault="00B27A59">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Por</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tales</w:t>
      </w:r>
      <w:r>
        <w:rPr>
          <w:rFonts w:ascii="Palatino Linotype" w:eastAsia="Palatino Linotype" w:hAnsi="Palatino Linotype" w:cs="Palatino Linotype"/>
        </w:rPr>
        <w:t xml:space="preserve"> consideraciones, resulta procedente la reserva del </w:t>
      </w:r>
      <w:r>
        <w:rPr>
          <w:rFonts w:ascii="Palatino Linotype" w:eastAsia="Palatino Linotype" w:hAnsi="Palatino Linotype" w:cs="Palatino Linotype"/>
          <w:b/>
          <w:bCs/>
        </w:rPr>
        <w:t>nombre de los elementos operativos</w:t>
      </w:r>
      <w:r>
        <w:rPr>
          <w:rFonts w:ascii="Palatino Linotype" w:eastAsia="Palatino Linotype" w:hAnsi="Palatino Linotype" w:cs="Palatino Linotype"/>
        </w:rPr>
        <w:t xml:space="preserve"> de la Dirección de Seguridad, en términos del artículo 140, fracción IV, de la Ley de Transparencia y Acceso a la Información Pública del Estado de México y Municipios.</w:t>
      </w:r>
    </w:p>
    <w:p w:rsidR="00B27A59" w:rsidRDefault="00B27A59">
      <w:pPr>
        <w:pBdr>
          <w:top w:val="nil"/>
          <w:left w:val="nil"/>
          <w:bottom w:val="nil"/>
          <w:right w:val="nil"/>
          <w:between w:val="nil"/>
        </w:pBdr>
        <w:ind w:left="720" w:right="-1701"/>
        <w:rPr>
          <w:rFonts w:ascii="Palatino Linotype" w:eastAsia="Palatino Linotype" w:hAnsi="Palatino Linotype" w:cs="Palatino Linotype"/>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se precisa que el nombre del personal operativo adscritos a la Dirección de Seguridad, si debe de ser clasificado como reservado, toda vez que al hacerlo identificable puede ser localizable por los grupos de corrupción, sin embargo, se debe de precisar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no entregó la prueba de daño que fundamentara y sustentan la clasificación de la información soma reservada, toda vez que no se observa el análisis de las circunstancias de modo, tiempo y lugar, así como tampoco del riesgo real, demostrable e identificable, situación por la cual no se puede tener por validada la reserva de la información. </w:t>
      </w:r>
    </w:p>
    <w:p w:rsidR="00B27A59" w:rsidRDefault="00B27A59">
      <w:pPr>
        <w:pBdr>
          <w:top w:val="nil"/>
          <w:left w:val="nil"/>
          <w:bottom w:val="nil"/>
          <w:right w:val="nil"/>
          <w:between w:val="nil"/>
        </w:pBdr>
        <w:ind w:left="720" w:right="-1701"/>
        <w:rPr>
          <w:rFonts w:ascii="Palatino Linotype" w:eastAsia="Palatino Linotype" w:hAnsi="Palatino Linotype" w:cs="Palatino Linotype"/>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Seguidamente, se debe de precisar que en cuanto al número de unidad y turno,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tampoco refirió  el análisis de la prueba de daño,  datos que deben de ser clasificados como reservados, toda vez que de los mismos se puede acceder al nombre del policía (personal operativo) que realizó la verificación del bazar navideño, situación por la cual </w:t>
      </w:r>
      <w:r>
        <w:rPr>
          <w:rFonts w:ascii="Palatino Linotype" w:eastAsia="Palatino Linotype" w:hAnsi="Palatino Linotype" w:cs="Palatino Linotype"/>
        </w:rPr>
        <w:lastRenderedPageBreak/>
        <w:t xml:space="preserve">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deberá de emitir la prueba de daño que se aprobada por el Comité de Transparencia y que confirme la clasificación de la información como reservada. </w:t>
      </w:r>
    </w:p>
    <w:p w:rsidR="00B27A59" w:rsidRDefault="00B27A59">
      <w:pPr>
        <w:ind w:right="-1701"/>
        <w:rPr>
          <w:rFonts w:ascii="Palatino Linotype" w:eastAsia="Palatino Linotype" w:hAnsi="Palatino Linotype" w:cs="Palatino Linotype"/>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se debe precisar que del oficio entregado por la Comisaria  General de Proximidad y Seguridad Ciudadana, se observa que se clasificó la firma de un servidor público, dato del que no se observa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hubiera señalado el motivo de su clasificación, sin embargo, de acuerdo con el siguiente análisis es un dato que no debe de ser clasificado. </w:t>
      </w:r>
    </w:p>
    <w:p w:rsidR="00B27A59" w:rsidRDefault="00B27A59">
      <w:pPr>
        <w:pBdr>
          <w:top w:val="nil"/>
          <w:left w:val="nil"/>
          <w:bottom w:val="nil"/>
          <w:right w:val="nil"/>
          <w:between w:val="nil"/>
        </w:pBdr>
        <w:ind w:left="720" w:right="-1701"/>
        <w:rPr>
          <w:rFonts w:ascii="Palatino Linotype" w:eastAsia="Palatino Linotype" w:hAnsi="Palatino Linotype" w:cs="Palatino Linotype"/>
          <w:color w:val="000000"/>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acuerdo con el siguiente criterio del INAI, utilizado de manera orientadora se analiza que la firma de los servidores públicos debe de ser pública. </w:t>
      </w:r>
    </w:p>
    <w:p w:rsidR="00B27A59" w:rsidRDefault="0036112A">
      <w:pPr>
        <w:tabs>
          <w:tab w:val="left" w:pos="284"/>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b/>
          <w:bCs/>
          <w:i/>
          <w:iCs/>
        </w:rPr>
        <w:t>02/19</w:t>
      </w:r>
      <w:r>
        <w:rPr>
          <w:rFonts w:ascii="Palatino Linotype" w:eastAsia="Palatino Linotype" w:hAnsi="Palatino Linotype" w:cs="Palatino Linotype"/>
          <w:i/>
          <w:iCs/>
        </w:rPr>
        <w:t xml:space="preserve"> </w:t>
      </w:r>
    </w:p>
    <w:p w:rsidR="00B27A59" w:rsidRDefault="0036112A">
      <w:pPr>
        <w:tabs>
          <w:tab w:val="left" w:pos="284"/>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b/>
          <w:bCs/>
          <w:i/>
          <w:iCs/>
        </w:rPr>
        <w:t>Firma y rúbrica de servidores públicos.</w:t>
      </w:r>
      <w:r>
        <w:rPr>
          <w:rFonts w:ascii="Palatino Linotype" w:eastAsia="Palatino Linotype" w:hAnsi="Palatino Linotype" w:cs="Palatino Linotype"/>
          <w:i/>
          <w:iCs/>
        </w:rPr>
        <w:t xml:space="preserve"> </w:t>
      </w:r>
    </w:p>
    <w:p w:rsidR="00B27A59" w:rsidRDefault="0036112A">
      <w:pPr>
        <w:tabs>
          <w:tab w:val="left" w:pos="284"/>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Si bien la firma y la rúbrica son datos confidenciales, cuando un servidor público emite un acto como autoridad, en ejercicio de las funciones que tiene conferidas, la firma o rúbrica mediante la cual se valida dicho acto es pública. </w:t>
      </w:r>
      <w:hyperlink r:id="rId9">
        <w:r>
          <w:rPr>
            <w:rFonts w:ascii="Palatino Linotype" w:eastAsia="Palatino Linotype" w:hAnsi="Palatino Linotype" w:cs="Palatino Linotype"/>
            <w:i/>
            <w:iCs/>
            <w:color w:val="0563C1"/>
            <w:u w:val="single"/>
          </w:rPr>
          <w:t>http://criteriosdeinterpretacion.inai.org.mx/Criterios/02-19.docx</w:t>
        </w:r>
      </w:hyperlink>
      <w:r>
        <w:rPr>
          <w:rFonts w:ascii="Palatino Linotype" w:eastAsia="Palatino Linotype" w:hAnsi="Palatino Linotype" w:cs="Palatino Linotype"/>
          <w:i/>
          <w:iCs/>
        </w:rPr>
        <w:t xml:space="preserve"> </w:t>
      </w:r>
    </w:p>
    <w:p w:rsidR="00B27A59" w:rsidRDefault="00B27A59">
      <w:pPr>
        <w:tabs>
          <w:tab w:val="left" w:pos="284"/>
        </w:tabs>
        <w:ind w:left="1134" w:right="-1701"/>
        <w:jc w:val="both"/>
        <w:rPr>
          <w:rFonts w:ascii="Palatino Linotype" w:eastAsia="Palatino Linotype" w:hAnsi="Palatino Linotype" w:cs="Palatino Linotype"/>
          <w:i/>
          <w:iCs/>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Así las cosas, ahora el Pleno del Instituto de Transparencia, Acceso a la Información Pública y Protección de Datos Personales del Estado de México y Municipios, en relación a la firma de servidores públicos, se contempla lo siguiente:</w:t>
      </w:r>
    </w:p>
    <w:p w:rsidR="00B27A59" w:rsidRDefault="0036112A">
      <w:pPr>
        <w:numPr>
          <w:ilvl w:val="0"/>
          <w:numId w:val="3"/>
        </w:numPr>
        <w:tabs>
          <w:tab w:val="center" w:pos="4252"/>
          <w:tab w:val="left" w:pos="7770"/>
          <w:tab w:val="right" w:pos="8504"/>
          <w:tab w:val="right" w:pos="8838"/>
        </w:tabs>
        <w:ind w:left="1134" w:right="-1701"/>
        <w:jc w:val="both"/>
        <w:rPr>
          <w:rFonts w:ascii="Palatino Linotype" w:eastAsia="Palatino Linotype" w:hAnsi="Palatino Linotype" w:cs="Palatino Linotype"/>
          <w:i/>
          <w:iCs/>
          <w:highlight w:val="white"/>
        </w:rPr>
      </w:pPr>
      <w:r>
        <w:rPr>
          <w:rFonts w:ascii="Palatino Linotype" w:eastAsia="Palatino Linotype" w:hAnsi="Palatino Linotype" w:cs="Palatino Linotype"/>
          <w:b/>
          <w:bCs/>
          <w:i/>
          <w:iCs/>
          <w:highlight w:val="white"/>
        </w:rPr>
        <w:t>Firma del titular:</w:t>
      </w:r>
      <w:r>
        <w:rPr>
          <w:rFonts w:ascii="Palatino Linotype" w:eastAsia="Palatino Linotype" w:hAnsi="Palatino Linotype" w:cs="Palatino Linotype"/>
          <w:i/>
          <w:iCs/>
          <w:highlight w:val="white"/>
        </w:rPr>
        <w:t xml:space="preserve"> 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 </w:t>
      </w:r>
    </w:p>
    <w:p w:rsidR="00B27A59" w:rsidRDefault="00B27A59">
      <w:pPr>
        <w:tabs>
          <w:tab w:val="center" w:pos="4252"/>
          <w:tab w:val="left" w:pos="7770"/>
          <w:tab w:val="right" w:pos="8504"/>
          <w:tab w:val="right" w:pos="8838"/>
        </w:tabs>
        <w:ind w:left="1134" w:right="-1701"/>
        <w:jc w:val="both"/>
        <w:rPr>
          <w:rFonts w:ascii="Palatino Linotype" w:eastAsia="Palatino Linotype" w:hAnsi="Palatino Linotype" w:cs="Palatino Linotype"/>
          <w:i/>
          <w:iCs/>
          <w:highlight w:val="white"/>
        </w:rPr>
      </w:pPr>
    </w:p>
    <w:p w:rsidR="00B27A59" w:rsidRDefault="0036112A">
      <w:pPr>
        <w:tabs>
          <w:tab w:val="center" w:pos="4252"/>
          <w:tab w:val="left" w:pos="7770"/>
          <w:tab w:val="right" w:pos="8504"/>
          <w:tab w:val="right" w:pos="8838"/>
        </w:tabs>
        <w:ind w:left="1134" w:right="-1701"/>
        <w:jc w:val="both"/>
        <w:rPr>
          <w:rFonts w:ascii="Palatino Linotype" w:eastAsia="Palatino Linotype" w:hAnsi="Palatino Linotype" w:cs="Palatino Linotype"/>
          <w:b/>
          <w:bCs/>
          <w:i/>
          <w:iCs/>
          <w:highlight w:val="white"/>
        </w:rPr>
      </w:pPr>
      <w:r>
        <w:rPr>
          <w:rFonts w:ascii="Palatino Linotype" w:eastAsia="Palatino Linotype" w:hAnsi="Palatino Linotype" w:cs="Palatino Linotype"/>
          <w:b/>
          <w:bCs/>
          <w:i/>
          <w:iCs/>
          <w:highlight w:val="white"/>
        </w:rPr>
        <w:t xml:space="preserve">En contraste, tratándose de servidores públicos cuando se emite un acto de autoridad en ejercicio de las atribuciones que tiene conferidas, la firma mediante la cual valida dicho acto jurídico es pública. Lo anterior, en virtud de que la firma se </w:t>
      </w:r>
      <w:r>
        <w:rPr>
          <w:rFonts w:ascii="Palatino Linotype" w:eastAsia="Palatino Linotype" w:hAnsi="Palatino Linotype" w:cs="Palatino Linotype"/>
          <w:b/>
          <w:bCs/>
          <w:i/>
          <w:iCs/>
          <w:highlight w:val="white"/>
        </w:rPr>
        <w:lastRenderedPageBreak/>
        <w:t>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sobre el debido ejercicio de sus atribuciones con motivo del empleo, cargo o comisión que le han sido encomendados…”</w:t>
      </w:r>
    </w:p>
    <w:p w:rsidR="00B27A59" w:rsidRDefault="00B27A59">
      <w:pPr>
        <w:tabs>
          <w:tab w:val="left" w:pos="7770"/>
          <w:tab w:val="right" w:pos="8838"/>
        </w:tabs>
        <w:ind w:right="-1701"/>
        <w:jc w:val="both"/>
        <w:rPr>
          <w:rFonts w:ascii="Palatino Linotype" w:eastAsia="Palatino Linotype" w:hAnsi="Palatino Linotype" w:cs="Palatino Linotype"/>
          <w:b/>
          <w:bCs/>
          <w:i/>
          <w:iCs/>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Sirve de apoyo el Criterio 10/10, Primera Época, emitido por el Instituto Federal de Acceso a la Información Pública ahora Instituto Nacional de </w:t>
      </w:r>
      <w:r>
        <w:rPr>
          <w:rFonts w:ascii="Palatino Linotype" w:eastAsia="Palatino Linotype" w:hAnsi="Palatino Linotype" w:cs="Palatino Linotype"/>
        </w:rPr>
        <w:t>Transparencia</w:t>
      </w:r>
      <w:r>
        <w:rPr>
          <w:rFonts w:ascii="Palatino Linotype" w:eastAsia="Palatino Linotype" w:hAnsi="Palatino Linotype" w:cs="Palatino Linotype"/>
          <w:color w:val="000000"/>
        </w:rPr>
        <w:t>, Acceso a la Información y Protección de Datos Personales, cuyo tenor literal es el siguiente:</w:t>
      </w:r>
    </w:p>
    <w:p w:rsidR="00B27A59" w:rsidRDefault="0036112A">
      <w:pPr>
        <w:ind w:left="850" w:right="-1701"/>
        <w:jc w:val="both"/>
        <w:rPr>
          <w:rFonts w:ascii="Palatino Linotype" w:eastAsia="Palatino Linotype" w:hAnsi="Palatino Linotype" w:cs="Palatino Linotype"/>
          <w:i/>
          <w:iCs/>
          <w:color w:val="222222"/>
        </w:rPr>
      </w:pPr>
      <w:r>
        <w:rPr>
          <w:rFonts w:ascii="Palatino Linotype" w:eastAsia="Palatino Linotype" w:hAnsi="Palatino Linotype" w:cs="Palatino Linotype"/>
          <w:b/>
          <w:bCs/>
          <w:i/>
          <w:iCs/>
          <w:color w:val="222222"/>
        </w:rPr>
        <w:t>“La firma de los servidores públicos es información de carácter público cuando ésta es utilizada en el ejercicio de las facultades conferidas para el desempeño del servicio público.</w:t>
      </w:r>
      <w:r>
        <w:rPr>
          <w:rFonts w:ascii="Palatino Linotype" w:eastAsia="Palatino Linotype" w:hAnsi="Palatino Linotype" w:cs="Palatino Linotype"/>
          <w:i/>
          <w:iCs/>
          <w:color w:val="222222"/>
        </w:rPr>
        <w:t xml:space="preserve"> Si bien la firma es un dato personal confidencial, en tanto que identifica o hace identificable a su titular, cuando un servidor público emite un acto como autoridad, en ejercicio de las funciones que tiene conferidas, la firma mediante la cual valida dicho acto es pública. Lo anterior, en virtud de que se realizó en cumplimiento de las obligaciones que le corresponden en términos de las disposiciones jurídicas aplicables. Por tanto, la firma de los servidores públicos, vinculada al ejercicio de la función pública, es información de naturaleza pública, dado que documenta y rinde cuentas sobre el debido ejercicio de sus atribuciones con motivo del empleo, cargo o comisión que le han sido encomendados.”</w:t>
      </w:r>
    </w:p>
    <w:p w:rsidR="00B27A59" w:rsidRDefault="00B27A59">
      <w:pPr>
        <w:ind w:right="-1701"/>
        <w:rPr>
          <w:rFonts w:ascii="Palatino Linotype" w:eastAsia="Palatino Linotype" w:hAnsi="Palatino Linotype" w:cs="Palatino Linotype"/>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De lo anterior, se tiene que los documentos que contengan firma de servidores públicos debe de dejarse a la vista de los solicitantes, situación por la cual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deberá entregar en correcta versión pública el oficio de respuesta al oficio referido en la solicitud de información para colmar el derecho de acceso a la información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toda vez que del dato de la firma de servidores públicos por sus funciones y acciones tiene la característica de ser un dato público. </w:t>
      </w:r>
    </w:p>
    <w:p w:rsidR="00B27A59" w:rsidRDefault="00B27A59">
      <w:pPr>
        <w:ind w:right="-1701"/>
        <w:jc w:val="both"/>
        <w:rPr>
          <w:rFonts w:ascii="Palatino Linotype" w:eastAsia="Palatino Linotype" w:hAnsi="Palatino Linotype" w:cs="Palatino Linotype"/>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En esa línea, se determina </w:t>
      </w:r>
      <w:r>
        <w:rPr>
          <w:rFonts w:ascii="Palatino Linotype" w:eastAsia="Palatino Linotype" w:hAnsi="Palatino Linotype" w:cs="Palatino Linotype"/>
          <w:b/>
          <w:bCs/>
        </w:rPr>
        <w:t xml:space="preserve">MODIFICAR </w:t>
      </w:r>
      <w:r>
        <w:rPr>
          <w:rFonts w:ascii="Palatino Linotype" w:eastAsia="Palatino Linotype" w:hAnsi="Palatino Linotype" w:cs="Palatino Linotype"/>
        </w:rPr>
        <w:t xml:space="preserve">la respuesta del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en la solicitud de </w:t>
      </w:r>
      <w:r w:rsidR="0056325F">
        <w:rPr>
          <w:rFonts w:ascii="Palatino Linotype" w:eastAsia="Palatino Linotype" w:hAnsi="Palatino Linotype" w:cs="Palatino Linotype"/>
        </w:rPr>
        <w:t xml:space="preserve">información </w:t>
      </w:r>
      <w:r w:rsidR="0056325F">
        <w:rPr>
          <w:rFonts w:ascii="Palatino Linotype" w:eastAsia="Palatino Linotype" w:hAnsi="Palatino Linotype" w:cs="Palatino Linotype"/>
          <w:b/>
          <w:bCs/>
        </w:rPr>
        <w:t>00158</w:t>
      </w:r>
      <w:r>
        <w:rPr>
          <w:rFonts w:ascii="Palatino Linotype" w:eastAsia="Palatino Linotype" w:hAnsi="Palatino Linotype" w:cs="Palatino Linotype"/>
          <w:b/>
          <w:bCs/>
        </w:rPr>
        <w:t xml:space="preserve">/TLALNEPA/IP/2026, </w:t>
      </w:r>
      <w:r>
        <w:rPr>
          <w:rFonts w:ascii="Palatino Linotype" w:eastAsia="Palatino Linotype" w:hAnsi="Palatino Linotype" w:cs="Palatino Linotype"/>
        </w:rPr>
        <w:t xml:space="preserve">por resultar parcialmente fundados y motivados las razones de inconformidad. </w:t>
      </w:r>
    </w:p>
    <w:p w:rsidR="00B27A59" w:rsidRDefault="00B27A59">
      <w:pPr>
        <w:ind w:right="-1701"/>
        <w:jc w:val="both"/>
        <w:rPr>
          <w:rFonts w:ascii="Palatino Linotype" w:eastAsia="Palatino Linotype" w:hAnsi="Palatino Linotype" w:cs="Palatino Linotype"/>
          <w:color w:val="000000"/>
        </w:rPr>
      </w:pPr>
    </w:p>
    <w:p w:rsidR="00B27A59" w:rsidRDefault="0036112A">
      <w:pPr>
        <w:keepNext/>
        <w:keepLines/>
        <w:spacing w:after="160" w:line="360" w:lineRule="auto"/>
        <w:ind w:right="-170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B27A59" w:rsidRDefault="0036112A">
      <w:pPr>
        <w:keepNext/>
        <w:keepLines/>
        <w:numPr>
          <w:ilvl w:val="0"/>
          <w:numId w:val="6"/>
        </w:numPr>
        <w:tabs>
          <w:tab w:val="left" w:pos="284"/>
        </w:tabs>
        <w:spacing w:after="160" w:line="360" w:lineRule="auto"/>
        <w:ind w:left="0" w:right="-170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Debe destacarse, que debido a la información solicitada por el </w:t>
      </w:r>
      <w:r>
        <w:rPr>
          <w:rFonts w:ascii="Palatino Linotype" w:eastAsia="Palatino Linotype" w:hAnsi="Palatino Linotype" w:cs="Palatino Linotype"/>
          <w:b/>
          <w:bCs/>
          <w:color w:val="000000"/>
        </w:rPr>
        <w:t xml:space="preserve">RECURRENTE, pueden </w:t>
      </w:r>
      <w:r>
        <w:rPr>
          <w:rFonts w:ascii="Palatino Linotype" w:eastAsia="Palatino Linotype" w:hAnsi="Palatino Linotype" w:cs="Palatino Linotype"/>
        </w:rPr>
        <w:t>obrar</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datos personales susceptibles de protegerse, así como información susceptible de clasificarse como confidenciales</w:t>
      </w:r>
      <w:r w:rsidR="0056325F">
        <w:rPr>
          <w:rFonts w:ascii="Palatino Linotype" w:eastAsia="Palatino Linotype" w:hAnsi="Palatino Linotype" w:cs="Palatino Linotype"/>
          <w:color w:val="000000"/>
        </w:rPr>
        <w:t>, por</w:t>
      </w:r>
      <w:r>
        <w:rPr>
          <w:rFonts w:ascii="Palatino Linotype" w:eastAsia="Palatino Linotype" w:hAnsi="Palatino Linotype" w:cs="Palatino Linotype"/>
          <w:color w:val="000000"/>
        </w:rPr>
        <w:t xml:space="preserve"> lo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B27A59" w:rsidRDefault="00B27A59">
      <w:pPr>
        <w:tabs>
          <w:tab w:val="left" w:pos="0"/>
          <w:tab w:val="left" w:pos="284"/>
        </w:tabs>
        <w:spacing w:line="360" w:lineRule="auto"/>
        <w:ind w:right="-1701"/>
        <w:jc w:val="both"/>
        <w:rPr>
          <w:rFonts w:ascii="Palatino Linotype" w:eastAsia="Palatino Linotype" w:hAnsi="Palatino Linotype" w:cs="Palatino Linotype"/>
        </w:rPr>
      </w:pPr>
    </w:p>
    <w:p w:rsidR="00B27A59" w:rsidRDefault="0036112A">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No</w:t>
      </w:r>
      <w:r>
        <w:rPr>
          <w:rFonts w:ascii="Palatino Linotype" w:eastAsia="Palatino Linotype" w:hAnsi="Palatino Linotype" w:cs="Palatino Linotype"/>
          <w:color w:val="000000"/>
        </w:rPr>
        <w:t xml:space="preserve">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B27A59" w:rsidRDefault="00B27A59">
      <w:pPr>
        <w:tabs>
          <w:tab w:val="left" w:pos="284"/>
        </w:tabs>
        <w:spacing w:after="160" w:line="360" w:lineRule="auto"/>
        <w:ind w:right="-1701"/>
        <w:jc w:val="both"/>
        <w:rPr>
          <w:rFonts w:ascii="Palatino Linotype" w:eastAsia="Palatino Linotype" w:hAnsi="Palatino Linotype" w:cs="Palatino Linotype"/>
          <w:color w:val="000000"/>
        </w:rPr>
      </w:pPr>
    </w:p>
    <w:tbl>
      <w:tblPr>
        <w:tblStyle w:val="a0"/>
        <w:tblW w:w="991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95"/>
        <w:gridCol w:w="7020"/>
      </w:tblGrid>
      <w:tr w:rsidR="00B27A59">
        <w:tc>
          <w:tcPr>
            <w:tcW w:w="2895" w:type="dxa"/>
          </w:tcPr>
          <w:p w:rsidR="00B27A59" w:rsidRDefault="0036112A">
            <w:pPr>
              <w:tabs>
                <w:tab w:val="left" w:pos="284"/>
              </w:tabs>
              <w:spacing w:line="360" w:lineRule="auto"/>
              <w:ind w:right="13"/>
              <w:jc w:val="both"/>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7020" w:type="dxa"/>
          </w:tcPr>
          <w:p w:rsidR="00B27A59" w:rsidRDefault="0036112A">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w:t>
            </w:r>
            <w:r>
              <w:rPr>
                <w:rFonts w:ascii="Palatino Linotype" w:eastAsia="Palatino Linotype" w:hAnsi="Palatino Linotype" w:cs="Palatino Linotype"/>
                <w:color w:val="000000"/>
              </w:rPr>
              <w:lastRenderedPageBreak/>
              <w:t xml:space="preserve">supuestos de clasificación, es deber de los titulares de las áreas proponer su clasificación y no del Comité de Transparencia. </w:t>
            </w:r>
          </w:p>
          <w:p w:rsidR="00B27A59" w:rsidRDefault="0036112A">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B27A59" w:rsidRDefault="0036112A">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B27A59" w:rsidRDefault="0036112A">
            <w:pPr>
              <w:tabs>
                <w:tab w:val="left" w:pos="284"/>
              </w:tabs>
              <w:spacing w:line="360" w:lineRule="auto"/>
              <w:ind w:right="13"/>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B27A59">
        <w:tc>
          <w:tcPr>
            <w:tcW w:w="2895" w:type="dxa"/>
          </w:tcPr>
          <w:p w:rsidR="00B27A59" w:rsidRDefault="0036112A">
            <w:pPr>
              <w:tabs>
                <w:tab w:val="left" w:pos="284"/>
              </w:tabs>
              <w:spacing w:line="360" w:lineRule="auto"/>
              <w:ind w:right="13"/>
              <w:jc w:val="both"/>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7020" w:type="dxa"/>
          </w:tcPr>
          <w:p w:rsidR="00B27A59" w:rsidRDefault="0036112A">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B27A59" w:rsidRDefault="0036112A">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w:t>
            </w:r>
            <w:r>
              <w:rPr>
                <w:rFonts w:ascii="Palatino Linotype" w:eastAsia="Palatino Linotype" w:hAnsi="Palatino Linotype" w:cs="Palatino Linotype"/>
                <w:color w:val="000000"/>
              </w:rPr>
              <w:lastRenderedPageBreak/>
              <w:t>debe realizarse de manera restrictiva y limitada, por lo que debe acreditarse que se cumple con esta condición y no se pueden ampliar las excepciones o supuestos de clasificación aduciendo analogía o mayoría de razón.</w:t>
            </w:r>
          </w:p>
          <w:p w:rsidR="00B27A59" w:rsidRDefault="0036112A">
            <w:pPr>
              <w:tabs>
                <w:tab w:val="left" w:pos="284"/>
              </w:tabs>
              <w:spacing w:line="360" w:lineRule="auto"/>
              <w:ind w:right="13"/>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B27A59">
        <w:tc>
          <w:tcPr>
            <w:tcW w:w="2895" w:type="dxa"/>
          </w:tcPr>
          <w:p w:rsidR="00B27A59" w:rsidRDefault="0036112A">
            <w:pPr>
              <w:tabs>
                <w:tab w:val="left" w:pos="284"/>
              </w:tabs>
              <w:spacing w:line="360" w:lineRule="auto"/>
              <w:ind w:right="13"/>
              <w:jc w:val="both"/>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7020" w:type="dxa"/>
          </w:tcPr>
          <w:p w:rsidR="00B27A59" w:rsidRDefault="0036112A">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B27A59" w:rsidRDefault="0036112A">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B27A59" w:rsidRDefault="0036112A">
            <w:pPr>
              <w:tabs>
                <w:tab w:val="left" w:pos="284"/>
              </w:tabs>
              <w:spacing w:line="360" w:lineRule="auto"/>
              <w:ind w:right="13"/>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w:t>
            </w:r>
            <w:r>
              <w:rPr>
                <w:rFonts w:ascii="Palatino Linotype" w:eastAsia="Palatino Linotype" w:hAnsi="Palatino Linotype" w:cs="Palatino Linotype"/>
                <w:color w:val="000000"/>
              </w:rPr>
              <w:lastRenderedPageBreak/>
              <w:t>de áreas y que son sujetas a control, en primera instancia, por el Comité de Transparencia.</w:t>
            </w:r>
          </w:p>
        </w:tc>
      </w:tr>
      <w:tr w:rsidR="00B27A59">
        <w:tc>
          <w:tcPr>
            <w:tcW w:w="2895" w:type="dxa"/>
          </w:tcPr>
          <w:p w:rsidR="00B27A59" w:rsidRDefault="00B27A59">
            <w:pPr>
              <w:tabs>
                <w:tab w:val="left" w:pos="284"/>
              </w:tabs>
              <w:spacing w:line="360" w:lineRule="auto"/>
              <w:ind w:right="13"/>
              <w:jc w:val="both"/>
              <w:rPr>
                <w:rFonts w:ascii="Palatino Linotype" w:eastAsia="Palatino Linotype" w:hAnsi="Palatino Linotype" w:cs="Palatino Linotype"/>
              </w:rPr>
            </w:pPr>
          </w:p>
          <w:p w:rsidR="00B27A59" w:rsidRDefault="0036112A">
            <w:pPr>
              <w:tabs>
                <w:tab w:val="left" w:pos="284"/>
              </w:tabs>
              <w:spacing w:line="360" w:lineRule="auto"/>
              <w:ind w:right="13"/>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7020" w:type="dxa"/>
          </w:tcPr>
          <w:p w:rsidR="00B27A59" w:rsidRDefault="0036112A">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B27A59" w:rsidRDefault="0036112A">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B27A59" w:rsidRDefault="0036112A">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w:t>
            </w:r>
            <w:r>
              <w:rPr>
                <w:rFonts w:ascii="Palatino Linotype" w:eastAsia="Palatino Linotype" w:hAnsi="Palatino Linotype" w:cs="Palatino Linotype"/>
                <w:color w:val="000000"/>
              </w:rPr>
              <w:lastRenderedPageBreak/>
              <w:t>la persona que se sienta afectada pueda impugnar la decisión, permitiéndole una real y auténtica defensa.</w:t>
            </w:r>
          </w:p>
          <w:p w:rsidR="00B27A59" w:rsidRDefault="0036112A">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B27A59" w:rsidRDefault="0036112A">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B27A59">
        <w:tc>
          <w:tcPr>
            <w:tcW w:w="2895" w:type="dxa"/>
          </w:tcPr>
          <w:p w:rsidR="00B27A59" w:rsidRDefault="0036112A">
            <w:pPr>
              <w:tabs>
                <w:tab w:val="left" w:pos="284"/>
              </w:tabs>
              <w:spacing w:line="360" w:lineRule="auto"/>
              <w:ind w:right="13"/>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7020" w:type="dxa"/>
          </w:tcPr>
          <w:p w:rsidR="00B27A59" w:rsidRDefault="0036112A">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B27A59" w:rsidRDefault="0036112A">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B27A59" w:rsidRDefault="0036112A">
            <w:pPr>
              <w:tabs>
                <w:tab w:val="left" w:pos="284"/>
              </w:tabs>
              <w:spacing w:line="360" w:lineRule="auto"/>
              <w:ind w:right="13"/>
              <w:jc w:val="both"/>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B27A59" w:rsidRDefault="00B27A59">
      <w:pPr>
        <w:tabs>
          <w:tab w:val="left" w:pos="284"/>
        </w:tabs>
        <w:spacing w:line="360" w:lineRule="auto"/>
        <w:ind w:right="-1701"/>
        <w:jc w:val="both"/>
        <w:rPr>
          <w:rFonts w:ascii="Palatino Linotype" w:eastAsia="Palatino Linotype" w:hAnsi="Palatino Linotype" w:cs="Palatino Linotype"/>
          <w:color w:val="000000"/>
        </w:rPr>
      </w:pPr>
    </w:p>
    <w:p w:rsidR="00B27A59" w:rsidRDefault="0036112A">
      <w:pPr>
        <w:numPr>
          <w:ilvl w:val="0"/>
          <w:numId w:val="4"/>
        </w:numP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rsidR="00B27A59" w:rsidRDefault="00B27A59">
      <w:pPr>
        <w:spacing w:line="360" w:lineRule="auto"/>
        <w:ind w:right="-1701"/>
        <w:jc w:val="both"/>
        <w:rPr>
          <w:rFonts w:ascii="Palatino Linotype" w:eastAsia="Palatino Linotype" w:hAnsi="Palatino Linotype" w:cs="Palatino Linotype"/>
          <w:color w:val="000000"/>
        </w:rPr>
      </w:pPr>
    </w:p>
    <w:p w:rsidR="00B27A59" w:rsidRDefault="0036112A">
      <w:pPr>
        <w:numPr>
          <w:ilvl w:val="0"/>
          <w:numId w:val="4"/>
        </w:numP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Por lo anteriormente expuesto, este Órgano Garante considera fundadas las razones o motivos de inconformidad que plantea el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determinando </w:t>
      </w:r>
      <w:r>
        <w:rPr>
          <w:rFonts w:ascii="Palatino Linotype" w:eastAsia="Palatino Linotype" w:hAnsi="Palatino Linotype" w:cs="Palatino Linotype"/>
          <w:b/>
          <w:bCs/>
          <w:smallCaps/>
        </w:rPr>
        <w:t xml:space="preserve">MODIFICAR </w:t>
      </w:r>
      <w:r>
        <w:rPr>
          <w:rFonts w:ascii="Palatino Linotype" w:eastAsia="Palatino Linotype" w:hAnsi="Palatino Linotype" w:cs="Palatino Linotype"/>
        </w:rPr>
        <w:t xml:space="preserve">la respuesta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Pr>
          <w:rFonts w:ascii="Palatino Linotype" w:eastAsia="Palatino Linotype" w:hAnsi="Palatino Linotype" w:cs="Palatino Linotype"/>
          <w:color w:val="000000"/>
        </w:rPr>
        <w:t xml:space="preserve">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p>
    <w:p w:rsidR="00B27A59" w:rsidRDefault="00B27A59">
      <w:pPr>
        <w:pBdr>
          <w:top w:val="nil"/>
          <w:left w:val="nil"/>
          <w:bottom w:val="nil"/>
          <w:right w:val="nil"/>
          <w:between w:val="nil"/>
        </w:pBdr>
        <w:ind w:left="720" w:right="-1701"/>
        <w:jc w:val="both"/>
        <w:rPr>
          <w:rFonts w:ascii="Palatino Linotype" w:eastAsia="Palatino Linotype" w:hAnsi="Palatino Linotype" w:cs="Palatino Linotype"/>
          <w:color w:val="000000"/>
        </w:rPr>
      </w:pPr>
    </w:p>
    <w:p w:rsidR="00B27A59" w:rsidRDefault="00B27A59">
      <w:pPr>
        <w:pBdr>
          <w:top w:val="nil"/>
          <w:left w:val="nil"/>
          <w:bottom w:val="nil"/>
          <w:right w:val="nil"/>
          <w:between w:val="nil"/>
        </w:pBdr>
        <w:tabs>
          <w:tab w:val="left" w:pos="426"/>
        </w:tabs>
        <w:spacing w:line="360" w:lineRule="auto"/>
        <w:ind w:right="-1701"/>
        <w:jc w:val="both"/>
        <w:rPr>
          <w:rFonts w:ascii="Palatino Linotype" w:eastAsia="Palatino Linotype" w:hAnsi="Palatino Linotype" w:cs="Palatino Linotype"/>
          <w:color w:val="000000"/>
        </w:rPr>
      </w:pPr>
    </w:p>
    <w:p w:rsidR="00B27A59" w:rsidRDefault="0036112A">
      <w:pPr>
        <w:pStyle w:val="Ttulo1"/>
        <w:spacing w:before="0" w:line="360" w:lineRule="auto"/>
        <w:ind w:right="-1701"/>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R E S O L U T I V O S</w:t>
      </w:r>
    </w:p>
    <w:p w:rsidR="00B27A59" w:rsidRDefault="00B27A59">
      <w:pPr>
        <w:spacing w:line="360" w:lineRule="auto"/>
        <w:ind w:right="-1701"/>
        <w:jc w:val="both"/>
        <w:rPr>
          <w:rFonts w:ascii="Palatino Linotype" w:eastAsia="Palatino Linotype" w:hAnsi="Palatino Linotype" w:cs="Palatino Linotype"/>
        </w:rPr>
      </w:pPr>
    </w:p>
    <w:p w:rsidR="00B27A59" w:rsidRDefault="0036112A">
      <w:pPr>
        <w:spacing w:line="360" w:lineRule="auto"/>
        <w:ind w:right="-1701"/>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parcialmente fundadas las razones o motivos de inconformidad hechos valer en los Recursos de Revisión </w:t>
      </w:r>
      <w:r>
        <w:rPr>
          <w:rFonts w:ascii="Palatino Linotype" w:eastAsia="Palatino Linotype" w:hAnsi="Palatino Linotype" w:cs="Palatino Linotype"/>
          <w:b/>
          <w:bCs/>
        </w:rPr>
        <w:t xml:space="preserve">02643/INFOEM/IP/RR/2026, </w:t>
      </w:r>
      <w:r>
        <w:rPr>
          <w:rFonts w:ascii="Palatino Linotype" w:eastAsia="Palatino Linotype" w:hAnsi="Palatino Linotype" w:cs="Palatino Linotype"/>
        </w:rPr>
        <w:t xml:space="preserve">en términos del Considerando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 xml:space="preserve">de la presente resolución. </w:t>
      </w:r>
    </w:p>
    <w:p w:rsidR="00B27A59" w:rsidRDefault="0036112A">
      <w:pPr>
        <w:spacing w:line="360" w:lineRule="auto"/>
        <w:ind w:right="-1701"/>
        <w:jc w:val="both"/>
        <w:rPr>
          <w:rFonts w:ascii="Palatino Linotype" w:eastAsia="Palatino Linotype" w:hAnsi="Palatino Linotype" w:cs="Palatino Linotype"/>
        </w:rPr>
      </w:pPr>
      <w:bookmarkStart w:id="15" w:name="_heading=h.1ksv4uv" w:colFirst="0" w:colLast="0"/>
      <w:bookmarkEnd w:id="15"/>
      <w:r>
        <w:rPr>
          <w:rFonts w:ascii="Palatino Linotype" w:eastAsia="Palatino Linotype" w:hAnsi="Palatino Linotype" w:cs="Palatino Linotype"/>
          <w:b/>
          <w:bCs/>
        </w:rPr>
        <w:lastRenderedPageBreak/>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MODIFICA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color w:val="000000"/>
        </w:rPr>
        <w:t xml:space="preserve">Ayuntamiento de Tlalnepantla de Baz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w:t>
      </w:r>
      <w:r>
        <w:rPr>
          <w:rFonts w:ascii="Palatino Linotype" w:eastAsia="Palatino Linotype" w:hAnsi="Palatino Linotype" w:cs="Palatino Linotype"/>
        </w:rPr>
        <w:t xml:space="preserve"> en versión pública:</w:t>
      </w:r>
    </w:p>
    <w:p w:rsidR="00B27A59" w:rsidRDefault="00B27A59">
      <w:pPr>
        <w:pBdr>
          <w:top w:val="nil"/>
          <w:left w:val="nil"/>
          <w:bottom w:val="nil"/>
          <w:right w:val="nil"/>
          <w:between w:val="nil"/>
        </w:pBdr>
        <w:ind w:left="1134" w:right="-1701"/>
        <w:jc w:val="both"/>
        <w:rPr>
          <w:rFonts w:ascii="Palatino Linotype" w:eastAsia="Palatino Linotype" w:hAnsi="Palatino Linotype" w:cs="Palatino Linotype"/>
          <w:b/>
          <w:bCs/>
          <w:i/>
          <w:iCs/>
          <w:color w:val="000000"/>
        </w:rPr>
      </w:pPr>
    </w:p>
    <w:p w:rsidR="00B27A59" w:rsidRDefault="0056325F">
      <w:pPr>
        <w:ind w:left="1134" w:right="-170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w:t>
      </w:r>
      <w:r w:rsidR="0036112A">
        <w:rPr>
          <w:rFonts w:ascii="Palatino Linotype" w:eastAsia="Palatino Linotype" w:hAnsi="Palatino Linotype" w:cs="Palatino Linotype"/>
          <w:b/>
          <w:bCs/>
          <w:i/>
          <w:iCs/>
        </w:rPr>
        <w:t>Oficio de resp</w:t>
      </w:r>
      <w:r>
        <w:rPr>
          <w:rFonts w:ascii="Palatino Linotype" w:eastAsia="Palatino Linotype" w:hAnsi="Palatino Linotype" w:cs="Palatino Linotype"/>
          <w:b/>
          <w:bCs/>
          <w:i/>
          <w:iCs/>
        </w:rPr>
        <w:t xml:space="preserve">uesta al oficio OP35379 por la Comisaria </w:t>
      </w:r>
      <w:r w:rsidR="0036112A">
        <w:rPr>
          <w:rFonts w:ascii="Palatino Linotype" w:eastAsia="Palatino Linotype" w:hAnsi="Palatino Linotype" w:cs="Palatino Linotype"/>
          <w:b/>
          <w:bCs/>
          <w:i/>
          <w:iCs/>
        </w:rPr>
        <w:t xml:space="preserve">General de Proximidad y Seguridad Ciudadana, remitido en respuesta a la solicitud de información 00158/TLALNEPA/IP/2026, en correcta versión pública. </w:t>
      </w:r>
    </w:p>
    <w:p w:rsidR="00B27A59" w:rsidRDefault="00B27A59">
      <w:pPr>
        <w:ind w:left="1134" w:right="-1701"/>
        <w:jc w:val="both"/>
        <w:rPr>
          <w:rFonts w:ascii="Palatino Linotype" w:eastAsia="Palatino Linotype" w:hAnsi="Palatino Linotype" w:cs="Palatino Linotype"/>
          <w:b/>
          <w:bCs/>
          <w:i/>
          <w:iCs/>
        </w:rPr>
      </w:pPr>
    </w:p>
    <w:p w:rsidR="00B27A59" w:rsidRDefault="00B27A59">
      <w:pPr>
        <w:ind w:left="1134" w:right="-1701"/>
        <w:jc w:val="both"/>
        <w:rPr>
          <w:rFonts w:ascii="Palatino Linotype" w:eastAsia="Palatino Linotype" w:hAnsi="Palatino Linotype" w:cs="Palatino Linotype"/>
          <w:b/>
          <w:bCs/>
          <w:i/>
          <w:iCs/>
        </w:rPr>
      </w:pPr>
    </w:p>
    <w:p w:rsidR="00B27A59" w:rsidRDefault="00B27A59">
      <w:pPr>
        <w:ind w:right="-1701"/>
        <w:jc w:val="both"/>
        <w:rPr>
          <w:rFonts w:ascii="Palatino Linotype" w:eastAsia="Palatino Linotype" w:hAnsi="Palatino Linotype" w:cs="Palatino Linotype"/>
          <w:b/>
          <w:bCs/>
        </w:rPr>
      </w:pPr>
    </w:p>
    <w:p w:rsidR="00B27A59" w:rsidRDefault="0036112A">
      <w:pPr>
        <w:tabs>
          <w:tab w:val="left" w:pos="8080"/>
        </w:tabs>
        <w:spacing w:line="360" w:lineRule="auto"/>
        <w:ind w:right="-1701"/>
        <w:jc w:val="both"/>
        <w:rPr>
          <w:rFonts w:ascii="Palatino Linotype" w:eastAsia="Palatino Linotype" w:hAnsi="Palatino Linotype" w:cs="Palatino Linotype"/>
          <w:b/>
          <w:bCs/>
        </w:rPr>
      </w:pPr>
      <w:r>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rPr>
        <w:t>RECURRENTE.</w:t>
      </w:r>
    </w:p>
    <w:p w:rsidR="00B27A59" w:rsidRDefault="00B27A59">
      <w:pPr>
        <w:tabs>
          <w:tab w:val="left" w:pos="8080"/>
        </w:tabs>
        <w:spacing w:line="360" w:lineRule="auto"/>
        <w:ind w:right="-1701"/>
        <w:jc w:val="both"/>
        <w:rPr>
          <w:rFonts w:ascii="Palatino Linotype" w:eastAsia="Palatino Linotype" w:hAnsi="Palatino Linotype" w:cs="Palatino Linotype"/>
        </w:rPr>
      </w:pPr>
    </w:p>
    <w:p w:rsidR="00B27A59" w:rsidRDefault="0036112A">
      <w:pPr>
        <w:tabs>
          <w:tab w:val="left" w:pos="8080"/>
        </w:tabs>
        <w:spacing w:line="360" w:lineRule="auto"/>
        <w:ind w:right="-1701"/>
        <w:jc w:val="both"/>
        <w:rPr>
          <w:rFonts w:ascii="Palatino Linotype" w:eastAsia="Palatino Linotype" w:hAnsi="Palatino Linotype" w:cs="Palatino Linotype"/>
          <w:color w:val="222222"/>
        </w:rPr>
      </w:pPr>
      <w:r>
        <w:rPr>
          <w:rFonts w:ascii="Palatino Linotype" w:eastAsia="Palatino Linotype" w:hAnsi="Palatino Linotype" w:cs="Palatino Linotype"/>
          <w:b/>
          <w:bCs/>
        </w:rPr>
        <w:t xml:space="preserve">TERCERO. </w:t>
      </w:r>
      <w:r>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rPr>
        <w:t xml:space="preserve">dé cumplimiento a lo ordenado dentro del plazo de diez días hábiles, </w:t>
      </w:r>
      <w:r>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B27A59" w:rsidRDefault="00B27A59">
      <w:pPr>
        <w:tabs>
          <w:tab w:val="left" w:pos="8080"/>
        </w:tabs>
        <w:spacing w:line="360" w:lineRule="auto"/>
        <w:ind w:right="-1701"/>
        <w:jc w:val="both"/>
        <w:rPr>
          <w:rFonts w:ascii="Palatino Linotype" w:eastAsia="Palatino Linotype" w:hAnsi="Palatino Linotype" w:cs="Palatino Linotype"/>
          <w:color w:val="222222"/>
        </w:rPr>
      </w:pPr>
    </w:p>
    <w:p w:rsidR="00B27A59" w:rsidRDefault="0036112A">
      <w:pPr>
        <w:spacing w:line="360" w:lineRule="auto"/>
        <w:ind w:right="-1701"/>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B27A59" w:rsidRDefault="00B27A59">
      <w:pPr>
        <w:spacing w:line="360" w:lineRule="auto"/>
        <w:ind w:right="-1701"/>
        <w:jc w:val="both"/>
        <w:rPr>
          <w:rFonts w:ascii="Palatino Linotype" w:eastAsia="Palatino Linotype" w:hAnsi="Palatino Linotype" w:cs="Palatino Linotype"/>
        </w:rPr>
      </w:pPr>
    </w:p>
    <w:p w:rsidR="00B27A59" w:rsidRDefault="0036112A">
      <w:pPr>
        <w:shd w:val="clear" w:color="auto" w:fill="FFFFFF"/>
        <w:spacing w:line="360" w:lineRule="auto"/>
        <w:ind w:right="-1701"/>
        <w:jc w:val="both"/>
        <w:rPr>
          <w:rFonts w:ascii="Palatino Linotype" w:eastAsia="Palatino Linotype" w:hAnsi="Palatino Linotype" w:cs="Palatino Linotype"/>
        </w:rPr>
      </w:pPr>
      <w:bookmarkStart w:id="16" w:name="_heading=h.2jxsxqh" w:colFirst="0" w:colLast="0"/>
      <w:bookmarkEnd w:id="16"/>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la presente resolución, vía SAIMEX.</w:t>
      </w:r>
    </w:p>
    <w:p w:rsidR="00B27A59" w:rsidRDefault="00B27A59">
      <w:pPr>
        <w:shd w:val="clear" w:color="auto" w:fill="FFFFFF"/>
        <w:spacing w:line="360" w:lineRule="auto"/>
        <w:ind w:right="-1701"/>
        <w:jc w:val="both"/>
        <w:rPr>
          <w:rFonts w:ascii="Palatino Linotype" w:eastAsia="Palatino Linotype" w:hAnsi="Palatino Linotype" w:cs="Palatino Linotype"/>
        </w:rPr>
      </w:pPr>
    </w:p>
    <w:p w:rsidR="00B27A59" w:rsidRDefault="0036112A">
      <w:pPr>
        <w:shd w:val="clear" w:color="auto" w:fill="FFFFFF"/>
        <w:spacing w:line="360" w:lineRule="auto"/>
        <w:ind w:right="-1701"/>
        <w:jc w:val="both"/>
        <w:rPr>
          <w:rFonts w:ascii="Palatino Linotype" w:eastAsia="Palatino Linotype" w:hAnsi="Palatino Linotype" w:cs="Palatino Linotype"/>
        </w:rPr>
      </w:pPr>
      <w:r>
        <w:rPr>
          <w:rFonts w:ascii="Palatino Linotype" w:eastAsia="Palatino Linotype" w:hAnsi="Palatino Linotype" w:cs="Palatino Linotype"/>
          <w:b/>
          <w:bCs/>
        </w:rPr>
        <w:t>SEXTO.</w:t>
      </w:r>
      <w:r>
        <w:rPr>
          <w:rFonts w:ascii="Palatino Linotype" w:eastAsia="Palatino Linotype" w:hAnsi="Palatino Linotype" w:cs="Palatino Linotype"/>
        </w:rPr>
        <w:t xml:space="preserve"> Se hace del conocimiento de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56325F" w:rsidRDefault="0056325F">
      <w:pPr>
        <w:shd w:val="clear" w:color="auto" w:fill="FFFFFF"/>
        <w:spacing w:line="360" w:lineRule="auto"/>
        <w:ind w:right="-1701"/>
        <w:jc w:val="both"/>
        <w:rPr>
          <w:rFonts w:ascii="Palatino Linotype" w:eastAsia="Palatino Linotype" w:hAnsi="Palatino Linotype" w:cs="Palatino Linotype"/>
        </w:rPr>
      </w:pPr>
    </w:p>
    <w:p w:rsidR="0056325F" w:rsidRPr="003E2295" w:rsidRDefault="0056325F" w:rsidP="0056325F">
      <w:pPr>
        <w:spacing w:before="240" w:after="240" w:line="360" w:lineRule="auto"/>
        <w:ind w:right="-1708" w:firstLine="1"/>
        <w:jc w:val="both"/>
        <w:rPr>
          <w:rFonts w:ascii="Palatino Linotype" w:hAnsi="Palatino Linotype"/>
        </w:rPr>
      </w:pPr>
      <w:bookmarkStart w:id="17"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w:t>
      </w:r>
      <w:r w:rsidR="007E3B27">
        <w:rPr>
          <w:rFonts w:ascii="Palatino Linotype" w:hAnsi="Palatino Linotype" w:cs="Palatino Linotype"/>
        </w:rPr>
        <w:t xml:space="preserve">EMITIENDO VOTO PARTICULAR </w:t>
      </w:r>
      <w:r w:rsidRPr="003E2295">
        <w:rPr>
          <w:rFonts w:ascii="Palatino Linotype" w:hAnsi="Palatino Linotype" w:cs="Palatino Linotype"/>
        </w:rPr>
        <w:t xml:space="preserve">Y GUADALUPE RAMÍREZ PEÑA; EN LA </w:t>
      </w:r>
      <w:r>
        <w:rPr>
          <w:rFonts w:ascii="Palatino Linotype" w:hAnsi="Palatino Linotype" w:cs="Palatino Linotype"/>
        </w:rPr>
        <w:t xml:space="preserve">VIGÉSIMA TERCERA </w:t>
      </w:r>
      <w:r w:rsidRPr="003E2295">
        <w:rPr>
          <w:rFonts w:ascii="Palatino Linotype" w:hAnsi="Palatino Linotype" w:cs="Palatino Linotype"/>
        </w:rPr>
        <w:t>SESIÓN O</w:t>
      </w:r>
      <w:r>
        <w:rPr>
          <w:rFonts w:ascii="Palatino Linotype" w:hAnsi="Palatino Linotype" w:cs="Palatino Linotype"/>
        </w:rPr>
        <w:t>RDINARIA, CELEBRADA EL VEINTICINCO (25</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7"/>
    <w:p w:rsidR="00B27A59" w:rsidRDefault="00B27A59">
      <w:pPr>
        <w:spacing w:before="240" w:after="240" w:line="360" w:lineRule="auto"/>
        <w:ind w:right="-1701"/>
        <w:jc w:val="both"/>
        <w:rPr>
          <w:rFonts w:ascii="Palatino Linotype" w:eastAsia="Palatino Linotype" w:hAnsi="Palatino Linotype" w:cs="Palatino Linotype"/>
        </w:rPr>
      </w:pPr>
    </w:p>
    <w:p w:rsidR="00B27A59" w:rsidRDefault="00B27A59">
      <w:pPr>
        <w:spacing w:before="240" w:after="240" w:line="360" w:lineRule="auto"/>
        <w:ind w:right="-1701"/>
        <w:jc w:val="both"/>
        <w:rPr>
          <w:rFonts w:ascii="Palatino Linotype" w:eastAsia="Palatino Linotype" w:hAnsi="Palatino Linotype" w:cs="Palatino Linotype"/>
        </w:rPr>
      </w:pPr>
    </w:p>
    <w:p w:rsidR="00B27A59" w:rsidRDefault="00B27A59">
      <w:pPr>
        <w:spacing w:line="360" w:lineRule="auto"/>
        <w:ind w:right="-1701"/>
        <w:jc w:val="both"/>
        <w:rPr>
          <w:rFonts w:ascii="Palatino Linotype" w:eastAsia="Palatino Linotype" w:hAnsi="Palatino Linotype" w:cs="Palatino Linotype"/>
        </w:rPr>
      </w:pPr>
    </w:p>
    <w:p w:rsidR="00B27A59" w:rsidRDefault="00B27A59">
      <w:pPr>
        <w:keepNext/>
        <w:keepLines/>
        <w:spacing w:after="240" w:line="360" w:lineRule="auto"/>
        <w:ind w:right="-1701"/>
        <w:jc w:val="both"/>
        <w:rPr>
          <w:rFonts w:ascii="Palatino Linotype" w:eastAsia="Palatino Linotype" w:hAnsi="Palatino Linotype" w:cs="Palatino Linotype"/>
        </w:rPr>
      </w:pPr>
    </w:p>
    <w:p w:rsidR="00B27A59" w:rsidRDefault="00B27A59">
      <w:pPr>
        <w:ind w:right="-1701"/>
        <w:jc w:val="both"/>
        <w:rPr>
          <w:rFonts w:ascii="Palatino Linotype" w:eastAsia="Palatino Linotype" w:hAnsi="Palatino Linotype" w:cs="Palatino Linotype"/>
        </w:rPr>
      </w:pPr>
    </w:p>
    <w:p w:rsidR="00B27A59" w:rsidRDefault="00B27A59">
      <w:pPr>
        <w:ind w:right="-1701"/>
        <w:jc w:val="both"/>
        <w:rPr>
          <w:rFonts w:ascii="Palatino Linotype" w:eastAsia="Palatino Linotype" w:hAnsi="Palatino Linotype" w:cs="Palatino Linotype"/>
        </w:rPr>
      </w:pPr>
    </w:p>
    <w:p w:rsidR="00B27A59" w:rsidRDefault="00B27A59">
      <w:pPr>
        <w:ind w:right="-1701"/>
        <w:jc w:val="both"/>
        <w:rPr>
          <w:rFonts w:ascii="Palatino Linotype" w:eastAsia="Palatino Linotype" w:hAnsi="Palatino Linotype" w:cs="Palatino Linotype"/>
        </w:rPr>
      </w:pPr>
    </w:p>
    <w:p w:rsidR="00B27A59" w:rsidRDefault="00B27A59">
      <w:pPr>
        <w:ind w:right="-1701"/>
        <w:jc w:val="both"/>
        <w:rPr>
          <w:rFonts w:ascii="Palatino Linotype" w:eastAsia="Palatino Linotype" w:hAnsi="Palatino Linotype" w:cs="Palatino Linotype"/>
        </w:rPr>
      </w:pPr>
    </w:p>
    <w:p w:rsidR="00B27A59" w:rsidRDefault="00B27A59">
      <w:pPr>
        <w:ind w:right="-1701"/>
        <w:jc w:val="both"/>
        <w:rPr>
          <w:rFonts w:ascii="Palatino Linotype" w:eastAsia="Palatino Linotype" w:hAnsi="Palatino Linotype" w:cs="Palatino Linotype"/>
        </w:rPr>
      </w:pPr>
    </w:p>
    <w:p w:rsidR="00B27A59" w:rsidRDefault="00B27A59">
      <w:pPr>
        <w:ind w:right="-1701"/>
        <w:jc w:val="both"/>
        <w:rPr>
          <w:rFonts w:ascii="Palatino Linotype" w:eastAsia="Palatino Linotype" w:hAnsi="Palatino Linotype" w:cs="Palatino Linotype"/>
        </w:rPr>
      </w:pPr>
    </w:p>
    <w:p w:rsidR="00B27A59" w:rsidRDefault="00B27A59">
      <w:pPr>
        <w:ind w:right="-1701"/>
        <w:jc w:val="both"/>
      </w:pPr>
    </w:p>
    <w:p w:rsidR="00B27A59" w:rsidRDefault="00B27A59">
      <w:pPr>
        <w:ind w:right="-1701"/>
      </w:pPr>
    </w:p>
    <w:sectPr w:rsidR="00B27A59">
      <w:headerReference w:type="default" r:id="rId10"/>
      <w:footerReference w:type="default" r:id="rId11"/>
      <w:headerReference w:type="first" r:id="rId12"/>
      <w:footerReference w:type="first" r:id="rId13"/>
      <w:pgSz w:w="12240" w:h="15840"/>
      <w:pgMar w:top="2410" w:right="2324"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104" w:rsidRDefault="00041104">
      <w:r>
        <w:separator/>
      </w:r>
    </w:p>
  </w:endnote>
  <w:endnote w:type="continuationSeparator" w:id="0">
    <w:p w:rsidR="00041104" w:rsidRDefault="00041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B8665783-AF40-4852-B380-5A0F4C5084F5}"/>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98FBD367-C30D-4D8B-AB93-D65B1E3951BB}"/>
    <w:embedBold r:id="rId3" w:fontKey="{31AA113E-80D6-48E1-B904-C93C4FF19F1D}"/>
    <w:embedItalic r:id="rId4" w:fontKey="{BE12CABF-499E-46C9-836F-AC547C3052AA}"/>
    <w:embedBoldItalic r:id="rId5" w:fontKey="{D4245A95-687A-4F7B-93D2-55384C2752F4}"/>
  </w:font>
  <w:font w:name="Calibri">
    <w:panose1 w:val="020F0502020204030204"/>
    <w:charset w:val="00"/>
    <w:family w:val="swiss"/>
    <w:pitch w:val="variable"/>
    <w:sig w:usb0="E4002EFF" w:usb1="C200247B" w:usb2="00000009" w:usb3="00000000" w:csb0="000001FF" w:csb1="00000000"/>
    <w:embedRegular r:id="rId6" w:fontKey="{E0DE781F-5484-42A2-A8C8-0D36C60D2B1E}"/>
  </w:font>
  <w:font w:name="Georgia">
    <w:panose1 w:val="02040502050405020303"/>
    <w:charset w:val="00"/>
    <w:family w:val="roman"/>
    <w:pitch w:val="variable"/>
    <w:sig w:usb0="00000287" w:usb1="00000000" w:usb2="00000000" w:usb3="00000000" w:csb0="0000009F" w:csb1="00000000"/>
    <w:embedItalic r:id="rId7" w:fontKey="{59DA7B0E-58CE-418C-BB02-088EE44E74D5}"/>
  </w:font>
  <w:font w:name="Cambria">
    <w:panose1 w:val="02040503050406030204"/>
    <w:charset w:val="00"/>
    <w:family w:val="roman"/>
    <w:pitch w:val="variable"/>
    <w:sig w:usb0="E00006FF" w:usb1="420024FF" w:usb2="02000000" w:usb3="00000000" w:csb0="0000019F" w:csb1="00000000"/>
    <w:embedRegular r:id="rId8" w:fontKey="{E798B1C4-0644-4D34-9C0D-B3FE060F79D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A59" w:rsidRDefault="0036112A">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6B0125">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6B0125">
      <w:rPr>
        <w:rFonts w:ascii="Palatino Linotype" w:eastAsia="Palatino Linotype" w:hAnsi="Palatino Linotype" w:cs="Palatino Linotype"/>
        <w:b/>
        <w:bCs/>
        <w:noProof/>
        <w:color w:val="000000"/>
        <w:sz w:val="22"/>
        <w:szCs w:val="22"/>
      </w:rPr>
      <w:t>31</w:t>
    </w:r>
    <w:r>
      <w:rPr>
        <w:rFonts w:ascii="Palatino Linotype" w:eastAsia="Palatino Linotype" w:hAnsi="Palatino Linotype" w:cs="Palatino Linotype"/>
        <w:b/>
        <w:bCs/>
        <w:color w:val="000000"/>
        <w:sz w:val="22"/>
        <w:szCs w:val="22"/>
      </w:rPr>
      <w:fldChar w:fldCharType="end"/>
    </w:r>
  </w:p>
  <w:p w:rsidR="00B27A59" w:rsidRDefault="00B27A59">
    <w:pPr>
      <w:pBdr>
        <w:top w:val="nil"/>
        <w:left w:val="nil"/>
        <w:bottom w:val="nil"/>
        <w:right w:val="nil"/>
        <w:between w:val="nil"/>
      </w:pBdr>
      <w:tabs>
        <w:tab w:val="center" w:pos="4252"/>
        <w:tab w:val="right" w:pos="8504"/>
      </w:tabs>
      <w:rPr>
        <w:color w:val="000000"/>
      </w:rPr>
    </w:pPr>
  </w:p>
  <w:p w:rsidR="00B27A59" w:rsidRDefault="00B27A59">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A59" w:rsidRDefault="0036112A">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6B0125">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6B0125">
      <w:rPr>
        <w:rFonts w:ascii="Palatino Linotype" w:eastAsia="Palatino Linotype" w:hAnsi="Palatino Linotype" w:cs="Palatino Linotype"/>
        <w:b/>
        <w:bCs/>
        <w:noProof/>
        <w:color w:val="000000"/>
        <w:sz w:val="22"/>
        <w:szCs w:val="22"/>
      </w:rPr>
      <w:t>31</w:t>
    </w:r>
    <w:r>
      <w:rPr>
        <w:rFonts w:ascii="Palatino Linotype" w:eastAsia="Palatino Linotype" w:hAnsi="Palatino Linotype" w:cs="Palatino Linotype"/>
        <w:b/>
        <w:bCs/>
        <w:color w:val="000000"/>
        <w:sz w:val="22"/>
        <w:szCs w:val="22"/>
      </w:rPr>
      <w:fldChar w:fldCharType="end"/>
    </w:r>
  </w:p>
  <w:p w:rsidR="00B27A59" w:rsidRDefault="00B27A59">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104" w:rsidRDefault="00041104">
      <w:r>
        <w:separator/>
      </w:r>
    </w:p>
  </w:footnote>
  <w:footnote w:type="continuationSeparator" w:id="0">
    <w:p w:rsidR="00041104" w:rsidRDefault="00041104">
      <w:r>
        <w:continuationSeparator/>
      </w:r>
    </w:p>
  </w:footnote>
  <w:footnote w:id="1">
    <w:p w:rsidR="00B27A59" w:rsidRDefault="0036112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B27A59" w:rsidRDefault="0036112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B27A59" w:rsidRDefault="0036112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B27A59" w:rsidRDefault="0036112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155" w:type="dxa"/>
      <w:tblInd w:w="2694" w:type="dxa"/>
      <w:tblLayout w:type="fixed"/>
      <w:tblLook w:val="0400" w:firstRow="0" w:lastRow="0" w:firstColumn="0" w:lastColumn="0" w:noHBand="0" w:noVBand="1"/>
    </w:tblPr>
    <w:tblGrid>
      <w:gridCol w:w="2805"/>
      <w:gridCol w:w="4350"/>
    </w:tblGrid>
    <w:tr w:rsidR="00B27A59" w:rsidTr="00701E6D">
      <w:tc>
        <w:tcPr>
          <w:tcW w:w="2805" w:type="dxa"/>
          <w:vAlign w:val="center"/>
        </w:tcPr>
        <w:p w:rsidR="00B27A59" w:rsidRDefault="0036112A">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350" w:type="dxa"/>
          <w:vAlign w:val="center"/>
        </w:tcPr>
        <w:p w:rsidR="00B27A59" w:rsidRDefault="0036112A">
          <w:pPr>
            <w:ind w:right="-1093"/>
            <w:jc w:val="both"/>
            <w:rPr>
              <w:rFonts w:ascii="Palatino Linotype" w:eastAsia="Palatino Linotype" w:hAnsi="Palatino Linotype" w:cs="Palatino Linotype"/>
            </w:rPr>
          </w:pPr>
          <w:r>
            <w:rPr>
              <w:rFonts w:ascii="Palatino Linotype" w:eastAsia="Palatino Linotype" w:hAnsi="Palatino Linotype" w:cs="Palatino Linotype"/>
            </w:rPr>
            <w:t>02643/INFOEM/IP/RR/2026</w:t>
          </w:r>
        </w:p>
      </w:tc>
    </w:tr>
    <w:tr w:rsidR="00B27A59" w:rsidTr="00701E6D">
      <w:trPr>
        <w:trHeight w:val="228"/>
      </w:trPr>
      <w:tc>
        <w:tcPr>
          <w:tcW w:w="2805" w:type="dxa"/>
          <w:vAlign w:val="center"/>
        </w:tcPr>
        <w:p w:rsidR="00B27A59" w:rsidRDefault="0036112A">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350" w:type="dxa"/>
          <w:shd w:val="clear" w:color="auto" w:fill="auto"/>
          <w:vAlign w:val="center"/>
        </w:tcPr>
        <w:p w:rsidR="00B27A59" w:rsidRDefault="0036112A">
          <w:pPr>
            <w:ind w:right="-1093"/>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Tlalnepantla de Baz</w:t>
          </w:r>
        </w:p>
      </w:tc>
    </w:tr>
    <w:tr w:rsidR="00B27A59" w:rsidTr="00701E6D">
      <w:tc>
        <w:tcPr>
          <w:tcW w:w="2805" w:type="dxa"/>
          <w:vAlign w:val="center"/>
        </w:tcPr>
        <w:p w:rsidR="00B27A59" w:rsidRDefault="0036112A">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350" w:type="dxa"/>
          <w:vAlign w:val="center"/>
        </w:tcPr>
        <w:p w:rsidR="00B27A59" w:rsidRDefault="0036112A">
          <w:pPr>
            <w:ind w:right="-1093"/>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B27A59" w:rsidRDefault="0036112A">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rFonts w:ascii="Calibri" w:eastAsia="Calibri" w:hAnsi="Calibri" w:cs="Calibri"/>
        <w:color w:val="000000"/>
      </w:rPr>
      <w:tab/>
    </w:r>
    <w:r>
      <w:rPr>
        <w:noProof/>
      </w:rPr>
      <w:drawing>
        <wp:anchor distT="0" distB="0" distL="0" distR="0" simplePos="0" relativeHeight="251658240" behindDoc="1" locked="0" layoutInCell="1" hidden="0" allowOverlap="1">
          <wp:simplePos x="0" y="0"/>
          <wp:positionH relativeFrom="column">
            <wp:posOffset>-1213482</wp:posOffset>
          </wp:positionH>
          <wp:positionV relativeFrom="paragraph">
            <wp:posOffset>-1219832</wp:posOffset>
          </wp:positionV>
          <wp:extent cx="7813085" cy="101700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230" w:type="dxa"/>
      <w:tblInd w:w="2835" w:type="dxa"/>
      <w:tblLayout w:type="fixed"/>
      <w:tblLook w:val="0400" w:firstRow="0" w:lastRow="0" w:firstColumn="0" w:lastColumn="0" w:noHBand="0" w:noVBand="1"/>
    </w:tblPr>
    <w:tblGrid>
      <w:gridCol w:w="2940"/>
      <w:gridCol w:w="4290"/>
    </w:tblGrid>
    <w:tr w:rsidR="00B27A59" w:rsidTr="00701E6D">
      <w:tc>
        <w:tcPr>
          <w:tcW w:w="2940" w:type="dxa"/>
          <w:vAlign w:val="center"/>
        </w:tcPr>
        <w:p w:rsidR="00B27A59" w:rsidRDefault="0036112A">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p w:rsidR="00B27A59" w:rsidRDefault="0036112A">
          <w:pPr>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290" w:type="dxa"/>
          <w:vAlign w:val="center"/>
        </w:tcPr>
        <w:p w:rsidR="00B27A59" w:rsidRDefault="0036112A">
          <w:pPr>
            <w:ind w:right="-1093"/>
            <w:jc w:val="both"/>
            <w:rPr>
              <w:rFonts w:ascii="Palatino Linotype" w:eastAsia="Palatino Linotype" w:hAnsi="Palatino Linotype" w:cs="Palatino Linotype"/>
            </w:rPr>
          </w:pPr>
          <w:r>
            <w:rPr>
              <w:rFonts w:ascii="Palatino Linotype" w:eastAsia="Palatino Linotype" w:hAnsi="Palatino Linotype" w:cs="Palatino Linotype"/>
            </w:rPr>
            <w:t xml:space="preserve">02643/INFOEM/IP/RR/2026 </w:t>
          </w:r>
        </w:p>
        <w:p w:rsidR="00B27A59" w:rsidRDefault="006B0125">
          <w:pPr>
            <w:ind w:right="-1093"/>
            <w:jc w:val="both"/>
            <w:rPr>
              <w:rFonts w:ascii="Palatino Linotype" w:eastAsia="Palatino Linotype" w:hAnsi="Palatino Linotype" w:cs="Palatino Linotype"/>
            </w:rPr>
          </w:pPr>
          <w:r>
            <w:rPr>
              <w:rFonts w:ascii="Palatino Linotype" w:eastAsia="Palatino Linotype" w:hAnsi="Palatino Linotype" w:cs="Palatino Linotype"/>
            </w:rPr>
            <w:t>XXXX</w:t>
          </w:r>
        </w:p>
      </w:tc>
    </w:tr>
    <w:tr w:rsidR="00B27A59" w:rsidTr="00701E6D">
      <w:trPr>
        <w:trHeight w:val="228"/>
      </w:trPr>
      <w:tc>
        <w:tcPr>
          <w:tcW w:w="2940" w:type="dxa"/>
          <w:vAlign w:val="center"/>
        </w:tcPr>
        <w:p w:rsidR="00B27A59" w:rsidRDefault="0036112A">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90" w:type="dxa"/>
          <w:shd w:val="clear" w:color="auto" w:fill="auto"/>
          <w:vAlign w:val="center"/>
        </w:tcPr>
        <w:p w:rsidR="00B27A59" w:rsidRDefault="0036112A">
          <w:pPr>
            <w:ind w:right="-1093"/>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Tlalnepantla de Baz</w:t>
          </w:r>
        </w:p>
      </w:tc>
    </w:tr>
    <w:tr w:rsidR="00B27A59" w:rsidTr="00701E6D">
      <w:tc>
        <w:tcPr>
          <w:tcW w:w="2940" w:type="dxa"/>
          <w:vAlign w:val="center"/>
        </w:tcPr>
        <w:p w:rsidR="00B27A59" w:rsidRDefault="0036112A">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290" w:type="dxa"/>
          <w:vAlign w:val="center"/>
        </w:tcPr>
        <w:p w:rsidR="00B27A59" w:rsidRDefault="0036112A">
          <w:pPr>
            <w:ind w:right="-1093"/>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B27A59" w:rsidRDefault="00701E6D">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59264" behindDoc="1" locked="0" layoutInCell="1" hidden="0" allowOverlap="1">
          <wp:simplePos x="0" y="0"/>
          <wp:positionH relativeFrom="page">
            <wp:align>left</wp:align>
          </wp:positionH>
          <wp:positionV relativeFrom="paragraph">
            <wp:posOffset>-1397072</wp:posOffset>
          </wp:positionV>
          <wp:extent cx="7813085" cy="10170000"/>
          <wp:effectExtent l="0" t="0" r="0" b="3175"/>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373ADC"/>
    <w:multiLevelType w:val="multilevel"/>
    <w:tmpl w:val="7FDEC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F876A25"/>
    <w:multiLevelType w:val="multilevel"/>
    <w:tmpl w:val="B07652E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9BD28DB"/>
    <w:multiLevelType w:val="multilevel"/>
    <w:tmpl w:val="12EC4F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C9C301E"/>
    <w:multiLevelType w:val="multilevel"/>
    <w:tmpl w:val="35B497BC"/>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7356670"/>
    <w:multiLevelType w:val="multilevel"/>
    <w:tmpl w:val="4ED0EA70"/>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 w15:restartNumberingAfterBreak="0">
    <w:nsid w:val="59F95FCE"/>
    <w:multiLevelType w:val="multilevel"/>
    <w:tmpl w:val="5A4206FC"/>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num w:numId="1">
    <w:abstractNumId w:val="5"/>
  </w:num>
  <w:num w:numId="2">
    <w:abstractNumId w:val="0"/>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A59"/>
    <w:rsid w:val="00041104"/>
    <w:rsid w:val="0036112A"/>
    <w:rsid w:val="00433FE5"/>
    <w:rsid w:val="004960EF"/>
    <w:rsid w:val="0056325F"/>
    <w:rsid w:val="006B0125"/>
    <w:rsid w:val="00701E6D"/>
    <w:rsid w:val="007E3B27"/>
    <w:rsid w:val="008106F1"/>
    <w:rsid w:val="00B27A59"/>
    <w:rsid w:val="00FB23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3C3ABB-3B04-48F1-90A5-4FDFB25FE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701E6D"/>
    <w:pPr>
      <w:tabs>
        <w:tab w:val="center" w:pos="4419"/>
        <w:tab w:val="right" w:pos="8838"/>
      </w:tabs>
    </w:pPr>
  </w:style>
  <w:style w:type="character" w:customStyle="1" w:styleId="EncabezadoCar">
    <w:name w:val="Encabezado Car"/>
    <w:basedOn w:val="Fuentedeprrafopredeter"/>
    <w:link w:val="Encabezado"/>
    <w:uiPriority w:val="99"/>
    <w:rsid w:val="00701E6D"/>
  </w:style>
  <w:style w:type="paragraph" w:styleId="Piedepgina">
    <w:name w:val="footer"/>
    <w:basedOn w:val="Normal"/>
    <w:link w:val="PiedepginaCar"/>
    <w:uiPriority w:val="99"/>
    <w:unhideWhenUsed/>
    <w:rsid w:val="00701E6D"/>
    <w:pPr>
      <w:tabs>
        <w:tab w:val="center" w:pos="4419"/>
        <w:tab w:val="right" w:pos="8838"/>
      </w:tabs>
    </w:pPr>
  </w:style>
  <w:style w:type="character" w:customStyle="1" w:styleId="PiedepginaCar">
    <w:name w:val="Pie de página Car"/>
    <w:basedOn w:val="Fuentedeprrafopredeter"/>
    <w:link w:val="Piedepgina"/>
    <w:uiPriority w:val="99"/>
    <w:rsid w:val="00701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riteriosdeinterpretacion.inai.org.mx/Criterios/02-19.docx"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lMF2WP2FhTi7DuwWwlhSVpr1IA==">CgMxLjAyDmguMnM4eWlxcTk2a2dwMghoLmdqZGd4czIJaC4xZm9iOXRlMgloLjN6bnlzaDcyCWguMmV0OTJwMDIOaC4xNjJtMW0zZmt6bDYyCGgudHlqY3d0MgloLjNkeTZ2a20yCWguMXQzaDVzZjIJaC40ZDM0b2c4MgloLjJzOGV5bzEyCWguMTdkcDh2dTIJaC4zcmRjcmpuMgloLjI2aW4xcmcyCWguMWtzdjR1djIJaC4yanhzeHFoOAByITFUbVhkX2d2Y2RDZ1VSMnNvS1pzTS1aRk01RjBBVHFN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31</Pages>
  <Words>7034</Words>
  <Characters>38692</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45635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2026-06-29T15:57:00Z</cp:lastPrinted>
  <dcterms:created xsi:type="dcterms:W3CDTF">2026-06-24T19:20:00Z</dcterms:created>
  <dcterms:modified xsi:type="dcterms:W3CDTF">2026-07-03T00:01:00Z</dcterms:modified>
</cp:coreProperties>
</file>