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0E9" w:rsidRPr="00AC78F4" w:rsidRDefault="00BF00E9" w:rsidP="00BF00E9">
      <w:pPr>
        <w:tabs>
          <w:tab w:val="left" w:pos="3465"/>
        </w:tabs>
        <w:spacing w:line="360" w:lineRule="auto"/>
        <w:ind w:right="-787"/>
        <w:jc w:val="both"/>
        <w:rPr>
          <w:rFonts w:ascii="Palatino Linotype" w:eastAsia="Palatino Linotype" w:hAnsi="Palatino Linotype" w:cs="Palatino Linotype"/>
        </w:rPr>
      </w:pPr>
      <w:bookmarkStart w:id="0" w:name="_GoBack"/>
      <w:bookmarkEnd w:id="0"/>
      <w:r w:rsidRPr="00AC78F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9E12F8" w:rsidRPr="00AC78F4">
        <w:rPr>
          <w:rFonts w:ascii="Palatino Linotype" w:eastAsia="Palatino Linotype" w:hAnsi="Palatino Linotype" w:cs="Palatino Linotype"/>
        </w:rPr>
        <w:t>veintidós</w:t>
      </w:r>
      <w:r w:rsidR="00AC78F4" w:rsidRPr="00AC78F4">
        <w:rPr>
          <w:rFonts w:ascii="Palatino Linotype" w:eastAsia="Palatino Linotype" w:hAnsi="Palatino Linotype" w:cs="Palatino Linotype"/>
        </w:rPr>
        <w:t xml:space="preserve"> (22)</w:t>
      </w:r>
      <w:r w:rsidR="009E12F8" w:rsidRPr="00AC78F4">
        <w:rPr>
          <w:rFonts w:ascii="Palatino Linotype" w:eastAsia="Palatino Linotype" w:hAnsi="Palatino Linotype" w:cs="Palatino Linotype"/>
        </w:rPr>
        <w:t xml:space="preserve"> de abril </w:t>
      </w:r>
      <w:r w:rsidRPr="00AC78F4">
        <w:rPr>
          <w:rFonts w:ascii="Palatino Linotype" w:eastAsia="Palatino Linotype" w:hAnsi="Palatino Linotype" w:cs="Palatino Linotype"/>
        </w:rPr>
        <w:t>de dos mil veintiséis.</w:t>
      </w:r>
    </w:p>
    <w:p w:rsidR="00BF00E9" w:rsidRPr="00AC78F4" w:rsidRDefault="00BF00E9" w:rsidP="00BF00E9">
      <w:pPr>
        <w:tabs>
          <w:tab w:val="left" w:pos="3465"/>
        </w:tabs>
        <w:spacing w:line="360" w:lineRule="auto"/>
        <w:ind w:right="-787"/>
        <w:jc w:val="both"/>
        <w:rPr>
          <w:rFonts w:ascii="Palatino Linotype" w:eastAsia="Palatino Linotype" w:hAnsi="Palatino Linotype" w:cs="Palatino Linotype"/>
        </w:rPr>
      </w:pPr>
    </w:p>
    <w:p w:rsidR="00BF00E9" w:rsidRPr="00AC78F4" w:rsidRDefault="00BF00E9" w:rsidP="00BF00E9">
      <w:pPr>
        <w:spacing w:line="360" w:lineRule="auto"/>
        <w:ind w:right="-787"/>
        <w:jc w:val="both"/>
        <w:rPr>
          <w:rFonts w:ascii="Palatino Linotype" w:eastAsia="Palatino Linotype" w:hAnsi="Palatino Linotype" w:cs="Palatino Linotype"/>
        </w:rPr>
      </w:pPr>
      <w:r w:rsidRPr="00AC78F4">
        <w:rPr>
          <w:rFonts w:ascii="Palatino Linotype" w:eastAsia="Palatino Linotype" w:hAnsi="Palatino Linotype" w:cs="Palatino Linotype"/>
          <w:b/>
        </w:rPr>
        <w:t xml:space="preserve">VISTAS </w:t>
      </w:r>
      <w:r w:rsidRPr="00AC78F4">
        <w:rPr>
          <w:rFonts w:ascii="Palatino Linotype" w:eastAsia="Palatino Linotype" w:hAnsi="Palatino Linotype" w:cs="Palatino Linotype"/>
        </w:rPr>
        <w:t xml:space="preserve">las constancias para resolver </w:t>
      </w:r>
      <w:r w:rsidRPr="00AC78F4">
        <w:rPr>
          <w:rFonts w:ascii="Palatino Linotype" w:eastAsia="Palatino Linotype" w:hAnsi="Palatino Linotype" w:cs="Palatino Linotype"/>
          <w:color w:val="000000"/>
        </w:rPr>
        <w:t xml:space="preserve">el Recurso de Revisión </w:t>
      </w:r>
      <w:r w:rsidR="002C3720" w:rsidRPr="00AC78F4">
        <w:rPr>
          <w:rFonts w:ascii="Palatino Linotype" w:eastAsia="Palatino Linotype" w:hAnsi="Palatino Linotype" w:cs="Palatino Linotype"/>
          <w:b/>
          <w:color w:val="000000"/>
        </w:rPr>
        <w:t>11103/INFOEM/IP/RR/2025</w:t>
      </w:r>
      <w:r w:rsidRPr="00AC78F4">
        <w:rPr>
          <w:rFonts w:ascii="Palatino Linotype" w:eastAsia="Palatino Linotype" w:hAnsi="Palatino Linotype" w:cs="Palatino Linotype"/>
          <w:color w:val="000000"/>
        </w:rPr>
        <w:t xml:space="preserve">, promovido por </w:t>
      </w:r>
      <w:r w:rsidR="003D7073">
        <w:rPr>
          <w:rFonts w:ascii="Palatino Linotype" w:eastAsia="Palatino Linotype" w:hAnsi="Palatino Linotype" w:cs="Palatino Linotype"/>
          <w:b/>
          <w:color w:val="000000"/>
        </w:rPr>
        <w:t>XXXX</w:t>
      </w:r>
      <w:r w:rsidRPr="00AC78F4">
        <w:rPr>
          <w:rFonts w:ascii="Palatino Linotype" w:eastAsia="Palatino Linotype" w:hAnsi="Palatino Linotype" w:cs="Palatino Linotype"/>
          <w:color w:val="000000"/>
        </w:rPr>
        <w:t>,</w:t>
      </w:r>
      <w:r w:rsidRPr="00AC78F4">
        <w:rPr>
          <w:rFonts w:ascii="Palatino Linotype" w:eastAsia="Palatino Linotype" w:hAnsi="Palatino Linotype" w:cs="Palatino Linotype"/>
        </w:rPr>
        <w:t xml:space="preserve"> en lo sucesivo </w:t>
      </w:r>
      <w:r w:rsidRPr="00AC78F4">
        <w:rPr>
          <w:rFonts w:ascii="Palatino Linotype" w:eastAsia="Palatino Linotype" w:hAnsi="Palatino Linotype" w:cs="Palatino Linotype"/>
          <w:b/>
        </w:rPr>
        <w:t>EL RECURRENTE</w:t>
      </w:r>
      <w:r w:rsidRPr="00AC78F4">
        <w:rPr>
          <w:rFonts w:ascii="Palatino Linotype" w:eastAsia="Palatino Linotype" w:hAnsi="Palatino Linotype" w:cs="Palatino Linotype"/>
        </w:rPr>
        <w:t xml:space="preserve">, en contra de la respuesta otorgada a la solicitud de información </w:t>
      </w:r>
      <w:r w:rsidR="002C3720" w:rsidRPr="00AC78F4">
        <w:rPr>
          <w:rFonts w:ascii="Palatino Linotype" w:eastAsia="Palatino Linotype" w:hAnsi="Palatino Linotype" w:cs="Palatino Linotype"/>
          <w:b/>
        </w:rPr>
        <w:t>00801/UAEM/IP/2025</w:t>
      </w:r>
      <w:r w:rsidRPr="00AC78F4">
        <w:rPr>
          <w:rFonts w:ascii="Palatino Linotype" w:eastAsia="Palatino Linotype" w:hAnsi="Palatino Linotype" w:cs="Palatino Linotype"/>
          <w:b/>
        </w:rPr>
        <w:t>,</w:t>
      </w:r>
      <w:r w:rsidRPr="00AC78F4">
        <w:rPr>
          <w:rFonts w:ascii="Palatino Linotype" w:eastAsia="Palatino Linotype" w:hAnsi="Palatino Linotype" w:cs="Palatino Linotype"/>
        </w:rPr>
        <w:t xml:space="preserve"> por parte del </w:t>
      </w:r>
      <w:r w:rsidR="001325F5" w:rsidRPr="00AC78F4">
        <w:rPr>
          <w:rFonts w:ascii="Palatino Linotype" w:eastAsia="Palatino Linotype" w:hAnsi="Palatino Linotype" w:cs="Palatino Linotype"/>
          <w:b/>
        </w:rPr>
        <w:t>Universidad Autónoma del Estado de México</w:t>
      </w:r>
      <w:r w:rsidRPr="00AC78F4">
        <w:rPr>
          <w:rFonts w:ascii="Palatino Linotype" w:eastAsia="Palatino Linotype" w:hAnsi="Palatino Linotype" w:cs="Palatino Linotype"/>
          <w:b/>
        </w:rPr>
        <w:t xml:space="preserve">, </w:t>
      </w:r>
      <w:r w:rsidRPr="00AC78F4">
        <w:rPr>
          <w:rFonts w:ascii="Palatino Linotype" w:eastAsia="Palatino Linotype" w:hAnsi="Palatino Linotype" w:cs="Palatino Linotype"/>
        </w:rPr>
        <w:t xml:space="preserve">en adelante el </w:t>
      </w:r>
      <w:r w:rsidRPr="00AC78F4">
        <w:rPr>
          <w:rFonts w:ascii="Palatino Linotype" w:eastAsia="Palatino Linotype" w:hAnsi="Palatino Linotype" w:cs="Palatino Linotype"/>
          <w:b/>
        </w:rPr>
        <w:t>SUJETO OBLIGADO</w:t>
      </w:r>
      <w:r w:rsidRPr="00AC78F4">
        <w:rPr>
          <w:rFonts w:ascii="Palatino Linotype" w:eastAsia="Palatino Linotype" w:hAnsi="Palatino Linotype" w:cs="Palatino Linotype"/>
        </w:rPr>
        <w:t xml:space="preserve">, se emite la presente resolución con base en los siguientes:  </w:t>
      </w:r>
    </w:p>
    <w:p w:rsidR="00BF00E9" w:rsidRPr="00AC78F4" w:rsidRDefault="00BF00E9" w:rsidP="00BF00E9">
      <w:pPr>
        <w:spacing w:line="360" w:lineRule="auto"/>
        <w:ind w:right="-787"/>
        <w:jc w:val="both"/>
        <w:rPr>
          <w:rFonts w:ascii="Palatino Linotype" w:eastAsia="Palatino Linotype" w:hAnsi="Palatino Linotype" w:cs="Palatino Linotype"/>
        </w:rPr>
      </w:pPr>
    </w:p>
    <w:p w:rsidR="00BF00E9" w:rsidRPr="00AC78F4" w:rsidRDefault="00BF00E9" w:rsidP="00BF00E9">
      <w:pPr>
        <w:pStyle w:val="Ttulo1"/>
        <w:spacing w:before="0" w:line="360" w:lineRule="auto"/>
        <w:ind w:right="-787"/>
        <w:jc w:val="center"/>
        <w:rPr>
          <w:rFonts w:ascii="Palatino Linotype" w:eastAsia="Palatino Linotype" w:hAnsi="Palatino Linotype" w:cs="Palatino Linotype"/>
          <w:b/>
          <w:color w:val="000000"/>
          <w:sz w:val="24"/>
          <w:szCs w:val="24"/>
        </w:rPr>
      </w:pPr>
      <w:bookmarkStart w:id="1" w:name="_heading=h.gjdgxs" w:colFirst="0" w:colLast="0"/>
      <w:bookmarkEnd w:id="1"/>
      <w:r w:rsidRPr="00AC78F4">
        <w:rPr>
          <w:rFonts w:ascii="Palatino Linotype" w:eastAsia="Palatino Linotype" w:hAnsi="Palatino Linotype" w:cs="Palatino Linotype"/>
          <w:b/>
          <w:color w:val="000000"/>
          <w:sz w:val="24"/>
          <w:szCs w:val="24"/>
        </w:rPr>
        <w:t>A N T E C E D E N T E S</w:t>
      </w:r>
    </w:p>
    <w:p w:rsidR="00BF00E9" w:rsidRPr="00AC78F4" w:rsidRDefault="00BF00E9" w:rsidP="00BF00E9">
      <w:pPr>
        <w:pBdr>
          <w:top w:val="nil"/>
          <w:left w:val="nil"/>
          <w:bottom w:val="nil"/>
          <w:right w:val="nil"/>
          <w:between w:val="nil"/>
        </w:pBdr>
        <w:spacing w:line="360" w:lineRule="auto"/>
        <w:ind w:left="720" w:right="-787"/>
        <w:jc w:val="both"/>
        <w:rPr>
          <w:rFonts w:ascii="Palatino Linotype" w:eastAsia="Palatino Linotype" w:hAnsi="Palatino Linotype" w:cs="Palatino Linotype"/>
          <w:b/>
          <w:color w:val="000000"/>
          <w:u w:val="single"/>
        </w:rPr>
      </w:pPr>
    </w:p>
    <w:p w:rsidR="00BF00E9" w:rsidRPr="00AC78F4" w:rsidRDefault="00BF00E9" w:rsidP="00BF00E9">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AC78F4">
        <w:rPr>
          <w:rFonts w:ascii="Palatino Linotype" w:eastAsia="Palatino Linotype" w:hAnsi="Palatino Linotype" w:cs="Palatino Linotype"/>
          <w:color w:val="000000"/>
        </w:rPr>
        <w:t xml:space="preserve">El </w:t>
      </w:r>
      <w:r w:rsidR="002C3720" w:rsidRPr="00AC78F4">
        <w:rPr>
          <w:rFonts w:ascii="Palatino Linotype" w:eastAsia="Palatino Linotype" w:hAnsi="Palatino Linotype" w:cs="Palatino Linotype"/>
          <w:b/>
          <w:color w:val="000000"/>
        </w:rPr>
        <w:t xml:space="preserve">siete de mayo </w:t>
      </w:r>
      <w:r w:rsidRPr="00AC78F4">
        <w:rPr>
          <w:rFonts w:ascii="Palatino Linotype" w:eastAsia="Palatino Linotype" w:hAnsi="Palatino Linotype" w:cs="Palatino Linotype"/>
          <w:b/>
          <w:color w:val="000000"/>
        </w:rPr>
        <w:t>de dos mil veinticinco</w:t>
      </w:r>
      <w:r w:rsidRPr="00AC78F4">
        <w:rPr>
          <w:rFonts w:ascii="Palatino Linotype" w:eastAsia="Palatino Linotype" w:hAnsi="Palatino Linotype" w:cs="Palatino Linotype"/>
          <w:color w:val="000000"/>
        </w:rPr>
        <w:t>,</w:t>
      </w:r>
      <w:r w:rsidRPr="00AC78F4">
        <w:rPr>
          <w:rFonts w:ascii="Palatino Linotype" w:eastAsia="Palatino Linotype" w:hAnsi="Palatino Linotype" w:cs="Palatino Linotype"/>
          <w:b/>
          <w:color w:val="000000"/>
        </w:rPr>
        <w:t xml:space="preserve"> </w:t>
      </w:r>
      <w:r w:rsidRPr="00AC78F4">
        <w:rPr>
          <w:rFonts w:ascii="Palatino Linotype" w:eastAsia="Palatino Linotype" w:hAnsi="Palatino Linotype" w:cs="Palatino Linotype"/>
          <w:color w:val="000000"/>
        </w:rPr>
        <w:t xml:space="preserve">se presentó ante el Sujeto Obligado vía Sistema de Acceso a la Información Mexiquense, en adelante SAIMEX, la siguiente </w:t>
      </w:r>
      <w:r w:rsidRPr="00AC78F4">
        <w:rPr>
          <w:rFonts w:ascii="Palatino Linotype" w:eastAsia="Palatino Linotype" w:hAnsi="Palatino Linotype" w:cs="Palatino Linotype"/>
          <w:b/>
          <w:color w:val="000000"/>
        </w:rPr>
        <w:t>solicitud de información pública</w:t>
      </w:r>
      <w:r w:rsidRPr="00AC78F4">
        <w:rPr>
          <w:rFonts w:ascii="Palatino Linotype" w:eastAsia="Palatino Linotype" w:hAnsi="Palatino Linotype" w:cs="Palatino Linotype"/>
          <w:color w:val="000000"/>
        </w:rPr>
        <w:t>:</w:t>
      </w:r>
    </w:p>
    <w:p w:rsidR="00BF00E9" w:rsidRPr="00AC78F4" w:rsidRDefault="00BF00E9" w:rsidP="00BF00E9">
      <w:pPr>
        <w:pBdr>
          <w:top w:val="nil"/>
          <w:left w:val="nil"/>
          <w:bottom w:val="nil"/>
          <w:right w:val="nil"/>
          <w:between w:val="nil"/>
        </w:pBdr>
        <w:ind w:right="-788"/>
        <w:jc w:val="both"/>
        <w:rPr>
          <w:rFonts w:ascii="Palatino Linotype" w:eastAsia="Palatino Linotype" w:hAnsi="Palatino Linotype" w:cs="Palatino Linotype"/>
          <w:color w:val="000000"/>
        </w:rPr>
      </w:pPr>
    </w:p>
    <w:p w:rsidR="00BF00E9" w:rsidRPr="00AC78F4" w:rsidRDefault="00BF00E9" w:rsidP="002C3720">
      <w:pPr>
        <w:pBdr>
          <w:top w:val="nil"/>
          <w:left w:val="nil"/>
          <w:bottom w:val="nil"/>
          <w:right w:val="nil"/>
          <w:between w:val="nil"/>
        </w:pBdr>
        <w:ind w:left="1134" w:right="1127"/>
        <w:jc w:val="both"/>
        <w:rPr>
          <w:rFonts w:ascii="Palatino Linotype" w:eastAsia="Palatino Linotype" w:hAnsi="Palatino Linotype" w:cs="Palatino Linotype"/>
          <w:i/>
          <w:color w:val="000000"/>
        </w:rPr>
      </w:pPr>
      <w:r w:rsidRPr="00AC78F4">
        <w:rPr>
          <w:rFonts w:ascii="Palatino Linotype" w:eastAsia="Palatino Linotype" w:hAnsi="Palatino Linotype" w:cs="Palatino Linotype"/>
          <w:i/>
          <w:color w:val="000000"/>
        </w:rPr>
        <w:t xml:space="preserve"> “</w:t>
      </w:r>
      <w:r w:rsidR="002C3720" w:rsidRPr="00AC78F4">
        <w:rPr>
          <w:rFonts w:ascii="Palatino Linotype" w:eastAsia="Palatino Linotype" w:hAnsi="Palatino Linotype" w:cs="Palatino Linotype"/>
          <w:i/>
          <w:color w:val="000000"/>
        </w:rPr>
        <w:t>solicito copia simple digitalizada a través del sistema electrónico saimex de los comprobantes de todos los pagos realizados mediante cheque y transferencia electrónica a particulares correspondientes a las partidas presupuestales 3611 y 3612 durante los meses de noviembre y diciembre diciembre de 2024</w:t>
      </w:r>
      <w:r w:rsidRPr="00AC78F4">
        <w:rPr>
          <w:rFonts w:ascii="Palatino Linotype" w:eastAsia="Palatino Linotype" w:hAnsi="Palatino Linotype" w:cs="Palatino Linotype"/>
          <w:i/>
          <w:color w:val="000000"/>
        </w:rPr>
        <w:t>.” (Sic)</w:t>
      </w:r>
    </w:p>
    <w:p w:rsidR="00BF00E9" w:rsidRPr="00AC78F4" w:rsidRDefault="00BF00E9" w:rsidP="00BF00E9">
      <w:pPr>
        <w:pBdr>
          <w:top w:val="nil"/>
          <w:left w:val="nil"/>
          <w:bottom w:val="nil"/>
          <w:right w:val="nil"/>
          <w:between w:val="nil"/>
        </w:pBdr>
        <w:ind w:right="-787"/>
        <w:jc w:val="both"/>
        <w:rPr>
          <w:rFonts w:ascii="Palatino Linotype" w:eastAsia="Palatino Linotype" w:hAnsi="Palatino Linotype" w:cs="Palatino Linotype"/>
          <w:i/>
          <w:color w:val="000000"/>
        </w:rPr>
      </w:pPr>
    </w:p>
    <w:p w:rsidR="00BF00E9" w:rsidRPr="00AC78F4" w:rsidRDefault="00BF00E9" w:rsidP="00BF00E9">
      <w:pPr>
        <w:numPr>
          <w:ilvl w:val="0"/>
          <w:numId w:val="1"/>
        </w:numPr>
        <w:pBdr>
          <w:top w:val="nil"/>
          <w:left w:val="nil"/>
          <w:bottom w:val="nil"/>
          <w:right w:val="nil"/>
          <w:between w:val="nil"/>
        </w:pBdr>
        <w:tabs>
          <w:tab w:val="left" w:pos="0"/>
        </w:tabs>
        <w:spacing w:line="360" w:lineRule="auto"/>
        <w:ind w:left="709" w:right="-787"/>
        <w:jc w:val="both"/>
        <w:rPr>
          <w:rFonts w:ascii="Palatino Linotype" w:eastAsia="Palatino Linotype" w:hAnsi="Palatino Linotype" w:cs="Palatino Linotype"/>
          <w:color w:val="000000"/>
        </w:rPr>
      </w:pPr>
      <w:r w:rsidRPr="00AC78F4">
        <w:rPr>
          <w:rFonts w:ascii="Palatino Linotype" w:eastAsia="Palatino Linotype" w:hAnsi="Palatino Linotype" w:cs="Palatino Linotype"/>
          <w:color w:val="000000"/>
        </w:rPr>
        <w:t xml:space="preserve">Se eligió como modalidad de entrega de la información: A través del </w:t>
      </w:r>
      <w:r w:rsidRPr="00AC78F4">
        <w:rPr>
          <w:rFonts w:ascii="Palatino Linotype" w:eastAsia="Palatino Linotype" w:hAnsi="Palatino Linotype" w:cs="Palatino Linotype"/>
          <w:b/>
          <w:color w:val="000000"/>
        </w:rPr>
        <w:t>SAIMEX.</w:t>
      </w:r>
    </w:p>
    <w:p w:rsidR="00BF00E9" w:rsidRPr="00AC78F4" w:rsidRDefault="00BF00E9" w:rsidP="00BF00E9">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650EB0" w:rsidRPr="00AC78F4" w:rsidRDefault="00650EB0" w:rsidP="00BF00E9">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AC78F4">
        <w:rPr>
          <w:rFonts w:ascii="Palatino Linotype" w:eastAsia="Palatino Linotype" w:hAnsi="Palatino Linotype" w:cs="Palatino Linotype"/>
          <w:color w:val="000000"/>
        </w:rPr>
        <w:t xml:space="preserve">El </w:t>
      </w:r>
      <w:r w:rsidRPr="00AC78F4">
        <w:rPr>
          <w:rFonts w:ascii="Palatino Linotype" w:eastAsia="Palatino Linotype" w:hAnsi="Palatino Linotype" w:cs="Palatino Linotype"/>
          <w:b/>
          <w:color w:val="000000"/>
        </w:rPr>
        <w:t xml:space="preserve">siete de mayo de dos mil veinticinco, </w:t>
      </w:r>
      <w:r w:rsidRPr="00AC78F4">
        <w:rPr>
          <w:rFonts w:ascii="Palatino Linotype" w:eastAsia="Palatino Linotype" w:hAnsi="Palatino Linotype" w:cs="Palatino Linotype"/>
          <w:color w:val="000000"/>
        </w:rPr>
        <w:t xml:space="preserve">el </w:t>
      </w:r>
      <w:r w:rsidRPr="00AC78F4">
        <w:rPr>
          <w:rFonts w:ascii="Palatino Linotype" w:eastAsia="Palatino Linotype" w:hAnsi="Palatino Linotype" w:cs="Palatino Linotype"/>
          <w:b/>
          <w:color w:val="000000"/>
        </w:rPr>
        <w:t xml:space="preserve">SUJETO OBLIGADO </w:t>
      </w:r>
      <w:r w:rsidRPr="00AC78F4">
        <w:rPr>
          <w:rFonts w:ascii="Palatino Linotype" w:eastAsia="Palatino Linotype" w:hAnsi="Palatino Linotype" w:cs="Palatino Linotype"/>
          <w:color w:val="000000"/>
        </w:rPr>
        <w:t xml:space="preserve">giro el requerimiento de información para que fuera atendida la solicitud de información </w:t>
      </w:r>
      <w:r w:rsidRPr="00AC78F4">
        <w:rPr>
          <w:rFonts w:ascii="Palatino Linotype" w:eastAsia="Palatino Linotype" w:hAnsi="Palatino Linotype" w:cs="Palatino Linotype"/>
          <w:b/>
        </w:rPr>
        <w:t>00801/UAEM/IP/2025.</w:t>
      </w:r>
    </w:p>
    <w:p w:rsidR="007157F2" w:rsidRPr="00AC78F4" w:rsidRDefault="00BF00E9" w:rsidP="00BF00E9">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AC78F4">
        <w:rPr>
          <w:rFonts w:ascii="Palatino Linotype" w:eastAsia="Palatino Linotype" w:hAnsi="Palatino Linotype" w:cs="Palatino Linotype"/>
          <w:color w:val="000000"/>
        </w:rPr>
        <w:lastRenderedPageBreak/>
        <w:t>El</w:t>
      </w:r>
      <w:r w:rsidRPr="00AC78F4">
        <w:rPr>
          <w:rFonts w:ascii="Palatino Linotype" w:eastAsia="Palatino Linotype" w:hAnsi="Palatino Linotype" w:cs="Palatino Linotype"/>
          <w:b/>
          <w:color w:val="000000"/>
        </w:rPr>
        <w:t xml:space="preserve"> </w:t>
      </w:r>
      <w:r w:rsidR="00542AB9" w:rsidRPr="00AC78F4">
        <w:rPr>
          <w:rFonts w:ascii="Palatino Linotype" w:eastAsia="Palatino Linotype" w:hAnsi="Palatino Linotype" w:cs="Palatino Linotype"/>
          <w:b/>
          <w:color w:val="000000"/>
        </w:rPr>
        <w:t xml:space="preserve">veinticinco de septiembre </w:t>
      </w:r>
      <w:r w:rsidRPr="00AC78F4">
        <w:rPr>
          <w:rFonts w:ascii="Palatino Linotype" w:eastAsia="Palatino Linotype" w:hAnsi="Palatino Linotype" w:cs="Palatino Linotype"/>
          <w:b/>
          <w:color w:val="000000"/>
        </w:rPr>
        <w:t>de dos mil veinticinco</w:t>
      </w:r>
      <w:r w:rsidRPr="00AC78F4">
        <w:rPr>
          <w:rFonts w:ascii="Palatino Linotype" w:eastAsia="Palatino Linotype" w:hAnsi="Palatino Linotype" w:cs="Palatino Linotype"/>
          <w:color w:val="000000"/>
        </w:rPr>
        <w:t>, el Sujeto Obligado</w:t>
      </w:r>
      <w:r w:rsidRPr="00AC78F4">
        <w:rPr>
          <w:rFonts w:ascii="Palatino Linotype" w:eastAsia="Palatino Linotype" w:hAnsi="Palatino Linotype" w:cs="Palatino Linotype"/>
          <w:b/>
          <w:color w:val="000000"/>
        </w:rPr>
        <w:t>,</w:t>
      </w:r>
      <w:r w:rsidR="007157F2" w:rsidRPr="00AC78F4">
        <w:rPr>
          <w:rFonts w:ascii="Palatino Linotype" w:eastAsia="Palatino Linotype" w:hAnsi="Palatino Linotype" w:cs="Palatino Linotype"/>
          <w:color w:val="000000"/>
        </w:rPr>
        <w:t xml:space="preserve"> de una carpeta zip, cuyo contenido es el siguiente. </w:t>
      </w:r>
    </w:p>
    <w:p w:rsidR="00BF00E9" w:rsidRPr="00AC78F4" w:rsidRDefault="00BF00E9" w:rsidP="00BF00E9">
      <w:pPr>
        <w:pBdr>
          <w:top w:val="nil"/>
          <w:left w:val="nil"/>
          <w:bottom w:val="nil"/>
          <w:right w:val="nil"/>
          <w:between w:val="nil"/>
        </w:pBdr>
        <w:tabs>
          <w:tab w:val="left" w:pos="426"/>
        </w:tabs>
        <w:ind w:left="567" w:right="-787"/>
        <w:jc w:val="both"/>
        <w:rPr>
          <w:rFonts w:ascii="Palatino Linotype" w:eastAsia="Palatino Linotype" w:hAnsi="Palatino Linotype" w:cs="Palatino Linotype"/>
          <w:b/>
          <w:i/>
          <w:color w:val="000000"/>
        </w:rPr>
      </w:pPr>
    </w:p>
    <w:p w:rsidR="00F07549" w:rsidRPr="00AC78F4" w:rsidRDefault="00F07549" w:rsidP="00F07549">
      <w:pPr>
        <w:pBdr>
          <w:top w:val="nil"/>
          <w:left w:val="nil"/>
          <w:bottom w:val="nil"/>
          <w:right w:val="nil"/>
          <w:between w:val="nil"/>
        </w:pBdr>
        <w:ind w:left="1134" w:right="1127"/>
        <w:jc w:val="both"/>
        <w:rPr>
          <w:rFonts w:ascii="Palatino Linotype" w:eastAsia="Palatino Linotype" w:hAnsi="Palatino Linotype" w:cs="Palatino Linotype"/>
          <w:i/>
          <w:color w:val="000000"/>
        </w:rPr>
      </w:pPr>
      <w:r w:rsidRPr="00AC78F4">
        <w:rPr>
          <w:rFonts w:ascii="Palatino Linotype" w:eastAsia="Palatino Linotype" w:hAnsi="Palatino Linotype" w:cs="Palatino Linotype"/>
          <w:b/>
          <w:i/>
          <w:color w:val="000000"/>
        </w:rPr>
        <w:t xml:space="preserve">SIP 801\CONTRATOS SEGUNDO SEMESTRE 2024: </w:t>
      </w:r>
      <w:r w:rsidRPr="00AC78F4">
        <w:rPr>
          <w:rFonts w:ascii="Palatino Linotype" w:eastAsia="Palatino Linotype" w:hAnsi="Palatino Linotype" w:cs="Palatino Linotype"/>
          <w:i/>
          <w:color w:val="000000"/>
        </w:rPr>
        <w:t xml:space="preserve">Contratos firmados entre el </w:t>
      </w:r>
      <w:r w:rsidRPr="00AC78F4">
        <w:rPr>
          <w:rFonts w:ascii="Palatino Linotype" w:eastAsia="Palatino Linotype" w:hAnsi="Palatino Linotype" w:cs="Palatino Linotype"/>
          <w:b/>
          <w:i/>
          <w:color w:val="000000"/>
        </w:rPr>
        <w:t xml:space="preserve">SUJETO OBLIGADO </w:t>
      </w:r>
      <w:r w:rsidRPr="00AC78F4">
        <w:rPr>
          <w:rFonts w:ascii="Palatino Linotype" w:eastAsia="Palatino Linotype" w:hAnsi="Palatino Linotype" w:cs="Palatino Linotype"/>
          <w:i/>
          <w:color w:val="000000"/>
        </w:rPr>
        <w:t xml:space="preserve">y particulares, del  mes de septiembre de dos mil veinticuatro. </w:t>
      </w:r>
    </w:p>
    <w:p w:rsidR="00F07549" w:rsidRPr="00AC78F4" w:rsidRDefault="00F07549" w:rsidP="00F07549">
      <w:pPr>
        <w:pBdr>
          <w:top w:val="nil"/>
          <w:left w:val="nil"/>
          <w:bottom w:val="nil"/>
          <w:right w:val="nil"/>
          <w:between w:val="nil"/>
        </w:pBdr>
        <w:ind w:left="1134" w:right="1127"/>
        <w:jc w:val="both"/>
        <w:rPr>
          <w:rFonts w:ascii="Palatino Linotype" w:eastAsia="Palatino Linotype" w:hAnsi="Palatino Linotype" w:cs="Palatino Linotype"/>
          <w:i/>
          <w:color w:val="000000"/>
        </w:rPr>
      </w:pPr>
    </w:p>
    <w:p w:rsidR="00BF00E9" w:rsidRPr="00AC78F4" w:rsidRDefault="00F07549" w:rsidP="00F07549">
      <w:pPr>
        <w:pBdr>
          <w:top w:val="nil"/>
          <w:left w:val="nil"/>
          <w:bottom w:val="nil"/>
          <w:right w:val="nil"/>
          <w:between w:val="nil"/>
        </w:pBdr>
        <w:ind w:left="1134" w:right="1127"/>
        <w:jc w:val="both"/>
        <w:rPr>
          <w:rFonts w:ascii="Palatino Linotype" w:eastAsia="Palatino Linotype" w:hAnsi="Palatino Linotype" w:cs="Palatino Linotype"/>
          <w:color w:val="000000"/>
        </w:rPr>
      </w:pPr>
      <w:r w:rsidRPr="00AC78F4">
        <w:rPr>
          <w:rFonts w:ascii="Palatino Linotype" w:eastAsia="Palatino Linotype" w:hAnsi="Palatino Linotype" w:cs="Palatino Linotype"/>
          <w:b/>
          <w:i/>
          <w:color w:val="000000"/>
        </w:rPr>
        <w:t xml:space="preserve">SIP 801\acuerdo UAEM.CI.CIC.048.2025.pdf: </w:t>
      </w:r>
      <w:r w:rsidRPr="00AC78F4">
        <w:rPr>
          <w:rFonts w:ascii="Palatino Linotype" w:eastAsia="Palatino Linotype" w:hAnsi="Palatino Linotype" w:cs="Palatino Linotype"/>
          <w:i/>
          <w:color w:val="000000"/>
        </w:rPr>
        <w:t xml:space="preserve">Acuerdo del Comité de Transparencia, mediante el cual se clasifican como confidenciales los datos de domicilio, número telefónico, y correos electrónicos de particulares, así como clave de elector, CURP, nombre de terceras personas, número de cuenta bancaria y CLABE interbancaria. </w:t>
      </w:r>
    </w:p>
    <w:p w:rsidR="00BF00E9" w:rsidRPr="00AC78F4" w:rsidRDefault="00BF00E9" w:rsidP="00BF00E9">
      <w:pPr>
        <w:pBdr>
          <w:top w:val="nil"/>
          <w:left w:val="nil"/>
          <w:bottom w:val="nil"/>
          <w:right w:val="nil"/>
          <w:between w:val="nil"/>
        </w:pBdr>
        <w:tabs>
          <w:tab w:val="left" w:pos="0"/>
        </w:tabs>
        <w:ind w:right="-787"/>
        <w:jc w:val="both"/>
        <w:rPr>
          <w:rFonts w:ascii="Palatino Linotype" w:eastAsia="Palatino Linotype" w:hAnsi="Palatino Linotype" w:cs="Palatino Linotype"/>
          <w:i/>
          <w:color w:val="000000"/>
        </w:rPr>
      </w:pPr>
    </w:p>
    <w:p w:rsidR="00BF00E9" w:rsidRPr="00AC78F4" w:rsidRDefault="00BF00E9" w:rsidP="00BF00E9">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AC78F4">
        <w:rPr>
          <w:rFonts w:ascii="Palatino Linotype" w:eastAsia="Palatino Linotype" w:hAnsi="Palatino Linotype" w:cs="Palatino Linotype"/>
          <w:color w:val="000000"/>
        </w:rPr>
        <w:t>El</w:t>
      </w:r>
      <w:r w:rsidRPr="00AC78F4">
        <w:rPr>
          <w:rFonts w:ascii="Palatino Linotype" w:eastAsia="Palatino Linotype" w:hAnsi="Palatino Linotype" w:cs="Palatino Linotype"/>
          <w:b/>
          <w:color w:val="000000"/>
        </w:rPr>
        <w:t xml:space="preserve"> </w:t>
      </w:r>
      <w:r w:rsidR="00F07549" w:rsidRPr="00AC78F4">
        <w:rPr>
          <w:rFonts w:ascii="Palatino Linotype" w:eastAsia="Palatino Linotype" w:hAnsi="Palatino Linotype" w:cs="Palatino Linotype"/>
          <w:b/>
          <w:color w:val="000000"/>
        </w:rPr>
        <w:t xml:space="preserve">veintiséis de septiembre </w:t>
      </w:r>
      <w:r w:rsidRPr="00AC78F4">
        <w:rPr>
          <w:rFonts w:ascii="Palatino Linotype" w:eastAsia="Palatino Linotype" w:hAnsi="Palatino Linotype" w:cs="Palatino Linotype"/>
          <w:b/>
          <w:color w:val="000000"/>
        </w:rPr>
        <w:t xml:space="preserve"> de dos mil veinticinco</w:t>
      </w:r>
      <w:r w:rsidRPr="00AC78F4">
        <w:rPr>
          <w:rFonts w:ascii="Palatino Linotype" w:eastAsia="Palatino Linotype" w:hAnsi="Palatino Linotype" w:cs="Palatino Linotype"/>
          <w:color w:val="000000"/>
        </w:rPr>
        <w:t xml:space="preserve">, el particular interpuso el </w:t>
      </w:r>
      <w:r w:rsidRPr="00AC78F4">
        <w:rPr>
          <w:rFonts w:ascii="Palatino Linotype" w:eastAsia="Palatino Linotype" w:hAnsi="Palatino Linotype" w:cs="Palatino Linotype"/>
          <w:b/>
          <w:color w:val="000000"/>
        </w:rPr>
        <w:t>recurso de revisión</w:t>
      </w:r>
      <w:r w:rsidRPr="00AC78F4">
        <w:rPr>
          <w:rFonts w:ascii="Palatino Linotype" w:eastAsia="Palatino Linotype" w:hAnsi="Palatino Linotype" w:cs="Palatino Linotype"/>
          <w:color w:val="000000"/>
        </w:rPr>
        <w:t xml:space="preserve"> al que se le asignó el folio </w:t>
      </w:r>
      <w:r w:rsidR="002C3720" w:rsidRPr="00AC78F4">
        <w:rPr>
          <w:rFonts w:ascii="Palatino Linotype" w:eastAsia="Palatino Linotype" w:hAnsi="Palatino Linotype" w:cs="Palatino Linotype"/>
          <w:b/>
          <w:color w:val="000000"/>
        </w:rPr>
        <w:t>11103/INFOEM/IP/RR/2025</w:t>
      </w:r>
      <w:r w:rsidRPr="00AC78F4">
        <w:rPr>
          <w:rFonts w:ascii="Palatino Linotype" w:eastAsia="Palatino Linotype" w:hAnsi="Palatino Linotype" w:cs="Palatino Linotype"/>
          <w:b/>
          <w:color w:val="000000"/>
        </w:rPr>
        <w:t xml:space="preserve"> </w:t>
      </w:r>
      <w:r w:rsidRPr="00AC78F4">
        <w:rPr>
          <w:rFonts w:ascii="Palatino Linotype" w:eastAsia="Palatino Linotype" w:hAnsi="Palatino Linotype" w:cs="Palatino Linotype"/>
          <w:color w:val="000000"/>
        </w:rPr>
        <w:t>en contra de la respuesta emitida por el sujeto obligado, realizando las siguientes manifestaciones como acto impugnado y razones o motivos de inconformidad:</w:t>
      </w:r>
    </w:p>
    <w:p w:rsidR="00BF00E9" w:rsidRPr="00AC78F4" w:rsidRDefault="00BF00E9" w:rsidP="00BF00E9">
      <w:pPr>
        <w:pBdr>
          <w:top w:val="nil"/>
          <w:left w:val="nil"/>
          <w:bottom w:val="nil"/>
          <w:right w:val="nil"/>
          <w:between w:val="nil"/>
        </w:pBdr>
        <w:tabs>
          <w:tab w:val="left" w:pos="0"/>
        </w:tabs>
        <w:ind w:left="357" w:right="-788"/>
        <w:jc w:val="both"/>
        <w:rPr>
          <w:rFonts w:ascii="Palatino Linotype" w:eastAsia="Palatino Linotype" w:hAnsi="Palatino Linotype" w:cs="Palatino Linotype"/>
          <w:color w:val="000000"/>
        </w:rPr>
      </w:pPr>
    </w:p>
    <w:p w:rsidR="00BF00E9" w:rsidRPr="00AC78F4" w:rsidRDefault="00BF00E9" w:rsidP="00BF00E9">
      <w:pPr>
        <w:pBdr>
          <w:top w:val="nil"/>
          <w:left w:val="nil"/>
          <w:bottom w:val="nil"/>
          <w:right w:val="nil"/>
          <w:between w:val="nil"/>
        </w:pBdr>
        <w:ind w:left="851" w:right="-149"/>
        <w:jc w:val="both"/>
        <w:rPr>
          <w:rFonts w:ascii="Palatino Linotype" w:eastAsia="Palatino Linotype" w:hAnsi="Palatino Linotype" w:cs="Palatino Linotype"/>
          <w:i/>
          <w:color w:val="000000"/>
        </w:rPr>
      </w:pPr>
      <w:bookmarkStart w:id="2" w:name="_heading=h.30j0zll" w:colFirst="0" w:colLast="0"/>
      <w:bookmarkEnd w:id="2"/>
      <w:r w:rsidRPr="00AC78F4">
        <w:rPr>
          <w:rFonts w:ascii="Palatino Linotype" w:eastAsia="Palatino Linotype" w:hAnsi="Palatino Linotype" w:cs="Palatino Linotype"/>
          <w:b/>
          <w:color w:val="000000"/>
        </w:rPr>
        <w:t xml:space="preserve">Acto impugnado: </w:t>
      </w:r>
      <w:r w:rsidRPr="00AC78F4">
        <w:rPr>
          <w:rFonts w:ascii="Palatino Linotype" w:eastAsia="Palatino Linotype" w:hAnsi="Palatino Linotype" w:cs="Palatino Linotype"/>
          <w:i/>
          <w:color w:val="000000"/>
        </w:rPr>
        <w:t>“</w:t>
      </w:r>
      <w:r w:rsidR="00F07549" w:rsidRPr="00AC78F4">
        <w:rPr>
          <w:rFonts w:ascii="Palatino Linotype" w:eastAsia="Palatino Linotype" w:hAnsi="Palatino Linotype" w:cs="Palatino Linotype"/>
          <w:i/>
          <w:color w:val="000000"/>
        </w:rPr>
        <w:t>RESPUESTA A LA SOLICITUD 00801/UAEM/IP/2025</w:t>
      </w:r>
      <w:r w:rsidRPr="00AC78F4">
        <w:rPr>
          <w:rFonts w:ascii="Palatino Linotype" w:eastAsia="Palatino Linotype" w:hAnsi="Palatino Linotype" w:cs="Palatino Linotype"/>
          <w:i/>
          <w:color w:val="000000"/>
        </w:rPr>
        <w:t>” (Sic)</w:t>
      </w:r>
    </w:p>
    <w:p w:rsidR="00BF00E9" w:rsidRPr="00AC78F4" w:rsidRDefault="00BF00E9" w:rsidP="00BF00E9">
      <w:pPr>
        <w:pBdr>
          <w:top w:val="nil"/>
          <w:left w:val="nil"/>
          <w:bottom w:val="nil"/>
          <w:right w:val="nil"/>
          <w:between w:val="nil"/>
        </w:pBdr>
        <w:ind w:left="851" w:right="-149"/>
        <w:jc w:val="both"/>
        <w:rPr>
          <w:rFonts w:ascii="Palatino Linotype" w:eastAsia="Palatino Linotype" w:hAnsi="Palatino Linotype" w:cs="Palatino Linotype"/>
          <w:i/>
          <w:color w:val="000000"/>
        </w:rPr>
      </w:pPr>
    </w:p>
    <w:p w:rsidR="00BF00E9" w:rsidRPr="00AC78F4" w:rsidRDefault="00BF00E9" w:rsidP="00BF00E9">
      <w:pPr>
        <w:pBdr>
          <w:top w:val="nil"/>
          <w:left w:val="nil"/>
          <w:bottom w:val="nil"/>
          <w:right w:val="nil"/>
          <w:between w:val="nil"/>
        </w:pBdr>
        <w:ind w:left="851" w:right="-149"/>
        <w:jc w:val="both"/>
        <w:rPr>
          <w:rFonts w:ascii="Palatino Linotype" w:eastAsia="Palatino Linotype" w:hAnsi="Palatino Linotype" w:cs="Palatino Linotype"/>
          <w:i/>
          <w:color w:val="000000"/>
        </w:rPr>
      </w:pPr>
      <w:bookmarkStart w:id="3" w:name="_heading=h.1fob9te" w:colFirst="0" w:colLast="0"/>
      <w:bookmarkEnd w:id="3"/>
      <w:r w:rsidRPr="00AC78F4">
        <w:rPr>
          <w:rFonts w:ascii="Palatino Linotype" w:eastAsia="Palatino Linotype" w:hAnsi="Palatino Linotype" w:cs="Palatino Linotype"/>
          <w:b/>
          <w:color w:val="000000"/>
        </w:rPr>
        <w:t xml:space="preserve">Razones o Motivos de inconformidad: </w:t>
      </w:r>
      <w:r w:rsidRPr="00AC78F4">
        <w:rPr>
          <w:rFonts w:ascii="Palatino Linotype" w:eastAsia="Palatino Linotype" w:hAnsi="Palatino Linotype" w:cs="Palatino Linotype"/>
          <w:i/>
          <w:color w:val="000000"/>
        </w:rPr>
        <w:t>“</w:t>
      </w:r>
      <w:r w:rsidR="00F07549" w:rsidRPr="00AC78F4">
        <w:rPr>
          <w:rFonts w:ascii="Palatino Linotype" w:eastAsia="Palatino Linotype" w:hAnsi="Palatino Linotype" w:cs="Palatino Linotype"/>
          <w:i/>
          <w:color w:val="000000"/>
        </w:rPr>
        <w:t>LA INFORMACION ENTREGADA A ESTE SOLICITANTE POR EL SUJETO OBLIGADO. NO CORRESPONDE A LA SOLICITADA, POR LO QUE SOLICITO SE REVOQUE LA RESPUESTA Y SE ORDENE LA ENTREGA DE LA INFORMACION DETALLADA EN LA SOLICITUD.</w:t>
      </w:r>
      <w:r w:rsidRPr="00AC78F4">
        <w:rPr>
          <w:rFonts w:ascii="Palatino Linotype" w:eastAsia="Palatino Linotype" w:hAnsi="Palatino Linotype" w:cs="Palatino Linotype"/>
          <w:i/>
          <w:color w:val="000000"/>
        </w:rPr>
        <w:t xml:space="preserve">.” </w:t>
      </w:r>
      <w:r w:rsidRPr="00AC78F4">
        <w:rPr>
          <w:rFonts w:ascii="Palatino Linotype" w:eastAsia="Palatino Linotype" w:hAnsi="Palatino Linotype" w:cs="Palatino Linotype"/>
          <w:color w:val="000000"/>
        </w:rPr>
        <w:t>(Sic)</w:t>
      </w:r>
    </w:p>
    <w:p w:rsidR="00BF00E9" w:rsidRPr="00AC78F4" w:rsidRDefault="00BF00E9" w:rsidP="00BF00E9">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rsidR="00BF00E9" w:rsidRPr="00AC78F4" w:rsidRDefault="00BF00E9" w:rsidP="00BF00E9">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AC78F4">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AC78F4">
        <w:rPr>
          <w:rFonts w:ascii="Palatino Linotype" w:eastAsia="Palatino Linotype" w:hAnsi="Palatino Linotype" w:cs="Palatino Linotype"/>
          <w:b/>
          <w:color w:val="000000"/>
        </w:rPr>
        <w:t xml:space="preserve">acuerdo de admisión </w:t>
      </w:r>
      <w:r w:rsidRPr="00AC78F4">
        <w:rPr>
          <w:rFonts w:ascii="Palatino Linotype" w:eastAsia="Palatino Linotype" w:hAnsi="Palatino Linotype" w:cs="Palatino Linotype"/>
          <w:color w:val="000000"/>
        </w:rPr>
        <w:t xml:space="preserve">de fecha </w:t>
      </w:r>
      <w:r w:rsidR="00F03BAE" w:rsidRPr="00AC78F4">
        <w:rPr>
          <w:rFonts w:ascii="Palatino Linotype" w:eastAsia="Palatino Linotype" w:hAnsi="Palatino Linotype" w:cs="Palatino Linotype"/>
          <w:b/>
          <w:color w:val="000000"/>
        </w:rPr>
        <w:t xml:space="preserve">veintinueve de septiembre </w:t>
      </w:r>
      <w:r w:rsidRPr="00AC78F4">
        <w:rPr>
          <w:rFonts w:ascii="Palatino Linotype" w:eastAsia="Palatino Linotype" w:hAnsi="Palatino Linotype" w:cs="Palatino Linotype"/>
          <w:b/>
          <w:color w:val="000000"/>
        </w:rPr>
        <w:t xml:space="preserve">de dos mil veinticinco, </w:t>
      </w:r>
      <w:r w:rsidRPr="00AC78F4">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Pr="00AC78F4">
        <w:rPr>
          <w:rFonts w:ascii="Palatino Linotype" w:eastAsia="Palatino Linotype" w:hAnsi="Palatino Linotype" w:cs="Palatino Linotype"/>
        </w:rPr>
        <w:t>manifestara</w:t>
      </w:r>
      <w:r w:rsidRPr="00AC78F4">
        <w:rPr>
          <w:rFonts w:ascii="Palatino Linotype" w:eastAsia="Palatino Linotype" w:hAnsi="Palatino Linotype" w:cs="Palatino Linotype"/>
          <w:color w:val="000000"/>
        </w:rPr>
        <w:t xml:space="preserve"> lo que a su derecho </w:t>
      </w:r>
      <w:r w:rsidRPr="00AC78F4">
        <w:rPr>
          <w:rFonts w:ascii="Palatino Linotype" w:eastAsia="Palatino Linotype" w:hAnsi="Palatino Linotype" w:cs="Palatino Linotype"/>
          <w:color w:val="000000"/>
        </w:rPr>
        <w:lastRenderedPageBreak/>
        <w:t xml:space="preserve">conviniera, </w:t>
      </w:r>
      <w:r w:rsidRPr="00AC78F4">
        <w:rPr>
          <w:rFonts w:ascii="Palatino Linotype" w:eastAsia="Palatino Linotype" w:hAnsi="Palatino Linotype" w:cs="Palatino Linotype"/>
        </w:rPr>
        <w:t>ofreciera</w:t>
      </w:r>
      <w:r w:rsidRPr="00AC78F4">
        <w:rPr>
          <w:rFonts w:ascii="Palatino Linotype" w:eastAsia="Palatino Linotype" w:hAnsi="Palatino Linotype" w:cs="Palatino Linotype"/>
          <w:color w:val="000000"/>
        </w:rPr>
        <w:t xml:space="preserve"> pruebas y alegatos según corresponda al caso concreto, de esta forma para que el </w:t>
      </w:r>
      <w:r w:rsidRPr="00AC78F4">
        <w:rPr>
          <w:rFonts w:ascii="Palatino Linotype" w:eastAsia="Palatino Linotype" w:hAnsi="Palatino Linotype" w:cs="Palatino Linotype"/>
          <w:b/>
          <w:color w:val="000000"/>
        </w:rPr>
        <w:t xml:space="preserve">SUJETO OBLIGADO </w:t>
      </w:r>
      <w:r w:rsidRPr="00AC78F4">
        <w:rPr>
          <w:rFonts w:ascii="Palatino Linotype" w:eastAsia="Palatino Linotype" w:hAnsi="Palatino Linotype" w:cs="Palatino Linotype"/>
        </w:rPr>
        <w:t>presentara</w:t>
      </w:r>
      <w:r w:rsidRPr="00AC78F4">
        <w:rPr>
          <w:rFonts w:ascii="Palatino Linotype" w:eastAsia="Palatino Linotype" w:hAnsi="Palatino Linotype" w:cs="Palatino Linotype"/>
          <w:color w:val="000000"/>
        </w:rPr>
        <w:t xml:space="preserve"> el Informe Justificado procedente.</w:t>
      </w:r>
    </w:p>
    <w:p w:rsidR="00BF00E9" w:rsidRPr="00AC78F4" w:rsidRDefault="00BF00E9" w:rsidP="00BF00E9">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BF00E9" w:rsidRPr="00AC78F4" w:rsidRDefault="00BF00E9" w:rsidP="00BF00E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AC78F4">
        <w:rPr>
          <w:rFonts w:ascii="Palatino Linotype" w:eastAsia="Palatino Linotype" w:hAnsi="Palatino Linotype" w:cs="Palatino Linotype"/>
          <w:color w:val="000000"/>
        </w:rPr>
        <w:t>El Recurrente</w:t>
      </w:r>
      <w:r w:rsidRPr="00AC78F4">
        <w:rPr>
          <w:rFonts w:ascii="Palatino Linotype" w:eastAsia="Palatino Linotype" w:hAnsi="Palatino Linotype" w:cs="Palatino Linotype"/>
          <w:b/>
          <w:color w:val="000000"/>
        </w:rPr>
        <w:t xml:space="preserve"> </w:t>
      </w:r>
      <w:r w:rsidRPr="00AC78F4">
        <w:rPr>
          <w:rFonts w:ascii="Palatino Linotype" w:eastAsia="Palatino Linotype" w:hAnsi="Palatino Linotype" w:cs="Palatino Linotype"/>
          <w:color w:val="000000"/>
        </w:rPr>
        <w:t>dejó de realizar manifestaciones que a su derecho conviniera y asistiera. Por su parte, el Sujeto Obligado,</w:t>
      </w:r>
      <w:r w:rsidRPr="00AC78F4">
        <w:rPr>
          <w:rFonts w:ascii="Palatino Linotype" w:eastAsia="Palatino Linotype" w:hAnsi="Palatino Linotype" w:cs="Palatino Linotype"/>
          <w:b/>
          <w:color w:val="000000"/>
        </w:rPr>
        <w:t xml:space="preserve"> </w:t>
      </w:r>
      <w:r w:rsidRPr="00AC78F4">
        <w:rPr>
          <w:rFonts w:ascii="Palatino Linotype" w:eastAsia="Palatino Linotype" w:hAnsi="Palatino Linotype" w:cs="Palatino Linotype"/>
          <w:color w:val="000000"/>
        </w:rPr>
        <w:t xml:space="preserve">en fecha </w:t>
      </w:r>
      <w:r w:rsidRPr="00AC78F4">
        <w:rPr>
          <w:rFonts w:ascii="Palatino Linotype" w:eastAsia="Palatino Linotype" w:hAnsi="Palatino Linotype" w:cs="Palatino Linotype"/>
          <w:b/>
          <w:color w:val="000000"/>
        </w:rPr>
        <w:t xml:space="preserve"> </w:t>
      </w:r>
      <w:r w:rsidR="00883B27" w:rsidRPr="00AC78F4">
        <w:rPr>
          <w:rFonts w:ascii="Palatino Linotype" w:eastAsia="Palatino Linotype" w:hAnsi="Palatino Linotype" w:cs="Palatino Linotype"/>
          <w:b/>
          <w:color w:val="000000"/>
        </w:rPr>
        <w:t xml:space="preserve">ocho y nueve </w:t>
      </w:r>
      <w:r w:rsidRPr="00AC78F4">
        <w:rPr>
          <w:rFonts w:ascii="Palatino Linotype" w:eastAsia="Palatino Linotype" w:hAnsi="Palatino Linotype" w:cs="Palatino Linotype"/>
          <w:b/>
          <w:color w:val="000000"/>
        </w:rPr>
        <w:t>de octubre de dos mil veinticinco</w:t>
      </w:r>
      <w:r w:rsidRPr="00AC78F4">
        <w:rPr>
          <w:rFonts w:ascii="Palatino Linotype" w:eastAsia="Palatino Linotype" w:hAnsi="Palatino Linotype" w:cs="Palatino Linotype"/>
          <w:color w:val="000000"/>
        </w:rPr>
        <w:t>, presentó informe justificado, a través de los archivos digitales siguientes:</w:t>
      </w:r>
    </w:p>
    <w:p w:rsidR="00BF00E9" w:rsidRPr="00AC78F4" w:rsidRDefault="00BF00E9" w:rsidP="00BF00E9">
      <w:pPr>
        <w:pBdr>
          <w:top w:val="nil"/>
          <w:left w:val="nil"/>
          <w:bottom w:val="nil"/>
          <w:right w:val="nil"/>
          <w:between w:val="nil"/>
        </w:pBdr>
        <w:ind w:right="-787"/>
        <w:jc w:val="both"/>
        <w:rPr>
          <w:rFonts w:ascii="Palatino Linotype" w:eastAsia="Palatino Linotype" w:hAnsi="Palatino Linotype" w:cs="Palatino Linotype"/>
          <w:color w:val="000000"/>
        </w:rPr>
      </w:pPr>
    </w:p>
    <w:p w:rsidR="00BF00E9" w:rsidRPr="00AC78F4" w:rsidRDefault="00E550F0" w:rsidP="00E550F0">
      <w:pPr>
        <w:pBdr>
          <w:top w:val="nil"/>
          <w:left w:val="nil"/>
          <w:bottom w:val="nil"/>
          <w:right w:val="nil"/>
          <w:between w:val="nil"/>
        </w:pBdr>
        <w:ind w:left="1134" w:right="1127"/>
        <w:jc w:val="both"/>
        <w:rPr>
          <w:rFonts w:ascii="Palatino Linotype" w:eastAsia="Palatino Linotype" w:hAnsi="Palatino Linotype" w:cs="Palatino Linotype"/>
          <w:i/>
          <w:color w:val="000000"/>
        </w:rPr>
      </w:pPr>
      <w:r w:rsidRPr="00AC78F4">
        <w:rPr>
          <w:rFonts w:ascii="Palatino Linotype" w:eastAsia="Palatino Linotype" w:hAnsi="Palatino Linotype" w:cs="Palatino Linotype"/>
          <w:b/>
          <w:i/>
          <w:color w:val="000000"/>
        </w:rPr>
        <w:t xml:space="preserve">rr11103-25_08-10-2025-180730.pdf: </w:t>
      </w:r>
      <w:r w:rsidRPr="00AC78F4">
        <w:rPr>
          <w:rFonts w:ascii="Palatino Linotype" w:eastAsia="Palatino Linotype" w:hAnsi="Palatino Linotype" w:cs="Palatino Linotype"/>
          <w:i/>
          <w:color w:val="000000"/>
        </w:rPr>
        <w:t xml:space="preserve">Informe Justificado mediante el cual se anexan unas tablas del mes de noviembre y diciembre de los pagos realizados a particulares por el servicio de medios de comunicación que guardan relación con las partidas solicitadas. </w:t>
      </w:r>
    </w:p>
    <w:p w:rsidR="00E550F0" w:rsidRPr="00AC78F4" w:rsidRDefault="00E550F0" w:rsidP="00E550F0">
      <w:pPr>
        <w:pBdr>
          <w:top w:val="nil"/>
          <w:left w:val="nil"/>
          <w:bottom w:val="nil"/>
          <w:right w:val="nil"/>
          <w:between w:val="nil"/>
        </w:pBdr>
        <w:ind w:left="1134" w:right="1127"/>
        <w:jc w:val="both"/>
        <w:rPr>
          <w:rFonts w:ascii="Palatino Linotype" w:eastAsia="Palatino Linotype" w:hAnsi="Palatino Linotype" w:cs="Palatino Linotype"/>
          <w:i/>
          <w:color w:val="000000"/>
        </w:rPr>
      </w:pPr>
      <w:r w:rsidRPr="00AC78F4">
        <w:rPr>
          <w:rFonts w:ascii="Palatino Linotype" w:eastAsia="Palatino Linotype" w:hAnsi="Palatino Linotype" w:cs="Palatino Linotype"/>
          <w:b/>
          <w:i/>
          <w:color w:val="000000"/>
        </w:rPr>
        <w:t xml:space="preserve">DRF-11103-25.pdf: </w:t>
      </w:r>
      <w:r w:rsidRPr="00AC78F4">
        <w:rPr>
          <w:rFonts w:ascii="Palatino Linotype" w:eastAsia="Palatino Linotype" w:hAnsi="Palatino Linotype" w:cs="Palatino Linotype"/>
          <w:i/>
          <w:color w:val="000000"/>
        </w:rPr>
        <w:t xml:space="preserve">oficio del Director de Recursos Financieros, mediante el cual informa que toda vez que las partidas presupuestales corresponden a la Dirección General de Comunicación Universitaria, es que su área no es la responsable. </w:t>
      </w:r>
    </w:p>
    <w:p w:rsidR="00E550F0" w:rsidRPr="00AC78F4" w:rsidRDefault="00E550F0" w:rsidP="00E550F0">
      <w:pPr>
        <w:pBdr>
          <w:top w:val="nil"/>
          <w:left w:val="nil"/>
          <w:bottom w:val="nil"/>
          <w:right w:val="nil"/>
          <w:between w:val="nil"/>
        </w:pBdr>
        <w:ind w:left="1134" w:right="1127"/>
        <w:jc w:val="both"/>
        <w:rPr>
          <w:rFonts w:ascii="Palatino Linotype" w:eastAsia="Palatino Linotype" w:hAnsi="Palatino Linotype" w:cs="Palatino Linotype"/>
          <w:i/>
          <w:color w:val="000000"/>
        </w:rPr>
      </w:pPr>
      <w:r w:rsidRPr="00AC78F4">
        <w:rPr>
          <w:rFonts w:ascii="Palatino Linotype" w:eastAsia="Palatino Linotype" w:hAnsi="Palatino Linotype" w:cs="Palatino Linotype"/>
          <w:b/>
          <w:i/>
          <w:color w:val="000000"/>
        </w:rPr>
        <w:t xml:space="preserve">SF-1770- 25_Transparencia_Recurso_De_Revisión_compressed.pdf: </w:t>
      </w:r>
      <w:r w:rsidRPr="00AC78F4">
        <w:rPr>
          <w:rFonts w:ascii="Palatino Linotype" w:eastAsia="Palatino Linotype" w:hAnsi="Palatino Linotype" w:cs="Palatino Linotype"/>
          <w:i/>
          <w:color w:val="000000"/>
        </w:rPr>
        <w:t xml:space="preserve">oficio de la  Secretaria de Finanzas, mediante el cual informa que el área responsable de la ejecución de las partidas presupuestales 3611 y 3612 es la Dirección General de Comunicación Universitaria. </w:t>
      </w:r>
    </w:p>
    <w:p w:rsidR="00E550F0" w:rsidRPr="00AC78F4" w:rsidRDefault="00E550F0" w:rsidP="00E550F0">
      <w:pPr>
        <w:pBdr>
          <w:top w:val="nil"/>
          <w:left w:val="nil"/>
          <w:bottom w:val="nil"/>
          <w:right w:val="nil"/>
          <w:between w:val="nil"/>
        </w:pBdr>
        <w:ind w:left="1134" w:right="1127"/>
        <w:jc w:val="both"/>
        <w:rPr>
          <w:rFonts w:ascii="Palatino Linotype" w:eastAsia="Palatino Linotype" w:hAnsi="Palatino Linotype" w:cs="Palatino Linotype"/>
          <w:i/>
          <w:color w:val="000000"/>
        </w:rPr>
      </w:pPr>
    </w:p>
    <w:p w:rsidR="00BF00E9" w:rsidRPr="00AC78F4" w:rsidRDefault="00BF00E9" w:rsidP="00BF00E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bookmarkStart w:id="4" w:name="_heading=h.3znysh7" w:colFirst="0" w:colLast="0"/>
      <w:bookmarkEnd w:id="4"/>
      <w:r w:rsidRPr="00AC78F4">
        <w:rPr>
          <w:rFonts w:ascii="Palatino Linotype" w:eastAsia="Palatino Linotype" w:hAnsi="Palatino Linotype" w:cs="Palatino Linotype"/>
          <w:color w:val="000000"/>
        </w:rPr>
        <w:t>En fecha</w:t>
      </w:r>
      <w:r w:rsidRPr="00AC78F4">
        <w:rPr>
          <w:rFonts w:ascii="Palatino Linotype" w:eastAsia="Palatino Linotype" w:hAnsi="Palatino Linotype" w:cs="Palatino Linotype"/>
          <w:b/>
          <w:color w:val="000000"/>
        </w:rPr>
        <w:t xml:space="preserve"> </w:t>
      </w:r>
      <w:r w:rsidR="001214D0" w:rsidRPr="00AC78F4">
        <w:rPr>
          <w:rFonts w:ascii="Palatino Linotype" w:eastAsia="Palatino Linotype" w:hAnsi="Palatino Linotype" w:cs="Palatino Linotype"/>
          <w:b/>
          <w:color w:val="000000"/>
        </w:rPr>
        <w:t>catorce de mayo</w:t>
      </w:r>
      <w:r w:rsidRPr="00AC78F4">
        <w:rPr>
          <w:rFonts w:ascii="Palatino Linotype" w:eastAsia="Palatino Linotype" w:hAnsi="Palatino Linotype" w:cs="Palatino Linotype"/>
          <w:b/>
          <w:color w:val="000000"/>
        </w:rPr>
        <w:t xml:space="preserve"> de dos mil veintiséis</w:t>
      </w:r>
      <w:r w:rsidRPr="00AC78F4">
        <w:rPr>
          <w:rFonts w:ascii="Palatino Linotype" w:eastAsia="Palatino Linotype" w:hAnsi="Palatino Linotype" w:cs="Palatino Linotype"/>
          <w:color w:val="000000"/>
        </w:rPr>
        <w:t xml:space="preserve">, se acordó </w:t>
      </w:r>
      <w:r w:rsidRPr="00AC78F4">
        <w:rPr>
          <w:rFonts w:ascii="Palatino Linotype" w:eastAsia="Palatino Linotype" w:hAnsi="Palatino Linotype" w:cs="Palatino Linotype"/>
          <w:b/>
          <w:color w:val="000000"/>
        </w:rPr>
        <w:t xml:space="preserve">ampliar el </w:t>
      </w:r>
      <w:r w:rsidRPr="00AC78F4">
        <w:rPr>
          <w:rFonts w:ascii="Palatino Linotype" w:eastAsia="Palatino Linotype" w:hAnsi="Palatino Linotype" w:cs="Palatino Linotype"/>
          <w:b/>
        </w:rPr>
        <w:t>plazo</w:t>
      </w:r>
      <w:r w:rsidRPr="00AC78F4">
        <w:rPr>
          <w:rFonts w:ascii="Palatino Linotype" w:eastAsia="Palatino Linotype" w:hAnsi="Palatino Linotype" w:cs="Palatino Linotype"/>
          <w:b/>
          <w:color w:val="000000"/>
        </w:rPr>
        <w:t xml:space="preserve"> para resolver</w:t>
      </w:r>
      <w:r w:rsidRPr="00AC78F4">
        <w:rPr>
          <w:rFonts w:ascii="Palatino Linotype" w:eastAsia="Palatino Linotype" w:hAnsi="Palatino Linotype" w:cs="Palatino Linotype"/>
          <w:color w:val="000000"/>
        </w:rPr>
        <w:t xml:space="preserve"> el presente Recurso de Revisión.</w:t>
      </w:r>
    </w:p>
    <w:p w:rsidR="00BF00E9" w:rsidRPr="00AC78F4" w:rsidRDefault="00BF00E9" w:rsidP="00BF00E9">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BF00E9" w:rsidRPr="00AC78F4" w:rsidRDefault="00BF00E9" w:rsidP="00BF00E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r w:rsidRPr="00AC78F4">
        <w:rPr>
          <w:rFonts w:ascii="Palatino Linotype" w:eastAsia="Palatino Linotype" w:hAnsi="Palatino Linotype" w:cs="Palatino Linotype"/>
          <w:color w:val="000000"/>
        </w:rPr>
        <w:t xml:space="preserve">Seguidamente, en fecha </w:t>
      </w:r>
      <w:r w:rsidR="001214D0" w:rsidRPr="00AC78F4">
        <w:rPr>
          <w:rFonts w:ascii="Palatino Linotype" w:eastAsia="Palatino Linotype" w:hAnsi="Palatino Linotype" w:cs="Palatino Linotype"/>
          <w:b/>
          <w:color w:val="000000"/>
        </w:rPr>
        <w:t>veintidós de abril</w:t>
      </w:r>
      <w:r w:rsidRPr="00AC78F4">
        <w:rPr>
          <w:rFonts w:ascii="Palatino Linotype" w:eastAsia="Palatino Linotype" w:hAnsi="Palatino Linotype" w:cs="Palatino Linotype"/>
          <w:b/>
          <w:color w:val="000000"/>
        </w:rPr>
        <w:t xml:space="preserve"> de dos mil veintiséis</w:t>
      </w:r>
      <w:r w:rsidRPr="00AC78F4">
        <w:rPr>
          <w:rFonts w:ascii="Palatino Linotype" w:eastAsia="Palatino Linotype" w:hAnsi="Palatino Linotype" w:cs="Palatino Linotype"/>
          <w:color w:val="000000"/>
        </w:rPr>
        <w:t xml:space="preserve">, la Comisionada Ponente dictó el </w:t>
      </w:r>
      <w:r w:rsidRPr="00AC78F4">
        <w:rPr>
          <w:rFonts w:ascii="Palatino Linotype" w:eastAsia="Palatino Linotype" w:hAnsi="Palatino Linotype" w:cs="Palatino Linotype"/>
          <w:b/>
          <w:color w:val="000000"/>
        </w:rPr>
        <w:t>cierre del periodo de instrucción</w:t>
      </w:r>
      <w:r w:rsidRPr="00AC78F4">
        <w:rPr>
          <w:rFonts w:ascii="Palatino Linotype" w:eastAsia="Palatino Linotype" w:hAnsi="Palatino Linotype" w:cs="Palatino Linotype"/>
          <w:color w:val="000000"/>
        </w:rPr>
        <w:t xml:space="preserve"> y, ordenó la resolución que conforme a Derecho proceda, de acuerdo a las siguientes:</w:t>
      </w:r>
      <w:r w:rsidR="00AC78F4">
        <w:rPr>
          <w:rFonts w:ascii="Palatino Linotype" w:eastAsia="Palatino Linotype" w:hAnsi="Palatino Linotype" w:cs="Palatino Linotype"/>
          <w:color w:val="000000"/>
        </w:rPr>
        <w:t xml:space="preserve"> --------------------------------------------------------------</w:t>
      </w:r>
    </w:p>
    <w:p w:rsidR="00AC78F4" w:rsidRDefault="00AC78F4" w:rsidP="00AC78F4">
      <w:pPr>
        <w:pStyle w:val="Prrafodelista"/>
        <w:rPr>
          <w:rFonts w:ascii="Palatino Linotype" w:eastAsia="Palatino Linotype" w:hAnsi="Palatino Linotype" w:cs="Palatino Linotype"/>
          <w:b/>
          <w:color w:val="000000"/>
        </w:rPr>
      </w:pPr>
    </w:p>
    <w:p w:rsidR="00AC78F4" w:rsidRPr="00AC78F4" w:rsidRDefault="00AC78F4" w:rsidP="00AC78F4">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BF00E9" w:rsidRPr="00AC78F4" w:rsidRDefault="00BF00E9" w:rsidP="00BF00E9">
      <w:pPr>
        <w:pBdr>
          <w:top w:val="nil"/>
          <w:left w:val="nil"/>
          <w:bottom w:val="nil"/>
          <w:right w:val="nil"/>
          <w:between w:val="nil"/>
        </w:pBdr>
        <w:ind w:left="720" w:right="-787"/>
        <w:rPr>
          <w:rFonts w:ascii="Palatino Linotype" w:eastAsia="Palatino Linotype" w:hAnsi="Palatino Linotype" w:cs="Palatino Linotype"/>
          <w:b/>
          <w:color w:val="000000"/>
        </w:rPr>
      </w:pPr>
    </w:p>
    <w:p w:rsidR="00BF00E9" w:rsidRPr="00AC78F4" w:rsidRDefault="00BF00E9" w:rsidP="00BF00E9">
      <w:pPr>
        <w:keepNext/>
        <w:keepLines/>
        <w:spacing w:line="360" w:lineRule="auto"/>
        <w:jc w:val="center"/>
        <w:rPr>
          <w:rFonts w:ascii="Palatino Linotype" w:eastAsia="Palatino Linotype" w:hAnsi="Palatino Linotype" w:cs="Palatino Linotype"/>
          <w:b/>
        </w:rPr>
      </w:pPr>
      <w:r w:rsidRPr="00AC78F4">
        <w:rPr>
          <w:rFonts w:ascii="Palatino Linotype" w:eastAsia="Palatino Linotype" w:hAnsi="Palatino Linotype" w:cs="Palatino Linotype"/>
          <w:b/>
        </w:rPr>
        <w:lastRenderedPageBreak/>
        <w:t xml:space="preserve">C O N S I D E R A N D O </w:t>
      </w:r>
    </w:p>
    <w:p w:rsidR="00BF00E9" w:rsidRPr="00AC78F4" w:rsidRDefault="00BF00E9" w:rsidP="00BF00E9">
      <w:pPr>
        <w:spacing w:line="360" w:lineRule="auto"/>
        <w:rPr>
          <w:rFonts w:ascii="Palatino Linotype" w:eastAsia="Palatino Linotype" w:hAnsi="Palatino Linotype" w:cs="Palatino Linotype"/>
        </w:rPr>
      </w:pPr>
    </w:p>
    <w:p w:rsidR="00BF00E9" w:rsidRPr="00AC78F4" w:rsidRDefault="00BF00E9" w:rsidP="00BF00E9">
      <w:pPr>
        <w:keepNext/>
        <w:keepLines/>
        <w:spacing w:line="360" w:lineRule="auto"/>
        <w:rPr>
          <w:rFonts w:ascii="Palatino Linotype" w:eastAsia="Palatino Linotype" w:hAnsi="Palatino Linotype" w:cs="Palatino Linotype"/>
          <w:b/>
        </w:rPr>
      </w:pPr>
      <w:r w:rsidRPr="00AC78F4">
        <w:rPr>
          <w:rFonts w:ascii="Palatino Linotype" w:eastAsia="Palatino Linotype" w:hAnsi="Palatino Linotype" w:cs="Palatino Linotype"/>
          <w:b/>
        </w:rPr>
        <w:t>PRIMERO. De la competencia</w:t>
      </w:r>
    </w:p>
    <w:p w:rsidR="00BF00E9" w:rsidRPr="00AC78F4" w:rsidRDefault="00BF00E9" w:rsidP="00BF00E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AC78F4">
        <w:rPr>
          <w:rFonts w:ascii="Palatino Linotype" w:eastAsia="Palatino Linotype" w:hAnsi="Palatino Linotype" w:cs="Palatino Linotype"/>
          <w:color w:val="000000"/>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cuadragésimo cuarto, cuadragésimo quinto y cuadragésimo sexto,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BF00E9" w:rsidRPr="00AC78F4" w:rsidRDefault="00BF00E9" w:rsidP="00BF00E9">
      <w:pPr>
        <w:tabs>
          <w:tab w:val="left" w:pos="426"/>
        </w:tabs>
        <w:spacing w:line="360" w:lineRule="auto"/>
        <w:jc w:val="both"/>
        <w:rPr>
          <w:rFonts w:ascii="Palatino Linotype" w:eastAsia="Palatino Linotype" w:hAnsi="Palatino Linotype" w:cs="Palatino Linotype"/>
          <w:color w:val="000000"/>
        </w:rPr>
      </w:pPr>
    </w:p>
    <w:p w:rsidR="00BF00E9" w:rsidRPr="00AC78F4" w:rsidRDefault="00BF00E9" w:rsidP="00BF00E9">
      <w:pPr>
        <w:keepNext/>
        <w:keepLines/>
        <w:spacing w:line="360" w:lineRule="auto"/>
        <w:rPr>
          <w:rFonts w:ascii="Palatino Linotype" w:eastAsia="Palatino Linotype" w:hAnsi="Palatino Linotype" w:cs="Palatino Linotype"/>
          <w:b/>
        </w:rPr>
      </w:pPr>
      <w:r w:rsidRPr="00AC78F4">
        <w:rPr>
          <w:rFonts w:ascii="Palatino Linotype" w:eastAsia="Palatino Linotype" w:hAnsi="Palatino Linotype" w:cs="Palatino Linotype"/>
          <w:b/>
        </w:rPr>
        <w:t>SEGUNDO. De la oportunidad y procedencia.</w:t>
      </w:r>
    </w:p>
    <w:p w:rsidR="00BF00E9" w:rsidRPr="00AC78F4" w:rsidRDefault="00BF00E9" w:rsidP="00BF00E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AC78F4">
        <w:rPr>
          <w:rFonts w:ascii="Palatino Linotype" w:eastAsia="Palatino Linotype" w:hAnsi="Palatino Linotype" w:cs="Palatino Linotype"/>
        </w:rPr>
        <w:t xml:space="preserve">El </w:t>
      </w:r>
      <w:r w:rsidRPr="00AC78F4">
        <w:rPr>
          <w:rFonts w:ascii="Palatino Linotype" w:eastAsia="Palatino Linotype" w:hAnsi="Palatino Linotype" w:cs="Palatino Linotype"/>
          <w:color w:val="000000"/>
        </w:rPr>
        <w:t>medio</w:t>
      </w:r>
      <w:r w:rsidRPr="00AC78F4">
        <w:rPr>
          <w:rFonts w:ascii="Palatino Linotype" w:eastAsia="Palatino Linotype" w:hAnsi="Palatino Linotype" w:cs="Palatino Linotype"/>
        </w:rPr>
        <w:t xml:space="preserve"> de </w:t>
      </w:r>
      <w:r w:rsidRPr="00AC78F4">
        <w:rPr>
          <w:rFonts w:ascii="Palatino Linotype" w:eastAsia="Palatino Linotype" w:hAnsi="Palatino Linotype" w:cs="Palatino Linotype"/>
          <w:color w:val="000000"/>
        </w:rPr>
        <w:t>impugnación</w:t>
      </w:r>
      <w:r w:rsidRPr="00AC78F4">
        <w:rPr>
          <w:rFonts w:ascii="Palatino Linotype" w:eastAsia="Palatino Linotype" w:hAnsi="Palatino Linotype" w:cs="Palatino Linotype"/>
        </w:rPr>
        <w:t xml:space="preserve"> fue presentado a través del </w:t>
      </w:r>
      <w:r w:rsidRPr="00AC78F4">
        <w:rPr>
          <w:rFonts w:ascii="Palatino Linotype" w:eastAsia="Palatino Linotype" w:hAnsi="Palatino Linotype" w:cs="Palatino Linotype"/>
          <w:b/>
        </w:rPr>
        <w:t>SAIMEX,</w:t>
      </w:r>
      <w:r w:rsidRPr="00AC78F4">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AC78F4">
        <w:rPr>
          <w:rFonts w:ascii="Palatino Linotype" w:eastAsia="Palatino Linotype" w:hAnsi="Palatino Linotype" w:cs="Palatino Linotype"/>
          <w:b/>
        </w:rPr>
        <w:t>SUJETO OBLIGADO</w:t>
      </w:r>
      <w:r w:rsidRPr="00AC78F4">
        <w:rPr>
          <w:rFonts w:ascii="Palatino Linotype" w:eastAsia="Palatino Linotype" w:hAnsi="Palatino Linotype" w:cs="Palatino Linotype"/>
        </w:rPr>
        <w:t xml:space="preserve"> entregó respuesta el </w:t>
      </w:r>
      <w:r w:rsidR="001214D0" w:rsidRPr="00AC78F4">
        <w:rPr>
          <w:rFonts w:ascii="Palatino Linotype" w:eastAsia="Palatino Linotype" w:hAnsi="Palatino Linotype" w:cs="Palatino Linotype"/>
          <w:b/>
        </w:rPr>
        <w:t>veinticinco de septiembre</w:t>
      </w:r>
      <w:r w:rsidRPr="00AC78F4">
        <w:rPr>
          <w:rFonts w:ascii="Palatino Linotype" w:eastAsia="Palatino Linotype" w:hAnsi="Palatino Linotype" w:cs="Palatino Linotype"/>
          <w:b/>
        </w:rPr>
        <w:t xml:space="preserve"> de dos mil veinticinco</w:t>
      </w:r>
      <w:r w:rsidRPr="00AC78F4">
        <w:rPr>
          <w:rFonts w:ascii="Palatino Linotype" w:eastAsia="Palatino Linotype" w:hAnsi="Palatino Linotype" w:cs="Palatino Linotype"/>
        </w:rPr>
        <w:t xml:space="preserve">, de tal forma que el plazo para interponer el recurso transcurrió del </w:t>
      </w:r>
      <w:r w:rsidR="001214D0" w:rsidRPr="00AC78F4">
        <w:rPr>
          <w:rFonts w:ascii="Palatino Linotype" w:eastAsia="Palatino Linotype" w:hAnsi="Palatino Linotype" w:cs="Palatino Linotype"/>
          <w:b/>
        </w:rPr>
        <w:t>veintiséis</w:t>
      </w:r>
      <w:r w:rsidRPr="00AC78F4">
        <w:rPr>
          <w:rFonts w:ascii="Palatino Linotype" w:eastAsia="Palatino Linotype" w:hAnsi="Palatino Linotype" w:cs="Palatino Linotype"/>
          <w:b/>
        </w:rPr>
        <w:t xml:space="preserve"> de septiembre </w:t>
      </w:r>
      <w:r w:rsidR="001214D0" w:rsidRPr="00AC78F4">
        <w:rPr>
          <w:rFonts w:ascii="Palatino Linotype" w:eastAsia="Palatino Linotype" w:hAnsi="Palatino Linotype" w:cs="Palatino Linotype"/>
          <w:b/>
        </w:rPr>
        <w:t xml:space="preserve">al dieciséis de octubre </w:t>
      </w:r>
      <w:r w:rsidRPr="00AC78F4">
        <w:rPr>
          <w:rFonts w:ascii="Palatino Linotype" w:eastAsia="Palatino Linotype" w:hAnsi="Palatino Linotype" w:cs="Palatino Linotype"/>
          <w:b/>
        </w:rPr>
        <w:t xml:space="preserve">de dos mil veinticinco, </w:t>
      </w:r>
      <w:r w:rsidRPr="00AC78F4">
        <w:rPr>
          <w:rFonts w:ascii="Palatino Linotype" w:eastAsia="Palatino Linotype" w:hAnsi="Palatino Linotype" w:cs="Palatino Linotype"/>
        </w:rPr>
        <w:t xml:space="preserve">en consecuencia, si el </w:t>
      </w:r>
      <w:r w:rsidRPr="00AC78F4">
        <w:rPr>
          <w:rFonts w:ascii="Palatino Linotype" w:eastAsia="Palatino Linotype" w:hAnsi="Palatino Linotype" w:cs="Palatino Linotype"/>
          <w:b/>
        </w:rPr>
        <w:t>PARTICULAR</w:t>
      </w:r>
      <w:r w:rsidRPr="00AC78F4">
        <w:rPr>
          <w:rFonts w:ascii="Palatino Linotype" w:eastAsia="Palatino Linotype" w:hAnsi="Palatino Linotype" w:cs="Palatino Linotype"/>
        </w:rPr>
        <w:t xml:space="preserve"> presentó su inconformidad el </w:t>
      </w:r>
      <w:r w:rsidR="001214D0" w:rsidRPr="00AC78F4">
        <w:rPr>
          <w:rFonts w:ascii="Palatino Linotype" w:eastAsia="Palatino Linotype" w:hAnsi="Palatino Linotype" w:cs="Palatino Linotype"/>
          <w:b/>
        </w:rPr>
        <w:t xml:space="preserve">veintiséis de septiembre </w:t>
      </w:r>
      <w:r w:rsidRPr="00AC78F4">
        <w:rPr>
          <w:rFonts w:ascii="Palatino Linotype" w:eastAsia="Palatino Linotype" w:hAnsi="Palatino Linotype" w:cs="Palatino Linotype"/>
          <w:b/>
        </w:rPr>
        <w:t>de dos mil veinticinco</w:t>
      </w:r>
      <w:r w:rsidRPr="00AC78F4">
        <w:rPr>
          <w:rFonts w:ascii="Palatino Linotype" w:eastAsia="Palatino Linotype" w:hAnsi="Palatino Linotype" w:cs="Palatino Linotype"/>
        </w:rPr>
        <w:t xml:space="preserve">, este  se encuentra dentro de los márgenes temporales previstos en el </w:t>
      </w:r>
      <w:r w:rsidRPr="00AC78F4">
        <w:rPr>
          <w:rFonts w:ascii="Palatino Linotype" w:eastAsia="Palatino Linotype" w:hAnsi="Palatino Linotype" w:cs="Palatino Linotype"/>
          <w:b/>
        </w:rPr>
        <w:t>artículo 178</w:t>
      </w:r>
      <w:r w:rsidRPr="00AC78F4">
        <w:rPr>
          <w:rFonts w:ascii="Palatino Linotype" w:eastAsia="Palatino Linotype" w:hAnsi="Palatino Linotype" w:cs="Palatino Linotype"/>
        </w:rPr>
        <w:t xml:space="preserve"> de la </w:t>
      </w:r>
      <w:r w:rsidRPr="00AC78F4">
        <w:rPr>
          <w:rFonts w:ascii="Palatino Linotype" w:eastAsia="Palatino Linotype" w:hAnsi="Palatino Linotype" w:cs="Palatino Linotype"/>
          <w:b/>
        </w:rPr>
        <w:t xml:space="preserve">Ley de Transparencia y Acceso a la Información Pública del Estado de México y Municipios </w:t>
      </w:r>
      <w:r w:rsidRPr="00AC78F4">
        <w:rPr>
          <w:rFonts w:ascii="Palatino Linotype" w:eastAsia="Palatino Linotype" w:hAnsi="Palatino Linotype" w:cs="Palatino Linotype"/>
        </w:rPr>
        <w:t xml:space="preserve">vigente.  </w:t>
      </w:r>
    </w:p>
    <w:p w:rsidR="00BF00E9" w:rsidRPr="00AC78F4" w:rsidRDefault="00BF00E9" w:rsidP="00BF00E9">
      <w:pPr>
        <w:pStyle w:val="Ttulo2"/>
        <w:rPr>
          <w:rFonts w:ascii="Palatino Linotype" w:eastAsia="Palatino Linotype" w:hAnsi="Palatino Linotype" w:cs="Palatino Linotype"/>
          <w:b/>
          <w:i/>
          <w:color w:val="000000"/>
          <w:sz w:val="24"/>
          <w:szCs w:val="24"/>
        </w:rPr>
      </w:pPr>
      <w:bookmarkStart w:id="5" w:name="_heading=h.2et92p0" w:colFirst="0" w:colLast="0"/>
      <w:bookmarkEnd w:id="5"/>
      <w:r w:rsidRPr="00AC78F4">
        <w:rPr>
          <w:rFonts w:ascii="Palatino Linotype" w:eastAsia="Palatino Linotype" w:hAnsi="Palatino Linotype" w:cs="Palatino Linotype"/>
          <w:b/>
          <w:color w:val="000000"/>
          <w:sz w:val="24"/>
          <w:szCs w:val="24"/>
        </w:rPr>
        <w:lastRenderedPageBreak/>
        <w:t xml:space="preserve">TERCERO. Del planteamiento de la </w:t>
      </w:r>
      <w:r w:rsidRPr="00AC78F4">
        <w:rPr>
          <w:rFonts w:ascii="Palatino Linotype" w:eastAsia="Palatino Linotype" w:hAnsi="Palatino Linotype" w:cs="Palatino Linotype"/>
          <w:b/>
          <w:i/>
          <w:color w:val="000000"/>
          <w:sz w:val="24"/>
          <w:szCs w:val="24"/>
        </w:rPr>
        <w:t>Litis.</w:t>
      </w:r>
    </w:p>
    <w:p w:rsidR="00BF00E9" w:rsidRPr="00AC78F4" w:rsidRDefault="00BF00E9" w:rsidP="00BF00E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AC78F4">
        <w:rPr>
          <w:rFonts w:ascii="Palatino Linotype" w:eastAsia="Palatino Linotype" w:hAnsi="Palatino Linotype" w:cs="Palatino Linotype"/>
          <w:color w:val="000000"/>
        </w:rPr>
        <w:t xml:space="preserve">Se </w:t>
      </w:r>
      <w:r w:rsidRPr="00AC78F4">
        <w:rPr>
          <w:rFonts w:ascii="Palatino Linotype" w:eastAsia="Palatino Linotype" w:hAnsi="Palatino Linotype" w:cs="Palatino Linotype"/>
        </w:rPr>
        <w:t>solicitó</w:t>
      </w:r>
      <w:r w:rsidRPr="00AC78F4">
        <w:rPr>
          <w:rFonts w:ascii="Palatino Linotype" w:eastAsia="Palatino Linotype" w:hAnsi="Palatino Linotype" w:cs="Palatino Linotype"/>
          <w:color w:val="000000"/>
        </w:rPr>
        <w:t xml:space="preserve"> tener acceso, a la información que a continuación se simplifica:</w:t>
      </w:r>
    </w:p>
    <w:p w:rsidR="00BF00E9" w:rsidRPr="00AC78F4" w:rsidRDefault="00BF00E9" w:rsidP="004A2CF4">
      <w:pPr>
        <w:pStyle w:val="Prrafodelista"/>
        <w:numPr>
          <w:ilvl w:val="0"/>
          <w:numId w:val="5"/>
        </w:numPr>
        <w:pBdr>
          <w:top w:val="nil"/>
          <w:left w:val="nil"/>
          <w:bottom w:val="nil"/>
          <w:right w:val="nil"/>
          <w:between w:val="nil"/>
        </w:pBdr>
        <w:ind w:right="1127" w:hanging="12"/>
        <w:jc w:val="both"/>
        <w:rPr>
          <w:rFonts w:ascii="Palatino Linotype" w:eastAsia="Palatino Linotype" w:hAnsi="Palatino Linotype" w:cs="Palatino Linotype"/>
          <w:i/>
          <w:color w:val="000000"/>
        </w:rPr>
      </w:pPr>
      <w:r w:rsidRPr="00AC78F4">
        <w:rPr>
          <w:rFonts w:ascii="Palatino Linotype" w:eastAsia="Palatino Linotype" w:hAnsi="Palatino Linotype" w:cs="Palatino Linotype"/>
          <w:i/>
          <w:color w:val="000000"/>
        </w:rPr>
        <w:t>Comprobantes de pago mediante cheque o transferencia electrónica de la</w:t>
      </w:r>
      <w:r w:rsidR="004A2CF4" w:rsidRPr="00AC78F4">
        <w:rPr>
          <w:rFonts w:ascii="Palatino Linotype" w:eastAsia="Palatino Linotype" w:hAnsi="Palatino Linotype" w:cs="Palatino Linotype"/>
          <w:i/>
          <w:color w:val="000000"/>
        </w:rPr>
        <w:t>s</w:t>
      </w:r>
      <w:r w:rsidRPr="00AC78F4">
        <w:rPr>
          <w:rFonts w:ascii="Palatino Linotype" w:eastAsia="Palatino Linotype" w:hAnsi="Palatino Linotype" w:cs="Palatino Linotype"/>
          <w:i/>
          <w:color w:val="000000"/>
        </w:rPr>
        <w:t xml:space="preserve"> partida presupuestal</w:t>
      </w:r>
      <w:r w:rsidR="004A2CF4" w:rsidRPr="00AC78F4">
        <w:rPr>
          <w:rFonts w:ascii="Palatino Linotype" w:eastAsia="Palatino Linotype" w:hAnsi="Palatino Linotype" w:cs="Palatino Linotype"/>
          <w:i/>
          <w:color w:val="000000"/>
        </w:rPr>
        <w:t>es</w:t>
      </w:r>
      <w:r w:rsidRPr="00AC78F4">
        <w:rPr>
          <w:rFonts w:ascii="Palatino Linotype" w:eastAsia="Palatino Linotype" w:hAnsi="Palatino Linotype" w:cs="Palatino Linotype"/>
          <w:i/>
          <w:color w:val="000000"/>
        </w:rPr>
        <w:t xml:space="preserve"> </w:t>
      </w:r>
      <w:r w:rsidR="004A2CF4" w:rsidRPr="00AC78F4">
        <w:rPr>
          <w:rFonts w:ascii="Palatino Linotype" w:eastAsia="Palatino Linotype" w:hAnsi="Palatino Linotype" w:cs="Palatino Linotype"/>
          <w:i/>
          <w:color w:val="000000"/>
        </w:rPr>
        <w:t>3611 y 3612</w:t>
      </w:r>
      <w:r w:rsidRPr="00AC78F4">
        <w:rPr>
          <w:rFonts w:ascii="Palatino Linotype" w:eastAsia="Palatino Linotype" w:hAnsi="Palatino Linotype" w:cs="Palatino Linotype"/>
          <w:i/>
          <w:color w:val="000000"/>
        </w:rPr>
        <w:t xml:space="preserve">, </w:t>
      </w:r>
      <w:r w:rsidR="004A2CF4" w:rsidRPr="00AC78F4">
        <w:rPr>
          <w:rFonts w:ascii="Palatino Linotype" w:eastAsia="Palatino Linotype" w:hAnsi="Palatino Linotype" w:cs="Palatino Linotype"/>
          <w:i/>
          <w:color w:val="000000"/>
        </w:rPr>
        <w:t xml:space="preserve">de noviembre y diciembre de 2024. </w:t>
      </w:r>
    </w:p>
    <w:p w:rsidR="00BF00E9" w:rsidRPr="00AC78F4" w:rsidRDefault="00BF00E9" w:rsidP="00BF00E9">
      <w:pPr>
        <w:pBdr>
          <w:top w:val="nil"/>
          <w:left w:val="nil"/>
          <w:bottom w:val="nil"/>
          <w:right w:val="nil"/>
          <w:between w:val="nil"/>
        </w:pBdr>
        <w:ind w:left="851" w:right="-788"/>
        <w:jc w:val="both"/>
        <w:rPr>
          <w:rFonts w:ascii="Palatino Linotype" w:eastAsia="Palatino Linotype" w:hAnsi="Palatino Linotype" w:cs="Palatino Linotype"/>
          <w:color w:val="000000"/>
        </w:rPr>
      </w:pPr>
    </w:p>
    <w:p w:rsidR="00BF00E9" w:rsidRPr="00AC78F4" w:rsidRDefault="00BF00E9" w:rsidP="00BF00E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AC78F4">
        <w:rPr>
          <w:rFonts w:ascii="Palatino Linotype" w:eastAsia="Palatino Linotype" w:hAnsi="Palatino Linotype" w:cs="Palatino Linotype"/>
        </w:rPr>
        <w:t>En respuesta, el Sujeto Obligado</w:t>
      </w:r>
      <w:r w:rsidRPr="00AC78F4">
        <w:rPr>
          <w:rFonts w:ascii="Palatino Linotype" w:eastAsia="Palatino Linotype" w:hAnsi="Palatino Linotype" w:cs="Palatino Linotype"/>
          <w:b/>
        </w:rPr>
        <w:t xml:space="preserve"> </w:t>
      </w:r>
      <w:r w:rsidRPr="00AC78F4">
        <w:rPr>
          <w:rFonts w:ascii="Palatino Linotype" w:eastAsia="Palatino Linotype" w:hAnsi="Palatino Linotype" w:cs="Palatino Linotype"/>
        </w:rPr>
        <w:t>remitió el archivo ya d</w:t>
      </w:r>
      <w:r w:rsidR="00EF5834" w:rsidRPr="00AC78F4">
        <w:rPr>
          <w:rFonts w:ascii="Palatino Linotype" w:eastAsia="Palatino Linotype" w:hAnsi="Palatino Linotype" w:cs="Palatino Linotype"/>
        </w:rPr>
        <w:t>escrito en el anterior párrafo tres</w:t>
      </w:r>
      <w:r w:rsidRPr="00AC78F4">
        <w:rPr>
          <w:rFonts w:ascii="Palatino Linotype" w:eastAsia="Palatino Linotype" w:hAnsi="Palatino Linotype" w:cs="Palatino Linotype"/>
        </w:rPr>
        <w:t>, inconforme con la respuesta, se interpuso recurso de revisión argumentando sustancialmente la entrega de la información que no corresponde a lo solicitado.</w:t>
      </w:r>
    </w:p>
    <w:p w:rsidR="00BF00E9" w:rsidRPr="00AC78F4" w:rsidRDefault="00BF00E9" w:rsidP="00BF00E9">
      <w:pPr>
        <w:ind w:left="720" w:right="-788"/>
        <w:jc w:val="both"/>
        <w:rPr>
          <w:rFonts w:ascii="Palatino Linotype" w:eastAsia="Palatino Linotype" w:hAnsi="Palatino Linotype" w:cs="Palatino Linotype"/>
          <w:i/>
          <w:color w:val="000000"/>
        </w:rPr>
      </w:pPr>
    </w:p>
    <w:p w:rsidR="00BF00E9" w:rsidRPr="00AC78F4" w:rsidRDefault="00BF00E9" w:rsidP="00BF00E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AC78F4">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w:t>
      </w:r>
      <w:r w:rsidRPr="00AC78F4">
        <w:rPr>
          <w:rFonts w:ascii="Palatino Linotype" w:eastAsia="Palatino Linotype" w:hAnsi="Palatino Linotype" w:cs="Palatino Linotype"/>
          <w:b/>
        </w:rPr>
        <w:t>artículo 179, fracción VI, de la Ley de Transparencia y Acceso a la Información Pública del Estado de México y Municipios</w:t>
      </w:r>
      <w:r w:rsidRPr="00AC78F4">
        <w:rPr>
          <w:rFonts w:ascii="Palatino Linotype" w:eastAsia="Palatino Linotype" w:hAnsi="Palatino Linotype" w:cs="Palatino Linotype"/>
        </w:rPr>
        <w:t xml:space="preserve">; </w:t>
      </w:r>
      <w:r w:rsidRPr="00AC78F4">
        <w:rPr>
          <w:rFonts w:ascii="Palatino Linotype" w:eastAsia="Palatino Linotype" w:hAnsi="Palatino Linotype" w:cs="Palatino Linotype"/>
          <w:color w:val="000000"/>
        </w:rPr>
        <w:t xml:space="preserve">fracción que determina la hipótesis relativa a </w:t>
      </w:r>
      <w:r w:rsidRPr="00AC78F4">
        <w:rPr>
          <w:rFonts w:ascii="Palatino Linotype" w:eastAsia="Palatino Linotype" w:hAnsi="Palatino Linotype" w:cs="Palatino Linotype"/>
          <w:b/>
          <w:color w:val="000000"/>
        </w:rPr>
        <w:t>la entrega de información que no corresponda con lo solicitado</w:t>
      </w:r>
      <w:r w:rsidRPr="00AC78F4">
        <w:rPr>
          <w:rFonts w:ascii="Palatino Linotype" w:eastAsia="Palatino Linotype" w:hAnsi="Palatino Linotype" w:cs="Palatino Linotype"/>
          <w:color w:val="000000"/>
        </w:rPr>
        <w:t xml:space="preserve">; </w:t>
      </w:r>
      <w:r w:rsidRPr="00AC78F4">
        <w:rPr>
          <w:rFonts w:ascii="Palatino Linotype" w:eastAsia="Palatino Linotype" w:hAnsi="Palatino Linotype" w:cs="Palatino Linotype"/>
        </w:rPr>
        <w:t>contexto del cual se dolió el Recurrente al momento de interponer su inconformidad.</w:t>
      </w:r>
      <w:r w:rsidRPr="00AC78F4">
        <w:rPr>
          <w:rFonts w:ascii="Palatino Linotype" w:eastAsia="Palatino Linotype" w:hAnsi="Palatino Linotype" w:cs="Palatino Linotype"/>
          <w:color w:val="000000"/>
        </w:rPr>
        <w:t xml:space="preserve"> De modo tal que el presente recurso de revisión se </w:t>
      </w:r>
      <w:r w:rsidRPr="00AC78F4">
        <w:rPr>
          <w:rFonts w:ascii="Palatino Linotype" w:eastAsia="Palatino Linotype" w:hAnsi="Palatino Linotype" w:cs="Palatino Linotype"/>
        </w:rPr>
        <w:t>abocará</w:t>
      </w:r>
      <w:r w:rsidRPr="00AC78F4">
        <w:rPr>
          <w:rFonts w:ascii="Palatino Linotype" w:eastAsia="Palatino Linotype" w:hAnsi="Palatino Linotype" w:cs="Palatino Linotype"/>
          <w:color w:val="000000"/>
        </w:rPr>
        <w:t xml:space="preserve"> en determinar si el Sujeto Obligado con su respuesta ciertamente actualiza la causal de procedencia</w:t>
      </w:r>
      <w:r w:rsidRPr="00AC78F4">
        <w:rPr>
          <w:rFonts w:ascii="Palatino Linotype" w:eastAsia="Palatino Linotype" w:hAnsi="Palatino Linotype" w:cs="Palatino Linotype"/>
          <w:b/>
          <w:color w:val="000000"/>
        </w:rPr>
        <w:t xml:space="preserve"> </w:t>
      </w:r>
      <w:r w:rsidRPr="00AC78F4">
        <w:rPr>
          <w:rFonts w:ascii="Palatino Linotype" w:eastAsia="Palatino Linotype" w:hAnsi="Palatino Linotype" w:cs="Palatino Linotype"/>
          <w:color w:val="000000"/>
        </w:rPr>
        <w:t>señalada.</w:t>
      </w:r>
    </w:p>
    <w:p w:rsidR="00BF00E9" w:rsidRPr="00AC78F4" w:rsidRDefault="00BF00E9" w:rsidP="00BF00E9">
      <w:pPr>
        <w:spacing w:line="360" w:lineRule="auto"/>
        <w:ind w:right="-787"/>
        <w:rPr>
          <w:rFonts w:ascii="Palatino Linotype" w:eastAsia="Palatino Linotype" w:hAnsi="Palatino Linotype" w:cs="Palatino Linotype"/>
        </w:rPr>
      </w:pPr>
    </w:p>
    <w:p w:rsidR="00BF00E9" w:rsidRPr="00AC78F4" w:rsidRDefault="00BF00E9" w:rsidP="00BF00E9">
      <w:pPr>
        <w:pStyle w:val="Ttulo2"/>
        <w:rPr>
          <w:rFonts w:ascii="Palatino Linotype" w:eastAsia="Palatino Linotype" w:hAnsi="Palatino Linotype" w:cs="Palatino Linotype"/>
          <w:b/>
          <w:color w:val="000000"/>
          <w:sz w:val="24"/>
          <w:szCs w:val="24"/>
        </w:rPr>
      </w:pPr>
      <w:bookmarkStart w:id="6" w:name="_heading=h.1t3h5sf" w:colFirst="0" w:colLast="0"/>
      <w:bookmarkEnd w:id="6"/>
      <w:r w:rsidRPr="00AC78F4">
        <w:rPr>
          <w:rFonts w:ascii="Palatino Linotype" w:eastAsia="Palatino Linotype" w:hAnsi="Palatino Linotype" w:cs="Palatino Linotype"/>
          <w:b/>
          <w:color w:val="000000"/>
          <w:sz w:val="24"/>
          <w:szCs w:val="24"/>
        </w:rPr>
        <w:t>CUARTO. Del estudio y resolución del asunto.</w:t>
      </w:r>
    </w:p>
    <w:p w:rsidR="008B1F70" w:rsidRPr="00AC78F4" w:rsidRDefault="008B1F70" w:rsidP="008B1F70"/>
    <w:p w:rsidR="0098628B" w:rsidRPr="00AC78F4" w:rsidRDefault="0098628B" w:rsidP="0098628B">
      <w:pPr>
        <w:keepNext/>
        <w:keepLines/>
        <w:numPr>
          <w:ilvl w:val="0"/>
          <w:numId w:val="10"/>
        </w:numPr>
        <w:spacing w:after="240" w:line="360" w:lineRule="auto"/>
        <w:ind w:left="786"/>
        <w:outlineLvl w:val="0"/>
        <w:rPr>
          <w:rFonts w:ascii="Palatino Linotype" w:eastAsia="Palatino Linotype" w:hAnsi="Palatino Linotype" w:cs="Palatino Linotype"/>
          <w:b/>
          <w:color w:val="000000"/>
          <w:lang w:eastAsia="es-ES"/>
        </w:rPr>
      </w:pPr>
      <w:r w:rsidRPr="00AC78F4">
        <w:rPr>
          <w:rFonts w:ascii="Palatino Linotype" w:eastAsia="Palatino Linotype" w:hAnsi="Palatino Linotype" w:cs="Palatino Linotype"/>
          <w:b/>
          <w:color w:val="000000"/>
          <w:lang w:eastAsia="es-ES"/>
        </w:rPr>
        <w:t>Del derecho de acceso a la información.</w:t>
      </w:r>
    </w:p>
    <w:p w:rsidR="0098628B" w:rsidRPr="00AC78F4" w:rsidRDefault="0098628B" w:rsidP="0098628B">
      <w:pPr>
        <w:numPr>
          <w:ilvl w:val="0"/>
          <w:numId w:val="2"/>
        </w:numPr>
        <w:pBdr>
          <w:top w:val="nil"/>
          <w:left w:val="nil"/>
          <w:bottom w:val="nil"/>
          <w:right w:val="nil"/>
          <w:between w:val="nil"/>
        </w:pBdr>
        <w:spacing w:line="360" w:lineRule="auto"/>
        <w:ind w:left="0" w:right="-787" w:firstLine="0"/>
        <w:jc w:val="both"/>
        <w:rPr>
          <w:rFonts w:ascii="Palatino Linotype" w:eastAsia="MS Mincho" w:hAnsi="Palatino Linotype" w:cs="Arial"/>
        </w:rPr>
      </w:pPr>
      <w:r w:rsidRPr="00AC78F4">
        <w:rPr>
          <w:rFonts w:ascii="Palatino Linotype" w:eastAsia="MS Mincho" w:hAnsi="Palatino Linotype" w:cs="Arial"/>
        </w:rPr>
        <w:t xml:space="preserve">El </w:t>
      </w:r>
      <w:r w:rsidRPr="00AC78F4">
        <w:rPr>
          <w:rFonts w:ascii="Palatino Linotype" w:eastAsia="Palatino Linotype" w:hAnsi="Palatino Linotype" w:cs="Palatino Linotype"/>
        </w:rPr>
        <w:t>Derecho</w:t>
      </w:r>
      <w:r w:rsidRPr="00AC78F4">
        <w:rPr>
          <w:rFonts w:ascii="Palatino Linotype" w:eastAsia="MS Mincho" w:hAnsi="Palatino Linotype" w:cs="Arial"/>
        </w:rPr>
        <w:t xml:space="preserve">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98628B" w:rsidRPr="00AC78F4" w:rsidRDefault="0098628B" w:rsidP="0098628B">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lang w:eastAsia="es-ES"/>
        </w:rPr>
      </w:pPr>
      <w:r w:rsidRPr="00AC78F4">
        <w:rPr>
          <w:rFonts w:ascii="Palatino Linotype" w:eastAsia="Palatino Linotype" w:hAnsi="Palatino Linotype" w:cs="Palatino Linotype"/>
          <w:lang w:eastAsia="es-ES"/>
        </w:rPr>
        <w:lastRenderedPageBreak/>
        <w:t xml:space="preserve">Definiendo el Derecho de Acceso a la Información Pública como: </w:t>
      </w:r>
      <w:r w:rsidRPr="00AC78F4">
        <w:rPr>
          <w:rFonts w:ascii="Palatino Linotype" w:eastAsia="Palatino Linotype" w:hAnsi="Palatino Linotype" w:cs="Palatino Linotype"/>
          <w:i/>
          <w:color w:val="000000"/>
          <w:lang w:eastAsia="es-ES"/>
        </w:rPr>
        <w:t>La igualdad de oportunidades para recibir, buscar e impartir información</w:t>
      </w:r>
      <w:r w:rsidRPr="00AC78F4">
        <w:rPr>
          <w:rFonts w:ascii="Palatino Linotype" w:eastAsia="Palatino Linotype" w:hAnsi="Palatino Linotype" w:cs="Palatino Linotype"/>
          <w:i/>
          <w:vertAlign w:val="superscript"/>
          <w:lang w:eastAsia="es-ES"/>
        </w:rPr>
        <w:footnoteReference w:id="1"/>
      </w:r>
      <w:r w:rsidRPr="00AC78F4">
        <w:rPr>
          <w:rFonts w:ascii="Palatino Linotype" w:eastAsia="Palatino Linotype" w:hAnsi="Palatino Linotype" w:cs="Palatino Linotype"/>
          <w:i/>
          <w:color w:val="000000"/>
          <w:lang w:eastAsia="es-ES"/>
        </w:rPr>
        <w:t xml:space="preserve">en posesión de cualquier autoridad, entidad, órgano y organismo de los poderes Ejecutivo, Legislativo y Judicial, órganos autónomos, partidos políticos, </w:t>
      </w:r>
      <w:r w:rsidRPr="00AC78F4">
        <w:rPr>
          <w:rFonts w:ascii="Palatino Linotype" w:eastAsia="Palatino Linotype" w:hAnsi="Palatino Linotype" w:cs="Palatino Linotype"/>
        </w:rPr>
        <w:t>fideicomisos</w:t>
      </w:r>
      <w:r w:rsidRPr="00AC78F4">
        <w:rPr>
          <w:rFonts w:ascii="Palatino Linotype" w:eastAsia="Palatino Linotype" w:hAnsi="Palatino Linotype" w:cs="Palatino Linotype"/>
          <w:i/>
          <w:color w:val="000000"/>
          <w:lang w:eastAsia="es-ES"/>
        </w:rPr>
        <w:t xml:space="preserve"> y fondos públicos, así como de cualquier persona física, moral o sindicato que reciba y ejerza recursos públicos o realice actos de autoridad en el ámbito federal, estatal y municipal,</w:t>
      </w:r>
      <w:r w:rsidRPr="00AC78F4">
        <w:rPr>
          <w:rFonts w:ascii="Palatino Linotype" w:eastAsia="Palatino Linotype" w:hAnsi="Palatino Linotype" w:cs="Palatino Linotype"/>
          <w:i/>
          <w:vertAlign w:val="superscript"/>
          <w:lang w:eastAsia="es-ES"/>
        </w:rPr>
        <w:footnoteReference w:id="2"/>
      </w:r>
      <w:r w:rsidRPr="00AC78F4">
        <w:rPr>
          <w:rFonts w:ascii="Palatino Linotype" w:eastAsia="Palatino Linotype" w:hAnsi="Palatino Linotype" w:cs="Palatino Linotype"/>
          <w:color w:val="000000"/>
          <w:lang w:eastAsia="es-ES"/>
        </w:rPr>
        <w:t>que se constituye como una herramienta fundamental para ejercer</w:t>
      </w:r>
      <w:r w:rsidRPr="00AC78F4">
        <w:rPr>
          <w:rFonts w:ascii="Palatino Linotype" w:eastAsia="Palatino Linotype" w:hAnsi="Palatino Linotype" w:cs="Palatino Linotype"/>
          <w:i/>
          <w:color w:val="000000"/>
          <w:lang w:eastAsia="es-ES"/>
        </w:rPr>
        <w:t xml:space="preserve"> el control democrático de las gestiones estatales, de forma tal que puedan cuestionar, indagar y considerar si se está dando un adecuado cumplimiento a las funciones públicas,</w:t>
      </w:r>
      <w:r w:rsidRPr="00AC78F4">
        <w:rPr>
          <w:rFonts w:ascii="Palatino Linotype" w:eastAsia="Palatino Linotype" w:hAnsi="Palatino Linotype" w:cs="Palatino Linotype"/>
          <w:i/>
          <w:vertAlign w:val="superscript"/>
          <w:lang w:eastAsia="es-ES"/>
        </w:rPr>
        <w:footnoteReference w:id="3"/>
      </w:r>
      <w:r w:rsidRPr="00AC78F4">
        <w:rPr>
          <w:rFonts w:ascii="Palatino Linotype" w:eastAsia="Palatino Linotype" w:hAnsi="Palatino Linotype" w:cs="Palatino Linotype"/>
          <w:color w:val="000000"/>
          <w:lang w:eastAsia="es-ES"/>
        </w:rPr>
        <w:t>fomentando</w:t>
      </w:r>
      <w:r w:rsidRPr="00AC78F4">
        <w:rPr>
          <w:rFonts w:ascii="Palatino Linotype" w:eastAsia="Palatino Linotype" w:hAnsi="Palatino Linotype" w:cs="Palatino Linotype"/>
          <w:i/>
          <w:color w:val="000000"/>
          <w:lang w:eastAsia="es-ES"/>
        </w:rPr>
        <w:t xml:space="preserve"> la transparencia de las actividades estatales y </w:t>
      </w:r>
      <w:r w:rsidRPr="00AC78F4">
        <w:rPr>
          <w:rFonts w:ascii="Palatino Linotype" w:eastAsia="Palatino Linotype" w:hAnsi="Palatino Linotype" w:cs="Palatino Linotype"/>
          <w:color w:val="000000"/>
          <w:lang w:eastAsia="es-ES"/>
        </w:rPr>
        <w:t>promoviendo</w:t>
      </w:r>
      <w:r w:rsidRPr="00AC78F4">
        <w:rPr>
          <w:rFonts w:ascii="Palatino Linotype" w:eastAsia="Palatino Linotype" w:hAnsi="Palatino Linotype" w:cs="Palatino Linotype"/>
          <w:i/>
          <w:color w:val="000000"/>
          <w:lang w:eastAsia="es-ES"/>
        </w:rPr>
        <w:t xml:space="preserve"> la responsabilidad de los funcionarios sobre su gestión pública,</w:t>
      </w:r>
      <w:r w:rsidRPr="00AC78F4">
        <w:rPr>
          <w:rFonts w:ascii="Palatino Linotype" w:eastAsia="Palatino Linotype" w:hAnsi="Palatino Linotype" w:cs="Palatino Linotype"/>
          <w:i/>
          <w:vertAlign w:val="superscript"/>
          <w:lang w:eastAsia="es-ES"/>
        </w:rPr>
        <w:footnoteReference w:id="4"/>
      </w:r>
      <w:r w:rsidRPr="00AC78F4">
        <w:rPr>
          <w:rFonts w:ascii="Palatino Linotype" w:eastAsia="Palatino Linotype" w:hAnsi="Palatino Linotype" w:cs="Palatino Linotype"/>
          <w:color w:val="000000"/>
          <w:lang w:eastAsia="es-ES"/>
        </w:rPr>
        <w:t>que permite</w:t>
      </w:r>
      <w:r w:rsidRPr="00AC78F4">
        <w:rPr>
          <w:rFonts w:ascii="Palatino Linotype" w:eastAsia="Palatino Linotype" w:hAnsi="Palatino Linotype" w:cs="Palatino Linotype"/>
          <w:i/>
          <w:color w:val="000000"/>
          <w:lang w:eastAsia="es-ES"/>
        </w:rPr>
        <w:t xml:space="preserve"> saber qué están haciendo los gobiernos por sus pueblos, sin lo cual la verdad languidecería y la participación en el gobierno permanecería fragmentada.</w:t>
      </w:r>
    </w:p>
    <w:p w:rsidR="0098628B" w:rsidRPr="00AC78F4" w:rsidRDefault="0098628B" w:rsidP="0098628B">
      <w:pPr>
        <w:spacing w:line="360" w:lineRule="auto"/>
        <w:ind w:right="49"/>
        <w:jc w:val="both"/>
        <w:rPr>
          <w:rFonts w:ascii="Palatino Linotype" w:eastAsia="Palatino Linotype" w:hAnsi="Palatino Linotype" w:cs="Palatino Linotype"/>
          <w:lang w:eastAsia="es-ES"/>
        </w:rPr>
      </w:pPr>
    </w:p>
    <w:p w:rsidR="0098628B" w:rsidRPr="00AC78F4" w:rsidRDefault="0098628B" w:rsidP="0098628B">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lang w:eastAsia="es-ES"/>
        </w:rPr>
      </w:pPr>
      <w:r w:rsidRPr="00AC78F4">
        <w:rPr>
          <w:rFonts w:ascii="Palatino Linotype" w:eastAsia="Palatino Linotype" w:hAnsi="Palatino Linotype" w:cs="Palatino Linotype"/>
          <w:lang w:eastAsia="es-ES"/>
        </w:rPr>
        <w:t xml:space="preserve">En México, además de los derechos, están reconocidas las garantías para su protección, en ese sentido el </w:t>
      </w:r>
      <w:r w:rsidRPr="00AC78F4">
        <w:rPr>
          <w:rFonts w:ascii="Palatino Linotype" w:eastAsia="Palatino Linotype" w:hAnsi="Palatino Linotype" w:cs="Palatino Linotype"/>
        </w:rPr>
        <w:t>párrafo</w:t>
      </w:r>
      <w:r w:rsidRPr="00AC78F4">
        <w:rPr>
          <w:rFonts w:ascii="Palatino Linotype" w:eastAsia="Palatino Linotype" w:hAnsi="Palatino Linotype" w:cs="Palatino Linotype"/>
          <w:lang w:eastAsia="es-ES"/>
        </w:rPr>
        <w:t xml:space="preserve"> tercero de artículo primero de la Constitución Política de los Estados Unidos Mexicanos dispone lo siguiente:</w:t>
      </w:r>
    </w:p>
    <w:p w:rsidR="0098628B" w:rsidRPr="00AC78F4" w:rsidRDefault="0098628B" w:rsidP="0098628B">
      <w:pPr>
        <w:ind w:right="49"/>
        <w:jc w:val="both"/>
        <w:rPr>
          <w:rFonts w:ascii="Palatino Linotype" w:eastAsia="Palatino Linotype" w:hAnsi="Palatino Linotype" w:cs="Palatino Linotype"/>
          <w:lang w:eastAsia="es-ES"/>
        </w:rPr>
      </w:pPr>
    </w:p>
    <w:p w:rsidR="0098628B" w:rsidRPr="00AC78F4" w:rsidRDefault="0098628B" w:rsidP="0098628B">
      <w:pPr>
        <w:ind w:left="1134" w:right="900"/>
        <w:jc w:val="both"/>
        <w:rPr>
          <w:rFonts w:ascii="Palatino Linotype" w:eastAsia="Palatino Linotype" w:hAnsi="Palatino Linotype" w:cs="Palatino Linotype"/>
          <w:i/>
          <w:lang w:eastAsia="es-ES"/>
        </w:rPr>
      </w:pPr>
      <w:r w:rsidRPr="00AC78F4">
        <w:rPr>
          <w:rFonts w:ascii="Palatino Linotype" w:eastAsia="Palatino Linotype" w:hAnsi="Palatino Linotype" w:cs="Palatino Linotype"/>
          <w:i/>
          <w:lang w:eastAsia="es-ES"/>
        </w:rPr>
        <w:t>“</w:t>
      </w:r>
      <w:r w:rsidRPr="00AC78F4">
        <w:rPr>
          <w:rFonts w:ascii="Palatino Linotype" w:eastAsia="Palatino Linotype" w:hAnsi="Palatino Linotype" w:cs="Palatino Linotype"/>
          <w:b/>
          <w:i/>
          <w:lang w:eastAsia="es-ES"/>
        </w:rPr>
        <w:t>Artículo 1.-</w:t>
      </w:r>
      <w:r w:rsidRPr="00AC78F4">
        <w:rPr>
          <w:rFonts w:ascii="Palatino Linotype" w:eastAsia="Palatino Linotype" w:hAnsi="Palatino Linotype" w:cs="Palatino Linotype"/>
          <w:i/>
          <w:lang w:eastAsia="es-ES"/>
        </w:rPr>
        <w:t xml:space="preserve"> </w:t>
      </w:r>
    </w:p>
    <w:p w:rsidR="0098628B" w:rsidRPr="00AC78F4" w:rsidRDefault="0098628B" w:rsidP="0098628B">
      <w:pPr>
        <w:ind w:left="1134" w:right="900"/>
        <w:jc w:val="both"/>
        <w:rPr>
          <w:rFonts w:ascii="Palatino Linotype" w:eastAsia="Palatino Linotype" w:hAnsi="Palatino Linotype" w:cs="Palatino Linotype"/>
          <w:i/>
          <w:lang w:eastAsia="es-ES"/>
        </w:rPr>
      </w:pPr>
      <w:r w:rsidRPr="00AC78F4">
        <w:rPr>
          <w:rFonts w:ascii="Palatino Linotype" w:eastAsia="Palatino Linotype" w:hAnsi="Palatino Linotype" w:cs="Palatino Linotype"/>
          <w:i/>
          <w:lang w:eastAsia="es-ES"/>
        </w:rPr>
        <w:t>(…)</w:t>
      </w:r>
    </w:p>
    <w:p w:rsidR="0098628B" w:rsidRPr="00AC78F4" w:rsidRDefault="0098628B" w:rsidP="0098628B">
      <w:pPr>
        <w:ind w:left="1134" w:right="900"/>
        <w:jc w:val="both"/>
        <w:rPr>
          <w:rFonts w:ascii="Palatino Linotype" w:eastAsia="Palatino Linotype" w:hAnsi="Palatino Linotype" w:cs="Palatino Linotype"/>
          <w:i/>
          <w:lang w:eastAsia="es-ES"/>
        </w:rPr>
      </w:pPr>
      <w:r w:rsidRPr="00AC78F4">
        <w:rPr>
          <w:rFonts w:ascii="Palatino Linotype" w:eastAsia="Palatino Linotype" w:hAnsi="Palatino Linotype" w:cs="Palatino Linotype"/>
          <w:i/>
          <w:lang w:eastAsia="es-ES"/>
        </w:rPr>
        <w:t>Todas las</w:t>
      </w:r>
      <w:r w:rsidRPr="00AC78F4">
        <w:rPr>
          <w:rFonts w:ascii="Palatino Linotype" w:eastAsia="Palatino Linotype" w:hAnsi="Palatino Linotype" w:cs="Palatino Linotype"/>
          <w:lang w:eastAsia="es-ES"/>
        </w:rPr>
        <w:t xml:space="preserve"> </w:t>
      </w:r>
      <w:r w:rsidRPr="00AC78F4">
        <w:rPr>
          <w:rFonts w:ascii="Palatino Linotype" w:eastAsia="Palatino Linotype" w:hAnsi="Palatino Linotype" w:cs="Palatino Linotype"/>
          <w:i/>
          <w:lang w:eastAsia="es-ES"/>
        </w:rPr>
        <w:t xml:space="preserve">autoridades, en el ámbito de sus competencias, tienen la obligación de promover, respetar, proteger y garantizar los derechos humanos de conformidad con los principios de universalidad, interdependencia, indivisibilidad y progresividad. En consecuencia, el </w:t>
      </w:r>
      <w:r w:rsidRPr="00AC78F4">
        <w:rPr>
          <w:rFonts w:ascii="Palatino Linotype" w:eastAsia="Palatino Linotype" w:hAnsi="Palatino Linotype" w:cs="Palatino Linotype"/>
          <w:i/>
          <w:lang w:eastAsia="es-ES"/>
        </w:rPr>
        <w:lastRenderedPageBreak/>
        <w:t>Estado deberá prevenir, investigar, sancionar y reparar las violaciones a los derechos humanos, en los términos que establezca la ley.</w:t>
      </w:r>
    </w:p>
    <w:p w:rsidR="0098628B" w:rsidRPr="00AC78F4" w:rsidRDefault="0098628B" w:rsidP="0098628B">
      <w:pPr>
        <w:ind w:left="1134" w:right="900"/>
        <w:jc w:val="both"/>
        <w:rPr>
          <w:rFonts w:ascii="Palatino Linotype" w:eastAsia="Palatino Linotype" w:hAnsi="Palatino Linotype" w:cs="Palatino Linotype"/>
          <w:lang w:eastAsia="es-ES"/>
        </w:rPr>
      </w:pPr>
      <w:r w:rsidRPr="00AC78F4">
        <w:rPr>
          <w:rFonts w:ascii="Palatino Linotype" w:eastAsia="Palatino Linotype" w:hAnsi="Palatino Linotype" w:cs="Palatino Linotype"/>
          <w:i/>
          <w:lang w:eastAsia="es-ES"/>
        </w:rPr>
        <w:t>(…)</w:t>
      </w:r>
      <w:r w:rsidRPr="00AC78F4">
        <w:rPr>
          <w:rFonts w:ascii="Palatino Linotype" w:eastAsia="Palatino Linotype" w:hAnsi="Palatino Linotype" w:cs="Palatino Linotype"/>
          <w:lang w:eastAsia="es-ES"/>
        </w:rPr>
        <w:t>”.</w:t>
      </w:r>
    </w:p>
    <w:p w:rsidR="0098628B" w:rsidRPr="00AC78F4" w:rsidRDefault="0098628B" w:rsidP="0098628B">
      <w:pPr>
        <w:ind w:right="567"/>
        <w:jc w:val="both"/>
        <w:rPr>
          <w:rFonts w:ascii="Palatino Linotype" w:eastAsia="Palatino Linotype" w:hAnsi="Palatino Linotype" w:cs="Palatino Linotype"/>
          <w:b/>
          <w:lang w:eastAsia="es-ES"/>
        </w:rPr>
      </w:pPr>
    </w:p>
    <w:p w:rsidR="0098628B" w:rsidRPr="00AC78F4" w:rsidRDefault="0098628B" w:rsidP="0098628B">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lang w:eastAsia="es-ES"/>
        </w:rPr>
      </w:pPr>
      <w:r w:rsidRPr="00AC78F4">
        <w:rPr>
          <w:rFonts w:ascii="Palatino Linotype" w:eastAsia="Palatino Linotype" w:hAnsi="Palatino Linotype" w:cs="Palatino Linotype"/>
          <w:lang w:eastAsia="es-ES"/>
        </w:rPr>
        <w:t xml:space="preserve">Por lo anterior, se deduce que el Derecho de Acceso a la Información Pública es un Derecho Humano de </w:t>
      </w:r>
      <w:r w:rsidRPr="00AC78F4">
        <w:rPr>
          <w:rFonts w:ascii="Palatino Linotype" w:eastAsia="Palatino Linotype" w:hAnsi="Palatino Linotype" w:cs="Palatino Linotype"/>
        </w:rPr>
        <w:t>Fuente</w:t>
      </w:r>
      <w:r w:rsidRPr="00AC78F4">
        <w:rPr>
          <w:rFonts w:ascii="Palatino Linotype" w:eastAsia="Palatino Linotype" w:hAnsi="Palatino Linotype" w:cs="Palatino Linotype"/>
          <w:lang w:eastAsia="es-ES"/>
        </w:rPr>
        <w:t xml:space="preserve"> Internacional y Constitucionalmente reconocido. Además del derecho, también se reconocen garantías para su protección, lo que vincula con el mandato del párrafo tercero del mismo artículo.</w:t>
      </w:r>
    </w:p>
    <w:p w:rsidR="0098628B" w:rsidRPr="00AC78F4" w:rsidRDefault="0098628B" w:rsidP="0098628B">
      <w:pPr>
        <w:spacing w:line="360" w:lineRule="auto"/>
        <w:ind w:right="49"/>
        <w:jc w:val="both"/>
        <w:rPr>
          <w:rFonts w:ascii="Palatino Linotype" w:eastAsia="Palatino Linotype" w:hAnsi="Palatino Linotype" w:cs="Palatino Linotype"/>
          <w:lang w:eastAsia="es-ES"/>
        </w:rPr>
      </w:pPr>
    </w:p>
    <w:p w:rsidR="0098628B" w:rsidRPr="00AC78F4" w:rsidRDefault="0098628B" w:rsidP="0098628B">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lang w:eastAsia="es-ES"/>
        </w:rPr>
      </w:pPr>
      <w:r w:rsidRPr="00AC78F4">
        <w:rPr>
          <w:rFonts w:ascii="Palatino Linotype" w:eastAsia="Palatino Linotype" w:hAnsi="Palatino Linotype" w:cs="Palatino Linotype"/>
          <w:lang w:eastAsia="es-ES"/>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98628B" w:rsidRPr="00AC78F4" w:rsidRDefault="0098628B" w:rsidP="0098628B">
      <w:pPr>
        <w:spacing w:line="360" w:lineRule="auto"/>
        <w:ind w:right="49"/>
        <w:jc w:val="both"/>
        <w:rPr>
          <w:rFonts w:ascii="Palatino Linotype" w:eastAsia="Palatino Linotype" w:hAnsi="Palatino Linotype" w:cs="Palatino Linotype"/>
          <w:lang w:eastAsia="es-ES"/>
        </w:rPr>
      </w:pPr>
    </w:p>
    <w:p w:rsidR="0098628B" w:rsidRPr="00AC78F4" w:rsidRDefault="0098628B" w:rsidP="0098628B">
      <w:pPr>
        <w:spacing w:after="240"/>
        <w:ind w:left="1134" w:right="900"/>
        <w:jc w:val="both"/>
        <w:rPr>
          <w:rFonts w:ascii="Palatino Linotype" w:eastAsia="Palatino Linotype" w:hAnsi="Palatino Linotype" w:cs="Palatino Linotype"/>
          <w:b/>
          <w:i/>
          <w:lang w:eastAsia="es-ES"/>
        </w:rPr>
      </w:pPr>
      <w:r w:rsidRPr="00AC78F4">
        <w:rPr>
          <w:rFonts w:ascii="Palatino Linotype" w:eastAsia="Palatino Linotype" w:hAnsi="Palatino Linotype" w:cs="Palatino Linotype"/>
          <w:b/>
          <w:i/>
          <w:lang w:eastAsia="es-ES"/>
        </w:rPr>
        <w:t>Constitución Política de los Estados Unidos Mexicanos</w:t>
      </w:r>
    </w:p>
    <w:p w:rsidR="0098628B" w:rsidRPr="00AC78F4" w:rsidRDefault="0098628B" w:rsidP="0098628B">
      <w:pPr>
        <w:spacing w:before="240" w:after="240"/>
        <w:ind w:left="1134" w:right="900"/>
        <w:jc w:val="both"/>
        <w:rPr>
          <w:rFonts w:ascii="Palatino Linotype" w:eastAsia="Palatino Linotype" w:hAnsi="Palatino Linotype" w:cs="Palatino Linotype"/>
          <w:b/>
          <w:i/>
          <w:lang w:eastAsia="es-ES"/>
        </w:rPr>
      </w:pPr>
      <w:r w:rsidRPr="00AC78F4">
        <w:rPr>
          <w:rFonts w:ascii="Palatino Linotype" w:eastAsia="Palatino Linotype" w:hAnsi="Palatino Linotype" w:cs="Palatino Linotype"/>
          <w:b/>
          <w:i/>
          <w:lang w:eastAsia="es-ES"/>
        </w:rPr>
        <w:t>“Artículo 6.</w:t>
      </w:r>
    </w:p>
    <w:p w:rsidR="0098628B" w:rsidRPr="00AC78F4" w:rsidRDefault="0098628B" w:rsidP="0098628B">
      <w:pPr>
        <w:spacing w:before="240" w:after="240"/>
        <w:ind w:left="1134" w:right="900"/>
        <w:jc w:val="both"/>
        <w:rPr>
          <w:rFonts w:ascii="Palatino Linotype" w:eastAsia="Palatino Linotype" w:hAnsi="Palatino Linotype" w:cs="Palatino Linotype"/>
          <w:i/>
          <w:lang w:eastAsia="es-ES"/>
        </w:rPr>
      </w:pPr>
      <w:r w:rsidRPr="00AC78F4">
        <w:rPr>
          <w:rFonts w:ascii="Palatino Linotype" w:eastAsia="Palatino Linotype" w:hAnsi="Palatino Linotype" w:cs="Palatino Linotype"/>
          <w:i/>
          <w:lang w:eastAsia="es-ES"/>
        </w:rPr>
        <w:t>(…)</w:t>
      </w:r>
    </w:p>
    <w:p w:rsidR="0098628B" w:rsidRPr="00AC78F4" w:rsidRDefault="0098628B" w:rsidP="0098628B">
      <w:pPr>
        <w:spacing w:before="240" w:after="240"/>
        <w:ind w:left="1134" w:right="900"/>
        <w:jc w:val="both"/>
        <w:rPr>
          <w:rFonts w:ascii="Palatino Linotype" w:eastAsia="Palatino Linotype" w:hAnsi="Palatino Linotype" w:cs="Palatino Linotype"/>
          <w:i/>
          <w:lang w:eastAsia="es-ES"/>
        </w:rPr>
      </w:pPr>
      <w:r w:rsidRPr="00AC78F4">
        <w:rPr>
          <w:rFonts w:ascii="Palatino Linotype" w:eastAsia="Palatino Linotype" w:hAnsi="Palatino Linotype" w:cs="Palatino Linotype"/>
          <w:i/>
          <w:lang w:eastAsia="es-ES"/>
        </w:rPr>
        <w:t>Para efectos de lo dispuesto en el presente artículo se observará lo siguiente:</w:t>
      </w:r>
    </w:p>
    <w:p w:rsidR="0098628B" w:rsidRPr="00AC78F4" w:rsidRDefault="0098628B" w:rsidP="0098628B">
      <w:pPr>
        <w:spacing w:before="240" w:after="240"/>
        <w:ind w:left="1134" w:right="900"/>
        <w:jc w:val="both"/>
        <w:rPr>
          <w:rFonts w:ascii="Palatino Linotype" w:eastAsia="Palatino Linotype" w:hAnsi="Palatino Linotype" w:cs="Palatino Linotype"/>
          <w:b/>
          <w:i/>
          <w:lang w:eastAsia="es-ES"/>
        </w:rPr>
      </w:pPr>
      <w:r w:rsidRPr="00AC78F4">
        <w:rPr>
          <w:rFonts w:ascii="Palatino Linotype" w:eastAsia="Palatino Linotype" w:hAnsi="Palatino Linotype" w:cs="Palatino Linotype"/>
          <w:b/>
          <w:i/>
          <w:lang w:eastAsia="es-ES"/>
        </w:rPr>
        <w:t>A</w:t>
      </w:r>
      <w:r w:rsidRPr="00AC78F4">
        <w:rPr>
          <w:rFonts w:ascii="Palatino Linotype" w:eastAsia="Palatino Linotype" w:hAnsi="Palatino Linotype" w:cs="Palatino Linotype"/>
          <w:i/>
          <w:lang w:eastAsia="es-ES"/>
        </w:rPr>
        <w:t xml:space="preserve">. </w:t>
      </w:r>
      <w:r w:rsidRPr="00AC78F4">
        <w:rPr>
          <w:rFonts w:ascii="Palatino Linotype" w:eastAsia="Palatino Linotype" w:hAnsi="Palatino Linotype" w:cs="Palatino Linotype"/>
          <w:b/>
          <w:i/>
          <w:lang w:eastAsia="es-ES"/>
        </w:rPr>
        <w:t>Para el ejercicio del derecho de acceso a la información</w:t>
      </w:r>
      <w:r w:rsidRPr="00AC78F4">
        <w:rPr>
          <w:rFonts w:ascii="Palatino Linotype" w:eastAsia="Palatino Linotype" w:hAnsi="Palatino Linotype" w:cs="Palatino Linotype"/>
          <w:i/>
          <w:lang w:eastAsia="es-ES"/>
        </w:rPr>
        <w:t xml:space="preserve">, la Federación y </w:t>
      </w:r>
      <w:r w:rsidRPr="00AC78F4">
        <w:rPr>
          <w:rFonts w:ascii="Palatino Linotype" w:eastAsia="Palatino Linotype" w:hAnsi="Palatino Linotype" w:cs="Palatino Linotype"/>
          <w:b/>
          <w:i/>
          <w:lang w:eastAsia="es-ES"/>
        </w:rPr>
        <w:t>las entidades federativas, en el ámbito de sus respectivas competencias, se regirán por los siguientes principios y bases:</w:t>
      </w:r>
    </w:p>
    <w:p w:rsidR="0098628B" w:rsidRPr="00AC78F4" w:rsidRDefault="0098628B" w:rsidP="0098628B">
      <w:pPr>
        <w:spacing w:before="240" w:after="240"/>
        <w:ind w:left="1134" w:right="900"/>
        <w:jc w:val="both"/>
        <w:rPr>
          <w:rFonts w:ascii="Palatino Linotype" w:eastAsia="Palatino Linotype" w:hAnsi="Palatino Linotype" w:cs="Palatino Linotype"/>
          <w:i/>
          <w:lang w:eastAsia="es-ES"/>
        </w:rPr>
      </w:pPr>
      <w:r w:rsidRPr="00AC78F4">
        <w:rPr>
          <w:rFonts w:ascii="Palatino Linotype" w:eastAsia="Palatino Linotype" w:hAnsi="Palatino Linotype" w:cs="Palatino Linotype"/>
          <w:b/>
          <w:i/>
          <w:lang w:eastAsia="es-ES"/>
        </w:rPr>
        <w:t xml:space="preserve">I. </w:t>
      </w:r>
      <w:r w:rsidRPr="00AC78F4">
        <w:rPr>
          <w:rFonts w:ascii="Palatino Linotype" w:eastAsia="Palatino Linotype" w:hAnsi="Palatino Linotype" w:cs="Palatino Linotype"/>
          <w:b/>
          <w:i/>
          <w:lang w:eastAsia="es-ES"/>
        </w:rPr>
        <w:tab/>
        <w:t>Toda la información en posesión de cualquier</w:t>
      </w:r>
      <w:r w:rsidRPr="00AC78F4">
        <w:rPr>
          <w:rFonts w:ascii="Palatino Linotype" w:eastAsia="Palatino Linotype" w:hAnsi="Palatino Linotype" w:cs="Palatino Linotype"/>
          <w:i/>
          <w:lang w:eastAsia="es-ES"/>
        </w:rPr>
        <w:t xml:space="preserve"> </w:t>
      </w:r>
      <w:r w:rsidRPr="00AC78F4">
        <w:rPr>
          <w:rFonts w:ascii="Palatino Linotype" w:eastAsia="Palatino Linotype" w:hAnsi="Palatino Linotype" w:cs="Palatino Linotype"/>
          <w:b/>
          <w:i/>
          <w:lang w:eastAsia="es-ES"/>
        </w:rPr>
        <w:t>autoridad</w:t>
      </w:r>
      <w:r w:rsidRPr="00AC78F4">
        <w:rPr>
          <w:rFonts w:ascii="Palatino Linotype" w:eastAsia="Palatino Linotype" w:hAnsi="Palatino Linotype" w:cs="Palatino Linotype"/>
          <w:i/>
          <w:lang w:eastAsia="es-ES"/>
        </w:rPr>
        <w:t xml:space="preserve">, entidad, órgano y organismo de los Poderes Ejecutivo, Legislativo y Judicial, órganos autónomos, partidos políticos, fideicomisos y fondos públicos, así </w:t>
      </w:r>
      <w:r w:rsidRPr="00AC78F4">
        <w:rPr>
          <w:rFonts w:ascii="Palatino Linotype" w:eastAsia="Palatino Linotype" w:hAnsi="Palatino Linotype" w:cs="Palatino Linotype"/>
          <w:i/>
          <w:lang w:eastAsia="es-ES"/>
        </w:rPr>
        <w:lastRenderedPageBreak/>
        <w:t xml:space="preserve">como de cualquier persona física, moral o sindicato que reciba y ejerza recursos públicos o realice actos de autoridad en el ámbito federal, estatal y </w:t>
      </w:r>
      <w:r w:rsidRPr="00AC78F4">
        <w:rPr>
          <w:rFonts w:ascii="Palatino Linotype" w:eastAsia="Palatino Linotype" w:hAnsi="Palatino Linotype" w:cs="Palatino Linotype"/>
          <w:b/>
          <w:i/>
          <w:lang w:eastAsia="es-ES"/>
        </w:rPr>
        <w:t>municipal</w:t>
      </w:r>
      <w:r w:rsidRPr="00AC78F4">
        <w:rPr>
          <w:rFonts w:ascii="Palatino Linotype" w:eastAsia="Palatino Linotype" w:hAnsi="Palatino Linotype" w:cs="Palatino Linotype"/>
          <w:i/>
          <w:lang w:eastAsia="es-ES"/>
        </w:rPr>
        <w:t xml:space="preserve">, </w:t>
      </w:r>
      <w:r w:rsidRPr="00AC78F4">
        <w:rPr>
          <w:rFonts w:ascii="Palatino Linotype" w:eastAsia="Palatino Linotype" w:hAnsi="Palatino Linotype" w:cs="Palatino Linotype"/>
          <w:b/>
          <w:i/>
          <w:lang w:eastAsia="es-ES"/>
        </w:rPr>
        <w:t>es pública</w:t>
      </w:r>
      <w:r w:rsidRPr="00AC78F4">
        <w:rPr>
          <w:rFonts w:ascii="Palatino Linotype" w:eastAsia="Palatino Linotype" w:hAnsi="Palatino Linotype" w:cs="Palatino Linotype"/>
          <w:i/>
          <w:lang w:eastAsia="es-ES"/>
        </w:rPr>
        <w:t xml:space="preserve"> y sólo podrá ser rese rvada temporalmente por razones de interés público y seguridad nacional, en los términos que fijen las leyes. </w:t>
      </w:r>
      <w:r w:rsidRPr="00AC78F4">
        <w:rPr>
          <w:rFonts w:ascii="Palatino Linotype" w:eastAsia="Palatino Linotype" w:hAnsi="Palatino Linotype" w:cs="Palatino Linotype"/>
          <w:b/>
          <w:i/>
          <w:lang w:eastAsia="es-ES"/>
        </w:rPr>
        <w:t>En la interpretación de este derecho deberá prevalecer el principio de máxima publicidad. Los sujetos obligados deberán documentar todo acto que derive del ejercicio de sus facultades, competencias o funciones</w:t>
      </w:r>
      <w:r w:rsidRPr="00AC78F4">
        <w:rPr>
          <w:rFonts w:ascii="Palatino Linotype" w:eastAsia="Palatino Linotype" w:hAnsi="Palatino Linotype" w:cs="Palatino Linotype"/>
          <w:i/>
          <w:lang w:eastAsia="es-ES"/>
        </w:rPr>
        <w:t>, la ley determinará los supuestos específicos bajo los cuales procederá la declaración de inexistencia de la información.”</w:t>
      </w:r>
    </w:p>
    <w:p w:rsidR="0098628B" w:rsidRPr="00AC78F4" w:rsidRDefault="0098628B" w:rsidP="0098628B">
      <w:pPr>
        <w:pBdr>
          <w:top w:val="nil"/>
          <w:left w:val="nil"/>
          <w:bottom w:val="nil"/>
          <w:right w:val="nil"/>
          <w:between w:val="nil"/>
        </w:pBdr>
        <w:tabs>
          <w:tab w:val="left" w:pos="567"/>
        </w:tabs>
        <w:spacing w:before="240" w:after="240"/>
        <w:ind w:left="1134" w:right="900"/>
        <w:jc w:val="both"/>
        <w:rPr>
          <w:rFonts w:ascii="Palatino Linotype" w:eastAsia="Palatino Linotype" w:hAnsi="Palatino Linotype" w:cs="Palatino Linotype"/>
          <w:b/>
          <w:i/>
          <w:color w:val="000000"/>
          <w:lang w:eastAsia="es-ES"/>
        </w:rPr>
      </w:pPr>
    </w:p>
    <w:p w:rsidR="0098628B" w:rsidRPr="00AC78F4" w:rsidRDefault="0098628B" w:rsidP="0098628B">
      <w:pPr>
        <w:spacing w:before="240" w:after="240"/>
        <w:ind w:left="1134" w:right="900"/>
        <w:jc w:val="both"/>
        <w:rPr>
          <w:rFonts w:ascii="Palatino Linotype" w:eastAsia="Palatino Linotype" w:hAnsi="Palatino Linotype" w:cs="Palatino Linotype"/>
          <w:b/>
          <w:i/>
          <w:lang w:eastAsia="es-ES"/>
        </w:rPr>
      </w:pPr>
      <w:r w:rsidRPr="00AC78F4">
        <w:rPr>
          <w:rFonts w:ascii="Palatino Linotype" w:eastAsia="Palatino Linotype" w:hAnsi="Palatino Linotype" w:cs="Palatino Linotype"/>
          <w:b/>
          <w:i/>
          <w:lang w:eastAsia="es-ES"/>
        </w:rPr>
        <w:t>Constitución Política del Estado Libre y Soberano de México</w:t>
      </w:r>
    </w:p>
    <w:p w:rsidR="0098628B" w:rsidRPr="00AC78F4" w:rsidRDefault="0098628B" w:rsidP="0098628B">
      <w:pPr>
        <w:spacing w:before="240" w:after="240"/>
        <w:ind w:left="1134" w:right="900"/>
        <w:jc w:val="both"/>
        <w:rPr>
          <w:rFonts w:ascii="Palatino Linotype" w:eastAsia="Palatino Linotype" w:hAnsi="Palatino Linotype" w:cs="Palatino Linotype"/>
          <w:i/>
          <w:lang w:eastAsia="es-ES"/>
        </w:rPr>
      </w:pPr>
      <w:r w:rsidRPr="00AC78F4">
        <w:rPr>
          <w:rFonts w:ascii="Palatino Linotype" w:eastAsia="Palatino Linotype" w:hAnsi="Palatino Linotype" w:cs="Palatino Linotype"/>
          <w:b/>
          <w:i/>
          <w:lang w:eastAsia="es-ES"/>
        </w:rPr>
        <w:t>“Artículo 5</w:t>
      </w:r>
      <w:r w:rsidRPr="00AC78F4">
        <w:rPr>
          <w:rFonts w:ascii="Palatino Linotype" w:eastAsia="Palatino Linotype" w:hAnsi="Palatino Linotype" w:cs="Palatino Linotype"/>
          <w:i/>
          <w:lang w:eastAsia="es-ES"/>
        </w:rPr>
        <w:t xml:space="preserve">.- </w:t>
      </w:r>
    </w:p>
    <w:p w:rsidR="0098628B" w:rsidRPr="00AC78F4" w:rsidRDefault="0098628B" w:rsidP="0098628B">
      <w:pPr>
        <w:spacing w:before="240" w:after="240"/>
        <w:ind w:left="1134" w:right="900"/>
        <w:jc w:val="both"/>
        <w:rPr>
          <w:rFonts w:ascii="Palatino Linotype" w:eastAsia="Palatino Linotype" w:hAnsi="Palatino Linotype" w:cs="Palatino Linotype"/>
          <w:i/>
          <w:lang w:eastAsia="es-ES"/>
        </w:rPr>
      </w:pPr>
      <w:r w:rsidRPr="00AC78F4">
        <w:rPr>
          <w:rFonts w:ascii="Palatino Linotype" w:eastAsia="Palatino Linotype" w:hAnsi="Palatino Linotype" w:cs="Palatino Linotype"/>
          <w:i/>
          <w:lang w:eastAsia="es-ES"/>
        </w:rPr>
        <w:t>(…)</w:t>
      </w:r>
    </w:p>
    <w:p w:rsidR="0098628B" w:rsidRPr="00AC78F4" w:rsidRDefault="0098628B" w:rsidP="0098628B">
      <w:pPr>
        <w:spacing w:before="240" w:after="240"/>
        <w:ind w:left="1134" w:right="900"/>
        <w:jc w:val="both"/>
        <w:rPr>
          <w:rFonts w:ascii="Palatino Linotype" w:eastAsia="Palatino Linotype" w:hAnsi="Palatino Linotype" w:cs="Palatino Linotype"/>
          <w:i/>
          <w:lang w:eastAsia="es-ES"/>
        </w:rPr>
      </w:pPr>
      <w:r w:rsidRPr="00AC78F4">
        <w:rPr>
          <w:rFonts w:ascii="Palatino Linotype" w:eastAsia="Palatino Linotype" w:hAnsi="Palatino Linotype" w:cs="Palatino Linotype"/>
          <w:b/>
          <w:i/>
          <w:lang w:eastAsia="es-ES"/>
        </w:rPr>
        <w:t>El derecho a la información será garantizado por el Estado. La ley establecerá las previsiones que permitan asegurar la protección, el respeto y la difusión de este derecho</w:t>
      </w:r>
      <w:r w:rsidRPr="00AC78F4">
        <w:rPr>
          <w:rFonts w:ascii="Palatino Linotype" w:eastAsia="Palatino Linotype" w:hAnsi="Palatino Linotype" w:cs="Palatino Linotype"/>
          <w:i/>
          <w:lang w:eastAsia="es-ES"/>
        </w:rPr>
        <w:t>.</w:t>
      </w:r>
    </w:p>
    <w:p w:rsidR="0098628B" w:rsidRPr="00AC78F4" w:rsidRDefault="0098628B" w:rsidP="0098628B">
      <w:pPr>
        <w:spacing w:before="240" w:after="240"/>
        <w:ind w:left="1134" w:right="900"/>
        <w:jc w:val="both"/>
        <w:rPr>
          <w:rFonts w:ascii="Palatino Linotype" w:eastAsia="Palatino Linotype" w:hAnsi="Palatino Linotype" w:cs="Palatino Linotype"/>
          <w:i/>
          <w:lang w:eastAsia="es-ES"/>
        </w:rPr>
      </w:pPr>
      <w:r w:rsidRPr="00AC78F4">
        <w:rPr>
          <w:rFonts w:ascii="Palatino Linotype" w:eastAsia="Palatino Linotype" w:hAnsi="Palatino Linotype" w:cs="Palatino Linotype"/>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8628B" w:rsidRPr="00AC78F4" w:rsidRDefault="0098628B" w:rsidP="0098628B">
      <w:pPr>
        <w:spacing w:before="240" w:after="240"/>
        <w:ind w:left="1134" w:right="900"/>
        <w:jc w:val="both"/>
        <w:rPr>
          <w:rFonts w:ascii="Palatino Linotype" w:eastAsia="Palatino Linotype" w:hAnsi="Palatino Linotype" w:cs="Palatino Linotype"/>
          <w:i/>
          <w:lang w:eastAsia="es-ES"/>
        </w:rPr>
      </w:pPr>
      <w:r w:rsidRPr="00AC78F4">
        <w:rPr>
          <w:rFonts w:ascii="Palatino Linotype" w:eastAsia="Palatino Linotype" w:hAnsi="Palatino Linotype" w:cs="Palatino Linotype"/>
          <w:b/>
          <w:i/>
          <w:lang w:eastAsia="es-ES"/>
        </w:rPr>
        <w:t>Este derecho se regirá por los principios y bases siguientes</w:t>
      </w:r>
      <w:r w:rsidRPr="00AC78F4">
        <w:rPr>
          <w:rFonts w:ascii="Palatino Linotype" w:eastAsia="Palatino Linotype" w:hAnsi="Palatino Linotype" w:cs="Palatino Linotype"/>
          <w:i/>
          <w:lang w:eastAsia="es-ES"/>
        </w:rPr>
        <w:t>:</w:t>
      </w:r>
    </w:p>
    <w:p w:rsidR="0098628B" w:rsidRPr="00AC78F4" w:rsidRDefault="0098628B" w:rsidP="0098628B">
      <w:pPr>
        <w:spacing w:before="240" w:after="240"/>
        <w:ind w:left="1134" w:right="900"/>
        <w:jc w:val="both"/>
        <w:rPr>
          <w:rFonts w:ascii="Palatino Linotype" w:eastAsia="Palatino Linotype" w:hAnsi="Palatino Linotype" w:cs="Palatino Linotype"/>
          <w:i/>
          <w:lang w:eastAsia="es-ES"/>
        </w:rPr>
      </w:pPr>
      <w:r w:rsidRPr="00AC78F4">
        <w:rPr>
          <w:rFonts w:ascii="Palatino Linotype" w:eastAsia="Palatino Linotype" w:hAnsi="Palatino Linotype" w:cs="Palatino Linotype"/>
          <w:b/>
          <w:i/>
          <w:lang w:eastAsia="es-ES"/>
        </w:rPr>
        <w:t>I. Toda la información en posesión de cualquier autoridad, entidad, órgano y organismos de los</w:t>
      </w:r>
      <w:r w:rsidRPr="00AC78F4">
        <w:rPr>
          <w:rFonts w:ascii="Palatino Linotype" w:eastAsia="Palatino Linotype" w:hAnsi="Palatino Linotype" w:cs="Palatino Linotype"/>
          <w:i/>
          <w:lang w:eastAsia="es-ES"/>
        </w:rPr>
        <w:t xml:space="preserve"> Poderes Ejecutivo, Legislativo y Judicial, órganos autónomos, partidos políticos, fideicomisos y fondos públicos estatales y </w:t>
      </w:r>
      <w:r w:rsidRPr="00AC78F4">
        <w:rPr>
          <w:rFonts w:ascii="Palatino Linotype" w:eastAsia="Palatino Linotype" w:hAnsi="Palatino Linotype" w:cs="Palatino Linotype"/>
          <w:b/>
          <w:i/>
          <w:lang w:eastAsia="es-ES"/>
        </w:rPr>
        <w:t>municipales</w:t>
      </w:r>
      <w:r w:rsidRPr="00AC78F4">
        <w:rPr>
          <w:rFonts w:ascii="Palatino Linotype" w:eastAsia="Palatino Linotype" w:hAnsi="Palatino Linotype" w:cs="Palatino Linotype"/>
          <w:i/>
          <w:lang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C78F4">
        <w:rPr>
          <w:rFonts w:ascii="Palatino Linotype" w:eastAsia="Palatino Linotype" w:hAnsi="Palatino Linotype" w:cs="Palatino Linotype"/>
          <w:b/>
          <w:i/>
          <w:lang w:eastAsia="es-ES"/>
        </w:rPr>
        <w:t>es pública</w:t>
      </w:r>
      <w:r w:rsidRPr="00AC78F4">
        <w:rPr>
          <w:rFonts w:ascii="Palatino Linotype" w:eastAsia="Palatino Linotype" w:hAnsi="Palatino Linotype" w:cs="Palatino Linotype"/>
          <w:i/>
          <w:lang w:eastAsia="es-ES"/>
        </w:rPr>
        <w:t xml:space="preserve"> y sólo podrá ser reservada temporalmente </w:t>
      </w:r>
      <w:r w:rsidRPr="00AC78F4">
        <w:rPr>
          <w:rFonts w:ascii="Palatino Linotype" w:eastAsia="Palatino Linotype" w:hAnsi="Palatino Linotype" w:cs="Palatino Linotype"/>
          <w:i/>
          <w:lang w:eastAsia="es-ES"/>
        </w:rPr>
        <w:lastRenderedPageBreak/>
        <w:t xml:space="preserve">por razones previstas en la Constitución Política de los Estados Unidos Mexicanos de interés público y seguridad, en los términos que fijen las leyes. </w:t>
      </w:r>
      <w:r w:rsidRPr="00AC78F4">
        <w:rPr>
          <w:rFonts w:ascii="Palatino Linotype" w:eastAsia="Palatino Linotype" w:hAnsi="Palatino Linotype" w:cs="Palatino Linotype"/>
          <w:b/>
          <w:i/>
          <w:lang w:eastAsia="es-ES"/>
        </w:rPr>
        <w:t>En la interpretación de este derecho deberá prevalecer el principio de máxima publicidad</w:t>
      </w:r>
      <w:r w:rsidRPr="00AC78F4">
        <w:rPr>
          <w:rFonts w:ascii="Palatino Linotype" w:eastAsia="Palatino Linotype" w:hAnsi="Palatino Linotype" w:cs="Palatino Linotype"/>
          <w:i/>
          <w:lang w:eastAsia="es-ES"/>
        </w:rPr>
        <w:t xml:space="preserve">. </w:t>
      </w:r>
      <w:r w:rsidRPr="00AC78F4">
        <w:rPr>
          <w:rFonts w:ascii="Palatino Linotype" w:eastAsia="Palatino Linotype" w:hAnsi="Palatino Linotype" w:cs="Palatino Linotype"/>
          <w:b/>
          <w:i/>
          <w:lang w:eastAsia="es-ES"/>
        </w:rPr>
        <w:t>Los sujetos obligados deberán documentar todo acto que derive del ejercicio de sus facultades, competencias o funciones</w:t>
      </w:r>
      <w:r w:rsidRPr="00AC78F4">
        <w:rPr>
          <w:rFonts w:ascii="Palatino Linotype" w:eastAsia="Palatino Linotype" w:hAnsi="Palatino Linotype" w:cs="Palatino Linotype"/>
          <w:i/>
          <w:lang w:eastAsia="es-ES"/>
        </w:rPr>
        <w:t>, la ley determinará los supuestos específicos bajo los cuales procederá la declaración de inexistencia de la información.”</w:t>
      </w:r>
    </w:p>
    <w:p w:rsidR="0098628B" w:rsidRPr="00AC78F4" w:rsidRDefault="0098628B" w:rsidP="0098628B">
      <w:pPr>
        <w:tabs>
          <w:tab w:val="left" w:pos="567"/>
        </w:tabs>
        <w:spacing w:before="240" w:after="240"/>
        <w:ind w:right="567"/>
        <w:jc w:val="both"/>
        <w:rPr>
          <w:rFonts w:ascii="Palatino Linotype" w:eastAsia="Palatino Linotype" w:hAnsi="Palatino Linotype" w:cs="Palatino Linotype"/>
          <w:b/>
          <w:i/>
          <w:lang w:eastAsia="es-ES"/>
        </w:rPr>
      </w:pPr>
    </w:p>
    <w:p w:rsidR="0098628B" w:rsidRPr="00AC78F4" w:rsidRDefault="0098628B" w:rsidP="0098628B">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lang w:eastAsia="es-ES"/>
        </w:rPr>
      </w:pPr>
      <w:r w:rsidRPr="00AC78F4">
        <w:rPr>
          <w:rFonts w:ascii="Palatino Linotype" w:eastAsia="Palatino Linotype" w:hAnsi="Palatino Linotype" w:cs="Palatino Linotype"/>
          <w:lang w:eastAsia="es-ES"/>
        </w:rPr>
        <w:t xml:space="preserve">Según el artículo 150 de la Ley de Transparencia del Estado, la solicitud es la garantía primaria del Derecho de Acceso a la Información, además, establece que se regirá </w:t>
      </w:r>
      <w:r w:rsidRPr="00AC78F4">
        <w:rPr>
          <w:rFonts w:ascii="Palatino Linotype" w:eastAsia="Palatino Linotype" w:hAnsi="Palatino Linotype" w:cs="Palatino Linotype"/>
          <w:i/>
          <w:lang w:eastAsia="es-ES"/>
        </w:rPr>
        <w:t>por los principios de simplicidad, rapidez gratuidad del procedimiento, auxilio y orientación a los particulares</w:t>
      </w:r>
      <w:r w:rsidRPr="00AC78F4">
        <w:rPr>
          <w:rFonts w:ascii="Palatino Linotype" w:eastAsia="Palatino Linotype" w:hAnsi="Palatino Linotype" w:cs="Palatino Linotype"/>
          <w:lang w:eastAsia="es-ES"/>
        </w:rPr>
        <w:t>, contemplando el derecho de las personas con discapacidad y hablantes de lengua indígena.</w:t>
      </w:r>
    </w:p>
    <w:p w:rsidR="0098628B" w:rsidRPr="00AC78F4" w:rsidRDefault="0098628B" w:rsidP="0098628B">
      <w:pPr>
        <w:spacing w:line="360" w:lineRule="auto"/>
        <w:ind w:right="49"/>
        <w:jc w:val="both"/>
        <w:rPr>
          <w:rFonts w:ascii="Palatino Linotype" w:eastAsia="Palatino Linotype" w:hAnsi="Palatino Linotype" w:cs="Palatino Linotype"/>
          <w:lang w:eastAsia="es-ES"/>
        </w:rPr>
      </w:pPr>
    </w:p>
    <w:p w:rsidR="0098628B" w:rsidRPr="00AC78F4" w:rsidRDefault="0098628B" w:rsidP="0098628B">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lang w:eastAsia="es-ES"/>
        </w:rPr>
      </w:pPr>
      <w:r w:rsidRPr="00AC78F4">
        <w:rPr>
          <w:rFonts w:ascii="Palatino Linotype" w:eastAsia="Palatino Linotype" w:hAnsi="Palatino Linotype" w:cs="Palatino Linotype"/>
          <w:lang w:eastAsia="es-ES"/>
        </w:rPr>
        <w:t xml:space="preserve">El Derecho de </w:t>
      </w:r>
      <w:r w:rsidRPr="00AC78F4">
        <w:rPr>
          <w:rFonts w:ascii="Palatino Linotype" w:eastAsia="Palatino Linotype" w:hAnsi="Palatino Linotype" w:cs="Palatino Linotype"/>
        </w:rPr>
        <w:t>Acceso</w:t>
      </w:r>
      <w:r w:rsidRPr="00AC78F4">
        <w:rPr>
          <w:rFonts w:ascii="Palatino Linotype" w:eastAsia="Palatino Linotype" w:hAnsi="Palatino Linotype" w:cs="Palatino Linotype"/>
          <w:lang w:eastAsia="es-ES"/>
        </w:rPr>
        <w:t xml:space="preserve"> a la Información se garantiza y respeta oportunamente, y según lo que dispone la Ley, las </w:t>
      </w:r>
      <w:r w:rsidRPr="00AC78F4">
        <w:rPr>
          <w:rFonts w:ascii="Palatino Linotype" w:eastAsia="Palatino Linotype" w:hAnsi="Palatino Linotype" w:cs="Palatino Linotype"/>
          <w:i/>
          <w:lang w:eastAsia="es-ES"/>
        </w:rPr>
        <w:t>solicitudes de acceso a la información</w:t>
      </w:r>
      <w:r w:rsidRPr="00AC78F4">
        <w:rPr>
          <w:rFonts w:ascii="Palatino Linotype" w:eastAsia="Palatino Linotype" w:hAnsi="Palatino Linotype" w:cs="Palatino Linotype"/>
          <w:lang w:eastAsia="es-ES"/>
        </w:rPr>
        <w:t>.</w:t>
      </w:r>
    </w:p>
    <w:p w:rsidR="0098628B" w:rsidRPr="00AC78F4" w:rsidRDefault="0098628B" w:rsidP="0098628B">
      <w:pPr>
        <w:spacing w:line="360" w:lineRule="auto"/>
        <w:ind w:right="49"/>
        <w:jc w:val="both"/>
        <w:rPr>
          <w:rFonts w:ascii="Palatino Linotype" w:eastAsia="Palatino Linotype" w:hAnsi="Palatino Linotype" w:cs="Palatino Linotype"/>
          <w:lang w:eastAsia="es-ES"/>
        </w:rPr>
      </w:pPr>
    </w:p>
    <w:p w:rsidR="0098628B" w:rsidRPr="00AC78F4" w:rsidRDefault="0098628B" w:rsidP="0098628B">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lang w:eastAsia="es-ES"/>
        </w:rPr>
      </w:pPr>
      <w:bookmarkStart w:id="7" w:name="_heading=h.4d34og8" w:colFirst="0" w:colLast="0"/>
      <w:bookmarkEnd w:id="7"/>
      <w:r w:rsidRPr="00AC78F4">
        <w:rPr>
          <w:rFonts w:ascii="Palatino Linotype" w:eastAsia="Palatino Linotype" w:hAnsi="Palatino Linotype" w:cs="Palatino Linotype"/>
          <w:lang w:eastAsia="es-ES"/>
        </w:rPr>
        <w:t xml:space="preserve">Así entonces, se procede analizar, en primer lugar, si el </w:t>
      </w:r>
      <w:r w:rsidRPr="00AC78F4">
        <w:rPr>
          <w:rFonts w:ascii="Palatino Linotype" w:eastAsia="Palatino Linotype" w:hAnsi="Palatino Linotype" w:cs="Palatino Linotype"/>
          <w:b/>
          <w:lang w:eastAsia="es-ES"/>
        </w:rPr>
        <w:t>SUJETO OBLIGADO</w:t>
      </w:r>
      <w:r w:rsidRPr="00AC78F4">
        <w:rPr>
          <w:rFonts w:ascii="Palatino Linotype" w:eastAsia="Palatino Linotype" w:hAnsi="Palatino Linotype" w:cs="Palatino Linotype"/>
          <w:lang w:eastAsia="es-ES"/>
        </w:rPr>
        <w:t xml:space="preserve"> al atender la solicitud de </w:t>
      </w:r>
      <w:r w:rsidRPr="00AC78F4">
        <w:rPr>
          <w:rFonts w:ascii="Palatino Linotype" w:eastAsia="Palatino Linotype" w:hAnsi="Palatino Linotype" w:cs="Palatino Linotype"/>
        </w:rPr>
        <w:t>acceso</w:t>
      </w:r>
      <w:r w:rsidRPr="00AC78F4">
        <w:rPr>
          <w:rFonts w:ascii="Palatino Linotype" w:eastAsia="Palatino Linotype" w:hAnsi="Palatino Linotype" w:cs="Palatino Linotype"/>
          <w:lang w:eastAsia="es-ES"/>
        </w:rPr>
        <w:t xml:space="preserve">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98628B" w:rsidRPr="00AC78F4" w:rsidRDefault="0098628B" w:rsidP="0098628B">
      <w:pPr>
        <w:spacing w:line="360" w:lineRule="auto"/>
        <w:ind w:right="49"/>
        <w:jc w:val="both"/>
        <w:rPr>
          <w:rFonts w:ascii="Palatino Linotype" w:eastAsia="Palatino Linotype" w:hAnsi="Palatino Linotype" w:cs="Palatino Linotype"/>
          <w:lang w:eastAsia="es-ES"/>
        </w:rPr>
      </w:pPr>
    </w:p>
    <w:p w:rsidR="0098628B" w:rsidRPr="00AC78F4" w:rsidRDefault="0098628B" w:rsidP="0098628B">
      <w:pPr>
        <w:pStyle w:val="Ttulo1"/>
        <w:spacing w:before="0" w:after="240" w:line="360" w:lineRule="auto"/>
        <w:rPr>
          <w:rFonts w:ascii="Palatino Linotype" w:eastAsia="Palatino Linotype" w:hAnsi="Palatino Linotype" w:cs="Palatino Linotype"/>
          <w:b/>
          <w:color w:val="000000"/>
          <w:sz w:val="24"/>
          <w:szCs w:val="24"/>
        </w:rPr>
      </w:pPr>
      <w:bookmarkStart w:id="8" w:name="_heading=h.2s8eyo1" w:colFirst="0" w:colLast="0"/>
      <w:bookmarkEnd w:id="8"/>
      <w:r w:rsidRPr="00AC78F4">
        <w:rPr>
          <w:rFonts w:ascii="Palatino Linotype" w:eastAsia="Palatino Linotype" w:hAnsi="Palatino Linotype" w:cs="Palatino Linotype"/>
          <w:b/>
          <w:color w:val="000000"/>
          <w:sz w:val="24"/>
          <w:szCs w:val="24"/>
        </w:rPr>
        <w:t>II. De la información solicitada y la respuesta del SUJETO OBLIGADO</w:t>
      </w:r>
    </w:p>
    <w:p w:rsidR="0098628B" w:rsidRPr="00AC78F4" w:rsidRDefault="0098628B" w:rsidP="0098628B">
      <w:pPr>
        <w:numPr>
          <w:ilvl w:val="0"/>
          <w:numId w:val="2"/>
        </w:numPr>
        <w:pBdr>
          <w:top w:val="nil"/>
          <w:left w:val="nil"/>
          <w:bottom w:val="nil"/>
          <w:right w:val="nil"/>
          <w:between w:val="nil"/>
        </w:pBdr>
        <w:spacing w:line="360" w:lineRule="auto"/>
        <w:ind w:left="0" w:right="-787" w:firstLine="0"/>
        <w:jc w:val="both"/>
        <w:rPr>
          <w:rFonts w:ascii="Palatino Linotype" w:hAnsi="Palatino Linotype"/>
        </w:rPr>
      </w:pPr>
      <w:r w:rsidRPr="00AC78F4">
        <w:rPr>
          <w:rFonts w:ascii="Palatino Linotype" w:eastAsia="Palatino Linotype" w:hAnsi="Palatino Linotype" w:cs="Palatino Linotype"/>
        </w:rPr>
        <w:t xml:space="preserve">En ese sentido, es importante realizar la siguiente tabla de </w:t>
      </w:r>
      <w:r w:rsidR="00233990" w:rsidRPr="00AC78F4">
        <w:rPr>
          <w:rFonts w:ascii="Palatino Linotype" w:eastAsia="Palatino Linotype" w:hAnsi="Palatino Linotype" w:cs="Palatino Linotype"/>
        </w:rPr>
        <w:t>análisis</w:t>
      </w:r>
      <w:r w:rsidRPr="00AC78F4">
        <w:rPr>
          <w:rFonts w:ascii="Palatino Linotype" w:eastAsia="Palatino Linotype" w:hAnsi="Palatino Linotype" w:cs="Palatino Linotype"/>
        </w:rPr>
        <w:t xml:space="preserve"> para establecer si con la respuesta fue colmado el derecho de acceso a la información del </w:t>
      </w:r>
      <w:r w:rsidRPr="00AC78F4">
        <w:rPr>
          <w:rFonts w:ascii="Palatino Linotype" w:eastAsia="Palatino Linotype" w:hAnsi="Palatino Linotype" w:cs="Palatino Linotype"/>
          <w:b/>
        </w:rPr>
        <w:t xml:space="preserve">RECURRENTE. </w:t>
      </w:r>
    </w:p>
    <w:p w:rsidR="008B1F70" w:rsidRPr="00AC78F4" w:rsidRDefault="008B1F70" w:rsidP="0098628B">
      <w:pPr>
        <w:spacing w:line="360" w:lineRule="auto"/>
        <w:ind w:right="-787"/>
        <w:jc w:val="both"/>
        <w:rPr>
          <w:rFonts w:ascii="Palatino Linotype" w:hAnsi="Palatino Linotype" w:cs="Tahoma"/>
        </w:rPr>
      </w:pPr>
    </w:p>
    <w:tbl>
      <w:tblPr>
        <w:tblStyle w:val="Tabladecuadrcula6concolores"/>
        <w:tblW w:w="9493" w:type="dxa"/>
        <w:tblLayout w:type="fixed"/>
        <w:tblLook w:val="04A0" w:firstRow="1" w:lastRow="0" w:firstColumn="1" w:lastColumn="0" w:noHBand="0" w:noVBand="1"/>
      </w:tblPr>
      <w:tblGrid>
        <w:gridCol w:w="1787"/>
        <w:gridCol w:w="2210"/>
        <w:gridCol w:w="3228"/>
        <w:gridCol w:w="2268"/>
      </w:tblGrid>
      <w:tr w:rsidR="0098628B" w:rsidRPr="00AC78F4" w:rsidTr="009862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7" w:type="dxa"/>
          </w:tcPr>
          <w:p w:rsidR="0098628B" w:rsidRPr="00AC78F4" w:rsidRDefault="0098628B" w:rsidP="0098628B">
            <w:pPr>
              <w:pStyle w:val="Prrafodelista"/>
              <w:ind w:left="0"/>
              <w:rPr>
                <w:rFonts w:ascii="Palatino Linotype" w:hAnsi="Palatino Linotype" w:cs="Tahoma"/>
                <w:i/>
              </w:rPr>
            </w:pPr>
            <w:r w:rsidRPr="00AC78F4">
              <w:rPr>
                <w:rFonts w:ascii="Palatino Linotype" w:hAnsi="Palatino Linotype" w:cs="Tahoma"/>
                <w:i/>
              </w:rPr>
              <w:t>Información solicitada</w:t>
            </w:r>
          </w:p>
        </w:tc>
        <w:tc>
          <w:tcPr>
            <w:tcW w:w="2210" w:type="dxa"/>
          </w:tcPr>
          <w:p w:rsidR="0098628B" w:rsidRPr="00AC78F4" w:rsidRDefault="0098628B" w:rsidP="0098628B">
            <w:pPr>
              <w:pStyle w:val="Prrafodelista"/>
              <w:ind w:left="0"/>
              <w:cnfStyle w:val="100000000000" w:firstRow="1" w:lastRow="0" w:firstColumn="0" w:lastColumn="0" w:oddVBand="0" w:evenVBand="0" w:oddHBand="0" w:evenHBand="0" w:firstRowFirstColumn="0" w:firstRowLastColumn="0" w:lastRowFirstColumn="0" w:lastRowLastColumn="0"/>
              <w:rPr>
                <w:rFonts w:ascii="Palatino Linotype" w:hAnsi="Palatino Linotype" w:cs="Tahoma"/>
                <w:i/>
              </w:rPr>
            </w:pPr>
            <w:r w:rsidRPr="00AC78F4">
              <w:rPr>
                <w:rFonts w:ascii="Palatino Linotype" w:hAnsi="Palatino Linotype" w:cs="Tahoma"/>
                <w:i/>
              </w:rPr>
              <w:t xml:space="preserve">Respuesta </w:t>
            </w:r>
          </w:p>
        </w:tc>
        <w:tc>
          <w:tcPr>
            <w:tcW w:w="3228" w:type="dxa"/>
          </w:tcPr>
          <w:p w:rsidR="0098628B" w:rsidRPr="00AC78F4" w:rsidRDefault="0098628B" w:rsidP="0098628B">
            <w:pPr>
              <w:pStyle w:val="Prrafodelista"/>
              <w:ind w:left="0"/>
              <w:cnfStyle w:val="100000000000" w:firstRow="1" w:lastRow="0" w:firstColumn="0" w:lastColumn="0" w:oddVBand="0" w:evenVBand="0" w:oddHBand="0" w:evenHBand="0" w:firstRowFirstColumn="0" w:firstRowLastColumn="0" w:lastRowFirstColumn="0" w:lastRowLastColumn="0"/>
              <w:rPr>
                <w:rFonts w:ascii="Palatino Linotype" w:hAnsi="Palatino Linotype" w:cs="Tahoma"/>
                <w:i/>
              </w:rPr>
            </w:pPr>
            <w:r w:rsidRPr="00AC78F4">
              <w:rPr>
                <w:rFonts w:ascii="Palatino Linotype" w:hAnsi="Palatino Linotype" w:cs="Tahoma"/>
                <w:i/>
              </w:rPr>
              <w:t>Manifestaciones</w:t>
            </w:r>
          </w:p>
        </w:tc>
        <w:tc>
          <w:tcPr>
            <w:tcW w:w="2268" w:type="dxa"/>
          </w:tcPr>
          <w:p w:rsidR="0098628B" w:rsidRPr="00AC78F4" w:rsidRDefault="0098628B" w:rsidP="0098628B">
            <w:pPr>
              <w:pStyle w:val="Prrafodelista"/>
              <w:ind w:left="0"/>
              <w:cnfStyle w:val="100000000000" w:firstRow="1" w:lastRow="0" w:firstColumn="0" w:lastColumn="0" w:oddVBand="0" w:evenVBand="0" w:oddHBand="0" w:evenHBand="0" w:firstRowFirstColumn="0" w:firstRowLastColumn="0" w:lastRowFirstColumn="0" w:lastRowLastColumn="0"/>
              <w:rPr>
                <w:rFonts w:ascii="Palatino Linotype" w:hAnsi="Palatino Linotype" w:cs="Tahoma"/>
                <w:i/>
              </w:rPr>
            </w:pPr>
            <w:r w:rsidRPr="00AC78F4">
              <w:rPr>
                <w:rFonts w:ascii="Palatino Linotype" w:hAnsi="Palatino Linotype" w:cs="Tahoma"/>
                <w:i/>
              </w:rPr>
              <w:t>Colma</w:t>
            </w:r>
          </w:p>
        </w:tc>
      </w:tr>
      <w:tr w:rsidR="0098628B" w:rsidRPr="00AC78F4" w:rsidTr="0098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7" w:type="dxa"/>
          </w:tcPr>
          <w:p w:rsidR="0098628B" w:rsidRPr="00AC78F4" w:rsidRDefault="0098628B" w:rsidP="0098628B">
            <w:pPr>
              <w:pStyle w:val="Prrafodelista"/>
              <w:numPr>
                <w:ilvl w:val="0"/>
                <w:numId w:val="11"/>
              </w:numPr>
              <w:ind w:left="0" w:firstLine="142"/>
              <w:jc w:val="both"/>
              <w:rPr>
                <w:rFonts w:ascii="Palatino Linotype" w:hAnsi="Palatino Linotype" w:cs="Tahoma"/>
                <w:i/>
              </w:rPr>
            </w:pPr>
            <w:r w:rsidRPr="00AC78F4">
              <w:rPr>
                <w:rFonts w:ascii="Palatino Linotype" w:hAnsi="Palatino Linotype" w:cs="Tahoma"/>
                <w:i/>
              </w:rPr>
              <w:t xml:space="preserve">Comprobantes de pago mediante cheque o transferencia electrónica de las partida presupuestales 3611 y 3612, de noviembre y diciembre de 2024. </w:t>
            </w:r>
          </w:p>
          <w:p w:rsidR="0098628B" w:rsidRPr="00AC78F4" w:rsidRDefault="0098628B" w:rsidP="0098628B">
            <w:pPr>
              <w:pStyle w:val="Prrafodelista"/>
              <w:ind w:left="0"/>
              <w:rPr>
                <w:rFonts w:ascii="Palatino Linotype" w:hAnsi="Palatino Linotype" w:cs="Tahoma"/>
                <w:i/>
              </w:rPr>
            </w:pPr>
          </w:p>
          <w:p w:rsidR="0098628B" w:rsidRPr="00AC78F4" w:rsidRDefault="0098628B" w:rsidP="0098628B">
            <w:pPr>
              <w:pStyle w:val="Prrafodelista"/>
              <w:rPr>
                <w:rFonts w:ascii="Palatino Linotype" w:hAnsi="Palatino Linotype" w:cs="Tahoma"/>
                <w:i/>
              </w:rPr>
            </w:pPr>
          </w:p>
          <w:p w:rsidR="0098628B" w:rsidRPr="00AC78F4" w:rsidRDefault="0098628B" w:rsidP="0098628B">
            <w:pPr>
              <w:pStyle w:val="Prrafodelista"/>
              <w:ind w:left="0"/>
              <w:rPr>
                <w:rFonts w:ascii="Palatino Linotype" w:hAnsi="Palatino Linotype" w:cs="Tahoma"/>
                <w:i/>
              </w:rPr>
            </w:pPr>
          </w:p>
        </w:tc>
        <w:tc>
          <w:tcPr>
            <w:tcW w:w="2210" w:type="dxa"/>
          </w:tcPr>
          <w:p w:rsidR="0098628B" w:rsidRPr="00AC78F4" w:rsidRDefault="0098628B" w:rsidP="0098628B">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ahoma"/>
                <w:i/>
              </w:rPr>
            </w:pPr>
            <w:r w:rsidRPr="00AC78F4">
              <w:rPr>
                <w:rFonts w:ascii="Palatino Linotype" w:hAnsi="Palatino Linotype" w:cs="Tahoma"/>
                <w:b/>
                <w:i/>
              </w:rPr>
              <w:t xml:space="preserve">SIP 801\CONTRATOS SEGUNDO SEMESTRE 2024: </w:t>
            </w:r>
            <w:r w:rsidRPr="00AC78F4">
              <w:rPr>
                <w:rFonts w:ascii="Palatino Linotype" w:hAnsi="Palatino Linotype" w:cs="Tahoma"/>
                <w:i/>
              </w:rPr>
              <w:t xml:space="preserve">Contratos firmados entre el </w:t>
            </w:r>
            <w:r w:rsidRPr="00AC78F4">
              <w:rPr>
                <w:rFonts w:ascii="Palatino Linotype" w:hAnsi="Palatino Linotype" w:cs="Tahoma"/>
                <w:b/>
                <w:i/>
              </w:rPr>
              <w:t xml:space="preserve">SUJETO OBLIGADO </w:t>
            </w:r>
            <w:r w:rsidRPr="00AC78F4">
              <w:rPr>
                <w:rFonts w:ascii="Palatino Linotype" w:hAnsi="Palatino Linotype" w:cs="Tahoma"/>
                <w:i/>
              </w:rPr>
              <w:t xml:space="preserve">y particulares, del  mes de septiembre de dos mil veinticuatro. </w:t>
            </w:r>
          </w:p>
          <w:p w:rsidR="0098628B" w:rsidRPr="00AC78F4" w:rsidRDefault="0098628B" w:rsidP="0098628B">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ahoma"/>
                <w:i/>
              </w:rPr>
            </w:pPr>
          </w:p>
          <w:p w:rsidR="0098628B" w:rsidRPr="00AC78F4" w:rsidRDefault="0098628B" w:rsidP="0098628B">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ahoma"/>
                <w:i/>
              </w:rPr>
            </w:pPr>
            <w:r w:rsidRPr="00AC78F4">
              <w:rPr>
                <w:rFonts w:ascii="Palatino Linotype" w:hAnsi="Palatino Linotype" w:cs="Tahoma"/>
                <w:b/>
                <w:i/>
              </w:rPr>
              <w:t xml:space="preserve">SIP 801\acuerdo UAEM.CI.CIC.048.2025.pdf: </w:t>
            </w:r>
            <w:r w:rsidRPr="00AC78F4">
              <w:rPr>
                <w:rFonts w:ascii="Palatino Linotype" w:hAnsi="Palatino Linotype" w:cs="Tahoma"/>
                <w:i/>
              </w:rPr>
              <w:t xml:space="preserve">Acuerdo del Comité de Transparencia, mediante el cual se clasifican como confidenciales los datos de domicilio, número telefónico, y correos electrónicos de particulares, así como clave de elector, CURP, nombre de terceras personas, número de cuenta bancaria y CLABE interbancaria. </w:t>
            </w:r>
          </w:p>
          <w:p w:rsidR="0098628B" w:rsidRPr="00AC78F4" w:rsidRDefault="0098628B" w:rsidP="0098628B">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ahoma"/>
                <w:i/>
              </w:rPr>
            </w:pPr>
          </w:p>
        </w:tc>
        <w:tc>
          <w:tcPr>
            <w:tcW w:w="3228" w:type="dxa"/>
          </w:tcPr>
          <w:p w:rsidR="0098628B" w:rsidRPr="00AC78F4" w:rsidRDefault="0098628B" w:rsidP="0098628B">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ahoma"/>
                <w:i/>
              </w:rPr>
            </w:pPr>
            <w:r w:rsidRPr="00AC78F4">
              <w:rPr>
                <w:rFonts w:ascii="Palatino Linotype" w:hAnsi="Palatino Linotype" w:cs="Tahoma"/>
                <w:b/>
                <w:i/>
              </w:rPr>
              <w:t xml:space="preserve">rr11103-25_08-10-2025-180730.pdf: </w:t>
            </w:r>
            <w:r w:rsidRPr="00AC78F4">
              <w:rPr>
                <w:rFonts w:ascii="Palatino Linotype" w:hAnsi="Palatino Linotype" w:cs="Tahoma"/>
                <w:i/>
              </w:rPr>
              <w:t xml:space="preserve">Informe Justificado mediante el cual se anexan unas tablas del mes de noviembre y diciembre de los pagos realizados a particulares por el servicio de medios de comunicación que guardan relación con las partidas solicitadas. </w:t>
            </w:r>
          </w:p>
          <w:p w:rsidR="0098628B" w:rsidRPr="00AC78F4" w:rsidRDefault="0098628B" w:rsidP="0098628B">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ahoma"/>
                <w:i/>
              </w:rPr>
            </w:pPr>
            <w:r w:rsidRPr="00AC78F4">
              <w:rPr>
                <w:rFonts w:ascii="Palatino Linotype" w:hAnsi="Palatino Linotype" w:cs="Tahoma"/>
                <w:b/>
                <w:i/>
              </w:rPr>
              <w:t xml:space="preserve">DRF-11103-25.pdf: </w:t>
            </w:r>
            <w:r w:rsidRPr="00AC78F4">
              <w:rPr>
                <w:rFonts w:ascii="Palatino Linotype" w:hAnsi="Palatino Linotype" w:cs="Tahoma"/>
                <w:i/>
              </w:rPr>
              <w:t xml:space="preserve">oficio del Director de Recursos Financieros, mediante el cual informa que toda vez que las partidas presupuestales corresponden a la Dirección General de Comunicación Universitaria, es que su área no es la responsable. </w:t>
            </w:r>
          </w:p>
          <w:p w:rsidR="0098628B" w:rsidRPr="00AC78F4" w:rsidRDefault="0098628B" w:rsidP="0098628B">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ahoma"/>
                <w:i/>
              </w:rPr>
            </w:pPr>
            <w:r w:rsidRPr="00AC78F4">
              <w:rPr>
                <w:rFonts w:ascii="Palatino Linotype" w:hAnsi="Palatino Linotype" w:cs="Tahoma"/>
                <w:b/>
                <w:i/>
              </w:rPr>
              <w:t xml:space="preserve">SF-1770- 25_Transparencia_Recurso_De_Revisión_compressed.pdf: </w:t>
            </w:r>
            <w:r w:rsidRPr="00AC78F4">
              <w:rPr>
                <w:rFonts w:ascii="Palatino Linotype" w:hAnsi="Palatino Linotype" w:cs="Tahoma"/>
                <w:i/>
              </w:rPr>
              <w:t xml:space="preserve">oficio de la  Secretaria de Finanzas, mediante el cual informa que el área responsable de la ejecución de las partidas presupuestales 3611 y 3612 es la Dirección General de Comunicación Universitaria. </w:t>
            </w:r>
          </w:p>
          <w:p w:rsidR="0098628B" w:rsidRPr="00AC78F4" w:rsidRDefault="0098628B" w:rsidP="0098628B">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ahoma"/>
                <w:i/>
              </w:rPr>
            </w:pPr>
          </w:p>
        </w:tc>
        <w:tc>
          <w:tcPr>
            <w:tcW w:w="2268" w:type="dxa"/>
          </w:tcPr>
          <w:p w:rsidR="0098628B" w:rsidRPr="00AC78F4" w:rsidRDefault="005D085A" w:rsidP="005D085A">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ahoma"/>
                <w:i/>
              </w:rPr>
            </w:pPr>
            <w:r w:rsidRPr="00AC78F4">
              <w:rPr>
                <w:rFonts w:ascii="Palatino Linotype" w:hAnsi="Palatino Linotype" w:cs="Tahoma"/>
                <w:i/>
              </w:rPr>
              <w:t xml:space="preserve">No colma, toda vez que la información entregada no es la solicitada por el </w:t>
            </w:r>
            <w:r w:rsidRPr="00AC78F4">
              <w:rPr>
                <w:rFonts w:ascii="Palatino Linotype" w:hAnsi="Palatino Linotype" w:cs="Tahoma"/>
                <w:b/>
                <w:i/>
              </w:rPr>
              <w:t xml:space="preserve">RECURRENTE, </w:t>
            </w:r>
            <w:r w:rsidRPr="00AC78F4">
              <w:rPr>
                <w:rFonts w:ascii="Palatino Linotype" w:hAnsi="Palatino Linotype" w:cs="Tahoma"/>
                <w:i/>
              </w:rPr>
              <w:t xml:space="preserve">situación por la cual se hace el siguiente </w:t>
            </w:r>
            <w:r w:rsidR="00233990" w:rsidRPr="00AC78F4">
              <w:rPr>
                <w:rFonts w:ascii="Palatino Linotype" w:hAnsi="Palatino Linotype" w:cs="Tahoma"/>
                <w:i/>
              </w:rPr>
              <w:t>análisis</w:t>
            </w:r>
            <w:r w:rsidRPr="00AC78F4">
              <w:rPr>
                <w:rFonts w:ascii="Palatino Linotype" w:hAnsi="Palatino Linotype" w:cs="Tahoma"/>
                <w:i/>
              </w:rPr>
              <w:t xml:space="preserve">. </w:t>
            </w:r>
          </w:p>
        </w:tc>
      </w:tr>
    </w:tbl>
    <w:p w:rsidR="008B1F70" w:rsidRPr="00AC78F4" w:rsidRDefault="008B1F70" w:rsidP="008B1F70">
      <w:pPr>
        <w:pStyle w:val="Prrafodelista"/>
        <w:rPr>
          <w:rFonts w:ascii="Palatino Linotype" w:hAnsi="Palatino Linotype" w:cs="Tahoma"/>
        </w:rPr>
      </w:pPr>
    </w:p>
    <w:p w:rsidR="005D085A" w:rsidRPr="00AC78F4" w:rsidRDefault="005D085A" w:rsidP="0098628B">
      <w:pPr>
        <w:numPr>
          <w:ilvl w:val="0"/>
          <w:numId w:val="2"/>
        </w:numPr>
        <w:pBdr>
          <w:top w:val="nil"/>
          <w:left w:val="nil"/>
          <w:bottom w:val="nil"/>
          <w:right w:val="nil"/>
          <w:between w:val="nil"/>
        </w:pBdr>
        <w:spacing w:line="360" w:lineRule="auto"/>
        <w:ind w:left="0" w:right="-787" w:firstLine="0"/>
        <w:jc w:val="both"/>
        <w:rPr>
          <w:rFonts w:ascii="Palatino Linotype" w:hAnsi="Palatino Linotype" w:cs="Tahoma"/>
        </w:rPr>
      </w:pPr>
      <w:r w:rsidRPr="00AC78F4">
        <w:rPr>
          <w:rFonts w:ascii="Palatino Linotype" w:hAnsi="Palatino Linotype" w:cs="Tahoma"/>
        </w:rPr>
        <w:lastRenderedPageBreak/>
        <w:t xml:space="preserve">De la tabla anterior, se tiene que el </w:t>
      </w:r>
      <w:r w:rsidRPr="00AC78F4">
        <w:rPr>
          <w:rFonts w:ascii="Palatino Linotype" w:hAnsi="Palatino Linotype" w:cs="Tahoma"/>
          <w:b/>
        </w:rPr>
        <w:t xml:space="preserve">SUJETO OBLIGADO </w:t>
      </w:r>
      <w:r w:rsidRPr="00AC78F4">
        <w:rPr>
          <w:rFonts w:ascii="Palatino Linotype" w:hAnsi="Palatino Linotype" w:cs="Tahoma"/>
        </w:rPr>
        <w:t xml:space="preserve">no colmo el derecho de acceso a la información del </w:t>
      </w:r>
      <w:r w:rsidRPr="00AC78F4">
        <w:rPr>
          <w:rFonts w:ascii="Palatino Linotype" w:hAnsi="Palatino Linotype" w:cs="Tahoma"/>
          <w:b/>
        </w:rPr>
        <w:t xml:space="preserve">RECURRENTE, </w:t>
      </w:r>
      <w:r w:rsidRPr="00AC78F4">
        <w:rPr>
          <w:rFonts w:ascii="Palatino Linotype" w:hAnsi="Palatino Linotype" w:cs="Tahoma"/>
        </w:rPr>
        <w:t xml:space="preserve">toda vez que la información remitida en respuesta y en la etapa de manifestaciones no es la solicitada. </w:t>
      </w:r>
    </w:p>
    <w:p w:rsidR="005D085A" w:rsidRPr="00AC78F4" w:rsidRDefault="005D085A" w:rsidP="005D085A">
      <w:pPr>
        <w:pBdr>
          <w:top w:val="nil"/>
          <w:left w:val="nil"/>
          <w:bottom w:val="nil"/>
          <w:right w:val="nil"/>
          <w:between w:val="nil"/>
        </w:pBdr>
        <w:spacing w:line="360" w:lineRule="auto"/>
        <w:ind w:right="-787"/>
        <w:jc w:val="both"/>
        <w:rPr>
          <w:rFonts w:ascii="Palatino Linotype" w:hAnsi="Palatino Linotype" w:cs="Tahoma"/>
        </w:rPr>
      </w:pPr>
    </w:p>
    <w:p w:rsidR="005D085A" w:rsidRPr="00AC78F4" w:rsidRDefault="00B62464" w:rsidP="0098628B">
      <w:pPr>
        <w:numPr>
          <w:ilvl w:val="0"/>
          <w:numId w:val="2"/>
        </w:numPr>
        <w:pBdr>
          <w:top w:val="nil"/>
          <w:left w:val="nil"/>
          <w:bottom w:val="nil"/>
          <w:right w:val="nil"/>
          <w:between w:val="nil"/>
        </w:pBdr>
        <w:spacing w:line="360" w:lineRule="auto"/>
        <w:ind w:left="0" w:right="-787" w:firstLine="0"/>
        <w:jc w:val="both"/>
        <w:rPr>
          <w:rFonts w:ascii="Palatino Linotype" w:hAnsi="Palatino Linotype" w:cs="Tahoma"/>
        </w:rPr>
      </w:pPr>
      <w:r w:rsidRPr="00AC78F4">
        <w:rPr>
          <w:rFonts w:ascii="Palatino Linotype" w:hAnsi="Palatino Linotype" w:cs="Tahoma"/>
        </w:rPr>
        <w:t xml:space="preserve">En consecuencia, se debe de analizar que la </w:t>
      </w:r>
      <w:r w:rsidRPr="00AC78F4">
        <w:rPr>
          <w:rFonts w:ascii="Palatino Linotype" w:hAnsi="Palatino Linotype" w:cs="Tahoma"/>
          <w:b/>
        </w:rPr>
        <w:t xml:space="preserve">Universidad Autónoma del Estado de México </w:t>
      </w:r>
      <w:r w:rsidR="001E4486" w:rsidRPr="00AC78F4">
        <w:rPr>
          <w:rFonts w:ascii="Palatino Linotype" w:hAnsi="Palatino Linotype" w:cs="Tahoma"/>
        </w:rPr>
        <w:t xml:space="preserve">se integra por la Dirección de Recursos Financieros, quien a su vez cuenta con el Departamento de Tesorería Universitaria, quien de acuerdo con el Manual de Organización de la Dirección de Recursos Financieros, cuenta con las siguientes funciones. </w:t>
      </w:r>
    </w:p>
    <w:p w:rsidR="001E4486" w:rsidRPr="00AC78F4" w:rsidRDefault="001E4486" w:rsidP="001E4486">
      <w:pPr>
        <w:pStyle w:val="Prrafodelista"/>
        <w:rPr>
          <w:rFonts w:ascii="Palatino Linotype" w:hAnsi="Palatino Linotype" w:cs="Tahoma"/>
        </w:rPr>
      </w:pPr>
    </w:p>
    <w:p w:rsidR="001E4486" w:rsidRPr="00AC78F4" w:rsidRDefault="001E4486" w:rsidP="001E4486">
      <w:pPr>
        <w:pBdr>
          <w:top w:val="nil"/>
          <w:left w:val="nil"/>
          <w:bottom w:val="nil"/>
          <w:right w:val="nil"/>
          <w:between w:val="nil"/>
        </w:pBdr>
        <w:ind w:left="1134" w:right="1127"/>
        <w:jc w:val="both"/>
        <w:rPr>
          <w:rFonts w:ascii="Palatino Linotype" w:hAnsi="Palatino Linotype" w:cs="Tahoma"/>
          <w:b/>
          <w:i/>
        </w:rPr>
      </w:pPr>
      <w:r w:rsidRPr="00AC78F4">
        <w:rPr>
          <w:rFonts w:ascii="Palatino Linotype" w:hAnsi="Palatino Linotype" w:cs="Tahoma"/>
          <w:b/>
          <w:i/>
        </w:rPr>
        <w:t xml:space="preserve">Objetivo: </w:t>
      </w:r>
    </w:p>
    <w:p w:rsidR="001E4486" w:rsidRPr="00AC78F4" w:rsidRDefault="001E4486" w:rsidP="001E4486">
      <w:pPr>
        <w:pBdr>
          <w:top w:val="nil"/>
          <w:left w:val="nil"/>
          <w:bottom w:val="nil"/>
          <w:right w:val="nil"/>
          <w:between w:val="nil"/>
        </w:pBdr>
        <w:ind w:left="1134" w:right="1127"/>
        <w:jc w:val="both"/>
        <w:rPr>
          <w:rFonts w:ascii="Palatino Linotype" w:hAnsi="Palatino Linotype" w:cs="Tahoma"/>
          <w:i/>
        </w:rPr>
      </w:pPr>
      <w:r w:rsidRPr="00AC78F4">
        <w:rPr>
          <w:rFonts w:ascii="Palatino Linotype" w:hAnsi="Palatino Linotype" w:cs="Tahoma"/>
          <w:i/>
        </w:rPr>
        <w:t xml:space="preserve">Gestionar, administrar y custodiar la liquidez y el flujo de los recursos financieros de la Universidad Autónoma del Estado de México, garantizando su uso eficiente de conformidad con lo establecido en la Legislación Universitaria y disposiciones legales vigentes. </w:t>
      </w:r>
    </w:p>
    <w:p w:rsidR="001E4486" w:rsidRPr="00AC78F4" w:rsidRDefault="001E4486" w:rsidP="001E4486">
      <w:pPr>
        <w:pBdr>
          <w:top w:val="nil"/>
          <w:left w:val="nil"/>
          <w:bottom w:val="nil"/>
          <w:right w:val="nil"/>
          <w:between w:val="nil"/>
        </w:pBdr>
        <w:ind w:left="1134" w:right="1127"/>
        <w:jc w:val="both"/>
        <w:rPr>
          <w:rFonts w:ascii="Palatino Linotype" w:hAnsi="Palatino Linotype" w:cs="Tahoma"/>
          <w:b/>
          <w:i/>
        </w:rPr>
      </w:pPr>
      <w:r w:rsidRPr="00AC78F4">
        <w:rPr>
          <w:rFonts w:ascii="Palatino Linotype" w:hAnsi="Palatino Linotype" w:cs="Tahoma"/>
          <w:b/>
          <w:i/>
        </w:rPr>
        <w:t xml:space="preserve">Funciones: </w:t>
      </w:r>
    </w:p>
    <w:p w:rsidR="001E4486" w:rsidRPr="00AC78F4" w:rsidRDefault="001E4486" w:rsidP="001E4486">
      <w:pPr>
        <w:pBdr>
          <w:top w:val="nil"/>
          <w:left w:val="nil"/>
          <w:bottom w:val="nil"/>
          <w:right w:val="nil"/>
          <w:between w:val="nil"/>
        </w:pBdr>
        <w:ind w:left="1134" w:right="1127"/>
        <w:jc w:val="both"/>
        <w:rPr>
          <w:rFonts w:ascii="Palatino Linotype" w:hAnsi="Palatino Linotype" w:cs="Tahoma"/>
          <w:i/>
        </w:rPr>
      </w:pPr>
      <w:r w:rsidRPr="00AC78F4">
        <w:rPr>
          <w:rFonts w:ascii="Palatino Linotype" w:hAnsi="Palatino Linotype" w:cs="Tahoma"/>
          <w:i/>
        </w:rPr>
        <w:t xml:space="preserve">1. Acordar con el titular de la Dirección de Recursos Financieros los asuntos de su competencia. </w:t>
      </w:r>
    </w:p>
    <w:p w:rsidR="001E4486" w:rsidRPr="00AC78F4" w:rsidRDefault="001E4486" w:rsidP="001E4486">
      <w:pPr>
        <w:pBdr>
          <w:top w:val="nil"/>
          <w:left w:val="nil"/>
          <w:bottom w:val="nil"/>
          <w:right w:val="nil"/>
          <w:between w:val="nil"/>
        </w:pBdr>
        <w:ind w:left="1134" w:right="1127"/>
        <w:jc w:val="both"/>
        <w:rPr>
          <w:rFonts w:ascii="Palatino Linotype" w:hAnsi="Palatino Linotype" w:cs="Tahoma"/>
          <w:i/>
        </w:rPr>
      </w:pPr>
      <w:r w:rsidRPr="00AC78F4">
        <w:rPr>
          <w:rFonts w:ascii="Palatino Linotype" w:hAnsi="Palatino Linotype" w:cs="Tahoma"/>
          <w:i/>
        </w:rPr>
        <w:t xml:space="preserve">2. Contribuir en la formulación, ejecución y seguimiento de los programas, proyectos, objetivos y metas del Plan General de Desarrollo (PGD), Plan Rector de Desarrollo Institucional (PRDI) y el Programa Operativo Anual (POA), relacionados con su ámbito de competencia. </w:t>
      </w:r>
    </w:p>
    <w:p w:rsidR="001E4486" w:rsidRPr="00AC78F4" w:rsidRDefault="001E4486" w:rsidP="001E4486">
      <w:pPr>
        <w:pBdr>
          <w:top w:val="nil"/>
          <w:left w:val="nil"/>
          <w:bottom w:val="nil"/>
          <w:right w:val="nil"/>
          <w:between w:val="nil"/>
        </w:pBdr>
        <w:ind w:left="1134" w:right="1127"/>
        <w:jc w:val="both"/>
        <w:rPr>
          <w:rFonts w:ascii="Palatino Linotype" w:hAnsi="Palatino Linotype" w:cs="Tahoma"/>
          <w:i/>
        </w:rPr>
      </w:pPr>
      <w:r w:rsidRPr="00AC78F4">
        <w:rPr>
          <w:rFonts w:ascii="Palatino Linotype" w:hAnsi="Palatino Linotype" w:cs="Tahoma"/>
          <w:i/>
        </w:rPr>
        <w:t xml:space="preserve">3. Tramitar ante las dependencias gubernamentales las ministraciones ordinarias, extraordinarias y específicas Federales y Estatales, así como otros recursos otorgados a la UAEMÉX. </w:t>
      </w:r>
    </w:p>
    <w:p w:rsidR="001E4486" w:rsidRPr="00AC78F4" w:rsidRDefault="001E4486" w:rsidP="001E4486">
      <w:pPr>
        <w:pBdr>
          <w:top w:val="nil"/>
          <w:left w:val="nil"/>
          <w:bottom w:val="nil"/>
          <w:right w:val="nil"/>
          <w:between w:val="nil"/>
        </w:pBdr>
        <w:ind w:left="1134" w:right="1127"/>
        <w:jc w:val="both"/>
        <w:rPr>
          <w:rFonts w:ascii="Palatino Linotype" w:hAnsi="Palatino Linotype" w:cs="Tahoma"/>
          <w:i/>
        </w:rPr>
      </w:pPr>
      <w:r w:rsidRPr="00AC78F4">
        <w:rPr>
          <w:rFonts w:ascii="Palatino Linotype" w:hAnsi="Palatino Linotype" w:cs="Tahoma"/>
          <w:i/>
        </w:rPr>
        <w:t xml:space="preserve">4. Gestionar, vigilar y dar a conocer las cuentas bancarias tramitadas con las instituciones financieras para la operación de los recursos. </w:t>
      </w:r>
    </w:p>
    <w:p w:rsidR="001E4486" w:rsidRPr="00AC78F4" w:rsidRDefault="001E4486" w:rsidP="001E4486">
      <w:pPr>
        <w:pBdr>
          <w:top w:val="nil"/>
          <w:left w:val="nil"/>
          <w:bottom w:val="nil"/>
          <w:right w:val="nil"/>
          <w:between w:val="nil"/>
        </w:pBdr>
        <w:ind w:left="1134" w:right="1127"/>
        <w:jc w:val="both"/>
        <w:rPr>
          <w:rFonts w:ascii="Palatino Linotype" w:hAnsi="Palatino Linotype" w:cs="Tahoma"/>
          <w:b/>
          <w:i/>
        </w:rPr>
      </w:pPr>
      <w:r w:rsidRPr="00AC78F4">
        <w:rPr>
          <w:rFonts w:ascii="Palatino Linotype" w:hAnsi="Palatino Linotype" w:cs="Tahoma"/>
          <w:b/>
          <w:i/>
        </w:rPr>
        <w:t xml:space="preserve">5. Coordinar, planificar y organizar la entrega de formas valoradas y la aplicación de transferencias bancarias para el pago de las obligaciones contraídas con proveedores y/o terceros, así como para el personal de la UAEMÉX, con base en la información proporcionada por el Departamento de Contabilidad y la Dirección de Recursos Humanos. </w:t>
      </w:r>
    </w:p>
    <w:p w:rsidR="001E4486" w:rsidRPr="00AC78F4" w:rsidRDefault="001E4486" w:rsidP="001E4486">
      <w:pPr>
        <w:pBdr>
          <w:top w:val="nil"/>
          <w:left w:val="nil"/>
          <w:bottom w:val="nil"/>
          <w:right w:val="nil"/>
          <w:between w:val="nil"/>
        </w:pBdr>
        <w:ind w:left="1134" w:right="1127"/>
        <w:jc w:val="both"/>
        <w:rPr>
          <w:rFonts w:ascii="Palatino Linotype" w:hAnsi="Palatino Linotype" w:cs="Tahoma"/>
          <w:b/>
          <w:i/>
        </w:rPr>
      </w:pPr>
      <w:r w:rsidRPr="00AC78F4">
        <w:rPr>
          <w:rFonts w:ascii="Palatino Linotype" w:hAnsi="Palatino Linotype" w:cs="Tahoma"/>
          <w:b/>
          <w:i/>
        </w:rPr>
        <w:lastRenderedPageBreak/>
        <w:t xml:space="preserve">6. Revisar y realizar el pago mediante entrega de cheques nominativos a favor de los beneficiarios, cumpliendo con la documentación comprobatoria (Proveedores y/o terceros y personal de la UAEMÉX). </w:t>
      </w:r>
    </w:p>
    <w:p w:rsidR="001E4486" w:rsidRPr="00AC78F4" w:rsidRDefault="001E4486" w:rsidP="001E4486">
      <w:pPr>
        <w:pBdr>
          <w:top w:val="nil"/>
          <w:left w:val="nil"/>
          <w:bottom w:val="nil"/>
          <w:right w:val="nil"/>
          <w:between w:val="nil"/>
        </w:pBdr>
        <w:ind w:left="1134" w:right="1127"/>
        <w:jc w:val="both"/>
        <w:rPr>
          <w:rFonts w:ascii="Palatino Linotype" w:hAnsi="Palatino Linotype" w:cs="Tahoma"/>
          <w:b/>
          <w:i/>
        </w:rPr>
      </w:pPr>
      <w:r w:rsidRPr="00AC78F4">
        <w:rPr>
          <w:rFonts w:ascii="Palatino Linotype" w:hAnsi="Palatino Linotype" w:cs="Tahoma"/>
          <w:b/>
          <w:i/>
        </w:rPr>
        <w:t xml:space="preserve">7. Entregar comprobante de transferencia del año en curso a quien solicite (Proveedores y/o terceros, espacios académicos y administrativos de la UAEMÉX). </w:t>
      </w:r>
    </w:p>
    <w:p w:rsidR="001E4486" w:rsidRPr="00AC78F4" w:rsidRDefault="001E4486" w:rsidP="001E4486">
      <w:pPr>
        <w:pBdr>
          <w:top w:val="nil"/>
          <w:left w:val="nil"/>
          <w:bottom w:val="nil"/>
          <w:right w:val="nil"/>
          <w:between w:val="nil"/>
        </w:pBdr>
        <w:ind w:left="1134" w:right="1127"/>
        <w:jc w:val="both"/>
        <w:rPr>
          <w:rFonts w:ascii="Palatino Linotype" w:hAnsi="Palatino Linotype" w:cs="Tahoma"/>
          <w:i/>
        </w:rPr>
      </w:pPr>
      <w:r w:rsidRPr="00AC78F4">
        <w:rPr>
          <w:rFonts w:ascii="Palatino Linotype" w:hAnsi="Palatino Linotype" w:cs="Tahoma"/>
          <w:i/>
        </w:rPr>
        <w:t xml:space="preserve">8. Colaborar con las acciones del Departamento de Contabilidad y la Unidad de Ingresos para la emisión de facturas fiscales y recibos correspondientes a los ingresos percibidos por la UAEMÉX. </w:t>
      </w:r>
    </w:p>
    <w:p w:rsidR="001E4486" w:rsidRPr="00AC78F4" w:rsidRDefault="001E4486" w:rsidP="001E4486">
      <w:pPr>
        <w:pBdr>
          <w:top w:val="nil"/>
          <w:left w:val="nil"/>
          <w:bottom w:val="nil"/>
          <w:right w:val="nil"/>
          <w:between w:val="nil"/>
        </w:pBdr>
        <w:ind w:left="1134" w:right="1127"/>
        <w:jc w:val="both"/>
        <w:rPr>
          <w:rFonts w:ascii="Palatino Linotype" w:hAnsi="Palatino Linotype" w:cs="Tahoma"/>
          <w:i/>
        </w:rPr>
      </w:pPr>
      <w:r w:rsidRPr="00AC78F4">
        <w:rPr>
          <w:rFonts w:ascii="Palatino Linotype" w:hAnsi="Palatino Linotype" w:cs="Tahoma"/>
          <w:i/>
        </w:rPr>
        <w:t xml:space="preserve">9. Organizar y entregar las nóminas del personal remitidas por la Dirección de Recursos Humanos de los espacios académicos y administrativos de la UAEMÉX. </w:t>
      </w:r>
    </w:p>
    <w:p w:rsidR="001E4486" w:rsidRPr="00AC78F4" w:rsidRDefault="001E4486" w:rsidP="001E4486">
      <w:pPr>
        <w:pBdr>
          <w:top w:val="nil"/>
          <w:left w:val="nil"/>
          <w:bottom w:val="nil"/>
          <w:right w:val="nil"/>
          <w:between w:val="nil"/>
        </w:pBdr>
        <w:ind w:left="1134" w:right="1127"/>
        <w:jc w:val="both"/>
        <w:rPr>
          <w:rFonts w:ascii="Palatino Linotype" w:hAnsi="Palatino Linotype" w:cs="Tahoma"/>
          <w:i/>
        </w:rPr>
      </w:pPr>
      <w:r w:rsidRPr="00AC78F4">
        <w:rPr>
          <w:rFonts w:ascii="Palatino Linotype" w:hAnsi="Palatino Linotype" w:cs="Tahoma"/>
          <w:i/>
        </w:rPr>
        <w:t xml:space="preserve">10. Integrar, revisar y proporcionar la información y documentación generada en el Departamento de Tesorería Universitaria que soliciten los órganos fiscalizadores internos y externos, cuando se realicen auditorías a la UAEMÉX y, en su caso, atender las observaciones que de ellas se deriven. </w:t>
      </w:r>
    </w:p>
    <w:p w:rsidR="001E4486" w:rsidRPr="00AC78F4" w:rsidRDefault="001E4486" w:rsidP="001E4486">
      <w:pPr>
        <w:pBdr>
          <w:top w:val="nil"/>
          <w:left w:val="nil"/>
          <w:bottom w:val="nil"/>
          <w:right w:val="nil"/>
          <w:between w:val="nil"/>
        </w:pBdr>
        <w:ind w:left="1134" w:right="1127"/>
        <w:jc w:val="both"/>
        <w:rPr>
          <w:rFonts w:ascii="Palatino Linotype" w:hAnsi="Palatino Linotype" w:cs="Tahoma"/>
          <w:i/>
        </w:rPr>
      </w:pPr>
      <w:r w:rsidRPr="00AC78F4">
        <w:rPr>
          <w:rFonts w:ascii="Palatino Linotype" w:hAnsi="Palatino Linotype" w:cs="Tahoma"/>
          <w:i/>
        </w:rPr>
        <w:t xml:space="preserve">11. Contribuir en el cumplimiento de las disposiciones jurídicas aplicables, en materia archivística y las demás establecidas por la Dirección de Archivo Universitario y la Unidad de Archivo de la Dirección de Recursos Financieros para la generación, identificación, control y resguardo de los documentos que se generan en el Departamento de Tesorería Universitaria. </w:t>
      </w:r>
    </w:p>
    <w:p w:rsidR="001E4486" w:rsidRPr="00AC78F4" w:rsidRDefault="001E4486" w:rsidP="001E4486">
      <w:pPr>
        <w:pBdr>
          <w:top w:val="nil"/>
          <w:left w:val="nil"/>
          <w:bottom w:val="nil"/>
          <w:right w:val="nil"/>
          <w:between w:val="nil"/>
        </w:pBdr>
        <w:ind w:left="1134" w:right="1127"/>
        <w:jc w:val="both"/>
        <w:rPr>
          <w:rFonts w:ascii="Palatino Linotype" w:hAnsi="Palatino Linotype" w:cs="Tahoma"/>
          <w:i/>
        </w:rPr>
      </w:pPr>
      <w:r w:rsidRPr="00AC78F4">
        <w:rPr>
          <w:rFonts w:ascii="Palatino Linotype" w:hAnsi="Palatino Linotype" w:cs="Tahoma"/>
          <w:i/>
        </w:rPr>
        <w:t xml:space="preserve">12. Fomentar la participación del personal adscrito al Departamento de Tesorería Universitaria en cursos de capacitación y/o actualización. </w:t>
      </w:r>
    </w:p>
    <w:p w:rsidR="001E4486" w:rsidRPr="00AC78F4" w:rsidRDefault="001E4486" w:rsidP="001E4486">
      <w:pPr>
        <w:pBdr>
          <w:top w:val="nil"/>
          <w:left w:val="nil"/>
          <w:bottom w:val="nil"/>
          <w:right w:val="nil"/>
          <w:between w:val="nil"/>
        </w:pBdr>
        <w:ind w:left="1134" w:right="1127"/>
        <w:jc w:val="both"/>
        <w:rPr>
          <w:rFonts w:ascii="Palatino Linotype" w:hAnsi="Palatino Linotype" w:cs="Tahoma"/>
          <w:i/>
        </w:rPr>
      </w:pPr>
      <w:r w:rsidRPr="00AC78F4">
        <w:rPr>
          <w:rFonts w:ascii="Palatino Linotype" w:hAnsi="Palatino Linotype" w:cs="Tahoma"/>
          <w:i/>
        </w:rPr>
        <w:t xml:space="preserve">13. Gestionar ante la Unidad de Planeación y Apoyo Administrativo de la Dirección de Recursos Financieros los recursos materiales para realizar las actividades del Departamento de Tesorería Universitaria. </w:t>
      </w:r>
    </w:p>
    <w:p w:rsidR="001E4486" w:rsidRPr="00AC78F4" w:rsidRDefault="001E4486" w:rsidP="001E4486">
      <w:pPr>
        <w:pBdr>
          <w:top w:val="nil"/>
          <w:left w:val="nil"/>
          <w:bottom w:val="nil"/>
          <w:right w:val="nil"/>
          <w:between w:val="nil"/>
        </w:pBdr>
        <w:ind w:left="1134" w:right="1127"/>
        <w:jc w:val="both"/>
        <w:rPr>
          <w:rFonts w:ascii="Palatino Linotype" w:hAnsi="Palatino Linotype" w:cs="Tahoma"/>
          <w:i/>
        </w:rPr>
      </w:pPr>
      <w:r w:rsidRPr="00AC78F4">
        <w:rPr>
          <w:rFonts w:ascii="Palatino Linotype" w:hAnsi="Palatino Linotype" w:cs="Tahoma"/>
          <w:i/>
        </w:rPr>
        <w:t xml:space="preserve">14. Presentar a solicitud del titular de la Dirección de Recursos Financieros, un informe de las actividades desarrolladas por el Departamento de Tesorería Universitaria. </w:t>
      </w:r>
    </w:p>
    <w:p w:rsidR="001E4486" w:rsidRPr="00AC78F4" w:rsidRDefault="001E4486" w:rsidP="001E4486">
      <w:pPr>
        <w:pBdr>
          <w:top w:val="nil"/>
          <w:left w:val="nil"/>
          <w:bottom w:val="nil"/>
          <w:right w:val="nil"/>
          <w:between w:val="nil"/>
        </w:pBdr>
        <w:ind w:left="1134" w:right="1127"/>
        <w:jc w:val="both"/>
        <w:rPr>
          <w:rFonts w:ascii="Palatino Linotype" w:hAnsi="Palatino Linotype" w:cs="Tahoma"/>
        </w:rPr>
      </w:pPr>
      <w:r w:rsidRPr="00AC78F4">
        <w:rPr>
          <w:rFonts w:ascii="Palatino Linotype" w:hAnsi="Palatino Linotype" w:cs="Tahoma"/>
          <w:i/>
        </w:rPr>
        <w:t>15. Desarrollar</w:t>
      </w:r>
      <w:r w:rsidRPr="00AC78F4">
        <w:rPr>
          <w:rFonts w:ascii="Palatino Linotype" w:hAnsi="Palatino Linotype" w:cs="Tahoma"/>
        </w:rPr>
        <w:t xml:space="preserve"> </w:t>
      </w:r>
      <w:r w:rsidRPr="00AC78F4">
        <w:rPr>
          <w:rFonts w:ascii="Palatino Linotype" w:hAnsi="Palatino Linotype" w:cs="Tahoma"/>
          <w:i/>
        </w:rPr>
        <w:t>las demás funciones inherentes al ámbito de su competencia.</w:t>
      </w:r>
    </w:p>
    <w:p w:rsidR="005D085A" w:rsidRPr="00AC78F4" w:rsidRDefault="005D085A" w:rsidP="005D085A">
      <w:pPr>
        <w:pStyle w:val="Prrafodelista"/>
        <w:rPr>
          <w:rFonts w:ascii="Palatino Linotype" w:hAnsi="Palatino Linotype" w:cs="Tahoma"/>
        </w:rPr>
      </w:pPr>
    </w:p>
    <w:p w:rsidR="001E4486" w:rsidRPr="00AC78F4" w:rsidRDefault="001E4486" w:rsidP="001E4486">
      <w:pPr>
        <w:numPr>
          <w:ilvl w:val="0"/>
          <w:numId w:val="2"/>
        </w:numPr>
        <w:pBdr>
          <w:top w:val="nil"/>
          <w:left w:val="nil"/>
          <w:bottom w:val="nil"/>
          <w:right w:val="nil"/>
          <w:between w:val="nil"/>
        </w:pBdr>
        <w:spacing w:line="360" w:lineRule="auto"/>
        <w:ind w:left="0" w:right="-787" w:firstLine="0"/>
        <w:jc w:val="both"/>
        <w:rPr>
          <w:rFonts w:ascii="Palatino Linotype" w:hAnsi="Palatino Linotype" w:cs="Tahoma"/>
        </w:rPr>
      </w:pPr>
      <w:r w:rsidRPr="00AC78F4">
        <w:rPr>
          <w:rFonts w:ascii="Palatino Linotype" w:hAnsi="Palatino Linotype" w:cs="Tahoma"/>
        </w:rPr>
        <w:lastRenderedPageBreak/>
        <w:t xml:space="preserve">De lo anterior, se tiene que la Dirección de Recursos Financieros por medio del Departamento de Tesorería Universitaria, es el área habilitada del </w:t>
      </w:r>
      <w:r w:rsidRPr="00AC78F4">
        <w:rPr>
          <w:rFonts w:ascii="Palatino Linotype" w:hAnsi="Palatino Linotype" w:cs="Tahoma"/>
          <w:b/>
        </w:rPr>
        <w:t xml:space="preserve">SUJETO OBLIGADO </w:t>
      </w:r>
      <w:r w:rsidRPr="00AC78F4">
        <w:rPr>
          <w:rFonts w:ascii="Palatino Linotype" w:hAnsi="Palatino Linotype" w:cs="Tahoma"/>
        </w:rPr>
        <w:t>para colmar la solicitud de información toda vez que dentro de sus funciones está el coordinar, planificar y organizar la entrega de formas valoradas y la aplicación de transferencias bancarias para el pago de las obligaciones contraídas con proveedores y/o terceros, así como para el personal de la UAEMÉX, con base en la información proporcionada por el Departamento de Contabilidad y la</w:t>
      </w:r>
      <w:r w:rsidR="0078166B" w:rsidRPr="00AC78F4">
        <w:rPr>
          <w:rFonts w:ascii="Palatino Linotype" w:hAnsi="Palatino Linotype" w:cs="Tahoma"/>
        </w:rPr>
        <w:t xml:space="preserve"> Dirección de Recursos Humanos, así como revisar </w:t>
      </w:r>
      <w:r w:rsidRPr="00AC78F4">
        <w:rPr>
          <w:rFonts w:ascii="Palatino Linotype" w:hAnsi="Palatino Linotype" w:cs="Tahoma"/>
        </w:rPr>
        <w:t>y realizar el pago mediante entrega de cheques nominativos a favor de los beneficiarios, cumpliendo con la documentación comprobatoria (Proveedores y/o terceros y personal de la</w:t>
      </w:r>
      <w:r w:rsidR="0078166B" w:rsidRPr="00AC78F4">
        <w:rPr>
          <w:rFonts w:ascii="Palatino Linotype" w:hAnsi="Palatino Linotype" w:cs="Tahoma"/>
        </w:rPr>
        <w:t xml:space="preserve"> UAEMÉX) y e</w:t>
      </w:r>
      <w:r w:rsidRPr="00AC78F4">
        <w:rPr>
          <w:rFonts w:ascii="Palatino Linotype" w:hAnsi="Palatino Linotype" w:cs="Tahoma"/>
        </w:rPr>
        <w:t>ntregar</w:t>
      </w:r>
      <w:r w:rsidR="0078166B" w:rsidRPr="00AC78F4">
        <w:rPr>
          <w:rFonts w:ascii="Palatino Linotype" w:hAnsi="Palatino Linotype" w:cs="Tahoma"/>
        </w:rPr>
        <w:t xml:space="preserve"> el</w:t>
      </w:r>
      <w:r w:rsidRPr="00AC78F4">
        <w:rPr>
          <w:rFonts w:ascii="Palatino Linotype" w:hAnsi="Palatino Linotype" w:cs="Tahoma"/>
        </w:rPr>
        <w:t xml:space="preserve"> comprobante de transferencia del año en curso a quien solicite (Proveedores y/o terceros, espacios académicos y administrativos de la UAEMÉX). </w:t>
      </w:r>
    </w:p>
    <w:p w:rsidR="001E4486" w:rsidRPr="00AC78F4" w:rsidRDefault="001E4486" w:rsidP="001E4486">
      <w:pPr>
        <w:pBdr>
          <w:top w:val="nil"/>
          <w:left w:val="nil"/>
          <w:bottom w:val="nil"/>
          <w:right w:val="nil"/>
          <w:between w:val="nil"/>
        </w:pBdr>
        <w:spacing w:line="360" w:lineRule="auto"/>
        <w:ind w:right="-787"/>
        <w:jc w:val="both"/>
        <w:rPr>
          <w:rFonts w:ascii="Palatino Linotype" w:hAnsi="Palatino Linotype" w:cs="Tahoma"/>
        </w:rPr>
      </w:pPr>
    </w:p>
    <w:p w:rsidR="00673142" w:rsidRPr="00AC78F4" w:rsidRDefault="00673142" w:rsidP="0098628B">
      <w:pPr>
        <w:numPr>
          <w:ilvl w:val="0"/>
          <w:numId w:val="2"/>
        </w:numPr>
        <w:pBdr>
          <w:top w:val="nil"/>
          <w:left w:val="nil"/>
          <w:bottom w:val="nil"/>
          <w:right w:val="nil"/>
          <w:between w:val="nil"/>
        </w:pBdr>
        <w:spacing w:line="360" w:lineRule="auto"/>
        <w:ind w:left="0" w:right="-787" w:firstLine="0"/>
        <w:jc w:val="both"/>
        <w:rPr>
          <w:rFonts w:ascii="Palatino Linotype" w:hAnsi="Palatino Linotype" w:cs="Tahoma"/>
        </w:rPr>
      </w:pPr>
      <w:r w:rsidRPr="00AC78F4">
        <w:rPr>
          <w:rFonts w:ascii="Palatino Linotype" w:hAnsi="Palatino Linotype" w:cs="Tahoma"/>
        </w:rPr>
        <w:t xml:space="preserve">En esa línea, se determina que la Dirección de Recursos Financieros cuenta con la información solicitada por el </w:t>
      </w:r>
      <w:r w:rsidRPr="00AC78F4">
        <w:rPr>
          <w:rFonts w:ascii="Palatino Linotype" w:hAnsi="Palatino Linotype" w:cs="Tahoma"/>
          <w:b/>
        </w:rPr>
        <w:t xml:space="preserve">RECURRENTE, </w:t>
      </w:r>
      <w:r w:rsidRPr="00AC78F4">
        <w:rPr>
          <w:rFonts w:ascii="Palatino Linotype" w:hAnsi="Palatino Linotype" w:cs="Tahoma"/>
        </w:rPr>
        <w:t xml:space="preserve">situación por la cual se analiza lo siguiente. </w:t>
      </w:r>
    </w:p>
    <w:p w:rsidR="00673142" w:rsidRPr="00AC78F4" w:rsidRDefault="00673142" w:rsidP="00673142">
      <w:pPr>
        <w:pStyle w:val="Prrafodelista"/>
        <w:rPr>
          <w:rFonts w:ascii="Palatino Linotype" w:hAnsi="Palatino Linotype" w:cs="Tahoma"/>
        </w:rPr>
      </w:pPr>
    </w:p>
    <w:p w:rsidR="00BF00E9" w:rsidRPr="00AC78F4" w:rsidRDefault="00BF00E9" w:rsidP="0098628B">
      <w:pPr>
        <w:numPr>
          <w:ilvl w:val="0"/>
          <w:numId w:val="2"/>
        </w:numPr>
        <w:pBdr>
          <w:top w:val="nil"/>
          <w:left w:val="nil"/>
          <w:bottom w:val="nil"/>
          <w:right w:val="nil"/>
          <w:between w:val="nil"/>
        </w:pBdr>
        <w:spacing w:line="360" w:lineRule="auto"/>
        <w:ind w:left="0" w:right="-787" w:firstLine="0"/>
        <w:jc w:val="both"/>
        <w:rPr>
          <w:rFonts w:ascii="Palatino Linotype" w:hAnsi="Palatino Linotype" w:cs="Tahoma"/>
        </w:rPr>
      </w:pPr>
      <w:r w:rsidRPr="00AC78F4">
        <w:rPr>
          <w:rFonts w:ascii="Palatino Linotype" w:hAnsi="Palatino Linotype" w:cs="Tahoma"/>
        </w:rPr>
        <w:t xml:space="preserve">Ahora </w:t>
      </w:r>
      <w:r w:rsidRPr="00AC78F4">
        <w:rPr>
          <w:rFonts w:ascii="Palatino Linotype" w:eastAsia="Palatino Linotype" w:hAnsi="Palatino Linotype" w:cs="Palatino Linotype"/>
        </w:rPr>
        <w:t>bien</w:t>
      </w:r>
      <w:r w:rsidRPr="00AC78F4">
        <w:rPr>
          <w:rFonts w:ascii="Palatino Linotype" w:hAnsi="Palatino Linotype" w:cs="Tahoma"/>
        </w:rPr>
        <w:t xml:space="preserve">, un </w:t>
      </w:r>
      <w:r w:rsidRPr="00AC78F4">
        <w:rPr>
          <w:rFonts w:ascii="Palatino Linotype" w:hAnsi="Palatino Linotype" w:cs="Tahoma"/>
          <w:b/>
        </w:rPr>
        <w:t>comprobante de pago</w:t>
      </w:r>
      <w:r w:rsidRPr="00AC78F4">
        <w:rPr>
          <w:rFonts w:ascii="Palatino Linotype" w:hAnsi="Palatino Linotype" w:cs="Tahoma"/>
        </w:rPr>
        <w:t xml:space="preserve"> confirma que se ha efectuado un pago, ya sea de una factura o una </w:t>
      </w:r>
      <w:r w:rsidRPr="00AC78F4">
        <w:rPr>
          <w:rFonts w:ascii="Palatino Linotype" w:eastAsia="Palatino Linotype" w:hAnsi="Palatino Linotype" w:cs="Palatino Linotype"/>
        </w:rPr>
        <w:t>transacción</w:t>
      </w:r>
      <w:r w:rsidRPr="00AC78F4">
        <w:rPr>
          <w:rFonts w:ascii="Palatino Linotype" w:hAnsi="Palatino Linotype" w:cs="Tahoma"/>
        </w:rPr>
        <w:t>, mostrando que el pago ha sido realizado. Existen distintos tipos de comprobantes de pago, como lo son de manera enunciativa recibos, tickets, notas y comprobantes de transferencias bancarias.</w:t>
      </w:r>
    </w:p>
    <w:p w:rsidR="00BF00E9" w:rsidRPr="00AC78F4" w:rsidRDefault="00BF00E9" w:rsidP="00BF00E9">
      <w:pPr>
        <w:spacing w:line="360" w:lineRule="auto"/>
        <w:ind w:right="-787"/>
        <w:jc w:val="both"/>
        <w:rPr>
          <w:rFonts w:ascii="Palatino Linotype" w:hAnsi="Palatino Linotype" w:cs="Tahoma"/>
        </w:rPr>
      </w:pPr>
    </w:p>
    <w:p w:rsidR="00BF00E9" w:rsidRPr="00AC78F4" w:rsidRDefault="00BF00E9" w:rsidP="00BF00E9">
      <w:pPr>
        <w:numPr>
          <w:ilvl w:val="0"/>
          <w:numId w:val="2"/>
        </w:numPr>
        <w:spacing w:line="360" w:lineRule="auto"/>
        <w:ind w:left="0" w:right="-787" w:firstLine="0"/>
        <w:jc w:val="both"/>
        <w:rPr>
          <w:rFonts w:ascii="Palatino Linotype" w:hAnsi="Palatino Linotype" w:cs="Tahoma"/>
        </w:rPr>
      </w:pPr>
      <w:r w:rsidRPr="00AC78F4">
        <w:rPr>
          <w:rFonts w:ascii="Palatino Linotype" w:eastAsia="Palatino Linotype" w:hAnsi="Palatino Linotype" w:cs="Palatino Linotype"/>
          <w:color w:val="000000"/>
        </w:rPr>
        <w:t xml:space="preserve">De </w:t>
      </w:r>
      <w:r w:rsidRPr="00AC78F4">
        <w:rPr>
          <w:rFonts w:ascii="Palatino Linotype" w:eastAsia="Palatino Linotype" w:hAnsi="Palatino Linotype" w:cs="Palatino Linotype"/>
        </w:rPr>
        <w:t>lo</w:t>
      </w:r>
      <w:r w:rsidRPr="00AC78F4">
        <w:rPr>
          <w:rFonts w:ascii="Palatino Linotype" w:eastAsia="Palatino Linotype" w:hAnsi="Palatino Linotype" w:cs="Palatino Linotype"/>
          <w:color w:val="000000"/>
        </w:rPr>
        <w:t xml:space="preserve"> expuesto anteriormente</w:t>
      </w:r>
      <w:r w:rsidRPr="00AC78F4">
        <w:rPr>
          <w:rFonts w:ascii="Palatino Linotype" w:hAnsi="Palatino Linotype" w:cs="Tahoma"/>
        </w:rPr>
        <w:t xml:space="preserve">, resulta importante contextualizar que lo solicitado de manera enunciativa más no  limitativa se puede encontrar en la </w:t>
      </w:r>
      <w:r w:rsidRPr="00AC78F4">
        <w:rPr>
          <w:rFonts w:ascii="Palatino Linotype" w:hAnsi="Palatino Linotype" w:cs="Tahoma"/>
          <w:b/>
        </w:rPr>
        <w:t>póliza de egreso y póliza de cheque</w:t>
      </w:r>
      <w:r w:rsidRPr="00AC78F4">
        <w:rPr>
          <w:rFonts w:ascii="Palatino Linotype" w:hAnsi="Palatino Linotype" w:cs="Tahoma"/>
        </w:rPr>
        <w:t xml:space="preserve">, por lo que, se analiza lo siguiente. </w:t>
      </w:r>
    </w:p>
    <w:p w:rsidR="00BF00E9" w:rsidRPr="00AC78F4" w:rsidRDefault="00BF00E9" w:rsidP="00BF00E9">
      <w:pPr>
        <w:spacing w:line="360" w:lineRule="auto"/>
        <w:ind w:right="-93"/>
        <w:jc w:val="both"/>
        <w:rPr>
          <w:rFonts w:ascii="Palatino Linotype" w:hAnsi="Palatino Linotype" w:cs="Tahoma"/>
        </w:rPr>
      </w:pPr>
    </w:p>
    <w:p w:rsidR="00BF00E9" w:rsidRPr="00AC78F4" w:rsidRDefault="00BF00E9" w:rsidP="00BF00E9">
      <w:pPr>
        <w:numPr>
          <w:ilvl w:val="0"/>
          <w:numId w:val="2"/>
        </w:numPr>
        <w:spacing w:line="360" w:lineRule="auto"/>
        <w:ind w:left="0" w:right="-787" w:firstLine="0"/>
        <w:jc w:val="both"/>
        <w:rPr>
          <w:rFonts w:ascii="Palatino Linotype" w:hAnsi="Palatino Linotype" w:cs="Tahoma"/>
        </w:rPr>
      </w:pPr>
      <w:r w:rsidRPr="00AC78F4">
        <w:rPr>
          <w:rFonts w:ascii="Palatino Linotype" w:hAnsi="Palatino Linotype" w:cs="Tahoma"/>
        </w:rPr>
        <w:lastRenderedPageBreak/>
        <w:t xml:space="preserve">En ese contexto, es de referir que de conformidad con  los artículos 342, 343, 344 y 345 del Código </w:t>
      </w:r>
      <w:r w:rsidRPr="00AC78F4">
        <w:rPr>
          <w:rFonts w:ascii="Palatino Linotype" w:eastAsia="Palatino Linotype" w:hAnsi="Palatino Linotype" w:cs="Palatino Linotype"/>
          <w:color w:val="000000"/>
        </w:rPr>
        <w:t>Financiero</w:t>
      </w:r>
      <w:r w:rsidRPr="00AC78F4">
        <w:rPr>
          <w:rFonts w:ascii="Palatino Linotype" w:hAnsi="Palatino Linotype" w:cs="Tahoma"/>
        </w:rPr>
        <w:t xml:space="preserve"> del Estado de México y Municipios, disponen el sistema y las políticas que deben seguirse para llevar el registro contable y presupuestal de las operaciones financieras, en los siguientes términos:</w:t>
      </w:r>
    </w:p>
    <w:p w:rsidR="00BF00E9" w:rsidRPr="00AC78F4" w:rsidRDefault="00BF00E9" w:rsidP="00BF00E9">
      <w:pPr>
        <w:spacing w:line="360" w:lineRule="auto"/>
        <w:ind w:right="-93"/>
        <w:jc w:val="both"/>
        <w:rPr>
          <w:rFonts w:ascii="Palatino Linotype" w:hAnsi="Palatino Linotype" w:cs="Tahoma"/>
        </w:rPr>
      </w:pPr>
    </w:p>
    <w:p w:rsidR="00BF00E9" w:rsidRPr="00AC78F4" w:rsidRDefault="00BF00E9" w:rsidP="00372873">
      <w:pPr>
        <w:ind w:left="1134" w:right="1127"/>
        <w:jc w:val="both"/>
        <w:rPr>
          <w:rFonts w:ascii="Palatino Linotype" w:hAnsi="Palatino Linotype" w:cs="Tahoma"/>
          <w:i/>
        </w:rPr>
      </w:pPr>
      <w:r w:rsidRPr="00AC78F4">
        <w:rPr>
          <w:rFonts w:ascii="Palatino Linotype" w:hAnsi="Palatino Linotype" w:cs="Tahoma"/>
          <w:b/>
          <w:i/>
        </w:rPr>
        <w:t>Artículo 342.-</w:t>
      </w:r>
      <w:r w:rsidRPr="00AC78F4">
        <w:rPr>
          <w:rFonts w:ascii="Palatino Linotype" w:hAnsi="Palatino Linotype" w:cs="Tahoma"/>
          <w:i/>
        </w:rPr>
        <w:t xml:space="preserve"> -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BF00E9" w:rsidRPr="00AC78F4" w:rsidRDefault="00BF00E9" w:rsidP="00372873">
      <w:pPr>
        <w:ind w:left="1134" w:right="1127"/>
        <w:jc w:val="both"/>
        <w:rPr>
          <w:rFonts w:ascii="Palatino Linotype" w:hAnsi="Palatino Linotype" w:cs="Tahoma"/>
          <w:i/>
        </w:rPr>
      </w:pPr>
    </w:p>
    <w:p w:rsidR="00BF00E9" w:rsidRPr="00AC78F4" w:rsidRDefault="00BF00E9" w:rsidP="00372873">
      <w:pPr>
        <w:ind w:left="1134" w:right="1127"/>
        <w:jc w:val="both"/>
        <w:rPr>
          <w:rFonts w:ascii="Palatino Linotype" w:hAnsi="Palatino Linotype" w:cs="Tahoma"/>
          <w:i/>
        </w:rPr>
      </w:pPr>
      <w:r w:rsidRPr="00AC78F4">
        <w:rPr>
          <w:rFonts w:ascii="Palatino Linotype" w:hAnsi="Palatino Linotype" w:cs="Tahoma"/>
          <w:b/>
          <w:i/>
        </w:rPr>
        <w:t>Artículo 343.-</w:t>
      </w:r>
      <w:r w:rsidRPr="00AC78F4">
        <w:rPr>
          <w:rFonts w:ascii="Palatino Linotype" w:hAnsi="Palatino Linotype" w:cs="Tahoma"/>
          <w:i/>
        </w:rPr>
        <w:t xml:space="preserve"> -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rsidR="00BF00E9" w:rsidRPr="00AC78F4" w:rsidRDefault="00BF00E9" w:rsidP="00372873">
      <w:pPr>
        <w:ind w:left="1134" w:right="1127"/>
        <w:jc w:val="both"/>
        <w:rPr>
          <w:rFonts w:ascii="Palatino Linotype" w:hAnsi="Palatino Linotype" w:cs="Tahoma"/>
          <w:i/>
        </w:rPr>
      </w:pPr>
      <w:r w:rsidRPr="00AC78F4">
        <w:rPr>
          <w:rFonts w:ascii="Palatino Linotype" w:hAnsi="Palatino Linotype" w:cs="Tahoma"/>
          <w:i/>
        </w:rPr>
        <w:t>El sistema de contabilidad sobre base acumulativa total, se sustentará en las normas emitidas por el Consejo Nacional de Armonización Contable.</w:t>
      </w:r>
    </w:p>
    <w:p w:rsidR="00BF00E9" w:rsidRPr="00AC78F4" w:rsidRDefault="00BF00E9" w:rsidP="00372873">
      <w:pPr>
        <w:ind w:left="1134" w:right="1127"/>
        <w:jc w:val="both"/>
        <w:rPr>
          <w:rFonts w:ascii="Palatino Linotype" w:hAnsi="Palatino Linotype" w:cs="Tahoma"/>
          <w:b/>
          <w:i/>
        </w:rPr>
      </w:pPr>
    </w:p>
    <w:p w:rsidR="00BF00E9" w:rsidRPr="00AC78F4" w:rsidRDefault="00BF00E9" w:rsidP="00372873">
      <w:pPr>
        <w:ind w:left="1134" w:right="1127"/>
        <w:jc w:val="both"/>
        <w:rPr>
          <w:rFonts w:ascii="Palatino Linotype" w:hAnsi="Palatino Linotype" w:cs="Tahoma"/>
          <w:b/>
          <w:i/>
        </w:rPr>
      </w:pPr>
      <w:r w:rsidRPr="00AC78F4">
        <w:rPr>
          <w:rFonts w:ascii="Palatino Linotype" w:hAnsi="Palatino Linotype" w:cs="Tahoma"/>
          <w:b/>
          <w:i/>
        </w:rPr>
        <w:t>Artículo 344.- Los Entes Públicos, a través de cualquiera de sus unidades administrativas, de acuerdo con su naturaleza jurídica y según corresponda, registrarán contablemente el efecto patrimonial y presupuestal de las operaciones financieras que realicen</w:t>
      </w:r>
      <w:r w:rsidRPr="00AC78F4">
        <w:rPr>
          <w:rFonts w:ascii="Palatino Linotype" w:hAnsi="Palatino Linotype" w:cs="Tahoma"/>
          <w:i/>
        </w:rPr>
        <w:t>, en el momento en que ocurran, con base en el sistema y políticas de registro establecidas, en el caso de los Municipios, se hará por la Tesorería.</w:t>
      </w:r>
    </w:p>
    <w:p w:rsidR="00BF00E9" w:rsidRPr="00AC78F4" w:rsidRDefault="00BF00E9" w:rsidP="00372873">
      <w:pPr>
        <w:ind w:left="1134" w:right="1127"/>
        <w:jc w:val="both"/>
        <w:rPr>
          <w:rFonts w:ascii="Palatino Linotype" w:hAnsi="Palatino Linotype" w:cs="Tahoma"/>
          <w:b/>
          <w:i/>
        </w:rPr>
      </w:pPr>
    </w:p>
    <w:p w:rsidR="00BF00E9" w:rsidRPr="00AC78F4" w:rsidRDefault="00BF00E9" w:rsidP="00372873">
      <w:pPr>
        <w:ind w:left="1134" w:right="1127"/>
        <w:jc w:val="both"/>
        <w:rPr>
          <w:rFonts w:ascii="Palatino Linotype" w:hAnsi="Palatino Linotype" w:cs="Tahoma"/>
          <w:b/>
          <w:i/>
        </w:rPr>
      </w:pPr>
      <w:r w:rsidRPr="00AC78F4">
        <w:rPr>
          <w:rFonts w:ascii="Palatino Linotype" w:hAnsi="Palatino Linotype" w:cs="Tahoma"/>
          <w:b/>
          <w:i/>
        </w:rPr>
        <w:t xml:space="preserve">Todo registro contable y presupuestal deberá estar soportado con los documentos de registro, justificativos y comprobatorios originales, </w:t>
      </w:r>
      <w:r w:rsidRPr="00AC78F4">
        <w:rPr>
          <w:rFonts w:ascii="Palatino Linotype" w:hAnsi="Palatino Linotype" w:cs="Tahoma"/>
          <w:i/>
        </w:rPr>
        <w:t xml:space="preserve">en copias certificadas o en medios electrónicos, según corresponda, los que deberán permanecer en custodia y conservación de los Entes Públicos ejecutores del gasto, a través de las unidades </w:t>
      </w:r>
      <w:r w:rsidRPr="00AC78F4">
        <w:rPr>
          <w:rFonts w:ascii="Palatino Linotype" w:hAnsi="Palatino Linotype" w:cs="Tahoma"/>
          <w:i/>
        </w:rPr>
        <w:lastRenderedPageBreak/>
        <w:t xml:space="preserve">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rsidR="00BF00E9" w:rsidRPr="00AC78F4" w:rsidRDefault="00BF00E9" w:rsidP="00372873">
      <w:pPr>
        <w:ind w:left="1134" w:right="1127"/>
        <w:jc w:val="both"/>
        <w:rPr>
          <w:rFonts w:ascii="Palatino Linotype" w:hAnsi="Palatino Linotype" w:cs="Tahoma"/>
          <w:i/>
        </w:rPr>
      </w:pPr>
      <w:r w:rsidRPr="00AC78F4">
        <w:rPr>
          <w:rFonts w:ascii="Palatino Linotype" w:hAnsi="Palatino Linotype" w:cs="Tahoma"/>
          <w:i/>
        </w:rPr>
        <w:t>…</w:t>
      </w:r>
    </w:p>
    <w:p w:rsidR="00BF00E9" w:rsidRPr="00AC78F4" w:rsidRDefault="00BF00E9" w:rsidP="00372873">
      <w:pPr>
        <w:ind w:left="1134" w:right="1127"/>
        <w:jc w:val="both"/>
        <w:rPr>
          <w:rFonts w:ascii="Palatino Linotype" w:hAnsi="Palatino Linotype" w:cs="Tahoma"/>
          <w:b/>
          <w:i/>
        </w:rPr>
      </w:pPr>
    </w:p>
    <w:p w:rsidR="00BF00E9" w:rsidRPr="00AC78F4" w:rsidRDefault="00BF00E9" w:rsidP="00372873">
      <w:pPr>
        <w:ind w:left="1134" w:right="1127"/>
        <w:jc w:val="both"/>
        <w:rPr>
          <w:rFonts w:ascii="Palatino Linotype" w:hAnsi="Palatino Linotype" w:cs="Tahoma"/>
          <w:i/>
        </w:rPr>
      </w:pPr>
      <w:r w:rsidRPr="00AC78F4">
        <w:rPr>
          <w:rFonts w:ascii="Palatino Linotype" w:hAnsi="Palatino Linotype" w:cs="Tahoma"/>
          <w:b/>
          <w:i/>
        </w:rPr>
        <w:t>Artículo 345.-</w:t>
      </w:r>
      <w:r w:rsidRPr="00AC78F4">
        <w:rPr>
          <w:rFonts w:ascii="Palatino Linotype" w:hAnsi="Palatino Linotype" w:cs="Tahoma"/>
          <w:i/>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w:t>
      </w:r>
    </w:p>
    <w:p w:rsidR="00BF00E9" w:rsidRPr="00AC78F4" w:rsidRDefault="00BF00E9" w:rsidP="00372873">
      <w:pPr>
        <w:ind w:left="1134" w:right="1127"/>
        <w:jc w:val="both"/>
        <w:rPr>
          <w:rFonts w:ascii="Palatino Linotype" w:hAnsi="Palatino Linotype" w:cs="Tahoma"/>
          <w:i/>
        </w:rPr>
      </w:pPr>
    </w:p>
    <w:p w:rsidR="00BF00E9" w:rsidRPr="00AC78F4" w:rsidRDefault="00BF00E9" w:rsidP="00372873">
      <w:pPr>
        <w:ind w:left="1134" w:right="1127"/>
        <w:jc w:val="both"/>
        <w:rPr>
          <w:rFonts w:ascii="Palatino Linotype" w:hAnsi="Palatino Linotype" w:cs="Tahoma"/>
          <w:i/>
        </w:rPr>
      </w:pPr>
      <w:r w:rsidRPr="00AC78F4">
        <w:rPr>
          <w:rFonts w:ascii="Palatino Linotype" w:hAnsi="Palatino Linotype" w:cs="Tahoma"/>
          <w:i/>
        </w:rPr>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w:t>
      </w:r>
    </w:p>
    <w:p w:rsidR="00BF00E9" w:rsidRPr="00AC78F4" w:rsidRDefault="00BF00E9" w:rsidP="00372873">
      <w:pPr>
        <w:ind w:left="1134" w:right="1127"/>
        <w:jc w:val="both"/>
        <w:rPr>
          <w:rFonts w:ascii="Palatino Linotype" w:hAnsi="Palatino Linotype" w:cs="Tahoma"/>
          <w:i/>
        </w:rPr>
      </w:pPr>
    </w:p>
    <w:p w:rsidR="00BF00E9" w:rsidRPr="00AC78F4" w:rsidRDefault="00BF00E9" w:rsidP="00372873">
      <w:pPr>
        <w:ind w:left="1134" w:right="1127"/>
        <w:jc w:val="both"/>
        <w:rPr>
          <w:rFonts w:ascii="Palatino Linotype" w:hAnsi="Palatino Linotype" w:cs="Tahoma"/>
          <w:i/>
        </w:rPr>
      </w:pPr>
      <w:r w:rsidRPr="00AC78F4">
        <w:rPr>
          <w:rFonts w:ascii="Palatino Linotype" w:hAnsi="Palatino Linotype" w:cs="Tahoma"/>
          <w:i/>
        </w:rPr>
        <w:t>El plazo señalado en este artículo empezará a contar a partir de la publicación en el Periódico Oficial, del decreto correspondiente</w:t>
      </w:r>
      <w:r w:rsidRPr="00AC78F4">
        <w:rPr>
          <w:rFonts w:ascii="Palatino Linotype" w:hAnsi="Palatino Linotype" w:cs="Tahoma"/>
          <w:b/>
          <w:i/>
        </w:rPr>
        <w:t xml:space="preserve"> .</w:t>
      </w:r>
    </w:p>
    <w:p w:rsidR="00BF00E9" w:rsidRPr="00AC78F4" w:rsidRDefault="00BF00E9" w:rsidP="00BF00E9">
      <w:pPr>
        <w:spacing w:line="360" w:lineRule="auto"/>
        <w:ind w:right="-93"/>
        <w:jc w:val="both"/>
        <w:rPr>
          <w:rFonts w:ascii="Palatino Linotype" w:hAnsi="Palatino Linotype" w:cs="Tahoma"/>
          <w:i/>
        </w:rPr>
      </w:pPr>
    </w:p>
    <w:p w:rsidR="00BF00E9" w:rsidRPr="00AC78F4" w:rsidRDefault="00BF00E9" w:rsidP="00BF00E9">
      <w:pPr>
        <w:numPr>
          <w:ilvl w:val="0"/>
          <w:numId w:val="2"/>
        </w:numPr>
        <w:spacing w:line="360" w:lineRule="auto"/>
        <w:ind w:left="0" w:right="-787" w:firstLine="0"/>
        <w:jc w:val="both"/>
        <w:rPr>
          <w:rFonts w:ascii="Palatino Linotype" w:hAnsi="Palatino Linotype" w:cs="Tahoma"/>
        </w:rPr>
      </w:pPr>
      <w:r w:rsidRPr="00AC78F4">
        <w:rPr>
          <w:rFonts w:ascii="Palatino Linotype" w:hAnsi="Palatino Linotype" w:cs="Tahoma"/>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BF00E9" w:rsidRPr="00AC78F4" w:rsidRDefault="00BF00E9" w:rsidP="00BF00E9">
      <w:pPr>
        <w:spacing w:line="360" w:lineRule="auto"/>
        <w:ind w:right="-93"/>
        <w:jc w:val="both"/>
        <w:rPr>
          <w:rFonts w:ascii="Palatino Linotype" w:hAnsi="Palatino Linotype" w:cs="Tahoma"/>
        </w:rPr>
      </w:pPr>
    </w:p>
    <w:p w:rsidR="00BF00E9" w:rsidRPr="00AC78F4" w:rsidRDefault="00BF00E9" w:rsidP="00BF00E9">
      <w:pPr>
        <w:numPr>
          <w:ilvl w:val="0"/>
          <w:numId w:val="2"/>
        </w:numPr>
        <w:spacing w:line="360" w:lineRule="auto"/>
        <w:ind w:left="0" w:right="-787" w:firstLine="0"/>
        <w:jc w:val="both"/>
        <w:rPr>
          <w:rFonts w:ascii="Palatino Linotype" w:hAnsi="Palatino Linotype" w:cs="Tahoma"/>
        </w:rPr>
      </w:pPr>
      <w:r w:rsidRPr="00AC78F4">
        <w:rPr>
          <w:rFonts w:ascii="Palatino Linotype" w:hAnsi="Palatino Linotype" w:cs="Tahoma"/>
        </w:rPr>
        <w:lastRenderedPageBreak/>
        <w:t xml:space="preserve">Al respecto, si bien es cierto que el Código Financiero del Estado de México y Municipios establece la </w:t>
      </w:r>
      <w:r w:rsidRPr="00AC78F4">
        <w:rPr>
          <w:rFonts w:ascii="Palatino Linotype" w:eastAsia="Palatino Linotype" w:hAnsi="Palatino Linotype" w:cs="Palatino Linotype"/>
          <w:color w:val="000000"/>
        </w:rPr>
        <w:t>obligación</w:t>
      </w:r>
      <w:r w:rsidRPr="00AC78F4">
        <w:rPr>
          <w:rFonts w:ascii="Palatino Linotype" w:hAnsi="Palatino Linotype" w:cs="Tahoma"/>
        </w:rPr>
        <w:t xml:space="preserve"> a los Municipios para llevar los registros contables y presupuestales; también lo es que, dicho ordenamiento jurídico no establece que debemos entender por registro contable y presupuestal; sin embargo, el “</w:t>
      </w:r>
      <w:r w:rsidRPr="00AC78F4">
        <w:rPr>
          <w:rFonts w:ascii="Palatino Linotype" w:hAnsi="Palatino Linotype" w:cs="Tahoma"/>
          <w:i/>
        </w:rPr>
        <w:t>Glosario de Términos para el Proceso de Planeación, Programación, Presupuestación y Evaluación en la Administración Pública”</w:t>
      </w:r>
      <w:r w:rsidRPr="00AC78F4">
        <w:rPr>
          <w:rFonts w:ascii="Palatino Linotype" w:hAnsi="Palatino Linotype" w:cs="Tahoma"/>
        </w:rPr>
        <w:t xml:space="preserve">, elaborado por el Grupo de Trabajo de Sistemas de Información Financiera, Contable y Presupuestal de la Comisión Permanente de Funcionarios Fiscales del Instituto para el Desarrollo Técnico de las Haciendas Públicas (INDETEC) señalan las siguientes </w:t>
      </w:r>
      <w:r w:rsidRPr="00AC78F4">
        <w:rPr>
          <w:rFonts w:ascii="Palatino Linotype" w:hAnsi="Palatino Linotype" w:cs="Tahoma"/>
          <w:b/>
        </w:rPr>
        <w:t>definiciones</w:t>
      </w:r>
      <w:r w:rsidRPr="00AC78F4">
        <w:rPr>
          <w:rFonts w:ascii="Palatino Linotype" w:hAnsi="Palatino Linotype" w:cs="Tahoma"/>
        </w:rPr>
        <w:t xml:space="preserve"> de las palabras registro contable y registro presupuestario:</w:t>
      </w:r>
    </w:p>
    <w:p w:rsidR="00BF00E9" w:rsidRPr="00AC78F4" w:rsidRDefault="00BF00E9" w:rsidP="00BF00E9">
      <w:pPr>
        <w:ind w:left="1134" w:right="900"/>
        <w:jc w:val="both"/>
        <w:rPr>
          <w:rFonts w:ascii="Palatino Linotype" w:hAnsi="Palatino Linotype" w:cs="Tahoma"/>
        </w:rPr>
      </w:pPr>
    </w:p>
    <w:p w:rsidR="00BF00E9" w:rsidRPr="00AC78F4" w:rsidRDefault="00BF00E9" w:rsidP="00443F09">
      <w:pPr>
        <w:ind w:left="1134" w:right="1127"/>
        <w:jc w:val="both"/>
        <w:rPr>
          <w:rFonts w:ascii="Palatino Linotype" w:hAnsi="Palatino Linotype" w:cs="Tahoma"/>
          <w:b/>
          <w:i/>
        </w:rPr>
      </w:pPr>
      <w:r w:rsidRPr="00AC78F4">
        <w:rPr>
          <w:rFonts w:ascii="Palatino Linotype" w:hAnsi="Palatino Linotype" w:cs="Tahoma"/>
          <w:b/>
          <w:i/>
        </w:rPr>
        <w:t xml:space="preserve">REGISTRO CONTABLE. </w:t>
      </w:r>
      <w:r w:rsidRPr="00AC78F4">
        <w:rPr>
          <w:rFonts w:ascii="Palatino Linotype" w:hAnsi="Palatino Linotype" w:cs="Tahoma"/>
          <w:i/>
        </w:rPr>
        <w:t>Asiento que se realiza en los libros de contabilidad de las actividades relacionadas con el ingreso y egresos de un ente económico.</w:t>
      </w:r>
    </w:p>
    <w:p w:rsidR="00BF00E9" w:rsidRPr="00AC78F4" w:rsidRDefault="00BF00E9" w:rsidP="00443F09">
      <w:pPr>
        <w:ind w:left="1134" w:right="1127"/>
        <w:jc w:val="both"/>
        <w:rPr>
          <w:rFonts w:ascii="Palatino Linotype" w:hAnsi="Palatino Linotype" w:cs="Tahoma"/>
          <w:i/>
        </w:rPr>
      </w:pPr>
    </w:p>
    <w:p w:rsidR="00BF00E9" w:rsidRPr="00AC78F4" w:rsidRDefault="00BF00E9" w:rsidP="00443F09">
      <w:pPr>
        <w:ind w:left="1134" w:right="1127"/>
        <w:jc w:val="both"/>
        <w:rPr>
          <w:rFonts w:ascii="Palatino Linotype" w:hAnsi="Palatino Linotype" w:cs="Tahoma"/>
          <w:i/>
        </w:rPr>
      </w:pPr>
      <w:r w:rsidRPr="00AC78F4">
        <w:rPr>
          <w:rFonts w:ascii="Palatino Linotype" w:hAnsi="Palatino Linotype" w:cs="Tahoma"/>
          <w:b/>
          <w:i/>
        </w:rPr>
        <w:t xml:space="preserve">REGISTRO PRESUPUESTARIO. </w:t>
      </w:r>
      <w:r w:rsidRPr="00AC78F4">
        <w:rPr>
          <w:rFonts w:ascii="Palatino Linotype" w:hAnsi="Palatino Linotype" w:cs="Tahoma"/>
          <w:i/>
        </w:rPr>
        <w:t>Asiento contable de las erogaciones realizadas por las dependencias y entidades con relación a la asignación, modificación y ejercicio de los recursos presupuestarios que se les hayan autorizado.</w:t>
      </w:r>
    </w:p>
    <w:p w:rsidR="00BF00E9" w:rsidRPr="00AC78F4" w:rsidRDefault="00BF00E9" w:rsidP="00BF00E9">
      <w:pPr>
        <w:spacing w:line="360" w:lineRule="auto"/>
        <w:jc w:val="both"/>
        <w:rPr>
          <w:rFonts w:ascii="Palatino Linotype" w:hAnsi="Palatino Linotype" w:cs="Tahoma"/>
        </w:rPr>
      </w:pPr>
    </w:p>
    <w:p w:rsidR="00BF00E9" w:rsidRPr="00AC78F4" w:rsidRDefault="00BF00E9" w:rsidP="00BF00E9">
      <w:pPr>
        <w:numPr>
          <w:ilvl w:val="0"/>
          <w:numId w:val="2"/>
        </w:numPr>
        <w:spacing w:line="360" w:lineRule="auto"/>
        <w:ind w:left="0" w:right="-787" w:firstLine="0"/>
        <w:jc w:val="both"/>
        <w:rPr>
          <w:rFonts w:ascii="Palatino Linotype" w:hAnsi="Palatino Linotype" w:cs="Tahoma"/>
        </w:rPr>
      </w:pPr>
      <w:r w:rsidRPr="00AC78F4">
        <w:rPr>
          <w:rFonts w:ascii="Palatino Linotype" w:hAnsi="Palatino Linotype" w:cs="Tahoma"/>
        </w:rPr>
        <w:t xml:space="preserve">En este sentido, </w:t>
      </w:r>
      <w:r w:rsidRPr="00AC78F4">
        <w:rPr>
          <w:rFonts w:ascii="Palatino Linotype" w:eastAsia="Palatino Linotype" w:hAnsi="Palatino Linotype" w:cs="Palatino Linotype"/>
          <w:color w:val="000000"/>
        </w:rPr>
        <w:t>cabe</w:t>
      </w:r>
      <w:r w:rsidRPr="00AC78F4">
        <w:rPr>
          <w:rFonts w:ascii="Palatino Linotype" w:hAnsi="Palatino Linotype" w:cs="Tahoma"/>
        </w:rPr>
        <w:t xml:space="preserve"> referir que la Ley de Fiscalización Superior del Estado de México prevé en su artículo 4 que los Poderes Públicos del Estado son considerados entes fiscalizables, tal como se observa a continuación:</w:t>
      </w:r>
    </w:p>
    <w:p w:rsidR="00BF00E9" w:rsidRPr="00AC78F4" w:rsidRDefault="00BF00E9" w:rsidP="00BF00E9">
      <w:pPr>
        <w:spacing w:line="360" w:lineRule="auto"/>
        <w:ind w:right="-93"/>
        <w:jc w:val="both"/>
        <w:rPr>
          <w:rFonts w:ascii="Palatino Linotype" w:hAnsi="Palatino Linotype" w:cs="Tahoma"/>
        </w:rPr>
      </w:pPr>
    </w:p>
    <w:p w:rsidR="00BF00E9" w:rsidRPr="00AC78F4" w:rsidRDefault="00BF00E9" w:rsidP="00443F09">
      <w:pPr>
        <w:ind w:left="1134" w:right="1127"/>
        <w:jc w:val="both"/>
        <w:rPr>
          <w:rFonts w:ascii="Palatino Linotype" w:hAnsi="Palatino Linotype" w:cs="Tahoma"/>
          <w:i/>
        </w:rPr>
      </w:pPr>
      <w:r w:rsidRPr="00AC78F4">
        <w:rPr>
          <w:rFonts w:ascii="Palatino Linotype" w:hAnsi="Palatino Linotype" w:cs="Tahoma"/>
          <w:b/>
          <w:i/>
        </w:rPr>
        <w:t>Artículo 4.</w:t>
      </w:r>
      <w:r w:rsidRPr="00AC78F4">
        <w:rPr>
          <w:rFonts w:ascii="Palatino Linotype" w:hAnsi="Palatino Linotype" w:cs="Tahoma"/>
          <w:i/>
        </w:rPr>
        <w:t xml:space="preserve"> Son sujetos de fiscalización:</w:t>
      </w:r>
    </w:p>
    <w:p w:rsidR="00BF00E9" w:rsidRPr="00AC78F4" w:rsidRDefault="00443F09" w:rsidP="00443F09">
      <w:pPr>
        <w:ind w:left="1134" w:right="1127"/>
        <w:jc w:val="both"/>
        <w:rPr>
          <w:rFonts w:ascii="Palatino Linotype" w:hAnsi="Palatino Linotype" w:cs="Tahoma"/>
          <w:b/>
          <w:i/>
        </w:rPr>
      </w:pPr>
      <w:r w:rsidRPr="00AC78F4">
        <w:rPr>
          <w:rFonts w:ascii="Palatino Linotype" w:hAnsi="Palatino Linotype" w:cs="Tahoma"/>
          <w:b/>
          <w:i/>
        </w:rPr>
        <w:t>III. Los organismos autónomos</w:t>
      </w:r>
      <w:r w:rsidR="00BF00E9" w:rsidRPr="00AC78F4">
        <w:rPr>
          <w:rFonts w:ascii="Palatino Linotype" w:hAnsi="Palatino Linotype" w:cs="Tahoma"/>
          <w:b/>
          <w:i/>
        </w:rPr>
        <w:t>;</w:t>
      </w:r>
    </w:p>
    <w:p w:rsidR="00BF00E9" w:rsidRPr="00AC78F4" w:rsidRDefault="00BF00E9" w:rsidP="00443F09">
      <w:pPr>
        <w:ind w:left="1134" w:right="1127"/>
        <w:jc w:val="both"/>
        <w:rPr>
          <w:rFonts w:ascii="Palatino Linotype" w:hAnsi="Palatino Linotype" w:cs="Tahoma"/>
          <w:i/>
        </w:rPr>
      </w:pPr>
      <w:r w:rsidRPr="00AC78F4">
        <w:rPr>
          <w:rFonts w:ascii="Palatino Linotype" w:hAnsi="Palatino Linotype" w:cs="Tahoma"/>
          <w:i/>
        </w:rPr>
        <w:t>…</w:t>
      </w:r>
    </w:p>
    <w:p w:rsidR="00BF00E9" w:rsidRPr="00AC78F4" w:rsidRDefault="00BF00E9" w:rsidP="00443F09">
      <w:pPr>
        <w:ind w:left="1134" w:right="1127"/>
        <w:jc w:val="both"/>
        <w:rPr>
          <w:rFonts w:ascii="Palatino Linotype" w:hAnsi="Palatino Linotype" w:cs="Tahoma"/>
          <w:i/>
        </w:rPr>
      </w:pPr>
    </w:p>
    <w:p w:rsidR="00BF00E9" w:rsidRPr="00AC78F4" w:rsidRDefault="00BF00E9" w:rsidP="00443F09">
      <w:pPr>
        <w:ind w:left="1134" w:right="1127"/>
        <w:jc w:val="both"/>
        <w:rPr>
          <w:rFonts w:ascii="Palatino Linotype" w:hAnsi="Palatino Linotype" w:cs="Tahoma"/>
        </w:rPr>
      </w:pPr>
      <w:r w:rsidRPr="00AC78F4">
        <w:rPr>
          <w:rFonts w:ascii="Palatino Linotype" w:hAnsi="Palatino Linotype" w:cs="Tahoma"/>
        </w:rPr>
        <w:t xml:space="preserve">Asimismo, el ordenamiento legal referido señala en su artículo 8, fracción XI lo siguiente: </w:t>
      </w:r>
    </w:p>
    <w:p w:rsidR="00BF00E9" w:rsidRPr="00AC78F4" w:rsidRDefault="00BF00E9" w:rsidP="00443F09">
      <w:pPr>
        <w:ind w:left="1134" w:right="1127"/>
        <w:jc w:val="both"/>
        <w:rPr>
          <w:rFonts w:ascii="Palatino Linotype" w:hAnsi="Palatino Linotype" w:cs="Tahoma"/>
        </w:rPr>
      </w:pPr>
    </w:p>
    <w:p w:rsidR="00BF00E9" w:rsidRPr="00AC78F4" w:rsidRDefault="00BF00E9" w:rsidP="00443F09">
      <w:pPr>
        <w:ind w:left="1134" w:right="1127"/>
        <w:jc w:val="both"/>
        <w:rPr>
          <w:rFonts w:ascii="Palatino Linotype" w:hAnsi="Palatino Linotype" w:cs="Tahoma"/>
          <w:i/>
        </w:rPr>
      </w:pPr>
      <w:r w:rsidRPr="00AC78F4">
        <w:rPr>
          <w:rFonts w:ascii="Palatino Linotype" w:hAnsi="Palatino Linotype" w:cs="Tahoma"/>
          <w:i/>
        </w:rPr>
        <w:t>Artículo 8. El Órgano Superior tendrá las siguientes atribuciones:</w:t>
      </w:r>
    </w:p>
    <w:p w:rsidR="00BF00E9" w:rsidRPr="00AC78F4" w:rsidRDefault="00BF00E9" w:rsidP="00443F09">
      <w:pPr>
        <w:ind w:left="1134" w:right="1127"/>
        <w:jc w:val="both"/>
        <w:rPr>
          <w:rFonts w:ascii="Palatino Linotype" w:hAnsi="Palatino Linotype" w:cs="Tahoma"/>
          <w:i/>
        </w:rPr>
      </w:pPr>
      <w:r w:rsidRPr="00AC78F4">
        <w:rPr>
          <w:rFonts w:ascii="Palatino Linotype" w:hAnsi="Palatino Linotype" w:cs="Tahoma"/>
          <w:i/>
        </w:rPr>
        <w:t>…</w:t>
      </w:r>
    </w:p>
    <w:p w:rsidR="00BF00E9" w:rsidRPr="00AC78F4" w:rsidRDefault="00BF00E9" w:rsidP="00443F09">
      <w:pPr>
        <w:ind w:left="1134" w:right="1127"/>
        <w:jc w:val="both"/>
        <w:rPr>
          <w:rFonts w:ascii="Palatino Linotype" w:hAnsi="Palatino Linotype" w:cs="Tahoma"/>
          <w:i/>
        </w:rPr>
      </w:pPr>
      <w:r w:rsidRPr="00AC78F4">
        <w:rPr>
          <w:rFonts w:ascii="Palatino Linotype" w:hAnsi="Palatino Linotype" w:cs="Tahoma"/>
          <w:i/>
        </w:rPr>
        <w:t xml:space="preserve">XI. </w:t>
      </w:r>
      <w:r w:rsidRPr="00AC78F4">
        <w:rPr>
          <w:rFonts w:ascii="Palatino Linotype" w:hAnsi="Palatino Linotype" w:cs="Tahoma"/>
          <w:b/>
          <w:i/>
        </w:rPr>
        <w:t>Establecer los lineamientos, criterios, procedimientos, métodos y sistemas para las acciones de control y evaluación, necesarios para la fiscalización de las cuentas públicas y los informes trimestrales</w:t>
      </w:r>
      <w:r w:rsidRPr="00AC78F4">
        <w:rPr>
          <w:rFonts w:ascii="Palatino Linotype" w:hAnsi="Palatino Linotype" w:cs="Tahoma"/>
          <w:i/>
        </w:rPr>
        <w:t xml:space="preserve">…” </w:t>
      </w:r>
    </w:p>
    <w:p w:rsidR="00BF00E9" w:rsidRPr="00AC78F4" w:rsidRDefault="00BF00E9" w:rsidP="00BF00E9">
      <w:pPr>
        <w:tabs>
          <w:tab w:val="left" w:pos="284"/>
        </w:tabs>
        <w:spacing w:before="240" w:after="240" w:line="360" w:lineRule="auto"/>
        <w:contextualSpacing/>
        <w:jc w:val="both"/>
        <w:rPr>
          <w:rFonts w:ascii="Palatino Linotype" w:hAnsi="Palatino Linotype"/>
          <w:bCs/>
          <w:lang w:val="es-ES"/>
        </w:rPr>
      </w:pPr>
    </w:p>
    <w:p w:rsidR="00BF00E9" w:rsidRPr="00AC78F4" w:rsidRDefault="00BF00E9" w:rsidP="00BF00E9">
      <w:pPr>
        <w:numPr>
          <w:ilvl w:val="0"/>
          <w:numId w:val="2"/>
        </w:numPr>
        <w:spacing w:line="360" w:lineRule="auto"/>
        <w:ind w:left="0" w:right="-787" w:firstLine="0"/>
        <w:jc w:val="both"/>
        <w:rPr>
          <w:rFonts w:ascii="Palatino Linotype" w:hAnsi="Palatino Linotype"/>
          <w:bCs/>
          <w:lang w:val="es-ES"/>
        </w:rPr>
      </w:pPr>
      <w:r w:rsidRPr="00AC78F4">
        <w:rPr>
          <w:rFonts w:ascii="Palatino Linotype" w:hAnsi="Palatino Linotype" w:cs="Tahoma"/>
        </w:rPr>
        <w:t>De</w:t>
      </w:r>
      <w:r w:rsidRPr="00AC78F4">
        <w:rPr>
          <w:rFonts w:ascii="Palatino Linotype" w:hAnsi="Palatino Linotype"/>
          <w:lang w:val="es-ES"/>
        </w:rPr>
        <w:t xml:space="preserve"> la normatividad previamente plasmada, se desprende primeramente que el</w:t>
      </w:r>
      <w:r w:rsidRPr="00AC78F4">
        <w:rPr>
          <w:rFonts w:ascii="Palatino Linotype" w:hAnsi="Palatino Linotype"/>
          <w:bCs/>
          <w:lang w:val="es-ES"/>
        </w:rPr>
        <w:t xml:space="preserve"> registro contable del efecto </w:t>
      </w:r>
      <w:r w:rsidRPr="00AC78F4">
        <w:rPr>
          <w:rFonts w:ascii="Palatino Linotype" w:hAnsi="Palatino Linotype" w:cs="Tahoma"/>
        </w:rPr>
        <w:t>patrimonial</w:t>
      </w:r>
      <w:r w:rsidRPr="00AC78F4">
        <w:rPr>
          <w:rFonts w:ascii="Palatino Linotype" w:hAnsi="Palatino Linotype"/>
          <w:bCs/>
          <w:lang w:val="es-ES"/>
        </w:rPr>
        <w:t xml:space="preserve"> y presupuestal de las operaciones financieras se realizará conforme al sistema y a las disposiciones que se aprueben en materia de planeación, programación, presupuestación, evaluación y contabilidad gubernamental.</w:t>
      </w:r>
    </w:p>
    <w:p w:rsidR="00BF00E9" w:rsidRPr="00AC78F4" w:rsidRDefault="00BF00E9" w:rsidP="00AC78F4">
      <w:pPr>
        <w:ind w:right="-788"/>
        <w:jc w:val="both"/>
        <w:rPr>
          <w:rFonts w:ascii="Palatino Linotype" w:eastAsia="Palatino Linotype" w:hAnsi="Palatino Linotype" w:cs="Palatino Linotype"/>
          <w:i/>
        </w:rPr>
      </w:pPr>
    </w:p>
    <w:p w:rsidR="00BF00E9" w:rsidRPr="00AC78F4" w:rsidRDefault="00BF00E9" w:rsidP="00BF00E9">
      <w:pPr>
        <w:numPr>
          <w:ilvl w:val="0"/>
          <w:numId w:val="2"/>
        </w:numPr>
        <w:spacing w:line="360" w:lineRule="auto"/>
        <w:ind w:left="0" w:right="-787" w:firstLine="0"/>
        <w:jc w:val="both"/>
        <w:rPr>
          <w:rFonts w:ascii="Palatino Linotype" w:eastAsia="Palatino Linotype" w:hAnsi="Palatino Linotype" w:cs="Palatino Linotype"/>
        </w:rPr>
      </w:pPr>
      <w:r w:rsidRPr="00AC78F4">
        <w:rPr>
          <w:rFonts w:ascii="Palatino Linotype" w:eastAsia="Palatino Linotype" w:hAnsi="Palatino Linotype" w:cs="Palatino Linotype"/>
        </w:rPr>
        <w:t xml:space="preserve">En ese orden de </w:t>
      </w:r>
      <w:r w:rsidRPr="00AC78F4">
        <w:rPr>
          <w:rFonts w:ascii="Palatino Linotype" w:hAnsi="Palatino Linotype"/>
          <w:bCs/>
          <w:lang w:val="es-ES"/>
        </w:rPr>
        <w:t>ideas</w:t>
      </w:r>
      <w:r w:rsidRPr="00AC78F4">
        <w:rPr>
          <w:rFonts w:ascii="Palatino Linotype" w:eastAsia="Palatino Linotype" w:hAnsi="Palatino Linotype" w:cs="Palatino Linotype"/>
        </w:rPr>
        <w:t>, es oportuno referir el In</w:t>
      </w:r>
      <w:r w:rsidR="00443F09" w:rsidRPr="00AC78F4">
        <w:rPr>
          <w:rFonts w:ascii="Palatino Linotype" w:eastAsia="Palatino Linotype" w:hAnsi="Palatino Linotype" w:cs="Palatino Linotype"/>
        </w:rPr>
        <w:t xml:space="preserve">structivo del Módulo 1 del 2024 </w:t>
      </w:r>
      <w:r w:rsidRPr="00AC78F4">
        <w:rPr>
          <w:rFonts w:ascii="Palatino Linotype" w:eastAsia="Palatino Linotype" w:hAnsi="Palatino Linotype" w:cs="Palatino Linotype"/>
        </w:rPr>
        <w:t xml:space="preserve">del Órgano Superior de Fiscalización del Estado de México (OSFEM), en su apartado denominado </w:t>
      </w:r>
      <w:r w:rsidRPr="00AC78F4">
        <w:rPr>
          <w:rFonts w:ascii="Palatino Linotype" w:eastAsia="Palatino Linotype" w:hAnsi="Palatino Linotype" w:cs="Palatino Linotype"/>
          <w:b/>
        </w:rPr>
        <w:t xml:space="preserve">“31. Pólizas de Egresos con los documentos comprobatorios”, </w:t>
      </w:r>
      <w:r w:rsidRPr="00AC78F4">
        <w:rPr>
          <w:rFonts w:ascii="Palatino Linotype" w:eastAsia="Palatino Linotype" w:hAnsi="Palatino Linotype" w:cs="Palatino Linotype"/>
        </w:rPr>
        <w:t xml:space="preserve"> este tipo de póliza refleja cualquier operación contable en la que se produzca una salida de efectivo o erogaciones, a través de transferencias bancarias electrónicas. No obstante, si dicha erogación se realiza a través de un cheque bancario la póliza contable será una póliza de cheque. </w:t>
      </w:r>
      <w:r w:rsidRPr="00AC78F4">
        <w:rPr>
          <w:rFonts w:ascii="Palatino Linotype" w:eastAsia="Palatino Linotype" w:hAnsi="Palatino Linotype" w:cs="Palatino Linotype"/>
          <w:b/>
          <w:u w:val="single"/>
        </w:rPr>
        <w:t>Las pólizas de egresos</w:t>
      </w:r>
      <w:r w:rsidRPr="00AC78F4">
        <w:rPr>
          <w:rFonts w:ascii="Palatino Linotype" w:eastAsia="Palatino Linotype" w:hAnsi="Palatino Linotype" w:cs="Palatino Linotype"/>
        </w:rPr>
        <w:t xml:space="preserve"> deberán ser las que emita su sistema y </w:t>
      </w:r>
      <w:r w:rsidRPr="00AC78F4">
        <w:rPr>
          <w:rFonts w:ascii="Palatino Linotype" w:eastAsia="Palatino Linotype" w:hAnsi="Palatino Linotype" w:cs="Palatino Linotype"/>
          <w:b/>
          <w:u w:val="single"/>
        </w:rPr>
        <w:t>deberán estar soportadas por toda la documentación comprobatoria que justifique el egreso</w:t>
      </w:r>
      <w:r w:rsidRPr="00AC78F4">
        <w:rPr>
          <w:rFonts w:ascii="Palatino Linotype" w:eastAsia="Palatino Linotype" w:hAnsi="Palatino Linotype" w:cs="Palatino Linotype"/>
        </w:rPr>
        <w:t>, las cuales deberán coincidir con las presentadas en el Diario General de Pólizas de cada uno de los meses que corresponda.</w:t>
      </w:r>
    </w:p>
    <w:p w:rsidR="00BF00E9" w:rsidRPr="00AC78F4" w:rsidRDefault="00BF00E9" w:rsidP="00BF00E9">
      <w:pPr>
        <w:spacing w:line="360" w:lineRule="auto"/>
        <w:ind w:right="-787"/>
        <w:jc w:val="both"/>
        <w:rPr>
          <w:rFonts w:ascii="Palatino Linotype" w:eastAsia="Palatino Linotype" w:hAnsi="Palatino Linotype" w:cs="Palatino Linotype"/>
        </w:rPr>
      </w:pPr>
    </w:p>
    <w:p w:rsidR="00BF00E9" w:rsidRPr="00AC78F4" w:rsidRDefault="00BF00E9" w:rsidP="00BF00E9">
      <w:pPr>
        <w:spacing w:line="360" w:lineRule="auto"/>
        <w:ind w:right="-787"/>
        <w:jc w:val="center"/>
        <w:rPr>
          <w:rFonts w:ascii="Palatino Linotype" w:eastAsia="Palatino Linotype" w:hAnsi="Palatino Linotype" w:cs="Palatino Linotype"/>
        </w:rPr>
      </w:pPr>
      <w:r w:rsidRPr="00AC78F4">
        <w:rPr>
          <w:rFonts w:ascii="Palatino Linotype" w:eastAsia="Palatino Linotype" w:hAnsi="Palatino Linotype" w:cs="Palatino Linotype"/>
          <w:noProof/>
          <w:lang w:val="es-MX"/>
        </w:rPr>
        <w:lastRenderedPageBreak/>
        <w:drawing>
          <wp:inline distT="0" distB="0" distL="0" distR="0" wp14:anchorId="225DB32A" wp14:editId="7FAF0FFF">
            <wp:extent cx="3677576" cy="291528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86692" cy="2922511"/>
                    </a:xfrm>
                    <a:prstGeom prst="rect">
                      <a:avLst/>
                    </a:prstGeom>
                  </pic:spPr>
                </pic:pic>
              </a:graphicData>
            </a:graphic>
          </wp:inline>
        </w:drawing>
      </w:r>
    </w:p>
    <w:p w:rsidR="00BF00E9" w:rsidRPr="00AC78F4" w:rsidRDefault="00BF00E9" w:rsidP="00BF00E9">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BF00E9" w:rsidRPr="00AC78F4" w:rsidRDefault="00BF00E9" w:rsidP="00BF00E9">
      <w:pPr>
        <w:numPr>
          <w:ilvl w:val="0"/>
          <w:numId w:val="2"/>
        </w:numPr>
        <w:spacing w:line="360" w:lineRule="auto"/>
        <w:ind w:left="0" w:right="-787" w:firstLine="0"/>
        <w:jc w:val="both"/>
        <w:rPr>
          <w:rFonts w:ascii="Palatino Linotype" w:eastAsia="Palatino Linotype" w:hAnsi="Palatino Linotype" w:cs="Palatino Linotype"/>
          <w:b/>
        </w:rPr>
      </w:pPr>
      <w:r w:rsidRPr="00AC78F4">
        <w:rPr>
          <w:rFonts w:ascii="Palatino Linotype" w:eastAsia="Palatino Linotype" w:hAnsi="Palatino Linotype" w:cs="Palatino Linotype"/>
          <w:b/>
        </w:rPr>
        <w:t>“33. Pólizas de Cheques con los documentos comprobatorios”</w:t>
      </w:r>
      <w:r w:rsidRPr="00AC78F4">
        <w:rPr>
          <w:rFonts w:ascii="Palatino Linotype" w:eastAsia="Palatino Linotype" w:hAnsi="Palatino Linotype" w:cs="Palatino Linotype"/>
        </w:rPr>
        <w:t xml:space="preserve"> Este tipo de póliza se utiliza en caso de erogaciones realizadas a través de un cheque. </w:t>
      </w:r>
      <w:r w:rsidRPr="00AC78F4">
        <w:rPr>
          <w:rFonts w:ascii="Palatino Linotype" w:eastAsia="Palatino Linotype" w:hAnsi="Palatino Linotype" w:cs="Palatino Linotype"/>
          <w:b/>
          <w:u w:val="single"/>
        </w:rPr>
        <w:t>Las pólizas de cheque deberán</w:t>
      </w:r>
      <w:r w:rsidRPr="00AC78F4">
        <w:rPr>
          <w:rFonts w:ascii="Palatino Linotype" w:eastAsia="Palatino Linotype" w:hAnsi="Palatino Linotype" w:cs="Palatino Linotype"/>
        </w:rPr>
        <w:t xml:space="preserve"> ser las que emita su sistema y </w:t>
      </w:r>
      <w:r w:rsidRPr="00AC78F4">
        <w:rPr>
          <w:rFonts w:ascii="Palatino Linotype" w:eastAsia="Palatino Linotype" w:hAnsi="Palatino Linotype" w:cs="Palatino Linotype"/>
          <w:b/>
          <w:u w:val="single"/>
        </w:rPr>
        <w:t>deberán estar soportadas por toda la documentación comprobatoria que justifique la erogación</w:t>
      </w:r>
      <w:r w:rsidRPr="00AC78F4">
        <w:rPr>
          <w:rFonts w:ascii="Palatino Linotype" w:eastAsia="Palatino Linotype" w:hAnsi="Palatino Linotype" w:cs="Palatino Linotype"/>
        </w:rPr>
        <w:t>, las cuales deberán coincidir con las presentadas en el Diario General de Pólizas de cada uno de los meses que corresponda.</w:t>
      </w:r>
    </w:p>
    <w:p w:rsidR="00BF00E9" w:rsidRPr="00AC78F4" w:rsidRDefault="00BF00E9" w:rsidP="00BF00E9">
      <w:pPr>
        <w:spacing w:line="360" w:lineRule="auto"/>
        <w:ind w:right="-787"/>
        <w:jc w:val="both"/>
        <w:rPr>
          <w:rFonts w:ascii="Palatino Linotype" w:eastAsia="Palatino Linotype" w:hAnsi="Palatino Linotype" w:cs="Palatino Linotype"/>
        </w:rPr>
      </w:pPr>
    </w:p>
    <w:p w:rsidR="00BF00E9" w:rsidRPr="00AC78F4" w:rsidRDefault="00BF00E9" w:rsidP="00BF00E9">
      <w:pPr>
        <w:spacing w:line="360" w:lineRule="auto"/>
        <w:ind w:right="-787"/>
        <w:jc w:val="center"/>
        <w:rPr>
          <w:rFonts w:ascii="Palatino Linotype" w:eastAsia="Palatino Linotype" w:hAnsi="Palatino Linotype" w:cs="Palatino Linotype"/>
          <w:b/>
        </w:rPr>
      </w:pPr>
      <w:r w:rsidRPr="00AC78F4">
        <w:rPr>
          <w:rFonts w:ascii="Palatino Linotype" w:eastAsia="Palatino Linotype" w:hAnsi="Palatino Linotype" w:cs="Palatino Linotype"/>
          <w:b/>
          <w:noProof/>
          <w:lang w:val="es-MX"/>
        </w:rPr>
        <w:lastRenderedPageBreak/>
        <w:drawing>
          <wp:inline distT="0" distB="0" distL="0" distR="0" wp14:anchorId="7A059D3F" wp14:editId="446E8494">
            <wp:extent cx="3798686" cy="2753995"/>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06320" cy="2759530"/>
                    </a:xfrm>
                    <a:prstGeom prst="rect">
                      <a:avLst/>
                    </a:prstGeom>
                  </pic:spPr>
                </pic:pic>
              </a:graphicData>
            </a:graphic>
          </wp:inline>
        </w:drawing>
      </w:r>
    </w:p>
    <w:p w:rsidR="00BF00E9" w:rsidRPr="00AC78F4" w:rsidRDefault="00BF00E9" w:rsidP="00BF00E9">
      <w:pPr>
        <w:pBdr>
          <w:top w:val="nil"/>
          <w:left w:val="nil"/>
          <w:bottom w:val="nil"/>
          <w:right w:val="nil"/>
          <w:between w:val="nil"/>
        </w:pBdr>
        <w:rPr>
          <w:rFonts w:ascii="Palatino Linotype" w:eastAsia="Palatino Linotype" w:hAnsi="Palatino Linotype" w:cs="Palatino Linotype"/>
        </w:rPr>
      </w:pPr>
    </w:p>
    <w:p w:rsidR="00BF00E9" w:rsidRPr="00AC78F4" w:rsidRDefault="00BF00E9" w:rsidP="00BF00E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AC78F4">
        <w:rPr>
          <w:rFonts w:ascii="Palatino Linotype" w:eastAsia="Palatino Linotype" w:hAnsi="Palatino Linotype" w:cs="Palatino Linotype"/>
        </w:rPr>
        <w:t xml:space="preserve">Como se puedo observar, </w:t>
      </w:r>
      <w:r w:rsidRPr="00AC78F4">
        <w:rPr>
          <w:rFonts w:ascii="Palatino Linotype" w:eastAsia="Palatino Linotype" w:hAnsi="Palatino Linotype" w:cs="Palatino Linotype"/>
          <w:b/>
        </w:rPr>
        <w:t>las pólizas de egresos y las pólizas de cheques, de manera enunciativa mas no limitativa pueden colmar la pretensión del Recurrente</w:t>
      </w:r>
      <w:r w:rsidRPr="00AC78F4">
        <w:rPr>
          <w:rFonts w:ascii="Palatino Linotype" w:eastAsia="Palatino Linotype" w:hAnsi="Palatino Linotype" w:cs="Palatino Linotype"/>
        </w:rPr>
        <w:t>, pues contiene la información solicitada; asimismo es de referir que estos formatos se generan de manera mensual, como lo disponen los Lineamientos, fechas de capacitación y calendarización para la integración y presentación de los informes trimestrales estatales y municipales del ejercicio fiscal 2025, de las entidades fiscalizables del Estado de México, tal como se muestra a continuación:</w:t>
      </w:r>
    </w:p>
    <w:p w:rsidR="00BF00E9" w:rsidRPr="00AC78F4" w:rsidRDefault="00BF00E9" w:rsidP="00BF00E9">
      <w:pPr>
        <w:spacing w:line="360" w:lineRule="auto"/>
        <w:ind w:right="-787"/>
        <w:jc w:val="center"/>
        <w:rPr>
          <w:rFonts w:ascii="Palatino Linotype" w:eastAsia="Palatino Linotype" w:hAnsi="Palatino Linotype" w:cs="Palatino Linotype"/>
        </w:rPr>
      </w:pPr>
      <w:r w:rsidRPr="00AC78F4">
        <w:rPr>
          <w:rFonts w:ascii="Palatino Linotype" w:eastAsia="Palatino Linotype" w:hAnsi="Palatino Linotype" w:cs="Palatino Linotype"/>
          <w:noProof/>
          <w:lang w:val="es-MX"/>
        </w:rPr>
        <w:drawing>
          <wp:inline distT="0" distB="0" distL="0" distR="0" wp14:anchorId="5EE103FF" wp14:editId="79632C7E">
            <wp:extent cx="4894639" cy="2066925"/>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28509" cy="2081228"/>
                    </a:xfrm>
                    <a:prstGeom prst="rect">
                      <a:avLst/>
                    </a:prstGeom>
                  </pic:spPr>
                </pic:pic>
              </a:graphicData>
            </a:graphic>
          </wp:inline>
        </w:drawing>
      </w:r>
    </w:p>
    <w:p w:rsidR="00BF00E9" w:rsidRPr="00AC78F4" w:rsidRDefault="00BF00E9" w:rsidP="00BF00E9">
      <w:pPr>
        <w:numPr>
          <w:ilvl w:val="0"/>
          <w:numId w:val="2"/>
        </w:numPr>
        <w:spacing w:line="360" w:lineRule="auto"/>
        <w:ind w:left="0" w:right="-787" w:firstLine="0"/>
        <w:jc w:val="both"/>
        <w:rPr>
          <w:rFonts w:ascii="Palatino Linotype" w:eastAsia="Palatino Linotype" w:hAnsi="Palatino Linotype" w:cs="Palatino Linotype"/>
          <w:b/>
        </w:rPr>
      </w:pPr>
      <w:r w:rsidRPr="00AC78F4">
        <w:rPr>
          <w:rFonts w:ascii="Palatino Linotype" w:eastAsia="Palatino Linotype" w:hAnsi="Palatino Linotype" w:cs="Palatino Linotype"/>
          <w:b/>
        </w:rPr>
        <w:lastRenderedPageBreak/>
        <w:t xml:space="preserve">“13. Diario General de Pólizas” </w:t>
      </w:r>
      <w:r w:rsidRPr="00AC78F4">
        <w:rPr>
          <w:rFonts w:ascii="Palatino Linotype" w:eastAsia="Palatino Linotype" w:hAnsi="Palatino Linotype" w:cs="Palatino Linotype"/>
        </w:rPr>
        <w:t xml:space="preserve">tiene como finalidad llevar un control detallado y preciso de todos los registros contables que la entidad realizó en un determinado periodo de tiempo, dentro las especificaciones debe presentar el numeral </w:t>
      </w:r>
      <w:r w:rsidRPr="00AC78F4">
        <w:rPr>
          <w:rFonts w:ascii="Palatino Linotype" w:eastAsia="Palatino Linotype" w:hAnsi="Palatino Linotype" w:cs="Palatino Linotype"/>
          <w:b/>
        </w:rPr>
        <w:t>5. Concepto</w:t>
      </w:r>
      <w:r w:rsidRPr="00AC78F4">
        <w:rPr>
          <w:rFonts w:ascii="Palatino Linotype" w:eastAsia="Palatino Linotype" w:hAnsi="Palatino Linotype" w:cs="Palatino Linotype"/>
        </w:rPr>
        <w:t>: Anotar el nombre del concepto del clasificador del objeto del gasto, de acuerdo al Manual Único de Contabilidad Gubernamental para las Dependencias y Entidades Públicas del Gobierno y Municipios del Estado de México.</w:t>
      </w:r>
    </w:p>
    <w:p w:rsidR="00BF00E9" w:rsidRDefault="00BF00E9" w:rsidP="00BF00E9">
      <w:pPr>
        <w:spacing w:line="360" w:lineRule="auto"/>
        <w:ind w:right="-787"/>
        <w:jc w:val="center"/>
        <w:rPr>
          <w:rFonts w:ascii="Palatino Linotype" w:eastAsia="Palatino Linotype" w:hAnsi="Palatino Linotype" w:cs="Palatino Linotype"/>
          <w:b/>
        </w:rPr>
      </w:pPr>
      <w:r w:rsidRPr="00AC78F4">
        <w:rPr>
          <w:rFonts w:ascii="Palatino Linotype" w:eastAsia="Palatino Linotype" w:hAnsi="Palatino Linotype" w:cs="Palatino Linotype"/>
          <w:b/>
          <w:noProof/>
          <w:lang w:val="es-MX"/>
        </w:rPr>
        <w:drawing>
          <wp:inline distT="0" distB="0" distL="0" distR="0" wp14:anchorId="6CAEDC53" wp14:editId="0B47546A">
            <wp:extent cx="3615722" cy="2723857"/>
            <wp:effectExtent l="0" t="0" r="3810"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42020" cy="2743668"/>
                    </a:xfrm>
                    <a:prstGeom prst="rect">
                      <a:avLst/>
                    </a:prstGeom>
                  </pic:spPr>
                </pic:pic>
              </a:graphicData>
            </a:graphic>
          </wp:inline>
        </w:drawing>
      </w:r>
    </w:p>
    <w:p w:rsidR="00AC78F4" w:rsidRPr="00AC78F4" w:rsidRDefault="00AC78F4" w:rsidP="00BF00E9">
      <w:pPr>
        <w:spacing w:line="360" w:lineRule="auto"/>
        <w:ind w:right="-787"/>
        <w:jc w:val="center"/>
        <w:rPr>
          <w:rFonts w:ascii="Palatino Linotype" w:eastAsia="Palatino Linotype" w:hAnsi="Palatino Linotype" w:cs="Palatino Linotype"/>
          <w:b/>
        </w:rPr>
      </w:pPr>
    </w:p>
    <w:p w:rsidR="00BF00E9" w:rsidRPr="00AC78F4" w:rsidRDefault="00BF00E9" w:rsidP="00BF00E9">
      <w:pPr>
        <w:numPr>
          <w:ilvl w:val="0"/>
          <w:numId w:val="2"/>
        </w:numPr>
        <w:spacing w:line="360" w:lineRule="auto"/>
        <w:ind w:left="0" w:right="-787" w:firstLine="0"/>
        <w:jc w:val="both"/>
        <w:rPr>
          <w:rFonts w:ascii="Palatino Linotype" w:eastAsia="Palatino Linotype" w:hAnsi="Palatino Linotype" w:cs="Palatino Linotype"/>
        </w:rPr>
      </w:pPr>
      <w:r w:rsidRPr="00AC78F4">
        <w:rPr>
          <w:rFonts w:ascii="Palatino Linotype" w:eastAsia="Palatino Linotype" w:hAnsi="Palatino Linotype" w:cs="Palatino Linotype"/>
        </w:rPr>
        <w:t>La entrega del Diario General de Pólizas de manera mensual, tal como se muestra en la imagen siguiente:</w:t>
      </w:r>
    </w:p>
    <w:p w:rsidR="00BF00E9" w:rsidRPr="00AC78F4" w:rsidRDefault="00BF00E9" w:rsidP="00BF00E9">
      <w:pPr>
        <w:spacing w:line="360" w:lineRule="auto"/>
        <w:ind w:right="-787"/>
        <w:jc w:val="both"/>
        <w:rPr>
          <w:rFonts w:ascii="Palatino Linotype" w:eastAsia="Palatino Linotype" w:hAnsi="Palatino Linotype" w:cs="Palatino Linotype"/>
        </w:rPr>
      </w:pPr>
      <w:r w:rsidRPr="00AC78F4">
        <w:rPr>
          <w:rFonts w:ascii="Palatino Linotype" w:eastAsia="Palatino Linotype" w:hAnsi="Palatino Linotype" w:cs="Palatino Linotype"/>
          <w:noProof/>
          <w:lang w:val="es-MX"/>
        </w:rPr>
        <w:drawing>
          <wp:inline distT="0" distB="0" distL="0" distR="0" wp14:anchorId="4A7E2E83" wp14:editId="65CB46C8">
            <wp:extent cx="5756275" cy="1600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6275" cy="1600200"/>
                    </a:xfrm>
                    <a:prstGeom prst="rect">
                      <a:avLst/>
                    </a:prstGeom>
                  </pic:spPr>
                </pic:pic>
              </a:graphicData>
            </a:graphic>
          </wp:inline>
        </w:drawing>
      </w:r>
    </w:p>
    <w:p w:rsidR="00BF00E9" w:rsidRPr="00AC78F4" w:rsidRDefault="00BF00E9" w:rsidP="00BF00E9">
      <w:pPr>
        <w:spacing w:line="360" w:lineRule="auto"/>
        <w:ind w:right="-787"/>
        <w:jc w:val="both"/>
        <w:rPr>
          <w:rFonts w:ascii="Palatino Linotype" w:eastAsia="Palatino Linotype" w:hAnsi="Palatino Linotype" w:cs="Palatino Linotype"/>
        </w:rPr>
      </w:pPr>
    </w:p>
    <w:p w:rsidR="00BF00E9" w:rsidRPr="00AC78F4" w:rsidRDefault="00BF00E9" w:rsidP="00BF00E9">
      <w:pPr>
        <w:numPr>
          <w:ilvl w:val="0"/>
          <w:numId w:val="2"/>
        </w:numPr>
        <w:spacing w:line="360" w:lineRule="auto"/>
        <w:ind w:left="0" w:right="-787" w:firstLine="0"/>
        <w:jc w:val="both"/>
        <w:rPr>
          <w:rFonts w:ascii="Palatino Linotype" w:eastAsia="Palatino Linotype" w:hAnsi="Palatino Linotype" w:cs="Palatino Linotype"/>
        </w:rPr>
      </w:pPr>
      <w:r w:rsidRPr="00AC78F4">
        <w:rPr>
          <w:rFonts w:ascii="Palatino Linotype" w:eastAsia="Palatino Linotype" w:hAnsi="Palatino Linotype" w:cs="Palatino Linotype"/>
        </w:rPr>
        <w:lastRenderedPageBreak/>
        <w:t xml:space="preserve">El </w:t>
      </w:r>
      <w:r w:rsidRPr="00AC78F4">
        <w:rPr>
          <w:rFonts w:ascii="Palatino Linotype" w:eastAsia="Palatino Linotype" w:hAnsi="Palatino Linotype" w:cs="Palatino Linotype"/>
          <w:b/>
        </w:rPr>
        <w:t>Diario General de Pólizas</w:t>
      </w:r>
      <w:r w:rsidRPr="00AC78F4">
        <w:rPr>
          <w:rFonts w:ascii="Palatino Linotype" w:eastAsia="Palatino Linotype" w:hAnsi="Palatino Linotype" w:cs="Palatino Linotype"/>
        </w:rPr>
        <w:t xml:space="preserve"> debe contener diversos datos relativos a la información contable y financiera del Sujeto Obligado, debe enviar mensualmente al Órgano Superior de Fiscalización, tales como el tipo de póliza, dentro de sus tipos se encuentran las pólizas de diario, de ingresos, de egresos, de cuentas por pagar y de cheque.</w:t>
      </w:r>
    </w:p>
    <w:p w:rsidR="00BF00E9" w:rsidRPr="00AC78F4" w:rsidRDefault="00BF00E9" w:rsidP="00BF00E9">
      <w:pPr>
        <w:pBdr>
          <w:top w:val="nil"/>
          <w:left w:val="nil"/>
          <w:bottom w:val="nil"/>
          <w:right w:val="nil"/>
          <w:between w:val="nil"/>
        </w:pBdr>
        <w:spacing w:line="360" w:lineRule="auto"/>
        <w:ind w:right="-518"/>
        <w:jc w:val="both"/>
        <w:rPr>
          <w:rFonts w:ascii="Palatino Linotype" w:eastAsia="Palatino Linotype" w:hAnsi="Palatino Linotype" w:cs="Palatino Linotype"/>
        </w:rPr>
      </w:pPr>
    </w:p>
    <w:p w:rsidR="00BF00E9" w:rsidRPr="00AC78F4" w:rsidRDefault="00BF00E9" w:rsidP="009254DC">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AC78F4">
        <w:rPr>
          <w:rFonts w:ascii="Palatino Linotype" w:eastAsia="Palatino Linotype" w:hAnsi="Palatino Linotype" w:cs="Palatino Linotype"/>
        </w:rPr>
        <w:t xml:space="preserve">En razón de lo expuesto es de precisar que la información solicitada debe de administrarse y poseerse en los archivos del </w:t>
      </w:r>
      <w:r w:rsidR="00701A5D" w:rsidRPr="00AC78F4">
        <w:rPr>
          <w:rFonts w:ascii="Palatino Linotype" w:eastAsia="Palatino Linotype" w:hAnsi="Palatino Linotype" w:cs="Palatino Linotype"/>
          <w:b/>
        </w:rPr>
        <w:t xml:space="preserve">SUJETO OBLIGADO. </w:t>
      </w:r>
    </w:p>
    <w:p w:rsidR="00701A5D" w:rsidRPr="00AC78F4" w:rsidRDefault="00701A5D" w:rsidP="00701A5D">
      <w:pPr>
        <w:pStyle w:val="Prrafodelista"/>
        <w:rPr>
          <w:rFonts w:ascii="Palatino Linotype" w:eastAsia="Palatino Linotype" w:hAnsi="Palatino Linotype" w:cs="Palatino Linotype"/>
        </w:rPr>
      </w:pPr>
    </w:p>
    <w:p w:rsidR="00701A5D" w:rsidRPr="00AC78F4" w:rsidRDefault="00701A5D" w:rsidP="00701A5D">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BF00E9" w:rsidRPr="00AC78F4" w:rsidRDefault="00BF00E9" w:rsidP="00BF00E9">
      <w:pPr>
        <w:numPr>
          <w:ilvl w:val="0"/>
          <w:numId w:val="2"/>
        </w:numPr>
        <w:spacing w:line="360" w:lineRule="auto"/>
        <w:ind w:left="0" w:right="-787" w:firstLine="0"/>
        <w:jc w:val="both"/>
        <w:rPr>
          <w:rFonts w:ascii="Palatino Linotype" w:eastAsia="Palatino Linotype" w:hAnsi="Palatino Linotype" w:cs="Palatino Linotype"/>
        </w:rPr>
      </w:pPr>
      <w:r w:rsidRPr="00AC78F4">
        <w:rPr>
          <w:rFonts w:ascii="Palatino Linotype" w:eastAsia="Palatino Linotype" w:hAnsi="Palatino Linotype" w:cs="Palatino Linotype"/>
        </w:rPr>
        <w:t xml:space="preserve">Ahora bien, en consecuencia de lo anterior es de referir que la información solicitada reviste interés público al transparentar las actividades que llevan a cabo los sujetos obligados, particularmente </w:t>
      </w:r>
      <w:r w:rsidR="00701A5D" w:rsidRPr="00AC78F4">
        <w:rPr>
          <w:rFonts w:ascii="Palatino Linotype" w:eastAsia="Palatino Linotype" w:hAnsi="Palatino Linotype" w:cs="Palatino Linotype"/>
        </w:rPr>
        <w:t xml:space="preserve">la </w:t>
      </w:r>
      <w:r w:rsidR="00701A5D" w:rsidRPr="00AC78F4">
        <w:rPr>
          <w:rFonts w:ascii="Palatino Linotype" w:eastAsia="Palatino Linotype" w:hAnsi="Palatino Linotype" w:cs="Palatino Linotype"/>
          <w:b/>
        </w:rPr>
        <w:t>Universidad Autónoma del Estado de México</w:t>
      </w:r>
      <w:r w:rsidRPr="00AC78F4">
        <w:rPr>
          <w:rFonts w:ascii="Palatino Linotype" w:eastAsia="Palatino Linotype" w:hAnsi="Palatino Linotype" w:cs="Palatino Linotype"/>
        </w:rPr>
        <w:t xml:space="preserve"> es un Sujeto Obligado a transparentar y permitir el acceso a su información, en razón que se debe garantizar el efectivo acceso de toda persona a la información en posesión de cualquier Sujeto Obligado, así como de cualquier persona que reciba recursos públicos.</w:t>
      </w:r>
    </w:p>
    <w:p w:rsidR="00BF00E9" w:rsidRPr="00AC78F4" w:rsidRDefault="00BF00E9" w:rsidP="00BF00E9">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BF00E9" w:rsidRPr="00AC78F4" w:rsidRDefault="00BF00E9" w:rsidP="00BF00E9">
      <w:pPr>
        <w:numPr>
          <w:ilvl w:val="0"/>
          <w:numId w:val="2"/>
        </w:numPr>
        <w:spacing w:line="360" w:lineRule="auto"/>
        <w:ind w:left="0" w:right="-787" w:firstLine="0"/>
        <w:jc w:val="both"/>
        <w:rPr>
          <w:rFonts w:ascii="Palatino Linotype" w:eastAsia="Palatino Linotype" w:hAnsi="Palatino Linotype" w:cs="Palatino Linotype"/>
        </w:rPr>
      </w:pPr>
      <w:r w:rsidRPr="00AC78F4">
        <w:rPr>
          <w:rFonts w:ascii="Palatino Linotype" w:eastAsia="Palatino Linotype" w:hAnsi="Palatino Linotype" w:cs="Palatino Linotype"/>
        </w:rPr>
        <w:t>Los sujetos obligados deberán hacer pública toda aquella información relativa a los montos y las personas a quienes entreguen, por cualquier motivo, recursos públicos y en consecuencia, los servidores públicos deberán transparentar sus acciones así como garantizar y respetar el derecho de acceso a la información pública.</w:t>
      </w:r>
    </w:p>
    <w:p w:rsidR="00BF00E9" w:rsidRPr="00AC78F4" w:rsidRDefault="00BF00E9" w:rsidP="00BF00E9">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BF00E9" w:rsidRPr="00AC78F4" w:rsidRDefault="00BF00E9" w:rsidP="00BF00E9">
      <w:pPr>
        <w:numPr>
          <w:ilvl w:val="0"/>
          <w:numId w:val="2"/>
        </w:numPr>
        <w:spacing w:line="360" w:lineRule="auto"/>
        <w:ind w:left="0" w:right="-787" w:firstLine="0"/>
        <w:jc w:val="both"/>
        <w:rPr>
          <w:rFonts w:ascii="Palatino Linotype" w:eastAsia="Palatino Linotype" w:hAnsi="Palatino Linotype" w:cs="Palatino Linotype"/>
        </w:rPr>
      </w:pPr>
      <w:r w:rsidRPr="00AC78F4">
        <w:rPr>
          <w:rFonts w:ascii="Palatino Linotype" w:eastAsia="Palatino Linotype" w:hAnsi="Palatino Linotype" w:cs="Palatino Linotype"/>
        </w:rPr>
        <w:t>Ahora bien, es importante mencionar que la información privada y los datos personales concernientes a una persona física o jurídica colectiva identificada o identificable, tratándose de proveedores, prestadores de servicios o contratistas, dichos datos no deben ser suprimidos de la documentación que dé cuenta de la información requerida.</w:t>
      </w:r>
    </w:p>
    <w:p w:rsidR="00BF00E9" w:rsidRPr="00AC78F4" w:rsidRDefault="00BF00E9" w:rsidP="00BF00E9">
      <w:pPr>
        <w:numPr>
          <w:ilvl w:val="0"/>
          <w:numId w:val="2"/>
        </w:numPr>
        <w:spacing w:line="360" w:lineRule="auto"/>
        <w:ind w:left="0" w:right="-787" w:firstLine="0"/>
        <w:jc w:val="both"/>
        <w:rPr>
          <w:rFonts w:ascii="Palatino Linotype" w:eastAsia="Palatino Linotype" w:hAnsi="Palatino Linotype" w:cs="Palatino Linotype"/>
        </w:rPr>
      </w:pPr>
      <w:r w:rsidRPr="00AC78F4">
        <w:rPr>
          <w:rFonts w:ascii="Palatino Linotype" w:eastAsia="Palatino Linotype" w:hAnsi="Palatino Linotype" w:cs="Palatino Linotype"/>
        </w:rPr>
        <w:lastRenderedPageBreak/>
        <w:t>En este mismo sentido se tiene como obligación de transparencia común la de poner a disposición la información relativa a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BF00E9" w:rsidRPr="00AC78F4" w:rsidRDefault="00BF00E9" w:rsidP="00BF00E9">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BF00E9" w:rsidRPr="00AC78F4" w:rsidRDefault="00BF00E9" w:rsidP="00BF00E9">
      <w:pPr>
        <w:numPr>
          <w:ilvl w:val="0"/>
          <w:numId w:val="2"/>
        </w:numPr>
        <w:spacing w:line="360" w:lineRule="auto"/>
        <w:ind w:left="0" w:right="-787" w:firstLine="0"/>
        <w:jc w:val="both"/>
        <w:rPr>
          <w:rFonts w:ascii="Palatino Linotype" w:eastAsia="Palatino Linotype" w:hAnsi="Palatino Linotype" w:cs="Palatino Linotype"/>
          <w:bCs/>
        </w:rPr>
      </w:pPr>
      <w:r w:rsidRPr="00AC78F4">
        <w:rPr>
          <w:rFonts w:ascii="Palatino Linotype" w:eastAsia="Palatino Linotype" w:hAnsi="Palatino Linotype" w:cs="Palatino Linotype"/>
        </w:rPr>
        <w:t xml:space="preserve">En este sentido se deben señalar diversos datos de manera enunciativa mas no limitativa, que si bien corresponden a datos personales </w:t>
      </w:r>
      <w:r w:rsidRPr="00AC78F4">
        <w:rPr>
          <w:rFonts w:ascii="Palatino Linotype" w:eastAsia="Palatino Linotype" w:hAnsi="Palatino Linotype" w:cs="Palatino Linotype"/>
          <w:bCs/>
        </w:rPr>
        <w:t>no actualizan la causal de clasificación establecida en el artículo 143, fracción I, de la Ley de Transparencia y Acceso a la Información Pública del Estado de México y Municipios.</w:t>
      </w:r>
    </w:p>
    <w:p w:rsidR="00BF00E9" w:rsidRPr="00AC78F4" w:rsidRDefault="00BF00E9" w:rsidP="00BF00E9">
      <w:pPr>
        <w:pBdr>
          <w:top w:val="nil"/>
          <w:left w:val="nil"/>
          <w:bottom w:val="nil"/>
          <w:right w:val="nil"/>
          <w:between w:val="nil"/>
        </w:pBdr>
        <w:spacing w:line="360" w:lineRule="auto"/>
        <w:ind w:right="-787"/>
        <w:jc w:val="both"/>
        <w:rPr>
          <w:rFonts w:ascii="Palatino Linotype" w:eastAsia="Palatino Linotype" w:hAnsi="Palatino Linotype" w:cs="Palatino Linotype"/>
          <w:bCs/>
        </w:rPr>
      </w:pPr>
    </w:p>
    <w:p w:rsidR="00BF00E9" w:rsidRPr="00AC78F4" w:rsidRDefault="00BF00E9" w:rsidP="00BF00E9">
      <w:pPr>
        <w:pStyle w:val="Prrafodelista"/>
        <w:numPr>
          <w:ilvl w:val="0"/>
          <w:numId w:val="7"/>
        </w:numPr>
        <w:pBdr>
          <w:top w:val="nil"/>
          <w:left w:val="nil"/>
          <w:bottom w:val="nil"/>
          <w:right w:val="nil"/>
          <w:between w:val="nil"/>
        </w:pBdr>
        <w:spacing w:line="360" w:lineRule="auto"/>
        <w:ind w:right="-787"/>
        <w:jc w:val="both"/>
        <w:rPr>
          <w:rFonts w:ascii="Palatino Linotype" w:eastAsia="Palatino Linotype" w:hAnsi="Palatino Linotype" w:cs="Palatino Linotype"/>
          <w:b/>
          <w:bCs/>
        </w:rPr>
      </w:pPr>
      <w:r w:rsidRPr="00AC78F4">
        <w:rPr>
          <w:rFonts w:ascii="Palatino Linotype" w:hAnsi="Palatino Linotype"/>
          <w:b/>
          <w:color w:val="000000"/>
        </w:rPr>
        <w:t>Cuentas bancarias o clabes interbancarias</w:t>
      </w:r>
    </w:p>
    <w:p w:rsidR="00BF00E9" w:rsidRPr="00AC78F4" w:rsidRDefault="00BF00E9" w:rsidP="00BF00E9">
      <w:pPr>
        <w:numPr>
          <w:ilvl w:val="0"/>
          <w:numId w:val="2"/>
        </w:numPr>
        <w:spacing w:line="360" w:lineRule="auto"/>
        <w:ind w:left="0" w:right="-787" w:firstLine="0"/>
        <w:jc w:val="both"/>
      </w:pPr>
      <w:r w:rsidRPr="00AC78F4">
        <w:rPr>
          <w:rFonts w:ascii="Palatino Linotype" w:eastAsia="Palatino Linotype" w:hAnsi="Palatino Linotype" w:cs="Palatino Linotype"/>
        </w:rPr>
        <w:t xml:space="preserve">Resulta </w:t>
      </w:r>
      <w:r w:rsidRPr="00AC78F4">
        <w:rPr>
          <w:rFonts w:ascii="Palatino Linotype" w:eastAsia="Palatino Linotype" w:hAnsi="Palatino Linotype" w:cs="Palatino Linotype"/>
          <w:bCs/>
        </w:rPr>
        <w:t>importante</w:t>
      </w:r>
      <w:r w:rsidRPr="00AC78F4">
        <w:rPr>
          <w:rFonts w:ascii="Palatino Linotype" w:eastAsia="Palatino Linotype" w:hAnsi="Palatino Linotype" w:cs="Palatino Linotype"/>
        </w:rPr>
        <w:t xml:space="preserve"> señalar que </w:t>
      </w:r>
      <w:r w:rsidRPr="00AC78F4">
        <w:rPr>
          <w:rFonts w:ascii="Palatino Linotype" w:hAnsi="Palatino Linotype"/>
          <w:color w:val="000000"/>
        </w:rPr>
        <w:t>tratándose de las cuentas bancarias o clabes interbancarias de los Sujetos Obligados ya que su publicidad cede a la rendición de cuentas al transparentar la forma en que son administrados los recursos públicos.</w:t>
      </w:r>
    </w:p>
    <w:p w:rsidR="00BF00E9" w:rsidRPr="00AC78F4" w:rsidRDefault="00BF00E9" w:rsidP="00BF00E9">
      <w:pPr>
        <w:spacing w:line="360" w:lineRule="auto"/>
        <w:ind w:right="276"/>
        <w:jc w:val="both"/>
      </w:pPr>
    </w:p>
    <w:p w:rsidR="00BF00E9" w:rsidRPr="00AC78F4" w:rsidRDefault="00BF00E9" w:rsidP="00BF00E9">
      <w:pPr>
        <w:numPr>
          <w:ilvl w:val="0"/>
          <w:numId w:val="2"/>
        </w:numPr>
        <w:spacing w:line="360" w:lineRule="auto"/>
        <w:ind w:left="0" w:right="-787" w:firstLine="0"/>
        <w:jc w:val="both"/>
      </w:pPr>
      <w:r w:rsidRPr="00AC78F4">
        <w:rPr>
          <w:rFonts w:ascii="Palatino Linotype" w:hAnsi="Palatino Linotype"/>
          <w:color w:val="000000"/>
        </w:rPr>
        <w:t xml:space="preserve">Lo </w:t>
      </w:r>
      <w:r w:rsidRPr="00AC78F4">
        <w:rPr>
          <w:rFonts w:ascii="Palatino Linotype" w:eastAsia="Palatino Linotype" w:hAnsi="Palatino Linotype" w:cs="Palatino Linotype"/>
          <w:bCs/>
        </w:rPr>
        <w:t>argumentado</w:t>
      </w:r>
      <w:r w:rsidRPr="00AC78F4">
        <w:rPr>
          <w:rFonts w:ascii="Palatino Linotype" w:hAnsi="Palatino Linotype"/>
          <w:color w:val="000000"/>
        </w:rPr>
        <w:t xml:space="preserve"> encuentra sustento en los criterios orientadores 10/17 y 11/17 emitidos por el Instituto Nacional de Transparencia, Acceso a la Información y Protección de Datos Personales, INAI, que llevan por rubro y texto los siguientes:</w:t>
      </w:r>
    </w:p>
    <w:p w:rsidR="00BF00E9" w:rsidRPr="00AC78F4" w:rsidRDefault="00BF00E9" w:rsidP="00BF00E9">
      <w:pPr>
        <w:pStyle w:val="NormalWeb"/>
        <w:spacing w:before="240" w:beforeAutospacing="0" w:after="240" w:afterAutospacing="0"/>
        <w:ind w:left="1134" w:right="1127"/>
        <w:jc w:val="both"/>
      </w:pPr>
      <w:r w:rsidRPr="00AC78F4">
        <w:rPr>
          <w:rFonts w:ascii="Palatino Linotype" w:hAnsi="Palatino Linotype"/>
          <w:b/>
          <w:bCs/>
          <w:i/>
          <w:iCs/>
          <w:color w:val="000000"/>
        </w:rPr>
        <w:t>“Cuentas bancarias y/o CLABE interbancaria de personas físicas y morales privadas.</w:t>
      </w:r>
      <w:r w:rsidRPr="00AC78F4">
        <w:rPr>
          <w:rFonts w:ascii="Palatino Linotype" w:hAnsi="Palatino Linotype"/>
          <w:i/>
          <w:iCs/>
          <w:color w:val="000000"/>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w:t>
      </w:r>
      <w:r w:rsidRPr="00AC78F4">
        <w:rPr>
          <w:rFonts w:ascii="Palatino Linotype" w:hAnsi="Palatino Linotype"/>
          <w:i/>
          <w:iCs/>
          <w:color w:val="000000"/>
        </w:rPr>
        <w:lastRenderedPageBreak/>
        <w:t>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BF00E9" w:rsidRPr="00AC78F4" w:rsidRDefault="00BF00E9" w:rsidP="00BF00E9">
      <w:pPr>
        <w:pStyle w:val="NormalWeb"/>
        <w:spacing w:before="240" w:beforeAutospacing="0" w:after="240" w:afterAutospacing="0"/>
        <w:ind w:left="1134" w:right="1127"/>
        <w:jc w:val="both"/>
        <w:rPr>
          <w:rFonts w:ascii="Palatino Linotype" w:hAnsi="Palatino Linotype"/>
          <w:i/>
          <w:iCs/>
          <w:color w:val="000000"/>
        </w:rPr>
      </w:pPr>
      <w:r w:rsidRPr="00AC78F4">
        <w:rPr>
          <w:rFonts w:ascii="Palatino Linotype" w:hAnsi="Palatino Linotype"/>
          <w:b/>
          <w:bCs/>
          <w:i/>
          <w:iCs/>
          <w:color w:val="000000"/>
        </w:rPr>
        <w:t>Cuentas bancarias y/o CLABE interbancaria de sujetos obligados que reciben y/o transfieren recursos públicos, son información pública</w:t>
      </w:r>
      <w:r w:rsidRPr="00AC78F4">
        <w:rPr>
          <w:rFonts w:ascii="Palatino Linotype" w:hAnsi="Palatino Linotype"/>
          <w:i/>
          <w:iCs/>
          <w:color w:val="000000"/>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BF00E9" w:rsidRPr="00AC78F4" w:rsidRDefault="00BF00E9" w:rsidP="00BF00E9">
      <w:pPr>
        <w:pStyle w:val="NormalWeb"/>
        <w:spacing w:before="0" w:beforeAutospacing="0" w:after="0" w:afterAutospacing="0"/>
        <w:ind w:left="1134" w:right="1128"/>
        <w:jc w:val="both"/>
      </w:pPr>
    </w:p>
    <w:p w:rsidR="00BF00E9" w:rsidRPr="00AC78F4" w:rsidRDefault="00BF00E9" w:rsidP="00BF00E9">
      <w:pPr>
        <w:pStyle w:val="Prrafodelista"/>
        <w:numPr>
          <w:ilvl w:val="0"/>
          <w:numId w:val="7"/>
        </w:numPr>
        <w:spacing w:line="360" w:lineRule="auto"/>
        <w:ind w:right="-787"/>
        <w:jc w:val="both"/>
      </w:pPr>
      <w:r w:rsidRPr="00AC78F4">
        <w:rPr>
          <w:rFonts w:ascii="Palatino Linotype" w:hAnsi="Palatino Linotype"/>
          <w:b/>
          <w:bCs/>
          <w:color w:val="000000"/>
        </w:rPr>
        <w:t>Registro Federal de Contribuyentes (RFC)</w:t>
      </w:r>
    </w:p>
    <w:p w:rsidR="00BF00E9" w:rsidRPr="00AC78F4" w:rsidRDefault="00BF00E9" w:rsidP="00BF00E9">
      <w:pPr>
        <w:numPr>
          <w:ilvl w:val="0"/>
          <w:numId w:val="2"/>
        </w:numPr>
        <w:spacing w:line="360" w:lineRule="auto"/>
        <w:ind w:left="0" w:right="-787" w:firstLine="0"/>
        <w:jc w:val="both"/>
      </w:pPr>
      <w:r w:rsidRPr="00AC78F4">
        <w:rPr>
          <w:rFonts w:ascii="Palatino Linotype" w:hAnsi="Palatino Linotype"/>
          <w:color w:val="000000"/>
        </w:rPr>
        <w:t xml:space="preserve">Por cuanto </w:t>
      </w:r>
      <w:r w:rsidRPr="00AC78F4">
        <w:rPr>
          <w:rFonts w:ascii="Palatino Linotype" w:eastAsia="Palatino Linotype" w:hAnsi="Palatino Linotype" w:cs="Palatino Linotype"/>
          <w:bCs/>
        </w:rPr>
        <w:t>hace</w:t>
      </w:r>
      <w:r w:rsidRPr="00AC78F4">
        <w:rPr>
          <w:rFonts w:ascii="Palatino Linotype" w:hAnsi="Palatino Linotype"/>
          <w:color w:val="000000"/>
        </w:rPr>
        <w:t xml:space="preserve"> al </w:t>
      </w:r>
      <w:r w:rsidRPr="00AC78F4">
        <w:rPr>
          <w:rFonts w:ascii="Palatino Linotype" w:hAnsi="Palatino Linotype"/>
          <w:b/>
          <w:bCs/>
          <w:color w:val="000000"/>
        </w:rPr>
        <w:t xml:space="preserve">Registro Federal de Contribuyentes (RFC), </w:t>
      </w:r>
      <w:r w:rsidRPr="00AC78F4">
        <w:rPr>
          <w:rFonts w:ascii="Palatino Linotype" w:hAnsi="Palatino Linotype"/>
          <w:color w:val="000000"/>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rsidR="00BF00E9" w:rsidRPr="00AC78F4" w:rsidRDefault="00BF00E9" w:rsidP="00BF00E9">
      <w:pPr>
        <w:spacing w:line="360" w:lineRule="auto"/>
        <w:ind w:right="276"/>
        <w:jc w:val="both"/>
      </w:pPr>
    </w:p>
    <w:p w:rsidR="00BF00E9" w:rsidRPr="00AC78F4" w:rsidRDefault="00BF00E9" w:rsidP="00BF00E9">
      <w:pPr>
        <w:numPr>
          <w:ilvl w:val="0"/>
          <w:numId w:val="2"/>
        </w:numPr>
        <w:spacing w:line="360" w:lineRule="auto"/>
        <w:ind w:left="0" w:right="-787" w:firstLine="0"/>
        <w:jc w:val="both"/>
      </w:pPr>
      <w:r w:rsidRPr="00AC78F4">
        <w:rPr>
          <w:rFonts w:ascii="Palatino Linotype" w:hAnsi="Palatino Linotype"/>
          <w:color w:val="000000"/>
        </w:rPr>
        <w:t xml:space="preserve">Ello se debe a que, del ejercicio de ponderación entre el derecho a la protección de datos personales con el </w:t>
      </w:r>
      <w:r w:rsidRPr="00AC78F4">
        <w:rPr>
          <w:rFonts w:ascii="Palatino Linotype" w:eastAsia="Palatino Linotype" w:hAnsi="Palatino Linotype" w:cs="Palatino Linotype"/>
          <w:bCs/>
        </w:rPr>
        <w:t>derecho</w:t>
      </w:r>
      <w:r w:rsidRPr="00AC78F4">
        <w:rPr>
          <w:rFonts w:ascii="Palatino Linotype" w:hAnsi="Palatino Linotype"/>
          <w:color w:val="000000"/>
        </w:rPr>
        <w:t xml:space="preserve">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rsidR="00BF00E9" w:rsidRPr="00AC78F4" w:rsidRDefault="00BF00E9" w:rsidP="00BF00E9">
      <w:pPr>
        <w:spacing w:line="360" w:lineRule="auto"/>
        <w:ind w:right="276"/>
        <w:jc w:val="both"/>
      </w:pPr>
    </w:p>
    <w:p w:rsidR="00BF00E9" w:rsidRPr="00AC78F4" w:rsidRDefault="00BF00E9" w:rsidP="00BF00E9">
      <w:pPr>
        <w:numPr>
          <w:ilvl w:val="0"/>
          <w:numId w:val="2"/>
        </w:numPr>
        <w:spacing w:line="360" w:lineRule="auto"/>
        <w:ind w:left="0" w:right="-787" w:firstLine="0"/>
        <w:jc w:val="both"/>
      </w:pPr>
      <w:r w:rsidRPr="00AC78F4">
        <w:rPr>
          <w:rFonts w:ascii="Palatino Linotype" w:eastAsia="Palatino Linotype" w:hAnsi="Palatino Linotype" w:cs="Palatino Linotype"/>
          <w:bCs/>
        </w:rPr>
        <w:lastRenderedPageBreak/>
        <w:t>Además</w:t>
      </w:r>
      <w:r w:rsidRPr="00AC78F4">
        <w:rPr>
          <w:rFonts w:ascii="Palatino Linotype" w:hAnsi="Palatino Linotype"/>
          <w:color w:val="000000"/>
        </w:rPr>
        <w:t>,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rsidR="00BF00E9" w:rsidRPr="00AC78F4" w:rsidRDefault="00BF00E9" w:rsidP="00BF00E9">
      <w:pPr>
        <w:spacing w:line="360" w:lineRule="auto"/>
        <w:ind w:right="276"/>
        <w:jc w:val="both"/>
      </w:pPr>
    </w:p>
    <w:p w:rsidR="00BF00E9" w:rsidRPr="00AC78F4" w:rsidRDefault="00BF00E9" w:rsidP="00BF00E9">
      <w:pPr>
        <w:numPr>
          <w:ilvl w:val="0"/>
          <w:numId w:val="2"/>
        </w:numPr>
        <w:spacing w:line="360" w:lineRule="auto"/>
        <w:ind w:left="0" w:right="-787" w:firstLine="0"/>
        <w:jc w:val="both"/>
      </w:pPr>
      <w:r w:rsidRPr="00AC78F4">
        <w:rPr>
          <w:rFonts w:ascii="Palatino Linotype" w:hAnsi="Palatino Linotype"/>
          <w:color w:val="000000"/>
        </w:rPr>
        <w:t>Robustece lo anterior el criterio orientador 04/21 emitido por el Instituto Nacional de Transparencia, Acceso a la Información y Protección de Datos Personales, INAI, el cual refiere:</w:t>
      </w:r>
    </w:p>
    <w:p w:rsidR="00BF00E9" w:rsidRPr="00AC78F4" w:rsidRDefault="00BF00E9" w:rsidP="00BF00E9">
      <w:pPr>
        <w:pStyle w:val="NormalWeb"/>
        <w:tabs>
          <w:tab w:val="left" w:pos="7938"/>
        </w:tabs>
        <w:spacing w:before="120" w:beforeAutospacing="0" w:after="120" w:afterAutospacing="0"/>
        <w:ind w:left="1134" w:right="1127"/>
        <w:jc w:val="both"/>
        <w:rPr>
          <w:rFonts w:ascii="Palatino Linotype" w:hAnsi="Palatino Linotype"/>
          <w:i/>
          <w:iCs/>
          <w:color w:val="000000"/>
        </w:rPr>
      </w:pPr>
      <w:r w:rsidRPr="00AC78F4">
        <w:rPr>
          <w:rFonts w:ascii="Palatino Linotype" w:hAnsi="Palatino Linotype"/>
          <w:b/>
          <w:bCs/>
          <w:i/>
          <w:iCs/>
          <w:color w:val="000000"/>
        </w:rPr>
        <w:t xml:space="preserve">“Registro Federal de Contribuyentes (RFC) de personas físicas proveedoras o contratistas. </w:t>
      </w:r>
      <w:r w:rsidRPr="00AC78F4">
        <w:rPr>
          <w:rFonts w:ascii="Palatino Linotype" w:hAnsi="Palatino Linotype"/>
          <w:i/>
          <w:iCs/>
          <w:color w:val="000000"/>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rsidR="00BF00E9" w:rsidRPr="00AC78F4" w:rsidRDefault="00BF00E9" w:rsidP="00BF00E9">
      <w:pPr>
        <w:pStyle w:val="NormalWeb"/>
        <w:tabs>
          <w:tab w:val="left" w:pos="7938"/>
        </w:tabs>
        <w:spacing w:before="120" w:beforeAutospacing="0" w:after="120" w:afterAutospacing="0"/>
        <w:ind w:left="1134" w:right="276"/>
        <w:jc w:val="both"/>
      </w:pPr>
    </w:p>
    <w:p w:rsidR="00BF00E9" w:rsidRPr="00AC78F4" w:rsidRDefault="00BF00E9" w:rsidP="00BF00E9">
      <w:pPr>
        <w:numPr>
          <w:ilvl w:val="0"/>
          <w:numId w:val="2"/>
        </w:numPr>
        <w:spacing w:line="360" w:lineRule="auto"/>
        <w:ind w:left="0" w:right="-787" w:firstLine="0"/>
        <w:jc w:val="both"/>
      </w:pPr>
      <w:r w:rsidRPr="00AC78F4">
        <w:rPr>
          <w:rFonts w:ascii="Palatino Linotype" w:hAnsi="Palatino Linotype"/>
          <w:color w:val="000000"/>
        </w:rPr>
        <w:t xml:space="preserve">Relacionado con lo anterior, el nombre de las personas físicas o los representantes legales de las personas morales,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w:t>
      </w:r>
      <w:r w:rsidRPr="00AC78F4">
        <w:rPr>
          <w:rFonts w:ascii="Palatino Linotype" w:hAnsi="Palatino Linotype"/>
          <w:color w:val="000000"/>
        </w:rPr>
        <w:lastRenderedPageBreak/>
        <w:t>moral que resultó favorecida con el procedimiento de licitación no conservan el carácter de confidencial y por tanto no deben ser testados.</w:t>
      </w:r>
    </w:p>
    <w:p w:rsidR="00BF00E9" w:rsidRPr="00AC78F4" w:rsidRDefault="00BF00E9" w:rsidP="00BF00E9">
      <w:pPr>
        <w:spacing w:line="360" w:lineRule="auto"/>
        <w:ind w:right="-787"/>
        <w:jc w:val="both"/>
      </w:pPr>
    </w:p>
    <w:p w:rsidR="00BF00E9" w:rsidRPr="00AC78F4" w:rsidRDefault="00BF00E9" w:rsidP="00BF00E9">
      <w:pPr>
        <w:numPr>
          <w:ilvl w:val="0"/>
          <w:numId w:val="2"/>
        </w:numPr>
        <w:spacing w:line="360" w:lineRule="auto"/>
        <w:ind w:left="0" w:right="-787" w:firstLine="0"/>
        <w:jc w:val="both"/>
      </w:pPr>
      <w:r w:rsidRPr="00AC78F4">
        <w:rPr>
          <w:rFonts w:ascii="Palatino Linotype" w:hAnsi="Palatino Linotype"/>
          <w:color w:val="000000"/>
        </w:rPr>
        <w:t>Asimismo, resulta aplicable el contenido del criterio de interpretación 01/19 emitido por el Instituto Nacional de Transparencia, Acceso a la Información, y Protección de Datos Personales, INAI, que lleva por rubro y texto los siguientes:</w:t>
      </w:r>
    </w:p>
    <w:p w:rsidR="00BF00E9" w:rsidRPr="00AC78F4" w:rsidRDefault="00BF00E9" w:rsidP="00BF00E9">
      <w:pPr>
        <w:spacing w:line="360" w:lineRule="auto"/>
        <w:ind w:right="276"/>
        <w:jc w:val="both"/>
      </w:pPr>
    </w:p>
    <w:p w:rsidR="00BF00E9" w:rsidRPr="00AC78F4" w:rsidRDefault="00BF00E9" w:rsidP="00BF00E9">
      <w:pPr>
        <w:pStyle w:val="NormalWeb"/>
        <w:spacing w:before="0" w:beforeAutospacing="0" w:after="0" w:afterAutospacing="0"/>
        <w:ind w:left="1134" w:right="1127"/>
        <w:jc w:val="both"/>
        <w:rPr>
          <w:rFonts w:ascii="Palatino Linotype" w:hAnsi="Palatino Linotype"/>
          <w:i/>
          <w:iCs/>
          <w:color w:val="000000"/>
        </w:rPr>
      </w:pPr>
      <w:r w:rsidRPr="00AC78F4">
        <w:rPr>
          <w:rFonts w:ascii="Palatino Linotype" w:hAnsi="Palatino Linotype"/>
          <w:b/>
          <w:bCs/>
          <w:i/>
          <w:iCs/>
          <w:color w:val="000000"/>
        </w:rPr>
        <w:t>“Datos de identificación del representante o apoderado legal.</w:t>
      </w:r>
      <w:r w:rsidRPr="00AC78F4">
        <w:rPr>
          <w:rFonts w:ascii="Palatino Linotype" w:hAnsi="Palatino Linotype"/>
          <w:i/>
          <w:iCs/>
          <w:color w:val="000000"/>
        </w:rPr>
        <w:t xml:space="preserve"> </w:t>
      </w:r>
      <w:r w:rsidRPr="00AC78F4">
        <w:rPr>
          <w:rFonts w:ascii="Palatino Linotype" w:hAnsi="Palatino Linotype"/>
          <w:b/>
          <w:bCs/>
          <w:i/>
          <w:iCs/>
          <w:color w:val="000000"/>
        </w:rPr>
        <w:t xml:space="preserve">Naturaleza jurídica. </w:t>
      </w:r>
      <w:r w:rsidRPr="00AC78F4">
        <w:rPr>
          <w:rFonts w:ascii="Palatino Linotype" w:hAnsi="Palatino Linotype"/>
          <w:i/>
          <w:iCs/>
          <w:color w:val="000000"/>
        </w:rPr>
        <w:t xml:space="preserve">El nombre, la firma y la rúbrica de una persona física, que actúe como representante o apoderado legal de un tercero que haya celebrado un acto jurídico, con algún sujeto obligado, </w:t>
      </w:r>
      <w:r w:rsidRPr="00AC78F4">
        <w:rPr>
          <w:rFonts w:ascii="Palatino Linotype" w:hAnsi="Palatino Linotype"/>
          <w:b/>
          <w:bCs/>
          <w:i/>
          <w:iCs/>
          <w:color w:val="000000"/>
        </w:rPr>
        <w:t>es información pública, en razón de que tales datos fueron proporcionados con el objeto de expresar el consentimiento obligacional del tercero y otorgar validez a dicho instrumento jurídico</w:t>
      </w:r>
      <w:r w:rsidRPr="00AC78F4">
        <w:rPr>
          <w:rFonts w:ascii="Palatino Linotype" w:hAnsi="Palatino Linotype"/>
          <w:i/>
          <w:iCs/>
          <w:color w:val="000000"/>
        </w:rPr>
        <w:t>.”</w:t>
      </w:r>
    </w:p>
    <w:p w:rsidR="00BF00E9" w:rsidRPr="00AC78F4" w:rsidRDefault="00BF00E9" w:rsidP="00BF00E9">
      <w:pPr>
        <w:shd w:val="clear" w:color="auto" w:fill="FFFFFF" w:themeFill="background1"/>
        <w:spacing w:line="360" w:lineRule="auto"/>
        <w:jc w:val="both"/>
        <w:rPr>
          <w:rFonts w:ascii="Palatino Linotype" w:hAnsi="Palatino Linotype"/>
          <w:b/>
          <w:bCs/>
          <w:color w:val="000000"/>
        </w:rPr>
      </w:pPr>
    </w:p>
    <w:p w:rsidR="00BF00E9" w:rsidRPr="00AC78F4" w:rsidRDefault="00BF00E9" w:rsidP="00BF00E9">
      <w:pPr>
        <w:pStyle w:val="Prrafodelista"/>
        <w:numPr>
          <w:ilvl w:val="0"/>
          <w:numId w:val="7"/>
        </w:numPr>
        <w:shd w:val="clear" w:color="auto" w:fill="FFFFFF" w:themeFill="background1"/>
        <w:spacing w:line="360" w:lineRule="auto"/>
        <w:jc w:val="both"/>
        <w:rPr>
          <w:rFonts w:ascii="Palatino Linotype" w:hAnsi="Palatino Linotype" w:cs="Tahoma"/>
          <w:b/>
        </w:rPr>
      </w:pPr>
      <w:r w:rsidRPr="00AC78F4">
        <w:rPr>
          <w:rFonts w:ascii="Palatino Linotype" w:hAnsi="Palatino Linotype" w:cs="Tahoma"/>
          <w:b/>
        </w:rPr>
        <w:t>Domicilio Fiscal o legal (proveedor persona física o moral)</w:t>
      </w:r>
    </w:p>
    <w:p w:rsidR="00BF00E9" w:rsidRPr="00AC78F4" w:rsidRDefault="00BF00E9" w:rsidP="00BF00E9">
      <w:pPr>
        <w:numPr>
          <w:ilvl w:val="0"/>
          <w:numId w:val="2"/>
        </w:numPr>
        <w:spacing w:line="360" w:lineRule="auto"/>
        <w:ind w:left="0" w:right="-787" w:firstLine="0"/>
        <w:jc w:val="both"/>
        <w:rPr>
          <w:rFonts w:ascii="Palatino Linotype" w:hAnsi="Palatino Linotype" w:cs="Tahoma"/>
          <w:lang w:val="es-ES"/>
        </w:rPr>
      </w:pPr>
      <w:r w:rsidRPr="00AC78F4">
        <w:rPr>
          <w:rFonts w:ascii="Palatino Linotype" w:eastAsia="Palatino Linotype" w:hAnsi="Palatino Linotype" w:cs="Palatino Linotype"/>
        </w:rPr>
        <w:t>De</w:t>
      </w:r>
      <w:r w:rsidRPr="00AC78F4">
        <w:rPr>
          <w:rFonts w:ascii="Palatino Linotype" w:hAnsi="Palatino Linotype" w:cs="Tahoma"/>
          <w:lang w:val="es-ES"/>
        </w:rPr>
        <w:t xml:space="preserve"> </w:t>
      </w:r>
      <w:r w:rsidRPr="00AC78F4">
        <w:rPr>
          <w:rFonts w:ascii="Palatino Linotype" w:hAnsi="Palatino Linotype"/>
          <w:color w:val="000000"/>
        </w:rPr>
        <w:t>acuerdo</w:t>
      </w:r>
      <w:r w:rsidRPr="00AC78F4">
        <w:rPr>
          <w:rFonts w:ascii="Palatino Linotype" w:hAnsi="Palatino Linotype" w:cs="Tahoma"/>
          <w:lang w:val="es-ES"/>
        </w:rPr>
        <w:t xml:space="preserve">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rsidR="00BF00E9" w:rsidRPr="00AC78F4" w:rsidRDefault="00BF00E9" w:rsidP="00BF00E9">
      <w:pPr>
        <w:spacing w:line="360" w:lineRule="auto"/>
        <w:ind w:right="-787"/>
        <w:jc w:val="both"/>
        <w:rPr>
          <w:rFonts w:ascii="Palatino Linotype" w:hAnsi="Palatino Linotype" w:cs="Tahoma"/>
          <w:lang w:val="es-ES"/>
        </w:rPr>
      </w:pPr>
    </w:p>
    <w:p w:rsidR="00BF00E9" w:rsidRPr="00AC78F4" w:rsidRDefault="00BF00E9" w:rsidP="00BF00E9">
      <w:pPr>
        <w:numPr>
          <w:ilvl w:val="0"/>
          <w:numId w:val="2"/>
        </w:numPr>
        <w:spacing w:line="360" w:lineRule="auto"/>
        <w:ind w:left="0" w:right="-787" w:firstLine="0"/>
        <w:jc w:val="both"/>
        <w:rPr>
          <w:rFonts w:ascii="Palatino Linotype" w:hAnsi="Palatino Linotype" w:cs="Tahoma"/>
          <w:bCs/>
          <w:iCs/>
          <w:lang w:val="es-ES"/>
        </w:rPr>
      </w:pPr>
      <w:r w:rsidRPr="00AC78F4">
        <w:rPr>
          <w:rFonts w:ascii="Palatino Linotype" w:hAnsi="Palatino Linotype" w:cs="Tahoma"/>
          <w:bCs/>
          <w:iCs/>
          <w:lang w:val="es-ES"/>
        </w:rPr>
        <w:t xml:space="preserve">Además, </w:t>
      </w:r>
      <w:r w:rsidRPr="00AC78F4">
        <w:rPr>
          <w:rFonts w:ascii="Palatino Linotype" w:hAnsi="Palatino Linotype"/>
          <w:color w:val="000000"/>
        </w:rPr>
        <w:t>respecto</w:t>
      </w:r>
      <w:r w:rsidRPr="00AC78F4">
        <w:rPr>
          <w:rFonts w:ascii="Palatino Linotype" w:hAnsi="Palatino Linotype" w:cs="Tahoma"/>
          <w:bCs/>
          <w:iCs/>
          <w:lang w:val="es-ES"/>
        </w:rPr>
        <w:t xml:space="preserve"> al domicilio fiscal, resulta necesario traer el artículo 22 del Código Financiero del Estado de México y Municipios, que establece:</w:t>
      </w:r>
    </w:p>
    <w:p w:rsidR="00BF00E9" w:rsidRPr="00AC78F4" w:rsidRDefault="00BF00E9" w:rsidP="00BF00E9">
      <w:pPr>
        <w:shd w:val="clear" w:color="auto" w:fill="FFFFFF" w:themeFill="background1"/>
        <w:ind w:left="1134" w:right="902"/>
        <w:jc w:val="both"/>
        <w:rPr>
          <w:rFonts w:ascii="Palatino Linotype" w:hAnsi="Palatino Linotype" w:cs="Tahoma"/>
          <w:b/>
          <w:bCs/>
          <w:i/>
          <w:iCs/>
        </w:rPr>
      </w:pPr>
      <w:r w:rsidRPr="00AC78F4">
        <w:rPr>
          <w:rFonts w:ascii="Palatino Linotype" w:hAnsi="Palatino Linotype" w:cs="Tahoma"/>
          <w:b/>
          <w:bCs/>
          <w:i/>
          <w:iCs/>
        </w:rPr>
        <w:t xml:space="preserve">Artículo 22.- Se considera domicilio fiscal de las personas físicas y jurídicas colectivas: </w:t>
      </w:r>
    </w:p>
    <w:p w:rsidR="00BF00E9" w:rsidRPr="00AC78F4" w:rsidRDefault="00BF00E9" w:rsidP="00BF00E9">
      <w:pPr>
        <w:shd w:val="clear" w:color="auto" w:fill="FFFFFF" w:themeFill="background1"/>
        <w:ind w:left="1134" w:right="902"/>
        <w:jc w:val="both"/>
        <w:rPr>
          <w:rFonts w:ascii="Palatino Linotype" w:hAnsi="Palatino Linotype" w:cs="Tahoma"/>
          <w:bCs/>
          <w:i/>
          <w:iCs/>
        </w:rPr>
      </w:pPr>
    </w:p>
    <w:p w:rsidR="00BF00E9" w:rsidRPr="00AC78F4" w:rsidRDefault="00BF00E9" w:rsidP="00BF00E9">
      <w:pPr>
        <w:shd w:val="clear" w:color="auto" w:fill="FFFFFF" w:themeFill="background1"/>
        <w:ind w:left="1134" w:right="902"/>
        <w:jc w:val="both"/>
        <w:rPr>
          <w:rFonts w:ascii="Palatino Linotype" w:hAnsi="Palatino Linotype" w:cs="Tahoma"/>
          <w:bCs/>
          <w:i/>
          <w:iCs/>
        </w:rPr>
      </w:pPr>
      <w:r w:rsidRPr="00AC78F4">
        <w:rPr>
          <w:rFonts w:ascii="Palatino Linotype" w:hAnsi="Palatino Linotype" w:cs="Tahoma"/>
          <w:bCs/>
          <w:i/>
          <w:iCs/>
        </w:rPr>
        <w:lastRenderedPageBreak/>
        <w:t xml:space="preserve">I. El lugar o establecimiento donde se realicen actividades que generen obligaciones fiscales. </w:t>
      </w:r>
    </w:p>
    <w:p w:rsidR="00BF00E9" w:rsidRPr="00AC78F4" w:rsidRDefault="00BF00E9" w:rsidP="00BF00E9">
      <w:pPr>
        <w:shd w:val="clear" w:color="auto" w:fill="FFFFFF" w:themeFill="background1"/>
        <w:ind w:left="1134" w:right="902"/>
        <w:jc w:val="both"/>
        <w:rPr>
          <w:rFonts w:ascii="Palatino Linotype" w:hAnsi="Palatino Linotype" w:cs="Tahoma"/>
          <w:bCs/>
          <w:i/>
          <w:iCs/>
        </w:rPr>
      </w:pPr>
    </w:p>
    <w:p w:rsidR="00BF00E9" w:rsidRPr="00AC78F4" w:rsidRDefault="00BF00E9" w:rsidP="00BF00E9">
      <w:pPr>
        <w:shd w:val="clear" w:color="auto" w:fill="FFFFFF" w:themeFill="background1"/>
        <w:ind w:left="1134" w:right="902"/>
        <w:jc w:val="both"/>
        <w:rPr>
          <w:rFonts w:ascii="Palatino Linotype" w:hAnsi="Palatino Linotype" w:cs="Tahoma"/>
          <w:bCs/>
          <w:i/>
          <w:iCs/>
        </w:rPr>
      </w:pPr>
      <w:r w:rsidRPr="00AC78F4">
        <w:rPr>
          <w:rFonts w:ascii="Palatino Linotype" w:hAnsi="Palatino Linotype" w:cs="Tahoma"/>
          <w:bCs/>
          <w:i/>
          <w:iCs/>
        </w:rPr>
        <w:t xml:space="preserve">II. El lugar o establecimiento en que se realice el hecho generador de la obligación fiscal, cuando las actividades no se realicen en forma habitual. </w:t>
      </w:r>
    </w:p>
    <w:p w:rsidR="00BF00E9" w:rsidRPr="00AC78F4" w:rsidRDefault="00BF00E9" w:rsidP="00BF00E9">
      <w:pPr>
        <w:shd w:val="clear" w:color="auto" w:fill="FFFFFF" w:themeFill="background1"/>
        <w:ind w:left="1134" w:right="902"/>
        <w:jc w:val="both"/>
        <w:rPr>
          <w:rFonts w:ascii="Palatino Linotype" w:hAnsi="Palatino Linotype" w:cs="Tahoma"/>
          <w:bCs/>
          <w:i/>
          <w:iCs/>
        </w:rPr>
      </w:pPr>
    </w:p>
    <w:p w:rsidR="00BF00E9" w:rsidRPr="00AC78F4" w:rsidRDefault="00BF00E9" w:rsidP="00BF00E9">
      <w:pPr>
        <w:shd w:val="clear" w:color="auto" w:fill="FFFFFF" w:themeFill="background1"/>
        <w:ind w:left="1134" w:right="902"/>
        <w:jc w:val="both"/>
        <w:rPr>
          <w:rFonts w:ascii="Palatino Linotype" w:hAnsi="Palatino Linotype" w:cs="Tahoma"/>
          <w:bCs/>
          <w:i/>
          <w:iCs/>
        </w:rPr>
      </w:pPr>
      <w:r w:rsidRPr="00AC78F4">
        <w:rPr>
          <w:rFonts w:ascii="Palatino Linotype" w:hAnsi="Palatino Linotype" w:cs="Tahoma"/>
          <w:bCs/>
          <w:i/>
          <w:iCs/>
        </w:rPr>
        <w:t xml:space="preserve">III. El inmueble en el que residan en el territorio del Estado de México, cuando realicen sus actividades en la vía pública, en puestos fijos y semifijos; </w:t>
      </w:r>
    </w:p>
    <w:p w:rsidR="00BF00E9" w:rsidRPr="00AC78F4" w:rsidRDefault="00BF00E9" w:rsidP="00BF00E9">
      <w:pPr>
        <w:shd w:val="clear" w:color="auto" w:fill="FFFFFF" w:themeFill="background1"/>
        <w:ind w:left="1134" w:right="902"/>
        <w:jc w:val="both"/>
        <w:rPr>
          <w:rFonts w:ascii="Palatino Linotype" w:hAnsi="Palatino Linotype" w:cs="Tahoma"/>
          <w:bCs/>
          <w:i/>
          <w:iCs/>
        </w:rPr>
      </w:pPr>
    </w:p>
    <w:p w:rsidR="00BF00E9" w:rsidRPr="00AC78F4" w:rsidRDefault="00BF00E9" w:rsidP="00BF00E9">
      <w:pPr>
        <w:shd w:val="clear" w:color="auto" w:fill="FFFFFF" w:themeFill="background1"/>
        <w:ind w:left="1134" w:right="902"/>
        <w:jc w:val="both"/>
        <w:rPr>
          <w:rFonts w:ascii="Palatino Linotype" w:hAnsi="Palatino Linotype" w:cs="Tahoma"/>
          <w:bCs/>
          <w:i/>
          <w:iCs/>
        </w:rPr>
      </w:pPr>
      <w:r w:rsidRPr="00AC78F4">
        <w:rPr>
          <w:rFonts w:ascii="Palatino Linotype" w:hAnsi="Palatino Linotype" w:cs="Tahoma"/>
          <w:bCs/>
          <w:i/>
          <w:iCs/>
        </w:rPr>
        <w:t xml:space="preserve">IV. La residencia que identifique la autoridad fiscal, cuando exista certeza de que es el único lugar posible de localización del contribuyente. </w:t>
      </w:r>
    </w:p>
    <w:p w:rsidR="00BF00E9" w:rsidRPr="00AC78F4" w:rsidRDefault="00BF00E9" w:rsidP="00BF00E9">
      <w:pPr>
        <w:shd w:val="clear" w:color="auto" w:fill="FFFFFF" w:themeFill="background1"/>
        <w:ind w:left="1134" w:right="902"/>
        <w:jc w:val="both"/>
        <w:rPr>
          <w:rFonts w:ascii="Palatino Linotype" w:hAnsi="Palatino Linotype" w:cs="Tahoma"/>
          <w:bCs/>
          <w:i/>
          <w:iCs/>
        </w:rPr>
      </w:pPr>
    </w:p>
    <w:p w:rsidR="00BF00E9" w:rsidRPr="00AC78F4" w:rsidRDefault="00BF00E9" w:rsidP="00BF00E9">
      <w:pPr>
        <w:shd w:val="clear" w:color="auto" w:fill="FFFFFF" w:themeFill="background1"/>
        <w:ind w:left="1134" w:right="902"/>
        <w:jc w:val="both"/>
        <w:rPr>
          <w:rFonts w:ascii="Palatino Linotype" w:hAnsi="Palatino Linotype" w:cs="Tahoma"/>
          <w:bCs/>
          <w:i/>
          <w:iCs/>
        </w:rPr>
      </w:pPr>
      <w:r w:rsidRPr="00AC78F4">
        <w:rPr>
          <w:rFonts w:ascii="Palatino Linotype" w:hAnsi="Palatino Linotype" w:cs="Tahoma"/>
          <w:bCs/>
          <w:i/>
          <w:iCs/>
        </w:rPr>
        <w:t>V. Aquel que señalen a las entidades financieras o sociedades cooperativas de ahorro y préstamo, cuando sean usuarios de los servicios que presten estas, siempre que los contribuyentes no hayan manifestado alguno de los domicilios citados en las fracciones anteriores o no hayan sido localizados en los mismos.</w:t>
      </w:r>
    </w:p>
    <w:p w:rsidR="00BF00E9" w:rsidRPr="00AC78F4" w:rsidRDefault="00BF00E9" w:rsidP="00BF00E9">
      <w:pPr>
        <w:shd w:val="clear" w:color="auto" w:fill="FFFFFF" w:themeFill="background1"/>
        <w:ind w:left="1134" w:right="902"/>
        <w:jc w:val="both"/>
        <w:rPr>
          <w:rFonts w:ascii="Palatino Linotype" w:hAnsi="Palatino Linotype" w:cs="Tahoma"/>
          <w:bCs/>
          <w:i/>
          <w:iCs/>
        </w:rPr>
      </w:pPr>
      <w:r w:rsidRPr="00AC78F4">
        <w:rPr>
          <w:rFonts w:ascii="Palatino Linotype" w:hAnsi="Palatino Linotype" w:cs="Tahoma"/>
          <w:bCs/>
          <w:i/>
          <w:iCs/>
        </w:rPr>
        <w:t>…</w:t>
      </w:r>
    </w:p>
    <w:p w:rsidR="00BF00E9" w:rsidRPr="00AC78F4" w:rsidRDefault="00BF00E9" w:rsidP="00BF00E9">
      <w:pPr>
        <w:jc w:val="both"/>
        <w:rPr>
          <w:rFonts w:ascii="Palatino Linotype" w:hAnsi="Palatino Linotype" w:cs="Tahoma"/>
          <w:bCs/>
          <w:iCs/>
          <w:lang w:val="es-ES"/>
        </w:rPr>
      </w:pPr>
    </w:p>
    <w:p w:rsidR="00BF00E9" w:rsidRPr="00AC78F4" w:rsidRDefault="00BF00E9" w:rsidP="00BF00E9">
      <w:pPr>
        <w:pStyle w:val="Prrafodelista"/>
        <w:numPr>
          <w:ilvl w:val="0"/>
          <w:numId w:val="7"/>
        </w:numPr>
        <w:spacing w:line="360" w:lineRule="auto"/>
        <w:ind w:right="-787"/>
        <w:jc w:val="both"/>
        <w:rPr>
          <w:rFonts w:ascii="Palatino Linotype" w:hAnsi="Palatino Linotype" w:cs="Tahoma"/>
          <w:b/>
          <w:bCs/>
        </w:rPr>
      </w:pPr>
      <w:r w:rsidRPr="00AC78F4">
        <w:rPr>
          <w:rFonts w:ascii="Palatino Linotype" w:hAnsi="Palatino Linotype" w:cs="Tahoma"/>
          <w:b/>
          <w:bCs/>
        </w:rPr>
        <w:t>Número telefónico</w:t>
      </w:r>
    </w:p>
    <w:p w:rsidR="00BF00E9" w:rsidRPr="00AC78F4" w:rsidRDefault="00BF00E9" w:rsidP="00BF00E9">
      <w:pPr>
        <w:numPr>
          <w:ilvl w:val="0"/>
          <w:numId w:val="2"/>
        </w:numPr>
        <w:spacing w:line="360" w:lineRule="auto"/>
        <w:ind w:left="0" w:right="-787" w:firstLine="0"/>
        <w:jc w:val="both"/>
        <w:rPr>
          <w:rFonts w:ascii="Palatino Linotype" w:hAnsi="Palatino Linotype" w:cs="Tahoma"/>
          <w:bCs/>
        </w:rPr>
      </w:pPr>
      <w:r w:rsidRPr="00AC78F4">
        <w:rPr>
          <w:rFonts w:ascii="Palatino Linotype" w:hAnsi="Palatino Linotype" w:cs="Tahoma"/>
          <w:b/>
          <w:bCs/>
        </w:rPr>
        <w:t>Un</w:t>
      </w:r>
      <w:r w:rsidRPr="00AC78F4">
        <w:rPr>
          <w:rFonts w:ascii="Palatino Linotype" w:hAnsi="Palatino Linotype" w:cs="Tahoma"/>
          <w:bCs/>
        </w:rPr>
        <w:t> </w:t>
      </w:r>
      <w:r w:rsidRPr="00AC78F4">
        <w:rPr>
          <w:rFonts w:ascii="Palatino Linotype" w:hAnsi="Palatino Linotype"/>
          <w:color w:val="000000"/>
        </w:rPr>
        <w:t>número</w:t>
      </w:r>
      <w:r w:rsidRPr="00AC78F4">
        <w:rPr>
          <w:rFonts w:ascii="Palatino Linotype" w:hAnsi="Palatino Linotype" w:cs="Tahoma"/>
          <w:b/>
          <w:bCs/>
        </w:rPr>
        <w:t xml:space="preserve"> de teléfono</w:t>
      </w:r>
      <w:r w:rsidRPr="00AC78F4">
        <w:rPr>
          <w:rFonts w:ascii="Palatino Linotype" w:hAnsi="Palatino Linotype" w:cs="Tahoma"/>
          <w:bCs/>
        </w:rPr>
        <w:t> es una secuencia de </w:t>
      </w:r>
      <w:r w:rsidRPr="00AC78F4">
        <w:rPr>
          <w:rStyle w:val="Hipervnculo"/>
          <w:rFonts w:ascii="Palatino Linotype" w:hAnsi="Palatino Linotype" w:cs="Tahoma"/>
          <w:bCs/>
        </w:rPr>
        <w:t>dígitos</w:t>
      </w:r>
      <w:r w:rsidRPr="00AC78F4">
        <w:rPr>
          <w:rFonts w:ascii="Palatino Linotype" w:hAnsi="Palatino Linotype" w:cs="Tahoma"/>
          <w:bCs/>
        </w:rPr>
        <w:t> utilizada para identificar una </w:t>
      </w:r>
      <w:r w:rsidRPr="00AC78F4">
        <w:rPr>
          <w:rStyle w:val="Hipervnculo"/>
          <w:rFonts w:ascii="Palatino Linotype" w:hAnsi="Palatino Linotype" w:cs="Tahoma"/>
          <w:bCs/>
        </w:rPr>
        <w:t>línea telefónica</w:t>
      </w:r>
      <w:r w:rsidRPr="00AC78F4">
        <w:rPr>
          <w:rFonts w:ascii="Palatino Linotype" w:hAnsi="Palatino Linotype" w:cs="Tahoma"/>
          <w:bCs/>
        </w:rPr>
        <w:t> dentro de una </w:t>
      </w:r>
      <w:r w:rsidRPr="00AC78F4">
        <w:rPr>
          <w:rStyle w:val="Hipervnculo"/>
          <w:rFonts w:ascii="Palatino Linotype" w:hAnsi="Palatino Linotype" w:cs="Tahoma"/>
          <w:bCs/>
        </w:rPr>
        <w:t>Red Telefónica Conmutada</w:t>
      </w:r>
      <w:r w:rsidRPr="00AC78F4">
        <w:rPr>
          <w:rFonts w:ascii="Palatino Linotype" w:hAnsi="Palatino Linotype" w:cs="Tahoma"/>
          <w:bCs/>
        </w:rPr>
        <w:t>, el número contiene la información necesaria para identificar el punto final de la llamada. Los números de teléfono están a menudo asignados a líneas que tienen conectados dispositivos distintos de un </w:t>
      </w:r>
      <w:r w:rsidRPr="00AC78F4">
        <w:rPr>
          <w:rStyle w:val="Hipervnculo"/>
          <w:rFonts w:ascii="Palatino Linotype" w:hAnsi="Palatino Linotype" w:cs="Tahoma"/>
          <w:bCs/>
        </w:rPr>
        <w:t>teléfono</w:t>
      </w:r>
      <w:r w:rsidRPr="00AC78F4">
        <w:rPr>
          <w:rFonts w:ascii="Palatino Linotype" w:hAnsi="Palatino Linotype" w:cs="Tahoma"/>
          <w:bCs/>
        </w:rPr>
        <w:t>, tales como </w:t>
      </w:r>
      <w:r w:rsidRPr="00AC78F4">
        <w:rPr>
          <w:rStyle w:val="Hipervnculo"/>
          <w:rFonts w:ascii="Palatino Linotype" w:hAnsi="Palatino Linotype" w:cs="Tahoma"/>
          <w:bCs/>
        </w:rPr>
        <w:t>faxes</w:t>
      </w:r>
      <w:r w:rsidRPr="00AC78F4">
        <w:rPr>
          <w:rFonts w:ascii="Palatino Linotype" w:hAnsi="Palatino Linotype" w:cs="Tahoma"/>
          <w:bCs/>
        </w:rPr>
        <w:t> y </w:t>
      </w:r>
      <w:r w:rsidRPr="00AC78F4">
        <w:rPr>
          <w:rStyle w:val="Hipervnculo"/>
          <w:rFonts w:ascii="Palatino Linotype" w:hAnsi="Palatino Linotype" w:cs="Tahoma"/>
          <w:bCs/>
        </w:rPr>
        <w:t>módems</w:t>
      </w:r>
      <w:r w:rsidRPr="00AC78F4">
        <w:rPr>
          <w:rFonts w:ascii="Palatino Linotype" w:hAnsi="Palatino Linotype" w:cs="Tahoma"/>
          <w:bCs/>
        </w:rPr>
        <w:t>. Cada uno de esos </w:t>
      </w:r>
      <w:r w:rsidRPr="00AC78F4">
        <w:rPr>
          <w:rStyle w:val="Hipervnculo"/>
          <w:rFonts w:ascii="Palatino Linotype" w:hAnsi="Palatino Linotype" w:cs="Tahoma"/>
          <w:bCs/>
        </w:rPr>
        <w:t>puntos de terminación de red</w:t>
      </w:r>
      <w:r w:rsidRPr="00AC78F4">
        <w:rPr>
          <w:rFonts w:ascii="Palatino Linotype" w:hAnsi="Palatino Linotype" w:cs="Tahoma"/>
          <w:bCs/>
        </w:rPr>
        <w:t> deben de tener un número único en la red para poder realizar una </w:t>
      </w:r>
      <w:r w:rsidRPr="00AC78F4">
        <w:rPr>
          <w:rStyle w:val="Hipervnculo"/>
          <w:rFonts w:ascii="Palatino Linotype" w:hAnsi="Palatino Linotype" w:cs="Tahoma"/>
          <w:bCs/>
        </w:rPr>
        <w:t>llamada telefónica</w:t>
      </w:r>
      <w:r w:rsidRPr="00AC78F4">
        <w:rPr>
          <w:rFonts w:ascii="Palatino Linotype" w:hAnsi="Palatino Linotype" w:cs="Tahoma"/>
          <w:bCs/>
        </w:rPr>
        <w:t>.</w:t>
      </w:r>
    </w:p>
    <w:p w:rsidR="00BF00E9" w:rsidRPr="00AC78F4" w:rsidRDefault="00BF00E9" w:rsidP="00BF00E9">
      <w:pPr>
        <w:spacing w:line="360" w:lineRule="auto"/>
        <w:ind w:right="-93"/>
        <w:jc w:val="both"/>
        <w:rPr>
          <w:rFonts w:ascii="Palatino Linotype" w:hAnsi="Palatino Linotype" w:cs="Tahoma"/>
          <w:bCs/>
        </w:rPr>
      </w:pPr>
    </w:p>
    <w:p w:rsidR="00BF00E9" w:rsidRPr="00AC78F4" w:rsidRDefault="00BF00E9" w:rsidP="00BF00E9">
      <w:pPr>
        <w:pStyle w:val="Prrafodelista"/>
        <w:numPr>
          <w:ilvl w:val="0"/>
          <w:numId w:val="7"/>
        </w:numPr>
        <w:spacing w:line="360" w:lineRule="auto"/>
        <w:jc w:val="both"/>
        <w:rPr>
          <w:rFonts w:ascii="Palatino Linotype" w:hAnsi="Palatino Linotype" w:cs="Tahoma"/>
        </w:rPr>
      </w:pPr>
      <w:r w:rsidRPr="00AC78F4">
        <w:rPr>
          <w:rFonts w:ascii="Palatino Linotype" w:hAnsi="Palatino Linotype" w:cs="Tahoma"/>
          <w:b/>
        </w:rPr>
        <w:t>Correo electrónico</w:t>
      </w:r>
    </w:p>
    <w:p w:rsidR="00BF00E9" w:rsidRPr="00AC78F4" w:rsidRDefault="00BF00E9" w:rsidP="00BF00E9">
      <w:pPr>
        <w:numPr>
          <w:ilvl w:val="0"/>
          <w:numId w:val="2"/>
        </w:numPr>
        <w:spacing w:line="360" w:lineRule="auto"/>
        <w:ind w:left="0" w:right="-787" w:firstLine="0"/>
        <w:jc w:val="both"/>
        <w:rPr>
          <w:rFonts w:ascii="Palatino Linotype" w:hAnsi="Palatino Linotype" w:cs="Tahoma"/>
          <w:bCs/>
          <w:lang w:eastAsia="en-US"/>
        </w:rPr>
      </w:pPr>
      <w:r w:rsidRPr="00AC78F4">
        <w:rPr>
          <w:rFonts w:ascii="Palatino Linotype" w:hAnsi="Palatino Linotype" w:cs="Tahoma"/>
          <w:bCs/>
        </w:rPr>
        <w:t>El</w:t>
      </w:r>
      <w:r w:rsidRPr="00AC78F4">
        <w:rPr>
          <w:rFonts w:ascii="Palatino Linotype" w:hAnsi="Palatino Linotype" w:cs="Tahoma"/>
          <w:bCs/>
          <w:lang w:eastAsia="en-US"/>
        </w:rPr>
        <w:t xml:space="preserve"> </w:t>
      </w:r>
      <w:r w:rsidRPr="00AC78F4">
        <w:rPr>
          <w:rFonts w:ascii="Palatino Linotype" w:hAnsi="Palatino Linotype" w:cs="Tahoma"/>
          <w:b/>
          <w:bCs/>
          <w:lang w:eastAsia="en-US"/>
        </w:rPr>
        <w:t>correo electrónico</w:t>
      </w:r>
      <w:r w:rsidRPr="00AC78F4">
        <w:rPr>
          <w:rFonts w:ascii="Palatino Linotype" w:hAnsi="Palatino Linotype" w:cs="Tahoma"/>
          <w:bCs/>
          <w:lang w:eastAsia="en-US"/>
        </w:rPr>
        <w:t xml:space="preserve"> es un sistema de transmisión de mensajes a través de internet. Dicho dato se puede asimilar al teléfono o domicilio particular, cuya nomenclatura, se </w:t>
      </w:r>
      <w:r w:rsidRPr="00AC78F4">
        <w:rPr>
          <w:rFonts w:ascii="Palatino Linotype" w:hAnsi="Palatino Linotype" w:cs="Tahoma"/>
          <w:bCs/>
          <w:lang w:eastAsia="en-US"/>
        </w:rPr>
        <w:lastRenderedPageBreak/>
        <w:t>considera como un dato personal, toda vez que es un medio para comunicarse con la persona titular del mismo, la hace localizable e incluso identificable, al poder estar conformado por parte de su nombre o bien, fecha de nacimiento.</w:t>
      </w:r>
    </w:p>
    <w:p w:rsidR="00BF00E9" w:rsidRPr="00AC78F4" w:rsidRDefault="00BF00E9" w:rsidP="00BF00E9">
      <w:pPr>
        <w:spacing w:line="360" w:lineRule="auto"/>
        <w:jc w:val="both"/>
      </w:pPr>
    </w:p>
    <w:p w:rsidR="00BF00E9" w:rsidRPr="00AC78F4" w:rsidRDefault="00BF00E9" w:rsidP="00BF00E9">
      <w:pPr>
        <w:numPr>
          <w:ilvl w:val="0"/>
          <w:numId w:val="2"/>
        </w:numPr>
        <w:spacing w:line="360" w:lineRule="auto"/>
        <w:ind w:left="0" w:right="-787" w:firstLine="0"/>
        <w:jc w:val="both"/>
        <w:rPr>
          <w:rFonts w:ascii="Palatino Linotype" w:hAnsi="Palatino Linotype" w:cs="Tahoma"/>
          <w:bCs/>
        </w:rPr>
      </w:pPr>
      <w:r w:rsidRPr="00AC78F4">
        <w:rPr>
          <w:rFonts w:ascii="Palatino Linotype" w:hAnsi="Palatino Linotype" w:cs="Tahoma"/>
          <w:bCs/>
        </w:rPr>
        <w:t xml:space="preserve">Al respecto debe mencionarse que </w:t>
      </w:r>
      <w:r w:rsidRPr="00AC78F4">
        <w:rPr>
          <w:rFonts w:ascii="Palatino Linotype" w:hAnsi="Palatino Linotype" w:cs="Tahoma"/>
          <w:bCs/>
          <w:iCs/>
          <w:lang w:val="es-ES"/>
        </w:rPr>
        <w:t xml:space="preserve">conforme a lo establecido en los criterios números 16, 18 y 19 de </w:t>
      </w:r>
      <w:r w:rsidRPr="00AC78F4">
        <w:rPr>
          <w:rFonts w:ascii="Palatino Linotype" w:hAnsi="Palatino Linotype" w:cs="Tahoma"/>
          <w:bCs/>
        </w:rPr>
        <w:t xml:space="preserve">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correspondiente a la fracción XXXII. “Padrón de proveedores y contratistas” de la Ley General de Transparencia, artículo 70, </w:t>
      </w:r>
      <w:r w:rsidRPr="00AC78F4">
        <w:rPr>
          <w:rFonts w:ascii="Palatino Linotype" w:hAnsi="Palatino Linotype" w:cs="Tahoma"/>
          <w:b/>
          <w:bCs/>
        </w:rPr>
        <w:t>el domicilio fiscal, y datos de contacto como teléfono y correo electrónico de los proveedores y contratistas, es un dato que debe ser público, motivo por el cual no es procedente que se realice su clasificación como confidencial.</w:t>
      </w:r>
    </w:p>
    <w:p w:rsidR="00BF00E9" w:rsidRPr="00AC78F4" w:rsidRDefault="00BF00E9" w:rsidP="00BF00E9">
      <w:pPr>
        <w:spacing w:line="360" w:lineRule="auto"/>
        <w:jc w:val="both"/>
        <w:rPr>
          <w:rFonts w:ascii="Palatino Linotype" w:hAnsi="Palatino Linotype" w:cs="Tahoma"/>
          <w:bCs/>
          <w:iCs/>
          <w:lang w:val="es-ES"/>
        </w:rPr>
      </w:pPr>
    </w:p>
    <w:p w:rsidR="00BF00E9" w:rsidRPr="00AC78F4" w:rsidRDefault="00BF00E9" w:rsidP="00BF00E9">
      <w:pPr>
        <w:numPr>
          <w:ilvl w:val="0"/>
          <w:numId w:val="2"/>
        </w:numPr>
        <w:spacing w:line="360" w:lineRule="auto"/>
        <w:ind w:left="0" w:right="-787" w:firstLine="0"/>
        <w:jc w:val="both"/>
        <w:rPr>
          <w:rFonts w:ascii="Palatino Linotype" w:hAnsi="Palatino Linotype" w:cs="Tahoma"/>
          <w:bCs/>
          <w:iCs/>
          <w:lang w:val="es-ES"/>
        </w:rPr>
      </w:pPr>
      <w:r w:rsidRPr="00AC78F4">
        <w:rPr>
          <w:rFonts w:ascii="Palatino Linotype" w:hAnsi="Palatino Linotype" w:cs="Tahoma"/>
          <w:bCs/>
          <w:lang w:val="es-ES" w:eastAsia="en-US"/>
        </w:rPr>
        <w:t>En este mismo orden de ideas, cuando las personas tienen una relación comercial, laboral, de servicios, trámites o del tipo que sea, necesariamente por un tema de interés público, debe cederse un poco de privacidad, de tal forma que las personas en general puedan verificar el debido desempeño de los servidores públicos, la aplicación de la ley y el ejercicio de recursos públicos, en donde únicamente se privilegie la publicidad de los datos esenciales para la transparencia y rendición de cuentas, sin afectar la vida privada de las personas.</w:t>
      </w:r>
    </w:p>
    <w:p w:rsidR="00BF00E9" w:rsidRPr="00AC78F4" w:rsidRDefault="00BF00E9" w:rsidP="00BF00E9">
      <w:pPr>
        <w:shd w:val="clear" w:color="auto" w:fill="FFFFFF" w:themeFill="background1"/>
        <w:spacing w:line="360" w:lineRule="auto"/>
        <w:jc w:val="both"/>
        <w:rPr>
          <w:rFonts w:ascii="Palatino Linotype" w:hAnsi="Palatino Linotype" w:cs="Tahoma"/>
          <w:bCs/>
          <w:iCs/>
          <w:lang w:val="es-ES"/>
        </w:rPr>
      </w:pPr>
    </w:p>
    <w:p w:rsidR="00BF00E9" w:rsidRPr="00AC78F4" w:rsidRDefault="00BF00E9" w:rsidP="00BF00E9">
      <w:pPr>
        <w:numPr>
          <w:ilvl w:val="0"/>
          <w:numId w:val="2"/>
        </w:numPr>
        <w:spacing w:line="360" w:lineRule="auto"/>
        <w:ind w:left="0" w:right="-787" w:firstLine="0"/>
        <w:jc w:val="both"/>
        <w:rPr>
          <w:rFonts w:ascii="Palatino Linotype" w:hAnsi="Palatino Linotype" w:cs="Tahoma"/>
          <w:bCs/>
          <w:iCs/>
          <w:lang w:val="es-ES"/>
        </w:rPr>
      </w:pPr>
      <w:r w:rsidRPr="00AC78F4">
        <w:rPr>
          <w:rFonts w:ascii="Palatino Linotype" w:hAnsi="Palatino Linotype" w:cs="Tahoma"/>
          <w:bCs/>
          <w:iCs/>
          <w:lang w:val="es-ES"/>
        </w:rPr>
        <w:t xml:space="preserve">De tal </w:t>
      </w:r>
      <w:r w:rsidRPr="00AC78F4">
        <w:rPr>
          <w:rFonts w:ascii="Palatino Linotype" w:hAnsi="Palatino Linotype" w:cs="Tahoma"/>
          <w:bCs/>
          <w:lang w:val="es-ES" w:eastAsia="en-US"/>
        </w:rPr>
        <w:t>suerte</w:t>
      </w:r>
      <w:r w:rsidRPr="00AC78F4">
        <w:rPr>
          <w:rFonts w:ascii="Palatino Linotype" w:hAnsi="Palatino Linotype" w:cs="Tahoma"/>
          <w:bCs/>
          <w:iCs/>
          <w:lang w:val="es-ES"/>
        </w:rPr>
        <w:t xml:space="preserve"> que</w:t>
      </w:r>
      <w:r w:rsidRPr="00AC78F4">
        <w:rPr>
          <w:rFonts w:ascii="Palatino Linotype" w:hAnsi="Palatino Linotype" w:cs="Tahoma"/>
          <w:b/>
          <w:bCs/>
          <w:iCs/>
          <w:lang w:val="es-ES"/>
        </w:rPr>
        <w:t xml:space="preserve">, tratándose de proveedores (personas físicas o jurídico colectivas), el domicilio fiscal, número telefónico y correo electrónico no son datos susceptibles de </w:t>
      </w:r>
      <w:r w:rsidRPr="00AC78F4">
        <w:rPr>
          <w:rFonts w:ascii="Palatino Linotype" w:hAnsi="Palatino Linotype" w:cs="Tahoma"/>
          <w:b/>
          <w:bCs/>
          <w:iCs/>
          <w:lang w:val="es-ES"/>
        </w:rPr>
        <w:lastRenderedPageBreak/>
        <w:t>clasificarse como confidenciales</w:t>
      </w:r>
      <w:r w:rsidRPr="00AC78F4">
        <w:rPr>
          <w:rFonts w:ascii="Palatino Linotype" w:hAnsi="Palatino Linotype" w:cs="Tahoma"/>
          <w:bCs/>
          <w:iCs/>
          <w:lang w:val="es-ES"/>
        </w:rPr>
        <w:t>, es decir, no se actualiza lo establecido en el artículo 143, fracción I de la Ley de Transparencia y Acceso a la Información Pública del Estado de México y Municipios.</w:t>
      </w:r>
    </w:p>
    <w:p w:rsidR="00BF00E9" w:rsidRPr="00AC78F4" w:rsidRDefault="00BF00E9" w:rsidP="00BF00E9">
      <w:pPr>
        <w:spacing w:line="360" w:lineRule="auto"/>
        <w:jc w:val="both"/>
        <w:rPr>
          <w:rFonts w:ascii="Palatino Linotype" w:hAnsi="Palatino Linotype" w:cs="Tahoma"/>
          <w:bCs/>
          <w:iCs/>
          <w:lang w:val="es-ES"/>
        </w:rPr>
      </w:pPr>
    </w:p>
    <w:p w:rsidR="00BF00E9" w:rsidRPr="00AC78F4" w:rsidRDefault="00BF00E9" w:rsidP="00BF00E9">
      <w:pPr>
        <w:numPr>
          <w:ilvl w:val="0"/>
          <w:numId w:val="2"/>
        </w:numPr>
        <w:spacing w:line="360" w:lineRule="auto"/>
        <w:ind w:left="0" w:right="-787" w:firstLine="0"/>
        <w:jc w:val="both"/>
        <w:rPr>
          <w:rFonts w:ascii="Palatino Linotype" w:hAnsi="Palatino Linotype" w:cs="Tahoma"/>
          <w:bCs/>
          <w:iCs/>
          <w:lang w:val="es-ES"/>
        </w:rPr>
      </w:pPr>
      <w:r w:rsidRPr="00AC78F4">
        <w:rPr>
          <w:rFonts w:ascii="Palatino Linotype" w:hAnsi="Palatino Linotype" w:cs="Tahoma"/>
          <w:bCs/>
          <w:iCs/>
          <w:lang w:val="es-ES"/>
        </w:rPr>
        <w:t xml:space="preserve">Por otro </w:t>
      </w:r>
      <w:r w:rsidRPr="00AC78F4">
        <w:rPr>
          <w:rFonts w:ascii="Palatino Linotype" w:hAnsi="Palatino Linotype" w:cs="Tahoma"/>
          <w:bCs/>
          <w:lang w:val="es-ES" w:eastAsia="en-US"/>
        </w:rPr>
        <w:t>lado</w:t>
      </w:r>
      <w:r w:rsidRPr="00AC78F4">
        <w:rPr>
          <w:rFonts w:ascii="Palatino Linotype" w:hAnsi="Palatino Linotype" w:cs="Tahoma"/>
          <w:bCs/>
          <w:iCs/>
          <w:lang w:val="es-ES"/>
        </w:rPr>
        <w:t>, es de precisar que</w:t>
      </w:r>
      <w:r w:rsidRPr="00AC78F4">
        <w:rPr>
          <w:rFonts w:ascii="Palatino Linotype" w:hAnsi="Palatino Linotype" w:cs="Arial"/>
        </w:rPr>
        <w:t xml:space="preserve">, referente al </w:t>
      </w:r>
      <w:r w:rsidRPr="00AC78F4">
        <w:rPr>
          <w:rFonts w:ascii="Palatino Linotype" w:hAnsi="Palatino Linotype" w:cs="Arial"/>
          <w:b/>
        </w:rPr>
        <w:t>QR</w:t>
      </w:r>
      <w:r w:rsidRPr="00AC78F4">
        <w:rPr>
          <w:rFonts w:ascii="Palatino Linotype" w:hAnsi="Palatino Linotype" w:cs="Arial"/>
        </w:rPr>
        <w:t xml:space="preserve">, </w:t>
      </w:r>
      <w:r w:rsidRPr="00AC78F4">
        <w:rPr>
          <w:rFonts w:ascii="Palatino Linotype" w:hAnsi="Palatino Linotype" w:cs="Arial"/>
          <w:b/>
        </w:rPr>
        <w:t>f</w:t>
      </w:r>
      <w:r w:rsidRPr="00AC78F4">
        <w:rPr>
          <w:rFonts w:ascii="Palatino Linotype" w:hAnsi="Palatino Linotype"/>
          <w:b/>
          <w:noProof/>
        </w:rPr>
        <w:t xml:space="preserve">olio fiscal, número de serie del certificado del emisor, </w:t>
      </w:r>
      <w:r w:rsidRPr="00AC78F4">
        <w:rPr>
          <w:rFonts w:ascii="Palatino Linotype" w:hAnsi="Palatino Linotype" w:cs="Arial"/>
          <w:b/>
        </w:rPr>
        <w:t>sello digital Comprobante Fiscal Digital por Internet (CFDI)</w:t>
      </w:r>
      <w:r w:rsidRPr="00AC78F4">
        <w:rPr>
          <w:rFonts w:ascii="Palatino Linotype" w:hAnsi="Palatino Linotype"/>
          <w:b/>
          <w:noProof/>
        </w:rPr>
        <w:t xml:space="preserve">, sello digital del SAT, Cadena Original del SAT, número de serie del certificado del SAT, </w:t>
      </w:r>
      <w:r w:rsidRPr="00AC78F4">
        <w:rPr>
          <w:rFonts w:ascii="Palatino Linotype" w:hAnsi="Palatino Linotype"/>
          <w:noProof/>
        </w:rPr>
        <w:t xml:space="preserve">si de </w:t>
      </w:r>
      <w:r w:rsidRPr="00AC78F4">
        <w:rPr>
          <w:rFonts w:ascii="Palatino Linotype" w:hAnsi="Palatino Linotype" w:cs="Tahoma"/>
          <w:bCs/>
          <w:lang w:val="es-ES" w:eastAsia="en-US"/>
        </w:rPr>
        <w:t xml:space="preserve">la secuencia de números y letras, se advierte el Registro Federal de Contribuyentes o una Clave Única de Registro de Población, que pueda hacer </w:t>
      </w:r>
      <w:r w:rsidRPr="00AC78F4">
        <w:rPr>
          <w:rFonts w:ascii="Palatino Linotype" w:hAnsi="Palatino Linotype" w:cs="Arial"/>
        </w:rPr>
        <w:t>identificable</w:t>
      </w:r>
      <w:r w:rsidRPr="00AC78F4">
        <w:rPr>
          <w:rFonts w:ascii="Palatino Linotype" w:hAnsi="Palatino Linotype" w:cs="Tahoma"/>
          <w:bCs/>
          <w:lang w:val="es-ES" w:eastAsia="en-US"/>
        </w:rPr>
        <w:t xml:space="preserve"> al titular del dato personal, no puede tenerse como dato público y por ende es información considerada confidencial. Por el contrario, debe considerarse que esta información incluida en los documentos fiscales, constituyen un elemento adicional que permite a cualquier persona verificar la legitimidad del documento, por sí solos no contienen datos personales susceptibles de clasificación, ya que no hacen identificable al titular, pues dichos datos sólo son de utilidad de manera directa a la Secretaría de Hacienda y Crédito Público.</w:t>
      </w:r>
    </w:p>
    <w:p w:rsidR="00BF00E9" w:rsidRPr="00AC78F4" w:rsidRDefault="00BF00E9" w:rsidP="00BF00E9">
      <w:pPr>
        <w:pBdr>
          <w:top w:val="nil"/>
          <w:left w:val="nil"/>
          <w:bottom w:val="nil"/>
          <w:right w:val="nil"/>
          <w:between w:val="nil"/>
        </w:pBdr>
        <w:spacing w:line="360" w:lineRule="auto"/>
        <w:ind w:right="-518"/>
        <w:jc w:val="both"/>
        <w:rPr>
          <w:rFonts w:ascii="Palatino Linotype" w:eastAsia="Palatino Linotype" w:hAnsi="Palatino Linotype" w:cs="Palatino Linotype"/>
        </w:rPr>
      </w:pPr>
    </w:p>
    <w:p w:rsidR="00BF00E9" w:rsidRPr="00AC78F4" w:rsidRDefault="00BF00E9" w:rsidP="00BF00E9">
      <w:pPr>
        <w:numPr>
          <w:ilvl w:val="0"/>
          <w:numId w:val="2"/>
        </w:numPr>
        <w:spacing w:line="360" w:lineRule="auto"/>
        <w:ind w:left="0" w:right="-787" w:firstLine="0"/>
        <w:jc w:val="both"/>
        <w:rPr>
          <w:rFonts w:ascii="Palatino Linotype" w:eastAsia="Palatino Linotype" w:hAnsi="Palatino Linotype" w:cs="Palatino Linotype"/>
          <w:i/>
          <w:color w:val="000000"/>
        </w:rPr>
      </w:pPr>
      <w:r w:rsidRPr="00AC78F4">
        <w:rPr>
          <w:rFonts w:ascii="Palatino Linotype" w:eastAsia="Palatino Linotype" w:hAnsi="Palatino Linotype" w:cs="Palatino Linotype"/>
          <w:color w:val="000000"/>
        </w:rPr>
        <w:t xml:space="preserve"> De lo </w:t>
      </w:r>
      <w:r w:rsidRPr="00AC78F4">
        <w:rPr>
          <w:rFonts w:ascii="Palatino Linotype" w:hAnsi="Palatino Linotype" w:cs="Tahoma"/>
          <w:bCs/>
          <w:lang w:val="es-ES" w:eastAsia="en-US"/>
        </w:rPr>
        <w:t>expuesto</w:t>
      </w:r>
      <w:r w:rsidRPr="00AC78F4">
        <w:rPr>
          <w:rFonts w:ascii="Palatino Linotype" w:eastAsia="Palatino Linotype" w:hAnsi="Palatino Linotype" w:cs="Palatino Linotype"/>
          <w:color w:val="000000"/>
        </w:rPr>
        <w:t xml:space="preserve">, es viable </w:t>
      </w:r>
      <w:r w:rsidRPr="00AC78F4">
        <w:rPr>
          <w:rFonts w:ascii="Palatino Linotype" w:eastAsia="Palatino Linotype" w:hAnsi="Palatino Linotype" w:cs="Palatino Linotype"/>
          <w:b/>
          <w:color w:val="000000"/>
        </w:rPr>
        <w:t>ORDENAR</w:t>
      </w:r>
      <w:r w:rsidRPr="00AC78F4">
        <w:rPr>
          <w:rFonts w:ascii="Palatino Linotype" w:eastAsia="Palatino Linotype" w:hAnsi="Palatino Linotype" w:cs="Palatino Linotype"/>
          <w:color w:val="000000"/>
        </w:rPr>
        <w:t xml:space="preserve"> al Sujeto Obligado que haga entrega vía Sistema de Acceso a la Información Mexiquense </w:t>
      </w:r>
      <w:r w:rsidRPr="00AC78F4">
        <w:rPr>
          <w:rFonts w:ascii="Palatino Linotype" w:eastAsia="Palatino Linotype" w:hAnsi="Palatino Linotype" w:cs="Palatino Linotype"/>
          <w:b/>
          <w:color w:val="000000"/>
        </w:rPr>
        <w:t>(SAIMEX),</w:t>
      </w:r>
      <w:r w:rsidRPr="00AC78F4">
        <w:rPr>
          <w:rFonts w:ascii="Palatino Linotype" w:eastAsia="Palatino Linotype" w:hAnsi="Palatino Linotype" w:cs="Palatino Linotype"/>
          <w:color w:val="000000"/>
        </w:rPr>
        <w:t xml:space="preserve"> </w:t>
      </w:r>
      <w:r w:rsidRPr="00AC78F4">
        <w:rPr>
          <w:rFonts w:ascii="Palatino Linotype" w:eastAsia="Palatino Linotype" w:hAnsi="Palatino Linotype" w:cs="Palatino Linotype"/>
          <w:color w:val="000000" w:themeColor="text1"/>
        </w:rPr>
        <w:t>previa búsqueda exhaustiva y razonable</w:t>
      </w:r>
      <w:r w:rsidRPr="00AC78F4">
        <w:rPr>
          <w:rFonts w:ascii="Palatino Linotype" w:eastAsia="Palatino Linotype" w:hAnsi="Palatino Linotype" w:cs="Palatino Linotype"/>
          <w:color w:val="000000"/>
        </w:rPr>
        <w:t xml:space="preserve">, de ser procedente en versión pública, los </w:t>
      </w:r>
      <w:r w:rsidRPr="00AC78F4">
        <w:rPr>
          <w:rFonts w:ascii="Palatino Linotype" w:eastAsia="Palatino Linotype" w:hAnsi="Palatino Linotype" w:cs="Palatino Linotype"/>
          <w:b/>
          <w:color w:val="000000"/>
        </w:rPr>
        <w:t xml:space="preserve">Comprobantes de pago mediante cheque o transferencia </w:t>
      </w:r>
      <w:r w:rsidR="006A3F2B" w:rsidRPr="00AC78F4">
        <w:rPr>
          <w:rFonts w:ascii="Palatino Linotype" w:eastAsia="Palatino Linotype" w:hAnsi="Palatino Linotype" w:cs="Palatino Linotype"/>
          <w:b/>
          <w:color w:val="000000"/>
        </w:rPr>
        <w:t>electrónica,</w:t>
      </w:r>
      <w:r w:rsidRPr="00AC78F4">
        <w:rPr>
          <w:rFonts w:ascii="Palatino Linotype" w:eastAsia="Palatino Linotype" w:hAnsi="Palatino Linotype" w:cs="Palatino Linotype"/>
          <w:b/>
          <w:color w:val="000000"/>
        </w:rPr>
        <w:t xml:space="preserve"> correspondientes a </w:t>
      </w:r>
      <w:r w:rsidR="00701A5D" w:rsidRPr="00AC78F4">
        <w:rPr>
          <w:rFonts w:ascii="Palatino Linotype" w:eastAsia="Palatino Linotype" w:hAnsi="Palatino Linotype" w:cs="Palatino Linotype"/>
          <w:b/>
          <w:color w:val="000000"/>
        </w:rPr>
        <w:t>la</w:t>
      </w:r>
      <w:r w:rsidR="009B1499" w:rsidRPr="00AC78F4">
        <w:rPr>
          <w:rFonts w:ascii="Palatino Linotype" w:eastAsia="Palatino Linotype" w:hAnsi="Palatino Linotype" w:cs="Palatino Linotype"/>
          <w:b/>
          <w:color w:val="000000"/>
        </w:rPr>
        <w:t>s</w:t>
      </w:r>
      <w:r w:rsidR="00701A5D" w:rsidRPr="00AC78F4">
        <w:rPr>
          <w:rFonts w:ascii="Palatino Linotype" w:eastAsia="Palatino Linotype" w:hAnsi="Palatino Linotype" w:cs="Palatino Linotype"/>
          <w:b/>
          <w:color w:val="000000"/>
        </w:rPr>
        <w:t xml:space="preserve"> partida</w:t>
      </w:r>
      <w:r w:rsidR="009B1499" w:rsidRPr="00AC78F4">
        <w:rPr>
          <w:rFonts w:ascii="Palatino Linotype" w:eastAsia="Palatino Linotype" w:hAnsi="Palatino Linotype" w:cs="Palatino Linotype"/>
          <w:b/>
          <w:color w:val="000000"/>
        </w:rPr>
        <w:t>s</w:t>
      </w:r>
      <w:r w:rsidR="00701A5D" w:rsidRPr="00AC78F4">
        <w:rPr>
          <w:rFonts w:ascii="Palatino Linotype" w:eastAsia="Palatino Linotype" w:hAnsi="Palatino Linotype" w:cs="Palatino Linotype"/>
          <w:b/>
          <w:color w:val="000000"/>
        </w:rPr>
        <w:t xml:space="preserve"> presupuestal</w:t>
      </w:r>
      <w:r w:rsidR="009B1499" w:rsidRPr="00AC78F4">
        <w:rPr>
          <w:rFonts w:ascii="Palatino Linotype" w:eastAsia="Palatino Linotype" w:hAnsi="Palatino Linotype" w:cs="Palatino Linotype"/>
          <w:b/>
          <w:color w:val="000000"/>
        </w:rPr>
        <w:t>es</w:t>
      </w:r>
      <w:r w:rsidR="00701A5D" w:rsidRPr="00AC78F4">
        <w:rPr>
          <w:rFonts w:ascii="Palatino Linotype" w:eastAsia="Palatino Linotype" w:hAnsi="Palatino Linotype" w:cs="Palatino Linotype"/>
          <w:b/>
          <w:color w:val="000000"/>
        </w:rPr>
        <w:t xml:space="preserve"> 3611 y 3612</w:t>
      </w:r>
      <w:r w:rsidRPr="00AC78F4">
        <w:rPr>
          <w:rFonts w:ascii="Palatino Linotype" w:eastAsia="Palatino Linotype" w:hAnsi="Palatino Linotype" w:cs="Palatino Linotype"/>
          <w:b/>
          <w:color w:val="000000"/>
        </w:rPr>
        <w:t xml:space="preserve">, realizados </w:t>
      </w:r>
      <w:r w:rsidR="00701A5D" w:rsidRPr="00AC78F4">
        <w:rPr>
          <w:rFonts w:ascii="Palatino Linotype" w:eastAsia="Palatino Linotype" w:hAnsi="Palatino Linotype" w:cs="Palatino Linotype"/>
          <w:b/>
          <w:color w:val="000000"/>
        </w:rPr>
        <w:t xml:space="preserve">en los meses de noviembre y diciembre de dos mil veinticuatro. </w:t>
      </w:r>
    </w:p>
    <w:p w:rsidR="00BF00E9" w:rsidRPr="00AC78F4" w:rsidRDefault="00BF00E9" w:rsidP="00BF00E9">
      <w:pPr>
        <w:keepNext/>
        <w:keepLines/>
        <w:spacing w:after="160" w:line="360" w:lineRule="auto"/>
        <w:rPr>
          <w:rFonts w:ascii="Palatino Linotype" w:eastAsia="Palatino Linotype" w:hAnsi="Palatino Linotype" w:cs="Palatino Linotype"/>
          <w:b/>
          <w:color w:val="000000"/>
        </w:rPr>
      </w:pPr>
      <w:r w:rsidRPr="00AC78F4">
        <w:rPr>
          <w:rFonts w:ascii="Palatino Linotype" w:eastAsia="Palatino Linotype" w:hAnsi="Palatino Linotype" w:cs="Palatino Linotype"/>
          <w:b/>
          <w:color w:val="000000"/>
        </w:rPr>
        <w:lastRenderedPageBreak/>
        <w:t>QUINTO. De la versión pública.</w:t>
      </w:r>
    </w:p>
    <w:p w:rsidR="00BF00E9" w:rsidRPr="00AC78F4" w:rsidRDefault="00BF00E9" w:rsidP="00BF00E9">
      <w:pPr>
        <w:keepNext/>
        <w:keepLines/>
        <w:numPr>
          <w:ilvl w:val="0"/>
          <w:numId w:val="6"/>
        </w:numPr>
        <w:tabs>
          <w:tab w:val="left" w:pos="284"/>
        </w:tabs>
        <w:spacing w:after="160" w:line="360" w:lineRule="auto"/>
        <w:rPr>
          <w:rFonts w:ascii="Palatino Linotype" w:eastAsia="Palatino Linotype" w:hAnsi="Palatino Linotype" w:cs="Palatino Linotype"/>
          <w:b/>
          <w:color w:val="000000"/>
        </w:rPr>
      </w:pPr>
      <w:r w:rsidRPr="00AC78F4">
        <w:rPr>
          <w:rFonts w:ascii="Palatino Linotype" w:eastAsia="Palatino Linotype" w:hAnsi="Palatino Linotype" w:cs="Palatino Linotype"/>
          <w:b/>
          <w:color w:val="000000"/>
        </w:rPr>
        <w:t xml:space="preserve">Nociones generales. </w:t>
      </w:r>
    </w:p>
    <w:p w:rsidR="00BF00E9" w:rsidRPr="00AC78F4" w:rsidRDefault="00BF00E9" w:rsidP="00BF00E9">
      <w:pPr>
        <w:numPr>
          <w:ilvl w:val="0"/>
          <w:numId w:val="2"/>
        </w:numPr>
        <w:spacing w:line="360" w:lineRule="auto"/>
        <w:ind w:left="0" w:right="-787" w:firstLine="0"/>
        <w:jc w:val="both"/>
        <w:rPr>
          <w:rFonts w:ascii="Palatino Linotype" w:eastAsia="Palatino Linotype" w:hAnsi="Palatino Linotype" w:cs="Palatino Linotype"/>
          <w:color w:val="000000"/>
        </w:rPr>
      </w:pPr>
      <w:r w:rsidRPr="00AC78F4">
        <w:rPr>
          <w:rFonts w:ascii="Palatino Linotype" w:eastAsia="Palatino Linotype" w:hAnsi="Palatino Linotype" w:cs="Palatino Linotype"/>
          <w:color w:val="000000"/>
        </w:rPr>
        <w:t xml:space="preserve">Debe </w:t>
      </w:r>
      <w:r w:rsidRPr="00AC78F4">
        <w:rPr>
          <w:rFonts w:ascii="Palatino Linotype" w:hAnsi="Palatino Linotype" w:cs="Tahoma"/>
          <w:bCs/>
          <w:lang w:val="es-ES" w:eastAsia="en-US"/>
        </w:rPr>
        <w:t>destacarse</w:t>
      </w:r>
      <w:r w:rsidRPr="00AC78F4">
        <w:rPr>
          <w:rFonts w:ascii="Palatino Linotype" w:eastAsia="Palatino Linotype" w:hAnsi="Palatino Linotype" w:cs="Palatino Linotype"/>
          <w:color w:val="000000"/>
        </w:rPr>
        <w:t xml:space="preserve"> </w:t>
      </w:r>
      <w:r w:rsidRPr="00AC78F4">
        <w:rPr>
          <w:rFonts w:ascii="Palatino Linotype" w:eastAsia="Palatino Linotype" w:hAnsi="Palatino Linotype" w:cs="Palatino Linotype"/>
        </w:rPr>
        <w:t>que</w:t>
      </w:r>
      <w:r w:rsidRPr="00AC78F4">
        <w:rPr>
          <w:rFonts w:ascii="Palatino Linotype" w:eastAsia="Palatino Linotype" w:hAnsi="Palatino Linotype" w:cs="Palatino Linotype"/>
          <w:color w:val="000000"/>
        </w:rPr>
        <w:t>, si debido a la naturaleza de la información solicitada</w:t>
      </w:r>
      <w:r w:rsidRPr="00AC78F4">
        <w:rPr>
          <w:rFonts w:ascii="Palatino Linotype" w:eastAsia="Palatino Linotype" w:hAnsi="Palatino Linotype" w:cs="Palatino Linotype"/>
          <w:b/>
          <w:color w:val="000000"/>
        </w:rPr>
        <w:t xml:space="preserve">, </w:t>
      </w:r>
      <w:r w:rsidRPr="00AC78F4">
        <w:rPr>
          <w:rFonts w:ascii="Palatino Linotype" w:eastAsia="Palatino Linotype" w:hAnsi="Palatino Linotype" w:cs="Palatino Linotype"/>
          <w:color w:val="000000"/>
        </w:rPr>
        <w:t xml:space="preserve">eventualmente pudieran obrar datos personales susceptibles de protegerse, el </w:t>
      </w:r>
      <w:r w:rsidRPr="00AC78F4">
        <w:rPr>
          <w:rFonts w:ascii="Palatino Linotype" w:eastAsia="Palatino Linotype" w:hAnsi="Palatino Linotype" w:cs="Palatino Linotype"/>
          <w:b/>
          <w:color w:val="000000"/>
        </w:rPr>
        <w:t xml:space="preserve">SUJETO OBLIGADO </w:t>
      </w:r>
      <w:r w:rsidRPr="00AC78F4">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BF00E9" w:rsidRPr="00AC78F4" w:rsidRDefault="00BF00E9" w:rsidP="00BF00E9">
      <w:pPr>
        <w:pBdr>
          <w:top w:val="nil"/>
          <w:left w:val="nil"/>
          <w:bottom w:val="nil"/>
          <w:right w:val="nil"/>
          <w:between w:val="nil"/>
        </w:pBdr>
        <w:tabs>
          <w:tab w:val="left" w:pos="0"/>
          <w:tab w:val="left" w:pos="284"/>
        </w:tabs>
        <w:spacing w:line="360" w:lineRule="auto"/>
        <w:ind w:right="49"/>
        <w:jc w:val="both"/>
        <w:rPr>
          <w:rFonts w:ascii="Palatino Linotype" w:eastAsia="Palatino Linotype" w:hAnsi="Palatino Linotype" w:cs="Palatino Linotype"/>
          <w:color w:val="000000"/>
        </w:rPr>
      </w:pPr>
    </w:p>
    <w:p w:rsidR="00BF00E9" w:rsidRPr="00AC78F4" w:rsidRDefault="00BF00E9" w:rsidP="00BF00E9">
      <w:pPr>
        <w:numPr>
          <w:ilvl w:val="0"/>
          <w:numId w:val="2"/>
        </w:numPr>
        <w:spacing w:line="360" w:lineRule="auto"/>
        <w:ind w:left="0" w:right="-787" w:firstLine="0"/>
        <w:jc w:val="both"/>
        <w:rPr>
          <w:rFonts w:ascii="Palatino Linotype" w:eastAsia="Palatino Linotype" w:hAnsi="Palatino Linotype" w:cs="Palatino Linotype"/>
          <w:color w:val="000000"/>
        </w:rPr>
      </w:pPr>
      <w:r w:rsidRPr="00AC78F4">
        <w:rPr>
          <w:rFonts w:ascii="Palatino Linotype" w:eastAsia="Palatino Linotype" w:hAnsi="Palatino Linotype" w:cs="Palatino Linotype"/>
          <w:color w:val="000000"/>
        </w:rPr>
        <w:t xml:space="preserve">No pasa </w:t>
      </w:r>
      <w:r w:rsidRPr="00AC78F4">
        <w:rPr>
          <w:rFonts w:ascii="Palatino Linotype" w:hAnsi="Palatino Linotype" w:cs="Tahoma"/>
          <w:bCs/>
          <w:lang w:val="es-ES" w:eastAsia="en-US"/>
        </w:rPr>
        <w:t>desapercibido</w:t>
      </w:r>
      <w:r w:rsidRPr="00AC78F4">
        <w:rPr>
          <w:rFonts w:ascii="Palatino Linotype" w:eastAsia="Palatino Linotype" w:hAnsi="Palatino Linotype" w:cs="Palatino Linotype"/>
          <w:color w:val="000000"/>
        </w:rPr>
        <w:t xml:space="preserve"> para este Órgano Garante que los Sujetos Obligados</w:t>
      </w:r>
      <w:r w:rsidRPr="00AC78F4">
        <w:rPr>
          <w:rFonts w:ascii="Palatino Linotype" w:eastAsia="Palatino Linotype" w:hAnsi="Palatino Linotype" w:cs="Palatino Linotype"/>
          <w:b/>
          <w:color w:val="000000"/>
        </w:rPr>
        <w:t xml:space="preserve"> </w:t>
      </w:r>
      <w:r w:rsidRPr="00AC78F4">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BF00E9" w:rsidRPr="00AC78F4" w:rsidRDefault="00BF00E9" w:rsidP="00BF00E9">
      <w:pPr>
        <w:tabs>
          <w:tab w:val="left" w:pos="284"/>
        </w:tabs>
        <w:spacing w:after="160" w:line="360" w:lineRule="auto"/>
        <w:ind w:right="49"/>
        <w:jc w:val="both"/>
        <w:rPr>
          <w:rFonts w:ascii="Palatino Linotype" w:eastAsia="Palatino Linotype" w:hAnsi="Palatino Linotype" w:cs="Palatino Linotype"/>
          <w:color w:val="000000"/>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BF00E9" w:rsidRPr="00AC78F4" w:rsidTr="00AC78F4">
        <w:tc>
          <w:tcPr>
            <w:tcW w:w="2689" w:type="dxa"/>
          </w:tcPr>
          <w:p w:rsidR="00BF00E9" w:rsidRPr="00AC78F4" w:rsidRDefault="00BF00E9" w:rsidP="00B62464">
            <w:pPr>
              <w:tabs>
                <w:tab w:val="left" w:pos="284"/>
              </w:tabs>
              <w:spacing w:line="360" w:lineRule="auto"/>
              <w:rPr>
                <w:rFonts w:ascii="Palatino Linotype" w:eastAsia="Palatino Linotype" w:hAnsi="Palatino Linotype" w:cs="Palatino Linotype"/>
                <w:b/>
              </w:rPr>
            </w:pPr>
            <w:r w:rsidRPr="00AC78F4">
              <w:rPr>
                <w:rFonts w:ascii="Palatino Linotype" w:eastAsia="Palatino Linotype" w:hAnsi="Palatino Linotype" w:cs="Palatino Linotype"/>
                <w:b/>
              </w:rPr>
              <w:t>a) Requisitos previos.</w:t>
            </w:r>
          </w:p>
        </w:tc>
        <w:tc>
          <w:tcPr>
            <w:tcW w:w="7087" w:type="dxa"/>
          </w:tcPr>
          <w:p w:rsidR="00BF00E9" w:rsidRPr="00AC78F4" w:rsidRDefault="00BF00E9" w:rsidP="00B62464">
            <w:pPr>
              <w:tabs>
                <w:tab w:val="left" w:pos="284"/>
              </w:tabs>
              <w:spacing w:line="360" w:lineRule="auto"/>
              <w:ind w:right="49"/>
              <w:jc w:val="both"/>
              <w:rPr>
                <w:rFonts w:ascii="Palatino Linotype" w:eastAsia="Palatino Linotype" w:hAnsi="Palatino Linotype" w:cs="Palatino Linotype"/>
                <w:b/>
                <w:color w:val="000000"/>
              </w:rPr>
            </w:pPr>
            <w:r w:rsidRPr="00AC78F4">
              <w:rPr>
                <w:rFonts w:ascii="Palatino Linotype" w:eastAsia="Palatino Linotype" w:hAnsi="Palatino Linotype" w:cs="Palatino Linotype"/>
                <w:b/>
                <w:color w:val="000000"/>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BF00E9" w:rsidRPr="00AC78F4" w:rsidRDefault="00BF00E9" w:rsidP="00B62464">
            <w:pPr>
              <w:tabs>
                <w:tab w:val="left" w:pos="284"/>
              </w:tabs>
              <w:spacing w:line="360" w:lineRule="auto"/>
              <w:ind w:right="49"/>
              <w:jc w:val="both"/>
              <w:rPr>
                <w:rFonts w:ascii="Palatino Linotype" w:eastAsia="Palatino Linotype" w:hAnsi="Palatino Linotype" w:cs="Palatino Linotype"/>
                <w:b/>
                <w:color w:val="000000"/>
              </w:rPr>
            </w:pPr>
            <w:r w:rsidRPr="00AC78F4">
              <w:rPr>
                <w:rFonts w:ascii="Palatino Linotype" w:eastAsia="Palatino Linotype" w:hAnsi="Palatino Linotype" w:cs="Palatino Linotype"/>
                <w:b/>
                <w:color w:val="000000"/>
              </w:rPr>
              <w:t>Al hacerlo tienen que precisar de qué información se trata, señalando el supuesto de clasificación (confidencialidad o reserva).</w:t>
            </w:r>
          </w:p>
          <w:p w:rsidR="00BF00E9" w:rsidRPr="00AC78F4" w:rsidRDefault="00BF00E9" w:rsidP="00B62464">
            <w:pPr>
              <w:tabs>
                <w:tab w:val="left" w:pos="284"/>
              </w:tabs>
              <w:spacing w:line="360" w:lineRule="auto"/>
              <w:ind w:right="49"/>
              <w:jc w:val="both"/>
              <w:rPr>
                <w:rFonts w:ascii="Palatino Linotype" w:eastAsia="Palatino Linotype" w:hAnsi="Palatino Linotype" w:cs="Palatino Linotype"/>
                <w:b/>
                <w:color w:val="000000"/>
              </w:rPr>
            </w:pPr>
            <w:r w:rsidRPr="00AC78F4">
              <w:rPr>
                <w:rFonts w:ascii="Palatino Linotype" w:eastAsia="Palatino Linotype" w:hAnsi="Palatino Linotype" w:cs="Palatino Linotype"/>
                <w:b/>
                <w:color w:val="000000"/>
              </w:rPr>
              <w:lastRenderedPageBreak/>
              <w:t>Además, se debe señalar el procedimiento, de los tres que establecen los artículos 132 y 106 de la Ley Estatal y General, respectivamente.</w:t>
            </w:r>
          </w:p>
          <w:p w:rsidR="00BF00E9" w:rsidRPr="00AC78F4" w:rsidRDefault="00BF00E9" w:rsidP="00B62464">
            <w:pPr>
              <w:tabs>
                <w:tab w:val="left" w:pos="284"/>
              </w:tabs>
              <w:spacing w:line="360" w:lineRule="auto"/>
              <w:jc w:val="both"/>
              <w:rPr>
                <w:rFonts w:ascii="Palatino Linotype" w:eastAsia="Palatino Linotype" w:hAnsi="Palatino Linotype" w:cs="Palatino Linotype"/>
                <w:b/>
              </w:rPr>
            </w:pPr>
            <w:r w:rsidRPr="00AC78F4">
              <w:rPr>
                <w:rFonts w:ascii="Palatino Linotype" w:eastAsia="Palatino Linotype" w:hAnsi="Palatino Linotype" w:cs="Palatino Linotype"/>
                <w:b/>
                <w:color w:val="000000"/>
              </w:rPr>
              <w:t xml:space="preserve">El último de estos requisitos previos consiste en que no se pueden emitir acuerdos de carácter general ni particular, esto es, </w:t>
            </w:r>
            <w:r w:rsidRPr="00AC78F4">
              <w:rPr>
                <w:rFonts w:ascii="Palatino Linotype" w:eastAsia="Palatino Linotype" w:hAnsi="Palatino Linotype" w:cs="Palatino Linotype"/>
                <w:b/>
                <w:color w:val="000000"/>
                <w:u w:val="single"/>
              </w:rPr>
              <w:t>no se puede hacer un acuerdo para clasificar de manera general todos los documentos de un expediente o área, sin</w:t>
            </w:r>
            <w:r w:rsidRPr="00AC78F4">
              <w:rPr>
                <w:rFonts w:ascii="Palatino Linotype" w:eastAsia="Palatino Linotype" w:hAnsi="Palatino Linotype" w:cs="Palatino Linotype"/>
                <w:b/>
                <w:color w:val="000000"/>
              </w:rPr>
              <w:t xml:space="preserve"> individualizar su análisis y tampoco se puede hacer un acuerdo por cada dato que se vaya a clasificar dentro de un documento con diez datos, por ejemplo, susceptibles de ser clasificados.</w:t>
            </w:r>
          </w:p>
        </w:tc>
      </w:tr>
      <w:tr w:rsidR="00BF00E9" w:rsidRPr="00AC78F4" w:rsidTr="00AC78F4">
        <w:tc>
          <w:tcPr>
            <w:tcW w:w="2689" w:type="dxa"/>
          </w:tcPr>
          <w:p w:rsidR="00BF00E9" w:rsidRPr="00AC78F4" w:rsidRDefault="00BF00E9" w:rsidP="00B62464">
            <w:pPr>
              <w:tabs>
                <w:tab w:val="left" w:pos="284"/>
              </w:tabs>
              <w:spacing w:line="360" w:lineRule="auto"/>
              <w:rPr>
                <w:rFonts w:ascii="Palatino Linotype" w:eastAsia="Palatino Linotype" w:hAnsi="Palatino Linotype" w:cs="Palatino Linotype"/>
                <w:b/>
              </w:rPr>
            </w:pPr>
            <w:r w:rsidRPr="00AC78F4">
              <w:rPr>
                <w:rFonts w:ascii="Palatino Linotype" w:eastAsia="Palatino Linotype" w:hAnsi="Palatino Linotype" w:cs="Palatino Linotype"/>
                <w:b/>
              </w:rPr>
              <w:lastRenderedPageBreak/>
              <w:t>b) Supuestos de clasificación.</w:t>
            </w:r>
          </w:p>
        </w:tc>
        <w:tc>
          <w:tcPr>
            <w:tcW w:w="7087" w:type="dxa"/>
          </w:tcPr>
          <w:p w:rsidR="00BF00E9" w:rsidRPr="00AC78F4" w:rsidRDefault="00BF00E9" w:rsidP="00B62464">
            <w:pPr>
              <w:tabs>
                <w:tab w:val="left" w:pos="284"/>
              </w:tabs>
              <w:spacing w:line="360" w:lineRule="auto"/>
              <w:ind w:right="49"/>
              <w:jc w:val="both"/>
              <w:rPr>
                <w:rFonts w:ascii="Palatino Linotype" w:eastAsia="Palatino Linotype" w:hAnsi="Palatino Linotype" w:cs="Palatino Linotype"/>
                <w:color w:val="000000"/>
              </w:rPr>
            </w:pPr>
            <w:r w:rsidRPr="00AC78F4">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BF00E9" w:rsidRPr="00AC78F4" w:rsidRDefault="00BF00E9" w:rsidP="00B62464">
            <w:pPr>
              <w:tabs>
                <w:tab w:val="left" w:pos="284"/>
              </w:tabs>
              <w:spacing w:line="360" w:lineRule="auto"/>
              <w:ind w:right="49"/>
              <w:jc w:val="both"/>
              <w:rPr>
                <w:rFonts w:ascii="Palatino Linotype" w:eastAsia="Palatino Linotype" w:hAnsi="Palatino Linotype" w:cs="Palatino Linotype"/>
                <w:color w:val="000000"/>
              </w:rPr>
            </w:pPr>
            <w:r w:rsidRPr="00AC78F4">
              <w:rPr>
                <w:rFonts w:ascii="Palatino Linotype" w:eastAsia="Palatino Linotype" w:hAnsi="Palatino Linotype" w:cs="Palatino Linotype"/>
                <w:color w:val="000000"/>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BF00E9" w:rsidRPr="00AC78F4" w:rsidRDefault="00BF00E9" w:rsidP="00B62464">
            <w:pPr>
              <w:tabs>
                <w:tab w:val="left" w:pos="284"/>
              </w:tabs>
              <w:spacing w:line="360" w:lineRule="auto"/>
              <w:jc w:val="both"/>
              <w:rPr>
                <w:rFonts w:ascii="Palatino Linotype" w:eastAsia="Palatino Linotype" w:hAnsi="Palatino Linotype" w:cs="Palatino Linotype"/>
              </w:rPr>
            </w:pPr>
            <w:r w:rsidRPr="00AC78F4">
              <w:rPr>
                <w:rFonts w:ascii="Palatino Linotype" w:eastAsia="Palatino Linotype" w:hAnsi="Palatino Linotype" w:cs="Palatino Linotype"/>
                <w:color w:val="000000"/>
              </w:rPr>
              <w:lastRenderedPageBreak/>
              <w:t xml:space="preserve">El </w:t>
            </w:r>
            <w:r w:rsidRPr="00AC78F4">
              <w:rPr>
                <w:rFonts w:ascii="Palatino Linotype" w:eastAsia="Palatino Linotype" w:hAnsi="Palatino Linotype" w:cs="Palatino Linotype"/>
                <w:b/>
                <w:color w:val="000000"/>
              </w:rPr>
              <w:t>Sujeto Obligado</w:t>
            </w:r>
            <w:r w:rsidRPr="00AC78F4">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F00E9" w:rsidRPr="00AC78F4" w:rsidTr="00AC78F4">
        <w:tc>
          <w:tcPr>
            <w:tcW w:w="2689" w:type="dxa"/>
          </w:tcPr>
          <w:p w:rsidR="00BF00E9" w:rsidRPr="00AC78F4" w:rsidRDefault="00BF00E9" w:rsidP="00B62464">
            <w:pPr>
              <w:tabs>
                <w:tab w:val="left" w:pos="284"/>
              </w:tabs>
              <w:spacing w:line="360" w:lineRule="auto"/>
              <w:rPr>
                <w:rFonts w:ascii="Palatino Linotype" w:eastAsia="Palatino Linotype" w:hAnsi="Palatino Linotype" w:cs="Palatino Linotype"/>
                <w:b/>
              </w:rPr>
            </w:pPr>
            <w:r w:rsidRPr="00AC78F4">
              <w:rPr>
                <w:rFonts w:ascii="Palatino Linotype" w:eastAsia="Palatino Linotype" w:hAnsi="Palatino Linotype" w:cs="Palatino Linotype"/>
                <w:b/>
              </w:rPr>
              <w:lastRenderedPageBreak/>
              <w:t>c) Formalidades para emitir el acuerdo de clasificación.</w:t>
            </w:r>
          </w:p>
        </w:tc>
        <w:tc>
          <w:tcPr>
            <w:tcW w:w="7087" w:type="dxa"/>
          </w:tcPr>
          <w:p w:rsidR="00BF00E9" w:rsidRPr="00AC78F4" w:rsidRDefault="00BF00E9" w:rsidP="00B62464">
            <w:pPr>
              <w:tabs>
                <w:tab w:val="left" w:pos="284"/>
              </w:tabs>
              <w:spacing w:line="360" w:lineRule="auto"/>
              <w:ind w:right="49"/>
              <w:jc w:val="both"/>
              <w:rPr>
                <w:rFonts w:ascii="Palatino Linotype" w:eastAsia="Palatino Linotype" w:hAnsi="Palatino Linotype" w:cs="Palatino Linotype"/>
                <w:color w:val="000000"/>
              </w:rPr>
            </w:pPr>
            <w:r w:rsidRPr="00AC78F4">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BF00E9" w:rsidRPr="00AC78F4" w:rsidRDefault="00BF00E9" w:rsidP="00B62464">
            <w:pPr>
              <w:tabs>
                <w:tab w:val="left" w:pos="284"/>
              </w:tabs>
              <w:spacing w:line="360" w:lineRule="auto"/>
              <w:ind w:right="49"/>
              <w:jc w:val="both"/>
              <w:rPr>
                <w:rFonts w:ascii="Palatino Linotype" w:eastAsia="Palatino Linotype" w:hAnsi="Palatino Linotype" w:cs="Palatino Linotype"/>
                <w:color w:val="000000"/>
              </w:rPr>
            </w:pPr>
            <w:r w:rsidRPr="00AC78F4">
              <w:rPr>
                <w:rFonts w:ascii="Palatino Linotype" w:eastAsia="Palatino Linotype" w:hAnsi="Palatino Linotype" w:cs="Palatino Linotype"/>
                <w:color w:val="000000"/>
              </w:rPr>
              <w:t xml:space="preserve">Es necesario que </w:t>
            </w:r>
            <w:r w:rsidRPr="00AC78F4">
              <w:rPr>
                <w:rFonts w:ascii="Palatino Linotype" w:eastAsia="Palatino Linotype" w:hAnsi="Palatino Linotype" w:cs="Palatino Linotype"/>
                <w:b/>
                <w:color w:val="000000"/>
                <w:u w:val="single"/>
              </w:rPr>
              <w:t>el acto reúna con los requisitos elementales</w:t>
            </w:r>
            <w:r w:rsidRPr="00AC78F4">
              <w:rPr>
                <w:rFonts w:ascii="Palatino Linotype" w:eastAsia="Palatino Linotype" w:hAnsi="Palatino Linotype" w:cs="Palatino Linotype"/>
                <w:color w:val="000000"/>
              </w:rPr>
              <w:t>, entre ellos, que la autoridad que va a emitir el acto de autoridad sea la legalmente facultada para ello.</w:t>
            </w:r>
          </w:p>
          <w:p w:rsidR="00BF00E9" w:rsidRPr="00AC78F4" w:rsidRDefault="00BF00E9" w:rsidP="00B62464">
            <w:pPr>
              <w:tabs>
                <w:tab w:val="left" w:pos="284"/>
              </w:tabs>
              <w:spacing w:line="360" w:lineRule="auto"/>
              <w:jc w:val="both"/>
              <w:rPr>
                <w:rFonts w:ascii="Palatino Linotype" w:eastAsia="Palatino Linotype" w:hAnsi="Palatino Linotype" w:cs="Palatino Linotype"/>
              </w:rPr>
            </w:pPr>
            <w:r w:rsidRPr="00AC78F4">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F00E9" w:rsidRPr="00AC78F4" w:rsidTr="00AC78F4">
        <w:tc>
          <w:tcPr>
            <w:tcW w:w="2689" w:type="dxa"/>
          </w:tcPr>
          <w:p w:rsidR="00BF00E9" w:rsidRPr="00AC78F4" w:rsidRDefault="00BF00E9" w:rsidP="00B62464">
            <w:pPr>
              <w:tabs>
                <w:tab w:val="left" w:pos="284"/>
              </w:tabs>
              <w:spacing w:line="360" w:lineRule="auto"/>
              <w:rPr>
                <w:rFonts w:ascii="Palatino Linotype" w:eastAsia="Palatino Linotype" w:hAnsi="Palatino Linotype" w:cs="Palatino Linotype"/>
                <w:b/>
              </w:rPr>
            </w:pPr>
          </w:p>
          <w:p w:rsidR="00BF00E9" w:rsidRPr="00AC78F4" w:rsidRDefault="00BF00E9" w:rsidP="00B62464">
            <w:pPr>
              <w:tabs>
                <w:tab w:val="left" w:pos="284"/>
              </w:tabs>
              <w:spacing w:line="360" w:lineRule="auto"/>
              <w:jc w:val="both"/>
              <w:rPr>
                <w:rFonts w:ascii="Palatino Linotype" w:eastAsia="Palatino Linotype" w:hAnsi="Palatino Linotype" w:cs="Palatino Linotype"/>
                <w:b/>
              </w:rPr>
            </w:pPr>
            <w:r w:rsidRPr="00AC78F4">
              <w:rPr>
                <w:rFonts w:ascii="Palatino Linotype" w:eastAsia="Palatino Linotype" w:hAnsi="Palatino Linotype" w:cs="Palatino Linotype"/>
                <w:b/>
                <w:color w:val="000000"/>
              </w:rPr>
              <w:lastRenderedPageBreak/>
              <w:t xml:space="preserve">d) Requisitos de fondo del acuerdo de clasificación. </w:t>
            </w:r>
          </w:p>
        </w:tc>
        <w:tc>
          <w:tcPr>
            <w:tcW w:w="7087" w:type="dxa"/>
          </w:tcPr>
          <w:p w:rsidR="00BF00E9" w:rsidRPr="00AC78F4" w:rsidRDefault="00BF00E9" w:rsidP="00B62464">
            <w:pPr>
              <w:tabs>
                <w:tab w:val="left" w:pos="284"/>
              </w:tabs>
              <w:spacing w:line="360" w:lineRule="auto"/>
              <w:ind w:right="49"/>
              <w:jc w:val="both"/>
              <w:rPr>
                <w:rFonts w:ascii="Palatino Linotype" w:eastAsia="Palatino Linotype" w:hAnsi="Palatino Linotype" w:cs="Palatino Linotype"/>
                <w:color w:val="000000"/>
              </w:rPr>
            </w:pPr>
            <w:r w:rsidRPr="00AC78F4">
              <w:rPr>
                <w:rFonts w:ascii="Palatino Linotype" w:eastAsia="Palatino Linotype" w:hAnsi="Palatino Linotype" w:cs="Palatino Linotype"/>
                <w:color w:val="000000"/>
              </w:rPr>
              <w:lastRenderedPageBreak/>
              <w:t xml:space="preserve">Como se ha señalado antes, al hacer el juicio de subsunción o encaje entre el supuesto de hecho y la hipótesis jurídica, se debe acreditar la estricta correspondencia entre un elemento y otro. </w:t>
            </w:r>
            <w:r w:rsidRPr="00AC78F4">
              <w:rPr>
                <w:rFonts w:ascii="Palatino Linotype" w:eastAsia="Palatino Linotype" w:hAnsi="Palatino Linotype" w:cs="Palatino Linotype"/>
                <w:color w:val="000000"/>
              </w:rPr>
              <w:lastRenderedPageBreak/>
              <w:t xml:space="preserve">Ahora, en esta parte del procedimiento, que se desahoga en sede del Comité de Transparencia, la ley señala que la carga de la prueba, para justificar las restricciones, corresponde a los </w:t>
            </w:r>
            <w:r w:rsidRPr="00AC78F4">
              <w:rPr>
                <w:rFonts w:ascii="Palatino Linotype" w:eastAsia="Palatino Linotype" w:hAnsi="Palatino Linotype" w:cs="Palatino Linotype"/>
                <w:b/>
                <w:color w:val="000000"/>
              </w:rPr>
              <w:t>Sujetos Obligados</w:t>
            </w:r>
            <w:r w:rsidRPr="00AC78F4">
              <w:rPr>
                <w:rFonts w:ascii="Palatino Linotype" w:eastAsia="Palatino Linotype" w:hAnsi="Palatino Linotype" w:cs="Palatino Linotype"/>
                <w:color w:val="000000"/>
              </w:rPr>
              <w:t xml:space="preserve">, por lo que deberán fundar y motivar debidamente la clasificación. </w:t>
            </w:r>
          </w:p>
          <w:p w:rsidR="00BF00E9" w:rsidRPr="00AC78F4" w:rsidRDefault="00BF00E9" w:rsidP="00B62464">
            <w:pPr>
              <w:tabs>
                <w:tab w:val="left" w:pos="284"/>
              </w:tabs>
              <w:spacing w:line="360" w:lineRule="auto"/>
              <w:ind w:right="49"/>
              <w:jc w:val="both"/>
              <w:rPr>
                <w:rFonts w:ascii="Palatino Linotype" w:eastAsia="Palatino Linotype" w:hAnsi="Palatino Linotype" w:cs="Palatino Linotype"/>
                <w:color w:val="000000"/>
              </w:rPr>
            </w:pPr>
            <w:r w:rsidRPr="00AC78F4">
              <w:rPr>
                <w:rFonts w:ascii="Palatino Linotype" w:eastAsia="Palatino Linotype" w:hAnsi="Palatino Linotype" w:cs="Palatino Linotype"/>
                <w:color w:val="000000"/>
              </w:rPr>
              <w:t xml:space="preserve">De lo anterior, se desprende que para una correcta </w:t>
            </w:r>
            <w:r w:rsidRPr="00AC78F4">
              <w:rPr>
                <w:rFonts w:ascii="Palatino Linotype" w:eastAsia="Palatino Linotype" w:hAnsi="Palatino Linotype" w:cs="Palatino Linotype"/>
                <w:b/>
                <w:color w:val="000000"/>
              </w:rPr>
              <w:t>clasificación total o parcial</w:t>
            </w:r>
            <w:r w:rsidRPr="00AC78F4">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F00E9" w:rsidRPr="00AC78F4" w:rsidRDefault="00BF00E9" w:rsidP="00B62464">
            <w:pPr>
              <w:tabs>
                <w:tab w:val="left" w:pos="284"/>
              </w:tabs>
              <w:spacing w:line="360" w:lineRule="auto"/>
              <w:ind w:right="49"/>
              <w:jc w:val="both"/>
              <w:rPr>
                <w:rFonts w:ascii="Palatino Linotype" w:eastAsia="Palatino Linotype" w:hAnsi="Palatino Linotype" w:cs="Palatino Linotype"/>
                <w:color w:val="000000"/>
              </w:rPr>
            </w:pPr>
            <w:r w:rsidRPr="00AC78F4">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BF00E9" w:rsidRPr="00AC78F4" w:rsidRDefault="00BF00E9" w:rsidP="00B62464">
            <w:pPr>
              <w:tabs>
                <w:tab w:val="left" w:pos="284"/>
              </w:tabs>
              <w:spacing w:line="360" w:lineRule="auto"/>
              <w:ind w:right="49"/>
              <w:jc w:val="both"/>
              <w:rPr>
                <w:rFonts w:ascii="Palatino Linotype" w:eastAsia="Palatino Linotype" w:hAnsi="Palatino Linotype" w:cs="Palatino Linotype"/>
                <w:color w:val="000000"/>
              </w:rPr>
            </w:pPr>
            <w:r w:rsidRPr="00AC78F4">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BF00E9" w:rsidRPr="00AC78F4" w:rsidRDefault="00BF00E9" w:rsidP="00B62464">
            <w:pPr>
              <w:tabs>
                <w:tab w:val="left" w:pos="284"/>
              </w:tabs>
              <w:spacing w:line="360" w:lineRule="auto"/>
              <w:ind w:right="49"/>
              <w:jc w:val="both"/>
              <w:rPr>
                <w:rFonts w:ascii="Palatino Linotype" w:eastAsia="Palatino Linotype" w:hAnsi="Palatino Linotype" w:cs="Palatino Linotype"/>
                <w:color w:val="000000"/>
              </w:rPr>
            </w:pPr>
            <w:r w:rsidRPr="00AC78F4">
              <w:rPr>
                <w:rFonts w:ascii="Palatino Linotype" w:eastAsia="Palatino Linotype" w:hAnsi="Palatino Linotype" w:cs="Palatino Linotype"/>
                <w:color w:val="000000"/>
              </w:rPr>
              <w:lastRenderedPageBreak/>
              <w:t xml:space="preserve">Ahora bien, </w:t>
            </w:r>
            <w:r w:rsidRPr="00AC78F4">
              <w:rPr>
                <w:rFonts w:ascii="Palatino Linotype" w:eastAsia="Palatino Linotype" w:hAnsi="Palatino Linotype" w:cs="Palatino Linotype"/>
                <w:b/>
                <w:color w:val="000000"/>
                <w:u w:val="single"/>
              </w:rPr>
              <w:t>para cada caso además de fundar y motivar</w:t>
            </w:r>
            <w:r w:rsidRPr="00AC78F4">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F00E9" w:rsidRPr="00AC78F4" w:rsidTr="00AC78F4">
        <w:tc>
          <w:tcPr>
            <w:tcW w:w="2689" w:type="dxa"/>
          </w:tcPr>
          <w:p w:rsidR="00BF00E9" w:rsidRPr="00AC78F4" w:rsidRDefault="00BF00E9" w:rsidP="00B62464">
            <w:pPr>
              <w:tabs>
                <w:tab w:val="left" w:pos="284"/>
              </w:tabs>
              <w:spacing w:line="360" w:lineRule="auto"/>
              <w:ind w:right="49"/>
              <w:jc w:val="both"/>
              <w:rPr>
                <w:rFonts w:ascii="Palatino Linotype" w:eastAsia="Palatino Linotype" w:hAnsi="Palatino Linotype" w:cs="Palatino Linotype"/>
                <w:b/>
              </w:rPr>
            </w:pPr>
            <w:r w:rsidRPr="00AC78F4">
              <w:rPr>
                <w:rFonts w:ascii="Palatino Linotype" w:eastAsia="Palatino Linotype" w:hAnsi="Palatino Linotype" w:cs="Palatino Linotype"/>
                <w:b/>
              </w:rPr>
              <w:lastRenderedPageBreak/>
              <w:t xml:space="preserve">e) Condiciones especiales de la clasificación de la información como confidencial. </w:t>
            </w:r>
          </w:p>
        </w:tc>
        <w:tc>
          <w:tcPr>
            <w:tcW w:w="7087" w:type="dxa"/>
          </w:tcPr>
          <w:p w:rsidR="00BF00E9" w:rsidRPr="00AC78F4" w:rsidRDefault="00BF00E9" w:rsidP="00B62464">
            <w:pPr>
              <w:tabs>
                <w:tab w:val="left" w:pos="284"/>
              </w:tabs>
              <w:spacing w:line="360" w:lineRule="auto"/>
              <w:ind w:right="49"/>
              <w:jc w:val="both"/>
              <w:rPr>
                <w:rFonts w:ascii="Palatino Linotype" w:eastAsia="Palatino Linotype" w:hAnsi="Palatino Linotype" w:cs="Palatino Linotype"/>
                <w:color w:val="000000"/>
              </w:rPr>
            </w:pPr>
            <w:r w:rsidRPr="00AC78F4">
              <w:rPr>
                <w:rFonts w:ascii="Palatino Linotype" w:eastAsia="Palatino Linotype" w:hAnsi="Palatino Linotype" w:cs="Palatino Linotype"/>
                <w:color w:val="000000"/>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BF00E9" w:rsidRPr="00AC78F4" w:rsidRDefault="00BF00E9" w:rsidP="00B62464">
            <w:pPr>
              <w:tabs>
                <w:tab w:val="left" w:pos="284"/>
              </w:tabs>
              <w:spacing w:line="360" w:lineRule="auto"/>
              <w:ind w:right="49"/>
              <w:jc w:val="both"/>
              <w:rPr>
                <w:rFonts w:ascii="Palatino Linotype" w:eastAsia="Palatino Linotype" w:hAnsi="Palatino Linotype" w:cs="Palatino Linotype"/>
                <w:color w:val="000000"/>
              </w:rPr>
            </w:pPr>
            <w:r w:rsidRPr="00AC78F4">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F00E9" w:rsidRPr="00AC78F4" w:rsidRDefault="00BF00E9" w:rsidP="00B62464">
            <w:pPr>
              <w:tabs>
                <w:tab w:val="left" w:pos="284"/>
              </w:tabs>
              <w:spacing w:line="360" w:lineRule="auto"/>
              <w:rPr>
                <w:rFonts w:ascii="Palatino Linotype" w:eastAsia="Palatino Linotype" w:hAnsi="Palatino Linotype" w:cs="Palatino Linotype"/>
              </w:rPr>
            </w:pPr>
            <w:r w:rsidRPr="00AC78F4">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BF00E9" w:rsidRPr="00AC78F4" w:rsidRDefault="00BF00E9" w:rsidP="00BF00E9">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BF00E9" w:rsidRPr="00AC78F4" w:rsidRDefault="00BF00E9" w:rsidP="00BF00E9">
      <w:pPr>
        <w:numPr>
          <w:ilvl w:val="0"/>
          <w:numId w:val="2"/>
        </w:numPr>
        <w:spacing w:line="360" w:lineRule="auto"/>
        <w:ind w:left="0" w:right="-787" w:firstLine="0"/>
        <w:jc w:val="both"/>
        <w:rPr>
          <w:rFonts w:ascii="Palatino Linotype" w:eastAsia="Palatino Linotype" w:hAnsi="Palatino Linotype" w:cs="Palatino Linotype"/>
        </w:rPr>
      </w:pPr>
      <w:r w:rsidRPr="00AC78F4">
        <w:rPr>
          <w:rFonts w:ascii="Palatino Linotype" w:eastAsia="Palatino Linotype" w:hAnsi="Palatino Linotype" w:cs="Palatino Linotype"/>
        </w:rPr>
        <w:lastRenderedPageBreak/>
        <w:t xml:space="preserve">En ese sentido, el </w:t>
      </w:r>
      <w:r w:rsidRPr="00AC78F4">
        <w:rPr>
          <w:rFonts w:ascii="Palatino Linotype" w:eastAsia="Palatino Linotype" w:hAnsi="Palatino Linotype" w:cs="Palatino Linotype"/>
          <w:b/>
        </w:rPr>
        <w:t>SUJETO OBLIGADO</w:t>
      </w:r>
      <w:r w:rsidRPr="00AC78F4">
        <w:rPr>
          <w:rFonts w:ascii="Palatino Linotype" w:eastAsia="Palatino Linotype" w:hAnsi="Palatino Linotype" w:cs="Palatino Linotype"/>
        </w:rPr>
        <w:t xml:space="preserve"> deberá de emitir el Acuerdo del Comité de Transparencia, mediante el cual de manera fundada y motivada establezca las razones que llevaron al Sujeto </w:t>
      </w:r>
      <w:r w:rsidRPr="00AC78F4">
        <w:rPr>
          <w:rFonts w:ascii="Palatino Linotype" w:hAnsi="Palatino Linotype" w:cs="Tahoma"/>
          <w:bCs/>
          <w:lang w:val="es-ES" w:eastAsia="en-US"/>
        </w:rPr>
        <w:t>Obligado</w:t>
      </w:r>
      <w:r w:rsidRPr="00AC78F4">
        <w:rPr>
          <w:rFonts w:ascii="Palatino Linotype" w:eastAsia="Palatino Linotype" w:hAnsi="Palatino Linotype" w:cs="Palatino Linotype"/>
        </w:rPr>
        <w:t xml:space="preserve"> a testar, suprimir o eliminar datos de dicho soporte </w:t>
      </w:r>
      <w:r w:rsidRPr="00AC78F4">
        <w:rPr>
          <w:rFonts w:ascii="Palatino Linotype" w:hAnsi="Palatino Linotype"/>
          <w:color w:val="000000"/>
        </w:rPr>
        <w:t>documental</w:t>
      </w:r>
      <w:r w:rsidRPr="00AC78F4">
        <w:rPr>
          <w:rFonts w:ascii="Palatino Linotype" w:eastAsia="Palatino Linotype" w:hAnsi="Palatino Linotype" w:cs="Palatino Linotype"/>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BF00E9" w:rsidRPr="00AC78F4" w:rsidRDefault="00BF00E9" w:rsidP="00BF00E9">
      <w:pPr>
        <w:tabs>
          <w:tab w:val="left" w:pos="284"/>
        </w:tabs>
        <w:spacing w:line="360" w:lineRule="auto"/>
        <w:ind w:right="276"/>
        <w:jc w:val="both"/>
        <w:rPr>
          <w:rFonts w:ascii="Palatino Linotype" w:eastAsia="Palatino Linotype" w:hAnsi="Palatino Linotype" w:cs="Palatino Linotype"/>
          <w:color w:val="000000"/>
        </w:rPr>
      </w:pPr>
    </w:p>
    <w:p w:rsidR="00BF00E9" w:rsidRPr="00AC78F4" w:rsidRDefault="00BF00E9" w:rsidP="00BF00E9">
      <w:pPr>
        <w:numPr>
          <w:ilvl w:val="0"/>
          <w:numId w:val="2"/>
        </w:numPr>
        <w:spacing w:line="360" w:lineRule="auto"/>
        <w:ind w:left="0" w:right="-787" w:firstLine="0"/>
        <w:jc w:val="both"/>
        <w:rPr>
          <w:rFonts w:ascii="Palatino Linotype" w:eastAsia="Palatino Linotype" w:hAnsi="Palatino Linotype" w:cs="Palatino Linotype"/>
          <w:color w:val="000000"/>
        </w:rPr>
      </w:pPr>
      <w:r w:rsidRPr="00AC78F4">
        <w:rPr>
          <w:rFonts w:ascii="Palatino Linotype" w:eastAsia="Palatino Linotype" w:hAnsi="Palatino Linotype" w:cs="Palatino Linotype"/>
        </w:rPr>
        <w:t xml:space="preserve">Derivado de lo establecido en párrafos anteriores, si el </w:t>
      </w:r>
      <w:r w:rsidRPr="00AC78F4">
        <w:rPr>
          <w:rFonts w:ascii="Palatino Linotype" w:eastAsia="Palatino Linotype" w:hAnsi="Palatino Linotype" w:cs="Palatino Linotype"/>
          <w:b/>
        </w:rPr>
        <w:t>SUJETO OBLIGADO</w:t>
      </w:r>
      <w:r w:rsidRPr="00AC78F4">
        <w:rPr>
          <w:rFonts w:ascii="Palatino Linotype" w:eastAsia="Palatino Linotype" w:hAnsi="Palatino Linotype" w:cs="Palatino Linotype"/>
        </w:rPr>
        <w:t xml:space="preserve"> incumple con estas formalidades y entrega la información sin proteger los datos personales o testando datos </w:t>
      </w:r>
      <w:r w:rsidRPr="00AC78F4">
        <w:rPr>
          <w:rFonts w:ascii="Palatino Linotype" w:hAnsi="Palatino Linotype" w:cs="Tahoma"/>
          <w:bCs/>
          <w:lang w:val="es-ES" w:eastAsia="en-US"/>
        </w:rPr>
        <w:t>considerados</w:t>
      </w:r>
      <w:r w:rsidRPr="00AC78F4">
        <w:rPr>
          <w:rFonts w:ascii="Palatino Linotype" w:eastAsia="Palatino Linotype" w:hAnsi="Palatino Linotype" w:cs="Palatino Linotype"/>
        </w:rPr>
        <w:t xml:space="preserve"> como públicos incumple con lo que estipulan las disposiciones legales establecidas, asimismo que si entrega un documento testado sin el debido acuerdo de clasificación.</w:t>
      </w:r>
    </w:p>
    <w:p w:rsidR="00BF00E9" w:rsidRPr="00AC78F4" w:rsidRDefault="00BF00E9" w:rsidP="00BF00E9">
      <w:pPr>
        <w:spacing w:line="360" w:lineRule="auto"/>
        <w:ind w:right="-787"/>
        <w:jc w:val="both"/>
        <w:rPr>
          <w:rFonts w:ascii="Palatino Linotype" w:eastAsia="Palatino Linotype" w:hAnsi="Palatino Linotype" w:cs="Palatino Linotype"/>
        </w:rPr>
      </w:pPr>
    </w:p>
    <w:p w:rsidR="00BF00E9" w:rsidRDefault="00BF00E9" w:rsidP="00BF00E9">
      <w:pPr>
        <w:numPr>
          <w:ilvl w:val="0"/>
          <w:numId w:val="2"/>
        </w:numPr>
        <w:spacing w:line="360" w:lineRule="auto"/>
        <w:ind w:left="0" w:right="-787" w:firstLine="0"/>
        <w:jc w:val="both"/>
        <w:rPr>
          <w:rFonts w:ascii="Palatino Linotype" w:eastAsia="Palatino Linotype" w:hAnsi="Palatino Linotype" w:cs="Palatino Linotype"/>
        </w:rPr>
      </w:pPr>
      <w:r w:rsidRPr="00AC78F4">
        <w:rPr>
          <w:rFonts w:ascii="Palatino Linotype" w:eastAsia="Palatino Linotype" w:hAnsi="Palatino Linotype" w:cs="Palatino Linotype"/>
        </w:rPr>
        <w:t xml:space="preserve">Por lo expuesto, y con fundamento en lo prescrito en los artículos </w:t>
      </w:r>
      <w:r w:rsidRPr="00AC78F4">
        <w:rPr>
          <w:rFonts w:ascii="Palatino Linotype" w:eastAsia="Palatino Linotype" w:hAnsi="Palatino Linotype" w:cs="Palatino Linotype"/>
          <w:color w:val="000000"/>
        </w:rPr>
        <w:t>5, párrafos cuadragésimo cuarto, cuadragésimo quinto y cuadragésimo sexto, fracciones IV y V, de la Constitución Política del Estado Libre y Soberano de México</w:t>
      </w:r>
      <w:r w:rsidRPr="00AC78F4">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r w:rsidR="00AC78F4">
        <w:rPr>
          <w:rFonts w:ascii="Palatino Linotype" w:eastAsia="Palatino Linotype" w:hAnsi="Palatino Linotype" w:cs="Palatino Linotype"/>
        </w:rPr>
        <w:t xml:space="preserve"> -----------------------------------------------------------------</w:t>
      </w:r>
    </w:p>
    <w:p w:rsidR="00AC78F4" w:rsidRDefault="00AC78F4" w:rsidP="00AC78F4">
      <w:pPr>
        <w:pStyle w:val="Prrafodelista"/>
        <w:rPr>
          <w:rFonts w:ascii="Palatino Linotype" w:eastAsia="Palatino Linotype" w:hAnsi="Palatino Linotype" w:cs="Palatino Linotype"/>
        </w:rPr>
      </w:pPr>
    </w:p>
    <w:p w:rsidR="00AC78F4" w:rsidRDefault="00AC78F4" w:rsidP="00AC78F4">
      <w:pPr>
        <w:spacing w:line="360" w:lineRule="auto"/>
        <w:ind w:right="-787"/>
        <w:jc w:val="both"/>
        <w:rPr>
          <w:rFonts w:ascii="Palatino Linotype" w:eastAsia="Palatino Linotype" w:hAnsi="Palatino Linotype" w:cs="Palatino Linotype"/>
        </w:rPr>
      </w:pPr>
    </w:p>
    <w:p w:rsidR="00AC78F4" w:rsidRDefault="00AC78F4" w:rsidP="00AC78F4">
      <w:pPr>
        <w:spacing w:line="360" w:lineRule="auto"/>
        <w:ind w:right="-787"/>
        <w:jc w:val="both"/>
        <w:rPr>
          <w:rFonts w:ascii="Palatino Linotype" w:eastAsia="Palatino Linotype" w:hAnsi="Palatino Linotype" w:cs="Palatino Linotype"/>
        </w:rPr>
      </w:pPr>
    </w:p>
    <w:p w:rsidR="00AC78F4" w:rsidRPr="00AC78F4" w:rsidRDefault="00AC78F4" w:rsidP="00AC78F4">
      <w:pPr>
        <w:spacing w:line="360" w:lineRule="auto"/>
        <w:ind w:right="-787"/>
        <w:jc w:val="both"/>
        <w:rPr>
          <w:rFonts w:ascii="Palatino Linotype" w:eastAsia="Palatino Linotype" w:hAnsi="Palatino Linotype" w:cs="Palatino Linotype"/>
        </w:rPr>
      </w:pPr>
    </w:p>
    <w:p w:rsidR="00BF00E9" w:rsidRPr="00AC78F4" w:rsidRDefault="00BF00E9" w:rsidP="00BF00E9">
      <w:pPr>
        <w:ind w:right="278"/>
        <w:rPr>
          <w:rFonts w:ascii="Palatino Linotype" w:eastAsia="Palatino Linotype" w:hAnsi="Palatino Linotype" w:cs="Palatino Linotype"/>
        </w:rPr>
      </w:pPr>
    </w:p>
    <w:p w:rsidR="00BF00E9" w:rsidRPr="00AC78F4" w:rsidRDefault="00BF00E9" w:rsidP="00BF00E9">
      <w:pPr>
        <w:spacing w:line="360" w:lineRule="auto"/>
        <w:ind w:right="-858"/>
        <w:jc w:val="center"/>
        <w:rPr>
          <w:rFonts w:ascii="Palatino Linotype" w:eastAsia="Palatino Linotype" w:hAnsi="Palatino Linotype" w:cs="Palatino Linotype"/>
          <w:b/>
        </w:rPr>
      </w:pPr>
      <w:r w:rsidRPr="00AC78F4">
        <w:rPr>
          <w:rFonts w:ascii="Palatino Linotype" w:eastAsia="Palatino Linotype" w:hAnsi="Palatino Linotype" w:cs="Palatino Linotype"/>
          <w:b/>
        </w:rPr>
        <w:lastRenderedPageBreak/>
        <w:t>R E S U E L V E</w:t>
      </w:r>
    </w:p>
    <w:p w:rsidR="00BF00E9" w:rsidRPr="00AC78F4" w:rsidRDefault="00BF00E9" w:rsidP="00BF00E9">
      <w:pPr>
        <w:spacing w:line="360" w:lineRule="auto"/>
        <w:ind w:right="-787"/>
        <w:jc w:val="center"/>
        <w:rPr>
          <w:rFonts w:ascii="Palatino Linotype" w:eastAsia="Palatino Linotype" w:hAnsi="Palatino Linotype" w:cs="Palatino Linotype"/>
          <w:b/>
        </w:rPr>
      </w:pPr>
    </w:p>
    <w:p w:rsidR="00BF00E9" w:rsidRPr="00AC78F4" w:rsidRDefault="00BF00E9" w:rsidP="00BF00E9">
      <w:pPr>
        <w:spacing w:line="360" w:lineRule="auto"/>
        <w:ind w:right="-716"/>
        <w:jc w:val="both"/>
        <w:rPr>
          <w:rFonts w:ascii="Palatino Linotype" w:eastAsia="Palatino Linotype" w:hAnsi="Palatino Linotype" w:cs="Palatino Linotype"/>
          <w:color w:val="000000" w:themeColor="text1"/>
        </w:rPr>
      </w:pPr>
      <w:r w:rsidRPr="00AC78F4">
        <w:rPr>
          <w:rFonts w:ascii="Palatino Linotype" w:eastAsia="Palatino Linotype" w:hAnsi="Palatino Linotype" w:cs="Palatino Linotype"/>
          <w:b/>
          <w:color w:val="000000" w:themeColor="text1"/>
        </w:rPr>
        <w:t>PRIMERO</w:t>
      </w:r>
      <w:r w:rsidRPr="00AC78F4">
        <w:rPr>
          <w:rFonts w:ascii="Palatino Linotype" w:eastAsia="Palatino Linotype" w:hAnsi="Palatino Linotype" w:cs="Palatino Linotype"/>
          <w:color w:val="000000" w:themeColor="text1"/>
        </w:rPr>
        <w:t xml:space="preserve">. Resultan </w:t>
      </w:r>
      <w:r w:rsidRPr="00AC78F4">
        <w:rPr>
          <w:rFonts w:ascii="Palatino Linotype" w:eastAsia="Palatino Linotype" w:hAnsi="Palatino Linotype" w:cs="Palatino Linotype"/>
          <w:b/>
          <w:color w:val="000000" w:themeColor="text1"/>
        </w:rPr>
        <w:t>FUNDADAS</w:t>
      </w:r>
      <w:r w:rsidRPr="00AC78F4">
        <w:rPr>
          <w:rFonts w:ascii="Palatino Linotype" w:eastAsia="Palatino Linotype" w:hAnsi="Palatino Linotype" w:cs="Palatino Linotype"/>
          <w:color w:val="000000" w:themeColor="text1"/>
        </w:rPr>
        <w:t xml:space="preserve"> las razones o motivos de inconformidad hechos valer en el Recurso de Revisión </w:t>
      </w:r>
      <w:r w:rsidR="002C3720" w:rsidRPr="00AC78F4">
        <w:rPr>
          <w:rFonts w:ascii="Palatino Linotype" w:eastAsia="Palatino Linotype" w:hAnsi="Palatino Linotype" w:cs="Palatino Linotype"/>
          <w:b/>
          <w:color w:val="000000" w:themeColor="text1"/>
        </w:rPr>
        <w:t>11103/INFOEM/IP/RR/2025</w:t>
      </w:r>
      <w:r w:rsidRPr="00AC78F4">
        <w:rPr>
          <w:rFonts w:ascii="Palatino Linotype" w:eastAsia="Palatino Linotype" w:hAnsi="Palatino Linotype" w:cs="Palatino Linotype"/>
          <w:color w:val="000000" w:themeColor="text1"/>
        </w:rPr>
        <w:t>,</w:t>
      </w:r>
      <w:r w:rsidRPr="00AC78F4">
        <w:rPr>
          <w:rFonts w:ascii="Palatino Linotype" w:eastAsia="Palatino Linotype" w:hAnsi="Palatino Linotype" w:cs="Palatino Linotype"/>
          <w:b/>
          <w:color w:val="000000" w:themeColor="text1"/>
        </w:rPr>
        <w:t xml:space="preserve"> </w:t>
      </w:r>
      <w:r w:rsidRPr="00AC78F4">
        <w:rPr>
          <w:rFonts w:ascii="Palatino Linotype" w:eastAsia="Palatino Linotype" w:hAnsi="Palatino Linotype" w:cs="Palatino Linotype"/>
          <w:color w:val="000000" w:themeColor="text1"/>
        </w:rPr>
        <w:t xml:space="preserve">en términos de los Considerandos </w:t>
      </w:r>
      <w:r w:rsidRPr="00AC78F4">
        <w:rPr>
          <w:rFonts w:ascii="Palatino Linotype" w:eastAsia="Palatino Linotype" w:hAnsi="Palatino Linotype" w:cs="Palatino Linotype"/>
          <w:b/>
          <w:color w:val="000000" w:themeColor="text1"/>
        </w:rPr>
        <w:t>Cuarto</w:t>
      </w:r>
      <w:r w:rsidR="006A3F2B" w:rsidRPr="00AC78F4">
        <w:rPr>
          <w:rFonts w:ascii="Palatino Linotype" w:eastAsia="Palatino Linotype" w:hAnsi="Palatino Linotype" w:cs="Palatino Linotype"/>
          <w:b/>
          <w:color w:val="000000" w:themeColor="text1"/>
        </w:rPr>
        <w:t xml:space="preserve"> y Quinto</w:t>
      </w:r>
      <w:r w:rsidRPr="00AC78F4">
        <w:rPr>
          <w:rFonts w:ascii="Palatino Linotype" w:eastAsia="Palatino Linotype" w:hAnsi="Palatino Linotype" w:cs="Palatino Linotype"/>
          <w:b/>
          <w:color w:val="000000" w:themeColor="text1"/>
        </w:rPr>
        <w:t xml:space="preserve"> </w:t>
      </w:r>
      <w:r w:rsidRPr="00AC78F4">
        <w:rPr>
          <w:rFonts w:ascii="Palatino Linotype" w:eastAsia="Palatino Linotype" w:hAnsi="Palatino Linotype" w:cs="Palatino Linotype"/>
          <w:color w:val="000000" w:themeColor="text1"/>
        </w:rPr>
        <w:t xml:space="preserve">de la presente Resolución. </w:t>
      </w:r>
    </w:p>
    <w:p w:rsidR="00BF00E9" w:rsidRPr="00AC78F4" w:rsidRDefault="00BF00E9" w:rsidP="00BF00E9">
      <w:pPr>
        <w:spacing w:line="360" w:lineRule="auto"/>
        <w:ind w:right="-716"/>
        <w:jc w:val="both"/>
        <w:rPr>
          <w:rFonts w:ascii="Palatino Linotype" w:eastAsia="Palatino Linotype" w:hAnsi="Palatino Linotype" w:cs="Palatino Linotype"/>
          <w:color w:val="000000" w:themeColor="text1"/>
        </w:rPr>
      </w:pPr>
    </w:p>
    <w:p w:rsidR="00BF00E9" w:rsidRPr="00AC78F4" w:rsidRDefault="00BF00E9" w:rsidP="00BF00E9">
      <w:pPr>
        <w:spacing w:line="360" w:lineRule="auto"/>
        <w:ind w:right="-716"/>
        <w:jc w:val="both"/>
        <w:rPr>
          <w:rFonts w:ascii="Palatino Linotype" w:eastAsia="Palatino Linotype" w:hAnsi="Palatino Linotype" w:cs="Palatino Linotype"/>
          <w:color w:val="000000" w:themeColor="text1"/>
        </w:rPr>
      </w:pPr>
      <w:bookmarkStart w:id="9" w:name="_heading=h.vihmelcub0eb" w:colFirst="0" w:colLast="0"/>
      <w:bookmarkEnd w:id="9"/>
      <w:r w:rsidRPr="00AC78F4">
        <w:rPr>
          <w:rFonts w:ascii="Palatino Linotype" w:eastAsia="Palatino Linotype" w:hAnsi="Palatino Linotype" w:cs="Palatino Linotype"/>
          <w:b/>
          <w:color w:val="000000" w:themeColor="text1"/>
        </w:rPr>
        <w:t xml:space="preserve">SEGUNDO. </w:t>
      </w:r>
      <w:r w:rsidRPr="00AC78F4">
        <w:rPr>
          <w:rFonts w:ascii="Palatino Linotype" w:eastAsia="Palatino Linotype" w:hAnsi="Palatino Linotype" w:cs="Palatino Linotype"/>
          <w:color w:val="000000" w:themeColor="text1"/>
        </w:rPr>
        <w:t xml:space="preserve">Se </w:t>
      </w:r>
      <w:r w:rsidRPr="00AC78F4">
        <w:rPr>
          <w:rFonts w:ascii="Palatino Linotype" w:eastAsia="Palatino Linotype" w:hAnsi="Palatino Linotype" w:cs="Palatino Linotype"/>
          <w:b/>
          <w:color w:val="000000" w:themeColor="text1"/>
        </w:rPr>
        <w:t xml:space="preserve">REVOCA </w:t>
      </w:r>
      <w:r w:rsidR="00233990" w:rsidRPr="00AC78F4">
        <w:rPr>
          <w:rFonts w:ascii="Palatino Linotype" w:eastAsia="Palatino Linotype" w:hAnsi="Palatino Linotype" w:cs="Palatino Linotype"/>
          <w:color w:val="000000" w:themeColor="text1"/>
        </w:rPr>
        <w:t>la respuesta emitida por la</w:t>
      </w:r>
      <w:r w:rsidRPr="00AC78F4">
        <w:rPr>
          <w:rFonts w:ascii="Palatino Linotype" w:eastAsia="Palatino Linotype" w:hAnsi="Palatino Linotype" w:cs="Palatino Linotype"/>
          <w:color w:val="000000" w:themeColor="text1"/>
        </w:rPr>
        <w:t xml:space="preserve"> </w:t>
      </w:r>
      <w:r w:rsidR="00E33D5B" w:rsidRPr="00AC78F4">
        <w:rPr>
          <w:rFonts w:ascii="Palatino Linotype" w:eastAsia="Palatino Linotype" w:hAnsi="Palatino Linotype" w:cs="Palatino Linotype"/>
          <w:b/>
        </w:rPr>
        <w:t xml:space="preserve">Universidad Autónoma del Estado de México </w:t>
      </w:r>
      <w:r w:rsidRPr="00AC78F4">
        <w:rPr>
          <w:rFonts w:ascii="Palatino Linotype" w:eastAsia="Palatino Linotype" w:hAnsi="Palatino Linotype" w:cs="Palatino Linotype"/>
          <w:color w:val="000000" w:themeColor="text1"/>
        </w:rPr>
        <w:t xml:space="preserve">y se </w:t>
      </w:r>
      <w:r w:rsidRPr="00AC78F4">
        <w:rPr>
          <w:rFonts w:ascii="Palatino Linotype" w:eastAsia="Palatino Linotype" w:hAnsi="Palatino Linotype" w:cs="Palatino Linotype"/>
          <w:b/>
          <w:color w:val="000000" w:themeColor="text1"/>
        </w:rPr>
        <w:t>ORDENA</w:t>
      </w:r>
      <w:r w:rsidRPr="00AC78F4">
        <w:rPr>
          <w:rFonts w:ascii="Palatino Linotype" w:eastAsia="Palatino Linotype" w:hAnsi="Palatino Linotype" w:cs="Palatino Linotype"/>
          <w:color w:val="000000" w:themeColor="text1"/>
        </w:rPr>
        <w:t xml:space="preserve"> entregar a través del Sistema de Acceso a la Información Mexiquense (SAIMEX), previa búsqueda exhaustiva y razonable, de ser procedente en versión pública, la siguiente información:</w:t>
      </w:r>
    </w:p>
    <w:p w:rsidR="00BF00E9" w:rsidRPr="00AC78F4" w:rsidRDefault="00BF00E9" w:rsidP="00BF00E9">
      <w:pPr>
        <w:spacing w:line="360" w:lineRule="auto"/>
        <w:ind w:right="-716"/>
        <w:jc w:val="both"/>
        <w:rPr>
          <w:rFonts w:ascii="Palatino Linotype" w:eastAsia="Palatino Linotype" w:hAnsi="Palatino Linotype" w:cs="Palatino Linotype"/>
          <w:color w:val="000000" w:themeColor="text1"/>
        </w:rPr>
      </w:pPr>
    </w:p>
    <w:p w:rsidR="00BF00E9" w:rsidRPr="00AC78F4" w:rsidRDefault="00E33D5B" w:rsidP="00E33D5B">
      <w:pPr>
        <w:pStyle w:val="Prrafodelista"/>
        <w:numPr>
          <w:ilvl w:val="0"/>
          <w:numId w:val="8"/>
        </w:numPr>
        <w:ind w:right="1127" w:hanging="12"/>
        <w:jc w:val="both"/>
        <w:rPr>
          <w:rFonts w:ascii="Palatino Linotype" w:eastAsia="Palatino Linotype" w:hAnsi="Palatino Linotype" w:cs="Palatino Linotype"/>
          <w:b/>
          <w:i/>
          <w:color w:val="000000" w:themeColor="text1"/>
        </w:rPr>
      </w:pPr>
      <w:r w:rsidRPr="00AC78F4">
        <w:rPr>
          <w:rFonts w:ascii="Palatino Linotype" w:eastAsia="Palatino Linotype" w:hAnsi="Palatino Linotype" w:cs="Palatino Linotype"/>
          <w:b/>
          <w:i/>
          <w:color w:val="000000" w:themeColor="text1"/>
        </w:rPr>
        <w:t>Comprobantes de pago mediante cheque o transferencia electrónica, correspondientes a la</w:t>
      </w:r>
      <w:r w:rsidR="009B1499" w:rsidRPr="00AC78F4">
        <w:rPr>
          <w:rFonts w:ascii="Palatino Linotype" w:eastAsia="Palatino Linotype" w:hAnsi="Palatino Linotype" w:cs="Palatino Linotype"/>
          <w:b/>
          <w:i/>
          <w:color w:val="000000" w:themeColor="text1"/>
        </w:rPr>
        <w:t>s</w:t>
      </w:r>
      <w:r w:rsidRPr="00AC78F4">
        <w:rPr>
          <w:rFonts w:ascii="Palatino Linotype" w:eastAsia="Palatino Linotype" w:hAnsi="Palatino Linotype" w:cs="Palatino Linotype"/>
          <w:b/>
          <w:i/>
          <w:color w:val="000000" w:themeColor="text1"/>
        </w:rPr>
        <w:t xml:space="preserve"> partida</w:t>
      </w:r>
      <w:r w:rsidR="009B1499" w:rsidRPr="00AC78F4">
        <w:rPr>
          <w:rFonts w:ascii="Palatino Linotype" w:eastAsia="Palatino Linotype" w:hAnsi="Palatino Linotype" w:cs="Palatino Linotype"/>
          <w:b/>
          <w:i/>
          <w:color w:val="000000" w:themeColor="text1"/>
        </w:rPr>
        <w:t>s</w:t>
      </w:r>
      <w:r w:rsidRPr="00AC78F4">
        <w:rPr>
          <w:rFonts w:ascii="Palatino Linotype" w:eastAsia="Palatino Linotype" w:hAnsi="Palatino Linotype" w:cs="Palatino Linotype"/>
          <w:b/>
          <w:i/>
          <w:color w:val="000000" w:themeColor="text1"/>
        </w:rPr>
        <w:t xml:space="preserve"> presupuestal</w:t>
      </w:r>
      <w:r w:rsidR="009B1499" w:rsidRPr="00AC78F4">
        <w:rPr>
          <w:rFonts w:ascii="Palatino Linotype" w:eastAsia="Palatino Linotype" w:hAnsi="Palatino Linotype" w:cs="Palatino Linotype"/>
          <w:b/>
          <w:i/>
          <w:color w:val="000000" w:themeColor="text1"/>
        </w:rPr>
        <w:t>es</w:t>
      </w:r>
      <w:r w:rsidRPr="00AC78F4">
        <w:rPr>
          <w:rFonts w:ascii="Palatino Linotype" w:eastAsia="Palatino Linotype" w:hAnsi="Palatino Linotype" w:cs="Palatino Linotype"/>
          <w:b/>
          <w:i/>
          <w:color w:val="000000" w:themeColor="text1"/>
        </w:rPr>
        <w:t xml:space="preserve"> 3611 y 3612, referidas en la etapa manifestaciones de la solicitud de información </w:t>
      </w:r>
      <w:r w:rsidRPr="00AC78F4">
        <w:rPr>
          <w:rFonts w:ascii="Palatino Linotype" w:eastAsia="Palatino Linotype" w:hAnsi="Palatino Linotype" w:cs="Palatino Linotype"/>
          <w:b/>
          <w:bCs/>
          <w:i/>
          <w:color w:val="000000" w:themeColor="text1"/>
        </w:rPr>
        <w:t>00801/UAEM/IP/2025</w:t>
      </w:r>
      <w:r w:rsidR="00BF00E9" w:rsidRPr="00AC78F4">
        <w:rPr>
          <w:rFonts w:ascii="Palatino Linotype" w:eastAsia="Palatino Linotype" w:hAnsi="Palatino Linotype" w:cs="Palatino Linotype"/>
          <w:b/>
          <w:i/>
          <w:color w:val="000000" w:themeColor="text1"/>
        </w:rPr>
        <w:t>.</w:t>
      </w:r>
    </w:p>
    <w:p w:rsidR="00BF00E9" w:rsidRPr="00AC78F4" w:rsidRDefault="00BF00E9" w:rsidP="00BF00E9">
      <w:pPr>
        <w:spacing w:line="360" w:lineRule="auto"/>
        <w:ind w:right="-716"/>
        <w:jc w:val="both"/>
        <w:rPr>
          <w:rFonts w:ascii="Palatino Linotype" w:eastAsia="Palatino Linotype" w:hAnsi="Palatino Linotype" w:cs="Palatino Linotype"/>
          <w:b/>
          <w:color w:val="000000" w:themeColor="text1"/>
        </w:rPr>
      </w:pPr>
    </w:p>
    <w:p w:rsidR="00BF00E9" w:rsidRPr="00AC78F4" w:rsidRDefault="00BF00E9" w:rsidP="00E33D5B">
      <w:pPr>
        <w:pBdr>
          <w:top w:val="nil"/>
          <w:left w:val="nil"/>
          <w:bottom w:val="nil"/>
          <w:right w:val="nil"/>
          <w:between w:val="nil"/>
        </w:pBdr>
        <w:tabs>
          <w:tab w:val="left" w:pos="8080"/>
        </w:tabs>
        <w:spacing w:line="360" w:lineRule="auto"/>
        <w:ind w:right="-433"/>
        <w:jc w:val="both"/>
        <w:rPr>
          <w:rFonts w:ascii="Palatino Linotype" w:eastAsia="Palatino Linotype" w:hAnsi="Palatino Linotype" w:cs="Palatino Linotype"/>
          <w:b/>
          <w:bCs/>
          <w:color w:val="000000"/>
        </w:rPr>
      </w:pPr>
      <w:r w:rsidRPr="00AC78F4">
        <w:rPr>
          <w:rFonts w:ascii="Palatino Linotype" w:eastAsia="Palatino Linotype" w:hAnsi="Palatino Linotype" w:cs="Palatino Linotype"/>
          <w:color w:val="000000"/>
        </w:rPr>
        <w:t xml:space="preserve">Para efectos de lo anterior, de ser procedente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AC78F4">
        <w:rPr>
          <w:rFonts w:ascii="Palatino Linotype" w:eastAsia="Palatino Linotype" w:hAnsi="Palatino Linotype" w:cs="Palatino Linotype"/>
          <w:b/>
          <w:bCs/>
          <w:color w:val="000000"/>
        </w:rPr>
        <w:t>RECURRENTE.</w:t>
      </w:r>
    </w:p>
    <w:p w:rsidR="00BF00E9" w:rsidRPr="00AC78F4" w:rsidRDefault="00BF00E9" w:rsidP="00BF00E9">
      <w:pPr>
        <w:pStyle w:val="Prrafodelista"/>
        <w:spacing w:line="360" w:lineRule="auto"/>
        <w:ind w:left="1146" w:right="-716"/>
        <w:jc w:val="both"/>
        <w:rPr>
          <w:rFonts w:ascii="Palatino Linotype" w:eastAsia="Palatino Linotype" w:hAnsi="Palatino Linotype" w:cs="Palatino Linotype"/>
          <w:b/>
          <w:color w:val="000000" w:themeColor="text1"/>
        </w:rPr>
      </w:pPr>
    </w:p>
    <w:p w:rsidR="00BF00E9" w:rsidRPr="00AC78F4" w:rsidRDefault="00BF00E9" w:rsidP="00BF00E9">
      <w:pPr>
        <w:spacing w:line="360" w:lineRule="auto"/>
        <w:ind w:right="-716"/>
        <w:jc w:val="both"/>
        <w:rPr>
          <w:rFonts w:ascii="Palatino Linotype" w:eastAsia="Palatino Linotype" w:hAnsi="Palatino Linotype" w:cs="Palatino Linotype"/>
          <w:color w:val="000000" w:themeColor="text1"/>
        </w:rPr>
      </w:pPr>
      <w:r w:rsidRPr="00AC78F4">
        <w:rPr>
          <w:rFonts w:ascii="Palatino Linotype" w:eastAsia="Palatino Linotype" w:hAnsi="Palatino Linotype" w:cs="Palatino Linotype"/>
          <w:b/>
          <w:color w:val="000000" w:themeColor="text1"/>
        </w:rPr>
        <w:t xml:space="preserve">TERCERO. Notifíquese </w:t>
      </w:r>
      <w:r w:rsidRPr="00AC78F4">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w:t>
      </w:r>
      <w:r w:rsidRPr="00AC78F4">
        <w:rPr>
          <w:rFonts w:ascii="Palatino Linotype" w:eastAsia="Palatino Linotype" w:hAnsi="Palatino Linotype" w:cs="Palatino Linotype"/>
          <w:color w:val="000000" w:themeColor="text1"/>
        </w:rPr>
        <w:lastRenderedPageBreak/>
        <w:t xml:space="preserve">México y Municipios; </w:t>
      </w:r>
      <w:r w:rsidRPr="00AC78F4">
        <w:rPr>
          <w:rFonts w:ascii="Palatino Linotype" w:eastAsia="Palatino Linotype" w:hAnsi="Palatino Linotype" w:cs="Palatino Linotype"/>
          <w:b/>
          <w:color w:val="000000" w:themeColor="text1"/>
        </w:rPr>
        <w:t>dé cumplimiento a lo ordenado dentro del plazo de diez días hábiles</w:t>
      </w:r>
      <w:r w:rsidRPr="00AC78F4">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F00E9" w:rsidRPr="00AC78F4" w:rsidRDefault="00BF00E9" w:rsidP="00BF00E9">
      <w:pPr>
        <w:spacing w:line="360" w:lineRule="auto"/>
        <w:ind w:right="-716"/>
        <w:jc w:val="both"/>
        <w:rPr>
          <w:rFonts w:ascii="Palatino Linotype" w:eastAsia="Palatino Linotype" w:hAnsi="Palatino Linotype" w:cs="Palatino Linotype"/>
          <w:color w:val="000000" w:themeColor="text1"/>
        </w:rPr>
      </w:pPr>
    </w:p>
    <w:p w:rsidR="00BF00E9" w:rsidRPr="00AC78F4" w:rsidRDefault="00BF00E9" w:rsidP="00BF00E9">
      <w:pPr>
        <w:spacing w:line="360" w:lineRule="auto"/>
        <w:ind w:right="-716"/>
        <w:jc w:val="both"/>
        <w:rPr>
          <w:rFonts w:ascii="Palatino Linotype" w:eastAsia="Palatino Linotype" w:hAnsi="Palatino Linotype" w:cs="Palatino Linotype"/>
          <w:color w:val="000000" w:themeColor="text1"/>
        </w:rPr>
      </w:pPr>
      <w:r w:rsidRPr="00AC78F4">
        <w:rPr>
          <w:rFonts w:ascii="Palatino Linotype" w:eastAsia="Palatino Linotype" w:hAnsi="Palatino Linotype" w:cs="Palatino Linotype"/>
          <w:b/>
          <w:color w:val="000000" w:themeColor="text1"/>
        </w:rPr>
        <w:t xml:space="preserve">CUARTO. </w:t>
      </w:r>
      <w:r w:rsidRPr="00AC78F4">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AC78F4">
        <w:rPr>
          <w:rFonts w:ascii="Palatino Linotype" w:eastAsia="Palatino Linotype" w:hAnsi="Palatino Linotype" w:cs="Palatino Linotype"/>
          <w:b/>
          <w:color w:val="000000" w:themeColor="text1"/>
        </w:rPr>
        <w:t>Sujeto Obligado</w:t>
      </w:r>
      <w:r w:rsidRPr="00AC78F4">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BF00E9" w:rsidRPr="00AC78F4" w:rsidRDefault="00BF00E9" w:rsidP="00BF00E9">
      <w:pPr>
        <w:spacing w:line="360" w:lineRule="auto"/>
        <w:ind w:right="-716"/>
        <w:jc w:val="both"/>
        <w:rPr>
          <w:rFonts w:ascii="Palatino Linotype" w:eastAsia="Palatino Linotype" w:hAnsi="Palatino Linotype" w:cs="Palatino Linotype"/>
          <w:color w:val="000000" w:themeColor="text1"/>
        </w:rPr>
      </w:pPr>
    </w:p>
    <w:p w:rsidR="00BF00E9" w:rsidRPr="00AC78F4" w:rsidRDefault="00BF00E9" w:rsidP="00BF00E9">
      <w:pPr>
        <w:tabs>
          <w:tab w:val="left" w:pos="8080"/>
        </w:tabs>
        <w:spacing w:line="360" w:lineRule="auto"/>
        <w:ind w:right="-716"/>
        <w:jc w:val="both"/>
        <w:rPr>
          <w:rFonts w:ascii="Palatino Linotype" w:eastAsia="Palatino Linotype" w:hAnsi="Palatino Linotype" w:cs="Palatino Linotype"/>
          <w:color w:val="000000" w:themeColor="text1"/>
        </w:rPr>
      </w:pPr>
      <w:bookmarkStart w:id="10" w:name="_heading=h.xhr981y4g39w" w:colFirst="0" w:colLast="0"/>
      <w:bookmarkEnd w:id="10"/>
      <w:r w:rsidRPr="00AC78F4">
        <w:rPr>
          <w:rFonts w:ascii="Palatino Linotype" w:eastAsia="Palatino Linotype" w:hAnsi="Palatino Linotype" w:cs="Palatino Linotype"/>
          <w:b/>
          <w:color w:val="000000" w:themeColor="text1"/>
        </w:rPr>
        <w:t xml:space="preserve">QUINTO. </w:t>
      </w:r>
      <w:r w:rsidRPr="00AC78F4">
        <w:rPr>
          <w:rFonts w:ascii="Palatino Linotype" w:eastAsia="Palatino Linotype" w:hAnsi="Palatino Linotype" w:cs="Palatino Linotype"/>
          <w:color w:val="000000" w:themeColor="text1"/>
        </w:rPr>
        <w:t xml:space="preserve">Notifíquese al Recurrente la presente resolución, vía </w:t>
      </w:r>
      <w:r w:rsidRPr="00AC78F4">
        <w:rPr>
          <w:rFonts w:ascii="Palatino Linotype" w:eastAsia="Palatino Linotype" w:hAnsi="Palatino Linotype" w:cs="Palatino Linotype"/>
          <w:b/>
          <w:color w:val="000000" w:themeColor="text1"/>
        </w:rPr>
        <w:t>SAIMEX</w:t>
      </w:r>
      <w:r w:rsidRPr="00AC78F4">
        <w:rPr>
          <w:rFonts w:ascii="Palatino Linotype" w:eastAsia="Palatino Linotype" w:hAnsi="Palatino Linotype" w:cs="Palatino Linotype"/>
          <w:color w:val="000000" w:themeColor="text1"/>
        </w:rPr>
        <w:t>.</w:t>
      </w:r>
    </w:p>
    <w:p w:rsidR="00BF00E9" w:rsidRPr="00AC78F4" w:rsidRDefault="00BF00E9" w:rsidP="00BF00E9">
      <w:pPr>
        <w:tabs>
          <w:tab w:val="left" w:pos="8080"/>
        </w:tabs>
        <w:spacing w:line="360" w:lineRule="auto"/>
        <w:ind w:right="-716"/>
        <w:jc w:val="both"/>
        <w:rPr>
          <w:rFonts w:ascii="Palatino Linotype" w:eastAsia="Palatino Linotype" w:hAnsi="Palatino Linotype" w:cs="Palatino Linotype"/>
          <w:color w:val="000000" w:themeColor="text1"/>
        </w:rPr>
      </w:pPr>
    </w:p>
    <w:p w:rsidR="00BF00E9" w:rsidRPr="00AC78F4" w:rsidRDefault="00BF00E9" w:rsidP="00BF00E9">
      <w:pPr>
        <w:shd w:val="clear" w:color="auto" w:fill="FFFFFF"/>
        <w:spacing w:line="360" w:lineRule="auto"/>
        <w:ind w:right="-716"/>
        <w:jc w:val="both"/>
        <w:rPr>
          <w:rFonts w:ascii="Palatino Linotype" w:eastAsia="Palatino Linotype" w:hAnsi="Palatino Linotype" w:cs="Palatino Linotype"/>
          <w:color w:val="000000" w:themeColor="text1"/>
        </w:rPr>
      </w:pPr>
      <w:r w:rsidRPr="00AC78F4">
        <w:rPr>
          <w:rFonts w:ascii="Palatino Linotype" w:eastAsia="Palatino Linotype" w:hAnsi="Palatino Linotype" w:cs="Palatino Linotype"/>
          <w:b/>
          <w:color w:val="000000" w:themeColor="text1"/>
        </w:rPr>
        <w:t xml:space="preserve">SEXTO. </w:t>
      </w:r>
      <w:r w:rsidRPr="00AC78F4">
        <w:rPr>
          <w:rFonts w:ascii="Palatino Linotype" w:eastAsia="Palatino Linotype" w:hAnsi="Palatino Linotype" w:cs="Palatino Linotype"/>
          <w:color w:val="000000" w:themeColor="text1"/>
        </w:rPr>
        <w:t>Se hace del conocimiento del</w:t>
      </w:r>
      <w:r w:rsidRPr="00AC78F4">
        <w:rPr>
          <w:rFonts w:ascii="Palatino Linotype" w:eastAsia="Palatino Linotype" w:hAnsi="Palatino Linotype" w:cs="Palatino Linotype"/>
          <w:b/>
          <w:color w:val="000000" w:themeColor="text1"/>
        </w:rPr>
        <w:t xml:space="preserve"> Recurrente </w:t>
      </w:r>
      <w:r w:rsidRPr="00AC78F4">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BF00E9" w:rsidRPr="00AC78F4" w:rsidRDefault="00BF00E9" w:rsidP="00BF00E9">
      <w:pPr>
        <w:spacing w:line="360" w:lineRule="auto"/>
        <w:ind w:right="-787"/>
        <w:jc w:val="both"/>
        <w:rPr>
          <w:rFonts w:ascii="Palatino Linotype" w:eastAsia="Palatino Linotype" w:hAnsi="Palatino Linotype" w:cs="Palatino Linotype"/>
          <w:b/>
        </w:rPr>
      </w:pPr>
    </w:p>
    <w:p w:rsidR="00233990" w:rsidRPr="00AC78F4" w:rsidRDefault="00233990" w:rsidP="00233990">
      <w:pPr>
        <w:spacing w:before="240" w:after="240" w:line="360" w:lineRule="auto"/>
        <w:ind w:right="-716" w:firstLine="1"/>
        <w:jc w:val="both"/>
        <w:rPr>
          <w:rFonts w:ascii="Palatino Linotype" w:hAnsi="Palatino Linotype"/>
        </w:rPr>
      </w:pPr>
      <w:bookmarkStart w:id="11" w:name="_heading=h.6fdsxojh0ru1" w:colFirst="0" w:colLast="0"/>
      <w:bookmarkStart w:id="12" w:name="_Hlk99014733"/>
      <w:bookmarkEnd w:id="11"/>
      <w:r w:rsidRPr="00AC78F4">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AC78F4">
        <w:rPr>
          <w:rFonts w:ascii="Palatino Linotype" w:hAnsi="Palatino Linotype" w:cs="Palatino Linotype"/>
        </w:rPr>
        <w:lastRenderedPageBreak/>
        <w:t xml:space="preserve">GUADALUPE RAMÍREZ PEÑA; EN LA DÉCIMA CUARTA SESIÓN ORDINARIA, CELEBRADA EL VEINTIDÓS (22) DE ABRIL DE DOS MIL VEINTISÉIS, ANTE EL SECRETARIO TÉCNICO DEL PLENO </w:t>
      </w:r>
      <w:r w:rsidRPr="00AC78F4">
        <w:rPr>
          <w:rFonts w:ascii="Palatino Linotype" w:hAnsi="Palatino Linotype" w:cs="Palatino Linotype"/>
          <w:color w:val="000000" w:themeColor="text1"/>
        </w:rPr>
        <w:t>ALEXIS TAPIA RAMÍREZ.</w:t>
      </w:r>
    </w:p>
    <w:bookmarkEnd w:id="12"/>
    <w:p w:rsidR="00BF00E9" w:rsidRPr="00AC78F4" w:rsidRDefault="00BF00E9" w:rsidP="00BF00E9">
      <w:pPr>
        <w:spacing w:line="360" w:lineRule="auto"/>
        <w:ind w:right="-787"/>
        <w:rPr>
          <w:rFonts w:ascii="Palatino Linotype" w:eastAsia="Palatino Linotype" w:hAnsi="Palatino Linotype" w:cs="Palatino Linotype"/>
        </w:rPr>
      </w:pPr>
    </w:p>
    <w:p w:rsidR="00BF00E9" w:rsidRPr="00AC78F4" w:rsidRDefault="00BF00E9" w:rsidP="00BF00E9">
      <w:pPr>
        <w:tabs>
          <w:tab w:val="left" w:pos="3374"/>
        </w:tabs>
        <w:spacing w:line="360" w:lineRule="auto"/>
        <w:ind w:right="-787"/>
        <w:rPr>
          <w:rFonts w:ascii="Palatino Linotype" w:eastAsia="Palatino Linotype" w:hAnsi="Palatino Linotype" w:cs="Palatino Linotype"/>
        </w:rPr>
      </w:pPr>
      <w:bookmarkStart w:id="13" w:name="_heading=h.lnxbz9" w:colFirst="0" w:colLast="0"/>
      <w:bookmarkEnd w:id="13"/>
    </w:p>
    <w:p w:rsidR="00755967" w:rsidRDefault="00755967"/>
    <w:p w:rsidR="00AC78F4" w:rsidRDefault="00AC78F4"/>
    <w:p w:rsidR="00AC78F4" w:rsidRDefault="00AC78F4"/>
    <w:p w:rsidR="00AC78F4" w:rsidRDefault="00AC78F4"/>
    <w:p w:rsidR="00AC78F4" w:rsidRDefault="00AC78F4"/>
    <w:p w:rsidR="00AC78F4" w:rsidRDefault="00AC78F4"/>
    <w:p w:rsidR="00AC78F4" w:rsidRDefault="00AC78F4"/>
    <w:p w:rsidR="00AC78F4" w:rsidRDefault="00AC78F4"/>
    <w:p w:rsidR="00AC78F4" w:rsidRDefault="00AC78F4"/>
    <w:p w:rsidR="00AC78F4" w:rsidRDefault="00AC78F4"/>
    <w:p w:rsidR="00AC78F4" w:rsidRDefault="00AC78F4"/>
    <w:p w:rsidR="00AC78F4" w:rsidRDefault="00AC78F4"/>
    <w:p w:rsidR="00AC78F4" w:rsidRDefault="00AC78F4"/>
    <w:p w:rsidR="00AC78F4" w:rsidRDefault="00AC78F4"/>
    <w:p w:rsidR="00AC78F4" w:rsidRDefault="00AC78F4"/>
    <w:p w:rsidR="00AC78F4" w:rsidRDefault="00AC78F4"/>
    <w:p w:rsidR="00AC78F4" w:rsidRDefault="00AC78F4"/>
    <w:p w:rsidR="00AC78F4" w:rsidRDefault="00AC78F4"/>
    <w:p w:rsidR="00AC78F4" w:rsidRDefault="00AC78F4"/>
    <w:p w:rsidR="00AC78F4" w:rsidRDefault="00AC78F4"/>
    <w:p w:rsidR="00AC78F4" w:rsidRDefault="00AC78F4"/>
    <w:p w:rsidR="00AC78F4" w:rsidRDefault="00AC78F4"/>
    <w:p w:rsidR="00AC78F4" w:rsidRDefault="00AC78F4"/>
    <w:p w:rsidR="00AC78F4" w:rsidRDefault="00AC78F4"/>
    <w:p w:rsidR="00AC78F4" w:rsidRDefault="00AC78F4"/>
    <w:p w:rsidR="00AC78F4" w:rsidRDefault="00AC78F4"/>
    <w:p w:rsidR="00AC78F4" w:rsidRDefault="00AC78F4"/>
    <w:p w:rsidR="00AC78F4" w:rsidRDefault="00AC78F4"/>
    <w:p w:rsidR="00AC78F4" w:rsidRDefault="00AC78F4"/>
    <w:p w:rsidR="00AC78F4" w:rsidRDefault="00AC78F4"/>
    <w:p w:rsidR="00AC78F4" w:rsidRDefault="00AC78F4"/>
    <w:p w:rsidR="00AC78F4" w:rsidRDefault="00AC78F4"/>
    <w:p w:rsidR="00AC78F4" w:rsidRDefault="00AC78F4"/>
    <w:p w:rsidR="00AC78F4" w:rsidRPr="00AC78F4" w:rsidRDefault="00AC78F4"/>
    <w:sectPr w:rsidR="00AC78F4" w:rsidRPr="00AC78F4">
      <w:headerReference w:type="even" r:id="rId13"/>
      <w:headerReference w:type="default" r:id="rId14"/>
      <w:footerReference w:type="default" r:id="rId15"/>
      <w:headerReference w:type="first" r:id="rId16"/>
      <w:footerReference w:type="first" r:id="rId17"/>
      <w:pgSz w:w="12240" w:h="15840"/>
      <w:pgMar w:top="2268" w:right="1474"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39B" w:rsidRDefault="005C439B" w:rsidP="009E12F8">
      <w:r>
        <w:separator/>
      </w:r>
    </w:p>
  </w:endnote>
  <w:endnote w:type="continuationSeparator" w:id="0">
    <w:p w:rsidR="005C439B" w:rsidRDefault="005C439B" w:rsidP="009E1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464" w:rsidRPr="00AC78F4" w:rsidRDefault="00B6246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AC78F4">
      <w:rPr>
        <w:rFonts w:ascii="Palatino Linotype" w:eastAsia="Palatino Linotype" w:hAnsi="Palatino Linotype" w:cs="Palatino Linotype"/>
        <w:color w:val="000000"/>
        <w:sz w:val="22"/>
        <w:szCs w:val="20"/>
      </w:rPr>
      <w:t xml:space="preserve">Página </w:t>
    </w:r>
    <w:r w:rsidRPr="00AC78F4">
      <w:rPr>
        <w:rFonts w:ascii="Palatino Linotype" w:eastAsia="Palatino Linotype" w:hAnsi="Palatino Linotype" w:cs="Palatino Linotype"/>
        <w:color w:val="000000"/>
        <w:sz w:val="22"/>
        <w:szCs w:val="20"/>
      </w:rPr>
      <w:fldChar w:fldCharType="begin"/>
    </w:r>
    <w:r w:rsidRPr="00AC78F4">
      <w:rPr>
        <w:rFonts w:ascii="Palatino Linotype" w:eastAsia="Palatino Linotype" w:hAnsi="Palatino Linotype" w:cs="Palatino Linotype"/>
        <w:color w:val="000000"/>
        <w:sz w:val="22"/>
        <w:szCs w:val="20"/>
      </w:rPr>
      <w:instrText>PAGE</w:instrText>
    </w:r>
    <w:r w:rsidRPr="00AC78F4">
      <w:rPr>
        <w:rFonts w:ascii="Palatino Linotype" w:eastAsia="Palatino Linotype" w:hAnsi="Palatino Linotype" w:cs="Palatino Linotype"/>
        <w:color w:val="000000"/>
        <w:sz w:val="22"/>
        <w:szCs w:val="20"/>
      </w:rPr>
      <w:fldChar w:fldCharType="separate"/>
    </w:r>
    <w:r w:rsidR="003D7073">
      <w:rPr>
        <w:rFonts w:ascii="Palatino Linotype" w:eastAsia="Palatino Linotype" w:hAnsi="Palatino Linotype" w:cs="Palatino Linotype"/>
        <w:noProof/>
        <w:color w:val="000000"/>
        <w:sz w:val="22"/>
        <w:szCs w:val="20"/>
      </w:rPr>
      <w:t>21</w:t>
    </w:r>
    <w:r w:rsidRPr="00AC78F4">
      <w:rPr>
        <w:rFonts w:ascii="Palatino Linotype" w:eastAsia="Palatino Linotype" w:hAnsi="Palatino Linotype" w:cs="Palatino Linotype"/>
        <w:color w:val="000000"/>
        <w:sz w:val="22"/>
        <w:szCs w:val="20"/>
      </w:rPr>
      <w:fldChar w:fldCharType="end"/>
    </w:r>
    <w:r w:rsidRPr="00AC78F4">
      <w:rPr>
        <w:rFonts w:ascii="Palatino Linotype" w:eastAsia="Palatino Linotype" w:hAnsi="Palatino Linotype" w:cs="Palatino Linotype"/>
        <w:color w:val="000000"/>
        <w:sz w:val="22"/>
        <w:szCs w:val="20"/>
      </w:rPr>
      <w:t xml:space="preserve"> de </w:t>
    </w:r>
    <w:r w:rsidRPr="00AC78F4">
      <w:rPr>
        <w:rFonts w:ascii="Palatino Linotype" w:eastAsia="Palatino Linotype" w:hAnsi="Palatino Linotype" w:cs="Palatino Linotype"/>
        <w:color w:val="000000"/>
        <w:sz w:val="22"/>
        <w:szCs w:val="20"/>
      </w:rPr>
      <w:fldChar w:fldCharType="begin"/>
    </w:r>
    <w:r w:rsidRPr="00AC78F4">
      <w:rPr>
        <w:rFonts w:ascii="Palatino Linotype" w:eastAsia="Palatino Linotype" w:hAnsi="Palatino Linotype" w:cs="Palatino Linotype"/>
        <w:color w:val="000000"/>
        <w:sz w:val="22"/>
        <w:szCs w:val="20"/>
      </w:rPr>
      <w:instrText>NUMPAGES</w:instrText>
    </w:r>
    <w:r w:rsidRPr="00AC78F4">
      <w:rPr>
        <w:rFonts w:ascii="Palatino Linotype" w:eastAsia="Palatino Linotype" w:hAnsi="Palatino Linotype" w:cs="Palatino Linotype"/>
        <w:color w:val="000000"/>
        <w:sz w:val="22"/>
        <w:szCs w:val="20"/>
      </w:rPr>
      <w:fldChar w:fldCharType="separate"/>
    </w:r>
    <w:r w:rsidR="003D7073">
      <w:rPr>
        <w:rFonts w:ascii="Palatino Linotype" w:eastAsia="Palatino Linotype" w:hAnsi="Palatino Linotype" w:cs="Palatino Linotype"/>
        <w:noProof/>
        <w:color w:val="000000"/>
        <w:sz w:val="22"/>
        <w:szCs w:val="20"/>
      </w:rPr>
      <w:t>38</w:t>
    </w:r>
    <w:r w:rsidRPr="00AC78F4">
      <w:rPr>
        <w:rFonts w:ascii="Palatino Linotype" w:eastAsia="Palatino Linotype" w:hAnsi="Palatino Linotype" w:cs="Palatino Linotype"/>
        <w:color w:val="000000"/>
        <w:sz w:val="22"/>
        <w:szCs w:val="20"/>
      </w:rPr>
      <w:fldChar w:fldCharType="end"/>
    </w:r>
  </w:p>
  <w:p w:rsidR="00B62464" w:rsidRDefault="00B6246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464" w:rsidRPr="00AC78F4" w:rsidRDefault="00B6246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AC78F4">
      <w:rPr>
        <w:rFonts w:ascii="Palatino Linotype" w:eastAsia="Palatino Linotype" w:hAnsi="Palatino Linotype" w:cs="Palatino Linotype"/>
        <w:color w:val="000000"/>
        <w:sz w:val="22"/>
        <w:szCs w:val="20"/>
      </w:rPr>
      <w:t xml:space="preserve">Página </w:t>
    </w:r>
    <w:r w:rsidRPr="00AC78F4">
      <w:rPr>
        <w:rFonts w:ascii="Palatino Linotype" w:eastAsia="Palatino Linotype" w:hAnsi="Palatino Linotype" w:cs="Palatino Linotype"/>
        <w:color w:val="000000"/>
        <w:sz w:val="22"/>
        <w:szCs w:val="20"/>
      </w:rPr>
      <w:fldChar w:fldCharType="begin"/>
    </w:r>
    <w:r w:rsidRPr="00AC78F4">
      <w:rPr>
        <w:rFonts w:ascii="Palatino Linotype" w:eastAsia="Palatino Linotype" w:hAnsi="Palatino Linotype" w:cs="Palatino Linotype"/>
        <w:color w:val="000000"/>
        <w:sz w:val="22"/>
        <w:szCs w:val="20"/>
      </w:rPr>
      <w:instrText>PAGE</w:instrText>
    </w:r>
    <w:r w:rsidRPr="00AC78F4">
      <w:rPr>
        <w:rFonts w:ascii="Palatino Linotype" w:eastAsia="Palatino Linotype" w:hAnsi="Palatino Linotype" w:cs="Palatino Linotype"/>
        <w:color w:val="000000"/>
        <w:sz w:val="22"/>
        <w:szCs w:val="20"/>
      </w:rPr>
      <w:fldChar w:fldCharType="separate"/>
    </w:r>
    <w:r w:rsidR="003D7073">
      <w:rPr>
        <w:rFonts w:ascii="Palatino Linotype" w:eastAsia="Palatino Linotype" w:hAnsi="Palatino Linotype" w:cs="Palatino Linotype"/>
        <w:noProof/>
        <w:color w:val="000000"/>
        <w:sz w:val="22"/>
        <w:szCs w:val="20"/>
      </w:rPr>
      <w:t>1</w:t>
    </w:r>
    <w:r w:rsidRPr="00AC78F4">
      <w:rPr>
        <w:rFonts w:ascii="Palatino Linotype" w:eastAsia="Palatino Linotype" w:hAnsi="Palatino Linotype" w:cs="Palatino Linotype"/>
        <w:color w:val="000000"/>
        <w:sz w:val="22"/>
        <w:szCs w:val="20"/>
      </w:rPr>
      <w:fldChar w:fldCharType="end"/>
    </w:r>
    <w:r w:rsidRPr="00AC78F4">
      <w:rPr>
        <w:rFonts w:ascii="Palatino Linotype" w:eastAsia="Palatino Linotype" w:hAnsi="Palatino Linotype" w:cs="Palatino Linotype"/>
        <w:color w:val="000000"/>
        <w:sz w:val="22"/>
        <w:szCs w:val="20"/>
      </w:rPr>
      <w:t xml:space="preserve"> de </w:t>
    </w:r>
    <w:r w:rsidRPr="00AC78F4">
      <w:rPr>
        <w:rFonts w:ascii="Palatino Linotype" w:eastAsia="Palatino Linotype" w:hAnsi="Palatino Linotype" w:cs="Palatino Linotype"/>
        <w:color w:val="000000"/>
        <w:sz w:val="22"/>
        <w:szCs w:val="20"/>
      </w:rPr>
      <w:fldChar w:fldCharType="begin"/>
    </w:r>
    <w:r w:rsidRPr="00AC78F4">
      <w:rPr>
        <w:rFonts w:ascii="Palatino Linotype" w:eastAsia="Palatino Linotype" w:hAnsi="Palatino Linotype" w:cs="Palatino Linotype"/>
        <w:color w:val="000000"/>
        <w:sz w:val="22"/>
        <w:szCs w:val="20"/>
      </w:rPr>
      <w:instrText>NUMPAGES</w:instrText>
    </w:r>
    <w:r w:rsidRPr="00AC78F4">
      <w:rPr>
        <w:rFonts w:ascii="Palatino Linotype" w:eastAsia="Palatino Linotype" w:hAnsi="Palatino Linotype" w:cs="Palatino Linotype"/>
        <w:color w:val="000000"/>
        <w:sz w:val="22"/>
        <w:szCs w:val="20"/>
      </w:rPr>
      <w:fldChar w:fldCharType="separate"/>
    </w:r>
    <w:r w:rsidR="003D7073">
      <w:rPr>
        <w:rFonts w:ascii="Palatino Linotype" w:eastAsia="Palatino Linotype" w:hAnsi="Palatino Linotype" w:cs="Palatino Linotype"/>
        <w:noProof/>
        <w:color w:val="000000"/>
        <w:sz w:val="22"/>
        <w:szCs w:val="20"/>
      </w:rPr>
      <w:t>38</w:t>
    </w:r>
    <w:r w:rsidRPr="00AC78F4">
      <w:rPr>
        <w:rFonts w:ascii="Palatino Linotype" w:eastAsia="Palatino Linotype" w:hAnsi="Palatino Linotype" w:cs="Palatino Linotype"/>
        <w:color w:val="000000"/>
        <w:sz w:val="22"/>
        <w:szCs w:val="20"/>
      </w:rPr>
      <w:fldChar w:fldCharType="end"/>
    </w:r>
  </w:p>
  <w:p w:rsidR="00B62464" w:rsidRDefault="00B6246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39B" w:rsidRDefault="005C439B" w:rsidP="009E12F8">
      <w:r>
        <w:separator/>
      </w:r>
    </w:p>
  </w:footnote>
  <w:footnote w:type="continuationSeparator" w:id="0">
    <w:p w:rsidR="005C439B" w:rsidRDefault="005C439B" w:rsidP="009E12F8">
      <w:r>
        <w:continuationSeparator/>
      </w:r>
    </w:p>
  </w:footnote>
  <w:footnote w:id="1">
    <w:p w:rsidR="00B62464" w:rsidRDefault="00B62464" w:rsidP="0098628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B62464" w:rsidRDefault="00B62464" w:rsidP="0098628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B62464" w:rsidRDefault="00B62464" w:rsidP="0098628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B62464" w:rsidRDefault="00B62464" w:rsidP="0098628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464" w:rsidRDefault="005C439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margin-left:0;margin-top:0;width:609.4pt;height:793.75pt;z-index:-25165516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7938" w:type="dxa"/>
      <w:tblInd w:w="2127" w:type="dxa"/>
      <w:tblLayout w:type="fixed"/>
      <w:tblLook w:val="0400" w:firstRow="0" w:lastRow="0" w:firstColumn="0" w:lastColumn="0" w:noHBand="0" w:noVBand="1"/>
    </w:tblPr>
    <w:tblGrid>
      <w:gridCol w:w="3119"/>
      <w:gridCol w:w="4819"/>
    </w:tblGrid>
    <w:tr w:rsidR="00B62464" w:rsidTr="00AC78F4">
      <w:trPr>
        <w:trHeight w:val="227"/>
      </w:trPr>
      <w:tc>
        <w:tcPr>
          <w:tcW w:w="3119" w:type="dxa"/>
        </w:tcPr>
        <w:p w:rsidR="00B62464" w:rsidRPr="00A864CF" w:rsidRDefault="00B62464" w:rsidP="00B62464">
          <w:pPr>
            <w:jc w:val="right"/>
            <w:rPr>
              <w:rFonts w:ascii="Palatino Linotype" w:eastAsia="Palatino Linotype" w:hAnsi="Palatino Linotype" w:cs="Palatino Linotype"/>
              <w:b/>
              <w:szCs w:val="22"/>
            </w:rPr>
          </w:pPr>
          <w:r w:rsidRPr="00A864CF">
            <w:rPr>
              <w:rFonts w:ascii="Palatino Linotype" w:eastAsia="Palatino Linotype" w:hAnsi="Palatino Linotype" w:cs="Palatino Linotype"/>
              <w:b/>
              <w:szCs w:val="22"/>
            </w:rPr>
            <w:t>Recurso de Revisión:</w:t>
          </w:r>
        </w:p>
      </w:tc>
      <w:tc>
        <w:tcPr>
          <w:tcW w:w="4819" w:type="dxa"/>
        </w:tcPr>
        <w:p w:rsidR="00B62464" w:rsidRPr="00A864CF" w:rsidRDefault="00B62464" w:rsidP="00B62464">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Pr>
              <w:rFonts w:ascii="Palatino Linotype" w:eastAsia="Palatino Linotype" w:hAnsi="Palatino Linotype" w:cs="Palatino Linotype"/>
              <w:color w:val="000000"/>
              <w:szCs w:val="22"/>
            </w:rPr>
            <w:t>11103</w:t>
          </w:r>
          <w:r w:rsidRPr="00A864CF">
            <w:rPr>
              <w:rFonts w:ascii="Palatino Linotype" w:eastAsia="Palatino Linotype" w:hAnsi="Palatino Linotype" w:cs="Palatino Linotype"/>
              <w:color w:val="000000"/>
              <w:szCs w:val="22"/>
            </w:rPr>
            <w:t>/INFOEM/IP/RR/2025</w:t>
          </w:r>
        </w:p>
      </w:tc>
    </w:tr>
    <w:tr w:rsidR="00B62464" w:rsidTr="00AC78F4">
      <w:trPr>
        <w:trHeight w:val="342"/>
      </w:trPr>
      <w:tc>
        <w:tcPr>
          <w:tcW w:w="3119" w:type="dxa"/>
        </w:tcPr>
        <w:p w:rsidR="00B62464" w:rsidRPr="00A864CF" w:rsidRDefault="00B62464" w:rsidP="00B62464">
          <w:pPr>
            <w:jc w:val="right"/>
            <w:rPr>
              <w:rFonts w:ascii="Palatino Linotype" w:eastAsia="Palatino Linotype" w:hAnsi="Palatino Linotype" w:cs="Palatino Linotype"/>
              <w:b/>
              <w:szCs w:val="22"/>
            </w:rPr>
          </w:pPr>
          <w:r w:rsidRPr="00A864CF">
            <w:rPr>
              <w:rFonts w:ascii="Palatino Linotype" w:eastAsia="Palatino Linotype" w:hAnsi="Palatino Linotype" w:cs="Palatino Linotype"/>
              <w:b/>
              <w:szCs w:val="22"/>
            </w:rPr>
            <w:t>Sujeto Obligado:</w:t>
          </w:r>
        </w:p>
      </w:tc>
      <w:tc>
        <w:tcPr>
          <w:tcW w:w="4819" w:type="dxa"/>
        </w:tcPr>
        <w:p w:rsidR="00B62464" w:rsidRPr="00A864CF" w:rsidRDefault="00B62464" w:rsidP="00B62464">
          <w:pPr>
            <w:pBdr>
              <w:top w:val="nil"/>
              <w:left w:val="nil"/>
              <w:bottom w:val="nil"/>
              <w:right w:val="nil"/>
              <w:between w:val="nil"/>
            </w:pBdr>
            <w:tabs>
              <w:tab w:val="right" w:pos="8838"/>
            </w:tabs>
            <w:jc w:val="both"/>
            <w:rPr>
              <w:rFonts w:ascii="Palatino Linotype" w:eastAsia="Palatino Linotype" w:hAnsi="Palatino Linotype" w:cs="Palatino Linotype"/>
              <w:color w:val="000000"/>
              <w:szCs w:val="22"/>
              <w:highlight w:val="green"/>
            </w:rPr>
          </w:pPr>
          <w:r w:rsidRPr="009E12F8">
            <w:rPr>
              <w:rFonts w:ascii="Palatino Linotype" w:eastAsia="Palatino Linotype" w:hAnsi="Palatino Linotype" w:cs="Palatino Linotype"/>
              <w:color w:val="000000"/>
              <w:szCs w:val="22"/>
            </w:rPr>
            <w:t>Universidad Autónoma del Estado México</w:t>
          </w:r>
        </w:p>
      </w:tc>
    </w:tr>
    <w:tr w:rsidR="00B62464" w:rsidTr="00AC78F4">
      <w:trPr>
        <w:trHeight w:val="342"/>
      </w:trPr>
      <w:tc>
        <w:tcPr>
          <w:tcW w:w="3119" w:type="dxa"/>
        </w:tcPr>
        <w:p w:rsidR="00B62464" w:rsidRPr="00A864CF" w:rsidRDefault="00B62464" w:rsidP="00B62464">
          <w:pPr>
            <w:jc w:val="right"/>
            <w:rPr>
              <w:rFonts w:ascii="Palatino Linotype" w:eastAsia="Palatino Linotype" w:hAnsi="Palatino Linotype" w:cs="Palatino Linotype"/>
              <w:b/>
              <w:szCs w:val="22"/>
            </w:rPr>
          </w:pPr>
          <w:r w:rsidRPr="00A864CF">
            <w:rPr>
              <w:rFonts w:ascii="Palatino Linotype" w:eastAsia="Palatino Linotype" w:hAnsi="Palatino Linotype" w:cs="Palatino Linotype"/>
              <w:b/>
              <w:szCs w:val="22"/>
            </w:rPr>
            <w:t>Comisionada Ponente:</w:t>
          </w:r>
        </w:p>
      </w:tc>
      <w:tc>
        <w:tcPr>
          <w:tcW w:w="4819" w:type="dxa"/>
        </w:tcPr>
        <w:p w:rsidR="00B62464" w:rsidRPr="00A864CF" w:rsidRDefault="00B62464" w:rsidP="00B62464">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A864CF">
            <w:rPr>
              <w:rFonts w:ascii="Palatino Linotype" w:eastAsia="Palatino Linotype" w:hAnsi="Palatino Linotype" w:cs="Palatino Linotype"/>
              <w:color w:val="000000"/>
              <w:szCs w:val="22"/>
            </w:rPr>
            <w:t>María del Rosario Mejía Ayala</w:t>
          </w:r>
        </w:p>
      </w:tc>
    </w:tr>
  </w:tbl>
  <w:p w:rsidR="00B62464" w:rsidRDefault="005C439B">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margin-left:-82.3pt;margin-top:-130.5pt;width:609.4pt;height:793.75pt;z-index:-25165721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7797" w:type="dxa"/>
      <w:tblInd w:w="2268" w:type="dxa"/>
      <w:tblLayout w:type="fixed"/>
      <w:tblLook w:val="0400" w:firstRow="0" w:lastRow="0" w:firstColumn="0" w:lastColumn="0" w:noHBand="0" w:noVBand="1"/>
    </w:tblPr>
    <w:tblGrid>
      <w:gridCol w:w="2977"/>
      <w:gridCol w:w="4820"/>
    </w:tblGrid>
    <w:tr w:rsidR="00B62464" w:rsidTr="00AC78F4">
      <w:trPr>
        <w:trHeight w:val="227"/>
      </w:trPr>
      <w:tc>
        <w:tcPr>
          <w:tcW w:w="2977" w:type="dxa"/>
        </w:tcPr>
        <w:p w:rsidR="00B62464" w:rsidRPr="00A864CF" w:rsidRDefault="00B62464">
          <w:pPr>
            <w:jc w:val="right"/>
            <w:rPr>
              <w:rFonts w:ascii="Palatino Linotype" w:eastAsia="Palatino Linotype" w:hAnsi="Palatino Linotype" w:cs="Palatino Linotype"/>
              <w:b/>
              <w:szCs w:val="22"/>
            </w:rPr>
          </w:pPr>
          <w:r w:rsidRPr="00A864CF">
            <w:rPr>
              <w:rFonts w:ascii="Palatino Linotype" w:eastAsia="Palatino Linotype" w:hAnsi="Palatino Linotype" w:cs="Palatino Linotype"/>
              <w:b/>
              <w:szCs w:val="22"/>
            </w:rPr>
            <w:t>Recurso de Revisión:</w:t>
          </w:r>
        </w:p>
      </w:tc>
      <w:tc>
        <w:tcPr>
          <w:tcW w:w="4820" w:type="dxa"/>
        </w:tcPr>
        <w:p w:rsidR="00B62464" w:rsidRPr="00A864CF" w:rsidRDefault="00B62464" w:rsidP="00AC78F4">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Pr>
              <w:rFonts w:ascii="Palatino Linotype" w:eastAsia="Palatino Linotype" w:hAnsi="Palatino Linotype" w:cs="Palatino Linotype"/>
              <w:color w:val="000000"/>
              <w:szCs w:val="22"/>
            </w:rPr>
            <w:t>11103</w:t>
          </w:r>
          <w:r w:rsidRPr="00A864CF">
            <w:rPr>
              <w:rFonts w:ascii="Palatino Linotype" w:eastAsia="Palatino Linotype" w:hAnsi="Palatino Linotype" w:cs="Palatino Linotype"/>
              <w:color w:val="000000"/>
              <w:szCs w:val="22"/>
            </w:rPr>
            <w:t>/INFOEM/IP/RR/2025</w:t>
          </w:r>
        </w:p>
      </w:tc>
    </w:tr>
    <w:tr w:rsidR="00B62464" w:rsidTr="00AC78F4">
      <w:trPr>
        <w:trHeight w:val="242"/>
      </w:trPr>
      <w:tc>
        <w:tcPr>
          <w:tcW w:w="2977" w:type="dxa"/>
        </w:tcPr>
        <w:p w:rsidR="00B62464" w:rsidRPr="00A864CF" w:rsidRDefault="00B62464">
          <w:pPr>
            <w:jc w:val="right"/>
            <w:rPr>
              <w:rFonts w:ascii="Palatino Linotype" w:eastAsia="Palatino Linotype" w:hAnsi="Palatino Linotype" w:cs="Palatino Linotype"/>
              <w:b/>
              <w:szCs w:val="22"/>
            </w:rPr>
          </w:pPr>
          <w:r w:rsidRPr="00A864CF">
            <w:rPr>
              <w:rFonts w:ascii="Palatino Linotype" w:eastAsia="Palatino Linotype" w:hAnsi="Palatino Linotype" w:cs="Palatino Linotype"/>
              <w:b/>
              <w:szCs w:val="22"/>
            </w:rPr>
            <w:t>Recurrente:</w:t>
          </w:r>
        </w:p>
      </w:tc>
      <w:tc>
        <w:tcPr>
          <w:tcW w:w="4820" w:type="dxa"/>
        </w:tcPr>
        <w:p w:rsidR="00B62464" w:rsidRPr="00A864CF" w:rsidRDefault="003D7073" w:rsidP="00AC78F4">
          <w:pPr>
            <w:rPr>
              <w:rFonts w:ascii="Palatino Linotype" w:eastAsia="Palatino Linotype" w:hAnsi="Palatino Linotype" w:cs="Palatino Linotype"/>
              <w:color w:val="000000"/>
              <w:szCs w:val="22"/>
              <w:highlight w:val="green"/>
            </w:rPr>
          </w:pPr>
          <w:r>
            <w:rPr>
              <w:rFonts w:ascii="Palatino Linotype" w:eastAsia="Palatino Linotype" w:hAnsi="Palatino Linotype" w:cs="Palatino Linotype"/>
              <w:color w:val="000000"/>
              <w:szCs w:val="22"/>
            </w:rPr>
            <w:t>XXXX</w:t>
          </w:r>
        </w:p>
      </w:tc>
    </w:tr>
    <w:tr w:rsidR="00B62464" w:rsidTr="00AC78F4">
      <w:trPr>
        <w:trHeight w:val="342"/>
      </w:trPr>
      <w:tc>
        <w:tcPr>
          <w:tcW w:w="2977" w:type="dxa"/>
        </w:tcPr>
        <w:p w:rsidR="00B62464" w:rsidRPr="00A864CF" w:rsidRDefault="00B62464">
          <w:pPr>
            <w:jc w:val="right"/>
            <w:rPr>
              <w:rFonts w:ascii="Palatino Linotype" w:eastAsia="Palatino Linotype" w:hAnsi="Palatino Linotype" w:cs="Palatino Linotype"/>
              <w:b/>
              <w:szCs w:val="22"/>
            </w:rPr>
          </w:pPr>
          <w:r w:rsidRPr="00A864CF">
            <w:rPr>
              <w:rFonts w:ascii="Palatino Linotype" w:eastAsia="Palatino Linotype" w:hAnsi="Palatino Linotype" w:cs="Palatino Linotype"/>
              <w:b/>
              <w:szCs w:val="22"/>
            </w:rPr>
            <w:t>Sujeto Obligado:</w:t>
          </w:r>
        </w:p>
      </w:tc>
      <w:tc>
        <w:tcPr>
          <w:tcW w:w="4820" w:type="dxa"/>
        </w:tcPr>
        <w:p w:rsidR="00B62464" w:rsidRPr="00A864CF" w:rsidRDefault="00B62464" w:rsidP="00AC78F4">
          <w:pPr>
            <w:pBdr>
              <w:top w:val="nil"/>
              <w:left w:val="nil"/>
              <w:bottom w:val="nil"/>
              <w:right w:val="nil"/>
              <w:between w:val="nil"/>
            </w:pBdr>
            <w:tabs>
              <w:tab w:val="right" w:pos="8838"/>
            </w:tabs>
            <w:rPr>
              <w:rFonts w:ascii="Palatino Linotype" w:eastAsia="Palatino Linotype" w:hAnsi="Palatino Linotype" w:cs="Palatino Linotype"/>
              <w:color w:val="000000"/>
              <w:szCs w:val="22"/>
              <w:highlight w:val="green"/>
            </w:rPr>
          </w:pPr>
          <w:r>
            <w:rPr>
              <w:rFonts w:ascii="Palatino Linotype" w:eastAsia="Palatino Linotype" w:hAnsi="Palatino Linotype" w:cs="Palatino Linotype"/>
              <w:color w:val="000000"/>
              <w:szCs w:val="22"/>
            </w:rPr>
            <w:t>Universidad Autónoma del Estado México</w:t>
          </w:r>
        </w:p>
      </w:tc>
    </w:tr>
    <w:tr w:rsidR="00B62464" w:rsidTr="00AC78F4">
      <w:trPr>
        <w:trHeight w:val="342"/>
      </w:trPr>
      <w:tc>
        <w:tcPr>
          <w:tcW w:w="2977" w:type="dxa"/>
        </w:tcPr>
        <w:p w:rsidR="00B62464" w:rsidRPr="00A864CF" w:rsidRDefault="00B62464">
          <w:pPr>
            <w:jc w:val="right"/>
            <w:rPr>
              <w:rFonts w:ascii="Palatino Linotype" w:eastAsia="Palatino Linotype" w:hAnsi="Palatino Linotype" w:cs="Palatino Linotype"/>
              <w:b/>
              <w:szCs w:val="22"/>
            </w:rPr>
          </w:pPr>
          <w:r w:rsidRPr="00A864CF">
            <w:rPr>
              <w:rFonts w:ascii="Palatino Linotype" w:eastAsia="Palatino Linotype" w:hAnsi="Palatino Linotype" w:cs="Palatino Linotype"/>
              <w:b/>
              <w:szCs w:val="22"/>
            </w:rPr>
            <w:t>Comisionada Ponente:</w:t>
          </w:r>
        </w:p>
      </w:tc>
      <w:tc>
        <w:tcPr>
          <w:tcW w:w="4820" w:type="dxa"/>
        </w:tcPr>
        <w:p w:rsidR="00B62464" w:rsidRPr="00A864CF" w:rsidRDefault="00B62464" w:rsidP="00AC78F4">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A864CF">
            <w:rPr>
              <w:rFonts w:ascii="Palatino Linotype" w:eastAsia="Palatino Linotype" w:hAnsi="Palatino Linotype" w:cs="Palatino Linotype"/>
              <w:color w:val="000000"/>
              <w:szCs w:val="22"/>
            </w:rPr>
            <w:t>María del Rosario Mejía Ayala</w:t>
          </w:r>
        </w:p>
      </w:tc>
    </w:tr>
  </w:tbl>
  <w:p w:rsidR="00B62464" w:rsidRDefault="005C439B">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78.95pt;margin-top:-114.55pt;width:609.4pt;height:793.75pt;z-index:-25165619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6368"/>
    <w:multiLevelType w:val="multilevel"/>
    <w:tmpl w:val="D7B01A7E"/>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F5283B"/>
    <w:multiLevelType w:val="hybridMultilevel"/>
    <w:tmpl w:val="36BC37B8"/>
    <w:lvl w:ilvl="0" w:tplc="080A0011">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15:restartNumberingAfterBreak="0">
    <w:nsid w:val="1C3F59CB"/>
    <w:multiLevelType w:val="hybridMultilevel"/>
    <w:tmpl w:val="36BC37B8"/>
    <w:lvl w:ilvl="0" w:tplc="080A0011">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EF6942"/>
    <w:multiLevelType w:val="hybridMultilevel"/>
    <w:tmpl w:val="36BC37B8"/>
    <w:lvl w:ilvl="0" w:tplc="080A0011">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 w15:restartNumberingAfterBreak="0">
    <w:nsid w:val="2B7B50D6"/>
    <w:multiLevelType w:val="multilevel"/>
    <w:tmpl w:val="E2487F1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6"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0839D1"/>
    <w:multiLevelType w:val="hybridMultilevel"/>
    <w:tmpl w:val="3AC4BEBC"/>
    <w:lvl w:ilvl="0" w:tplc="F0A0BF90">
      <w:start w:val="1"/>
      <w:numFmt w:val="decimal"/>
      <w:lvlText w:val="%1."/>
      <w:lvlJc w:val="left"/>
      <w:pPr>
        <w:ind w:left="360"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E064666"/>
    <w:multiLevelType w:val="hybridMultilevel"/>
    <w:tmpl w:val="5524C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1694311"/>
    <w:multiLevelType w:val="multilevel"/>
    <w:tmpl w:val="5A5E1D8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0" w15:restartNumberingAfterBreak="0">
    <w:nsid w:val="6B51414B"/>
    <w:multiLevelType w:val="multilevel"/>
    <w:tmpl w:val="1F86AC3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5"/>
  </w:num>
  <w:num w:numId="2">
    <w:abstractNumId w:val="0"/>
  </w:num>
  <w:num w:numId="3">
    <w:abstractNumId w:val="9"/>
  </w:num>
  <w:num w:numId="4">
    <w:abstractNumId w:val="3"/>
  </w:num>
  <w:num w:numId="5">
    <w:abstractNumId w:val="2"/>
  </w:num>
  <w:num w:numId="6">
    <w:abstractNumId w:val="6"/>
  </w:num>
  <w:num w:numId="7">
    <w:abstractNumId w:val="8"/>
  </w:num>
  <w:num w:numId="8">
    <w:abstractNumId w:val="1"/>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E9"/>
    <w:rsid w:val="001214D0"/>
    <w:rsid w:val="001325F5"/>
    <w:rsid w:val="00171D4C"/>
    <w:rsid w:val="001E4486"/>
    <w:rsid w:val="00233990"/>
    <w:rsid w:val="002C3720"/>
    <w:rsid w:val="00372873"/>
    <w:rsid w:val="003D7073"/>
    <w:rsid w:val="00443DBF"/>
    <w:rsid w:val="00443F09"/>
    <w:rsid w:val="00490727"/>
    <w:rsid w:val="004A2CF4"/>
    <w:rsid w:val="004A4A2A"/>
    <w:rsid w:val="00542AB9"/>
    <w:rsid w:val="005C439B"/>
    <w:rsid w:val="005D085A"/>
    <w:rsid w:val="00650EB0"/>
    <w:rsid w:val="00673142"/>
    <w:rsid w:val="006A3F2B"/>
    <w:rsid w:val="00701A5D"/>
    <w:rsid w:val="007157F2"/>
    <w:rsid w:val="00755967"/>
    <w:rsid w:val="0078166B"/>
    <w:rsid w:val="00883B27"/>
    <w:rsid w:val="008B1F70"/>
    <w:rsid w:val="0098628B"/>
    <w:rsid w:val="009B1499"/>
    <w:rsid w:val="009E12F8"/>
    <w:rsid w:val="00AC78F4"/>
    <w:rsid w:val="00B62464"/>
    <w:rsid w:val="00BF00E9"/>
    <w:rsid w:val="00E33D5B"/>
    <w:rsid w:val="00E550F0"/>
    <w:rsid w:val="00EF5834"/>
    <w:rsid w:val="00F03BAE"/>
    <w:rsid w:val="00F075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69803D0-FEB4-45F9-82FD-DFE3FE96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F00E9"/>
    <w:pPr>
      <w:spacing w:after="0" w:line="240" w:lineRule="auto"/>
    </w:pPr>
    <w:rPr>
      <w:rFonts w:ascii="Calibri" w:eastAsia="Calibri" w:hAnsi="Calibri" w:cs="Calibri"/>
      <w:sz w:val="24"/>
      <w:szCs w:val="24"/>
      <w:lang w:val="es-ES_tradnl" w:eastAsia="es-MX"/>
    </w:rPr>
  </w:style>
  <w:style w:type="paragraph" w:styleId="Ttulo1">
    <w:name w:val="heading 1"/>
    <w:basedOn w:val="Normal"/>
    <w:next w:val="Normal"/>
    <w:link w:val="Ttulo1Car"/>
    <w:rsid w:val="00BF00E9"/>
    <w:pPr>
      <w:keepNext/>
      <w:keepLines/>
      <w:spacing w:before="240"/>
      <w:outlineLvl w:val="0"/>
    </w:pPr>
    <w:rPr>
      <w:color w:val="2F5496"/>
      <w:sz w:val="32"/>
      <w:szCs w:val="32"/>
    </w:rPr>
  </w:style>
  <w:style w:type="paragraph" w:styleId="Ttulo2">
    <w:name w:val="heading 2"/>
    <w:basedOn w:val="Normal"/>
    <w:next w:val="Normal"/>
    <w:link w:val="Ttulo2Car"/>
    <w:rsid w:val="00BF00E9"/>
    <w:pPr>
      <w:keepNext/>
      <w:keepLines/>
      <w:spacing w:before="40"/>
      <w:outlineLvl w:val="1"/>
    </w:pPr>
    <w:rPr>
      <w:color w:val="2F5496"/>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F00E9"/>
    <w:rPr>
      <w:rFonts w:ascii="Calibri" w:eastAsia="Calibri" w:hAnsi="Calibri" w:cs="Calibri"/>
      <w:color w:val="2F5496"/>
      <w:sz w:val="32"/>
      <w:szCs w:val="32"/>
      <w:lang w:val="es-ES_tradnl" w:eastAsia="es-MX"/>
    </w:rPr>
  </w:style>
  <w:style w:type="character" w:customStyle="1" w:styleId="Ttulo2Car">
    <w:name w:val="Título 2 Car"/>
    <w:basedOn w:val="Fuentedeprrafopredeter"/>
    <w:link w:val="Ttulo2"/>
    <w:rsid w:val="00BF00E9"/>
    <w:rPr>
      <w:rFonts w:ascii="Calibri" w:eastAsia="Calibri" w:hAnsi="Calibri" w:cs="Calibri"/>
      <w:color w:val="2F5496"/>
      <w:sz w:val="26"/>
      <w:szCs w:val="26"/>
      <w:lang w:val="es-ES_tradnl"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00E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00E9"/>
    <w:rPr>
      <w:rFonts w:ascii="Calibri" w:eastAsia="Calibri" w:hAnsi="Calibri" w:cs="Calibri"/>
      <w:sz w:val="24"/>
      <w:szCs w:val="24"/>
      <w:lang w:val="es-ES_tradnl" w:eastAsia="es-MX"/>
    </w:rPr>
  </w:style>
  <w:style w:type="character" w:styleId="Hipervnculo">
    <w:name w:val="Hyperlink"/>
    <w:aliases w:val="Hipervínculo1,Hipervínculo11,Hipervínculo12,Hipervínculo13,Hipervínculo14,Hipervínculo15"/>
    <w:basedOn w:val="Fuentedeprrafopredeter"/>
    <w:uiPriority w:val="99"/>
    <w:unhideWhenUsed/>
    <w:qFormat/>
    <w:rsid w:val="00BF00E9"/>
    <w:rPr>
      <w:color w:val="0563C1" w:themeColor="hyperlink"/>
      <w:u w:val="single"/>
    </w:rPr>
  </w:style>
  <w:style w:type="paragraph" w:styleId="NormalWeb">
    <w:name w:val="Normal (Web)"/>
    <w:basedOn w:val="Normal"/>
    <w:uiPriority w:val="99"/>
    <w:rsid w:val="00BF00E9"/>
    <w:pPr>
      <w:spacing w:before="100" w:beforeAutospacing="1" w:after="100" w:afterAutospacing="1"/>
    </w:pPr>
    <w:rPr>
      <w:rFonts w:ascii="Times New Roman" w:eastAsia="Times New Roman" w:hAnsi="Times New Roman" w:cs="Times New Roman"/>
      <w:lang w:val="es-ES"/>
    </w:rPr>
  </w:style>
  <w:style w:type="table" w:customStyle="1" w:styleId="1">
    <w:name w:val="1"/>
    <w:basedOn w:val="Tablanormal"/>
    <w:rsid w:val="00BF00E9"/>
    <w:pPr>
      <w:spacing w:after="0" w:line="240" w:lineRule="auto"/>
    </w:pPr>
    <w:rPr>
      <w:rFonts w:ascii="Calibri" w:eastAsia="Calibri" w:hAnsi="Calibri" w:cs="Calibri"/>
      <w:sz w:val="24"/>
      <w:szCs w:val="24"/>
      <w:lang w:val="es-ES_tradnl" w:eastAsia="es-MX"/>
    </w:rPr>
    <w:tblPr>
      <w:tblStyleRowBandSize w:val="1"/>
      <w:tblStyleColBandSize w:val="1"/>
      <w:tblInd w:w="0" w:type="nil"/>
      <w:tblCellMar>
        <w:left w:w="70" w:type="dxa"/>
        <w:right w:w="70" w:type="dxa"/>
      </w:tblCellMar>
    </w:tblPr>
  </w:style>
  <w:style w:type="paragraph" w:styleId="Piedepgina">
    <w:name w:val="footer"/>
    <w:basedOn w:val="Normal"/>
    <w:link w:val="PiedepginaCar"/>
    <w:uiPriority w:val="99"/>
    <w:unhideWhenUsed/>
    <w:rsid w:val="009E12F8"/>
    <w:pPr>
      <w:tabs>
        <w:tab w:val="center" w:pos="4419"/>
        <w:tab w:val="right" w:pos="8838"/>
      </w:tabs>
    </w:pPr>
  </w:style>
  <w:style w:type="character" w:customStyle="1" w:styleId="PiedepginaCar">
    <w:name w:val="Pie de página Car"/>
    <w:basedOn w:val="Fuentedeprrafopredeter"/>
    <w:link w:val="Piedepgina"/>
    <w:uiPriority w:val="99"/>
    <w:rsid w:val="009E12F8"/>
    <w:rPr>
      <w:rFonts w:ascii="Calibri" w:eastAsia="Calibri" w:hAnsi="Calibri" w:cs="Calibri"/>
      <w:sz w:val="24"/>
      <w:szCs w:val="24"/>
      <w:lang w:val="es-ES_tradnl" w:eastAsia="es-MX"/>
    </w:rPr>
  </w:style>
  <w:style w:type="table" w:styleId="Tablaconcuadrcula">
    <w:name w:val="Table Grid"/>
    <w:basedOn w:val="Tablanormal"/>
    <w:uiPriority w:val="39"/>
    <w:rsid w:val="00986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98628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0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61375-8716-46BB-9D4F-458DC8EA6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38</Pages>
  <Words>8429</Words>
  <Characters>46362</Characters>
  <Application>Microsoft Office Word</Application>
  <DocSecurity>0</DocSecurity>
  <Lines>386</Lines>
  <Paragraphs>109</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A N T E C E D E N T E S</vt:lpstr>
      <vt:lpstr>    TERCERO. Del planteamiento de la Litis.</vt:lpstr>
      <vt:lpstr>    CUARTO. Del estudio y resolución del asunto.</vt:lpstr>
      <vt:lpstr>Del derecho de acceso a la información.</vt:lpstr>
      <vt:lpstr>II. De la información solicitada y la respuesta del SUJETO OBLIGADO</vt:lpstr>
    </vt:vector>
  </TitlesOfParts>
  <Company>HP Inc.</Company>
  <LinksUpToDate>false</LinksUpToDate>
  <CharactersWithSpaces>54682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6</cp:revision>
  <dcterms:created xsi:type="dcterms:W3CDTF">2026-04-14T20:22:00Z</dcterms:created>
  <dcterms:modified xsi:type="dcterms:W3CDTF">2026-04-30T19:59:00Z</dcterms:modified>
</cp:coreProperties>
</file>