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E92431"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E92431">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E92431">
        <w:rPr>
          <w:rFonts w:ascii="Palatino Linotype" w:eastAsia="Palatino Linotype" w:hAnsi="Palatino Linotype" w:cs="Palatino Linotype"/>
          <w:sz w:val="22"/>
          <w:szCs w:val="22"/>
        </w:rPr>
        <w:t>diecisiete</w:t>
      </w:r>
      <w:r w:rsidR="00032509" w:rsidRPr="00E92431">
        <w:rPr>
          <w:rFonts w:ascii="Palatino Linotype" w:eastAsia="Palatino Linotype" w:hAnsi="Palatino Linotype" w:cs="Palatino Linotype"/>
          <w:sz w:val="22"/>
          <w:szCs w:val="22"/>
        </w:rPr>
        <w:t xml:space="preserve"> de septiembre</w:t>
      </w:r>
      <w:r w:rsidR="00E55CFA" w:rsidRPr="00E92431">
        <w:rPr>
          <w:rFonts w:ascii="Palatino Linotype" w:eastAsia="Palatino Linotype" w:hAnsi="Palatino Linotype" w:cs="Palatino Linotype"/>
          <w:sz w:val="22"/>
          <w:szCs w:val="22"/>
        </w:rPr>
        <w:t xml:space="preserve"> de dos mil veintiséis</w:t>
      </w:r>
      <w:r w:rsidRPr="00E92431">
        <w:rPr>
          <w:rFonts w:ascii="Palatino Linotype" w:eastAsia="Palatino Linotype" w:hAnsi="Palatino Linotype" w:cs="Palatino Linotype"/>
          <w:sz w:val="22"/>
          <w:szCs w:val="22"/>
        </w:rPr>
        <w:t xml:space="preserve">. </w:t>
      </w:r>
    </w:p>
    <w:p w14:paraId="13FC4B2B" w14:textId="77777777" w:rsidR="00532AE4" w:rsidRPr="00E92431" w:rsidRDefault="00532AE4">
      <w:pPr>
        <w:spacing w:line="360" w:lineRule="auto"/>
        <w:jc w:val="both"/>
        <w:rPr>
          <w:rFonts w:ascii="Palatino Linotype" w:eastAsia="Palatino Linotype" w:hAnsi="Palatino Linotype" w:cs="Palatino Linotype"/>
          <w:b/>
          <w:sz w:val="22"/>
          <w:szCs w:val="22"/>
        </w:rPr>
      </w:pPr>
    </w:p>
    <w:p w14:paraId="50DC799A" w14:textId="7B9C5FB0"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 xml:space="preserve">Visto </w:t>
      </w:r>
      <w:r w:rsidRPr="00E92431">
        <w:rPr>
          <w:rFonts w:ascii="Palatino Linotype" w:eastAsia="Palatino Linotype" w:hAnsi="Palatino Linotype" w:cs="Palatino Linotype"/>
          <w:sz w:val="22"/>
          <w:szCs w:val="22"/>
        </w:rPr>
        <w:t xml:space="preserve">el expediente relativo al recurso de revisión </w:t>
      </w:r>
      <w:r w:rsidR="008C1E2D" w:rsidRPr="00E92431">
        <w:rPr>
          <w:rFonts w:ascii="Palatino Linotype" w:eastAsia="Palatino Linotype" w:hAnsi="Palatino Linotype" w:cs="Palatino Linotype"/>
          <w:b/>
          <w:sz w:val="22"/>
          <w:szCs w:val="22"/>
        </w:rPr>
        <w:t>0</w:t>
      </w:r>
      <w:r w:rsidR="008E5D58" w:rsidRPr="00E92431">
        <w:rPr>
          <w:rFonts w:ascii="Palatino Linotype" w:eastAsia="Palatino Linotype" w:hAnsi="Palatino Linotype" w:cs="Palatino Linotype"/>
          <w:b/>
          <w:sz w:val="22"/>
          <w:szCs w:val="22"/>
        </w:rPr>
        <w:t>7526</w:t>
      </w:r>
      <w:r w:rsidR="000C05BE" w:rsidRPr="00E92431">
        <w:rPr>
          <w:rFonts w:ascii="Palatino Linotype" w:eastAsia="Palatino Linotype" w:hAnsi="Palatino Linotype" w:cs="Palatino Linotype"/>
          <w:b/>
          <w:sz w:val="22"/>
          <w:szCs w:val="22"/>
        </w:rPr>
        <w:t>/INFOEM/IP/RR/2026</w:t>
      </w:r>
      <w:r w:rsidRPr="00E92431">
        <w:rPr>
          <w:rFonts w:ascii="Palatino Linotype" w:eastAsia="Palatino Linotype" w:hAnsi="Palatino Linotype" w:cs="Palatino Linotype"/>
          <w:sz w:val="22"/>
          <w:szCs w:val="22"/>
        </w:rPr>
        <w:t xml:space="preserve">, </w:t>
      </w:r>
      <w:r w:rsidRPr="00E92431">
        <w:rPr>
          <w:rFonts w:ascii="Palatino Linotype" w:eastAsia="Palatino Linotype" w:hAnsi="Palatino Linotype" w:cs="Palatino Linotype"/>
        </w:rPr>
        <w:t xml:space="preserve">interpuesto </w:t>
      </w:r>
      <w:r w:rsidR="0061438F" w:rsidRPr="00E92431">
        <w:rPr>
          <w:rFonts w:ascii="Palatino Linotype" w:eastAsia="Palatino Linotype" w:hAnsi="Palatino Linotype" w:cs="Palatino Linotype"/>
        </w:rPr>
        <w:t xml:space="preserve">por </w:t>
      </w:r>
      <w:r w:rsidR="00042AB3">
        <w:rPr>
          <w:rFonts w:ascii="Palatino Linotype" w:eastAsia="Palatino Linotype" w:hAnsi="Palatino Linotype" w:cs="Palatino Linotype"/>
          <w:b/>
          <w:sz w:val="21"/>
          <w:szCs w:val="21"/>
        </w:rPr>
        <w:t xml:space="preserve">XXXXXXXX XXXXXX </w:t>
      </w:r>
      <w:proofErr w:type="spellStart"/>
      <w:proofErr w:type="gramStart"/>
      <w:r w:rsidR="00042AB3">
        <w:rPr>
          <w:rFonts w:ascii="Palatino Linotype" w:eastAsia="Palatino Linotype" w:hAnsi="Palatino Linotype" w:cs="Palatino Linotype"/>
          <w:b/>
          <w:sz w:val="21"/>
          <w:szCs w:val="21"/>
        </w:rPr>
        <w:t>XXXXXX</w:t>
      </w:r>
      <w:proofErr w:type="spellEnd"/>
      <w:r w:rsidR="00042AB3" w:rsidRPr="00E92431">
        <w:rPr>
          <w:rFonts w:ascii="Palatino Linotype" w:eastAsia="Palatino Linotype" w:hAnsi="Palatino Linotype" w:cs="Palatino Linotype"/>
        </w:rPr>
        <w:t xml:space="preserve"> </w:t>
      </w:r>
      <w:r w:rsidR="00042AB3">
        <w:rPr>
          <w:rFonts w:ascii="Palatino Linotype" w:eastAsia="Palatino Linotype" w:hAnsi="Palatino Linotype" w:cs="Palatino Linotype"/>
        </w:rPr>
        <w:t xml:space="preserve"> </w:t>
      </w:r>
      <w:r w:rsidRPr="00E92431">
        <w:rPr>
          <w:rFonts w:ascii="Palatino Linotype" w:eastAsia="Palatino Linotype" w:hAnsi="Palatino Linotype" w:cs="Palatino Linotype"/>
        </w:rPr>
        <w:t>en</w:t>
      </w:r>
      <w:proofErr w:type="gramEnd"/>
      <w:r w:rsidRPr="00E92431">
        <w:rPr>
          <w:rFonts w:ascii="Palatino Linotype" w:eastAsia="Palatino Linotype" w:hAnsi="Palatino Linotype" w:cs="Palatino Linotype"/>
        </w:rPr>
        <w:t xml:space="preserve"> lo sucesivo la parte </w:t>
      </w:r>
      <w:r w:rsidRPr="00E92431">
        <w:rPr>
          <w:rFonts w:ascii="Palatino Linotype" w:eastAsia="Palatino Linotype" w:hAnsi="Palatino Linotype" w:cs="Palatino Linotype"/>
          <w:b/>
        </w:rPr>
        <w:t>RECURRENTE</w:t>
      </w:r>
      <w:r w:rsidRPr="00E92431">
        <w:rPr>
          <w:rFonts w:ascii="Palatino Linotype" w:eastAsia="Palatino Linotype" w:hAnsi="Palatino Linotype" w:cs="Palatino Linotype"/>
          <w:b/>
          <w:sz w:val="22"/>
          <w:szCs w:val="22"/>
        </w:rPr>
        <w:t xml:space="preserve">, </w:t>
      </w:r>
      <w:r w:rsidRPr="00E92431">
        <w:rPr>
          <w:rFonts w:ascii="Palatino Linotype" w:eastAsia="Palatino Linotype" w:hAnsi="Palatino Linotype" w:cs="Palatino Linotype"/>
          <w:sz w:val="22"/>
          <w:szCs w:val="22"/>
        </w:rPr>
        <w:t>en contra de la falta de respuesta a la solicitud de acceso a la información con número de folio</w:t>
      </w:r>
      <w:r w:rsidRPr="00E92431">
        <w:rPr>
          <w:rFonts w:ascii="Verdana" w:eastAsia="Verdana" w:hAnsi="Verdana" w:cs="Verdana"/>
          <w:b/>
          <w:sz w:val="22"/>
          <w:szCs w:val="22"/>
        </w:rPr>
        <w:t> </w:t>
      </w:r>
      <w:r w:rsidR="008E5D58" w:rsidRPr="00E92431">
        <w:rPr>
          <w:rFonts w:ascii="Palatino Linotype" w:eastAsia="Palatino Linotype" w:hAnsi="Palatino Linotype" w:cs="Palatino Linotype"/>
          <w:b/>
        </w:rPr>
        <w:t>00030/TULTEPEC/IP/2026</w:t>
      </w:r>
      <w:r w:rsidR="00EF743D" w:rsidRPr="00E92431">
        <w:rPr>
          <w:rFonts w:ascii="Palatino Linotype" w:eastAsia="Palatino Linotype" w:hAnsi="Palatino Linotype" w:cs="Palatino Linotype"/>
          <w:b/>
        </w:rPr>
        <w:t xml:space="preserve">, </w:t>
      </w:r>
      <w:r w:rsidRPr="00E92431">
        <w:rPr>
          <w:rFonts w:ascii="Palatino Linotype" w:eastAsia="Palatino Linotype" w:hAnsi="Palatino Linotype" w:cs="Palatino Linotype"/>
          <w:sz w:val="22"/>
          <w:szCs w:val="22"/>
        </w:rPr>
        <w:t xml:space="preserve">por parte del </w:t>
      </w:r>
      <w:r w:rsidR="008E5D58" w:rsidRPr="00E92431">
        <w:rPr>
          <w:rFonts w:ascii="Palatino Linotype" w:eastAsia="Palatino Linotype" w:hAnsi="Palatino Linotype" w:cs="Palatino Linotype"/>
          <w:b/>
          <w:sz w:val="22"/>
          <w:szCs w:val="22"/>
        </w:rPr>
        <w:t>Ayuntamiento de Tultepec</w:t>
      </w:r>
      <w:r w:rsidR="00390FDA" w:rsidRPr="00E92431">
        <w:rPr>
          <w:rFonts w:ascii="Palatino Linotype" w:eastAsia="Palatino Linotype" w:hAnsi="Palatino Linotype" w:cs="Palatino Linotype"/>
          <w:b/>
          <w:sz w:val="22"/>
          <w:szCs w:val="22"/>
        </w:rPr>
        <w:t>,</w:t>
      </w:r>
      <w:r w:rsidRPr="00E92431">
        <w:rPr>
          <w:rFonts w:ascii="Palatino Linotype" w:eastAsia="Palatino Linotype" w:hAnsi="Palatino Linotype" w:cs="Palatino Linotype"/>
          <w:sz w:val="22"/>
          <w:szCs w:val="22"/>
        </w:rPr>
        <w:t xml:space="preserve"> en lo sucesivo el </w:t>
      </w:r>
      <w:r w:rsidRPr="00E92431">
        <w:rPr>
          <w:rFonts w:ascii="Palatino Linotype" w:eastAsia="Palatino Linotype" w:hAnsi="Palatino Linotype" w:cs="Palatino Linotype"/>
          <w:b/>
          <w:sz w:val="22"/>
          <w:szCs w:val="22"/>
        </w:rPr>
        <w:t xml:space="preserve">SUJETO OBLIGADO; </w:t>
      </w:r>
      <w:r w:rsidRPr="00E92431">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E92431"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E92431">
        <w:rPr>
          <w:rFonts w:ascii="Palatino Linotype" w:eastAsia="Palatino Linotype" w:hAnsi="Palatino Linotype" w:cs="Palatino Linotype"/>
          <w:b/>
          <w:sz w:val="22"/>
          <w:szCs w:val="22"/>
        </w:rPr>
        <w:t>A N T E C E D E N T E S:</w:t>
      </w:r>
    </w:p>
    <w:p w14:paraId="77D7A248" w14:textId="77777777" w:rsidR="00532AE4" w:rsidRPr="00E92431"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45F7CDF6"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 xml:space="preserve">1. Solicitud de acceso a la información. </w:t>
      </w:r>
      <w:r w:rsidR="00EE5E30" w:rsidRPr="00E92431">
        <w:rPr>
          <w:rFonts w:ascii="Palatino Linotype" w:eastAsia="Palatino Linotype" w:hAnsi="Palatino Linotype" w:cs="Palatino Linotype"/>
          <w:sz w:val="22"/>
          <w:szCs w:val="22"/>
        </w:rPr>
        <w:t xml:space="preserve">Con fecha </w:t>
      </w:r>
      <w:r w:rsidR="008E5D58" w:rsidRPr="00E92431">
        <w:rPr>
          <w:rFonts w:ascii="Palatino Linotype" w:eastAsia="Palatino Linotype" w:hAnsi="Palatino Linotype" w:cs="Palatino Linotype"/>
          <w:b/>
          <w:sz w:val="22"/>
          <w:szCs w:val="22"/>
        </w:rPr>
        <w:t>veinticinco</w:t>
      </w:r>
      <w:r w:rsidR="009438FE" w:rsidRPr="00E92431">
        <w:rPr>
          <w:rFonts w:ascii="Palatino Linotype" w:eastAsia="Palatino Linotype" w:hAnsi="Palatino Linotype" w:cs="Palatino Linotype"/>
          <w:b/>
          <w:sz w:val="22"/>
          <w:szCs w:val="22"/>
        </w:rPr>
        <w:t xml:space="preserve"> de junio</w:t>
      </w:r>
      <w:r w:rsidR="0084271D" w:rsidRPr="00E92431">
        <w:rPr>
          <w:rFonts w:ascii="Palatino Linotype" w:eastAsia="Palatino Linotype" w:hAnsi="Palatino Linotype" w:cs="Palatino Linotype"/>
          <w:b/>
          <w:sz w:val="22"/>
          <w:szCs w:val="22"/>
        </w:rPr>
        <w:t xml:space="preserve"> de dos mil veintiséis</w:t>
      </w:r>
      <w:r w:rsidRPr="00E92431">
        <w:rPr>
          <w:rFonts w:ascii="Palatino Linotype" w:eastAsia="Palatino Linotype" w:hAnsi="Palatino Linotype" w:cs="Palatino Linotype"/>
          <w:sz w:val="22"/>
          <w:szCs w:val="22"/>
        </w:rPr>
        <w:t xml:space="preserve">, la parte </w:t>
      </w:r>
      <w:r w:rsidRPr="00E92431">
        <w:rPr>
          <w:rFonts w:ascii="Palatino Linotype" w:eastAsia="Palatino Linotype" w:hAnsi="Palatino Linotype" w:cs="Palatino Linotype"/>
          <w:b/>
          <w:sz w:val="22"/>
          <w:szCs w:val="22"/>
        </w:rPr>
        <w:t xml:space="preserve">RECURRENTE </w:t>
      </w:r>
      <w:r w:rsidRPr="00E92431">
        <w:rPr>
          <w:rFonts w:ascii="Palatino Linotype" w:eastAsia="Palatino Linotype" w:hAnsi="Palatino Linotype" w:cs="Palatino Linotype"/>
          <w:sz w:val="22"/>
          <w:szCs w:val="22"/>
        </w:rPr>
        <w:t xml:space="preserve">formuló a través del Sistema de Acceso a la Información Mexiquense, en adelante </w:t>
      </w:r>
      <w:r w:rsidRPr="00E92431">
        <w:rPr>
          <w:rFonts w:ascii="Palatino Linotype" w:eastAsia="Palatino Linotype" w:hAnsi="Palatino Linotype" w:cs="Palatino Linotype"/>
          <w:b/>
          <w:sz w:val="22"/>
          <w:szCs w:val="22"/>
        </w:rPr>
        <w:t>SAIMEX,</w:t>
      </w:r>
      <w:r w:rsidRPr="00E92431">
        <w:rPr>
          <w:rFonts w:ascii="Palatino Linotype" w:eastAsia="Palatino Linotype" w:hAnsi="Palatino Linotype" w:cs="Palatino Linotype"/>
          <w:sz w:val="22"/>
          <w:szCs w:val="22"/>
        </w:rPr>
        <w:t xml:space="preserve"> solicitud de información al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requiriéndole lo siguiente:</w:t>
      </w:r>
    </w:p>
    <w:p w14:paraId="59CC0872" w14:textId="68200746" w:rsidR="009B6117" w:rsidRPr="00E92431" w:rsidRDefault="009B6117" w:rsidP="00724155">
      <w:pPr>
        <w:ind w:right="616"/>
        <w:jc w:val="both"/>
        <w:rPr>
          <w:rFonts w:ascii="Palatino Linotype" w:eastAsia="Palatino Linotype" w:hAnsi="Palatino Linotype" w:cs="Palatino Linotype"/>
          <w:i/>
          <w:sz w:val="22"/>
          <w:szCs w:val="22"/>
        </w:rPr>
      </w:pPr>
    </w:p>
    <w:p w14:paraId="0F87CB2C" w14:textId="10E762E8" w:rsidR="00532AE4" w:rsidRPr="00E92431" w:rsidRDefault="0004402A" w:rsidP="00CF4355">
      <w:pPr>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t>“</w:t>
      </w:r>
      <w:r w:rsidR="008E5D58" w:rsidRPr="00E92431">
        <w:rPr>
          <w:rFonts w:ascii="Palatino Linotype" w:eastAsia="Palatino Linotype" w:hAnsi="Palatino Linotype" w:cs="Palatino Linotype"/>
          <w:i/>
          <w:sz w:val="22"/>
          <w:szCs w:val="22"/>
        </w:rPr>
        <w:t xml:space="preserve">Con fundamento en la Ley de Transparencia y Acceso a la Información Pública del Estado de México y Municipios, solicito la siguiente información respecto del Fraccionamiento El Dorado II, ubicado en el Municipio de Tultepec, Estado de México: 1.-Informar si obra en los archivos del Ayuntamiento de Tultepec constancia de designación, registro, notificación, reconocimiento o toma de conocimiento de la Mesa Directiva, Comité de Administración, Administrador o Asociación Civil que actualmente administre el Fraccionamiento El Dorado II. 2.-Informar si existe registro municipal de la integración y vigencia de la Mesa Directiva, Comité de Administración, Administrador o Asociación Civil relacionada con el Fraccionamiento El Dorado II. 3.-Informar si ha sido presentado ante la Sindicatura Municipal para su autorización algún libro de actas correspondiente a la administración del Fraccionamiento El Dorado II, en términos del artículo 271 del Bando Municipal de Tultepec. 4.-En caso afirmativo, proporcionar copia electrónica en versión pública de los documentos que acrediten la presentación, autorización, registro, vigencia o cualquier actuación relacionada con dicho libro de actas. 5.-Informar si existe autorización, permiso, acuerdo, expediente o antecedente municipal </w:t>
      </w:r>
      <w:r w:rsidR="008E5D58" w:rsidRPr="00E92431">
        <w:rPr>
          <w:rFonts w:ascii="Palatino Linotype" w:eastAsia="Palatino Linotype" w:hAnsi="Palatino Linotype" w:cs="Palatino Linotype"/>
          <w:i/>
          <w:sz w:val="22"/>
          <w:szCs w:val="22"/>
        </w:rPr>
        <w:lastRenderedPageBreak/>
        <w:t>relacionado con la instalación y operación de casetas de vigilancia, plumas de control de acceso o mecanismos de restricción vehicular dentro del Fraccionamiento El Dorado II. 6.-En caso afirmativo, proporcionar copia electrónica en versión pública de las autorizaciones, permisos, acuerdos, expedientes o documentos relacionados. 7.-Informar qué dependencia o autoridad municipal es competente para la aplicación, vigilancia y cumplimiento de lo dispuesto en los artículos 270, 271 y 272 del Bando Municipal de Tultepec. 8.-Informar si existe expediente, registro, autorización, reconocimiento o antecedente municipal relacionado con la asociación denominada "POR EL BIEN COMÚN Y LA SANA CONVIVENCIA EL DORADO II TULTEPEC, A.C.". 9.-En caso afirmativo, proporcionar copia electrónica en versión pública de los documentos que obren en los archivos municipales relacionados con dicha asociación, incluyendo registros, comunicaciones, reconocimientos, autorizaciones o cualquier actuación administrativa vinculada con la misma. En caso de que alguno de los documentos solicitados contenga datos personales o información clasificada, solicito se proporcione la versión pública correspondiente, testando únicamente la información que legalmente deba protegerse, conservando visible el resto de su contenido.</w:t>
      </w:r>
      <w:r w:rsidR="00137E5A" w:rsidRPr="00E92431">
        <w:rPr>
          <w:rFonts w:ascii="Palatino Linotype" w:eastAsia="Palatino Linotype" w:hAnsi="Palatino Linotype" w:cs="Palatino Linotype"/>
          <w:i/>
          <w:sz w:val="22"/>
          <w:szCs w:val="22"/>
        </w:rPr>
        <w:t xml:space="preserve">” </w:t>
      </w:r>
      <w:r w:rsidR="00A76F12" w:rsidRPr="00E92431">
        <w:rPr>
          <w:rFonts w:ascii="Palatino Linotype" w:eastAsia="Palatino Linotype" w:hAnsi="Palatino Linotype" w:cs="Palatino Linotype"/>
          <w:i/>
          <w:sz w:val="22"/>
          <w:szCs w:val="22"/>
        </w:rPr>
        <w:t>(Sic)</w:t>
      </w:r>
      <w:r w:rsidR="00CE1553" w:rsidRPr="00E92431">
        <w:rPr>
          <w:rFonts w:ascii="Palatino Linotype" w:eastAsia="Palatino Linotype" w:hAnsi="Palatino Linotype" w:cs="Palatino Linotype"/>
          <w:b/>
          <w:sz w:val="22"/>
          <w:szCs w:val="22"/>
        </w:rPr>
        <w:tab/>
      </w:r>
    </w:p>
    <w:p w14:paraId="6697AE7A" w14:textId="77777777" w:rsidR="00147A44" w:rsidRPr="00E92431"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E92431" w:rsidRDefault="00A76F12" w:rsidP="00FD5905">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 xml:space="preserve">Modalidad elegida para la entrega de la información: </w:t>
      </w:r>
      <w:r w:rsidRPr="00E92431">
        <w:rPr>
          <w:rFonts w:ascii="Palatino Linotype" w:eastAsia="Palatino Linotype" w:hAnsi="Palatino Linotype" w:cs="Palatino Linotype"/>
          <w:sz w:val="22"/>
          <w:szCs w:val="22"/>
        </w:rPr>
        <w:t>a través del SAIMEX.</w:t>
      </w:r>
    </w:p>
    <w:p w14:paraId="1227E94F" w14:textId="77777777" w:rsidR="00D60C04" w:rsidRPr="00E92431"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E92431" w:rsidRDefault="00FD5905">
      <w:pPr>
        <w:spacing w:line="360" w:lineRule="auto"/>
        <w:jc w:val="both"/>
        <w:rPr>
          <w:rFonts w:ascii="Palatino Linotype" w:eastAsia="Palatino Linotype" w:hAnsi="Palatino Linotype" w:cs="Palatino Linotype"/>
          <w:b/>
          <w:sz w:val="22"/>
          <w:szCs w:val="22"/>
        </w:rPr>
      </w:pPr>
      <w:r w:rsidRPr="00E92431">
        <w:rPr>
          <w:rFonts w:ascii="Palatino Linotype" w:eastAsia="Palatino Linotype" w:hAnsi="Palatino Linotype" w:cs="Palatino Linotype"/>
          <w:b/>
          <w:sz w:val="22"/>
          <w:szCs w:val="22"/>
        </w:rPr>
        <w:t>2</w:t>
      </w:r>
      <w:r w:rsidR="00D763D8" w:rsidRPr="00E92431">
        <w:rPr>
          <w:rFonts w:ascii="Palatino Linotype" w:eastAsia="Palatino Linotype" w:hAnsi="Palatino Linotype" w:cs="Palatino Linotype"/>
          <w:b/>
          <w:sz w:val="22"/>
          <w:szCs w:val="22"/>
        </w:rPr>
        <w:t xml:space="preserve">. </w:t>
      </w:r>
      <w:r w:rsidR="00A76F12" w:rsidRPr="00E92431">
        <w:rPr>
          <w:rFonts w:ascii="Palatino Linotype" w:eastAsia="Palatino Linotype" w:hAnsi="Palatino Linotype" w:cs="Palatino Linotype"/>
          <w:b/>
          <w:sz w:val="22"/>
          <w:szCs w:val="22"/>
        </w:rPr>
        <w:t xml:space="preserve">Respuesta. </w:t>
      </w:r>
      <w:r w:rsidR="00A76F12" w:rsidRPr="00E92431">
        <w:rPr>
          <w:rFonts w:ascii="Palatino Linotype" w:eastAsia="Palatino Linotype" w:hAnsi="Palatino Linotype" w:cs="Palatino Linotype"/>
          <w:sz w:val="22"/>
          <w:szCs w:val="22"/>
        </w:rPr>
        <w:t xml:space="preserve">El </w:t>
      </w:r>
      <w:r w:rsidR="00A76F12" w:rsidRPr="00E92431">
        <w:rPr>
          <w:rFonts w:ascii="Palatino Linotype" w:eastAsia="Palatino Linotype" w:hAnsi="Palatino Linotype" w:cs="Palatino Linotype"/>
          <w:b/>
          <w:sz w:val="22"/>
          <w:szCs w:val="22"/>
        </w:rPr>
        <w:t xml:space="preserve">SUJETO OBLIGADO </w:t>
      </w:r>
      <w:r w:rsidR="00A76F12" w:rsidRPr="00E92431">
        <w:rPr>
          <w:rFonts w:ascii="Palatino Linotype" w:eastAsia="Palatino Linotype" w:hAnsi="Palatino Linotype" w:cs="Palatino Linotype"/>
          <w:sz w:val="22"/>
          <w:szCs w:val="22"/>
        </w:rPr>
        <w:t xml:space="preserve">fue omiso en proporcionar respuesta. </w:t>
      </w:r>
    </w:p>
    <w:p w14:paraId="66730054"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64E077EC" w14:textId="79667AEA" w:rsidR="00532AE4" w:rsidRPr="00E92431" w:rsidRDefault="00FD5905">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3</w:t>
      </w:r>
      <w:r w:rsidR="00A01FAB" w:rsidRPr="00E92431">
        <w:rPr>
          <w:rFonts w:ascii="Palatino Linotype" w:eastAsia="Palatino Linotype" w:hAnsi="Palatino Linotype" w:cs="Palatino Linotype"/>
          <w:b/>
          <w:sz w:val="22"/>
          <w:szCs w:val="22"/>
        </w:rPr>
        <w:t>.</w:t>
      </w:r>
      <w:r w:rsidR="00A76F12" w:rsidRPr="00E92431">
        <w:rPr>
          <w:rFonts w:ascii="Palatino Linotype" w:eastAsia="Palatino Linotype" w:hAnsi="Palatino Linotype" w:cs="Palatino Linotype"/>
          <w:b/>
          <w:sz w:val="22"/>
          <w:szCs w:val="22"/>
        </w:rPr>
        <w:t xml:space="preserve">Interposición del recurso de revisión. </w:t>
      </w:r>
      <w:r w:rsidR="00A76F12" w:rsidRPr="00E92431">
        <w:rPr>
          <w:rFonts w:ascii="Palatino Linotype" w:eastAsia="Palatino Linotype" w:hAnsi="Palatino Linotype" w:cs="Palatino Linotype"/>
          <w:sz w:val="22"/>
          <w:szCs w:val="22"/>
        </w:rPr>
        <w:t xml:space="preserve">Inconforme la parte solicitante con la falta de respuesta del </w:t>
      </w:r>
      <w:r w:rsidR="00A76F12" w:rsidRPr="00E92431">
        <w:rPr>
          <w:rFonts w:ascii="Palatino Linotype" w:eastAsia="Palatino Linotype" w:hAnsi="Palatino Linotype" w:cs="Palatino Linotype"/>
          <w:b/>
          <w:sz w:val="22"/>
          <w:szCs w:val="22"/>
        </w:rPr>
        <w:t>SUJETO OBLIGADO</w:t>
      </w:r>
      <w:r w:rsidR="00A76F12" w:rsidRPr="00E92431">
        <w:rPr>
          <w:rFonts w:ascii="Palatino Linotype" w:eastAsia="Palatino Linotype" w:hAnsi="Palatino Linotype" w:cs="Palatino Linotype"/>
          <w:sz w:val="22"/>
          <w:szCs w:val="22"/>
        </w:rPr>
        <w:t xml:space="preserve">, interpuso recurso de revisión a través del SAIMEX en fecha </w:t>
      </w:r>
      <w:r w:rsidR="008E5D58" w:rsidRPr="00E92431">
        <w:rPr>
          <w:rFonts w:ascii="Palatino Linotype" w:eastAsia="Palatino Linotype" w:hAnsi="Palatino Linotype" w:cs="Palatino Linotype"/>
          <w:b/>
          <w:sz w:val="22"/>
          <w:szCs w:val="22"/>
        </w:rPr>
        <w:t>cuatro</w:t>
      </w:r>
      <w:r w:rsidR="00326E2A" w:rsidRPr="00E92431">
        <w:rPr>
          <w:rFonts w:ascii="Palatino Linotype" w:eastAsia="Palatino Linotype" w:hAnsi="Palatino Linotype" w:cs="Palatino Linotype"/>
          <w:b/>
          <w:sz w:val="22"/>
          <w:szCs w:val="22"/>
        </w:rPr>
        <w:t xml:space="preserve"> de agosto</w:t>
      </w:r>
      <w:r w:rsidR="00401731" w:rsidRPr="00E92431">
        <w:rPr>
          <w:rFonts w:ascii="Palatino Linotype" w:eastAsia="Palatino Linotype" w:hAnsi="Palatino Linotype" w:cs="Palatino Linotype"/>
          <w:b/>
          <w:sz w:val="22"/>
          <w:szCs w:val="22"/>
        </w:rPr>
        <w:t xml:space="preserve"> de dos mil veintiséis</w:t>
      </w:r>
      <w:r w:rsidR="00A76F12" w:rsidRPr="00E92431">
        <w:rPr>
          <w:rFonts w:ascii="Palatino Linotype" w:eastAsia="Palatino Linotype" w:hAnsi="Palatino Linotype" w:cs="Palatino Linotype"/>
          <w:sz w:val="22"/>
          <w:szCs w:val="22"/>
        </w:rPr>
        <w:t>, expresando lo siguiente:</w:t>
      </w:r>
    </w:p>
    <w:p w14:paraId="126577AC"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59ACBA47" w14:textId="4EF63CCB" w:rsidR="00532AE4" w:rsidRPr="00E92431" w:rsidRDefault="00A76F12" w:rsidP="00E47B12">
      <w:pPr>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sz w:val="22"/>
          <w:szCs w:val="22"/>
        </w:rPr>
        <w:t>a) Acto impugnado</w:t>
      </w:r>
      <w:r w:rsidRPr="00E92431">
        <w:rPr>
          <w:rFonts w:ascii="Palatino Linotype" w:eastAsia="Palatino Linotype" w:hAnsi="Palatino Linotype" w:cs="Palatino Linotype"/>
          <w:b/>
          <w:i/>
          <w:sz w:val="22"/>
          <w:szCs w:val="22"/>
        </w:rPr>
        <w:t xml:space="preserve">. </w:t>
      </w:r>
      <w:r w:rsidR="00EB74FD" w:rsidRPr="00E92431">
        <w:rPr>
          <w:rFonts w:ascii="Palatino Linotype" w:eastAsia="Palatino Linotype" w:hAnsi="Palatino Linotype" w:cs="Palatino Linotype"/>
          <w:i/>
          <w:sz w:val="22"/>
          <w:szCs w:val="22"/>
        </w:rPr>
        <w:t>“</w:t>
      </w:r>
      <w:r w:rsidR="008E5D58" w:rsidRPr="00E92431">
        <w:rPr>
          <w:rFonts w:ascii="Palatino Linotype" w:eastAsia="Palatino Linotype" w:hAnsi="Palatino Linotype" w:cs="Palatino Linotype"/>
          <w:i/>
          <w:sz w:val="22"/>
          <w:szCs w:val="22"/>
        </w:rPr>
        <w:t>La falta de respuesta a la solicitud de información con folio 00030/TULTEPEC/IP/2026, presentada el 25 de junio de 2026 ante el Ayuntamiento de Tultepec. Transcurrieron los plazos legales sin recibir contestación alguna</w:t>
      </w:r>
      <w:r w:rsidR="009B6117" w:rsidRPr="00E92431">
        <w:rPr>
          <w:rFonts w:ascii="Palatino Linotype" w:eastAsia="Palatino Linotype" w:hAnsi="Palatino Linotype" w:cs="Palatino Linotype"/>
          <w:i/>
          <w:sz w:val="22"/>
          <w:szCs w:val="22"/>
        </w:rPr>
        <w:t xml:space="preserve">” </w:t>
      </w:r>
      <w:r w:rsidRPr="00E92431">
        <w:rPr>
          <w:rFonts w:ascii="Palatino Linotype" w:eastAsia="Palatino Linotype" w:hAnsi="Palatino Linotype" w:cs="Palatino Linotype"/>
          <w:i/>
          <w:sz w:val="22"/>
          <w:szCs w:val="22"/>
        </w:rPr>
        <w:t>(Sic)</w:t>
      </w:r>
    </w:p>
    <w:p w14:paraId="527329DB" w14:textId="77777777" w:rsidR="00532AE4" w:rsidRPr="00E92431" w:rsidRDefault="00532AE4" w:rsidP="00E47B12">
      <w:pPr>
        <w:spacing w:line="276" w:lineRule="auto"/>
        <w:ind w:left="567" w:right="616"/>
        <w:rPr>
          <w:rFonts w:ascii="Palatino Linotype" w:eastAsia="Palatino Linotype" w:hAnsi="Palatino Linotype" w:cs="Palatino Linotype"/>
          <w:b/>
          <w:sz w:val="22"/>
          <w:szCs w:val="22"/>
        </w:rPr>
      </w:pPr>
    </w:p>
    <w:p w14:paraId="27199E43" w14:textId="54BFFA15" w:rsidR="00532AE4" w:rsidRPr="00E92431" w:rsidRDefault="00A76F12" w:rsidP="00E47B12">
      <w:pPr>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sz w:val="22"/>
          <w:szCs w:val="22"/>
        </w:rPr>
        <w:t xml:space="preserve">b) Motivos de inconformidad. </w:t>
      </w:r>
      <w:r w:rsidRPr="00E92431">
        <w:rPr>
          <w:rFonts w:ascii="Palatino Linotype" w:eastAsia="Palatino Linotype" w:hAnsi="Palatino Linotype" w:cs="Palatino Linotype"/>
          <w:i/>
          <w:sz w:val="22"/>
          <w:szCs w:val="22"/>
        </w:rPr>
        <w:t>“</w:t>
      </w:r>
      <w:r w:rsidR="008E5D58" w:rsidRPr="00E92431">
        <w:rPr>
          <w:rFonts w:ascii="Palatino Linotype" w:eastAsia="Palatino Linotype" w:hAnsi="Palatino Linotype" w:cs="Palatino Linotype"/>
          <w:i/>
          <w:sz w:val="22"/>
          <w:szCs w:val="22"/>
        </w:rPr>
        <w:t>Presenté mi solicitud el 25 de junio de 2026. El plazo legal para contestar era de 15 días hábiles, venciendo el 16 de julio de 2026. A la fecha no he recibido ninguna respuesta, ni aviso de prórroga. Conforme a la Ley de Transparencia, la falta de respuesta se considera negativa ficta, por lo que solicito se ordene al sujeto obligado entregar la información requerida.</w:t>
      </w:r>
      <w:r w:rsidR="002D134E" w:rsidRPr="00E92431">
        <w:rPr>
          <w:rFonts w:ascii="Palatino Linotype" w:eastAsia="Palatino Linotype" w:hAnsi="Palatino Linotype" w:cs="Palatino Linotype"/>
          <w:i/>
          <w:sz w:val="22"/>
          <w:szCs w:val="22"/>
        </w:rPr>
        <w:t>”</w:t>
      </w:r>
      <w:r w:rsidRPr="00E92431">
        <w:rPr>
          <w:rFonts w:ascii="Palatino Linotype" w:eastAsia="Palatino Linotype" w:hAnsi="Palatino Linotype" w:cs="Palatino Linotype"/>
          <w:i/>
          <w:sz w:val="22"/>
          <w:szCs w:val="22"/>
        </w:rPr>
        <w:t>(Sic)</w:t>
      </w:r>
    </w:p>
    <w:p w14:paraId="525F409E" w14:textId="0ECA02E3" w:rsidR="008E5D58" w:rsidRPr="00E92431" w:rsidRDefault="008E5D58">
      <w:pPr>
        <w:spacing w:line="360" w:lineRule="auto"/>
        <w:ind w:left="567" w:right="616"/>
        <w:jc w:val="both"/>
        <w:rPr>
          <w:rFonts w:ascii="Palatino Linotype" w:eastAsia="Palatino Linotype" w:hAnsi="Palatino Linotype" w:cs="Palatino Linotype"/>
          <w:b/>
          <w:i/>
          <w:sz w:val="22"/>
          <w:szCs w:val="22"/>
        </w:rPr>
      </w:pPr>
    </w:p>
    <w:p w14:paraId="76DD8186" w14:textId="01A77C10" w:rsidR="008E5D58" w:rsidRPr="00E92431" w:rsidRDefault="008E5D58">
      <w:pPr>
        <w:spacing w:line="360" w:lineRule="auto"/>
        <w:ind w:left="567" w:right="616"/>
        <w:jc w:val="both"/>
        <w:rPr>
          <w:rFonts w:ascii="Palatino Linotype" w:eastAsia="Palatino Linotype" w:hAnsi="Palatino Linotype" w:cs="Palatino Linotype"/>
          <w:b/>
          <w:i/>
          <w:sz w:val="22"/>
          <w:szCs w:val="22"/>
        </w:rPr>
      </w:pPr>
      <w:r w:rsidRPr="00E92431">
        <w:rPr>
          <w:rFonts w:ascii="Palatino Linotype" w:eastAsia="Palatino Linotype" w:hAnsi="Palatino Linotype" w:cs="Palatino Linotype"/>
          <w:b/>
          <w:i/>
          <w:sz w:val="22"/>
          <w:szCs w:val="22"/>
        </w:rPr>
        <w:lastRenderedPageBreak/>
        <w:t>Archivos Adjuntos:</w:t>
      </w:r>
    </w:p>
    <w:p w14:paraId="2ED03B7D" w14:textId="6817A0DB" w:rsidR="008E5D58" w:rsidRPr="00E92431" w:rsidRDefault="008E5D58" w:rsidP="008E5D58">
      <w:pPr>
        <w:spacing w:line="360"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ACUSE SAIMEX FOLIO SOLICITUD 00030 TULTEPEC IP 2026.pdf:</w:t>
      </w:r>
      <w:r w:rsidRPr="00E92431">
        <w:rPr>
          <w:rFonts w:ascii="Palatino Linotype" w:eastAsia="Palatino Linotype" w:hAnsi="Palatino Linotype" w:cs="Palatino Linotype"/>
          <w:i/>
          <w:sz w:val="22"/>
          <w:szCs w:val="22"/>
        </w:rPr>
        <w:t xml:space="preserve"> Acuse de la solicitud de información pública.</w:t>
      </w:r>
    </w:p>
    <w:p w14:paraId="114F3314" w14:textId="7C165239" w:rsidR="008E5D58" w:rsidRPr="00E92431" w:rsidRDefault="008E5D58" w:rsidP="008E5D58">
      <w:pPr>
        <w:spacing w:line="360"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EVIDENCIA CAPTURA DE PANTALLA SOLICITUD DE INFORMACIÓN TULTEPEC.jpg:</w:t>
      </w:r>
      <w:r w:rsidRPr="00E92431">
        <w:rPr>
          <w:rFonts w:ascii="Palatino Linotype" w:eastAsia="Palatino Linotype" w:hAnsi="Palatino Linotype" w:cs="Palatino Linotype"/>
          <w:i/>
          <w:sz w:val="22"/>
          <w:szCs w:val="22"/>
        </w:rPr>
        <w:t xml:space="preserve"> Captura de pantalla de la solicitud.</w:t>
      </w:r>
    </w:p>
    <w:p w14:paraId="1CD932CE" w14:textId="77777777" w:rsidR="00532AE4" w:rsidRPr="00E92431"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E92431" w:rsidRDefault="00A01FAB">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4</w:t>
      </w:r>
      <w:r w:rsidR="00A76F12" w:rsidRPr="00E92431">
        <w:rPr>
          <w:rFonts w:ascii="Palatino Linotype" w:eastAsia="Palatino Linotype" w:hAnsi="Palatino Linotype" w:cs="Palatino Linotype"/>
          <w:b/>
          <w:sz w:val="22"/>
          <w:szCs w:val="22"/>
        </w:rPr>
        <w:t xml:space="preserve">. Turno. </w:t>
      </w:r>
      <w:r w:rsidR="00A76F12" w:rsidRPr="00E92431">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E92431">
        <w:rPr>
          <w:rFonts w:ascii="Palatino Linotype" w:eastAsia="Palatino Linotype" w:hAnsi="Palatino Linotype" w:cs="Palatino Linotype"/>
          <w:b/>
          <w:sz w:val="22"/>
          <w:szCs w:val="22"/>
        </w:rPr>
        <w:t>Guadalupe Ramírez Peña</w:t>
      </w:r>
      <w:r w:rsidR="00A76F12" w:rsidRPr="00E92431">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E92431" w:rsidRDefault="00285CBA">
      <w:pPr>
        <w:spacing w:line="360" w:lineRule="auto"/>
        <w:jc w:val="both"/>
        <w:rPr>
          <w:rFonts w:ascii="Palatino Linotype" w:eastAsia="Palatino Linotype" w:hAnsi="Palatino Linotype" w:cs="Palatino Linotype"/>
          <w:sz w:val="22"/>
          <w:szCs w:val="22"/>
        </w:rPr>
      </w:pPr>
    </w:p>
    <w:p w14:paraId="6F47DF3C" w14:textId="7FE73DEC" w:rsidR="00532AE4" w:rsidRPr="00E92431" w:rsidRDefault="00417D9F">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5</w:t>
      </w:r>
      <w:r w:rsidR="00A76F12" w:rsidRPr="00E92431">
        <w:rPr>
          <w:rFonts w:ascii="Palatino Linotype" w:eastAsia="Palatino Linotype" w:hAnsi="Palatino Linotype" w:cs="Palatino Linotype"/>
          <w:b/>
          <w:sz w:val="22"/>
          <w:szCs w:val="22"/>
        </w:rPr>
        <w:t xml:space="preserve">. Admisión. </w:t>
      </w:r>
      <w:r w:rsidR="003E2501" w:rsidRPr="00E92431">
        <w:rPr>
          <w:rFonts w:ascii="Palatino Linotype" w:eastAsia="Palatino Linotype" w:hAnsi="Palatino Linotype" w:cs="Palatino Linotype"/>
          <w:sz w:val="22"/>
          <w:szCs w:val="22"/>
        </w:rPr>
        <w:t>En</w:t>
      </w:r>
      <w:r w:rsidR="000F363F" w:rsidRPr="00E92431">
        <w:rPr>
          <w:rFonts w:ascii="Palatino Linotype" w:eastAsia="Palatino Linotype" w:hAnsi="Palatino Linotype" w:cs="Palatino Linotype"/>
          <w:sz w:val="22"/>
          <w:szCs w:val="22"/>
        </w:rPr>
        <w:t xml:space="preserve"> </w:t>
      </w:r>
      <w:r w:rsidR="00A8506B" w:rsidRPr="00E92431">
        <w:rPr>
          <w:rFonts w:ascii="Palatino Linotype" w:eastAsia="Palatino Linotype" w:hAnsi="Palatino Linotype" w:cs="Palatino Linotype"/>
          <w:sz w:val="22"/>
          <w:szCs w:val="22"/>
        </w:rPr>
        <w:t xml:space="preserve">fecha </w:t>
      </w:r>
      <w:r w:rsidR="008E5D58" w:rsidRPr="00E92431">
        <w:rPr>
          <w:rFonts w:ascii="Palatino Linotype" w:eastAsia="Palatino Linotype" w:hAnsi="Palatino Linotype" w:cs="Palatino Linotype"/>
          <w:b/>
          <w:sz w:val="22"/>
          <w:szCs w:val="22"/>
        </w:rPr>
        <w:t>siete</w:t>
      </w:r>
      <w:r w:rsidR="00DD647E" w:rsidRPr="00E92431">
        <w:rPr>
          <w:rFonts w:ascii="Palatino Linotype" w:eastAsia="Palatino Linotype" w:hAnsi="Palatino Linotype" w:cs="Palatino Linotype"/>
          <w:b/>
          <w:sz w:val="22"/>
          <w:szCs w:val="22"/>
        </w:rPr>
        <w:t xml:space="preserve"> de agosto</w:t>
      </w:r>
      <w:r w:rsidR="003E2501" w:rsidRPr="00E92431">
        <w:rPr>
          <w:rFonts w:ascii="Palatino Linotype" w:eastAsia="Palatino Linotype" w:hAnsi="Palatino Linotype" w:cs="Palatino Linotype"/>
          <w:b/>
          <w:sz w:val="22"/>
          <w:szCs w:val="22"/>
        </w:rPr>
        <w:t xml:space="preserve"> de dos mil veintiséis</w:t>
      </w:r>
      <w:r w:rsidR="00044D36" w:rsidRPr="00E92431">
        <w:rPr>
          <w:rFonts w:ascii="Palatino Linotype" w:eastAsia="Palatino Linotype" w:hAnsi="Palatino Linotype" w:cs="Palatino Linotype"/>
          <w:sz w:val="22"/>
          <w:szCs w:val="22"/>
        </w:rPr>
        <w:t xml:space="preserve">, </w:t>
      </w:r>
      <w:r w:rsidR="00A76F12" w:rsidRPr="00E92431">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5CBE0CA4" w14:textId="77777777" w:rsidR="006614E2" w:rsidRPr="00E92431" w:rsidRDefault="00417D9F">
      <w:pPr>
        <w:widowControl w:val="0"/>
        <w:spacing w:line="360" w:lineRule="auto"/>
        <w:ind w:right="49"/>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6</w:t>
      </w:r>
      <w:r w:rsidR="00A76F12" w:rsidRPr="00E92431">
        <w:rPr>
          <w:rFonts w:ascii="Palatino Linotype" w:eastAsia="Palatino Linotype" w:hAnsi="Palatino Linotype" w:cs="Palatino Linotype"/>
          <w:b/>
          <w:sz w:val="22"/>
          <w:szCs w:val="22"/>
        </w:rPr>
        <w:t>. Manifestaciones</w:t>
      </w:r>
      <w:r w:rsidR="008B25A4" w:rsidRPr="00E92431">
        <w:rPr>
          <w:rFonts w:ascii="Palatino Linotype" w:eastAsia="Palatino Linotype" w:hAnsi="Palatino Linotype" w:cs="Palatino Linotype"/>
          <w:sz w:val="22"/>
          <w:szCs w:val="22"/>
        </w:rPr>
        <w:t xml:space="preserve">. </w:t>
      </w:r>
      <w:r w:rsidR="006614E2" w:rsidRPr="00E92431">
        <w:rPr>
          <w:rFonts w:ascii="Palatino Linotype" w:eastAsia="Palatino Linotype" w:hAnsi="Palatino Linotype" w:cs="Palatino Linotype"/>
          <w:sz w:val="22"/>
          <w:szCs w:val="22"/>
        </w:rPr>
        <w:t>Las partes fueron omisas en rendir manifestaciones, como se observa a continuación en la siguiente imagen:</w:t>
      </w:r>
    </w:p>
    <w:p w14:paraId="59A51FCE" w14:textId="46FF9E19" w:rsidR="006614E2" w:rsidRPr="00E92431" w:rsidRDefault="008E5D58">
      <w:pPr>
        <w:spacing w:line="360" w:lineRule="auto"/>
        <w:jc w:val="both"/>
        <w:rPr>
          <w:rFonts w:ascii="Palatino Linotype" w:eastAsia="Palatino Linotype" w:hAnsi="Palatino Linotype" w:cs="Palatino Linotype"/>
          <w:b/>
          <w:sz w:val="22"/>
          <w:szCs w:val="22"/>
        </w:rPr>
      </w:pPr>
      <w:r w:rsidRPr="00E92431">
        <w:rPr>
          <w:rFonts w:ascii="Palatino Linotype" w:eastAsia="Palatino Linotype" w:hAnsi="Palatino Linotype" w:cs="Palatino Linotype"/>
          <w:b/>
          <w:noProof/>
          <w:sz w:val="22"/>
          <w:szCs w:val="22"/>
          <w:lang w:val="es-MX"/>
        </w:rPr>
        <w:drawing>
          <wp:inline distT="0" distB="0" distL="0" distR="0" wp14:anchorId="5761054A" wp14:editId="23FCE3D0">
            <wp:extent cx="5612130" cy="1384300"/>
            <wp:effectExtent l="0" t="0" r="762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384300"/>
                    </a:xfrm>
                    <a:prstGeom prst="rect">
                      <a:avLst/>
                    </a:prstGeom>
                  </pic:spPr>
                </pic:pic>
              </a:graphicData>
            </a:graphic>
          </wp:inline>
        </w:drawing>
      </w:r>
    </w:p>
    <w:p w14:paraId="59D90F90" w14:textId="77777777" w:rsidR="006614E2" w:rsidRPr="00E92431" w:rsidRDefault="006614E2">
      <w:pPr>
        <w:spacing w:line="360" w:lineRule="auto"/>
        <w:jc w:val="both"/>
        <w:rPr>
          <w:rFonts w:ascii="Palatino Linotype" w:eastAsia="Palatino Linotype" w:hAnsi="Palatino Linotype" w:cs="Palatino Linotype"/>
          <w:b/>
          <w:sz w:val="22"/>
          <w:szCs w:val="22"/>
        </w:rPr>
      </w:pPr>
    </w:p>
    <w:p w14:paraId="2DD31F10" w14:textId="41922B3B" w:rsidR="00532AE4" w:rsidRPr="00E92431" w:rsidRDefault="00417D9F">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7</w:t>
      </w:r>
      <w:r w:rsidR="00A76F12" w:rsidRPr="00E92431">
        <w:rPr>
          <w:rFonts w:ascii="Palatino Linotype" w:eastAsia="Palatino Linotype" w:hAnsi="Palatino Linotype" w:cs="Palatino Linotype"/>
          <w:b/>
          <w:sz w:val="22"/>
          <w:szCs w:val="22"/>
        </w:rPr>
        <w:t xml:space="preserve">. Cierre de instrucción. </w:t>
      </w:r>
      <w:r w:rsidR="00A76F12" w:rsidRPr="00E92431">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8E5D58" w:rsidRPr="00E92431">
        <w:rPr>
          <w:rFonts w:ascii="Palatino Linotype" w:eastAsia="Palatino Linotype" w:hAnsi="Palatino Linotype" w:cs="Palatino Linotype"/>
          <w:b/>
          <w:sz w:val="22"/>
          <w:szCs w:val="22"/>
        </w:rPr>
        <w:t xml:space="preserve">ocho </w:t>
      </w:r>
      <w:r w:rsidR="008E5D58" w:rsidRPr="00E92431">
        <w:rPr>
          <w:rFonts w:ascii="Palatino Linotype" w:eastAsia="Palatino Linotype" w:hAnsi="Palatino Linotype" w:cs="Palatino Linotype"/>
          <w:b/>
          <w:sz w:val="22"/>
          <w:szCs w:val="22"/>
        </w:rPr>
        <w:lastRenderedPageBreak/>
        <w:t>de septiembre</w:t>
      </w:r>
      <w:r w:rsidR="007E7839" w:rsidRPr="00E92431">
        <w:rPr>
          <w:rFonts w:ascii="Palatino Linotype" w:eastAsia="Palatino Linotype" w:hAnsi="Palatino Linotype" w:cs="Palatino Linotype"/>
          <w:b/>
          <w:sz w:val="22"/>
          <w:szCs w:val="22"/>
        </w:rPr>
        <w:t xml:space="preserve"> de dos mil veintiséis</w:t>
      </w:r>
      <w:r w:rsidR="00A76F12" w:rsidRPr="00E92431">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E92431" w:rsidRDefault="00A76F12">
      <w:pPr>
        <w:widowControl w:val="0"/>
        <w:spacing w:line="360" w:lineRule="auto"/>
        <w:jc w:val="center"/>
        <w:rPr>
          <w:rFonts w:ascii="Palatino Linotype" w:eastAsia="Palatino Linotype" w:hAnsi="Palatino Linotype" w:cs="Palatino Linotype"/>
          <w:b/>
          <w:sz w:val="22"/>
          <w:szCs w:val="22"/>
        </w:rPr>
      </w:pPr>
      <w:r w:rsidRPr="00E92431">
        <w:rPr>
          <w:rFonts w:ascii="Palatino Linotype" w:eastAsia="Palatino Linotype" w:hAnsi="Palatino Linotype" w:cs="Palatino Linotype"/>
          <w:b/>
          <w:sz w:val="22"/>
          <w:szCs w:val="22"/>
        </w:rPr>
        <w:t>II. C O N S I D E R A N D O S</w:t>
      </w:r>
    </w:p>
    <w:p w14:paraId="04E1DD04" w14:textId="77777777" w:rsidR="00532AE4" w:rsidRPr="00E92431"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E92431" w:rsidRDefault="00A76F12" w:rsidP="005231DC">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Primero. Competencia.</w:t>
      </w:r>
      <w:r w:rsidRPr="00E92431">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E92431">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E92431">
        <w:rPr>
          <w:rFonts w:ascii="Palatino Linotype" w:eastAsia="Palatino Linotype" w:hAnsi="Palatino Linotype" w:cs="Palatino Linotype"/>
          <w:sz w:val="22"/>
          <w:szCs w:val="22"/>
        </w:rPr>
        <w:t>;</w:t>
      </w:r>
      <w:r w:rsidR="005231DC" w:rsidRPr="00E92431">
        <w:rPr>
          <w:rFonts w:ascii="Palatino Linotype" w:eastAsia="Palatino Linotype" w:hAnsi="Palatino Linotype" w:cs="Palatino Linotype"/>
          <w:sz w:val="22"/>
          <w:szCs w:val="22"/>
        </w:rPr>
        <w:t xml:space="preserve"> </w:t>
      </w:r>
      <w:r w:rsidRPr="00E92431">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 xml:space="preserve">Segundo. Oportunidad y Procedibilidad del Recurso de Revisión. </w:t>
      </w:r>
      <w:r w:rsidRPr="00E92431">
        <w:rPr>
          <w:rFonts w:ascii="Palatino Linotype" w:eastAsia="Palatino Linotype" w:hAnsi="Palatino Linotype" w:cs="Palatino Linotype"/>
          <w:sz w:val="22"/>
          <w:szCs w:val="22"/>
        </w:rPr>
        <w:t>Por cuanto hace a la oportunidad del recurso de revisión</w:t>
      </w:r>
      <w:r w:rsidRPr="00E92431">
        <w:rPr>
          <w:rFonts w:ascii="Palatino Linotype" w:eastAsia="Palatino Linotype" w:hAnsi="Palatino Linotype" w:cs="Palatino Linotype"/>
          <w:b/>
          <w:sz w:val="22"/>
          <w:szCs w:val="22"/>
        </w:rPr>
        <w:t xml:space="preserve"> </w:t>
      </w:r>
      <w:r w:rsidRPr="00E92431">
        <w:rPr>
          <w:rFonts w:ascii="Palatino Linotype" w:eastAsia="Palatino Linotype" w:hAnsi="Palatino Linotype" w:cs="Palatino Linotype"/>
          <w:sz w:val="22"/>
          <w:szCs w:val="22"/>
        </w:rPr>
        <w:t xml:space="preserve">es necesario considerar lo previsto en los artículos 163, párrafo primero; 166, penúltimo párrafo y 178, párrafo segundo; de la Ley de Transparencia </w:t>
      </w:r>
      <w:r w:rsidRPr="00E92431">
        <w:rPr>
          <w:rFonts w:ascii="Palatino Linotype" w:eastAsia="Palatino Linotype" w:hAnsi="Palatino Linotype" w:cs="Palatino Linotype"/>
          <w:sz w:val="22"/>
          <w:szCs w:val="22"/>
        </w:rPr>
        <w:lastRenderedPageBreak/>
        <w:t>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Derivado de lo anterior, se constituye la figura jurídica de la </w:t>
      </w:r>
      <w:r w:rsidRPr="00E92431">
        <w:rPr>
          <w:rFonts w:ascii="Palatino Linotype" w:eastAsia="Palatino Linotype" w:hAnsi="Palatino Linotype" w:cs="Palatino Linotype"/>
          <w:b/>
          <w:sz w:val="22"/>
          <w:szCs w:val="22"/>
        </w:rPr>
        <w:t>NEGATIVA FICTA</w:t>
      </w:r>
      <w:r w:rsidRPr="00E92431">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De tal manera, en el presente recurso de revisión se actualizó la negativa ficta por parte del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al no haber respondido a la parte </w:t>
      </w:r>
      <w:r w:rsidRPr="00E92431">
        <w:rPr>
          <w:rFonts w:ascii="Palatino Linotype" w:eastAsia="Palatino Linotype" w:hAnsi="Palatino Linotype" w:cs="Palatino Linotype"/>
          <w:b/>
          <w:sz w:val="22"/>
          <w:szCs w:val="22"/>
        </w:rPr>
        <w:t>RECURRENTE</w:t>
      </w:r>
      <w:r w:rsidRPr="00E92431">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2DC742F"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Si a ello se le suma lo previsto en el párrafo segundo del artículo 178, párrafo segundo</w:t>
      </w:r>
      <w:r w:rsidRPr="00E92431">
        <w:rPr>
          <w:rFonts w:ascii="Palatino Linotype" w:eastAsia="Palatino Linotype" w:hAnsi="Palatino Linotype" w:cs="Palatino Linotype"/>
          <w:sz w:val="22"/>
          <w:szCs w:val="22"/>
          <w:vertAlign w:val="superscript"/>
        </w:rPr>
        <w:footnoteReference w:id="1"/>
      </w:r>
      <w:r w:rsidRPr="00E92431">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E92431" w:rsidRDefault="00532AE4">
      <w:pPr>
        <w:spacing w:line="360" w:lineRule="auto"/>
        <w:jc w:val="both"/>
        <w:rPr>
          <w:i/>
          <w:sz w:val="22"/>
          <w:szCs w:val="22"/>
        </w:rPr>
      </w:pPr>
    </w:p>
    <w:p w14:paraId="4BB01BE0" w14:textId="77777777" w:rsidR="00532AE4" w:rsidRPr="00E92431" w:rsidRDefault="00A76F12">
      <w:pPr>
        <w:ind w:left="567" w:right="616"/>
        <w:jc w:val="both"/>
        <w:rPr>
          <w:rFonts w:ascii="Palatino Linotype" w:eastAsia="Palatino Linotype" w:hAnsi="Palatino Linotype" w:cs="Palatino Linotype"/>
          <w:b/>
          <w:i/>
          <w:sz w:val="22"/>
          <w:szCs w:val="22"/>
        </w:rPr>
      </w:pPr>
      <w:r w:rsidRPr="00E92431">
        <w:rPr>
          <w:rFonts w:ascii="Palatino Linotype" w:eastAsia="Palatino Linotype" w:hAnsi="Palatino Linotype" w:cs="Palatino Linotype"/>
          <w:i/>
          <w:sz w:val="22"/>
          <w:szCs w:val="22"/>
        </w:rPr>
        <w:t>“</w:t>
      </w:r>
      <w:r w:rsidRPr="00E92431">
        <w:rPr>
          <w:rFonts w:ascii="Palatino Linotype" w:eastAsia="Palatino Linotype" w:hAnsi="Palatino Linotype" w:cs="Palatino Linotype"/>
          <w:b/>
          <w:i/>
          <w:sz w:val="22"/>
          <w:szCs w:val="22"/>
        </w:rPr>
        <w:t>CRITERIO 0001-15 NEGATIVA FICTA. PLAZO PARA INTERPONER EL RECURSO DE REVISIÓN TRATÁNDOSE DE</w:t>
      </w:r>
      <w:r w:rsidRPr="00E92431">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E92431" w:rsidRDefault="00532AE4">
      <w:pPr>
        <w:ind w:left="567" w:right="851"/>
        <w:jc w:val="both"/>
        <w:rPr>
          <w:rFonts w:ascii="Palatino Linotype" w:eastAsia="Palatino Linotype" w:hAnsi="Palatino Linotype" w:cs="Palatino Linotype"/>
          <w:i/>
          <w:sz w:val="22"/>
          <w:szCs w:val="22"/>
        </w:rPr>
      </w:pPr>
    </w:p>
    <w:p w14:paraId="76E26C4F" w14:textId="169CE5C8" w:rsidR="00532AE4" w:rsidRPr="00E92431"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E92431">
        <w:rPr>
          <w:rFonts w:ascii="Palatino Linotype" w:eastAsia="Palatino Linotype" w:hAnsi="Palatino Linotype" w:cs="Palatino Linotype"/>
          <w:b/>
          <w:sz w:val="22"/>
          <w:szCs w:val="22"/>
        </w:rPr>
        <w:t>EL</w:t>
      </w:r>
      <w:r w:rsidRPr="00E92431">
        <w:rPr>
          <w:rFonts w:ascii="Palatino Linotype" w:eastAsia="Palatino Linotype" w:hAnsi="Palatino Linotype" w:cs="Palatino Linotype"/>
          <w:sz w:val="22"/>
          <w:szCs w:val="22"/>
        </w:rPr>
        <w:t xml:space="preserve"> </w:t>
      </w:r>
      <w:r w:rsidRPr="00E92431">
        <w:rPr>
          <w:rFonts w:ascii="Palatino Linotype" w:eastAsia="Palatino Linotype" w:hAnsi="Palatino Linotype" w:cs="Palatino Linotype"/>
          <w:b/>
          <w:sz w:val="22"/>
          <w:szCs w:val="22"/>
        </w:rPr>
        <w:t>SAIMEX</w:t>
      </w:r>
      <w:r w:rsidRPr="00E92431">
        <w:rPr>
          <w:rFonts w:ascii="Palatino Linotype" w:eastAsia="Palatino Linotype" w:hAnsi="Palatino Linotype" w:cs="Palatino Linotype"/>
          <w:sz w:val="22"/>
          <w:szCs w:val="22"/>
        </w:rPr>
        <w:t>.</w:t>
      </w:r>
    </w:p>
    <w:p w14:paraId="1C27DB56" w14:textId="40163621" w:rsidR="00B503D1" w:rsidRPr="00E92431"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Ahora bien, resulta procedente la interposición del recurso de revisión, según lo aducido por la parte </w:t>
      </w:r>
      <w:r w:rsidRPr="00E92431">
        <w:rPr>
          <w:rFonts w:ascii="Palatino Linotype" w:eastAsia="Palatino Linotype" w:hAnsi="Palatino Linotype" w:cs="Palatino Linotype"/>
          <w:b/>
          <w:sz w:val="22"/>
          <w:szCs w:val="22"/>
        </w:rPr>
        <w:t>RECURRENTE</w:t>
      </w:r>
      <w:r w:rsidRPr="00E92431">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E92431" w:rsidRDefault="00A76F12">
      <w:pPr>
        <w:ind w:left="567" w:right="616"/>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i/>
          <w:sz w:val="22"/>
          <w:szCs w:val="22"/>
        </w:rPr>
        <w:lastRenderedPageBreak/>
        <w:t>“</w:t>
      </w:r>
      <w:r w:rsidRPr="00E92431">
        <w:rPr>
          <w:rFonts w:ascii="Palatino Linotype" w:eastAsia="Palatino Linotype" w:hAnsi="Palatino Linotype" w:cs="Palatino Linotype"/>
          <w:b/>
          <w:sz w:val="22"/>
          <w:szCs w:val="22"/>
        </w:rPr>
        <w:t>Artículo 179.</w:t>
      </w:r>
      <w:r w:rsidRPr="00E92431">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E92431">
        <w:rPr>
          <w:rFonts w:ascii="Palatino Linotype" w:eastAsia="Palatino Linotype" w:hAnsi="Palatino Linotype" w:cs="Palatino Linotype"/>
          <w:sz w:val="22"/>
          <w:szCs w:val="22"/>
        </w:rPr>
        <w:t> </w:t>
      </w:r>
    </w:p>
    <w:p w14:paraId="7ACAE181" w14:textId="77777777" w:rsidR="00532AE4" w:rsidRPr="00E92431" w:rsidRDefault="00A76F12">
      <w:pPr>
        <w:ind w:left="567" w:right="616"/>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w:t>
      </w:r>
    </w:p>
    <w:p w14:paraId="543A0FF7" w14:textId="77777777" w:rsidR="00532AE4" w:rsidRPr="00E92431" w:rsidRDefault="00A76F12">
      <w:pPr>
        <w:numPr>
          <w:ilvl w:val="0"/>
          <w:numId w:val="4"/>
        </w:numPr>
        <w:ind w:left="567" w:right="616" w:firstLine="0"/>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E92431"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E92431" w:rsidRDefault="00A76F12">
      <w:pPr>
        <w:tabs>
          <w:tab w:val="left" w:pos="8647"/>
        </w:tabs>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 xml:space="preserve">Tercero. Materia de la revisión. </w:t>
      </w:r>
      <w:r w:rsidRPr="00E92431">
        <w:rPr>
          <w:rFonts w:ascii="Palatino Linotype" w:eastAsia="Palatino Linotype" w:hAnsi="Palatino Linotype" w:cs="Palatino Linotype"/>
          <w:sz w:val="22"/>
          <w:szCs w:val="22"/>
        </w:rPr>
        <w:t xml:space="preserve">Este Organismo Garante procede del análisis de los agravios hechos valer por la parte </w:t>
      </w:r>
      <w:r w:rsidRPr="00E92431">
        <w:rPr>
          <w:rFonts w:ascii="Palatino Linotype" w:eastAsia="Palatino Linotype" w:hAnsi="Palatino Linotype" w:cs="Palatino Linotype"/>
          <w:b/>
          <w:sz w:val="22"/>
          <w:szCs w:val="22"/>
        </w:rPr>
        <w:t>Recurrente</w:t>
      </w:r>
      <w:r w:rsidRPr="00E92431">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E92431"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 xml:space="preserve">Cuarto. Estudio del asunto. </w:t>
      </w:r>
      <w:r w:rsidRPr="00E92431">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E92431">
        <w:rPr>
          <w:rFonts w:ascii="Palatino Linotype" w:eastAsia="Palatino Linotype" w:hAnsi="Palatino Linotype" w:cs="Palatino Linotype"/>
          <w:b/>
          <w:sz w:val="22"/>
          <w:szCs w:val="22"/>
        </w:rPr>
        <w:t xml:space="preserve">Sujeto Obligado </w:t>
      </w:r>
      <w:r w:rsidRPr="00E92431">
        <w:rPr>
          <w:rFonts w:ascii="Palatino Linotype" w:eastAsia="Palatino Linotype" w:hAnsi="Palatino Linotype" w:cs="Palatino Linotype"/>
          <w:sz w:val="22"/>
          <w:szCs w:val="22"/>
        </w:rPr>
        <w:t xml:space="preserve">no dio respuesta a la solicitud de información planteada por la parte </w:t>
      </w:r>
      <w:r w:rsidRPr="00E92431">
        <w:rPr>
          <w:rFonts w:ascii="Palatino Linotype" w:eastAsia="Palatino Linotype" w:hAnsi="Palatino Linotype" w:cs="Palatino Linotype"/>
          <w:b/>
          <w:sz w:val="22"/>
          <w:szCs w:val="22"/>
        </w:rPr>
        <w:t>Recurrente</w:t>
      </w:r>
      <w:r w:rsidRPr="00E92431">
        <w:rPr>
          <w:rFonts w:ascii="Palatino Linotype" w:eastAsia="Palatino Linotype" w:hAnsi="Palatino Linotype" w:cs="Palatino Linotype"/>
          <w:sz w:val="22"/>
          <w:szCs w:val="22"/>
        </w:rPr>
        <w:t xml:space="preserve">, lo que se traduce como la configuración de la </w:t>
      </w:r>
      <w:r w:rsidRPr="00E92431">
        <w:rPr>
          <w:rFonts w:ascii="Palatino Linotype" w:eastAsia="Palatino Linotype" w:hAnsi="Palatino Linotype" w:cs="Palatino Linotype"/>
          <w:b/>
          <w:sz w:val="22"/>
          <w:szCs w:val="22"/>
        </w:rPr>
        <w:t>negativa ficta</w:t>
      </w:r>
      <w:r w:rsidRPr="00E92431">
        <w:rPr>
          <w:rFonts w:ascii="Palatino Linotype" w:eastAsia="Palatino Linotype" w:hAnsi="Palatino Linotype" w:cs="Palatino Linotype"/>
          <w:sz w:val="22"/>
          <w:szCs w:val="22"/>
        </w:rPr>
        <w:t xml:space="preserve">, situación que demuestra la existencia del acto impugnado y procedencia del motivo de inconformidad, que en términos generales consistente en que el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E92431">
        <w:rPr>
          <w:rFonts w:ascii="Palatino Linotype" w:eastAsia="Palatino Linotype" w:hAnsi="Palatino Linotype" w:cs="Palatino Linotype"/>
          <w:b/>
          <w:sz w:val="22"/>
          <w:szCs w:val="22"/>
        </w:rPr>
        <w:t>Recurrente</w:t>
      </w:r>
      <w:r w:rsidRPr="00E92431">
        <w:rPr>
          <w:rFonts w:ascii="Palatino Linotype" w:eastAsia="Palatino Linotype" w:hAnsi="Palatino Linotype" w:cs="Palatino Linotype"/>
          <w:sz w:val="22"/>
          <w:szCs w:val="22"/>
        </w:rPr>
        <w:t xml:space="preserve">, se advierte que requirió al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le proporcionara, información consistente en lo siguiente:</w:t>
      </w:r>
    </w:p>
    <w:p w14:paraId="35279DFB" w14:textId="081E6921" w:rsidR="00532AE4" w:rsidRPr="00E92431" w:rsidRDefault="00B82C51" w:rsidP="00E47B12">
      <w:pPr>
        <w:ind w:left="851" w:right="616"/>
        <w:jc w:val="both"/>
        <w:rPr>
          <w:rFonts w:ascii="Palatino Linotype" w:eastAsia="Palatino Linotype" w:hAnsi="Palatino Linotype"/>
          <w:i/>
          <w:sz w:val="22"/>
          <w:szCs w:val="22"/>
        </w:rPr>
      </w:pPr>
      <w:r w:rsidRPr="00E92431">
        <w:rPr>
          <w:rFonts w:ascii="Palatino Linotype" w:eastAsia="Palatino Linotype" w:hAnsi="Palatino Linotype"/>
          <w:i/>
          <w:sz w:val="22"/>
          <w:szCs w:val="22"/>
        </w:rPr>
        <w:t>“</w:t>
      </w:r>
      <w:r w:rsidR="00001CB2" w:rsidRPr="00E92431">
        <w:rPr>
          <w:rFonts w:ascii="Palatino Linotype" w:eastAsia="Palatino Linotype" w:hAnsi="Palatino Linotype"/>
          <w:i/>
          <w:sz w:val="22"/>
          <w:szCs w:val="22"/>
        </w:rPr>
        <w:t xml:space="preserve">Con fundamento en la Ley de Transparencia y Acceso a la Información Pública del Estado de México y Municipios, solicito la siguiente información respecto del Fraccionamiento El Dorado II, ubicado en el Municipio de Tultepec, Estado de México: 1.-Informar si obra en los archivos del Ayuntamiento de Tultepec constancia de designación, registro, notificación, reconocimiento o toma de conocimiento de la </w:t>
      </w:r>
      <w:r w:rsidR="00001CB2" w:rsidRPr="00E92431">
        <w:rPr>
          <w:rFonts w:ascii="Palatino Linotype" w:eastAsia="Palatino Linotype" w:hAnsi="Palatino Linotype"/>
          <w:i/>
          <w:sz w:val="22"/>
          <w:szCs w:val="22"/>
        </w:rPr>
        <w:lastRenderedPageBreak/>
        <w:t>Mesa Directiva, Comité de Administración, Administrador o Asociación Civil que actualmente administre el Fraccionamiento El Dorado II. 2.-Informar si existe registro municipal de la integración y vigencia de la Mesa Directiva, Comité de Administración, Administrador o Asociación Civil relacionada con el Fraccionamiento El Dorado II. 3.-Informar si ha sido presentado ante la Sindicatura Municipal para su autorización algún libro de actas correspondiente a la administración del Fraccionamiento El Dorado II, en términos del artículo 271 del Bando Municipal de Tultepec. 4.-En caso afirmativo, proporcionar copia electrónica en versión pública de los documentos que acrediten la presentación, autorización, registro, vigencia o cualquier actuación relacionada con dicho libro de actas. 5.-Informar si existe autorización, permiso, acuerdo, expediente o antecedente municipal relacionado con la instalación y operación de casetas de vigilancia, plumas de control de acceso o mecanismos de restricción vehicular dentro del Fraccionamiento El Dorado II. 6.-En caso afirmativo, proporcionar copia electrónica en versión pública de las autorizaciones, permisos, acuerdos, expedientes o documentos relacionados. 7.-Informar qué dependencia o autoridad municipal es competente para la aplicación, vigilancia y cumplimiento de lo dispuesto en los artículos 270, 271 y 272 del Bando Municipal de Tultepec. 8.-Informar si existe expediente, registro, autorización, reconocimiento o antecedente municipal relacionado con la asociación denominada "POR EL BIEN COMÚN Y LA SANA CONVIVENCIA EL DORADO II TULTEPEC, A.C.". 9.-En caso afirmativo, proporcionar copia electrónica en versión pública de los documentos que obren en los archivos municipales relacionados con dicha asociación, incluyendo registros, comunicaciones, reconocimientos, autorizaciones o cualquier actuación administrativa vinculada con la misma. En caso de que alguno de los documentos solicitados contenga datos personales o información clasificada, solicito se proporcione la versión pública correspondiente, testando únicamente la información que legalmente deba protegerse, conservando visible el resto de su contenido.</w:t>
      </w:r>
      <w:r w:rsidR="009C3B23" w:rsidRPr="00E92431">
        <w:rPr>
          <w:rFonts w:ascii="Palatino Linotype" w:eastAsia="Palatino Linotype" w:hAnsi="Palatino Linotype"/>
          <w:i/>
          <w:sz w:val="22"/>
          <w:szCs w:val="22"/>
        </w:rPr>
        <w:t>”</w:t>
      </w:r>
      <w:r w:rsidR="00223CD6" w:rsidRPr="00E92431">
        <w:rPr>
          <w:rFonts w:ascii="Palatino Linotype" w:eastAsia="Palatino Linotype" w:hAnsi="Palatino Linotype"/>
          <w:i/>
          <w:sz w:val="22"/>
          <w:szCs w:val="22"/>
        </w:rPr>
        <w:t xml:space="preserve"> (</w:t>
      </w:r>
      <w:r w:rsidR="00A76F12" w:rsidRPr="00E92431">
        <w:rPr>
          <w:rFonts w:ascii="Palatino Linotype" w:eastAsia="Palatino Linotype" w:hAnsi="Palatino Linotype"/>
          <w:i/>
          <w:sz w:val="22"/>
          <w:szCs w:val="22"/>
        </w:rPr>
        <w:t>Sic)</w:t>
      </w:r>
    </w:p>
    <w:p w14:paraId="4BE46D97" w14:textId="77777777" w:rsidR="00532AE4" w:rsidRPr="00E92431"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w:t>
      </w:r>
      <w:r w:rsidRPr="00E92431">
        <w:rPr>
          <w:rFonts w:ascii="Palatino Linotype" w:eastAsia="Palatino Linotype" w:hAnsi="Palatino Linotype" w:cs="Palatino Linotype"/>
          <w:sz w:val="22"/>
          <w:szCs w:val="22"/>
        </w:rPr>
        <w:lastRenderedPageBreak/>
        <w:t>que el Estado Mexicano sea parte, en concordancia con el artículo 8 de la Ley de Transparencia local.</w:t>
      </w:r>
    </w:p>
    <w:p w14:paraId="4991BE7B"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E92431" w:rsidRDefault="00A76F12">
      <w:pPr>
        <w:tabs>
          <w:tab w:val="left" w:pos="709"/>
        </w:tabs>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E92431"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E92431"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E92431">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E92431"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E92431">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E92431"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E92431">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E92431"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t>[…]</w:t>
      </w:r>
    </w:p>
    <w:p w14:paraId="54E0C206" w14:textId="77777777" w:rsidR="00532AE4" w:rsidRPr="00E92431" w:rsidRDefault="00A76F12">
      <w:pPr>
        <w:spacing w:line="276" w:lineRule="auto"/>
        <w:ind w:left="567" w:right="851"/>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“Artículo 6o.</w:t>
      </w:r>
    </w:p>
    <w:p w14:paraId="4D803AB1" w14:textId="77777777" w:rsidR="00532AE4" w:rsidRPr="00E92431" w:rsidRDefault="00A76F12">
      <w:pPr>
        <w:spacing w:line="276" w:lineRule="auto"/>
        <w:ind w:left="567" w:right="851"/>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t>[...]</w:t>
      </w:r>
    </w:p>
    <w:p w14:paraId="4B588253" w14:textId="77777777" w:rsidR="00532AE4" w:rsidRPr="00E92431" w:rsidRDefault="00A76F12">
      <w:pPr>
        <w:spacing w:line="276" w:lineRule="auto"/>
        <w:ind w:left="567" w:right="851"/>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A. Para el ejercicio del derecho de acceso a la información, la Federación y </w:t>
      </w:r>
      <w:r w:rsidRPr="00E92431">
        <w:rPr>
          <w:rFonts w:ascii="Palatino Linotype" w:eastAsia="Palatino Linotype" w:hAnsi="Palatino Linotype" w:cs="Palatino Linotype"/>
          <w:b/>
          <w:i/>
          <w:sz w:val="22"/>
          <w:szCs w:val="22"/>
          <w:u w:val="single"/>
        </w:rPr>
        <w:t>las entidades federativas</w:t>
      </w:r>
      <w:r w:rsidRPr="00E92431">
        <w:rPr>
          <w:rFonts w:ascii="Palatino Linotype" w:eastAsia="Palatino Linotype" w:hAnsi="Palatino Linotype" w:cs="Palatino Linotype"/>
          <w:b/>
          <w:i/>
          <w:sz w:val="22"/>
          <w:szCs w:val="22"/>
        </w:rPr>
        <w:t>,</w:t>
      </w:r>
      <w:r w:rsidRPr="00E92431">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E92431" w:rsidRDefault="00A76F12">
      <w:pPr>
        <w:spacing w:line="276" w:lineRule="auto"/>
        <w:ind w:left="567" w:right="851"/>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lastRenderedPageBreak/>
        <w:t xml:space="preserve">I. </w:t>
      </w:r>
      <w:r w:rsidRPr="00E92431">
        <w:rPr>
          <w:rFonts w:ascii="Palatino Linotype" w:eastAsia="Palatino Linotype" w:hAnsi="Palatino Linotype" w:cs="Palatino Linotype"/>
          <w:b/>
          <w:i/>
          <w:sz w:val="22"/>
          <w:szCs w:val="22"/>
          <w:u w:val="single"/>
        </w:rPr>
        <w:t>Toda la información en posesión de cualquier autoridad, entidad, órgano y organismo de los Poderes</w:t>
      </w:r>
      <w:r w:rsidRPr="00E92431">
        <w:rPr>
          <w:rFonts w:ascii="Palatino Linotype" w:eastAsia="Palatino Linotype" w:hAnsi="Palatino Linotype" w:cs="Palatino Linotype"/>
          <w:i/>
          <w:sz w:val="22"/>
          <w:szCs w:val="22"/>
        </w:rPr>
        <w:t xml:space="preserve"> Ejecutivo, Legislativo </w:t>
      </w:r>
      <w:r w:rsidRPr="00E92431">
        <w:rPr>
          <w:rFonts w:ascii="Palatino Linotype" w:eastAsia="Palatino Linotype" w:hAnsi="Palatino Linotype" w:cs="Palatino Linotype"/>
          <w:b/>
          <w:i/>
          <w:sz w:val="22"/>
          <w:szCs w:val="22"/>
          <w:u w:val="single"/>
        </w:rPr>
        <w:t>y Judicial</w:t>
      </w:r>
      <w:r w:rsidRPr="00E92431">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E92431">
        <w:rPr>
          <w:rFonts w:ascii="Palatino Linotype" w:eastAsia="Palatino Linotype" w:hAnsi="Palatino Linotype" w:cs="Palatino Linotype"/>
          <w:b/>
          <w:i/>
          <w:sz w:val="22"/>
          <w:szCs w:val="22"/>
        </w:rPr>
        <w:t>es pública y sólo podrá ser reservada temporalmente por razones de interés público y seguridad nacional,</w:t>
      </w:r>
      <w:r w:rsidRPr="00E92431">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E92431" w:rsidRDefault="00A76F12">
      <w:pPr>
        <w:spacing w:line="276" w:lineRule="auto"/>
        <w:ind w:left="567" w:right="851"/>
        <w:jc w:val="both"/>
        <w:rPr>
          <w:rFonts w:ascii="Palatino Linotype" w:eastAsia="Palatino Linotype" w:hAnsi="Palatino Linotype" w:cs="Palatino Linotype"/>
          <w:b/>
          <w:i/>
          <w:sz w:val="22"/>
          <w:szCs w:val="22"/>
        </w:rPr>
      </w:pPr>
      <w:r w:rsidRPr="00E92431">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E92431" w:rsidRDefault="00A76F12">
      <w:pPr>
        <w:spacing w:line="276" w:lineRule="auto"/>
        <w:ind w:left="567" w:right="851"/>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III. </w:t>
      </w:r>
      <w:r w:rsidRPr="00E92431">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E92431">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E92431" w:rsidRDefault="00A76F12">
      <w:pPr>
        <w:spacing w:line="276" w:lineRule="auto"/>
        <w:ind w:left="567" w:right="851"/>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IV.</w:t>
      </w:r>
      <w:r w:rsidRPr="00E92431">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E92431" w:rsidRDefault="00A76F12">
      <w:pPr>
        <w:spacing w:line="276" w:lineRule="auto"/>
        <w:ind w:left="567" w:right="851"/>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V. </w:t>
      </w:r>
      <w:r w:rsidRPr="00E92431">
        <w:rPr>
          <w:rFonts w:ascii="Palatino Linotype" w:eastAsia="Palatino Linotype" w:hAnsi="Palatino Linotype" w:cs="Palatino Linotype"/>
          <w:i/>
          <w:sz w:val="22"/>
          <w:szCs w:val="22"/>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14:paraId="3A6C6EFF" w14:textId="77777777" w:rsidR="00532AE4" w:rsidRPr="00E92431"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E92431"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E92431" w:rsidRDefault="00A76F12">
      <w:pPr>
        <w:tabs>
          <w:tab w:val="left" w:pos="709"/>
        </w:tabs>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E92431"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t>“</w:t>
      </w:r>
      <w:r w:rsidRPr="00E92431">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E92431">
        <w:rPr>
          <w:rFonts w:ascii="Palatino Linotype" w:eastAsia="Palatino Linotype" w:hAnsi="Palatino Linotype" w:cs="Palatino Linotype"/>
          <w:i/>
          <w:sz w:val="22"/>
          <w:szCs w:val="22"/>
        </w:rPr>
        <w:t>:</w:t>
      </w:r>
    </w:p>
    <w:p w14:paraId="275F2B94"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E92431">
        <w:rPr>
          <w:rFonts w:ascii="Palatino Linotype" w:eastAsia="Palatino Linotype" w:hAnsi="Palatino Linotype" w:cs="Palatino Linotype"/>
          <w:b/>
          <w:i/>
          <w:sz w:val="22"/>
          <w:szCs w:val="22"/>
        </w:rPr>
        <w:t>I.</w:t>
      </w:r>
      <w:r w:rsidRPr="00E92431">
        <w:rPr>
          <w:rFonts w:ascii="Palatino Linotype" w:eastAsia="Palatino Linotype" w:hAnsi="Palatino Linotype" w:cs="Palatino Linotype"/>
          <w:i/>
          <w:sz w:val="22"/>
          <w:szCs w:val="22"/>
        </w:rPr>
        <w:t xml:space="preserve"> El Poder Ejecutivo del Estado de México, las dependencias, organismos auxiliares,</w:t>
      </w:r>
      <w:r w:rsidRPr="00E92431">
        <w:rPr>
          <w:rFonts w:ascii="Palatino Linotype" w:eastAsia="Palatino Linotype" w:hAnsi="Palatino Linotype" w:cs="Palatino Linotype"/>
          <w:b/>
          <w:i/>
          <w:sz w:val="22"/>
          <w:szCs w:val="22"/>
        </w:rPr>
        <w:t xml:space="preserve"> </w:t>
      </w:r>
      <w:r w:rsidRPr="00E92431">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II.</w:t>
      </w:r>
      <w:r w:rsidRPr="00E92431">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III.</w:t>
      </w:r>
      <w:r w:rsidRPr="00E92431">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E92431">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V.</w:t>
      </w:r>
      <w:r w:rsidRPr="00E92431">
        <w:rPr>
          <w:rFonts w:ascii="Palatino Linotype" w:eastAsia="Palatino Linotype" w:hAnsi="Palatino Linotype" w:cs="Palatino Linotype"/>
          <w:i/>
          <w:sz w:val="22"/>
          <w:szCs w:val="22"/>
        </w:rPr>
        <w:t xml:space="preserve"> Los órganos autónomos;</w:t>
      </w:r>
    </w:p>
    <w:p w14:paraId="47FBCC3D"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VI.</w:t>
      </w:r>
      <w:r w:rsidRPr="00E92431">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VII.</w:t>
      </w:r>
      <w:r w:rsidRPr="00E92431">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VIII.</w:t>
      </w:r>
      <w:r w:rsidRPr="00E92431">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IX.</w:t>
      </w:r>
      <w:r w:rsidRPr="00E92431">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X.</w:t>
      </w:r>
      <w:r w:rsidRPr="00E92431">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XI.</w:t>
      </w:r>
      <w:r w:rsidRPr="00E92431">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E9243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E92431">
        <w:rPr>
          <w:rFonts w:ascii="Palatino Linotype" w:eastAsia="Palatino Linotype" w:hAnsi="Palatino Linotype" w:cs="Palatino Linotype"/>
          <w:i/>
          <w:sz w:val="22"/>
          <w:szCs w:val="22"/>
        </w:rPr>
        <w:t>.”</w:t>
      </w:r>
    </w:p>
    <w:p w14:paraId="6AA3AC33"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E92431"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Dicho lo anterior, se precisa que la ya mencionada Unidad de Transparencia es la encargada de tramitar internamente las solicitudes de información y tiene la responsabilidad de verificar, en cada caso, que la información no tenga el carácter de confidencial o reservada, en términos de los artículos 50 y 51 de la Ley de Transparencia y Acceso a la Información Pública del Estado de México y Municipios.</w:t>
      </w:r>
    </w:p>
    <w:p w14:paraId="677C733F" w14:textId="77777777" w:rsidR="00532AE4" w:rsidRPr="00E92431"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E92431"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Asimismo, el diverso artículo 54 de la Ley de Transparencia y Acceso a la Información Pública del Estado de México y Municipios establece que cuando alguna área de los Sujetos </w:t>
      </w:r>
      <w:r w:rsidRPr="00E92431">
        <w:rPr>
          <w:rFonts w:ascii="Palatino Linotype" w:eastAsia="Palatino Linotype" w:hAnsi="Palatino Linotype" w:cs="Palatino Linotype"/>
          <w:sz w:val="22"/>
          <w:szCs w:val="22"/>
        </w:rPr>
        <w:lastRenderedPageBreak/>
        <w:t>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E92431"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E92431"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adicionales, siempre y cuando existan razones fundadas y motivadas, las cuales deberán ser aprobadas por el Comité de Transparencia. Situación que en la especie no aconteció. </w:t>
      </w:r>
    </w:p>
    <w:p w14:paraId="53232406"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Sirve de sustento a lo anterior, el precepto legal en cita:</w:t>
      </w:r>
    </w:p>
    <w:p w14:paraId="0E6F8D37"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E92431" w:rsidRDefault="00A76F12">
      <w:pPr>
        <w:spacing w:line="276" w:lineRule="auto"/>
        <w:ind w:left="567" w:right="902"/>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t>“</w:t>
      </w:r>
      <w:r w:rsidRPr="00E92431">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E92431">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E92431" w:rsidRDefault="00A76F12">
      <w:pPr>
        <w:spacing w:line="276" w:lineRule="auto"/>
        <w:ind w:left="567" w:right="902"/>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t xml:space="preserve">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w:t>
      </w:r>
      <w:r w:rsidRPr="00E92431">
        <w:rPr>
          <w:rFonts w:ascii="Palatino Linotype" w:eastAsia="Palatino Linotype" w:hAnsi="Palatino Linotype" w:cs="Palatino Linotype"/>
          <w:i/>
          <w:sz w:val="22"/>
          <w:szCs w:val="22"/>
        </w:rPr>
        <w:lastRenderedPageBreak/>
        <w:t>podrán invocarse como causales de ampliación del plazo motivos que supongan negligencia o descuido del sujeto obligado en el desahogo de la solicitud.”</w:t>
      </w:r>
    </w:p>
    <w:p w14:paraId="201E4166" w14:textId="77777777" w:rsidR="00532AE4" w:rsidRPr="00E92431"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En mérito de lo expuesto, es claro que en este caso el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E92431">
        <w:rPr>
          <w:rFonts w:ascii="Palatino Linotype" w:eastAsia="Palatino Linotype" w:hAnsi="Palatino Linotype" w:cs="Palatino Linotype"/>
          <w:b/>
          <w:sz w:val="22"/>
          <w:szCs w:val="22"/>
        </w:rPr>
        <w:t>el Sujeto Obligado</w:t>
      </w:r>
      <w:r w:rsidRPr="00E92431">
        <w:rPr>
          <w:rFonts w:ascii="Palatino Linotype" w:eastAsia="Palatino Linotype" w:hAnsi="Palatino Linotype" w:cs="Palatino Linotype"/>
          <w:sz w:val="22"/>
          <w:szCs w:val="22"/>
        </w:rPr>
        <w:t>; por lo que, en caso de no atender de manera positiva</w:t>
      </w:r>
      <w:r w:rsidRPr="00E92431">
        <w:rPr>
          <w:rFonts w:ascii="Palatino Linotype" w:eastAsia="Palatino Linotype" w:hAnsi="Palatino Linotype" w:cs="Palatino Linotype"/>
          <w:sz w:val="22"/>
          <w:szCs w:val="22"/>
          <w:vertAlign w:val="superscript"/>
        </w:rPr>
        <w:footnoteReference w:id="2"/>
      </w:r>
      <w:r w:rsidRPr="00E92431">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E92431"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E92431">
        <w:rPr>
          <w:rFonts w:ascii="Palatino Linotype" w:eastAsia="Palatino Linotype" w:hAnsi="Palatino Linotype" w:cs="Palatino Linotype"/>
          <w:b/>
          <w:sz w:val="22"/>
          <w:szCs w:val="22"/>
        </w:rPr>
        <w:t>De la clasificación de la información.</w:t>
      </w:r>
    </w:p>
    <w:p w14:paraId="7CB72775" w14:textId="77777777" w:rsidR="00532AE4" w:rsidRPr="00E92431"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E92431" w:rsidRDefault="00A76F12">
      <w:pPr>
        <w:spacing w:line="360" w:lineRule="auto"/>
        <w:ind w:right="51"/>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lastRenderedPageBreak/>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E92431"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E92431" w:rsidRDefault="00A76F12">
      <w:pPr>
        <w:spacing w:line="276" w:lineRule="auto"/>
        <w:ind w:left="851" w:right="900"/>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“Artículo 91. </w:t>
      </w:r>
      <w:r w:rsidRPr="00E92431">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E92431"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privada contenida en documentos públicos o privados que refiera a la vida privada y/o los datos personales, que no son de acceso público. </w:t>
      </w:r>
    </w:p>
    <w:p w14:paraId="077F0B8E"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E92431"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“Artículo 140. </w:t>
      </w:r>
      <w:r w:rsidRPr="00E92431">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I. </w:t>
      </w:r>
      <w:r w:rsidRPr="00E92431">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II. </w:t>
      </w:r>
      <w:r w:rsidRPr="00E92431">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lastRenderedPageBreak/>
        <w:t xml:space="preserve">III. </w:t>
      </w:r>
      <w:r w:rsidRPr="00E92431">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IV. </w:t>
      </w:r>
      <w:r w:rsidRPr="00E92431">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V. </w:t>
      </w:r>
      <w:r w:rsidRPr="00E92431">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1. </w:t>
      </w:r>
      <w:r w:rsidRPr="00E92431">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2. </w:t>
      </w:r>
      <w:r w:rsidRPr="00E92431">
        <w:rPr>
          <w:rFonts w:ascii="Palatino Linotype" w:eastAsia="Palatino Linotype" w:hAnsi="Palatino Linotype" w:cs="Palatino Linotype"/>
          <w:i/>
          <w:sz w:val="22"/>
          <w:szCs w:val="22"/>
        </w:rPr>
        <w:t>La recaudación de las contribuciones.</w:t>
      </w:r>
    </w:p>
    <w:p w14:paraId="4CD54AA9"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VI. </w:t>
      </w:r>
      <w:r w:rsidRPr="00E92431">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VII. </w:t>
      </w:r>
      <w:r w:rsidRPr="00E92431">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VIII</w:t>
      </w:r>
      <w:r w:rsidRPr="00E92431">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E92431">
        <w:rPr>
          <w:rFonts w:ascii="Palatino Linotype" w:eastAsia="Palatino Linotype" w:hAnsi="Palatino Linotype" w:cs="Palatino Linotype"/>
          <w:b/>
          <w:i/>
          <w:sz w:val="22"/>
          <w:szCs w:val="22"/>
        </w:rPr>
        <w:t>;</w:t>
      </w:r>
    </w:p>
    <w:p w14:paraId="20A105A2"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IX. </w:t>
      </w:r>
      <w:r w:rsidRPr="00E92431">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X. </w:t>
      </w:r>
      <w:r w:rsidRPr="00E92431">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XI. </w:t>
      </w:r>
      <w:r w:rsidRPr="00E92431">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lastRenderedPageBreak/>
        <w:t>(…)</w:t>
      </w:r>
    </w:p>
    <w:p w14:paraId="7E7180B7"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Artículo 143. </w:t>
      </w:r>
      <w:r w:rsidRPr="00E92431">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I. </w:t>
      </w:r>
      <w:r w:rsidRPr="00E92431">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II. </w:t>
      </w:r>
      <w:r w:rsidRPr="00E92431">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III. </w:t>
      </w:r>
      <w:r w:rsidRPr="00E92431">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E9243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E92431"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De este modo, conforme al artículo 132 de la Ley en la Materia Local, para clasificar la información se debe de atender a lo dispuesto por la normativa y aplicar, de manera estricta, las excepciones del derecho de acceso a la información y sólo podrán invocarlas cuando acrediten su procedencia, debiendo clasificar la información en el momento en que:</w:t>
      </w:r>
    </w:p>
    <w:p w14:paraId="7A878F85"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E92431"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Se reciba una solicitud de acceso a la información;</w:t>
      </w:r>
    </w:p>
    <w:p w14:paraId="54E32C40" w14:textId="77777777" w:rsidR="00532AE4" w:rsidRPr="00E92431"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Se determine mediante resolución de autoridad competente; y/o</w:t>
      </w:r>
    </w:p>
    <w:p w14:paraId="2A2574F5" w14:textId="77777777" w:rsidR="00532AE4" w:rsidRPr="00E92431"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E92431"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E92431" w:rsidRDefault="00A76F12">
      <w:pPr>
        <w:spacing w:line="360" w:lineRule="auto"/>
        <w:ind w:right="51"/>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cuando clasifique algún documento o información, ya sea todo o en parte, atienda lo dispuesto por la Ley de la </w:t>
      </w:r>
      <w:r w:rsidRPr="00E92431">
        <w:rPr>
          <w:rFonts w:ascii="Palatino Linotype" w:eastAsia="Palatino Linotype" w:hAnsi="Palatino Linotype" w:cs="Palatino Linotype"/>
          <w:sz w:val="22"/>
          <w:szCs w:val="22"/>
        </w:rPr>
        <w:lastRenderedPageBreak/>
        <w:t xml:space="preserve">materia, siendo que dicha clasificación es un trabajo en conjunto tanto de los Servidores Públicos Habilitados, de las Unidades de Transparencia y del Comité de Transparencia del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E92431">
        <w:rPr>
          <w:rFonts w:ascii="Palatino Linotype" w:eastAsia="Palatino Linotype" w:hAnsi="Palatino Linotype" w:cs="Palatino Linotype"/>
          <w:sz w:val="22"/>
          <w:szCs w:val="22"/>
          <w:vertAlign w:val="superscript"/>
        </w:rPr>
        <w:footnoteReference w:id="3"/>
      </w:r>
      <w:r w:rsidRPr="00E92431">
        <w:rPr>
          <w:rFonts w:ascii="Palatino Linotype" w:eastAsia="Palatino Linotype" w:hAnsi="Palatino Linotype" w:cs="Palatino Linotype"/>
          <w:sz w:val="22"/>
          <w:szCs w:val="22"/>
        </w:rPr>
        <w:t>, 53 fracción X</w:t>
      </w:r>
      <w:r w:rsidRPr="00E92431">
        <w:rPr>
          <w:rFonts w:ascii="Palatino Linotype" w:eastAsia="Palatino Linotype" w:hAnsi="Palatino Linotype" w:cs="Palatino Linotype"/>
          <w:sz w:val="22"/>
          <w:szCs w:val="22"/>
          <w:vertAlign w:val="superscript"/>
        </w:rPr>
        <w:footnoteReference w:id="4"/>
      </w:r>
      <w:r w:rsidRPr="00E92431">
        <w:rPr>
          <w:rFonts w:ascii="Palatino Linotype" w:eastAsia="Palatino Linotype" w:hAnsi="Palatino Linotype" w:cs="Palatino Linotype"/>
          <w:sz w:val="22"/>
          <w:szCs w:val="22"/>
        </w:rPr>
        <w:t>, y 49 fracciones II y VIII</w:t>
      </w:r>
      <w:r w:rsidRPr="00E92431">
        <w:rPr>
          <w:rFonts w:ascii="Palatino Linotype" w:eastAsia="Palatino Linotype" w:hAnsi="Palatino Linotype" w:cs="Palatino Linotype"/>
          <w:sz w:val="22"/>
          <w:szCs w:val="22"/>
          <w:vertAlign w:val="superscript"/>
        </w:rPr>
        <w:footnoteReference w:id="5"/>
      </w:r>
      <w:r w:rsidRPr="00E92431">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E92431"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Bajo tales consideraciones, este Organismo Garante no omite señalar que, si el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advierte que la información solicitada contiene </w:t>
      </w:r>
      <w:r w:rsidRPr="00E92431">
        <w:rPr>
          <w:rFonts w:ascii="Palatino Linotype" w:eastAsia="Palatino Linotype" w:hAnsi="Palatino Linotype" w:cs="Palatino Linotype"/>
          <w:b/>
          <w:sz w:val="22"/>
          <w:szCs w:val="22"/>
        </w:rPr>
        <w:t>datos personales</w:t>
      </w:r>
      <w:r w:rsidRPr="00E92431">
        <w:rPr>
          <w:rFonts w:ascii="Palatino Linotype" w:eastAsia="Palatino Linotype" w:hAnsi="Palatino Linotype" w:cs="Palatino Linotype"/>
          <w:sz w:val="22"/>
          <w:szCs w:val="22"/>
        </w:rPr>
        <w:t xml:space="preserve"> que sean susceptibles de ser </w:t>
      </w:r>
      <w:r w:rsidRPr="00E92431">
        <w:rPr>
          <w:rFonts w:ascii="Palatino Linotype" w:eastAsia="Palatino Linotype" w:hAnsi="Palatino Linotype" w:cs="Palatino Linotype"/>
          <w:b/>
          <w:sz w:val="22"/>
          <w:szCs w:val="22"/>
        </w:rPr>
        <w:t xml:space="preserve">clasificados como confidenciales, </w:t>
      </w:r>
      <w:r w:rsidRPr="00E92431">
        <w:rPr>
          <w:rFonts w:ascii="Palatino Linotype" w:eastAsia="Palatino Linotype" w:hAnsi="Palatino Linotype" w:cs="Palatino Linotype"/>
          <w:sz w:val="22"/>
          <w:szCs w:val="22"/>
        </w:rPr>
        <w:t>o, si por otro lado</w:t>
      </w:r>
      <w:r w:rsidRPr="00E92431">
        <w:rPr>
          <w:rFonts w:ascii="Palatino Linotype" w:eastAsia="Palatino Linotype" w:hAnsi="Palatino Linotype" w:cs="Palatino Linotype"/>
          <w:b/>
          <w:sz w:val="22"/>
          <w:szCs w:val="22"/>
        </w:rPr>
        <w:t>, por su propia y especial naturaleza,</w:t>
      </w:r>
      <w:r w:rsidRPr="00E92431">
        <w:rPr>
          <w:rFonts w:ascii="Palatino Linotype" w:eastAsia="Palatino Linotype" w:hAnsi="Palatino Linotype" w:cs="Palatino Linotype"/>
          <w:sz w:val="22"/>
          <w:szCs w:val="22"/>
        </w:rPr>
        <w:t xml:space="preserve"> encuadra en alguno de los </w:t>
      </w:r>
      <w:r w:rsidRPr="00E92431">
        <w:rPr>
          <w:rFonts w:ascii="Palatino Linotype" w:eastAsia="Palatino Linotype" w:hAnsi="Palatino Linotype" w:cs="Palatino Linotype"/>
          <w:b/>
          <w:sz w:val="22"/>
          <w:szCs w:val="22"/>
        </w:rPr>
        <w:t>supuestos de reserva o de confidencialidad en su totalidad</w:t>
      </w:r>
      <w:r w:rsidRPr="00E92431">
        <w:rPr>
          <w:rFonts w:ascii="Palatino Linotype" w:eastAsia="Palatino Linotype" w:hAnsi="Palatino Linotype" w:cs="Palatino Linotype"/>
          <w:sz w:val="22"/>
          <w:szCs w:val="22"/>
        </w:rPr>
        <w:t>, deberá emitir, un</w:t>
      </w:r>
      <w:r w:rsidRPr="00E92431">
        <w:rPr>
          <w:rFonts w:ascii="Palatino Linotype" w:eastAsia="Palatino Linotype" w:hAnsi="Palatino Linotype" w:cs="Palatino Linotype"/>
          <w:b/>
          <w:sz w:val="22"/>
          <w:szCs w:val="22"/>
        </w:rPr>
        <w:t xml:space="preserve"> Acuerdo de Clasificación </w:t>
      </w:r>
      <w:r w:rsidRPr="00E92431">
        <w:rPr>
          <w:rFonts w:ascii="Palatino Linotype" w:eastAsia="Palatino Linotype" w:hAnsi="Palatino Linotype" w:cs="Palatino Linotype"/>
          <w:sz w:val="22"/>
          <w:szCs w:val="22"/>
        </w:rPr>
        <w:t>debidamente fundado y motivado que</w:t>
      </w:r>
      <w:r w:rsidRPr="00E92431">
        <w:rPr>
          <w:rFonts w:ascii="Palatino Linotype" w:eastAsia="Palatino Linotype" w:hAnsi="Palatino Linotype" w:cs="Palatino Linotype"/>
          <w:b/>
          <w:sz w:val="22"/>
          <w:szCs w:val="22"/>
        </w:rPr>
        <w:t xml:space="preserve"> sustente la clasificación parcial, a través de la versión pública que emita,</w:t>
      </w:r>
      <w:r w:rsidRPr="00E92431">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E92431"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De la clasificación parcial de la información.</w:t>
      </w:r>
    </w:p>
    <w:p w14:paraId="6CDBD4F4" w14:textId="77777777" w:rsidR="00532AE4" w:rsidRPr="00E92431"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lastRenderedPageBreak/>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E92431"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E92431">
        <w:rPr>
          <w:rFonts w:ascii="Palatino Linotype" w:eastAsia="Palatino Linotype" w:hAnsi="Palatino Linotype" w:cs="Palatino Linotype"/>
          <w:b/>
          <w:sz w:val="22"/>
          <w:szCs w:val="22"/>
        </w:rPr>
        <w:t>De la clasificación de información como reservada.</w:t>
      </w:r>
    </w:p>
    <w:p w14:paraId="2F50165E" w14:textId="77777777" w:rsidR="00532AE4" w:rsidRPr="00E92431"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E92431" w:rsidRDefault="00A76F12">
      <w:pPr>
        <w:spacing w:line="360" w:lineRule="auto"/>
        <w:ind w:right="51"/>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a concluir que, el caso particular se ajusta al 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E92431"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w:t>
      </w:r>
      <w:r w:rsidRPr="00E92431">
        <w:rPr>
          <w:rFonts w:ascii="Palatino Linotype" w:eastAsia="Palatino Linotype" w:hAnsi="Palatino Linotype" w:cs="Palatino Linotype"/>
          <w:sz w:val="22"/>
          <w:szCs w:val="22"/>
        </w:rPr>
        <w:lastRenderedPageBreak/>
        <w:t xml:space="preserve">de la Ley de Transparencia y Acceso a la Información pública del Estado de México y Municipios, para lo cual, los Sujetos Obligados deberán considerar que: </w:t>
      </w:r>
    </w:p>
    <w:p w14:paraId="13C920F9"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E92431"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La divulgación de la información representa un </w:t>
      </w:r>
      <w:r w:rsidRPr="00E92431">
        <w:rPr>
          <w:rFonts w:ascii="Palatino Linotype" w:eastAsia="Palatino Linotype" w:hAnsi="Palatino Linotype" w:cs="Palatino Linotype"/>
          <w:b/>
          <w:sz w:val="22"/>
          <w:szCs w:val="22"/>
        </w:rPr>
        <w:t>riesgo real, demostrable e identificable del perjuicio significativo al interés público o a la seguridad pública</w:t>
      </w:r>
      <w:r w:rsidRPr="00E92431">
        <w:rPr>
          <w:rFonts w:ascii="Palatino Linotype" w:eastAsia="Palatino Linotype" w:hAnsi="Palatino Linotype" w:cs="Palatino Linotype"/>
          <w:sz w:val="22"/>
          <w:szCs w:val="22"/>
        </w:rPr>
        <w:t>;</w:t>
      </w:r>
    </w:p>
    <w:p w14:paraId="4FC20933" w14:textId="77777777" w:rsidR="00532AE4" w:rsidRPr="00E92431"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E92431"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E92431"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Siendo pertinente aclarar que, la información que se clasifica bajo la premisa de reservada, </w:t>
      </w:r>
      <w:r w:rsidRPr="00E92431">
        <w:rPr>
          <w:rFonts w:ascii="Palatino Linotype" w:eastAsia="Palatino Linotype" w:hAnsi="Palatino Linotype" w:cs="Palatino Linotype"/>
          <w:b/>
          <w:sz w:val="22"/>
          <w:szCs w:val="22"/>
        </w:rPr>
        <w:t>no pierde el carácter de pública</w:t>
      </w:r>
      <w:r w:rsidRPr="00E92431">
        <w:rPr>
          <w:rFonts w:ascii="Palatino Linotype" w:eastAsia="Palatino Linotype" w:hAnsi="Palatino Linotype" w:cs="Palatino Linotype"/>
          <w:sz w:val="22"/>
          <w:szCs w:val="22"/>
        </w:rPr>
        <w:t xml:space="preserve">, sino que </w:t>
      </w:r>
      <w:r w:rsidRPr="00E92431">
        <w:rPr>
          <w:rFonts w:ascii="Palatino Linotype" w:eastAsia="Palatino Linotype" w:hAnsi="Palatino Linotype" w:cs="Palatino Linotype"/>
          <w:b/>
          <w:sz w:val="22"/>
          <w:szCs w:val="22"/>
        </w:rPr>
        <w:t>se reserva temporalmente</w:t>
      </w:r>
      <w:r w:rsidRPr="00E92431">
        <w:rPr>
          <w:rFonts w:ascii="Palatino Linotype" w:eastAsia="Palatino Linotype" w:hAnsi="Palatino Linotype" w:cs="Palatino Linotype"/>
          <w:sz w:val="22"/>
          <w:szCs w:val="22"/>
        </w:rPr>
        <w:t xml:space="preserve"> </w:t>
      </w:r>
      <w:r w:rsidRPr="00E92431">
        <w:rPr>
          <w:rFonts w:ascii="Palatino Linotype" w:eastAsia="Palatino Linotype" w:hAnsi="Palatino Linotype" w:cs="Palatino Linotype"/>
          <w:b/>
          <w:sz w:val="22"/>
          <w:szCs w:val="22"/>
        </w:rPr>
        <w:t>del conocimiento público</w:t>
      </w:r>
      <w:r w:rsidRPr="00E92431">
        <w:rPr>
          <w:rFonts w:ascii="Palatino Linotype" w:eastAsia="Palatino Linotype" w:hAnsi="Palatino Linotype" w:cs="Palatino Linotype"/>
          <w:sz w:val="22"/>
          <w:szCs w:val="22"/>
        </w:rPr>
        <w:t xml:space="preserve">, es decir, que, </w:t>
      </w:r>
      <w:r w:rsidRPr="00E92431">
        <w:rPr>
          <w:rFonts w:ascii="Palatino Linotype" w:eastAsia="Palatino Linotype" w:hAnsi="Palatino Linotype" w:cs="Palatino Linotype"/>
          <w:b/>
          <w:sz w:val="22"/>
          <w:szCs w:val="22"/>
        </w:rPr>
        <w:t>por un tiempo determinado</w:t>
      </w:r>
      <w:r w:rsidRPr="00E92431">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E92431"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E92431">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E92431"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E92431" w:rsidRDefault="00A76F12">
      <w:pPr>
        <w:tabs>
          <w:tab w:val="left" w:pos="709"/>
        </w:tabs>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w:t>
      </w:r>
      <w:r w:rsidRPr="00E92431">
        <w:rPr>
          <w:rFonts w:ascii="Palatino Linotype" w:eastAsia="Palatino Linotype" w:hAnsi="Palatino Linotype" w:cs="Palatino Linotype"/>
          <w:sz w:val="22"/>
          <w:szCs w:val="22"/>
        </w:rPr>
        <w:lastRenderedPageBreak/>
        <w:t>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E92431"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E92431" w:rsidRDefault="00A76F12">
      <w:pPr>
        <w:spacing w:line="360" w:lineRule="auto"/>
        <w:ind w:right="51"/>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Versiones Públicas</w:t>
      </w:r>
      <w:r w:rsidRPr="00E92431">
        <w:rPr>
          <w:rFonts w:ascii="Palatino Linotype" w:eastAsia="Palatino Linotype" w:hAnsi="Palatino Linotype" w:cs="Palatino Linotype"/>
          <w:sz w:val="22"/>
          <w:szCs w:val="22"/>
          <w:vertAlign w:val="superscript"/>
        </w:rPr>
        <w:footnoteReference w:id="6"/>
      </w:r>
      <w:r w:rsidRPr="00E92431">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E92431"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E92431"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De la declaratoria de inexistencia de la información</w:t>
      </w:r>
      <w:r w:rsidRPr="00E92431">
        <w:rPr>
          <w:rFonts w:ascii="Palatino Linotype" w:eastAsia="Palatino Linotype" w:hAnsi="Palatino Linotype" w:cs="Palatino Linotype"/>
          <w:sz w:val="22"/>
          <w:szCs w:val="22"/>
        </w:rPr>
        <w:t>.</w:t>
      </w:r>
    </w:p>
    <w:p w14:paraId="2CE06287" w14:textId="77777777" w:rsidR="00532AE4" w:rsidRPr="00E92431"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lastRenderedPageBreak/>
        <w:t xml:space="preserve">Por otro lado, estima prudente señalar al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E92431" w:rsidRDefault="00A76F12">
      <w:pPr>
        <w:spacing w:line="276" w:lineRule="auto"/>
        <w:ind w:left="567" w:right="902"/>
        <w:jc w:val="both"/>
        <w:rPr>
          <w:rFonts w:ascii="Palatino Linotype" w:eastAsia="Palatino Linotype" w:hAnsi="Palatino Linotype" w:cs="Palatino Linotype"/>
          <w:i/>
          <w:sz w:val="22"/>
          <w:szCs w:val="22"/>
        </w:rPr>
      </w:pPr>
      <w:r w:rsidRPr="00E92431">
        <w:rPr>
          <w:rFonts w:ascii="Palatino Linotype" w:eastAsia="Palatino Linotype" w:hAnsi="Palatino Linotype" w:cs="Palatino Linotype"/>
          <w:b/>
          <w:i/>
          <w:sz w:val="22"/>
          <w:szCs w:val="22"/>
        </w:rPr>
        <w:t xml:space="preserve">“INEXISTENCIA DE LA INFORMACIÓN. SUPUESTOS PARA EMITIR LA RESOLUCIÓN DE LA. </w:t>
      </w:r>
      <w:r w:rsidRPr="00E92431">
        <w:rPr>
          <w:rFonts w:ascii="Palatino Linotype" w:eastAsia="Palatino Linotype" w:hAnsi="Palatino Linotype" w:cs="Palatino Linotype"/>
          <w:i/>
          <w:sz w:val="22"/>
          <w:szCs w:val="22"/>
        </w:rPr>
        <w:t xml:space="preserve">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w:t>
      </w:r>
      <w:r w:rsidRPr="00E92431">
        <w:rPr>
          <w:rFonts w:ascii="Palatino Linotype" w:eastAsia="Palatino Linotype" w:hAnsi="Palatino Linotype" w:cs="Palatino Linotype"/>
          <w:i/>
          <w:sz w:val="22"/>
          <w:szCs w:val="22"/>
        </w:rPr>
        <w:lastRenderedPageBreak/>
        <w:t>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E92431"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 xml:space="preserve">En mérito de todo lo expuesto, ante lo </w:t>
      </w:r>
      <w:r w:rsidRPr="00E92431">
        <w:rPr>
          <w:rFonts w:ascii="Palatino Linotype" w:eastAsia="Palatino Linotype" w:hAnsi="Palatino Linotype" w:cs="Palatino Linotype"/>
          <w:b/>
          <w:sz w:val="22"/>
          <w:szCs w:val="22"/>
        </w:rPr>
        <w:t>FUNDADO</w:t>
      </w:r>
      <w:r w:rsidRPr="00E92431">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E92431">
        <w:rPr>
          <w:rFonts w:ascii="Palatino Linotype" w:eastAsia="Palatino Linotype" w:hAnsi="Palatino Linotype" w:cs="Palatino Linotype"/>
          <w:b/>
          <w:sz w:val="22"/>
          <w:szCs w:val="22"/>
        </w:rPr>
        <w:t>ORDENAR</w:t>
      </w:r>
      <w:r w:rsidRPr="00E92431">
        <w:rPr>
          <w:rFonts w:ascii="Palatino Linotype" w:eastAsia="Palatino Linotype" w:hAnsi="Palatino Linotype" w:cs="Palatino Linotype"/>
          <w:sz w:val="22"/>
          <w:szCs w:val="22"/>
        </w:rPr>
        <w:t xml:space="preserve"> al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E92431" w:rsidRDefault="00A76F12">
      <w:pPr>
        <w:spacing w:line="360" w:lineRule="auto"/>
        <w:ind w:right="49"/>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sz w:val="22"/>
          <w:szCs w:val="22"/>
        </w:rPr>
        <w:t>Finalmente, es de señalar que, como ya se mencionó el</w:t>
      </w:r>
      <w:r w:rsidRPr="00E92431">
        <w:rPr>
          <w:rFonts w:ascii="Palatino Linotype" w:eastAsia="Palatino Linotype" w:hAnsi="Palatino Linotype" w:cs="Palatino Linotype"/>
          <w:b/>
          <w:sz w:val="22"/>
          <w:szCs w:val="22"/>
        </w:rPr>
        <w:t xml:space="preserve"> Sujeto Obligado</w:t>
      </w:r>
      <w:r w:rsidRPr="00E92431">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E92431">
        <w:rPr>
          <w:rFonts w:ascii="Palatino Linotype" w:eastAsia="Palatino Linotype" w:hAnsi="Palatino Linotype" w:cs="Palatino Linotype"/>
          <w:b/>
          <w:sz w:val="22"/>
          <w:szCs w:val="22"/>
        </w:rPr>
        <w:t xml:space="preserve"> </w:t>
      </w:r>
      <w:r w:rsidRPr="00E92431">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E92431"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E92431"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E92431">
        <w:rPr>
          <w:rFonts w:ascii="Palatino Linotype" w:eastAsia="Palatino Linotype" w:hAnsi="Palatino Linotype" w:cs="Palatino Linotype"/>
          <w:sz w:val="22"/>
          <w:szCs w:val="22"/>
        </w:rPr>
        <w:t xml:space="preserve">Así, con fundamento en lo prescrito en los artículos </w:t>
      </w:r>
      <w:r w:rsidR="009100C5" w:rsidRPr="00E92431">
        <w:rPr>
          <w:rFonts w:ascii="Palatino Linotype" w:eastAsia="Palatino Linotype" w:hAnsi="Palatino Linotype" w:cs="Palatino Linotype"/>
          <w:sz w:val="22"/>
          <w:szCs w:val="22"/>
        </w:rPr>
        <w:t xml:space="preserve">5 párrafos cuadragésimo cuarto, cuadragésimo quinto y cuadragésimo sexto, fracciones IV y V de la Constitución Política del </w:t>
      </w:r>
      <w:r w:rsidR="009100C5" w:rsidRPr="00E92431">
        <w:rPr>
          <w:rFonts w:ascii="Palatino Linotype" w:eastAsia="Palatino Linotype" w:hAnsi="Palatino Linotype" w:cs="Palatino Linotype"/>
          <w:sz w:val="22"/>
          <w:szCs w:val="22"/>
        </w:rPr>
        <w:lastRenderedPageBreak/>
        <w:t>Estado Libre y Soberano de México; transitorio Cuarto del Decreto número 198 de la “LXII” Legislatura del Estado de México</w:t>
      </w:r>
      <w:r w:rsidRPr="00E92431">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E92431"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E92431"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E92431">
        <w:rPr>
          <w:rFonts w:ascii="Palatino Linotype" w:eastAsia="Palatino Linotype" w:hAnsi="Palatino Linotype" w:cs="Palatino Linotype"/>
          <w:b/>
          <w:sz w:val="22"/>
          <w:szCs w:val="22"/>
        </w:rPr>
        <w:t>III. R E S U E L V E</w:t>
      </w:r>
    </w:p>
    <w:p w14:paraId="170B47A5" w14:textId="77777777" w:rsidR="00532AE4" w:rsidRPr="00E92431"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E92431" w:rsidRDefault="00A76F12">
      <w:pPr>
        <w:spacing w:line="360" w:lineRule="auto"/>
        <w:ind w:right="49"/>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 xml:space="preserve">Primero. </w:t>
      </w:r>
      <w:r w:rsidRPr="00E92431">
        <w:rPr>
          <w:rFonts w:ascii="Palatino Linotype" w:eastAsia="Palatino Linotype" w:hAnsi="Palatino Linotype" w:cs="Palatino Linotype"/>
          <w:sz w:val="22"/>
          <w:szCs w:val="22"/>
        </w:rPr>
        <w:t xml:space="preserve">Resultan </w:t>
      </w:r>
      <w:r w:rsidRPr="00E92431">
        <w:rPr>
          <w:rFonts w:ascii="Palatino Linotype" w:eastAsia="Palatino Linotype" w:hAnsi="Palatino Linotype" w:cs="Palatino Linotype"/>
          <w:b/>
          <w:sz w:val="22"/>
          <w:szCs w:val="22"/>
        </w:rPr>
        <w:t>FUNDADOS</w:t>
      </w:r>
      <w:r w:rsidRPr="00E92431">
        <w:rPr>
          <w:rFonts w:ascii="Palatino Linotype" w:eastAsia="Palatino Linotype" w:hAnsi="Palatino Linotype" w:cs="Palatino Linotype"/>
          <w:sz w:val="22"/>
          <w:szCs w:val="22"/>
        </w:rPr>
        <w:t xml:space="preserve"> los motivos de inconformidad de la parte </w:t>
      </w:r>
      <w:r w:rsidRPr="00E92431">
        <w:rPr>
          <w:rFonts w:ascii="Palatino Linotype" w:eastAsia="Palatino Linotype" w:hAnsi="Palatino Linotype" w:cs="Palatino Linotype"/>
          <w:b/>
          <w:sz w:val="22"/>
          <w:szCs w:val="22"/>
        </w:rPr>
        <w:t>Recurrente</w:t>
      </w:r>
      <w:r w:rsidRPr="00E92431">
        <w:rPr>
          <w:rFonts w:ascii="Palatino Linotype" w:eastAsia="Palatino Linotype" w:hAnsi="Palatino Linotype" w:cs="Palatino Linotype"/>
          <w:sz w:val="22"/>
          <w:szCs w:val="22"/>
        </w:rPr>
        <w:t xml:space="preserve">, en términos del </w:t>
      </w:r>
      <w:r w:rsidRPr="00E92431">
        <w:rPr>
          <w:rFonts w:ascii="Palatino Linotype" w:eastAsia="Palatino Linotype" w:hAnsi="Palatino Linotype" w:cs="Palatino Linotype"/>
          <w:b/>
          <w:sz w:val="22"/>
          <w:szCs w:val="22"/>
        </w:rPr>
        <w:t>Considerando Cuarto</w:t>
      </w:r>
      <w:r w:rsidRPr="00E92431">
        <w:rPr>
          <w:rFonts w:ascii="Palatino Linotype" w:eastAsia="Palatino Linotype" w:hAnsi="Palatino Linotype" w:cs="Palatino Linotype"/>
          <w:sz w:val="22"/>
          <w:szCs w:val="22"/>
        </w:rPr>
        <w:t xml:space="preserve"> de la presente resolución.</w:t>
      </w:r>
    </w:p>
    <w:p w14:paraId="6A06B418" w14:textId="77777777" w:rsidR="00532AE4" w:rsidRPr="00E92431" w:rsidRDefault="00532AE4">
      <w:pPr>
        <w:spacing w:line="360" w:lineRule="auto"/>
        <w:ind w:right="49"/>
        <w:jc w:val="both"/>
        <w:rPr>
          <w:rFonts w:ascii="Palatino Linotype" w:eastAsia="Palatino Linotype" w:hAnsi="Palatino Linotype" w:cs="Palatino Linotype"/>
          <w:sz w:val="22"/>
          <w:szCs w:val="22"/>
        </w:rPr>
      </w:pPr>
    </w:p>
    <w:p w14:paraId="1E37E133" w14:textId="79D4E2A9" w:rsidR="00532AE4" w:rsidRPr="00E92431"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E92431">
        <w:rPr>
          <w:rFonts w:ascii="Palatino Linotype" w:eastAsia="Palatino Linotype" w:hAnsi="Palatino Linotype" w:cs="Palatino Linotype"/>
          <w:b/>
          <w:sz w:val="22"/>
          <w:szCs w:val="22"/>
        </w:rPr>
        <w:t>Segundo.</w:t>
      </w:r>
      <w:r w:rsidRPr="00E92431">
        <w:rPr>
          <w:rFonts w:ascii="Palatino Linotype" w:eastAsia="Palatino Linotype" w:hAnsi="Palatino Linotype" w:cs="Palatino Linotype"/>
          <w:sz w:val="22"/>
          <w:szCs w:val="22"/>
        </w:rPr>
        <w:t xml:space="preserve"> Se</w:t>
      </w:r>
      <w:r w:rsidRPr="00E92431">
        <w:rPr>
          <w:rFonts w:ascii="Palatino Linotype" w:eastAsia="Palatino Linotype" w:hAnsi="Palatino Linotype" w:cs="Palatino Linotype"/>
          <w:b/>
          <w:sz w:val="22"/>
          <w:szCs w:val="22"/>
        </w:rPr>
        <w:t xml:space="preserve"> Ordena </w:t>
      </w:r>
      <w:r w:rsidRPr="00E92431">
        <w:rPr>
          <w:rFonts w:ascii="Palatino Linotype" w:eastAsia="Palatino Linotype" w:hAnsi="Palatino Linotype" w:cs="Palatino Linotype"/>
          <w:sz w:val="22"/>
          <w:szCs w:val="22"/>
        </w:rPr>
        <w:t xml:space="preserve">al </w:t>
      </w:r>
      <w:r w:rsidRPr="00E92431">
        <w:rPr>
          <w:rFonts w:ascii="Palatino Linotype" w:eastAsia="Palatino Linotype" w:hAnsi="Palatino Linotype" w:cs="Palatino Linotype"/>
          <w:b/>
          <w:sz w:val="22"/>
          <w:szCs w:val="22"/>
        </w:rPr>
        <w:t xml:space="preserve">Sujeto Obligado </w:t>
      </w:r>
      <w:r w:rsidRPr="00E92431">
        <w:rPr>
          <w:rFonts w:ascii="Palatino Linotype" w:eastAsia="Palatino Linotype" w:hAnsi="Palatino Linotype" w:cs="Palatino Linotype"/>
          <w:sz w:val="22"/>
          <w:szCs w:val="22"/>
        </w:rPr>
        <w:t xml:space="preserve">dé trámite, vía </w:t>
      </w:r>
      <w:r w:rsidRPr="00E92431">
        <w:rPr>
          <w:rFonts w:ascii="Palatino Linotype" w:eastAsia="Palatino Linotype" w:hAnsi="Palatino Linotype" w:cs="Palatino Linotype"/>
          <w:b/>
          <w:sz w:val="22"/>
          <w:szCs w:val="22"/>
        </w:rPr>
        <w:t xml:space="preserve">Sistema de Acceso a la Información Mexiquense </w:t>
      </w:r>
      <w:r w:rsidRPr="00E92431">
        <w:rPr>
          <w:rFonts w:ascii="Palatino Linotype" w:eastAsia="Palatino Linotype" w:hAnsi="Palatino Linotype" w:cs="Palatino Linotype"/>
          <w:sz w:val="22"/>
          <w:szCs w:val="22"/>
        </w:rPr>
        <w:t xml:space="preserve">a la solicitud de acceso a la información pública </w:t>
      </w:r>
      <w:r w:rsidR="00D144C8" w:rsidRPr="00E92431">
        <w:rPr>
          <w:rFonts w:ascii="Palatino Linotype" w:eastAsia="Palatino Linotype" w:hAnsi="Palatino Linotype" w:cs="Palatino Linotype"/>
          <w:b/>
          <w:sz w:val="22"/>
          <w:szCs w:val="22"/>
        </w:rPr>
        <w:t xml:space="preserve"> </w:t>
      </w:r>
      <w:r w:rsidR="005D3CA2" w:rsidRPr="00E92431">
        <w:rPr>
          <w:rFonts w:ascii="Palatino Linotype" w:eastAsia="Palatino Linotype" w:hAnsi="Palatino Linotype" w:cs="Palatino Linotype"/>
          <w:b/>
          <w:sz w:val="22"/>
          <w:szCs w:val="22"/>
        </w:rPr>
        <w:t xml:space="preserve"> </w:t>
      </w:r>
      <w:r w:rsidR="00001CB2" w:rsidRPr="00E92431">
        <w:rPr>
          <w:rFonts w:ascii="Palatino Linotype" w:eastAsia="Palatino Linotype" w:hAnsi="Palatino Linotype" w:cs="Palatino Linotype"/>
          <w:b/>
          <w:sz w:val="22"/>
          <w:szCs w:val="22"/>
        </w:rPr>
        <w:t xml:space="preserve">00030/TULTEPEC/IP/2026 </w:t>
      </w:r>
      <w:r w:rsidRPr="00E92431">
        <w:rPr>
          <w:rFonts w:ascii="Palatino Linotype" w:eastAsia="Palatino Linotype" w:hAnsi="Palatino Linotype" w:cs="Palatino Linotype"/>
          <w:sz w:val="22"/>
          <w:szCs w:val="22"/>
        </w:rPr>
        <w:t xml:space="preserve">que dio origen al recurso de revisión </w:t>
      </w:r>
      <w:r w:rsidR="00AE446C" w:rsidRPr="00E92431">
        <w:rPr>
          <w:rFonts w:ascii="Palatino Linotype" w:eastAsia="Palatino Linotype" w:hAnsi="Palatino Linotype" w:cs="Palatino Linotype"/>
          <w:b/>
          <w:sz w:val="22"/>
          <w:szCs w:val="22"/>
        </w:rPr>
        <w:t>0</w:t>
      </w:r>
      <w:r w:rsidR="00001CB2" w:rsidRPr="00E92431">
        <w:rPr>
          <w:rFonts w:ascii="Palatino Linotype" w:eastAsia="Palatino Linotype" w:hAnsi="Palatino Linotype" w:cs="Palatino Linotype"/>
          <w:b/>
          <w:sz w:val="22"/>
          <w:szCs w:val="22"/>
        </w:rPr>
        <w:t>7526</w:t>
      </w:r>
      <w:r w:rsidR="000F4794" w:rsidRPr="00E92431">
        <w:rPr>
          <w:rFonts w:ascii="Palatino Linotype" w:eastAsia="Palatino Linotype" w:hAnsi="Palatino Linotype" w:cs="Palatino Linotype"/>
          <w:b/>
          <w:sz w:val="22"/>
          <w:szCs w:val="22"/>
        </w:rPr>
        <w:t xml:space="preserve">/INFOEM/IP/RR/2026 </w:t>
      </w:r>
      <w:r w:rsidRPr="00E92431">
        <w:rPr>
          <w:rFonts w:ascii="Palatino Linotype" w:eastAsia="Palatino Linotype" w:hAnsi="Palatino Linotype" w:cs="Palatino Linotype"/>
          <w:sz w:val="22"/>
          <w:szCs w:val="22"/>
        </w:rPr>
        <w:t xml:space="preserve">en términos del </w:t>
      </w:r>
      <w:r w:rsidRPr="00E92431">
        <w:rPr>
          <w:rFonts w:ascii="Palatino Linotype" w:eastAsia="Palatino Linotype" w:hAnsi="Palatino Linotype" w:cs="Palatino Linotype"/>
          <w:b/>
          <w:sz w:val="22"/>
          <w:szCs w:val="22"/>
        </w:rPr>
        <w:t>Considerando Cuarto</w:t>
      </w:r>
      <w:r w:rsidRPr="00E92431">
        <w:rPr>
          <w:rFonts w:ascii="Palatino Linotype" w:eastAsia="Palatino Linotype" w:hAnsi="Palatino Linotype" w:cs="Palatino Linotype"/>
          <w:sz w:val="22"/>
          <w:szCs w:val="22"/>
        </w:rPr>
        <w:t xml:space="preserve"> de esta resolución y emita respuesta, debiendo observar las excepciones contenidas en la Ley de Transparencia y Acceso a la Información Pública del Estado de México y Municipios.</w:t>
      </w:r>
    </w:p>
    <w:p w14:paraId="60C72B41"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E92431"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E92431">
        <w:rPr>
          <w:rFonts w:ascii="Palatino Linotype" w:eastAsia="Palatino Linotype" w:hAnsi="Palatino Linotype" w:cs="Palatino Linotype"/>
          <w:b/>
          <w:sz w:val="22"/>
          <w:szCs w:val="22"/>
        </w:rPr>
        <w:t>Tercero.</w:t>
      </w:r>
      <w:r w:rsidRPr="00E92431">
        <w:rPr>
          <w:rFonts w:ascii="Palatino Linotype" w:eastAsia="Palatino Linotype" w:hAnsi="Palatino Linotype" w:cs="Palatino Linotype"/>
          <w:sz w:val="22"/>
          <w:szCs w:val="22"/>
        </w:rPr>
        <w:t xml:space="preserve"> </w:t>
      </w:r>
      <w:r w:rsidRPr="00E92431">
        <w:rPr>
          <w:rFonts w:ascii="Palatino Linotype" w:eastAsia="Palatino Linotype" w:hAnsi="Palatino Linotype" w:cs="Palatino Linotype"/>
          <w:b/>
          <w:sz w:val="22"/>
          <w:szCs w:val="22"/>
        </w:rPr>
        <w:t xml:space="preserve">Notifíquese vía Sistema de Acceso a la Información Mexiquense </w:t>
      </w:r>
      <w:r w:rsidRPr="00E92431">
        <w:rPr>
          <w:rFonts w:ascii="Palatino Linotype" w:eastAsia="Palatino Linotype" w:hAnsi="Palatino Linotype" w:cs="Palatino Linotype"/>
          <w:sz w:val="22"/>
          <w:szCs w:val="22"/>
        </w:rPr>
        <w:t>la presente resolución al T</w:t>
      </w:r>
      <w:r w:rsidRPr="00E92431">
        <w:rPr>
          <w:rFonts w:ascii="Palatino Linotype" w:eastAsia="Palatino Linotype" w:hAnsi="Palatino Linotype" w:cs="Palatino Linotype"/>
          <w:b/>
          <w:sz w:val="22"/>
          <w:szCs w:val="22"/>
        </w:rPr>
        <w:t xml:space="preserve">itular de la Unidad de Transparencia </w:t>
      </w:r>
      <w:r w:rsidRPr="00E92431">
        <w:rPr>
          <w:rFonts w:ascii="Palatino Linotype" w:eastAsia="Palatino Linotype" w:hAnsi="Palatino Linotype" w:cs="Palatino Linotype"/>
          <w:sz w:val="22"/>
          <w:szCs w:val="22"/>
        </w:rPr>
        <w:t xml:space="preserve">del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w:t>
      </w:r>
      <w:r w:rsidRPr="00E92431">
        <w:rPr>
          <w:rFonts w:ascii="Palatino Linotype" w:eastAsia="Palatino Linotype" w:hAnsi="Palatino Linotype" w:cs="Palatino Linotype"/>
          <w:sz w:val="22"/>
          <w:szCs w:val="22"/>
        </w:rPr>
        <w:lastRenderedPageBreak/>
        <w:t>artículos 198, 200, fracción III; 214, 215 y 216 de la Ley  de Transparencia y Acceso a la Información Pública del Estado de México y Municipios.</w:t>
      </w:r>
    </w:p>
    <w:p w14:paraId="6D15A12F" w14:textId="77777777" w:rsidR="00532AE4" w:rsidRPr="00E92431"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Cuarto. Notifíquese</w:t>
      </w:r>
      <w:r w:rsidRPr="00E92431">
        <w:rPr>
          <w:rFonts w:ascii="Palatino Linotype" w:eastAsia="Palatino Linotype" w:hAnsi="Palatino Linotype" w:cs="Palatino Linotype"/>
          <w:sz w:val="22"/>
          <w:szCs w:val="22"/>
        </w:rPr>
        <w:t>,</w:t>
      </w:r>
      <w:r w:rsidRPr="00E92431">
        <w:rPr>
          <w:rFonts w:ascii="Palatino Linotype" w:eastAsia="Palatino Linotype" w:hAnsi="Palatino Linotype" w:cs="Palatino Linotype"/>
          <w:b/>
          <w:sz w:val="22"/>
          <w:szCs w:val="22"/>
        </w:rPr>
        <w:t xml:space="preserve"> </w:t>
      </w:r>
      <w:r w:rsidRPr="00E92431">
        <w:rPr>
          <w:rFonts w:ascii="Palatino Linotype" w:eastAsia="Palatino Linotype" w:hAnsi="Palatino Linotype" w:cs="Palatino Linotype"/>
          <w:sz w:val="22"/>
          <w:szCs w:val="22"/>
        </w:rPr>
        <w:t xml:space="preserve">vía </w:t>
      </w:r>
      <w:r w:rsidRPr="00E92431">
        <w:rPr>
          <w:rFonts w:ascii="Palatino Linotype" w:eastAsia="Palatino Linotype" w:hAnsi="Palatino Linotype" w:cs="Palatino Linotype"/>
          <w:b/>
          <w:sz w:val="22"/>
          <w:szCs w:val="22"/>
        </w:rPr>
        <w:t>Sistema de Acceso a la Información Mexiquense</w:t>
      </w:r>
      <w:r w:rsidRPr="00E92431">
        <w:rPr>
          <w:rFonts w:ascii="Palatino Linotype" w:eastAsia="Palatino Linotype" w:hAnsi="Palatino Linotype" w:cs="Palatino Linotype"/>
          <w:sz w:val="22"/>
          <w:szCs w:val="22"/>
        </w:rPr>
        <w:t xml:space="preserve">, a la parte </w:t>
      </w:r>
      <w:r w:rsidRPr="00E92431">
        <w:rPr>
          <w:rFonts w:ascii="Palatino Linotype" w:eastAsia="Palatino Linotype" w:hAnsi="Palatino Linotype" w:cs="Palatino Linotype"/>
          <w:b/>
          <w:sz w:val="22"/>
          <w:szCs w:val="22"/>
        </w:rPr>
        <w:t xml:space="preserve">Recurrente </w:t>
      </w:r>
      <w:r w:rsidRPr="00E92431">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E92431"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E92431" w:rsidRDefault="00A76F12">
      <w:pPr>
        <w:spacing w:line="360" w:lineRule="auto"/>
        <w:jc w:val="both"/>
        <w:rPr>
          <w:rFonts w:ascii="Palatino Linotype" w:eastAsia="Palatino Linotype" w:hAnsi="Palatino Linotype" w:cs="Palatino Linotype"/>
          <w:sz w:val="22"/>
          <w:szCs w:val="22"/>
        </w:rPr>
      </w:pPr>
      <w:r w:rsidRPr="00E92431">
        <w:rPr>
          <w:rFonts w:ascii="Palatino Linotype" w:eastAsia="Palatino Linotype" w:hAnsi="Palatino Linotype" w:cs="Palatino Linotype"/>
          <w:b/>
          <w:sz w:val="22"/>
          <w:szCs w:val="22"/>
        </w:rPr>
        <w:t xml:space="preserve">Quinto. Notifíquese </w:t>
      </w:r>
      <w:r w:rsidRPr="00E92431">
        <w:rPr>
          <w:rFonts w:ascii="Palatino Linotype" w:eastAsia="Palatino Linotype" w:hAnsi="Palatino Linotype" w:cs="Palatino Linotype"/>
          <w:sz w:val="22"/>
          <w:szCs w:val="22"/>
        </w:rPr>
        <w:t xml:space="preserve">a la parte </w:t>
      </w:r>
      <w:r w:rsidRPr="00E92431">
        <w:rPr>
          <w:rFonts w:ascii="Palatino Linotype" w:eastAsia="Palatino Linotype" w:hAnsi="Palatino Linotype" w:cs="Palatino Linotype"/>
          <w:b/>
          <w:sz w:val="22"/>
          <w:szCs w:val="22"/>
        </w:rPr>
        <w:t xml:space="preserve">Recurrente </w:t>
      </w:r>
      <w:r w:rsidRPr="00E92431">
        <w:rPr>
          <w:rFonts w:ascii="Palatino Linotype" w:eastAsia="Palatino Linotype" w:hAnsi="Palatino Linotype" w:cs="Palatino Linotype"/>
          <w:sz w:val="22"/>
          <w:szCs w:val="22"/>
        </w:rPr>
        <w:t xml:space="preserve">que la respuesta que dé el </w:t>
      </w:r>
      <w:r w:rsidRPr="00E92431">
        <w:rPr>
          <w:rFonts w:ascii="Palatino Linotype" w:eastAsia="Palatino Linotype" w:hAnsi="Palatino Linotype" w:cs="Palatino Linotype"/>
          <w:b/>
          <w:sz w:val="22"/>
          <w:szCs w:val="22"/>
        </w:rPr>
        <w:t>Sujeto Obligado</w:t>
      </w:r>
      <w:r w:rsidRPr="00E92431">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E92431"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E92431" w:rsidRDefault="00A76F12">
      <w:pPr>
        <w:spacing w:line="360" w:lineRule="auto"/>
        <w:jc w:val="both"/>
        <w:rPr>
          <w:rFonts w:ascii="Palatino Linotype" w:eastAsia="Palatino Linotype" w:hAnsi="Palatino Linotype" w:cs="Palatino Linotype"/>
          <w:b/>
          <w:sz w:val="22"/>
          <w:szCs w:val="22"/>
        </w:rPr>
      </w:pPr>
      <w:r w:rsidRPr="00E92431">
        <w:rPr>
          <w:rFonts w:ascii="Palatino Linotype" w:eastAsia="Palatino Linotype" w:hAnsi="Palatino Linotype" w:cs="Palatino Linotype"/>
          <w:b/>
          <w:sz w:val="22"/>
          <w:szCs w:val="22"/>
        </w:rPr>
        <w:t xml:space="preserve">Sexto. Gírese </w:t>
      </w:r>
      <w:r w:rsidRPr="00E92431">
        <w:rPr>
          <w:rFonts w:ascii="Palatino Linotype" w:eastAsia="Palatino Linotype" w:hAnsi="Palatino Linotype" w:cs="Palatino Linotype"/>
          <w:sz w:val="22"/>
          <w:szCs w:val="22"/>
        </w:rPr>
        <w:t xml:space="preserve">oficio a la </w:t>
      </w:r>
      <w:r w:rsidRPr="00E92431">
        <w:rPr>
          <w:rFonts w:ascii="Palatino Linotype" w:eastAsia="Palatino Linotype" w:hAnsi="Palatino Linotype" w:cs="Palatino Linotype"/>
          <w:b/>
          <w:sz w:val="22"/>
          <w:szCs w:val="22"/>
        </w:rPr>
        <w:t>Secretaría Técnica del Pleno</w:t>
      </w:r>
      <w:r w:rsidRPr="00E92431">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E92431">
        <w:rPr>
          <w:rFonts w:ascii="Palatino Linotype" w:eastAsia="Palatino Linotype" w:hAnsi="Palatino Linotype" w:cs="Palatino Linotype"/>
          <w:b/>
          <w:sz w:val="22"/>
          <w:szCs w:val="22"/>
        </w:rPr>
        <w:t xml:space="preserve"> </w:t>
      </w:r>
      <w:r w:rsidRPr="00E92431">
        <w:rPr>
          <w:rFonts w:ascii="Palatino Linotype" w:eastAsia="Palatino Linotype" w:hAnsi="Palatino Linotype" w:cs="Palatino Linotype"/>
          <w:sz w:val="22"/>
          <w:szCs w:val="22"/>
        </w:rPr>
        <w:t>de la presente resolución.</w:t>
      </w:r>
      <w:r w:rsidRPr="00E92431">
        <w:rPr>
          <w:rFonts w:ascii="Palatino Linotype" w:eastAsia="Palatino Linotype" w:hAnsi="Palatino Linotype" w:cs="Palatino Linotype"/>
          <w:b/>
          <w:sz w:val="22"/>
          <w:szCs w:val="22"/>
        </w:rPr>
        <w:t xml:space="preserve"> </w:t>
      </w:r>
    </w:p>
    <w:p w14:paraId="7F049394" w14:textId="77777777" w:rsidR="00532AE4" w:rsidRPr="00E92431"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E15C8F" w:rsidRDefault="00A76F12">
      <w:pPr>
        <w:spacing w:line="360" w:lineRule="auto"/>
        <w:ind w:right="49"/>
        <w:jc w:val="both"/>
        <w:rPr>
          <w:rFonts w:ascii="Palatino Linotype" w:eastAsia="Palatino Linotype" w:hAnsi="Palatino Linotype" w:cs="Palatino Linotype"/>
          <w:sz w:val="22"/>
          <w:szCs w:val="22"/>
        </w:rPr>
        <w:sectPr w:rsidR="00532AE4" w:rsidRPr="00E15C8F">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pPr>
      <w:bookmarkStart w:id="5" w:name="_heading=h.1fob9te" w:colFirst="0" w:colLast="0"/>
      <w:bookmarkEnd w:id="5"/>
      <w:r w:rsidRPr="00E92431">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E92431">
        <w:rPr>
          <w:rFonts w:ascii="Palatino Linotype" w:eastAsia="Palatino Linotype" w:hAnsi="Palatino Linotype" w:cs="Palatino Linotype"/>
          <w:sz w:val="22"/>
          <w:szCs w:val="22"/>
        </w:rPr>
        <w:t xml:space="preserve">MEJÍA AYALA </w:t>
      </w:r>
      <w:r w:rsidRPr="00E92431">
        <w:rPr>
          <w:rFonts w:ascii="Palatino Linotype" w:eastAsia="Palatino Linotype" w:hAnsi="Palatino Linotype" w:cs="Palatino Linotype"/>
          <w:sz w:val="22"/>
          <w:szCs w:val="22"/>
        </w:rPr>
        <w:t xml:space="preserve">Y GUADALUPE RAMÍREZ PEÑA; EN LA </w:t>
      </w:r>
      <w:r w:rsidR="00135C3B" w:rsidRPr="00E92431">
        <w:rPr>
          <w:rFonts w:ascii="Palatino Linotype" w:eastAsia="Palatino Linotype" w:hAnsi="Palatino Linotype" w:cs="Palatino Linotype"/>
          <w:sz w:val="22"/>
          <w:szCs w:val="22"/>
        </w:rPr>
        <w:t>TR</w:t>
      </w:r>
      <w:r w:rsidR="00C36278" w:rsidRPr="00E92431">
        <w:rPr>
          <w:rFonts w:ascii="Palatino Linotype" w:eastAsia="Palatino Linotype" w:hAnsi="Palatino Linotype" w:cs="Palatino Linotype"/>
          <w:sz w:val="22"/>
          <w:szCs w:val="22"/>
        </w:rPr>
        <w:t xml:space="preserve">IGÉSIMA </w:t>
      </w:r>
      <w:r w:rsidR="00AE3DD5" w:rsidRPr="00E92431">
        <w:rPr>
          <w:rFonts w:ascii="Palatino Linotype" w:eastAsia="Palatino Linotype" w:hAnsi="Palatino Linotype" w:cs="Palatino Linotype"/>
          <w:sz w:val="22"/>
          <w:szCs w:val="22"/>
        </w:rPr>
        <w:t>TERC</w:t>
      </w:r>
      <w:r w:rsidR="003D2CDB" w:rsidRPr="00E92431">
        <w:rPr>
          <w:rFonts w:ascii="Palatino Linotype" w:eastAsia="Palatino Linotype" w:hAnsi="Palatino Linotype" w:cs="Palatino Linotype"/>
          <w:sz w:val="22"/>
          <w:szCs w:val="22"/>
        </w:rPr>
        <w:t xml:space="preserve">ERA </w:t>
      </w:r>
      <w:r w:rsidRPr="00E92431">
        <w:rPr>
          <w:rFonts w:ascii="Palatino Linotype" w:eastAsia="Palatino Linotype" w:hAnsi="Palatino Linotype" w:cs="Palatino Linotype"/>
          <w:sz w:val="22"/>
          <w:szCs w:val="22"/>
        </w:rPr>
        <w:t xml:space="preserve">SESIÓN </w:t>
      </w:r>
      <w:r w:rsidRPr="00E92431">
        <w:rPr>
          <w:rFonts w:ascii="Palatino Linotype" w:eastAsia="Palatino Linotype" w:hAnsi="Palatino Linotype" w:cs="Palatino Linotype"/>
          <w:sz w:val="22"/>
          <w:szCs w:val="22"/>
        </w:rPr>
        <w:lastRenderedPageBreak/>
        <w:t xml:space="preserve">ORDINARIA CELEBRADA EL </w:t>
      </w:r>
      <w:r w:rsidR="00AE3DD5" w:rsidRPr="00E92431">
        <w:rPr>
          <w:rFonts w:ascii="Palatino Linotype" w:eastAsia="Palatino Linotype" w:hAnsi="Palatino Linotype" w:cs="Palatino Linotype"/>
          <w:sz w:val="22"/>
          <w:szCs w:val="22"/>
        </w:rPr>
        <w:t>DIECISIETE</w:t>
      </w:r>
      <w:r w:rsidR="003D2CDB" w:rsidRPr="00E92431">
        <w:rPr>
          <w:rFonts w:ascii="Palatino Linotype" w:eastAsia="Palatino Linotype" w:hAnsi="Palatino Linotype" w:cs="Palatino Linotype"/>
          <w:sz w:val="22"/>
          <w:szCs w:val="22"/>
        </w:rPr>
        <w:t xml:space="preserve"> DE SEPTIEMBRE</w:t>
      </w:r>
      <w:r w:rsidR="00DF5516" w:rsidRPr="00E92431">
        <w:rPr>
          <w:rFonts w:ascii="Palatino Linotype" w:eastAsia="Palatino Linotype" w:hAnsi="Palatino Linotype" w:cs="Palatino Linotype"/>
          <w:sz w:val="22"/>
          <w:szCs w:val="22"/>
        </w:rPr>
        <w:t xml:space="preserve"> DE DOS MIL VEINTISÉIS</w:t>
      </w:r>
      <w:r w:rsidRPr="00E92431">
        <w:rPr>
          <w:rFonts w:ascii="Palatino Linotype" w:eastAsia="Palatino Linotype" w:hAnsi="Palatino Linotype" w:cs="Palatino Linotype"/>
          <w:sz w:val="22"/>
          <w:szCs w:val="22"/>
        </w:rPr>
        <w:t>, ANTE EL SECRETARIO TÉCNICO DEL PLENO ALEXIS TAPIA RAMÍREZ.</w:t>
      </w:r>
      <w:r w:rsidRPr="00E15C8F">
        <w:rPr>
          <w:rFonts w:ascii="Palatino Linotype" w:eastAsia="Palatino Linotype" w:hAnsi="Palatino Linotype" w:cs="Palatino Linotype"/>
          <w:sz w:val="22"/>
          <w:szCs w:val="22"/>
        </w:rPr>
        <w:t xml:space="preserve"> </w:t>
      </w:r>
    </w:p>
    <w:p w14:paraId="74E02134" w14:textId="77777777" w:rsidR="00532AE4" w:rsidRPr="00E15C8F"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E15C8F" w:rsidRDefault="00532AE4">
      <w:pPr>
        <w:rPr>
          <w:sz w:val="22"/>
          <w:szCs w:val="22"/>
        </w:rPr>
      </w:pPr>
    </w:p>
    <w:sectPr w:rsidR="00532AE4" w:rsidRPr="00E15C8F">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45FB1" w14:textId="77777777" w:rsidR="00D12B35" w:rsidRDefault="00D12B35">
      <w:r>
        <w:separator/>
      </w:r>
    </w:p>
  </w:endnote>
  <w:endnote w:type="continuationSeparator" w:id="0">
    <w:p w14:paraId="1197F006" w14:textId="77777777" w:rsidR="00D12B35" w:rsidRDefault="00D12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4F004547"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E92431">
      <w:rPr>
        <w:rFonts w:ascii="Arial" w:eastAsia="Arial" w:hAnsi="Arial" w:cs="Arial"/>
        <w:b/>
        <w:noProof/>
        <w:color w:val="000000"/>
        <w:sz w:val="20"/>
        <w:szCs w:val="20"/>
      </w:rPr>
      <w:t>25</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E92431">
      <w:rPr>
        <w:rFonts w:ascii="Arial" w:eastAsia="Arial" w:hAnsi="Arial" w:cs="Arial"/>
        <w:b/>
        <w:noProof/>
        <w:color w:val="000000"/>
        <w:sz w:val="20"/>
        <w:szCs w:val="20"/>
      </w:rPr>
      <w:t>27</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7DFD4A4B"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E92431">
      <w:rPr>
        <w:rFonts w:ascii="Arial" w:eastAsia="Arial" w:hAnsi="Arial" w:cs="Arial"/>
        <w:b/>
        <w:noProof/>
        <w:color w:val="000000"/>
        <w:sz w:val="20"/>
        <w:szCs w:val="20"/>
      </w:rPr>
      <w:t>27</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E92431">
      <w:rPr>
        <w:rFonts w:ascii="Arial" w:eastAsia="Arial" w:hAnsi="Arial" w:cs="Arial"/>
        <w:b/>
        <w:noProof/>
        <w:color w:val="000000"/>
        <w:sz w:val="20"/>
        <w:szCs w:val="20"/>
      </w:rPr>
      <w:t>27</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19EE" w14:textId="77777777" w:rsidR="00D12B35" w:rsidRDefault="00D12B35">
      <w:r>
        <w:separator/>
      </w:r>
    </w:p>
  </w:footnote>
  <w:footnote w:type="continuationSeparator" w:id="0">
    <w:p w14:paraId="73C687FA" w14:textId="77777777" w:rsidR="00D12B35" w:rsidRDefault="00D12B35">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5FD964DB"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8E5D58">
            <w:rPr>
              <w:rFonts w:ascii="Palatino Linotype" w:eastAsia="Palatino Linotype" w:hAnsi="Palatino Linotype" w:cs="Palatino Linotype"/>
              <w:b/>
              <w:sz w:val="21"/>
              <w:szCs w:val="21"/>
            </w:rPr>
            <w:t>7526</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0D5FC91D" w:rsidR="00532AE4" w:rsidRDefault="008E5D58"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Tultepec</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12E9FD1A">
          <wp:simplePos x="0" y="0"/>
          <wp:positionH relativeFrom="column">
            <wp:posOffset>-655955</wp:posOffset>
          </wp:positionH>
          <wp:positionV relativeFrom="paragraph">
            <wp:posOffset>-341630</wp:posOffset>
          </wp:positionV>
          <wp:extent cx="7635875" cy="9943465"/>
          <wp:effectExtent l="0" t="0" r="0" b="0"/>
          <wp:wrapNone/>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57D1C9BE" w:rsidR="00532AE4" w:rsidRDefault="008C1E2D" w:rsidP="00F419F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8E5D58">
            <w:rPr>
              <w:rFonts w:ascii="Palatino Linotype" w:eastAsia="Palatino Linotype" w:hAnsi="Palatino Linotype" w:cs="Palatino Linotype"/>
              <w:b/>
              <w:sz w:val="21"/>
              <w:szCs w:val="21"/>
            </w:rPr>
            <w:t>7526</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673F1B7E" w:rsidR="00532AE4" w:rsidRDefault="00042AB3">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XXXXXXXX XXXXXX </w:t>
          </w:r>
          <w:proofErr w:type="spellStart"/>
          <w:r>
            <w:rPr>
              <w:rFonts w:ascii="Palatino Linotype" w:eastAsia="Palatino Linotype" w:hAnsi="Palatino Linotype" w:cs="Palatino Linotype"/>
              <w:b/>
              <w:sz w:val="21"/>
              <w:szCs w:val="21"/>
            </w:rPr>
            <w:t>XXXXXX</w:t>
          </w:r>
          <w:proofErr w:type="spellEnd"/>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07C801AF" w:rsidR="00532AE4" w:rsidRDefault="008E5D58" w:rsidP="008E5D58">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Tultepec</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23019406">
    <w:abstractNumId w:val="2"/>
  </w:num>
  <w:num w:numId="2" w16cid:durableId="81921530">
    <w:abstractNumId w:val="4"/>
  </w:num>
  <w:num w:numId="3" w16cid:durableId="1923219515">
    <w:abstractNumId w:val="0"/>
  </w:num>
  <w:num w:numId="4" w16cid:durableId="1720010091">
    <w:abstractNumId w:val="1"/>
  </w:num>
  <w:num w:numId="5" w16cid:durableId="2137328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2AB3"/>
    <w:rsid w:val="0004402A"/>
    <w:rsid w:val="00044D36"/>
    <w:rsid w:val="00045749"/>
    <w:rsid w:val="000458EA"/>
    <w:rsid w:val="000672C5"/>
    <w:rsid w:val="0006735D"/>
    <w:rsid w:val="00072798"/>
    <w:rsid w:val="00073044"/>
    <w:rsid w:val="00085350"/>
    <w:rsid w:val="00095E46"/>
    <w:rsid w:val="0009768A"/>
    <w:rsid w:val="00097E14"/>
    <w:rsid w:val="000A27C2"/>
    <w:rsid w:val="000A27E2"/>
    <w:rsid w:val="000A4280"/>
    <w:rsid w:val="000B2D33"/>
    <w:rsid w:val="000B42A5"/>
    <w:rsid w:val="000B673F"/>
    <w:rsid w:val="000B759A"/>
    <w:rsid w:val="000C05BE"/>
    <w:rsid w:val="000E1DD7"/>
    <w:rsid w:val="000E63FD"/>
    <w:rsid w:val="000E7889"/>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1287"/>
    <w:rsid w:val="001577D2"/>
    <w:rsid w:val="00160B51"/>
    <w:rsid w:val="00161E09"/>
    <w:rsid w:val="00171490"/>
    <w:rsid w:val="0017202B"/>
    <w:rsid w:val="00174144"/>
    <w:rsid w:val="00181147"/>
    <w:rsid w:val="00182B72"/>
    <w:rsid w:val="00195F53"/>
    <w:rsid w:val="001A0373"/>
    <w:rsid w:val="001A1911"/>
    <w:rsid w:val="001C43DA"/>
    <w:rsid w:val="001C7B0A"/>
    <w:rsid w:val="001E0FB7"/>
    <w:rsid w:val="001E1760"/>
    <w:rsid w:val="001E17BD"/>
    <w:rsid w:val="0020780A"/>
    <w:rsid w:val="0021726A"/>
    <w:rsid w:val="002222E9"/>
    <w:rsid w:val="00223CD6"/>
    <w:rsid w:val="002275D9"/>
    <w:rsid w:val="002502E3"/>
    <w:rsid w:val="002505D0"/>
    <w:rsid w:val="00256FA6"/>
    <w:rsid w:val="00257454"/>
    <w:rsid w:val="00260424"/>
    <w:rsid w:val="00263FD5"/>
    <w:rsid w:val="0027510F"/>
    <w:rsid w:val="002839FA"/>
    <w:rsid w:val="00284E2D"/>
    <w:rsid w:val="002859C5"/>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A61"/>
    <w:rsid w:val="00390FDA"/>
    <w:rsid w:val="003973AC"/>
    <w:rsid w:val="003A1F72"/>
    <w:rsid w:val="003A5A60"/>
    <w:rsid w:val="003A5E74"/>
    <w:rsid w:val="003B119C"/>
    <w:rsid w:val="003B606E"/>
    <w:rsid w:val="003C5888"/>
    <w:rsid w:val="003D129B"/>
    <w:rsid w:val="003D2CDB"/>
    <w:rsid w:val="003D45BC"/>
    <w:rsid w:val="003D655D"/>
    <w:rsid w:val="003E2501"/>
    <w:rsid w:val="00401731"/>
    <w:rsid w:val="0041786A"/>
    <w:rsid w:val="00417D9F"/>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4180"/>
    <w:rsid w:val="005043C3"/>
    <w:rsid w:val="005231DC"/>
    <w:rsid w:val="00525777"/>
    <w:rsid w:val="00532AE4"/>
    <w:rsid w:val="00541B43"/>
    <w:rsid w:val="00555E04"/>
    <w:rsid w:val="00567D0D"/>
    <w:rsid w:val="00572156"/>
    <w:rsid w:val="00593431"/>
    <w:rsid w:val="005A0442"/>
    <w:rsid w:val="005A647F"/>
    <w:rsid w:val="005A75D6"/>
    <w:rsid w:val="005A79AC"/>
    <w:rsid w:val="005D3CA2"/>
    <w:rsid w:val="005F2D09"/>
    <w:rsid w:val="005F71E2"/>
    <w:rsid w:val="00603092"/>
    <w:rsid w:val="00607257"/>
    <w:rsid w:val="0061438F"/>
    <w:rsid w:val="00620310"/>
    <w:rsid w:val="0062466E"/>
    <w:rsid w:val="00633D0E"/>
    <w:rsid w:val="00645CD0"/>
    <w:rsid w:val="006510FA"/>
    <w:rsid w:val="00653E7D"/>
    <w:rsid w:val="00656E72"/>
    <w:rsid w:val="006614E2"/>
    <w:rsid w:val="00671ADA"/>
    <w:rsid w:val="00680C4E"/>
    <w:rsid w:val="006811D3"/>
    <w:rsid w:val="00686A48"/>
    <w:rsid w:val="00691A0E"/>
    <w:rsid w:val="00692977"/>
    <w:rsid w:val="006954A4"/>
    <w:rsid w:val="006A1805"/>
    <w:rsid w:val="006B7134"/>
    <w:rsid w:val="006C51CD"/>
    <w:rsid w:val="006C56F4"/>
    <w:rsid w:val="006D538C"/>
    <w:rsid w:val="006D6848"/>
    <w:rsid w:val="006E680C"/>
    <w:rsid w:val="006F407C"/>
    <w:rsid w:val="006F4F00"/>
    <w:rsid w:val="00707403"/>
    <w:rsid w:val="0071274F"/>
    <w:rsid w:val="00724155"/>
    <w:rsid w:val="007276F5"/>
    <w:rsid w:val="00744B5C"/>
    <w:rsid w:val="007576B0"/>
    <w:rsid w:val="007623E7"/>
    <w:rsid w:val="007729BB"/>
    <w:rsid w:val="00773F12"/>
    <w:rsid w:val="00773F7E"/>
    <w:rsid w:val="00777216"/>
    <w:rsid w:val="00790A8C"/>
    <w:rsid w:val="007968D0"/>
    <w:rsid w:val="007A09D5"/>
    <w:rsid w:val="007B0474"/>
    <w:rsid w:val="007C29CF"/>
    <w:rsid w:val="007C4CA5"/>
    <w:rsid w:val="007C7AE7"/>
    <w:rsid w:val="007D2674"/>
    <w:rsid w:val="007D52C3"/>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7D29"/>
    <w:rsid w:val="00917EAF"/>
    <w:rsid w:val="009359E9"/>
    <w:rsid w:val="0093686E"/>
    <w:rsid w:val="0094135A"/>
    <w:rsid w:val="009438FE"/>
    <w:rsid w:val="00950D94"/>
    <w:rsid w:val="00960206"/>
    <w:rsid w:val="00960D36"/>
    <w:rsid w:val="00960D42"/>
    <w:rsid w:val="009713DE"/>
    <w:rsid w:val="009752BC"/>
    <w:rsid w:val="00982101"/>
    <w:rsid w:val="00992278"/>
    <w:rsid w:val="00994B65"/>
    <w:rsid w:val="009A5B1A"/>
    <w:rsid w:val="009B4D3E"/>
    <w:rsid w:val="009B6117"/>
    <w:rsid w:val="009C1099"/>
    <w:rsid w:val="009C1EF4"/>
    <w:rsid w:val="009C3B23"/>
    <w:rsid w:val="009C43AD"/>
    <w:rsid w:val="009C5489"/>
    <w:rsid w:val="009D197C"/>
    <w:rsid w:val="009E503C"/>
    <w:rsid w:val="00A01FAB"/>
    <w:rsid w:val="00A20775"/>
    <w:rsid w:val="00A22C89"/>
    <w:rsid w:val="00A2521A"/>
    <w:rsid w:val="00A2700E"/>
    <w:rsid w:val="00A27295"/>
    <w:rsid w:val="00A34F3E"/>
    <w:rsid w:val="00A3559A"/>
    <w:rsid w:val="00A37868"/>
    <w:rsid w:val="00A41B52"/>
    <w:rsid w:val="00A475F9"/>
    <w:rsid w:val="00A7256A"/>
    <w:rsid w:val="00A76F12"/>
    <w:rsid w:val="00A832FD"/>
    <w:rsid w:val="00A8506B"/>
    <w:rsid w:val="00AB3D3A"/>
    <w:rsid w:val="00AB573B"/>
    <w:rsid w:val="00AB6A2A"/>
    <w:rsid w:val="00AB76D8"/>
    <w:rsid w:val="00AB7CBD"/>
    <w:rsid w:val="00AC6B80"/>
    <w:rsid w:val="00AD14F5"/>
    <w:rsid w:val="00AD43F4"/>
    <w:rsid w:val="00AD6661"/>
    <w:rsid w:val="00AE0B9D"/>
    <w:rsid w:val="00AE3DD5"/>
    <w:rsid w:val="00AE446C"/>
    <w:rsid w:val="00AF1AFF"/>
    <w:rsid w:val="00B04425"/>
    <w:rsid w:val="00B05163"/>
    <w:rsid w:val="00B10389"/>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4FEA"/>
    <w:rsid w:val="00B76CCE"/>
    <w:rsid w:val="00B81E44"/>
    <w:rsid w:val="00B82C51"/>
    <w:rsid w:val="00B86A3D"/>
    <w:rsid w:val="00BB1677"/>
    <w:rsid w:val="00BB1882"/>
    <w:rsid w:val="00BC6C53"/>
    <w:rsid w:val="00BD2189"/>
    <w:rsid w:val="00BD3609"/>
    <w:rsid w:val="00BE3596"/>
    <w:rsid w:val="00BE3FD2"/>
    <w:rsid w:val="00BF3583"/>
    <w:rsid w:val="00C112BE"/>
    <w:rsid w:val="00C1235A"/>
    <w:rsid w:val="00C13FF2"/>
    <w:rsid w:val="00C24C97"/>
    <w:rsid w:val="00C304A2"/>
    <w:rsid w:val="00C36278"/>
    <w:rsid w:val="00C43FBC"/>
    <w:rsid w:val="00C51B8C"/>
    <w:rsid w:val="00C52987"/>
    <w:rsid w:val="00C5586C"/>
    <w:rsid w:val="00C6612D"/>
    <w:rsid w:val="00C70F4E"/>
    <w:rsid w:val="00C758DF"/>
    <w:rsid w:val="00C912B9"/>
    <w:rsid w:val="00C930A5"/>
    <w:rsid w:val="00CA5B0F"/>
    <w:rsid w:val="00CB4082"/>
    <w:rsid w:val="00CC17B2"/>
    <w:rsid w:val="00CC1FF9"/>
    <w:rsid w:val="00CC3836"/>
    <w:rsid w:val="00CC5F5E"/>
    <w:rsid w:val="00CD03F3"/>
    <w:rsid w:val="00CD3F09"/>
    <w:rsid w:val="00CD6157"/>
    <w:rsid w:val="00CE1553"/>
    <w:rsid w:val="00CE1FE3"/>
    <w:rsid w:val="00CE36A9"/>
    <w:rsid w:val="00CE6D92"/>
    <w:rsid w:val="00CF35D1"/>
    <w:rsid w:val="00CF4355"/>
    <w:rsid w:val="00CF450F"/>
    <w:rsid w:val="00D10665"/>
    <w:rsid w:val="00D11150"/>
    <w:rsid w:val="00D12B35"/>
    <w:rsid w:val="00D134E6"/>
    <w:rsid w:val="00D13FFD"/>
    <w:rsid w:val="00D144C8"/>
    <w:rsid w:val="00D21D23"/>
    <w:rsid w:val="00D24052"/>
    <w:rsid w:val="00D30ED9"/>
    <w:rsid w:val="00D322AE"/>
    <w:rsid w:val="00D368E9"/>
    <w:rsid w:val="00D50B54"/>
    <w:rsid w:val="00D60B66"/>
    <w:rsid w:val="00D60C04"/>
    <w:rsid w:val="00D63F31"/>
    <w:rsid w:val="00D65E9E"/>
    <w:rsid w:val="00D75315"/>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E0584E"/>
    <w:rsid w:val="00E07F23"/>
    <w:rsid w:val="00E113C2"/>
    <w:rsid w:val="00E13EBA"/>
    <w:rsid w:val="00E14DA7"/>
    <w:rsid w:val="00E15C8F"/>
    <w:rsid w:val="00E23DB9"/>
    <w:rsid w:val="00E26C0A"/>
    <w:rsid w:val="00E27793"/>
    <w:rsid w:val="00E32375"/>
    <w:rsid w:val="00E34516"/>
    <w:rsid w:val="00E40BD5"/>
    <w:rsid w:val="00E47B12"/>
    <w:rsid w:val="00E550F0"/>
    <w:rsid w:val="00E55CFA"/>
    <w:rsid w:val="00E72C9D"/>
    <w:rsid w:val="00E733A4"/>
    <w:rsid w:val="00E808B6"/>
    <w:rsid w:val="00E90B5E"/>
    <w:rsid w:val="00E92431"/>
    <w:rsid w:val="00E94299"/>
    <w:rsid w:val="00EA2965"/>
    <w:rsid w:val="00EB171E"/>
    <w:rsid w:val="00EB74FD"/>
    <w:rsid w:val="00EC52BA"/>
    <w:rsid w:val="00EC6905"/>
    <w:rsid w:val="00EE3D20"/>
    <w:rsid w:val="00EE5E30"/>
    <w:rsid w:val="00EF743D"/>
    <w:rsid w:val="00F24317"/>
    <w:rsid w:val="00F245A6"/>
    <w:rsid w:val="00F30DB1"/>
    <w:rsid w:val="00F419F7"/>
    <w:rsid w:val="00F45234"/>
    <w:rsid w:val="00F652AE"/>
    <w:rsid w:val="00F96D1F"/>
    <w:rsid w:val="00F97DBF"/>
    <w:rsid w:val="00FA1A00"/>
    <w:rsid w:val="00FC71F8"/>
    <w:rsid w:val="00FC791B"/>
    <w:rsid w:val="00FD5905"/>
    <w:rsid w:val="00FD5E67"/>
    <w:rsid w:val="00FE06A9"/>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D42DDF4-6030-4250-8284-E566DC782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7251</Words>
  <Characters>39884</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2026-09-18T20:15:00Z</cp:lastPrinted>
  <dcterms:created xsi:type="dcterms:W3CDTF">2026-09-22T20:12:00Z</dcterms:created>
  <dcterms:modified xsi:type="dcterms:W3CDTF">2026-09-22T20:12:00Z</dcterms:modified>
</cp:coreProperties>
</file>