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191" w:rsidRPr="00905D0F" w:rsidRDefault="00F04191" w:rsidP="00165F17">
      <w:pPr>
        <w:tabs>
          <w:tab w:val="left" w:pos="3465"/>
        </w:tabs>
        <w:spacing w:line="360" w:lineRule="auto"/>
        <w:ind w:right="-518"/>
        <w:jc w:val="both"/>
        <w:rPr>
          <w:rFonts w:ascii="Palatino Linotype" w:hAnsi="Palatino Linotype"/>
          <w:b/>
          <w:sz w:val="24"/>
          <w:szCs w:val="24"/>
        </w:rPr>
      </w:pPr>
      <w:bookmarkStart w:id="0" w:name="_GoBack"/>
      <w:bookmarkEnd w:id="0"/>
      <w:r w:rsidRPr="00905D0F">
        <w:rPr>
          <w:rFonts w:ascii="Palatino Linotype" w:hAnsi="Palatino Linotype"/>
          <w:sz w:val="24"/>
          <w:szCs w:val="24"/>
        </w:rPr>
        <w:t>Resolución del Pleno del Instituto de Transparencia, Acceso a la Información Pública y Protección de Datos Personales del Estado de México y Municipios, con domicilio en Metepec, Estado de México; de</w:t>
      </w:r>
      <w:r w:rsidR="00905D0F">
        <w:rPr>
          <w:rFonts w:ascii="Palatino Linotype" w:hAnsi="Palatino Linotype"/>
          <w:sz w:val="24"/>
          <w:szCs w:val="24"/>
        </w:rPr>
        <w:t xml:space="preserve"> fecha</w:t>
      </w:r>
      <w:r w:rsidRPr="00905D0F">
        <w:rPr>
          <w:rFonts w:ascii="Palatino Linotype" w:hAnsi="Palatino Linotype"/>
          <w:sz w:val="24"/>
          <w:szCs w:val="24"/>
        </w:rPr>
        <w:t xml:space="preserve"> </w:t>
      </w:r>
      <w:r w:rsidR="00F01621" w:rsidRPr="00905D0F">
        <w:rPr>
          <w:rFonts w:ascii="Palatino Linotype" w:hAnsi="Palatino Linotype"/>
          <w:b/>
          <w:sz w:val="24"/>
          <w:szCs w:val="24"/>
        </w:rPr>
        <w:t>cinco</w:t>
      </w:r>
      <w:r w:rsidR="008B1534" w:rsidRPr="00905D0F">
        <w:rPr>
          <w:rFonts w:ascii="Palatino Linotype" w:hAnsi="Palatino Linotype"/>
          <w:b/>
          <w:sz w:val="24"/>
          <w:szCs w:val="24"/>
        </w:rPr>
        <w:t xml:space="preserve"> </w:t>
      </w:r>
      <w:r w:rsidR="00905D0F">
        <w:rPr>
          <w:rFonts w:ascii="Palatino Linotype" w:hAnsi="Palatino Linotype"/>
          <w:b/>
          <w:sz w:val="24"/>
          <w:szCs w:val="24"/>
        </w:rPr>
        <w:t xml:space="preserve">(05) </w:t>
      </w:r>
      <w:r w:rsidR="008B1534" w:rsidRPr="00905D0F">
        <w:rPr>
          <w:rFonts w:ascii="Palatino Linotype" w:hAnsi="Palatino Linotype"/>
          <w:b/>
          <w:sz w:val="24"/>
          <w:szCs w:val="24"/>
        </w:rPr>
        <w:t>de marzo</w:t>
      </w:r>
      <w:r w:rsidRPr="00905D0F">
        <w:rPr>
          <w:rFonts w:ascii="Palatino Linotype" w:hAnsi="Palatino Linotype"/>
          <w:b/>
          <w:sz w:val="24"/>
          <w:szCs w:val="24"/>
        </w:rPr>
        <w:t xml:space="preserve"> de dos mil veintiséis.</w:t>
      </w:r>
    </w:p>
    <w:p w:rsidR="00F04191" w:rsidRPr="00905D0F" w:rsidRDefault="00F04191" w:rsidP="00165F17">
      <w:pPr>
        <w:tabs>
          <w:tab w:val="left" w:pos="3465"/>
        </w:tabs>
        <w:spacing w:line="360" w:lineRule="auto"/>
        <w:ind w:right="-518"/>
        <w:jc w:val="both"/>
        <w:rPr>
          <w:rFonts w:ascii="Palatino Linotype" w:hAnsi="Palatino Linotype"/>
          <w:b/>
          <w:sz w:val="24"/>
          <w:szCs w:val="24"/>
        </w:rPr>
      </w:pPr>
    </w:p>
    <w:p w:rsidR="00F04191" w:rsidRPr="00905D0F" w:rsidRDefault="00F04191" w:rsidP="00165F17">
      <w:pPr>
        <w:spacing w:line="360" w:lineRule="auto"/>
        <w:ind w:right="-518"/>
        <w:jc w:val="both"/>
        <w:rPr>
          <w:rFonts w:ascii="Palatino Linotype" w:hAnsi="Palatino Linotype" w:cs="Arial"/>
          <w:b/>
          <w:bCs/>
          <w:sz w:val="24"/>
          <w:szCs w:val="24"/>
        </w:rPr>
      </w:pPr>
      <w:r w:rsidRPr="00905D0F">
        <w:rPr>
          <w:rFonts w:ascii="Palatino Linotype" w:hAnsi="Palatino Linotype"/>
          <w:b/>
          <w:sz w:val="24"/>
          <w:szCs w:val="24"/>
        </w:rPr>
        <w:t>VISTO</w:t>
      </w:r>
      <w:r w:rsidRPr="00905D0F">
        <w:rPr>
          <w:rFonts w:ascii="Palatino Linotype" w:hAnsi="Palatino Linotype"/>
          <w:sz w:val="24"/>
          <w:szCs w:val="24"/>
        </w:rPr>
        <w:t xml:space="preserve"> el expediente electrónico formado con motivo del recurso de revisión</w:t>
      </w:r>
      <w:r w:rsidR="008B1534" w:rsidRPr="00905D0F">
        <w:rPr>
          <w:rFonts w:ascii="Palatino Linotype" w:hAnsi="Palatino Linotype"/>
          <w:b/>
          <w:bCs/>
          <w:sz w:val="24"/>
          <w:szCs w:val="24"/>
        </w:rPr>
        <w:t xml:space="preserve">    09843/INFOEM/IP/RR/2025</w:t>
      </w:r>
      <w:r w:rsidRPr="00905D0F">
        <w:rPr>
          <w:rFonts w:ascii="Palatino Linotype" w:hAnsi="Palatino Linotype"/>
          <w:sz w:val="24"/>
          <w:szCs w:val="24"/>
        </w:rPr>
        <w:t>,</w:t>
      </w:r>
      <w:r w:rsidRPr="00905D0F">
        <w:rPr>
          <w:rFonts w:ascii="Palatino Linotype" w:hAnsi="Palatino Linotype" w:cs="Arial"/>
          <w:b/>
          <w:bCs/>
          <w:sz w:val="24"/>
          <w:szCs w:val="24"/>
        </w:rPr>
        <w:t xml:space="preserve"> </w:t>
      </w:r>
      <w:r w:rsidRPr="00905D0F">
        <w:rPr>
          <w:rFonts w:ascii="Palatino Linotype" w:hAnsi="Palatino Linotype"/>
          <w:sz w:val="24"/>
          <w:szCs w:val="24"/>
        </w:rPr>
        <w:t>promovido por</w:t>
      </w:r>
      <w:r w:rsidRPr="00905D0F">
        <w:rPr>
          <w:rFonts w:ascii="Palatino Linotype" w:hAnsi="Palatino Linotype"/>
          <w:b/>
          <w:bCs/>
          <w:sz w:val="24"/>
          <w:szCs w:val="24"/>
        </w:rPr>
        <w:t xml:space="preserve"> una persona que no proporciono datos de identificación</w:t>
      </w:r>
      <w:r w:rsidRPr="00905D0F">
        <w:rPr>
          <w:rFonts w:ascii="Palatino Linotype" w:hAnsi="Palatino Linotype"/>
          <w:sz w:val="24"/>
          <w:szCs w:val="24"/>
        </w:rPr>
        <w:t xml:space="preserve"> a quien en lo sucesivo se le identificará como </w:t>
      </w:r>
      <w:r w:rsidRPr="00905D0F">
        <w:rPr>
          <w:rFonts w:ascii="Palatino Linotype" w:hAnsi="Palatino Linotype"/>
          <w:b/>
          <w:sz w:val="24"/>
          <w:szCs w:val="24"/>
        </w:rPr>
        <w:t>EL RECURRENTE</w:t>
      </w:r>
      <w:r w:rsidRPr="00905D0F">
        <w:rPr>
          <w:rFonts w:ascii="Palatino Linotype" w:hAnsi="Palatino Linotype" w:cs="Arial"/>
          <w:sz w:val="24"/>
          <w:szCs w:val="24"/>
        </w:rPr>
        <w:t xml:space="preserve">, en contra de la respuesta del </w:t>
      </w:r>
      <w:r w:rsidRPr="00905D0F">
        <w:rPr>
          <w:rFonts w:ascii="Palatino Linotype" w:hAnsi="Palatino Linotype" w:cs="Arial"/>
          <w:b/>
          <w:bCs/>
          <w:sz w:val="24"/>
          <w:szCs w:val="24"/>
        </w:rPr>
        <w:t>Ayuntamiento de Toluca</w:t>
      </w:r>
      <w:r w:rsidRPr="00905D0F">
        <w:rPr>
          <w:rFonts w:ascii="Palatino Linotype" w:hAnsi="Palatino Linotype" w:cs="Arial"/>
          <w:b/>
          <w:sz w:val="24"/>
          <w:szCs w:val="24"/>
        </w:rPr>
        <w:t>,</w:t>
      </w:r>
      <w:r w:rsidRPr="00905D0F">
        <w:rPr>
          <w:rFonts w:ascii="Palatino Linotype" w:hAnsi="Palatino Linotype"/>
          <w:b/>
          <w:sz w:val="24"/>
          <w:szCs w:val="24"/>
        </w:rPr>
        <w:t xml:space="preserve"> </w:t>
      </w:r>
      <w:r w:rsidRPr="00905D0F">
        <w:rPr>
          <w:rFonts w:ascii="Palatino Linotype" w:hAnsi="Palatino Linotype"/>
          <w:sz w:val="24"/>
          <w:szCs w:val="24"/>
        </w:rPr>
        <w:t xml:space="preserve">en </w:t>
      </w:r>
      <w:r w:rsidR="00905D0F">
        <w:rPr>
          <w:rFonts w:ascii="Palatino Linotype" w:hAnsi="Palatino Linotype"/>
          <w:sz w:val="24"/>
          <w:szCs w:val="24"/>
        </w:rPr>
        <w:t>adelante</w:t>
      </w:r>
      <w:r w:rsidRPr="00905D0F">
        <w:rPr>
          <w:rFonts w:ascii="Palatino Linotype" w:hAnsi="Palatino Linotype"/>
          <w:sz w:val="24"/>
          <w:szCs w:val="24"/>
        </w:rPr>
        <w:t xml:space="preserve"> el</w:t>
      </w:r>
      <w:r w:rsidRPr="00905D0F">
        <w:rPr>
          <w:rFonts w:ascii="Palatino Linotype" w:hAnsi="Palatino Linotype"/>
          <w:b/>
          <w:sz w:val="24"/>
          <w:szCs w:val="24"/>
        </w:rPr>
        <w:t xml:space="preserve"> SUJETO OBLIGADO</w:t>
      </w:r>
      <w:r w:rsidRPr="00905D0F">
        <w:rPr>
          <w:rFonts w:ascii="Palatino Linotype" w:hAnsi="Palatino Linotype"/>
          <w:sz w:val="24"/>
          <w:szCs w:val="24"/>
        </w:rPr>
        <w:t>, se procede a dictar la presente resolución, con base en los siguientes:</w:t>
      </w:r>
    </w:p>
    <w:p w:rsidR="00F04191" w:rsidRPr="00905D0F" w:rsidRDefault="00F04191" w:rsidP="00165F17">
      <w:pPr>
        <w:spacing w:line="360" w:lineRule="auto"/>
        <w:ind w:right="-518"/>
        <w:jc w:val="both"/>
        <w:rPr>
          <w:rFonts w:ascii="Palatino Linotype" w:hAnsi="Palatino Linotype"/>
          <w:b/>
          <w:sz w:val="24"/>
          <w:szCs w:val="24"/>
        </w:rPr>
      </w:pPr>
    </w:p>
    <w:p w:rsidR="00F04191" w:rsidRDefault="00F04191" w:rsidP="00165F17">
      <w:pPr>
        <w:pStyle w:val="Ttulo1"/>
        <w:spacing w:before="0" w:line="360" w:lineRule="auto"/>
        <w:ind w:right="-518"/>
        <w:jc w:val="center"/>
        <w:rPr>
          <w:rFonts w:ascii="Palatino Linotype" w:hAnsi="Palatino Linotype"/>
          <w:b/>
          <w:color w:val="000000" w:themeColor="text1"/>
          <w:sz w:val="24"/>
          <w:szCs w:val="24"/>
        </w:rPr>
      </w:pPr>
      <w:bookmarkStart w:id="1" w:name="_Toc461555884"/>
      <w:bookmarkStart w:id="2" w:name="_Toc466371847"/>
      <w:bookmarkStart w:id="3" w:name="_Toc83128575"/>
      <w:r w:rsidRPr="00905D0F">
        <w:rPr>
          <w:rFonts w:ascii="Palatino Linotype" w:hAnsi="Palatino Linotype"/>
          <w:b/>
          <w:color w:val="000000" w:themeColor="text1"/>
          <w:sz w:val="24"/>
          <w:szCs w:val="24"/>
        </w:rPr>
        <w:t>A</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N</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T</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E</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C</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E</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D</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E</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N</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T</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E</w:t>
      </w:r>
      <w:r w:rsidR="00905D0F">
        <w:rPr>
          <w:rFonts w:ascii="Palatino Linotype" w:hAnsi="Palatino Linotype"/>
          <w:b/>
          <w:color w:val="000000" w:themeColor="text1"/>
          <w:sz w:val="24"/>
          <w:szCs w:val="24"/>
        </w:rPr>
        <w:t xml:space="preserve"> </w:t>
      </w:r>
      <w:r w:rsidRPr="00905D0F">
        <w:rPr>
          <w:rFonts w:ascii="Palatino Linotype" w:hAnsi="Palatino Linotype"/>
          <w:b/>
          <w:color w:val="000000" w:themeColor="text1"/>
          <w:sz w:val="24"/>
          <w:szCs w:val="24"/>
        </w:rPr>
        <w:t>S</w:t>
      </w:r>
      <w:bookmarkEnd w:id="1"/>
      <w:bookmarkEnd w:id="2"/>
      <w:bookmarkEnd w:id="3"/>
    </w:p>
    <w:p w:rsidR="00905D0F" w:rsidRPr="00905D0F" w:rsidRDefault="00905D0F" w:rsidP="00905D0F">
      <w:pPr>
        <w:rPr>
          <w:lang w:val="es-ES_tradnl" w:eastAsia="es-ES"/>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Calibri" w:hAnsi="Palatino Linotype" w:cs="Arial"/>
          <w:lang w:val="es-ES"/>
        </w:rPr>
      </w:pPr>
      <w:r w:rsidRPr="00905D0F">
        <w:rPr>
          <w:rFonts w:ascii="Palatino Linotype" w:eastAsia="Times New Roman" w:hAnsi="Palatino Linotype" w:cs="Arial"/>
          <w:color w:val="000000" w:themeColor="text1"/>
          <w:lang w:val="es-ES"/>
        </w:rPr>
        <w:t>El</w:t>
      </w:r>
      <w:r w:rsidRPr="00905D0F">
        <w:rPr>
          <w:rFonts w:ascii="Palatino Linotype" w:eastAsia="Calibri" w:hAnsi="Palatino Linotype" w:cs="Arial"/>
          <w:b/>
          <w:lang w:val="es-ES"/>
        </w:rPr>
        <w:t xml:space="preserve"> </w:t>
      </w:r>
      <w:r w:rsidR="008B1534" w:rsidRPr="00905D0F">
        <w:rPr>
          <w:rFonts w:ascii="Palatino Linotype" w:eastAsia="Calibri" w:hAnsi="Palatino Linotype" w:cs="Arial"/>
          <w:b/>
          <w:lang w:val="es-ES"/>
        </w:rPr>
        <w:t>veinticinco de junio</w:t>
      </w:r>
      <w:r w:rsidRPr="00905D0F">
        <w:rPr>
          <w:rFonts w:ascii="Palatino Linotype" w:eastAsia="Calibri" w:hAnsi="Palatino Linotype" w:cs="Arial"/>
          <w:b/>
          <w:lang w:val="es-ES"/>
        </w:rPr>
        <w:t xml:space="preserve"> de dos mil veinticinco</w:t>
      </w:r>
      <w:r w:rsidRPr="00905D0F">
        <w:rPr>
          <w:rFonts w:ascii="Palatino Linotype" w:hAnsi="Palatino Linotype"/>
          <w:b/>
        </w:rPr>
        <w:t xml:space="preserve">, </w:t>
      </w:r>
      <w:r w:rsidRPr="00905D0F">
        <w:rPr>
          <w:rFonts w:ascii="Palatino Linotype" w:eastAsia="Calibri" w:hAnsi="Palatino Linotype" w:cs="Arial"/>
          <w:lang w:val="es-ES"/>
        </w:rPr>
        <w:t xml:space="preserve">se presentó ante el </w:t>
      </w:r>
      <w:r w:rsidRPr="00905D0F">
        <w:rPr>
          <w:rFonts w:ascii="Palatino Linotype" w:eastAsia="Calibri" w:hAnsi="Palatino Linotype" w:cs="Arial"/>
          <w:b/>
          <w:lang w:val="es-ES"/>
        </w:rPr>
        <w:t>SUJETO OBLIGADO</w:t>
      </w:r>
      <w:r w:rsidRPr="00905D0F">
        <w:rPr>
          <w:rFonts w:ascii="Palatino Linotype" w:eastAsia="Calibri" w:hAnsi="Palatino Linotype" w:cs="Arial"/>
        </w:rPr>
        <w:t xml:space="preserve"> </w:t>
      </w:r>
      <w:r w:rsidRPr="00905D0F">
        <w:rPr>
          <w:rFonts w:ascii="Palatino Linotype" w:eastAsia="Calibri" w:hAnsi="Palatino Linotype" w:cs="Arial"/>
          <w:lang w:val="es-MX"/>
        </w:rPr>
        <w:t>a través del Sistema de Acceso la Información Mexiquense</w:t>
      </w:r>
      <w:r w:rsidRPr="00905D0F">
        <w:rPr>
          <w:rFonts w:ascii="Palatino Linotype" w:eastAsia="Calibri" w:hAnsi="Palatino Linotype" w:cs="Arial"/>
          <w:lang w:val="es-ES"/>
        </w:rPr>
        <w:t>, la solicitud de información pública registrada con el número</w:t>
      </w:r>
      <w:r w:rsidR="008B1534" w:rsidRPr="00905D0F">
        <w:rPr>
          <w:rFonts w:ascii="Palatino Linotype" w:hAnsi="Palatino Linotype"/>
          <w:b/>
          <w:bCs/>
          <w:color w:val="000000" w:themeColor="text1"/>
        </w:rPr>
        <w:t xml:space="preserve"> </w:t>
      </w:r>
      <w:r w:rsidR="008B1534" w:rsidRPr="00905D0F">
        <w:rPr>
          <w:rFonts w:ascii="Palatino Linotype" w:hAnsi="Palatino Linotype"/>
          <w:b/>
          <w:bCs/>
          <w:color w:val="000000" w:themeColor="text1"/>
          <w:lang w:val="es-MX"/>
        </w:rPr>
        <w:t>03670/TOLUCA/IP/2025</w:t>
      </w:r>
      <w:r w:rsidRPr="00905D0F">
        <w:rPr>
          <w:rFonts w:ascii="Palatino Linotype" w:hAnsi="Palatino Linotype"/>
          <w:b/>
          <w:bCs/>
          <w:color w:val="000000" w:themeColor="text1"/>
        </w:rPr>
        <w:t xml:space="preserve">; </w:t>
      </w:r>
      <w:r w:rsidR="00905D0F">
        <w:rPr>
          <w:rFonts w:ascii="Palatino Linotype" w:eastAsia="Calibri" w:hAnsi="Palatino Linotype" w:cs="Arial"/>
          <w:lang w:val="es-ES"/>
        </w:rPr>
        <w:t>en la que</w:t>
      </w:r>
      <w:r w:rsidRPr="00905D0F">
        <w:rPr>
          <w:rFonts w:ascii="Palatino Linotype" w:eastAsia="Calibri" w:hAnsi="Palatino Linotype" w:cs="Arial"/>
          <w:lang w:val="es-ES"/>
        </w:rPr>
        <w:t xml:space="preserve"> se solicitó la siguiente información:</w:t>
      </w:r>
    </w:p>
    <w:p w:rsidR="00F04191" w:rsidRPr="00905D0F" w:rsidRDefault="00F04191" w:rsidP="00165F17">
      <w:pPr>
        <w:pStyle w:val="Prrafodelista"/>
        <w:spacing w:line="360" w:lineRule="auto"/>
        <w:ind w:left="0" w:right="-518"/>
        <w:jc w:val="both"/>
        <w:rPr>
          <w:rFonts w:ascii="Palatino Linotype" w:eastAsia="Calibri" w:hAnsi="Palatino Linotype" w:cs="Arial"/>
          <w:lang w:val="es-ES"/>
        </w:rPr>
      </w:pPr>
    </w:p>
    <w:p w:rsidR="00F04191" w:rsidRPr="00905D0F" w:rsidRDefault="00F04191" w:rsidP="00165F17">
      <w:pPr>
        <w:pStyle w:val="Prrafodelista"/>
        <w:spacing w:line="276" w:lineRule="auto"/>
        <w:ind w:left="426" w:right="49"/>
        <w:jc w:val="both"/>
        <w:rPr>
          <w:rFonts w:ascii="Palatino Linotype" w:hAnsi="Palatino Linotype"/>
          <w:i/>
          <w:lang w:val="es-MX"/>
        </w:rPr>
      </w:pPr>
      <w:r w:rsidRPr="00905D0F">
        <w:rPr>
          <w:rFonts w:ascii="Palatino Linotype" w:hAnsi="Palatino Linotype"/>
          <w:i/>
        </w:rPr>
        <w:t>“</w:t>
      </w:r>
      <w:r w:rsidR="008B1534" w:rsidRPr="00905D0F">
        <w:rPr>
          <w:rFonts w:ascii="Palatino Linotype" w:hAnsi="Palatino Linotype"/>
          <w:i/>
          <w:lang w:val="es-MX"/>
        </w:rPr>
        <w:t>Documentación emitida para regular el comercio ambulante dentro de sus limites territoriales. Licencias de funcionamiento emitidas por el sujeto obligado para la operación de negocios de venta de alimentos emitidas durante 2022 y 2025. Licencias de funcionamiento emitidas para negocios, puesto o análogos para operar un negocio ambulante dentro de sus limites territoriales durante 2022 y 202</w:t>
      </w:r>
      <w:r w:rsidRPr="00905D0F">
        <w:rPr>
          <w:rFonts w:ascii="Palatino Linotype" w:hAnsi="Palatino Linotype"/>
          <w:i/>
          <w:lang w:val="es-MX"/>
        </w:rPr>
        <w:t>”</w:t>
      </w:r>
      <w:r w:rsidRPr="00905D0F">
        <w:rPr>
          <w:rFonts w:ascii="Palatino Linotype" w:hAnsi="Palatino Linotype"/>
          <w:i/>
        </w:rPr>
        <w:t>(Sic)</w:t>
      </w:r>
    </w:p>
    <w:p w:rsidR="000C3DCD" w:rsidRPr="00905D0F" w:rsidRDefault="000C3DCD" w:rsidP="00165F17">
      <w:pPr>
        <w:pStyle w:val="Prrafodelista"/>
        <w:spacing w:line="360" w:lineRule="auto"/>
        <w:ind w:left="426" w:right="-518"/>
        <w:jc w:val="center"/>
        <w:rPr>
          <w:rFonts w:ascii="Palatino Linotype" w:hAnsi="Palatino Linotype"/>
          <w:i/>
          <w:lang w:val="es-MX"/>
        </w:rPr>
      </w:pPr>
    </w:p>
    <w:p w:rsidR="00F04191" w:rsidRPr="00905D0F" w:rsidRDefault="00F04191" w:rsidP="00905D0F">
      <w:pPr>
        <w:pStyle w:val="Prrafodelista"/>
        <w:numPr>
          <w:ilvl w:val="0"/>
          <w:numId w:val="2"/>
        </w:numPr>
        <w:spacing w:line="360" w:lineRule="auto"/>
        <w:ind w:left="0" w:right="-518" w:firstLine="0"/>
        <w:jc w:val="both"/>
        <w:rPr>
          <w:rFonts w:ascii="Palatino Linotype" w:hAnsi="Palatino Linotype"/>
        </w:rPr>
      </w:pPr>
      <w:r w:rsidRPr="00905D0F">
        <w:rPr>
          <w:rFonts w:ascii="Palatino Linotype" w:eastAsia="Times New Roman" w:hAnsi="Palatino Linotype" w:cs="Arial"/>
          <w:lang w:val="es-ES"/>
        </w:rPr>
        <w:t>Se eligió como modalidad de entrega de la información</w:t>
      </w:r>
      <w:r w:rsidRPr="00905D0F">
        <w:rPr>
          <w:rFonts w:ascii="Palatino Linotype" w:hAnsi="Palatino Linotype"/>
        </w:rPr>
        <w:t xml:space="preserve">: A través del </w:t>
      </w:r>
      <w:r w:rsidRPr="00905D0F">
        <w:rPr>
          <w:rFonts w:ascii="Palatino Linotype" w:hAnsi="Palatino Linotype"/>
          <w:b/>
        </w:rPr>
        <w:t>SAIMEX.</w:t>
      </w: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s="Segoe UI"/>
          <w:i/>
          <w:color w:val="000000" w:themeColor="text1"/>
          <w:lang w:val="es-MX" w:eastAsia="es-MX"/>
        </w:rPr>
      </w:pPr>
      <w:r w:rsidRPr="00905D0F">
        <w:rPr>
          <w:rFonts w:ascii="Palatino Linotype" w:eastAsia="Times New Roman" w:hAnsi="Palatino Linotype" w:cs="Arial"/>
          <w:color w:val="000000" w:themeColor="text1"/>
          <w:lang w:val="es-ES"/>
        </w:rPr>
        <w:lastRenderedPageBreak/>
        <w:t xml:space="preserve">El </w:t>
      </w:r>
      <w:r w:rsidR="008B1534" w:rsidRPr="00905D0F">
        <w:rPr>
          <w:rFonts w:ascii="Palatino Linotype" w:eastAsia="Times New Roman" w:hAnsi="Palatino Linotype" w:cs="Arial"/>
          <w:b/>
          <w:color w:val="000000" w:themeColor="text1"/>
          <w:lang w:val="es-ES"/>
        </w:rPr>
        <w:t>dieciséis de julio</w:t>
      </w:r>
      <w:r w:rsidRPr="00905D0F">
        <w:rPr>
          <w:rFonts w:ascii="Palatino Linotype" w:eastAsia="Times New Roman" w:hAnsi="Palatino Linotype" w:cs="Arial"/>
          <w:b/>
          <w:color w:val="000000" w:themeColor="text1"/>
          <w:lang w:val="es-ES"/>
        </w:rPr>
        <w:t xml:space="preserve"> de dos mil veinticinco,</w:t>
      </w:r>
      <w:r w:rsidRPr="00905D0F">
        <w:rPr>
          <w:rFonts w:ascii="Palatino Linotype" w:eastAsia="Times New Roman" w:hAnsi="Palatino Linotype" w:cs="Arial"/>
          <w:color w:val="000000" w:themeColor="text1"/>
          <w:lang w:val="es-ES"/>
        </w:rPr>
        <w:t xml:space="preserve"> el </w:t>
      </w:r>
      <w:r w:rsidRPr="00905D0F">
        <w:rPr>
          <w:rFonts w:ascii="Palatino Linotype" w:eastAsia="Times New Roman" w:hAnsi="Palatino Linotype" w:cs="Arial"/>
          <w:b/>
          <w:color w:val="000000" w:themeColor="text1"/>
          <w:lang w:val="es-ES"/>
        </w:rPr>
        <w:t xml:space="preserve">SUJETO OBLIGADO, </w:t>
      </w:r>
      <w:r w:rsidRPr="00905D0F">
        <w:rPr>
          <w:rFonts w:ascii="Palatino Linotype" w:eastAsia="Times New Roman" w:hAnsi="Palatino Linotype" w:cs="Arial"/>
          <w:color w:val="000000" w:themeColor="text1"/>
          <w:lang w:val="es-ES"/>
        </w:rPr>
        <w:t xml:space="preserve">dio </w:t>
      </w:r>
      <w:r w:rsidR="008B1534" w:rsidRPr="00905D0F">
        <w:rPr>
          <w:rFonts w:ascii="Palatino Linotype" w:eastAsia="Times New Roman" w:hAnsi="Palatino Linotype" w:cs="Arial"/>
          <w:color w:val="000000" w:themeColor="text1"/>
          <w:lang w:val="es-ES"/>
        </w:rPr>
        <w:t xml:space="preserve">respuesta a través de los </w:t>
      </w:r>
      <w:r w:rsidRPr="00905D0F">
        <w:rPr>
          <w:rFonts w:ascii="Palatino Linotype" w:eastAsia="Times New Roman" w:hAnsi="Palatino Linotype" w:cs="Arial"/>
          <w:color w:val="000000" w:themeColor="text1"/>
          <w:lang w:val="es-ES"/>
        </w:rPr>
        <w:t>archivo</w:t>
      </w:r>
      <w:r w:rsidR="008B1534" w:rsidRPr="00905D0F">
        <w:rPr>
          <w:rFonts w:ascii="Palatino Linotype" w:eastAsia="Times New Roman" w:hAnsi="Palatino Linotype" w:cs="Arial"/>
          <w:color w:val="000000" w:themeColor="text1"/>
          <w:lang w:val="es-ES"/>
        </w:rPr>
        <w:t>s</w:t>
      </w:r>
      <w:r w:rsidRPr="00905D0F">
        <w:rPr>
          <w:rFonts w:ascii="Palatino Linotype" w:eastAsia="Times New Roman" w:hAnsi="Palatino Linotype" w:cs="Arial"/>
          <w:color w:val="000000" w:themeColor="text1"/>
          <w:lang w:val="es-ES"/>
        </w:rPr>
        <w:t xml:space="preserve"> siguiente</w:t>
      </w:r>
      <w:r w:rsidR="008B1534" w:rsidRPr="00905D0F">
        <w:rPr>
          <w:rFonts w:ascii="Palatino Linotype" w:eastAsia="Times New Roman" w:hAnsi="Palatino Linotype" w:cs="Arial"/>
          <w:color w:val="000000" w:themeColor="text1"/>
          <w:lang w:val="es-ES"/>
        </w:rPr>
        <w:t>s</w:t>
      </w:r>
      <w:r w:rsidRPr="00905D0F">
        <w:rPr>
          <w:rFonts w:ascii="Palatino Linotype" w:eastAsia="Times New Roman" w:hAnsi="Palatino Linotype" w:cs="Arial"/>
          <w:color w:val="000000" w:themeColor="text1"/>
          <w:lang w:val="es-ES"/>
        </w:rPr>
        <w:t>:</w:t>
      </w:r>
    </w:p>
    <w:p w:rsidR="008B1534" w:rsidRPr="00905D0F" w:rsidRDefault="008B1534" w:rsidP="00165F17">
      <w:pPr>
        <w:pStyle w:val="Prrafodelista"/>
        <w:numPr>
          <w:ilvl w:val="0"/>
          <w:numId w:val="17"/>
        </w:numPr>
        <w:spacing w:after="160" w:line="259" w:lineRule="auto"/>
        <w:ind w:right="49"/>
        <w:jc w:val="both"/>
        <w:rPr>
          <w:rFonts w:ascii="Palatino Linotype" w:hAnsi="Palatino Linotype"/>
          <w:b/>
        </w:rPr>
      </w:pPr>
      <w:r w:rsidRPr="00905D0F">
        <w:rPr>
          <w:rFonts w:ascii="Palatino Linotype" w:hAnsi="Palatino Linotype"/>
          <w:b/>
        </w:rPr>
        <w:t xml:space="preserve">ANEXOS SAIMEX 03670_TOLUCA_IP_2025.pdf: </w:t>
      </w:r>
    </w:p>
    <w:p w:rsidR="008B1534" w:rsidRPr="00905D0F" w:rsidRDefault="008B1534" w:rsidP="00165F17">
      <w:pPr>
        <w:pStyle w:val="Prrafodelista"/>
        <w:ind w:right="49"/>
        <w:jc w:val="both"/>
        <w:rPr>
          <w:rFonts w:ascii="Palatino Linotype" w:hAnsi="Palatino Linotype"/>
        </w:rPr>
      </w:pPr>
      <w:r w:rsidRPr="00905D0F">
        <w:rPr>
          <w:rFonts w:ascii="Palatino Linotype" w:hAnsi="Palatino Linotype"/>
        </w:rPr>
        <w:t>22 Invitaciones Públicas del mes de marzo de dos mil veinticinco.</w:t>
      </w:r>
    </w:p>
    <w:p w:rsidR="008B1534" w:rsidRPr="00905D0F" w:rsidRDefault="008B1534" w:rsidP="00165F17">
      <w:pPr>
        <w:pStyle w:val="Prrafodelista"/>
        <w:ind w:right="49"/>
        <w:jc w:val="both"/>
        <w:rPr>
          <w:rFonts w:ascii="Palatino Linotype" w:hAnsi="Palatino Linotype"/>
        </w:rPr>
      </w:pPr>
      <w:r w:rsidRPr="00905D0F">
        <w:rPr>
          <w:rFonts w:ascii="Palatino Linotype" w:hAnsi="Palatino Linotype"/>
        </w:rPr>
        <w:t>22 Cartas compromisos del mes de mayo de do mil veinticinco.</w:t>
      </w:r>
    </w:p>
    <w:p w:rsidR="008B1534" w:rsidRPr="00905D0F" w:rsidRDefault="008B1534" w:rsidP="00165F17">
      <w:pPr>
        <w:pStyle w:val="Prrafodelista"/>
        <w:ind w:right="49"/>
        <w:jc w:val="both"/>
        <w:rPr>
          <w:rFonts w:ascii="Palatino Linotype" w:hAnsi="Palatino Linotype"/>
        </w:rPr>
      </w:pPr>
      <w:r w:rsidRPr="00905D0F">
        <w:rPr>
          <w:rFonts w:ascii="Palatino Linotype" w:hAnsi="Palatino Linotype"/>
        </w:rPr>
        <w:t>50 cartas compromiso del mes de junio de dos mil veinticinco.</w:t>
      </w:r>
    </w:p>
    <w:p w:rsidR="008B1534" w:rsidRPr="00905D0F" w:rsidRDefault="008B1534" w:rsidP="00165F17">
      <w:pPr>
        <w:pStyle w:val="Prrafodelista"/>
        <w:ind w:right="49"/>
        <w:jc w:val="both"/>
        <w:rPr>
          <w:rFonts w:ascii="Palatino Linotype" w:hAnsi="Palatino Linotype"/>
          <w:b/>
        </w:rPr>
      </w:pPr>
      <w:r w:rsidRPr="00905D0F">
        <w:rPr>
          <w:rFonts w:ascii="Palatino Linotype" w:hAnsi="Palatino Linotype"/>
        </w:rPr>
        <w:t>89 Avisos del mes de mayo de dos mil veinticinco.</w:t>
      </w:r>
    </w:p>
    <w:p w:rsidR="008B1534" w:rsidRPr="00905D0F" w:rsidRDefault="008B1534" w:rsidP="00165F17">
      <w:pPr>
        <w:pStyle w:val="Prrafodelista"/>
        <w:ind w:right="49"/>
        <w:jc w:val="both"/>
        <w:rPr>
          <w:rFonts w:ascii="Palatino Linotype" w:hAnsi="Palatino Linotype"/>
        </w:rPr>
      </w:pPr>
      <w:r w:rsidRPr="00905D0F">
        <w:rPr>
          <w:rFonts w:ascii="Palatino Linotype" w:hAnsi="Palatino Linotype"/>
        </w:rPr>
        <w:t>2 aviso sin fecha</w:t>
      </w:r>
    </w:p>
    <w:p w:rsidR="008B1534" w:rsidRPr="00905D0F" w:rsidRDefault="008B1534" w:rsidP="00165F17">
      <w:pPr>
        <w:pStyle w:val="Prrafodelista"/>
        <w:ind w:right="49"/>
        <w:jc w:val="both"/>
        <w:rPr>
          <w:rFonts w:ascii="Palatino Linotype" w:hAnsi="Palatino Linotype"/>
        </w:rPr>
      </w:pPr>
    </w:p>
    <w:p w:rsidR="008B1534" w:rsidRPr="00905D0F" w:rsidRDefault="008B1534" w:rsidP="00165F17">
      <w:pPr>
        <w:pStyle w:val="Prrafodelista"/>
        <w:numPr>
          <w:ilvl w:val="0"/>
          <w:numId w:val="17"/>
        </w:numPr>
        <w:spacing w:after="160" w:line="259" w:lineRule="auto"/>
        <w:ind w:right="49"/>
        <w:jc w:val="both"/>
        <w:rPr>
          <w:rFonts w:ascii="Palatino Linotype" w:hAnsi="Palatino Linotype"/>
          <w:b/>
        </w:rPr>
      </w:pPr>
      <w:r w:rsidRPr="00905D0F">
        <w:rPr>
          <w:rFonts w:ascii="Palatino Linotype" w:hAnsi="Palatino Linotype"/>
          <w:b/>
        </w:rPr>
        <w:t xml:space="preserve">RESPUESTA SAIMEX 3670_TOLUCA_IP_2025.pdf: </w:t>
      </w:r>
      <w:r w:rsidRPr="00905D0F">
        <w:rPr>
          <w:rFonts w:ascii="Palatino Linotype" w:hAnsi="Palatino Linotype"/>
        </w:rPr>
        <w:t xml:space="preserve">oficio firmado por el Director General de Gobierno, por el que informo que, </w:t>
      </w:r>
      <w:r w:rsidRPr="00905D0F">
        <w:rPr>
          <w:rFonts w:ascii="Palatino Linotype" w:hAnsi="Palatino Linotype"/>
          <w:i/>
        </w:rPr>
        <w:t>la Dirección de Inspección y Control Comercial dependiente de esta Dirección General, de conformidad con sus funciones conferidas en el apartado 204013000 contenidas en el Manual de Organización de esta dependencia municipal, vigente a la fecha, se encarga de realizar invitaciones a los comerciantes que ejercen su actividad en el territorio municipal, con la finalidad de regularizar su situación para el correcto desempeño de su giro, por lo que, atinente a lo anterior, se pone de manifiesto que, se emiten documentos, denominados "invitaciones" y "cartas compromiso", signadas por los ciudadanos, con el objeto de brindar la información para que se acerquen a la Dirección de Atención al Comercio para tramitar la obtención de su permiso y/o autorización idónea.</w:t>
      </w:r>
    </w:p>
    <w:p w:rsidR="008B1534" w:rsidRPr="00905D0F" w:rsidRDefault="008B1534" w:rsidP="00165F17">
      <w:pPr>
        <w:pStyle w:val="Prrafodelista"/>
        <w:ind w:right="49"/>
        <w:jc w:val="both"/>
        <w:rPr>
          <w:rFonts w:ascii="Palatino Linotype" w:hAnsi="Palatino Linotype"/>
          <w:b/>
        </w:rPr>
      </w:pPr>
    </w:p>
    <w:p w:rsidR="008B1534" w:rsidRPr="00905D0F" w:rsidRDefault="008B1534" w:rsidP="00165F17">
      <w:pPr>
        <w:pStyle w:val="Prrafodelista"/>
        <w:ind w:right="49"/>
        <w:jc w:val="both"/>
        <w:rPr>
          <w:rFonts w:ascii="Palatino Linotype" w:hAnsi="Palatino Linotype"/>
        </w:rPr>
      </w:pPr>
      <w:r w:rsidRPr="00905D0F">
        <w:rPr>
          <w:rFonts w:ascii="Palatino Linotype" w:hAnsi="Palatino Linotype"/>
        </w:rPr>
        <w:t>Asimismo, adjunto al presente, sírvase encontrar los documentos en mención, en su versión pública, ello con el objetivo de no vulnerar los Derechos Humanos de los ciudadanos, toda vez que, los datos personales contenidos en los mismos, fueron testados; por lo cual, se realizó la solicitud opastuna a la Unidad de Transparencia, remitiendo los argumentos lógico jurídicos por los cuales se considera que, dicha información debe clasificarse como confidencial, siendo el caso que, el Comité de Transparencia del Municipio de Toluca Administración 2025-2027, aprobó mediante el acuerdo CT/SE/866/01/2025, emitido en la Octingentésima Sexagésima Sexta Sesión Extraordinaria 2025, la clasificación de la información como parcialmente confidencial, por contener datos personales.</w:t>
      </w:r>
    </w:p>
    <w:p w:rsidR="008B1534" w:rsidRPr="00905D0F" w:rsidRDefault="008B1534" w:rsidP="00165F17">
      <w:pPr>
        <w:pStyle w:val="Prrafodelista"/>
        <w:ind w:right="49"/>
        <w:jc w:val="both"/>
        <w:rPr>
          <w:rFonts w:ascii="Palatino Linotype" w:hAnsi="Palatino Linotype"/>
        </w:rPr>
      </w:pPr>
    </w:p>
    <w:p w:rsidR="008B1534" w:rsidRPr="00905D0F" w:rsidRDefault="008B1534" w:rsidP="00165F17">
      <w:pPr>
        <w:pStyle w:val="Prrafodelista"/>
        <w:ind w:right="49"/>
        <w:jc w:val="both"/>
        <w:rPr>
          <w:rFonts w:ascii="Palatino Linotype" w:hAnsi="Palatino Linotype"/>
        </w:rPr>
      </w:pPr>
      <w:r w:rsidRPr="00905D0F">
        <w:rPr>
          <w:rFonts w:ascii="Palatino Linotype" w:hAnsi="Palatino Linotype"/>
        </w:rPr>
        <w:lastRenderedPageBreak/>
        <w:t xml:space="preserve">Por otro lado, en relación a informar sobre "...Licencias de funcionamiento emitidas por el sujeto obligado para la operación de negocios de venta de alimentos emitidas durante 2022 y 2025. Licencias de funcionamiento emitidas para negocios, puesto análogos para operar un negocio ambulante dentro de sus </w:t>
      </w:r>
      <w:r w:rsidR="00163B17" w:rsidRPr="00905D0F">
        <w:rPr>
          <w:rFonts w:ascii="Palatino Linotype" w:hAnsi="Palatino Linotype"/>
        </w:rPr>
        <w:t>límites</w:t>
      </w:r>
      <w:r w:rsidRPr="00905D0F">
        <w:rPr>
          <w:rFonts w:ascii="Palatino Linotype" w:hAnsi="Palatino Linotype"/>
        </w:rPr>
        <w:t xml:space="preserve"> territoriales durante 2022 y 2025", me permito hacer ostensible que, de acuerdo con las atribuciones conferidas en los artículos 90 fracción I, numeral 4, 92 fracción IV del Bando Municipal de Toluca 2025, 3.27 y 3.28 del Código Reglamentario de Toluca 2025; así como en </w:t>
      </w:r>
      <w:r w:rsidR="00163B17" w:rsidRPr="00905D0F">
        <w:rPr>
          <w:rFonts w:ascii="Palatino Linotype" w:hAnsi="Palatino Linotype"/>
        </w:rPr>
        <w:t>el</w:t>
      </w:r>
      <w:r w:rsidRPr="00905D0F">
        <w:rPr>
          <w:rFonts w:ascii="Palatino Linotype" w:hAnsi="Palatino Linotype"/>
        </w:rPr>
        <w:t xml:space="preserve"> apartado 204010000 contenido en el Manual de Organización en vigor, esta Dirección General, no cuenta con la información solicitada, toda vez que, no es la unidad administrativa que genera, recopila, administra, maneja, procesa, archiva o conserva la información correspondiente; sin embargo, de ser el caso, la Dirección de Atención al Comercio dependiente de la Dirección General de Desarrollo Económico, podría encontrarse en posibilidad de brindar la información solicitada encontrando sustento legal lo expuesto en líneas anteriores, en el artículos 90 fracción 1, numeral 11, 92 fracción XI del Bando Municipal de </w:t>
      </w:r>
      <w:r w:rsidR="00163B17" w:rsidRPr="00905D0F">
        <w:rPr>
          <w:rFonts w:ascii="Palatino Linotype" w:hAnsi="Palatino Linotype"/>
        </w:rPr>
        <w:t>Toluca</w:t>
      </w:r>
      <w:r w:rsidRPr="00905D0F">
        <w:rPr>
          <w:rFonts w:ascii="Palatino Linotype" w:hAnsi="Palatino Linotype"/>
        </w:rPr>
        <w:t xml:space="preserve"> 2025; 3.44 y 3.45 de Código Reglamentario Municipal de Toluca 2025; así como en la nomenclatura 210013000 contenida en el Manual de Organización de la Dirección General de Desarrollo Económico vigente.</w:t>
      </w:r>
    </w:p>
    <w:p w:rsidR="008B1534" w:rsidRPr="00905D0F" w:rsidRDefault="008B1534" w:rsidP="00165F17">
      <w:pPr>
        <w:ind w:right="49"/>
        <w:jc w:val="both"/>
        <w:rPr>
          <w:rFonts w:ascii="Palatino Linotype" w:hAnsi="Palatino Linotype"/>
          <w:b/>
          <w:sz w:val="24"/>
          <w:szCs w:val="24"/>
        </w:rPr>
      </w:pPr>
    </w:p>
    <w:p w:rsidR="008B1534" w:rsidRPr="00905D0F" w:rsidRDefault="008B1534" w:rsidP="00165F17">
      <w:pPr>
        <w:pStyle w:val="Prrafodelista"/>
        <w:numPr>
          <w:ilvl w:val="0"/>
          <w:numId w:val="17"/>
        </w:numPr>
        <w:spacing w:after="160" w:line="259" w:lineRule="auto"/>
        <w:ind w:right="49"/>
        <w:jc w:val="both"/>
        <w:rPr>
          <w:rFonts w:ascii="Palatino Linotype" w:hAnsi="Palatino Linotype"/>
          <w:b/>
        </w:rPr>
      </w:pPr>
      <w:r w:rsidRPr="00905D0F">
        <w:rPr>
          <w:rFonts w:ascii="Palatino Linotype" w:hAnsi="Palatino Linotype"/>
          <w:b/>
        </w:rPr>
        <w:t xml:space="preserve">RESPUESTA SAIMEX 3670.pdf: </w:t>
      </w:r>
      <w:r w:rsidRPr="00905D0F">
        <w:rPr>
          <w:rFonts w:ascii="Palatino Linotype" w:hAnsi="Palatino Linotype"/>
        </w:rPr>
        <w:t>Oficio de la Directora General, por el que informo:</w:t>
      </w:r>
    </w:p>
    <w:p w:rsidR="008B1534" w:rsidRPr="00905D0F" w:rsidRDefault="008B1534" w:rsidP="00165F17">
      <w:pPr>
        <w:pStyle w:val="Prrafodelista"/>
        <w:ind w:right="49"/>
        <w:jc w:val="both"/>
        <w:rPr>
          <w:rFonts w:ascii="Palatino Linotype" w:hAnsi="Palatino Linotype"/>
          <w:b/>
        </w:rPr>
      </w:pPr>
    </w:p>
    <w:p w:rsidR="008B1534" w:rsidRPr="00905D0F" w:rsidRDefault="008B1534" w:rsidP="00165F17">
      <w:pPr>
        <w:pStyle w:val="Prrafodelista"/>
        <w:ind w:right="49"/>
        <w:jc w:val="both"/>
        <w:rPr>
          <w:rFonts w:ascii="Palatino Linotype" w:hAnsi="Palatino Linotype"/>
        </w:rPr>
      </w:pPr>
      <w:r w:rsidRPr="00905D0F">
        <w:rPr>
          <w:rFonts w:ascii="Palatino Linotype" w:hAnsi="Palatino Linotype"/>
        </w:rPr>
        <w:t xml:space="preserve">Licencias de funcionamiento emitidas por el sujeto obligado para la operación de negocios de venta de alimentos emitidas durante 2022 y 2025. </w:t>
      </w:r>
    </w:p>
    <w:p w:rsidR="008B1534" w:rsidRPr="00905D0F" w:rsidRDefault="008B1534" w:rsidP="00165F17">
      <w:pPr>
        <w:pStyle w:val="Prrafodelista"/>
        <w:ind w:right="49"/>
        <w:jc w:val="both"/>
        <w:rPr>
          <w:rFonts w:ascii="Palatino Linotype" w:hAnsi="Palatino Linotype"/>
          <w:b/>
          <w:i/>
        </w:rPr>
      </w:pPr>
    </w:p>
    <w:p w:rsidR="008B1534" w:rsidRPr="00905D0F" w:rsidRDefault="008B1534" w:rsidP="00165F17">
      <w:pPr>
        <w:pStyle w:val="Prrafodelista"/>
        <w:ind w:right="49"/>
        <w:jc w:val="both"/>
        <w:rPr>
          <w:rFonts w:ascii="Palatino Linotype" w:hAnsi="Palatino Linotype"/>
          <w:b/>
          <w:i/>
        </w:rPr>
      </w:pPr>
      <w:r w:rsidRPr="00905D0F">
        <w:rPr>
          <w:rFonts w:ascii="Palatino Linotype" w:hAnsi="Palatino Linotype"/>
          <w:b/>
          <w:i/>
        </w:rPr>
        <w:t>R. Sobre el particular le informo que con base, el criterio relevante número 01/18, de la Segunda Época, emitido por el pleno del Instituto de Transparencia, Acceso a la Información Pública y Protección de Datos Personales del Estado de México y Municipios que refiere:</w:t>
      </w:r>
    </w:p>
    <w:p w:rsidR="008B1534" w:rsidRPr="00905D0F" w:rsidRDefault="008B1534" w:rsidP="00165F17">
      <w:pPr>
        <w:pStyle w:val="Prrafodelista"/>
        <w:ind w:right="49"/>
        <w:jc w:val="both"/>
        <w:rPr>
          <w:rFonts w:ascii="Palatino Linotype" w:hAnsi="Palatino Linotype"/>
          <w:b/>
          <w:i/>
        </w:rPr>
      </w:pPr>
    </w:p>
    <w:p w:rsidR="008B1534" w:rsidRPr="00905D0F" w:rsidRDefault="008B1534" w:rsidP="00165F17">
      <w:pPr>
        <w:pStyle w:val="Prrafodelista"/>
        <w:ind w:right="49"/>
        <w:jc w:val="both"/>
        <w:rPr>
          <w:rFonts w:ascii="Palatino Linotype" w:hAnsi="Palatino Linotype"/>
          <w:i/>
        </w:rPr>
      </w:pPr>
      <w:r w:rsidRPr="00905D0F">
        <w:rPr>
          <w:rFonts w:ascii="Palatino Linotype" w:hAnsi="Palatino Linotype"/>
          <w:i/>
        </w:rPr>
        <w:t>Nombre del titular de una licencia que no involucre el aprovechamiento de bienes, servicios y/o recursos públicos, constituye un dato personal susceptible de clasificar como confidencial.</w:t>
      </w:r>
    </w:p>
    <w:p w:rsidR="008B1534" w:rsidRPr="00905D0F" w:rsidRDefault="008B1534" w:rsidP="00165F17">
      <w:pPr>
        <w:pStyle w:val="Prrafodelista"/>
        <w:ind w:right="49"/>
        <w:jc w:val="both"/>
        <w:rPr>
          <w:rFonts w:ascii="Palatino Linotype" w:hAnsi="Palatino Linotype"/>
          <w:b/>
          <w:i/>
        </w:rPr>
      </w:pPr>
    </w:p>
    <w:p w:rsidR="008B1534" w:rsidRPr="00905D0F" w:rsidRDefault="008B1534" w:rsidP="00165F17">
      <w:pPr>
        <w:pStyle w:val="Prrafodelista"/>
        <w:ind w:right="49"/>
        <w:jc w:val="both"/>
        <w:rPr>
          <w:rFonts w:ascii="Palatino Linotype" w:hAnsi="Palatino Linotype"/>
          <w:b/>
          <w:i/>
        </w:rPr>
      </w:pPr>
      <w:r w:rsidRPr="00905D0F">
        <w:rPr>
          <w:rFonts w:ascii="Palatino Linotype" w:hAnsi="Palatino Linotype"/>
          <w:b/>
          <w:i/>
        </w:rPr>
        <w:lastRenderedPageBreak/>
        <w:t>…</w:t>
      </w:r>
    </w:p>
    <w:p w:rsidR="008B1534" w:rsidRPr="00905D0F" w:rsidRDefault="008B1534" w:rsidP="00165F17">
      <w:pPr>
        <w:pStyle w:val="Prrafodelista"/>
        <w:ind w:right="49"/>
        <w:jc w:val="both"/>
        <w:rPr>
          <w:rFonts w:ascii="Palatino Linotype" w:hAnsi="Palatino Linotype"/>
          <w:b/>
          <w:i/>
        </w:rPr>
      </w:pPr>
    </w:p>
    <w:p w:rsidR="008B1534" w:rsidRPr="00905D0F" w:rsidRDefault="008B1534" w:rsidP="00165F17">
      <w:pPr>
        <w:pStyle w:val="Prrafodelista"/>
        <w:ind w:right="49"/>
        <w:jc w:val="both"/>
        <w:rPr>
          <w:rFonts w:ascii="Palatino Linotype" w:hAnsi="Palatino Linotype"/>
          <w:i/>
        </w:rPr>
      </w:pPr>
      <w:r w:rsidRPr="00905D0F">
        <w:rPr>
          <w:rFonts w:ascii="Palatino Linotype" w:hAnsi="Palatino Linotype"/>
          <w:i/>
        </w:rPr>
        <w:t>No obstante a lo anterior, y con la finalidad de respetar al solicitante de su derecho a la transparencia y máxima publicidad, y derivado una búsqueda en el sistema que sigue el Departamento de Licencias y Permisos referente al Registro Municipal de Unidades Económicas, adjunto como "ANEXO SAIMEX 03706", el padrón que se obtuvo respecto de las licencias de funcionamiento con venta de alimentos que se expidieron en el ejercicio 2022 y en el ejercicio 2025, en el que se puede advertir el número de registro y/o licencia y fecha de alta.</w:t>
      </w:r>
    </w:p>
    <w:p w:rsidR="008B1534" w:rsidRPr="00905D0F" w:rsidRDefault="008B1534" w:rsidP="00165F17">
      <w:pPr>
        <w:pStyle w:val="Prrafodelista"/>
        <w:ind w:right="49"/>
        <w:jc w:val="both"/>
        <w:rPr>
          <w:rFonts w:ascii="Palatino Linotype" w:hAnsi="Palatino Linotype"/>
          <w:i/>
        </w:rPr>
      </w:pPr>
    </w:p>
    <w:p w:rsidR="008B1534" w:rsidRPr="00905D0F" w:rsidRDefault="008B1534" w:rsidP="00165F17">
      <w:pPr>
        <w:pStyle w:val="Prrafodelista"/>
        <w:ind w:right="49"/>
        <w:jc w:val="both"/>
        <w:rPr>
          <w:rFonts w:ascii="Palatino Linotype" w:hAnsi="Palatino Linotype"/>
          <w:i/>
        </w:rPr>
      </w:pPr>
      <w:r w:rsidRPr="00905D0F">
        <w:rPr>
          <w:rFonts w:ascii="Palatino Linotype" w:hAnsi="Palatino Linotype"/>
          <w:i/>
        </w:rPr>
        <w:t xml:space="preserve"> "Respecto a "Documentación emitida para regular el comercio ambulante dentro de sus límites territoriales" y Licencias de funcionamiento emitidas para negocios, puesto o análogos para operar un negocio ambulante dentro de sus límites territoriales durante 2022 у 2025."</w:t>
      </w:r>
    </w:p>
    <w:p w:rsidR="008B1534" w:rsidRPr="00905D0F" w:rsidRDefault="008B1534" w:rsidP="00165F17">
      <w:pPr>
        <w:pStyle w:val="Prrafodelista"/>
        <w:ind w:right="49"/>
        <w:jc w:val="both"/>
        <w:rPr>
          <w:rFonts w:ascii="Palatino Linotype" w:hAnsi="Palatino Linotype"/>
          <w:b/>
          <w:i/>
        </w:rPr>
      </w:pPr>
    </w:p>
    <w:p w:rsidR="008B1534" w:rsidRPr="00905D0F" w:rsidRDefault="008B1534" w:rsidP="00165F17">
      <w:pPr>
        <w:pStyle w:val="Prrafodelista"/>
        <w:ind w:right="49"/>
        <w:jc w:val="both"/>
        <w:rPr>
          <w:rFonts w:ascii="Palatino Linotype" w:hAnsi="Palatino Linotype"/>
          <w:b/>
          <w:i/>
        </w:rPr>
      </w:pPr>
      <w:r w:rsidRPr="00905D0F">
        <w:rPr>
          <w:rFonts w:ascii="Palatino Linotype" w:hAnsi="Palatino Linotype"/>
          <w:b/>
          <w:i/>
        </w:rPr>
        <w:t>R. Una vez realizada la búsqueda en los archivos físicos y electrónicos de la Dirección de Atención al Comercio, respecto al "comercio ambulante" no se localizó que se hayan emitido permiso o documentación para su autorización. Sin otro particular, quedo de Usted.</w:t>
      </w:r>
    </w:p>
    <w:p w:rsidR="008B1534" w:rsidRPr="00905D0F" w:rsidRDefault="008B1534" w:rsidP="00165F17">
      <w:pPr>
        <w:pStyle w:val="Prrafodelista"/>
        <w:ind w:right="49"/>
        <w:jc w:val="both"/>
        <w:rPr>
          <w:rFonts w:ascii="Palatino Linotype" w:hAnsi="Palatino Linotype"/>
          <w:b/>
        </w:rPr>
      </w:pPr>
    </w:p>
    <w:p w:rsidR="008B1534" w:rsidRPr="00905D0F" w:rsidRDefault="008B1534" w:rsidP="00165F17">
      <w:pPr>
        <w:pStyle w:val="Prrafodelista"/>
        <w:numPr>
          <w:ilvl w:val="0"/>
          <w:numId w:val="17"/>
        </w:numPr>
        <w:spacing w:after="160" w:line="259" w:lineRule="auto"/>
        <w:ind w:right="49"/>
        <w:jc w:val="both"/>
        <w:rPr>
          <w:rFonts w:ascii="Palatino Linotype" w:hAnsi="Palatino Linotype"/>
          <w:b/>
        </w:rPr>
      </w:pPr>
      <w:r w:rsidRPr="00905D0F">
        <w:rPr>
          <w:rFonts w:ascii="Palatino Linotype" w:hAnsi="Palatino Linotype"/>
          <w:b/>
        </w:rPr>
        <w:t xml:space="preserve">ANEXO SAIMEX 3670.pdf: </w:t>
      </w:r>
      <w:r w:rsidRPr="00905D0F">
        <w:rPr>
          <w:rFonts w:ascii="Palatino Linotype" w:hAnsi="Palatino Linotype"/>
        </w:rPr>
        <w:t xml:space="preserve">Lista de licencias de funcionamiento con venta de alimentos de los años dos mil veintidós y dos mil veinticinco. </w:t>
      </w:r>
    </w:p>
    <w:p w:rsidR="008B1534" w:rsidRPr="00905D0F" w:rsidRDefault="008B1534" w:rsidP="00165F17">
      <w:pPr>
        <w:ind w:right="-518"/>
        <w:jc w:val="both"/>
        <w:rPr>
          <w:rFonts w:ascii="Palatino Linotype" w:hAnsi="Palatino Linotype"/>
          <w:b/>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s="Arial"/>
          <w:i/>
          <w:color w:val="000000" w:themeColor="text1"/>
        </w:rPr>
      </w:pPr>
      <w:r w:rsidRPr="00905D0F">
        <w:rPr>
          <w:rFonts w:ascii="Palatino Linotype" w:eastAsia="Times New Roman" w:hAnsi="Palatino Linotype" w:cs="Arial"/>
          <w:color w:val="000000" w:themeColor="text1"/>
          <w:lang w:val="es-ES"/>
        </w:rPr>
        <w:t xml:space="preserve">Inconforme con lo anterior, el </w:t>
      </w:r>
      <w:r w:rsidR="008B1534" w:rsidRPr="00905D0F">
        <w:rPr>
          <w:rFonts w:ascii="Palatino Linotype" w:eastAsia="Times New Roman" w:hAnsi="Palatino Linotype" w:cs="Arial"/>
          <w:b/>
          <w:color w:val="000000" w:themeColor="text1"/>
          <w:lang w:val="es-ES"/>
        </w:rPr>
        <w:t>veinte de agosto</w:t>
      </w:r>
      <w:r w:rsidRPr="00905D0F">
        <w:rPr>
          <w:rFonts w:ascii="Palatino Linotype" w:eastAsia="Times New Roman" w:hAnsi="Palatino Linotype" w:cs="Arial"/>
          <w:b/>
          <w:color w:val="000000" w:themeColor="text1"/>
          <w:lang w:val="es-ES"/>
        </w:rPr>
        <w:t xml:space="preserve"> de dos mil veinticinco</w:t>
      </w:r>
      <w:r w:rsidRPr="00905D0F">
        <w:rPr>
          <w:rFonts w:ascii="Palatino Linotype" w:eastAsia="Times New Roman" w:hAnsi="Palatino Linotype" w:cs="Arial"/>
          <w:color w:val="000000" w:themeColor="text1"/>
          <w:lang w:val="es-ES"/>
        </w:rPr>
        <w:t xml:space="preserve">, el hoy </w:t>
      </w:r>
      <w:r w:rsidRPr="00905D0F">
        <w:rPr>
          <w:rFonts w:ascii="Palatino Linotype" w:eastAsia="Times New Roman" w:hAnsi="Palatino Linotype" w:cs="Arial"/>
          <w:b/>
          <w:color w:val="000000" w:themeColor="text1"/>
          <w:lang w:val="es-ES"/>
        </w:rPr>
        <w:t xml:space="preserve">RECURRENTE, </w:t>
      </w:r>
      <w:r w:rsidRPr="00905D0F">
        <w:rPr>
          <w:rFonts w:ascii="Palatino Linotype" w:eastAsia="Times New Roman" w:hAnsi="Palatino Linotype" w:cs="Arial"/>
          <w:color w:val="000000" w:themeColor="text1"/>
          <w:lang w:val="es-ES"/>
        </w:rPr>
        <w:t xml:space="preserve">interpuso recurso de revisión en contra de la respuesta emitida por el </w:t>
      </w:r>
      <w:r w:rsidRPr="00905D0F">
        <w:rPr>
          <w:rFonts w:ascii="Palatino Linotype" w:eastAsia="Times New Roman" w:hAnsi="Palatino Linotype" w:cs="Arial"/>
          <w:b/>
          <w:color w:val="000000" w:themeColor="text1"/>
          <w:lang w:val="es-ES"/>
        </w:rPr>
        <w:t>SUJETO OBLIGADO</w:t>
      </w:r>
      <w:r w:rsidRPr="00905D0F">
        <w:rPr>
          <w:rFonts w:ascii="Palatino Linotype" w:eastAsia="Times New Roman" w:hAnsi="Palatino Linotype" w:cs="Arial"/>
          <w:color w:val="000000" w:themeColor="text1"/>
          <w:lang w:val="es-ES"/>
        </w:rPr>
        <w:t>, manifestando las siguientes razones o motivos de inconformidad:</w:t>
      </w:r>
    </w:p>
    <w:p w:rsidR="00F04191" w:rsidRPr="00905D0F" w:rsidRDefault="00F04191" w:rsidP="00165F17">
      <w:pPr>
        <w:pStyle w:val="Prrafodelista"/>
        <w:tabs>
          <w:tab w:val="left" w:pos="0"/>
        </w:tabs>
        <w:spacing w:line="360" w:lineRule="auto"/>
        <w:ind w:left="0" w:right="-518"/>
        <w:jc w:val="both"/>
        <w:rPr>
          <w:rFonts w:ascii="Palatino Linotype" w:hAnsi="Palatino Linotype" w:cs="Arial"/>
          <w:i/>
          <w:color w:val="000000" w:themeColor="text1"/>
        </w:rPr>
      </w:pPr>
    </w:p>
    <w:p w:rsidR="00F04191" w:rsidRPr="00905D0F" w:rsidRDefault="00905D0F" w:rsidP="00165F17">
      <w:pPr>
        <w:pStyle w:val="Prrafodelista"/>
        <w:numPr>
          <w:ilvl w:val="0"/>
          <w:numId w:val="2"/>
        </w:numPr>
        <w:spacing w:line="276" w:lineRule="auto"/>
        <w:ind w:left="1134" w:right="49"/>
        <w:jc w:val="both"/>
        <w:rPr>
          <w:rStyle w:val="Ttulo2Car"/>
          <w:rFonts w:ascii="Palatino Linotype" w:hAnsi="Palatino Linotype"/>
          <w:i/>
          <w:color w:val="000000" w:themeColor="text1"/>
          <w:sz w:val="24"/>
          <w:szCs w:val="24"/>
        </w:rPr>
      </w:pPr>
      <w:bookmarkStart w:id="4" w:name="_Toc466982514"/>
      <w:bookmarkStart w:id="5" w:name="_Toc51854302"/>
      <w:bookmarkStart w:id="6" w:name="_Toc53584976"/>
      <w:bookmarkStart w:id="7" w:name="_Toc60925403"/>
      <w:bookmarkStart w:id="8" w:name="_Toc81364833"/>
      <w:bookmarkStart w:id="9" w:name="_Toc81390610"/>
      <w:bookmarkStart w:id="10" w:name="_Toc82611033"/>
      <w:bookmarkStart w:id="11" w:name="_Toc83128576"/>
      <w:bookmarkStart w:id="12" w:name="_Toc27589208"/>
      <w:bookmarkStart w:id="13" w:name="_Toc29395022"/>
      <w:bookmarkStart w:id="14" w:name="_Toc29481467"/>
      <w:bookmarkStart w:id="15" w:name="_Toc33113911"/>
      <w:bookmarkStart w:id="16" w:name="_Toc33643059"/>
      <w:bookmarkStart w:id="17" w:name="_Toc33724991"/>
      <w:bookmarkStart w:id="18" w:name="_Toc33726434"/>
      <w:bookmarkStart w:id="19" w:name="_Toc34157662"/>
      <w:bookmarkStart w:id="20" w:name="_Toc35003615"/>
      <w:bookmarkStart w:id="21" w:name="_Toc35535691"/>
      <w:bookmarkStart w:id="22" w:name="_Toc51262525"/>
      <w:bookmarkStart w:id="23" w:name="_Toc471908126"/>
      <w:bookmarkStart w:id="24" w:name="_Toc491791300"/>
      <w:bookmarkStart w:id="25" w:name="_Toc496726170"/>
      <w:bookmarkStart w:id="26" w:name="_Toc497242134"/>
      <w:bookmarkStart w:id="27" w:name="_Toc497292517"/>
      <w:bookmarkStart w:id="28" w:name="_Toc498503716"/>
      <w:bookmarkStart w:id="29" w:name="_Toc499568660"/>
      <w:bookmarkStart w:id="30" w:name="_Toc499568693"/>
      <w:bookmarkStart w:id="31" w:name="_Toc499665452"/>
      <w:bookmarkStart w:id="32" w:name="_Toc499729819"/>
      <w:bookmarkStart w:id="33" w:name="_Toc499835024"/>
      <w:bookmarkStart w:id="34" w:name="_Toc499835835"/>
      <w:bookmarkStart w:id="35" w:name="_Toc499835858"/>
      <w:bookmarkStart w:id="36" w:name="_Toc500264537"/>
      <w:bookmarkStart w:id="37" w:name="_Toc503290275"/>
      <w:bookmarkStart w:id="38" w:name="_Toc524009637"/>
      <w:bookmarkStart w:id="39" w:name="_Toc524009672"/>
      <w:bookmarkStart w:id="40" w:name="_Toc524602720"/>
      <w:bookmarkStart w:id="41" w:name="_Toc526365279"/>
      <w:bookmarkStart w:id="42" w:name="_Toc526365337"/>
      <w:bookmarkStart w:id="43" w:name="_Toc530067664"/>
      <w:bookmarkStart w:id="44" w:name="_Toc530067692"/>
      <w:bookmarkStart w:id="45" w:name="_Toc530067939"/>
      <w:bookmarkStart w:id="46" w:name="_Toc530590420"/>
      <w:bookmarkStart w:id="47" w:name="_Toc530593951"/>
      <w:bookmarkStart w:id="48" w:name="_Toc531190248"/>
      <w:bookmarkStart w:id="49" w:name="_Toc531190295"/>
      <w:bookmarkStart w:id="50" w:name="_Toc534908208"/>
      <w:bookmarkStart w:id="51" w:name="_Toc534909344"/>
      <w:bookmarkStart w:id="52" w:name="_Toc535353305"/>
      <w:bookmarkStart w:id="53" w:name="_Toc535353791"/>
      <w:bookmarkStart w:id="54" w:name="_Toc18436351"/>
      <w:bookmarkStart w:id="55" w:name="_Toc18436385"/>
      <w:bookmarkStart w:id="56" w:name="_Toc18513477"/>
      <w:bookmarkStart w:id="57" w:name="_Toc18513503"/>
      <w:bookmarkStart w:id="58" w:name="_Toc18606801"/>
      <w:bookmarkStart w:id="59" w:name="_Toc19723536"/>
      <w:bookmarkStart w:id="60" w:name="_Toc20322795"/>
      <w:bookmarkStart w:id="61" w:name="_Toc20323052"/>
      <w:bookmarkStart w:id="62" w:name="_Toc20323181"/>
      <w:bookmarkStart w:id="63" w:name="_Toc20420591"/>
      <w:bookmarkStart w:id="64" w:name="_Toc20421579"/>
      <w:bookmarkStart w:id="65" w:name="_Toc21027316"/>
      <w:bookmarkStart w:id="66" w:name="_Toc22660652"/>
      <w:bookmarkStart w:id="67" w:name="_Toc22811623"/>
      <w:bookmarkStart w:id="68" w:name="_Toc26436015"/>
      <w:r w:rsidRPr="00905D0F">
        <w:rPr>
          <w:rStyle w:val="Ttulo2Car"/>
          <w:rFonts w:ascii="Palatino Linotype" w:hAnsi="Palatino Linotype"/>
          <w:b/>
          <w:color w:val="auto"/>
          <w:sz w:val="24"/>
          <w:szCs w:val="24"/>
        </w:rPr>
        <w:t>ACTO IMPUGNADO</w:t>
      </w:r>
      <w:bookmarkEnd w:id="4"/>
      <w:r w:rsidR="00F04191" w:rsidRPr="00905D0F">
        <w:rPr>
          <w:rStyle w:val="Ttulo2Car"/>
          <w:rFonts w:ascii="Palatino Linotype" w:hAnsi="Palatino Linotype"/>
          <w:b/>
          <w:color w:val="000000" w:themeColor="text1"/>
          <w:sz w:val="24"/>
          <w:szCs w:val="24"/>
        </w:rPr>
        <w:t xml:space="preserve">: </w:t>
      </w:r>
      <w:r w:rsidR="00F04191" w:rsidRPr="00905D0F">
        <w:rPr>
          <w:rStyle w:val="Ttulo2Car"/>
          <w:rFonts w:ascii="Palatino Linotype" w:hAnsi="Palatino Linotype"/>
          <w:i/>
          <w:color w:val="000000" w:themeColor="text1"/>
          <w:sz w:val="24"/>
          <w:szCs w:val="24"/>
        </w:rPr>
        <w:t>“</w:t>
      </w:r>
      <w:bookmarkStart w:id="69" w:name="_Toc466982515"/>
      <w:bookmarkStart w:id="70" w:name="_Toc27589209"/>
      <w:bookmarkStart w:id="71" w:name="_Toc29395023"/>
      <w:bookmarkStart w:id="72" w:name="_Toc29481468"/>
      <w:bookmarkStart w:id="73" w:name="_Toc33113912"/>
      <w:bookmarkStart w:id="74" w:name="_Toc33643060"/>
      <w:bookmarkStart w:id="75" w:name="_Toc33724992"/>
      <w:bookmarkStart w:id="76" w:name="_Toc33726435"/>
      <w:bookmarkStart w:id="77" w:name="_Toc34157663"/>
      <w:bookmarkStart w:id="78" w:name="_Toc35003616"/>
      <w:bookmarkStart w:id="79" w:name="_Toc35535692"/>
      <w:bookmarkStart w:id="80" w:name="_Toc51262526"/>
      <w:bookmarkStart w:id="81" w:name="_Toc471908127"/>
      <w:bookmarkStart w:id="82" w:name="_Toc491791301"/>
      <w:bookmarkStart w:id="83" w:name="_Toc496726171"/>
      <w:bookmarkStart w:id="84" w:name="_Toc497242135"/>
      <w:bookmarkStart w:id="85" w:name="_Toc497292518"/>
      <w:bookmarkStart w:id="86" w:name="_Toc498503717"/>
      <w:bookmarkStart w:id="87" w:name="_Toc499568661"/>
      <w:bookmarkStart w:id="88" w:name="_Toc499568694"/>
      <w:bookmarkStart w:id="89" w:name="_Toc499665453"/>
      <w:bookmarkStart w:id="90" w:name="_Toc499729820"/>
      <w:bookmarkStart w:id="91" w:name="_Toc499835025"/>
      <w:bookmarkStart w:id="92" w:name="_Toc499835836"/>
      <w:bookmarkStart w:id="93" w:name="_Toc499835859"/>
      <w:bookmarkStart w:id="94" w:name="_Toc500264538"/>
      <w:bookmarkStart w:id="95" w:name="_Toc503290276"/>
      <w:bookmarkStart w:id="96" w:name="_Toc524009638"/>
      <w:bookmarkStart w:id="97" w:name="_Toc524009673"/>
      <w:bookmarkStart w:id="98" w:name="_Toc524602721"/>
      <w:bookmarkStart w:id="99" w:name="_Toc526365280"/>
      <w:bookmarkStart w:id="100" w:name="_Toc526365338"/>
      <w:bookmarkStart w:id="101" w:name="_Toc530067665"/>
      <w:bookmarkStart w:id="102" w:name="_Toc530067693"/>
      <w:bookmarkStart w:id="103" w:name="_Toc530067940"/>
      <w:bookmarkStart w:id="104" w:name="_Toc530590421"/>
      <w:bookmarkStart w:id="105" w:name="_Toc530593952"/>
      <w:bookmarkStart w:id="106" w:name="_Toc531190249"/>
      <w:bookmarkStart w:id="107" w:name="_Toc531190296"/>
      <w:bookmarkStart w:id="108" w:name="_Toc534908209"/>
      <w:bookmarkStart w:id="109" w:name="_Toc534909345"/>
      <w:bookmarkStart w:id="110" w:name="_Toc535353306"/>
      <w:bookmarkStart w:id="111" w:name="_Toc535353792"/>
      <w:bookmarkStart w:id="112" w:name="_Toc18436352"/>
      <w:bookmarkStart w:id="113" w:name="_Toc18436386"/>
      <w:bookmarkStart w:id="114" w:name="_Toc18513478"/>
      <w:bookmarkStart w:id="115" w:name="_Toc18513504"/>
      <w:bookmarkStart w:id="116" w:name="_Toc18606802"/>
      <w:bookmarkStart w:id="117" w:name="_Toc19723537"/>
      <w:bookmarkStart w:id="118" w:name="_Toc20322796"/>
      <w:bookmarkStart w:id="119" w:name="_Toc20323053"/>
      <w:bookmarkStart w:id="120" w:name="_Toc20323182"/>
      <w:bookmarkStart w:id="121" w:name="_Toc20420592"/>
      <w:bookmarkStart w:id="122" w:name="_Toc20421580"/>
      <w:bookmarkStart w:id="123" w:name="_Toc21027317"/>
      <w:bookmarkStart w:id="124" w:name="_Toc22660653"/>
      <w:bookmarkStart w:id="125" w:name="_Toc22811624"/>
      <w:bookmarkStart w:id="126" w:name="_Toc26436016"/>
      <w:bookmarkStart w:id="127" w:name="_Toc51854303"/>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008B1534" w:rsidRPr="00905D0F">
        <w:rPr>
          <w:rFonts w:ascii="Palatino Linotype" w:eastAsiaTheme="majorEastAsia" w:hAnsi="Palatino Linotype" w:cstheme="majorBidi"/>
          <w:i/>
          <w:color w:val="000000" w:themeColor="text1"/>
          <w:lang w:val="es-MX"/>
        </w:rPr>
        <w:t>No entrega la información completa y debe ser pública</w:t>
      </w:r>
      <w:r w:rsidR="00F04191" w:rsidRPr="00905D0F">
        <w:rPr>
          <w:rFonts w:ascii="Palatino Linotype" w:eastAsiaTheme="majorEastAsia" w:hAnsi="Palatino Linotype" w:cstheme="majorBidi"/>
          <w:i/>
          <w:color w:val="000000" w:themeColor="text1"/>
          <w:lang w:val="es-MX"/>
        </w:rPr>
        <w:t>”</w:t>
      </w:r>
    </w:p>
    <w:p w:rsidR="00F04191" w:rsidRPr="00905D0F" w:rsidRDefault="00F04191" w:rsidP="00165F17">
      <w:pPr>
        <w:pStyle w:val="Prrafodelista"/>
        <w:spacing w:line="360" w:lineRule="auto"/>
        <w:ind w:left="1134" w:right="49" w:hanging="142"/>
        <w:jc w:val="both"/>
        <w:rPr>
          <w:rStyle w:val="Ttulo2Car"/>
          <w:rFonts w:ascii="Palatino Linotype" w:hAnsi="Palatino Linotype"/>
          <w:i/>
          <w:color w:val="000000" w:themeColor="text1"/>
          <w:sz w:val="24"/>
          <w:szCs w:val="24"/>
        </w:rPr>
      </w:pPr>
    </w:p>
    <w:p w:rsidR="00F04191" w:rsidRPr="00905D0F" w:rsidRDefault="00905D0F" w:rsidP="00165F17">
      <w:pPr>
        <w:pStyle w:val="Prrafodelista"/>
        <w:numPr>
          <w:ilvl w:val="0"/>
          <w:numId w:val="2"/>
        </w:numPr>
        <w:spacing w:line="276" w:lineRule="auto"/>
        <w:ind w:left="1134" w:right="49"/>
        <w:jc w:val="both"/>
        <w:rPr>
          <w:rFonts w:ascii="Palatino Linotype" w:hAnsi="Palatino Linotype"/>
          <w:i/>
          <w:color w:val="000000" w:themeColor="text1"/>
        </w:rPr>
      </w:pPr>
      <w:bookmarkStart w:id="128" w:name="_Toc53584977"/>
      <w:bookmarkStart w:id="129" w:name="_Toc60925404"/>
      <w:bookmarkStart w:id="130" w:name="_Toc81364834"/>
      <w:bookmarkStart w:id="131" w:name="_Toc81390611"/>
      <w:bookmarkStart w:id="132" w:name="_Toc82611034"/>
      <w:bookmarkStart w:id="133" w:name="_Toc83128577"/>
      <w:r w:rsidRPr="00905D0F">
        <w:rPr>
          <w:rStyle w:val="Ttulo2Car"/>
          <w:rFonts w:ascii="Palatino Linotype" w:hAnsi="Palatino Linotype"/>
          <w:b/>
          <w:color w:val="000000" w:themeColor="text1"/>
          <w:sz w:val="24"/>
          <w:szCs w:val="24"/>
        </w:rPr>
        <w:t>RAZONES O MOTIVOS DE INCONFORMIDAD</w:t>
      </w:r>
      <w:r w:rsidR="00F04191" w:rsidRPr="00905D0F">
        <w:rPr>
          <w:rStyle w:val="Ttulo2Car"/>
          <w:rFonts w:ascii="Palatino Linotype" w:hAnsi="Palatino Linotype"/>
          <w:b/>
          <w:color w:val="000000" w:themeColor="text1"/>
          <w:sz w:val="24"/>
          <w:szCs w:val="24"/>
        </w:rPr>
        <w:t>:</w:t>
      </w:r>
      <w:bookmarkEnd w:id="69"/>
      <w:bookmarkEnd w:id="128"/>
      <w:bookmarkEnd w:id="129"/>
      <w:bookmarkEnd w:id="130"/>
      <w:bookmarkEnd w:id="131"/>
      <w:bookmarkEnd w:id="132"/>
      <w:bookmarkEnd w:id="133"/>
      <w:r w:rsidR="00F04191" w:rsidRPr="00905D0F">
        <w:rPr>
          <w:rFonts w:ascii="Palatino Linotype" w:hAnsi="Palatino Linotype"/>
          <w:b/>
          <w:color w:val="000000" w:themeColor="text1"/>
        </w:rPr>
        <w:t xml:space="preserve">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00F04191" w:rsidRPr="00905D0F">
        <w:rPr>
          <w:rFonts w:ascii="Palatino Linotype" w:hAnsi="Palatino Linotype"/>
          <w:b/>
          <w:color w:val="000000" w:themeColor="text1"/>
        </w:rPr>
        <w:t>“</w:t>
      </w:r>
      <w:r w:rsidR="008B1534" w:rsidRPr="00905D0F">
        <w:rPr>
          <w:rFonts w:ascii="Palatino Linotype" w:eastAsiaTheme="majorEastAsia" w:hAnsi="Palatino Linotype" w:cstheme="majorBidi"/>
          <w:i/>
          <w:color w:val="000000" w:themeColor="text1"/>
          <w:lang w:val="es-MX"/>
        </w:rPr>
        <w:t>No entrega la información completa y debe ser pública</w:t>
      </w:r>
      <w:r w:rsidR="00F04191" w:rsidRPr="00905D0F">
        <w:rPr>
          <w:rFonts w:ascii="Palatino Linotype" w:eastAsiaTheme="majorEastAsia" w:hAnsi="Palatino Linotype" w:cstheme="majorBidi"/>
          <w:i/>
          <w:color w:val="000000" w:themeColor="text1"/>
          <w:lang w:val="es-MX"/>
        </w:rPr>
        <w:t>”</w:t>
      </w:r>
    </w:p>
    <w:p w:rsidR="00F04191" w:rsidRPr="00905D0F" w:rsidRDefault="00F04191" w:rsidP="00165F17">
      <w:pPr>
        <w:pStyle w:val="Prrafodelista"/>
        <w:ind w:right="-518"/>
        <w:rPr>
          <w:rFonts w:ascii="Palatino Linotype" w:hAnsi="Palatino Linotype"/>
          <w:i/>
          <w:color w:val="000000" w:themeColor="text1"/>
        </w:rPr>
      </w:pPr>
    </w:p>
    <w:p w:rsidR="00F04191" w:rsidRPr="00905D0F" w:rsidRDefault="00905D0F" w:rsidP="00165F17">
      <w:pPr>
        <w:pStyle w:val="Prrafodelista"/>
        <w:numPr>
          <w:ilvl w:val="0"/>
          <w:numId w:val="1"/>
        </w:numPr>
        <w:spacing w:line="360" w:lineRule="auto"/>
        <w:ind w:left="0" w:right="-518" w:firstLine="0"/>
        <w:jc w:val="both"/>
        <w:rPr>
          <w:rFonts w:ascii="Palatino Linotype" w:hAnsi="Palatino Linotype"/>
          <w:i/>
        </w:rPr>
      </w:pPr>
      <w:r>
        <w:rPr>
          <w:rFonts w:ascii="Palatino Linotype" w:eastAsia="Calibri" w:hAnsi="Palatino Linotype" w:cs="Arial"/>
          <w:lang w:val="es-ES"/>
        </w:rPr>
        <w:lastRenderedPageBreak/>
        <w:t>La Comisionada p</w:t>
      </w:r>
      <w:r w:rsidR="00F04191" w:rsidRPr="00905D0F">
        <w:rPr>
          <w:rFonts w:ascii="Palatino Linotype" w:eastAsia="Calibri" w:hAnsi="Palatino Linotype" w:cs="Arial"/>
          <w:lang w:val="es-ES"/>
        </w:rPr>
        <w:t>onente con fundamento en lo dispuesto por el artículo 185 fracción II de la ley de la materia, a través del acuerdo de admisión notificado el</w:t>
      </w:r>
      <w:r w:rsidR="00F04191" w:rsidRPr="00905D0F">
        <w:rPr>
          <w:rFonts w:ascii="Palatino Linotype" w:eastAsia="Calibri" w:hAnsi="Palatino Linotype" w:cs="Arial"/>
          <w:b/>
          <w:lang w:val="es-ES"/>
        </w:rPr>
        <w:t xml:space="preserve"> </w:t>
      </w:r>
      <w:r w:rsidR="008B1534" w:rsidRPr="00905D0F">
        <w:rPr>
          <w:rFonts w:ascii="Palatino Linotype" w:eastAsia="Calibri" w:hAnsi="Palatino Linotype" w:cs="Arial"/>
          <w:b/>
          <w:lang w:val="es-ES"/>
        </w:rPr>
        <w:t>veintiuno de agosto</w:t>
      </w:r>
      <w:r w:rsidR="00F04191" w:rsidRPr="00905D0F">
        <w:rPr>
          <w:rFonts w:ascii="Palatino Linotype" w:eastAsia="Calibri" w:hAnsi="Palatino Linotype" w:cs="Arial"/>
          <w:b/>
          <w:lang w:val="es-ES"/>
        </w:rPr>
        <w:t xml:space="preserve"> de dos mil veinticinco</w:t>
      </w:r>
      <w:r w:rsidR="00F04191" w:rsidRPr="00905D0F">
        <w:rPr>
          <w:rFonts w:ascii="Palatino Linotype" w:eastAsia="Calibri" w:hAnsi="Palatino Linotype" w:cs="Arial"/>
          <w:lang w:val="es-ES"/>
        </w:rPr>
        <w:t xml:space="preserve">, puso a disposición de las partes el expediente electrónico </w:t>
      </w:r>
      <w:r w:rsidR="00F04191" w:rsidRPr="00905D0F">
        <w:rPr>
          <w:rFonts w:ascii="Palatino Linotype" w:eastAsia="Calibri" w:hAnsi="Palatino Linotype" w:cs="Arial"/>
        </w:rPr>
        <w:t xml:space="preserve">vía </w:t>
      </w:r>
      <w:r w:rsidR="00F04191" w:rsidRPr="00905D0F">
        <w:rPr>
          <w:rFonts w:ascii="Palatino Linotype" w:eastAsia="Calibri" w:hAnsi="Palatino Linotype" w:cs="Arial"/>
          <w:b/>
          <w:lang w:val="es-ES"/>
        </w:rPr>
        <w:t xml:space="preserve">SAIMEX </w:t>
      </w:r>
      <w:r w:rsidR="00F04191" w:rsidRPr="00905D0F">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00F04191" w:rsidRPr="00905D0F">
        <w:rPr>
          <w:rFonts w:ascii="Palatino Linotype" w:eastAsia="Calibri" w:hAnsi="Palatino Linotype" w:cs="Arial"/>
          <w:b/>
          <w:lang w:val="es-ES"/>
        </w:rPr>
        <w:t>SUJETO OBLIGADO</w:t>
      </w:r>
      <w:r w:rsidR="00F04191" w:rsidRPr="00905D0F">
        <w:rPr>
          <w:rFonts w:ascii="Palatino Linotype" w:eastAsia="Calibri" w:hAnsi="Palatino Linotype" w:cs="Arial"/>
          <w:lang w:val="es-ES"/>
        </w:rPr>
        <w:t xml:space="preserve"> presentará el Informe Justificado procedente.</w:t>
      </w:r>
    </w:p>
    <w:p w:rsidR="00F04191" w:rsidRPr="00905D0F" w:rsidRDefault="00F04191" w:rsidP="00165F17">
      <w:pPr>
        <w:ind w:right="-518"/>
        <w:rPr>
          <w:sz w:val="24"/>
          <w:szCs w:val="24"/>
          <w:lang w:val="es-ES_tradnl" w:eastAsia="es-ES"/>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rPr>
      </w:pPr>
      <w:r w:rsidRPr="00905D0F">
        <w:rPr>
          <w:rFonts w:ascii="Palatino Linotype" w:hAnsi="Palatino Linotype"/>
          <w:color w:val="000000"/>
        </w:rPr>
        <w:t xml:space="preserve">El </w:t>
      </w:r>
      <w:r w:rsidRPr="00905D0F">
        <w:rPr>
          <w:rFonts w:ascii="Palatino Linotype" w:hAnsi="Palatino Linotype"/>
          <w:b/>
          <w:color w:val="000000"/>
        </w:rPr>
        <w:t xml:space="preserve">SUJETO OBLIGADO, </w:t>
      </w:r>
      <w:r w:rsidRPr="00905D0F">
        <w:rPr>
          <w:rFonts w:ascii="Palatino Linotype" w:hAnsi="Palatino Linotype"/>
          <w:color w:val="000000"/>
        </w:rPr>
        <w:t xml:space="preserve">el </w:t>
      </w:r>
      <w:r w:rsidR="008B1534" w:rsidRPr="00905D0F">
        <w:rPr>
          <w:rFonts w:ascii="Palatino Linotype" w:hAnsi="Palatino Linotype"/>
          <w:b/>
          <w:color w:val="000000"/>
        </w:rPr>
        <w:t>primero y el doce de septiembre</w:t>
      </w:r>
      <w:r w:rsidRPr="00905D0F">
        <w:rPr>
          <w:rFonts w:ascii="Palatino Linotype" w:hAnsi="Palatino Linotype"/>
          <w:b/>
          <w:color w:val="000000"/>
        </w:rPr>
        <w:t xml:space="preserve"> de dos mil veinticinco, </w:t>
      </w:r>
      <w:r w:rsidRPr="00905D0F">
        <w:rPr>
          <w:rFonts w:ascii="Palatino Linotype" w:hAnsi="Palatino Linotype"/>
          <w:color w:val="000000"/>
        </w:rPr>
        <w:t>rindió informe justificado a través de los archivos siguientes:</w:t>
      </w:r>
    </w:p>
    <w:p w:rsidR="008B1534" w:rsidRPr="00905D0F" w:rsidRDefault="008B1534" w:rsidP="00165F17">
      <w:pPr>
        <w:pStyle w:val="Prrafodelista"/>
        <w:numPr>
          <w:ilvl w:val="0"/>
          <w:numId w:val="18"/>
        </w:numPr>
        <w:ind w:left="709" w:right="191"/>
        <w:jc w:val="both"/>
        <w:rPr>
          <w:rFonts w:ascii="Palatino Linotype" w:hAnsi="Palatino Linotype"/>
        </w:rPr>
      </w:pPr>
      <w:r w:rsidRPr="00905D0F">
        <w:rPr>
          <w:rFonts w:ascii="Palatino Linotype" w:hAnsi="Palatino Linotype"/>
          <w:b/>
        </w:rPr>
        <w:t xml:space="preserve">ANEXOS 09843-2025.pdf: </w:t>
      </w:r>
      <w:r w:rsidRPr="00905D0F">
        <w:rPr>
          <w:rFonts w:ascii="Palatino Linotype" w:hAnsi="Palatino Linotype"/>
        </w:rPr>
        <w:t>Informe Justificado firmado por la Directora General, por el que ratifico su respuesta primigenia.</w:t>
      </w:r>
    </w:p>
    <w:p w:rsidR="008B1534" w:rsidRPr="00905D0F" w:rsidRDefault="008B1534" w:rsidP="00165F17">
      <w:pPr>
        <w:pStyle w:val="Prrafodelista"/>
        <w:numPr>
          <w:ilvl w:val="0"/>
          <w:numId w:val="18"/>
        </w:numPr>
        <w:ind w:left="709" w:right="191"/>
        <w:jc w:val="both"/>
        <w:rPr>
          <w:rFonts w:ascii="Palatino Linotype" w:hAnsi="Palatino Linotype"/>
        </w:rPr>
      </w:pPr>
      <w:r w:rsidRPr="00905D0F">
        <w:rPr>
          <w:rFonts w:ascii="Palatino Linotype" w:hAnsi="Palatino Linotype"/>
          <w:b/>
        </w:rPr>
        <w:t xml:space="preserve">Ratificación 09843.pdf: </w:t>
      </w:r>
      <w:r w:rsidRPr="00905D0F">
        <w:rPr>
          <w:rFonts w:ascii="Palatino Linotype" w:hAnsi="Palatino Linotype"/>
        </w:rPr>
        <w:t xml:space="preserve">Oficio firmado por el Titular de la Unidad de Transparencia, por el que informo que, </w:t>
      </w:r>
      <w:r w:rsidRPr="00905D0F">
        <w:rPr>
          <w:rFonts w:ascii="Palatino Linotype" w:hAnsi="Palatino Linotype"/>
          <w:i/>
        </w:rPr>
        <w:t xml:space="preserve">se ratifica la respuesta emitida por </w:t>
      </w:r>
      <w:r w:rsidRPr="00905D0F">
        <w:rPr>
          <w:rFonts w:ascii="Palatino Linotype" w:hAnsi="Palatino Linotype"/>
          <w:b/>
          <w:bCs/>
          <w:i/>
        </w:rPr>
        <w:t xml:space="preserve">la DIRECCIÓN GENERAL DE DESARROLLO ECONÓMICO, la DIRECCIÓN GENERAL DE GOBIERNO y los Servidores Públicos Habilitados </w:t>
      </w:r>
      <w:r w:rsidRPr="00905D0F">
        <w:rPr>
          <w:rFonts w:ascii="Palatino Linotype" w:hAnsi="Palatino Linotype"/>
          <w:i/>
        </w:rPr>
        <w:t xml:space="preserve">del </w:t>
      </w:r>
      <w:r w:rsidRPr="00905D0F">
        <w:rPr>
          <w:rFonts w:ascii="Palatino Linotype" w:hAnsi="Palatino Linotype"/>
          <w:b/>
          <w:bCs/>
          <w:i/>
        </w:rPr>
        <w:t xml:space="preserve">16 julio de 2025, </w:t>
      </w:r>
      <w:r w:rsidRPr="00905D0F">
        <w:rPr>
          <w:rFonts w:ascii="Palatino Linotype" w:hAnsi="Palatino Linotype"/>
          <w:i/>
        </w:rPr>
        <w:t xml:space="preserve">a la solicitud </w:t>
      </w:r>
      <w:r w:rsidRPr="00905D0F">
        <w:rPr>
          <w:rFonts w:ascii="Palatino Linotype" w:hAnsi="Palatino Linotype"/>
          <w:b/>
          <w:bCs/>
          <w:i/>
        </w:rPr>
        <w:t xml:space="preserve">03670/TOLUCA/IP/2025, </w:t>
      </w:r>
      <w:r w:rsidRPr="00905D0F">
        <w:rPr>
          <w:rFonts w:ascii="Palatino Linotype" w:hAnsi="Palatino Linotype"/>
          <w:i/>
        </w:rPr>
        <w:t>relacionada con</w:t>
      </w:r>
      <w:r w:rsidRPr="00905D0F">
        <w:rPr>
          <w:rFonts w:ascii="Palatino Linotype" w:hAnsi="Palatino Linotype"/>
          <w:b/>
          <w:bCs/>
          <w:i/>
        </w:rPr>
        <w:t xml:space="preserve"> </w:t>
      </w:r>
      <w:r w:rsidRPr="00905D0F">
        <w:rPr>
          <w:rFonts w:ascii="Palatino Linotype" w:hAnsi="Palatino Linotype"/>
          <w:i/>
        </w:rPr>
        <w:t xml:space="preserve">el </w:t>
      </w:r>
      <w:r w:rsidRPr="00905D0F">
        <w:rPr>
          <w:rFonts w:ascii="Palatino Linotype" w:hAnsi="Palatino Linotype"/>
          <w:b/>
          <w:bCs/>
          <w:i/>
        </w:rPr>
        <w:t>Recurso de Revisión 09843/INFOEM/IP/RR/2025.</w:t>
      </w:r>
    </w:p>
    <w:p w:rsidR="008B1534" w:rsidRPr="00905D0F" w:rsidRDefault="008B1534" w:rsidP="00165F17">
      <w:pPr>
        <w:pStyle w:val="Prrafodelista"/>
        <w:numPr>
          <w:ilvl w:val="0"/>
          <w:numId w:val="18"/>
        </w:numPr>
        <w:ind w:left="709" w:right="191"/>
        <w:jc w:val="both"/>
        <w:rPr>
          <w:rFonts w:ascii="Palatino Linotype" w:hAnsi="Palatino Linotype"/>
        </w:rPr>
      </w:pPr>
      <w:r w:rsidRPr="00905D0F">
        <w:rPr>
          <w:rFonts w:ascii="Palatino Linotype" w:hAnsi="Palatino Linotype"/>
          <w:b/>
        </w:rPr>
        <w:t xml:space="preserve">ACTA 866-2025.pdf: </w:t>
      </w:r>
      <w:r w:rsidRPr="00905D0F">
        <w:rPr>
          <w:rFonts w:ascii="Palatino Linotype" w:hAnsi="Palatino Linotype"/>
        </w:rPr>
        <w:t>Acta de la Octingentésima Sexagésima Sexta Sesión Ordinaria 2025 del Comité de Transparencia Número CT/SE/866/2025, la cual se advierte no corresponde a la solicitud de información que nos ocupa.</w:t>
      </w:r>
    </w:p>
    <w:p w:rsidR="008B1534" w:rsidRPr="00905D0F" w:rsidRDefault="008B1534" w:rsidP="00165F17">
      <w:pPr>
        <w:pStyle w:val="Prrafodelista"/>
        <w:numPr>
          <w:ilvl w:val="0"/>
          <w:numId w:val="18"/>
        </w:numPr>
        <w:ind w:left="709" w:right="191"/>
        <w:jc w:val="both"/>
        <w:rPr>
          <w:rFonts w:ascii="Palatino Linotype" w:hAnsi="Palatino Linotype"/>
        </w:rPr>
      </w:pPr>
      <w:r w:rsidRPr="00905D0F">
        <w:rPr>
          <w:rFonts w:ascii="Palatino Linotype" w:hAnsi="Palatino Linotype"/>
          <w:b/>
        </w:rPr>
        <w:t xml:space="preserve">ANEXOS 09843-2025_1.pdf: </w:t>
      </w:r>
      <w:r w:rsidRPr="00905D0F">
        <w:rPr>
          <w:rFonts w:ascii="Palatino Linotype" w:hAnsi="Palatino Linotype"/>
        </w:rPr>
        <w:t>Informe Justificado firmado por la Directora General, por el que ratifico su respuesta primigenia.</w:t>
      </w:r>
    </w:p>
    <w:p w:rsidR="00F04191" w:rsidRPr="00905D0F" w:rsidRDefault="00F04191" w:rsidP="00165F17">
      <w:pPr>
        <w:ind w:right="-518"/>
        <w:jc w:val="both"/>
        <w:rPr>
          <w:rFonts w:ascii="Palatino Linotype" w:hAnsi="Palatino Linotype"/>
          <w:b/>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rPr>
      </w:pPr>
      <w:r w:rsidRPr="00905D0F">
        <w:rPr>
          <w:rFonts w:ascii="Palatino Linotype" w:eastAsia="Calibri" w:hAnsi="Palatino Linotype" w:cs="Arial"/>
          <w:lang w:val="es-ES"/>
        </w:rPr>
        <w:t xml:space="preserve">El </w:t>
      </w:r>
      <w:r w:rsidRPr="00905D0F">
        <w:rPr>
          <w:rFonts w:ascii="Palatino Linotype" w:hAnsi="Palatino Linotype"/>
          <w:b/>
          <w:color w:val="000000"/>
        </w:rPr>
        <w:t xml:space="preserve">PARTICULAR </w:t>
      </w:r>
      <w:r w:rsidRPr="00905D0F">
        <w:rPr>
          <w:rFonts w:ascii="Palatino Linotype" w:hAnsi="Palatino Linotype"/>
          <w:color w:val="000000"/>
        </w:rPr>
        <w:t>fue omiso en realizar manifestación alguna que a su derecho conviniera.</w:t>
      </w:r>
    </w:p>
    <w:p w:rsidR="00905D0F" w:rsidRPr="00905D0F" w:rsidRDefault="00905D0F" w:rsidP="00905D0F">
      <w:pPr>
        <w:pStyle w:val="Prrafodelista"/>
        <w:spacing w:line="360" w:lineRule="auto"/>
        <w:ind w:left="0" w:right="-518"/>
        <w:jc w:val="both"/>
        <w:rPr>
          <w:rFonts w:ascii="Palatino Linotype" w:hAnsi="Palatino Linotype"/>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b/>
          <w:color w:val="000000" w:themeColor="text1"/>
        </w:rPr>
      </w:pPr>
      <w:r w:rsidRPr="00905D0F">
        <w:rPr>
          <w:rFonts w:ascii="Palatino Linotype" w:hAnsi="Palatino Linotype"/>
        </w:rPr>
        <w:t xml:space="preserve">El </w:t>
      </w:r>
      <w:r w:rsidR="008B1534" w:rsidRPr="00905D0F">
        <w:rPr>
          <w:rFonts w:ascii="Palatino Linotype" w:hAnsi="Palatino Linotype"/>
          <w:b/>
        </w:rPr>
        <w:t xml:space="preserve">veintiséis </w:t>
      </w:r>
      <w:r w:rsidRPr="00905D0F">
        <w:rPr>
          <w:rFonts w:ascii="Palatino Linotype" w:hAnsi="Palatino Linotype"/>
          <w:b/>
        </w:rPr>
        <w:t>de enero de dos mil veinticinco,</w:t>
      </w:r>
      <w:r w:rsidRPr="00905D0F">
        <w:rPr>
          <w:rFonts w:ascii="Palatino Linotype" w:hAnsi="Palatino Linotype"/>
        </w:rPr>
        <w:t xml:space="preserve"> se amplió el término para resolver el recurso de revisión que nos ocupa.</w:t>
      </w:r>
    </w:p>
    <w:p w:rsidR="00F04191" w:rsidRPr="00905D0F" w:rsidRDefault="00F04191" w:rsidP="00165F17">
      <w:pPr>
        <w:pStyle w:val="Prrafodelista"/>
        <w:spacing w:line="360" w:lineRule="auto"/>
        <w:ind w:left="0" w:right="-518"/>
        <w:jc w:val="both"/>
        <w:rPr>
          <w:rFonts w:ascii="Palatino Linotype" w:hAnsi="Palatino Linotype"/>
          <w:b/>
          <w:color w:val="000000" w:themeColor="text1"/>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b/>
          <w:color w:val="000000" w:themeColor="text1"/>
        </w:rPr>
      </w:pPr>
      <w:r w:rsidRPr="00905D0F">
        <w:rPr>
          <w:rFonts w:ascii="Palatino Linotype" w:hAnsi="Palatino Linotype"/>
        </w:rPr>
        <w:lastRenderedPageBreak/>
        <w:t xml:space="preserve">Mediante </w:t>
      </w:r>
      <w:r w:rsidRPr="00905D0F">
        <w:rPr>
          <w:rFonts w:ascii="Palatino Linotype" w:hAnsi="Palatino Linotype"/>
          <w:color w:val="000000"/>
        </w:rPr>
        <w:t>acuerdo</w:t>
      </w:r>
      <w:r w:rsidRPr="00905D0F">
        <w:rPr>
          <w:rFonts w:ascii="Palatino Linotype" w:hAnsi="Palatino Linotype"/>
        </w:rPr>
        <w:t xml:space="preserve"> de </w:t>
      </w:r>
      <w:r w:rsidR="008B1534" w:rsidRPr="00905D0F">
        <w:rPr>
          <w:rFonts w:ascii="Palatino Linotype" w:hAnsi="Palatino Linotype"/>
          <w:b/>
        </w:rPr>
        <w:t>cuatro de marzo</w:t>
      </w:r>
      <w:r w:rsidRPr="00905D0F">
        <w:rPr>
          <w:rFonts w:ascii="Palatino Linotype" w:hAnsi="Palatino Linotype"/>
          <w:b/>
        </w:rPr>
        <w:t xml:space="preserve"> de dos mil veintiséis, </w:t>
      </w:r>
      <w:r w:rsidRPr="00905D0F">
        <w:rPr>
          <w:rFonts w:ascii="Palatino Linotype" w:hAnsi="Palatino Linotype"/>
        </w:rPr>
        <w:t xml:space="preserve">se  decretó el cierre de instrucción, </w:t>
      </w:r>
      <w:r w:rsidRPr="00905D0F">
        <w:rPr>
          <w:rFonts w:ascii="Palatino Linotype" w:hAnsi="Palatino Linotype" w:cs="Arial"/>
        </w:rPr>
        <w:t>por lo que no ha</w:t>
      </w:r>
      <w:bookmarkStart w:id="134" w:name="_Toc491791302"/>
      <w:bookmarkStart w:id="135" w:name="_Toc83128578"/>
      <w:r w:rsidRPr="00905D0F">
        <w:rPr>
          <w:rFonts w:ascii="Palatino Linotype" w:hAnsi="Palatino Linotype" w:cs="Arial"/>
        </w:rPr>
        <w:t>biendo más que hacer constar, y</w:t>
      </w:r>
    </w:p>
    <w:p w:rsidR="00F04191" w:rsidRPr="00905D0F" w:rsidRDefault="00F04191" w:rsidP="00165F17">
      <w:pPr>
        <w:pStyle w:val="Prrafodelista"/>
        <w:spacing w:line="360" w:lineRule="auto"/>
        <w:ind w:left="0" w:right="-518"/>
        <w:rPr>
          <w:rFonts w:ascii="Palatino Linotype" w:hAnsi="Palatino Linotype"/>
          <w:b/>
          <w:color w:val="000000" w:themeColor="text1"/>
        </w:rPr>
      </w:pPr>
    </w:p>
    <w:p w:rsidR="00F04191" w:rsidRPr="00905D0F" w:rsidRDefault="00F04191" w:rsidP="00165F17">
      <w:pPr>
        <w:pStyle w:val="Prrafodelista"/>
        <w:spacing w:line="360" w:lineRule="auto"/>
        <w:ind w:left="0" w:right="-518"/>
        <w:jc w:val="center"/>
        <w:rPr>
          <w:rFonts w:ascii="Palatino Linotype" w:hAnsi="Palatino Linotype"/>
          <w:b/>
          <w:color w:val="000000" w:themeColor="text1"/>
        </w:rPr>
      </w:pPr>
      <w:r w:rsidRPr="00905D0F">
        <w:rPr>
          <w:rFonts w:ascii="Palatino Linotype" w:hAnsi="Palatino Linotype"/>
          <w:b/>
          <w:color w:val="000000" w:themeColor="text1"/>
        </w:rPr>
        <w:t>C</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O</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N</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S</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I</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D</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E</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R</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A</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N</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D</w:t>
      </w:r>
      <w:r w:rsidR="00905D0F">
        <w:rPr>
          <w:rFonts w:ascii="Palatino Linotype" w:hAnsi="Palatino Linotype"/>
          <w:b/>
          <w:color w:val="000000" w:themeColor="text1"/>
        </w:rPr>
        <w:t xml:space="preserve"> </w:t>
      </w:r>
      <w:r w:rsidRPr="00905D0F">
        <w:rPr>
          <w:rFonts w:ascii="Palatino Linotype" w:hAnsi="Palatino Linotype"/>
          <w:b/>
          <w:color w:val="000000" w:themeColor="text1"/>
        </w:rPr>
        <w:t>O</w:t>
      </w:r>
      <w:bookmarkEnd w:id="134"/>
      <w:bookmarkEnd w:id="135"/>
      <w:r w:rsidR="00905D0F">
        <w:rPr>
          <w:rFonts w:ascii="Palatino Linotype" w:hAnsi="Palatino Linotype"/>
          <w:b/>
          <w:color w:val="000000" w:themeColor="text1"/>
        </w:rPr>
        <w:t xml:space="preserve"> </w:t>
      </w:r>
    </w:p>
    <w:p w:rsidR="00F04191" w:rsidRPr="00905D0F" w:rsidRDefault="00F04191" w:rsidP="00165F17">
      <w:pPr>
        <w:pStyle w:val="Prrafodelista"/>
        <w:spacing w:line="360" w:lineRule="auto"/>
        <w:ind w:left="0" w:right="-518"/>
        <w:jc w:val="center"/>
        <w:rPr>
          <w:rFonts w:ascii="Palatino Linotype" w:hAnsi="Palatino Linotype"/>
          <w:b/>
          <w:color w:val="000000" w:themeColor="text1"/>
        </w:rPr>
      </w:pPr>
    </w:p>
    <w:p w:rsidR="00F04191" w:rsidRPr="00905D0F" w:rsidRDefault="00F04191" w:rsidP="00165F17">
      <w:pPr>
        <w:pStyle w:val="Ttulo2"/>
        <w:spacing w:before="0" w:line="360" w:lineRule="auto"/>
        <w:ind w:right="-518"/>
        <w:rPr>
          <w:rFonts w:ascii="Palatino Linotype" w:hAnsi="Palatino Linotype"/>
          <w:b/>
          <w:color w:val="auto"/>
          <w:sz w:val="24"/>
          <w:szCs w:val="24"/>
        </w:rPr>
      </w:pPr>
      <w:bookmarkStart w:id="136" w:name="_Toc491791303"/>
      <w:bookmarkStart w:id="137" w:name="_Toc83128579"/>
      <w:r w:rsidRPr="00905D0F">
        <w:rPr>
          <w:rFonts w:ascii="Palatino Linotype" w:hAnsi="Palatino Linotype"/>
          <w:b/>
          <w:color w:val="auto"/>
          <w:sz w:val="24"/>
          <w:szCs w:val="24"/>
        </w:rPr>
        <w:t>PRIMERO. De la competencia</w:t>
      </w:r>
      <w:bookmarkEnd w:id="136"/>
      <w:bookmarkEnd w:id="137"/>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rPr>
      </w:pPr>
      <w:r w:rsidRPr="00905D0F">
        <w:rPr>
          <w:rFonts w:ascii="Palatino Linotype" w:hAnsi="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F04191" w:rsidRPr="00905D0F" w:rsidRDefault="00F04191" w:rsidP="00165F17">
      <w:pPr>
        <w:pStyle w:val="Prrafodelista"/>
        <w:spacing w:line="360" w:lineRule="auto"/>
        <w:ind w:left="0" w:right="-518"/>
        <w:jc w:val="both"/>
        <w:rPr>
          <w:rFonts w:ascii="Palatino Linotype" w:hAnsi="Palatino Linotype"/>
        </w:rPr>
      </w:pPr>
    </w:p>
    <w:p w:rsidR="00F04191" w:rsidRPr="00905D0F" w:rsidRDefault="00F04191" w:rsidP="00165F17">
      <w:pPr>
        <w:pStyle w:val="Ttulo2"/>
        <w:spacing w:before="0" w:line="360" w:lineRule="auto"/>
        <w:ind w:right="-518"/>
        <w:rPr>
          <w:rFonts w:ascii="Palatino Linotype" w:hAnsi="Palatino Linotype"/>
          <w:b/>
          <w:color w:val="auto"/>
          <w:sz w:val="24"/>
          <w:szCs w:val="24"/>
        </w:rPr>
      </w:pPr>
      <w:bookmarkStart w:id="138" w:name="_Toc491791304"/>
      <w:bookmarkStart w:id="139" w:name="_Toc83128580"/>
      <w:r w:rsidRPr="00905D0F">
        <w:rPr>
          <w:rFonts w:ascii="Palatino Linotype" w:hAnsi="Palatino Linotype"/>
          <w:b/>
          <w:color w:val="auto"/>
          <w:sz w:val="24"/>
          <w:szCs w:val="24"/>
        </w:rPr>
        <w:t>SEGUNDO. De la oportunidad y procedencia.</w:t>
      </w:r>
      <w:bookmarkEnd w:id="138"/>
      <w:bookmarkEnd w:id="139"/>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rPr>
      </w:pPr>
      <w:r w:rsidRPr="00905D0F">
        <w:rPr>
          <w:rFonts w:ascii="Palatino Linotype" w:eastAsia="Calibri" w:hAnsi="Palatino Linotype" w:cs="Arial"/>
        </w:rPr>
        <w:t xml:space="preserve">El medio de impugnación fue presentado a través del </w:t>
      </w:r>
      <w:r w:rsidRPr="00905D0F">
        <w:rPr>
          <w:rFonts w:ascii="Palatino Linotype" w:eastAsia="Calibri" w:hAnsi="Palatino Linotype" w:cs="Arial"/>
          <w:b/>
        </w:rPr>
        <w:t>SAIMEX,</w:t>
      </w:r>
      <w:r w:rsidRPr="00905D0F">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905D0F">
        <w:rPr>
          <w:rFonts w:ascii="Palatino Linotype" w:eastAsia="Calibri" w:hAnsi="Palatino Linotype" w:cs="Arial"/>
          <w:b/>
        </w:rPr>
        <w:t>SUJETO OBLIGADO</w:t>
      </w:r>
      <w:r w:rsidRPr="00905D0F">
        <w:rPr>
          <w:rFonts w:ascii="Palatino Linotype" w:eastAsia="Calibri" w:hAnsi="Palatino Linotype" w:cs="Arial"/>
        </w:rPr>
        <w:t xml:space="preserve"> dio respuesta el </w:t>
      </w:r>
      <w:r w:rsidR="008B1534" w:rsidRPr="00905D0F">
        <w:rPr>
          <w:rFonts w:ascii="Palatino Linotype" w:eastAsia="Calibri" w:hAnsi="Palatino Linotype" w:cs="Arial"/>
          <w:b/>
        </w:rPr>
        <w:t>dieciséis de julio</w:t>
      </w:r>
      <w:r w:rsidRPr="00905D0F">
        <w:rPr>
          <w:rFonts w:ascii="Palatino Linotype" w:eastAsia="Calibri" w:hAnsi="Palatino Linotype" w:cs="Arial"/>
          <w:b/>
        </w:rPr>
        <w:t xml:space="preserve"> de dos mil veinticinco</w:t>
      </w:r>
      <w:r w:rsidRPr="00905D0F">
        <w:rPr>
          <w:rFonts w:ascii="Palatino Linotype" w:eastAsia="Calibri" w:hAnsi="Palatino Linotype" w:cs="Arial"/>
        </w:rPr>
        <w:t xml:space="preserve">, </w:t>
      </w:r>
      <w:r w:rsidRPr="00905D0F">
        <w:rPr>
          <w:rFonts w:ascii="Palatino Linotype" w:hAnsi="Palatino Linotype" w:cs="Arial"/>
        </w:rPr>
        <w:t>de tal forma que el plazo para interponer el recurso de revisión transcurrió del</w:t>
      </w:r>
      <w:r w:rsidRPr="00905D0F">
        <w:rPr>
          <w:rFonts w:ascii="Palatino Linotype" w:hAnsi="Palatino Linotype" w:cs="Arial"/>
          <w:b/>
        </w:rPr>
        <w:t xml:space="preserve"> </w:t>
      </w:r>
      <w:r w:rsidR="008B1534" w:rsidRPr="00905D0F">
        <w:rPr>
          <w:rFonts w:ascii="Palatino Linotype" w:hAnsi="Palatino Linotype" w:cs="Arial"/>
          <w:b/>
        </w:rPr>
        <w:t>diecisiete</w:t>
      </w:r>
      <w:r w:rsidRPr="00905D0F">
        <w:rPr>
          <w:rFonts w:ascii="Palatino Linotype" w:hAnsi="Palatino Linotype" w:cs="Arial"/>
          <w:b/>
        </w:rPr>
        <w:t xml:space="preserve"> de julio</w:t>
      </w:r>
      <w:r w:rsidR="008B1534" w:rsidRPr="00905D0F">
        <w:rPr>
          <w:rFonts w:ascii="Palatino Linotype" w:hAnsi="Palatino Linotype" w:cs="Arial"/>
          <w:b/>
        </w:rPr>
        <w:t xml:space="preserve"> al veinte de agosto</w:t>
      </w:r>
      <w:r w:rsidRPr="00905D0F">
        <w:rPr>
          <w:rFonts w:ascii="Palatino Linotype" w:hAnsi="Palatino Linotype" w:cs="Arial"/>
          <w:b/>
        </w:rPr>
        <w:t xml:space="preserve"> de dos mil veinticinco</w:t>
      </w:r>
      <w:r w:rsidRPr="00905D0F">
        <w:rPr>
          <w:rFonts w:ascii="Palatino Linotype" w:hAnsi="Palatino Linotype" w:cs="Arial"/>
        </w:rPr>
        <w:t xml:space="preserve">; en consecuencia, el ahora </w:t>
      </w:r>
      <w:r w:rsidRPr="00905D0F">
        <w:rPr>
          <w:rFonts w:ascii="Palatino Linotype" w:hAnsi="Palatino Linotype" w:cs="Arial"/>
          <w:b/>
        </w:rPr>
        <w:t>RECURRENTE</w:t>
      </w:r>
      <w:r w:rsidRPr="00905D0F">
        <w:rPr>
          <w:rFonts w:ascii="Palatino Linotype" w:hAnsi="Palatino Linotype" w:cs="Arial"/>
        </w:rPr>
        <w:t xml:space="preserve"> presentó su inconformidad </w:t>
      </w:r>
      <w:r w:rsidRPr="00905D0F">
        <w:rPr>
          <w:rFonts w:ascii="Palatino Linotype" w:hAnsi="Palatino Linotype" w:cs="Arial"/>
        </w:rPr>
        <w:lastRenderedPageBreak/>
        <w:t xml:space="preserve">el </w:t>
      </w:r>
      <w:r w:rsidR="008B1534" w:rsidRPr="00905D0F">
        <w:rPr>
          <w:rFonts w:ascii="Palatino Linotype" w:hAnsi="Palatino Linotype" w:cs="Arial"/>
          <w:b/>
        </w:rPr>
        <w:t>veinte de agosto</w:t>
      </w:r>
      <w:r w:rsidRPr="00905D0F">
        <w:rPr>
          <w:rFonts w:ascii="Palatino Linotype" w:hAnsi="Palatino Linotype" w:cs="Arial"/>
          <w:b/>
        </w:rPr>
        <w:t xml:space="preserve"> de dos mil veinticinco</w:t>
      </w:r>
      <w:r w:rsidRPr="00905D0F">
        <w:rPr>
          <w:rFonts w:ascii="Palatino Linotype" w:hAnsi="Palatino Linotype" w:cs="Arial"/>
        </w:rPr>
        <w:t>; por lo que se estima que la inconformidad se presentó dentro del lapso legalmente establecido para tal efecto.</w:t>
      </w:r>
    </w:p>
    <w:p w:rsidR="00F04191" w:rsidRPr="00905D0F" w:rsidRDefault="00F04191" w:rsidP="00165F17">
      <w:pPr>
        <w:pStyle w:val="Prrafodelista"/>
        <w:spacing w:line="360" w:lineRule="auto"/>
        <w:ind w:left="0" w:right="-518"/>
        <w:jc w:val="both"/>
        <w:rPr>
          <w:rFonts w:ascii="Palatino Linotype" w:hAnsi="Palatino Linotype"/>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rPr>
      </w:pPr>
      <w:r w:rsidRPr="00905D0F">
        <w:rPr>
          <w:rFonts w:ascii="Palatino Linotype" w:hAnsi="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F04191" w:rsidRPr="00905D0F" w:rsidRDefault="00F04191" w:rsidP="00165F17">
      <w:pPr>
        <w:spacing w:line="360" w:lineRule="auto"/>
        <w:ind w:right="-518"/>
        <w:jc w:val="both"/>
        <w:rPr>
          <w:rFonts w:ascii="Palatino Linotype" w:hAnsi="Palatino Linotype"/>
          <w:sz w:val="24"/>
          <w:szCs w:val="24"/>
        </w:rPr>
      </w:pPr>
    </w:p>
    <w:p w:rsidR="00F04191" w:rsidRPr="00905D0F" w:rsidRDefault="00F04191" w:rsidP="00165F17">
      <w:pPr>
        <w:pStyle w:val="Ttulo2"/>
        <w:spacing w:before="0" w:line="360" w:lineRule="auto"/>
        <w:ind w:right="-518"/>
        <w:rPr>
          <w:color w:val="000000"/>
          <w:sz w:val="24"/>
          <w:szCs w:val="24"/>
        </w:rPr>
      </w:pPr>
      <w:r w:rsidRPr="00905D0F">
        <w:rPr>
          <w:rFonts w:ascii="Palatino Linotype" w:hAnsi="Palatino Linotype"/>
          <w:b/>
          <w:color w:val="auto"/>
          <w:sz w:val="24"/>
          <w:szCs w:val="24"/>
        </w:rPr>
        <w:t>TERCERO. Del planteamiento de la Litis.</w:t>
      </w: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b/>
          <w:color w:val="000000"/>
        </w:rPr>
      </w:pPr>
      <w:r w:rsidRPr="00905D0F">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8B1534" w:rsidRPr="00905D0F" w:rsidRDefault="008B1534" w:rsidP="000F4768">
      <w:pPr>
        <w:pStyle w:val="Prrafodelista"/>
        <w:numPr>
          <w:ilvl w:val="0"/>
          <w:numId w:val="19"/>
        </w:numPr>
        <w:pBdr>
          <w:top w:val="nil"/>
          <w:left w:val="nil"/>
          <w:bottom w:val="nil"/>
          <w:right w:val="nil"/>
          <w:between w:val="nil"/>
        </w:pBdr>
        <w:ind w:left="851" w:right="474"/>
        <w:jc w:val="both"/>
        <w:rPr>
          <w:rFonts w:ascii="Palatino Linotype" w:eastAsia="Palatino Linotype" w:hAnsi="Palatino Linotype" w:cs="Palatino Linotype"/>
        </w:rPr>
      </w:pPr>
      <w:r w:rsidRPr="00905D0F">
        <w:rPr>
          <w:rFonts w:ascii="Palatino Linotype" w:eastAsia="Palatino Linotype" w:hAnsi="Palatino Linotype" w:cs="Palatino Linotype"/>
        </w:rPr>
        <w:t>Documentación emitida para regular el comercio ambulante dentro de sus límites territoriales.</w:t>
      </w:r>
    </w:p>
    <w:p w:rsidR="008B1534" w:rsidRPr="00905D0F" w:rsidRDefault="008B1534" w:rsidP="000F4768">
      <w:pPr>
        <w:pStyle w:val="Prrafodelista"/>
        <w:numPr>
          <w:ilvl w:val="0"/>
          <w:numId w:val="19"/>
        </w:numPr>
        <w:pBdr>
          <w:top w:val="nil"/>
          <w:left w:val="nil"/>
          <w:bottom w:val="nil"/>
          <w:right w:val="nil"/>
          <w:between w:val="nil"/>
        </w:pBdr>
        <w:ind w:left="851" w:right="474"/>
        <w:jc w:val="both"/>
        <w:rPr>
          <w:rFonts w:ascii="Palatino Linotype" w:eastAsia="Palatino Linotype" w:hAnsi="Palatino Linotype" w:cs="Palatino Linotype"/>
        </w:rPr>
      </w:pPr>
      <w:r w:rsidRPr="00905D0F">
        <w:rPr>
          <w:rFonts w:ascii="Palatino Linotype" w:eastAsia="Palatino Linotype" w:hAnsi="Palatino Linotype" w:cs="Palatino Linotype"/>
        </w:rPr>
        <w:t xml:space="preserve">Licencias de funcionamiento emitidas por el sujeto obligado para la operación de negocios de venta de alimentos emitidas durante 2022 y 2025. </w:t>
      </w:r>
    </w:p>
    <w:p w:rsidR="00F04191" w:rsidRPr="00905D0F" w:rsidRDefault="008B1534" w:rsidP="000F4768">
      <w:pPr>
        <w:pStyle w:val="Prrafodelista"/>
        <w:numPr>
          <w:ilvl w:val="0"/>
          <w:numId w:val="19"/>
        </w:numPr>
        <w:pBdr>
          <w:top w:val="nil"/>
          <w:left w:val="nil"/>
          <w:bottom w:val="nil"/>
          <w:right w:val="nil"/>
          <w:between w:val="nil"/>
        </w:pBdr>
        <w:ind w:left="851" w:right="474"/>
        <w:jc w:val="both"/>
        <w:rPr>
          <w:rFonts w:ascii="Palatino Linotype" w:eastAsia="Palatino Linotype" w:hAnsi="Palatino Linotype" w:cs="Palatino Linotype"/>
        </w:rPr>
      </w:pPr>
      <w:r w:rsidRPr="00905D0F">
        <w:rPr>
          <w:rFonts w:ascii="Palatino Linotype" w:eastAsia="Palatino Linotype" w:hAnsi="Palatino Linotype" w:cs="Palatino Linotype"/>
        </w:rPr>
        <w:t>Licencias de funcionamiento emitidas para negocios, puesto o análogos para operar un negocio ambulante dentro de sus límites territoriales durante 2022 y 2025</w:t>
      </w:r>
    </w:p>
    <w:p w:rsidR="008B1534" w:rsidRPr="00905D0F" w:rsidRDefault="008B1534" w:rsidP="00165F17">
      <w:pPr>
        <w:pStyle w:val="Prrafodelista"/>
        <w:pBdr>
          <w:top w:val="nil"/>
          <w:left w:val="nil"/>
          <w:bottom w:val="nil"/>
          <w:right w:val="nil"/>
          <w:between w:val="nil"/>
        </w:pBdr>
        <w:spacing w:line="276" w:lineRule="auto"/>
        <w:ind w:right="-518"/>
        <w:jc w:val="both"/>
        <w:rPr>
          <w:rFonts w:ascii="Palatino Linotype" w:eastAsia="Palatino Linotype" w:hAnsi="Palatino Linotype" w:cs="Palatino Linotype"/>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b/>
          <w:i/>
          <w:color w:val="000000"/>
        </w:rPr>
      </w:pPr>
      <w:r w:rsidRPr="00905D0F">
        <w:rPr>
          <w:rFonts w:ascii="Palatino Linotype" w:eastAsia="Palatino Linotype" w:hAnsi="Palatino Linotype" w:cs="Palatino Linotype"/>
          <w:color w:val="000000"/>
        </w:rPr>
        <w:t xml:space="preserve">En respuesta, el </w:t>
      </w:r>
      <w:r w:rsidRPr="00905D0F">
        <w:rPr>
          <w:rFonts w:ascii="Palatino Linotype" w:eastAsia="Palatino Linotype" w:hAnsi="Palatino Linotype" w:cs="Palatino Linotype"/>
          <w:b/>
          <w:color w:val="000000"/>
        </w:rPr>
        <w:t xml:space="preserve">SUJETO OBLIGADO, </w:t>
      </w:r>
      <w:r w:rsidRPr="00905D0F">
        <w:rPr>
          <w:rFonts w:ascii="Palatino Linotype" w:eastAsia="Palatino Linotype" w:hAnsi="Palatino Linotype" w:cs="Palatino Linotype"/>
          <w:color w:val="000000"/>
        </w:rPr>
        <w:t xml:space="preserve">se pronunció como quedó referido en el numeral 2. </w:t>
      </w:r>
    </w:p>
    <w:p w:rsidR="00F04191" w:rsidRPr="00905D0F" w:rsidRDefault="00F04191" w:rsidP="00165F17">
      <w:pPr>
        <w:pStyle w:val="Prrafodelista"/>
        <w:spacing w:line="360" w:lineRule="auto"/>
        <w:ind w:left="0" w:right="-518"/>
        <w:jc w:val="both"/>
        <w:rPr>
          <w:rFonts w:ascii="Palatino Linotype" w:eastAsia="Palatino Linotype" w:hAnsi="Palatino Linotype" w:cs="Palatino Linotype"/>
          <w:b/>
          <w:i/>
          <w:color w:val="000000"/>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color w:val="000000"/>
        </w:rPr>
        <w:t xml:space="preserve">Inconforme con la respuesta proporcionada por el </w:t>
      </w:r>
      <w:r w:rsidRPr="00905D0F">
        <w:rPr>
          <w:rFonts w:ascii="Palatino Linotype" w:eastAsia="Palatino Linotype" w:hAnsi="Palatino Linotype" w:cs="Palatino Linotype"/>
          <w:b/>
          <w:color w:val="000000"/>
        </w:rPr>
        <w:t xml:space="preserve">SUJETO OBLIGADO, </w:t>
      </w:r>
      <w:r w:rsidRPr="00905D0F">
        <w:rPr>
          <w:rFonts w:ascii="Palatino Linotype" w:eastAsia="Palatino Linotype" w:hAnsi="Palatino Linotype" w:cs="Palatino Linotype"/>
        </w:rPr>
        <w:t>éste</w:t>
      </w:r>
      <w:r w:rsidRPr="00905D0F">
        <w:rPr>
          <w:rFonts w:ascii="Palatino Linotype" w:eastAsia="Palatino Linotype" w:hAnsi="Palatino Linotype" w:cs="Palatino Linotype"/>
          <w:color w:val="000000"/>
        </w:rPr>
        <w:t xml:space="preserve"> interpuso recurso de revisión arguyendo g</w:t>
      </w:r>
      <w:r w:rsidRPr="00905D0F">
        <w:rPr>
          <w:rFonts w:ascii="Palatino Linotype" w:eastAsia="Palatino Linotype" w:hAnsi="Palatino Linotype" w:cs="Palatino Linotype"/>
          <w:i/>
          <w:color w:val="000000"/>
        </w:rPr>
        <w:t xml:space="preserve">rosso modo </w:t>
      </w:r>
      <w:r w:rsidRPr="00905D0F">
        <w:rPr>
          <w:rFonts w:ascii="Palatino Linotype" w:eastAsia="Palatino Linotype" w:hAnsi="Palatino Linotype" w:cs="Palatino Linotype"/>
          <w:color w:val="000000"/>
        </w:rPr>
        <w:t>la entrega de la información de manera incompleta.</w:t>
      </w:r>
    </w:p>
    <w:p w:rsidR="00F04191" w:rsidRPr="00905D0F" w:rsidRDefault="00F04191" w:rsidP="00165F17">
      <w:pPr>
        <w:pBdr>
          <w:top w:val="nil"/>
          <w:left w:val="nil"/>
          <w:bottom w:val="nil"/>
          <w:right w:val="nil"/>
          <w:between w:val="nil"/>
        </w:pBdr>
        <w:ind w:left="567" w:right="-518"/>
        <w:jc w:val="both"/>
        <w:rPr>
          <w:rFonts w:ascii="Palatino Linotype" w:eastAsia="Palatino Linotype" w:hAnsi="Palatino Linotype" w:cs="Palatino Linotype"/>
          <w:color w:val="000000"/>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color w:val="000000"/>
        </w:rPr>
        <w:lastRenderedPageBreak/>
        <w:t xml:space="preserve">En dichas condiciones, la </w:t>
      </w:r>
      <w:r w:rsidRPr="00905D0F">
        <w:rPr>
          <w:rFonts w:ascii="Palatino Linotype" w:eastAsia="Palatino Linotype" w:hAnsi="Palatino Linotype" w:cs="Palatino Linotype"/>
          <w:i/>
          <w:color w:val="000000"/>
        </w:rPr>
        <w:t>Litis</w:t>
      </w:r>
      <w:r w:rsidRPr="00905D0F">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905D0F">
        <w:rPr>
          <w:rFonts w:ascii="Palatino Linotype" w:eastAsia="Palatino Linotype" w:hAnsi="Palatino Linotype" w:cs="Palatino Linotype"/>
          <w:b/>
          <w:color w:val="000000"/>
        </w:rPr>
        <w:t xml:space="preserve">fracción V </w:t>
      </w:r>
      <w:r w:rsidRPr="00905D0F">
        <w:rPr>
          <w:rFonts w:ascii="Palatino Linotype" w:eastAsia="Palatino Linotype" w:hAnsi="Palatino Linotype" w:cs="Palatino Linotype"/>
          <w:color w:val="000000"/>
        </w:rPr>
        <w:t>de la Ley</w:t>
      </w:r>
      <w:r w:rsidRPr="00905D0F">
        <w:rPr>
          <w:rFonts w:ascii="Palatino Linotype" w:eastAsia="Palatino Linotype" w:hAnsi="Palatino Linotype" w:cs="Palatino Linotype"/>
          <w:b/>
          <w:color w:val="000000"/>
        </w:rPr>
        <w:t xml:space="preserve"> de Transparencia y Acceso a la Información Pública del Estado de </w:t>
      </w:r>
      <w:r w:rsidRPr="00905D0F">
        <w:rPr>
          <w:rFonts w:ascii="Palatino Linotype" w:eastAsia="Palatino Linotype" w:hAnsi="Palatino Linotype" w:cs="Palatino Linotype"/>
          <w:color w:val="000000"/>
        </w:rPr>
        <w:t>México</w:t>
      </w:r>
      <w:r w:rsidRPr="00905D0F">
        <w:rPr>
          <w:rFonts w:ascii="Palatino Linotype" w:eastAsia="Palatino Linotype" w:hAnsi="Palatino Linotype" w:cs="Palatino Linotype"/>
          <w:b/>
          <w:color w:val="000000"/>
        </w:rPr>
        <w:t xml:space="preserve"> y Municipios</w:t>
      </w:r>
      <w:r w:rsidRPr="00905D0F">
        <w:rPr>
          <w:rFonts w:ascii="Palatino Linotype" w:eastAsia="Palatino Linotype" w:hAnsi="Palatino Linotype" w:cs="Palatino Linotype"/>
          <w:color w:val="000000"/>
        </w:rPr>
        <w:t xml:space="preserve">; fracción que determina la hipótesis jurídica la entrega de información incompleta; contexto del cual se dolió </w:t>
      </w:r>
      <w:r w:rsidRPr="00905D0F">
        <w:rPr>
          <w:rFonts w:ascii="Palatino Linotype" w:eastAsia="Palatino Linotype" w:hAnsi="Palatino Linotype" w:cs="Palatino Linotype"/>
          <w:b/>
          <w:color w:val="000000"/>
        </w:rPr>
        <w:t xml:space="preserve">EL RECURRENTE </w:t>
      </w:r>
      <w:r w:rsidRPr="00905D0F">
        <w:rPr>
          <w:rFonts w:ascii="Palatino Linotype" w:eastAsia="Palatino Linotype" w:hAnsi="Palatino Linotype" w:cs="Palatino Linotype"/>
          <w:color w:val="000000"/>
        </w:rPr>
        <w:t>al momento de interponer su inconformidad.</w:t>
      </w:r>
    </w:p>
    <w:p w:rsidR="00F04191" w:rsidRPr="00905D0F" w:rsidRDefault="00F04191" w:rsidP="00165F17">
      <w:pPr>
        <w:pStyle w:val="Prrafodelista"/>
        <w:spacing w:line="360" w:lineRule="auto"/>
        <w:ind w:left="0" w:right="-518"/>
        <w:jc w:val="both"/>
        <w:rPr>
          <w:rFonts w:ascii="Palatino Linotype" w:eastAsia="Palatino Linotype" w:hAnsi="Palatino Linotype" w:cs="Palatino Linotype"/>
          <w:color w:val="000000"/>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color w:val="000000"/>
        </w:rPr>
        <w:t xml:space="preserve">De modo tal que el presente recurso de revisión se abocara en determinar si el </w:t>
      </w:r>
      <w:r w:rsidRPr="00905D0F">
        <w:rPr>
          <w:rFonts w:ascii="Palatino Linotype" w:eastAsia="Palatino Linotype" w:hAnsi="Palatino Linotype" w:cs="Palatino Linotype"/>
          <w:b/>
          <w:color w:val="000000"/>
        </w:rPr>
        <w:t>SUJETO OBLIGADO</w:t>
      </w:r>
      <w:r w:rsidRPr="00905D0F">
        <w:rPr>
          <w:rFonts w:ascii="Palatino Linotype" w:eastAsia="Palatino Linotype" w:hAnsi="Palatino Linotype" w:cs="Palatino Linotype"/>
          <w:color w:val="000000"/>
        </w:rPr>
        <w:t xml:space="preserve"> con su respuesta ciertamente actualizan las causales de procedencia</w:t>
      </w:r>
      <w:r w:rsidRPr="00905D0F">
        <w:rPr>
          <w:rFonts w:ascii="Palatino Linotype" w:eastAsia="Palatino Linotype" w:hAnsi="Palatino Linotype" w:cs="Palatino Linotype"/>
          <w:b/>
          <w:color w:val="000000"/>
        </w:rPr>
        <w:t xml:space="preserve"> </w:t>
      </w:r>
      <w:r w:rsidRPr="00905D0F">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F04191" w:rsidRPr="00905D0F" w:rsidRDefault="00F04191" w:rsidP="00165F17">
      <w:pPr>
        <w:pBdr>
          <w:top w:val="nil"/>
          <w:left w:val="nil"/>
          <w:bottom w:val="nil"/>
          <w:right w:val="nil"/>
          <w:between w:val="nil"/>
        </w:pBdr>
        <w:tabs>
          <w:tab w:val="left" w:pos="426"/>
          <w:tab w:val="left" w:pos="567"/>
        </w:tabs>
        <w:spacing w:line="360" w:lineRule="auto"/>
        <w:ind w:right="-518"/>
        <w:jc w:val="both"/>
        <w:rPr>
          <w:rFonts w:ascii="Palatino Linotype" w:eastAsia="Palatino Linotype" w:hAnsi="Palatino Linotype" w:cs="Palatino Linotype"/>
          <w:b/>
          <w:color w:val="000000"/>
          <w:sz w:val="24"/>
          <w:szCs w:val="24"/>
        </w:rPr>
      </w:pPr>
    </w:p>
    <w:p w:rsidR="00F04191" w:rsidRPr="00905D0F" w:rsidRDefault="00F04191" w:rsidP="00165F17">
      <w:pPr>
        <w:pStyle w:val="Ttulo2"/>
        <w:spacing w:before="0" w:line="360" w:lineRule="auto"/>
        <w:ind w:right="-518"/>
        <w:rPr>
          <w:rFonts w:ascii="Palatino Linotype" w:hAnsi="Palatino Linotype"/>
          <w:b/>
          <w:color w:val="auto"/>
          <w:sz w:val="24"/>
          <w:szCs w:val="24"/>
        </w:rPr>
      </w:pPr>
      <w:r w:rsidRPr="00905D0F">
        <w:rPr>
          <w:rFonts w:ascii="Palatino Linotype" w:hAnsi="Palatino Linotype"/>
          <w:b/>
          <w:color w:val="auto"/>
          <w:sz w:val="24"/>
          <w:szCs w:val="24"/>
        </w:rPr>
        <w:t>CUARTO. Del estudio y resolución del asunto.</w:t>
      </w: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color w:val="000000"/>
        </w:rPr>
        <w:t xml:space="preserve">Acotada la </w:t>
      </w:r>
      <w:r w:rsidRPr="00905D0F">
        <w:rPr>
          <w:rFonts w:ascii="Palatino Linotype" w:eastAsia="Palatino Linotype" w:hAnsi="Palatino Linotype" w:cs="Palatino Linotype"/>
          <w:i/>
          <w:color w:val="000000"/>
        </w:rPr>
        <w:t>Litis</w:t>
      </w:r>
      <w:r w:rsidRPr="00905D0F">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F04191" w:rsidRPr="00905D0F" w:rsidRDefault="00F04191" w:rsidP="00165F17">
      <w:pPr>
        <w:pBdr>
          <w:top w:val="nil"/>
          <w:left w:val="nil"/>
          <w:bottom w:val="nil"/>
          <w:right w:val="nil"/>
          <w:between w:val="nil"/>
        </w:pBdr>
        <w:tabs>
          <w:tab w:val="left" w:pos="426"/>
          <w:tab w:val="left" w:pos="567"/>
        </w:tabs>
        <w:spacing w:line="360" w:lineRule="auto"/>
        <w:ind w:right="-518"/>
        <w:jc w:val="both"/>
        <w:rPr>
          <w:rFonts w:ascii="Palatino Linotype" w:eastAsia="Palatino Linotype" w:hAnsi="Palatino Linotype" w:cs="Palatino Linotype"/>
          <w:color w:val="000000"/>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color w:val="000000"/>
        </w:rPr>
        <w:lastRenderedPageBreak/>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F04191" w:rsidRPr="00905D0F" w:rsidRDefault="00F04191" w:rsidP="00165F17">
      <w:pPr>
        <w:spacing w:line="360" w:lineRule="auto"/>
        <w:ind w:right="-518"/>
        <w:jc w:val="both"/>
        <w:rPr>
          <w:rFonts w:ascii="Palatino Linotype" w:eastAsia="Palatino Linotype" w:hAnsi="Palatino Linotype" w:cs="Palatino Linotype"/>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F04191" w:rsidRPr="00905D0F" w:rsidRDefault="00F04191" w:rsidP="00165F17">
      <w:pPr>
        <w:pBdr>
          <w:top w:val="nil"/>
          <w:left w:val="nil"/>
          <w:bottom w:val="nil"/>
          <w:right w:val="nil"/>
          <w:between w:val="nil"/>
        </w:pBdr>
        <w:spacing w:line="360" w:lineRule="auto"/>
        <w:ind w:left="708" w:right="-518"/>
        <w:rPr>
          <w:rFonts w:ascii="Palatino Linotype" w:eastAsia="Palatino Linotype" w:hAnsi="Palatino Linotype" w:cs="Palatino Linotype"/>
          <w:color w:val="000000"/>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rPr>
        <w:t>F</w:t>
      </w:r>
      <w:r w:rsidRPr="00905D0F">
        <w:rPr>
          <w:rFonts w:ascii="Palatino Linotype" w:eastAsia="Palatino Linotype" w:hAnsi="Palatino Linotype" w:cs="Palatino Linotype"/>
          <w:color w:val="000000"/>
        </w:rPr>
        <w:t>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F04191" w:rsidRPr="00905D0F" w:rsidRDefault="00F04191" w:rsidP="00165F17">
      <w:pPr>
        <w:spacing w:line="360" w:lineRule="auto"/>
        <w:ind w:right="-518"/>
        <w:rPr>
          <w:rFonts w:ascii="Palatino Linotype" w:eastAsia="Palatino Linotype" w:hAnsi="Palatino Linotype" w:cs="Palatino Linotype"/>
          <w:sz w:val="24"/>
          <w:szCs w:val="24"/>
        </w:rPr>
      </w:pPr>
    </w:p>
    <w:p w:rsidR="00F04191" w:rsidRPr="00905D0F" w:rsidRDefault="00F04191" w:rsidP="00165F17">
      <w:pPr>
        <w:numPr>
          <w:ilvl w:val="0"/>
          <w:numId w:val="3"/>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905D0F">
        <w:rPr>
          <w:rFonts w:ascii="Palatino Linotype" w:eastAsia="Palatino Linotype" w:hAnsi="Palatino Linotype" w:cs="Palatino Linotype"/>
          <w:b/>
          <w:color w:val="000000"/>
          <w:sz w:val="24"/>
          <w:szCs w:val="24"/>
        </w:rPr>
        <w:lastRenderedPageBreak/>
        <w:t>Estudio de fondo</w:t>
      </w: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olor w:val="000000" w:themeColor="text1"/>
        </w:rPr>
      </w:pPr>
      <w:r w:rsidRPr="00905D0F">
        <w:rPr>
          <w:rFonts w:ascii="Palatino Linotype" w:eastAsia="MS Mincho" w:hAnsi="Palatino Linotype" w:cs="Arial"/>
        </w:rPr>
        <w:t>Acotada</w:t>
      </w:r>
      <w:r w:rsidRPr="00905D0F">
        <w:rPr>
          <w:rFonts w:ascii="Palatino Linotype" w:hAnsi="Palatino Linotype"/>
          <w:color w:val="000000" w:themeColor="text1"/>
        </w:rPr>
        <w:t xml:space="preserve"> la </w:t>
      </w:r>
      <w:r w:rsidRPr="00905D0F">
        <w:rPr>
          <w:rFonts w:ascii="Palatino Linotype" w:hAnsi="Palatino Linotype"/>
          <w:i/>
          <w:color w:val="000000" w:themeColor="text1"/>
        </w:rPr>
        <w:t>Litis</w:t>
      </w:r>
      <w:r w:rsidRPr="00905D0F">
        <w:rPr>
          <w:rFonts w:ascii="Palatino Linotype" w:hAnsi="Palatino Linotype"/>
          <w:color w:val="000000" w:themeColor="text1"/>
        </w:rPr>
        <w:t xml:space="preserve"> del presente asunto, previo al estudio de fondo, respecto la fuente obligacional, se advierte que el </w:t>
      </w:r>
      <w:r w:rsidRPr="00905D0F">
        <w:rPr>
          <w:rFonts w:ascii="Palatino Linotype" w:hAnsi="Palatino Linotype"/>
          <w:b/>
          <w:color w:val="000000" w:themeColor="text1"/>
        </w:rPr>
        <w:t xml:space="preserve">SUJETO OBLIGADO, </w:t>
      </w:r>
      <w:r w:rsidRPr="00905D0F">
        <w:rPr>
          <w:rFonts w:ascii="Palatino Linotype" w:hAnsi="Palatino Linotype"/>
          <w:color w:val="000000" w:themeColor="text1"/>
        </w:rPr>
        <w:t xml:space="preserve">asume que genera, posee y/o administra la información solicitada, tan es así que la pone a disposición del ahora </w:t>
      </w:r>
      <w:r w:rsidRPr="00905D0F">
        <w:rPr>
          <w:rFonts w:ascii="Palatino Linotype" w:hAnsi="Palatino Linotype"/>
          <w:b/>
          <w:color w:val="000000" w:themeColor="text1"/>
        </w:rPr>
        <w:t>RECURRENTE.</w:t>
      </w:r>
    </w:p>
    <w:p w:rsidR="008B1534" w:rsidRPr="00905D0F" w:rsidRDefault="008B1534" w:rsidP="00165F17">
      <w:pPr>
        <w:pStyle w:val="Prrafodelista"/>
        <w:spacing w:line="360" w:lineRule="auto"/>
        <w:ind w:left="0" w:right="-518"/>
        <w:jc w:val="both"/>
        <w:rPr>
          <w:rFonts w:ascii="Palatino Linotype" w:hAnsi="Palatino Linotype"/>
          <w:color w:val="000000" w:themeColor="text1"/>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olor w:val="000000" w:themeColor="text1"/>
        </w:rPr>
      </w:pPr>
      <w:r w:rsidRPr="00905D0F">
        <w:rPr>
          <w:rFonts w:ascii="Palatino Linotype" w:hAnsi="Palatino Linotype"/>
          <w:color w:val="000000" w:themeColor="text1"/>
        </w:rPr>
        <w:t xml:space="preserve">Precisado lo anterior, respecto de la información solicitada y la respuesta proporcionada por el </w:t>
      </w:r>
      <w:r w:rsidRPr="00905D0F">
        <w:rPr>
          <w:rFonts w:ascii="Palatino Linotype" w:hAnsi="Palatino Linotype"/>
          <w:b/>
          <w:color w:val="000000" w:themeColor="text1"/>
        </w:rPr>
        <w:t xml:space="preserve">SUJETO OBLIGADO, </w:t>
      </w:r>
      <w:r w:rsidRPr="00905D0F">
        <w:rPr>
          <w:rFonts w:ascii="Palatino Linotype" w:hAnsi="Palatino Linotype"/>
          <w:color w:val="000000" w:themeColor="text1"/>
        </w:rPr>
        <w:t>se advierte lo siguiente:</w:t>
      </w:r>
    </w:p>
    <w:p w:rsidR="00F04191" w:rsidRPr="00905D0F" w:rsidRDefault="00F04191" w:rsidP="00165F17">
      <w:pPr>
        <w:pStyle w:val="Prrafodelista"/>
        <w:spacing w:line="360" w:lineRule="auto"/>
        <w:ind w:left="0" w:right="-518"/>
        <w:jc w:val="both"/>
        <w:rPr>
          <w:rFonts w:ascii="Palatino Linotype" w:hAnsi="Palatino Linotype"/>
          <w:color w:val="000000" w:themeColor="text1"/>
        </w:rPr>
      </w:pPr>
    </w:p>
    <w:tbl>
      <w:tblPr>
        <w:tblStyle w:val="Tablaconcuadrcula"/>
        <w:tblW w:w="9351"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405"/>
        <w:gridCol w:w="2693"/>
        <w:gridCol w:w="1560"/>
        <w:gridCol w:w="2693"/>
      </w:tblGrid>
      <w:tr w:rsidR="00F04191" w:rsidRPr="00905D0F" w:rsidTr="00DF02A5">
        <w:tc>
          <w:tcPr>
            <w:tcW w:w="2405" w:type="dxa"/>
            <w:shd w:val="clear" w:color="auto" w:fill="EDEDED" w:themeFill="accent3" w:themeFillTint="33"/>
            <w:vAlign w:val="center"/>
          </w:tcPr>
          <w:p w:rsidR="00F04191" w:rsidRPr="00905D0F" w:rsidRDefault="00F04191" w:rsidP="00165F17">
            <w:pPr>
              <w:pStyle w:val="Prrafodelista"/>
              <w:ind w:left="0" w:right="-518"/>
              <w:jc w:val="center"/>
              <w:rPr>
                <w:rFonts w:ascii="Palatino Linotype" w:hAnsi="Palatino Linotype"/>
                <w:b/>
                <w:color w:val="000000" w:themeColor="text1"/>
              </w:rPr>
            </w:pPr>
            <w:r w:rsidRPr="00905D0F">
              <w:rPr>
                <w:rFonts w:ascii="Palatino Linotype" w:hAnsi="Palatino Linotype"/>
                <w:b/>
                <w:color w:val="000000" w:themeColor="text1"/>
              </w:rPr>
              <w:t>Solicitud</w:t>
            </w:r>
          </w:p>
        </w:tc>
        <w:tc>
          <w:tcPr>
            <w:tcW w:w="2693" w:type="dxa"/>
            <w:shd w:val="clear" w:color="auto" w:fill="EDEDED" w:themeFill="accent3" w:themeFillTint="33"/>
            <w:vAlign w:val="center"/>
          </w:tcPr>
          <w:p w:rsidR="00F04191" w:rsidRPr="00905D0F" w:rsidRDefault="00F04191" w:rsidP="00165F17">
            <w:pPr>
              <w:pStyle w:val="Prrafodelista"/>
              <w:ind w:left="0" w:right="-518"/>
              <w:jc w:val="center"/>
              <w:rPr>
                <w:rFonts w:ascii="Palatino Linotype" w:hAnsi="Palatino Linotype"/>
                <w:b/>
                <w:color w:val="000000" w:themeColor="text1"/>
              </w:rPr>
            </w:pPr>
            <w:r w:rsidRPr="00905D0F">
              <w:rPr>
                <w:rFonts w:ascii="Palatino Linotype" w:hAnsi="Palatino Linotype"/>
                <w:b/>
                <w:color w:val="000000" w:themeColor="text1"/>
              </w:rPr>
              <w:t>Respuesta</w:t>
            </w:r>
          </w:p>
        </w:tc>
        <w:tc>
          <w:tcPr>
            <w:tcW w:w="1560" w:type="dxa"/>
            <w:shd w:val="clear" w:color="auto" w:fill="EDEDED" w:themeFill="accent3" w:themeFillTint="33"/>
            <w:vAlign w:val="center"/>
          </w:tcPr>
          <w:p w:rsidR="00F04191" w:rsidRPr="00905D0F" w:rsidRDefault="00F04191" w:rsidP="00165F17">
            <w:pPr>
              <w:pStyle w:val="Prrafodelista"/>
              <w:ind w:left="0" w:right="-518"/>
              <w:rPr>
                <w:rFonts w:ascii="Palatino Linotype" w:hAnsi="Palatino Linotype"/>
                <w:b/>
                <w:color w:val="000000" w:themeColor="text1"/>
              </w:rPr>
            </w:pPr>
            <w:r w:rsidRPr="00905D0F">
              <w:rPr>
                <w:rFonts w:ascii="Palatino Linotype" w:hAnsi="Palatino Linotype"/>
                <w:b/>
                <w:color w:val="000000" w:themeColor="text1"/>
              </w:rPr>
              <w:t>Informe Justificado</w:t>
            </w:r>
          </w:p>
        </w:tc>
        <w:tc>
          <w:tcPr>
            <w:tcW w:w="2693" w:type="dxa"/>
            <w:shd w:val="clear" w:color="auto" w:fill="EDEDED" w:themeFill="accent3" w:themeFillTint="33"/>
            <w:vAlign w:val="center"/>
          </w:tcPr>
          <w:p w:rsidR="00F04191" w:rsidRPr="00905D0F" w:rsidRDefault="00F04191" w:rsidP="00165F17">
            <w:pPr>
              <w:pStyle w:val="Prrafodelista"/>
              <w:ind w:left="0" w:right="-518"/>
              <w:jc w:val="center"/>
              <w:rPr>
                <w:rFonts w:ascii="Palatino Linotype" w:hAnsi="Palatino Linotype"/>
                <w:b/>
                <w:color w:val="000000" w:themeColor="text1"/>
              </w:rPr>
            </w:pPr>
            <w:r w:rsidRPr="00905D0F">
              <w:rPr>
                <w:rFonts w:ascii="Palatino Linotype" w:hAnsi="Palatino Linotype"/>
                <w:b/>
                <w:color w:val="000000" w:themeColor="text1"/>
              </w:rPr>
              <w:t>¿Colma?</w:t>
            </w:r>
          </w:p>
        </w:tc>
      </w:tr>
      <w:tr w:rsidR="00F04191" w:rsidRPr="00905D0F" w:rsidTr="00DF02A5">
        <w:tc>
          <w:tcPr>
            <w:tcW w:w="2405" w:type="dxa"/>
            <w:vAlign w:val="center"/>
          </w:tcPr>
          <w:p w:rsidR="00F04191" w:rsidRPr="00905D0F" w:rsidRDefault="008874A6" w:rsidP="00DF02A5">
            <w:pPr>
              <w:pStyle w:val="Prrafodelista"/>
              <w:ind w:left="0"/>
              <w:jc w:val="both"/>
              <w:rPr>
                <w:rFonts w:ascii="Palatino Linotype" w:hAnsi="Palatino Linotype"/>
                <w:color w:val="000000" w:themeColor="text1"/>
              </w:rPr>
            </w:pPr>
            <w:r w:rsidRPr="00905D0F">
              <w:rPr>
                <w:rFonts w:ascii="Palatino Linotype" w:hAnsi="Palatino Linotype"/>
                <w:color w:val="000000" w:themeColor="text1"/>
                <w:lang w:val="es-MX"/>
              </w:rPr>
              <w:t xml:space="preserve">Documentación emitida para regular el comercio ambulante dentro de sus límites territoriales. </w:t>
            </w:r>
          </w:p>
        </w:tc>
        <w:tc>
          <w:tcPr>
            <w:tcW w:w="2693" w:type="dxa"/>
            <w:vAlign w:val="center"/>
          </w:tcPr>
          <w:p w:rsidR="008874A6" w:rsidRPr="00905D0F" w:rsidRDefault="00F04191" w:rsidP="00DF02A5">
            <w:pPr>
              <w:pStyle w:val="Prrafodelista"/>
              <w:ind w:left="0"/>
              <w:jc w:val="both"/>
              <w:rPr>
                <w:rFonts w:ascii="Palatino Linotype" w:hAnsi="Palatino Linotype"/>
                <w:color w:val="000000" w:themeColor="text1"/>
              </w:rPr>
            </w:pPr>
            <w:r w:rsidRPr="00905D0F">
              <w:rPr>
                <w:rFonts w:ascii="Palatino Linotype" w:hAnsi="Palatino Linotype"/>
                <w:color w:val="000000" w:themeColor="text1"/>
              </w:rPr>
              <w:t xml:space="preserve"> </w:t>
            </w:r>
          </w:p>
          <w:p w:rsidR="008874A6" w:rsidRPr="00905D0F" w:rsidRDefault="008874A6" w:rsidP="00DF02A5">
            <w:pPr>
              <w:pStyle w:val="Prrafodelista"/>
              <w:ind w:left="0"/>
              <w:jc w:val="both"/>
              <w:rPr>
                <w:rFonts w:ascii="Palatino Linotype" w:hAnsi="Palatino Linotype"/>
                <w:color w:val="000000" w:themeColor="text1"/>
              </w:rPr>
            </w:pPr>
            <w:r w:rsidRPr="00905D0F">
              <w:rPr>
                <w:rFonts w:ascii="Palatino Linotype" w:hAnsi="Palatino Linotype"/>
                <w:color w:val="000000" w:themeColor="text1"/>
              </w:rPr>
              <w:t>22 Invitaciones Públicas del mes de marzo de dos mil veinticinco.</w:t>
            </w:r>
          </w:p>
          <w:p w:rsidR="008874A6" w:rsidRPr="00905D0F" w:rsidRDefault="008874A6" w:rsidP="00DF02A5">
            <w:pPr>
              <w:pStyle w:val="Prrafodelista"/>
              <w:ind w:left="0"/>
              <w:jc w:val="both"/>
              <w:rPr>
                <w:rFonts w:ascii="Palatino Linotype" w:hAnsi="Palatino Linotype"/>
                <w:color w:val="000000" w:themeColor="text1"/>
                <w:lang w:val="es-MX"/>
              </w:rPr>
            </w:pPr>
            <w:r w:rsidRPr="00905D0F">
              <w:rPr>
                <w:rFonts w:ascii="Palatino Linotype" w:hAnsi="Palatino Linotype"/>
                <w:color w:val="000000" w:themeColor="text1"/>
                <w:lang w:val="es-MX"/>
              </w:rPr>
              <w:t>22 Cartas compromisos del mes de mayo de do mil veinticinco.</w:t>
            </w:r>
          </w:p>
          <w:p w:rsidR="008874A6" w:rsidRPr="00905D0F" w:rsidRDefault="008874A6" w:rsidP="00DF02A5">
            <w:pPr>
              <w:pStyle w:val="Prrafodelista"/>
              <w:ind w:left="0"/>
              <w:jc w:val="both"/>
              <w:rPr>
                <w:rFonts w:ascii="Palatino Linotype" w:hAnsi="Palatino Linotype"/>
                <w:color w:val="000000" w:themeColor="text1"/>
                <w:lang w:val="es-MX"/>
              </w:rPr>
            </w:pPr>
            <w:r w:rsidRPr="00905D0F">
              <w:rPr>
                <w:rFonts w:ascii="Palatino Linotype" w:hAnsi="Palatino Linotype"/>
                <w:color w:val="000000" w:themeColor="text1"/>
                <w:lang w:val="es-MX"/>
              </w:rPr>
              <w:t>50 cartas compromiso del mes de junio de dos mil veinticinco.</w:t>
            </w:r>
          </w:p>
          <w:p w:rsidR="008874A6" w:rsidRPr="00905D0F" w:rsidRDefault="008874A6" w:rsidP="00DF02A5">
            <w:pPr>
              <w:pStyle w:val="Prrafodelista"/>
              <w:ind w:left="0"/>
              <w:jc w:val="both"/>
              <w:rPr>
                <w:rFonts w:ascii="Palatino Linotype" w:hAnsi="Palatino Linotype"/>
                <w:b/>
                <w:color w:val="000000" w:themeColor="text1"/>
                <w:lang w:val="es-MX"/>
              </w:rPr>
            </w:pPr>
            <w:r w:rsidRPr="00905D0F">
              <w:rPr>
                <w:rFonts w:ascii="Palatino Linotype" w:hAnsi="Palatino Linotype"/>
                <w:color w:val="000000" w:themeColor="text1"/>
                <w:lang w:val="es-MX"/>
              </w:rPr>
              <w:t>89 Avisos del mes de mayo de dos mil veinticinco.</w:t>
            </w:r>
          </w:p>
          <w:p w:rsidR="00F04191" w:rsidRPr="00905D0F" w:rsidRDefault="008874A6" w:rsidP="00DF02A5">
            <w:pPr>
              <w:pStyle w:val="Prrafodelista"/>
              <w:ind w:left="0"/>
              <w:jc w:val="both"/>
              <w:rPr>
                <w:rFonts w:ascii="Palatino Linotype" w:hAnsi="Palatino Linotype"/>
                <w:color w:val="000000" w:themeColor="text1"/>
                <w:lang w:val="es-MX"/>
              </w:rPr>
            </w:pPr>
            <w:r w:rsidRPr="00905D0F">
              <w:rPr>
                <w:rFonts w:ascii="Palatino Linotype" w:hAnsi="Palatino Linotype"/>
                <w:color w:val="000000" w:themeColor="text1"/>
                <w:lang w:val="es-MX"/>
              </w:rPr>
              <w:t>2 aviso</w:t>
            </w:r>
            <w:r w:rsidR="00570686" w:rsidRPr="00905D0F">
              <w:rPr>
                <w:rFonts w:ascii="Palatino Linotype" w:hAnsi="Palatino Linotype"/>
                <w:color w:val="000000" w:themeColor="text1"/>
                <w:lang w:val="es-MX"/>
              </w:rPr>
              <w:t>s</w:t>
            </w:r>
            <w:r w:rsidRPr="00905D0F">
              <w:rPr>
                <w:rFonts w:ascii="Palatino Linotype" w:hAnsi="Palatino Linotype"/>
                <w:color w:val="000000" w:themeColor="text1"/>
                <w:lang w:val="es-MX"/>
              </w:rPr>
              <w:t xml:space="preserve"> sin fecha</w:t>
            </w:r>
          </w:p>
          <w:p w:rsidR="008874A6" w:rsidRPr="00905D0F" w:rsidRDefault="008874A6" w:rsidP="00DF02A5">
            <w:pPr>
              <w:pStyle w:val="Prrafodelista"/>
              <w:ind w:left="0"/>
              <w:jc w:val="both"/>
              <w:rPr>
                <w:rFonts w:ascii="Palatino Linotype" w:hAnsi="Palatino Linotype"/>
                <w:color w:val="000000" w:themeColor="text1"/>
              </w:rPr>
            </w:pPr>
          </w:p>
        </w:tc>
        <w:tc>
          <w:tcPr>
            <w:tcW w:w="1560" w:type="dxa"/>
            <w:vAlign w:val="center"/>
          </w:tcPr>
          <w:p w:rsidR="00F04191" w:rsidRPr="00905D0F" w:rsidRDefault="008874A6" w:rsidP="00DF02A5">
            <w:pPr>
              <w:pStyle w:val="Prrafodelista"/>
              <w:ind w:left="0" w:right="-108"/>
              <w:jc w:val="center"/>
              <w:rPr>
                <w:rFonts w:ascii="Palatino Linotype" w:hAnsi="Palatino Linotype"/>
                <w:color w:val="000000" w:themeColor="text1"/>
              </w:rPr>
            </w:pPr>
            <w:r w:rsidRPr="00905D0F">
              <w:rPr>
                <w:rFonts w:ascii="Palatino Linotype" w:hAnsi="Palatino Linotype"/>
                <w:color w:val="000000" w:themeColor="text1"/>
              </w:rPr>
              <w:t>Confirma respuesta primigenia</w:t>
            </w:r>
          </w:p>
        </w:tc>
        <w:tc>
          <w:tcPr>
            <w:tcW w:w="2693" w:type="dxa"/>
            <w:vAlign w:val="center"/>
          </w:tcPr>
          <w:p w:rsidR="00F04191" w:rsidRPr="00905D0F" w:rsidRDefault="008874A6" w:rsidP="00DF02A5">
            <w:pPr>
              <w:pStyle w:val="Prrafodelista"/>
              <w:ind w:left="0"/>
              <w:jc w:val="both"/>
              <w:rPr>
                <w:rFonts w:ascii="Palatino Linotype" w:hAnsi="Palatino Linotype"/>
                <w:color w:val="000000" w:themeColor="text1"/>
              </w:rPr>
            </w:pPr>
            <w:r w:rsidRPr="00905D0F">
              <w:rPr>
                <w:rFonts w:ascii="Palatino Linotype" w:hAnsi="Palatino Linotype"/>
                <w:b/>
                <w:color w:val="000000" w:themeColor="text1"/>
              </w:rPr>
              <w:t xml:space="preserve">No, </w:t>
            </w:r>
            <w:r w:rsidRPr="00905D0F">
              <w:rPr>
                <w:rFonts w:ascii="Palatino Linotype" w:hAnsi="Palatino Linotype"/>
                <w:color w:val="000000" w:themeColor="text1"/>
              </w:rPr>
              <w:t>ya que se remitieron invitaciones y cartas compromiso con información testada, sin que se haya remitido el acta de clasificación de la información.</w:t>
            </w:r>
          </w:p>
        </w:tc>
      </w:tr>
      <w:tr w:rsidR="00F04191" w:rsidRPr="00905D0F" w:rsidTr="00DF02A5">
        <w:tc>
          <w:tcPr>
            <w:tcW w:w="2405" w:type="dxa"/>
            <w:vAlign w:val="center"/>
          </w:tcPr>
          <w:p w:rsidR="00F04191" w:rsidRPr="00905D0F" w:rsidRDefault="00F04191" w:rsidP="00DF02A5">
            <w:pPr>
              <w:pStyle w:val="Prrafodelista"/>
              <w:ind w:left="0"/>
              <w:jc w:val="both"/>
              <w:rPr>
                <w:rFonts w:ascii="Palatino Linotype" w:hAnsi="Palatino Linotype"/>
                <w:color w:val="000000" w:themeColor="text1"/>
                <w:lang w:val="es-MX"/>
              </w:rPr>
            </w:pPr>
          </w:p>
          <w:p w:rsidR="00F04191" w:rsidRPr="00905D0F" w:rsidRDefault="008874A6" w:rsidP="00DF02A5">
            <w:pPr>
              <w:pStyle w:val="Prrafodelista"/>
              <w:ind w:left="0"/>
              <w:jc w:val="both"/>
              <w:rPr>
                <w:rFonts w:ascii="Palatino Linotype" w:hAnsi="Palatino Linotype"/>
                <w:color w:val="000000" w:themeColor="text1"/>
              </w:rPr>
            </w:pPr>
            <w:r w:rsidRPr="00905D0F">
              <w:rPr>
                <w:rFonts w:ascii="Palatino Linotype" w:hAnsi="Palatino Linotype"/>
                <w:color w:val="000000" w:themeColor="text1"/>
                <w:lang w:val="es-MX"/>
              </w:rPr>
              <w:t xml:space="preserve">Licencias de funcionamiento emitidas por el sujeto obligado para </w:t>
            </w:r>
            <w:r w:rsidRPr="00905D0F">
              <w:rPr>
                <w:rFonts w:ascii="Palatino Linotype" w:hAnsi="Palatino Linotype"/>
                <w:color w:val="000000" w:themeColor="text1"/>
                <w:lang w:val="es-MX"/>
              </w:rPr>
              <w:lastRenderedPageBreak/>
              <w:t>la operación de negocios de venta de alimentos emitidas durante 2022 y 2025</w:t>
            </w:r>
          </w:p>
        </w:tc>
        <w:tc>
          <w:tcPr>
            <w:tcW w:w="2693" w:type="dxa"/>
            <w:vAlign w:val="center"/>
          </w:tcPr>
          <w:p w:rsidR="00BD7879" w:rsidRPr="00905D0F" w:rsidRDefault="00BD7879" w:rsidP="00DF02A5">
            <w:pPr>
              <w:rPr>
                <w:rFonts w:ascii="Palatino Linotype" w:hAnsi="Palatino Linotype"/>
                <w:color w:val="000000" w:themeColor="text1"/>
                <w:sz w:val="24"/>
                <w:szCs w:val="24"/>
              </w:rPr>
            </w:pPr>
          </w:p>
          <w:p w:rsidR="008874A6" w:rsidRPr="00905D0F" w:rsidRDefault="00BD7879" w:rsidP="00DF02A5">
            <w:pPr>
              <w:rPr>
                <w:rFonts w:ascii="Palatino Linotype" w:hAnsi="Palatino Linotype"/>
                <w:b/>
                <w:color w:val="000000" w:themeColor="text1"/>
                <w:sz w:val="24"/>
                <w:szCs w:val="24"/>
              </w:rPr>
            </w:pPr>
            <w:r w:rsidRPr="00905D0F">
              <w:rPr>
                <w:rFonts w:ascii="Palatino Linotype" w:hAnsi="Palatino Linotype"/>
                <w:color w:val="000000" w:themeColor="text1"/>
                <w:sz w:val="24"/>
                <w:szCs w:val="24"/>
              </w:rPr>
              <w:t>L</w:t>
            </w:r>
            <w:r w:rsidR="008874A6" w:rsidRPr="00905D0F">
              <w:rPr>
                <w:rFonts w:ascii="Palatino Linotype" w:hAnsi="Palatino Linotype"/>
                <w:color w:val="000000" w:themeColor="text1"/>
                <w:sz w:val="24"/>
                <w:szCs w:val="24"/>
              </w:rPr>
              <w:t>a Directora General, por el que informo:</w:t>
            </w:r>
          </w:p>
          <w:p w:rsidR="008874A6" w:rsidRPr="00905D0F" w:rsidRDefault="008874A6" w:rsidP="00DF02A5">
            <w:pPr>
              <w:pStyle w:val="Prrafodelista"/>
              <w:ind w:left="0"/>
              <w:rPr>
                <w:rFonts w:ascii="Palatino Linotype" w:hAnsi="Palatino Linotype"/>
                <w:b/>
                <w:color w:val="000000" w:themeColor="text1"/>
                <w:lang w:val="es-MX"/>
              </w:rPr>
            </w:pPr>
          </w:p>
          <w:p w:rsidR="008874A6" w:rsidRPr="00905D0F" w:rsidRDefault="008874A6" w:rsidP="00DF02A5">
            <w:pPr>
              <w:pStyle w:val="Prrafodelista"/>
              <w:ind w:left="0"/>
              <w:jc w:val="both"/>
              <w:rPr>
                <w:rFonts w:ascii="Palatino Linotype" w:hAnsi="Palatino Linotype"/>
                <w:color w:val="000000" w:themeColor="text1"/>
                <w:lang w:val="es-MX"/>
              </w:rPr>
            </w:pPr>
            <w:r w:rsidRPr="00905D0F">
              <w:rPr>
                <w:rFonts w:ascii="Palatino Linotype" w:hAnsi="Palatino Linotype"/>
                <w:color w:val="000000" w:themeColor="text1"/>
                <w:lang w:val="es-MX"/>
              </w:rPr>
              <w:lastRenderedPageBreak/>
              <w:t xml:space="preserve">Licencias de funcionamiento emitidas por el sujeto obligado para la operación de negocios de venta de alimentos emitidas durante 2022 y 2025. </w:t>
            </w:r>
          </w:p>
          <w:p w:rsidR="008874A6" w:rsidRPr="00905D0F" w:rsidRDefault="008874A6" w:rsidP="00DF02A5">
            <w:pPr>
              <w:pStyle w:val="Prrafodelista"/>
              <w:ind w:left="0"/>
              <w:jc w:val="both"/>
              <w:rPr>
                <w:rFonts w:ascii="Palatino Linotype" w:hAnsi="Palatino Linotype"/>
                <w:color w:val="000000" w:themeColor="text1"/>
                <w:lang w:val="es-MX"/>
              </w:rPr>
            </w:pPr>
          </w:p>
          <w:p w:rsidR="00F04191" w:rsidRPr="00905D0F" w:rsidRDefault="008874A6" w:rsidP="00DF02A5">
            <w:pPr>
              <w:spacing w:after="160" w:line="259" w:lineRule="auto"/>
              <w:jc w:val="both"/>
              <w:rPr>
                <w:rFonts w:ascii="Palatino Linotype" w:hAnsi="Palatino Linotype"/>
                <w:b/>
                <w:sz w:val="24"/>
                <w:szCs w:val="24"/>
              </w:rPr>
            </w:pPr>
            <w:r w:rsidRPr="00905D0F">
              <w:rPr>
                <w:rFonts w:ascii="Palatino Linotype" w:hAnsi="Palatino Linotype"/>
                <w:sz w:val="24"/>
                <w:szCs w:val="24"/>
              </w:rPr>
              <w:t xml:space="preserve">Se remitió una lista de licencias de funcionamiento con venta de alimentos de los años dos mil veintidós y dos mil veinticinco. </w:t>
            </w:r>
          </w:p>
        </w:tc>
        <w:tc>
          <w:tcPr>
            <w:tcW w:w="1560" w:type="dxa"/>
            <w:vAlign w:val="center"/>
          </w:tcPr>
          <w:p w:rsidR="00F04191" w:rsidRPr="00905D0F" w:rsidRDefault="008874A6" w:rsidP="00DF02A5">
            <w:pPr>
              <w:pStyle w:val="Prrafodelista"/>
              <w:ind w:left="0" w:right="-108"/>
              <w:jc w:val="center"/>
              <w:rPr>
                <w:rFonts w:ascii="Palatino Linotype" w:hAnsi="Palatino Linotype"/>
                <w:color w:val="000000" w:themeColor="text1"/>
              </w:rPr>
            </w:pPr>
            <w:r w:rsidRPr="00905D0F">
              <w:rPr>
                <w:rFonts w:ascii="Palatino Linotype" w:hAnsi="Palatino Linotype"/>
                <w:color w:val="000000" w:themeColor="text1"/>
              </w:rPr>
              <w:lastRenderedPageBreak/>
              <w:t>Confirma respuesta primigenia</w:t>
            </w:r>
          </w:p>
          <w:p w:rsidR="00F04191" w:rsidRPr="00905D0F" w:rsidRDefault="00F04191" w:rsidP="00DF02A5">
            <w:pPr>
              <w:pStyle w:val="Prrafodelista"/>
              <w:ind w:left="0" w:right="-108"/>
              <w:jc w:val="center"/>
              <w:rPr>
                <w:rFonts w:ascii="Palatino Linotype" w:hAnsi="Palatino Linotype"/>
                <w:color w:val="000000" w:themeColor="text1"/>
              </w:rPr>
            </w:pPr>
          </w:p>
        </w:tc>
        <w:tc>
          <w:tcPr>
            <w:tcW w:w="2693" w:type="dxa"/>
            <w:vAlign w:val="center"/>
          </w:tcPr>
          <w:p w:rsidR="00F04191" w:rsidRPr="00905D0F" w:rsidRDefault="00BD7879" w:rsidP="00DF02A5">
            <w:pPr>
              <w:pStyle w:val="Prrafodelista"/>
              <w:ind w:left="0"/>
              <w:jc w:val="both"/>
              <w:rPr>
                <w:rFonts w:ascii="Palatino Linotype" w:hAnsi="Palatino Linotype"/>
                <w:color w:val="000000" w:themeColor="text1"/>
                <w:lang w:val="es-MX"/>
              </w:rPr>
            </w:pPr>
            <w:r w:rsidRPr="00905D0F">
              <w:rPr>
                <w:rFonts w:ascii="Palatino Linotype" w:hAnsi="Palatino Linotype"/>
                <w:color w:val="000000" w:themeColor="text1"/>
              </w:rPr>
              <w:t>Parcialmente, ya que remitió un listado de las</w:t>
            </w:r>
            <w:r w:rsidRPr="00905D0F">
              <w:rPr>
                <w:rFonts w:ascii="Palatino Linotype" w:hAnsi="Palatino Linotype"/>
                <w:color w:val="000000" w:themeColor="text1"/>
                <w:lang w:val="es-MX"/>
              </w:rPr>
              <w:t xml:space="preserve"> Licencias de funcionamiento para la operación de negocios </w:t>
            </w:r>
            <w:r w:rsidRPr="00905D0F">
              <w:rPr>
                <w:rFonts w:ascii="Palatino Linotype" w:hAnsi="Palatino Linotype"/>
                <w:color w:val="000000" w:themeColor="text1"/>
                <w:lang w:val="es-MX"/>
              </w:rPr>
              <w:lastRenderedPageBreak/>
              <w:t>de venta de alimentos emitidas durante 2022 y 2025, sin embargo no se hizo entrega del soporte documental.</w:t>
            </w:r>
          </w:p>
          <w:p w:rsidR="00570686" w:rsidRPr="00905D0F" w:rsidRDefault="00570686" w:rsidP="00DF02A5">
            <w:pPr>
              <w:pStyle w:val="Prrafodelista"/>
              <w:ind w:left="0"/>
              <w:jc w:val="both"/>
              <w:rPr>
                <w:rFonts w:ascii="Palatino Linotype" w:hAnsi="Palatino Linotype"/>
                <w:color w:val="000000" w:themeColor="text1"/>
                <w:lang w:val="es-MX"/>
              </w:rPr>
            </w:pPr>
          </w:p>
          <w:p w:rsidR="00570686" w:rsidRPr="00905D0F" w:rsidRDefault="00570686" w:rsidP="00DF02A5">
            <w:pPr>
              <w:pStyle w:val="Prrafodelista"/>
              <w:ind w:left="0"/>
              <w:jc w:val="both"/>
              <w:rPr>
                <w:rFonts w:ascii="Palatino Linotype" w:hAnsi="Palatino Linotype"/>
                <w:b/>
                <w:color w:val="000000" w:themeColor="text1"/>
              </w:rPr>
            </w:pPr>
            <w:r w:rsidRPr="00905D0F">
              <w:rPr>
                <w:rFonts w:ascii="Palatino Linotype" w:hAnsi="Palatino Linotype"/>
                <w:color w:val="000000" w:themeColor="text1"/>
                <w:lang w:val="es-MX"/>
              </w:rPr>
              <w:t xml:space="preserve">Asimismo, se observa que de manera enunciativa, se clasifico la firma de los servidores públicos. </w:t>
            </w:r>
          </w:p>
        </w:tc>
      </w:tr>
      <w:tr w:rsidR="008874A6" w:rsidRPr="00905D0F" w:rsidTr="00DF02A5">
        <w:tc>
          <w:tcPr>
            <w:tcW w:w="2405" w:type="dxa"/>
            <w:vAlign w:val="center"/>
          </w:tcPr>
          <w:p w:rsidR="008874A6" w:rsidRPr="00905D0F" w:rsidRDefault="008874A6" w:rsidP="00DF02A5">
            <w:pPr>
              <w:jc w:val="both"/>
              <w:rPr>
                <w:rFonts w:ascii="Palatino Linotype" w:hAnsi="Palatino Linotype"/>
                <w:color w:val="000000" w:themeColor="text1"/>
                <w:sz w:val="24"/>
                <w:szCs w:val="24"/>
              </w:rPr>
            </w:pPr>
            <w:r w:rsidRPr="00905D0F">
              <w:rPr>
                <w:rFonts w:ascii="Palatino Linotype" w:hAnsi="Palatino Linotype"/>
                <w:color w:val="000000" w:themeColor="text1"/>
                <w:sz w:val="24"/>
                <w:szCs w:val="24"/>
              </w:rPr>
              <w:lastRenderedPageBreak/>
              <w:t>Licencias de funcionamiento emitidas para negocios, puesto o análogos para operar un negocio ambulante dentro de sus límites territoriales durante 2022 y 2025</w:t>
            </w:r>
          </w:p>
          <w:p w:rsidR="008874A6" w:rsidRPr="00905D0F" w:rsidRDefault="008874A6" w:rsidP="00DF02A5">
            <w:pPr>
              <w:pStyle w:val="Prrafodelista"/>
              <w:ind w:left="0"/>
              <w:jc w:val="both"/>
              <w:rPr>
                <w:rFonts w:ascii="Palatino Linotype" w:hAnsi="Palatino Linotype"/>
                <w:color w:val="000000" w:themeColor="text1"/>
                <w:lang w:val="es-MX"/>
              </w:rPr>
            </w:pPr>
          </w:p>
        </w:tc>
        <w:tc>
          <w:tcPr>
            <w:tcW w:w="2693" w:type="dxa"/>
            <w:vAlign w:val="center"/>
          </w:tcPr>
          <w:p w:rsidR="008874A6" w:rsidRPr="00905D0F" w:rsidRDefault="008874A6" w:rsidP="00DF02A5">
            <w:pPr>
              <w:pStyle w:val="Prrafodelista"/>
              <w:ind w:left="0"/>
              <w:rPr>
                <w:rFonts w:ascii="Palatino Linotype" w:hAnsi="Palatino Linotype"/>
                <w:b/>
                <w:i/>
                <w:color w:val="000000" w:themeColor="text1"/>
                <w:lang w:val="es-MX"/>
              </w:rPr>
            </w:pPr>
          </w:p>
          <w:p w:rsidR="008874A6" w:rsidRPr="00905D0F" w:rsidRDefault="008874A6" w:rsidP="00DF02A5">
            <w:pPr>
              <w:jc w:val="both"/>
              <w:rPr>
                <w:rFonts w:ascii="Palatino Linotype" w:hAnsi="Palatino Linotype"/>
                <w:color w:val="000000" w:themeColor="text1"/>
                <w:sz w:val="24"/>
                <w:szCs w:val="24"/>
              </w:rPr>
            </w:pPr>
            <w:r w:rsidRPr="00905D0F">
              <w:rPr>
                <w:rFonts w:ascii="Palatino Linotype" w:hAnsi="Palatino Linotype"/>
                <w:color w:val="000000" w:themeColor="text1"/>
                <w:sz w:val="24"/>
                <w:szCs w:val="24"/>
              </w:rPr>
              <w:t>la Directora General, por el que informo:</w:t>
            </w:r>
          </w:p>
          <w:p w:rsidR="008874A6" w:rsidRPr="00905D0F" w:rsidRDefault="008874A6" w:rsidP="00DF02A5">
            <w:pPr>
              <w:pStyle w:val="Prrafodelista"/>
              <w:ind w:left="0"/>
              <w:jc w:val="both"/>
              <w:rPr>
                <w:rFonts w:ascii="Palatino Linotype" w:hAnsi="Palatino Linotype"/>
                <w:i/>
                <w:color w:val="000000" w:themeColor="text1"/>
                <w:lang w:val="es-MX"/>
              </w:rPr>
            </w:pPr>
          </w:p>
          <w:p w:rsidR="00BD7879" w:rsidRPr="00905D0F" w:rsidRDefault="008874A6" w:rsidP="00DF02A5">
            <w:pPr>
              <w:pStyle w:val="Prrafodelista"/>
              <w:ind w:left="0"/>
              <w:jc w:val="both"/>
              <w:rPr>
                <w:rFonts w:ascii="Palatino Linotype" w:hAnsi="Palatino Linotype"/>
                <w:b/>
                <w:i/>
                <w:color w:val="000000" w:themeColor="text1"/>
                <w:lang w:val="es-MX"/>
              </w:rPr>
            </w:pPr>
            <w:r w:rsidRPr="00905D0F">
              <w:rPr>
                <w:rFonts w:ascii="Palatino Linotype" w:hAnsi="Palatino Linotype"/>
                <w:i/>
                <w:color w:val="000000" w:themeColor="text1"/>
                <w:lang w:val="es-MX"/>
              </w:rPr>
              <w:t>R. Una vez realizada la búsqueda en los archivos físicos y electrónicos de la Dirección de Atención al Comercio, respecto al "comercio ambulante" no se localizó que se hayan emitido permiso o documentación para su autorización</w:t>
            </w:r>
            <w:r w:rsidR="00DF02A5" w:rsidRPr="00905D0F">
              <w:rPr>
                <w:rFonts w:ascii="Palatino Linotype" w:hAnsi="Palatino Linotype"/>
                <w:i/>
                <w:color w:val="000000" w:themeColor="text1"/>
                <w:lang w:val="es-MX"/>
              </w:rPr>
              <w:t>.</w:t>
            </w:r>
          </w:p>
          <w:p w:rsidR="008874A6" w:rsidRPr="00905D0F" w:rsidRDefault="008874A6" w:rsidP="00DF02A5">
            <w:pPr>
              <w:pStyle w:val="Prrafodelista"/>
              <w:ind w:left="0"/>
              <w:jc w:val="both"/>
              <w:rPr>
                <w:rFonts w:ascii="Palatino Linotype" w:hAnsi="Palatino Linotype"/>
                <w:color w:val="000000" w:themeColor="text1"/>
              </w:rPr>
            </w:pPr>
          </w:p>
        </w:tc>
        <w:tc>
          <w:tcPr>
            <w:tcW w:w="1560" w:type="dxa"/>
            <w:vAlign w:val="center"/>
          </w:tcPr>
          <w:p w:rsidR="008874A6" w:rsidRPr="00905D0F" w:rsidRDefault="008874A6" w:rsidP="00DF02A5">
            <w:pPr>
              <w:pStyle w:val="Prrafodelista"/>
              <w:ind w:left="0" w:right="-108"/>
              <w:jc w:val="center"/>
              <w:rPr>
                <w:rFonts w:ascii="Palatino Linotype" w:hAnsi="Palatino Linotype"/>
                <w:color w:val="000000" w:themeColor="text1"/>
              </w:rPr>
            </w:pPr>
            <w:r w:rsidRPr="00905D0F">
              <w:rPr>
                <w:rFonts w:ascii="Palatino Linotype" w:hAnsi="Palatino Linotype"/>
                <w:color w:val="000000" w:themeColor="text1"/>
              </w:rPr>
              <w:t>Confirma respuesta primigenia</w:t>
            </w:r>
          </w:p>
        </w:tc>
        <w:tc>
          <w:tcPr>
            <w:tcW w:w="2693" w:type="dxa"/>
            <w:vAlign w:val="center"/>
          </w:tcPr>
          <w:p w:rsidR="008874A6" w:rsidRPr="00905D0F" w:rsidRDefault="00BD7879" w:rsidP="00DF02A5">
            <w:pPr>
              <w:pStyle w:val="Prrafodelista"/>
              <w:ind w:left="0"/>
              <w:jc w:val="both"/>
              <w:rPr>
                <w:rFonts w:ascii="Palatino Linotype" w:hAnsi="Palatino Linotype"/>
              </w:rPr>
            </w:pPr>
            <w:r w:rsidRPr="00905D0F">
              <w:rPr>
                <w:rFonts w:ascii="Palatino Linotype" w:hAnsi="Palatino Linotype"/>
                <w:b/>
                <w:color w:val="000000" w:themeColor="text1"/>
              </w:rPr>
              <w:t>Si,</w:t>
            </w:r>
            <w:r w:rsidRPr="00905D0F">
              <w:t xml:space="preserve"> </w:t>
            </w:r>
            <w:r w:rsidRPr="00905D0F">
              <w:rPr>
                <w:rFonts w:ascii="Palatino Linotype" w:hAnsi="Palatino Linotype"/>
              </w:rPr>
              <w:t>ya que el Sujeto Obligado fue claro y preciso en referir que no se cuenta con licencias para comercio ambulante durante 2022 y 2025.</w:t>
            </w:r>
          </w:p>
          <w:p w:rsidR="00BD7879" w:rsidRPr="00905D0F" w:rsidRDefault="00BD7879" w:rsidP="00DF02A5">
            <w:pPr>
              <w:pStyle w:val="Prrafodelista"/>
              <w:ind w:left="0"/>
              <w:jc w:val="both"/>
              <w:rPr>
                <w:rFonts w:ascii="Palatino Linotype" w:hAnsi="Palatino Linotype"/>
              </w:rPr>
            </w:pPr>
          </w:p>
          <w:p w:rsidR="00BD7879" w:rsidRPr="00905D0F" w:rsidRDefault="00BD7879" w:rsidP="00DF02A5">
            <w:pPr>
              <w:pStyle w:val="Prrafodelista"/>
              <w:ind w:left="0"/>
              <w:jc w:val="both"/>
              <w:rPr>
                <w:rFonts w:ascii="Palatino Linotype" w:hAnsi="Palatino Linotype"/>
              </w:rPr>
            </w:pPr>
            <w:r w:rsidRPr="00905D0F">
              <w:rPr>
                <w:rFonts w:ascii="Palatino Linotype" w:hAnsi="Palatino Linotype"/>
              </w:rPr>
              <w:t xml:space="preserve">Se consideran hechos negativos. </w:t>
            </w:r>
          </w:p>
        </w:tc>
      </w:tr>
    </w:tbl>
    <w:p w:rsidR="00F04191" w:rsidRPr="00905D0F" w:rsidRDefault="00F04191" w:rsidP="00165F17">
      <w:pPr>
        <w:pStyle w:val="Prrafodelista"/>
        <w:spacing w:line="360" w:lineRule="auto"/>
        <w:ind w:left="0" w:right="-518"/>
        <w:jc w:val="both"/>
        <w:rPr>
          <w:rFonts w:ascii="Palatino Linotype" w:hAnsi="Palatino Linotype"/>
          <w:color w:val="000000" w:themeColor="text1"/>
        </w:rPr>
      </w:pPr>
    </w:p>
    <w:p w:rsidR="00F04191" w:rsidRPr="00905D0F" w:rsidRDefault="00F04191" w:rsidP="00165F17">
      <w:pPr>
        <w:pStyle w:val="Prrafodelista"/>
        <w:spacing w:line="360" w:lineRule="auto"/>
        <w:ind w:left="0" w:right="-518"/>
        <w:jc w:val="both"/>
        <w:rPr>
          <w:rFonts w:ascii="Palatino Linotype" w:hAnsi="Palatino Linotype"/>
          <w:color w:val="000000" w:themeColor="text1"/>
        </w:rPr>
      </w:pPr>
    </w:p>
    <w:p w:rsidR="00BD7879" w:rsidRPr="00905D0F" w:rsidRDefault="00F04191" w:rsidP="00165F17">
      <w:pPr>
        <w:pStyle w:val="Prrafodelista"/>
        <w:numPr>
          <w:ilvl w:val="0"/>
          <w:numId w:val="1"/>
        </w:numPr>
        <w:spacing w:line="360" w:lineRule="auto"/>
        <w:ind w:left="0" w:right="-518" w:firstLine="0"/>
        <w:jc w:val="both"/>
        <w:rPr>
          <w:rFonts w:ascii="Palatino Linotype" w:hAnsi="Palatino Linotype"/>
          <w:color w:val="000000" w:themeColor="text1"/>
        </w:rPr>
      </w:pPr>
      <w:r w:rsidRPr="00905D0F">
        <w:rPr>
          <w:rFonts w:ascii="Palatino Linotype" w:hAnsi="Palatino Linotype"/>
          <w:color w:val="000000" w:themeColor="text1"/>
        </w:rPr>
        <w:lastRenderedPageBreak/>
        <w:t xml:space="preserve">De lo anterior se advierte que no se puede tener por colmada en su totalidad la solicitud de información que nos ocupa, </w:t>
      </w:r>
      <w:r w:rsidR="00570686" w:rsidRPr="00905D0F">
        <w:rPr>
          <w:rFonts w:ascii="Palatino Linotype" w:hAnsi="Palatino Linotype"/>
          <w:color w:val="000000" w:themeColor="text1"/>
        </w:rPr>
        <w:t>derivado de que, en primer lugar</w:t>
      </w:r>
      <w:r w:rsidR="00BD7879" w:rsidRPr="00905D0F">
        <w:rPr>
          <w:rFonts w:ascii="Palatino Linotype" w:hAnsi="Palatino Linotype"/>
          <w:color w:val="000000" w:themeColor="text1"/>
        </w:rPr>
        <w:t xml:space="preserve">, respecto </w:t>
      </w:r>
      <w:r w:rsidR="00570686" w:rsidRPr="00905D0F">
        <w:rPr>
          <w:rFonts w:ascii="Palatino Linotype" w:hAnsi="Palatino Linotype"/>
          <w:color w:val="000000" w:themeColor="text1"/>
        </w:rPr>
        <w:t xml:space="preserve">la </w:t>
      </w:r>
      <w:r w:rsidR="00C3665E" w:rsidRPr="00905D0F">
        <w:rPr>
          <w:rFonts w:ascii="Palatino Linotype" w:hAnsi="Palatino Linotype"/>
          <w:b/>
          <w:color w:val="000000" w:themeColor="text1"/>
        </w:rPr>
        <w:t>“</w:t>
      </w:r>
      <w:r w:rsidR="00BD7879" w:rsidRPr="00905D0F">
        <w:rPr>
          <w:rFonts w:ascii="Palatino Linotype" w:hAnsi="Palatino Linotype"/>
          <w:b/>
          <w:i/>
          <w:color w:val="000000" w:themeColor="text1"/>
          <w:lang w:val="es-MX"/>
        </w:rPr>
        <w:t>Documentación emitida para regular el comercio ambulante dentro de sus límites territoriales</w:t>
      </w:r>
      <w:r w:rsidR="00C3665E" w:rsidRPr="00905D0F">
        <w:rPr>
          <w:rFonts w:ascii="Palatino Linotype" w:hAnsi="Palatino Linotype"/>
          <w:b/>
          <w:i/>
          <w:color w:val="000000" w:themeColor="text1"/>
          <w:lang w:val="es-MX"/>
        </w:rPr>
        <w:t>”</w:t>
      </w:r>
      <w:r w:rsidR="00BD7879" w:rsidRPr="00905D0F">
        <w:rPr>
          <w:rFonts w:ascii="Palatino Linotype" w:hAnsi="Palatino Linotype"/>
          <w:b/>
          <w:i/>
          <w:color w:val="000000" w:themeColor="text1"/>
          <w:lang w:val="es-MX"/>
        </w:rPr>
        <w:t>,</w:t>
      </w:r>
      <w:r w:rsidR="00BD7879" w:rsidRPr="00905D0F">
        <w:rPr>
          <w:rFonts w:ascii="Palatino Linotype" w:hAnsi="Palatino Linotype"/>
          <w:i/>
          <w:color w:val="000000" w:themeColor="text1"/>
          <w:lang w:val="es-MX"/>
        </w:rPr>
        <w:t xml:space="preserve"> </w:t>
      </w:r>
      <w:r w:rsidR="00BD7879" w:rsidRPr="00905D0F">
        <w:rPr>
          <w:rFonts w:ascii="Palatino Linotype" w:hAnsi="Palatino Linotype"/>
          <w:color w:val="000000" w:themeColor="text1"/>
          <w:lang w:val="es-MX"/>
        </w:rPr>
        <w:t xml:space="preserve">se reitera, que el </w:t>
      </w:r>
      <w:r w:rsidR="00BD7879" w:rsidRPr="00905D0F">
        <w:rPr>
          <w:rFonts w:ascii="Palatino Linotype" w:hAnsi="Palatino Linotype"/>
          <w:b/>
          <w:color w:val="000000" w:themeColor="text1"/>
          <w:lang w:val="es-MX"/>
        </w:rPr>
        <w:t xml:space="preserve">SUJETO OBLIGADO, </w:t>
      </w:r>
      <w:r w:rsidR="00BD7879" w:rsidRPr="00905D0F">
        <w:rPr>
          <w:rFonts w:ascii="Palatino Linotype" w:hAnsi="Palatino Linotype"/>
          <w:color w:val="000000" w:themeColor="text1"/>
          <w:lang w:val="es-MX"/>
        </w:rPr>
        <w:t xml:space="preserve">remitió </w:t>
      </w:r>
      <w:r w:rsidR="00BD7879" w:rsidRPr="00905D0F">
        <w:rPr>
          <w:rFonts w:ascii="Palatino Linotype" w:hAnsi="Palatino Linotype"/>
          <w:color w:val="000000" w:themeColor="text1"/>
        </w:rPr>
        <w:t>22 Invitaciones Públicas del mes de marzo de dos mil veinticinco, 22 Cartas compromisos del mes de mayo de do mil veinticinco, 50 cartas compromiso del mes de junio de dos mil veinticinco, 89 Avisos del mes de mayo de dos mil veinticinco y 2 avisos sin fecha, sin que se haya remitido el</w:t>
      </w:r>
      <w:r w:rsidR="00BD7879" w:rsidRPr="00905D0F">
        <w:rPr>
          <w:rFonts w:ascii="Palatino Linotype" w:eastAsia="Palatino Linotype" w:hAnsi="Palatino Linotype" w:cs="Palatino Linotype"/>
        </w:rPr>
        <w:t xml:space="preserve"> Acuerdo del Comité de Transparencia con las formalidades legales  que justifiquen la clasificación de la información que se considera como confidencial y que sustente la entrega en versión publica de la información proporcionada.</w:t>
      </w:r>
    </w:p>
    <w:p w:rsidR="005D7393" w:rsidRPr="00905D0F" w:rsidRDefault="005D7393" w:rsidP="00165F17">
      <w:pPr>
        <w:pStyle w:val="Prrafodelista"/>
        <w:spacing w:line="360" w:lineRule="auto"/>
        <w:ind w:left="0" w:right="-518"/>
        <w:jc w:val="both"/>
        <w:rPr>
          <w:rFonts w:ascii="Palatino Linotype" w:hAnsi="Palatino Linotype"/>
          <w:color w:val="000000" w:themeColor="text1"/>
        </w:rPr>
      </w:pPr>
    </w:p>
    <w:p w:rsidR="005D7393" w:rsidRPr="00905D0F" w:rsidRDefault="005D7393" w:rsidP="00165F17">
      <w:pPr>
        <w:pStyle w:val="Prrafodelista"/>
        <w:numPr>
          <w:ilvl w:val="0"/>
          <w:numId w:val="1"/>
        </w:numPr>
        <w:spacing w:line="360" w:lineRule="auto"/>
        <w:ind w:left="0" w:right="-518" w:firstLine="0"/>
        <w:jc w:val="both"/>
        <w:rPr>
          <w:rFonts w:ascii="Palatino Linotype" w:hAnsi="Palatino Linotype"/>
          <w:color w:val="000000" w:themeColor="text1"/>
        </w:rPr>
      </w:pPr>
      <w:r w:rsidRPr="00905D0F">
        <w:rPr>
          <w:rFonts w:ascii="Palatino Linotype" w:hAnsi="Palatino Linotype"/>
          <w:color w:val="000000" w:themeColor="text1"/>
        </w:rPr>
        <w:t>Asimismo, se observa que se testo información que es considera como pública, como lo es la firma de los servidores públicos</w:t>
      </w:r>
      <w:r w:rsidRPr="00905D0F">
        <w:rPr>
          <w:rFonts w:ascii="Palatino Linotype" w:eastAsia="Palatino Linotype" w:hAnsi="Palatino Linotype" w:cs="Palatino Linotype"/>
        </w:rPr>
        <w:t xml:space="preserve">, </w:t>
      </w:r>
      <w:r w:rsidR="00570686" w:rsidRPr="00905D0F">
        <w:rPr>
          <w:rFonts w:ascii="Palatino Linotype" w:eastAsia="Palatino Linotype" w:hAnsi="Palatino Linotype" w:cs="Palatino Linotype"/>
        </w:rPr>
        <w:t xml:space="preserve">ya que si bien es cierto, </w:t>
      </w:r>
      <w:r w:rsidRPr="00905D0F">
        <w:rPr>
          <w:rFonts w:ascii="Palatino Linotype" w:eastAsia="Palatino Linotype" w:hAnsi="Palatino Linotype" w:cs="Palatino Linotype"/>
        </w:rPr>
        <w:t xml:space="preserve">la firma es </w:t>
      </w:r>
      <w:r w:rsidR="000F4768" w:rsidRPr="00905D0F">
        <w:rPr>
          <w:rFonts w:ascii="Palatino Linotype" w:eastAsia="Palatino Linotype" w:hAnsi="Palatino Linotype" w:cs="Palatino Linotype"/>
        </w:rPr>
        <w:t xml:space="preserve">un dato personal confidencial,  </w:t>
      </w:r>
      <w:r w:rsidR="00570686" w:rsidRPr="00905D0F">
        <w:rPr>
          <w:rFonts w:ascii="Palatino Linotype" w:eastAsia="Palatino Linotype" w:hAnsi="Palatino Linotype" w:cs="Palatino Linotype"/>
        </w:rPr>
        <w:t>este</w:t>
      </w:r>
      <w:r w:rsidRPr="00905D0F">
        <w:rPr>
          <w:rFonts w:ascii="Palatino Linotype" w:eastAsia="Palatino Linotype" w:hAnsi="Palatino Linotype" w:cs="Palatino Linotype"/>
        </w:rPr>
        <w:t xml:space="preserve"> será público cuando sirva para la emisión de un acto de autoridad</w:t>
      </w:r>
      <w:r w:rsidR="00570686" w:rsidRPr="00905D0F">
        <w:rPr>
          <w:rFonts w:ascii="Palatino Linotype" w:eastAsia="Palatino Linotype" w:hAnsi="Palatino Linotype" w:cs="Palatino Linotype"/>
        </w:rPr>
        <w:t>, en ejercicio de sus funciones, como ocurre en el caso que nos ocupa.</w:t>
      </w:r>
    </w:p>
    <w:p w:rsidR="005D7393" w:rsidRPr="00905D0F" w:rsidRDefault="005D7393" w:rsidP="00165F17">
      <w:pPr>
        <w:tabs>
          <w:tab w:val="left" w:pos="4962"/>
        </w:tabs>
        <w:spacing w:line="360" w:lineRule="auto"/>
        <w:ind w:right="-518"/>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sz w:val="24"/>
          <w:szCs w:val="24"/>
        </w:rPr>
        <w:t> </w:t>
      </w:r>
    </w:p>
    <w:p w:rsidR="005D7393" w:rsidRPr="00905D0F" w:rsidRDefault="005D7393" w:rsidP="00165F17">
      <w:pPr>
        <w:pStyle w:val="Prrafodelista"/>
        <w:numPr>
          <w:ilvl w:val="0"/>
          <w:numId w:val="1"/>
        </w:numPr>
        <w:spacing w:line="360" w:lineRule="auto"/>
        <w:ind w:left="0" w:right="-518" w:firstLine="0"/>
        <w:jc w:val="both"/>
        <w:rPr>
          <w:rFonts w:ascii="Palatino Linotype" w:eastAsia="Palatino Linotype" w:hAnsi="Palatino Linotype" w:cs="Palatino Linotype"/>
        </w:rPr>
      </w:pPr>
      <w:r w:rsidRPr="00905D0F">
        <w:rPr>
          <w:rFonts w:ascii="Palatino Linotype" w:eastAsia="Palatino Linotype" w:hAnsi="Palatino Linotype" w:cs="Palatino Linotype"/>
        </w:rPr>
        <w:t>Lo anterior, es así, toda vez que la firma de servidores públicos, vinculada al ejercicio de la función pública es información de naturaleza pública, pues documenta y rinde cuentas sobre el debido</w:t>
      </w:r>
      <w:r w:rsidR="00A70680" w:rsidRPr="00905D0F">
        <w:rPr>
          <w:rFonts w:ascii="Palatino Linotype" w:eastAsia="Palatino Linotype" w:hAnsi="Palatino Linotype" w:cs="Palatino Linotype"/>
        </w:rPr>
        <w:t xml:space="preserve"> ejercicio de sus atribuciones.</w:t>
      </w:r>
    </w:p>
    <w:p w:rsidR="005D7393" w:rsidRPr="00905D0F" w:rsidRDefault="005D7393" w:rsidP="00165F17">
      <w:pPr>
        <w:tabs>
          <w:tab w:val="left" w:pos="4962"/>
        </w:tabs>
        <w:spacing w:line="360" w:lineRule="auto"/>
        <w:ind w:right="-518"/>
        <w:jc w:val="both"/>
        <w:rPr>
          <w:rFonts w:ascii="Palatino Linotype" w:eastAsia="Palatino Linotype" w:hAnsi="Palatino Linotype" w:cs="Palatino Linotype"/>
          <w:sz w:val="24"/>
          <w:szCs w:val="24"/>
        </w:rPr>
      </w:pPr>
    </w:p>
    <w:p w:rsidR="005D7393" w:rsidRPr="00905D0F" w:rsidRDefault="005D7393"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eastAsia="Palatino Linotype" w:hAnsi="Palatino Linotype" w:cs="Palatino Linotype"/>
        </w:rPr>
        <w:t>La publicidad de dichos datos, se robustece, con el </w:t>
      </w:r>
      <w:r w:rsidRPr="00905D0F">
        <w:rPr>
          <w:rFonts w:ascii="Palatino Linotype" w:eastAsia="Palatino Linotype" w:hAnsi="Palatino Linotype" w:cs="Palatino Linotype"/>
          <w:color w:val="000000"/>
        </w:rPr>
        <w:t>Criterio de Interpretación, de la Segunda Época, con clave de control SO/002/2019, emitido por el Instituto Nacional de Transparencia, Acceso a la Información y Protección de Datos Personales, que establece lo siguiente:</w:t>
      </w:r>
    </w:p>
    <w:p w:rsidR="005D7393" w:rsidRPr="00905D0F" w:rsidRDefault="005D7393" w:rsidP="00905D0F">
      <w:pPr>
        <w:shd w:val="clear" w:color="auto" w:fill="FFFFFF"/>
        <w:spacing w:line="360" w:lineRule="auto"/>
        <w:ind w:left="1134" w:right="-518"/>
        <w:jc w:val="both"/>
        <w:rPr>
          <w:rFonts w:ascii="Palatino Linotype" w:eastAsia="Palatino Linotype" w:hAnsi="Palatino Linotype" w:cs="Palatino Linotype"/>
          <w:color w:val="000000"/>
          <w:sz w:val="24"/>
          <w:szCs w:val="24"/>
        </w:rPr>
      </w:pPr>
      <w:r w:rsidRPr="00905D0F">
        <w:rPr>
          <w:rFonts w:ascii="Palatino Linotype" w:eastAsia="Palatino Linotype" w:hAnsi="Palatino Linotype" w:cs="Palatino Linotype"/>
          <w:sz w:val="24"/>
          <w:szCs w:val="24"/>
        </w:rPr>
        <w:lastRenderedPageBreak/>
        <w:t> </w:t>
      </w:r>
      <w:r w:rsidRPr="00905D0F">
        <w:rPr>
          <w:rFonts w:ascii="Palatino Linotype" w:eastAsia="Palatino Linotype" w:hAnsi="Palatino Linotype" w:cs="Palatino Linotype"/>
          <w:b/>
          <w:i/>
          <w:sz w:val="24"/>
          <w:szCs w:val="24"/>
        </w:rPr>
        <w:t>“Firma y rúbrica de servidores públicos.</w:t>
      </w:r>
      <w:r w:rsidRPr="00905D0F">
        <w:rPr>
          <w:rFonts w:ascii="Palatino Linotype" w:eastAsia="Palatino Linotype" w:hAnsi="Palatino Linotype" w:cs="Palatino Linotype"/>
          <w:i/>
          <w:sz w:val="24"/>
          <w:szCs w:val="24"/>
        </w:rPr>
        <w:t> Si bien la firma y la rúbrica son datos personales confidenciales, cuando un servidor público emite un acto como autoridad, en ejercicio de las funciones que tiene conferidas, la firma o rúbrica mediante la cual se valida dicho acto es pública.”</w:t>
      </w:r>
    </w:p>
    <w:p w:rsidR="00BD7879" w:rsidRPr="00905D0F" w:rsidRDefault="00BD7879" w:rsidP="00165F17">
      <w:pPr>
        <w:pStyle w:val="Prrafodelista"/>
        <w:spacing w:line="360" w:lineRule="auto"/>
        <w:ind w:left="0" w:right="-518"/>
        <w:jc w:val="both"/>
        <w:rPr>
          <w:rFonts w:ascii="Palatino Linotype" w:hAnsi="Palatino Linotype"/>
          <w:color w:val="000000" w:themeColor="text1"/>
        </w:rPr>
      </w:pPr>
    </w:p>
    <w:p w:rsidR="00BD7879" w:rsidRPr="00905D0F" w:rsidRDefault="005D7393" w:rsidP="00165F17">
      <w:pPr>
        <w:pStyle w:val="Prrafodelista"/>
        <w:numPr>
          <w:ilvl w:val="0"/>
          <w:numId w:val="1"/>
        </w:numPr>
        <w:spacing w:line="360" w:lineRule="auto"/>
        <w:ind w:left="0" w:right="-518" w:firstLine="0"/>
        <w:jc w:val="both"/>
        <w:rPr>
          <w:rFonts w:ascii="Palatino Linotype" w:eastAsia="Palatino Linotype" w:hAnsi="Palatino Linotype" w:cs="Palatino Linotype"/>
        </w:rPr>
      </w:pPr>
      <w:r w:rsidRPr="00905D0F">
        <w:rPr>
          <w:rFonts w:ascii="Palatino Linotype" w:eastAsia="Palatino Linotype" w:hAnsi="Palatino Linotype" w:cs="Palatino Linotype"/>
        </w:rPr>
        <w:t>Precisado lo</w:t>
      </w:r>
      <w:r w:rsidR="00BD7879" w:rsidRPr="00905D0F">
        <w:rPr>
          <w:rFonts w:ascii="Palatino Linotype" w:eastAsia="Palatino Linotype" w:hAnsi="Palatino Linotype" w:cs="Palatino Linotype"/>
        </w:rPr>
        <w:t xml:space="preserve"> anterior, </w:t>
      </w:r>
      <w:r w:rsidR="00570686" w:rsidRPr="00905D0F">
        <w:rPr>
          <w:rFonts w:ascii="Palatino Linotype" w:eastAsia="Palatino Linotype" w:hAnsi="Palatino Linotype" w:cs="Palatino Linotype"/>
        </w:rPr>
        <w:t xml:space="preserve">respecto el acuerdo de clasificación de la información, </w:t>
      </w:r>
      <w:r w:rsidR="00BD7879" w:rsidRPr="00905D0F">
        <w:rPr>
          <w:rFonts w:ascii="Palatino Linotype" w:eastAsia="Palatino Linotype" w:hAnsi="Palatino Linotype" w:cs="Palatino Linotype"/>
        </w:rPr>
        <w:t>resulta necesario traer a colación lo estipulado por los Lineamientos Generales de Clasificación y Desclasificación de la Información, así como para la elaboración de Versiones Públicas</w:t>
      </w:r>
      <w:r w:rsidR="000F4768" w:rsidRPr="00905D0F">
        <w:rPr>
          <w:rFonts w:ascii="Palatino Linotype" w:eastAsia="Palatino Linotype" w:hAnsi="Palatino Linotype" w:cs="Palatino Linotype"/>
        </w:rPr>
        <w:t>.</w:t>
      </w:r>
    </w:p>
    <w:p w:rsidR="00BD7879" w:rsidRPr="00905D0F" w:rsidRDefault="00BD7879" w:rsidP="00165F17">
      <w:pPr>
        <w:tabs>
          <w:tab w:val="left" w:pos="284"/>
        </w:tabs>
        <w:spacing w:after="240"/>
        <w:ind w:right="191"/>
        <w:jc w:val="both"/>
        <w:rPr>
          <w:rFonts w:ascii="Palatino Linotype" w:eastAsia="Palatino Linotype" w:hAnsi="Palatino Linotype" w:cs="Palatino Linotype"/>
          <w:b/>
          <w:i/>
          <w:sz w:val="24"/>
          <w:szCs w:val="24"/>
        </w:rPr>
      </w:pPr>
      <w:r w:rsidRPr="00905D0F">
        <w:rPr>
          <w:rFonts w:ascii="Palatino Linotype" w:eastAsia="Palatino Linotype" w:hAnsi="Palatino Linotype" w:cs="Palatino Linotype"/>
          <w:sz w:val="24"/>
          <w:szCs w:val="24"/>
        </w:rPr>
        <w:tab/>
      </w:r>
      <w:r w:rsidRPr="00905D0F">
        <w:rPr>
          <w:rFonts w:ascii="Palatino Linotype" w:eastAsia="Palatino Linotype" w:hAnsi="Palatino Linotype" w:cs="Palatino Linotype"/>
          <w:sz w:val="24"/>
          <w:szCs w:val="24"/>
        </w:rPr>
        <w:tab/>
        <w:t xml:space="preserve">   “</w:t>
      </w:r>
      <w:r w:rsidRPr="00905D0F">
        <w:rPr>
          <w:rFonts w:ascii="Palatino Linotype" w:eastAsia="Palatino Linotype" w:hAnsi="Palatino Linotype" w:cs="Palatino Linotype"/>
          <w:b/>
          <w:i/>
          <w:sz w:val="24"/>
          <w:szCs w:val="24"/>
        </w:rPr>
        <w:t>CAPÍTULO VI</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b/>
          <w:i/>
          <w:sz w:val="24"/>
          <w:szCs w:val="24"/>
        </w:rPr>
      </w:pPr>
      <w:r w:rsidRPr="00905D0F">
        <w:rPr>
          <w:rFonts w:ascii="Palatino Linotype" w:eastAsia="Palatino Linotype" w:hAnsi="Palatino Linotype" w:cs="Palatino Linotype"/>
          <w:b/>
          <w:i/>
          <w:sz w:val="24"/>
          <w:szCs w:val="24"/>
        </w:rPr>
        <w:t xml:space="preserve">DE LA INFORMACIÓN CONFIDENCIAL </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i/>
          <w:sz w:val="24"/>
          <w:szCs w:val="24"/>
        </w:rPr>
      </w:pPr>
      <w:r w:rsidRPr="00905D0F">
        <w:rPr>
          <w:rFonts w:ascii="Palatino Linotype" w:eastAsia="Palatino Linotype" w:hAnsi="Palatino Linotype" w:cs="Palatino Linotype"/>
          <w:b/>
          <w:i/>
          <w:sz w:val="24"/>
          <w:szCs w:val="24"/>
        </w:rPr>
        <w:t>Trigésimo octavo.</w:t>
      </w:r>
      <w:r w:rsidRPr="00905D0F">
        <w:rPr>
          <w:rFonts w:ascii="Palatino Linotype" w:eastAsia="Palatino Linotype" w:hAnsi="Palatino Linotype" w:cs="Palatino Linotype"/>
          <w:i/>
          <w:sz w:val="24"/>
          <w:szCs w:val="24"/>
        </w:rPr>
        <w:t xml:space="preserve"> Se considera susceptible de clasificarse como información confidencial: (Primer párrafo modificado mediante Acuerdo del Consejo Nacional DOF 18 de noviembre de 2022) </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i/>
          <w:sz w:val="24"/>
          <w:szCs w:val="24"/>
        </w:rPr>
      </w:pPr>
      <w:r w:rsidRPr="00905D0F">
        <w:rPr>
          <w:rFonts w:ascii="Palatino Linotype" w:eastAsia="Palatino Linotype" w:hAnsi="Palatino Linotype" w:cs="Palatino Linotype"/>
          <w:i/>
          <w:sz w:val="24"/>
          <w:szCs w:val="24"/>
        </w:rPr>
        <w:t xml:space="preserve">I. Los datos personales, entendidos como cualquier información concerniente a una persona física identificada o identificable, en términos de la norma aplicable que, de manera enunciativa más no limitativa, se pueden identificar de acuerdo a las siguientes categorías: </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i/>
          <w:sz w:val="24"/>
          <w:szCs w:val="24"/>
        </w:rPr>
      </w:pPr>
      <w:r w:rsidRPr="00905D0F">
        <w:rPr>
          <w:rFonts w:ascii="Palatino Linotype" w:eastAsia="Palatino Linotype" w:hAnsi="Palatino Linotype" w:cs="Palatino Linotype"/>
          <w:i/>
          <w:sz w:val="24"/>
          <w:szCs w:val="24"/>
        </w:rPr>
        <w:t xml:space="preserve">1. </w:t>
      </w:r>
      <w:r w:rsidRPr="00905D0F">
        <w:rPr>
          <w:rFonts w:ascii="Palatino Linotype" w:eastAsia="Palatino Linotype" w:hAnsi="Palatino Linotype" w:cs="Palatino Linotype"/>
          <w:b/>
          <w:i/>
          <w:sz w:val="24"/>
          <w:szCs w:val="24"/>
        </w:rPr>
        <w:t>Datos identificativos: El nombre, alias, pseudónimo, domicilio, código postal, teléfono particular, sexo, estado civil, teléfono celular, firma, clave de Registro Federal de Contribuyentes (RFC), Clave Única de Registro de Población (CURP), Clave de Elector, Matrícula del Servicio Militar Nacional, número de pasaporte, lugar y fecha de nacimiento, nacionalidad, edad, fotografía, localidad y sección electoral, y análogos.</w:t>
      </w:r>
      <w:r w:rsidRPr="00905D0F">
        <w:rPr>
          <w:rFonts w:ascii="Palatino Linotype" w:eastAsia="Palatino Linotype" w:hAnsi="Palatino Linotype" w:cs="Palatino Linotype"/>
          <w:i/>
          <w:sz w:val="24"/>
          <w:szCs w:val="24"/>
        </w:rPr>
        <w:t xml:space="preserve"> </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i/>
          <w:sz w:val="24"/>
          <w:szCs w:val="24"/>
        </w:rPr>
      </w:pPr>
      <w:r w:rsidRPr="00905D0F">
        <w:rPr>
          <w:rFonts w:ascii="Palatino Linotype" w:eastAsia="Palatino Linotype" w:hAnsi="Palatino Linotype" w:cs="Palatino Linotype"/>
          <w:i/>
          <w:sz w:val="24"/>
          <w:szCs w:val="24"/>
        </w:rPr>
        <w:t xml:space="preserve">... </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b/>
          <w:i/>
          <w:sz w:val="24"/>
          <w:szCs w:val="24"/>
        </w:rPr>
      </w:pPr>
      <w:r w:rsidRPr="00905D0F">
        <w:rPr>
          <w:rFonts w:ascii="Palatino Linotype" w:eastAsia="Palatino Linotype" w:hAnsi="Palatino Linotype" w:cs="Palatino Linotype"/>
          <w:b/>
          <w:i/>
          <w:sz w:val="24"/>
          <w:szCs w:val="24"/>
        </w:rPr>
        <w:t xml:space="preserve">5. Datos Laborales: Número de seguridad social, documentos de reclutamiento o selección, nombramiento, incidencia, capacitación, </w:t>
      </w:r>
      <w:r w:rsidRPr="00905D0F">
        <w:rPr>
          <w:rFonts w:ascii="Palatino Linotype" w:eastAsia="Palatino Linotype" w:hAnsi="Palatino Linotype" w:cs="Palatino Linotype"/>
          <w:b/>
          <w:i/>
          <w:sz w:val="24"/>
          <w:szCs w:val="24"/>
        </w:rPr>
        <w:lastRenderedPageBreak/>
        <w:t>actividades extracurriculares, referencias laborales, referencias personales, solicitud de empleo, hoja de servicio, y análogos.</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b/>
          <w:i/>
          <w:sz w:val="24"/>
          <w:szCs w:val="24"/>
        </w:rPr>
      </w:pPr>
      <w:r w:rsidRPr="00905D0F">
        <w:rPr>
          <w:rFonts w:ascii="Palatino Linotype" w:eastAsia="Palatino Linotype" w:hAnsi="Palatino Linotype" w:cs="Palatino Linotype"/>
          <w:b/>
          <w:i/>
          <w:sz w:val="24"/>
          <w:szCs w:val="24"/>
        </w:rPr>
        <w:t>…</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b/>
          <w:i/>
          <w:sz w:val="24"/>
          <w:szCs w:val="24"/>
        </w:rPr>
      </w:pPr>
      <w:r w:rsidRPr="00905D0F">
        <w:rPr>
          <w:rFonts w:ascii="Palatino Linotype" w:eastAsia="Palatino Linotype" w:hAnsi="Palatino Linotype" w:cs="Palatino Linotype"/>
          <w:b/>
          <w:i/>
          <w:sz w:val="24"/>
          <w:szCs w:val="24"/>
        </w:rPr>
        <w:t xml:space="preserve">9. Datos de tránsito y movimientos migratorios: Información relativa al tránsito de las personas dentro y fuera del país, así como información migratoria, cédula migratoria, visa, pasaporte. </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b/>
          <w:i/>
          <w:sz w:val="24"/>
          <w:szCs w:val="24"/>
        </w:rPr>
      </w:pPr>
      <w:r w:rsidRPr="00905D0F">
        <w:rPr>
          <w:rFonts w:ascii="Palatino Linotype" w:eastAsia="Palatino Linotype" w:hAnsi="Palatino Linotype" w:cs="Palatino Linotype"/>
          <w:b/>
          <w:i/>
          <w:sz w:val="24"/>
          <w:szCs w:val="24"/>
        </w:rPr>
        <w:t>10. Datos electrónicos: Firma electrónica, dirección de correo electrónico, código QR”</w:t>
      </w:r>
    </w:p>
    <w:p w:rsidR="00BD7879" w:rsidRPr="00905D0F" w:rsidRDefault="00BD7879" w:rsidP="00165F17">
      <w:pPr>
        <w:tabs>
          <w:tab w:val="left" w:pos="284"/>
        </w:tabs>
        <w:spacing w:after="240"/>
        <w:ind w:left="851" w:right="191"/>
        <w:jc w:val="both"/>
        <w:rPr>
          <w:rFonts w:ascii="Palatino Linotype" w:eastAsia="Palatino Linotype" w:hAnsi="Palatino Linotype" w:cs="Palatino Linotype"/>
          <w:b/>
          <w:i/>
          <w:sz w:val="24"/>
          <w:szCs w:val="24"/>
        </w:rPr>
      </w:pPr>
    </w:p>
    <w:p w:rsidR="00BD7879" w:rsidRPr="00905D0F" w:rsidRDefault="00BD7879" w:rsidP="00165F17">
      <w:pPr>
        <w:tabs>
          <w:tab w:val="left" w:pos="284"/>
        </w:tabs>
        <w:ind w:left="851" w:right="191"/>
        <w:jc w:val="both"/>
        <w:rPr>
          <w:rFonts w:ascii="Palatino Linotype" w:hAnsi="Palatino Linotype"/>
          <w:b/>
          <w:i/>
          <w:sz w:val="24"/>
          <w:szCs w:val="24"/>
        </w:rPr>
      </w:pPr>
      <w:r w:rsidRPr="00905D0F">
        <w:rPr>
          <w:rFonts w:ascii="Palatino Linotype" w:hAnsi="Palatino Linotype"/>
          <w:b/>
          <w:i/>
          <w:sz w:val="24"/>
          <w:szCs w:val="24"/>
        </w:rPr>
        <w:t>“CAPÍTULO VIII</w:t>
      </w:r>
    </w:p>
    <w:p w:rsidR="00BD7879" w:rsidRPr="00905D0F" w:rsidRDefault="00BD7879" w:rsidP="00165F17">
      <w:pPr>
        <w:tabs>
          <w:tab w:val="left" w:pos="284"/>
        </w:tabs>
        <w:ind w:left="851" w:right="191"/>
        <w:jc w:val="both"/>
        <w:rPr>
          <w:rFonts w:ascii="Palatino Linotype" w:hAnsi="Palatino Linotype"/>
          <w:b/>
          <w:i/>
          <w:sz w:val="24"/>
          <w:szCs w:val="24"/>
        </w:rPr>
      </w:pPr>
      <w:r w:rsidRPr="00905D0F">
        <w:rPr>
          <w:rFonts w:ascii="Palatino Linotype" w:hAnsi="Palatino Linotype"/>
          <w:b/>
          <w:i/>
          <w:sz w:val="24"/>
          <w:szCs w:val="24"/>
        </w:rPr>
        <w:t xml:space="preserve">DE LOS ELEMENTOS PARA LA CLASIFICACIÓN </w:t>
      </w:r>
    </w:p>
    <w:p w:rsidR="00BD7879" w:rsidRPr="00905D0F" w:rsidRDefault="00BD7879" w:rsidP="00165F17">
      <w:pPr>
        <w:tabs>
          <w:tab w:val="left" w:pos="284"/>
        </w:tabs>
        <w:ind w:left="851" w:right="191"/>
        <w:jc w:val="both"/>
        <w:rPr>
          <w:rFonts w:ascii="Palatino Linotype" w:hAnsi="Palatino Linotype"/>
          <w:b/>
          <w:i/>
          <w:sz w:val="24"/>
          <w:szCs w:val="24"/>
        </w:rPr>
      </w:pPr>
      <w:r w:rsidRPr="00905D0F">
        <w:rPr>
          <w:rFonts w:ascii="Palatino Linotype" w:hAnsi="Palatino Linotype"/>
          <w:b/>
          <w:i/>
          <w:sz w:val="24"/>
          <w:szCs w:val="24"/>
        </w:rPr>
        <w:t xml:space="preserve">(Epígrafe modificado mediante Acuerdo del Consejo Nacional DOF 18 de noviembre de 2022) </w:t>
      </w:r>
    </w:p>
    <w:p w:rsidR="00BD7879" w:rsidRPr="00905D0F" w:rsidRDefault="00BD7879" w:rsidP="00165F17">
      <w:pPr>
        <w:tabs>
          <w:tab w:val="left" w:pos="284"/>
        </w:tabs>
        <w:ind w:left="851" w:right="191"/>
        <w:jc w:val="both"/>
        <w:rPr>
          <w:rFonts w:ascii="Palatino Linotype" w:hAnsi="Palatino Linotype"/>
          <w:b/>
          <w:i/>
          <w:sz w:val="24"/>
          <w:szCs w:val="24"/>
        </w:rPr>
      </w:pP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Quincuagésimo.</w:t>
      </w:r>
      <w:r w:rsidRPr="00905D0F">
        <w:rPr>
          <w:rFonts w:ascii="Palatino Linotype" w:hAnsi="Palatino Linotype"/>
          <w:i/>
          <w:sz w:val="24"/>
          <w:szCs w:val="24"/>
        </w:rPr>
        <w:t xml:space="preserve"> Los titulares de las áreas de los sujetos obligados podrán establecer sus propios modelos o formatos para la elaboración de versiones públicas de documentos o expedientes, siempre y cuando cumplan Io establecido en los presentes Lineamientos, así como en las correspondientes Leyes Generales. (Lineamiento modificado mediante Acuerdo del Consejo Nacional DOF 18 de noviembre de 2022)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 xml:space="preserve">Quincuagésimo primero. </w:t>
      </w:r>
      <w:r w:rsidRPr="00905D0F">
        <w:rPr>
          <w:rFonts w:ascii="Palatino Linotype" w:hAnsi="Palatino Linotype"/>
          <w:i/>
          <w:sz w:val="24"/>
          <w:szCs w:val="24"/>
        </w:rPr>
        <w:t xml:space="preserve">Toda acta del Comité de Transparencia deberá contener: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l.</w:t>
      </w:r>
      <w:r w:rsidRPr="00905D0F">
        <w:rPr>
          <w:rFonts w:ascii="Palatino Linotype" w:hAnsi="Palatino Linotype"/>
          <w:i/>
          <w:sz w:val="24"/>
          <w:szCs w:val="24"/>
        </w:rPr>
        <w:t xml:space="preserve"> El número de sesión y fecha;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ll.</w:t>
      </w:r>
      <w:r w:rsidRPr="00905D0F">
        <w:rPr>
          <w:rFonts w:ascii="Palatino Linotype" w:hAnsi="Palatino Linotype"/>
          <w:i/>
          <w:sz w:val="24"/>
          <w:szCs w:val="24"/>
        </w:rPr>
        <w:t xml:space="preserve"> El nombre del área que solicitó la clasificación de información;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III.</w:t>
      </w:r>
      <w:r w:rsidRPr="00905D0F">
        <w:rPr>
          <w:rFonts w:ascii="Palatino Linotype" w:hAnsi="Palatino Linotype"/>
          <w:i/>
          <w:sz w:val="24"/>
          <w:szCs w:val="24"/>
        </w:rPr>
        <w:t xml:space="preserve"> La fundamentación legal y motivación correspondiente;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IV</w:t>
      </w:r>
      <w:r w:rsidRPr="00905D0F">
        <w:rPr>
          <w:rFonts w:ascii="Palatino Linotype" w:hAnsi="Palatino Linotype"/>
          <w:i/>
          <w:sz w:val="24"/>
          <w:szCs w:val="24"/>
        </w:rPr>
        <w:t xml:space="preserve">. La resolución o resoluciones aprobadas; y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lastRenderedPageBreak/>
        <w:t>V.</w:t>
      </w:r>
      <w:r w:rsidRPr="00905D0F">
        <w:rPr>
          <w:rFonts w:ascii="Palatino Linotype" w:hAnsi="Palatino Linotype"/>
          <w:i/>
          <w:sz w:val="24"/>
          <w:szCs w:val="24"/>
        </w:rPr>
        <w:t xml:space="preserve"> La rúbrica o firma digital de cada integrante del Comité de Transparencia.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i/>
          <w:sz w:val="24"/>
          <w:szCs w:val="24"/>
        </w:rPr>
        <w:t xml:space="preserve">Las resoluciones del Comité en las que se haya determinado confirmar o modificar la clasificación de información pública como reservada, deberán incluir, cuando menos: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l.</w:t>
      </w:r>
      <w:r w:rsidRPr="00905D0F">
        <w:rPr>
          <w:rFonts w:ascii="Palatino Linotype" w:hAnsi="Palatino Linotype"/>
          <w:i/>
          <w:sz w:val="24"/>
          <w:szCs w:val="24"/>
        </w:rPr>
        <w:t xml:space="preserve"> Los motivos y razonamientos que sustenten la confirmación o modificación de la prueba de daño;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ll.</w:t>
      </w:r>
      <w:r w:rsidRPr="00905D0F">
        <w:rPr>
          <w:rFonts w:ascii="Palatino Linotype" w:hAnsi="Palatino Linotype"/>
          <w:i/>
          <w:sz w:val="24"/>
          <w:szCs w:val="24"/>
        </w:rPr>
        <w:t xml:space="preserve"> </w:t>
      </w:r>
      <w:r w:rsidRPr="00905D0F">
        <w:rPr>
          <w:rFonts w:ascii="Palatino Linotype" w:hAnsi="Palatino Linotype"/>
          <w:b/>
          <w:i/>
          <w:sz w:val="24"/>
          <w:szCs w:val="24"/>
          <w:u w:val="single"/>
        </w:rPr>
        <w:t>Descripción de las partes o secciones reservadas</w:t>
      </w:r>
      <w:r w:rsidRPr="00905D0F">
        <w:rPr>
          <w:rFonts w:ascii="Palatino Linotype" w:hAnsi="Palatino Linotype"/>
          <w:i/>
          <w:sz w:val="24"/>
          <w:szCs w:val="24"/>
        </w:rPr>
        <w:t>, en caso de clasificación parcial;</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 xml:space="preserve"> III.</w:t>
      </w:r>
      <w:r w:rsidRPr="00905D0F">
        <w:rPr>
          <w:rFonts w:ascii="Palatino Linotype" w:hAnsi="Palatino Linotype"/>
          <w:i/>
          <w:sz w:val="24"/>
          <w:szCs w:val="24"/>
        </w:rPr>
        <w:t xml:space="preserve"> El periodo por el que mantendrá su clasificación y fecha de expiración; y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IV.</w:t>
      </w:r>
      <w:r w:rsidRPr="00905D0F">
        <w:rPr>
          <w:rFonts w:ascii="Palatino Linotype" w:hAnsi="Palatino Linotype"/>
          <w:i/>
          <w:sz w:val="24"/>
          <w:szCs w:val="24"/>
        </w:rPr>
        <w:t xml:space="preserve"> El nombre del titular y área encargada de realizar la versión pública del documento, en su caso.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i/>
          <w:sz w:val="24"/>
          <w:szCs w:val="24"/>
        </w:rPr>
        <w:tab/>
        <w:t>En los casos en que se clasifique la información como reservada siempre se entregará o anexará la prueba de daño con la respuesta al solicitante.</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i/>
          <w:sz w:val="24"/>
          <w:szCs w:val="24"/>
        </w:rPr>
        <w:tab/>
        <w:t>En los casos de resoluciones del Comité de Transparencia en las que se confirme la clasificación de información confidencial solo se deberán de identificar los tipos de datos protegidos, de conformidad con el lineamiento trigésimo octavo. (Lineamiento modificado mediante Acuerdo del Consejo Nacional DOF 18 de noviembre de 2022)</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Quincuagésimo segundo</w:t>
      </w:r>
      <w:r w:rsidRPr="00905D0F">
        <w:rPr>
          <w:rFonts w:ascii="Palatino Linotype" w:hAnsi="Palatino Linotype"/>
          <w:i/>
          <w:sz w:val="24"/>
          <w:szCs w:val="24"/>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ab/>
      </w:r>
      <w:r w:rsidRPr="00905D0F">
        <w:rPr>
          <w:rFonts w:ascii="Palatino Linotype" w:hAnsi="Palatino Linotype"/>
          <w:i/>
          <w:sz w:val="24"/>
          <w:szCs w:val="24"/>
        </w:rPr>
        <w:t xml:space="preserve">En el caso específico de la clasificación y elaboración de versiones públicas de documentos que contengan información confidencial, las áreas de los sujetos obligados deberán: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I</w:t>
      </w:r>
      <w:r w:rsidRPr="00905D0F">
        <w:rPr>
          <w:rFonts w:ascii="Palatino Linotype" w:hAnsi="Palatino Linotype"/>
          <w:i/>
          <w:sz w:val="24"/>
          <w:szCs w:val="24"/>
        </w:rPr>
        <w:t xml:space="preserve">. Fijar la fecha en que se elaboró la versión pública y la fecha en la cual el Comité de Transparencia confirmó dicha versión;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lastRenderedPageBreak/>
        <w:t>ll.</w:t>
      </w:r>
      <w:r w:rsidRPr="00905D0F">
        <w:rPr>
          <w:rFonts w:ascii="Palatino Linotype" w:hAnsi="Palatino Linotype"/>
          <w:i/>
          <w:sz w:val="24"/>
          <w:szCs w:val="24"/>
        </w:rPr>
        <w:t xml:space="preserve"> Señalar dentro del documento el tipo de información confidencial que fue testada en cada caso específico, de conformidad con el lineamiento trigésimo octavo; y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III.</w:t>
      </w:r>
      <w:r w:rsidRPr="00905D0F">
        <w:rPr>
          <w:rFonts w:ascii="Palatino Linotype" w:hAnsi="Palatino Linotype"/>
          <w:i/>
          <w:sz w:val="24"/>
          <w:szCs w:val="24"/>
        </w:rPr>
        <w:t xml:space="preserve"> Señalar las personas o instancias autorizadas a acceder a la información clasificada.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i/>
          <w:sz w:val="24"/>
          <w:szCs w:val="24"/>
        </w:rPr>
        <w:t xml:space="preserve">En los documentos de difusión electrónica, señalar en la primera hoja y en el nombre del archivo, que la versión pública corresponde a un documento que contiene información confidencial. (Lineamiento modificado mediante Acuerdo del Consejo Nacional DOF 18 de noviembre de 2022) </w:t>
      </w:r>
    </w:p>
    <w:p w:rsidR="00BD7879" w:rsidRPr="00905D0F" w:rsidRDefault="00BD7879" w:rsidP="00165F17">
      <w:pPr>
        <w:tabs>
          <w:tab w:val="left" w:pos="284"/>
        </w:tabs>
        <w:spacing w:after="240"/>
        <w:ind w:left="851" w:right="191"/>
        <w:jc w:val="both"/>
        <w:rPr>
          <w:rFonts w:ascii="Palatino Linotype" w:hAnsi="Palatino Linotype"/>
          <w:i/>
          <w:sz w:val="24"/>
          <w:szCs w:val="24"/>
        </w:rPr>
      </w:pPr>
      <w:r w:rsidRPr="00905D0F">
        <w:rPr>
          <w:rFonts w:ascii="Palatino Linotype" w:hAnsi="Palatino Linotype"/>
          <w:b/>
          <w:i/>
          <w:sz w:val="24"/>
          <w:szCs w:val="24"/>
        </w:rPr>
        <w:t>Quincuagésimo tercero</w:t>
      </w:r>
      <w:r w:rsidRPr="00905D0F">
        <w:rPr>
          <w:rFonts w:ascii="Palatino Linotype" w:hAnsi="Palatino Linotype"/>
          <w:i/>
          <w:sz w:val="24"/>
          <w:szCs w:val="24"/>
        </w:rPr>
        <w:t>. El formato para señalar la clasificación de un documento o expediente que contenga información reservada, es el siguiente: (Párrafo primero modificado mediante Acuerdo del Consejo Nacional DOF 18 de noviembre de 2022)</w:t>
      </w:r>
    </w:p>
    <w:p w:rsidR="00BD7879" w:rsidRPr="00905D0F" w:rsidRDefault="00BD7879" w:rsidP="00DF02A5">
      <w:pPr>
        <w:tabs>
          <w:tab w:val="left" w:pos="284"/>
        </w:tabs>
        <w:spacing w:after="240"/>
        <w:ind w:left="851" w:right="-518"/>
        <w:rPr>
          <w:rFonts w:ascii="Palatino Linotype" w:hAnsi="Palatino Linotype"/>
          <w:i/>
          <w:sz w:val="24"/>
          <w:szCs w:val="24"/>
        </w:rPr>
      </w:pPr>
      <w:r w:rsidRPr="00905D0F">
        <w:rPr>
          <w:rFonts w:ascii="Palatino Linotype" w:hAnsi="Palatino Linotype"/>
          <w:i/>
          <w:noProof/>
          <w:sz w:val="24"/>
          <w:szCs w:val="24"/>
          <w:lang w:eastAsia="es-MX"/>
        </w:rPr>
        <w:drawing>
          <wp:inline distT="0" distB="0" distL="0" distR="0" wp14:anchorId="0900ADDB" wp14:editId="7A1A6872">
            <wp:extent cx="4729013" cy="2700000"/>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729013" cy="2700000"/>
                    </a:xfrm>
                    <a:prstGeom prst="rect">
                      <a:avLst/>
                    </a:prstGeom>
                    <a:ln/>
                  </pic:spPr>
                </pic:pic>
              </a:graphicData>
            </a:graphic>
          </wp:inline>
        </w:drawing>
      </w:r>
    </w:p>
    <w:p w:rsidR="00165F17" w:rsidRPr="00905D0F" w:rsidRDefault="00165F17" w:rsidP="00165F17">
      <w:pPr>
        <w:tabs>
          <w:tab w:val="left" w:pos="284"/>
        </w:tabs>
        <w:spacing w:after="240"/>
        <w:ind w:left="851" w:right="-518"/>
        <w:jc w:val="center"/>
        <w:rPr>
          <w:rFonts w:ascii="Palatino Linotype" w:hAnsi="Palatino Linotype"/>
          <w:i/>
          <w:sz w:val="24"/>
          <w:szCs w:val="24"/>
        </w:rPr>
      </w:pPr>
    </w:p>
    <w:p w:rsidR="00BD7879" w:rsidRPr="00905D0F" w:rsidRDefault="00BD7879" w:rsidP="00165F17">
      <w:pPr>
        <w:tabs>
          <w:tab w:val="left" w:pos="284"/>
        </w:tabs>
        <w:spacing w:after="240"/>
        <w:ind w:left="851" w:right="49"/>
        <w:jc w:val="both"/>
        <w:rPr>
          <w:rFonts w:ascii="Palatino Linotype" w:hAnsi="Palatino Linotype"/>
          <w:i/>
          <w:sz w:val="24"/>
          <w:szCs w:val="24"/>
        </w:rPr>
      </w:pPr>
      <w:r w:rsidRPr="00905D0F">
        <w:rPr>
          <w:rFonts w:ascii="Palatino Linotype" w:hAnsi="Palatino Linotype"/>
          <w:i/>
          <w:sz w:val="24"/>
          <w:szCs w:val="24"/>
        </w:rPr>
        <w:tab/>
        <w:t xml:space="preserve">Los documentos que integren un expediente reservado en su totalidad no deberán marcarse en lo individual. (Párrafo segundo adicionado mediante Acuerdo del Consejo Nacional DOF 18 de noviembre de 2022) </w:t>
      </w:r>
    </w:p>
    <w:p w:rsidR="00BD7879" w:rsidRPr="00905D0F" w:rsidRDefault="00BD7879" w:rsidP="00165F17">
      <w:pPr>
        <w:tabs>
          <w:tab w:val="left" w:pos="284"/>
        </w:tabs>
        <w:spacing w:after="240"/>
        <w:ind w:left="851" w:right="49"/>
        <w:jc w:val="both"/>
        <w:rPr>
          <w:rFonts w:ascii="Palatino Linotype" w:hAnsi="Palatino Linotype"/>
          <w:i/>
          <w:sz w:val="24"/>
          <w:szCs w:val="24"/>
        </w:rPr>
      </w:pPr>
      <w:r w:rsidRPr="00905D0F">
        <w:rPr>
          <w:rFonts w:ascii="Palatino Linotype" w:hAnsi="Palatino Linotype"/>
          <w:i/>
          <w:sz w:val="24"/>
          <w:szCs w:val="24"/>
        </w:rPr>
        <w:lastRenderedPageBreak/>
        <w:tab/>
        <w:t>Una vez desclasificados los expedientes, si existieren documentos que tuvieran el carácter de reservados deberán permanecer o ser marcados. (Párrafo tercero adicionado mediante Acuerdo del Consejo Nacional DOF 18 de noviembre de 2022)</w:t>
      </w:r>
    </w:p>
    <w:p w:rsidR="00BD7879" w:rsidRPr="00905D0F" w:rsidRDefault="00BD7879" w:rsidP="00165F17">
      <w:pPr>
        <w:tabs>
          <w:tab w:val="left" w:pos="284"/>
        </w:tabs>
        <w:spacing w:after="240"/>
        <w:ind w:left="851" w:right="49"/>
        <w:jc w:val="both"/>
        <w:rPr>
          <w:rFonts w:ascii="Palatino Linotype" w:hAnsi="Palatino Linotype"/>
          <w:i/>
          <w:sz w:val="24"/>
          <w:szCs w:val="24"/>
        </w:rPr>
      </w:pPr>
      <w:r w:rsidRPr="00905D0F">
        <w:rPr>
          <w:rFonts w:ascii="Palatino Linotype" w:hAnsi="Palatino Linotype"/>
          <w:i/>
          <w:sz w:val="24"/>
          <w:szCs w:val="24"/>
        </w:rPr>
        <w:tab/>
        <w:t xml:space="preserve"> </w:t>
      </w:r>
      <w:r w:rsidRPr="00905D0F">
        <w:rPr>
          <w:rFonts w:ascii="Palatino Linotype" w:hAnsi="Palatino Linotype"/>
          <w:b/>
          <w:i/>
          <w:sz w:val="24"/>
          <w:szCs w:val="24"/>
        </w:rPr>
        <w:t>Quincuagésimo cuarto</w:t>
      </w:r>
      <w:r w:rsidRPr="00905D0F">
        <w:rPr>
          <w:rFonts w:ascii="Palatino Linotype" w:hAnsi="Palatino Linotype"/>
          <w:i/>
          <w:sz w:val="24"/>
          <w:szCs w:val="24"/>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(Lineamiento modificado mediante Acuerdo del Consejo Nacional DOF 18 de noviembre de 2022) </w:t>
      </w:r>
    </w:p>
    <w:p w:rsidR="00BD7879" w:rsidRDefault="00BD7879" w:rsidP="00165F17">
      <w:pPr>
        <w:tabs>
          <w:tab w:val="left" w:pos="284"/>
        </w:tabs>
        <w:spacing w:after="240"/>
        <w:ind w:left="851" w:right="49"/>
        <w:jc w:val="both"/>
        <w:rPr>
          <w:rFonts w:ascii="Palatino Linotype" w:hAnsi="Palatino Linotype"/>
          <w:i/>
          <w:sz w:val="24"/>
          <w:szCs w:val="24"/>
        </w:rPr>
      </w:pPr>
      <w:r w:rsidRPr="00905D0F">
        <w:rPr>
          <w:rFonts w:ascii="Palatino Linotype" w:hAnsi="Palatino Linotype"/>
          <w:b/>
          <w:i/>
          <w:sz w:val="24"/>
          <w:szCs w:val="24"/>
        </w:rPr>
        <w:tab/>
        <w:t>Quincuagésimo quinto.</w:t>
      </w:r>
      <w:r w:rsidRPr="00905D0F">
        <w:rPr>
          <w:rFonts w:ascii="Palatino Linotype" w:hAnsi="Palatino Linotype"/>
          <w:i/>
          <w:sz w:val="24"/>
          <w:szCs w:val="24"/>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(Lineamiento modificado mediante Acuerdo del Consejo Nacional DOF 18 de noviembre de 2022)”</w:t>
      </w:r>
    </w:p>
    <w:p w:rsidR="00905D0F" w:rsidRPr="00905D0F" w:rsidRDefault="00905D0F" w:rsidP="00165F17">
      <w:pPr>
        <w:tabs>
          <w:tab w:val="left" w:pos="284"/>
        </w:tabs>
        <w:spacing w:after="240"/>
        <w:ind w:left="851" w:right="49"/>
        <w:jc w:val="both"/>
        <w:rPr>
          <w:rFonts w:ascii="Palatino Linotype" w:hAnsi="Palatino Linotype"/>
          <w:i/>
          <w:sz w:val="24"/>
          <w:szCs w:val="24"/>
        </w:rPr>
      </w:pPr>
    </w:p>
    <w:p w:rsidR="00BD7879" w:rsidRPr="00905D0F" w:rsidRDefault="00BD7879" w:rsidP="00165F17">
      <w:pPr>
        <w:pStyle w:val="Prrafodelista"/>
        <w:numPr>
          <w:ilvl w:val="0"/>
          <w:numId w:val="1"/>
        </w:numPr>
        <w:spacing w:line="360" w:lineRule="auto"/>
        <w:ind w:left="0" w:right="-518" w:firstLine="0"/>
        <w:jc w:val="both"/>
        <w:rPr>
          <w:rFonts w:ascii="Palatino Linotype" w:eastAsia="Palatino Linotype" w:hAnsi="Palatino Linotype" w:cs="Palatino Linotype"/>
        </w:rPr>
      </w:pPr>
      <w:r w:rsidRPr="00905D0F">
        <w:rPr>
          <w:rFonts w:ascii="Palatino Linotype" w:eastAsia="Palatino Linotype" w:hAnsi="Palatino Linotype" w:cs="Palatino Linotype"/>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C3665E" w:rsidRPr="00905D0F" w:rsidRDefault="00C3665E" w:rsidP="00165F17">
      <w:pPr>
        <w:pStyle w:val="Prrafodelista"/>
        <w:spacing w:line="360" w:lineRule="auto"/>
        <w:ind w:left="0" w:right="-518"/>
        <w:jc w:val="both"/>
        <w:rPr>
          <w:rFonts w:ascii="Palatino Linotype" w:hAnsi="Palatino Linotype"/>
          <w:color w:val="000000" w:themeColor="text1"/>
        </w:rPr>
      </w:pPr>
    </w:p>
    <w:p w:rsidR="00C3665E" w:rsidRPr="00905D0F" w:rsidRDefault="00C3665E" w:rsidP="00165F17">
      <w:pPr>
        <w:pStyle w:val="Prrafodelista"/>
        <w:numPr>
          <w:ilvl w:val="0"/>
          <w:numId w:val="1"/>
        </w:numPr>
        <w:spacing w:line="360" w:lineRule="auto"/>
        <w:ind w:left="0" w:right="-518" w:firstLine="0"/>
        <w:jc w:val="both"/>
        <w:rPr>
          <w:rFonts w:ascii="Palatino Linotype" w:hAnsi="Palatino Linotype"/>
          <w:color w:val="000000" w:themeColor="text1"/>
        </w:rPr>
      </w:pPr>
      <w:r w:rsidRPr="00905D0F">
        <w:rPr>
          <w:rFonts w:ascii="Palatino Linotype" w:hAnsi="Palatino Linotype"/>
          <w:color w:val="000000" w:themeColor="text1"/>
        </w:rPr>
        <w:lastRenderedPageBreak/>
        <w:t>Por lo que hace a las “</w:t>
      </w:r>
      <w:r w:rsidRPr="00905D0F">
        <w:rPr>
          <w:rFonts w:ascii="Palatino Linotype" w:hAnsi="Palatino Linotype"/>
          <w:b/>
          <w:i/>
          <w:color w:val="000000" w:themeColor="text1"/>
        </w:rPr>
        <w:t>Licencias de funcionamiento emitidas por el sujeto obligado para la operación de negocios de venta de alimentos emitidas durante 2022 y 2025</w:t>
      </w:r>
      <w:r w:rsidRPr="00905D0F">
        <w:rPr>
          <w:rFonts w:ascii="Palatino Linotype" w:hAnsi="Palatino Linotype"/>
          <w:i/>
          <w:color w:val="000000" w:themeColor="text1"/>
        </w:rPr>
        <w:t xml:space="preserve">”, </w:t>
      </w:r>
      <w:r w:rsidRPr="00905D0F">
        <w:rPr>
          <w:rFonts w:ascii="Palatino Linotype" w:hAnsi="Palatino Linotype"/>
          <w:color w:val="000000" w:themeColor="text1"/>
        </w:rPr>
        <w:t xml:space="preserve">la Directora General </w:t>
      </w:r>
      <w:r w:rsidRPr="00905D0F">
        <w:rPr>
          <w:rFonts w:ascii="Palatino Linotype" w:hAnsi="Palatino Linotype"/>
          <w:color w:val="000000" w:themeColor="text1"/>
          <w:lang w:val="es-MX"/>
        </w:rPr>
        <w:t>remitió una l</w:t>
      </w:r>
      <w:r w:rsidR="008874A6" w:rsidRPr="00905D0F">
        <w:rPr>
          <w:rFonts w:ascii="Palatino Linotype" w:hAnsi="Palatino Linotype"/>
          <w:color w:val="000000" w:themeColor="text1"/>
          <w:lang w:val="es-MX"/>
        </w:rPr>
        <w:t xml:space="preserve">ista de licencias de funcionamiento con venta de alimentos de los años dos mil veintidós </w:t>
      </w:r>
      <w:r w:rsidRPr="00905D0F">
        <w:rPr>
          <w:rFonts w:ascii="Palatino Linotype" w:hAnsi="Palatino Linotype"/>
          <w:color w:val="000000" w:themeColor="text1"/>
          <w:lang w:val="es-MX"/>
        </w:rPr>
        <w:t>y dos mil veinticinco, sin embargo, no se hizo entrega de</w:t>
      </w:r>
      <w:r w:rsidR="00165F17" w:rsidRPr="00905D0F">
        <w:rPr>
          <w:rFonts w:ascii="Palatino Linotype" w:hAnsi="Palatino Linotype"/>
          <w:color w:val="000000" w:themeColor="text1"/>
          <w:lang w:val="es-MX"/>
        </w:rPr>
        <w:t>l soporte documental, es decir,</w:t>
      </w:r>
      <w:r w:rsidRPr="00905D0F">
        <w:rPr>
          <w:rFonts w:ascii="Palatino Linotype" w:hAnsi="Palatino Linotype"/>
          <w:color w:val="000000" w:themeColor="text1"/>
          <w:lang w:val="es-MX"/>
        </w:rPr>
        <w:t xml:space="preserve"> las licencias solicitadas, por lo que no se puede tener por colmado en su totalidad el rubro en comento, resultando dable ordenar la entrega de dichas licencias de ser procedente en versión pública.</w:t>
      </w:r>
    </w:p>
    <w:p w:rsidR="00C3665E" w:rsidRPr="00905D0F" w:rsidRDefault="00C3665E" w:rsidP="00165F17">
      <w:pPr>
        <w:pStyle w:val="Prrafodelista"/>
        <w:spacing w:line="360" w:lineRule="auto"/>
        <w:ind w:left="0" w:right="-518"/>
        <w:jc w:val="both"/>
        <w:rPr>
          <w:rFonts w:ascii="Palatino Linotype" w:hAnsi="Palatino Linotype"/>
          <w:color w:val="000000" w:themeColor="text1"/>
        </w:rPr>
      </w:pPr>
    </w:p>
    <w:p w:rsidR="00C3665E" w:rsidRPr="00905D0F" w:rsidRDefault="00C3665E"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rPr>
      </w:pPr>
      <w:r w:rsidRPr="00905D0F">
        <w:rPr>
          <w:rFonts w:ascii="Palatino Linotype" w:hAnsi="Palatino Linotype"/>
          <w:color w:val="000000" w:themeColor="text1"/>
        </w:rPr>
        <w:t>Relativo al rubro relativo a las “</w:t>
      </w:r>
      <w:r w:rsidRPr="00905D0F">
        <w:rPr>
          <w:rFonts w:ascii="Palatino Linotype" w:hAnsi="Palatino Linotype"/>
          <w:b/>
          <w:i/>
          <w:color w:val="000000" w:themeColor="text1"/>
        </w:rPr>
        <w:t xml:space="preserve">Licencias de funcionamiento emitidas para negocios, puesto o análogos para operar un negocio ambulante dentro de sus límites territoriales durante 2022 y 2025”, </w:t>
      </w:r>
      <w:r w:rsidRPr="00905D0F">
        <w:rPr>
          <w:rFonts w:ascii="Palatino Linotype" w:hAnsi="Palatino Linotype"/>
          <w:color w:val="000000" w:themeColor="text1"/>
        </w:rPr>
        <w:t>la Directora General informo que</w:t>
      </w:r>
      <w:r w:rsidRPr="00905D0F">
        <w:rPr>
          <w:rFonts w:ascii="Palatino Linotype" w:hAnsi="Palatino Linotype"/>
          <w:b/>
          <w:color w:val="000000" w:themeColor="text1"/>
        </w:rPr>
        <w:t xml:space="preserve">, </w:t>
      </w:r>
      <w:r w:rsidRPr="00905D0F">
        <w:rPr>
          <w:rFonts w:ascii="Palatino Linotype" w:hAnsi="Palatino Linotype"/>
          <w:i/>
          <w:color w:val="000000" w:themeColor="text1"/>
        </w:rPr>
        <w:t xml:space="preserve">Una vez realizada la búsqueda en los archivos físicos y electrónicos de la Dirección de Atención al Comercio, respecto al "comercio ambulante" no se localizó que se hayan emitido permiso o documentación para su autorización.”, </w:t>
      </w:r>
      <w:r w:rsidRPr="00905D0F">
        <w:rPr>
          <w:rFonts w:ascii="Palatino Linotype" w:hAnsi="Palatino Linotype"/>
          <w:color w:val="000000" w:themeColor="text1"/>
        </w:rPr>
        <w:t>por lo que</w:t>
      </w:r>
      <w:r w:rsidRPr="00905D0F">
        <w:rPr>
          <w:rFonts w:ascii="Palatino Linotype" w:eastAsia="Palatino Linotype" w:hAnsi="Palatino Linotype" w:cs="Palatino Linotype"/>
          <w:color w:val="000000"/>
        </w:rPr>
        <w:t xml:space="preserve">, </w:t>
      </w:r>
      <w:r w:rsidRPr="00905D0F">
        <w:rPr>
          <w:rFonts w:ascii="Palatino Linotype" w:eastAsia="Palatino Linotype" w:hAnsi="Palatino Linotype" w:cs="Palatino Linotype"/>
        </w:rPr>
        <w:t xml:space="preserve">toda vez que el </w:t>
      </w:r>
      <w:r w:rsidRPr="00905D0F">
        <w:rPr>
          <w:rFonts w:ascii="Palatino Linotype" w:eastAsia="Palatino Linotype" w:hAnsi="Palatino Linotype" w:cs="Palatino Linotype"/>
          <w:b/>
        </w:rPr>
        <w:t xml:space="preserve">SUJETO OBLIGADO </w:t>
      </w:r>
      <w:r w:rsidRPr="00905D0F">
        <w:rPr>
          <w:rFonts w:ascii="Palatino Linotype" w:eastAsia="Palatino Linotype" w:hAnsi="Palatino Linotype" w:cs="Palatino Linotype"/>
        </w:rPr>
        <w:t xml:space="preserve">manifestó que no se posee, administra ni generó la información requerida por </w:t>
      </w:r>
      <w:r w:rsidRPr="00905D0F">
        <w:rPr>
          <w:rFonts w:ascii="Palatino Linotype" w:eastAsia="Palatino Linotype" w:hAnsi="Palatino Linotype" w:cs="Palatino Linotype"/>
          <w:b/>
        </w:rPr>
        <w:t>EL PARTICULAR</w:t>
      </w:r>
      <w:r w:rsidRPr="00905D0F">
        <w:rPr>
          <w:rFonts w:ascii="Palatino Linotype" w:eastAsia="Palatino Linotype" w:hAnsi="Palatino Linotype" w:cs="Palatino Linotype"/>
        </w:rPr>
        <w:t xml:space="preserve">, constituye un hecho negativo; luego entonces, si se considera el hecho negativo, es obvio que éste no puede fácticamente obrar en los archivos del </w:t>
      </w:r>
      <w:r w:rsidRPr="00905D0F">
        <w:rPr>
          <w:rFonts w:ascii="Palatino Linotype" w:eastAsia="Palatino Linotype" w:hAnsi="Palatino Linotype" w:cs="Palatino Linotype"/>
          <w:b/>
        </w:rPr>
        <w:t>SUJETO OBLIGADO</w:t>
      </w:r>
      <w:r w:rsidRPr="00905D0F">
        <w:rPr>
          <w:rFonts w:ascii="Palatino Linotype" w:eastAsia="Palatino Linotype" w:hAnsi="Palatino Linotype" w:cs="Palatino Linotype"/>
        </w:rPr>
        <w:t>, ya que no puede probarse por ser lógica y materialmente imposible.</w:t>
      </w:r>
    </w:p>
    <w:p w:rsidR="00C3665E" w:rsidRPr="00905D0F" w:rsidRDefault="00C3665E" w:rsidP="00165F17">
      <w:pPr>
        <w:spacing w:line="360" w:lineRule="auto"/>
        <w:ind w:right="-518"/>
        <w:contextualSpacing/>
        <w:jc w:val="both"/>
        <w:rPr>
          <w:rFonts w:ascii="Palatino Linotype" w:eastAsia="Palatino Linotype" w:hAnsi="Palatino Linotype" w:cs="Palatino Linotype"/>
          <w:sz w:val="24"/>
          <w:szCs w:val="24"/>
        </w:rPr>
      </w:pPr>
    </w:p>
    <w:p w:rsidR="00C3665E" w:rsidRPr="00905D0F" w:rsidRDefault="00C3665E" w:rsidP="00905D0F">
      <w:pPr>
        <w:pStyle w:val="Prrafodelista"/>
        <w:numPr>
          <w:ilvl w:val="0"/>
          <w:numId w:val="1"/>
        </w:numPr>
        <w:spacing w:line="360" w:lineRule="auto"/>
        <w:ind w:left="0" w:right="-518" w:firstLine="0"/>
        <w:jc w:val="both"/>
        <w:rPr>
          <w:rFonts w:ascii="Palatino Linotype" w:eastAsia="Palatino Linotype" w:hAnsi="Palatino Linotype" w:cs="Palatino Linotype"/>
        </w:rPr>
      </w:pPr>
      <w:r w:rsidRPr="00905D0F">
        <w:rPr>
          <w:rFonts w:ascii="Palatino Linotype" w:eastAsia="Palatino Linotype" w:hAnsi="Palatino Linotype" w:cs="Palatino Linotype"/>
        </w:rPr>
        <w:t>Asimismo, no se trata de un caso por el cual la negación del hecho implique la afirmación del mismo, simplemente se está ante una notoria y evidente inexistencia fáctica de la información solicitada.</w:t>
      </w:r>
    </w:p>
    <w:p w:rsidR="00C3665E" w:rsidRPr="00905D0F" w:rsidRDefault="00C3665E" w:rsidP="00165F17">
      <w:pPr>
        <w:spacing w:line="360" w:lineRule="auto"/>
        <w:ind w:right="-518"/>
        <w:contextualSpacing/>
        <w:jc w:val="both"/>
        <w:rPr>
          <w:rFonts w:ascii="Palatino Linotype" w:eastAsia="Palatino Linotype" w:hAnsi="Palatino Linotype" w:cs="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sz w:val="24"/>
          <w:szCs w:val="24"/>
        </w:rPr>
        <w:lastRenderedPageBreak/>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C3665E" w:rsidRPr="00905D0F" w:rsidRDefault="00C3665E" w:rsidP="00DF02A5">
      <w:pPr>
        <w:spacing w:line="360" w:lineRule="auto"/>
        <w:ind w:left="851" w:right="616"/>
        <w:jc w:val="both"/>
        <w:rPr>
          <w:rFonts w:ascii="Palatino Linotype" w:eastAsia="Palatino Linotype" w:hAnsi="Palatino Linotype" w:cs="Palatino Linotype"/>
          <w:b/>
          <w:i/>
          <w:sz w:val="24"/>
          <w:szCs w:val="24"/>
        </w:rPr>
      </w:pPr>
      <w:r w:rsidRPr="00905D0F">
        <w:rPr>
          <w:rFonts w:ascii="Palatino Linotype" w:eastAsia="Palatino Linotype" w:hAnsi="Palatino Linotype" w:cs="Palatino Linotype"/>
          <w:b/>
          <w:i/>
          <w:sz w:val="24"/>
          <w:szCs w:val="24"/>
        </w:rPr>
        <w:t xml:space="preserve">HECHOS NEGATIVOS, NO SON SUSCEPTIBLES DE DEMOSTRACIÓN. </w:t>
      </w:r>
    </w:p>
    <w:p w:rsidR="00C3665E" w:rsidRPr="00905D0F" w:rsidRDefault="00C3665E" w:rsidP="00DF02A5">
      <w:pPr>
        <w:spacing w:line="360" w:lineRule="auto"/>
        <w:ind w:left="851" w:right="616"/>
        <w:jc w:val="both"/>
        <w:rPr>
          <w:rFonts w:ascii="Palatino Linotype" w:eastAsia="Palatino Linotype" w:hAnsi="Palatino Linotype" w:cs="Palatino Linotype"/>
          <w:i/>
          <w:sz w:val="24"/>
          <w:szCs w:val="24"/>
        </w:rPr>
      </w:pPr>
      <w:r w:rsidRPr="00905D0F">
        <w:rPr>
          <w:rFonts w:ascii="Palatino Linotype" w:eastAsia="Palatino Linotype" w:hAnsi="Palatino Linotype" w:cs="Palatino Linotype"/>
          <w:i/>
          <w:sz w:val="24"/>
          <w:szCs w:val="24"/>
        </w:rPr>
        <w:t>Tratándose de un hecho negativo, el Juez no tiene por que invocar prueba alguna de la que se desprenda, ya que es bien sabido que esta clase de hechos no son susceptibles de demostración.</w:t>
      </w:r>
    </w:p>
    <w:p w:rsidR="00C3665E" w:rsidRPr="00905D0F" w:rsidRDefault="00C3665E" w:rsidP="00DF02A5">
      <w:pPr>
        <w:spacing w:line="360" w:lineRule="auto"/>
        <w:ind w:left="851" w:right="616"/>
        <w:jc w:val="both"/>
        <w:rPr>
          <w:rFonts w:ascii="Palatino Linotype" w:eastAsia="Palatino Linotype" w:hAnsi="Palatino Linotype" w:cs="Palatino Linotype"/>
          <w:i/>
          <w:sz w:val="24"/>
          <w:szCs w:val="24"/>
        </w:rPr>
      </w:pPr>
      <w:r w:rsidRPr="00905D0F">
        <w:rPr>
          <w:rFonts w:ascii="Palatino Linotype" w:eastAsia="Palatino Linotype" w:hAnsi="Palatino Linotype" w:cs="Palatino Linotype"/>
          <w:i/>
          <w:sz w:val="24"/>
          <w:szCs w:val="24"/>
        </w:rPr>
        <w:t>Amparo en revisión 2022/61. José García Florín (Menor). 9 de octubre de 1961. Cinco votos. Ponente: José Rivera Pérez Campos.”</w:t>
      </w:r>
    </w:p>
    <w:p w:rsidR="00C3665E" w:rsidRPr="00905D0F" w:rsidRDefault="00C3665E" w:rsidP="00165F17">
      <w:pPr>
        <w:spacing w:line="360" w:lineRule="auto"/>
        <w:ind w:left="709" w:right="-518"/>
        <w:jc w:val="both"/>
        <w:rPr>
          <w:rFonts w:ascii="Palatino Linotype" w:eastAsia="Palatino Linotype" w:hAnsi="Palatino Linotype" w:cs="Palatino Linotype"/>
          <w:i/>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sz w:val="24"/>
          <w:szCs w:val="24"/>
        </w:rPr>
        <w:t xml:space="preserve">Además, y de conformidad con lo establecido en el artículo 12 de la </w:t>
      </w:r>
      <w:r w:rsidRPr="00905D0F">
        <w:rPr>
          <w:rFonts w:ascii="Palatino Linotype" w:eastAsia="Palatino Linotype" w:hAnsi="Palatino Linotype" w:cs="Palatino Linotype"/>
          <w:b/>
          <w:sz w:val="24"/>
          <w:szCs w:val="24"/>
        </w:rPr>
        <w:t>Ley de Transparencia y Acceso a la Información Pública del Estado de México y Municipios</w:t>
      </w:r>
      <w:r w:rsidRPr="00905D0F">
        <w:rPr>
          <w:rFonts w:ascii="Palatino Linotype" w:eastAsia="Palatino Linotype" w:hAnsi="Palatino Linotype" w:cs="Palatino Linotype"/>
          <w:sz w:val="24"/>
          <w:szCs w:val="24"/>
        </w:rPr>
        <w:t xml:space="preserve">, anteriormente invocado, el </w:t>
      </w:r>
      <w:r w:rsidRPr="00905D0F">
        <w:rPr>
          <w:rFonts w:ascii="Palatino Linotype" w:eastAsia="Palatino Linotype" w:hAnsi="Palatino Linotype" w:cs="Palatino Linotype"/>
          <w:b/>
          <w:sz w:val="24"/>
          <w:szCs w:val="24"/>
        </w:rPr>
        <w:t>SUJETO OBLIGADO</w:t>
      </w:r>
      <w:r w:rsidRPr="00905D0F">
        <w:rPr>
          <w:rFonts w:ascii="Palatino Linotype" w:eastAsia="Palatino Linotype" w:hAnsi="Palatino Linotype" w:cs="Palatino Linotype"/>
          <w:sz w:val="24"/>
          <w:szCs w:val="24"/>
        </w:rPr>
        <w:t xml:space="preserve"> únicamente proporcionará la información que obra en sus archivos, lo que a</w:t>
      </w:r>
      <w:r w:rsidRPr="00905D0F">
        <w:rPr>
          <w:rFonts w:ascii="Palatino Linotype" w:eastAsia="Palatino Linotype" w:hAnsi="Palatino Linotype" w:cs="Palatino Linotype"/>
          <w:i/>
          <w:sz w:val="24"/>
          <w:szCs w:val="24"/>
        </w:rPr>
        <w:t xml:space="preserve"> contrario sensu</w:t>
      </w:r>
      <w:r w:rsidRPr="00905D0F">
        <w:rPr>
          <w:rFonts w:ascii="Palatino Linotype" w:eastAsia="Palatino Linotype" w:hAnsi="Palatino Linotype" w:cs="Palatino Linotype"/>
          <w:sz w:val="24"/>
          <w:szCs w:val="24"/>
        </w:rPr>
        <w:t xml:space="preserve"> significa que no se está obligado a proporcionar lo que no obre en sus archivos.</w:t>
      </w:r>
    </w:p>
    <w:p w:rsidR="00C3665E" w:rsidRPr="00905D0F" w:rsidRDefault="00C3665E" w:rsidP="00165F17">
      <w:pPr>
        <w:spacing w:line="360" w:lineRule="auto"/>
        <w:ind w:right="-518"/>
        <w:contextualSpacing/>
        <w:jc w:val="both"/>
        <w:rPr>
          <w:rFonts w:ascii="Palatino Linotype" w:hAnsi="Palatino Linotype"/>
          <w:sz w:val="24"/>
          <w:szCs w:val="24"/>
          <w:lang w:val="es-ES_tradnl" w:eastAsia="es-ES"/>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color w:val="000000"/>
          <w:sz w:val="24"/>
          <w:szCs w:val="24"/>
        </w:rPr>
      </w:pPr>
      <w:r w:rsidRPr="00905D0F">
        <w:rPr>
          <w:rFonts w:ascii="Palatino Linotype" w:hAnsi="Palatino Linotype" w:cs="Arial"/>
          <w:sz w:val="24"/>
          <w:szCs w:val="24"/>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905D0F">
        <w:rPr>
          <w:rFonts w:ascii="Palatino Linotype" w:hAnsi="Palatino Linotype"/>
          <w:color w:val="000000"/>
          <w:sz w:val="24"/>
          <w:szCs w:val="24"/>
        </w:rPr>
        <w:t xml:space="preserve">máxime que al momento que ponen a disposición ésta, la misma tiene el carácter oficial y </w:t>
      </w:r>
      <w:r w:rsidRPr="00905D0F">
        <w:rPr>
          <w:rFonts w:ascii="Palatino Linotype" w:hAnsi="Palatino Linotype"/>
          <w:color w:val="000000"/>
          <w:sz w:val="24"/>
          <w:szCs w:val="24"/>
        </w:rPr>
        <w:lastRenderedPageBreak/>
        <w:t>se presume veraz, tan es así que la misma queda registrada en el Sistema de Acceso a la Información Mexiquense (SAIMEX).</w:t>
      </w:r>
    </w:p>
    <w:p w:rsidR="00C3665E" w:rsidRPr="00905D0F" w:rsidRDefault="00C3665E" w:rsidP="00165F17">
      <w:pPr>
        <w:spacing w:line="360" w:lineRule="auto"/>
        <w:ind w:right="-518"/>
        <w:contextualSpacing/>
        <w:jc w:val="both"/>
        <w:rPr>
          <w:rFonts w:ascii="Palatino Linotype" w:hAnsi="Palatino Linotype"/>
          <w:color w:val="000000"/>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Sirviendo de apoyo a lo anterior por analogía, el criterio 31-10 emitido por el ahora Instituto Nacional de Transparencia, Acceso a la Información y Protección de Datos Personales, que a la letra dice:</w:t>
      </w:r>
    </w:p>
    <w:p w:rsidR="00C3665E" w:rsidRPr="00905D0F" w:rsidRDefault="00C3665E" w:rsidP="00DF02A5">
      <w:pPr>
        <w:pStyle w:val="Default"/>
        <w:spacing w:before="240" w:after="360" w:line="360" w:lineRule="auto"/>
        <w:ind w:left="851" w:right="474"/>
        <w:jc w:val="both"/>
        <w:rPr>
          <w:rFonts w:ascii="Palatino Linotype" w:hAnsi="Palatino Linotype"/>
          <w:i/>
        </w:rPr>
      </w:pPr>
      <w:r w:rsidRPr="00905D0F">
        <w:rPr>
          <w:rFonts w:ascii="Palatino Linotype" w:hAnsi="Palatino Linotype"/>
          <w:i/>
        </w:rPr>
        <w:t xml:space="preserve">El Instituto Federal de Acceso a la Información y Protección de Datos </w:t>
      </w:r>
      <w:r w:rsidRPr="00905D0F">
        <w:rPr>
          <w:rFonts w:ascii="Palatino Linotype" w:hAnsi="Palatino Linotype"/>
          <w:b/>
          <w:i/>
        </w:rPr>
        <w:t>no cuenta con facultades para pronunciarse respecto de la veracidad de los documentos proporcionados por los sujetos obligados.</w:t>
      </w:r>
      <w:r w:rsidRPr="00905D0F">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cs="Arial"/>
          <w:sz w:val="24"/>
          <w:szCs w:val="24"/>
        </w:rPr>
      </w:pPr>
      <w:r w:rsidRPr="00905D0F">
        <w:rPr>
          <w:rFonts w:ascii="Palatino Linotype" w:hAnsi="Palatino Linotype" w:cs="Arial"/>
          <w:sz w:val="24"/>
          <w:szCs w:val="24"/>
        </w:rPr>
        <w:t xml:space="preserve">Así mismo, la </w:t>
      </w:r>
      <w:r w:rsidRPr="00905D0F">
        <w:rPr>
          <w:rFonts w:ascii="Palatino Linotype" w:hAnsi="Palatino Linotype" w:cs="Arial"/>
          <w:b/>
          <w:sz w:val="24"/>
          <w:szCs w:val="24"/>
        </w:rPr>
        <w:t>Ley de Transparencia y Acceso a la Información Pública del Estado de México y Municipios</w:t>
      </w:r>
      <w:r w:rsidRPr="00905D0F">
        <w:rPr>
          <w:rFonts w:ascii="Palatino Linotype" w:hAnsi="Palatino Linotype" w:cs="Arial"/>
          <w:sz w:val="24"/>
          <w:szCs w:val="24"/>
        </w:rPr>
        <w:t xml:space="preserve"> establece que la información pública generada, administrada o en posesión de los Sujetos Obligados en ejercicio de sus atribuciones, será accesible de manera </w:t>
      </w:r>
      <w:r w:rsidRPr="00905D0F">
        <w:rPr>
          <w:rFonts w:ascii="Palatino Linotype" w:hAnsi="Palatino Linotype" w:cs="Arial"/>
          <w:sz w:val="24"/>
          <w:szCs w:val="24"/>
        </w:rPr>
        <w:lastRenderedPageBreak/>
        <w:t>permanente a cualquier persona, privilegiando el principio de máxima publicidad de la información, por lo que deberán apegarse en todo momento a los criterios de publicidad, veracidad, oportunidad entre otros, numeral en comento que a la letra señala;</w:t>
      </w:r>
    </w:p>
    <w:p w:rsidR="00C3665E" w:rsidRPr="00905D0F" w:rsidRDefault="00C3665E" w:rsidP="00DF02A5">
      <w:pPr>
        <w:pStyle w:val="Prrafodelista"/>
        <w:spacing w:line="360" w:lineRule="auto"/>
        <w:ind w:left="644" w:right="758"/>
        <w:jc w:val="both"/>
        <w:rPr>
          <w:rFonts w:ascii="Palatino Linotype" w:hAnsi="Palatino Linotype" w:cs="Arial"/>
          <w:b/>
          <w:i/>
        </w:rPr>
      </w:pPr>
      <w:r w:rsidRPr="00905D0F">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905D0F">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C3665E" w:rsidRPr="00905D0F" w:rsidRDefault="00C3665E" w:rsidP="00165F17">
      <w:pPr>
        <w:spacing w:line="360" w:lineRule="auto"/>
        <w:ind w:right="-518"/>
        <w:jc w:val="both"/>
        <w:rPr>
          <w:rFonts w:ascii="Palatino Linotype" w:hAnsi="Palatino Linotype" w:cs="Arial"/>
          <w:b/>
          <w:i/>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cs="Arial"/>
          <w:noProof/>
          <w:sz w:val="24"/>
          <w:szCs w:val="24"/>
        </w:rPr>
      </w:pPr>
      <w:r w:rsidRPr="00905D0F">
        <w:rPr>
          <w:rFonts w:ascii="Palatino Linotype" w:hAnsi="Palatino Linotype" w:cs="Arial"/>
          <w:noProof/>
          <w:sz w:val="24"/>
          <w:szCs w:val="24"/>
        </w:rPr>
        <w:t xml:space="preserve">Numerales que compelen al </w:t>
      </w:r>
      <w:r w:rsidRPr="00905D0F">
        <w:rPr>
          <w:rFonts w:ascii="Palatino Linotype" w:hAnsi="Palatino Linotype" w:cs="Arial"/>
          <w:b/>
          <w:noProof/>
          <w:sz w:val="24"/>
          <w:szCs w:val="24"/>
        </w:rPr>
        <w:t>SUJETO OBLIGADO</w:t>
      </w:r>
      <w:r w:rsidRPr="00905D0F">
        <w:rPr>
          <w:rFonts w:ascii="Palatino Linotype" w:hAnsi="Palatino Linotype" w:cs="Arial"/>
          <w:noProof/>
          <w:sz w:val="24"/>
          <w:szCs w:val="24"/>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905D0F">
        <w:rPr>
          <w:rFonts w:ascii="Palatino Linotype" w:eastAsia="MS Gothic" w:hAnsi="Palatino Linotype" w:cstheme="majorBidi"/>
          <w:sz w:val="24"/>
          <w:szCs w:val="24"/>
          <w:lang w:eastAsia="es-ES"/>
        </w:rPr>
        <w:t xml:space="preserve">. </w:t>
      </w:r>
    </w:p>
    <w:p w:rsidR="00165F17" w:rsidRPr="00905D0F" w:rsidRDefault="00165F17" w:rsidP="00165F17">
      <w:pPr>
        <w:spacing w:after="0" w:line="360" w:lineRule="auto"/>
        <w:ind w:right="-518"/>
        <w:contextualSpacing/>
        <w:jc w:val="both"/>
        <w:rPr>
          <w:rFonts w:ascii="Palatino Linotype" w:hAnsi="Palatino Linotype" w:cs="Arial"/>
          <w:noProof/>
          <w:sz w:val="24"/>
          <w:szCs w:val="24"/>
        </w:rPr>
      </w:pPr>
    </w:p>
    <w:p w:rsidR="00165F17" w:rsidRPr="00905D0F" w:rsidRDefault="00165F17" w:rsidP="00905D0F">
      <w:pPr>
        <w:numPr>
          <w:ilvl w:val="0"/>
          <w:numId w:val="1"/>
        </w:numPr>
        <w:spacing w:after="0" w:line="360" w:lineRule="auto"/>
        <w:ind w:left="0" w:right="-518" w:firstLine="0"/>
        <w:contextualSpacing/>
        <w:jc w:val="both"/>
        <w:rPr>
          <w:rFonts w:ascii="Palatino Linotype" w:hAnsi="Palatino Linotype" w:cs="Arial"/>
          <w:noProof/>
          <w:sz w:val="24"/>
          <w:szCs w:val="24"/>
        </w:rPr>
      </w:pPr>
      <w:r w:rsidRPr="00905D0F">
        <w:rPr>
          <w:rFonts w:ascii="Palatino Linotype" w:hAnsi="Palatino Linotype" w:cs="Arial"/>
          <w:noProof/>
          <w:sz w:val="24"/>
          <w:szCs w:val="24"/>
        </w:rPr>
        <w:t xml:space="preserve">Es por lo anterior, que al haberse pronunciado el servidor públcio para tal efecto y al haberse pronunciado atendiendo a la temporalidad solictada por el </w:t>
      </w:r>
      <w:r w:rsidRPr="00905D0F">
        <w:rPr>
          <w:rFonts w:ascii="Palatino Linotype" w:hAnsi="Palatino Linotype" w:cs="Arial"/>
          <w:b/>
          <w:noProof/>
          <w:sz w:val="24"/>
          <w:szCs w:val="24"/>
        </w:rPr>
        <w:t xml:space="preserve">PARTICULAR, </w:t>
      </w:r>
      <w:r w:rsidRPr="00905D0F">
        <w:rPr>
          <w:rFonts w:ascii="Palatino Linotype" w:hAnsi="Palatino Linotype" w:cs="Arial"/>
          <w:noProof/>
          <w:sz w:val="24"/>
          <w:szCs w:val="24"/>
        </w:rPr>
        <w:t>este Organo Resolutor arriba a la conclusión de tener por colmado el rubro en comento.</w:t>
      </w:r>
    </w:p>
    <w:p w:rsidR="00165F17" w:rsidRPr="00905D0F" w:rsidRDefault="00165F17" w:rsidP="00165F17">
      <w:pPr>
        <w:spacing w:after="0" w:line="360" w:lineRule="auto"/>
        <w:ind w:right="-518"/>
        <w:contextualSpacing/>
        <w:jc w:val="both"/>
        <w:rPr>
          <w:rFonts w:ascii="Palatino Linotype" w:hAnsi="Palatino Linotype" w:cs="Arial"/>
          <w:noProof/>
          <w:sz w:val="24"/>
          <w:szCs w:val="24"/>
        </w:rPr>
      </w:pPr>
    </w:p>
    <w:p w:rsidR="00165F17" w:rsidRPr="00905D0F" w:rsidRDefault="00C3665E" w:rsidP="00905D0F">
      <w:pPr>
        <w:numPr>
          <w:ilvl w:val="0"/>
          <w:numId w:val="1"/>
        </w:numPr>
        <w:spacing w:after="0" w:line="360" w:lineRule="auto"/>
        <w:ind w:left="0" w:right="-518" w:firstLine="0"/>
        <w:contextualSpacing/>
        <w:jc w:val="both"/>
        <w:rPr>
          <w:rFonts w:ascii="Palatino Linotype" w:eastAsia="MS Gothic" w:hAnsi="Palatino Linotype" w:cstheme="majorBidi"/>
          <w:bCs/>
          <w:sz w:val="24"/>
          <w:szCs w:val="24"/>
          <w:lang w:eastAsia="es-ES"/>
        </w:rPr>
      </w:pPr>
      <w:r w:rsidRPr="00905D0F">
        <w:rPr>
          <w:rFonts w:ascii="Palatino Linotype" w:eastAsia="MS Gothic" w:hAnsi="Palatino Linotype" w:cstheme="majorBidi"/>
          <w:sz w:val="24"/>
          <w:szCs w:val="24"/>
          <w:lang w:eastAsia="es-ES"/>
        </w:rPr>
        <w:lastRenderedPageBreak/>
        <w:t xml:space="preserve">Es </w:t>
      </w:r>
      <w:r w:rsidR="00165F17" w:rsidRPr="00905D0F">
        <w:rPr>
          <w:rFonts w:ascii="Palatino Linotype" w:eastAsia="MS Gothic" w:hAnsi="Palatino Linotype" w:cstheme="majorBidi"/>
          <w:sz w:val="24"/>
          <w:szCs w:val="24"/>
          <w:lang w:eastAsia="es-ES"/>
        </w:rPr>
        <w:t xml:space="preserve">así que, </w:t>
      </w:r>
      <w:r w:rsidRPr="00905D0F">
        <w:rPr>
          <w:rFonts w:ascii="Palatino Linotype" w:eastAsia="MS Gothic" w:hAnsi="Palatino Linotype" w:cstheme="majorBidi"/>
          <w:sz w:val="24"/>
          <w:szCs w:val="24"/>
          <w:lang w:eastAsia="es-ES"/>
        </w:rPr>
        <w:t xml:space="preserve">no se puede tener por colmada en su totalidad la solicitud de información </w:t>
      </w:r>
      <w:r w:rsidR="00165F17" w:rsidRPr="00905D0F">
        <w:rPr>
          <w:rFonts w:ascii="Palatino Linotype" w:eastAsia="MS Gothic" w:hAnsi="Palatino Linotype" w:cstheme="majorBidi"/>
          <w:b/>
          <w:bCs/>
          <w:sz w:val="24"/>
          <w:szCs w:val="24"/>
          <w:lang w:eastAsia="es-ES"/>
        </w:rPr>
        <w:t xml:space="preserve">03670/TOLUCA/IP/2025, </w:t>
      </w:r>
      <w:r w:rsidR="00165F17" w:rsidRPr="00905D0F">
        <w:rPr>
          <w:rFonts w:ascii="Palatino Linotype" w:eastAsia="MS Gothic" w:hAnsi="Palatino Linotype" w:cstheme="majorBidi"/>
          <w:bCs/>
          <w:sz w:val="24"/>
          <w:szCs w:val="24"/>
          <w:lang w:eastAsia="es-ES"/>
        </w:rPr>
        <w:t xml:space="preserve">resultando dable </w:t>
      </w:r>
      <w:r w:rsidR="00165F17" w:rsidRPr="00905D0F">
        <w:rPr>
          <w:rFonts w:ascii="Palatino Linotype" w:eastAsia="MS Gothic" w:hAnsi="Palatino Linotype" w:cstheme="majorBidi"/>
          <w:b/>
          <w:bCs/>
          <w:sz w:val="24"/>
          <w:szCs w:val="24"/>
          <w:lang w:eastAsia="es-ES"/>
        </w:rPr>
        <w:t xml:space="preserve">MODIFICAR, </w:t>
      </w:r>
      <w:r w:rsidR="00165F17" w:rsidRPr="00905D0F">
        <w:rPr>
          <w:rFonts w:ascii="Palatino Linotype" w:eastAsia="MS Gothic" w:hAnsi="Palatino Linotype" w:cstheme="majorBidi"/>
          <w:bCs/>
          <w:sz w:val="24"/>
          <w:szCs w:val="24"/>
          <w:lang w:eastAsia="es-ES"/>
        </w:rPr>
        <w:t xml:space="preserve">la respuesta proporcionada por el </w:t>
      </w:r>
      <w:r w:rsidR="00165F17" w:rsidRPr="00905D0F">
        <w:rPr>
          <w:rFonts w:ascii="Palatino Linotype" w:eastAsia="MS Gothic" w:hAnsi="Palatino Linotype" w:cstheme="majorBidi"/>
          <w:b/>
          <w:bCs/>
          <w:sz w:val="24"/>
          <w:szCs w:val="24"/>
          <w:lang w:eastAsia="es-ES"/>
        </w:rPr>
        <w:t xml:space="preserve">SUJETO OBLIGADO, </w:t>
      </w:r>
      <w:r w:rsidR="00165F17" w:rsidRPr="00905D0F">
        <w:rPr>
          <w:rFonts w:ascii="Palatino Linotype" w:eastAsia="MS Gothic" w:hAnsi="Palatino Linotype" w:cstheme="majorBidi"/>
          <w:bCs/>
          <w:sz w:val="24"/>
          <w:szCs w:val="24"/>
          <w:lang w:eastAsia="es-ES"/>
        </w:rPr>
        <w:t xml:space="preserve">y ordenar haga entrega de del año dos mil veintidós y </w:t>
      </w:r>
      <w:r w:rsidR="00A70680" w:rsidRPr="00905D0F">
        <w:rPr>
          <w:rFonts w:ascii="Palatino Linotype" w:eastAsia="MS Gothic" w:hAnsi="Palatino Linotype" w:cstheme="majorBidi"/>
          <w:bCs/>
          <w:sz w:val="24"/>
          <w:szCs w:val="24"/>
          <w:lang w:eastAsia="es-ES"/>
        </w:rPr>
        <w:t xml:space="preserve">del uno de enero al veinticinco de junio de </w:t>
      </w:r>
      <w:r w:rsidR="00165F17" w:rsidRPr="00905D0F">
        <w:rPr>
          <w:rFonts w:ascii="Palatino Linotype" w:eastAsia="MS Gothic" w:hAnsi="Palatino Linotype" w:cstheme="majorBidi"/>
          <w:bCs/>
          <w:sz w:val="24"/>
          <w:szCs w:val="24"/>
          <w:lang w:eastAsia="es-ES"/>
        </w:rPr>
        <w:t xml:space="preserve">dos mil veinticinco, </w:t>
      </w:r>
      <w:r w:rsidR="00165F17" w:rsidRPr="00905D0F">
        <w:rPr>
          <w:rFonts w:ascii="Palatino Linotype" w:eastAsia="MS Gothic" w:hAnsi="Palatino Linotype" w:cstheme="majorBidi"/>
          <w:bCs/>
          <w:sz w:val="24"/>
          <w:szCs w:val="24"/>
          <w:lang w:val="es-ES_tradnl" w:eastAsia="es-ES"/>
        </w:rPr>
        <w:t xml:space="preserve">invitaciones, cartas compromiso y avisos remitidos en respuesta en correcta versión pública y </w:t>
      </w:r>
      <w:r w:rsidR="00A70680" w:rsidRPr="00905D0F">
        <w:rPr>
          <w:rFonts w:ascii="Palatino Linotype" w:eastAsia="MS Gothic" w:hAnsi="Palatino Linotype" w:cstheme="majorBidi"/>
          <w:bCs/>
          <w:sz w:val="24"/>
          <w:szCs w:val="24"/>
          <w:lang w:eastAsia="es-ES"/>
        </w:rPr>
        <w:t>licencias de funcionamiento con venta de alimentos</w:t>
      </w:r>
      <w:r w:rsidR="00165F17" w:rsidRPr="00905D0F">
        <w:rPr>
          <w:rFonts w:ascii="Palatino Linotype" w:eastAsia="MS Gothic" w:hAnsi="Palatino Linotype" w:cstheme="majorBidi"/>
          <w:bCs/>
          <w:sz w:val="24"/>
          <w:szCs w:val="24"/>
          <w:lang w:eastAsia="es-ES"/>
        </w:rPr>
        <w:t xml:space="preserve">, de las cuales en respuesta se remitió una relación. </w:t>
      </w:r>
    </w:p>
    <w:p w:rsidR="00C3665E" w:rsidRPr="00905D0F" w:rsidRDefault="00C3665E" w:rsidP="00165F17">
      <w:pPr>
        <w:spacing w:after="0" w:line="360" w:lineRule="auto"/>
        <w:ind w:right="-518"/>
        <w:contextualSpacing/>
        <w:jc w:val="both"/>
        <w:rPr>
          <w:rFonts w:ascii="Palatino Linotype" w:hAnsi="Palatino Linotype" w:cs="Arial"/>
          <w:noProof/>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cs="Arial"/>
          <w:noProof/>
          <w:sz w:val="24"/>
          <w:szCs w:val="24"/>
        </w:rPr>
      </w:pPr>
      <w:r w:rsidRPr="00905D0F">
        <w:rPr>
          <w:rFonts w:ascii="Palatino Linotype" w:hAnsi="Palatino Linotype" w:cs="Arial"/>
          <w:noProof/>
          <w:sz w:val="24"/>
          <w:szCs w:val="24"/>
        </w:rPr>
        <w:t xml:space="preserve">Ahora bien, por lo que hace a la información que se ordena entregar, </w:t>
      </w:r>
      <w:r w:rsidRPr="00905D0F">
        <w:rPr>
          <w:rFonts w:ascii="Palatino Linotype" w:hAnsi="Palatino Linotype" w:cs="Arial"/>
          <w:sz w:val="24"/>
          <w:szCs w:val="24"/>
        </w:rPr>
        <w:t>se encuentra considerada como una de las obligaciones de transparencias comunes que l</w:t>
      </w:r>
      <w:r w:rsidRPr="00905D0F">
        <w:rPr>
          <w:rFonts w:ascii="Palatino Linotype" w:hAnsi="Palatino Linotype"/>
          <w:sz w:val="24"/>
          <w:szCs w:val="24"/>
        </w:rPr>
        <w:t xml:space="preserve">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Pr="00905D0F">
        <w:rPr>
          <w:rFonts w:ascii="Palatino Linotype" w:hAnsi="Palatino Linotype" w:cs="Arial"/>
          <w:color w:val="000000"/>
          <w:sz w:val="24"/>
          <w:szCs w:val="24"/>
        </w:rPr>
        <w:t xml:space="preserve">el </w:t>
      </w:r>
      <w:r w:rsidRPr="00905D0F">
        <w:rPr>
          <w:rFonts w:ascii="Palatino Linotype" w:hAnsi="Palatino Linotype" w:cs="Arial"/>
          <w:sz w:val="24"/>
          <w:szCs w:val="24"/>
        </w:rPr>
        <w:t>artículo 92, de la de la Ley de Transparencia y Acceso a la Información Pública del Estado de México y Municipios, en su fracción XXXII, dispone lo siguiente:</w:t>
      </w:r>
    </w:p>
    <w:p w:rsidR="00C3665E" w:rsidRPr="00905D0F" w:rsidRDefault="00C3665E" w:rsidP="00DF02A5">
      <w:pPr>
        <w:ind w:left="851" w:right="616"/>
        <w:jc w:val="both"/>
        <w:rPr>
          <w:rFonts w:ascii="Palatino Linotype" w:hAnsi="Palatino Linotype" w:cs="Arial"/>
          <w:sz w:val="24"/>
          <w:szCs w:val="24"/>
        </w:rPr>
      </w:pPr>
      <w:r w:rsidRPr="00905D0F">
        <w:rPr>
          <w:rFonts w:ascii="Palatino Linotype" w:hAnsi="Palatino Linotype" w:cs="Arial"/>
          <w:b/>
          <w:bCs/>
          <w:i/>
          <w:iCs/>
          <w:sz w:val="24"/>
          <w:szCs w:val="24"/>
        </w:rPr>
        <w:t>“Artículo 92. </w:t>
      </w:r>
      <w:r w:rsidRPr="00905D0F">
        <w:rPr>
          <w:rFonts w:ascii="Palatino Linotype" w:hAnsi="Palatino Linotype" w:cs="Arial"/>
          <w:i/>
          <w:iCs/>
          <w:sz w:val="24"/>
          <w:szCs w:val="24"/>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C3665E" w:rsidRPr="00905D0F" w:rsidRDefault="00C3665E" w:rsidP="00DF02A5">
      <w:pPr>
        <w:ind w:left="851" w:right="616"/>
        <w:jc w:val="both"/>
        <w:rPr>
          <w:rFonts w:ascii="Palatino Linotype" w:hAnsi="Palatino Linotype" w:cs="Arial"/>
          <w:sz w:val="24"/>
          <w:szCs w:val="24"/>
        </w:rPr>
      </w:pPr>
      <w:r w:rsidRPr="00905D0F">
        <w:rPr>
          <w:rFonts w:ascii="Palatino Linotype" w:hAnsi="Palatino Linotype" w:cs="Arial"/>
          <w:i/>
          <w:iCs/>
          <w:sz w:val="24"/>
          <w:szCs w:val="24"/>
        </w:rPr>
        <w:t>(…)</w:t>
      </w:r>
    </w:p>
    <w:p w:rsidR="00C3665E" w:rsidRPr="00905D0F" w:rsidRDefault="00C3665E" w:rsidP="00DF02A5">
      <w:pPr>
        <w:ind w:left="851" w:right="616"/>
        <w:jc w:val="both"/>
        <w:rPr>
          <w:rFonts w:ascii="Palatino Linotype" w:hAnsi="Palatino Linotype" w:cs="Arial"/>
          <w:b/>
          <w:bCs/>
          <w:i/>
          <w:iCs/>
          <w:sz w:val="24"/>
          <w:szCs w:val="24"/>
        </w:rPr>
      </w:pPr>
    </w:p>
    <w:p w:rsidR="00C3665E" w:rsidRPr="00905D0F" w:rsidRDefault="00C3665E" w:rsidP="00DF02A5">
      <w:pPr>
        <w:ind w:left="851" w:right="616"/>
        <w:jc w:val="both"/>
        <w:rPr>
          <w:rFonts w:ascii="Palatino Linotype" w:hAnsi="Palatino Linotype" w:cs="Arial"/>
          <w:bCs/>
          <w:i/>
          <w:iCs/>
          <w:sz w:val="24"/>
          <w:szCs w:val="24"/>
        </w:rPr>
      </w:pPr>
      <w:r w:rsidRPr="00905D0F">
        <w:rPr>
          <w:rFonts w:ascii="Palatino Linotype" w:hAnsi="Palatino Linotype" w:cs="Arial"/>
          <w:b/>
          <w:bCs/>
          <w:i/>
          <w:iCs/>
          <w:sz w:val="24"/>
          <w:szCs w:val="24"/>
        </w:rPr>
        <w:t xml:space="preserve">XXXII. </w:t>
      </w:r>
      <w:r w:rsidRPr="00905D0F">
        <w:rPr>
          <w:rFonts w:ascii="Palatino Linotype" w:hAnsi="Palatino Linotype" w:cs="Arial"/>
          <w:bCs/>
          <w:i/>
          <w:iCs/>
          <w:sz w:val="24"/>
          <w:szCs w:val="24"/>
        </w:rPr>
        <w:t xml:space="preserve">Las concesiones, contratos, convenios, permisos, </w:t>
      </w:r>
      <w:r w:rsidRPr="00905D0F">
        <w:rPr>
          <w:rFonts w:ascii="Palatino Linotype" w:hAnsi="Palatino Linotype" w:cs="Arial"/>
          <w:b/>
          <w:bCs/>
          <w:i/>
          <w:iCs/>
          <w:sz w:val="24"/>
          <w:szCs w:val="24"/>
          <w:u w:val="single"/>
        </w:rPr>
        <w:t>licencias o autorizaciones otorgados</w:t>
      </w:r>
      <w:r w:rsidRPr="00905D0F">
        <w:rPr>
          <w:rFonts w:ascii="Palatino Linotype" w:hAnsi="Palatino Linotype" w:cs="Arial"/>
          <w:bCs/>
          <w:i/>
          <w:iCs/>
          <w:sz w:val="24"/>
          <w:szCs w:val="24"/>
        </w:rPr>
        <w:t xml:space="preserve">, especificando los titulares de aquéllos, debiendo publicarse su objeto, nombre o razón social del titular, vigencia, tipo, términos, </w:t>
      </w:r>
      <w:r w:rsidRPr="00905D0F">
        <w:rPr>
          <w:rFonts w:ascii="Palatino Linotype" w:hAnsi="Palatino Linotype" w:cs="Arial"/>
          <w:bCs/>
          <w:i/>
          <w:iCs/>
          <w:sz w:val="24"/>
          <w:szCs w:val="24"/>
        </w:rPr>
        <w:lastRenderedPageBreak/>
        <w:t>condiciones, monto y modificaciones, así como si el procedimiento involucra el aprovechamiento de bienes, servicios y/o recursos públicos;</w:t>
      </w:r>
    </w:p>
    <w:p w:rsidR="00C3665E" w:rsidRPr="00905D0F" w:rsidRDefault="00C3665E" w:rsidP="00165F17">
      <w:pPr>
        <w:ind w:right="-518"/>
        <w:jc w:val="both"/>
        <w:rPr>
          <w:rFonts w:ascii="Palatino Linotype" w:hAnsi="Palatino Linotype" w:cs="Arial"/>
          <w:bCs/>
          <w:i/>
          <w:iCs/>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cs="Arial"/>
          <w:sz w:val="24"/>
          <w:szCs w:val="24"/>
        </w:rPr>
      </w:pPr>
      <w:r w:rsidRPr="00905D0F">
        <w:rPr>
          <w:rFonts w:ascii="Palatino Linotype" w:hAnsi="Palatino Linotype" w:cs="Tahoma"/>
          <w:bCs/>
          <w:sz w:val="24"/>
          <w:szCs w:val="24"/>
        </w:rPr>
        <w:t>De lo anterior, se desprende que los Sujetos Obligados están obligados a poner a disposición</w:t>
      </w:r>
      <w:r w:rsidRPr="00905D0F">
        <w:rPr>
          <w:rFonts w:ascii="Palatino Linotype" w:hAnsi="Palatino Linotype" w:cs="Arial"/>
          <w:sz w:val="24"/>
          <w:szCs w:val="24"/>
        </w:rPr>
        <w:t xml:space="preserve"> del público de manera constante y actualizada, de forma sencilla, precisa y entendible, en los respectivos medios electrónicos, la información referente a las licencias, el cual debe contener entre otros requisitos, la vigencia, tipo, términos, condiciones, monto y modificaciones, así como si el procedimiento involucra el aprovechamiento de bienes.</w:t>
      </w:r>
    </w:p>
    <w:p w:rsidR="00C3665E" w:rsidRPr="00905D0F" w:rsidRDefault="00C3665E" w:rsidP="00165F17">
      <w:pPr>
        <w:pBdr>
          <w:top w:val="nil"/>
          <w:left w:val="nil"/>
          <w:bottom w:val="nil"/>
          <w:right w:val="nil"/>
          <w:between w:val="nil"/>
        </w:pBdr>
        <w:spacing w:after="0" w:line="360" w:lineRule="auto"/>
        <w:ind w:right="-518"/>
        <w:jc w:val="both"/>
        <w:rPr>
          <w:rFonts w:ascii="Palatino Linotype" w:hAnsi="Palatino Linotype" w:cs="Arial"/>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cs="Arial"/>
          <w:sz w:val="24"/>
          <w:szCs w:val="24"/>
        </w:rPr>
      </w:pPr>
      <w:r w:rsidRPr="00905D0F">
        <w:rPr>
          <w:rFonts w:ascii="Palatino Linotype" w:hAnsi="Palatino Linotype" w:cs="Arial"/>
          <w:sz w:val="24"/>
          <w:szCs w:val="24"/>
        </w:rPr>
        <w:t>Respecto de la información que de manera enunciativa más no limitativa podría obrar en la información solicitada, se encuentra lo siguiente:</w:t>
      </w:r>
    </w:p>
    <w:p w:rsidR="00C3665E" w:rsidRPr="00905D0F" w:rsidRDefault="00C3665E" w:rsidP="00165F17">
      <w:pPr>
        <w:pBdr>
          <w:top w:val="nil"/>
          <w:left w:val="nil"/>
          <w:bottom w:val="nil"/>
          <w:right w:val="nil"/>
          <w:between w:val="nil"/>
        </w:pBdr>
        <w:spacing w:after="0" w:line="360" w:lineRule="auto"/>
        <w:ind w:right="-518"/>
        <w:jc w:val="both"/>
        <w:rPr>
          <w:rFonts w:ascii="Palatino Linotype" w:hAnsi="Palatino Linotype" w:cs="Arial"/>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 xml:space="preserve">Relativo al </w:t>
      </w:r>
      <w:r w:rsidRPr="00905D0F">
        <w:rPr>
          <w:rFonts w:ascii="Palatino Linotype" w:hAnsi="Palatino Linotype"/>
          <w:b/>
          <w:sz w:val="24"/>
          <w:szCs w:val="24"/>
        </w:rPr>
        <w:t>Registro Federal de Contribuyentes</w:t>
      </w:r>
      <w:r w:rsidRPr="00905D0F">
        <w:rPr>
          <w:rFonts w:ascii="Palatino Linotype" w:hAnsi="Palatino Linotype"/>
          <w:sz w:val="24"/>
          <w:szCs w:val="24"/>
        </w:rPr>
        <w:t xml:space="preserve"> </w:t>
      </w:r>
      <w:r w:rsidRPr="00905D0F">
        <w:rPr>
          <w:rFonts w:ascii="Palatino Linotype" w:hAnsi="Palatino Linotype"/>
          <w:b/>
          <w:sz w:val="24"/>
          <w:szCs w:val="24"/>
        </w:rPr>
        <w:t>de las personas físicas</w:t>
      </w:r>
      <w:r w:rsidRPr="00905D0F">
        <w:rPr>
          <w:rFonts w:ascii="Palatino Linotype" w:hAnsi="Palatino Linotype"/>
          <w:sz w:val="24"/>
          <w:szCs w:val="24"/>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rsidR="00C3665E" w:rsidRPr="00905D0F" w:rsidRDefault="00C3665E" w:rsidP="00165F17">
      <w:pPr>
        <w:ind w:right="-518"/>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cs="Arial"/>
          <w:sz w:val="24"/>
          <w:szCs w:val="24"/>
        </w:rPr>
        <w:t>Al</w:t>
      </w:r>
      <w:r w:rsidRPr="00905D0F">
        <w:rPr>
          <w:rFonts w:ascii="Palatino Linotype" w:hAnsi="Palatino Linotype"/>
          <w:sz w:val="24"/>
          <w:szCs w:val="24"/>
        </w:rPr>
        <w:t xml:space="preserve"> respecto, el Instituto Nacional Transparencia, Acceso a la Información y Protección de Datos Personales (INAI) a través del Criterio 19/17, señala literalmente lo siguiente:</w:t>
      </w:r>
    </w:p>
    <w:p w:rsidR="00C3665E" w:rsidRPr="00905D0F" w:rsidRDefault="00C3665E" w:rsidP="00165F17">
      <w:pPr>
        <w:ind w:left="567" w:right="-518"/>
        <w:jc w:val="both"/>
        <w:rPr>
          <w:rFonts w:ascii="Palatino Linotype" w:hAnsi="Palatino Linotype"/>
          <w:i/>
          <w:sz w:val="24"/>
          <w:szCs w:val="24"/>
        </w:rPr>
      </w:pPr>
      <w:r w:rsidRPr="00905D0F">
        <w:rPr>
          <w:rFonts w:ascii="Palatino Linotype" w:hAnsi="Palatino Linotype"/>
          <w:i/>
          <w:sz w:val="24"/>
          <w:szCs w:val="24"/>
        </w:rPr>
        <w:lastRenderedPageBreak/>
        <w:t>“</w:t>
      </w:r>
      <w:r w:rsidRPr="00905D0F">
        <w:rPr>
          <w:rFonts w:ascii="Palatino Linotype" w:hAnsi="Palatino Linotype"/>
          <w:b/>
          <w:i/>
          <w:sz w:val="24"/>
          <w:szCs w:val="24"/>
        </w:rPr>
        <w:t>Registro Federal de Contribuyentes (RFC) de personas físicas</w:t>
      </w:r>
      <w:r w:rsidRPr="00905D0F">
        <w:rPr>
          <w:rFonts w:ascii="Palatino Linotype" w:hAnsi="Palatino Linotype"/>
          <w:i/>
          <w:sz w:val="24"/>
          <w:szCs w:val="24"/>
        </w:rPr>
        <w:t>. El RFC es una clave de carácter fiscal, única e irrepetible, que permite identificar al titular, su edad y fecha de nacimiento, por lo que es un dato personal de carácter confidencial.</w:t>
      </w:r>
    </w:p>
    <w:p w:rsidR="00C3665E" w:rsidRPr="00905D0F" w:rsidRDefault="00C3665E" w:rsidP="00165F17">
      <w:pPr>
        <w:ind w:right="-518"/>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905D0F">
        <w:rPr>
          <w:rFonts w:ascii="Palatino Linotype" w:eastAsia="Arial Unicode MS" w:hAnsi="Palatino Linotype"/>
          <w:sz w:val="24"/>
          <w:szCs w:val="24"/>
        </w:rPr>
        <w:t>4 fracción XI de la Ley de Protección de Datos Personales en Posesión de los Sujetos Obligados del Estado de México y Municipios</w:t>
      </w:r>
      <w:r w:rsidRPr="00905D0F">
        <w:rPr>
          <w:rFonts w:ascii="Palatino Linotype" w:hAnsi="Palatino Linotype"/>
          <w:sz w:val="24"/>
          <w:szCs w:val="24"/>
        </w:rPr>
        <w:t>.</w:t>
      </w:r>
    </w:p>
    <w:p w:rsidR="00C3665E" w:rsidRPr="00905D0F" w:rsidRDefault="00C3665E" w:rsidP="00165F17">
      <w:pPr>
        <w:spacing w:line="360" w:lineRule="auto"/>
        <w:ind w:right="-518"/>
        <w:jc w:val="both"/>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 xml:space="preserve">Por cuanto hace a la </w:t>
      </w:r>
      <w:r w:rsidRPr="00905D0F">
        <w:rPr>
          <w:rFonts w:ascii="Palatino Linotype" w:hAnsi="Palatino Linotype"/>
          <w:b/>
          <w:sz w:val="24"/>
          <w:szCs w:val="24"/>
        </w:rPr>
        <w:t xml:space="preserve">Clave Única de Registro de Población, </w:t>
      </w:r>
      <w:r w:rsidRPr="00905D0F">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C3665E" w:rsidRPr="00905D0F" w:rsidRDefault="00C3665E" w:rsidP="00165F17">
      <w:pPr>
        <w:ind w:right="-518"/>
        <w:jc w:val="both"/>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Lo anterior, tiene sustento en los artículos 86 y 91, de la Ley General de Población, la cual señala lo siguiente:</w:t>
      </w:r>
    </w:p>
    <w:p w:rsidR="00C3665E" w:rsidRPr="00905D0F" w:rsidRDefault="00C3665E" w:rsidP="00DF02A5">
      <w:pPr>
        <w:ind w:left="709" w:right="616"/>
        <w:jc w:val="both"/>
        <w:rPr>
          <w:rFonts w:ascii="Palatino Linotype" w:hAnsi="Palatino Linotype" w:cs="Arial"/>
          <w:i/>
          <w:sz w:val="24"/>
          <w:szCs w:val="24"/>
        </w:rPr>
      </w:pPr>
      <w:r w:rsidRPr="00905D0F">
        <w:rPr>
          <w:rFonts w:ascii="Palatino Linotype" w:hAnsi="Palatino Linotype" w:cs="Arial,Bold"/>
          <w:b/>
          <w:bCs/>
          <w:i/>
          <w:sz w:val="24"/>
          <w:szCs w:val="24"/>
        </w:rPr>
        <w:t xml:space="preserve">“Artículo 86. </w:t>
      </w:r>
      <w:r w:rsidRPr="00905D0F">
        <w:rPr>
          <w:rFonts w:ascii="Palatino Linotype" w:hAnsi="Palatino Linotype" w:cs="Arial"/>
          <w:i/>
          <w:sz w:val="24"/>
          <w:szCs w:val="24"/>
        </w:rPr>
        <w:t>El Registro Nacional de Población tiene como finalidad registrar a cada una de las personas que integran la población del país, con los datos que permitan certificar y acreditar fehacientemente su identidad.</w:t>
      </w:r>
    </w:p>
    <w:p w:rsidR="00C3665E" w:rsidRPr="00905D0F" w:rsidRDefault="00C3665E" w:rsidP="00DF02A5">
      <w:pPr>
        <w:ind w:left="709" w:right="616"/>
        <w:jc w:val="both"/>
        <w:rPr>
          <w:rFonts w:ascii="Palatino Linotype" w:hAnsi="Palatino Linotype" w:cs="Arial"/>
          <w:i/>
          <w:sz w:val="24"/>
          <w:szCs w:val="24"/>
        </w:rPr>
      </w:pPr>
    </w:p>
    <w:p w:rsidR="00C3665E" w:rsidRPr="00905D0F" w:rsidRDefault="00C3665E" w:rsidP="00DF02A5">
      <w:pPr>
        <w:ind w:left="709" w:right="616"/>
        <w:jc w:val="both"/>
        <w:rPr>
          <w:rFonts w:ascii="Palatino Linotype" w:hAnsi="Palatino Linotype" w:cs="Arial"/>
          <w:i/>
          <w:sz w:val="24"/>
          <w:szCs w:val="24"/>
        </w:rPr>
      </w:pPr>
      <w:r w:rsidRPr="00905D0F">
        <w:rPr>
          <w:rFonts w:ascii="Palatino Linotype" w:hAnsi="Palatino Linotype" w:cs="Arial,Bold"/>
          <w:b/>
          <w:bCs/>
          <w:i/>
          <w:sz w:val="24"/>
          <w:szCs w:val="24"/>
        </w:rPr>
        <w:lastRenderedPageBreak/>
        <w:t xml:space="preserve">Artículo 91. </w:t>
      </w:r>
      <w:r w:rsidRPr="00905D0F">
        <w:rPr>
          <w:rFonts w:ascii="Palatino Linotype" w:hAnsi="Palatino Linotype" w:cs="Arial"/>
          <w:i/>
          <w:sz w:val="24"/>
          <w:szCs w:val="24"/>
        </w:rPr>
        <w:t>Al incorporar a una persona en el Registro Nacional de Población, se le asignará una clave que se denominará Clave Única de Registro de Población. Esta servirá para registrarla e iden</w:t>
      </w:r>
      <w:r w:rsidR="00DF02A5" w:rsidRPr="00905D0F">
        <w:rPr>
          <w:rFonts w:ascii="Palatino Linotype" w:hAnsi="Palatino Linotype" w:cs="Arial"/>
          <w:i/>
          <w:sz w:val="24"/>
          <w:szCs w:val="24"/>
        </w:rPr>
        <w:t>tificarla en forma individual.”</w:t>
      </w:r>
    </w:p>
    <w:p w:rsidR="00C3665E" w:rsidRPr="00905D0F" w:rsidRDefault="00C3665E" w:rsidP="00165F17">
      <w:pPr>
        <w:ind w:right="-518"/>
        <w:jc w:val="both"/>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C3665E" w:rsidRPr="00905D0F" w:rsidRDefault="00C3665E" w:rsidP="00165F17">
      <w:pPr>
        <w:ind w:right="-518"/>
        <w:jc w:val="both"/>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rsidR="00C3665E" w:rsidRPr="00905D0F" w:rsidRDefault="00C3665E" w:rsidP="00DF02A5">
      <w:pPr>
        <w:ind w:left="567" w:right="1041"/>
        <w:jc w:val="both"/>
        <w:rPr>
          <w:rFonts w:ascii="Palatino Linotype" w:hAnsi="Palatino Linotype"/>
          <w:i/>
          <w:sz w:val="24"/>
          <w:szCs w:val="24"/>
        </w:rPr>
      </w:pPr>
      <w:r w:rsidRPr="00905D0F">
        <w:rPr>
          <w:rFonts w:ascii="Palatino Linotype" w:hAnsi="Palatino Linotype"/>
          <w:b/>
          <w:i/>
          <w:sz w:val="24"/>
          <w:szCs w:val="24"/>
        </w:rPr>
        <w:t>Clave Única de Registro de Población (CURP)</w:t>
      </w:r>
      <w:r w:rsidRPr="00905D0F">
        <w:rPr>
          <w:rFonts w:ascii="Palatino Linotype" w:hAnsi="Palatino Linotype"/>
          <w:i/>
          <w:sz w:val="24"/>
          <w:szCs w:val="24"/>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C3665E" w:rsidRPr="00905D0F" w:rsidRDefault="00C3665E" w:rsidP="00165F17">
      <w:pPr>
        <w:ind w:left="567" w:right="-518"/>
        <w:jc w:val="both"/>
        <w:rPr>
          <w:rFonts w:ascii="Palatino Linotype" w:hAnsi="Palatino Linotype" w:cs="Arial"/>
          <w:bCs/>
          <w:i/>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lastRenderedPageBreak/>
        <w:t xml:space="preserve">De lo anterior, se desprende que la Clave Única de Registro de Población, se </w:t>
      </w:r>
      <w:r w:rsidRPr="00905D0F">
        <w:rPr>
          <w:rFonts w:ascii="Palatino Linotype" w:hAnsi="Palatino Linotype" w:cs="Tahoma"/>
          <w:bCs/>
          <w:sz w:val="24"/>
          <w:szCs w:val="24"/>
        </w:rPr>
        <w:t>encuentra</w:t>
      </w:r>
      <w:r w:rsidRPr="00905D0F">
        <w:rPr>
          <w:rFonts w:ascii="Palatino Linotype" w:hAnsi="Palatino Linotype"/>
          <w:sz w:val="24"/>
          <w:szCs w:val="24"/>
        </w:rPr>
        <w:t xml:space="preserve">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C3665E" w:rsidRPr="00905D0F" w:rsidRDefault="00C3665E" w:rsidP="00165F17">
      <w:pPr>
        <w:pBdr>
          <w:top w:val="nil"/>
          <w:left w:val="nil"/>
          <w:bottom w:val="nil"/>
          <w:right w:val="nil"/>
          <w:between w:val="nil"/>
        </w:pBdr>
        <w:spacing w:after="0" w:line="360" w:lineRule="auto"/>
        <w:ind w:right="-518"/>
        <w:jc w:val="both"/>
        <w:rPr>
          <w:rFonts w:ascii="Palatino Linotype" w:hAnsi="Palatino Linotype"/>
          <w:sz w:val="24"/>
          <w:szCs w:val="24"/>
        </w:rPr>
      </w:pPr>
    </w:p>
    <w:p w:rsidR="00C3665E" w:rsidRPr="00905D0F" w:rsidRDefault="00C3665E" w:rsidP="00165F17">
      <w:pPr>
        <w:pStyle w:val="Prrafodelista"/>
        <w:numPr>
          <w:ilvl w:val="0"/>
          <w:numId w:val="23"/>
        </w:numPr>
        <w:spacing w:line="360" w:lineRule="auto"/>
        <w:ind w:right="-518"/>
        <w:jc w:val="both"/>
        <w:rPr>
          <w:rFonts w:ascii="Palatino Linotype" w:hAnsi="Palatino Linotype"/>
          <w:b/>
        </w:rPr>
      </w:pPr>
      <w:r w:rsidRPr="00905D0F">
        <w:rPr>
          <w:rFonts w:ascii="Palatino Linotype" w:hAnsi="Palatino Linotype"/>
          <w:b/>
        </w:rPr>
        <w:t xml:space="preserve">Nombres de personas que no son servidores públicos </w:t>
      </w:r>
    </w:p>
    <w:p w:rsidR="00C3665E" w:rsidRPr="00905D0F" w:rsidRDefault="00C3665E" w:rsidP="00905D0F">
      <w:pPr>
        <w:numPr>
          <w:ilvl w:val="0"/>
          <w:numId w:val="1"/>
        </w:numPr>
        <w:spacing w:after="0" w:line="360" w:lineRule="auto"/>
        <w:ind w:left="0" w:right="-518" w:firstLine="0"/>
        <w:contextualSpacing/>
        <w:jc w:val="both"/>
        <w:rPr>
          <w:rFonts w:ascii="Palatino Linotype" w:eastAsia="Palatino Linotype" w:hAnsi="Palatino Linotype" w:cs="Palatino Linotype"/>
          <w:b/>
          <w:sz w:val="24"/>
          <w:szCs w:val="24"/>
        </w:rPr>
      </w:pPr>
      <w:r w:rsidRPr="00905D0F">
        <w:rPr>
          <w:rFonts w:ascii="Palatino Linotype" w:hAnsi="Palatino Linotype"/>
          <w:sz w:val="24"/>
          <w:szCs w:val="24"/>
        </w:rPr>
        <w:t xml:space="preserve">Al respecto, se considera que el </w:t>
      </w:r>
      <w:r w:rsidRPr="00905D0F">
        <w:rPr>
          <w:rFonts w:ascii="Palatino Linotype" w:eastAsia="Palatino Linotype" w:hAnsi="Palatino Linotype" w:cs="Palatino Linotype"/>
          <w:color w:val="000000"/>
          <w:sz w:val="24"/>
          <w:szCs w:val="24"/>
        </w:rPr>
        <w:t>nombre</w:t>
      </w:r>
      <w:r w:rsidRPr="00905D0F">
        <w:rPr>
          <w:rFonts w:ascii="Palatino Linotype" w:hAnsi="Palatino Linotype"/>
          <w:sz w:val="24"/>
          <w:szCs w:val="24"/>
        </w:rPr>
        <w:t xml:space="preserve"> se integra con el sustantivo propio y el primer </w:t>
      </w:r>
      <w:r w:rsidRPr="00905D0F">
        <w:rPr>
          <w:rFonts w:ascii="Palatino Linotype" w:eastAsia="Palatino Linotype" w:hAnsi="Palatino Linotype" w:cs="Palatino Linotype"/>
          <w:color w:val="000000"/>
          <w:sz w:val="24"/>
          <w:szCs w:val="24"/>
        </w:rPr>
        <w:t>apellido</w:t>
      </w:r>
      <w:r w:rsidRPr="00905D0F">
        <w:rPr>
          <w:rFonts w:ascii="Palatino Linotype" w:hAnsi="Palatino Linotype"/>
          <w:sz w:val="24"/>
          <w:szCs w:val="24"/>
        </w:rPr>
        <w:t xml:space="preserve">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 </w:t>
      </w:r>
    </w:p>
    <w:p w:rsidR="00C3665E" w:rsidRPr="00905D0F" w:rsidRDefault="00C3665E" w:rsidP="00165F17">
      <w:pPr>
        <w:pStyle w:val="Prrafodelista"/>
        <w:spacing w:line="360" w:lineRule="auto"/>
        <w:ind w:left="0" w:right="-518"/>
        <w:jc w:val="both"/>
        <w:rPr>
          <w:rFonts w:ascii="Palatino Linotype" w:eastAsia="Palatino Linotype" w:hAnsi="Palatino Linotype" w:cs="Palatino Linotype"/>
          <w:b/>
        </w:rPr>
      </w:pPr>
    </w:p>
    <w:p w:rsidR="00C3665E" w:rsidRPr="00905D0F" w:rsidRDefault="00C3665E" w:rsidP="00905D0F">
      <w:pPr>
        <w:numPr>
          <w:ilvl w:val="0"/>
          <w:numId w:val="1"/>
        </w:numPr>
        <w:spacing w:after="0" w:line="360" w:lineRule="auto"/>
        <w:ind w:left="0" w:right="-518" w:firstLine="0"/>
        <w:contextualSpacing/>
        <w:jc w:val="both"/>
        <w:rPr>
          <w:rFonts w:ascii="Palatino Linotype" w:eastAsia="Palatino Linotype" w:hAnsi="Palatino Linotype" w:cs="Palatino Linotype"/>
          <w:b/>
          <w:sz w:val="24"/>
          <w:szCs w:val="24"/>
        </w:rPr>
      </w:pPr>
      <w:r w:rsidRPr="00905D0F">
        <w:rPr>
          <w:rFonts w:ascii="Palatino Linotype" w:hAnsi="Palatino Linotype"/>
          <w:sz w:val="24"/>
          <w:szCs w:val="24"/>
        </w:rPr>
        <w:t>Sobre el tema, se tiene presente que este Instituto emitió el Criterio Relevante 01/18, de la Segunda Época de este Instituto, que establece que el nombre del titular de una licencia, es información confidencial, cuando no involucra aprovechamiento de recursos públicos.</w:t>
      </w:r>
    </w:p>
    <w:p w:rsidR="00C3665E" w:rsidRPr="00905D0F" w:rsidRDefault="00C3665E" w:rsidP="00DF02A5">
      <w:pPr>
        <w:pStyle w:val="Prrafodelista"/>
        <w:spacing w:line="360" w:lineRule="auto"/>
        <w:ind w:left="426" w:right="191"/>
        <w:jc w:val="both"/>
        <w:rPr>
          <w:rFonts w:ascii="Palatino Linotype" w:hAnsi="Palatino Linotype"/>
          <w:i/>
          <w:lang w:val="es-419"/>
        </w:rPr>
      </w:pPr>
      <w:r w:rsidRPr="00905D0F">
        <w:rPr>
          <w:rFonts w:ascii="Palatino Linotype" w:hAnsi="Palatino Linotype"/>
          <w:i/>
        </w:rPr>
        <w:t xml:space="preserve"> “</w:t>
      </w:r>
      <w:r w:rsidRPr="00905D0F">
        <w:rPr>
          <w:rFonts w:ascii="Palatino Linotype" w:hAnsi="Palatino Linotype"/>
          <w:b/>
          <w:i/>
        </w:rPr>
        <w:t>Nombre del titular de una licencia que no involucre el aprovechamiento de bienes, servicios y/o recursos públicos, constituye un dato personal susceptible de clasificar como confidencial</w:t>
      </w:r>
      <w:r w:rsidRPr="00905D0F">
        <w:rPr>
          <w:rFonts w:ascii="Palatino Linotype" w:hAnsi="Palatino Linotype"/>
          <w:i/>
        </w:rPr>
        <w:t xml:space="preserve">. El artículo 1, párrafo segundo de la Constitución </w:t>
      </w:r>
      <w:r w:rsidRPr="00905D0F">
        <w:rPr>
          <w:rFonts w:ascii="Palatino Linotype" w:hAnsi="Palatino Linotype"/>
          <w:i/>
        </w:rPr>
        <w:lastRenderedPageBreak/>
        <w:t xml:space="preserve">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w:t>
      </w:r>
      <w:r w:rsidRPr="00905D0F">
        <w:rPr>
          <w:rFonts w:ascii="Palatino Linotype" w:hAnsi="Palatino Linotype"/>
          <w:i/>
          <w:lang w:val="es-419"/>
        </w:rPr>
        <w:t>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rsidR="00CE130B" w:rsidRPr="00905D0F" w:rsidRDefault="00CE130B" w:rsidP="00DF02A5">
      <w:pPr>
        <w:spacing w:line="360" w:lineRule="auto"/>
        <w:ind w:right="191"/>
        <w:jc w:val="both"/>
        <w:rPr>
          <w:rFonts w:ascii="Palatino Linotype" w:eastAsia="Palatino Linotype" w:hAnsi="Palatino Linotype" w:cs="Palatino Linotype"/>
          <w:b/>
          <w:sz w:val="24"/>
          <w:szCs w:val="24"/>
        </w:rPr>
      </w:pPr>
    </w:p>
    <w:p w:rsidR="00CE130B" w:rsidRPr="00905D0F" w:rsidRDefault="00CE130B" w:rsidP="00905D0F">
      <w:pPr>
        <w:numPr>
          <w:ilvl w:val="0"/>
          <w:numId w:val="1"/>
        </w:numPr>
        <w:spacing w:after="0" w:line="360" w:lineRule="auto"/>
        <w:ind w:left="0" w:right="-518" w:firstLine="0"/>
        <w:contextualSpacing/>
        <w:jc w:val="both"/>
        <w:rPr>
          <w:rFonts w:ascii="Palatino Linotype" w:hAnsi="Palatino Linotype"/>
          <w:sz w:val="24"/>
          <w:szCs w:val="24"/>
          <w:lang w:val="es-419"/>
        </w:rPr>
      </w:pPr>
      <w:r w:rsidRPr="00905D0F">
        <w:rPr>
          <w:rFonts w:ascii="Palatino Linotype" w:eastAsia="Palatino Linotype" w:hAnsi="Palatino Linotype" w:cs="Palatino Linotype"/>
          <w:sz w:val="24"/>
          <w:szCs w:val="24"/>
        </w:rPr>
        <w:lastRenderedPageBreak/>
        <w:t xml:space="preserve">Sin embargo, en el caso que nos ocupa, el nombre de personas, ya sea físicas o morales, se considera de carácter público, pues es información que abona a la transparencia y rendición de cuentas, sin que se advierta que la divulgación de la misma represente una transgresión y/o violación, pues fueron emitidos como parte de un acto administrativo en ejercicio de las funciones del </w:t>
      </w:r>
      <w:r w:rsidR="00DF02A5" w:rsidRPr="00905D0F">
        <w:rPr>
          <w:rFonts w:ascii="Palatino Linotype" w:eastAsia="Palatino Linotype" w:hAnsi="Palatino Linotype" w:cs="Palatino Linotype"/>
          <w:b/>
          <w:sz w:val="24"/>
          <w:szCs w:val="24"/>
        </w:rPr>
        <w:t>SUJETO OBLIGADO</w:t>
      </w:r>
      <w:r w:rsidRPr="00905D0F">
        <w:rPr>
          <w:rFonts w:ascii="Palatino Linotype" w:eastAsia="Palatino Linotype" w:hAnsi="Palatino Linotype" w:cs="Palatino Linotype"/>
          <w:sz w:val="24"/>
          <w:szCs w:val="24"/>
        </w:rPr>
        <w:t>, por lo que se considera que son datos que cobran relevancia al permitir tener certeza de las person</w:t>
      </w:r>
      <w:r w:rsidR="00DF02A5" w:rsidRPr="00905D0F">
        <w:rPr>
          <w:rFonts w:ascii="Palatino Linotype" w:eastAsia="Palatino Linotype" w:hAnsi="Palatino Linotype" w:cs="Palatino Linotype"/>
          <w:sz w:val="24"/>
          <w:szCs w:val="24"/>
        </w:rPr>
        <w:t>as que el acto intervienen.</w:t>
      </w:r>
    </w:p>
    <w:p w:rsidR="00DF02A5" w:rsidRPr="00905D0F" w:rsidRDefault="00DF02A5" w:rsidP="00DF02A5">
      <w:pPr>
        <w:spacing w:after="0" w:line="360" w:lineRule="auto"/>
        <w:ind w:right="-518"/>
        <w:contextualSpacing/>
        <w:jc w:val="both"/>
        <w:rPr>
          <w:rFonts w:ascii="Palatino Linotype" w:hAnsi="Palatino Linotype"/>
          <w:sz w:val="24"/>
          <w:szCs w:val="24"/>
          <w:lang w:val="es-419"/>
        </w:rPr>
      </w:pPr>
    </w:p>
    <w:p w:rsidR="00C3665E" w:rsidRPr="00905D0F" w:rsidRDefault="00C3665E" w:rsidP="00905D0F">
      <w:pPr>
        <w:numPr>
          <w:ilvl w:val="0"/>
          <w:numId w:val="1"/>
        </w:numPr>
        <w:spacing w:after="0" w:line="360" w:lineRule="auto"/>
        <w:ind w:left="0" w:right="-518" w:firstLine="0"/>
        <w:contextualSpacing/>
        <w:jc w:val="both"/>
        <w:rPr>
          <w:rFonts w:ascii="Palatino Linotype" w:eastAsia="Palatino Linotype" w:hAnsi="Palatino Linotype" w:cs="Palatino Linotype"/>
          <w:b/>
          <w:sz w:val="24"/>
          <w:szCs w:val="24"/>
        </w:rPr>
      </w:pPr>
      <w:r w:rsidRPr="00905D0F">
        <w:rPr>
          <w:rFonts w:ascii="Palatino Linotype" w:hAnsi="Palatino Linotype"/>
          <w:sz w:val="24"/>
          <w:szCs w:val="24"/>
        </w:rPr>
        <w:t>Con base en lo anterior, procede su eliminación de las versiones públicas, pues actualiza el supuesto previsto en el artículo 143 fracción I de la Ley de Transparencia y Acceso a la Información Pública del Estado de México y Municipios.</w:t>
      </w:r>
    </w:p>
    <w:p w:rsidR="00C3665E" w:rsidRPr="00905D0F" w:rsidRDefault="00C3665E" w:rsidP="00DF02A5">
      <w:pPr>
        <w:pStyle w:val="Prrafodelista"/>
        <w:spacing w:line="276" w:lineRule="auto"/>
        <w:ind w:left="567" w:right="758"/>
        <w:jc w:val="both"/>
        <w:rPr>
          <w:rFonts w:ascii="Palatino Linotype" w:eastAsia="Palatino Linotype" w:hAnsi="Palatino Linotype" w:cs="Palatino Linotype"/>
          <w:i/>
          <w:color w:val="000000"/>
        </w:rPr>
      </w:pPr>
      <w:r w:rsidRPr="00905D0F">
        <w:rPr>
          <w:rFonts w:ascii="Palatino Linotype" w:eastAsia="Palatino Linotype" w:hAnsi="Palatino Linotype" w:cs="Palatino Linotype"/>
          <w:b/>
          <w:i/>
          <w:color w:val="000000"/>
        </w:rPr>
        <w:t xml:space="preserve">Firma del titular: </w:t>
      </w:r>
      <w:r w:rsidRPr="00905D0F">
        <w:rPr>
          <w:rFonts w:ascii="Palatino Linotype" w:eastAsia="Palatino Linotype" w:hAnsi="Palatino Linotype" w:cs="Palatino Linotype"/>
          <w:i/>
          <w:color w:val="000000"/>
        </w:rPr>
        <w:t xml:space="preserve">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rsidR="00C3665E" w:rsidRPr="00905D0F" w:rsidRDefault="00C3665E" w:rsidP="00DF02A5">
      <w:pPr>
        <w:pStyle w:val="Prrafodelista"/>
        <w:spacing w:line="276" w:lineRule="auto"/>
        <w:ind w:left="567" w:right="758"/>
        <w:jc w:val="both"/>
        <w:rPr>
          <w:rFonts w:ascii="Palatino Linotype" w:eastAsia="Palatino Linotype" w:hAnsi="Palatino Linotype" w:cs="Palatino Linotype"/>
          <w:i/>
          <w:color w:val="000000"/>
        </w:rPr>
      </w:pPr>
    </w:p>
    <w:p w:rsidR="00C3665E" w:rsidRPr="00905D0F" w:rsidRDefault="00C3665E" w:rsidP="00DF02A5">
      <w:pPr>
        <w:pStyle w:val="Prrafodelista"/>
        <w:spacing w:line="276" w:lineRule="auto"/>
        <w:ind w:left="567" w:right="758"/>
        <w:jc w:val="both"/>
        <w:rPr>
          <w:rFonts w:ascii="Palatino Linotype" w:eastAsia="Palatino Linotype" w:hAnsi="Palatino Linotype" w:cs="Palatino Linotype"/>
          <w:i/>
          <w:color w:val="000000"/>
        </w:rPr>
      </w:pPr>
      <w:r w:rsidRPr="00905D0F">
        <w:rPr>
          <w:rFonts w:ascii="Palatino Linotype" w:eastAsia="Palatino Linotype" w:hAnsi="Palatino Linotype" w:cs="Palatino Linotype"/>
          <w:i/>
          <w:color w:val="000000"/>
        </w:rPr>
        <w:t xml:space="preserve">En contraste, tratándose de </w:t>
      </w:r>
      <w:r w:rsidRPr="00905D0F">
        <w:rPr>
          <w:rFonts w:ascii="Palatino Linotype" w:eastAsia="Palatino Linotype" w:hAnsi="Palatino Linotype" w:cs="Palatino Linotype"/>
          <w:b/>
          <w:i/>
          <w:color w:val="000000"/>
          <w:u w:val="single"/>
        </w:rPr>
        <w:t>servidores públicos</w:t>
      </w:r>
      <w:r w:rsidRPr="00905D0F">
        <w:rPr>
          <w:rFonts w:ascii="Palatino Linotype" w:eastAsia="Palatino Linotype" w:hAnsi="Palatino Linotype" w:cs="Palatino Linotype"/>
          <w:i/>
          <w:color w:val="000000"/>
        </w:rPr>
        <w:t xml:space="preserve">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rsidR="00C3665E" w:rsidRPr="00905D0F" w:rsidRDefault="00C3665E" w:rsidP="00165F17">
      <w:pPr>
        <w:pBdr>
          <w:top w:val="nil"/>
          <w:left w:val="nil"/>
          <w:bottom w:val="nil"/>
          <w:right w:val="nil"/>
          <w:between w:val="nil"/>
        </w:pBdr>
        <w:spacing w:after="0" w:line="360" w:lineRule="auto"/>
        <w:ind w:right="-518"/>
        <w:jc w:val="both"/>
        <w:rPr>
          <w:rFonts w:ascii="Palatino Linotype" w:hAnsi="Palatino Linotype" w:cs="Arial"/>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eastAsia="Palatino Linotype" w:hAnsi="Palatino Linotype" w:cs="Palatino Linotype"/>
          <w:color w:val="000000"/>
          <w:sz w:val="24"/>
          <w:szCs w:val="24"/>
        </w:rPr>
        <w:t xml:space="preserve">Ahora bien, </w:t>
      </w:r>
      <w:r w:rsidRPr="00905D0F">
        <w:rPr>
          <w:rFonts w:ascii="Palatino Linotype" w:hAnsi="Palatino Linotype"/>
          <w:sz w:val="24"/>
          <w:szCs w:val="24"/>
        </w:rPr>
        <w:t xml:space="preserve">Ahora bien, respecto de la </w:t>
      </w:r>
      <w:r w:rsidRPr="00905D0F">
        <w:rPr>
          <w:rFonts w:ascii="Palatino Linotype" w:hAnsi="Palatino Linotype"/>
          <w:b/>
          <w:sz w:val="24"/>
          <w:szCs w:val="24"/>
        </w:rPr>
        <w:t>clave catastral</w:t>
      </w:r>
      <w:r w:rsidRPr="00905D0F">
        <w:rPr>
          <w:rFonts w:ascii="Palatino Linotype" w:hAnsi="Palatino Linotype"/>
          <w:sz w:val="24"/>
          <w:szCs w:val="24"/>
        </w:rPr>
        <w:t xml:space="preserve">, es un criterio mayoritario de este Pleno que ese elemento debe ser testado tomando en cuenta que el artículo 179 fracción </w:t>
      </w:r>
      <w:r w:rsidRPr="00905D0F">
        <w:rPr>
          <w:rFonts w:ascii="Palatino Linotype" w:hAnsi="Palatino Linotype"/>
          <w:sz w:val="24"/>
          <w:szCs w:val="24"/>
        </w:rPr>
        <w:lastRenderedPageBreak/>
        <w:t>I del Código Financiero del Estado de México y Municipios refiere que la clave catastral es un código alfanumérico único e irrepetible, que se asigna para efectos de localización geográfica, identificación, inscripción, control y registro de los inmuebles; el cual está integrado de dieciséis caracteres: los primeros tres identifican el código del municipio, los dos siguientes a la zona catastral, los subsecuentes tres a la manzana y las últimas dos posiciones identifican el número de lote o predio; en ese sentido, se advierte que el dato en comento, hace referencia a un predio determinado, en el presente caso, a un baldío destinado a casa habitación.</w:t>
      </w:r>
    </w:p>
    <w:p w:rsidR="00C3665E" w:rsidRPr="00905D0F" w:rsidRDefault="00C3665E" w:rsidP="00165F17">
      <w:pPr>
        <w:pBdr>
          <w:top w:val="nil"/>
          <w:left w:val="nil"/>
          <w:bottom w:val="nil"/>
          <w:right w:val="nil"/>
          <w:between w:val="nil"/>
        </w:pBdr>
        <w:spacing w:after="0" w:line="360" w:lineRule="auto"/>
        <w:ind w:right="-518"/>
        <w:jc w:val="both"/>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eastAsia="Palatino Linotype" w:hAnsi="Palatino Linotype" w:cs="Palatino Linotype"/>
          <w:color w:val="000000"/>
          <w:sz w:val="24"/>
          <w:szCs w:val="24"/>
        </w:rPr>
        <w:t>El</w:t>
      </w:r>
      <w:r w:rsidRPr="00905D0F">
        <w:rPr>
          <w:rFonts w:ascii="Palatino Linotype" w:hAnsi="Palatino Linotype"/>
          <w:sz w:val="24"/>
          <w:szCs w:val="24"/>
        </w:rPr>
        <w:t xml:space="preserve"> “Diccionario de Datos catastrales Escala 1:1000” el Instituto Nacional de Estadística y Geografía (INEGI), contempla en su Glosario la definición de la Clave Catastral, la cual, apunta lo siguiente:</w:t>
      </w:r>
    </w:p>
    <w:p w:rsidR="00C3665E" w:rsidRPr="00905D0F" w:rsidRDefault="00C3665E" w:rsidP="00DF02A5">
      <w:pPr>
        <w:ind w:left="709" w:right="333"/>
        <w:jc w:val="both"/>
        <w:rPr>
          <w:rFonts w:ascii="Palatino Linotype" w:hAnsi="Palatino Linotype"/>
          <w:i/>
          <w:iCs/>
          <w:sz w:val="24"/>
          <w:szCs w:val="24"/>
        </w:rPr>
      </w:pPr>
      <w:r w:rsidRPr="00905D0F">
        <w:rPr>
          <w:rFonts w:ascii="Palatino Linotype" w:hAnsi="Palatino Linotype"/>
          <w:b/>
          <w:bCs/>
          <w:i/>
          <w:iCs/>
          <w:sz w:val="24"/>
          <w:szCs w:val="24"/>
        </w:rPr>
        <w:t>Clave Catastral:</w:t>
      </w:r>
      <w:r w:rsidRPr="00905D0F">
        <w:rPr>
          <w:rFonts w:ascii="Palatino Linotype" w:hAnsi="Palatino Linotype"/>
          <w:i/>
          <w:iCs/>
          <w:sz w:val="24"/>
          <w:szCs w:val="24"/>
        </w:rPr>
        <w:t xml:space="preserve"> El código que identifica al predio de forma única para su localización geográfica, mismo que es asignado a cada uno de ellos en el momento de su inscripción en el padrón catastral por las Unidades del Estado con atribuciones catastrales.</w:t>
      </w:r>
    </w:p>
    <w:p w:rsidR="00DF02A5" w:rsidRPr="00905D0F" w:rsidRDefault="00DF02A5" w:rsidP="00DF02A5">
      <w:pPr>
        <w:ind w:right="-518"/>
        <w:jc w:val="both"/>
        <w:rPr>
          <w:rFonts w:ascii="Palatino Linotype" w:hAnsi="Palatino Linotype"/>
          <w:i/>
          <w:iCs/>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eastAsia="Palatino Linotype" w:hAnsi="Palatino Linotype" w:cs="Palatino Linotype"/>
          <w:color w:val="000000"/>
          <w:sz w:val="24"/>
          <w:szCs w:val="24"/>
        </w:rPr>
        <w:t>Asimismo</w:t>
      </w:r>
      <w:r w:rsidRPr="00905D0F">
        <w:rPr>
          <w:rFonts w:ascii="Palatino Linotype" w:hAnsi="Palatino Linotype"/>
          <w:sz w:val="24"/>
          <w:szCs w:val="24"/>
        </w:rPr>
        <w:t xml:space="preserve">, dicho diccionario hace referencia a dos tipos de Claves Catastrales, siendo éstas la Estándar y la Original, que se definen como se observa a continuación: </w:t>
      </w:r>
    </w:p>
    <w:p w:rsidR="00C3665E" w:rsidRPr="00905D0F" w:rsidRDefault="00C3665E" w:rsidP="00DF02A5">
      <w:pPr>
        <w:ind w:left="709" w:right="474"/>
        <w:jc w:val="both"/>
        <w:rPr>
          <w:rFonts w:ascii="Palatino Linotype" w:hAnsi="Palatino Linotype"/>
          <w:i/>
          <w:iCs/>
          <w:sz w:val="24"/>
          <w:szCs w:val="24"/>
        </w:rPr>
      </w:pPr>
      <w:r w:rsidRPr="00905D0F">
        <w:rPr>
          <w:rFonts w:ascii="Palatino Linotype" w:hAnsi="Palatino Linotype"/>
          <w:b/>
          <w:bCs/>
          <w:i/>
          <w:iCs/>
          <w:sz w:val="24"/>
          <w:szCs w:val="24"/>
        </w:rPr>
        <w:t>CLAVE CATASTRAL ESTÁNDAR:</w:t>
      </w:r>
      <w:r w:rsidRPr="00905D0F">
        <w:rPr>
          <w:rFonts w:ascii="Palatino Linotype" w:hAnsi="Palatino Linotype"/>
          <w:i/>
          <w:iCs/>
          <w:sz w:val="24"/>
          <w:szCs w:val="24"/>
        </w:rPr>
        <w:t xml:space="preserve"> Código de 31 caracteres conformado por elementos administrativos y que identifica al objeto espacial en forma única para su localización, compuesto por: Estado (2) + Región Catastral (3) + Municipio (3) + Zona Catastral (2) + Localidad (4) + Sector Catastral (3) + Manzana (3) + Predio (5) + Condominio: edificio (2) y unidad (4).</w:t>
      </w:r>
    </w:p>
    <w:p w:rsidR="00C3665E" w:rsidRPr="00905D0F" w:rsidRDefault="00C3665E" w:rsidP="00DF02A5">
      <w:pPr>
        <w:ind w:left="709" w:right="474"/>
        <w:jc w:val="both"/>
        <w:rPr>
          <w:rFonts w:ascii="Palatino Linotype" w:hAnsi="Palatino Linotype"/>
          <w:i/>
          <w:iCs/>
          <w:sz w:val="24"/>
          <w:szCs w:val="24"/>
        </w:rPr>
      </w:pPr>
    </w:p>
    <w:p w:rsidR="00C3665E" w:rsidRPr="00905D0F" w:rsidRDefault="00C3665E" w:rsidP="00DF02A5">
      <w:pPr>
        <w:ind w:left="709" w:right="474"/>
        <w:jc w:val="both"/>
        <w:rPr>
          <w:rFonts w:ascii="Palatino Linotype" w:hAnsi="Palatino Linotype"/>
          <w:i/>
          <w:iCs/>
          <w:sz w:val="24"/>
          <w:szCs w:val="24"/>
        </w:rPr>
      </w:pPr>
      <w:r w:rsidRPr="00905D0F">
        <w:rPr>
          <w:rFonts w:ascii="Palatino Linotype" w:hAnsi="Palatino Linotype"/>
          <w:b/>
          <w:bCs/>
          <w:i/>
          <w:iCs/>
          <w:sz w:val="24"/>
          <w:szCs w:val="24"/>
        </w:rPr>
        <w:lastRenderedPageBreak/>
        <w:t>CLAVE CATASTRAL ORIGINAL:</w:t>
      </w:r>
      <w:r w:rsidRPr="00905D0F">
        <w:rPr>
          <w:rFonts w:ascii="Palatino Linotype" w:hAnsi="Palatino Linotype"/>
          <w:i/>
          <w:iCs/>
          <w:sz w:val="24"/>
          <w:szCs w:val="24"/>
        </w:rPr>
        <w:t xml:space="preserve"> Código que identifica al objeto espacial, el cual es asignado por el Catastro Estatal, Municipal o por el Registro Agrario Nacional.</w:t>
      </w:r>
    </w:p>
    <w:p w:rsidR="00DF02A5" w:rsidRPr="00905D0F" w:rsidRDefault="00DF02A5" w:rsidP="00DF02A5">
      <w:pPr>
        <w:ind w:left="709" w:right="474"/>
        <w:jc w:val="both"/>
        <w:rPr>
          <w:rFonts w:ascii="Palatino Linotype" w:hAnsi="Palatino Linotype"/>
          <w:i/>
          <w:iCs/>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En ese orden de ideas, la Ley de Transparencia y Acceso a la Información Pública del Estado de México y Municipios, en el ya citada fracción IX del artículo 3, establece que se debe entender como datos personales a la información concerniente a una persona, identificada o identificable según lo dispuesto por la también referida Ley de Protección de Datos Personales del Estado de México. Tiene apoyo a lo expresado, lo contemplado en la siguiente tesis jurisprudencial.</w:t>
      </w:r>
    </w:p>
    <w:p w:rsidR="00C3665E" w:rsidRPr="00905D0F" w:rsidRDefault="00C3665E" w:rsidP="00DF02A5">
      <w:pPr>
        <w:ind w:left="709" w:right="333"/>
        <w:jc w:val="both"/>
        <w:rPr>
          <w:rFonts w:ascii="Palatino Linotype" w:hAnsi="Palatino Linotype"/>
          <w:b/>
          <w:bCs/>
          <w:i/>
          <w:iCs/>
          <w:sz w:val="24"/>
          <w:szCs w:val="24"/>
        </w:rPr>
      </w:pPr>
      <w:r w:rsidRPr="00905D0F">
        <w:rPr>
          <w:rFonts w:ascii="Palatino Linotype" w:hAnsi="Palatino Linotype"/>
          <w:b/>
          <w:bCs/>
          <w:i/>
          <w:iCs/>
          <w:sz w:val="24"/>
          <w:szCs w:val="24"/>
        </w:rPr>
        <w:t xml:space="preserve">DERECHO A LA VIDA PRIVADA. ALCANCE DE SU PROTECCIÓN POR EL ESTADO. </w:t>
      </w:r>
    </w:p>
    <w:p w:rsidR="00C3665E" w:rsidRPr="00905D0F" w:rsidRDefault="00C3665E" w:rsidP="00DF02A5">
      <w:pPr>
        <w:ind w:left="709" w:right="333"/>
        <w:jc w:val="both"/>
        <w:rPr>
          <w:rFonts w:ascii="Palatino Linotype" w:hAnsi="Palatino Linotype"/>
          <w:i/>
          <w:iCs/>
          <w:sz w:val="24"/>
          <w:szCs w:val="24"/>
        </w:rPr>
      </w:pPr>
      <w:r w:rsidRPr="00905D0F">
        <w:rPr>
          <w:rFonts w:ascii="Palatino Linotype" w:hAnsi="Palatino Linotype"/>
          <w:i/>
          <w:iCs/>
          <w:sz w:val="24"/>
          <w:szCs w:val="24"/>
        </w:rPr>
        <w:t xml:space="preserve">Al igual que otros derechos fundamentales, el derecho a la vida privada no es absoluto, sino que puede restringirse en la medida en que las injerencias en éste no sean abusivas o arbitrarias. Así, la Corte Interamericana de Derechos Humanos ha sostenido que el ámbito de la privacidad se caracteriza por quedar exento e inmune a las invasiones o agresiones abusivas o arbitrarias de terceros o de la autoridad pública, y prohíbe ese tipo de injerencias en la vida privada de las personas, enunciando diversos ámbitos de ésta, como la vida privada de sus familias. Ahora bien, el Estado debe adoptar medidas positivas para impedir que la intimidad personal y familiar se vulnere por personas ajenas, pero no puede impedir a quien decide difundir aspectos de su vida privada que lo haga, so pretexto de proteger a la familia, pues en ese caso, ya no se está frente a la difusión de la información por parte de un tercero, que es ajeno a ésta, sino que se estaría limitando el derecho de una persona de divulgar la información que le es propia. En resumen, lo que la Constitución Política de los Estados Unidos Mexicanos y las convenciones internacionales buscan impedir es que terceros difundan información de la vida privada ajena, sin consentimiento del titular; de ahí que si la injerencia en la vida privada de que se duele el tercero perjudicado, consiste en la difusión que hicieron otros miembros de su familia, sobre hechos que conciernen a la vida privada de ellas, </w:t>
      </w:r>
      <w:r w:rsidRPr="00905D0F">
        <w:rPr>
          <w:rFonts w:ascii="Palatino Linotype" w:hAnsi="Palatino Linotype"/>
          <w:i/>
          <w:iCs/>
          <w:sz w:val="24"/>
          <w:szCs w:val="24"/>
        </w:rPr>
        <w:lastRenderedPageBreak/>
        <w:t>y que involucran a éste, como causante de la afectación sufrida por ellas, entonces no puede considerarse que dicha difusión resulte arbitraria o abusiva, puesto que se realizó en ejercicio del legítimo derecho que les asiste de difundir información que les es propia, en la medida en que sea veraz, y que las expresiones utilizadas estén protegidas constitucionalmente, por no ser absolutamente vejatorias, esto es, ofensivas, oprobiosas o impertinentes, según el contexto.</w:t>
      </w:r>
    </w:p>
    <w:p w:rsidR="00C3665E" w:rsidRPr="00905D0F" w:rsidRDefault="00C3665E" w:rsidP="00DF02A5">
      <w:pPr>
        <w:ind w:left="709" w:right="333"/>
        <w:jc w:val="both"/>
        <w:rPr>
          <w:rFonts w:ascii="Palatino Linotype" w:hAnsi="Palatino Linotype"/>
          <w:i/>
          <w:iCs/>
          <w:sz w:val="24"/>
          <w:szCs w:val="24"/>
        </w:rPr>
      </w:pPr>
    </w:p>
    <w:p w:rsidR="00C3665E" w:rsidRPr="00905D0F" w:rsidRDefault="00C3665E" w:rsidP="00DF02A5">
      <w:pPr>
        <w:ind w:left="709" w:right="333"/>
        <w:jc w:val="both"/>
        <w:rPr>
          <w:rFonts w:ascii="Palatino Linotype" w:hAnsi="Palatino Linotype"/>
          <w:b/>
          <w:bCs/>
          <w:i/>
          <w:iCs/>
          <w:sz w:val="24"/>
          <w:szCs w:val="24"/>
        </w:rPr>
      </w:pPr>
      <w:r w:rsidRPr="00905D0F">
        <w:rPr>
          <w:rFonts w:ascii="Palatino Linotype" w:hAnsi="Palatino Linotype"/>
          <w:b/>
          <w:bCs/>
          <w:i/>
          <w:iCs/>
          <w:sz w:val="24"/>
          <w:szCs w:val="24"/>
        </w:rPr>
        <w:t>INFORMACIÓN CONFIDENCIAL. LÍMITE AL DERECHO DE ACCESO A LA INFORMACIÓN (LEY FEDERAL DE TRANSPARENCIA Y ACCESO A LA INFORMACIÓN PÚBLICA GUBERNAMENTAL).</w:t>
      </w:r>
    </w:p>
    <w:p w:rsidR="00C3665E" w:rsidRPr="00905D0F" w:rsidRDefault="00C3665E" w:rsidP="00DF02A5">
      <w:pPr>
        <w:ind w:left="709" w:right="333"/>
        <w:jc w:val="both"/>
        <w:rPr>
          <w:rFonts w:ascii="Palatino Linotype" w:hAnsi="Palatino Linotype"/>
          <w:i/>
          <w:iCs/>
          <w:sz w:val="24"/>
          <w:szCs w:val="24"/>
        </w:rPr>
      </w:pPr>
      <w:r w:rsidRPr="00905D0F">
        <w:rPr>
          <w:rFonts w:ascii="Palatino Linotype" w:hAnsi="Palatino Linotype"/>
          <w:i/>
          <w:iCs/>
          <w:sz w:val="24"/>
          <w:szCs w:val="24"/>
        </w:rPr>
        <w:t xml:space="preserve">Las fracciones I y II del segundo párrafo del artículo 6o. de la Constitución Política de los Estados Unidos Mexicanos, establecen que el derecho de acceso a la información puede limitarse en virtud del interés público y de la vida privada y los datos personales. Dichas fracciones sólo enuncian los fines constitucionalmente válidos o legítimos para establecer limitaciones al citado derecho, sin embargo, ambas remiten a la legislación secundaria para el desarrollo de los supuestos específicos en que procedan las excepciones que busquen proteger los bienes constitucionales enunciados como límites al derecho de acceso a la información. Así, en cumplimiento al mandato constitucional, la Ley Federal de Transparencia y Acceso a la Información Pública Gubernamental establece dos criterios bajo los cuales la información podrá clasificarse y, con ello, limitar el acceso de los particulares a la misma: el de información confidencial y el de información reservada. En lo que respecta al límite previsto en la Constitución, referente a la vida privada y los datos personales, el artículo 18 de la ley estableció como criterio de clasificación el de información confidencial, el cual restringe el acceso a la información que contenga datos personales que requieran el consentimiento de los individuos para su difusión, distribución o comercialización. Lo anterior también tiene un sustento constitucional en lo dispuesto en el segundo párrafo del artículo 16 constitucional, el cual reconoce que el derecho a la protección de datos personales —así como al acceso, rectificación y cancelación de los mismos— debe ser tutelado por regla general, salvo los casos excepcionales que se prevean en la legislación secundaria; así como en la fracción V, del apartado C, del artículo 20 constitucional, que protege la </w:t>
      </w:r>
      <w:r w:rsidRPr="00905D0F">
        <w:rPr>
          <w:rFonts w:ascii="Palatino Linotype" w:hAnsi="Palatino Linotype"/>
          <w:i/>
          <w:iCs/>
          <w:sz w:val="24"/>
          <w:szCs w:val="24"/>
        </w:rPr>
        <w:lastRenderedPageBreak/>
        <w:t>identidad y datos personales de las víctimas y ofendidos que sean parte en procedimientos penales. Así pues, existe un derecho de acceso a la información pública que rige como regla general, aunque limitado, en forma también genérica, por el derecho a la protección de datos personales. Por lo anterior, el acceso público —para todas las personas independientemente del interés que pudieren tener— a los datos personales distintos a los del propio solicitante de información sólo procede en ciertos supuestos, reconocidos expresamente por las leyes respectivas. Adicionalmente, la información confidencial puede dar lugar a la clasificación de un documento en su totalidad o de ciertas partes o pasajes del mismo, pues puede darse el caso de un documento público que sólo en una sección contenga datos confidenciales. Por último, y conforme a lo dispuesto en el artículo 21 de la ley, la restricción de acceso a la información confidencial no es absoluta, pues puede permitirse su difusión, distribución o comercialización si se obtiene el consentimiento expreso de la persona a que haga referencia la información.</w:t>
      </w:r>
    </w:p>
    <w:p w:rsidR="00DF02A5" w:rsidRPr="00905D0F" w:rsidRDefault="00DF02A5" w:rsidP="00DF02A5">
      <w:pPr>
        <w:ind w:right="333"/>
        <w:jc w:val="both"/>
        <w:rPr>
          <w:rFonts w:ascii="Palatino Linotype" w:hAnsi="Palatino Linotype"/>
          <w:i/>
          <w:iCs/>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De los conceptos antepuestos, se llega a la conclusión que la clave catastral es una serie de elementos que hacen identificable un inmueble para su localización geográfica y posterior inscripción al padrón catastral de cada Entidad Federativa, existiendo la posibilidad, incluso, de revelar información inherente al patrimonio del propietario de dicho predio o inmueble, lo que no otorga ni certeza jurídica ni abona a la transparencia, ya que no se trata de actos de autoridad que ayuden a hacer público el quehacer de los servidores, por lo cual se considera que no es procedente la entrega de dicho dato.</w:t>
      </w:r>
    </w:p>
    <w:p w:rsidR="00C3665E" w:rsidRPr="00905D0F" w:rsidRDefault="00C3665E" w:rsidP="00165F17">
      <w:pPr>
        <w:pBdr>
          <w:top w:val="nil"/>
          <w:left w:val="nil"/>
          <w:bottom w:val="nil"/>
          <w:right w:val="nil"/>
          <w:between w:val="nil"/>
        </w:pBdr>
        <w:spacing w:after="0" w:line="360" w:lineRule="auto"/>
        <w:ind w:right="-518"/>
        <w:jc w:val="both"/>
        <w:rPr>
          <w:rFonts w:ascii="Palatino Linotype" w:hAnsi="Palatino Linotype"/>
          <w:sz w:val="24"/>
          <w:szCs w:val="24"/>
        </w:rPr>
      </w:pPr>
    </w:p>
    <w:p w:rsidR="00C3665E" w:rsidRPr="00905D0F" w:rsidRDefault="00C3665E" w:rsidP="00905D0F">
      <w:pPr>
        <w:numPr>
          <w:ilvl w:val="0"/>
          <w:numId w:val="1"/>
        </w:numPr>
        <w:spacing w:after="0" w:line="360" w:lineRule="auto"/>
        <w:ind w:left="0" w:right="-518" w:firstLine="0"/>
        <w:contextualSpacing/>
        <w:jc w:val="both"/>
        <w:rPr>
          <w:rFonts w:ascii="Palatino Linotype" w:hAnsi="Palatino Linotype"/>
          <w:sz w:val="24"/>
          <w:szCs w:val="24"/>
        </w:rPr>
      </w:pPr>
      <w:r w:rsidRPr="00905D0F">
        <w:rPr>
          <w:rFonts w:ascii="Palatino Linotype" w:hAnsi="Palatino Linotype"/>
          <w:sz w:val="24"/>
          <w:szCs w:val="24"/>
        </w:rPr>
        <w:t>Por lo anterior, la clave catastral deberá ser suprimida de los documentos, en los que se localice.</w:t>
      </w:r>
    </w:p>
    <w:p w:rsidR="00F04191" w:rsidRPr="00905D0F" w:rsidRDefault="00F04191" w:rsidP="00165F17">
      <w:pPr>
        <w:pStyle w:val="Prrafodelista"/>
        <w:spacing w:line="360" w:lineRule="auto"/>
        <w:ind w:left="0" w:right="-518"/>
        <w:jc w:val="both"/>
        <w:rPr>
          <w:rFonts w:ascii="Palatino Linotype" w:hAnsi="Palatino Linotype"/>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rPr>
      </w:pPr>
      <w:r w:rsidRPr="00905D0F">
        <w:rPr>
          <w:rFonts w:ascii="Palatino Linotype" w:hAnsi="Palatino Linotype" w:cs="Arial"/>
        </w:rPr>
        <w:t xml:space="preserve">Ahora bien, el derecho </w:t>
      </w:r>
      <w:r w:rsidRPr="00905D0F">
        <w:rPr>
          <w:rFonts w:ascii="Palatino Linotype" w:hAnsi="Palatino Linotype"/>
        </w:rPr>
        <w:t xml:space="preserve">de acceso a la información pública por disposición del artículo 4 de la Ley de Transparencia y Acceso a la Información Pública del Estado de México y </w:t>
      </w:r>
      <w:r w:rsidRPr="00905D0F">
        <w:rPr>
          <w:rFonts w:ascii="Palatino Linotype" w:hAnsi="Palatino Linotype"/>
        </w:rPr>
        <w:lastRenderedPageBreak/>
        <w:t xml:space="preserve">Municipios es la prerrogativa de las personas para buscar, difundir, investigar, recabar, recibir y solicitar información pública. </w:t>
      </w:r>
    </w:p>
    <w:p w:rsidR="00F04191" w:rsidRPr="00905D0F" w:rsidRDefault="00F04191" w:rsidP="00DF02A5">
      <w:pPr>
        <w:spacing w:before="120" w:after="120" w:line="360" w:lineRule="auto"/>
        <w:ind w:left="851" w:right="333"/>
        <w:jc w:val="both"/>
        <w:rPr>
          <w:rFonts w:ascii="Palatino Linotype" w:hAnsi="Palatino Linotype"/>
          <w:i/>
          <w:sz w:val="24"/>
          <w:szCs w:val="24"/>
        </w:rPr>
      </w:pPr>
      <w:r w:rsidRPr="00905D0F">
        <w:rPr>
          <w:rFonts w:ascii="Palatino Linotype" w:hAnsi="Palatino Linotype"/>
          <w:sz w:val="24"/>
          <w:szCs w:val="24"/>
        </w:rPr>
        <w:t>“</w:t>
      </w:r>
      <w:r w:rsidRPr="00905D0F">
        <w:rPr>
          <w:rFonts w:ascii="Palatino Linotype" w:hAnsi="Palatino Linotype"/>
          <w:b/>
          <w:i/>
          <w:sz w:val="24"/>
          <w:szCs w:val="24"/>
        </w:rPr>
        <w:t>Artículo 4.</w:t>
      </w:r>
      <w:r w:rsidRPr="00905D0F">
        <w:rPr>
          <w:rFonts w:ascii="Palatino Linotype" w:hAnsi="Palatino Linotype"/>
          <w:i/>
          <w:sz w:val="24"/>
          <w:szCs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04191" w:rsidRPr="00905D0F" w:rsidRDefault="00F04191" w:rsidP="00DF02A5">
      <w:pPr>
        <w:spacing w:before="120" w:after="120" w:line="360" w:lineRule="auto"/>
        <w:ind w:left="851" w:right="333"/>
        <w:jc w:val="both"/>
        <w:rPr>
          <w:rFonts w:ascii="Palatino Linotype" w:hAnsi="Palatino Linotype"/>
          <w:i/>
          <w:sz w:val="24"/>
          <w:szCs w:val="24"/>
        </w:rPr>
      </w:pPr>
      <w:r w:rsidRPr="00905D0F">
        <w:rPr>
          <w:rFonts w:ascii="Palatino Linotype" w:hAnsi="Palatino Linotype"/>
          <w:i/>
          <w:sz w:val="24"/>
          <w:szCs w:val="24"/>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w:t>
      </w:r>
      <w:r w:rsidRPr="00905D0F">
        <w:rPr>
          <w:rFonts w:ascii="Palatino Linotype" w:hAnsi="Palatino Linotype" w:cs="Arial"/>
          <w:i/>
          <w:color w:val="000000"/>
          <w:sz w:val="24"/>
          <w:szCs w:val="24"/>
        </w:rPr>
        <w:t>mexicano</w:t>
      </w:r>
      <w:r w:rsidRPr="00905D0F">
        <w:rPr>
          <w:rFonts w:ascii="Palatino Linotype" w:hAnsi="Palatino Linotype"/>
          <w:i/>
          <w:sz w:val="24"/>
          <w:szCs w:val="24"/>
        </w:rPr>
        <w:t xml:space="preserve">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04191" w:rsidRPr="00905D0F" w:rsidRDefault="00F04191" w:rsidP="00DF02A5">
      <w:pPr>
        <w:spacing w:before="120" w:after="120" w:line="360" w:lineRule="auto"/>
        <w:ind w:left="851" w:right="333"/>
        <w:jc w:val="both"/>
        <w:rPr>
          <w:rFonts w:ascii="Palatino Linotype" w:hAnsi="Palatino Linotype"/>
          <w:i/>
          <w:sz w:val="24"/>
          <w:szCs w:val="24"/>
        </w:rPr>
      </w:pPr>
      <w:r w:rsidRPr="00905D0F">
        <w:rPr>
          <w:rFonts w:ascii="Palatino Linotype" w:hAnsi="Palatino Linotype"/>
          <w:i/>
          <w:sz w:val="24"/>
          <w:szCs w:val="24"/>
        </w:rPr>
        <w:t>Los sujetos obligados deben poner en práctica, políticas y programas de acceso a la información</w:t>
      </w:r>
      <w:r w:rsidRPr="00905D0F">
        <w:rPr>
          <w:rFonts w:ascii="Palatino Linotype" w:hAnsi="Palatino Linotype"/>
          <w:sz w:val="24"/>
          <w:szCs w:val="24"/>
        </w:rPr>
        <w:t xml:space="preserve"> </w:t>
      </w:r>
      <w:r w:rsidRPr="00905D0F">
        <w:rPr>
          <w:rFonts w:ascii="Palatino Linotype" w:hAnsi="Palatino Linotype"/>
          <w:i/>
          <w:sz w:val="24"/>
          <w:szCs w:val="24"/>
        </w:rPr>
        <w:t>que se apeguen a criterios de publicidad, veracidad, oportunidad, precisión y suficiencia en beneficio de los solicitantes.”</w:t>
      </w:r>
    </w:p>
    <w:p w:rsidR="00F04191" w:rsidRPr="00905D0F" w:rsidRDefault="00F04191" w:rsidP="00165F17">
      <w:pPr>
        <w:spacing w:before="120" w:after="120" w:line="360" w:lineRule="auto"/>
        <w:ind w:left="709" w:right="-518"/>
        <w:jc w:val="both"/>
        <w:rPr>
          <w:rFonts w:ascii="Palatino Linotype" w:hAnsi="Palatino Linotype"/>
          <w:i/>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s="Arial"/>
        </w:rPr>
      </w:pPr>
      <w:r w:rsidRPr="00905D0F">
        <w:rPr>
          <w:rFonts w:ascii="Palatino Linotype" w:hAnsi="Palatino Linotype" w:cs="Arial"/>
        </w:rPr>
        <w:t xml:space="preserve">Es por ello que, el derecho de acceso a la información pública, implica el conocimiento de los particulares de la información contenida en los documentos que posean los órganos del Estado; incluso se impone la obligación a las autoridades de preservar sus documentos en archivos administrativos actualizados. </w:t>
      </w:r>
    </w:p>
    <w:p w:rsidR="00F04191" w:rsidRPr="00905D0F" w:rsidRDefault="00F04191" w:rsidP="00165F17">
      <w:pPr>
        <w:autoSpaceDE w:val="0"/>
        <w:autoSpaceDN w:val="0"/>
        <w:adjustRightInd w:val="0"/>
        <w:spacing w:before="120" w:after="120" w:line="360" w:lineRule="auto"/>
        <w:ind w:right="-518"/>
        <w:contextualSpacing/>
        <w:jc w:val="both"/>
        <w:rPr>
          <w:rFonts w:ascii="Palatino Linotype" w:hAnsi="Palatino Linotype" w:cs="Arial"/>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s="Arial"/>
        </w:rPr>
      </w:pPr>
      <w:r w:rsidRPr="00905D0F">
        <w:rPr>
          <w:rFonts w:ascii="Palatino Linotype" w:hAnsi="Palatino Linotype" w:cs="Arial"/>
        </w:rPr>
        <w:lastRenderedPageBreak/>
        <w:t xml:space="preserve">Por tanto, para que los Sujetos Obligados hagan efectivo este derecho deben poner a disposición de los particulares los documentos en los que conste el ejercicio de sus atribuciones legales o que por cualquier circunstancia obre en sus archivos, en virtud de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Ley de Transparencia vigente en nuestra entidad y demás disposiciones de la materia, privilegiando el principio de máxima publicidad de la información. </w:t>
      </w:r>
    </w:p>
    <w:p w:rsidR="00F04191" w:rsidRPr="00905D0F" w:rsidRDefault="00F04191" w:rsidP="00165F17">
      <w:pPr>
        <w:spacing w:line="360" w:lineRule="auto"/>
        <w:ind w:right="-518"/>
        <w:contextualSpacing/>
        <w:rPr>
          <w:rFonts w:ascii="Palatino Linotype" w:hAnsi="Palatino Linotype" w:cs="Arial"/>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s="Arial"/>
        </w:rPr>
      </w:pPr>
      <w:r w:rsidRPr="00905D0F">
        <w:rPr>
          <w:rFonts w:ascii="Palatino Linotype" w:hAnsi="Palatino Linotype" w:cs="Arial"/>
        </w:rPr>
        <w:t xml:space="preserve">En esa tesitura, los Sujetos Obligados deberán poner en práctica, políticas y programas </w:t>
      </w:r>
      <w:r w:rsidRPr="00905D0F">
        <w:rPr>
          <w:rFonts w:ascii="Palatino Linotype" w:hAnsi="Palatino Linotype" w:cs="Arial"/>
          <w:noProof/>
        </w:rPr>
        <w:t>de</w:t>
      </w:r>
      <w:r w:rsidRPr="00905D0F">
        <w:rPr>
          <w:rFonts w:ascii="Palatino Linotype" w:hAnsi="Palatino Linotype" w:cs="Arial"/>
        </w:rPr>
        <w:t xml:space="preserve"> acceso a la información que se apeguen a criterios de publicidad, veracidad, oportunidad, precisión y suficiencia en beneficio de los solicitantes</w:t>
      </w:r>
    </w:p>
    <w:p w:rsidR="00F04191" w:rsidRPr="00905D0F" w:rsidRDefault="00F04191" w:rsidP="00165F17">
      <w:pPr>
        <w:ind w:right="-518"/>
        <w:contextualSpacing/>
        <w:rPr>
          <w:rFonts w:ascii="Palatino Linotype" w:hAnsi="Palatino Linotype" w:cs="Arial"/>
          <w:sz w:val="24"/>
          <w:szCs w:val="24"/>
        </w:rPr>
      </w:pPr>
    </w:p>
    <w:p w:rsidR="00F04191" w:rsidRPr="00905D0F" w:rsidRDefault="00F04191" w:rsidP="00165F17">
      <w:pPr>
        <w:pStyle w:val="Prrafodelista"/>
        <w:numPr>
          <w:ilvl w:val="0"/>
          <w:numId w:val="1"/>
        </w:numPr>
        <w:spacing w:line="360" w:lineRule="auto"/>
        <w:ind w:left="0" w:right="-518" w:firstLine="0"/>
        <w:jc w:val="both"/>
        <w:rPr>
          <w:rFonts w:ascii="Palatino Linotype" w:hAnsi="Palatino Linotype" w:cs="Arial"/>
        </w:rPr>
      </w:pPr>
      <w:r w:rsidRPr="00905D0F">
        <w:rPr>
          <w:rFonts w:ascii="Palatino Linotype" w:hAnsi="Palatino Linotype" w:cs="Arial"/>
        </w:rPr>
        <w:t xml:space="preserve">Lo anterior tiene sustento en los artículos 3 fracciones XI y XXII; 4; 11 y 41 de la Ley de </w:t>
      </w:r>
      <w:r w:rsidRPr="00905D0F">
        <w:rPr>
          <w:rFonts w:ascii="Palatino Linotype" w:hAnsi="Palatino Linotype" w:cs="Arial"/>
          <w:noProof/>
        </w:rPr>
        <w:t>Transparencia</w:t>
      </w:r>
      <w:r w:rsidRPr="00905D0F">
        <w:rPr>
          <w:rFonts w:ascii="Palatino Linotype" w:hAnsi="Palatino Linotype" w:cs="Arial"/>
        </w:rPr>
        <w:t xml:space="preserve"> y Acceso a la Información Pública del Estado de México y Municipios:</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
          <w:bCs/>
          <w:i/>
          <w:noProof/>
          <w:sz w:val="24"/>
          <w:szCs w:val="24"/>
        </w:rPr>
        <w:t xml:space="preserve">“Artículo 3. </w:t>
      </w:r>
      <w:r w:rsidRPr="00905D0F">
        <w:rPr>
          <w:rFonts w:ascii="Palatino Linotype" w:hAnsi="Palatino Linotype" w:cs="Arial"/>
          <w:b/>
          <w:bCs/>
          <w:i/>
          <w:noProof/>
          <w:sz w:val="24"/>
          <w:szCs w:val="24"/>
          <w:u w:val="single"/>
        </w:rPr>
        <w:t xml:space="preserve">Para los efectos </w:t>
      </w:r>
      <w:r w:rsidRPr="00905D0F">
        <w:rPr>
          <w:rFonts w:ascii="Palatino Linotype" w:hAnsi="Palatino Linotype" w:cs="Arial"/>
          <w:b/>
          <w:i/>
          <w:sz w:val="24"/>
          <w:szCs w:val="24"/>
          <w:u w:val="single"/>
        </w:rPr>
        <w:t>de</w:t>
      </w:r>
      <w:r w:rsidRPr="00905D0F">
        <w:rPr>
          <w:rFonts w:ascii="Palatino Linotype" w:hAnsi="Palatino Linotype" w:cs="Arial"/>
          <w:b/>
          <w:bCs/>
          <w:i/>
          <w:noProof/>
          <w:sz w:val="24"/>
          <w:szCs w:val="24"/>
          <w:u w:val="single"/>
        </w:rPr>
        <w:t xml:space="preserve"> la presente Ley se entenderá por</w:t>
      </w:r>
      <w:r w:rsidRPr="00905D0F">
        <w:rPr>
          <w:rFonts w:ascii="Palatino Linotype" w:hAnsi="Palatino Linotype" w:cs="Arial"/>
          <w:b/>
          <w:bCs/>
          <w:i/>
          <w:noProof/>
          <w:sz w:val="24"/>
          <w:szCs w:val="24"/>
        </w:rPr>
        <w:t xml:space="preserve">: </w:t>
      </w:r>
      <w:r w:rsidRPr="00905D0F">
        <w:rPr>
          <w:rFonts w:ascii="Palatino Linotype" w:hAnsi="Palatino Linotype" w:cs="Arial"/>
          <w:bCs/>
          <w:i/>
          <w:noProof/>
          <w:sz w:val="24"/>
          <w:szCs w:val="24"/>
        </w:rPr>
        <w:t>…</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Cs/>
          <w:i/>
          <w:noProof/>
          <w:sz w:val="24"/>
          <w:szCs w:val="24"/>
        </w:rPr>
        <w:t>…</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
          <w:bCs/>
          <w:i/>
          <w:noProof/>
          <w:sz w:val="24"/>
          <w:szCs w:val="24"/>
        </w:rPr>
        <w:t>XI. Documento:</w:t>
      </w:r>
      <w:r w:rsidRPr="00905D0F">
        <w:rPr>
          <w:rFonts w:ascii="Palatino Linotype" w:hAnsi="Palatino Linotype" w:cs="Arial"/>
          <w:bCs/>
          <w:i/>
          <w:noProof/>
          <w:sz w:val="24"/>
          <w:szCs w:val="24"/>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w:t>
      </w:r>
      <w:r w:rsidRPr="00905D0F">
        <w:rPr>
          <w:rFonts w:ascii="Palatino Linotype" w:hAnsi="Palatino Linotype" w:cs="Arial"/>
          <w:i/>
          <w:color w:val="000000"/>
          <w:sz w:val="24"/>
          <w:szCs w:val="24"/>
        </w:rPr>
        <w:t>servidores</w:t>
      </w:r>
      <w:r w:rsidRPr="00905D0F">
        <w:rPr>
          <w:rFonts w:ascii="Palatino Linotype" w:hAnsi="Palatino Linotype" w:cs="Arial"/>
          <w:bCs/>
          <w:i/>
          <w:noProof/>
          <w:sz w:val="24"/>
          <w:szCs w:val="24"/>
        </w:rPr>
        <w:t xml:space="preserve"> públicos e integrantes, sin importar su fuente o fecha de </w:t>
      </w:r>
      <w:r w:rsidRPr="00905D0F">
        <w:rPr>
          <w:rFonts w:ascii="Palatino Linotype" w:hAnsi="Palatino Linotype" w:cs="Arial"/>
          <w:bCs/>
          <w:i/>
          <w:noProof/>
          <w:sz w:val="24"/>
          <w:szCs w:val="24"/>
        </w:rPr>
        <w:lastRenderedPageBreak/>
        <w:t xml:space="preserve">elaboración. Los documentos podrán estar en cualquier medio, sea escrito, impreso, sonoro, visual, electrónico, informático u holográfico; </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
          <w:bCs/>
          <w:i/>
          <w:noProof/>
          <w:sz w:val="24"/>
          <w:szCs w:val="24"/>
        </w:rPr>
        <w:t>Artículo 4.</w:t>
      </w:r>
      <w:r w:rsidRPr="00905D0F">
        <w:rPr>
          <w:rFonts w:ascii="Palatino Linotype" w:hAnsi="Palatino Linotype" w:cs="Arial"/>
          <w:bCs/>
          <w:i/>
          <w:noProof/>
          <w:sz w:val="24"/>
          <w:szCs w:val="24"/>
        </w:rPr>
        <w:t xml:space="preserve"> </w:t>
      </w:r>
      <w:r w:rsidRPr="00905D0F">
        <w:rPr>
          <w:rFonts w:ascii="Palatino Linotype" w:hAnsi="Palatino Linotype" w:cs="Arial"/>
          <w:b/>
          <w:bCs/>
          <w:i/>
          <w:noProof/>
          <w:sz w:val="24"/>
          <w:szCs w:val="24"/>
          <w:u w:val="single"/>
        </w:rPr>
        <w:t>El derecho humano de acceso a la información pública es la prerrogativa de las personas para buscar, difundir, investigar, recabar, recibir y solicitar información pública</w:t>
      </w:r>
      <w:r w:rsidRPr="00905D0F">
        <w:rPr>
          <w:rFonts w:ascii="Palatino Linotype" w:hAnsi="Palatino Linotype" w:cs="Arial"/>
          <w:bCs/>
          <w:i/>
          <w:noProof/>
          <w:sz w:val="24"/>
          <w:szCs w:val="24"/>
        </w:rPr>
        <w:t xml:space="preserve">, sin necesidad de acreditar personalidad ni interés jurídico. </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Cs/>
          <w:i/>
          <w:noProof/>
          <w:sz w:val="24"/>
          <w:szCs w:val="24"/>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w:t>
      </w:r>
      <w:r w:rsidRPr="00905D0F">
        <w:rPr>
          <w:rFonts w:ascii="Palatino Linotype" w:hAnsi="Palatino Linotype" w:cs="Arial"/>
          <w:i/>
          <w:color w:val="000000"/>
          <w:sz w:val="24"/>
          <w:szCs w:val="24"/>
        </w:rPr>
        <w:t>información</w:t>
      </w:r>
      <w:r w:rsidRPr="00905D0F">
        <w:rPr>
          <w:rFonts w:ascii="Palatino Linotype" w:hAnsi="Palatino Linotype" w:cs="Arial"/>
          <w:bCs/>
          <w:i/>
          <w:noProof/>
          <w:sz w:val="24"/>
          <w:szCs w:val="24"/>
        </w:rPr>
        <w:t xml:space="preserve">. Solo podrá ser clasificada excepcionalmente como reservada temporalmente por razones de interés público, en los términos de las causas legítimas y estrictamente necesarias previstas por esta Ley. </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Cs/>
          <w:i/>
          <w:noProof/>
          <w:sz w:val="24"/>
          <w:szCs w:val="24"/>
        </w:rPr>
        <w:t xml:space="preserve">Los sujetos obligados deben poner en práctica, políticas y programas de acceso a la información que se apeguen a criterios de publicidad, veracidad, oportunidad, precisión y suficiencia en beneficio de los solicitantes. </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
          <w:bCs/>
          <w:i/>
          <w:noProof/>
          <w:sz w:val="24"/>
          <w:szCs w:val="24"/>
        </w:rPr>
        <w:t>Artículo 11.-</w:t>
      </w:r>
      <w:r w:rsidRPr="00905D0F">
        <w:rPr>
          <w:rFonts w:ascii="Palatino Linotype" w:hAnsi="Palatino Linotype" w:cs="Arial"/>
          <w:bCs/>
          <w:i/>
          <w:noProof/>
          <w:sz w:val="24"/>
          <w:szCs w:val="24"/>
        </w:rPr>
        <w:t xml:space="preserve"> </w:t>
      </w:r>
      <w:r w:rsidRPr="00905D0F">
        <w:rPr>
          <w:rFonts w:ascii="Palatino Linotype" w:hAnsi="Palatino Linotype" w:cs="Arial"/>
          <w:b/>
          <w:bCs/>
          <w:i/>
          <w:noProof/>
          <w:sz w:val="24"/>
          <w:szCs w:val="24"/>
          <w:u w:val="single"/>
        </w:rPr>
        <w:t>Los Sujetos Obligados sólo proporcionarán la información que generen en el ejercicio de sus atribuciones</w:t>
      </w:r>
      <w:r w:rsidRPr="00905D0F">
        <w:rPr>
          <w:rFonts w:ascii="Palatino Linotype" w:hAnsi="Palatino Linotype" w:cs="Arial"/>
          <w:bCs/>
          <w:i/>
          <w:noProof/>
          <w:sz w:val="24"/>
          <w:szCs w:val="24"/>
        </w:rPr>
        <w:t>.</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
          <w:bCs/>
          <w:i/>
          <w:noProof/>
          <w:sz w:val="24"/>
          <w:szCs w:val="24"/>
        </w:rPr>
        <w:t>Artículo 12.</w:t>
      </w:r>
      <w:r w:rsidRPr="00905D0F">
        <w:rPr>
          <w:rFonts w:ascii="Palatino Linotype" w:hAnsi="Palatino Linotype" w:cs="Arial"/>
          <w:bCs/>
          <w:i/>
          <w:noProof/>
          <w:sz w:val="24"/>
          <w:szCs w:val="24"/>
        </w:rPr>
        <w:t xml:space="preserve"> Quienes generen, recopilen, administren, manejen, procesen, archiven o conserven información pública</w:t>
      </w:r>
      <w:r w:rsidRPr="00905D0F">
        <w:rPr>
          <w:rFonts w:ascii="Palatino Linotype" w:hAnsi="Palatino Linotype" w:cs="Arial"/>
          <w:b/>
          <w:bCs/>
          <w:i/>
          <w:noProof/>
          <w:sz w:val="24"/>
          <w:szCs w:val="24"/>
        </w:rPr>
        <w:t xml:space="preserve"> </w:t>
      </w:r>
      <w:r w:rsidRPr="00905D0F">
        <w:rPr>
          <w:rFonts w:ascii="Palatino Linotype" w:hAnsi="Palatino Linotype" w:cs="Arial"/>
          <w:bCs/>
          <w:i/>
          <w:noProof/>
          <w:sz w:val="24"/>
          <w:szCs w:val="24"/>
        </w:rPr>
        <w:t xml:space="preserve">serán responsables de la misma en los términos de las disposiciones jurídicas </w:t>
      </w:r>
      <w:r w:rsidRPr="00905D0F">
        <w:rPr>
          <w:rFonts w:ascii="Palatino Linotype" w:hAnsi="Palatino Linotype" w:cs="Arial"/>
          <w:i/>
          <w:color w:val="000000"/>
          <w:sz w:val="24"/>
          <w:szCs w:val="24"/>
        </w:rPr>
        <w:t>aplicables</w:t>
      </w:r>
      <w:r w:rsidRPr="00905D0F">
        <w:rPr>
          <w:rFonts w:ascii="Palatino Linotype" w:hAnsi="Palatino Linotype" w:cs="Arial"/>
          <w:bCs/>
          <w:i/>
          <w:noProof/>
          <w:sz w:val="24"/>
          <w:szCs w:val="24"/>
        </w:rPr>
        <w:t xml:space="preserve">. </w:t>
      </w:r>
    </w:p>
    <w:p w:rsidR="00F04191" w:rsidRPr="00905D0F" w:rsidRDefault="00F04191" w:rsidP="00DF02A5">
      <w:pPr>
        <w:spacing w:before="120" w:after="120" w:line="360" w:lineRule="auto"/>
        <w:ind w:left="851" w:right="191"/>
        <w:jc w:val="both"/>
        <w:rPr>
          <w:rFonts w:ascii="Palatino Linotype" w:hAnsi="Palatino Linotype" w:cs="Arial"/>
          <w:bCs/>
          <w:i/>
          <w:noProof/>
          <w:sz w:val="24"/>
          <w:szCs w:val="24"/>
        </w:rPr>
      </w:pPr>
      <w:r w:rsidRPr="00905D0F">
        <w:rPr>
          <w:rFonts w:ascii="Palatino Linotype" w:hAnsi="Palatino Linotype" w:cs="Arial"/>
          <w:b/>
          <w:bCs/>
          <w:i/>
          <w:noProof/>
          <w:sz w:val="24"/>
          <w:szCs w:val="24"/>
          <w:u w:val="single"/>
        </w:rPr>
        <w:lastRenderedPageBreak/>
        <w:t>Los sujetos obligados sólo proporcionarán la información pública que se les requiera y que obre en sus archivos</w:t>
      </w:r>
      <w:r w:rsidRPr="00905D0F">
        <w:rPr>
          <w:rFonts w:ascii="Palatino Linotype" w:hAnsi="Palatino Linotype" w:cs="Arial"/>
          <w:bCs/>
          <w:i/>
          <w:noProof/>
          <w:sz w:val="24"/>
          <w:szCs w:val="24"/>
        </w:rPr>
        <w:t xml:space="preserve">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F04191" w:rsidRPr="00905D0F" w:rsidRDefault="00F04191" w:rsidP="00165F17">
      <w:pPr>
        <w:spacing w:before="120" w:after="120" w:line="360" w:lineRule="auto"/>
        <w:ind w:left="851" w:right="-518"/>
        <w:jc w:val="both"/>
        <w:rPr>
          <w:rFonts w:ascii="Palatino Linotype" w:hAnsi="Palatino Linotype" w:cs="Arial"/>
          <w:color w:val="000000"/>
          <w:sz w:val="24"/>
          <w:szCs w:val="24"/>
        </w:rPr>
      </w:pPr>
      <w:r w:rsidRPr="00905D0F">
        <w:rPr>
          <w:rFonts w:ascii="Palatino Linotype" w:hAnsi="Palatino Linotype" w:cs="Arial"/>
          <w:color w:val="000000"/>
          <w:sz w:val="24"/>
          <w:szCs w:val="24"/>
        </w:rPr>
        <w:t>(Énfasis añadido)</w:t>
      </w:r>
    </w:p>
    <w:p w:rsidR="00F04191" w:rsidRPr="00905D0F" w:rsidRDefault="00F04191" w:rsidP="00165F17">
      <w:pPr>
        <w:spacing w:before="120" w:after="120" w:line="360" w:lineRule="auto"/>
        <w:ind w:left="851" w:right="-518"/>
        <w:jc w:val="both"/>
        <w:rPr>
          <w:rFonts w:ascii="Palatino Linotype" w:hAnsi="Palatino Linotype" w:cs="Arial"/>
          <w:color w:val="000000"/>
          <w:sz w:val="24"/>
          <w:szCs w:val="24"/>
        </w:rPr>
      </w:pPr>
    </w:p>
    <w:p w:rsidR="00F04191" w:rsidRPr="00905D0F" w:rsidRDefault="00F04191" w:rsidP="00165F17">
      <w:pPr>
        <w:pBdr>
          <w:top w:val="nil"/>
          <w:left w:val="nil"/>
          <w:bottom w:val="nil"/>
          <w:right w:val="nil"/>
          <w:between w:val="nil"/>
        </w:pBdr>
        <w:tabs>
          <w:tab w:val="left" w:pos="851"/>
        </w:tabs>
        <w:spacing w:line="360" w:lineRule="auto"/>
        <w:ind w:right="-518"/>
        <w:jc w:val="both"/>
        <w:rPr>
          <w:rFonts w:ascii="Palatino Linotype" w:eastAsia="Palatino Linotype" w:hAnsi="Palatino Linotype" w:cs="Palatino Linotype"/>
          <w:color w:val="000000" w:themeColor="text1"/>
          <w:sz w:val="24"/>
          <w:szCs w:val="24"/>
        </w:rPr>
      </w:pPr>
      <w:r w:rsidRPr="00905D0F">
        <w:rPr>
          <w:rFonts w:ascii="Palatino Linotype" w:eastAsia="Palatino Linotype" w:hAnsi="Palatino Linotype" w:cs="Palatino Linotype"/>
          <w:b/>
          <w:color w:val="000000" w:themeColor="text1"/>
          <w:sz w:val="24"/>
          <w:szCs w:val="24"/>
        </w:rPr>
        <w:t>QUINTO. De la versión pública.</w:t>
      </w:r>
    </w:p>
    <w:p w:rsidR="00F04191" w:rsidRPr="00905D0F" w:rsidRDefault="00F04191" w:rsidP="00165F17">
      <w:pPr>
        <w:numPr>
          <w:ilvl w:val="0"/>
          <w:numId w:val="5"/>
        </w:numPr>
        <w:pBdr>
          <w:top w:val="nil"/>
          <w:left w:val="nil"/>
          <w:bottom w:val="nil"/>
          <w:right w:val="nil"/>
          <w:between w:val="nil"/>
        </w:pBdr>
        <w:tabs>
          <w:tab w:val="left" w:pos="851"/>
        </w:tabs>
        <w:spacing w:line="360" w:lineRule="auto"/>
        <w:ind w:right="-518"/>
        <w:jc w:val="both"/>
        <w:rPr>
          <w:rFonts w:ascii="Palatino Linotype" w:eastAsia="Palatino Linotype" w:hAnsi="Palatino Linotype" w:cs="Palatino Linotype"/>
          <w:color w:val="000000" w:themeColor="text1"/>
          <w:sz w:val="24"/>
          <w:szCs w:val="24"/>
        </w:rPr>
      </w:pPr>
      <w:r w:rsidRPr="00905D0F">
        <w:rPr>
          <w:rFonts w:ascii="Palatino Linotype" w:eastAsia="Palatino Linotype" w:hAnsi="Palatino Linotype" w:cs="Palatino Linotype"/>
          <w:b/>
          <w:color w:val="000000" w:themeColor="text1"/>
          <w:sz w:val="24"/>
          <w:szCs w:val="24"/>
        </w:rPr>
        <w:t xml:space="preserve">Nociones generales. </w:t>
      </w: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themeColor="text1"/>
        </w:rPr>
      </w:pPr>
      <w:r w:rsidRPr="00905D0F">
        <w:rPr>
          <w:rFonts w:ascii="Palatino Linotype" w:eastAsia="Palatino Linotype" w:hAnsi="Palatino Linotype" w:cs="Palatino Linotype"/>
          <w:color w:val="000000" w:themeColor="text1"/>
        </w:rPr>
        <w:t>Debe destacarse que, debido a la naturaleza de la información solicitada</w:t>
      </w:r>
      <w:r w:rsidRPr="00905D0F">
        <w:rPr>
          <w:rFonts w:ascii="Palatino Linotype" w:eastAsia="Palatino Linotype" w:hAnsi="Palatino Linotype" w:cs="Palatino Linotype"/>
          <w:b/>
          <w:color w:val="000000" w:themeColor="text1"/>
        </w:rPr>
        <w:t xml:space="preserve">, </w:t>
      </w:r>
      <w:r w:rsidRPr="00905D0F">
        <w:rPr>
          <w:rFonts w:ascii="Palatino Linotype" w:eastAsia="Palatino Linotype" w:hAnsi="Palatino Linotype" w:cs="Palatino Linotype"/>
          <w:color w:val="000000" w:themeColor="text1"/>
        </w:rPr>
        <w:t xml:space="preserve">eventualmente pudiera obrar datos personales susceptibles de protegerse, el </w:t>
      </w:r>
      <w:r w:rsidRPr="00905D0F">
        <w:rPr>
          <w:rFonts w:ascii="Palatino Linotype" w:eastAsia="Palatino Linotype" w:hAnsi="Palatino Linotype" w:cs="Palatino Linotype"/>
          <w:b/>
          <w:color w:val="000000" w:themeColor="text1"/>
        </w:rPr>
        <w:t xml:space="preserve">SUJETO OBLIGADO </w:t>
      </w:r>
      <w:r w:rsidRPr="00905D0F">
        <w:rPr>
          <w:rFonts w:ascii="Palatino Linotype" w:eastAsia="Palatino Linotype" w:hAnsi="Palatino Linotype" w:cs="Palatino Linotype"/>
          <w:color w:val="000000" w:themeColor="text1"/>
        </w:rPr>
        <w:t xml:space="preserve">deberá de hacer la adecuada versión pública, protegiendo los datos que no son susceptibles de ser proporcionados. </w:t>
      </w:r>
    </w:p>
    <w:p w:rsidR="00F04191" w:rsidRPr="00905D0F" w:rsidRDefault="00F04191" w:rsidP="00165F17">
      <w:pPr>
        <w:pStyle w:val="Prrafodelista"/>
        <w:spacing w:line="360" w:lineRule="auto"/>
        <w:ind w:left="0" w:right="-518"/>
        <w:jc w:val="both"/>
        <w:rPr>
          <w:rFonts w:ascii="Palatino Linotype" w:eastAsia="Palatino Linotype" w:hAnsi="Palatino Linotype" w:cs="Palatino Linotype"/>
          <w:color w:val="000000" w:themeColor="text1"/>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themeColor="text1"/>
        </w:rPr>
      </w:pPr>
      <w:r w:rsidRPr="00905D0F">
        <w:rPr>
          <w:rFonts w:ascii="Palatino Linotype" w:eastAsia="Palatino Linotype" w:hAnsi="Palatino Linotype" w:cs="Palatino Linotype"/>
          <w:color w:val="000000" w:themeColor="text1"/>
        </w:rPr>
        <w:t>No pasa desapercibido para este Órgano Garante que los Sujetos Obligados 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F04191" w:rsidRDefault="00F04191" w:rsidP="00165F17">
      <w:pPr>
        <w:pBdr>
          <w:top w:val="nil"/>
          <w:left w:val="nil"/>
          <w:bottom w:val="nil"/>
          <w:right w:val="nil"/>
          <w:between w:val="nil"/>
        </w:pBdr>
        <w:tabs>
          <w:tab w:val="left" w:pos="851"/>
        </w:tabs>
        <w:spacing w:line="360" w:lineRule="auto"/>
        <w:ind w:right="-518"/>
        <w:jc w:val="both"/>
        <w:rPr>
          <w:rFonts w:ascii="Palatino Linotype" w:eastAsia="Palatino Linotype" w:hAnsi="Palatino Linotype" w:cs="Palatino Linotype"/>
          <w:color w:val="000000" w:themeColor="text1"/>
          <w:sz w:val="24"/>
          <w:szCs w:val="24"/>
          <w:lang w:val="es-ES_tradnl"/>
        </w:rPr>
      </w:pPr>
    </w:p>
    <w:p w:rsidR="00905D0F" w:rsidRPr="00905D0F" w:rsidRDefault="00905D0F" w:rsidP="00165F17">
      <w:pPr>
        <w:pBdr>
          <w:top w:val="nil"/>
          <w:left w:val="nil"/>
          <w:bottom w:val="nil"/>
          <w:right w:val="nil"/>
          <w:between w:val="nil"/>
        </w:pBdr>
        <w:tabs>
          <w:tab w:val="left" w:pos="851"/>
        </w:tabs>
        <w:spacing w:line="360" w:lineRule="auto"/>
        <w:ind w:right="-518"/>
        <w:jc w:val="both"/>
        <w:rPr>
          <w:rFonts w:ascii="Palatino Linotype" w:eastAsia="Palatino Linotype" w:hAnsi="Palatino Linotype" w:cs="Palatino Linotype"/>
          <w:color w:val="000000" w:themeColor="text1"/>
          <w:sz w:val="24"/>
          <w:szCs w:val="24"/>
          <w:lang w:val="es-ES_tradnl"/>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9"/>
        <w:gridCol w:w="6825"/>
      </w:tblGrid>
      <w:tr w:rsidR="00F04191" w:rsidRPr="00905D0F" w:rsidTr="00905D0F">
        <w:tc>
          <w:tcPr>
            <w:tcW w:w="2809" w:type="dxa"/>
            <w:vAlign w:val="center"/>
          </w:tcPr>
          <w:p w:rsidR="00F04191" w:rsidRPr="00905D0F" w:rsidRDefault="00F04191" w:rsidP="00165F17">
            <w:pPr>
              <w:pBdr>
                <w:top w:val="nil"/>
                <w:left w:val="nil"/>
                <w:bottom w:val="nil"/>
                <w:right w:val="nil"/>
                <w:between w:val="nil"/>
              </w:pBdr>
              <w:tabs>
                <w:tab w:val="left" w:pos="851"/>
              </w:tabs>
              <w:spacing w:line="240" w:lineRule="auto"/>
              <w:ind w:right="-518"/>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lastRenderedPageBreak/>
              <w:t>a) Requisitos previos.</w:t>
            </w:r>
          </w:p>
        </w:tc>
        <w:tc>
          <w:tcPr>
            <w:tcW w:w="6825" w:type="dxa"/>
          </w:tcPr>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Los artículos 100 y 122 de la Ley Estatal y de la Ley General, vigente al momento de interponer la solicitud de información, respectivamente, señalan que si los Sujetos Obligados determinan que la información actualiza alguno de los supuestos de clasificación, es deber de los titulares de las áreas proponer su clasificación y no del Comité de Transparencia. </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Al hacerlo tienen que precisar de qué información se trata, señalando el supuesto de clasificación (confidencialidad o reserva).</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Además, se debe señalar el procedimiento, de los tres que establecen los artículos 132 y 106 de la Ley Estatal y General vigente al momento de interponer la solicitud de información, respectivamente.</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El último de estos requisitos previos consiste en que no se pueden emitir acuerdos de carácter general ni particular, esto es, </w:t>
            </w:r>
            <w:r w:rsidRPr="00905D0F">
              <w:rPr>
                <w:rFonts w:ascii="Palatino Linotype" w:eastAsia="Palatino Linotype" w:hAnsi="Palatino Linotype" w:cs="Palatino Linotype"/>
                <w:color w:val="000000" w:themeColor="text1"/>
                <w:sz w:val="24"/>
                <w:szCs w:val="24"/>
                <w:u w:val="single"/>
                <w:lang w:val="es-ES_tradnl"/>
              </w:rPr>
              <w:t>no se puede hacer un acuerdo para clasificar de manera general todos los documentos de un expediente o área, sin</w:t>
            </w:r>
            <w:r w:rsidRPr="00905D0F">
              <w:rPr>
                <w:rFonts w:ascii="Palatino Linotype" w:eastAsia="Palatino Linotype" w:hAnsi="Palatino Linotype" w:cs="Palatino Linotype"/>
                <w:color w:val="000000" w:themeColor="text1"/>
                <w:sz w:val="24"/>
                <w:szCs w:val="24"/>
                <w:lang w:val="es-ES_tradnl"/>
              </w:rPr>
              <w:t xml:space="preserve"> individualizar su análisis y tampoco se puede hacer un acuerdo por cada dato que se vaya a clasificar dentro de un documento con diez datos, por ejemplo, susceptibles de ser clasificados.</w:t>
            </w:r>
          </w:p>
        </w:tc>
      </w:tr>
      <w:tr w:rsidR="00F04191" w:rsidRPr="00905D0F" w:rsidTr="00905D0F">
        <w:tc>
          <w:tcPr>
            <w:tcW w:w="2809" w:type="dxa"/>
            <w:vAlign w:val="center"/>
          </w:tcPr>
          <w:p w:rsidR="00F04191" w:rsidRPr="00905D0F" w:rsidRDefault="00F04191" w:rsidP="00165F17">
            <w:pPr>
              <w:pBdr>
                <w:top w:val="nil"/>
                <w:left w:val="nil"/>
                <w:bottom w:val="nil"/>
                <w:right w:val="nil"/>
                <w:between w:val="nil"/>
              </w:pBdr>
              <w:tabs>
                <w:tab w:val="left" w:pos="851"/>
              </w:tabs>
              <w:spacing w:line="240" w:lineRule="auto"/>
              <w:ind w:right="-518"/>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b) Supuestos de clasificación.</w:t>
            </w:r>
          </w:p>
        </w:tc>
        <w:tc>
          <w:tcPr>
            <w:tcW w:w="6825" w:type="dxa"/>
          </w:tcPr>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Las disposiciones constitucionales y legales en la materia establecen los dos supuestos generales para clasificar la información: por reserva y por confidencialidad.</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Los artículos 116 y 143 de la Ley Estatal y de la Ley General, vigente al momento de interponer la solicitud de información, respectivamente, señalan los supuestos para que la información pueda ser clasificada como confidencial. Mientras que los artículos 105 y 130 de la Ley Estatal y de la Ley General, vigente al momento de interponer la solicitud de información, respectivamente, señalan que la aplicación de estos supuestos debe realizarse de manera restrictiva y limitada, por lo que </w:t>
            </w:r>
            <w:r w:rsidRPr="00905D0F">
              <w:rPr>
                <w:rFonts w:ascii="Palatino Linotype" w:eastAsia="Palatino Linotype" w:hAnsi="Palatino Linotype" w:cs="Palatino Linotype"/>
                <w:color w:val="000000" w:themeColor="text1"/>
                <w:sz w:val="24"/>
                <w:szCs w:val="24"/>
                <w:lang w:val="es-ES_tradnl"/>
              </w:rPr>
              <w:lastRenderedPageBreak/>
              <w:t>debe acreditarse que se cumple con esta condición y no se pueden ampliar las excepciones o supuestos de clasificación aduciendo analogía o mayoría de razón.</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El </w:t>
            </w:r>
            <w:r w:rsidRPr="00905D0F">
              <w:rPr>
                <w:rFonts w:ascii="Palatino Linotype" w:eastAsia="Palatino Linotype" w:hAnsi="Palatino Linotype" w:cs="Palatino Linotype"/>
                <w:b/>
                <w:color w:val="000000" w:themeColor="text1"/>
                <w:sz w:val="24"/>
                <w:szCs w:val="24"/>
                <w:lang w:val="es-ES_tradnl"/>
              </w:rPr>
              <w:t>Sujeto Obligado</w:t>
            </w:r>
            <w:r w:rsidRPr="00905D0F">
              <w:rPr>
                <w:rFonts w:ascii="Palatino Linotype" w:eastAsia="Palatino Linotype" w:hAnsi="Palatino Linotype" w:cs="Palatino Linotype"/>
                <w:color w:val="000000" w:themeColor="text1"/>
                <w:sz w:val="24"/>
                <w:szCs w:val="24"/>
                <w:lang w:val="es-ES_tradnl"/>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04191" w:rsidRPr="00905D0F" w:rsidTr="00905D0F">
        <w:tc>
          <w:tcPr>
            <w:tcW w:w="2809" w:type="dxa"/>
            <w:vAlign w:val="center"/>
          </w:tcPr>
          <w:p w:rsidR="00F04191" w:rsidRPr="00905D0F" w:rsidRDefault="00F04191" w:rsidP="00165F17">
            <w:pPr>
              <w:pBdr>
                <w:top w:val="nil"/>
                <w:left w:val="nil"/>
                <w:bottom w:val="nil"/>
                <w:right w:val="nil"/>
                <w:between w:val="nil"/>
              </w:pBdr>
              <w:tabs>
                <w:tab w:val="left" w:pos="851"/>
              </w:tabs>
              <w:spacing w:line="240" w:lineRule="auto"/>
              <w:ind w:right="-518"/>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lastRenderedPageBreak/>
              <w:t>c) Formalidades para emitir el acuerdo de clasificación.</w:t>
            </w:r>
          </w:p>
        </w:tc>
        <w:tc>
          <w:tcPr>
            <w:tcW w:w="6825" w:type="dxa"/>
          </w:tcPr>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El Comité de Transparencia, según lo dispuesto en los artículos cuenta con las facultades para aprobar, modificar o revocar la clasificación de la información que haya propuesto. </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Es necesario que </w:t>
            </w:r>
            <w:r w:rsidRPr="00905D0F">
              <w:rPr>
                <w:rFonts w:ascii="Palatino Linotype" w:eastAsia="Palatino Linotype" w:hAnsi="Palatino Linotype" w:cs="Palatino Linotype"/>
                <w:b/>
                <w:color w:val="000000" w:themeColor="text1"/>
                <w:sz w:val="24"/>
                <w:szCs w:val="24"/>
                <w:u w:val="single"/>
                <w:lang w:val="es-ES_tradnl"/>
              </w:rPr>
              <w:t>el acto reúna con los requisitos elementales</w:t>
            </w:r>
            <w:r w:rsidRPr="00905D0F">
              <w:rPr>
                <w:rFonts w:ascii="Palatino Linotype" w:eastAsia="Palatino Linotype" w:hAnsi="Palatino Linotype" w:cs="Palatino Linotype"/>
                <w:color w:val="000000" w:themeColor="text1"/>
                <w:sz w:val="24"/>
                <w:szCs w:val="24"/>
                <w:lang w:val="es-ES_tradnl"/>
              </w:rPr>
              <w:t>, entre ellos, que la autoridad que va a emitir el acto de autoridad sea la legalmente facultada para ello.</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04191" w:rsidRPr="00905D0F" w:rsidTr="00905D0F">
        <w:tc>
          <w:tcPr>
            <w:tcW w:w="2809" w:type="dxa"/>
            <w:vAlign w:val="center"/>
          </w:tcPr>
          <w:p w:rsidR="00F04191" w:rsidRPr="00905D0F" w:rsidRDefault="00F04191" w:rsidP="00165F17">
            <w:pPr>
              <w:pBdr>
                <w:top w:val="nil"/>
                <w:left w:val="nil"/>
                <w:bottom w:val="nil"/>
                <w:right w:val="nil"/>
                <w:between w:val="nil"/>
              </w:pBdr>
              <w:tabs>
                <w:tab w:val="left" w:pos="851"/>
              </w:tabs>
              <w:spacing w:line="240" w:lineRule="auto"/>
              <w:ind w:right="-518"/>
              <w:jc w:val="both"/>
              <w:rPr>
                <w:rFonts w:ascii="Palatino Linotype" w:eastAsia="Palatino Linotype" w:hAnsi="Palatino Linotype" w:cs="Palatino Linotype"/>
                <w:color w:val="000000" w:themeColor="text1"/>
                <w:sz w:val="24"/>
                <w:szCs w:val="24"/>
                <w:lang w:val="es-ES_tradnl"/>
              </w:rPr>
            </w:pPr>
          </w:p>
          <w:p w:rsidR="00F04191" w:rsidRPr="00905D0F" w:rsidRDefault="00F04191" w:rsidP="00165F17">
            <w:pPr>
              <w:pBdr>
                <w:top w:val="nil"/>
                <w:left w:val="nil"/>
                <w:bottom w:val="nil"/>
                <w:right w:val="nil"/>
                <w:between w:val="nil"/>
              </w:pBdr>
              <w:tabs>
                <w:tab w:val="left" w:pos="851"/>
              </w:tabs>
              <w:spacing w:line="240" w:lineRule="auto"/>
              <w:ind w:right="-518"/>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d) Requisitos de fondo del acuerdo de clasificación. </w:t>
            </w:r>
          </w:p>
        </w:tc>
        <w:tc>
          <w:tcPr>
            <w:tcW w:w="6825" w:type="dxa"/>
          </w:tcPr>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05D0F">
              <w:rPr>
                <w:rFonts w:ascii="Palatino Linotype" w:eastAsia="Palatino Linotype" w:hAnsi="Palatino Linotype" w:cs="Palatino Linotype"/>
                <w:b/>
                <w:color w:val="000000" w:themeColor="text1"/>
                <w:sz w:val="24"/>
                <w:szCs w:val="24"/>
                <w:lang w:val="es-ES_tradnl"/>
              </w:rPr>
              <w:t>Sujetos Obligados</w:t>
            </w:r>
            <w:r w:rsidRPr="00905D0F">
              <w:rPr>
                <w:rFonts w:ascii="Palatino Linotype" w:eastAsia="Palatino Linotype" w:hAnsi="Palatino Linotype" w:cs="Palatino Linotype"/>
                <w:color w:val="000000" w:themeColor="text1"/>
                <w:sz w:val="24"/>
                <w:szCs w:val="24"/>
                <w:lang w:val="es-ES_tradnl"/>
              </w:rPr>
              <w:t xml:space="preserve">, por lo que deberán fundar y motivar debidamente la clasificación. </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lastRenderedPageBreak/>
              <w:t xml:space="preserve">De lo anterior, se desprende que para una correcta </w:t>
            </w:r>
            <w:r w:rsidRPr="00905D0F">
              <w:rPr>
                <w:rFonts w:ascii="Palatino Linotype" w:eastAsia="Palatino Linotype" w:hAnsi="Palatino Linotype" w:cs="Palatino Linotype"/>
                <w:b/>
                <w:color w:val="000000" w:themeColor="text1"/>
                <w:sz w:val="24"/>
                <w:szCs w:val="24"/>
                <w:lang w:val="es-ES_tradnl"/>
              </w:rPr>
              <w:t>clasificación total o parcial</w:t>
            </w:r>
            <w:r w:rsidRPr="00905D0F">
              <w:rPr>
                <w:rFonts w:ascii="Palatino Linotype" w:eastAsia="Palatino Linotype" w:hAnsi="Palatino Linotype" w:cs="Palatino Linotype"/>
                <w:color w:val="000000" w:themeColor="text1"/>
                <w:sz w:val="24"/>
                <w:szCs w:val="24"/>
                <w:lang w:val="es-ES_tradnl"/>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En ese mismo sentido, el numeral trigésimo tercero fracción V de los Lineamientos Generales, precisa que para motivar la clasificación se deben acreditar las circunstancias de tiempo, modo y lugar.</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Ahora bien, </w:t>
            </w:r>
            <w:r w:rsidRPr="00905D0F">
              <w:rPr>
                <w:rFonts w:ascii="Palatino Linotype" w:eastAsia="Palatino Linotype" w:hAnsi="Palatino Linotype" w:cs="Palatino Linotype"/>
                <w:b/>
                <w:color w:val="000000" w:themeColor="text1"/>
                <w:sz w:val="24"/>
                <w:szCs w:val="24"/>
                <w:u w:val="single"/>
                <w:lang w:val="es-ES_tradnl"/>
              </w:rPr>
              <w:t>para cada caso además de fundar y motivar</w:t>
            </w:r>
            <w:r w:rsidRPr="00905D0F">
              <w:rPr>
                <w:rFonts w:ascii="Palatino Linotype" w:eastAsia="Palatino Linotype" w:hAnsi="Palatino Linotype" w:cs="Palatino Linotype"/>
                <w:color w:val="000000" w:themeColor="text1"/>
                <w:sz w:val="24"/>
                <w:szCs w:val="24"/>
                <w:lang w:val="es-ES_tradnl"/>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04191" w:rsidRPr="00905D0F" w:rsidTr="00905D0F">
        <w:tc>
          <w:tcPr>
            <w:tcW w:w="2809" w:type="dxa"/>
            <w:vAlign w:val="center"/>
          </w:tcPr>
          <w:p w:rsidR="00F04191" w:rsidRPr="00905D0F" w:rsidRDefault="00F04191" w:rsidP="00165F17">
            <w:pPr>
              <w:pBdr>
                <w:top w:val="nil"/>
                <w:left w:val="nil"/>
                <w:bottom w:val="nil"/>
                <w:right w:val="nil"/>
                <w:between w:val="nil"/>
              </w:pBdr>
              <w:tabs>
                <w:tab w:val="left" w:pos="851"/>
              </w:tabs>
              <w:spacing w:line="240" w:lineRule="auto"/>
              <w:ind w:right="-518"/>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lastRenderedPageBreak/>
              <w:t xml:space="preserve">e) Condiciones especiales de la clasificación de la información como confidencial. </w:t>
            </w:r>
          </w:p>
        </w:tc>
        <w:tc>
          <w:tcPr>
            <w:tcW w:w="6825" w:type="dxa"/>
          </w:tcPr>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 xml:space="preserve">Los artículos 148 y 120 de la Ley Estatal y de la Ley General vigente al momento de interponer la solicitud de información, respectivamente, establecen que aun tratándose de datos personales, se podrán proporcionar, incluso sin solicitar el consentimiento de su titular. </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F04191" w:rsidRPr="00905D0F" w:rsidRDefault="00F04191" w:rsidP="00DF02A5">
            <w:pPr>
              <w:pBdr>
                <w:top w:val="nil"/>
                <w:left w:val="nil"/>
                <w:bottom w:val="nil"/>
                <w:right w:val="nil"/>
                <w:between w:val="nil"/>
              </w:pBdr>
              <w:tabs>
                <w:tab w:val="left" w:pos="851"/>
              </w:tabs>
              <w:spacing w:line="240" w:lineRule="auto"/>
              <w:jc w:val="both"/>
              <w:rPr>
                <w:rFonts w:ascii="Palatino Linotype" w:eastAsia="Palatino Linotype" w:hAnsi="Palatino Linotype" w:cs="Palatino Linotype"/>
                <w:color w:val="000000" w:themeColor="text1"/>
                <w:sz w:val="24"/>
                <w:szCs w:val="24"/>
                <w:lang w:val="es-ES_tradnl"/>
              </w:rPr>
            </w:pPr>
            <w:r w:rsidRPr="00905D0F">
              <w:rPr>
                <w:rFonts w:ascii="Palatino Linotype" w:eastAsia="Palatino Linotype" w:hAnsi="Palatino Linotype" w:cs="Palatino Linotype"/>
                <w:color w:val="000000" w:themeColor="text1"/>
                <w:sz w:val="24"/>
                <w:szCs w:val="24"/>
                <w:lang w:val="es-ES_tradnl"/>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F04191" w:rsidRPr="00905D0F" w:rsidRDefault="00F04191" w:rsidP="00165F17">
      <w:pPr>
        <w:pBdr>
          <w:top w:val="nil"/>
          <w:left w:val="nil"/>
          <w:bottom w:val="nil"/>
          <w:right w:val="nil"/>
          <w:between w:val="nil"/>
        </w:pBdr>
        <w:tabs>
          <w:tab w:val="left" w:pos="851"/>
        </w:tabs>
        <w:spacing w:line="360" w:lineRule="auto"/>
        <w:ind w:right="-518"/>
        <w:jc w:val="both"/>
        <w:rPr>
          <w:rFonts w:ascii="Palatino Linotype" w:eastAsia="Palatino Linotype" w:hAnsi="Palatino Linotype" w:cs="Palatino Linotype"/>
          <w:color w:val="000000" w:themeColor="text1"/>
          <w:sz w:val="24"/>
          <w:szCs w:val="24"/>
          <w:lang w:val="es-ES_tradnl"/>
        </w:rPr>
      </w:pPr>
    </w:p>
    <w:p w:rsidR="00F04191" w:rsidRPr="00905D0F" w:rsidRDefault="00F04191" w:rsidP="00165F17">
      <w:pPr>
        <w:pStyle w:val="Prrafodelista"/>
        <w:numPr>
          <w:ilvl w:val="0"/>
          <w:numId w:val="1"/>
        </w:numPr>
        <w:spacing w:line="360" w:lineRule="auto"/>
        <w:ind w:left="0" w:right="-518" w:firstLine="0"/>
        <w:jc w:val="both"/>
        <w:rPr>
          <w:rFonts w:ascii="Palatino Linotype" w:eastAsia="Palatino Linotype" w:hAnsi="Palatino Linotype" w:cs="Palatino Linotype"/>
          <w:color w:val="000000" w:themeColor="text1"/>
        </w:rPr>
      </w:pPr>
      <w:bookmarkStart w:id="140" w:name="_heading=h.tyjcwt" w:colFirst="0" w:colLast="0"/>
      <w:bookmarkEnd w:id="140"/>
      <w:r w:rsidRPr="00905D0F">
        <w:rPr>
          <w:rFonts w:ascii="Palatino Linotype" w:eastAsia="Palatino Linotype" w:hAnsi="Palatino Linotype" w:cs="Palatino Linotype"/>
          <w:color w:val="000000" w:themeColor="text1"/>
        </w:rPr>
        <w:t xml:space="preserve">Por lo anteriormente expuesto y fundado, este </w:t>
      </w:r>
      <w:r w:rsidRPr="00905D0F">
        <w:rPr>
          <w:rFonts w:ascii="Palatino Linotype" w:eastAsia="Palatino Linotype" w:hAnsi="Palatino Linotype" w:cs="Palatino Linotype"/>
          <w:b/>
          <w:color w:val="000000" w:themeColor="text1"/>
        </w:rPr>
        <w:t>ÓRGANO GARANTE</w:t>
      </w:r>
      <w:r w:rsidRPr="00905D0F">
        <w:rPr>
          <w:rFonts w:ascii="Palatino Linotype" w:eastAsia="Palatino Linotype" w:hAnsi="Palatino Linotype" w:cs="Palatino Linotype"/>
          <w:color w:val="000000" w:themeColor="text1"/>
        </w:rPr>
        <w:t xml:space="preserve"> emite los siguientes:</w:t>
      </w:r>
    </w:p>
    <w:p w:rsidR="00905D0F" w:rsidRDefault="00905D0F" w:rsidP="00165F17">
      <w:pPr>
        <w:pStyle w:val="Ttulo1"/>
        <w:spacing w:before="0" w:line="360" w:lineRule="auto"/>
        <w:ind w:right="-518"/>
        <w:jc w:val="center"/>
        <w:rPr>
          <w:rFonts w:ascii="Palatino Linotype" w:eastAsia="Palatino Linotype" w:hAnsi="Palatino Linotype" w:cs="Palatino Linotype"/>
          <w:b/>
          <w:color w:val="000000"/>
          <w:sz w:val="24"/>
          <w:szCs w:val="24"/>
        </w:rPr>
      </w:pPr>
    </w:p>
    <w:p w:rsidR="00F04191" w:rsidRPr="00905D0F" w:rsidRDefault="00F04191" w:rsidP="00165F17">
      <w:pPr>
        <w:pStyle w:val="Ttulo1"/>
        <w:spacing w:before="0" w:line="360" w:lineRule="auto"/>
        <w:ind w:right="-518"/>
        <w:jc w:val="center"/>
        <w:rPr>
          <w:rFonts w:ascii="Palatino Linotype" w:eastAsia="Palatino Linotype" w:hAnsi="Palatino Linotype" w:cs="Palatino Linotype"/>
          <w:b/>
          <w:color w:val="000000"/>
          <w:sz w:val="24"/>
          <w:szCs w:val="24"/>
        </w:rPr>
      </w:pPr>
      <w:r w:rsidRPr="00905D0F">
        <w:rPr>
          <w:rFonts w:ascii="Palatino Linotype" w:eastAsia="Palatino Linotype" w:hAnsi="Palatino Linotype" w:cs="Palatino Linotype"/>
          <w:b/>
          <w:color w:val="000000"/>
          <w:sz w:val="24"/>
          <w:szCs w:val="24"/>
        </w:rPr>
        <w:t>R E S O L U T I V O S</w:t>
      </w:r>
    </w:p>
    <w:p w:rsidR="00F04191" w:rsidRPr="00905D0F" w:rsidRDefault="00F04191" w:rsidP="00165F17">
      <w:pPr>
        <w:spacing w:line="360" w:lineRule="auto"/>
        <w:ind w:right="-518"/>
        <w:rPr>
          <w:rFonts w:ascii="Palatino Linotype" w:hAnsi="Palatino Linotype"/>
          <w:sz w:val="24"/>
          <w:szCs w:val="24"/>
        </w:rPr>
      </w:pPr>
    </w:p>
    <w:p w:rsidR="000F4768" w:rsidRPr="00905D0F" w:rsidRDefault="00F04191" w:rsidP="00165F17">
      <w:pPr>
        <w:spacing w:line="360" w:lineRule="auto"/>
        <w:ind w:right="-518"/>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b/>
          <w:sz w:val="24"/>
          <w:szCs w:val="24"/>
        </w:rPr>
        <w:t>PRIMERO</w:t>
      </w:r>
      <w:r w:rsidRPr="00905D0F">
        <w:rPr>
          <w:rFonts w:ascii="Palatino Linotype" w:eastAsia="Palatino Linotype" w:hAnsi="Palatino Linotype" w:cs="Palatino Linotype"/>
          <w:sz w:val="24"/>
          <w:szCs w:val="24"/>
        </w:rPr>
        <w:t xml:space="preserve">. Resultan parcialmente fundadas las razones o motivos de inconformidad hechos </w:t>
      </w:r>
      <w:r w:rsidR="005D7393" w:rsidRPr="00905D0F">
        <w:rPr>
          <w:rFonts w:ascii="Palatino Linotype" w:eastAsia="Palatino Linotype" w:hAnsi="Palatino Linotype" w:cs="Palatino Linotype"/>
          <w:sz w:val="24"/>
          <w:szCs w:val="24"/>
        </w:rPr>
        <w:t>valer en el Recurso de Revisión</w:t>
      </w:r>
      <w:r w:rsidR="005D7393" w:rsidRPr="00905D0F">
        <w:rPr>
          <w:rFonts w:ascii="Palatino Linotype" w:eastAsia="Palatino Linotype" w:hAnsi="Palatino Linotype" w:cs="Palatino Linotype"/>
          <w:b/>
          <w:bCs/>
          <w:sz w:val="24"/>
          <w:szCs w:val="24"/>
        </w:rPr>
        <w:t> 09843/INFOEM/IP/RR/2025</w:t>
      </w:r>
      <w:r w:rsidRPr="00905D0F">
        <w:rPr>
          <w:rFonts w:ascii="Palatino Linotype" w:eastAsia="Palatino Linotype" w:hAnsi="Palatino Linotype" w:cs="Palatino Linotype"/>
          <w:sz w:val="24"/>
          <w:szCs w:val="24"/>
        </w:rPr>
        <w:t>,</w:t>
      </w:r>
      <w:r w:rsidRPr="00905D0F">
        <w:rPr>
          <w:rFonts w:ascii="Palatino Linotype" w:eastAsia="Palatino Linotype" w:hAnsi="Palatino Linotype" w:cs="Palatino Linotype"/>
          <w:b/>
          <w:sz w:val="24"/>
          <w:szCs w:val="24"/>
        </w:rPr>
        <w:t xml:space="preserve"> </w:t>
      </w:r>
      <w:r w:rsidRPr="00905D0F">
        <w:rPr>
          <w:rFonts w:ascii="Palatino Linotype" w:eastAsia="Palatino Linotype" w:hAnsi="Palatino Linotype" w:cs="Palatino Linotype"/>
          <w:sz w:val="24"/>
          <w:szCs w:val="24"/>
        </w:rPr>
        <w:t>en términos del Considerando Cuarto y Quinto de la presente Reso</w:t>
      </w:r>
      <w:r w:rsidR="00DF02A5" w:rsidRPr="00905D0F">
        <w:rPr>
          <w:rFonts w:ascii="Palatino Linotype" w:eastAsia="Palatino Linotype" w:hAnsi="Palatino Linotype" w:cs="Palatino Linotype"/>
          <w:sz w:val="24"/>
          <w:szCs w:val="24"/>
        </w:rPr>
        <w:t>lución.</w:t>
      </w:r>
    </w:p>
    <w:p w:rsidR="000F4768" w:rsidRPr="00905D0F" w:rsidRDefault="000F4768" w:rsidP="00165F17">
      <w:pPr>
        <w:spacing w:line="360" w:lineRule="auto"/>
        <w:ind w:right="-518"/>
        <w:jc w:val="both"/>
        <w:rPr>
          <w:rFonts w:ascii="Palatino Linotype" w:eastAsia="Palatino Linotype" w:hAnsi="Palatino Linotype" w:cs="Palatino Linotype"/>
          <w:sz w:val="24"/>
          <w:szCs w:val="24"/>
        </w:rPr>
      </w:pPr>
    </w:p>
    <w:p w:rsidR="000F4768" w:rsidRPr="00905D0F" w:rsidRDefault="00F04191" w:rsidP="00165F17">
      <w:pPr>
        <w:spacing w:line="360" w:lineRule="auto"/>
        <w:ind w:right="-518"/>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b/>
          <w:sz w:val="24"/>
          <w:szCs w:val="24"/>
        </w:rPr>
        <w:t xml:space="preserve">SEGUNDO. Se MODIFICA </w:t>
      </w:r>
      <w:r w:rsidRPr="00905D0F">
        <w:rPr>
          <w:rFonts w:ascii="Palatino Linotype" w:eastAsia="Palatino Linotype" w:hAnsi="Palatino Linotype" w:cs="Palatino Linotype"/>
          <w:sz w:val="24"/>
          <w:szCs w:val="24"/>
        </w:rPr>
        <w:t>la respuesta emitida por el</w:t>
      </w:r>
      <w:r w:rsidRPr="00905D0F">
        <w:rPr>
          <w:rFonts w:ascii="Palatino Linotype" w:eastAsia="Palatino Linotype" w:hAnsi="Palatino Linotype" w:cs="Palatino Linotype"/>
          <w:b/>
          <w:sz w:val="24"/>
          <w:szCs w:val="24"/>
        </w:rPr>
        <w:t xml:space="preserve"> Ayuntamiento de Toluca </w:t>
      </w:r>
      <w:r w:rsidRPr="00905D0F">
        <w:rPr>
          <w:rFonts w:ascii="Palatino Linotype" w:eastAsia="Palatino Linotype" w:hAnsi="Palatino Linotype" w:cs="Palatino Linotype"/>
          <w:sz w:val="24"/>
          <w:szCs w:val="24"/>
        </w:rPr>
        <w:t>y se</w:t>
      </w:r>
      <w:r w:rsidRPr="00905D0F">
        <w:rPr>
          <w:rFonts w:ascii="Palatino Linotype" w:eastAsia="Palatino Linotype" w:hAnsi="Palatino Linotype" w:cs="Palatino Linotype"/>
          <w:b/>
          <w:sz w:val="24"/>
          <w:szCs w:val="24"/>
        </w:rPr>
        <w:t xml:space="preserve"> ORDENA </w:t>
      </w:r>
      <w:r w:rsidRPr="00905D0F">
        <w:rPr>
          <w:rFonts w:ascii="Palatino Linotype" w:eastAsia="Palatino Linotype" w:hAnsi="Palatino Linotype" w:cs="Palatino Linotype"/>
          <w:sz w:val="24"/>
          <w:szCs w:val="24"/>
        </w:rPr>
        <w:t>entregar, previa búsqueda exhaustiva de ser procedente en versión pública, lo siguiente:</w:t>
      </w:r>
      <w:bookmarkStart w:id="141" w:name="_heading=h.2s8eyo1" w:colFirst="0" w:colLast="0"/>
      <w:bookmarkEnd w:id="141"/>
    </w:p>
    <w:p w:rsidR="00F04191" w:rsidRPr="00905D0F" w:rsidRDefault="00DF02A5" w:rsidP="00DF02A5">
      <w:pPr>
        <w:spacing w:line="360" w:lineRule="auto"/>
        <w:ind w:left="709" w:right="-518" w:hanging="142"/>
        <w:jc w:val="both"/>
        <w:rPr>
          <w:rFonts w:ascii="Palatino Linotype" w:eastAsia="Palatino Linotype" w:hAnsi="Palatino Linotype" w:cs="Palatino Linotype"/>
          <w:b/>
          <w:sz w:val="24"/>
          <w:szCs w:val="24"/>
        </w:rPr>
      </w:pPr>
      <w:r w:rsidRPr="00905D0F">
        <w:rPr>
          <w:rFonts w:ascii="Palatino Linotype" w:eastAsia="Palatino Linotype" w:hAnsi="Palatino Linotype" w:cs="Palatino Linotype"/>
          <w:b/>
          <w:sz w:val="24"/>
          <w:szCs w:val="24"/>
        </w:rPr>
        <w:t xml:space="preserve">De los años </w:t>
      </w:r>
      <w:r w:rsidR="005D7393" w:rsidRPr="00905D0F">
        <w:rPr>
          <w:rFonts w:ascii="Palatino Linotype" w:eastAsia="Palatino Linotype" w:hAnsi="Palatino Linotype" w:cs="Palatino Linotype"/>
          <w:b/>
          <w:sz w:val="24"/>
          <w:szCs w:val="24"/>
        </w:rPr>
        <w:t xml:space="preserve">dos mil veintidós y </w:t>
      </w:r>
      <w:r w:rsidR="00A70680" w:rsidRPr="00905D0F">
        <w:rPr>
          <w:rFonts w:ascii="Palatino Linotype" w:eastAsia="Palatino Linotype" w:hAnsi="Palatino Linotype" w:cs="Palatino Linotype"/>
          <w:b/>
          <w:sz w:val="24"/>
          <w:szCs w:val="24"/>
        </w:rPr>
        <w:t>del uno de enero al veinticinco de junio de dos mil</w:t>
      </w:r>
      <w:r w:rsidR="005D7393" w:rsidRPr="00905D0F">
        <w:rPr>
          <w:rFonts w:ascii="Palatino Linotype" w:eastAsia="Palatino Linotype" w:hAnsi="Palatino Linotype" w:cs="Palatino Linotype"/>
          <w:b/>
          <w:sz w:val="24"/>
          <w:szCs w:val="24"/>
        </w:rPr>
        <w:t xml:space="preserve"> veinticinco:</w:t>
      </w:r>
    </w:p>
    <w:p w:rsidR="005D7393" w:rsidRPr="00905D0F" w:rsidRDefault="005D7393" w:rsidP="00DF02A5">
      <w:pPr>
        <w:pStyle w:val="Prrafodelista"/>
        <w:numPr>
          <w:ilvl w:val="0"/>
          <w:numId w:val="23"/>
        </w:numPr>
        <w:ind w:left="709" w:right="333" w:hanging="142"/>
        <w:jc w:val="both"/>
        <w:rPr>
          <w:rFonts w:ascii="Palatino Linotype" w:eastAsia="Palatino Linotype" w:hAnsi="Palatino Linotype" w:cs="Palatino Linotype"/>
          <w:b/>
        </w:rPr>
      </w:pPr>
      <w:r w:rsidRPr="00905D0F">
        <w:rPr>
          <w:rFonts w:ascii="Palatino Linotype" w:eastAsia="Palatino Linotype" w:hAnsi="Palatino Linotype" w:cs="Palatino Linotype"/>
          <w:b/>
        </w:rPr>
        <w:lastRenderedPageBreak/>
        <w:t>Invitaciones, cartas compromiso y avisos remitidos en respuesta en correcta versión pública.</w:t>
      </w:r>
    </w:p>
    <w:p w:rsidR="00DF02A5" w:rsidRPr="00905D0F" w:rsidRDefault="00DF02A5" w:rsidP="00DF02A5">
      <w:pPr>
        <w:pStyle w:val="Prrafodelista"/>
        <w:ind w:left="709" w:right="333" w:hanging="142"/>
        <w:jc w:val="both"/>
        <w:rPr>
          <w:rFonts w:ascii="Palatino Linotype" w:eastAsia="Palatino Linotype" w:hAnsi="Palatino Linotype" w:cs="Palatino Linotype"/>
          <w:b/>
        </w:rPr>
      </w:pPr>
    </w:p>
    <w:p w:rsidR="00F04191" w:rsidRPr="00905D0F" w:rsidRDefault="005D7393" w:rsidP="00DF02A5">
      <w:pPr>
        <w:pStyle w:val="Prrafodelista"/>
        <w:numPr>
          <w:ilvl w:val="0"/>
          <w:numId w:val="23"/>
        </w:numPr>
        <w:pBdr>
          <w:top w:val="nil"/>
          <w:left w:val="nil"/>
          <w:bottom w:val="nil"/>
          <w:right w:val="nil"/>
          <w:between w:val="nil"/>
        </w:pBdr>
        <w:ind w:left="709" w:right="333" w:hanging="142"/>
        <w:jc w:val="both"/>
        <w:rPr>
          <w:rFonts w:ascii="Palatino Linotype" w:eastAsia="Palatino Linotype" w:hAnsi="Palatino Linotype" w:cs="Palatino Linotype"/>
          <w:b/>
          <w:color w:val="000000"/>
        </w:rPr>
      </w:pPr>
      <w:r w:rsidRPr="00905D0F">
        <w:rPr>
          <w:rFonts w:ascii="Palatino Linotype" w:eastAsia="Palatino Linotype" w:hAnsi="Palatino Linotype" w:cs="Palatino Linotype"/>
          <w:b/>
          <w:lang w:val="es-MX"/>
        </w:rPr>
        <w:t>L</w:t>
      </w:r>
      <w:r w:rsidR="008874A6" w:rsidRPr="00905D0F">
        <w:rPr>
          <w:rFonts w:ascii="Palatino Linotype" w:eastAsia="Palatino Linotype" w:hAnsi="Palatino Linotype" w:cs="Palatino Linotype"/>
          <w:b/>
          <w:lang w:val="es-MX"/>
        </w:rPr>
        <w:t xml:space="preserve">icencias </w:t>
      </w:r>
      <w:r w:rsidR="00A70680" w:rsidRPr="00905D0F">
        <w:rPr>
          <w:rFonts w:ascii="Palatino Linotype" w:eastAsia="Palatino Linotype" w:hAnsi="Palatino Linotype" w:cs="Palatino Linotype"/>
          <w:b/>
          <w:lang w:val="es-MX"/>
        </w:rPr>
        <w:t xml:space="preserve">de funcionamiento con venta de alimentos </w:t>
      </w:r>
    </w:p>
    <w:p w:rsidR="00DF02A5" w:rsidRPr="00905D0F" w:rsidRDefault="00DF02A5" w:rsidP="00DF02A5">
      <w:pPr>
        <w:pStyle w:val="Prrafodelista"/>
        <w:pBdr>
          <w:top w:val="nil"/>
          <w:left w:val="nil"/>
          <w:bottom w:val="nil"/>
          <w:right w:val="nil"/>
          <w:between w:val="nil"/>
        </w:pBdr>
        <w:spacing w:line="276" w:lineRule="auto"/>
        <w:ind w:right="-518"/>
        <w:jc w:val="both"/>
        <w:rPr>
          <w:rFonts w:ascii="Palatino Linotype" w:eastAsia="Palatino Linotype" w:hAnsi="Palatino Linotype" w:cs="Palatino Linotype"/>
          <w:b/>
          <w:color w:val="000000"/>
        </w:rPr>
      </w:pPr>
    </w:p>
    <w:p w:rsidR="00DF02A5" w:rsidRPr="00905D0F" w:rsidRDefault="00DF02A5" w:rsidP="00DF02A5">
      <w:pPr>
        <w:pStyle w:val="Prrafodelista"/>
        <w:pBdr>
          <w:top w:val="nil"/>
          <w:left w:val="nil"/>
          <w:bottom w:val="nil"/>
          <w:right w:val="nil"/>
          <w:between w:val="nil"/>
        </w:pBdr>
        <w:spacing w:line="276" w:lineRule="auto"/>
        <w:ind w:right="-518"/>
        <w:jc w:val="both"/>
        <w:rPr>
          <w:rFonts w:ascii="Palatino Linotype" w:eastAsia="Palatino Linotype" w:hAnsi="Palatino Linotype" w:cs="Palatino Linotype"/>
          <w:b/>
          <w:color w:val="000000"/>
        </w:rPr>
      </w:pPr>
    </w:p>
    <w:p w:rsidR="00F04191" w:rsidRPr="00905D0F" w:rsidRDefault="00F04191" w:rsidP="00165F17">
      <w:pPr>
        <w:spacing w:line="360" w:lineRule="auto"/>
        <w:ind w:right="-518"/>
        <w:jc w:val="both"/>
        <w:rPr>
          <w:rFonts w:ascii="Palatino Linotype" w:eastAsia="Palatino Linotype" w:hAnsi="Palatino Linotype" w:cs="Palatino Linotype"/>
          <w:b/>
          <w:sz w:val="24"/>
          <w:szCs w:val="24"/>
        </w:rPr>
      </w:pPr>
      <w:r w:rsidRPr="00905D0F">
        <w:rPr>
          <w:rFonts w:ascii="Palatino Linotype" w:eastAsia="Palatino Linotype" w:hAnsi="Palatino Linotype" w:cs="Palatino Linotype"/>
          <w:sz w:val="24"/>
          <w:szCs w:val="24"/>
        </w:rPr>
        <w:t xml:space="preserve">Para efectos </w:t>
      </w:r>
      <w:r w:rsidR="00DF02A5" w:rsidRPr="00905D0F">
        <w:rPr>
          <w:rFonts w:ascii="Palatino Linotype" w:eastAsia="Palatino Linotype" w:hAnsi="Palatino Linotype" w:cs="Palatino Linotype"/>
          <w:sz w:val="24"/>
          <w:szCs w:val="24"/>
        </w:rPr>
        <w:t>de lo anterior,</w:t>
      </w:r>
      <w:r w:rsidRPr="00905D0F">
        <w:rPr>
          <w:rFonts w:ascii="Palatino Linotype" w:eastAsia="Palatino Linotype" w:hAnsi="Palatino Linotype" w:cs="Palatino Linotype"/>
          <w:sz w:val="24"/>
          <w:szCs w:val="24"/>
        </w:rPr>
        <w:t xml:space="preserve">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00DF02A5" w:rsidRPr="00905D0F">
        <w:rPr>
          <w:rFonts w:ascii="Palatino Linotype" w:eastAsia="Palatino Linotype" w:hAnsi="Palatino Linotype" w:cs="Palatino Linotype"/>
          <w:b/>
          <w:sz w:val="24"/>
          <w:szCs w:val="24"/>
        </w:rPr>
        <w:t>RECURRENTE.</w:t>
      </w:r>
    </w:p>
    <w:p w:rsidR="00DF02A5" w:rsidRPr="00905D0F" w:rsidRDefault="00DF02A5" w:rsidP="00165F17">
      <w:pPr>
        <w:spacing w:line="360" w:lineRule="auto"/>
        <w:ind w:right="-518"/>
        <w:jc w:val="both"/>
        <w:rPr>
          <w:rFonts w:ascii="Palatino Linotype" w:eastAsia="Palatino Linotype" w:hAnsi="Palatino Linotype" w:cs="Palatino Linotype"/>
          <w:b/>
          <w:sz w:val="24"/>
          <w:szCs w:val="24"/>
        </w:rPr>
      </w:pPr>
    </w:p>
    <w:p w:rsidR="00F04191" w:rsidRPr="00905D0F" w:rsidRDefault="00F04191" w:rsidP="00165F17">
      <w:pPr>
        <w:spacing w:line="360" w:lineRule="auto"/>
        <w:ind w:right="-518"/>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b/>
          <w:sz w:val="24"/>
          <w:szCs w:val="24"/>
        </w:rPr>
        <w:t xml:space="preserve">TERCERO. Notifíquese </w:t>
      </w:r>
      <w:r w:rsidRPr="00905D0F">
        <w:rPr>
          <w:rFonts w:ascii="Palatino Linotype" w:eastAsia="Palatino Linotype" w:hAnsi="Palatino Linotype" w:cs="Palatino Linotype"/>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905D0F">
        <w:rPr>
          <w:rFonts w:ascii="Palatino Linotype" w:eastAsia="Palatino Linotype" w:hAnsi="Palatino Linotype" w:cs="Palatino Linotype"/>
          <w:b/>
          <w:sz w:val="24"/>
          <w:szCs w:val="24"/>
        </w:rPr>
        <w:t>dé cumplimiento a lo ordenado dentro del plazo de diez días hábiles,</w:t>
      </w:r>
      <w:r w:rsidRPr="00905D0F">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04191" w:rsidRPr="00905D0F" w:rsidRDefault="00F04191" w:rsidP="00165F17">
      <w:pPr>
        <w:spacing w:line="360" w:lineRule="auto"/>
        <w:ind w:right="-518"/>
        <w:jc w:val="both"/>
        <w:rPr>
          <w:rFonts w:ascii="Palatino Linotype" w:eastAsia="Palatino Linotype" w:hAnsi="Palatino Linotype" w:cs="Palatino Linotype"/>
          <w:sz w:val="24"/>
          <w:szCs w:val="24"/>
        </w:rPr>
      </w:pPr>
    </w:p>
    <w:p w:rsidR="00F04191" w:rsidRPr="00905D0F" w:rsidRDefault="00F04191" w:rsidP="00165F17">
      <w:pPr>
        <w:spacing w:line="360" w:lineRule="auto"/>
        <w:ind w:right="-518"/>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b/>
          <w:sz w:val="24"/>
          <w:szCs w:val="24"/>
        </w:rPr>
        <w:t xml:space="preserve">CUARTO. </w:t>
      </w:r>
      <w:r w:rsidRPr="00905D0F">
        <w:rPr>
          <w:rFonts w:ascii="Palatino Linotype" w:eastAsia="Palatino Linotype" w:hAnsi="Palatino Linotype" w:cs="Palatino Linotype"/>
          <w:sz w:val="24"/>
          <w:szCs w:val="24"/>
        </w:rPr>
        <w:t xml:space="preserve">De conformidad con el artículo 198 de la Ley de Transparencia y Acceso a la Información Pública del Estado de México y Municipios, de considerarlo procedente, el </w:t>
      </w:r>
      <w:r w:rsidRPr="00905D0F">
        <w:rPr>
          <w:rFonts w:ascii="Palatino Linotype" w:eastAsia="Palatino Linotype" w:hAnsi="Palatino Linotype" w:cs="Palatino Linotype"/>
          <w:b/>
          <w:sz w:val="24"/>
          <w:szCs w:val="24"/>
        </w:rPr>
        <w:lastRenderedPageBreak/>
        <w:t>Sujeto Obligado</w:t>
      </w:r>
      <w:r w:rsidRPr="00905D0F">
        <w:rPr>
          <w:rFonts w:ascii="Palatino Linotype" w:eastAsia="Palatino Linotype" w:hAnsi="Palatino Linotype" w:cs="Palatino Linotype"/>
          <w:sz w:val="24"/>
          <w:szCs w:val="24"/>
        </w:rPr>
        <w:t xml:space="preserve"> de manera fundada y motivada, podrá solicitar una ampliación de plazo para el cumplim</w:t>
      </w:r>
      <w:r w:rsidR="00DF02A5" w:rsidRPr="00905D0F">
        <w:rPr>
          <w:rFonts w:ascii="Palatino Linotype" w:eastAsia="Palatino Linotype" w:hAnsi="Palatino Linotype" w:cs="Palatino Linotype"/>
          <w:sz w:val="24"/>
          <w:szCs w:val="24"/>
        </w:rPr>
        <w:t>iento de la presente resolución.</w:t>
      </w:r>
    </w:p>
    <w:p w:rsidR="00DF02A5" w:rsidRPr="00905D0F" w:rsidRDefault="00DF02A5" w:rsidP="00165F17">
      <w:pPr>
        <w:spacing w:line="360" w:lineRule="auto"/>
        <w:ind w:right="-518"/>
        <w:jc w:val="both"/>
        <w:rPr>
          <w:rFonts w:ascii="Palatino Linotype" w:eastAsia="Palatino Linotype" w:hAnsi="Palatino Linotype" w:cs="Palatino Linotype"/>
          <w:sz w:val="24"/>
          <w:szCs w:val="24"/>
        </w:rPr>
      </w:pPr>
    </w:p>
    <w:p w:rsidR="00DF02A5" w:rsidRPr="00905D0F" w:rsidRDefault="00F04191" w:rsidP="00165F17">
      <w:pPr>
        <w:tabs>
          <w:tab w:val="left" w:pos="8080"/>
        </w:tabs>
        <w:spacing w:line="360" w:lineRule="auto"/>
        <w:ind w:right="-518"/>
        <w:jc w:val="both"/>
        <w:rPr>
          <w:rFonts w:ascii="Palatino Linotype" w:eastAsia="Palatino Linotype" w:hAnsi="Palatino Linotype" w:cs="Palatino Linotype"/>
          <w:sz w:val="24"/>
          <w:szCs w:val="24"/>
        </w:rPr>
      </w:pPr>
      <w:bookmarkStart w:id="142" w:name="_heading=h.17dp8vu" w:colFirst="0" w:colLast="0"/>
      <w:bookmarkEnd w:id="142"/>
      <w:r w:rsidRPr="00905D0F">
        <w:rPr>
          <w:rFonts w:ascii="Palatino Linotype" w:eastAsia="Palatino Linotype" w:hAnsi="Palatino Linotype" w:cs="Palatino Linotype"/>
          <w:b/>
          <w:sz w:val="24"/>
          <w:szCs w:val="24"/>
        </w:rPr>
        <w:t xml:space="preserve">QUINTO. </w:t>
      </w:r>
      <w:r w:rsidRPr="00905D0F">
        <w:rPr>
          <w:rFonts w:ascii="Palatino Linotype" w:eastAsia="Palatino Linotype" w:hAnsi="Palatino Linotype" w:cs="Palatino Linotype"/>
          <w:sz w:val="24"/>
          <w:szCs w:val="24"/>
        </w:rPr>
        <w:t xml:space="preserve">Notifíquese al </w:t>
      </w:r>
      <w:r w:rsidRPr="00905D0F">
        <w:rPr>
          <w:rFonts w:ascii="Palatino Linotype" w:eastAsia="Palatino Linotype" w:hAnsi="Palatino Linotype" w:cs="Palatino Linotype"/>
          <w:b/>
          <w:sz w:val="24"/>
          <w:szCs w:val="24"/>
        </w:rPr>
        <w:t>Recurrente</w:t>
      </w:r>
      <w:r w:rsidRPr="00905D0F">
        <w:rPr>
          <w:rFonts w:ascii="Palatino Linotype" w:eastAsia="Palatino Linotype" w:hAnsi="Palatino Linotype" w:cs="Palatino Linotype"/>
          <w:sz w:val="24"/>
          <w:szCs w:val="24"/>
        </w:rPr>
        <w:t xml:space="preserve"> la presente resolución, vía </w:t>
      </w:r>
      <w:r w:rsidRPr="00905D0F">
        <w:rPr>
          <w:rFonts w:ascii="Palatino Linotype" w:eastAsia="Palatino Linotype" w:hAnsi="Palatino Linotype" w:cs="Palatino Linotype"/>
          <w:b/>
          <w:sz w:val="24"/>
          <w:szCs w:val="24"/>
        </w:rPr>
        <w:t>SAIMEX</w:t>
      </w:r>
      <w:r w:rsidR="00DF02A5" w:rsidRPr="00905D0F">
        <w:rPr>
          <w:rFonts w:ascii="Palatino Linotype" w:eastAsia="Palatino Linotype" w:hAnsi="Palatino Linotype" w:cs="Palatino Linotype"/>
          <w:sz w:val="24"/>
          <w:szCs w:val="24"/>
        </w:rPr>
        <w:t>.</w:t>
      </w:r>
    </w:p>
    <w:p w:rsidR="00DF02A5" w:rsidRPr="00905D0F" w:rsidRDefault="00DF02A5" w:rsidP="00165F17">
      <w:pPr>
        <w:tabs>
          <w:tab w:val="left" w:pos="8080"/>
        </w:tabs>
        <w:spacing w:line="360" w:lineRule="auto"/>
        <w:ind w:right="-518"/>
        <w:jc w:val="both"/>
        <w:rPr>
          <w:rFonts w:ascii="Palatino Linotype" w:eastAsia="Palatino Linotype" w:hAnsi="Palatino Linotype" w:cs="Palatino Linotype"/>
          <w:sz w:val="24"/>
          <w:szCs w:val="24"/>
        </w:rPr>
      </w:pPr>
    </w:p>
    <w:p w:rsidR="00F04191" w:rsidRPr="00905D0F" w:rsidRDefault="00F04191" w:rsidP="00165F17">
      <w:pPr>
        <w:spacing w:line="360" w:lineRule="auto"/>
        <w:ind w:right="-518"/>
        <w:jc w:val="both"/>
        <w:rPr>
          <w:rFonts w:ascii="Palatino Linotype" w:eastAsia="Palatino Linotype" w:hAnsi="Palatino Linotype" w:cs="Palatino Linotype"/>
          <w:sz w:val="24"/>
          <w:szCs w:val="24"/>
        </w:rPr>
      </w:pPr>
      <w:r w:rsidRPr="00905D0F">
        <w:rPr>
          <w:rFonts w:ascii="Palatino Linotype" w:eastAsia="Palatino Linotype" w:hAnsi="Palatino Linotype" w:cs="Palatino Linotype"/>
          <w:b/>
          <w:sz w:val="24"/>
          <w:szCs w:val="24"/>
        </w:rPr>
        <w:t xml:space="preserve">SEXTO. </w:t>
      </w:r>
      <w:r w:rsidRPr="00905D0F">
        <w:rPr>
          <w:rFonts w:ascii="Palatino Linotype" w:eastAsia="Palatino Linotype" w:hAnsi="Palatino Linotype" w:cs="Palatino Linotype"/>
          <w:sz w:val="24"/>
          <w:szCs w:val="24"/>
        </w:rPr>
        <w:t>Se hace del conocimiento del</w:t>
      </w:r>
      <w:r w:rsidRPr="00905D0F">
        <w:rPr>
          <w:rFonts w:ascii="Palatino Linotype" w:eastAsia="Palatino Linotype" w:hAnsi="Palatino Linotype" w:cs="Palatino Linotype"/>
          <w:b/>
          <w:sz w:val="24"/>
          <w:szCs w:val="24"/>
        </w:rPr>
        <w:t xml:space="preserve"> Recurrente </w:t>
      </w:r>
      <w:r w:rsidRPr="00905D0F">
        <w:rPr>
          <w:rFonts w:ascii="Palatino Linotype" w:eastAsia="Palatino Linotype" w:hAnsi="Palatino Linotype" w:cs="Palatino Linotype"/>
          <w:sz w:val="24"/>
          <w:szCs w:val="24"/>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w:t>
      </w:r>
      <w:r w:rsidR="00DF02A5" w:rsidRPr="00905D0F">
        <w:rPr>
          <w:rFonts w:ascii="Palatino Linotype" w:eastAsia="Palatino Linotype" w:hAnsi="Palatino Linotype" w:cs="Palatino Linotype"/>
          <w:sz w:val="24"/>
          <w:szCs w:val="24"/>
        </w:rPr>
        <w:t>rminos de las leyes aplicables.</w:t>
      </w:r>
    </w:p>
    <w:p w:rsidR="00F01621" w:rsidRPr="00905D0F" w:rsidRDefault="00F01621" w:rsidP="00165F17">
      <w:pPr>
        <w:spacing w:line="360" w:lineRule="auto"/>
        <w:ind w:right="-518"/>
        <w:jc w:val="both"/>
        <w:rPr>
          <w:rFonts w:ascii="Palatino Linotype" w:eastAsia="Palatino Linotype" w:hAnsi="Palatino Linotype" w:cs="Palatino Linotype"/>
          <w:sz w:val="24"/>
          <w:szCs w:val="24"/>
        </w:rPr>
      </w:pPr>
    </w:p>
    <w:p w:rsidR="00F01621" w:rsidRPr="00905D0F" w:rsidRDefault="00F01621" w:rsidP="00F01621">
      <w:pPr>
        <w:spacing w:before="240" w:after="240" w:line="360" w:lineRule="auto"/>
        <w:ind w:firstLine="1"/>
        <w:jc w:val="both"/>
        <w:rPr>
          <w:rFonts w:ascii="Palatino Linotype" w:hAnsi="Palatino Linotype"/>
          <w:sz w:val="24"/>
          <w:szCs w:val="24"/>
        </w:rPr>
      </w:pPr>
      <w:bookmarkStart w:id="143" w:name="_Hlk99014733"/>
      <w:r w:rsidRPr="00905D0F">
        <w:rPr>
          <w:rFonts w:ascii="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172934" w:rsidRPr="00905D0F">
        <w:rPr>
          <w:rFonts w:ascii="Palatino Linotype" w:hAnsi="Palatino Linotype" w:cs="Palatino Linotype"/>
          <w:sz w:val="24"/>
          <w:szCs w:val="24"/>
        </w:rPr>
        <w:t xml:space="preserve"> </w:t>
      </w:r>
      <w:r w:rsidR="00172934" w:rsidRPr="00905D0F">
        <w:rPr>
          <w:rFonts w:ascii="Palatino Linotype" w:hAnsi="Palatino Linotype"/>
          <w:sz w:val="24"/>
          <w:szCs w:val="24"/>
        </w:rPr>
        <w:t>EMITIENDO VOTO PARTICULAR</w:t>
      </w:r>
      <w:r w:rsidRPr="00905D0F">
        <w:rPr>
          <w:rFonts w:ascii="Palatino Linotype" w:hAnsi="Palatino Linotype" w:cs="Palatino Linotype"/>
          <w:sz w:val="24"/>
          <w:szCs w:val="24"/>
        </w:rPr>
        <w:t xml:space="preserve"> Y GUADALUPE RAMÍREZ PEÑA; EN LA OCTAVA SESIÓN ORDINARIA, CELEBRADA EL CINCO (05) DE MARZO DE DOS MIL VEINTISÉIS, ANTE EL SECRETARIO TÉCNICO DEL PLENO </w:t>
      </w:r>
      <w:r w:rsidRPr="00905D0F">
        <w:rPr>
          <w:rFonts w:ascii="Palatino Linotype" w:hAnsi="Palatino Linotype" w:cs="Palatino Linotype"/>
          <w:color w:val="000000" w:themeColor="text1"/>
          <w:sz w:val="24"/>
          <w:szCs w:val="24"/>
        </w:rPr>
        <w:t>ALEXIS TAPIA RAMÍREZ.</w:t>
      </w:r>
    </w:p>
    <w:bookmarkEnd w:id="143"/>
    <w:p w:rsidR="008B1534" w:rsidRPr="00905D0F" w:rsidRDefault="008B1534"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p w:rsidR="004F4300" w:rsidRPr="00905D0F" w:rsidRDefault="004F4300" w:rsidP="00165F17">
      <w:pPr>
        <w:ind w:right="-518"/>
        <w:rPr>
          <w:sz w:val="24"/>
          <w:szCs w:val="24"/>
        </w:rPr>
      </w:pPr>
    </w:p>
    <w:sectPr w:rsidR="004F4300" w:rsidRPr="00905D0F" w:rsidSect="00905D0F">
      <w:headerReference w:type="even" r:id="rId8"/>
      <w:headerReference w:type="default" r:id="rId9"/>
      <w:footerReference w:type="default" r:id="rId10"/>
      <w:headerReference w:type="first" r:id="rId11"/>
      <w:footerReference w:type="first" r:id="rId12"/>
      <w:pgSz w:w="12240" w:h="15840"/>
      <w:pgMar w:top="2268" w:right="1467"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763" w:rsidRDefault="00386763" w:rsidP="00F04191">
      <w:pPr>
        <w:spacing w:after="0" w:line="240" w:lineRule="auto"/>
      </w:pPr>
      <w:r>
        <w:separator/>
      </w:r>
    </w:p>
  </w:endnote>
  <w:endnote w:type="continuationSeparator" w:id="0">
    <w:p w:rsidR="00386763" w:rsidRDefault="00386763" w:rsidP="00F04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z w:val="28"/>
      </w:rPr>
      <w:id w:val="-790740049"/>
      <w:docPartObj>
        <w:docPartGallery w:val="Page Numbers (Bottom of Page)"/>
        <w:docPartUnique/>
      </w:docPartObj>
    </w:sdtPr>
    <w:sdtEndPr/>
    <w:sdtContent>
      <w:sdt>
        <w:sdtPr>
          <w:rPr>
            <w:b/>
            <w:sz w:val="28"/>
          </w:rPr>
          <w:id w:val="-683513656"/>
          <w:docPartObj>
            <w:docPartGallery w:val="Page Numbers (Top of Page)"/>
            <w:docPartUnique/>
          </w:docPartObj>
        </w:sdtPr>
        <w:sdtEndPr/>
        <w:sdtContent>
          <w:p w:rsidR="00570686" w:rsidRPr="00905D0F" w:rsidRDefault="00570686" w:rsidP="008B1534">
            <w:pPr>
              <w:pStyle w:val="Piedepgina"/>
              <w:jc w:val="right"/>
              <w:rPr>
                <w:rFonts w:ascii="Palatino Linotype" w:hAnsi="Palatino Linotype"/>
                <w:b/>
                <w:sz w:val="22"/>
              </w:rPr>
            </w:pPr>
            <w:r w:rsidRPr="00905D0F">
              <w:rPr>
                <w:rFonts w:ascii="Palatino Linotype" w:hAnsi="Palatino Linotype"/>
                <w:b/>
                <w:sz w:val="22"/>
              </w:rPr>
              <w:t xml:space="preserve">Página </w:t>
            </w:r>
            <w:r w:rsidRPr="00905D0F">
              <w:rPr>
                <w:rFonts w:ascii="Palatino Linotype" w:hAnsi="Palatino Linotype"/>
                <w:b/>
                <w:bCs/>
                <w:sz w:val="22"/>
              </w:rPr>
              <w:fldChar w:fldCharType="begin"/>
            </w:r>
            <w:r w:rsidRPr="00905D0F">
              <w:rPr>
                <w:rFonts w:ascii="Palatino Linotype" w:hAnsi="Palatino Linotype"/>
                <w:b/>
                <w:bCs/>
                <w:sz w:val="22"/>
              </w:rPr>
              <w:instrText>PAGE  \* Arabic  \* MERGEFORMAT</w:instrText>
            </w:r>
            <w:r w:rsidRPr="00905D0F">
              <w:rPr>
                <w:rFonts w:ascii="Palatino Linotype" w:hAnsi="Palatino Linotype"/>
                <w:b/>
                <w:bCs/>
                <w:sz w:val="22"/>
              </w:rPr>
              <w:fldChar w:fldCharType="separate"/>
            </w:r>
            <w:r w:rsidR="000C3DCD">
              <w:rPr>
                <w:rFonts w:ascii="Palatino Linotype" w:hAnsi="Palatino Linotype"/>
                <w:b/>
                <w:bCs/>
                <w:noProof/>
                <w:sz w:val="22"/>
              </w:rPr>
              <w:t>21</w:t>
            </w:r>
            <w:r w:rsidRPr="00905D0F">
              <w:rPr>
                <w:rFonts w:ascii="Palatino Linotype" w:hAnsi="Palatino Linotype"/>
                <w:b/>
                <w:bCs/>
                <w:sz w:val="22"/>
              </w:rPr>
              <w:fldChar w:fldCharType="end"/>
            </w:r>
            <w:r w:rsidRPr="00905D0F">
              <w:rPr>
                <w:rFonts w:ascii="Palatino Linotype" w:hAnsi="Palatino Linotype"/>
                <w:b/>
                <w:sz w:val="22"/>
              </w:rPr>
              <w:t xml:space="preserve"> de </w:t>
            </w:r>
            <w:r w:rsidRPr="00905D0F">
              <w:rPr>
                <w:rFonts w:ascii="Palatino Linotype" w:hAnsi="Palatino Linotype"/>
                <w:b/>
                <w:bCs/>
                <w:noProof/>
                <w:sz w:val="22"/>
              </w:rPr>
              <w:fldChar w:fldCharType="begin"/>
            </w:r>
            <w:r w:rsidRPr="00905D0F">
              <w:rPr>
                <w:rFonts w:ascii="Palatino Linotype" w:hAnsi="Palatino Linotype"/>
                <w:b/>
                <w:bCs/>
                <w:noProof/>
                <w:sz w:val="22"/>
              </w:rPr>
              <w:instrText>NUMPAGES  \* Arabic  \* MERGEFORMAT</w:instrText>
            </w:r>
            <w:r w:rsidRPr="00905D0F">
              <w:rPr>
                <w:rFonts w:ascii="Palatino Linotype" w:hAnsi="Palatino Linotype"/>
                <w:b/>
                <w:bCs/>
                <w:noProof/>
                <w:sz w:val="22"/>
              </w:rPr>
              <w:fldChar w:fldCharType="separate"/>
            </w:r>
            <w:r w:rsidR="000C3DCD">
              <w:rPr>
                <w:rFonts w:ascii="Palatino Linotype" w:hAnsi="Palatino Linotype"/>
                <w:b/>
                <w:bCs/>
                <w:noProof/>
                <w:sz w:val="22"/>
              </w:rPr>
              <w:t>43</w:t>
            </w:r>
            <w:r w:rsidRPr="00905D0F">
              <w:rPr>
                <w:rFonts w:ascii="Palatino Linotype" w:hAnsi="Palatino Linotype"/>
                <w:b/>
                <w:bCs/>
                <w:noProof/>
                <w:sz w:val="22"/>
              </w:rPr>
              <w:fldChar w:fldCharType="end"/>
            </w:r>
          </w:p>
        </w:sdtContent>
      </w:sdt>
    </w:sdtContent>
  </w:sdt>
  <w:p w:rsidR="00570686" w:rsidRDefault="0057068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686" w:rsidRPr="00905D0F" w:rsidRDefault="00570686" w:rsidP="008B1534">
    <w:pPr>
      <w:pStyle w:val="Piedepgina"/>
      <w:jc w:val="right"/>
      <w:rPr>
        <w:rFonts w:ascii="Palatino Linotype" w:hAnsi="Palatino Linotype"/>
        <w:b/>
        <w:sz w:val="22"/>
      </w:rPr>
    </w:pPr>
    <w:r w:rsidRPr="00905D0F">
      <w:rPr>
        <w:rFonts w:ascii="Palatino Linotype" w:hAnsi="Palatino Linotype"/>
        <w:b/>
        <w:sz w:val="22"/>
      </w:rPr>
      <w:t xml:space="preserve">Página </w:t>
    </w:r>
    <w:r w:rsidRPr="00905D0F">
      <w:rPr>
        <w:rFonts w:ascii="Palatino Linotype" w:hAnsi="Palatino Linotype"/>
        <w:b/>
        <w:bCs/>
        <w:sz w:val="22"/>
      </w:rPr>
      <w:fldChar w:fldCharType="begin"/>
    </w:r>
    <w:r w:rsidRPr="00905D0F">
      <w:rPr>
        <w:rFonts w:ascii="Palatino Linotype" w:hAnsi="Palatino Linotype"/>
        <w:b/>
        <w:bCs/>
        <w:sz w:val="22"/>
      </w:rPr>
      <w:instrText>PAGE  \* Arabic  \* MERGEFORMAT</w:instrText>
    </w:r>
    <w:r w:rsidRPr="00905D0F">
      <w:rPr>
        <w:rFonts w:ascii="Palatino Linotype" w:hAnsi="Palatino Linotype"/>
        <w:b/>
        <w:bCs/>
        <w:sz w:val="22"/>
      </w:rPr>
      <w:fldChar w:fldCharType="separate"/>
    </w:r>
    <w:r w:rsidR="000C3DCD">
      <w:rPr>
        <w:rFonts w:ascii="Palatino Linotype" w:hAnsi="Palatino Linotype"/>
        <w:b/>
        <w:bCs/>
        <w:noProof/>
        <w:sz w:val="22"/>
      </w:rPr>
      <w:t>1</w:t>
    </w:r>
    <w:r w:rsidRPr="00905D0F">
      <w:rPr>
        <w:rFonts w:ascii="Palatino Linotype" w:hAnsi="Palatino Linotype"/>
        <w:b/>
        <w:bCs/>
        <w:sz w:val="22"/>
      </w:rPr>
      <w:fldChar w:fldCharType="end"/>
    </w:r>
    <w:r w:rsidRPr="00905D0F">
      <w:rPr>
        <w:rFonts w:ascii="Palatino Linotype" w:hAnsi="Palatino Linotype"/>
        <w:b/>
        <w:sz w:val="22"/>
      </w:rPr>
      <w:t xml:space="preserve"> de </w:t>
    </w:r>
    <w:r w:rsidRPr="00905D0F">
      <w:rPr>
        <w:rFonts w:ascii="Palatino Linotype" w:hAnsi="Palatino Linotype"/>
        <w:b/>
        <w:bCs/>
        <w:noProof/>
        <w:sz w:val="22"/>
      </w:rPr>
      <w:fldChar w:fldCharType="begin"/>
    </w:r>
    <w:r w:rsidRPr="00905D0F">
      <w:rPr>
        <w:rFonts w:ascii="Palatino Linotype" w:hAnsi="Palatino Linotype"/>
        <w:b/>
        <w:bCs/>
        <w:noProof/>
        <w:sz w:val="22"/>
      </w:rPr>
      <w:instrText>NUMPAGES  \* Arabic  \* MERGEFORMAT</w:instrText>
    </w:r>
    <w:r w:rsidRPr="00905D0F">
      <w:rPr>
        <w:rFonts w:ascii="Palatino Linotype" w:hAnsi="Palatino Linotype"/>
        <w:b/>
        <w:bCs/>
        <w:noProof/>
        <w:sz w:val="22"/>
      </w:rPr>
      <w:fldChar w:fldCharType="separate"/>
    </w:r>
    <w:r w:rsidR="000C3DCD">
      <w:rPr>
        <w:rFonts w:ascii="Palatino Linotype" w:hAnsi="Palatino Linotype"/>
        <w:b/>
        <w:bCs/>
        <w:noProof/>
        <w:sz w:val="22"/>
      </w:rPr>
      <w:t>43</w:t>
    </w:r>
    <w:r w:rsidRPr="00905D0F">
      <w:rPr>
        <w:rFonts w:ascii="Palatino Linotype" w:hAnsi="Palatino Linotype"/>
        <w:b/>
        <w:bCs/>
        <w:noProof/>
        <w:sz w:val="22"/>
      </w:rPr>
      <w:fldChar w:fldCharType="end"/>
    </w:r>
  </w:p>
  <w:p w:rsidR="00570686" w:rsidRDefault="005706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763" w:rsidRDefault="00386763" w:rsidP="00F04191">
      <w:pPr>
        <w:spacing w:after="0" w:line="240" w:lineRule="auto"/>
      </w:pPr>
      <w:r>
        <w:separator/>
      </w:r>
    </w:p>
  </w:footnote>
  <w:footnote w:type="continuationSeparator" w:id="0">
    <w:p w:rsidR="00386763" w:rsidRDefault="00386763" w:rsidP="00F041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686" w:rsidRDefault="00386763">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261" w:type="dxa"/>
      <w:tblCellMar>
        <w:left w:w="70" w:type="dxa"/>
        <w:right w:w="70" w:type="dxa"/>
      </w:tblCellMar>
      <w:tblLook w:val="04A0" w:firstRow="1" w:lastRow="0" w:firstColumn="1" w:lastColumn="0" w:noHBand="0" w:noVBand="1"/>
    </w:tblPr>
    <w:tblGrid>
      <w:gridCol w:w="2976"/>
      <w:gridCol w:w="3543"/>
    </w:tblGrid>
    <w:tr w:rsidR="00570686" w:rsidTr="00905D0F">
      <w:trPr>
        <w:trHeight w:val="227"/>
      </w:trPr>
      <w:tc>
        <w:tcPr>
          <w:tcW w:w="2976" w:type="dxa"/>
          <w:vAlign w:val="center"/>
          <w:hideMark/>
        </w:tcPr>
        <w:p w:rsidR="00570686" w:rsidRPr="00905D0F" w:rsidRDefault="00570686" w:rsidP="008B1534">
          <w:pPr>
            <w:spacing w:after="0" w:line="240" w:lineRule="auto"/>
            <w:ind w:right="34"/>
            <w:jc w:val="right"/>
            <w:rPr>
              <w:rFonts w:ascii="Palatino Linotype" w:hAnsi="Palatino Linotype"/>
              <w:b/>
              <w:sz w:val="24"/>
            </w:rPr>
          </w:pPr>
          <w:r w:rsidRPr="00905D0F">
            <w:rPr>
              <w:rFonts w:ascii="Palatino Linotype" w:hAnsi="Palatino Linotype"/>
              <w:b/>
              <w:sz w:val="24"/>
            </w:rPr>
            <w:t>Recurso de Revisión:</w:t>
          </w:r>
        </w:p>
      </w:tc>
      <w:tc>
        <w:tcPr>
          <w:tcW w:w="3543" w:type="dxa"/>
          <w:vAlign w:val="center"/>
          <w:hideMark/>
        </w:tcPr>
        <w:p w:rsidR="00570686" w:rsidRPr="00905D0F" w:rsidRDefault="00570686" w:rsidP="008B1534">
          <w:pPr>
            <w:pStyle w:val="Encabezado"/>
            <w:rPr>
              <w:rFonts w:ascii="Palatino Linotype" w:hAnsi="Palatino Linotype"/>
              <w:szCs w:val="22"/>
            </w:rPr>
          </w:pPr>
          <w:r w:rsidRPr="00905D0F">
            <w:rPr>
              <w:rFonts w:ascii="Palatino Linotype" w:hAnsi="Palatino Linotype" w:cs="Arial"/>
              <w:bCs/>
              <w:szCs w:val="22"/>
              <w:lang w:val="es-MX" w:eastAsia="es-MX"/>
            </w:rPr>
            <w:t xml:space="preserve"> 09843/INFOEM/IP/RR/2025</w:t>
          </w:r>
        </w:p>
      </w:tc>
    </w:tr>
    <w:tr w:rsidR="00570686" w:rsidTr="00905D0F">
      <w:trPr>
        <w:trHeight w:val="242"/>
      </w:trPr>
      <w:tc>
        <w:tcPr>
          <w:tcW w:w="2976" w:type="dxa"/>
          <w:vAlign w:val="center"/>
          <w:hideMark/>
        </w:tcPr>
        <w:p w:rsidR="00570686" w:rsidRPr="00905D0F" w:rsidRDefault="00570686" w:rsidP="008B1534">
          <w:pPr>
            <w:spacing w:after="0" w:line="240" w:lineRule="auto"/>
            <w:ind w:right="34"/>
            <w:jc w:val="right"/>
            <w:rPr>
              <w:rFonts w:ascii="Palatino Linotype" w:hAnsi="Palatino Linotype"/>
              <w:b/>
              <w:sz w:val="24"/>
            </w:rPr>
          </w:pPr>
          <w:r w:rsidRPr="00905D0F">
            <w:rPr>
              <w:rFonts w:ascii="Palatino Linotype" w:hAnsi="Palatino Linotype"/>
              <w:b/>
              <w:sz w:val="24"/>
            </w:rPr>
            <w:t>Sujeto Obligado:</w:t>
          </w:r>
        </w:p>
      </w:tc>
      <w:tc>
        <w:tcPr>
          <w:tcW w:w="3543" w:type="dxa"/>
          <w:vAlign w:val="center"/>
          <w:hideMark/>
        </w:tcPr>
        <w:p w:rsidR="00570686" w:rsidRPr="00905D0F" w:rsidRDefault="00570686" w:rsidP="008B1534">
          <w:pPr>
            <w:pStyle w:val="Encabezado"/>
            <w:jc w:val="both"/>
            <w:rPr>
              <w:rFonts w:ascii="Palatino Linotype" w:hAnsi="Palatino Linotype"/>
              <w:szCs w:val="22"/>
            </w:rPr>
          </w:pPr>
          <w:r w:rsidRPr="00905D0F">
            <w:rPr>
              <w:rFonts w:ascii="Palatino Linotype" w:hAnsi="Palatino Linotype"/>
              <w:bCs/>
              <w:color w:val="000000"/>
              <w:szCs w:val="22"/>
              <w:lang w:val="es-MX"/>
            </w:rPr>
            <w:t>Ayuntamiento de Toluca</w:t>
          </w:r>
        </w:p>
      </w:tc>
    </w:tr>
    <w:tr w:rsidR="00570686" w:rsidTr="00905D0F">
      <w:trPr>
        <w:trHeight w:val="342"/>
      </w:trPr>
      <w:tc>
        <w:tcPr>
          <w:tcW w:w="2976" w:type="dxa"/>
          <w:vAlign w:val="center"/>
          <w:hideMark/>
        </w:tcPr>
        <w:p w:rsidR="00570686" w:rsidRPr="00905D0F" w:rsidRDefault="00570686" w:rsidP="008B1534">
          <w:pPr>
            <w:spacing w:after="0" w:line="240" w:lineRule="auto"/>
            <w:ind w:right="34"/>
            <w:jc w:val="right"/>
            <w:rPr>
              <w:rFonts w:ascii="Palatino Linotype" w:hAnsi="Palatino Linotype"/>
              <w:b/>
              <w:sz w:val="24"/>
            </w:rPr>
          </w:pPr>
          <w:r w:rsidRPr="00905D0F">
            <w:rPr>
              <w:rFonts w:ascii="Palatino Linotype" w:hAnsi="Palatino Linotype"/>
              <w:b/>
              <w:sz w:val="24"/>
            </w:rPr>
            <w:t>Comisionada Ponente:</w:t>
          </w:r>
        </w:p>
      </w:tc>
      <w:tc>
        <w:tcPr>
          <w:tcW w:w="3543" w:type="dxa"/>
          <w:vAlign w:val="center"/>
          <w:hideMark/>
        </w:tcPr>
        <w:p w:rsidR="00570686" w:rsidRPr="00905D0F" w:rsidRDefault="00570686" w:rsidP="008B1534">
          <w:pPr>
            <w:pStyle w:val="Encabezado"/>
            <w:rPr>
              <w:rFonts w:ascii="Palatino Linotype" w:hAnsi="Palatino Linotype"/>
              <w:szCs w:val="22"/>
            </w:rPr>
          </w:pPr>
          <w:r w:rsidRPr="00905D0F">
            <w:rPr>
              <w:rFonts w:ascii="Palatino Linotype" w:hAnsi="Palatino Linotype"/>
              <w:szCs w:val="22"/>
            </w:rPr>
            <w:t>María del Rosario Mejía Ayala</w:t>
          </w:r>
        </w:p>
      </w:tc>
    </w:tr>
  </w:tbl>
  <w:p w:rsidR="00570686" w:rsidRPr="00AE046A" w:rsidRDefault="00386763" w:rsidP="008B1534">
    <w:pPr>
      <w:pStyle w:val="Encabezado"/>
      <w:tabs>
        <w:tab w:val="clear" w:pos="4419"/>
        <w:tab w:val="clear" w:pos="8838"/>
        <w:tab w:val="left" w:pos="6005"/>
      </w:tabs>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8.9pt;margin-top:-127.75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261" w:type="dxa"/>
      <w:tblCellMar>
        <w:left w:w="70" w:type="dxa"/>
        <w:right w:w="70" w:type="dxa"/>
      </w:tblCellMar>
      <w:tblLook w:val="04A0" w:firstRow="1" w:lastRow="0" w:firstColumn="1" w:lastColumn="0" w:noHBand="0" w:noVBand="1"/>
    </w:tblPr>
    <w:tblGrid>
      <w:gridCol w:w="2977"/>
      <w:gridCol w:w="3684"/>
    </w:tblGrid>
    <w:tr w:rsidR="00570686" w:rsidTr="00905D0F">
      <w:trPr>
        <w:trHeight w:val="227"/>
      </w:trPr>
      <w:tc>
        <w:tcPr>
          <w:tcW w:w="2977" w:type="dxa"/>
          <w:vAlign w:val="center"/>
          <w:hideMark/>
        </w:tcPr>
        <w:p w:rsidR="00570686" w:rsidRPr="00905D0F" w:rsidRDefault="00570686" w:rsidP="008B1534">
          <w:pPr>
            <w:spacing w:after="0" w:line="240" w:lineRule="auto"/>
            <w:jc w:val="right"/>
            <w:rPr>
              <w:rFonts w:ascii="Palatino Linotype" w:hAnsi="Palatino Linotype"/>
              <w:b/>
              <w:sz w:val="24"/>
            </w:rPr>
          </w:pPr>
          <w:r w:rsidRPr="00905D0F">
            <w:rPr>
              <w:rFonts w:ascii="Palatino Linotype" w:hAnsi="Palatino Linotype"/>
              <w:b/>
              <w:sz w:val="24"/>
            </w:rPr>
            <w:t>Recurso de Revisión:</w:t>
          </w:r>
        </w:p>
      </w:tc>
      <w:tc>
        <w:tcPr>
          <w:tcW w:w="3684" w:type="dxa"/>
          <w:vAlign w:val="center"/>
          <w:hideMark/>
        </w:tcPr>
        <w:p w:rsidR="00570686" w:rsidRPr="00905D0F" w:rsidRDefault="00570686" w:rsidP="008B1534">
          <w:pPr>
            <w:pStyle w:val="Encabezado"/>
            <w:rPr>
              <w:rFonts w:ascii="Palatino Linotype" w:hAnsi="Palatino Linotype"/>
              <w:szCs w:val="22"/>
            </w:rPr>
          </w:pPr>
          <w:r w:rsidRPr="00905D0F">
            <w:rPr>
              <w:rFonts w:ascii="Palatino Linotype" w:hAnsi="Palatino Linotype" w:cs="Arial"/>
              <w:bCs/>
              <w:szCs w:val="22"/>
              <w:lang w:val="es-MX" w:eastAsia="es-MX"/>
            </w:rPr>
            <w:t>09843/INFOEM/IP/RR/2025</w:t>
          </w:r>
        </w:p>
      </w:tc>
    </w:tr>
    <w:tr w:rsidR="00570686" w:rsidTr="00905D0F">
      <w:trPr>
        <w:trHeight w:val="242"/>
      </w:trPr>
      <w:tc>
        <w:tcPr>
          <w:tcW w:w="2977" w:type="dxa"/>
          <w:vAlign w:val="center"/>
          <w:hideMark/>
        </w:tcPr>
        <w:p w:rsidR="00570686" w:rsidRPr="00905D0F" w:rsidRDefault="00570686" w:rsidP="008B1534">
          <w:pPr>
            <w:spacing w:after="0" w:line="240" w:lineRule="auto"/>
            <w:jc w:val="right"/>
            <w:rPr>
              <w:rFonts w:ascii="Palatino Linotype" w:hAnsi="Palatino Linotype"/>
              <w:b/>
              <w:sz w:val="24"/>
            </w:rPr>
          </w:pPr>
          <w:r w:rsidRPr="00905D0F">
            <w:rPr>
              <w:rFonts w:ascii="Palatino Linotype" w:hAnsi="Palatino Linotype"/>
              <w:b/>
              <w:sz w:val="24"/>
            </w:rPr>
            <w:t>Recurrente:</w:t>
          </w:r>
        </w:p>
      </w:tc>
      <w:tc>
        <w:tcPr>
          <w:tcW w:w="3684" w:type="dxa"/>
        </w:tcPr>
        <w:p w:rsidR="00570686" w:rsidRPr="00905D0F" w:rsidRDefault="00570686" w:rsidP="008B1534">
          <w:pPr>
            <w:pStyle w:val="Encabezado"/>
            <w:tabs>
              <w:tab w:val="left" w:pos="521"/>
            </w:tabs>
            <w:rPr>
              <w:rFonts w:ascii="Palatino Linotype" w:hAnsi="Palatino Linotype"/>
              <w:szCs w:val="22"/>
            </w:rPr>
          </w:pPr>
        </w:p>
      </w:tc>
    </w:tr>
    <w:tr w:rsidR="00570686" w:rsidTr="00905D0F">
      <w:trPr>
        <w:trHeight w:val="342"/>
      </w:trPr>
      <w:tc>
        <w:tcPr>
          <w:tcW w:w="2977" w:type="dxa"/>
          <w:vAlign w:val="center"/>
        </w:tcPr>
        <w:p w:rsidR="00570686" w:rsidRPr="00905D0F" w:rsidRDefault="00570686" w:rsidP="008B1534">
          <w:pPr>
            <w:spacing w:after="0" w:line="240" w:lineRule="auto"/>
            <w:jc w:val="right"/>
            <w:rPr>
              <w:rFonts w:ascii="Palatino Linotype" w:hAnsi="Palatino Linotype"/>
              <w:b/>
              <w:sz w:val="24"/>
            </w:rPr>
          </w:pPr>
          <w:r w:rsidRPr="00905D0F">
            <w:rPr>
              <w:rFonts w:ascii="Palatino Linotype" w:hAnsi="Palatino Linotype"/>
              <w:b/>
              <w:sz w:val="24"/>
            </w:rPr>
            <w:t>Sujeto Obligado:</w:t>
          </w:r>
        </w:p>
      </w:tc>
      <w:tc>
        <w:tcPr>
          <w:tcW w:w="3684" w:type="dxa"/>
          <w:vAlign w:val="center"/>
        </w:tcPr>
        <w:p w:rsidR="00570686" w:rsidRPr="00905D0F" w:rsidRDefault="00570686" w:rsidP="008B1534">
          <w:pPr>
            <w:pStyle w:val="Encabezado"/>
            <w:jc w:val="both"/>
            <w:rPr>
              <w:rFonts w:ascii="Palatino Linotype" w:hAnsi="Palatino Linotype"/>
              <w:szCs w:val="22"/>
            </w:rPr>
          </w:pPr>
          <w:r w:rsidRPr="00905D0F">
            <w:rPr>
              <w:rFonts w:ascii="Palatino Linotype" w:hAnsi="Palatino Linotype"/>
              <w:bCs/>
              <w:color w:val="000000"/>
              <w:szCs w:val="22"/>
              <w:lang w:val="es-MX"/>
            </w:rPr>
            <w:t>Ayuntamiento de Toluca</w:t>
          </w:r>
        </w:p>
      </w:tc>
    </w:tr>
    <w:tr w:rsidR="00570686" w:rsidTr="00905D0F">
      <w:trPr>
        <w:trHeight w:val="342"/>
      </w:trPr>
      <w:tc>
        <w:tcPr>
          <w:tcW w:w="2977" w:type="dxa"/>
          <w:vAlign w:val="center"/>
        </w:tcPr>
        <w:p w:rsidR="00570686" w:rsidRPr="00905D0F" w:rsidRDefault="00570686" w:rsidP="008B1534">
          <w:pPr>
            <w:spacing w:after="0" w:line="240" w:lineRule="auto"/>
            <w:jc w:val="right"/>
            <w:rPr>
              <w:rFonts w:ascii="Palatino Linotype" w:hAnsi="Palatino Linotype"/>
              <w:b/>
              <w:sz w:val="24"/>
            </w:rPr>
          </w:pPr>
          <w:r w:rsidRPr="00905D0F">
            <w:rPr>
              <w:rFonts w:ascii="Palatino Linotype" w:hAnsi="Palatino Linotype"/>
              <w:b/>
              <w:sz w:val="24"/>
            </w:rPr>
            <w:t>Comisionada Ponente:</w:t>
          </w:r>
        </w:p>
      </w:tc>
      <w:tc>
        <w:tcPr>
          <w:tcW w:w="3684" w:type="dxa"/>
          <w:vAlign w:val="center"/>
        </w:tcPr>
        <w:p w:rsidR="00570686" w:rsidRPr="00905D0F" w:rsidRDefault="00570686" w:rsidP="008B1534">
          <w:pPr>
            <w:pStyle w:val="Encabezado"/>
            <w:rPr>
              <w:rFonts w:ascii="Palatino Linotype" w:hAnsi="Palatino Linotype"/>
              <w:szCs w:val="22"/>
            </w:rPr>
          </w:pPr>
          <w:r w:rsidRPr="00905D0F">
            <w:rPr>
              <w:rFonts w:ascii="Palatino Linotype" w:hAnsi="Palatino Linotype"/>
              <w:szCs w:val="21"/>
            </w:rPr>
            <w:t>María del Rosario Mejía Ayala</w:t>
          </w:r>
        </w:p>
      </w:tc>
    </w:tr>
  </w:tbl>
  <w:p w:rsidR="00570686" w:rsidRPr="00C222C0" w:rsidRDefault="00386763">
    <w:pPr>
      <w:pStyle w:val="Encabezado"/>
      <w:rPr>
        <w:sz w:val="16"/>
      </w:rPr>
    </w:pPr>
    <w:r>
      <w:rPr>
        <w:noProof/>
        <w:sz w:val="16"/>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3.35pt;width:609.4pt;height:793.75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5092B"/>
    <w:multiLevelType w:val="hybridMultilevel"/>
    <w:tmpl w:val="5BCACD4A"/>
    <w:lvl w:ilvl="0" w:tplc="0FD24EB8">
      <w:start w:val="1"/>
      <w:numFmt w:val="lowerLetter"/>
      <w:lvlText w:val="%1."/>
      <w:lvlJc w:val="left"/>
      <w:pPr>
        <w:ind w:left="786" w:hanging="360"/>
      </w:pPr>
      <w:rPr>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02866C89"/>
    <w:multiLevelType w:val="hybridMultilevel"/>
    <w:tmpl w:val="B5BA38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B97F1D"/>
    <w:multiLevelType w:val="hybridMultilevel"/>
    <w:tmpl w:val="FF644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EC6624"/>
    <w:multiLevelType w:val="hybridMultilevel"/>
    <w:tmpl w:val="137CC1D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22089F"/>
    <w:multiLevelType w:val="multilevel"/>
    <w:tmpl w:val="FD2AD4B2"/>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1815C6"/>
    <w:multiLevelType w:val="hybridMultilevel"/>
    <w:tmpl w:val="FF005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6FD7B88"/>
    <w:multiLevelType w:val="multilevel"/>
    <w:tmpl w:val="BF2EF702"/>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5C04642"/>
    <w:multiLevelType w:val="hybridMultilevel"/>
    <w:tmpl w:val="FCCA6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746D04"/>
    <w:multiLevelType w:val="multilevel"/>
    <w:tmpl w:val="1F48500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12" w15:restartNumberingAfterBreak="0">
    <w:nsid w:val="3EC837DB"/>
    <w:multiLevelType w:val="hybridMultilevel"/>
    <w:tmpl w:val="C0C848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0C1B87"/>
    <w:multiLevelType w:val="hybridMultilevel"/>
    <w:tmpl w:val="6E785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49943FD"/>
    <w:multiLevelType w:val="multilevel"/>
    <w:tmpl w:val="14DE070A"/>
    <w:lvl w:ilvl="0">
      <w:start w:val="1"/>
      <w:numFmt w:val="upperRoman"/>
      <w:pStyle w:val="Listaconvietas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60A5D99"/>
    <w:multiLevelType w:val="hybridMultilevel"/>
    <w:tmpl w:val="AA109F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61B613C"/>
    <w:multiLevelType w:val="hybridMultilevel"/>
    <w:tmpl w:val="28FE10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8CA67E3"/>
    <w:multiLevelType w:val="hybridMultilevel"/>
    <w:tmpl w:val="828A5E04"/>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C8B6E14"/>
    <w:multiLevelType w:val="hybridMultilevel"/>
    <w:tmpl w:val="BAF82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44553DC"/>
    <w:multiLevelType w:val="hybridMultilevel"/>
    <w:tmpl w:val="D21C1EA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74967FE9"/>
    <w:multiLevelType w:val="hybridMultilevel"/>
    <w:tmpl w:val="E90E81B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AF3DB4"/>
    <w:multiLevelType w:val="hybridMultilevel"/>
    <w:tmpl w:val="35FC4BC2"/>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24" w15:restartNumberingAfterBreak="0">
    <w:nsid w:val="7D4D37A0"/>
    <w:multiLevelType w:val="multilevel"/>
    <w:tmpl w:val="4068287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23"/>
  </w:num>
  <w:num w:numId="3">
    <w:abstractNumId w:val="7"/>
  </w:num>
  <w:num w:numId="4">
    <w:abstractNumId w:val="24"/>
  </w:num>
  <w:num w:numId="5">
    <w:abstractNumId w:val="15"/>
  </w:num>
  <w:num w:numId="6">
    <w:abstractNumId w:val="2"/>
  </w:num>
  <w:num w:numId="7">
    <w:abstractNumId w:val="14"/>
  </w:num>
  <w:num w:numId="8">
    <w:abstractNumId w:val="12"/>
  </w:num>
  <w:num w:numId="9">
    <w:abstractNumId w:val="9"/>
  </w:num>
  <w:num w:numId="10">
    <w:abstractNumId w:val="0"/>
  </w:num>
  <w:num w:numId="11">
    <w:abstractNumId w:val="6"/>
  </w:num>
  <w:num w:numId="12">
    <w:abstractNumId w:val="21"/>
  </w:num>
  <w:num w:numId="13">
    <w:abstractNumId w:val="19"/>
  </w:num>
  <w:num w:numId="14">
    <w:abstractNumId w:val="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7"/>
  </w:num>
  <w:num w:numId="18">
    <w:abstractNumId w:val="20"/>
  </w:num>
  <w:num w:numId="19">
    <w:abstractNumId w:val="3"/>
  </w:num>
  <w:num w:numId="20">
    <w:abstractNumId w:val="10"/>
  </w:num>
  <w:num w:numId="21">
    <w:abstractNumId w:val="11"/>
  </w:num>
  <w:num w:numId="22">
    <w:abstractNumId w:val="13"/>
  </w:num>
  <w:num w:numId="23">
    <w:abstractNumId w:val="16"/>
  </w:num>
  <w:num w:numId="24">
    <w:abstractNumId w:val="22"/>
  </w:num>
  <w:num w:numId="25">
    <w:abstractNumId w:val="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91"/>
    <w:rsid w:val="0005401C"/>
    <w:rsid w:val="000C3DCD"/>
    <w:rsid w:val="000F0359"/>
    <w:rsid w:val="000F4768"/>
    <w:rsid w:val="00163B17"/>
    <w:rsid w:val="00165F17"/>
    <w:rsid w:val="00172934"/>
    <w:rsid w:val="00355213"/>
    <w:rsid w:val="00386763"/>
    <w:rsid w:val="00462DF3"/>
    <w:rsid w:val="004B1AFA"/>
    <w:rsid w:val="004F4300"/>
    <w:rsid w:val="00570686"/>
    <w:rsid w:val="005B2288"/>
    <w:rsid w:val="005D7393"/>
    <w:rsid w:val="00717AE6"/>
    <w:rsid w:val="00746947"/>
    <w:rsid w:val="007B3894"/>
    <w:rsid w:val="008874A6"/>
    <w:rsid w:val="008B1534"/>
    <w:rsid w:val="00905D0F"/>
    <w:rsid w:val="00A55433"/>
    <w:rsid w:val="00A70680"/>
    <w:rsid w:val="00BD7879"/>
    <w:rsid w:val="00BE0EA2"/>
    <w:rsid w:val="00C3665E"/>
    <w:rsid w:val="00CE130B"/>
    <w:rsid w:val="00DF02A5"/>
    <w:rsid w:val="00F01621"/>
    <w:rsid w:val="00F041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5D7277D-01CE-4C83-B13E-CBF51CFD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191"/>
  </w:style>
  <w:style w:type="paragraph" w:styleId="Ttulo1">
    <w:name w:val="heading 1"/>
    <w:basedOn w:val="Normal"/>
    <w:next w:val="Normal"/>
    <w:link w:val="Ttulo1Car"/>
    <w:uiPriority w:val="9"/>
    <w:qFormat/>
    <w:rsid w:val="00F0419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F0419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4191"/>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F04191"/>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F04191"/>
    <w:pPr>
      <w:tabs>
        <w:tab w:val="center" w:pos="4419"/>
        <w:tab w:val="right" w:pos="8838"/>
      </w:tabs>
      <w:spacing w:after="0" w:line="240" w:lineRule="auto"/>
    </w:pPr>
    <w:rPr>
      <w:rFonts w:eastAsiaTheme="minorEastAsia"/>
      <w:sz w:val="24"/>
      <w:szCs w:val="24"/>
      <w:lang w:val="es-ES_tradnl" w:eastAsia="es-ES"/>
    </w:rPr>
  </w:style>
  <w:style w:type="character" w:customStyle="1" w:styleId="EncabezadoCar">
    <w:name w:val="Encabezado Car"/>
    <w:basedOn w:val="Fuentedeprrafopredeter"/>
    <w:link w:val="Encabezado"/>
    <w:uiPriority w:val="99"/>
    <w:rsid w:val="00F04191"/>
    <w:rPr>
      <w:rFonts w:eastAsiaTheme="minorEastAsia"/>
      <w:sz w:val="24"/>
      <w:szCs w:val="24"/>
      <w:lang w:val="es-ES_tradnl" w:eastAsia="es-ES"/>
    </w:rPr>
  </w:style>
  <w:style w:type="paragraph" w:styleId="Piedepgina">
    <w:name w:val="footer"/>
    <w:basedOn w:val="Normal"/>
    <w:link w:val="PiedepginaCar"/>
    <w:uiPriority w:val="99"/>
    <w:unhideWhenUsed/>
    <w:rsid w:val="00F04191"/>
    <w:pPr>
      <w:tabs>
        <w:tab w:val="center" w:pos="4419"/>
        <w:tab w:val="right" w:pos="8838"/>
      </w:tabs>
      <w:spacing w:after="0" w:line="240" w:lineRule="auto"/>
    </w:pPr>
    <w:rPr>
      <w:rFonts w:eastAsiaTheme="minorEastAsia"/>
      <w:sz w:val="24"/>
      <w:szCs w:val="24"/>
      <w:lang w:val="es-ES_tradnl" w:eastAsia="es-ES"/>
    </w:rPr>
  </w:style>
  <w:style w:type="character" w:customStyle="1" w:styleId="PiedepginaCar">
    <w:name w:val="Pie de página Car"/>
    <w:basedOn w:val="Fuentedeprrafopredeter"/>
    <w:link w:val="Piedepgina"/>
    <w:uiPriority w:val="99"/>
    <w:rsid w:val="00F04191"/>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04191"/>
    <w:pPr>
      <w:spacing w:after="0" w:line="240" w:lineRule="auto"/>
      <w:ind w:left="720"/>
      <w:contextualSpacing/>
    </w:pPr>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04191"/>
    <w:rPr>
      <w:rFonts w:eastAsiaTheme="minorEastAsia"/>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F04191"/>
    <w:rPr>
      <w:color w:val="0563C1" w:themeColor="hyperlink"/>
      <w:u w:val="single"/>
    </w:rPr>
  </w:style>
  <w:style w:type="paragraph" w:styleId="Sinespaciado">
    <w:name w:val="No Spacing"/>
    <w:aliases w:val="Francesa,INAI"/>
    <w:link w:val="SinespaciadoCar"/>
    <w:uiPriority w:val="1"/>
    <w:qFormat/>
    <w:rsid w:val="00F04191"/>
    <w:pPr>
      <w:spacing w:after="0" w:line="240" w:lineRule="auto"/>
    </w:pPr>
  </w:style>
  <w:style w:type="character" w:customStyle="1" w:styleId="SinespaciadoCar">
    <w:name w:val="Sin espaciado Car"/>
    <w:aliases w:val="Francesa Car,INAI Car"/>
    <w:link w:val="Sinespaciado"/>
    <w:uiPriority w:val="1"/>
    <w:qFormat/>
    <w:locked/>
    <w:rsid w:val="00F04191"/>
  </w:style>
  <w:style w:type="paragraph" w:styleId="Listaconvietas2">
    <w:name w:val="List Bullet 2"/>
    <w:basedOn w:val="Normal"/>
    <w:uiPriority w:val="99"/>
    <w:unhideWhenUsed/>
    <w:qFormat/>
    <w:rsid w:val="00F04191"/>
    <w:pPr>
      <w:numPr>
        <w:numId w:val="5"/>
      </w:numPr>
      <w:spacing w:after="0" w:line="240" w:lineRule="auto"/>
      <w:contextualSpacing/>
    </w:pPr>
    <w:rPr>
      <w:rFonts w:ascii="Times New Roman" w:eastAsia="Times New Roman" w:hAnsi="Times New Roman" w:cs="Times New Roman"/>
      <w:sz w:val="20"/>
      <w:szCs w:val="20"/>
      <w:lang w:eastAsia="es-MX"/>
    </w:rPr>
  </w:style>
  <w:style w:type="table" w:styleId="Tablaconcuadrcula">
    <w:name w:val="Table Grid"/>
    <w:basedOn w:val="Tablanormal"/>
    <w:uiPriority w:val="39"/>
    <w:rsid w:val="00F04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F0419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04191"/>
    <w:pPr>
      <w:spacing w:after="0" w:line="240" w:lineRule="auto"/>
    </w:pPr>
    <w:rPr>
      <w:sz w:val="20"/>
      <w:szCs w:val="20"/>
    </w:rPr>
  </w:style>
  <w:style w:type="character" w:customStyle="1" w:styleId="TextonotapieCar1">
    <w:name w:val="Texto nota pie Car1"/>
    <w:basedOn w:val="Fuentedeprrafopredeter"/>
    <w:uiPriority w:val="99"/>
    <w:semiHidden/>
    <w:rsid w:val="00F04191"/>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F04191"/>
    <w:rPr>
      <w:vertAlign w:val="superscript"/>
    </w:rPr>
  </w:style>
  <w:style w:type="paragraph" w:customStyle="1" w:styleId="Default">
    <w:name w:val="Default"/>
    <w:rsid w:val="00C366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28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43</Pages>
  <Words>10629</Words>
  <Characters>58460</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68952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10</cp:revision>
  <cp:lastPrinted>2026-03-06T19:28:00Z</cp:lastPrinted>
  <dcterms:created xsi:type="dcterms:W3CDTF">2026-03-03T18:15:00Z</dcterms:created>
  <dcterms:modified xsi:type="dcterms:W3CDTF">2026-03-13T20:15:00Z</dcterms:modified>
</cp:coreProperties>
</file>