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EDA" w:rsidRPr="00D134CE" w:rsidRDefault="00C81811" w:rsidP="004C1116">
      <w:pPr>
        <w:tabs>
          <w:tab w:val="left" w:pos="3465"/>
        </w:tabs>
        <w:spacing w:line="360" w:lineRule="auto"/>
        <w:ind w:right="49"/>
        <w:jc w:val="both"/>
        <w:rPr>
          <w:rFonts w:ascii="Palatino Linotype" w:eastAsia="Palatino Linotype" w:hAnsi="Palatino Linotype" w:cs="Palatino Linotype"/>
          <w:b/>
        </w:rPr>
      </w:pPr>
      <w:bookmarkStart w:id="0" w:name="_GoBack"/>
      <w:bookmarkEnd w:id="0"/>
      <w:r w:rsidRPr="00D134CE">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D134CE">
        <w:rPr>
          <w:rFonts w:ascii="Palatino Linotype" w:eastAsia="Palatino Linotype" w:hAnsi="Palatino Linotype" w:cs="Palatino Linotype"/>
          <w:b/>
        </w:rPr>
        <w:t xml:space="preserve">de fecha </w:t>
      </w:r>
      <w:r w:rsidR="00EB7062" w:rsidRPr="00D134CE">
        <w:rPr>
          <w:rFonts w:ascii="Palatino Linotype" w:eastAsia="Palatino Linotype" w:hAnsi="Palatino Linotype" w:cs="Palatino Linotype"/>
          <w:b/>
        </w:rPr>
        <w:t>veinticinco</w:t>
      </w:r>
      <w:r w:rsidRPr="00D134CE">
        <w:rPr>
          <w:rFonts w:ascii="Palatino Linotype" w:eastAsia="Palatino Linotype" w:hAnsi="Palatino Linotype" w:cs="Palatino Linotype"/>
          <w:b/>
        </w:rPr>
        <w:t xml:space="preserve"> </w:t>
      </w:r>
      <w:r w:rsidR="00D134CE" w:rsidRPr="00D134CE">
        <w:rPr>
          <w:rFonts w:ascii="Palatino Linotype" w:eastAsia="Palatino Linotype" w:hAnsi="Palatino Linotype" w:cs="Palatino Linotype"/>
          <w:b/>
        </w:rPr>
        <w:t xml:space="preserve">(25) </w:t>
      </w:r>
      <w:r w:rsidRPr="00D134CE">
        <w:rPr>
          <w:rFonts w:ascii="Palatino Linotype" w:eastAsia="Palatino Linotype" w:hAnsi="Palatino Linotype" w:cs="Palatino Linotype"/>
          <w:b/>
        </w:rPr>
        <w:t>de febrero de dos mil veintiséis.</w:t>
      </w:r>
    </w:p>
    <w:p w:rsidR="00144EDA" w:rsidRPr="00D134CE" w:rsidRDefault="00144EDA" w:rsidP="004C1116">
      <w:pPr>
        <w:tabs>
          <w:tab w:val="left" w:pos="3465"/>
        </w:tabs>
        <w:spacing w:line="360" w:lineRule="auto"/>
        <w:ind w:right="49"/>
        <w:jc w:val="both"/>
        <w:rPr>
          <w:rFonts w:ascii="Palatino Linotype" w:eastAsia="Palatino Linotype" w:hAnsi="Palatino Linotype" w:cs="Palatino Linotype"/>
        </w:rPr>
      </w:pPr>
    </w:p>
    <w:p w:rsidR="00144EDA" w:rsidRDefault="00C81811" w:rsidP="004C1116">
      <w:pPr>
        <w:autoSpaceDE w:val="0"/>
        <w:autoSpaceDN w:val="0"/>
        <w:adjustRightInd w:val="0"/>
        <w:spacing w:line="360" w:lineRule="auto"/>
        <w:jc w:val="both"/>
        <w:rPr>
          <w:rFonts w:ascii="Palatino Linotype" w:eastAsia="Palatino Linotype" w:hAnsi="Palatino Linotype" w:cs="Palatino Linotype"/>
        </w:rPr>
      </w:pPr>
      <w:r w:rsidRPr="00D134CE">
        <w:rPr>
          <w:rFonts w:ascii="Palatino Linotype" w:eastAsia="Palatino Linotype" w:hAnsi="Palatino Linotype" w:cs="Palatino Linotype"/>
          <w:b/>
          <w:bCs/>
        </w:rPr>
        <w:t xml:space="preserve">VISTAS </w:t>
      </w:r>
      <w:r w:rsidRPr="00D134CE">
        <w:rPr>
          <w:rFonts w:ascii="Palatino Linotype" w:eastAsia="Palatino Linotype" w:hAnsi="Palatino Linotype" w:cs="Palatino Linotype"/>
        </w:rPr>
        <w:t xml:space="preserve">las constancias para resolver el Recurso de Revisión </w:t>
      </w:r>
      <w:r w:rsidR="00530026" w:rsidRPr="00D134CE">
        <w:rPr>
          <w:rFonts w:ascii="Palatino Linotype" w:eastAsia="Palatino Linotype" w:hAnsi="Palatino Linotype" w:cs="Palatino Linotype"/>
          <w:b/>
          <w:bCs/>
        </w:rPr>
        <w:t>13303/INFOEM/IP/RR/2025</w:t>
      </w:r>
      <w:r w:rsidRPr="00D134CE">
        <w:rPr>
          <w:rFonts w:ascii="Palatino Linotype" w:eastAsia="Palatino Linotype" w:hAnsi="Palatino Linotype" w:cs="Palatino Linotype"/>
          <w:b/>
          <w:bCs/>
        </w:rPr>
        <w:t>,</w:t>
      </w:r>
      <w:r w:rsidRPr="00D134CE">
        <w:rPr>
          <w:rFonts w:ascii="Palatino Linotype" w:eastAsia="Palatino Linotype" w:hAnsi="Palatino Linotype" w:cs="Palatino Linotype"/>
        </w:rPr>
        <w:t xml:space="preserve"> presentado por </w:t>
      </w:r>
      <w:r w:rsidR="00596E44">
        <w:rPr>
          <w:rFonts w:ascii="Palatino Linotype" w:hAnsi="Palatino Linotype" w:cs="Consolas"/>
          <w:b/>
          <w:color w:val="000000"/>
          <w:lang w:val="es-MX"/>
        </w:rPr>
        <w:t>XXXX</w:t>
      </w:r>
      <w:r w:rsidRPr="00D134CE">
        <w:rPr>
          <w:rFonts w:ascii="Palatino Linotype" w:eastAsia="Palatino Linotype" w:hAnsi="Palatino Linotype" w:cs="Palatino Linotype"/>
          <w:b/>
          <w:bCs/>
        </w:rPr>
        <w:t>,</w:t>
      </w:r>
      <w:r w:rsidRPr="00D134CE">
        <w:rPr>
          <w:rFonts w:ascii="Palatino Linotype" w:eastAsia="Palatino Linotype" w:hAnsi="Palatino Linotype" w:cs="Palatino Linotype"/>
        </w:rPr>
        <w:t xml:space="preserve"> a quien en lo sucesivo se denominará como </w:t>
      </w:r>
      <w:r w:rsidRPr="00D134CE">
        <w:rPr>
          <w:rFonts w:ascii="Palatino Linotype" w:eastAsia="Palatino Linotype" w:hAnsi="Palatino Linotype" w:cs="Palatino Linotype"/>
          <w:b/>
          <w:bCs/>
        </w:rPr>
        <w:t>EL RECURRENTE</w:t>
      </w:r>
      <w:r w:rsidRPr="00D134CE">
        <w:rPr>
          <w:rFonts w:ascii="Palatino Linotype" w:eastAsia="Palatino Linotype" w:hAnsi="Palatino Linotype" w:cs="Palatino Linotype"/>
        </w:rPr>
        <w:t xml:space="preserve">, en contra de la respuesta otorgada a la Solicitud de Información </w:t>
      </w:r>
      <w:r w:rsidR="00530026" w:rsidRPr="00D134CE">
        <w:rPr>
          <w:rFonts w:ascii="Palatino Linotype" w:eastAsia="Palatino Linotype" w:hAnsi="Palatino Linotype" w:cs="Palatino Linotype"/>
          <w:b/>
          <w:bCs/>
        </w:rPr>
        <w:t>00040/IMCUFIDENICORO/IP/2025</w:t>
      </w:r>
      <w:r w:rsidRPr="00D134CE">
        <w:rPr>
          <w:rFonts w:ascii="Palatino Linotype" w:eastAsia="Palatino Linotype" w:hAnsi="Palatino Linotype" w:cs="Palatino Linotype"/>
        </w:rPr>
        <w:t xml:space="preserve">, por parte del </w:t>
      </w:r>
      <w:r w:rsidR="00530026" w:rsidRPr="00D134CE">
        <w:rPr>
          <w:rFonts w:ascii="Palatino Linotype" w:eastAsia="Palatino Linotype" w:hAnsi="Palatino Linotype" w:cs="Palatino Linotype"/>
          <w:b/>
          <w:bCs/>
        </w:rPr>
        <w:t>Instituto Municipal de Cultura Física y Deporte de Nicolás Romero</w:t>
      </w:r>
      <w:r w:rsidRPr="00D134CE">
        <w:rPr>
          <w:rFonts w:ascii="Palatino Linotype" w:eastAsia="Palatino Linotype" w:hAnsi="Palatino Linotype" w:cs="Palatino Linotype"/>
          <w:bCs/>
        </w:rPr>
        <w:t>,</w:t>
      </w:r>
      <w:r w:rsidRPr="00D134CE">
        <w:rPr>
          <w:rFonts w:ascii="Palatino Linotype" w:eastAsia="Palatino Linotype" w:hAnsi="Palatino Linotype" w:cs="Palatino Linotype"/>
          <w:b/>
          <w:bCs/>
        </w:rPr>
        <w:t xml:space="preserve"> </w:t>
      </w:r>
      <w:r w:rsidRPr="00D134CE">
        <w:rPr>
          <w:rFonts w:ascii="Palatino Linotype" w:eastAsia="Palatino Linotype" w:hAnsi="Palatino Linotype" w:cs="Palatino Linotype"/>
        </w:rPr>
        <w:t xml:space="preserve">en adelante </w:t>
      </w:r>
      <w:r w:rsidRPr="00D134CE">
        <w:rPr>
          <w:rFonts w:ascii="Palatino Linotype" w:eastAsia="Palatino Linotype" w:hAnsi="Palatino Linotype" w:cs="Palatino Linotype"/>
          <w:b/>
          <w:bCs/>
        </w:rPr>
        <w:t>EL SUJETO OBLIGADO,</w:t>
      </w:r>
      <w:r w:rsidR="00596E44">
        <w:rPr>
          <w:rFonts w:ascii="Palatino Linotype" w:eastAsia="Palatino Linotype" w:hAnsi="Palatino Linotype" w:cs="Palatino Linotype"/>
        </w:rPr>
        <w:t xml:space="preserve"> se emite la presente r</w:t>
      </w:r>
      <w:r w:rsidRPr="00D134CE">
        <w:rPr>
          <w:rFonts w:ascii="Palatino Linotype" w:eastAsia="Palatino Linotype" w:hAnsi="Palatino Linotype" w:cs="Palatino Linotype"/>
        </w:rPr>
        <w:t>esolución con base en los siguientes:</w:t>
      </w:r>
    </w:p>
    <w:p w:rsidR="00D134CE" w:rsidRPr="00D134CE" w:rsidRDefault="00D134CE" w:rsidP="004C1116">
      <w:pPr>
        <w:autoSpaceDE w:val="0"/>
        <w:autoSpaceDN w:val="0"/>
        <w:adjustRightInd w:val="0"/>
        <w:spacing w:line="360" w:lineRule="auto"/>
        <w:jc w:val="both"/>
        <w:rPr>
          <w:rFonts w:ascii="Palatino Linotype" w:eastAsia="Palatino Linotype" w:hAnsi="Palatino Linotype" w:cs="Palatino Linotype"/>
        </w:rPr>
      </w:pPr>
    </w:p>
    <w:p w:rsidR="00144EDA" w:rsidRPr="00D134CE" w:rsidRDefault="00C81811" w:rsidP="004C1116">
      <w:pPr>
        <w:pStyle w:val="Ttulo1"/>
        <w:spacing w:before="0" w:line="360" w:lineRule="auto"/>
        <w:ind w:right="49"/>
        <w:jc w:val="center"/>
        <w:rPr>
          <w:rFonts w:ascii="Palatino Linotype" w:eastAsia="Palatino Linotype" w:hAnsi="Palatino Linotype" w:cs="Palatino Linotype"/>
          <w:b/>
          <w:bCs/>
          <w:color w:val="000000"/>
          <w:sz w:val="24"/>
          <w:szCs w:val="24"/>
        </w:rPr>
      </w:pPr>
      <w:bookmarkStart w:id="1" w:name="_heading=h.gjdgxs" w:colFirst="0" w:colLast="0"/>
      <w:bookmarkEnd w:id="1"/>
      <w:r w:rsidRPr="00D134CE">
        <w:rPr>
          <w:rFonts w:ascii="Palatino Linotype" w:eastAsia="Palatino Linotype" w:hAnsi="Palatino Linotype" w:cs="Palatino Linotype"/>
          <w:b/>
          <w:bCs/>
          <w:color w:val="000000"/>
          <w:sz w:val="24"/>
          <w:szCs w:val="24"/>
        </w:rPr>
        <w:t>A N T E C E D E N T E S</w:t>
      </w:r>
    </w:p>
    <w:p w:rsidR="00144EDA" w:rsidRPr="00D134CE" w:rsidRDefault="00144EDA" w:rsidP="004C1116">
      <w:pPr>
        <w:pBdr>
          <w:top w:val="nil"/>
          <w:left w:val="nil"/>
          <w:bottom w:val="nil"/>
          <w:right w:val="nil"/>
          <w:between w:val="nil"/>
        </w:pBdr>
        <w:spacing w:line="360" w:lineRule="auto"/>
        <w:ind w:right="49"/>
        <w:jc w:val="both"/>
        <w:rPr>
          <w:rFonts w:ascii="Palatino Linotype" w:eastAsia="Palatino Linotype" w:hAnsi="Palatino Linotype" w:cs="Palatino Linotype"/>
          <w:b/>
          <w:bCs/>
          <w:color w:val="000000"/>
          <w:u w:val="single"/>
        </w:rPr>
      </w:pPr>
    </w:p>
    <w:p w:rsidR="00144EDA" w:rsidRPr="00D134CE" w:rsidRDefault="00C81811" w:rsidP="004C1116">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D134CE">
        <w:rPr>
          <w:rFonts w:ascii="Palatino Linotype" w:eastAsia="Palatino Linotype" w:hAnsi="Palatino Linotype" w:cs="Palatino Linotype"/>
          <w:color w:val="000000"/>
        </w:rPr>
        <w:t>El día</w:t>
      </w:r>
      <w:r w:rsidRPr="00D134CE">
        <w:rPr>
          <w:rFonts w:ascii="Palatino Linotype" w:eastAsia="Palatino Linotype" w:hAnsi="Palatino Linotype" w:cs="Palatino Linotype"/>
          <w:b/>
          <w:bCs/>
          <w:color w:val="000000"/>
        </w:rPr>
        <w:t xml:space="preserve"> </w:t>
      </w:r>
      <w:r w:rsidR="00530026" w:rsidRPr="00D134CE">
        <w:rPr>
          <w:rFonts w:ascii="Palatino Linotype" w:eastAsia="Palatino Linotype" w:hAnsi="Palatino Linotype" w:cs="Palatino Linotype"/>
          <w:b/>
          <w:bCs/>
          <w:color w:val="000000"/>
        </w:rPr>
        <w:t>seis del noviembre</w:t>
      </w:r>
      <w:r w:rsidRPr="00D134CE">
        <w:rPr>
          <w:rFonts w:ascii="Palatino Linotype" w:eastAsia="Palatino Linotype" w:hAnsi="Palatino Linotype" w:cs="Palatino Linotype"/>
          <w:b/>
          <w:bCs/>
          <w:color w:val="000000"/>
        </w:rPr>
        <w:t xml:space="preserve"> dos mil veinticinco</w:t>
      </w:r>
      <w:r w:rsidRPr="00D134CE">
        <w:rPr>
          <w:rFonts w:ascii="Palatino Linotype" w:eastAsia="Palatino Linotype" w:hAnsi="Palatino Linotype" w:cs="Palatino Linotype"/>
          <w:color w:val="000000"/>
        </w:rPr>
        <w:t>,</w:t>
      </w:r>
      <w:r w:rsidRPr="00D134CE">
        <w:rPr>
          <w:rFonts w:ascii="Palatino Linotype" w:eastAsia="Palatino Linotype" w:hAnsi="Palatino Linotype" w:cs="Palatino Linotype"/>
          <w:b/>
          <w:bCs/>
          <w:color w:val="000000"/>
        </w:rPr>
        <w:t xml:space="preserve"> </w:t>
      </w:r>
      <w:r w:rsidRPr="00D134CE">
        <w:rPr>
          <w:rFonts w:ascii="Palatino Linotype" w:eastAsia="Palatino Linotype" w:hAnsi="Palatino Linotype" w:cs="Palatino Linotype"/>
          <w:color w:val="000000"/>
        </w:rPr>
        <w:t>se presentó ante el Sujeto Obligado vía Sistema de Acceso a la Información Mexiquense, en adelante (SAIMEX), la siguiente solicitud de información pública:</w:t>
      </w:r>
    </w:p>
    <w:p w:rsidR="00144EDA" w:rsidRPr="00D134CE" w:rsidRDefault="00144EDA" w:rsidP="004C1116">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144EDA" w:rsidRDefault="00C81811" w:rsidP="004C1116">
      <w:pPr>
        <w:pBdr>
          <w:top w:val="nil"/>
          <w:left w:val="nil"/>
          <w:bottom w:val="nil"/>
          <w:right w:val="nil"/>
          <w:between w:val="nil"/>
        </w:pBdr>
        <w:spacing w:line="360" w:lineRule="auto"/>
        <w:ind w:left="426" w:right="333"/>
        <w:jc w:val="both"/>
        <w:rPr>
          <w:rFonts w:ascii="Palatino Linotype" w:eastAsia="Palatino Linotype" w:hAnsi="Palatino Linotype" w:cs="Palatino Linotype"/>
          <w:i/>
          <w:iCs/>
          <w:color w:val="000000"/>
        </w:rPr>
      </w:pPr>
      <w:r w:rsidRPr="00D134CE">
        <w:rPr>
          <w:rFonts w:ascii="Palatino Linotype" w:eastAsia="Palatino Linotype" w:hAnsi="Palatino Linotype" w:cs="Palatino Linotype"/>
          <w:i/>
          <w:iCs/>
          <w:color w:val="000000"/>
        </w:rPr>
        <w:t>“</w:t>
      </w:r>
      <w:r w:rsidR="00530026" w:rsidRPr="00D134CE">
        <w:rPr>
          <w:rFonts w:ascii="Palatino Linotype" w:hAnsi="Palatino Linotype" w:cs="Consolas"/>
          <w:i/>
          <w:color w:val="000000"/>
          <w:lang w:val="es-MX"/>
        </w:rPr>
        <w:t xml:space="preserve">Se solicita que se entregue el recibo de nómina correspondiente ala segunda quincena de octubre 2025 de todos los trabajadores que están en el Deportivo Nicolás Romero, incluyendo descripción de sus actividades y horarios laborales. Además los recursos obtenidos por la cooperativa o tienda de comida y dulces que está en ese Deportivo por mes desde enero a septiembre del 2025. A quien está a </w:t>
      </w:r>
      <w:r w:rsidR="00530026" w:rsidRPr="00D134CE">
        <w:rPr>
          <w:rFonts w:ascii="Palatino Linotype" w:eastAsia="Palatino Linotype" w:hAnsi="Palatino Linotype" w:cs="Palatino Linotype"/>
          <w:i/>
          <w:color w:val="000000"/>
        </w:rPr>
        <w:t>cargo</w:t>
      </w:r>
      <w:r w:rsidR="00530026" w:rsidRPr="00D134CE">
        <w:rPr>
          <w:rFonts w:ascii="Palatino Linotype" w:hAnsi="Palatino Linotype" w:cs="Consolas"/>
          <w:i/>
          <w:color w:val="000000"/>
          <w:lang w:val="es-MX"/>
        </w:rPr>
        <w:t xml:space="preserve"> o si tienen contrato o convenio y que ingreso oaga esa gente por semana quincena o mes al INcufide</w:t>
      </w:r>
      <w:r w:rsidRPr="00D134CE">
        <w:rPr>
          <w:rFonts w:ascii="Palatino Linotype" w:eastAsia="Palatino Linotype" w:hAnsi="Palatino Linotype" w:cs="Palatino Linotype"/>
          <w:i/>
          <w:iCs/>
          <w:color w:val="000000"/>
        </w:rPr>
        <w:t>”</w:t>
      </w:r>
    </w:p>
    <w:p w:rsidR="00596E44" w:rsidRPr="00D134CE" w:rsidRDefault="00596E44" w:rsidP="004C1116">
      <w:pPr>
        <w:pBdr>
          <w:top w:val="nil"/>
          <w:left w:val="nil"/>
          <w:bottom w:val="nil"/>
          <w:right w:val="nil"/>
          <w:between w:val="nil"/>
        </w:pBdr>
        <w:spacing w:line="360" w:lineRule="auto"/>
        <w:ind w:left="426" w:right="333"/>
        <w:jc w:val="both"/>
        <w:rPr>
          <w:rFonts w:ascii="Palatino Linotype" w:hAnsi="Palatino Linotype" w:cs="Consolas"/>
          <w:i/>
          <w:color w:val="000000"/>
          <w:lang w:val="es-MX"/>
        </w:rPr>
      </w:pPr>
    </w:p>
    <w:p w:rsidR="00144EDA" w:rsidRPr="00D134CE" w:rsidRDefault="00C81811" w:rsidP="00596E44">
      <w:pPr>
        <w:numPr>
          <w:ilvl w:val="0"/>
          <w:numId w:val="2"/>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D134CE">
        <w:rPr>
          <w:rFonts w:ascii="Palatino Linotype" w:eastAsia="Palatino Linotype" w:hAnsi="Palatino Linotype" w:cs="Palatino Linotype"/>
          <w:color w:val="000000"/>
        </w:rPr>
        <w:lastRenderedPageBreak/>
        <w:t xml:space="preserve">Se eligió como modalidad de entrega de la información: A través del </w:t>
      </w:r>
      <w:r w:rsidRPr="00D134CE">
        <w:rPr>
          <w:rFonts w:ascii="Palatino Linotype" w:eastAsia="Palatino Linotype" w:hAnsi="Palatino Linotype" w:cs="Palatino Linotype"/>
          <w:b/>
          <w:bCs/>
          <w:color w:val="000000"/>
        </w:rPr>
        <w:t>SAIMEX.</w:t>
      </w:r>
    </w:p>
    <w:p w:rsidR="00144EDA" w:rsidRPr="00D134CE" w:rsidRDefault="00144EDA" w:rsidP="004C1116">
      <w:pPr>
        <w:pBdr>
          <w:top w:val="nil"/>
          <w:left w:val="nil"/>
          <w:bottom w:val="nil"/>
          <w:right w:val="nil"/>
          <w:between w:val="nil"/>
        </w:pBdr>
        <w:tabs>
          <w:tab w:val="left" w:pos="0"/>
        </w:tabs>
        <w:spacing w:line="360" w:lineRule="auto"/>
        <w:ind w:left="709" w:right="49"/>
        <w:jc w:val="both"/>
        <w:rPr>
          <w:rFonts w:ascii="Palatino Linotype" w:eastAsia="Palatino Linotype" w:hAnsi="Palatino Linotype" w:cs="Palatino Linotype"/>
          <w:color w:val="000000"/>
        </w:rPr>
      </w:pPr>
    </w:p>
    <w:p w:rsidR="00144EDA" w:rsidRPr="00D134CE" w:rsidRDefault="00C81811" w:rsidP="004C1116">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D134CE">
        <w:rPr>
          <w:rFonts w:ascii="Palatino Linotype" w:eastAsia="Palatino Linotype" w:hAnsi="Palatino Linotype" w:cs="Palatino Linotype"/>
          <w:color w:val="000000"/>
        </w:rPr>
        <w:t xml:space="preserve">El </w:t>
      </w:r>
      <w:r w:rsidR="00530026" w:rsidRPr="00D134CE">
        <w:rPr>
          <w:rFonts w:ascii="Palatino Linotype" w:eastAsia="Palatino Linotype" w:hAnsi="Palatino Linotype" w:cs="Palatino Linotype"/>
          <w:b/>
          <w:bCs/>
          <w:color w:val="000000"/>
        </w:rPr>
        <w:t>veintisiete de noviembre</w:t>
      </w:r>
      <w:r w:rsidRPr="00D134CE">
        <w:rPr>
          <w:rFonts w:ascii="Palatino Linotype" w:eastAsia="Palatino Linotype" w:hAnsi="Palatino Linotype" w:cs="Palatino Linotype"/>
          <w:b/>
          <w:bCs/>
          <w:color w:val="000000"/>
        </w:rPr>
        <w:t xml:space="preserve"> de dos mil veinticinco</w:t>
      </w:r>
      <w:r w:rsidRPr="00D134CE">
        <w:rPr>
          <w:rFonts w:ascii="Palatino Linotype" w:eastAsia="Palatino Linotype" w:hAnsi="Palatino Linotype" w:cs="Palatino Linotype"/>
          <w:color w:val="000000"/>
        </w:rPr>
        <w:t xml:space="preserve">, el </w:t>
      </w:r>
      <w:r w:rsidRPr="00D134CE">
        <w:rPr>
          <w:rFonts w:ascii="Palatino Linotype" w:eastAsia="Palatino Linotype" w:hAnsi="Palatino Linotype" w:cs="Palatino Linotype"/>
          <w:b/>
          <w:bCs/>
          <w:color w:val="000000"/>
        </w:rPr>
        <w:t>SUJETO OBLIGADO,</w:t>
      </w:r>
      <w:r w:rsidRPr="00D134CE">
        <w:rPr>
          <w:rFonts w:ascii="Palatino Linotype" w:eastAsia="Palatino Linotype" w:hAnsi="Palatino Linotype" w:cs="Palatino Linotype"/>
          <w:color w:val="000000"/>
        </w:rPr>
        <w:t xml:space="preserve"> dio respuesta a través del a través del archivo denominado </w:t>
      </w:r>
      <w:r w:rsidR="00530026" w:rsidRPr="00D134CE">
        <w:rPr>
          <w:rFonts w:ascii="Palatino Linotype" w:eastAsia="Palatino Linotype" w:hAnsi="Palatino Linotype" w:cs="Palatino Linotype"/>
          <w:b/>
          <w:bCs/>
          <w:i/>
          <w:iCs/>
          <w:color w:val="000000"/>
        </w:rPr>
        <w:t>Contestación a solicitud 00040IMCUFIDENICOROIP2025.pdf</w:t>
      </w:r>
      <w:r w:rsidRPr="00D134CE">
        <w:rPr>
          <w:rFonts w:ascii="Palatino Linotype" w:eastAsia="Palatino Linotype" w:hAnsi="Palatino Linotype" w:cs="Palatino Linotype"/>
          <w:color w:val="000000"/>
        </w:rPr>
        <w:t xml:space="preserve">, oficio suscrito </w:t>
      </w:r>
      <w:r w:rsidR="00BF1E85" w:rsidRPr="00D134CE">
        <w:rPr>
          <w:rFonts w:ascii="Palatino Linotype" w:eastAsia="Palatino Linotype" w:hAnsi="Palatino Linotype" w:cs="Palatino Linotype"/>
          <w:color w:val="000000"/>
        </w:rPr>
        <w:t>el Titular de Control y Seguimiento del Instituto Municipal de Cultura Física y Deporte de Nicolás Romero, a través del cual informa que la Unidad Deportiva denominada "Nicolás Romero" cuenta con 2 servidores públicos habilitados, informando de sus actividades y horarios y sus recibos de pago correspondientes a la segunda quincena de octubre de dos mil veinticinco. Por otro lado manifiesta que del espacio utilizado como tienda, no cuenta con ingresos por concepto de uso de bienes inmuebles, por contar con autorización a título gratuito</w:t>
      </w:r>
      <w:r w:rsidRPr="00D134CE">
        <w:rPr>
          <w:rFonts w:ascii="Palatino Linotype" w:eastAsia="Palatino Linotype" w:hAnsi="Palatino Linotype" w:cs="Palatino Linotype"/>
          <w:color w:val="000000"/>
        </w:rPr>
        <w:t>.</w:t>
      </w:r>
    </w:p>
    <w:p w:rsidR="00144EDA" w:rsidRPr="00D134CE" w:rsidRDefault="00144EDA" w:rsidP="004C1116">
      <w:pPr>
        <w:pBdr>
          <w:top w:val="nil"/>
          <w:left w:val="nil"/>
          <w:bottom w:val="nil"/>
          <w:right w:val="nil"/>
          <w:between w:val="nil"/>
        </w:pBdr>
        <w:tabs>
          <w:tab w:val="left" w:pos="0"/>
        </w:tabs>
        <w:spacing w:line="360" w:lineRule="auto"/>
        <w:ind w:left="502" w:right="49"/>
        <w:jc w:val="both"/>
        <w:rPr>
          <w:rFonts w:ascii="Palatino Linotype" w:eastAsia="Palatino Linotype" w:hAnsi="Palatino Linotype" w:cs="Palatino Linotype"/>
          <w:color w:val="000000"/>
        </w:rPr>
      </w:pPr>
    </w:p>
    <w:p w:rsidR="00144EDA" w:rsidRPr="00D134CE" w:rsidRDefault="00C81811" w:rsidP="004C1116">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D134CE">
        <w:rPr>
          <w:rFonts w:ascii="Palatino Linotype" w:eastAsia="Palatino Linotype" w:hAnsi="Palatino Linotype" w:cs="Palatino Linotype"/>
          <w:color w:val="000000"/>
        </w:rPr>
        <w:t>El</w:t>
      </w:r>
      <w:r w:rsidRPr="00D134CE">
        <w:rPr>
          <w:rFonts w:ascii="Palatino Linotype" w:eastAsia="Palatino Linotype" w:hAnsi="Palatino Linotype" w:cs="Palatino Linotype"/>
          <w:b/>
          <w:bCs/>
          <w:color w:val="000000"/>
        </w:rPr>
        <w:t xml:space="preserve"> </w:t>
      </w:r>
      <w:r w:rsidR="00BF1E85" w:rsidRPr="00D134CE">
        <w:rPr>
          <w:rFonts w:ascii="Palatino Linotype" w:eastAsia="Palatino Linotype" w:hAnsi="Palatino Linotype" w:cs="Palatino Linotype"/>
          <w:b/>
          <w:bCs/>
          <w:color w:val="000000"/>
        </w:rPr>
        <w:t>veintiocho de noviembre</w:t>
      </w:r>
      <w:r w:rsidRPr="00D134CE">
        <w:rPr>
          <w:rFonts w:ascii="Palatino Linotype" w:eastAsia="Palatino Linotype" w:hAnsi="Palatino Linotype" w:cs="Palatino Linotype"/>
          <w:b/>
          <w:bCs/>
          <w:color w:val="000000"/>
        </w:rPr>
        <w:t xml:space="preserve"> dos mil veinticinco</w:t>
      </w:r>
      <w:r w:rsidRPr="00D134CE">
        <w:rPr>
          <w:rFonts w:ascii="Palatino Linotype" w:eastAsia="Palatino Linotype" w:hAnsi="Palatino Linotype" w:cs="Palatino Linotype"/>
          <w:color w:val="000000"/>
        </w:rPr>
        <w:t>, el particular interpuso el recurso de revisión en contra de la respuesta, realizando las siguientes manifestaciones:</w:t>
      </w:r>
    </w:p>
    <w:p w:rsidR="00144EDA" w:rsidRPr="00D134CE" w:rsidRDefault="00144EDA" w:rsidP="004C1116">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color w:val="000000"/>
        </w:rPr>
      </w:pPr>
    </w:p>
    <w:p w:rsidR="00596E44" w:rsidRPr="00596E44" w:rsidRDefault="00C81811" w:rsidP="00596E44">
      <w:pPr>
        <w:numPr>
          <w:ilvl w:val="0"/>
          <w:numId w:val="6"/>
        </w:numPr>
        <w:pBdr>
          <w:top w:val="nil"/>
          <w:left w:val="nil"/>
          <w:bottom w:val="nil"/>
          <w:right w:val="nil"/>
          <w:between w:val="nil"/>
        </w:pBdr>
        <w:spacing w:line="360" w:lineRule="auto"/>
        <w:ind w:right="474"/>
        <w:jc w:val="both"/>
        <w:rPr>
          <w:rFonts w:ascii="Palatino Linotype" w:eastAsia="Palatino Linotype" w:hAnsi="Palatino Linotype" w:cs="Palatino Linotype"/>
          <w:i/>
          <w:iCs/>
          <w:color w:val="000000"/>
        </w:rPr>
      </w:pPr>
      <w:bookmarkStart w:id="2" w:name="_heading=h.30j0zll" w:colFirst="0" w:colLast="0"/>
      <w:bookmarkEnd w:id="2"/>
      <w:r w:rsidRPr="00D134CE">
        <w:rPr>
          <w:rFonts w:ascii="Palatino Linotype" w:eastAsia="Palatino Linotype" w:hAnsi="Palatino Linotype" w:cs="Palatino Linotype"/>
          <w:b/>
          <w:bCs/>
          <w:color w:val="000000"/>
        </w:rPr>
        <w:t xml:space="preserve">ACTO IMPUGNADO: </w:t>
      </w:r>
      <w:r w:rsidRPr="00D134CE">
        <w:rPr>
          <w:rFonts w:ascii="Palatino Linotype" w:eastAsia="Palatino Linotype" w:hAnsi="Palatino Linotype" w:cs="Palatino Linotype"/>
          <w:i/>
          <w:iCs/>
          <w:color w:val="000000"/>
        </w:rPr>
        <w:t>“</w:t>
      </w:r>
      <w:r w:rsidR="00BF1E85" w:rsidRPr="00D134CE">
        <w:rPr>
          <w:rFonts w:ascii="Palatino Linotype" w:eastAsia="Palatino Linotype" w:hAnsi="Palatino Linotype" w:cs="Palatino Linotype"/>
          <w:i/>
          <w:iCs/>
          <w:color w:val="000000"/>
        </w:rPr>
        <w:t>Información incompleta y carece de validez fiscal</w:t>
      </w:r>
      <w:r w:rsidRPr="00D134CE">
        <w:rPr>
          <w:rFonts w:ascii="Palatino Linotype" w:eastAsia="Palatino Linotype" w:hAnsi="Palatino Linotype" w:cs="Palatino Linotype"/>
          <w:i/>
          <w:iCs/>
          <w:color w:val="000000"/>
        </w:rPr>
        <w:t>”</w:t>
      </w:r>
    </w:p>
    <w:p w:rsidR="00144EDA" w:rsidRPr="00D134CE" w:rsidRDefault="00C81811" w:rsidP="004C1116">
      <w:pPr>
        <w:numPr>
          <w:ilvl w:val="0"/>
          <w:numId w:val="6"/>
        </w:numPr>
        <w:pBdr>
          <w:top w:val="nil"/>
          <w:left w:val="nil"/>
          <w:bottom w:val="nil"/>
          <w:right w:val="nil"/>
          <w:between w:val="nil"/>
        </w:pBdr>
        <w:spacing w:line="360" w:lineRule="auto"/>
        <w:ind w:right="474"/>
        <w:jc w:val="both"/>
        <w:rPr>
          <w:rFonts w:ascii="Palatino Linotype" w:eastAsia="Palatino Linotype" w:hAnsi="Palatino Linotype" w:cs="Palatino Linotype"/>
          <w:i/>
          <w:iCs/>
          <w:color w:val="000000"/>
        </w:rPr>
      </w:pPr>
      <w:r w:rsidRPr="00D134CE">
        <w:rPr>
          <w:rFonts w:ascii="Palatino Linotype" w:eastAsia="Palatino Linotype" w:hAnsi="Palatino Linotype" w:cs="Palatino Linotype"/>
          <w:b/>
          <w:bCs/>
          <w:color w:val="000000"/>
        </w:rPr>
        <w:t xml:space="preserve">RAZONES O MOTIVOS DE LA INCONFORMIDAD: </w:t>
      </w:r>
      <w:r w:rsidRPr="00D134CE">
        <w:rPr>
          <w:rFonts w:ascii="Palatino Linotype" w:eastAsia="Palatino Linotype" w:hAnsi="Palatino Linotype" w:cs="Palatino Linotype"/>
          <w:i/>
          <w:iCs/>
          <w:color w:val="000000"/>
        </w:rPr>
        <w:t>“</w:t>
      </w:r>
      <w:r w:rsidR="00BF1E85" w:rsidRPr="00D134CE">
        <w:rPr>
          <w:rFonts w:ascii="Palatino Linotype" w:eastAsia="Palatino Linotype" w:hAnsi="Palatino Linotype" w:cs="Palatino Linotype"/>
          <w:i/>
          <w:iCs/>
          <w:color w:val="000000"/>
        </w:rPr>
        <w:t>El Deportivo presentó 2 seudónimos recibos los cuales carecen de la formalidad de ser fiscales ya que no se acredita con folios de seguridad emitidos por el Sat . También habla de que la cooperativa es prestada a título gratuito pero no presenta documento alguno que avale dicha circunstancia lo cual desencadena una evacion fiscal al no pagar el ciudadano que la tiene a cargo los impuestos. Sitcuain que pido se anexe la declaración fiscal del sujeto que se beneficia por ese préstamo de instalaciones a título gratuito para vender productos</w:t>
      </w:r>
      <w:r w:rsidRPr="00D134CE">
        <w:rPr>
          <w:rFonts w:ascii="Palatino Linotype" w:eastAsia="Palatino Linotype" w:hAnsi="Palatino Linotype" w:cs="Palatino Linotype"/>
          <w:i/>
          <w:iCs/>
          <w:color w:val="000000"/>
        </w:rPr>
        <w:t>”</w:t>
      </w:r>
      <w:r w:rsidR="00BF1E85" w:rsidRPr="00D134CE">
        <w:rPr>
          <w:rFonts w:ascii="Palatino Linotype" w:eastAsia="Palatino Linotype" w:hAnsi="Palatino Linotype" w:cs="Palatino Linotype"/>
          <w:i/>
          <w:iCs/>
          <w:color w:val="000000"/>
        </w:rPr>
        <w:t xml:space="preserve"> </w:t>
      </w:r>
      <w:r w:rsidR="00BF1E85" w:rsidRPr="00D134CE">
        <w:rPr>
          <w:rFonts w:ascii="Palatino Linotype" w:eastAsia="Palatino Linotype" w:hAnsi="Palatino Linotype" w:cs="Palatino Linotype"/>
          <w:iCs/>
          <w:color w:val="000000"/>
        </w:rPr>
        <w:t>(Sic)</w:t>
      </w:r>
    </w:p>
    <w:p w:rsidR="00144EDA" w:rsidRPr="00D134CE" w:rsidRDefault="00C81811" w:rsidP="004C111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D134CE">
        <w:rPr>
          <w:rFonts w:ascii="Palatino Linotype" w:eastAsia="Palatino Linotype" w:hAnsi="Palatino Linotype" w:cs="Palatino Linotype"/>
          <w:color w:val="000000"/>
        </w:rPr>
        <w:lastRenderedPageBreak/>
        <w:t xml:space="preserve">Con fundamento en lo dispuesto por el artículo 185 fracción II de la ley de la materia, se acordó a las partes a efecto de que en un plazo máximo de siete días, el Recurrente </w:t>
      </w:r>
      <w:r w:rsidRPr="00D134CE">
        <w:rPr>
          <w:rFonts w:ascii="Palatino Linotype" w:eastAsia="Palatino Linotype" w:hAnsi="Palatino Linotype" w:cs="Palatino Linotype"/>
        </w:rPr>
        <w:t>manifestara</w:t>
      </w:r>
      <w:r w:rsidRPr="00D134CE">
        <w:rPr>
          <w:rFonts w:ascii="Palatino Linotype" w:eastAsia="Palatino Linotype" w:hAnsi="Palatino Linotype" w:cs="Palatino Linotype"/>
          <w:color w:val="000000"/>
        </w:rPr>
        <w:t xml:space="preserve"> lo que a su derecho conviniera, </w:t>
      </w:r>
      <w:r w:rsidRPr="00D134CE">
        <w:rPr>
          <w:rFonts w:ascii="Palatino Linotype" w:eastAsia="Palatino Linotype" w:hAnsi="Palatino Linotype" w:cs="Palatino Linotype"/>
        </w:rPr>
        <w:t>ofreciera</w:t>
      </w:r>
      <w:r w:rsidRPr="00D134CE">
        <w:rPr>
          <w:rFonts w:ascii="Palatino Linotype" w:eastAsia="Palatino Linotype" w:hAnsi="Palatino Linotype" w:cs="Palatino Linotype"/>
          <w:color w:val="000000"/>
        </w:rPr>
        <w:t xml:space="preserve"> pruebas y alegatos, y el Sujeto Obligado presentará el Informe Justificado. </w:t>
      </w:r>
    </w:p>
    <w:p w:rsidR="00144EDA" w:rsidRPr="00D134CE" w:rsidRDefault="00144EDA" w:rsidP="004C1116">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144EDA" w:rsidRPr="00D134CE" w:rsidRDefault="00C81811" w:rsidP="004C111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D134CE">
        <w:rPr>
          <w:rFonts w:ascii="Palatino Linotype" w:eastAsia="Palatino Linotype" w:hAnsi="Palatino Linotype" w:cs="Palatino Linotype"/>
          <w:color w:val="000000"/>
        </w:rPr>
        <w:t xml:space="preserve">El </w:t>
      </w:r>
      <w:r w:rsidRPr="00D134CE">
        <w:rPr>
          <w:rFonts w:ascii="Palatino Linotype" w:eastAsia="Palatino Linotype" w:hAnsi="Palatino Linotype" w:cs="Palatino Linotype"/>
          <w:b/>
          <w:bCs/>
          <w:color w:val="000000"/>
        </w:rPr>
        <w:t>SUJETO OBLIGADO</w:t>
      </w:r>
      <w:r w:rsidRPr="00D134CE">
        <w:rPr>
          <w:rFonts w:ascii="Palatino Linotype" w:eastAsia="Palatino Linotype" w:hAnsi="Palatino Linotype" w:cs="Palatino Linotype"/>
          <w:color w:val="000000"/>
        </w:rPr>
        <w:t xml:space="preserve"> en fecha </w:t>
      </w:r>
      <w:r w:rsidR="00BF1E85" w:rsidRPr="00D134CE">
        <w:rPr>
          <w:rFonts w:ascii="Palatino Linotype" w:eastAsia="Palatino Linotype" w:hAnsi="Palatino Linotype" w:cs="Palatino Linotype"/>
          <w:b/>
          <w:bCs/>
          <w:color w:val="000000"/>
        </w:rPr>
        <w:t>doce de diciembre</w:t>
      </w:r>
      <w:r w:rsidRPr="00D134CE">
        <w:rPr>
          <w:rFonts w:ascii="Palatino Linotype" w:eastAsia="Palatino Linotype" w:hAnsi="Palatino Linotype" w:cs="Palatino Linotype"/>
          <w:b/>
          <w:bCs/>
          <w:color w:val="000000"/>
        </w:rPr>
        <w:t xml:space="preserve"> de dos mil veinticinco</w:t>
      </w:r>
      <w:r w:rsidRPr="00D134CE">
        <w:rPr>
          <w:rFonts w:ascii="Palatino Linotype" w:eastAsia="Palatino Linotype" w:hAnsi="Palatino Linotype" w:cs="Palatino Linotype"/>
          <w:color w:val="000000"/>
        </w:rPr>
        <w:t xml:space="preserve">, rindió informe justificado </w:t>
      </w:r>
      <w:r w:rsidR="00BF1E85" w:rsidRPr="00D134CE">
        <w:rPr>
          <w:rFonts w:ascii="Palatino Linotype" w:eastAsia="Palatino Linotype" w:hAnsi="Palatino Linotype" w:cs="Palatino Linotype"/>
          <w:color w:val="000000"/>
        </w:rPr>
        <w:t>mediante el archivo denominado</w:t>
      </w:r>
      <w:r w:rsidRPr="00D134CE">
        <w:rPr>
          <w:rFonts w:ascii="Palatino Linotype" w:eastAsia="Palatino Linotype" w:hAnsi="Palatino Linotype" w:cs="Palatino Linotype"/>
          <w:color w:val="000000"/>
        </w:rPr>
        <w:t xml:space="preserve"> </w:t>
      </w:r>
      <w:r w:rsidR="00BF1E85" w:rsidRPr="00D134CE">
        <w:rPr>
          <w:rFonts w:ascii="Palatino Linotype" w:eastAsia="Palatino Linotype" w:hAnsi="Palatino Linotype" w:cs="Palatino Linotype"/>
          <w:b/>
          <w:bCs/>
          <w:i/>
          <w:iCs/>
          <w:color w:val="000000"/>
        </w:rPr>
        <w:t>RESPUESTA A RECURSO DE REVISIÒN 13303.pdf</w:t>
      </w:r>
      <w:r w:rsidRPr="00D134CE">
        <w:rPr>
          <w:rFonts w:ascii="Palatino Linotype" w:eastAsia="Palatino Linotype" w:hAnsi="Palatino Linotype" w:cs="Palatino Linotype"/>
          <w:color w:val="000000"/>
        </w:rPr>
        <w:t xml:space="preserve">, </w:t>
      </w:r>
      <w:r w:rsidR="00C443F2" w:rsidRPr="00D134CE">
        <w:rPr>
          <w:rFonts w:ascii="Palatino Linotype" w:eastAsia="Palatino Linotype" w:hAnsi="Palatino Linotype" w:cs="Palatino Linotype"/>
          <w:color w:val="000000"/>
        </w:rPr>
        <w:t>mediante el cual el Titular de Control y Seguimiento del Instituto Municipal de Cultura Física y Deporte de Nicolás Romero, es competente para otorgar permisos para el uso de espacios dentro de los deportivos en términos del artículo 35 y 84 del Reglamento Interno del Instituto. Que respecto del quiosco de venta de alimentos se encuentra autorizado mediante oficio número IMCUFIDENR/DR/221/2025, el cual establece que su uso es a título gratuito, sin fines de lucro y bajo condiciones específicas de mantenimiento y orden; asimismo se anexan dos recibos de nómina de la segunda quincena del mes de octubre de dos mil veinticinco, pertenecientes a los dos servidores públicos que de manera inicial se entregaron sus recibos de pago.</w:t>
      </w:r>
    </w:p>
    <w:p w:rsidR="00144EDA" w:rsidRPr="00D134CE" w:rsidRDefault="00144EDA" w:rsidP="004C1116">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144EDA" w:rsidRPr="00D134CE" w:rsidRDefault="00C81811" w:rsidP="004C111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D134CE">
        <w:rPr>
          <w:rFonts w:ascii="Palatino Linotype" w:eastAsia="Palatino Linotype" w:hAnsi="Palatino Linotype" w:cs="Palatino Linotype"/>
          <w:color w:val="000000"/>
        </w:rPr>
        <w:t xml:space="preserve">El </w:t>
      </w:r>
      <w:r w:rsidR="00C443F2" w:rsidRPr="00D134CE">
        <w:rPr>
          <w:rFonts w:ascii="Palatino Linotype" w:eastAsia="Palatino Linotype" w:hAnsi="Palatino Linotype" w:cs="Palatino Linotype"/>
          <w:b/>
          <w:color w:val="000000"/>
        </w:rPr>
        <w:t>diecinueve</w:t>
      </w:r>
      <w:r w:rsidRPr="00D134CE">
        <w:rPr>
          <w:rFonts w:ascii="Palatino Linotype" w:eastAsia="Palatino Linotype" w:hAnsi="Palatino Linotype" w:cs="Palatino Linotype"/>
          <w:b/>
          <w:bCs/>
          <w:color w:val="000000"/>
        </w:rPr>
        <w:t xml:space="preserve"> de febrero del año en curso</w:t>
      </w:r>
      <w:r w:rsidRPr="00D134CE">
        <w:rPr>
          <w:rFonts w:ascii="Palatino Linotype" w:eastAsia="Palatino Linotype" w:hAnsi="Palatino Linotype" w:cs="Palatino Linotype"/>
          <w:color w:val="000000"/>
        </w:rPr>
        <w:t xml:space="preserve">, se amplió el término para resolver el Recurso de Revisión por un periodo de quince días hábiles adicionales al lapso ordinario. Al respecto este Organismo Garante no pasa por alto justificar, que el plazo para emitir la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 </w:t>
      </w:r>
    </w:p>
    <w:p w:rsidR="00144EDA" w:rsidRPr="00D134CE" w:rsidRDefault="00144EDA" w:rsidP="004C1116">
      <w:pPr>
        <w:pBdr>
          <w:top w:val="nil"/>
          <w:left w:val="nil"/>
          <w:bottom w:val="nil"/>
          <w:right w:val="nil"/>
          <w:between w:val="nil"/>
        </w:pBdr>
        <w:spacing w:line="360" w:lineRule="auto"/>
        <w:ind w:left="360"/>
        <w:jc w:val="both"/>
        <w:rPr>
          <w:rFonts w:ascii="Palatino Linotype" w:eastAsia="Palatino Linotype" w:hAnsi="Palatino Linotype" w:cs="Palatino Linotype"/>
        </w:rPr>
      </w:pPr>
      <w:bookmarkStart w:id="3" w:name="_heading=h.c4a064s8p7s9" w:colFirst="0" w:colLast="0"/>
      <w:bookmarkEnd w:id="3"/>
    </w:p>
    <w:p w:rsidR="00144EDA" w:rsidRPr="00D134CE" w:rsidRDefault="00C443F2" w:rsidP="004C111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color w:val="000000"/>
        </w:rPr>
      </w:pPr>
      <w:r w:rsidRPr="00D134CE">
        <w:rPr>
          <w:rFonts w:ascii="Palatino Linotype" w:eastAsia="Palatino Linotype" w:hAnsi="Palatino Linotype" w:cs="Palatino Linotype"/>
          <w:color w:val="000000"/>
        </w:rPr>
        <w:lastRenderedPageBreak/>
        <w:t>Finalmente, e</w:t>
      </w:r>
      <w:r w:rsidR="00C81811" w:rsidRPr="00D134CE">
        <w:rPr>
          <w:rFonts w:ascii="Palatino Linotype" w:eastAsia="Palatino Linotype" w:hAnsi="Palatino Linotype" w:cs="Palatino Linotype"/>
          <w:color w:val="000000"/>
        </w:rPr>
        <w:t xml:space="preserve">n fecha </w:t>
      </w:r>
      <w:r w:rsidRPr="00D134CE">
        <w:rPr>
          <w:rFonts w:ascii="Palatino Linotype" w:eastAsia="Palatino Linotype" w:hAnsi="Palatino Linotype" w:cs="Palatino Linotype"/>
          <w:b/>
          <w:bCs/>
          <w:color w:val="000000"/>
        </w:rPr>
        <w:t xml:space="preserve">veinticinco </w:t>
      </w:r>
      <w:r w:rsidR="00C81811" w:rsidRPr="00D134CE">
        <w:rPr>
          <w:rFonts w:ascii="Palatino Linotype" w:eastAsia="Palatino Linotype" w:hAnsi="Palatino Linotype" w:cs="Palatino Linotype"/>
          <w:b/>
          <w:bCs/>
          <w:color w:val="000000"/>
        </w:rPr>
        <w:t>de febrero de dos mil veintiséis</w:t>
      </w:r>
      <w:r w:rsidR="00C81811" w:rsidRPr="00D134CE">
        <w:rPr>
          <w:rFonts w:ascii="Palatino Linotype" w:eastAsia="Palatino Linotype" w:hAnsi="Palatino Linotype" w:cs="Palatino Linotype"/>
          <w:color w:val="000000"/>
        </w:rPr>
        <w:t xml:space="preserve">, </w:t>
      </w:r>
      <w:r w:rsidR="00C81811" w:rsidRPr="00D134CE">
        <w:rPr>
          <w:rFonts w:ascii="Palatino Linotype" w:eastAsia="Palatino Linotype" w:hAnsi="Palatino Linotype" w:cs="Palatino Linotype"/>
        </w:rPr>
        <w:t xml:space="preserve">la Comisionada Ponente dictó el cierre del periodo de </w:t>
      </w:r>
      <w:r w:rsidR="00C81811" w:rsidRPr="00D134CE">
        <w:rPr>
          <w:rFonts w:ascii="Palatino Linotype" w:eastAsia="Palatino Linotype" w:hAnsi="Palatino Linotype" w:cs="Palatino Linotype"/>
          <w:color w:val="000000"/>
        </w:rPr>
        <w:t>instrucción</w:t>
      </w:r>
      <w:r w:rsidR="00C81811" w:rsidRPr="00D134CE">
        <w:rPr>
          <w:rFonts w:ascii="Palatino Linotype" w:eastAsia="Palatino Linotype" w:hAnsi="Palatino Linotype" w:cs="Palatino Linotype"/>
        </w:rPr>
        <w:t xml:space="preserve"> y, ordenó la resolución que conforme a Derecho proceda, de acuerdo a las siguientes: </w:t>
      </w:r>
    </w:p>
    <w:p w:rsidR="00144EDA" w:rsidRPr="00D134CE" w:rsidRDefault="00144EDA" w:rsidP="004C1116">
      <w:pPr>
        <w:pBdr>
          <w:top w:val="nil"/>
          <w:left w:val="nil"/>
          <w:bottom w:val="nil"/>
          <w:right w:val="nil"/>
          <w:between w:val="nil"/>
        </w:pBdr>
        <w:spacing w:line="360" w:lineRule="auto"/>
        <w:ind w:left="720"/>
        <w:jc w:val="both"/>
        <w:rPr>
          <w:rFonts w:ascii="Palatino Linotype" w:eastAsia="Palatino Linotype" w:hAnsi="Palatino Linotype" w:cs="Palatino Linotype"/>
          <w:b/>
          <w:bCs/>
          <w:color w:val="000000"/>
        </w:rPr>
      </w:pPr>
    </w:p>
    <w:p w:rsidR="00144EDA" w:rsidRPr="00D134CE" w:rsidRDefault="00C81811" w:rsidP="004C1116">
      <w:pPr>
        <w:pBdr>
          <w:top w:val="nil"/>
          <w:left w:val="nil"/>
          <w:bottom w:val="nil"/>
          <w:right w:val="nil"/>
          <w:between w:val="nil"/>
        </w:pBdr>
        <w:spacing w:line="360" w:lineRule="auto"/>
        <w:ind w:right="49"/>
        <w:jc w:val="center"/>
        <w:rPr>
          <w:rFonts w:ascii="Palatino Linotype" w:eastAsia="Palatino Linotype" w:hAnsi="Palatino Linotype" w:cs="Palatino Linotype"/>
          <w:b/>
          <w:bCs/>
          <w:color w:val="000000"/>
        </w:rPr>
      </w:pPr>
      <w:r w:rsidRPr="00D134CE">
        <w:rPr>
          <w:rFonts w:ascii="Palatino Linotype" w:eastAsia="Palatino Linotype" w:hAnsi="Palatino Linotype" w:cs="Palatino Linotype"/>
          <w:b/>
          <w:bCs/>
          <w:color w:val="000000"/>
        </w:rPr>
        <w:t>C O N S I D E R A C I O N E S</w:t>
      </w:r>
    </w:p>
    <w:p w:rsidR="00144EDA" w:rsidRPr="00D134CE" w:rsidRDefault="00144EDA" w:rsidP="004C1116">
      <w:pPr>
        <w:pBdr>
          <w:top w:val="nil"/>
          <w:left w:val="nil"/>
          <w:bottom w:val="nil"/>
          <w:right w:val="nil"/>
          <w:between w:val="nil"/>
        </w:pBdr>
        <w:spacing w:line="360" w:lineRule="auto"/>
        <w:ind w:right="49"/>
        <w:jc w:val="both"/>
        <w:rPr>
          <w:rFonts w:ascii="Palatino Linotype" w:eastAsia="Palatino Linotype" w:hAnsi="Palatino Linotype" w:cs="Palatino Linotype"/>
          <w:b/>
          <w:bCs/>
          <w:color w:val="000000"/>
        </w:rPr>
      </w:pPr>
    </w:p>
    <w:p w:rsidR="00144EDA" w:rsidRPr="00D134CE" w:rsidRDefault="00C81811" w:rsidP="004C1116">
      <w:pPr>
        <w:pStyle w:val="Ttulo2"/>
        <w:spacing w:before="0" w:line="360" w:lineRule="auto"/>
        <w:ind w:right="49"/>
        <w:jc w:val="both"/>
        <w:rPr>
          <w:rFonts w:ascii="Palatino Linotype" w:eastAsia="Palatino Linotype" w:hAnsi="Palatino Linotype" w:cs="Palatino Linotype"/>
          <w:b/>
          <w:bCs/>
          <w:color w:val="000000"/>
          <w:sz w:val="24"/>
          <w:szCs w:val="24"/>
        </w:rPr>
      </w:pPr>
      <w:bookmarkStart w:id="4" w:name="_heading=h.3znysh7" w:colFirst="0" w:colLast="0"/>
      <w:bookmarkEnd w:id="4"/>
      <w:r w:rsidRPr="00D134CE">
        <w:rPr>
          <w:rFonts w:ascii="Palatino Linotype" w:eastAsia="Palatino Linotype" w:hAnsi="Palatino Linotype" w:cs="Palatino Linotype"/>
          <w:b/>
          <w:bCs/>
          <w:color w:val="000000"/>
          <w:sz w:val="24"/>
          <w:szCs w:val="24"/>
        </w:rPr>
        <w:t>PRIMERA. Competencia</w:t>
      </w:r>
    </w:p>
    <w:p w:rsidR="00144EDA" w:rsidRPr="00D134CE" w:rsidRDefault="00C81811" w:rsidP="004C111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D134CE">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144EDA" w:rsidRPr="00D134CE" w:rsidRDefault="00144EDA" w:rsidP="004C1116">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144EDA" w:rsidRPr="00D134CE" w:rsidRDefault="00C81811" w:rsidP="004C1116">
      <w:pPr>
        <w:pStyle w:val="Ttulo2"/>
        <w:spacing w:before="0" w:line="360" w:lineRule="auto"/>
        <w:ind w:right="49"/>
        <w:jc w:val="both"/>
        <w:rPr>
          <w:rFonts w:ascii="Palatino Linotype" w:eastAsia="Palatino Linotype" w:hAnsi="Palatino Linotype" w:cs="Palatino Linotype"/>
          <w:b/>
          <w:bCs/>
          <w:color w:val="000000"/>
          <w:sz w:val="24"/>
          <w:szCs w:val="24"/>
        </w:rPr>
      </w:pPr>
      <w:bookmarkStart w:id="5" w:name="_heading=h.2et92p0" w:colFirst="0" w:colLast="0"/>
      <w:bookmarkEnd w:id="5"/>
      <w:r w:rsidRPr="00D134CE">
        <w:rPr>
          <w:rFonts w:ascii="Palatino Linotype" w:eastAsia="Palatino Linotype" w:hAnsi="Palatino Linotype" w:cs="Palatino Linotype"/>
          <w:b/>
          <w:bCs/>
          <w:color w:val="000000"/>
          <w:sz w:val="24"/>
          <w:szCs w:val="24"/>
        </w:rPr>
        <w:t>SEGUNDA. Procedencia.</w:t>
      </w:r>
    </w:p>
    <w:p w:rsidR="00144EDA" w:rsidRPr="00D134CE" w:rsidRDefault="00C81811" w:rsidP="004C111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D134CE">
        <w:rPr>
          <w:rFonts w:ascii="Palatino Linotype" w:eastAsia="Palatino Linotype" w:hAnsi="Palatino Linotype" w:cs="Palatino Linotype"/>
        </w:rPr>
        <w:t xml:space="preserve">Este Órgano Garante considera que el medio de impugnación reúne los requisitos de </w:t>
      </w:r>
      <w:r w:rsidRPr="00D134CE">
        <w:rPr>
          <w:rFonts w:ascii="Palatino Linotype" w:eastAsia="Palatino Linotype" w:hAnsi="Palatino Linotype" w:cs="Palatino Linotype"/>
          <w:color w:val="000000"/>
        </w:rPr>
        <w:t>procedencia</w:t>
      </w:r>
      <w:r w:rsidRPr="00D134CE">
        <w:rPr>
          <w:rFonts w:ascii="Palatino Linotype" w:eastAsia="Palatino Linotype" w:hAnsi="Palatino Linotype" w:cs="Palatino Linotype"/>
        </w:rPr>
        <w:t xml:space="preserve"> </w:t>
      </w:r>
      <w:r w:rsidRPr="00D134CE">
        <w:rPr>
          <w:rFonts w:ascii="Palatino Linotype" w:eastAsia="Palatino Linotype" w:hAnsi="Palatino Linotype" w:cs="Palatino Linotype"/>
          <w:color w:val="000000"/>
        </w:rPr>
        <w:t>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el Recurrente ante otra instancia.</w:t>
      </w:r>
    </w:p>
    <w:p w:rsidR="00144EDA" w:rsidRPr="00D134CE" w:rsidRDefault="00144EDA" w:rsidP="004C1116">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144EDA" w:rsidRPr="00D134CE" w:rsidRDefault="00C81811" w:rsidP="004C111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D134CE">
        <w:rPr>
          <w:rFonts w:ascii="Palatino Linotype" w:eastAsia="Palatino Linotype" w:hAnsi="Palatino Linotype" w:cs="Palatino Linotype"/>
        </w:rPr>
        <w:lastRenderedPageBreak/>
        <w:t>Finalmente, el escrito contiene las formalidades previstas por el artículo 180 último párrafo de la citada Ley de la materia, por lo que es procedente que este Instituto conozca y resuelva el presente Recurso de Revisión.</w:t>
      </w:r>
    </w:p>
    <w:p w:rsidR="00144EDA" w:rsidRPr="00D134CE" w:rsidRDefault="00144EDA" w:rsidP="004C1116">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144EDA" w:rsidRPr="00D134CE" w:rsidRDefault="00C81811" w:rsidP="004C1116">
      <w:pPr>
        <w:pStyle w:val="Ttulo1"/>
        <w:spacing w:before="0" w:line="360" w:lineRule="auto"/>
        <w:ind w:right="49"/>
        <w:jc w:val="both"/>
        <w:rPr>
          <w:rFonts w:ascii="Palatino Linotype" w:eastAsia="Palatino Linotype" w:hAnsi="Palatino Linotype" w:cs="Palatino Linotype"/>
          <w:b/>
          <w:bCs/>
          <w:color w:val="000000"/>
          <w:sz w:val="24"/>
          <w:szCs w:val="24"/>
        </w:rPr>
      </w:pPr>
      <w:bookmarkStart w:id="6" w:name="_heading=h.tyjcwt" w:colFirst="0" w:colLast="0"/>
      <w:bookmarkEnd w:id="6"/>
      <w:r w:rsidRPr="00D134CE">
        <w:rPr>
          <w:rFonts w:ascii="Palatino Linotype" w:eastAsia="Palatino Linotype" w:hAnsi="Palatino Linotype" w:cs="Palatino Linotype"/>
          <w:b/>
          <w:bCs/>
          <w:color w:val="000000"/>
          <w:sz w:val="24"/>
          <w:szCs w:val="24"/>
        </w:rPr>
        <w:t xml:space="preserve">TERCERA. Del planteamiento de la </w:t>
      </w:r>
      <w:r w:rsidRPr="00D134CE">
        <w:rPr>
          <w:rFonts w:ascii="Palatino Linotype" w:eastAsia="Palatino Linotype" w:hAnsi="Palatino Linotype" w:cs="Palatino Linotype"/>
          <w:b/>
          <w:bCs/>
          <w:i/>
          <w:iCs/>
          <w:color w:val="000000"/>
          <w:sz w:val="24"/>
          <w:szCs w:val="24"/>
        </w:rPr>
        <w:t>Litis</w:t>
      </w:r>
    </w:p>
    <w:p w:rsidR="00144EDA" w:rsidRPr="00D134CE" w:rsidRDefault="00C81811" w:rsidP="004C111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D134CE">
        <w:rPr>
          <w:rFonts w:ascii="Palatino Linotype" w:eastAsia="Palatino Linotype" w:hAnsi="Palatino Linotype" w:cs="Palatino Linotype"/>
          <w:color w:val="000000"/>
        </w:rPr>
        <w:t>Se solicitó tener acceso, a la información siguiente:</w:t>
      </w:r>
    </w:p>
    <w:p w:rsidR="00C443F2" w:rsidRPr="00D134CE" w:rsidRDefault="00C443F2" w:rsidP="004C1116">
      <w:pPr>
        <w:numPr>
          <w:ilvl w:val="0"/>
          <w:numId w:val="3"/>
        </w:numPr>
        <w:pBdr>
          <w:top w:val="nil"/>
          <w:left w:val="nil"/>
          <w:bottom w:val="nil"/>
          <w:right w:val="nil"/>
          <w:between w:val="nil"/>
        </w:pBdr>
        <w:spacing w:line="360" w:lineRule="auto"/>
        <w:ind w:right="616"/>
        <w:jc w:val="both"/>
        <w:rPr>
          <w:rFonts w:ascii="Palatino Linotype" w:eastAsia="Palatino Linotype" w:hAnsi="Palatino Linotype" w:cs="Palatino Linotype"/>
          <w:b/>
          <w:bCs/>
          <w:color w:val="000000"/>
        </w:rPr>
      </w:pPr>
      <w:r w:rsidRPr="00D134CE">
        <w:rPr>
          <w:rFonts w:ascii="Palatino Linotype" w:eastAsia="Palatino Linotype" w:hAnsi="Palatino Linotype" w:cs="Palatino Linotype"/>
          <w:color w:val="000000"/>
        </w:rPr>
        <w:t>Recibo de nómina de la segunda quincena de octubre de 2025 de los trabajadores que prestan sus servicios en el Deportivo Nicolás Romero, incluyendo descripción de sus actividades y horarios laborales;</w:t>
      </w:r>
    </w:p>
    <w:p w:rsidR="00C443F2" w:rsidRPr="00D134CE" w:rsidRDefault="00C443F2" w:rsidP="004C1116">
      <w:pPr>
        <w:numPr>
          <w:ilvl w:val="0"/>
          <w:numId w:val="3"/>
        </w:numPr>
        <w:pBdr>
          <w:top w:val="nil"/>
          <w:left w:val="nil"/>
          <w:bottom w:val="nil"/>
          <w:right w:val="nil"/>
          <w:between w:val="nil"/>
        </w:pBdr>
        <w:spacing w:line="360" w:lineRule="auto"/>
        <w:ind w:right="616"/>
        <w:jc w:val="both"/>
        <w:rPr>
          <w:rFonts w:ascii="Palatino Linotype" w:eastAsia="Palatino Linotype" w:hAnsi="Palatino Linotype" w:cs="Palatino Linotype"/>
          <w:b/>
          <w:bCs/>
          <w:color w:val="000000"/>
        </w:rPr>
      </w:pPr>
      <w:r w:rsidRPr="00D134CE">
        <w:rPr>
          <w:rFonts w:ascii="Palatino Linotype" w:eastAsia="Palatino Linotype" w:hAnsi="Palatino Linotype" w:cs="Palatino Linotype"/>
          <w:color w:val="000000"/>
        </w:rPr>
        <w:t>Los recursos obtenidos por la cooperativa o tienda de comida y dulces ubicada en el Deportivo de referencia, en los meses de enero a septiembre de 2025;</w:t>
      </w:r>
    </w:p>
    <w:p w:rsidR="00144EDA" w:rsidRPr="00D134CE" w:rsidRDefault="00C443F2" w:rsidP="004C1116">
      <w:pPr>
        <w:numPr>
          <w:ilvl w:val="0"/>
          <w:numId w:val="3"/>
        </w:numPr>
        <w:pBdr>
          <w:top w:val="nil"/>
          <w:left w:val="nil"/>
          <w:bottom w:val="nil"/>
          <w:right w:val="nil"/>
          <w:between w:val="nil"/>
        </w:pBdr>
        <w:spacing w:line="360" w:lineRule="auto"/>
        <w:ind w:right="616"/>
        <w:jc w:val="both"/>
        <w:rPr>
          <w:rFonts w:ascii="Palatino Linotype" w:eastAsia="Palatino Linotype" w:hAnsi="Palatino Linotype" w:cs="Palatino Linotype"/>
          <w:b/>
          <w:bCs/>
          <w:color w:val="000000"/>
        </w:rPr>
      </w:pPr>
      <w:r w:rsidRPr="00D134CE">
        <w:rPr>
          <w:rFonts w:ascii="Palatino Linotype" w:eastAsia="Palatino Linotype" w:hAnsi="Palatino Linotype" w:cs="Palatino Linotype"/>
          <w:color w:val="000000"/>
        </w:rPr>
        <w:t xml:space="preserve">De la deportiva de referencia: nombre del encargado, el contrato o convenio y el monto que paga por semana quincena o mes al </w:t>
      </w:r>
      <w:r w:rsidRPr="00D134CE">
        <w:rPr>
          <w:rFonts w:ascii="Palatino Linotype" w:hAnsi="Palatino Linotype" w:cs="Consolas"/>
          <w:color w:val="000000"/>
          <w:lang w:val="es-MX"/>
        </w:rPr>
        <w:t>Instituto Municipal de Cultura Física y Deporte de Nicolás Romero</w:t>
      </w:r>
    </w:p>
    <w:p w:rsidR="00144EDA" w:rsidRPr="00D134CE" w:rsidRDefault="00144EDA" w:rsidP="004C1116">
      <w:pPr>
        <w:pBdr>
          <w:top w:val="nil"/>
          <w:left w:val="nil"/>
          <w:bottom w:val="nil"/>
          <w:right w:val="nil"/>
          <w:between w:val="nil"/>
        </w:pBdr>
        <w:spacing w:line="360" w:lineRule="auto"/>
        <w:ind w:left="1068" w:right="49"/>
        <w:jc w:val="both"/>
        <w:rPr>
          <w:rFonts w:ascii="Palatino Linotype" w:eastAsia="Palatino Linotype" w:hAnsi="Palatino Linotype" w:cs="Palatino Linotype"/>
          <w:b/>
          <w:bCs/>
          <w:color w:val="000000"/>
        </w:rPr>
      </w:pPr>
    </w:p>
    <w:p w:rsidR="00C443F2" w:rsidRPr="00D134CE" w:rsidRDefault="00C81811" w:rsidP="004C1116">
      <w:pPr>
        <w:numPr>
          <w:ilvl w:val="0"/>
          <w:numId w:val="1"/>
        </w:numPr>
        <w:spacing w:line="360" w:lineRule="auto"/>
        <w:ind w:left="0" w:right="49" w:firstLine="0"/>
        <w:jc w:val="both"/>
        <w:rPr>
          <w:rFonts w:ascii="Palatino Linotype" w:eastAsia="Palatino Linotype" w:hAnsi="Palatino Linotype" w:cs="Palatino Linotype"/>
        </w:rPr>
      </w:pPr>
      <w:r w:rsidRPr="00D134CE">
        <w:rPr>
          <w:rFonts w:ascii="Palatino Linotype" w:eastAsia="Palatino Linotype" w:hAnsi="Palatino Linotype" w:cs="Palatino Linotype"/>
        </w:rPr>
        <w:t xml:space="preserve">En respuesta, el </w:t>
      </w:r>
      <w:r w:rsidRPr="00D134CE">
        <w:rPr>
          <w:rFonts w:ascii="Palatino Linotype" w:eastAsia="Palatino Linotype" w:hAnsi="Palatino Linotype" w:cs="Palatino Linotype"/>
          <w:b/>
          <w:bCs/>
        </w:rPr>
        <w:t xml:space="preserve">SUJETO OBLIGADO </w:t>
      </w:r>
      <w:r w:rsidRPr="00D134CE">
        <w:rPr>
          <w:rFonts w:ascii="Palatino Linotype" w:eastAsia="Palatino Linotype" w:hAnsi="Palatino Linotype" w:cs="Palatino Linotype"/>
        </w:rPr>
        <w:t xml:space="preserve">contestó mediante los archivos descritos en el Párrafo 2. Inconforme con la respuesta, se interpuso recurso de revisión argumentando de manera general, la entrega de información </w:t>
      </w:r>
      <w:r w:rsidR="00C443F2" w:rsidRPr="00D134CE">
        <w:rPr>
          <w:rFonts w:ascii="Palatino Linotype" w:eastAsia="Palatino Linotype" w:hAnsi="Palatino Linotype" w:cs="Palatino Linotype"/>
        </w:rPr>
        <w:t>incompleta</w:t>
      </w:r>
      <w:r w:rsidRPr="00D134CE">
        <w:rPr>
          <w:rFonts w:ascii="Palatino Linotype" w:eastAsia="Palatino Linotype" w:hAnsi="Palatino Linotype" w:cs="Palatino Linotype"/>
        </w:rPr>
        <w:t>.</w:t>
      </w:r>
      <w:r w:rsidR="00C443F2" w:rsidRPr="00D134CE">
        <w:rPr>
          <w:rFonts w:ascii="Palatino Linotype" w:eastAsia="Palatino Linotype" w:hAnsi="Palatino Linotype" w:cs="Palatino Linotype"/>
        </w:rPr>
        <w:t xml:space="preserve"> </w:t>
      </w:r>
      <w:r w:rsidRPr="00D134CE">
        <w:rPr>
          <w:rFonts w:ascii="Palatino Linotype" w:eastAsia="Palatino Linotype" w:hAnsi="Palatino Linotype" w:cs="Palatino Linotype"/>
        </w:rPr>
        <w:t xml:space="preserve">En dichas condiciones, la controversia a resolver en el presente proveído, corresponde a determinar si se actualizan las causales de procedencia previstas </w:t>
      </w:r>
      <w:r w:rsidR="00C443F2" w:rsidRPr="00D134CE">
        <w:rPr>
          <w:rFonts w:ascii="Palatino Linotype" w:eastAsia="Palatino Linotype" w:hAnsi="Palatino Linotype" w:cs="Palatino Linotype"/>
        </w:rPr>
        <w:t>en los artículos 179, fracción V</w:t>
      </w:r>
      <w:r w:rsidRPr="00D134CE">
        <w:rPr>
          <w:rFonts w:ascii="Palatino Linotype" w:eastAsia="Palatino Linotype" w:hAnsi="Palatino Linotype" w:cs="Palatino Linotype"/>
          <w:b/>
          <w:bCs/>
        </w:rPr>
        <w:t xml:space="preserve"> </w:t>
      </w:r>
      <w:r w:rsidRPr="00D134CE">
        <w:rPr>
          <w:rFonts w:ascii="Palatino Linotype" w:eastAsia="Palatino Linotype" w:hAnsi="Palatino Linotype" w:cs="Palatino Linotype"/>
        </w:rPr>
        <w:t>de la Ley de Transparencia y Acceso a la Información Pública del Estado de</w:t>
      </w:r>
      <w:r w:rsidRPr="00D134CE">
        <w:rPr>
          <w:rFonts w:ascii="Palatino Linotype" w:eastAsia="Palatino Linotype" w:hAnsi="Palatino Linotype" w:cs="Palatino Linotype"/>
          <w:b/>
          <w:bCs/>
        </w:rPr>
        <w:t xml:space="preserve"> </w:t>
      </w:r>
      <w:r w:rsidRPr="00D134CE">
        <w:rPr>
          <w:rFonts w:ascii="Palatino Linotype" w:eastAsia="Palatino Linotype" w:hAnsi="Palatino Linotype" w:cs="Palatino Linotype"/>
        </w:rPr>
        <w:t>México</w:t>
      </w:r>
      <w:r w:rsidRPr="00D134CE">
        <w:rPr>
          <w:rFonts w:ascii="Palatino Linotype" w:eastAsia="Palatino Linotype" w:hAnsi="Palatino Linotype" w:cs="Palatino Linotype"/>
          <w:b/>
          <w:bCs/>
        </w:rPr>
        <w:t xml:space="preserve"> </w:t>
      </w:r>
      <w:r w:rsidRPr="00D134CE">
        <w:rPr>
          <w:rFonts w:ascii="Palatino Linotype" w:eastAsia="Palatino Linotype" w:hAnsi="Palatino Linotype" w:cs="Palatino Linotype"/>
        </w:rPr>
        <w:t>y</w:t>
      </w:r>
      <w:r w:rsidRPr="00D134CE">
        <w:rPr>
          <w:rFonts w:ascii="Palatino Linotype" w:eastAsia="Palatino Linotype" w:hAnsi="Palatino Linotype" w:cs="Palatino Linotype"/>
          <w:b/>
          <w:bCs/>
        </w:rPr>
        <w:t xml:space="preserve"> </w:t>
      </w:r>
      <w:r w:rsidRPr="00D134CE">
        <w:rPr>
          <w:rFonts w:ascii="Palatino Linotype" w:eastAsia="Palatino Linotype" w:hAnsi="Palatino Linotype" w:cs="Palatino Linotype"/>
        </w:rPr>
        <w:t xml:space="preserve">Municipios; </w:t>
      </w:r>
      <w:r w:rsidR="00C443F2" w:rsidRPr="00D134CE">
        <w:rPr>
          <w:rFonts w:ascii="Palatino Linotype" w:eastAsia="Palatino Linotype" w:hAnsi="Palatino Linotype" w:cs="Palatino Linotype"/>
          <w:color w:val="000000"/>
        </w:rPr>
        <w:t>fracción</w:t>
      </w:r>
      <w:r w:rsidRPr="00D134CE">
        <w:rPr>
          <w:rFonts w:ascii="Palatino Linotype" w:eastAsia="Palatino Linotype" w:hAnsi="Palatino Linotype" w:cs="Palatino Linotype"/>
          <w:color w:val="000000"/>
        </w:rPr>
        <w:t xml:space="preserve"> que determina la </w:t>
      </w:r>
      <w:r w:rsidR="00C443F2" w:rsidRPr="00D134CE">
        <w:rPr>
          <w:rFonts w:ascii="Palatino Linotype" w:eastAsia="Palatino Linotype" w:hAnsi="Palatino Linotype" w:cs="Palatino Linotype"/>
          <w:color w:val="000000"/>
        </w:rPr>
        <w:t>entrega de información incompleta</w:t>
      </w:r>
      <w:r w:rsidRPr="00D134CE">
        <w:rPr>
          <w:rFonts w:ascii="Palatino Linotype" w:eastAsia="Palatino Linotype" w:hAnsi="Palatino Linotype" w:cs="Palatino Linotype"/>
        </w:rPr>
        <w:t>.</w:t>
      </w:r>
      <w:r w:rsidRPr="00D134CE">
        <w:rPr>
          <w:rFonts w:ascii="Palatino Linotype" w:eastAsia="Palatino Linotype" w:hAnsi="Palatino Linotype" w:cs="Palatino Linotype"/>
          <w:color w:val="000000"/>
        </w:rPr>
        <w:t xml:space="preserve"> </w:t>
      </w:r>
    </w:p>
    <w:p w:rsidR="00D134CE" w:rsidRPr="00D134CE" w:rsidRDefault="00D134CE" w:rsidP="00D134CE">
      <w:pPr>
        <w:spacing w:line="360" w:lineRule="auto"/>
        <w:ind w:right="49"/>
        <w:jc w:val="both"/>
        <w:rPr>
          <w:rFonts w:ascii="Palatino Linotype" w:eastAsia="Palatino Linotype" w:hAnsi="Palatino Linotype" w:cs="Palatino Linotype"/>
        </w:rPr>
      </w:pPr>
    </w:p>
    <w:p w:rsidR="00144EDA" w:rsidRPr="00D134CE" w:rsidRDefault="00C81811" w:rsidP="004C1116">
      <w:pPr>
        <w:numPr>
          <w:ilvl w:val="0"/>
          <w:numId w:val="1"/>
        </w:numPr>
        <w:spacing w:line="360" w:lineRule="auto"/>
        <w:ind w:left="0" w:right="49" w:firstLine="0"/>
        <w:jc w:val="both"/>
        <w:rPr>
          <w:rFonts w:ascii="Palatino Linotype" w:eastAsia="Palatino Linotype" w:hAnsi="Palatino Linotype" w:cs="Palatino Linotype"/>
        </w:rPr>
      </w:pPr>
      <w:r w:rsidRPr="00D134CE">
        <w:rPr>
          <w:rFonts w:ascii="Palatino Linotype" w:eastAsia="Palatino Linotype" w:hAnsi="Palatino Linotype" w:cs="Palatino Linotype"/>
          <w:color w:val="000000"/>
        </w:rPr>
        <w:lastRenderedPageBreak/>
        <w:t xml:space="preserve">De modo tal que el presente Recurso de Revisión se </w:t>
      </w:r>
      <w:r w:rsidRPr="00D134CE">
        <w:rPr>
          <w:rFonts w:ascii="Palatino Linotype" w:eastAsia="Palatino Linotype" w:hAnsi="Palatino Linotype" w:cs="Palatino Linotype"/>
        </w:rPr>
        <w:t>abocará</w:t>
      </w:r>
      <w:r w:rsidRPr="00D134CE">
        <w:rPr>
          <w:rFonts w:ascii="Palatino Linotype" w:eastAsia="Palatino Linotype" w:hAnsi="Palatino Linotype" w:cs="Palatino Linotype"/>
          <w:color w:val="000000"/>
        </w:rPr>
        <w:t xml:space="preserve"> en determinar si el Sujeto Obligado con su resp</w:t>
      </w:r>
      <w:r w:rsidR="00C443F2" w:rsidRPr="00D134CE">
        <w:rPr>
          <w:rFonts w:ascii="Palatino Linotype" w:eastAsia="Palatino Linotype" w:hAnsi="Palatino Linotype" w:cs="Palatino Linotype"/>
          <w:color w:val="000000"/>
        </w:rPr>
        <w:t>uesta ciertamente actualizan la</w:t>
      </w:r>
      <w:r w:rsidRPr="00D134CE">
        <w:rPr>
          <w:rFonts w:ascii="Palatino Linotype" w:eastAsia="Palatino Linotype" w:hAnsi="Palatino Linotype" w:cs="Palatino Linotype"/>
          <w:color w:val="000000"/>
        </w:rPr>
        <w:t xml:space="preserve"> causal de procedencia</w:t>
      </w:r>
      <w:r w:rsidRPr="00D134CE">
        <w:rPr>
          <w:rFonts w:ascii="Palatino Linotype" w:eastAsia="Palatino Linotype" w:hAnsi="Palatino Linotype" w:cs="Palatino Linotype"/>
          <w:b/>
          <w:bCs/>
          <w:color w:val="000000"/>
        </w:rPr>
        <w:t xml:space="preserve"> </w:t>
      </w:r>
      <w:r w:rsidR="00C443F2" w:rsidRPr="00D134CE">
        <w:rPr>
          <w:rFonts w:ascii="Palatino Linotype" w:eastAsia="Palatino Linotype" w:hAnsi="Palatino Linotype" w:cs="Palatino Linotype"/>
          <w:color w:val="000000"/>
        </w:rPr>
        <w:t>señalada</w:t>
      </w:r>
      <w:r w:rsidRPr="00D134CE">
        <w:rPr>
          <w:rFonts w:ascii="Palatino Linotype" w:eastAsia="Palatino Linotype" w:hAnsi="Palatino Linotype" w:cs="Palatino Linotype"/>
          <w:color w:val="000000"/>
        </w:rPr>
        <w:t>.</w:t>
      </w:r>
    </w:p>
    <w:p w:rsidR="00144EDA" w:rsidRPr="00D134CE" w:rsidRDefault="00144EDA" w:rsidP="004C1116">
      <w:pPr>
        <w:spacing w:line="360" w:lineRule="auto"/>
        <w:ind w:right="49"/>
        <w:jc w:val="both"/>
        <w:rPr>
          <w:rFonts w:ascii="Palatino Linotype" w:eastAsia="Palatino Linotype" w:hAnsi="Palatino Linotype" w:cs="Palatino Linotype"/>
        </w:rPr>
      </w:pPr>
    </w:p>
    <w:p w:rsidR="00144EDA" w:rsidRPr="00D134CE" w:rsidRDefault="00C81811" w:rsidP="004C1116">
      <w:pPr>
        <w:pStyle w:val="Ttulo1"/>
        <w:spacing w:before="0" w:line="360" w:lineRule="auto"/>
        <w:ind w:right="49"/>
        <w:jc w:val="both"/>
        <w:rPr>
          <w:rFonts w:ascii="Palatino Linotype" w:eastAsia="Palatino Linotype" w:hAnsi="Palatino Linotype" w:cs="Palatino Linotype"/>
          <w:b/>
          <w:bCs/>
          <w:color w:val="000000"/>
          <w:sz w:val="24"/>
          <w:szCs w:val="24"/>
        </w:rPr>
      </w:pPr>
      <w:r w:rsidRPr="00D134CE">
        <w:rPr>
          <w:rFonts w:ascii="Palatino Linotype" w:eastAsia="Palatino Linotype" w:hAnsi="Palatino Linotype" w:cs="Palatino Linotype"/>
          <w:b/>
          <w:bCs/>
          <w:color w:val="000000"/>
          <w:sz w:val="24"/>
          <w:szCs w:val="24"/>
        </w:rPr>
        <w:t>CUARTO. Estudio y resolución</w:t>
      </w:r>
    </w:p>
    <w:p w:rsidR="00144EDA" w:rsidRPr="00D134CE" w:rsidRDefault="00C81811" w:rsidP="004C1116">
      <w:pPr>
        <w:numPr>
          <w:ilvl w:val="0"/>
          <w:numId w:val="1"/>
        </w:numPr>
        <w:spacing w:line="360" w:lineRule="auto"/>
        <w:ind w:left="0" w:right="49" w:firstLine="0"/>
        <w:jc w:val="both"/>
        <w:rPr>
          <w:rFonts w:ascii="Palatino Linotype" w:eastAsia="Palatino Linotype" w:hAnsi="Palatino Linotype" w:cs="Palatino Linotype"/>
        </w:rPr>
      </w:pPr>
      <w:bookmarkStart w:id="7" w:name="_heading=h.3dy6vkm" w:colFirst="0" w:colLast="0"/>
      <w:bookmarkEnd w:id="7"/>
      <w:r w:rsidRPr="00D134CE">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DE658D" w:rsidRPr="00D134CE" w:rsidRDefault="00DE658D" w:rsidP="004C1116">
      <w:pPr>
        <w:spacing w:line="360" w:lineRule="auto"/>
        <w:ind w:right="49"/>
        <w:jc w:val="both"/>
        <w:rPr>
          <w:rFonts w:ascii="Palatino Linotype" w:eastAsia="Palatino Linotype" w:hAnsi="Palatino Linotype" w:cs="Palatino Linotype"/>
        </w:rPr>
      </w:pPr>
    </w:p>
    <w:p w:rsidR="00144EDA" w:rsidRPr="00D134CE" w:rsidRDefault="00C81811" w:rsidP="004C1116">
      <w:pPr>
        <w:numPr>
          <w:ilvl w:val="0"/>
          <w:numId w:val="1"/>
        </w:numPr>
        <w:spacing w:line="360" w:lineRule="auto"/>
        <w:ind w:left="0" w:right="49" w:firstLine="0"/>
        <w:jc w:val="both"/>
        <w:rPr>
          <w:rFonts w:ascii="Palatino Linotype" w:eastAsia="Palatino Linotype" w:hAnsi="Palatino Linotype" w:cs="Palatino Linotype"/>
        </w:rPr>
      </w:pPr>
      <w:r w:rsidRPr="00D134CE">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144EDA" w:rsidRPr="00D134CE" w:rsidRDefault="00144EDA" w:rsidP="004C1116">
      <w:pPr>
        <w:pBdr>
          <w:top w:val="nil"/>
          <w:left w:val="nil"/>
          <w:bottom w:val="nil"/>
          <w:right w:val="nil"/>
          <w:between w:val="nil"/>
        </w:pBdr>
        <w:spacing w:line="360" w:lineRule="auto"/>
        <w:ind w:left="720"/>
        <w:jc w:val="both"/>
        <w:rPr>
          <w:rFonts w:ascii="Palatino Linotype" w:eastAsia="Palatino Linotype" w:hAnsi="Palatino Linotype" w:cs="Palatino Linotype"/>
          <w:color w:val="000000"/>
        </w:rPr>
      </w:pPr>
    </w:p>
    <w:p w:rsidR="00144EDA" w:rsidRPr="00D134CE" w:rsidRDefault="00C81811" w:rsidP="004C1116">
      <w:pPr>
        <w:numPr>
          <w:ilvl w:val="0"/>
          <w:numId w:val="1"/>
        </w:numPr>
        <w:spacing w:line="360" w:lineRule="auto"/>
        <w:ind w:left="0" w:right="49" w:firstLine="0"/>
        <w:jc w:val="both"/>
        <w:rPr>
          <w:rFonts w:ascii="Palatino Linotype" w:eastAsia="Palatino Linotype" w:hAnsi="Palatino Linotype" w:cs="Palatino Linotype"/>
        </w:rPr>
      </w:pPr>
      <w:r w:rsidRPr="00D134CE">
        <w:rPr>
          <w:rFonts w:ascii="Palatino Linotype" w:eastAsia="Palatino Linotype" w:hAnsi="Palatino Linotype" w:cs="Palatino Linotype"/>
        </w:rPr>
        <w:t xml:space="preserve">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w:t>
      </w:r>
      <w:r w:rsidRPr="00D134CE">
        <w:rPr>
          <w:rFonts w:ascii="Palatino Linotype" w:eastAsia="Palatino Linotype" w:hAnsi="Palatino Linotype" w:cs="Palatino Linotype"/>
        </w:rPr>
        <w:lastRenderedPageBreak/>
        <w:t>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144EDA" w:rsidRPr="00D134CE" w:rsidRDefault="00144EDA" w:rsidP="004C1116">
      <w:pPr>
        <w:pBdr>
          <w:top w:val="nil"/>
          <w:left w:val="nil"/>
          <w:bottom w:val="nil"/>
          <w:right w:val="nil"/>
          <w:between w:val="nil"/>
        </w:pBdr>
        <w:spacing w:line="360" w:lineRule="auto"/>
        <w:ind w:left="720"/>
        <w:jc w:val="both"/>
        <w:rPr>
          <w:rFonts w:ascii="Palatino Linotype" w:eastAsia="Palatino Linotype" w:hAnsi="Palatino Linotype" w:cs="Palatino Linotype"/>
          <w:color w:val="000000"/>
        </w:rPr>
      </w:pPr>
    </w:p>
    <w:p w:rsidR="00144EDA" w:rsidRPr="00D134CE" w:rsidRDefault="00C81811" w:rsidP="004C1116">
      <w:pPr>
        <w:numPr>
          <w:ilvl w:val="0"/>
          <w:numId w:val="1"/>
        </w:numPr>
        <w:spacing w:line="360" w:lineRule="auto"/>
        <w:ind w:left="0" w:right="49" w:firstLine="0"/>
        <w:jc w:val="both"/>
        <w:rPr>
          <w:rFonts w:ascii="Palatino Linotype" w:eastAsia="Palatino Linotype" w:hAnsi="Palatino Linotype" w:cs="Palatino Linotype"/>
        </w:rPr>
      </w:pPr>
      <w:r w:rsidRPr="00D134CE">
        <w:rPr>
          <w:rFonts w:ascii="Palatino Linotype" w:eastAsia="Palatino Linotype" w:hAnsi="Palatino Linotype" w:cs="Palatino Linotype"/>
        </w:rPr>
        <w:t>Luego entonces, es dable traer a contexto primeramente el motiv</w:t>
      </w:r>
      <w:r w:rsidR="00DE658D" w:rsidRPr="00D134CE">
        <w:rPr>
          <w:rFonts w:ascii="Palatino Linotype" w:eastAsia="Palatino Linotype" w:hAnsi="Palatino Linotype" w:cs="Palatino Linotype"/>
        </w:rPr>
        <w:t>o de inconformidad que versó en impugnar los rubros inicialmente planteados tocantes a los recibos de nómina y el contrato o convenio</w:t>
      </w:r>
      <w:r w:rsidRPr="00D134CE">
        <w:rPr>
          <w:rFonts w:ascii="Palatino Linotype" w:eastAsia="Palatino Linotype" w:hAnsi="Palatino Linotype" w:cs="Palatino Linotype"/>
        </w:rPr>
        <w:t>.</w:t>
      </w:r>
    </w:p>
    <w:p w:rsidR="00030952" w:rsidRPr="00D134CE" w:rsidRDefault="00030952" w:rsidP="004C1116">
      <w:pPr>
        <w:pStyle w:val="Prrafodelista"/>
        <w:spacing w:line="360" w:lineRule="auto"/>
        <w:rPr>
          <w:rFonts w:ascii="Palatino Linotype" w:eastAsia="Palatino Linotype" w:hAnsi="Palatino Linotype" w:cs="Palatino Linotype"/>
        </w:rPr>
      </w:pPr>
    </w:p>
    <w:p w:rsidR="00030952" w:rsidRPr="00D134CE" w:rsidRDefault="00030952" w:rsidP="004C1116">
      <w:pPr>
        <w:numPr>
          <w:ilvl w:val="0"/>
          <w:numId w:val="1"/>
        </w:numPr>
        <w:spacing w:line="360" w:lineRule="auto"/>
        <w:ind w:left="0" w:right="49" w:firstLine="0"/>
        <w:jc w:val="both"/>
        <w:rPr>
          <w:rFonts w:ascii="Palatino Linotype" w:eastAsia="Palatino Linotype" w:hAnsi="Palatino Linotype" w:cs="Palatino Linotype"/>
        </w:rPr>
      </w:pPr>
      <w:r w:rsidRPr="00D134CE">
        <w:rPr>
          <w:rFonts w:ascii="Palatino Linotype" w:eastAsia="Palatino Linotype" w:hAnsi="Palatino Linotype" w:cs="Palatino Linotype"/>
        </w:rPr>
        <w:t xml:space="preserve">De tal forma que, la parte de la solicitud que no fue impugnada debe declararse consentida, toda vez que al no realizar manifestaciones de inconformidad; no pueden producirse efectos jurídicos tendentes a revocar, confirmar o modificar el acto reclamado, ya que no realizó manifestación alguna al respecto. </w:t>
      </w:r>
    </w:p>
    <w:p w:rsidR="00030952" w:rsidRPr="00D134CE" w:rsidRDefault="00030952" w:rsidP="004C1116">
      <w:pPr>
        <w:pStyle w:val="Prrafodelista"/>
        <w:spacing w:line="360" w:lineRule="auto"/>
        <w:rPr>
          <w:rFonts w:ascii="Palatino Linotype" w:eastAsia="Palatino Linotype" w:hAnsi="Palatino Linotype" w:cs="Palatino Linotype"/>
        </w:rPr>
      </w:pPr>
    </w:p>
    <w:p w:rsidR="00030952" w:rsidRPr="00D134CE" w:rsidRDefault="00030952" w:rsidP="004C1116">
      <w:pPr>
        <w:numPr>
          <w:ilvl w:val="0"/>
          <w:numId w:val="1"/>
        </w:numPr>
        <w:spacing w:line="360" w:lineRule="auto"/>
        <w:ind w:left="0" w:right="49" w:firstLine="0"/>
        <w:jc w:val="both"/>
        <w:rPr>
          <w:rFonts w:ascii="Palatino Linotype" w:eastAsia="Palatino Linotype" w:hAnsi="Palatino Linotype" w:cs="Palatino Linotype"/>
        </w:rPr>
      </w:pPr>
      <w:r w:rsidRPr="00D134CE">
        <w:rPr>
          <w:rFonts w:ascii="Palatino Linotype" w:eastAsia="Palatino Linotype" w:hAnsi="Palatino Linotype" w:cs="Palatino Linotype"/>
        </w:rPr>
        <w:t>Sirve de sustento, la tesis jurisprudencial número VI.3o.C. J/60, publicada en el Semanario Judicial de la Federación y su Gaceta bajo el número de registro 176,608 que a la letra dice:</w:t>
      </w:r>
    </w:p>
    <w:p w:rsidR="00030952" w:rsidRPr="00D134CE" w:rsidRDefault="00030952" w:rsidP="004C1116">
      <w:pPr>
        <w:tabs>
          <w:tab w:val="left" w:pos="851"/>
        </w:tabs>
        <w:spacing w:line="360" w:lineRule="auto"/>
        <w:ind w:left="851" w:right="616"/>
        <w:jc w:val="both"/>
        <w:rPr>
          <w:rFonts w:ascii="Palatino Linotype" w:eastAsia="Palatino Linotype" w:hAnsi="Palatino Linotype" w:cs="Palatino Linotype"/>
          <w:i/>
        </w:rPr>
      </w:pPr>
      <w:r w:rsidRPr="00D134CE">
        <w:rPr>
          <w:rFonts w:ascii="Palatino Linotype" w:eastAsia="Palatino Linotype" w:hAnsi="Palatino Linotype" w:cs="Palatino Linotype"/>
          <w:b/>
          <w:i/>
        </w:rPr>
        <w:t xml:space="preserve">“ACTOS CONSENTIDOS. SON LOS QUE NO SE IMPUGNAN MEDIANTE EL RECURSO IDÓNEO. </w:t>
      </w:r>
      <w:r w:rsidRPr="00D134CE">
        <w:rPr>
          <w:rFonts w:ascii="Palatino Linotype" w:eastAsia="Palatino Linotype" w:hAnsi="Palatino Linotype" w:cs="Palatino Linotype"/>
          <w:i/>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030952" w:rsidRPr="00D134CE" w:rsidRDefault="00030952" w:rsidP="004C1116">
      <w:pPr>
        <w:tabs>
          <w:tab w:val="left" w:pos="851"/>
        </w:tabs>
        <w:spacing w:line="360" w:lineRule="auto"/>
        <w:ind w:left="851" w:right="616"/>
        <w:jc w:val="both"/>
        <w:rPr>
          <w:rFonts w:ascii="Palatino Linotype" w:eastAsia="Palatino Linotype" w:hAnsi="Palatino Linotype" w:cs="Palatino Linotype"/>
          <w:i/>
        </w:rPr>
      </w:pPr>
    </w:p>
    <w:p w:rsidR="00030952" w:rsidRPr="00D134CE" w:rsidRDefault="00030952" w:rsidP="004C1116">
      <w:pPr>
        <w:numPr>
          <w:ilvl w:val="0"/>
          <w:numId w:val="1"/>
        </w:numPr>
        <w:spacing w:line="360" w:lineRule="auto"/>
        <w:ind w:left="0" w:right="49" w:firstLine="0"/>
        <w:jc w:val="both"/>
        <w:rPr>
          <w:rFonts w:ascii="Palatino Linotype" w:eastAsia="Palatino Linotype" w:hAnsi="Palatino Linotype" w:cs="Palatino Linotype"/>
        </w:rPr>
      </w:pPr>
      <w:r w:rsidRPr="00D134CE">
        <w:rPr>
          <w:rFonts w:ascii="Palatino Linotype" w:eastAsia="Palatino Linotype" w:hAnsi="Palatino Linotype" w:cs="Palatino Linotype"/>
        </w:rPr>
        <w:lastRenderedPageBreak/>
        <w:t xml:space="preserve">De la interpretación del criterio antes citado, se advierte que cuando el particular impugnó la respuesta del </w:t>
      </w:r>
      <w:r w:rsidRPr="00D134CE">
        <w:rPr>
          <w:rFonts w:ascii="Palatino Linotype" w:eastAsia="Palatino Linotype" w:hAnsi="Palatino Linotype" w:cs="Palatino Linotype"/>
          <w:b/>
        </w:rPr>
        <w:t>SUJETO OBLIGADO</w:t>
      </w:r>
      <w:r w:rsidRPr="00D134CE">
        <w:rPr>
          <w:rFonts w:ascii="Palatino Linotype" w:eastAsia="Palatino Linotype" w:hAnsi="Palatino Linotype" w:cs="Palatino Linotype"/>
        </w:rPr>
        <w:t xml:space="preserve">, no expresó razón o motivo de inconformidad en contra de todos los rubros solicitados, por tanto estos deben declararse atendidos, pues se entiende que </w:t>
      </w:r>
      <w:r w:rsidRPr="00D134CE">
        <w:rPr>
          <w:rFonts w:ascii="Palatino Linotype" w:eastAsia="Palatino Linotype" w:hAnsi="Palatino Linotype" w:cs="Palatino Linotype"/>
          <w:b/>
        </w:rPr>
        <w:t>EL RECURRENTE</w:t>
      </w:r>
      <w:r w:rsidRPr="00D134CE">
        <w:rPr>
          <w:rFonts w:ascii="Palatino Linotype" w:eastAsia="Palatino Linotype" w:hAnsi="Palatino Linotype" w:cs="Palatino Linotype"/>
        </w:rPr>
        <w:t xml:space="preserve"> está conforme con la respuesta proporcionada por </w:t>
      </w:r>
      <w:r w:rsidRPr="00D134CE">
        <w:rPr>
          <w:rFonts w:ascii="Palatino Linotype" w:eastAsia="Palatino Linotype" w:hAnsi="Palatino Linotype" w:cs="Palatino Linotype"/>
          <w:b/>
        </w:rPr>
        <w:t>EL SUJETO OBLIGADO,</w:t>
      </w:r>
      <w:r w:rsidRPr="00D134CE">
        <w:rPr>
          <w:rFonts w:ascii="Palatino Linotype" w:eastAsia="Palatino Linotype" w:hAnsi="Palatino Linotype" w:cs="Palatino Linotype"/>
        </w:rPr>
        <w:t xml:space="preserve"> al no contravenir la misma. </w:t>
      </w:r>
    </w:p>
    <w:p w:rsidR="00030952" w:rsidRPr="00D134CE" w:rsidRDefault="00030952" w:rsidP="004C1116">
      <w:pPr>
        <w:spacing w:line="360" w:lineRule="auto"/>
        <w:ind w:right="49"/>
        <w:jc w:val="both"/>
        <w:rPr>
          <w:rFonts w:ascii="Palatino Linotype" w:eastAsia="Palatino Linotype" w:hAnsi="Palatino Linotype" w:cs="Palatino Linotype"/>
        </w:rPr>
      </w:pPr>
    </w:p>
    <w:p w:rsidR="00030952" w:rsidRPr="00D134CE" w:rsidRDefault="00030952" w:rsidP="004C1116">
      <w:pPr>
        <w:numPr>
          <w:ilvl w:val="0"/>
          <w:numId w:val="1"/>
        </w:numPr>
        <w:spacing w:line="360" w:lineRule="auto"/>
        <w:ind w:left="0" w:right="49" w:firstLine="0"/>
        <w:jc w:val="both"/>
        <w:rPr>
          <w:rFonts w:ascii="Palatino Linotype" w:eastAsia="Palatino Linotype" w:hAnsi="Palatino Linotype" w:cs="Palatino Linotype"/>
        </w:rPr>
      </w:pPr>
      <w:r w:rsidRPr="00D134CE">
        <w:rPr>
          <w:rFonts w:ascii="Palatino Linotype" w:eastAsia="Palatino Linotype" w:hAnsi="Palatino Linotype" w:cs="Palatino Linotype"/>
        </w:rPr>
        <w:t>Atento a ello, es importante traer a contexto la Tesis Jurisprudencial Número 3ª./J.7/91, Publicada en el Semanario Judicial de la Federación y su Gaceta bajo el número de registro 174,177, que establece lo siguiente:</w:t>
      </w:r>
    </w:p>
    <w:p w:rsidR="00030952" w:rsidRPr="00D134CE" w:rsidRDefault="00030952" w:rsidP="004C1116">
      <w:pPr>
        <w:tabs>
          <w:tab w:val="left" w:pos="7937"/>
          <w:tab w:val="left" w:pos="8222"/>
        </w:tabs>
        <w:spacing w:line="360" w:lineRule="auto"/>
        <w:ind w:left="851" w:right="901"/>
        <w:jc w:val="both"/>
        <w:rPr>
          <w:rFonts w:ascii="Palatino Linotype" w:eastAsia="Palatino Linotype" w:hAnsi="Palatino Linotype" w:cs="Palatino Linotype"/>
          <w:i/>
        </w:rPr>
      </w:pPr>
      <w:r w:rsidRPr="00D134CE">
        <w:rPr>
          <w:rFonts w:ascii="Palatino Linotype" w:eastAsia="Palatino Linotype" w:hAnsi="Palatino Linotype" w:cs="Palatino Linotype"/>
          <w:b/>
          <w:i/>
        </w:rPr>
        <w:t xml:space="preserve">“REVISIÓN EN AMPARO. LOS RESOLUTIVOS NO COMBATIDOS DEBEN DECLARARSE FIRMES. </w:t>
      </w:r>
      <w:r w:rsidRPr="00D134CE">
        <w:rPr>
          <w:rFonts w:ascii="Palatino Linotype" w:eastAsia="Palatino Linotype" w:hAnsi="Palatino Linotype" w:cs="Palatino Linotype"/>
          <w:i/>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rsidR="00030952" w:rsidRPr="00D134CE" w:rsidRDefault="00030952" w:rsidP="004C1116">
      <w:pPr>
        <w:tabs>
          <w:tab w:val="left" w:pos="7937"/>
          <w:tab w:val="left" w:pos="8222"/>
        </w:tabs>
        <w:spacing w:line="360" w:lineRule="auto"/>
        <w:ind w:left="851" w:right="901"/>
        <w:jc w:val="both"/>
        <w:rPr>
          <w:rFonts w:ascii="Palatino Linotype" w:eastAsia="Palatino Linotype" w:hAnsi="Palatino Linotype" w:cs="Palatino Linotype"/>
          <w:i/>
        </w:rPr>
      </w:pPr>
    </w:p>
    <w:p w:rsidR="00030952" w:rsidRPr="00D134CE" w:rsidRDefault="00030952" w:rsidP="004C1116">
      <w:pPr>
        <w:numPr>
          <w:ilvl w:val="0"/>
          <w:numId w:val="1"/>
        </w:numPr>
        <w:spacing w:line="360" w:lineRule="auto"/>
        <w:ind w:left="0" w:right="49" w:firstLine="0"/>
        <w:jc w:val="both"/>
        <w:rPr>
          <w:rFonts w:ascii="Palatino Linotype" w:eastAsia="Palatino Linotype" w:hAnsi="Palatino Linotype" w:cs="Palatino Linotype"/>
        </w:rPr>
      </w:pPr>
      <w:r w:rsidRPr="00D134CE">
        <w:rPr>
          <w:rFonts w:ascii="Palatino Linotype" w:eastAsia="Palatino Linotype" w:hAnsi="Palatino Linotype" w:cs="Palatino Linotype"/>
        </w:rPr>
        <w:t xml:space="preserve">En consecuencia que los demás fundamentos remitidos en respuesta. Se consideran un acto consentido y, en consecuencia, este Órgano Resolutor no entrará al estudio del mismo por las razones hasta aquí expuestas. </w:t>
      </w:r>
    </w:p>
    <w:p w:rsidR="00030952" w:rsidRPr="00D134CE" w:rsidRDefault="00030952" w:rsidP="004C1116">
      <w:pPr>
        <w:spacing w:line="360" w:lineRule="auto"/>
        <w:ind w:right="49"/>
        <w:jc w:val="both"/>
        <w:rPr>
          <w:rFonts w:ascii="Palatino Linotype" w:eastAsia="Palatino Linotype" w:hAnsi="Palatino Linotype" w:cs="Palatino Linotype"/>
        </w:rPr>
      </w:pPr>
    </w:p>
    <w:p w:rsidR="00030952" w:rsidRPr="00D134CE" w:rsidRDefault="00030952" w:rsidP="004C1116">
      <w:pPr>
        <w:numPr>
          <w:ilvl w:val="0"/>
          <w:numId w:val="1"/>
        </w:numPr>
        <w:spacing w:line="360" w:lineRule="auto"/>
        <w:ind w:left="0" w:right="49" w:firstLine="0"/>
        <w:jc w:val="both"/>
        <w:rPr>
          <w:rFonts w:ascii="Palatino Linotype" w:eastAsia="Palatino Linotype" w:hAnsi="Palatino Linotype" w:cs="Palatino Linotype"/>
        </w:rPr>
      </w:pPr>
      <w:r w:rsidRPr="00D134CE">
        <w:rPr>
          <w:rFonts w:ascii="Palatino Linotype" w:eastAsia="Palatino Linotype" w:hAnsi="Palatino Linotype" w:cs="Palatino Linotype"/>
        </w:rPr>
        <w:t xml:space="preserve">Por otro lado, el ahora </w:t>
      </w:r>
      <w:r w:rsidRPr="00D134CE">
        <w:rPr>
          <w:rFonts w:ascii="Palatino Linotype" w:eastAsia="Palatino Linotype" w:hAnsi="Palatino Linotype" w:cs="Palatino Linotype"/>
          <w:b/>
        </w:rPr>
        <w:t>RECURRENTE</w:t>
      </w:r>
      <w:r w:rsidRPr="00D134CE">
        <w:rPr>
          <w:rFonts w:ascii="Palatino Linotype" w:eastAsia="Palatino Linotype" w:hAnsi="Palatino Linotype" w:cs="Palatino Linotype"/>
        </w:rPr>
        <w:t xml:space="preserve"> en su escrito recursal, tuvo a bien añadir el siguiente requerimiento </w:t>
      </w:r>
      <w:r w:rsidRPr="00D134CE">
        <w:rPr>
          <w:rFonts w:ascii="Palatino Linotype" w:eastAsia="Palatino Linotype" w:hAnsi="Palatino Linotype" w:cs="Palatino Linotype"/>
          <w:i/>
        </w:rPr>
        <w:t xml:space="preserve">"Sitcuain que pido se anexe la declaración fiscal del sujeto que se beneficia por </w:t>
      </w:r>
      <w:r w:rsidRPr="00D134CE">
        <w:rPr>
          <w:rFonts w:ascii="Palatino Linotype" w:eastAsia="Palatino Linotype" w:hAnsi="Palatino Linotype" w:cs="Palatino Linotype"/>
          <w:i/>
        </w:rPr>
        <w:lastRenderedPageBreak/>
        <w:t xml:space="preserve">ese préstamo de instalaciones a título gratuito para vender productos" </w:t>
      </w:r>
      <w:r w:rsidRPr="00D134CE">
        <w:rPr>
          <w:rFonts w:ascii="Palatino Linotype" w:eastAsia="Palatino Linotype" w:hAnsi="Palatino Linotype" w:cs="Palatino Linotype"/>
        </w:rPr>
        <w:t xml:space="preserve">requerimiento que deviene inatendible; toda vez que corresponden a nuevos requerimientos que no formaban parte de la solicitud inicial. </w:t>
      </w:r>
    </w:p>
    <w:p w:rsidR="00030952" w:rsidRPr="00D134CE" w:rsidRDefault="00030952" w:rsidP="004C1116">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030952" w:rsidRPr="00D134CE" w:rsidRDefault="00030952" w:rsidP="004C1116">
      <w:pPr>
        <w:numPr>
          <w:ilvl w:val="0"/>
          <w:numId w:val="1"/>
        </w:numPr>
        <w:spacing w:line="360" w:lineRule="auto"/>
        <w:ind w:left="0" w:right="49" w:firstLine="0"/>
        <w:jc w:val="both"/>
        <w:rPr>
          <w:rFonts w:ascii="Palatino Linotype" w:eastAsia="Palatino Linotype" w:hAnsi="Palatino Linotype" w:cs="Palatino Linotype"/>
        </w:rPr>
      </w:pPr>
      <w:r w:rsidRPr="00D134CE">
        <w:rPr>
          <w:rFonts w:ascii="Palatino Linotype" w:eastAsia="Palatino Linotype" w:hAnsi="Palatino Linotype" w:cs="Palatino Linotype"/>
        </w:rPr>
        <w:t xml:space="preserve">Por lo que al momento de rendir manifestaciones el particular agregó nuevos puntos a su solicitud de información, lo que se aleja de la materia que dio origen a la respuesta del </w:t>
      </w:r>
      <w:r w:rsidRPr="00D134CE">
        <w:rPr>
          <w:rFonts w:ascii="Palatino Linotype" w:eastAsia="Palatino Linotype" w:hAnsi="Palatino Linotype" w:cs="Palatino Linotype"/>
          <w:b/>
          <w:bCs/>
        </w:rPr>
        <w:t>SUJETO OBLIGADO.</w:t>
      </w:r>
      <w:r w:rsidRPr="00D134CE">
        <w:rPr>
          <w:rFonts w:ascii="Palatino Linotype" w:eastAsia="Palatino Linotype" w:hAnsi="Palatino Linotype" w:cs="Palatino Linotype"/>
        </w:rPr>
        <w:t xml:space="preserve"> A mayor abundamiento, los nuevos puntos de la solicitud son considerados “</w:t>
      </w:r>
      <w:r w:rsidRPr="00D134CE">
        <w:rPr>
          <w:rFonts w:ascii="Palatino Linotype" w:eastAsia="Palatino Linotype" w:hAnsi="Palatino Linotype" w:cs="Palatino Linotype"/>
          <w:b/>
          <w:bCs/>
          <w:i/>
          <w:iCs/>
        </w:rPr>
        <w:t>plus petitio”</w:t>
      </w:r>
      <w:r w:rsidRPr="00D134CE">
        <w:rPr>
          <w:rFonts w:ascii="Palatino Linotype" w:eastAsia="Palatino Linotype" w:hAnsi="Palatino Linotype" w:cs="Palatino Linotype"/>
          <w:i/>
          <w:iCs/>
        </w:rPr>
        <w:t xml:space="preserve"> </w:t>
      </w:r>
      <w:r w:rsidRPr="00D134CE">
        <w:rPr>
          <w:rFonts w:ascii="Palatino Linotype" w:eastAsia="Palatino Linotype" w:hAnsi="Palatino Linotype" w:cs="Palatino Linotype"/>
        </w:rPr>
        <w:t>y no son susceptibles de ser valorados.</w:t>
      </w:r>
    </w:p>
    <w:p w:rsidR="00030952" w:rsidRPr="00D134CE" w:rsidRDefault="00030952" w:rsidP="004C1116">
      <w:pPr>
        <w:tabs>
          <w:tab w:val="left" w:pos="7088"/>
        </w:tabs>
        <w:spacing w:line="360" w:lineRule="auto"/>
        <w:jc w:val="both"/>
        <w:rPr>
          <w:rFonts w:ascii="Palatino Linotype" w:eastAsia="Palatino Linotype" w:hAnsi="Palatino Linotype" w:cs="Palatino Linotype"/>
        </w:rPr>
      </w:pPr>
    </w:p>
    <w:p w:rsidR="00030952" w:rsidRPr="00D134CE" w:rsidRDefault="00030952" w:rsidP="004C1116">
      <w:pPr>
        <w:numPr>
          <w:ilvl w:val="0"/>
          <w:numId w:val="1"/>
        </w:numPr>
        <w:spacing w:line="360" w:lineRule="auto"/>
        <w:ind w:left="0" w:right="49" w:firstLine="0"/>
        <w:jc w:val="both"/>
        <w:rPr>
          <w:rFonts w:ascii="Palatino Linotype" w:eastAsia="Palatino Linotype" w:hAnsi="Palatino Linotype" w:cs="Palatino Linotype"/>
        </w:rPr>
      </w:pPr>
      <w:r w:rsidRPr="00D134CE">
        <w:rPr>
          <w:rFonts w:ascii="Palatino Linotype" w:eastAsia="Palatino Linotype" w:hAnsi="Palatino Linotype" w:cs="Palatino Linotype"/>
        </w:rPr>
        <w:t>Viene a colación, el artículo 36 fracción II, de la Ley de Transparencia y Acceso a la Información Pública del Estado de México y Municipios, por el cual este Instituto no está facultado para resolver con respecto a ampliaciones a solicitudes de información presentadas por medios distintos a los que señala el artículo 155 del multicitado ordenamiento, por lo que el recurso de revisión no constituye un medio válido para solicitar información adicional.</w:t>
      </w:r>
    </w:p>
    <w:p w:rsidR="00030952" w:rsidRPr="00D134CE" w:rsidRDefault="00030952" w:rsidP="004C1116">
      <w:pPr>
        <w:tabs>
          <w:tab w:val="left" w:pos="7088"/>
        </w:tabs>
        <w:spacing w:line="360" w:lineRule="auto"/>
        <w:jc w:val="both"/>
        <w:rPr>
          <w:rFonts w:ascii="Palatino Linotype" w:eastAsia="Palatino Linotype" w:hAnsi="Palatino Linotype" w:cs="Palatino Linotype"/>
        </w:rPr>
      </w:pPr>
    </w:p>
    <w:p w:rsidR="00030952" w:rsidRPr="00D134CE" w:rsidRDefault="00030952" w:rsidP="004C1116">
      <w:pPr>
        <w:numPr>
          <w:ilvl w:val="0"/>
          <w:numId w:val="1"/>
        </w:numPr>
        <w:spacing w:line="360" w:lineRule="auto"/>
        <w:ind w:left="0" w:right="49" w:firstLine="0"/>
        <w:jc w:val="both"/>
        <w:rPr>
          <w:rFonts w:ascii="Palatino Linotype" w:eastAsia="Palatino Linotype" w:hAnsi="Palatino Linotype" w:cs="Palatino Linotype"/>
        </w:rPr>
      </w:pPr>
      <w:r w:rsidRPr="00D134CE">
        <w:rPr>
          <w:rFonts w:ascii="Palatino Linotype" w:eastAsia="Palatino Linotype" w:hAnsi="Palatino Linotype" w:cs="Palatino Linotype"/>
        </w:rPr>
        <w:t>Sirve de apoyo a lo anterior por analogía, la Jurisprudencia No. 29 visible a foja 19 del Apéndice al Semanario Judicial de la Federación 1917-1995, Tomo IV, Materia Común, Primera Parte, Tesis de la Suprema Corte de Justicia, que señala:</w:t>
      </w:r>
    </w:p>
    <w:p w:rsidR="00030952" w:rsidRPr="00D134CE" w:rsidRDefault="00030952" w:rsidP="004C1116">
      <w:pPr>
        <w:pBdr>
          <w:top w:val="nil"/>
          <w:left w:val="nil"/>
          <w:bottom w:val="nil"/>
          <w:right w:val="nil"/>
          <w:between w:val="nil"/>
        </w:pBdr>
        <w:spacing w:line="360" w:lineRule="auto"/>
        <w:ind w:left="567" w:right="567"/>
        <w:jc w:val="both"/>
        <w:rPr>
          <w:rFonts w:ascii="Palatino Linotype" w:eastAsia="Palatino Linotype" w:hAnsi="Palatino Linotype" w:cs="Palatino Linotype"/>
          <w:b/>
          <w:bCs/>
          <w:i/>
          <w:iCs/>
          <w:color w:val="000000"/>
        </w:rPr>
      </w:pPr>
      <w:r w:rsidRPr="00D134CE">
        <w:rPr>
          <w:rFonts w:ascii="Palatino Linotype" w:eastAsia="Palatino Linotype" w:hAnsi="Palatino Linotype" w:cs="Palatino Linotype"/>
          <w:b/>
          <w:bCs/>
          <w:i/>
          <w:iCs/>
          <w:color w:val="000000"/>
        </w:rPr>
        <w:t>“AGRAVIOS EN LA REVISIÓN. DEBEN ESTAR EN RELACIÓN DIRECTA CON LOS FUNDAMENTOS Y CONSIDERACIONES DE LA SENTENCIA</w:t>
      </w:r>
    </w:p>
    <w:p w:rsidR="00030952" w:rsidRPr="00D134CE" w:rsidRDefault="00030952" w:rsidP="004C1116">
      <w:pPr>
        <w:pBdr>
          <w:top w:val="nil"/>
          <w:left w:val="nil"/>
          <w:bottom w:val="nil"/>
          <w:right w:val="nil"/>
          <w:between w:val="nil"/>
        </w:pBdr>
        <w:spacing w:line="360" w:lineRule="auto"/>
        <w:ind w:left="567" w:right="567"/>
        <w:jc w:val="both"/>
        <w:rPr>
          <w:rFonts w:ascii="Palatino Linotype" w:eastAsia="Palatino Linotype" w:hAnsi="Palatino Linotype" w:cs="Palatino Linotype"/>
          <w:b/>
          <w:bCs/>
          <w:i/>
          <w:iCs/>
          <w:color w:val="000000"/>
        </w:rPr>
      </w:pPr>
      <w:r w:rsidRPr="00D134CE">
        <w:rPr>
          <w:rFonts w:ascii="Palatino Linotype" w:eastAsia="Palatino Linotype" w:hAnsi="Palatino Linotype" w:cs="Palatino Linotype"/>
          <w:i/>
          <w:iCs/>
          <w:color w:val="000000"/>
          <w:u w:val="single"/>
        </w:rPr>
        <w:t>Los agravios deben estar en relación directa e inmediata con los fundamentos contenidos en la sentencia que se recurre</w:t>
      </w:r>
      <w:r w:rsidRPr="00D134CE">
        <w:rPr>
          <w:rFonts w:ascii="Palatino Linotype" w:eastAsia="Palatino Linotype" w:hAnsi="Palatino Linotype" w:cs="Palatino Linotype"/>
          <w:i/>
          <w:iCs/>
          <w:color w:val="000000"/>
        </w:rPr>
        <w:t xml:space="preserve">, y forzosamente deben contener, no sólo la cita de las disposiciones legales que se estimen infringidas y su concepto, sino también la concordancia entre aquellas, este y las consideraciones que fundamenten esa propia sentencia, pues de adoptar lo contrario, </w:t>
      </w:r>
      <w:r w:rsidRPr="00D134CE">
        <w:rPr>
          <w:rFonts w:ascii="Palatino Linotype" w:eastAsia="Palatino Linotype" w:hAnsi="Palatino Linotype" w:cs="Palatino Linotype"/>
          <w:i/>
          <w:iCs/>
          <w:color w:val="000000"/>
        </w:rPr>
        <w:lastRenderedPageBreak/>
        <w:t>resultaría  la introducción de nuevas cuestiones en la revisión, que no constituyen su materia, toda vez que esta se limita al estudio integral del fallo que se combate, con vista de los motivos de inconformidad que plantean los recurrentes.”</w:t>
      </w:r>
    </w:p>
    <w:p w:rsidR="00030952" w:rsidRPr="00D134CE" w:rsidRDefault="00030952" w:rsidP="004C1116">
      <w:pPr>
        <w:tabs>
          <w:tab w:val="left" w:pos="7088"/>
          <w:tab w:val="left" w:pos="7230"/>
        </w:tabs>
        <w:spacing w:line="360" w:lineRule="auto"/>
        <w:jc w:val="both"/>
        <w:rPr>
          <w:rFonts w:ascii="Palatino Linotype" w:eastAsia="Palatino Linotype" w:hAnsi="Palatino Linotype" w:cs="Palatino Linotype"/>
        </w:rPr>
      </w:pPr>
    </w:p>
    <w:p w:rsidR="00030952" w:rsidRPr="00D134CE" w:rsidRDefault="00030952" w:rsidP="004C1116">
      <w:pPr>
        <w:numPr>
          <w:ilvl w:val="0"/>
          <w:numId w:val="1"/>
        </w:numPr>
        <w:spacing w:line="360" w:lineRule="auto"/>
        <w:ind w:left="0" w:right="49" w:firstLine="0"/>
        <w:jc w:val="both"/>
        <w:rPr>
          <w:rFonts w:ascii="Palatino Linotype" w:eastAsia="Palatino Linotype" w:hAnsi="Palatino Linotype" w:cs="Palatino Linotype"/>
        </w:rPr>
      </w:pPr>
      <w:r w:rsidRPr="00D134CE">
        <w:rPr>
          <w:rFonts w:ascii="Palatino Linotype" w:eastAsia="Palatino Linotype" w:hAnsi="Palatino Linotype" w:cs="Palatino Linotype"/>
        </w:rPr>
        <w:t>Por lo anterior, se establece que dentro del recurso de revisión presentado por la parte</w:t>
      </w:r>
      <w:r w:rsidRPr="00D134CE">
        <w:rPr>
          <w:rFonts w:ascii="Palatino Linotype" w:eastAsia="Palatino Linotype" w:hAnsi="Palatino Linotype" w:cs="Palatino Linotype"/>
          <w:b/>
          <w:bCs/>
        </w:rPr>
        <w:t xml:space="preserve"> RECURRE</w:t>
      </w:r>
      <w:r w:rsidRPr="00D134CE">
        <w:rPr>
          <w:rFonts w:ascii="Palatino Linotype" w:eastAsia="Palatino Linotype" w:hAnsi="Palatino Linotype" w:cs="Palatino Linotype"/>
        </w:rPr>
        <w:t>N</w:t>
      </w:r>
      <w:r w:rsidRPr="00D134CE">
        <w:rPr>
          <w:rFonts w:ascii="Palatino Linotype" w:eastAsia="Palatino Linotype" w:hAnsi="Palatino Linotype" w:cs="Palatino Linotype"/>
          <w:b/>
          <w:bCs/>
        </w:rPr>
        <w:t xml:space="preserve">TE </w:t>
      </w:r>
      <w:r w:rsidRPr="00D134CE">
        <w:rPr>
          <w:rFonts w:ascii="Palatino Linotype" w:eastAsia="Palatino Linotype" w:hAnsi="Palatino Linotype" w:cs="Palatino Linotype"/>
        </w:rPr>
        <w:t>no debe variar el fondo de la</w:t>
      </w:r>
      <w:r w:rsidRPr="00D134CE">
        <w:rPr>
          <w:rFonts w:ascii="Palatino Linotype" w:eastAsia="Palatino Linotype" w:hAnsi="Palatino Linotype" w:cs="Palatino Linotype"/>
          <w:i/>
          <w:iCs/>
        </w:rPr>
        <w:t xml:space="preserve"> Litis,</w:t>
      </w:r>
      <w:r w:rsidRPr="00D134CE">
        <w:rPr>
          <w:rFonts w:ascii="Palatino Linotype" w:eastAsia="Palatino Linotype" w:hAnsi="Palatino Linotype" w:cs="Palatino Linotype"/>
        </w:rPr>
        <w:t xml:space="preserve"> de tal manera que la manifestación a que se ha hecho referencia y que fue vertida en sus motivos de inconformidad, resulta notoriamente improcedente, pues este Órgano Garante se encuentra imposibilitado para satisfacer requerimientos que no fueron formulados en tiempo y forma. </w:t>
      </w:r>
    </w:p>
    <w:p w:rsidR="00030952" w:rsidRPr="00D134CE" w:rsidRDefault="00030952" w:rsidP="004C1116">
      <w:pPr>
        <w:tabs>
          <w:tab w:val="left" w:pos="7088"/>
          <w:tab w:val="left" w:pos="7230"/>
        </w:tabs>
        <w:spacing w:line="360" w:lineRule="auto"/>
        <w:jc w:val="both"/>
        <w:rPr>
          <w:rFonts w:ascii="Palatino Linotype" w:eastAsia="Palatino Linotype" w:hAnsi="Palatino Linotype" w:cs="Palatino Linotype"/>
        </w:rPr>
      </w:pPr>
    </w:p>
    <w:p w:rsidR="00030952" w:rsidRPr="00D134CE" w:rsidRDefault="00030952" w:rsidP="004C1116">
      <w:pPr>
        <w:numPr>
          <w:ilvl w:val="0"/>
          <w:numId w:val="1"/>
        </w:numPr>
        <w:spacing w:line="360" w:lineRule="auto"/>
        <w:ind w:left="0" w:right="49" w:firstLine="0"/>
        <w:jc w:val="both"/>
        <w:rPr>
          <w:rFonts w:ascii="Palatino Linotype" w:eastAsia="Palatino Linotype" w:hAnsi="Palatino Linotype" w:cs="Palatino Linotype"/>
        </w:rPr>
      </w:pPr>
      <w:r w:rsidRPr="00D134CE">
        <w:rPr>
          <w:rFonts w:ascii="Palatino Linotype" w:eastAsia="Palatino Linotype" w:hAnsi="Palatino Linotype" w:cs="Palatino Linotype"/>
        </w:rPr>
        <w:t>De igual manera, tiene aplicación al respecto por analogía, la tesis aislada número I.8o.A.136 A, de la Novena Época, publicada en el Seminario Oficial de la Federación y su Gaceta Tomo XXIX, Marzo de 2009, página 2887, con número de registro 167607, que lleva por rubro y texto los siguientes:</w:t>
      </w:r>
    </w:p>
    <w:p w:rsidR="00030952" w:rsidRPr="00D134CE" w:rsidRDefault="00030952" w:rsidP="004C1116">
      <w:pPr>
        <w:pBdr>
          <w:top w:val="nil"/>
          <w:left w:val="nil"/>
          <w:bottom w:val="nil"/>
          <w:right w:val="nil"/>
          <w:between w:val="nil"/>
        </w:pBdr>
        <w:spacing w:line="360" w:lineRule="auto"/>
        <w:ind w:left="567" w:right="709"/>
        <w:jc w:val="both"/>
        <w:rPr>
          <w:rFonts w:ascii="Palatino Linotype" w:eastAsia="Palatino Linotype" w:hAnsi="Palatino Linotype" w:cs="Palatino Linotype"/>
          <w:b/>
          <w:bCs/>
          <w:i/>
          <w:iCs/>
          <w:color w:val="000000"/>
        </w:rPr>
      </w:pPr>
      <w:r w:rsidRPr="00D134CE">
        <w:rPr>
          <w:rFonts w:ascii="Palatino Linotype" w:eastAsia="Palatino Linotype" w:hAnsi="Palatino Linotype" w:cs="Palatino Linotype"/>
          <w:b/>
          <w:bCs/>
          <w:i/>
          <w:iCs/>
          <w:color w:val="000000"/>
        </w:rPr>
        <w:t xml:space="preserve">“TRANSPARENCIA Y ACCESO A LA INFORMACIÓN PÚBLICA GUBERNAMENTAL. LOS ARTÍCULOS 1, 2 Y 6 DE LA LEY FEDERAL RELATIVA, NO DEBEN INTERPRETARSE EN EL SENTIDO DE PERMITIR AL GOBERNADO QUE A SU ARBITRIO SOLICITE COPIA DE DOCUMENTOS QUE NO OBREN EN LOS EXPEDIENTES DE LOS SUJETOS OBLIGADOS, O SEAN DISTINTOS A LOS DE SU PETICIÓN INICIAL. </w:t>
      </w:r>
    </w:p>
    <w:p w:rsidR="00030952" w:rsidRPr="00D134CE" w:rsidRDefault="00030952" w:rsidP="004C1116">
      <w:pPr>
        <w:pBdr>
          <w:top w:val="nil"/>
          <w:left w:val="nil"/>
          <w:bottom w:val="nil"/>
          <w:right w:val="nil"/>
          <w:between w:val="nil"/>
        </w:pBdr>
        <w:spacing w:line="360" w:lineRule="auto"/>
        <w:ind w:left="567" w:right="709"/>
        <w:jc w:val="both"/>
        <w:rPr>
          <w:rFonts w:ascii="Palatino Linotype" w:eastAsia="Palatino Linotype" w:hAnsi="Palatino Linotype" w:cs="Palatino Linotype"/>
          <w:i/>
          <w:iCs/>
          <w:color w:val="000000"/>
        </w:rPr>
      </w:pPr>
      <w:r w:rsidRPr="00D134CE">
        <w:rPr>
          <w:rFonts w:ascii="Palatino Linotype" w:eastAsia="Palatino Linotype" w:hAnsi="Palatino Linotype" w:cs="Palatino Linotype"/>
          <w:i/>
          <w:iCs/>
          <w:color w:val="000000"/>
        </w:rPr>
        <w:t xml:space="preserve">Si bien es cierto que los artículos 1 y 2 de la Ley Federal de Transparencia y Acceso a la Información Pública Gubernamental establecen, respectivamente, que dicho ordenamiento tiene como finalidad proveer lo necesario para garantizar el acceso de toda persona a la información en posesión de los Poderes de la Unión, los órganos constitucionales autónomos </w:t>
      </w:r>
      <w:r w:rsidRPr="00D134CE">
        <w:rPr>
          <w:rFonts w:ascii="Palatino Linotype" w:eastAsia="Palatino Linotype" w:hAnsi="Palatino Linotype" w:cs="Palatino Linotype"/>
          <w:i/>
          <w:iCs/>
          <w:color w:val="000000"/>
        </w:rPr>
        <w:lastRenderedPageBreak/>
        <w:t xml:space="preserve">o con autonomía legal y cualquier otra entidad federal, así como que toda la información gubernamental a que se refiere dicha ley es pública y los particulares tendrán acceso a ella en los términos que en ésta se señalen y que, por otra parte, </w:t>
      </w:r>
      <w:r w:rsidRPr="00D134CE">
        <w:rPr>
          <w:rFonts w:ascii="Palatino Linotype" w:eastAsia="Palatino Linotype" w:hAnsi="Palatino Linotype" w:cs="Palatino Linotype"/>
          <w:i/>
          <w:iCs/>
          <w:color w:val="000000"/>
          <w:u w:val="single"/>
        </w:rPr>
        <w:t>el precepto 6 de la propia legislación prevé el principio de máxima publicidad y disponibilidad de la información en posesión de los sujetos obligados;</w:t>
      </w:r>
      <w:r w:rsidRPr="00D134CE">
        <w:rPr>
          <w:rFonts w:ascii="Palatino Linotype" w:eastAsia="Palatino Linotype" w:hAnsi="Palatino Linotype" w:cs="Palatino Linotype"/>
          <w:i/>
          <w:iCs/>
          <w:color w:val="000000"/>
        </w:rPr>
        <w:t xml:space="preserve"> también lo es que ello no implica que tales numerales deban interpretarse en el sentido de permitir al gobernado que a su arbitrio solicite copia de documentos que no obren en los expedientes de los sujetos obligados, </w:t>
      </w:r>
      <w:r w:rsidRPr="00D134CE">
        <w:rPr>
          <w:rFonts w:ascii="Palatino Linotype" w:eastAsia="Palatino Linotype" w:hAnsi="Palatino Linotype" w:cs="Palatino Linotype"/>
          <w:i/>
          <w:iCs/>
          <w:color w:val="000000"/>
          <w:u w:val="single"/>
        </w:rPr>
        <w:t>o sean distintos a los de su petición inicial, pues ello contravendría el artículo 42 de la citada ley, que señala que las dependencias y entidades sólo estarán obligadas a entregar los documentos que se encuentran en sus archivos –los solicitados- y que la obligación de acceso a la información se dará por cumplida cuando se pongan a disposición del solicitante para consulta en el sitio donde se encuentren.</w:t>
      </w:r>
    </w:p>
    <w:p w:rsidR="00030952" w:rsidRPr="00D134CE" w:rsidRDefault="00030952" w:rsidP="004C1116">
      <w:pPr>
        <w:pBdr>
          <w:top w:val="nil"/>
          <w:left w:val="nil"/>
          <w:bottom w:val="nil"/>
          <w:right w:val="nil"/>
          <w:between w:val="nil"/>
        </w:pBdr>
        <w:spacing w:line="360" w:lineRule="auto"/>
        <w:ind w:left="567" w:right="709"/>
        <w:jc w:val="both"/>
        <w:rPr>
          <w:rFonts w:ascii="Palatino Linotype" w:eastAsia="Palatino Linotype" w:hAnsi="Palatino Linotype" w:cs="Palatino Linotype"/>
          <w:b/>
          <w:bCs/>
          <w:i/>
          <w:iCs/>
          <w:color w:val="000000"/>
        </w:rPr>
      </w:pPr>
      <w:r w:rsidRPr="00D134CE">
        <w:rPr>
          <w:rFonts w:ascii="Palatino Linotype" w:eastAsia="Palatino Linotype" w:hAnsi="Palatino Linotype" w:cs="Palatino Linotype"/>
          <w:i/>
          <w:iCs/>
          <w:color w:val="000000"/>
        </w:rPr>
        <w:t>OCTAVO TRIBUNAL COLEGIADO EN MATERIA ADMINISTRATIVA DEL PRIMER CIRCUITO.”</w:t>
      </w:r>
    </w:p>
    <w:p w:rsidR="00030952" w:rsidRPr="00D134CE" w:rsidRDefault="00030952" w:rsidP="004C1116">
      <w:pPr>
        <w:spacing w:line="360" w:lineRule="auto"/>
        <w:jc w:val="both"/>
        <w:rPr>
          <w:rFonts w:ascii="Palatino Linotype" w:eastAsia="Palatino Linotype" w:hAnsi="Palatino Linotype" w:cs="Palatino Linotype"/>
        </w:rPr>
      </w:pPr>
    </w:p>
    <w:p w:rsidR="00030952" w:rsidRPr="00D134CE" w:rsidRDefault="00030952" w:rsidP="004C1116">
      <w:pPr>
        <w:numPr>
          <w:ilvl w:val="0"/>
          <w:numId w:val="1"/>
        </w:numPr>
        <w:spacing w:line="360" w:lineRule="auto"/>
        <w:ind w:left="0" w:right="49" w:firstLine="0"/>
        <w:jc w:val="both"/>
        <w:rPr>
          <w:rFonts w:ascii="Palatino Linotype" w:eastAsia="Palatino Linotype" w:hAnsi="Palatino Linotype" w:cs="Palatino Linotype"/>
        </w:rPr>
      </w:pPr>
      <w:r w:rsidRPr="00D134CE">
        <w:rPr>
          <w:rFonts w:ascii="Palatino Linotype" w:eastAsia="Palatino Linotype" w:hAnsi="Palatino Linotype" w:cs="Palatino Linotype"/>
        </w:rPr>
        <w:t xml:space="preserve">De manera complementaria, el entonces Instituto Nacional de Transparencia, Acceso a la Información y Protección de Datos Personales, sostuvo la improcedencia de ampliar las solicitudes de información pública o de datos personales a través de la interposición del recurso de revisión, como se estima acontece en el anterior asunto. Lo anterior de conformidad con el Criterio 27/10; por lo que este Órgano Garante insiste en la imposibilidad de entrar al estudio de información novedosa. Criterio que es de la literalidad siguiente: </w:t>
      </w:r>
    </w:p>
    <w:p w:rsidR="00030952" w:rsidRPr="00D134CE" w:rsidRDefault="00030952" w:rsidP="004C1116">
      <w:pPr>
        <w:pBdr>
          <w:top w:val="nil"/>
          <w:left w:val="nil"/>
          <w:bottom w:val="nil"/>
          <w:right w:val="nil"/>
          <w:between w:val="nil"/>
        </w:pBdr>
        <w:spacing w:line="360" w:lineRule="auto"/>
        <w:ind w:left="567" w:right="567"/>
        <w:jc w:val="both"/>
        <w:rPr>
          <w:rFonts w:ascii="Palatino Linotype" w:eastAsia="Palatino Linotype" w:hAnsi="Palatino Linotype" w:cs="Palatino Linotype"/>
          <w:b/>
          <w:bCs/>
          <w:i/>
          <w:iCs/>
          <w:color w:val="000000"/>
        </w:rPr>
      </w:pPr>
      <w:r w:rsidRPr="00D134CE">
        <w:rPr>
          <w:rFonts w:ascii="Palatino Linotype" w:eastAsia="Palatino Linotype" w:hAnsi="Palatino Linotype" w:cs="Palatino Linotype"/>
          <w:b/>
          <w:bCs/>
          <w:i/>
          <w:iCs/>
          <w:color w:val="000000"/>
        </w:rPr>
        <w:t>“ES IMPROCEDENTE AMPLIAR LAS SOLICITUDES DE ACCESO A INFORMACIÓN PÚBLICA O DATOS PERSONALES, A TRAVÉS DE LA INTERPOSICIÓN DEL RECURSO DE REVISIÓN</w:t>
      </w:r>
    </w:p>
    <w:p w:rsidR="00030952" w:rsidRPr="00D134CE" w:rsidRDefault="00030952" w:rsidP="004C1116">
      <w:pPr>
        <w:pBdr>
          <w:top w:val="nil"/>
          <w:left w:val="nil"/>
          <w:bottom w:val="nil"/>
          <w:right w:val="nil"/>
          <w:between w:val="nil"/>
        </w:pBdr>
        <w:spacing w:line="360" w:lineRule="auto"/>
        <w:ind w:left="567" w:right="567"/>
        <w:jc w:val="both"/>
        <w:rPr>
          <w:rFonts w:ascii="Palatino Linotype" w:eastAsia="Palatino Linotype" w:hAnsi="Palatino Linotype" w:cs="Palatino Linotype"/>
          <w:i/>
          <w:iCs/>
          <w:color w:val="000000"/>
        </w:rPr>
      </w:pPr>
      <w:r w:rsidRPr="00D134CE">
        <w:rPr>
          <w:rFonts w:ascii="Palatino Linotype" w:eastAsia="Palatino Linotype" w:hAnsi="Palatino Linotype" w:cs="Palatino Linotype"/>
          <w:i/>
          <w:iCs/>
          <w:color w:val="000000"/>
        </w:rPr>
        <w:lastRenderedPageBreak/>
        <w:t xml:space="preserve">En aquellos casos en los que los recurrentes amplíen los alcances de la solicitud de información o acceso a datos personales a través de un recurso de revisión, esta ampliación no podrá constituir materia del procedimiento a sustanciarse por el Instituto Federal de Acceso a la Información y Protección de Datos. Lo anterior, sin perjuicio de que los recurrentes puedan ejercer su derecho a realizar una nueva solicitud en términos de la Ley de la materia. </w:t>
      </w:r>
    </w:p>
    <w:p w:rsidR="00030952" w:rsidRPr="00D134CE" w:rsidRDefault="00030952" w:rsidP="004C1116">
      <w:pPr>
        <w:pBdr>
          <w:top w:val="nil"/>
          <w:left w:val="nil"/>
          <w:bottom w:val="nil"/>
          <w:right w:val="nil"/>
          <w:between w:val="nil"/>
        </w:pBdr>
        <w:spacing w:line="360" w:lineRule="auto"/>
        <w:ind w:left="567" w:right="567"/>
        <w:jc w:val="both"/>
        <w:rPr>
          <w:rFonts w:ascii="Palatino Linotype" w:eastAsia="Palatino Linotype" w:hAnsi="Palatino Linotype" w:cs="Palatino Linotype"/>
          <w:b/>
          <w:bCs/>
          <w:i/>
          <w:iCs/>
          <w:color w:val="000000"/>
        </w:rPr>
      </w:pPr>
    </w:p>
    <w:p w:rsidR="00030952" w:rsidRPr="00D134CE" w:rsidRDefault="00030952" w:rsidP="004C1116">
      <w:pPr>
        <w:numPr>
          <w:ilvl w:val="0"/>
          <w:numId w:val="1"/>
        </w:numPr>
        <w:spacing w:line="360" w:lineRule="auto"/>
        <w:ind w:left="0" w:right="49" w:firstLine="0"/>
        <w:jc w:val="both"/>
        <w:rPr>
          <w:rFonts w:ascii="Palatino Linotype" w:eastAsia="Palatino Linotype" w:hAnsi="Palatino Linotype" w:cs="Palatino Linotype"/>
        </w:rPr>
      </w:pPr>
      <w:r w:rsidRPr="00D134CE">
        <w:rPr>
          <w:rFonts w:ascii="Palatino Linotype" w:eastAsia="Palatino Linotype" w:hAnsi="Palatino Linotype" w:cs="Palatino Linotype"/>
        </w:rPr>
        <w:t>Acotado lo anterior, se procede al análisis de los rubros impugnados</w:t>
      </w:r>
      <w:r w:rsidR="00C2311E" w:rsidRPr="00D134CE">
        <w:rPr>
          <w:rFonts w:ascii="Palatino Linotype" w:eastAsia="Palatino Linotype" w:hAnsi="Palatino Linotype" w:cs="Palatino Linotype"/>
        </w:rPr>
        <w:t xml:space="preserve">, trayendo a contexto primeramente el relativo a los recibos de nómina, de los dos servidores públicos (consentidos) que se señaló se encuentran adscritos a la Unidad Deportiva de la que se solicita la información. De los que se </w:t>
      </w:r>
      <w:r w:rsidR="00087840" w:rsidRPr="00D134CE">
        <w:rPr>
          <w:rFonts w:ascii="Palatino Linotype" w:eastAsia="Palatino Linotype" w:hAnsi="Palatino Linotype" w:cs="Palatino Linotype"/>
        </w:rPr>
        <w:t>entregaron</w:t>
      </w:r>
      <w:r w:rsidR="00C2311E" w:rsidRPr="00D134CE">
        <w:rPr>
          <w:rFonts w:ascii="Palatino Linotype" w:eastAsia="Palatino Linotype" w:hAnsi="Palatino Linotype" w:cs="Palatino Linotype"/>
        </w:rPr>
        <w:t xml:space="preserve"> dos recibos de pago que ciertamente como aduce el solicitante no corresponden en estricto sentido a los recibos de nómina</w:t>
      </w:r>
      <w:r w:rsidR="00087840" w:rsidRPr="00D134CE">
        <w:rPr>
          <w:rFonts w:ascii="Palatino Linotype" w:eastAsia="Palatino Linotype" w:hAnsi="Palatino Linotype" w:cs="Palatino Linotype"/>
        </w:rPr>
        <w:t>, pero con independencia de ello, se testaron datos susceptibles de ser puestos a la vista como lo es de manera enunciativa mas no limitativa: nombre completo del servidor público, fecha de ingreso, sueldo diario, percepciones, firma.</w:t>
      </w:r>
    </w:p>
    <w:p w:rsidR="00C2311E" w:rsidRPr="00D134CE" w:rsidRDefault="00C2311E" w:rsidP="004C1116">
      <w:pPr>
        <w:spacing w:line="360" w:lineRule="auto"/>
        <w:ind w:right="49"/>
        <w:jc w:val="both"/>
        <w:rPr>
          <w:rFonts w:ascii="Palatino Linotype" w:eastAsia="Palatino Linotype" w:hAnsi="Palatino Linotype" w:cs="Palatino Linotype"/>
        </w:rPr>
      </w:pPr>
    </w:p>
    <w:p w:rsidR="00030952" w:rsidRPr="00D134CE" w:rsidRDefault="00087840" w:rsidP="004C1116">
      <w:pPr>
        <w:numPr>
          <w:ilvl w:val="0"/>
          <w:numId w:val="1"/>
        </w:numPr>
        <w:spacing w:line="360" w:lineRule="auto"/>
        <w:ind w:left="0" w:right="49" w:firstLine="0"/>
        <w:jc w:val="both"/>
        <w:rPr>
          <w:rFonts w:ascii="Palatino Linotype" w:eastAsia="Palatino Linotype" w:hAnsi="Palatino Linotype" w:cs="Palatino Linotype"/>
        </w:rPr>
      </w:pPr>
      <w:r w:rsidRPr="00D134CE">
        <w:rPr>
          <w:rFonts w:ascii="Palatino Linotype" w:eastAsia="Palatino Linotype" w:hAnsi="Palatino Linotype" w:cs="Palatino Linotype"/>
        </w:rPr>
        <w:t xml:space="preserve">No obstante en un hecho posterior, en calidad de informe justificado, el </w:t>
      </w:r>
      <w:r w:rsidRPr="00D134CE">
        <w:rPr>
          <w:rFonts w:ascii="Palatino Linotype" w:eastAsia="Palatino Linotype" w:hAnsi="Palatino Linotype" w:cs="Palatino Linotype"/>
          <w:b/>
        </w:rPr>
        <w:t>SUJETO OBLIGADO</w:t>
      </w:r>
      <w:r w:rsidR="001772CE" w:rsidRPr="00D134CE">
        <w:rPr>
          <w:rFonts w:ascii="Palatino Linotype" w:eastAsia="Palatino Linotype" w:hAnsi="Palatino Linotype" w:cs="Palatino Linotype"/>
        </w:rPr>
        <w:t xml:space="preserve"> modificó</w:t>
      </w:r>
      <w:r w:rsidRPr="00D134CE">
        <w:rPr>
          <w:rFonts w:ascii="Palatino Linotype" w:eastAsia="Palatino Linotype" w:hAnsi="Palatino Linotype" w:cs="Palatino Linotype"/>
        </w:rPr>
        <w:t xml:space="preserve"> su respuesta y remit</w:t>
      </w:r>
      <w:r w:rsidR="001772CE" w:rsidRPr="00D134CE">
        <w:rPr>
          <w:rFonts w:ascii="Palatino Linotype" w:eastAsia="Palatino Linotype" w:hAnsi="Palatino Linotype" w:cs="Palatino Linotype"/>
        </w:rPr>
        <w:t>ió</w:t>
      </w:r>
      <w:r w:rsidRPr="00D134CE">
        <w:rPr>
          <w:rFonts w:ascii="Palatino Linotype" w:eastAsia="Palatino Linotype" w:hAnsi="Palatino Linotype" w:cs="Palatino Linotype"/>
        </w:rPr>
        <w:t xml:space="preserve"> los recibos de nómina de los mismos dos servidores públicos</w:t>
      </w:r>
      <w:r w:rsidR="001A65E8" w:rsidRPr="00D134CE">
        <w:rPr>
          <w:rFonts w:ascii="Palatino Linotype" w:eastAsia="Palatino Linotype" w:hAnsi="Palatino Linotype" w:cs="Palatino Linotype"/>
        </w:rPr>
        <w:t>, de la misma segunda quincena del mes de octubre de dos mil veinticinco</w:t>
      </w:r>
      <w:r w:rsidR="001772CE" w:rsidRPr="00D134CE">
        <w:rPr>
          <w:rFonts w:ascii="Palatino Linotype" w:eastAsia="Palatino Linotype" w:hAnsi="Palatino Linotype" w:cs="Palatino Linotype"/>
        </w:rPr>
        <w:t>; sin embargo resultan insuficientes para tener por colmado el rubro de mérito; toda vez que nuevamente se advierten testados de manera excesiva, en los datos antes señalados.</w:t>
      </w:r>
    </w:p>
    <w:p w:rsidR="00144EDA" w:rsidRPr="00D134CE" w:rsidRDefault="00144EDA" w:rsidP="004C1116">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030952" w:rsidRPr="00D134CE" w:rsidRDefault="00372598" w:rsidP="004C1116">
      <w:pPr>
        <w:numPr>
          <w:ilvl w:val="0"/>
          <w:numId w:val="1"/>
        </w:numPr>
        <w:spacing w:line="360" w:lineRule="auto"/>
        <w:ind w:left="0" w:right="49" w:firstLine="0"/>
        <w:jc w:val="both"/>
        <w:rPr>
          <w:rFonts w:ascii="Palatino Linotype" w:eastAsia="Palatino Linotype" w:hAnsi="Palatino Linotype" w:cs="Palatino Linotype"/>
        </w:rPr>
      </w:pPr>
      <w:r w:rsidRPr="00D134CE">
        <w:rPr>
          <w:rFonts w:ascii="Palatino Linotype" w:eastAsia="Palatino Linotype" w:hAnsi="Palatino Linotype" w:cs="Palatino Linotype"/>
        </w:rPr>
        <w:t>Luego entonces, lo dable es ordenar los recibos de nómina remitidos en calidad de informe justificado, en correcta versión pública conforme a las siguientes consideraciones.</w:t>
      </w:r>
    </w:p>
    <w:p w:rsidR="00372598" w:rsidRPr="00D134CE" w:rsidRDefault="00372598" w:rsidP="004C1116">
      <w:pPr>
        <w:pStyle w:val="Prrafodelista"/>
        <w:spacing w:line="360" w:lineRule="auto"/>
        <w:rPr>
          <w:rFonts w:ascii="Palatino Linotype" w:eastAsia="Palatino Linotype" w:hAnsi="Palatino Linotype" w:cs="Palatino Linotype"/>
        </w:rPr>
      </w:pPr>
    </w:p>
    <w:p w:rsidR="00372598" w:rsidRPr="00D134CE" w:rsidRDefault="00372598" w:rsidP="004C1116">
      <w:pPr>
        <w:numPr>
          <w:ilvl w:val="0"/>
          <w:numId w:val="1"/>
        </w:numPr>
        <w:spacing w:line="360" w:lineRule="auto"/>
        <w:ind w:left="0" w:right="49" w:firstLine="0"/>
        <w:jc w:val="both"/>
        <w:rPr>
          <w:rFonts w:ascii="Palatino Linotype" w:hAnsi="Palatino Linotype" w:cs="Arial"/>
          <w:lang w:eastAsia="es-ES"/>
        </w:rPr>
      </w:pPr>
      <w:r w:rsidRPr="00D134CE">
        <w:rPr>
          <w:rFonts w:ascii="Palatino Linotype" w:hAnsi="Palatino Linotype" w:cs="Arial"/>
          <w:lang w:eastAsia="es-ES"/>
        </w:rPr>
        <w:lastRenderedPageBreak/>
        <w:t xml:space="preserve">En el caso específico, los recibos de nómina contienen los datos personales de los servidores, </w:t>
      </w:r>
      <w:r w:rsidRPr="00D134CE">
        <w:rPr>
          <w:rFonts w:ascii="Palatino Linotype" w:eastAsia="Palatino Linotype" w:hAnsi="Palatino Linotype" w:cs="Palatino Linotype"/>
        </w:rPr>
        <w:t>que</w:t>
      </w:r>
      <w:r w:rsidRPr="00D134CE">
        <w:rPr>
          <w:rFonts w:ascii="Palatino Linotype" w:hAnsi="Palatino Linotype" w:cs="Arial"/>
          <w:lang w:eastAsia="es-ES"/>
        </w:rPr>
        <w:t xml:space="preserve"> de hacerse públicos afectarían su intimidad y vida privada; es por ello que es criterio reiterado en las resoluciones de este Pleno que además de los datos especificados en la Ley de Transparencia y Acceso a la Información Pública del Estado de México y Municipios, se consideran confidenciales y por tanto deben testarse al momento de la elaboración de versiones públicas el Registro Federal de Contribuyentes (RFC), la Clave Única de Registro de Población (CURP), la Clave de cualquier tipo de seguridad social (ISSEMYM, u otros), y los descuentos y claves que se realicen por pensión alimenticia o deducciones estrictamente personales o de cualquier índole siempre que, no se encuentren relacionados con los impuestos o las cuotas por seguridad social, número de cuenta o cualquier otro dato que ponga en riesgo la vida, seguridad y salud de dichas personas.</w:t>
      </w:r>
    </w:p>
    <w:p w:rsidR="00372598" w:rsidRPr="00D134CE" w:rsidRDefault="00372598" w:rsidP="004C1116">
      <w:pPr>
        <w:tabs>
          <w:tab w:val="left" w:pos="284"/>
        </w:tabs>
        <w:spacing w:line="360" w:lineRule="auto"/>
        <w:jc w:val="both"/>
        <w:rPr>
          <w:rFonts w:ascii="Palatino Linotype" w:hAnsi="Palatino Linotype" w:cs="Arial"/>
          <w:lang w:eastAsia="es-ES"/>
        </w:rPr>
      </w:pPr>
    </w:p>
    <w:p w:rsidR="00372598" w:rsidRPr="00D134CE" w:rsidRDefault="00372598" w:rsidP="004C1116">
      <w:pPr>
        <w:numPr>
          <w:ilvl w:val="0"/>
          <w:numId w:val="1"/>
        </w:numPr>
        <w:spacing w:line="360" w:lineRule="auto"/>
        <w:ind w:left="0" w:right="49" w:firstLine="0"/>
        <w:jc w:val="both"/>
        <w:rPr>
          <w:rFonts w:ascii="Palatino Linotype" w:hAnsi="Palatino Linotype" w:cs="Arial"/>
          <w:lang w:eastAsia="es-ES"/>
        </w:rPr>
      </w:pPr>
      <w:r w:rsidRPr="00D134CE">
        <w:rPr>
          <w:rFonts w:ascii="Palatino Linotype" w:hAnsi="Palatino Linotype" w:cs="Arial"/>
          <w:lang w:eastAsia="es-ES"/>
        </w:rPr>
        <w:t xml:space="preserve">Por </w:t>
      </w:r>
      <w:r w:rsidRPr="00D134CE">
        <w:rPr>
          <w:rFonts w:ascii="Palatino Linotype" w:eastAsia="Palatino Linotype" w:hAnsi="Palatino Linotype" w:cs="Palatino Linotype"/>
          <w:color w:val="000000"/>
          <w:lang w:eastAsia="es-ES"/>
        </w:rPr>
        <w:t>cuanto</w:t>
      </w:r>
      <w:r w:rsidRPr="00D134CE">
        <w:rPr>
          <w:rFonts w:ascii="Palatino Linotype" w:hAnsi="Palatino Linotype" w:cs="Arial"/>
          <w:lang w:eastAsia="es-ES"/>
        </w:rPr>
        <w:t xml:space="preserve"> hace al </w:t>
      </w:r>
      <w:r w:rsidRPr="00D134CE">
        <w:rPr>
          <w:rFonts w:ascii="Palatino Linotype" w:hAnsi="Palatino Linotype" w:cs="Arial"/>
          <w:b/>
          <w:lang w:eastAsia="es-ES"/>
        </w:rPr>
        <w:t>Registro Federal de Contribuyentes (RFC),</w:t>
      </w:r>
      <w:r w:rsidRPr="00D134CE">
        <w:rPr>
          <w:rFonts w:ascii="Palatino Linotype" w:hAnsi="Palatino Linotype" w:cs="Arial"/>
          <w:lang w:eastAsia="es-ES"/>
        </w:rPr>
        <w:t xml:space="preserve"> de las personas </w:t>
      </w:r>
      <w:r w:rsidRPr="00D134CE">
        <w:rPr>
          <w:rFonts w:ascii="Palatino Linotype" w:hAnsi="Palatino Linotype"/>
          <w:color w:val="000000"/>
        </w:rPr>
        <w:t>físicas</w:t>
      </w:r>
      <w:r w:rsidRPr="00D134CE">
        <w:rPr>
          <w:rFonts w:ascii="Palatino Linotype" w:hAnsi="Palatino Linotype" w:cs="Arial"/>
          <w:lang w:eastAsia="es-ES"/>
        </w:rPr>
        <w:t>, constituye un dato personal, pues se genera con caracteres alfanuméricos a partir del nombre y la fecha de nacimiento de cada persona, y finalmente la homoclave, por lo que para su obtención es necesario acreditar ante la autoridad fiscal previamente la identidad de la persona, su fecha de nacimiento, entre otros aspectos.</w:t>
      </w:r>
    </w:p>
    <w:p w:rsidR="00372598" w:rsidRPr="00D134CE" w:rsidRDefault="00372598" w:rsidP="004C1116">
      <w:pPr>
        <w:tabs>
          <w:tab w:val="left" w:pos="284"/>
        </w:tabs>
        <w:spacing w:line="360" w:lineRule="auto"/>
        <w:jc w:val="both"/>
        <w:rPr>
          <w:rFonts w:ascii="Palatino Linotype" w:hAnsi="Palatino Linotype" w:cs="Arial"/>
          <w:lang w:eastAsia="es-ES"/>
        </w:rPr>
      </w:pPr>
    </w:p>
    <w:p w:rsidR="00372598" w:rsidRPr="00D134CE" w:rsidRDefault="00372598" w:rsidP="004C1116">
      <w:pPr>
        <w:numPr>
          <w:ilvl w:val="0"/>
          <w:numId w:val="1"/>
        </w:numPr>
        <w:spacing w:line="360" w:lineRule="auto"/>
        <w:ind w:left="0" w:right="49" w:firstLine="0"/>
        <w:jc w:val="both"/>
        <w:rPr>
          <w:rFonts w:ascii="Palatino Linotype" w:hAnsi="Palatino Linotype" w:cs="Arial"/>
          <w:lang w:eastAsia="es-ES"/>
        </w:rPr>
      </w:pPr>
      <w:r w:rsidRPr="00D134CE">
        <w:rPr>
          <w:rFonts w:ascii="Palatino Linotype" w:hAnsi="Palatino Linotype" w:cs="Arial"/>
          <w:lang w:eastAsia="es-ES"/>
        </w:rPr>
        <w:t xml:space="preserve">Ahora bien, las personas físicas tramitan su inscripción en el registro con el </w:t>
      </w:r>
      <w:r w:rsidRPr="00D134CE">
        <w:rPr>
          <w:rFonts w:ascii="Palatino Linotype" w:eastAsia="Palatino Linotype" w:hAnsi="Palatino Linotype" w:cs="Palatino Linotype"/>
          <w:color w:val="000000"/>
          <w:lang w:eastAsia="es-ES"/>
        </w:rPr>
        <w:t>propósito</w:t>
      </w:r>
      <w:r w:rsidRPr="00D134CE">
        <w:rPr>
          <w:rFonts w:ascii="Palatino Linotype" w:hAnsi="Palatino Linotype" w:cs="Arial"/>
          <w:lang w:eastAsia="es-ES"/>
        </w:rPr>
        <w:t xml:space="preserve"> </w:t>
      </w:r>
      <w:r w:rsidRPr="00D134CE">
        <w:rPr>
          <w:rFonts w:ascii="Palatino Linotype" w:hAnsi="Palatino Linotype"/>
          <w:color w:val="000000"/>
        </w:rPr>
        <w:t>de</w:t>
      </w:r>
      <w:r w:rsidRPr="00D134CE">
        <w:rPr>
          <w:rFonts w:ascii="Palatino Linotype" w:hAnsi="Palatino Linotype" w:cs="Arial"/>
          <w:lang w:eastAsia="es-ES"/>
        </w:rPr>
        <w:t xml:space="preserve"> realizar —mediante esa clave de identificación— operaciones o actividades de naturaleza fiscal, la cual, les permite hacerse identificables respecto de una situación fiscal determinada.</w:t>
      </w:r>
    </w:p>
    <w:p w:rsidR="00372598" w:rsidRPr="00D134CE" w:rsidRDefault="00372598" w:rsidP="004C1116">
      <w:pPr>
        <w:tabs>
          <w:tab w:val="left" w:pos="284"/>
        </w:tabs>
        <w:spacing w:line="360" w:lineRule="auto"/>
        <w:jc w:val="both"/>
        <w:rPr>
          <w:rFonts w:ascii="Palatino Linotype" w:hAnsi="Palatino Linotype" w:cs="Arial"/>
          <w:lang w:eastAsia="es-ES"/>
        </w:rPr>
      </w:pPr>
    </w:p>
    <w:p w:rsidR="00372598" w:rsidRPr="00D134CE" w:rsidRDefault="00372598" w:rsidP="004C1116">
      <w:pPr>
        <w:numPr>
          <w:ilvl w:val="0"/>
          <w:numId w:val="1"/>
        </w:numPr>
        <w:spacing w:line="360" w:lineRule="auto"/>
        <w:ind w:left="0" w:right="49" w:firstLine="0"/>
        <w:jc w:val="both"/>
        <w:rPr>
          <w:rFonts w:ascii="Palatino Linotype" w:hAnsi="Palatino Linotype" w:cs="Arial"/>
          <w:lang w:eastAsia="es-ES"/>
        </w:rPr>
      </w:pPr>
      <w:r w:rsidRPr="00D134CE">
        <w:rPr>
          <w:rFonts w:ascii="Palatino Linotype" w:hAnsi="Palatino Linotype" w:cs="Arial"/>
          <w:lang w:eastAsia="es-ES"/>
        </w:rPr>
        <w:t xml:space="preserve">Lo </w:t>
      </w:r>
      <w:r w:rsidRPr="00D134CE">
        <w:rPr>
          <w:rFonts w:ascii="Palatino Linotype" w:hAnsi="Palatino Linotype"/>
          <w:color w:val="000000"/>
        </w:rPr>
        <w:t>anterior</w:t>
      </w:r>
      <w:r w:rsidRPr="00D134CE">
        <w:rPr>
          <w:rFonts w:ascii="Palatino Linotype" w:hAnsi="Palatino Linotype" w:cs="Arial"/>
          <w:lang w:eastAsia="es-ES"/>
        </w:rPr>
        <w:t xml:space="preserve"> es compartido por el entonces Instituto Federal de Acceso a la </w:t>
      </w:r>
      <w:r w:rsidRPr="00D134CE">
        <w:rPr>
          <w:rFonts w:ascii="Palatino Linotype" w:eastAsia="Palatino Linotype" w:hAnsi="Palatino Linotype" w:cs="Palatino Linotype"/>
          <w:color w:val="000000"/>
          <w:lang w:eastAsia="es-ES"/>
        </w:rPr>
        <w:t>Información</w:t>
      </w:r>
      <w:r w:rsidRPr="00D134CE">
        <w:rPr>
          <w:rFonts w:ascii="Palatino Linotype" w:hAnsi="Palatino Linotype" w:cs="Arial"/>
          <w:lang w:eastAsia="es-ES"/>
        </w:rPr>
        <w:t xml:space="preserve"> Pública y Protección de Datos Personales (IFAI) a través del Criterio 19/17, que utilizado de </w:t>
      </w:r>
      <w:r w:rsidRPr="00D134CE">
        <w:rPr>
          <w:rFonts w:ascii="Palatino Linotype" w:hAnsi="Palatino Linotype" w:cs="Arial"/>
          <w:lang w:eastAsia="es-ES"/>
        </w:rPr>
        <w:lastRenderedPageBreak/>
        <w:t>manera orientadora y que a la fecha de la solicitud se encontraba vigente, el cual refiere lo siguiente:</w:t>
      </w:r>
    </w:p>
    <w:p w:rsidR="00372598" w:rsidRPr="00D134CE" w:rsidRDefault="00372598" w:rsidP="004C1116">
      <w:pPr>
        <w:spacing w:line="360" w:lineRule="auto"/>
        <w:ind w:left="567" w:right="616"/>
        <w:jc w:val="both"/>
        <w:rPr>
          <w:rFonts w:ascii="Palatino Linotype" w:eastAsia="Palatino Linotype" w:hAnsi="Palatino Linotype" w:cs="Palatino Linotype"/>
          <w:i/>
          <w:lang w:eastAsia="es-ES"/>
        </w:rPr>
      </w:pPr>
      <w:r w:rsidRPr="00D134CE">
        <w:rPr>
          <w:rFonts w:ascii="Palatino Linotype" w:eastAsia="Palatino Linotype" w:hAnsi="Palatino Linotype" w:cs="Palatino Linotype"/>
          <w:b/>
          <w:i/>
          <w:lang w:eastAsia="es-ES"/>
        </w:rPr>
        <w:t>“Registro Federal de Contribuyentes (RFC) de personas físicas</w:t>
      </w:r>
      <w:r w:rsidRPr="00D134CE">
        <w:rPr>
          <w:rFonts w:ascii="Palatino Linotype" w:eastAsia="Palatino Linotype" w:hAnsi="Palatino Linotype" w:cs="Palatino Linotype"/>
          <w:i/>
          <w:lang w:eastAsia="es-ES"/>
        </w:rPr>
        <w:t>. El RFC es una clave de carácter fiscal, única e irrepetible, que permite identificar al titular, su edad y fecha de nacimiento, por lo que es un dato personal de carácter confidencial.”</w:t>
      </w:r>
    </w:p>
    <w:p w:rsidR="00372598" w:rsidRPr="00D134CE" w:rsidRDefault="00372598" w:rsidP="004C1116">
      <w:pPr>
        <w:spacing w:line="360" w:lineRule="auto"/>
        <w:ind w:left="567" w:right="900"/>
        <w:jc w:val="both"/>
        <w:rPr>
          <w:rFonts w:ascii="Palatino Linotype" w:eastAsia="Palatino Linotype" w:hAnsi="Palatino Linotype" w:cs="Palatino Linotype"/>
          <w:i/>
          <w:lang w:eastAsia="es-ES"/>
        </w:rPr>
      </w:pPr>
    </w:p>
    <w:p w:rsidR="00372598" w:rsidRPr="00D134CE" w:rsidRDefault="00372598" w:rsidP="004C1116">
      <w:pPr>
        <w:numPr>
          <w:ilvl w:val="0"/>
          <w:numId w:val="1"/>
        </w:numPr>
        <w:spacing w:line="360" w:lineRule="auto"/>
        <w:ind w:left="0" w:right="49" w:firstLine="0"/>
        <w:jc w:val="both"/>
        <w:rPr>
          <w:rFonts w:ascii="Palatino Linotype" w:hAnsi="Palatino Linotype" w:cs="Arial"/>
          <w:lang w:eastAsia="es-ES"/>
        </w:rPr>
      </w:pPr>
      <w:r w:rsidRPr="00D134CE">
        <w:rPr>
          <w:rFonts w:ascii="Palatino Linotype" w:hAnsi="Palatino Linotype" w:cs="Arial"/>
          <w:lang w:eastAsia="es-ES"/>
        </w:rPr>
        <w:t xml:space="preserve">Así, </w:t>
      </w:r>
      <w:r w:rsidRPr="00D134CE">
        <w:rPr>
          <w:rFonts w:ascii="Palatino Linotype" w:hAnsi="Palatino Linotype"/>
          <w:color w:val="000000"/>
        </w:rPr>
        <w:t>el</w:t>
      </w:r>
      <w:r w:rsidRPr="00D134CE">
        <w:rPr>
          <w:rFonts w:ascii="Palatino Linotype" w:hAnsi="Palatino Linotype" w:cs="Arial"/>
          <w:lang w:eastAsia="es-ES"/>
        </w:rPr>
        <w:t xml:space="preserve"> </w:t>
      </w:r>
      <w:r w:rsidRPr="00D134CE">
        <w:rPr>
          <w:rFonts w:ascii="Palatino Linotype" w:hAnsi="Palatino Linotype" w:cs="Arial"/>
          <w:b/>
          <w:lang w:eastAsia="es-ES"/>
        </w:rPr>
        <w:t>Registro Federal de Contribuyentes, RFC</w:t>
      </w:r>
      <w:r w:rsidRPr="00D134CE">
        <w:rPr>
          <w:rFonts w:ascii="Palatino Linotype" w:hAnsi="Palatino Linotype" w:cs="Arial"/>
          <w:lang w:eastAsia="es-ES"/>
        </w:rPr>
        <w:t>, se vincula al nombre de su titular y permite identificar la edad de la persona, su fecha de nacimiento, así como su homoclave, la cual es única e irrepetible y determina la identificación de dicha persona para efectos fiscales, por lo que constituye un dato personal que concierne a una persona física identificada e identificable en términos de los artículos 3, fracción IX de la Ley de Transparencia y Acceso a la Información Pública del Estado de México y Municipios, y  4 fracciones XI y XII de la Ley de Protección de Datos Personales en Posesión de los Sujetos Obligados del Estado de México y Municipios.</w:t>
      </w:r>
    </w:p>
    <w:p w:rsidR="00372598" w:rsidRPr="00D134CE" w:rsidRDefault="00372598" w:rsidP="004C1116">
      <w:pPr>
        <w:tabs>
          <w:tab w:val="left" w:pos="284"/>
        </w:tabs>
        <w:spacing w:line="360" w:lineRule="auto"/>
        <w:jc w:val="both"/>
        <w:rPr>
          <w:rFonts w:ascii="Palatino Linotype" w:hAnsi="Palatino Linotype" w:cs="Arial"/>
          <w:lang w:eastAsia="es-ES"/>
        </w:rPr>
      </w:pPr>
    </w:p>
    <w:p w:rsidR="00372598" w:rsidRPr="00D134CE" w:rsidRDefault="00372598" w:rsidP="004C1116">
      <w:pPr>
        <w:numPr>
          <w:ilvl w:val="0"/>
          <w:numId w:val="1"/>
        </w:numPr>
        <w:spacing w:line="360" w:lineRule="auto"/>
        <w:ind w:left="0" w:right="49" w:firstLine="0"/>
        <w:jc w:val="both"/>
        <w:rPr>
          <w:rFonts w:ascii="Palatino Linotype" w:hAnsi="Palatino Linotype" w:cs="Arial"/>
          <w:lang w:eastAsia="es-ES"/>
        </w:rPr>
      </w:pPr>
      <w:r w:rsidRPr="00D134CE">
        <w:rPr>
          <w:rFonts w:ascii="Palatino Linotype" w:eastAsia="Palatino Linotype" w:hAnsi="Palatino Linotype" w:cs="Palatino Linotype"/>
          <w:color w:val="000000"/>
          <w:lang w:eastAsia="es-ES"/>
        </w:rPr>
        <w:t>De</w:t>
      </w:r>
      <w:r w:rsidRPr="00D134CE">
        <w:rPr>
          <w:rFonts w:ascii="Palatino Linotype" w:hAnsi="Palatino Linotype" w:cs="Arial"/>
          <w:lang w:eastAsia="es-ES"/>
        </w:rPr>
        <w:t xml:space="preserve"> igual manera la </w:t>
      </w:r>
      <w:r w:rsidRPr="00D134CE">
        <w:rPr>
          <w:rFonts w:ascii="Palatino Linotype" w:hAnsi="Palatino Linotype" w:cs="Arial"/>
          <w:b/>
          <w:lang w:eastAsia="es-ES"/>
        </w:rPr>
        <w:t>Clave Única de Registro de Población (CURP),</w:t>
      </w:r>
      <w:r w:rsidRPr="00D134CE">
        <w:rPr>
          <w:rFonts w:ascii="Palatino Linotype" w:hAnsi="Palatino Linotype" w:cs="Arial"/>
          <w:lang w:eastAsia="es-ES"/>
        </w:rPr>
        <w:t xml:space="preserve"> constituye un dato </w:t>
      </w:r>
      <w:r w:rsidRPr="00D134CE">
        <w:rPr>
          <w:rFonts w:ascii="Palatino Linotype" w:hAnsi="Palatino Linotype"/>
          <w:color w:val="000000"/>
        </w:rPr>
        <w:t>personal</w:t>
      </w:r>
      <w:r w:rsidRPr="00D134CE">
        <w:rPr>
          <w:rFonts w:ascii="Palatino Linotype" w:hAnsi="Palatino Linotype" w:cs="Arial"/>
          <w:lang w:eastAsia="es-ES"/>
        </w:rPr>
        <w:t>, ya que tiene como finalidad registrar a cada una de las personas que integran la población del país, con datos que permitan certificar y acreditar fehacientemente su identidad, en virtud de que se integra por datos personales que únicamente le conciernen a un particular como son su fecha de nacimiento, su nombre, sus apellidos y su lugar de nacimiento; información que permite distinguirlo del resto de los habitantes, por tal motivo, se considera que es de carácter confidencial.</w:t>
      </w:r>
    </w:p>
    <w:p w:rsidR="00372598" w:rsidRPr="00D134CE" w:rsidRDefault="00372598" w:rsidP="004C1116">
      <w:pPr>
        <w:tabs>
          <w:tab w:val="left" w:pos="284"/>
        </w:tabs>
        <w:spacing w:line="360" w:lineRule="auto"/>
        <w:jc w:val="both"/>
        <w:rPr>
          <w:rFonts w:ascii="Palatino Linotype" w:hAnsi="Palatino Linotype" w:cs="Arial"/>
          <w:lang w:eastAsia="es-ES"/>
        </w:rPr>
      </w:pPr>
    </w:p>
    <w:p w:rsidR="00372598" w:rsidRPr="00D134CE" w:rsidRDefault="00372598" w:rsidP="004C1116">
      <w:pPr>
        <w:numPr>
          <w:ilvl w:val="0"/>
          <w:numId w:val="1"/>
        </w:numPr>
        <w:spacing w:line="360" w:lineRule="auto"/>
        <w:ind w:left="0" w:right="49" w:firstLine="0"/>
        <w:jc w:val="both"/>
        <w:rPr>
          <w:rFonts w:ascii="Palatino Linotype" w:hAnsi="Palatino Linotype" w:cs="Arial"/>
          <w:lang w:eastAsia="es-ES"/>
        </w:rPr>
      </w:pPr>
      <w:r w:rsidRPr="00D134CE">
        <w:rPr>
          <w:rFonts w:ascii="Palatino Linotype" w:eastAsia="Palatino Linotype" w:hAnsi="Palatino Linotype" w:cs="Palatino Linotype"/>
          <w:color w:val="000000"/>
          <w:lang w:eastAsia="es-ES"/>
        </w:rPr>
        <w:lastRenderedPageBreak/>
        <w:t>Argumento</w:t>
      </w:r>
      <w:r w:rsidRPr="00D134CE">
        <w:rPr>
          <w:rFonts w:ascii="Palatino Linotype" w:hAnsi="Palatino Linotype" w:cs="Arial"/>
          <w:lang w:eastAsia="es-ES"/>
        </w:rPr>
        <w:t xml:space="preserve"> que es compartido por el Instituto Nacional de Transparencia, Acceso a la </w:t>
      </w:r>
      <w:r w:rsidRPr="00D134CE">
        <w:rPr>
          <w:rFonts w:ascii="Palatino Linotype" w:eastAsia="Palatino Linotype" w:hAnsi="Palatino Linotype" w:cs="Palatino Linotype"/>
          <w:color w:val="000000"/>
          <w:lang w:eastAsia="es-ES"/>
        </w:rPr>
        <w:t>Información</w:t>
      </w:r>
      <w:r w:rsidRPr="00D134CE">
        <w:rPr>
          <w:rFonts w:ascii="Palatino Linotype" w:hAnsi="Palatino Linotype" w:cs="Arial"/>
          <w:lang w:eastAsia="es-ES"/>
        </w:rPr>
        <w:t xml:space="preserve"> y Protección de Datos Personales, INAI, conforme al criterio 18/17, que utilizado de manera orientadora, </w:t>
      </w:r>
      <w:r w:rsidRPr="00D134CE">
        <w:rPr>
          <w:rFonts w:ascii="Palatino Linotype" w:hAnsi="Palatino Linotype" w:cs="Arial"/>
          <w:b/>
          <w:lang w:eastAsia="es-ES"/>
        </w:rPr>
        <w:t>toda vez que a la fecha de la solicitud de encontraba vigente, mismo que refiere</w:t>
      </w:r>
      <w:r w:rsidRPr="00D134CE">
        <w:rPr>
          <w:rFonts w:ascii="Palatino Linotype" w:hAnsi="Palatino Linotype" w:cs="Arial"/>
          <w:lang w:eastAsia="es-ES"/>
        </w:rPr>
        <w:t xml:space="preserve">: </w:t>
      </w:r>
    </w:p>
    <w:p w:rsidR="00372598" w:rsidRPr="00D134CE" w:rsidRDefault="00372598" w:rsidP="004C1116">
      <w:pPr>
        <w:spacing w:line="360" w:lineRule="auto"/>
        <w:ind w:left="567" w:right="277"/>
        <w:jc w:val="both"/>
        <w:rPr>
          <w:rFonts w:ascii="Palatino Linotype" w:eastAsia="Palatino Linotype" w:hAnsi="Palatino Linotype" w:cs="Palatino Linotype"/>
          <w:i/>
          <w:lang w:eastAsia="es-ES"/>
        </w:rPr>
      </w:pPr>
      <w:r w:rsidRPr="00D134CE">
        <w:rPr>
          <w:rFonts w:ascii="Palatino Linotype" w:eastAsia="Palatino Linotype" w:hAnsi="Palatino Linotype" w:cs="Palatino Linotype"/>
          <w:b/>
          <w:i/>
          <w:lang w:eastAsia="es-ES"/>
        </w:rPr>
        <w:t xml:space="preserve">“Clave Única de Registro de Población (CURP). </w:t>
      </w:r>
      <w:r w:rsidRPr="00D134CE">
        <w:rPr>
          <w:rFonts w:ascii="Palatino Linotype" w:eastAsia="Palatino Linotype" w:hAnsi="Palatino Linotype" w:cs="Palatino Linotype"/>
          <w:i/>
          <w:lang w:eastAsia="es-ES"/>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rsidR="00372598" w:rsidRPr="00D134CE" w:rsidRDefault="00372598" w:rsidP="004C1116">
      <w:pPr>
        <w:spacing w:line="360" w:lineRule="auto"/>
        <w:ind w:left="851" w:right="333"/>
        <w:jc w:val="both"/>
        <w:rPr>
          <w:rFonts w:ascii="Palatino Linotype" w:eastAsia="Palatino Linotype" w:hAnsi="Palatino Linotype" w:cs="Palatino Linotype"/>
          <w:i/>
          <w:lang w:eastAsia="es-ES"/>
        </w:rPr>
      </w:pPr>
    </w:p>
    <w:p w:rsidR="00372598" w:rsidRPr="00D134CE" w:rsidRDefault="00372598" w:rsidP="004C1116">
      <w:pPr>
        <w:numPr>
          <w:ilvl w:val="0"/>
          <w:numId w:val="1"/>
        </w:numPr>
        <w:spacing w:line="360" w:lineRule="auto"/>
        <w:ind w:left="0" w:right="49" w:firstLine="0"/>
        <w:jc w:val="both"/>
        <w:rPr>
          <w:rFonts w:ascii="Palatino Linotype" w:hAnsi="Palatino Linotype" w:cs="Arial"/>
          <w:lang w:eastAsia="es-ES"/>
        </w:rPr>
      </w:pPr>
      <w:r w:rsidRPr="00D134CE">
        <w:rPr>
          <w:rFonts w:ascii="Palatino Linotype" w:hAnsi="Palatino Linotype" w:cs="Arial"/>
          <w:lang w:eastAsia="es-ES"/>
        </w:rPr>
        <w:t xml:space="preserve">Por </w:t>
      </w:r>
      <w:r w:rsidRPr="00D134CE">
        <w:rPr>
          <w:rFonts w:ascii="Palatino Linotype" w:eastAsia="Palatino Linotype" w:hAnsi="Palatino Linotype" w:cs="Palatino Linotype"/>
          <w:color w:val="000000"/>
          <w:lang w:eastAsia="es-ES"/>
        </w:rPr>
        <w:t>cuanto</w:t>
      </w:r>
      <w:r w:rsidRPr="00D134CE">
        <w:rPr>
          <w:rFonts w:ascii="Palatino Linotype" w:hAnsi="Palatino Linotype" w:cs="Arial"/>
          <w:lang w:eastAsia="es-ES"/>
        </w:rPr>
        <w:t xml:space="preserve"> hace a la </w:t>
      </w:r>
      <w:r w:rsidRPr="00D134CE">
        <w:rPr>
          <w:rFonts w:ascii="Palatino Linotype" w:hAnsi="Palatino Linotype" w:cs="Arial"/>
          <w:b/>
          <w:lang w:eastAsia="es-ES"/>
        </w:rPr>
        <w:t>Clave de cualquier tipo de seguridad social (ISSEMyM, u otros</w:t>
      </w:r>
      <w:r w:rsidRPr="00D134CE">
        <w:rPr>
          <w:rFonts w:ascii="Palatino Linotype" w:hAnsi="Palatino Linotype" w:cs="Arial"/>
          <w:lang w:eastAsia="es-ES"/>
        </w:rPr>
        <w:t>), está integrado por una secuencia de números con los que se identifica a los trabajadores que cubren las cuotas respectivas, asimismo, lo identifica con la fuente de trabajo; por lo que al ser una clave de identificación de los trabajadores, constituye información confidencial, dato que únicamente le atañe al servidor público, por lo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rsidR="00372598" w:rsidRPr="00D134CE" w:rsidRDefault="00372598" w:rsidP="004C1116">
      <w:pPr>
        <w:tabs>
          <w:tab w:val="left" w:pos="284"/>
        </w:tabs>
        <w:spacing w:line="360" w:lineRule="auto"/>
        <w:jc w:val="both"/>
        <w:rPr>
          <w:rFonts w:ascii="Palatino Linotype" w:hAnsi="Palatino Linotype" w:cs="Arial"/>
          <w:lang w:eastAsia="es-ES"/>
        </w:rPr>
      </w:pPr>
    </w:p>
    <w:p w:rsidR="00372598" w:rsidRPr="00D134CE" w:rsidRDefault="00372598" w:rsidP="004C1116">
      <w:pPr>
        <w:numPr>
          <w:ilvl w:val="0"/>
          <w:numId w:val="1"/>
        </w:numPr>
        <w:spacing w:line="360" w:lineRule="auto"/>
        <w:ind w:left="0" w:right="49" w:firstLine="0"/>
        <w:jc w:val="both"/>
        <w:rPr>
          <w:rFonts w:ascii="Palatino Linotype" w:hAnsi="Palatino Linotype" w:cs="Arial"/>
          <w:lang w:eastAsia="es-ES"/>
        </w:rPr>
      </w:pPr>
      <w:r w:rsidRPr="00D134CE">
        <w:rPr>
          <w:rFonts w:ascii="Palatino Linotype" w:hAnsi="Palatino Linotype" w:cs="Arial"/>
          <w:lang w:eastAsia="es-ES"/>
        </w:rPr>
        <w:t xml:space="preserve">El artículo 9° del mismo ordenamiento, dispone que el ISSEMYM expedirá documentos de identificación para facilitar el acceso a las prestaciones a que tengan derecho. En </w:t>
      </w:r>
      <w:r w:rsidRPr="00D134CE">
        <w:rPr>
          <w:rFonts w:ascii="Palatino Linotype" w:hAnsi="Palatino Linotype"/>
          <w:color w:val="000000"/>
        </w:rPr>
        <w:t>este</w:t>
      </w:r>
      <w:r w:rsidRPr="00D134CE">
        <w:rPr>
          <w:rFonts w:ascii="Palatino Linotype" w:hAnsi="Palatino Linotype" w:cs="Arial"/>
          <w:lang w:eastAsia="es-ES"/>
        </w:rPr>
        <w:t xml:space="preserve"> orden de ideas, el artículo 158, fracción I del Reglamento de Servicios de Salud del Instituto de Seguridad Social del Estado de México y Municipios, establece que es obligación de los </w:t>
      </w:r>
      <w:r w:rsidRPr="00D134CE">
        <w:rPr>
          <w:rFonts w:ascii="Palatino Linotype" w:hAnsi="Palatino Linotype" w:cs="Arial"/>
          <w:lang w:eastAsia="es-ES"/>
        </w:rPr>
        <w:lastRenderedPageBreak/>
        <w:t>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ISSEMYM.</w:t>
      </w:r>
    </w:p>
    <w:p w:rsidR="00372598" w:rsidRPr="00D134CE" w:rsidRDefault="00372598" w:rsidP="004C1116">
      <w:pPr>
        <w:tabs>
          <w:tab w:val="left" w:pos="284"/>
        </w:tabs>
        <w:spacing w:line="360" w:lineRule="auto"/>
        <w:jc w:val="both"/>
        <w:rPr>
          <w:rFonts w:ascii="Palatino Linotype" w:hAnsi="Palatino Linotype" w:cs="Arial"/>
          <w:lang w:eastAsia="es-ES"/>
        </w:rPr>
      </w:pPr>
    </w:p>
    <w:p w:rsidR="00372598" w:rsidRPr="00D134CE" w:rsidRDefault="00372598" w:rsidP="004C1116">
      <w:pPr>
        <w:numPr>
          <w:ilvl w:val="0"/>
          <w:numId w:val="1"/>
        </w:numPr>
        <w:spacing w:line="360" w:lineRule="auto"/>
        <w:ind w:left="0" w:right="49" w:firstLine="0"/>
        <w:jc w:val="both"/>
        <w:rPr>
          <w:rFonts w:ascii="Palatino Linotype" w:hAnsi="Palatino Linotype" w:cs="Arial"/>
          <w:lang w:eastAsia="es-ES"/>
        </w:rPr>
      </w:pPr>
      <w:r w:rsidRPr="00D134CE">
        <w:rPr>
          <w:rFonts w:ascii="Palatino Linotype" w:hAnsi="Palatino Linotype" w:cs="Arial"/>
          <w:lang w:eastAsia="es-ES"/>
        </w:rPr>
        <w:t xml:space="preserve">Como se advierte, la clave ISSEMYM es un dato personal que permite </w:t>
      </w:r>
      <w:r w:rsidRPr="00D134CE">
        <w:rPr>
          <w:rFonts w:ascii="Palatino Linotype" w:eastAsia="Palatino Linotype" w:hAnsi="Palatino Linotype" w:cs="Palatino Linotype"/>
          <w:color w:val="000000"/>
          <w:lang w:eastAsia="es-ES"/>
        </w:rPr>
        <w:t>identificar</w:t>
      </w:r>
      <w:r w:rsidRPr="00D134CE">
        <w:rPr>
          <w:rFonts w:ascii="Palatino Linotype" w:hAnsi="Palatino Linotype" w:cs="Arial"/>
          <w:lang w:eastAsia="es-ES"/>
        </w:rPr>
        <w:t xml:space="preserve"> que una persona ya trabajó o trabaja en alguna institución pública del Estado de México, por la que tiene o tuvo derecho a esta prestación de seguridad social; es de destacar que la clave ISSEMYM no cambia, aunque el trabajador se dé de baja y alta en diversas ocasiones, con motivo de haber trabajado en diferentes instituciones públicas de la Entidad. </w:t>
      </w:r>
    </w:p>
    <w:p w:rsidR="00372598" w:rsidRPr="00D134CE" w:rsidRDefault="00372598" w:rsidP="004C1116">
      <w:pPr>
        <w:tabs>
          <w:tab w:val="left" w:pos="284"/>
        </w:tabs>
        <w:spacing w:line="360" w:lineRule="auto"/>
        <w:jc w:val="both"/>
        <w:rPr>
          <w:rFonts w:ascii="Palatino Linotype" w:hAnsi="Palatino Linotype" w:cs="Arial"/>
          <w:lang w:eastAsia="es-ES"/>
        </w:rPr>
      </w:pPr>
    </w:p>
    <w:p w:rsidR="00372598" w:rsidRPr="00D134CE" w:rsidRDefault="00372598" w:rsidP="004C1116">
      <w:pPr>
        <w:numPr>
          <w:ilvl w:val="0"/>
          <w:numId w:val="1"/>
        </w:numPr>
        <w:spacing w:line="360" w:lineRule="auto"/>
        <w:ind w:left="0" w:right="49" w:firstLine="0"/>
        <w:jc w:val="both"/>
        <w:rPr>
          <w:rFonts w:ascii="Palatino Linotype" w:hAnsi="Palatino Linotype" w:cs="Arial"/>
          <w:lang w:eastAsia="es-ES"/>
        </w:rPr>
      </w:pPr>
      <w:r w:rsidRPr="00D134CE">
        <w:rPr>
          <w:rFonts w:ascii="Palatino Linotype" w:hAnsi="Palatino Linotype" w:cs="Arial"/>
          <w:lang w:eastAsia="es-ES"/>
        </w:rPr>
        <w:t xml:space="preserve">Contar con la prestación de seguridad social que brinda el ISSEMYM no es una obligación para entrar a trabajar a una institución pública, por el contrario es un derecho que se adquiere cuando se ingresa al servicio público, por tal motivo, es un dato personal confidencial, por lo que es procedente su eliminación en las versiones públicas que </w:t>
      </w:r>
      <w:r w:rsidRPr="00D134CE">
        <w:rPr>
          <w:rFonts w:ascii="Palatino Linotype" w:hAnsi="Palatino Linotype"/>
          <w:color w:val="000000"/>
        </w:rPr>
        <w:t>se</w:t>
      </w:r>
      <w:r w:rsidRPr="00D134CE">
        <w:rPr>
          <w:rFonts w:ascii="Palatino Linotype" w:hAnsi="Palatino Linotype" w:cs="Arial"/>
          <w:lang w:eastAsia="es-ES"/>
        </w:rPr>
        <w:t xml:space="preserve"> elaboren, toda vez que actualiza el supuesto de confidencialidad del artículo 143, fracción I de la Ley de Transparencia y Acceso a la Información Pública del Estado de México y Municipios.</w:t>
      </w:r>
    </w:p>
    <w:p w:rsidR="00372598" w:rsidRPr="00D134CE" w:rsidRDefault="00372598" w:rsidP="004C1116">
      <w:pPr>
        <w:tabs>
          <w:tab w:val="left" w:pos="284"/>
        </w:tabs>
        <w:spacing w:line="360" w:lineRule="auto"/>
        <w:jc w:val="both"/>
        <w:rPr>
          <w:rFonts w:ascii="Palatino Linotype" w:hAnsi="Palatino Linotype" w:cs="Arial"/>
          <w:lang w:eastAsia="es-ES"/>
        </w:rPr>
      </w:pPr>
    </w:p>
    <w:p w:rsidR="00372598" w:rsidRPr="00D134CE" w:rsidRDefault="00372598" w:rsidP="004C1116">
      <w:pPr>
        <w:numPr>
          <w:ilvl w:val="0"/>
          <w:numId w:val="1"/>
        </w:numPr>
        <w:spacing w:line="360" w:lineRule="auto"/>
        <w:ind w:left="0" w:right="49" w:firstLine="0"/>
        <w:jc w:val="both"/>
        <w:rPr>
          <w:rFonts w:ascii="Palatino Linotype" w:hAnsi="Palatino Linotype" w:cs="Arial"/>
          <w:lang w:eastAsia="es-ES"/>
        </w:rPr>
      </w:pPr>
      <w:r w:rsidRPr="00D134CE">
        <w:rPr>
          <w:rFonts w:ascii="Palatino Linotype" w:hAnsi="Palatino Linotype" w:cs="Arial"/>
          <w:lang w:eastAsia="es-ES"/>
        </w:rPr>
        <w:t xml:space="preserve">Respecto de los préstamos o descuentos de carácter personal, estos no deben tener relación con la prestación del servicio; es decir, son confidenciales los </w:t>
      </w:r>
      <w:r w:rsidRPr="00D134CE">
        <w:rPr>
          <w:rFonts w:ascii="Palatino Linotype" w:eastAsia="Palatino Linotype" w:hAnsi="Palatino Linotype" w:cs="Palatino Linotype"/>
          <w:color w:val="000000"/>
          <w:lang w:eastAsia="es-ES"/>
        </w:rPr>
        <w:t>préstamos</w:t>
      </w:r>
      <w:r w:rsidRPr="00D134CE">
        <w:rPr>
          <w:rFonts w:ascii="Palatino Linotype" w:hAnsi="Palatino Linotype" w:cs="Arial"/>
          <w:lang w:eastAsia="es-ES"/>
        </w:rPr>
        <w:t xml:space="preserve"> o descuentos que se le hagan a la persona en los que no se involucren instituciones públicas, en </w:t>
      </w:r>
      <w:r w:rsidRPr="00D134CE">
        <w:rPr>
          <w:rFonts w:ascii="Palatino Linotype" w:hAnsi="Palatino Linotype"/>
          <w:color w:val="000000"/>
        </w:rPr>
        <w:t>virtud</w:t>
      </w:r>
      <w:r w:rsidRPr="00D134CE">
        <w:rPr>
          <w:rFonts w:ascii="Palatino Linotype" w:hAnsi="Palatino Linotype" w:cs="Arial"/>
          <w:lang w:eastAsia="es-ES"/>
        </w:rPr>
        <w:t xml:space="preserve"> de no favorecer en la transparencia y rendición de cuentas, sino, por el contrario, con ello se violentaba la protección de información confidencial, porque incide en la intimidad de un individuo identificado.</w:t>
      </w:r>
    </w:p>
    <w:p w:rsidR="00372598" w:rsidRPr="00D134CE" w:rsidRDefault="00372598" w:rsidP="004C1116">
      <w:pPr>
        <w:numPr>
          <w:ilvl w:val="0"/>
          <w:numId w:val="1"/>
        </w:numPr>
        <w:spacing w:line="360" w:lineRule="auto"/>
        <w:ind w:left="0" w:right="49" w:firstLine="0"/>
        <w:jc w:val="both"/>
        <w:rPr>
          <w:rFonts w:ascii="Palatino Linotype" w:hAnsi="Palatino Linotype" w:cs="Arial"/>
          <w:lang w:eastAsia="es-ES"/>
        </w:rPr>
      </w:pPr>
      <w:r w:rsidRPr="00D134CE">
        <w:rPr>
          <w:rFonts w:ascii="Palatino Linotype" w:hAnsi="Palatino Linotype" w:cs="Arial"/>
          <w:lang w:eastAsia="es-ES"/>
        </w:rPr>
        <w:lastRenderedPageBreak/>
        <w:t xml:space="preserve">Por su </w:t>
      </w:r>
      <w:r w:rsidRPr="00D134CE">
        <w:rPr>
          <w:rFonts w:ascii="Palatino Linotype" w:hAnsi="Palatino Linotype"/>
          <w:color w:val="000000"/>
        </w:rPr>
        <w:t>parte</w:t>
      </w:r>
      <w:r w:rsidRPr="00D134CE">
        <w:rPr>
          <w:rFonts w:ascii="Palatino Linotype" w:hAnsi="Palatino Linotype" w:cs="Arial"/>
          <w:lang w:eastAsia="es-ES"/>
        </w:rPr>
        <w:t>, el artículo 84 de la Ley del Trabajo de los Servidores Públicos del Estado y Municipios, señala:</w:t>
      </w:r>
    </w:p>
    <w:p w:rsidR="00372598" w:rsidRPr="00D134CE" w:rsidRDefault="00372598" w:rsidP="004C1116">
      <w:pPr>
        <w:spacing w:line="360" w:lineRule="auto"/>
        <w:ind w:left="567" w:right="277"/>
        <w:jc w:val="both"/>
        <w:rPr>
          <w:rFonts w:ascii="Palatino Linotype" w:eastAsia="Palatino Linotype" w:hAnsi="Palatino Linotype" w:cs="Palatino Linotype"/>
          <w:lang w:eastAsia="es-ES"/>
        </w:rPr>
      </w:pPr>
      <w:r w:rsidRPr="00D134CE">
        <w:rPr>
          <w:rFonts w:ascii="Palatino Linotype" w:eastAsia="Palatino Linotype" w:hAnsi="Palatino Linotype" w:cs="Palatino Linotype"/>
          <w:i/>
          <w:lang w:eastAsia="es-ES"/>
        </w:rPr>
        <w:t>“</w:t>
      </w:r>
      <w:r w:rsidRPr="00D134CE">
        <w:rPr>
          <w:rFonts w:ascii="Palatino Linotype" w:eastAsia="Palatino Linotype" w:hAnsi="Palatino Linotype" w:cs="Palatino Linotype"/>
          <w:b/>
          <w:i/>
          <w:lang w:eastAsia="es-ES"/>
        </w:rPr>
        <w:t>ARTICULO 84. Sólo podrán hacerse retenciones, descuentos o deducciones al sueldo de los servidores públicos por concepto de:</w:t>
      </w:r>
    </w:p>
    <w:p w:rsidR="00372598" w:rsidRPr="00D134CE" w:rsidRDefault="00372598" w:rsidP="004C1116">
      <w:pPr>
        <w:spacing w:line="360" w:lineRule="auto"/>
        <w:ind w:left="567" w:right="277"/>
        <w:jc w:val="both"/>
        <w:rPr>
          <w:rFonts w:ascii="Palatino Linotype" w:eastAsia="Palatino Linotype" w:hAnsi="Palatino Linotype" w:cs="Palatino Linotype"/>
          <w:lang w:eastAsia="es-ES"/>
        </w:rPr>
      </w:pPr>
      <w:r w:rsidRPr="00D134CE">
        <w:rPr>
          <w:rFonts w:ascii="Palatino Linotype" w:eastAsia="Palatino Linotype" w:hAnsi="Palatino Linotype" w:cs="Palatino Linotype"/>
          <w:i/>
          <w:lang w:eastAsia="es-ES"/>
        </w:rPr>
        <w:t>I. Gravámenes fiscales relacionados con el sueldo;</w:t>
      </w:r>
    </w:p>
    <w:p w:rsidR="00372598" w:rsidRPr="00D134CE" w:rsidRDefault="00372598" w:rsidP="004C1116">
      <w:pPr>
        <w:spacing w:line="360" w:lineRule="auto"/>
        <w:ind w:left="567" w:right="277"/>
        <w:jc w:val="both"/>
        <w:rPr>
          <w:rFonts w:ascii="Palatino Linotype" w:eastAsia="Palatino Linotype" w:hAnsi="Palatino Linotype" w:cs="Palatino Linotype"/>
          <w:lang w:eastAsia="es-ES"/>
        </w:rPr>
      </w:pPr>
      <w:r w:rsidRPr="00D134CE">
        <w:rPr>
          <w:rFonts w:ascii="Palatino Linotype" w:eastAsia="Palatino Linotype" w:hAnsi="Palatino Linotype" w:cs="Palatino Linotype"/>
          <w:b/>
          <w:i/>
          <w:lang w:eastAsia="es-ES"/>
        </w:rPr>
        <w:t>II. Deudas contraídas con las instituciones públicas o dependencias</w:t>
      </w:r>
      <w:r w:rsidRPr="00D134CE">
        <w:rPr>
          <w:rFonts w:ascii="Palatino Linotype" w:eastAsia="Palatino Linotype" w:hAnsi="Palatino Linotype" w:cs="Palatino Linotype"/>
          <w:i/>
          <w:lang w:eastAsia="es-ES"/>
        </w:rPr>
        <w:t xml:space="preserve"> por concepto de anticipos de sueldo, pagos hechos con exceso, errores o pérdidas debidamente comprobados;</w:t>
      </w:r>
    </w:p>
    <w:p w:rsidR="00372598" w:rsidRPr="00D134CE" w:rsidRDefault="00372598" w:rsidP="004C1116">
      <w:pPr>
        <w:spacing w:line="360" w:lineRule="auto"/>
        <w:ind w:left="567" w:right="277"/>
        <w:jc w:val="both"/>
        <w:rPr>
          <w:rFonts w:ascii="Palatino Linotype" w:eastAsia="Palatino Linotype" w:hAnsi="Palatino Linotype" w:cs="Palatino Linotype"/>
          <w:lang w:eastAsia="es-ES"/>
        </w:rPr>
      </w:pPr>
      <w:r w:rsidRPr="00D134CE">
        <w:rPr>
          <w:rFonts w:ascii="Palatino Linotype" w:eastAsia="Palatino Linotype" w:hAnsi="Palatino Linotype" w:cs="Palatino Linotype"/>
          <w:b/>
          <w:i/>
          <w:lang w:eastAsia="es-ES"/>
        </w:rPr>
        <w:t>III. Cuotas sindicales</w:t>
      </w:r>
      <w:r w:rsidRPr="00D134CE">
        <w:rPr>
          <w:rFonts w:ascii="Palatino Linotype" w:eastAsia="Palatino Linotype" w:hAnsi="Palatino Linotype" w:cs="Palatino Linotype"/>
          <w:i/>
          <w:lang w:eastAsia="es-ES"/>
        </w:rPr>
        <w:t>;</w:t>
      </w:r>
    </w:p>
    <w:p w:rsidR="00372598" w:rsidRPr="00D134CE" w:rsidRDefault="00372598" w:rsidP="004C1116">
      <w:pPr>
        <w:spacing w:line="360" w:lineRule="auto"/>
        <w:ind w:left="567" w:right="277"/>
        <w:jc w:val="both"/>
        <w:rPr>
          <w:rFonts w:ascii="Palatino Linotype" w:eastAsia="Palatino Linotype" w:hAnsi="Palatino Linotype" w:cs="Palatino Linotype"/>
          <w:lang w:eastAsia="es-ES"/>
        </w:rPr>
      </w:pPr>
      <w:r w:rsidRPr="00D134CE">
        <w:rPr>
          <w:rFonts w:ascii="Palatino Linotype" w:eastAsia="Palatino Linotype" w:hAnsi="Palatino Linotype" w:cs="Palatino Linotype"/>
          <w:i/>
          <w:lang w:eastAsia="es-ES"/>
        </w:rPr>
        <w:t>IV. Cuotas de aportación a fondos para la constitución de cooperativas y de cajas de ahorro, siempre que el servidor público hubiese manifestado previamente, de manera expresa, su conformidad;</w:t>
      </w:r>
    </w:p>
    <w:p w:rsidR="00372598" w:rsidRPr="00D134CE" w:rsidRDefault="00372598" w:rsidP="004C1116">
      <w:pPr>
        <w:spacing w:line="360" w:lineRule="auto"/>
        <w:ind w:left="567" w:right="277"/>
        <w:jc w:val="both"/>
        <w:rPr>
          <w:rFonts w:ascii="Palatino Linotype" w:eastAsia="Palatino Linotype" w:hAnsi="Palatino Linotype" w:cs="Palatino Linotype"/>
          <w:lang w:eastAsia="es-ES"/>
        </w:rPr>
      </w:pPr>
      <w:r w:rsidRPr="00D134CE">
        <w:rPr>
          <w:rFonts w:ascii="Palatino Linotype" w:eastAsia="Palatino Linotype" w:hAnsi="Palatino Linotype" w:cs="Palatino Linotype"/>
          <w:i/>
          <w:lang w:eastAsia="es-ES"/>
        </w:rPr>
        <w:t>V. Descuentos ordenados por el Instituto de Seguridad Social del Estado de México y Municipios, con motivo de cuotas y obligaciones contraídas con éste por los servidores públicos;</w:t>
      </w:r>
    </w:p>
    <w:p w:rsidR="00372598" w:rsidRPr="00D134CE" w:rsidRDefault="00372598" w:rsidP="004C1116">
      <w:pPr>
        <w:spacing w:line="360" w:lineRule="auto"/>
        <w:ind w:left="567" w:right="277"/>
        <w:jc w:val="both"/>
        <w:rPr>
          <w:rFonts w:ascii="Palatino Linotype" w:eastAsia="Palatino Linotype" w:hAnsi="Palatino Linotype" w:cs="Palatino Linotype"/>
          <w:lang w:eastAsia="es-ES"/>
        </w:rPr>
      </w:pPr>
      <w:r w:rsidRPr="00D134CE">
        <w:rPr>
          <w:rFonts w:ascii="Palatino Linotype" w:eastAsia="Palatino Linotype" w:hAnsi="Palatino Linotype" w:cs="Palatino Linotype"/>
          <w:b/>
          <w:i/>
          <w:lang w:eastAsia="es-ES"/>
        </w:rPr>
        <w:t>VI. Obligaciones a cargo del servidor público con las que haya consentido</w:t>
      </w:r>
      <w:r w:rsidRPr="00D134CE">
        <w:rPr>
          <w:rFonts w:ascii="Palatino Linotype" w:eastAsia="Palatino Linotype" w:hAnsi="Palatino Linotype" w:cs="Palatino Linotype"/>
          <w:i/>
          <w:lang w:eastAsia="es-ES"/>
        </w:rPr>
        <w:t>, derivadas de la adquisición o del uso de habitaciones consideradas como de interés social;</w:t>
      </w:r>
    </w:p>
    <w:p w:rsidR="00372598" w:rsidRPr="00D134CE" w:rsidRDefault="00372598" w:rsidP="004C1116">
      <w:pPr>
        <w:spacing w:line="360" w:lineRule="auto"/>
        <w:ind w:left="567" w:right="277"/>
        <w:jc w:val="both"/>
        <w:rPr>
          <w:rFonts w:ascii="Palatino Linotype" w:eastAsia="Palatino Linotype" w:hAnsi="Palatino Linotype" w:cs="Palatino Linotype"/>
          <w:lang w:eastAsia="es-ES"/>
        </w:rPr>
      </w:pPr>
      <w:r w:rsidRPr="00D134CE">
        <w:rPr>
          <w:rFonts w:ascii="Palatino Linotype" w:eastAsia="Palatino Linotype" w:hAnsi="Palatino Linotype" w:cs="Palatino Linotype"/>
          <w:i/>
          <w:lang w:eastAsia="es-ES"/>
        </w:rPr>
        <w:t>VII. Faltas de puntualidad o de asistencia injustificadas;</w:t>
      </w:r>
    </w:p>
    <w:p w:rsidR="00372598" w:rsidRPr="00D134CE" w:rsidRDefault="00372598" w:rsidP="004C1116">
      <w:pPr>
        <w:spacing w:line="360" w:lineRule="auto"/>
        <w:ind w:left="567" w:right="277"/>
        <w:jc w:val="both"/>
        <w:rPr>
          <w:rFonts w:ascii="Palatino Linotype" w:eastAsia="Palatino Linotype" w:hAnsi="Palatino Linotype" w:cs="Palatino Linotype"/>
          <w:lang w:eastAsia="es-ES"/>
        </w:rPr>
      </w:pPr>
      <w:r w:rsidRPr="00D134CE">
        <w:rPr>
          <w:rFonts w:ascii="Palatino Linotype" w:eastAsia="Palatino Linotype" w:hAnsi="Palatino Linotype" w:cs="Palatino Linotype"/>
          <w:b/>
          <w:i/>
          <w:lang w:eastAsia="es-ES"/>
        </w:rPr>
        <w:t>VIII. Pensiones alimenticias ordenadas por la autoridad judicial;</w:t>
      </w:r>
      <w:r w:rsidRPr="00D134CE">
        <w:rPr>
          <w:rFonts w:ascii="Palatino Linotype" w:eastAsia="Palatino Linotype" w:hAnsi="Palatino Linotype" w:cs="Palatino Linotype"/>
          <w:i/>
          <w:lang w:eastAsia="es-ES"/>
        </w:rPr>
        <w:t xml:space="preserve"> o</w:t>
      </w:r>
    </w:p>
    <w:p w:rsidR="00372598" w:rsidRPr="00D134CE" w:rsidRDefault="00372598" w:rsidP="004C1116">
      <w:pPr>
        <w:spacing w:line="360" w:lineRule="auto"/>
        <w:ind w:left="567" w:right="277"/>
        <w:jc w:val="both"/>
        <w:rPr>
          <w:rFonts w:ascii="Palatino Linotype" w:eastAsia="Palatino Linotype" w:hAnsi="Palatino Linotype" w:cs="Palatino Linotype"/>
          <w:lang w:eastAsia="es-ES"/>
        </w:rPr>
      </w:pPr>
      <w:r w:rsidRPr="00D134CE">
        <w:rPr>
          <w:rFonts w:ascii="Palatino Linotype" w:eastAsia="Palatino Linotype" w:hAnsi="Palatino Linotype" w:cs="Palatino Linotype"/>
          <w:b/>
          <w:i/>
          <w:lang w:eastAsia="es-ES"/>
        </w:rPr>
        <w:t>IX. Cualquier otro convenido con instituciones de servicios y aceptado por el servidor público.</w:t>
      </w:r>
    </w:p>
    <w:p w:rsidR="00372598" w:rsidRPr="00D134CE" w:rsidRDefault="00372598" w:rsidP="004C1116">
      <w:pPr>
        <w:spacing w:line="360" w:lineRule="auto"/>
        <w:ind w:left="567" w:right="277"/>
        <w:jc w:val="both"/>
        <w:rPr>
          <w:rFonts w:ascii="Palatino Linotype" w:eastAsia="Palatino Linotype" w:hAnsi="Palatino Linotype" w:cs="Palatino Linotype"/>
          <w:lang w:eastAsia="es-ES"/>
        </w:rPr>
      </w:pPr>
      <w:r w:rsidRPr="00D134CE">
        <w:rPr>
          <w:rFonts w:ascii="Palatino Linotype" w:eastAsia="Palatino Linotype" w:hAnsi="Palatino Linotype" w:cs="Palatino Linotype"/>
          <w:i/>
          <w:lang w:eastAsia="es-ES"/>
        </w:rPr>
        <w:t xml:space="preserve">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w:t>
      </w:r>
      <w:r w:rsidRPr="00D134CE">
        <w:rPr>
          <w:rFonts w:ascii="Palatino Linotype" w:eastAsia="Palatino Linotype" w:hAnsi="Palatino Linotype" w:cs="Palatino Linotype"/>
          <w:i/>
          <w:lang w:eastAsia="es-ES"/>
        </w:rPr>
        <w:lastRenderedPageBreak/>
        <w:t>digna, o se refieran a lo establecido en la fracción VIII de este artículo, en que se ajustará a lo determinado por la autoridad judicial.” </w:t>
      </w:r>
    </w:p>
    <w:p w:rsidR="00372598" w:rsidRPr="00D134CE" w:rsidRDefault="00372598" w:rsidP="004C1116">
      <w:pPr>
        <w:spacing w:line="360" w:lineRule="auto"/>
        <w:ind w:left="567" w:right="277"/>
        <w:jc w:val="both"/>
        <w:rPr>
          <w:rFonts w:ascii="Palatino Linotype" w:eastAsia="Palatino Linotype" w:hAnsi="Palatino Linotype" w:cs="Palatino Linotype"/>
          <w:lang w:eastAsia="es-ES"/>
        </w:rPr>
      </w:pPr>
      <w:r w:rsidRPr="00D134CE">
        <w:rPr>
          <w:rFonts w:ascii="Palatino Linotype" w:eastAsia="Palatino Linotype" w:hAnsi="Palatino Linotype" w:cs="Palatino Linotype"/>
          <w:lang w:eastAsia="es-ES"/>
        </w:rPr>
        <w:t>(Énfasis añadido)</w:t>
      </w:r>
    </w:p>
    <w:p w:rsidR="00372598" w:rsidRPr="00D134CE" w:rsidRDefault="00372598" w:rsidP="004C1116">
      <w:pPr>
        <w:spacing w:line="360" w:lineRule="auto"/>
        <w:ind w:left="851" w:right="-929"/>
        <w:jc w:val="both"/>
        <w:rPr>
          <w:rFonts w:ascii="Palatino Linotype" w:eastAsia="Palatino Linotype" w:hAnsi="Palatino Linotype" w:cs="Palatino Linotype"/>
          <w:lang w:eastAsia="es-ES"/>
        </w:rPr>
      </w:pPr>
    </w:p>
    <w:p w:rsidR="00372598" w:rsidRPr="00D134CE" w:rsidRDefault="00372598" w:rsidP="004C1116">
      <w:pPr>
        <w:numPr>
          <w:ilvl w:val="0"/>
          <w:numId w:val="1"/>
        </w:numPr>
        <w:spacing w:line="360" w:lineRule="auto"/>
        <w:ind w:left="0" w:right="49" w:firstLine="0"/>
        <w:jc w:val="both"/>
        <w:rPr>
          <w:rFonts w:ascii="Palatino Linotype" w:hAnsi="Palatino Linotype" w:cs="Arial"/>
          <w:lang w:eastAsia="es-ES"/>
        </w:rPr>
      </w:pPr>
      <w:r w:rsidRPr="00D134CE">
        <w:rPr>
          <w:rFonts w:ascii="Palatino Linotype" w:hAnsi="Palatino Linotype"/>
          <w:color w:val="000000"/>
        </w:rPr>
        <w:t>Derivado</w:t>
      </w:r>
      <w:r w:rsidRPr="00D134CE">
        <w:rPr>
          <w:rFonts w:ascii="Palatino Linotype" w:hAnsi="Palatino Linotype" w:cs="Arial"/>
          <w:lang w:eastAsia="es-ES"/>
        </w:rPr>
        <w:t xml:space="preserve"> de lo anterior, la ley establece claramente cuáles son esos descuentos o gravámenes que directamente se relacionan con las obligaciones adquiridas como servidores públicos y aquéllos que </w:t>
      </w:r>
      <w:r w:rsidRPr="00D134CE">
        <w:rPr>
          <w:rFonts w:ascii="Palatino Linotype" w:hAnsi="Palatino Linotype" w:cs="Arial"/>
          <w:b/>
          <w:u w:val="single"/>
          <w:lang w:eastAsia="es-ES"/>
        </w:rPr>
        <w:t>únicamente inciden en su vida privada</w:t>
      </w:r>
      <w:r w:rsidRPr="00D134CE">
        <w:rPr>
          <w:rFonts w:ascii="Palatino Linotype" w:hAnsi="Palatino Linotype" w:cs="Arial"/>
          <w:lang w:eastAsia="es-ES"/>
        </w:rPr>
        <w:t>. De este modo, descuentos por pensiones alimenticias o créditos adquiridos con instituciones privadas o públicas pero que fueron contraídas en forma individual, son información que debe clasificarse como confidencial.</w:t>
      </w:r>
    </w:p>
    <w:p w:rsidR="00372598" w:rsidRPr="00D134CE" w:rsidRDefault="00372598" w:rsidP="004C1116">
      <w:pPr>
        <w:tabs>
          <w:tab w:val="left" w:pos="284"/>
        </w:tabs>
        <w:spacing w:line="360" w:lineRule="auto"/>
        <w:jc w:val="both"/>
        <w:rPr>
          <w:rFonts w:ascii="Palatino Linotype" w:hAnsi="Palatino Linotype" w:cs="Arial"/>
          <w:lang w:eastAsia="es-ES"/>
        </w:rPr>
      </w:pPr>
    </w:p>
    <w:p w:rsidR="00372598" w:rsidRPr="00D134CE" w:rsidRDefault="00372598" w:rsidP="004C1116">
      <w:pPr>
        <w:numPr>
          <w:ilvl w:val="0"/>
          <w:numId w:val="1"/>
        </w:numPr>
        <w:spacing w:line="360" w:lineRule="auto"/>
        <w:ind w:left="0" w:right="49" w:firstLine="0"/>
        <w:jc w:val="both"/>
        <w:rPr>
          <w:rFonts w:ascii="Palatino Linotype" w:hAnsi="Palatino Linotype" w:cs="Arial"/>
          <w:lang w:eastAsia="es-ES"/>
        </w:rPr>
      </w:pPr>
      <w:r w:rsidRPr="00D134CE">
        <w:rPr>
          <w:rFonts w:ascii="Palatino Linotype" w:hAnsi="Palatino Linotype" w:cs="Arial"/>
          <w:lang w:eastAsia="es-ES"/>
        </w:rPr>
        <w:t xml:space="preserve"> Con base en lo expuesto, se insiste que los datos mencionados, que como se ha dicho, </w:t>
      </w:r>
      <w:r w:rsidRPr="00D134CE">
        <w:rPr>
          <w:rFonts w:ascii="Palatino Linotype" w:hAnsi="Palatino Linotype"/>
          <w:color w:val="000000"/>
        </w:rPr>
        <w:t>deben</w:t>
      </w:r>
      <w:r w:rsidRPr="00D134CE">
        <w:rPr>
          <w:rFonts w:ascii="Palatino Linotype" w:hAnsi="Palatino Linotype" w:cs="Arial"/>
          <w:lang w:eastAsia="es-ES"/>
        </w:rPr>
        <w:t xml:space="preserve"> ser clasificados como confidenciales por tratarse de información privada, toda vez que los datos personales son irrenunciables, intransferibles e indelegables, por lo tanto los sujetos obligados no deben hacer entrega de éstos a persona ajena a su titular, sobre todo cuando traiga implícita que se ponga en riesgo la vida o integridad de una persona.</w:t>
      </w:r>
    </w:p>
    <w:p w:rsidR="00372598" w:rsidRPr="00D134CE" w:rsidRDefault="00372598" w:rsidP="004C1116">
      <w:pPr>
        <w:tabs>
          <w:tab w:val="left" w:pos="284"/>
        </w:tabs>
        <w:spacing w:line="360" w:lineRule="auto"/>
        <w:jc w:val="both"/>
        <w:rPr>
          <w:rFonts w:ascii="Palatino Linotype" w:hAnsi="Palatino Linotype" w:cs="Arial"/>
          <w:lang w:eastAsia="es-ES"/>
        </w:rPr>
      </w:pPr>
    </w:p>
    <w:p w:rsidR="00372598" w:rsidRPr="00D134CE" w:rsidRDefault="00372598" w:rsidP="004C1116">
      <w:pPr>
        <w:numPr>
          <w:ilvl w:val="0"/>
          <w:numId w:val="1"/>
        </w:numPr>
        <w:spacing w:line="360" w:lineRule="auto"/>
        <w:ind w:left="0" w:right="49" w:firstLine="0"/>
        <w:jc w:val="both"/>
        <w:rPr>
          <w:rFonts w:ascii="Palatino Linotype" w:hAnsi="Palatino Linotype" w:cs="Arial"/>
          <w:lang w:eastAsia="es-ES"/>
        </w:rPr>
      </w:pPr>
      <w:r w:rsidRPr="00D134CE">
        <w:rPr>
          <w:rFonts w:ascii="Palatino Linotype" w:hAnsi="Palatino Linotype" w:cs="Arial"/>
          <w:lang w:eastAsia="es-ES"/>
        </w:rPr>
        <w:t>Sirven de sustento a lo anterior, las tesis jurisprudenciales P. LX/2000 y 2a. XLIII/2008 emitidas por el Peno y la Segunda Sala de la Suprema Corte de Justicia de la Nación, respectivamente, que son del tenor literal siguiente:</w:t>
      </w:r>
    </w:p>
    <w:p w:rsidR="00372598" w:rsidRPr="00D134CE" w:rsidRDefault="00372598" w:rsidP="004C1116">
      <w:pPr>
        <w:spacing w:line="360" w:lineRule="auto"/>
        <w:ind w:left="426" w:right="277"/>
        <w:jc w:val="both"/>
        <w:rPr>
          <w:rFonts w:ascii="Palatino Linotype" w:eastAsia="Palatino Linotype" w:hAnsi="Palatino Linotype" w:cs="Palatino Linotype"/>
          <w:i/>
          <w:lang w:eastAsia="es-ES"/>
        </w:rPr>
      </w:pPr>
      <w:r w:rsidRPr="00D134CE">
        <w:rPr>
          <w:rFonts w:ascii="Palatino Linotype" w:eastAsia="Palatino Linotype" w:hAnsi="Palatino Linotype" w:cs="Palatino Linotype"/>
          <w:b/>
          <w:i/>
          <w:lang w:eastAsia="es-ES"/>
        </w:rPr>
        <w:t xml:space="preserve">“DERECHO A LA INFORMACIÓN. SU EJERCICIO SE ENCUENTRA LIMITADO TANTO POR LOS INTERESES NACIONALES Y DE LA SOCIEDAD, COMO POR LOS DERECHOS DE TERCEROS. </w:t>
      </w:r>
      <w:r w:rsidRPr="00D134CE">
        <w:rPr>
          <w:rFonts w:ascii="Palatino Linotype" w:eastAsia="Palatino Linotype" w:hAnsi="Palatino Linotype" w:cs="Palatino Linotype"/>
          <w:i/>
          <w:lang w:eastAsia="es-ES"/>
        </w:rPr>
        <w:t xml:space="preserve">El derecho a la información consagrado en la última parte del artículo 6o. de la Constitución Federal no es absoluto, sino que, como toda garantía, se halla sujeto </w:t>
      </w:r>
      <w:r w:rsidRPr="00D134CE">
        <w:rPr>
          <w:rFonts w:ascii="Palatino Linotype" w:eastAsia="Palatino Linotype" w:hAnsi="Palatino Linotype" w:cs="Palatino Linotype"/>
          <w:i/>
          <w:lang w:eastAsia="es-ES"/>
        </w:rPr>
        <w:lastRenderedPageBreak/>
        <w:t xml:space="preserve">a limitaciones o excepciones que se sustentan, fundamentalmente, en la protección de la seguridad nacional y en el respeto tanto a los intereses de la sociedad como a los derechos de los gobernados, limitaciones que, incluso, han dado origen a la figura jurídica del secreto de información que se conoce en la doctrina como "reserva de información" o "secreto burocrático". En estas condiciones, al encontrarse obligado el Estado, como sujeto pasivo de la citada garantía, a velar por dichos intereses, con apego a las normas constitucionales y legales, el mencionado derecho no puede ser garantizado indiscriminadamente, sino que el respeto a su ejercicio encuentra excepciones que lo regulan y a su vez lo garantizan, en atención a la materia a que se refiera; así, en cuanto a la seguridad nacional, se tienen normas que, por un lado, </w:t>
      </w:r>
      <w:r w:rsidRPr="00D134CE">
        <w:rPr>
          <w:rFonts w:ascii="Palatino Linotype" w:eastAsia="Palatino Linotype" w:hAnsi="Palatino Linotype" w:cs="Palatino Linotype"/>
          <w:b/>
          <w:i/>
          <w:lang w:eastAsia="es-ES"/>
        </w:rPr>
        <w:t>restringen el acceso a la información en esta materia, en razón de que su conocimiento público puede generar daños a los intereses nacionales y, por el otro, sancionan la inobservancia de esa reserva</w:t>
      </w:r>
      <w:r w:rsidRPr="00D134CE">
        <w:rPr>
          <w:rFonts w:ascii="Palatino Linotype" w:eastAsia="Palatino Linotype" w:hAnsi="Palatino Linotype" w:cs="Palatino Linotype"/>
          <w:i/>
          <w:lang w:eastAsia="es-ES"/>
        </w:rPr>
        <w:t xml:space="preserve">; por lo que hace al interés social, se cuenta con normas que tienden a proteger la averiguación de los delitos, la salud y la moral públicas, </w:t>
      </w:r>
      <w:r w:rsidRPr="00D134CE">
        <w:rPr>
          <w:rFonts w:ascii="Palatino Linotype" w:eastAsia="Palatino Linotype" w:hAnsi="Palatino Linotype" w:cs="Palatino Linotype"/>
          <w:b/>
          <w:i/>
          <w:lang w:eastAsia="es-ES"/>
        </w:rPr>
        <w:t>mientras que por lo que respecta a la protección de la persona existen normas que protegen el derecho a la vida o a la privacidad de los gobernados</w:t>
      </w:r>
      <w:r w:rsidRPr="00D134CE">
        <w:rPr>
          <w:rFonts w:ascii="Palatino Linotype" w:eastAsia="Palatino Linotype" w:hAnsi="Palatino Linotype" w:cs="Palatino Linotype"/>
          <w:i/>
          <w:lang w:eastAsia="es-ES"/>
        </w:rPr>
        <w:t>.”</w:t>
      </w:r>
    </w:p>
    <w:p w:rsidR="00372598" w:rsidRPr="00D134CE" w:rsidRDefault="00372598" w:rsidP="004C1116">
      <w:pPr>
        <w:spacing w:line="360" w:lineRule="auto"/>
        <w:ind w:left="426" w:right="277"/>
        <w:jc w:val="both"/>
        <w:rPr>
          <w:rFonts w:ascii="Palatino Linotype" w:eastAsia="Palatino Linotype" w:hAnsi="Palatino Linotype" w:cs="Palatino Linotype"/>
          <w:i/>
          <w:lang w:eastAsia="es-ES"/>
        </w:rPr>
      </w:pPr>
    </w:p>
    <w:p w:rsidR="00372598" w:rsidRPr="00D134CE" w:rsidRDefault="00372598" w:rsidP="004C1116">
      <w:pPr>
        <w:spacing w:line="360" w:lineRule="auto"/>
        <w:ind w:left="426" w:right="277"/>
        <w:jc w:val="both"/>
        <w:rPr>
          <w:rFonts w:ascii="Palatino Linotype" w:eastAsia="Palatino Linotype" w:hAnsi="Palatino Linotype" w:cs="Palatino Linotype"/>
          <w:i/>
          <w:lang w:eastAsia="es-ES"/>
        </w:rPr>
      </w:pPr>
      <w:r w:rsidRPr="00D134CE">
        <w:rPr>
          <w:rFonts w:ascii="Palatino Linotype" w:eastAsia="Palatino Linotype" w:hAnsi="Palatino Linotype" w:cs="Palatino Linotype"/>
          <w:b/>
          <w:i/>
          <w:lang w:eastAsia="es-ES"/>
        </w:rPr>
        <w:t xml:space="preserve">“TRANSPARENCIA Y ACCESO A LA INFORMACIÓN PÚBLICA GUBERNAMENTAL. EL ARTÍCULO 14, FRACCIÓN I, DE LA LEY FEDERAL RELATIVA, NO VIOLA LA GARANTÍA DE ACCESO A LA INFORMACIÓN. </w:t>
      </w:r>
      <w:r w:rsidRPr="00D134CE">
        <w:rPr>
          <w:rFonts w:ascii="Palatino Linotype" w:eastAsia="Palatino Linotype" w:hAnsi="Palatino Linotype" w:cs="Palatino Linotype"/>
          <w:i/>
          <w:lang w:eastAsia="es-ES"/>
        </w:rPr>
        <w:t xml:space="preserve">El Tribunal en Pleno de la Suprema Corte de Justicia de la Nación en la tesis P. LX/2000 de rubro: "DERECHO A LA INFORMACIÓN. SU EJERCICIO SE ENCUENTRA LIMITADO TANTO POR LOS INTERESES NACIONALES Y DE LA SOCIEDAD, COMO POR LOS DERECHOS DE TERCEROS.", publicada en el Semanario Judicial de la Federación y su Gaceta, Novena Época, Tomo XI, abril de 2000, página 74, estableció que el ejercicio del derecho a la información no es irrestricto, sino que tiene límites que se sustentan en la protección de la seguridad nacional y en el respeto a los intereses </w:t>
      </w:r>
      <w:r w:rsidRPr="00D134CE">
        <w:rPr>
          <w:rFonts w:ascii="Palatino Linotype" w:eastAsia="Palatino Linotype" w:hAnsi="Palatino Linotype" w:cs="Palatino Linotype"/>
          <w:i/>
          <w:lang w:eastAsia="es-ES"/>
        </w:rPr>
        <w:lastRenderedPageBreak/>
        <w:t xml:space="preserve">de la sociedad y a los derechos de los gobernados, en atención a la materia de que se trate. En ese sentido, el citado precepto, al remitir a diversas normas ordinarias que establezcan restricciones a la información, no viola la garantía de acceso a la información contenida en el artículo 6o. de la Constitución Política de los Estados Unidos Mexicanos, porque es jurídicamente adecuado que en las leyes reguladoras de cada materia, </w:t>
      </w:r>
      <w:r w:rsidRPr="00D134CE">
        <w:rPr>
          <w:rFonts w:ascii="Palatino Linotype" w:eastAsia="Palatino Linotype" w:hAnsi="Palatino Linotype" w:cs="Palatino Linotype"/>
          <w:b/>
          <w:i/>
          <w:lang w:eastAsia="es-ES"/>
        </w:rPr>
        <w:t>el legislador federal o local establezca las restricciones correspondientes y clasifique a determinados datos como confidenciales o reservados, con la condición de que tales límites atiendan a intereses públicos o de los particulares y encuentren justificación racional en función del bien jurídico a proteger, es decir, que exista proporcionalidad y congruencia entre el derecho fundamental de que se trata y la razón que motive la restricción legislativa correspondiente,</w:t>
      </w:r>
      <w:r w:rsidRPr="00D134CE">
        <w:rPr>
          <w:rFonts w:ascii="Palatino Linotype" w:eastAsia="Palatino Linotype" w:hAnsi="Palatino Linotype" w:cs="Palatino Linotype"/>
          <w:i/>
          <w:lang w:eastAsia="es-ES"/>
        </w:rPr>
        <w:t xml:space="preserve"> la cual debe ser adecuada y necesaria para alcanzar el fin perseguido, de manera que las ventajas obtenidas con la reserva compensen el sacrificio que ésta implique para los titulares de la garantía individual mencionada o para la sociedad en general.”</w:t>
      </w:r>
    </w:p>
    <w:p w:rsidR="00372598" w:rsidRPr="00D134CE" w:rsidRDefault="00372598" w:rsidP="004C1116">
      <w:pPr>
        <w:spacing w:line="360" w:lineRule="auto"/>
        <w:ind w:left="1134" w:right="-929"/>
        <w:jc w:val="both"/>
        <w:rPr>
          <w:rFonts w:ascii="Palatino Linotype" w:eastAsia="Palatino Linotype" w:hAnsi="Palatino Linotype" w:cs="Palatino Linotype"/>
          <w:i/>
          <w:lang w:eastAsia="es-ES"/>
        </w:rPr>
      </w:pPr>
    </w:p>
    <w:p w:rsidR="00372598" w:rsidRPr="00D134CE" w:rsidRDefault="00372598" w:rsidP="004C1116">
      <w:pPr>
        <w:numPr>
          <w:ilvl w:val="0"/>
          <w:numId w:val="1"/>
        </w:numPr>
        <w:spacing w:line="360" w:lineRule="auto"/>
        <w:ind w:left="0" w:right="49" w:firstLine="0"/>
        <w:jc w:val="both"/>
        <w:rPr>
          <w:rFonts w:ascii="Palatino Linotype" w:hAnsi="Palatino Linotype" w:cs="Arial"/>
          <w:lang w:eastAsia="es-ES"/>
        </w:rPr>
      </w:pPr>
      <w:r w:rsidRPr="00D134CE">
        <w:rPr>
          <w:rFonts w:ascii="Palatino Linotype" w:eastAsia="Palatino Linotype" w:hAnsi="Palatino Linotype" w:cs="Palatino Linotype"/>
          <w:color w:val="000000"/>
          <w:lang w:eastAsia="es-ES"/>
        </w:rPr>
        <w:t>También</w:t>
      </w:r>
      <w:r w:rsidRPr="00D134CE">
        <w:rPr>
          <w:rFonts w:ascii="Palatino Linotype" w:hAnsi="Palatino Linotype" w:cs="Arial"/>
          <w:lang w:eastAsia="es-ES"/>
        </w:rPr>
        <w:t>, el número de cuenta bancario, en el Criterio 10/17 emitido por el Pleno del Instituto Nacional de Transparencia, Acceso a la Información y P</w:t>
      </w:r>
      <w:r w:rsidR="00D134CE">
        <w:rPr>
          <w:rFonts w:ascii="Palatino Linotype" w:hAnsi="Palatino Linotype" w:cs="Arial"/>
          <w:lang w:eastAsia="es-ES"/>
        </w:rPr>
        <w:t xml:space="preserve">rotección de Datos Personales </w:t>
      </w:r>
      <w:r w:rsidRPr="00D134CE">
        <w:rPr>
          <w:rFonts w:ascii="Palatino Linotype" w:hAnsi="Palatino Linotype" w:cs="Arial"/>
          <w:lang w:eastAsia="es-ES"/>
        </w:rPr>
        <w:t xml:space="preserve">que en el presente asunto se refiere como criterio orientador, toda vez que a la fecha de la solicitud se encontraba vigente. </w:t>
      </w:r>
    </w:p>
    <w:p w:rsidR="00372598" w:rsidRPr="00D134CE" w:rsidRDefault="00372598" w:rsidP="004C1116">
      <w:pPr>
        <w:shd w:val="clear" w:color="auto" w:fill="FFFFFF"/>
        <w:spacing w:line="360" w:lineRule="auto"/>
        <w:ind w:left="567" w:right="277"/>
        <w:jc w:val="both"/>
        <w:rPr>
          <w:rFonts w:ascii="Palatino Linotype" w:eastAsia="Palatino Linotype" w:hAnsi="Palatino Linotype" w:cs="Palatino Linotype"/>
          <w:lang w:eastAsia="es-ES"/>
        </w:rPr>
      </w:pPr>
      <w:r w:rsidRPr="00D134CE">
        <w:rPr>
          <w:rFonts w:ascii="Palatino Linotype" w:eastAsia="Palatino Linotype" w:hAnsi="Palatino Linotype" w:cs="Palatino Linotype"/>
          <w:lang w:eastAsia="es-ES"/>
        </w:rPr>
        <w:t>“</w:t>
      </w:r>
      <w:r w:rsidRPr="00D134CE">
        <w:rPr>
          <w:rFonts w:ascii="Palatino Linotype" w:eastAsia="Palatino Linotype" w:hAnsi="Palatino Linotype" w:cs="Palatino Linotype"/>
          <w:b/>
          <w:i/>
          <w:lang w:eastAsia="es-ES"/>
        </w:rPr>
        <w:t>Cuentas bancarias y/o CLABE interbancaria de personas físicas y morales privadas.</w:t>
      </w:r>
      <w:r w:rsidRPr="00D134CE">
        <w:rPr>
          <w:rFonts w:ascii="Palatino Linotype" w:eastAsia="Palatino Linotype" w:hAnsi="Palatino Linotype" w:cs="Palatino Linotype"/>
          <w:i/>
          <w:lang w:eastAsia="es-ES"/>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w:t>
      </w:r>
      <w:r w:rsidRPr="00D134CE">
        <w:rPr>
          <w:rFonts w:ascii="Palatino Linotype" w:eastAsia="Palatino Linotype" w:hAnsi="Palatino Linotype" w:cs="Palatino Linotype"/>
          <w:i/>
          <w:lang w:eastAsia="es-ES"/>
        </w:rPr>
        <w:lastRenderedPageBreak/>
        <w:t>Transparencia y Acceso a la Información Pública y 113 de la Ley Federal de Transparencia y Acceso a la Información Pública</w:t>
      </w:r>
      <w:r w:rsidRPr="00D134CE">
        <w:rPr>
          <w:rFonts w:ascii="Palatino Linotype" w:eastAsia="Palatino Linotype" w:hAnsi="Palatino Linotype" w:cs="Palatino Linotype"/>
          <w:lang w:eastAsia="es-ES"/>
        </w:rPr>
        <w:t>.”</w:t>
      </w:r>
    </w:p>
    <w:p w:rsidR="00372598" w:rsidRPr="00D134CE" w:rsidRDefault="00372598" w:rsidP="004C1116">
      <w:pPr>
        <w:spacing w:line="360" w:lineRule="auto"/>
        <w:ind w:left="1134" w:right="-929"/>
        <w:jc w:val="both"/>
        <w:rPr>
          <w:rFonts w:ascii="Palatino Linotype" w:eastAsia="Palatino Linotype" w:hAnsi="Palatino Linotype" w:cs="Palatino Linotype"/>
          <w:lang w:eastAsia="es-ES"/>
        </w:rPr>
      </w:pPr>
    </w:p>
    <w:p w:rsidR="00372598" w:rsidRPr="00D134CE" w:rsidRDefault="00372598" w:rsidP="004C1116">
      <w:pPr>
        <w:numPr>
          <w:ilvl w:val="0"/>
          <w:numId w:val="1"/>
        </w:numPr>
        <w:spacing w:line="360" w:lineRule="auto"/>
        <w:ind w:left="0" w:right="49" w:firstLine="0"/>
        <w:jc w:val="both"/>
        <w:rPr>
          <w:rFonts w:ascii="Palatino Linotype" w:hAnsi="Palatino Linotype" w:cs="Arial"/>
          <w:lang w:eastAsia="es-ES"/>
        </w:rPr>
      </w:pPr>
      <w:r w:rsidRPr="00D134CE">
        <w:rPr>
          <w:rFonts w:ascii="Palatino Linotype" w:hAnsi="Palatino Linotype" w:cs="Arial"/>
          <w:lang w:eastAsia="es-ES"/>
        </w:rPr>
        <w:t xml:space="preserve">Esta </w:t>
      </w:r>
      <w:r w:rsidRPr="00D134CE">
        <w:rPr>
          <w:rFonts w:ascii="Palatino Linotype" w:eastAsia="Palatino Linotype" w:hAnsi="Palatino Linotype" w:cs="Palatino Linotype"/>
          <w:color w:val="000000"/>
          <w:lang w:eastAsia="es-ES"/>
        </w:rPr>
        <w:t>cuenta</w:t>
      </w:r>
      <w:r w:rsidRPr="00D134CE">
        <w:rPr>
          <w:rFonts w:ascii="Palatino Linotype" w:hAnsi="Palatino Linotype" w:cs="Arial"/>
          <w:lang w:eastAsia="es-ES"/>
        </w:rPr>
        <w:t xml:space="preserve"> es de uso personal y no guarda relación con el servicio público ni con los </w:t>
      </w:r>
      <w:r w:rsidRPr="00D134CE">
        <w:rPr>
          <w:rFonts w:ascii="Palatino Linotype" w:hAnsi="Palatino Linotype"/>
          <w:color w:val="000000"/>
        </w:rPr>
        <w:t>recursos</w:t>
      </w:r>
      <w:r w:rsidRPr="00D134CE">
        <w:rPr>
          <w:rFonts w:ascii="Palatino Linotype" w:hAnsi="Palatino Linotype" w:cs="Arial"/>
          <w:lang w:eastAsia="es-ES"/>
        </w:rPr>
        <w:t xml:space="preserve"> públicos, ya que es elección del trabajador determinar si desea que su sueldo se pague de manera directa o a través de depósito bancario en la institución de crédito de su elección. De tal suerte, el número de cuenta bancario lo proporciona el servidor público al Sujeto Obligado, con el único fin de que realicen los depósitos de su sueldo, por lo que este número constituye información confidencial al pertenecer exclusivamente al ámbito de la vida privada del trabajador y procede su eliminación de conformidad con el artículo 143, fracción I de la Ley de Transparencia y Acceso a la Información Pública del Estado de México y Municipios.</w:t>
      </w:r>
    </w:p>
    <w:p w:rsidR="00372598" w:rsidRPr="00D134CE" w:rsidRDefault="00372598" w:rsidP="004C1116">
      <w:pPr>
        <w:tabs>
          <w:tab w:val="left" w:pos="284"/>
        </w:tabs>
        <w:spacing w:line="360" w:lineRule="auto"/>
        <w:jc w:val="both"/>
        <w:rPr>
          <w:rFonts w:ascii="Palatino Linotype" w:hAnsi="Palatino Linotype" w:cs="Arial"/>
          <w:lang w:eastAsia="es-ES"/>
        </w:rPr>
      </w:pPr>
    </w:p>
    <w:p w:rsidR="00372598" w:rsidRPr="00D134CE" w:rsidRDefault="00372598" w:rsidP="004C1116">
      <w:pPr>
        <w:numPr>
          <w:ilvl w:val="0"/>
          <w:numId w:val="1"/>
        </w:numPr>
        <w:spacing w:line="360" w:lineRule="auto"/>
        <w:ind w:left="0" w:right="49" w:firstLine="0"/>
        <w:jc w:val="both"/>
        <w:rPr>
          <w:rFonts w:ascii="Palatino Linotype" w:hAnsi="Palatino Linotype" w:cs="Arial"/>
          <w:lang w:eastAsia="es-ES"/>
        </w:rPr>
      </w:pPr>
      <w:r w:rsidRPr="00D134CE">
        <w:rPr>
          <w:rFonts w:ascii="Palatino Linotype" w:eastAsia="Palatino Linotype" w:hAnsi="Palatino Linotype" w:cs="Palatino Linotype"/>
          <w:color w:val="000000"/>
          <w:lang w:eastAsia="es-ES"/>
        </w:rPr>
        <w:t>El</w:t>
      </w:r>
      <w:r w:rsidRPr="00D134CE">
        <w:rPr>
          <w:rFonts w:ascii="Palatino Linotype" w:hAnsi="Palatino Linotype" w:cs="Arial"/>
          <w:lang w:eastAsia="es-ES"/>
        </w:rPr>
        <w:t xml:space="preserve"> </w:t>
      </w:r>
      <w:r w:rsidRPr="00D134CE">
        <w:rPr>
          <w:rFonts w:ascii="Palatino Linotype" w:hAnsi="Palatino Linotype" w:cs="Arial"/>
          <w:b/>
          <w:lang w:eastAsia="es-ES"/>
        </w:rPr>
        <w:t>Código de barras bidimensional (QR</w:t>
      </w:r>
      <w:r w:rsidRPr="00D134CE">
        <w:rPr>
          <w:rFonts w:ascii="Palatino Linotype" w:hAnsi="Palatino Linotype" w:cs="Arial"/>
          <w:lang w:eastAsia="es-ES"/>
        </w:rPr>
        <w:t xml:space="preserve">), resulta necesario señalar que los </w:t>
      </w:r>
      <w:r w:rsidRPr="00D134CE">
        <w:rPr>
          <w:rFonts w:ascii="Palatino Linotype" w:eastAsia="Palatino Linotype" w:hAnsi="Palatino Linotype" w:cs="Palatino Linotype"/>
          <w:color w:val="000000"/>
          <w:lang w:eastAsia="es-ES"/>
        </w:rPr>
        <w:t>comprobantes</w:t>
      </w:r>
      <w:r w:rsidRPr="00D134CE">
        <w:rPr>
          <w:rFonts w:ascii="Palatino Linotype" w:hAnsi="Palatino Linotype" w:cs="Arial"/>
          <w:lang w:eastAsia="es-ES"/>
        </w:rPr>
        <w:t xml:space="preserve"> fiscales digitales por Internet, deben de incluir un código bidimensional conforme al formato QR Code (Quick Response Code), el cual contiene el Registro Federal de Contribuyentes del receptor, del emisor, o de ambos; lo anterior, conforme al Anexo 20 de la Segunda Resolución de modificación a la Resolución Miscelánea Fiscal. Incluso con la captura de dicho código, a través de la aplicación móvil del Servicio de Administración Tributaria, permite el acceso al Registro Federal de Contribuyentes, como del Sujeto Obligado, como de la persona física o moral correspondiente.</w:t>
      </w:r>
    </w:p>
    <w:p w:rsidR="00372598" w:rsidRPr="00D134CE" w:rsidRDefault="00372598" w:rsidP="004C1116">
      <w:pPr>
        <w:tabs>
          <w:tab w:val="left" w:pos="284"/>
        </w:tabs>
        <w:spacing w:line="360" w:lineRule="auto"/>
        <w:jc w:val="both"/>
        <w:rPr>
          <w:rFonts w:ascii="Palatino Linotype" w:hAnsi="Palatino Linotype" w:cs="Arial"/>
          <w:lang w:eastAsia="es-ES"/>
        </w:rPr>
      </w:pPr>
    </w:p>
    <w:p w:rsidR="00372598" w:rsidRPr="00D134CE" w:rsidRDefault="00372598" w:rsidP="004C1116">
      <w:pPr>
        <w:numPr>
          <w:ilvl w:val="0"/>
          <w:numId w:val="1"/>
        </w:numPr>
        <w:spacing w:line="360" w:lineRule="auto"/>
        <w:ind w:left="0" w:right="49" w:firstLine="0"/>
        <w:jc w:val="both"/>
        <w:rPr>
          <w:rFonts w:ascii="Palatino Linotype" w:hAnsi="Palatino Linotype" w:cs="Arial"/>
          <w:lang w:eastAsia="es-ES"/>
        </w:rPr>
      </w:pPr>
      <w:r w:rsidRPr="00D134CE">
        <w:rPr>
          <w:rFonts w:ascii="Palatino Linotype" w:hAnsi="Palatino Linotype" w:cs="Arial"/>
          <w:lang w:eastAsia="es-ES"/>
        </w:rPr>
        <w:t xml:space="preserve">De </w:t>
      </w:r>
      <w:r w:rsidRPr="00D134CE">
        <w:rPr>
          <w:rFonts w:ascii="Palatino Linotype" w:eastAsia="Palatino Linotype" w:hAnsi="Palatino Linotype" w:cs="Palatino Linotype"/>
          <w:color w:val="000000"/>
          <w:lang w:eastAsia="es-ES"/>
        </w:rPr>
        <w:t>tales</w:t>
      </w:r>
      <w:r w:rsidRPr="00D134CE">
        <w:rPr>
          <w:rFonts w:ascii="Palatino Linotype" w:hAnsi="Palatino Linotype" w:cs="Arial"/>
          <w:lang w:eastAsia="es-ES"/>
        </w:rPr>
        <w:t xml:space="preserve"> </w:t>
      </w:r>
      <w:r w:rsidRPr="00D134CE">
        <w:rPr>
          <w:rFonts w:ascii="Palatino Linotype" w:eastAsia="Palatino Linotype" w:hAnsi="Palatino Linotype" w:cs="Palatino Linotype"/>
          <w:color w:val="000000"/>
          <w:lang w:eastAsia="es-ES"/>
        </w:rPr>
        <w:t>circunstancias</w:t>
      </w:r>
      <w:r w:rsidRPr="00D134CE">
        <w:rPr>
          <w:rFonts w:ascii="Palatino Linotype" w:hAnsi="Palatino Linotype" w:cs="Arial"/>
          <w:lang w:eastAsia="es-ES"/>
        </w:rPr>
        <w:t xml:space="preserve">, se considera que se actualiza la causal de clasificación prevista en el </w:t>
      </w:r>
      <w:r w:rsidRPr="00D134CE">
        <w:rPr>
          <w:rFonts w:ascii="Palatino Linotype" w:hAnsi="Palatino Linotype"/>
          <w:color w:val="000000"/>
        </w:rPr>
        <w:t>artículo</w:t>
      </w:r>
      <w:r w:rsidRPr="00D134CE">
        <w:rPr>
          <w:rFonts w:ascii="Palatino Linotype" w:hAnsi="Palatino Linotype" w:cs="Arial"/>
          <w:lang w:eastAsia="es-ES"/>
        </w:rPr>
        <w:t xml:space="preserve"> 143, fracción I de la Ley de la materia, toda vez que el Registro Federal de </w:t>
      </w:r>
      <w:r w:rsidRPr="00D134CE">
        <w:rPr>
          <w:rFonts w:ascii="Palatino Linotype" w:hAnsi="Palatino Linotype" w:cs="Arial"/>
          <w:lang w:eastAsia="es-ES"/>
        </w:rPr>
        <w:lastRenderedPageBreak/>
        <w:t>Contribuyentes corresponde a los servidores públicos, pues como se señaló en párrafos anteriores el mismo hace identificable o identificada al mismo.</w:t>
      </w:r>
    </w:p>
    <w:p w:rsidR="00372598" w:rsidRPr="00D134CE" w:rsidRDefault="00372598" w:rsidP="004C1116">
      <w:pPr>
        <w:tabs>
          <w:tab w:val="left" w:pos="284"/>
        </w:tabs>
        <w:spacing w:line="360" w:lineRule="auto"/>
        <w:jc w:val="both"/>
        <w:rPr>
          <w:rFonts w:ascii="Palatino Linotype" w:hAnsi="Palatino Linotype" w:cs="Arial"/>
          <w:lang w:eastAsia="es-ES"/>
        </w:rPr>
      </w:pPr>
    </w:p>
    <w:p w:rsidR="00372598" w:rsidRPr="00D134CE" w:rsidRDefault="00372598" w:rsidP="004C1116">
      <w:pPr>
        <w:numPr>
          <w:ilvl w:val="0"/>
          <w:numId w:val="1"/>
        </w:numPr>
        <w:spacing w:line="360" w:lineRule="auto"/>
        <w:ind w:left="0" w:right="49" w:firstLine="0"/>
        <w:jc w:val="both"/>
        <w:rPr>
          <w:rFonts w:ascii="Palatino Linotype" w:hAnsi="Palatino Linotype" w:cs="Arial"/>
          <w:lang w:eastAsia="es-ES"/>
        </w:rPr>
      </w:pPr>
      <w:r w:rsidRPr="00D134CE">
        <w:rPr>
          <w:rFonts w:ascii="Palatino Linotype" w:hAnsi="Palatino Linotype" w:cs="Arial"/>
          <w:lang w:eastAsia="es-ES"/>
        </w:rPr>
        <w:t xml:space="preserve">Por otra parte y respecto a la clave de seguridad social y en su caso clave o número del servidor público –trabajador-, en virtud de que su divulgación no aporta a la transparencia o a la rendición de cuentas y sí provoca una transgresión a la vida privada e intimidad de la persona, esta información también resulta ser de carácter confidencial; </w:t>
      </w:r>
      <w:r w:rsidRPr="00D134CE">
        <w:rPr>
          <w:rFonts w:ascii="Palatino Linotype" w:hAnsi="Palatino Linotype"/>
          <w:color w:val="000000"/>
        </w:rPr>
        <w:t>siendo</w:t>
      </w:r>
      <w:r w:rsidRPr="00D134CE">
        <w:rPr>
          <w:rFonts w:ascii="Palatino Linotype" w:hAnsi="Palatino Linotype" w:cs="Arial"/>
          <w:lang w:eastAsia="es-ES"/>
        </w:rPr>
        <w:t xml:space="preserve"> aplicable como orientador el criterio número 15/10 emitido por el entonces Instituto Federal de Transparencia y Acceso a la Información (INAI, cuyo texto y sentido literal es el siguiente, del cual se debe de referir que se usa como criterio orientador, toda vez que a la fecha de la solicitud de encontraba vigente. </w:t>
      </w:r>
    </w:p>
    <w:p w:rsidR="00372598" w:rsidRPr="00D134CE" w:rsidRDefault="00372598" w:rsidP="004C1116">
      <w:pPr>
        <w:shd w:val="clear" w:color="auto" w:fill="FFFFFF"/>
        <w:spacing w:line="360" w:lineRule="auto"/>
        <w:ind w:left="567" w:right="616"/>
        <w:jc w:val="both"/>
        <w:rPr>
          <w:rFonts w:ascii="Palatino Linotype" w:eastAsia="Palatino Linotype" w:hAnsi="Palatino Linotype" w:cs="Palatino Linotype"/>
          <w:i/>
          <w:color w:val="222222"/>
          <w:lang w:eastAsia="es-ES"/>
        </w:rPr>
      </w:pPr>
      <w:r w:rsidRPr="00D134CE">
        <w:rPr>
          <w:rFonts w:ascii="Palatino Linotype" w:eastAsia="Palatino Linotype" w:hAnsi="Palatino Linotype" w:cs="Palatino Linotype"/>
          <w:b/>
          <w:i/>
          <w:color w:val="222222"/>
          <w:lang w:eastAsia="es-ES"/>
        </w:rPr>
        <w:t>“El número de ficha de identificación única de los trabajadores es información de carácter confidencial.</w:t>
      </w:r>
      <w:r w:rsidRPr="00D134CE">
        <w:rPr>
          <w:rFonts w:ascii="Palatino Linotype" w:eastAsia="Palatino Linotype" w:hAnsi="Palatino Linotype" w:cs="Palatino Linotype"/>
          <w:i/>
          <w:color w:val="222222"/>
          <w:lang w:eastAsia="es-ES"/>
        </w:rPr>
        <w:t> </w:t>
      </w:r>
      <w:r w:rsidRPr="00D134CE">
        <w:rPr>
          <w:rFonts w:ascii="Palatino Linotype" w:eastAsia="Palatino Linotype" w:hAnsi="Palatino Linotype" w:cs="Palatino Linotype"/>
          <w:i/>
          <w:color w:val="222222"/>
          <w:u w:val="single"/>
          <w:lang w:eastAsia="es-ES"/>
        </w:rPr>
        <w:t>En los casos en que el número de trabajador o ficha de identificación única constituya un elemento por medio del cual los trabajadores puedan acceder a un sistema de datos o información de la dependencia o entidad, para hacer uso de diversos servicios, como la presentación de consultas relacionadas con su situación laboral particular</w:t>
      </w:r>
      <w:r w:rsidRPr="00D134CE">
        <w:rPr>
          <w:rFonts w:ascii="Palatino Linotype" w:eastAsia="Palatino Linotype" w:hAnsi="Palatino Linotype" w:cs="Palatino Linotype"/>
          <w:i/>
          <w:color w:val="222222"/>
          <w:lang w:eastAsia="es-ES"/>
        </w:rPr>
        <w:t>, </w:t>
      </w:r>
      <w:r w:rsidRPr="00D134CE">
        <w:rPr>
          <w:rFonts w:ascii="Palatino Linotype" w:eastAsia="Palatino Linotype" w:hAnsi="Palatino Linotype" w:cs="Palatino Linotype"/>
          <w:i/>
          <w:color w:val="222222"/>
          <w:u w:val="single"/>
          <w:lang w:eastAsia="es-ES"/>
        </w:rPr>
        <w:t>dicha información es susceptible de clasificarse con el carácter de confidencial</w:t>
      </w:r>
      <w:r w:rsidRPr="00D134CE">
        <w:rPr>
          <w:rFonts w:ascii="Palatino Linotype" w:eastAsia="Palatino Linotype" w:hAnsi="Palatino Linotype" w:cs="Palatino Linotype"/>
          <w:i/>
          <w:color w:val="222222"/>
          <w:lang w:eastAsia="es-ES"/>
        </w:rPr>
        <w:t>, en términos de lo establecido en el artículo 18, fracción II de la Ley Federal de Transparencia y Acceso a la Información Pública Gubernamental, en virtud de que a través de la misma es posible conocer información personal de su titular.”</w:t>
      </w:r>
    </w:p>
    <w:p w:rsidR="00372598" w:rsidRPr="00D134CE" w:rsidRDefault="00372598" w:rsidP="004C1116">
      <w:pPr>
        <w:pBdr>
          <w:top w:val="nil"/>
          <w:left w:val="nil"/>
          <w:bottom w:val="nil"/>
          <w:right w:val="nil"/>
          <w:between w:val="nil"/>
        </w:pBdr>
        <w:spacing w:line="360" w:lineRule="auto"/>
        <w:ind w:right="-787"/>
        <w:jc w:val="both"/>
        <w:rPr>
          <w:rFonts w:ascii="Palatino Linotype" w:eastAsia="Palatino Linotype" w:hAnsi="Palatino Linotype" w:cs="Palatino Linotype"/>
          <w:i/>
          <w:color w:val="222222"/>
          <w:lang w:eastAsia="es-ES"/>
        </w:rPr>
      </w:pPr>
    </w:p>
    <w:p w:rsidR="00372598" w:rsidRPr="00D134CE" w:rsidRDefault="00372598" w:rsidP="004C1116">
      <w:pPr>
        <w:numPr>
          <w:ilvl w:val="0"/>
          <w:numId w:val="1"/>
        </w:numPr>
        <w:spacing w:line="360" w:lineRule="auto"/>
        <w:ind w:left="0" w:right="49" w:firstLine="0"/>
        <w:jc w:val="both"/>
        <w:rPr>
          <w:rFonts w:ascii="Palatino Linotype" w:hAnsi="Palatino Linotype" w:cs="Arial"/>
          <w:lang w:eastAsia="es-ES"/>
        </w:rPr>
      </w:pPr>
      <w:r w:rsidRPr="00D134CE">
        <w:rPr>
          <w:rFonts w:ascii="Palatino Linotype" w:eastAsia="Palatino Linotype" w:hAnsi="Palatino Linotype" w:cs="Palatino Linotype"/>
          <w:color w:val="000000"/>
          <w:lang w:eastAsia="es-ES"/>
        </w:rPr>
        <w:t>Ahora</w:t>
      </w:r>
      <w:r w:rsidRPr="00D134CE">
        <w:rPr>
          <w:rFonts w:ascii="Palatino Linotype" w:hAnsi="Palatino Linotype" w:cs="Arial"/>
          <w:lang w:eastAsia="es-ES"/>
        </w:rPr>
        <w:t xml:space="preserve"> bien, también es necesario indicar que hay información dentro de los recibos de </w:t>
      </w:r>
      <w:r w:rsidRPr="00D134CE">
        <w:rPr>
          <w:rFonts w:ascii="Palatino Linotype" w:hAnsi="Palatino Linotype"/>
          <w:color w:val="000000"/>
        </w:rPr>
        <w:t>nómina</w:t>
      </w:r>
      <w:r w:rsidRPr="00D134CE">
        <w:rPr>
          <w:rFonts w:ascii="Palatino Linotype" w:hAnsi="Palatino Linotype" w:cs="Arial"/>
          <w:lang w:eastAsia="es-ES"/>
        </w:rPr>
        <w:t xml:space="preserve"> que no contienen datos personales por lo cual su entrega no deberá de ser clasificada, siendo los siguientes. </w:t>
      </w:r>
    </w:p>
    <w:p w:rsidR="00372598" w:rsidRPr="00D134CE" w:rsidRDefault="00372598" w:rsidP="004C1116">
      <w:pPr>
        <w:tabs>
          <w:tab w:val="left" w:pos="284"/>
        </w:tabs>
        <w:spacing w:line="360" w:lineRule="auto"/>
        <w:jc w:val="both"/>
        <w:rPr>
          <w:rFonts w:ascii="Palatino Linotype" w:hAnsi="Palatino Linotype" w:cs="Arial"/>
          <w:lang w:eastAsia="es-ES"/>
        </w:rPr>
      </w:pPr>
    </w:p>
    <w:p w:rsidR="00372598" w:rsidRPr="00D134CE" w:rsidRDefault="00372598" w:rsidP="004C1116">
      <w:pPr>
        <w:numPr>
          <w:ilvl w:val="0"/>
          <w:numId w:val="1"/>
        </w:numPr>
        <w:spacing w:line="360" w:lineRule="auto"/>
        <w:ind w:left="0" w:right="49" w:firstLine="0"/>
        <w:jc w:val="both"/>
        <w:rPr>
          <w:rFonts w:ascii="Palatino Linotype" w:hAnsi="Palatino Linotype" w:cs="Arial"/>
          <w:lang w:eastAsia="es-ES"/>
        </w:rPr>
      </w:pPr>
      <w:r w:rsidRPr="00D134CE">
        <w:rPr>
          <w:rFonts w:ascii="Palatino Linotype" w:hAnsi="Palatino Linotype" w:cs="Arial"/>
          <w:lang w:eastAsia="es-ES"/>
        </w:rPr>
        <w:t xml:space="preserve">Por </w:t>
      </w:r>
      <w:r w:rsidRPr="00D134CE">
        <w:rPr>
          <w:rFonts w:ascii="Palatino Linotype" w:eastAsia="Palatino Linotype" w:hAnsi="Palatino Linotype" w:cs="Palatino Linotype"/>
          <w:color w:val="000000"/>
          <w:lang w:eastAsia="es-ES"/>
        </w:rPr>
        <w:t>cuanto</w:t>
      </w:r>
      <w:r w:rsidRPr="00D134CE">
        <w:rPr>
          <w:rFonts w:ascii="Palatino Linotype" w:hAnsi="Palatino Linotype" w:cs="Arial"/>
          <w:lang w:eastAsia="es-ES"/>
        </w:rPr>
        <w:t xml:space="preserve"> hace </w:t>
      </w:r>
      <w:r w:rsidRPr="00D134CE">
        <w:rPr>
          <w:rFonts w:ascii="Palatino Linotype" w:hAnsi="Palatino Linotype" w:cs="Arial"/>
          <w:b/>
          <w:lang w:eastAsia="es-ES"/>
        </w:rPr>
        <w:t>al Folio Fiscal</w:t>
      </w:r>
      <w:r w:rsidRPr="00D134CE">
        <w:rPr>
          <w:rFonts w:ascii="Palatino Linotype" w:hAnsi="Palatino Linotype" w:cs="Arial"/>
          <w:lang w:eastAsia="es-ES"/>
        </w:rPr>
        <w:t xml:space="preserve">, cabe precisar que conforme al ANEXO 20 de la Segunda </w:t>
      </w:r>
      <w:r w:rsidRPr="00D134CE">
        <w:rPr>
          <w:rFonts w:ascii="Palatino Linotype" w:hAnsi="Palatino Linotype"/>
          <w:color w:val="000000"/>
        </w:rPr>
        <w:t>Resolución</w:t>
      </w:r>
      <w:r w:rsidRPr="00D134CE">
        <w:rPr>
          <w:rFonts w:ascii="Palatino Linotype" w:hAnsi="Palatino Linotype" w:cs="Arial"/>
          <w:lang w:eastAsia="es-ES"/>
        </w:rPr>
        <w:t xml:space="preserve"> de modificaciones a la Resolución Miscelánea Fiscal, el folio fiscal se conforma de treinta seis caracteres alfanuméricos; además, que conforme </w:t>
      </w:r>
      <w:r w:rsidRPr="00D134CE">
        <w:rPr>
          <w:rFonts w:ascii="Palatino Linotype" w:eastAsia="Palatino Linotype" w:hAnsi="Palatino Linotype" w:cs="Palatino Linotype"/>
          <w:color w:val="000000"/>
          <w:lang w:eastAsia="es-ES"/>
        </w:rPr>
        <w:t>al</w:t>
      </w:r>
      <w:r w:rsidRPr="00D134CE">
        <w:rPr>
          <w:rFonts w:ascii="Palatino Linotype" w:hAnsi="Palatino Linotype" w:cs="Arial"/>
          <w:lang w:eastAsia="es-ES"/>
        </w:rPr>
        <w:t xml:space="preserve">  documento denominado “Cómo ubicar el Folio Fiscal en una factura”, el dato se ubica dentro de los datos del emisor o en el recuadro de los datos de identificación del comprobante fiscal. Es un número consecutivo contenido en los comprobantes fiscales digitales, compuesto por 5 grupos de números y letras separados por guiones, tal como se muestra a continuación:</w:t>
      </w:r>
    </w:p>
    <w:p w:rsidR="00372598" w:rsidRPr="00D134CE" w:rsidRDefault="00372598" w:rsidP="004C1116">
      <w:pPr>
        <w:pBdr>
          <w:top w:val="nil"/>
          <w:left w:val="nil"/>
          <w:bottom w:val="nil"/>
          <w:right w:val="nil"/>
          <w:between w:val="nil"/>
        </w:pBdr>
        <w:spacing w:line="360" w:lineRule="auto"/>
        <w:ind w:right="-787"/>
        <w:jc w:val="center"/>
        <w:rPr>
          <w:rFonts w:ascii="Palatino Linotype" w:eastAsia="Palatino Linotype" w:hAnsi="Palatino Linotype" w:cs="Palatino Linotype"/>
          <w:lang w:eastAsia="es-ES"/>
        </w:rPr>
      </w:pPr>
      <w:r w:rsidRPr="00D134CE">
        <w:rPr>
          <w:rFonts w:ascii="Palatino Linotype" w:eastAsia="Palatino Linotype" w:hAnsi="Palatino Linotype" w:cs="Palatino Linotype"/>
          <w:noProof/>
          <w:color w:val="000000"/>
          <w:lang w:val="es-MX"/>
        </w:rPr>
        <w:drawing>
          <wp:inline distT="0" distB="0" distL="0" distR="0" wp14:anchorId="02AA9EF6" wp14:editId="66A105AE">
            <wp:extent cx="4667250" cy="1181100"/>
            <wp:effectExtent l="152400" t="152400" r="361950" b="361950"/>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b="32787"/>
                    <a:stretch>
                      <a:fillRect/>
                    </a:stretch>
                  </pic:blipFill>
                  <pic:spPr>
                    <a:xfrm>
                      <a:off x="0" y="0"/>
                      <a:ext cx="4667250" cy="1181100"/>
                    </a:xfrm>
                    <a:prstGeom prst="rect">
                      <a:avLst/>
                    </a:prstGeom>
                    <a:ln>
                      <a:noFill/>
                    </a:ln>
                    <a:effectLst>
                      <a:outerShdw blurRad="292100" dist="139700" dir="2700000" algn="tl" rotWithShape="0">
                        <a:srgbClr val="333333">
                          <a:alpha val="65000"/>
                        </a:srgbClr>
                      </a:outerShdw>
                    </a:effectLst>
                  </pic:spPr>
                </pic:pic>
              </a:graphicData>
            </a:graphic>
          </wp:inline>
        </w:drawing>
      </w:r>
    </w:p>
    <w:p w:rsidR="00372598" w:rsidRPr="00D134CE" w:rsidRDefault="00372598" w:rsidP="004C1116">
      <w:pPr>
        <w:numPr>
          <w:ilvl w:val="0"/>
          <w:numId w:val="1"/>
        </w:numPr>
        <w:spacing w:line="360" w:lineRule="auto"/>
        <w:ind w:left="0" w:right="49" w:firstLine="0"/>
        <w:jc w:val="both"/>
        <w:rPr>
          <w:rFonts w:ascii="Palatino Linotype" w:hAnsi="Palatino Linotype" w:cs="Arial"/>
          <w:lang w:eastAsia="es-ES"/>
        </w:rPr>
      </w:pPr>
      <w:r w:rsidRPr="00D134CE">
        <w:rPr>
          <w:rFonts w:ascii="Palatino Linotype" w:eastAsia="Palatino Linotype" w:hAnsi="Palatino Linotype" w:cs="Palatino Linotype"/>
          <w:color w:val="000000"/>
          <w:lang w:eastAsia="es-ES"/>
        </w:rPr>
        <w:t>En</w:t>
      </w:r>
      <w:r w:rsidRPr="00D134CE">
        <w:rPr>
          <w:rFonts w:ascii="Palatino Linotype" w:hAnsi="Palatino Linotype" w:cs="Arial"/>
          <w:lang w:eastAsia="es-ES"/>
        </w:rPr>
        <w:t xml:space="preserve"> ese contexto, el folio fiscal, no contiene datos personales del emisor y tampoco se puede obtener información confidencial con el mismo, pues solamente es un identificador del emisor, del cual su transparencia ayuda a legitimar que el documento cumple con todos los requisitos establecidos en la normatividad aplicable, sin </w:t>
      </w:r>
      <w:r w:rsidRPr="00D134CE">
        <w:rPr>
          <w:rFonts w:ascii="Palatino Linotype" w:hAnsi="Palatino Linotype"/>
          <w:color w:val="000000"/>
        </w:rPr>
        <w:t>necesidad</w:t>
      </w:r>
      <w:r w:rsidRPr="00D134CE">
        <w:rPr>
          <w:rFonts w:ascii="Palatino Linotype" w:hAnsi="Palatino Linotype" w:cs="Arial"/>
          <w:lang w:eastAsia="es-ES"/>
        </w:rPr>
        <w:t xml:space="preserve"> de algún dato personal, por lo que, no se actualiza la clasificación, en términos del artículo 143, fracción I de la Ley de la materia.</w:t>
      </w:r>
    </w:p>
    <w:p w:rsidR="00372598" w:rsidRPr="00D134CE" w:rsidRDefault="00372598" w:rsidP="004C1116">
      <w:pPr>
        <w:tabs>
          <w:tab w:val="left" w:pos="284"/>
        </w:tabs>
        <w:spacing w:line="360" w:lineRule="auto"/>
        <w:jc w:val="both"/>
        <w:rPr>
          <w:rFonts w:ascii="Palatino Linotype" w:hAnsi="Palatino Linotype" w:cs="Arial"/>
          <w:lang w:eastAsia="es-ES"/>
        </w:rPr>
      </w:pPr>
    </w:p>
    <w:p w:rsidR="00372598" w:rsidRPr="00D134CE" w:rsidRDefault="00372598" w:rsidP="004C1116">
      <w:pPr>
        <w:numPr>
          <w:ilvl w:val="0"/>
          <w:numId w:val="1"/>
        </w:numPr>
        <w:spacing w:line="360" w:lineRule="auto"/>
        <w:ind w:left="0" w:right="49" w:firstLine="0"/>
        <w:jc w:val="both"/>
        <w:rPr>
          <w:rFonts w:ascii="Palatino Linotype" w:hAnsi="Palatino Linotype" w:cs="Arial"/>
          <w:lang w:eastAsia="es-ES"/>
        </w:rPr>
      </w:pPr>
      <w:r w:rsidRPr="00D134CE">
        <w:rPr>
          <w:rFonts w:ascii="Palatino Linotype" w:hAnsi="Palatino Linotype" w:cs="Arial"/>
          <w:lang w:eastAsia="es-ES"/>
        </w:rPr>
        <w:t xml:space="preserve">En </w:t>
      </w:r>
      <w:r w:rsidRPr="00D134CE">
        <w:rPr>
          <w:rFonts w:ascii="Palatino Linotype" w:eastAsia="Palatino Linotype" w:hAnsi="Palatino Linotype" w:cs="Palatino Linotype"/>
          <w:color w:val="000000"/>
          <w:lang w:eastAsia="es-ES"/>
        </w:rPr>
        <w:t>esa</w:t>
      </w:r>
      <w:r w:rsidRPr="00D134CE">
        <w:rPr>
          <w:rFonts w:ascii="Palatino Linotype" w:hAnsi="Palatino Linotype" w:cs="Arial"/>
          <w:lang w:eastAsia="es-ES"/>
        </w:rPr>
        <w:t xml:space="preserve"> </w:t>
      </w:r>
      <w:r w:rsidRPr="00D134CE">
        <w:rPr>
          <w:rFonts w:ascii="Palatino Linotype" w:hAnsi="Palatino Linotype"/>
          <w:color w:val="000000"/>
        </w:rPr>
        <w:t>línea</w:t>
      </w:r>
      <w:r w:rsidRPr="00D134CE">
        <w:rPr>
          <w:rFonts w:ascii="Palatino Linotype" w:hAnsi="Palatino Linotype" w:cs="Arial"/>
          <w:lang w:eastAsia="es-ES"/>
        </w:rPr>
        <w:t xml:space="preserve"> de estudio, las cadenas originales y sellos que se agregan a las facturas, tienen una </w:t>
      </w:r>
      <w:r w:rsidRPr="00D134CE">
        <w:rPr>
          <w:rFonts w:ascii="Palatino Linotype" w:eastAsia="Palatino Linotype" w:hAnsi="Palatino Linotype" w:cs="Palatino Linotype"/>
          <w:color w:val="000000"/>
          <w:lang w:eastAsia="es-ES"/>
        </w:rPr>
        <w:t>secuencia</w:t>
      </w:r>
      <w:r w:rsidRPr="00D134CE">
        <w:rPr>
          <w:rFonts w:ascii="Palatino Linotype" w:hAnsi="Palatino Linotype" w:cs="Arial"/>
          <w:lang w:eastAsia="es-ES"/>
        </w:rPr>
        <w:t xml:space="preserve"> de generación, determinados con base en el ANEXO 20 de la Segunda </w:t>
      </w:r>
      <w:r w:rsidRPr="00D134CE">
        <w:rPr>
          <w:rFonts w:ascii="Palatino Linotype" w:hAnsi="Palatino Linotype" w:cs="Arial"/>
          <w:lang w:eastAsia="es-ES"/>
        </w:rPr>
        <w:lastRenderedPageBreak/>
        <w:t>Resolución de modificaciones a la Resolución Miscelánea Fiscal precisa los datos de los que se componen los elementos de seguridad y se puntualiza que dicha información está encriptada.</w:t>
      </w:r>
    </w:p>
    <w:p w:rsidR="00372598" w:rsidRPr="00D134CE" w:rsidRDefault="00372598" w:rsidP="004C1116">
      <w:pPr>
        <w:spacing w:line="360" w:lineRule="auto"/>
        <w:ind w:left="709" w:right="277"/>
        <w:jc w:val="both"/>
        <w:rPr>
          <w:rFonts w:ascii="Palatino Linotype" w:eastAsia="Palatino Linotype" w:hAnsi="Palatino Linotype" w:cs="Palatino Linotype"/>
          <w:i/>
          <w:lang w:eastAsia="es-ES"/>
        </w:rPr>
      </w:pPr>
      <w:r w:rsidRPr="00D134CE">
        <w:rPr>
          <w:rFonts w:ascii="Palatino Linotype" w:eastAsia="Palatino Linotype" w:hAnsi="Palatino Linotype" w:cs="Palatino Linotype"/>
          <w:i/>
          <w:lang w:eastAsia="es-ES"/>
        </w:rPr>
        <w:t>“Elementos utilizados en la generación de Sellos Digitales:</w:t>
      </w:r>
    </w:p>
    <w:p w:rsidR="00372598" w:rsidRPr="00D134CE" w:rsidRDefault="00372598" w:rsidP="004C1116">
      <w:pPr>
        <w:spacing w:line="360" w:lineRule="auto"/>
        <w:ind w:left="709" w:right="277"/>
        <w:jc w:val="both"/>
        <w:rPr>
          <w:rFonts w:ascii="Palatino Linotype" w:eastAsia="Palatino Linotype" w:hAnsi="Palatino Linotype" w:cs="Palatino Linotype"/>
          <w:i/>
          <w:lang w:eastAsia="es-ES"/>
        </w:rPr>
      </w:pPr>
      <w:r w:rsidRPr="00D134CE">
        <w:rPr>
          <w:rFonts w:ascii="Palatino Linotype" w:eastAsia="Palatino Linotype" w:hAnsi="Palatino Linotype" w:cs="Palatino Linotype"/>
          <w:i/>
          <w:lang w:eastAsia="es-ES"/>
        </w:rPr>
        <w:t>•</w:t>
      </w:r>
      <w:r w:rsidRPr="00D134CE">
        <w:rPr>
          <w:rFonts w:ascii="Palatino Linotype" w:eastAsia="Palatino Linotype" w:hAnsi="Palatino Linotype" w:cs="Palatino Linotype"/>
          <w:i/>
          <w:lang w:eastAsia="es-ES"/>
        </w:rPr>
        <w:tab/>
        <w:t>Cadena Original, el elemento a sellar, en este caso de un comprobante fiscal digital a través de Internet.</w:t>
      </w:r>
    </w:p>
    <w:p w:rsidR="00372598" w:rsidRPr="00D134CE" w:rsidRDefault="00372598" w:rsidP="004C1116">
      <w:pPr>
        <w:spacing w:line="360" w:lineRule="auto"/>
        <w:ind w:left="709" w:right="277"/>
        <w:jc w:val="both"/>
        <w:rPr>
          <w:rFonts w:ascii="Palatino Linotype" w:eastAsia="Palatino Linotype" w:hAnsi="Palatino Linotype" w:cs="Palatino Linotype"/>
          <w:i/>
          <w:lang w:eastAsia="es-ES"/>
        </w:rPr>
      </w:pPr>
      <w:r w:rsidRPr="00D134CE">
        <w:rPr>
          <w:rFonts w:ascii="Palatino Linotype" w:eastAsia="Palatino Linotype" w:hAnsi="Palatino Linotype" w:cs="Palatino Linotype"/>
          <w:i/>
          <w:lang w:eastAsia="es-ES"/>
        </w:rPr>
        <w:t>•</w:t>
      </w:r>
      <w:r w:rsidRPr="00D134CE">
        <w:rPr>
          <w:rFonts w:ascii="Palatino Linotype" w:eastAsia="Palatino Linotype" w:hAnsi="Palatino Linotype" w:cs="Palatino Linotype"/>
          <w:i/>
          <w:lang w:eastAsia="es-ES"/>
        </w:rPr>
        <w:tab/>
        <w:t>Certificado de Sello Digital y su correspondiente clave privada.</w:t>
      </w:r>
    </w:p>
    <w:p w:rsidR="00372598" w:rsidRPr="00D134CE" w:rsidRDefault="00372598" w:rsidP="004C1116">
      <w:pPr>
        <w:spacing w:line="360" w:lineRule="auto"/>
        <w:ind w:left="709" w:right="277"/>
        <w:jc w:val="both"/>
        <w:rPr>
          <w:rFonts w:ascii="Palatino Linotype" w:eastAsia="Palatino Linotype" w:hAnsi="Palatino Linotype" w:cs="Palatino Linotype"/>
          <w:i/>
          <w:lang w:eastAsia="es-ES"/>
        </w:rPr>
      </w:pPr>
      <w:r w:rsidRPr="00D134CE">
        <w:rPr>
          <w:rFonts w:ascii="Palatino Linotype" w:eastAsia="Palatino Linotype" w:hAnsi="Palatino Linotype" w:cs="Palatino Linotype"/>
          <w:i/>
          <w:lang w:eastAsia="es-ES"/>
        </w:rPr>
        <w:t>•</w:t>
      </w:r>
      <w:r w:rsidRPr="00D134CE">
        <w:rPr>
          <w:rFonts w:ascii="Palatino Linotype" w:eastAsia="Palatino Linotype" w:hAnsi="Palatino Linotype" w:cs="Palatino Linotype"/>
          <w:i/>
          <w:lang w:eastAsia="es-ES"/>
        </w:rPr>
        <w:tab/>
        <w:t>Algoritmos de criptografía de clave pública para firma electrónica avanzada.</w:t>
      </w:r>
    </w:p>
    <w:p w:rsidR="00372598" w:rsidRPr="00D134CE" w:rsidRDefault="00372598" w:rsidP="004C1116">
      <w:pPr>
        <w:spacing w:line="360" w:lineRule="auto"/>
        <w:ind w:left="709" w:right="277"/>
        <w:jc w:val="both"/>
        <w:rPr>
          <w:rFonts w:ascii="Palatino Linotype" w:eastAsia="Palatino Linotype" w:hAnsi="Palatino Linotype" w:cs="Palatino Linotype"/>
          <w:i/>
          <w:lang w:eastAsia="es-ES"/>
        </w:rPr>
      </w:pPr>
      <w:r w:rsidRPr="00D134CE">
        <w:rPr>
          <w:rFonts w:ascii="Palatino Linotype" w:eastAsia="Palatino Linotype" w:hAnsi="Palatino Linotype" w:cs="Palatino Linotype"/>
          <w:i/>
          <w:lang w:eastAsia="es-ES"/>
        </w:rPr>
        <w:t>•</w:t>
      </w:r>
      <w:r w:rsidRPr="00D134CE">
        <w:rPr>
          <w:rFonts w:ascii="Palatino Linotype" w:eastAsia="Palatino Linotype" w:hAnsi="Palatino Linotype" w:cs="Palatino Linotype"/>
          <w:i/>
          <w:lang w:eastAsia="es-ES"/>
        </w:rPr>
        <w:tab/>
        <w:t>Especificaciones de conversión de la firma electrónica avanzada a Base 64.</w:t>
      </w:r>
    </w:p>
    <w:p w:rsidR="00372598" w:rsidRPr="00D134CE" w:rsidRDefault="00372598" w:rsidP="004C1116">
      <w:pPr>
        <w:spacing w:line="360" w:lineRule="auto"/>
        <w:ind w:left="709" w:right="277"/>
        <w:jc w:val="both"/>
        <w:rPr>
          <w:rFonts w:ascii="Palatino Linotype" w:eastAsia="Palatino Linotype" w:hAnsi="Palatino Linotype" w:cs="Palatino Linotype"/>
          <w:i/>
          <w:lang w:eastAsia="es-ES"/>
        </w:rPr>
      </w:pPr>
      <w:r w:rsidRPr="00D134CE">
        <w:rPr>
          <w:rFonts w:ascii="Palatino Linotype" w:eastAsia="Palatino Linotype" w:hAnsi="Palatino Linotype" w:cs="Palatino Linotype"/>
          <w:i/>
          <w:lang w:eastAsia="es-ES"/>
        </w:rPr>
        <w:t>Para la generación de sellos digitales se utiliza criptografía de clave pública aplicada a una cadena original.</w:t>
      </w:r>
    </w:p>
    <w:p w:rsidR="00372598" w:rsidRPr="00D134CE" w:rsidRDefault="00372598" w:rsidP="004C1116">
      <w:pPr>
        <w:spacing w:line="360" w:lineRule="auto"/>
        <w:ind w:left="709" w:right="277"/>
        <w:jc w:val="both"/>
        <w:rPr>
          <w:rFonts w:ascii="Palatino Linotype" w:eastAsia="Palatino Linotype" w:hAnsi="Palatino Linotype" w:cs="Palatino Linotype"/>
          <w:i/>
          <w:lang w:eastAsia="es-ES"/>
        </w:rPr>
      </w:pPr>
      <w:r w:rsidRPr="00D134CE">
        <w:rPr>
          <w:rFonts w:ascii="Palatino Linotype" w:eastAsia="Palatino Linotype" w:hAnsi="Palatino Linotype" w:cs="Palatino Linotype"/>
          <w:i/>
          <w:lang w:eastAsia="es-ES"/>
        </w:rPr>
        <w:t>Criptografía de la Clave Pública</w:t>
      </w:r>
    </w:p>
    <w:p w:rsidR="00372598" w:rsidRPr="00D134CE" w:rsidRDefault="00372598" w:rsidP="004C1116">
      <w:pPr>
        <w:spacing w:line="360" w:lineRule="auto"/>
        <w:ind w:left="709" w:right="277"/>
        <w:jc w:val="both"/>
        <w:rPr>
          <w:rFonts w:ascii="Palatino Linotype" w:eastAsia="Palatino Linotype" w:hAnsi="Palatino Linotype" w:cs="Palatino Linotype"/>
          <w:i/>
          <w:lang w:eastAsia="es-ES"/>
        </w:rPr>
      </w:pPr>
      <w:r w:rsidRPr="00D134CE">
        <w:rPr>
          <w:rFonts w:ascii="Palatino Linotype" w:eastAsia="Palatino Linotype" w:hAnsi="Palatino Linotype" w:cs="Palatino Linotype"/>
          <w:i/>
          <w:lang w:eastAsia="es-ES"/>
        </w:rPr>
        <w:t>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operación de desencripción correspondiente tomando como clave de desencripción al otro número de la pareja.”</w:t>
      </w:r>
    </w:p>
    <w:p w:rsidR="00372598" w:rsidRPr="00D134CE" w:rsidRDefault="00372598" w:rsidP="004C1116">
      <w:pPr>
        <w:spacing w:line="360" w:lineRule="auto"/>
        <w:ind w:right="277"/>
        <w:jc w:val="both"/>
        <w:rPr>
          <w:rFonts w:ascii="Palatino Linotype" w:eastAsia="Palatino Linotype" w:hAnsi="Palatino Linotype" w:cs="Palatino Linotype"/>
          <w:i/>
          <w:lang w:eastAsia="es-ES"/>
        </w:rPr>
      </w:pPr>
    </w:p>
    <w:p w:rsidR="00372598" w:rsidRPr="00D134CE" w:rsidRDefault="00372598" w:rsidP="004C1116">
      <w:pPr>
        <w:numPr>
          <w:ilvl w:val="0"/>
          <w:numId w:val="1"/>
        </w:numPr>
        <w:spacing w:line="360" w:lineRule="auto"/>
        <w:ind w:left="0" w:right="49" w:firstLine="0"/>
        <w:jc w:val="both"/>
        <w:rPr>
          <w:rFonts w:ascii="Palatino Linotype" w:hAnsi="Palatino Linotype" w:cs="Arial"/>
          <w:lang w:eastAsia="es-ES"/>
        </w:rPr>
      </w:pPr>
      <w:r w:rsidRPr="00D134CE">
        <w:rPr>
          <w:rFonts w:ascii="Palatino Linotype" w:eastAsia="Palatino Linotype" w:hAnsi="Palatino Linotype" w:cs="Palatino Linotype"/>
          <w:color w:val="000000"/>
          <w:lang w:eastAsia="es-ES"/>
        </w:rPr>
        <w:t>Es</w:t>
      </w:r>
      <w:r w:rsidRPr="00D134CE">
        <w:rPr>
          <w:rFonts w:ascii="Palatino Linotype" w:hAnsi="Palatino Linotype" w:cs="Arial"/>
          <w:lang w:eastAsia="es-ES"/>
        </w:rPr>
        <w:t xml:space="preserve"> </w:t>
      </w:r>
      <w:r w:rsidRPr="00D134CE">
        <w:rPr>
          <w:rFonts w:ascii="Palatino Linotype" w:eastAsia="Palatino Linotype" w:hAnsi="Palatino Linotype" w:cs="Palatino Linotype"/>
          <w:color w:val="000000"/>
          <w:lang w:eastAsia="es-ES"/>
        </w:rPr>
        <w:t>decir</w:t>
      </w:r>
      <w:r w:rsidRPr="00D134CE">
        <w:rPr>
          <w:rFonts w:ascii="Palatino Linotype" w:hAnsi="Palatino Linotype" w:cs="Arial"/>
          <w:lang w:eastAsia="es-ES"/>
        </w:rPr>
        <w:t xml:space="preserve">, por sí solos las cadenas originales y los sellos originales no contienen datos personales confidenciales, por lo que se considera que </w:t>
      </w:r>
      <w:r w:rsidRPr="00D134CE">
        <w:rPr>
          <w:rFonts w:ascii="Palatino Linotype" w:hAnsi="Palatino Linotype" w:cs="Arial"/>
          <w:b/>
          <w:lang w:eastAsia="es-ES"/>
        </w:rPr>
        <w:t>no actualizan el supuesto de confidencialidad previsto en el artículo 143, fracción I</w:t>
      </w:r>
      <w:r w:rsidRPr="00D134CE">
        <w:rPr>
          <w:rFonts w:ascii="Palatino Linotype" w:hAnsi="Palatino Linotype" w:cs="Arial"/>
          <w:lang w:eastAsia="es-ES"/>
        </w:rPr>
        <w:t>, de la Ley de Transparencia y Acceso a la Información Pública del Estado de México y Municipios y, por el contrario, son información que permite corroborar la legitimidad de la factura, de ser el caso, por lo que guardan el carácter de público.</w:t>
      </w:r>
    </w:p>
    <w:p w:rsidR="00372598" w:rsidRPr="00D134CE" w:rsidRDefault="00372598" w:rsidP="004C1116">
      <w:pPr>
        <w:numPr>
          <w:ilvl w:val="0"/>
          <w:numId w:val="1"/>
        </w:numPr>
        <w:spacing w:line="360" w:lineRule="auto"/>
        <w:ind w:left="0" w:right="49" w:firstLine="0"/>
        <w:jc w:val="both"/>
        <w:rPr>
          <w:rFonts w:ascii="Palatino Linotype" w:eastAsia="Palatino Linotype" w:hAnsi="Palatino Linotype" w:cs="Palatino Linotype"/>
        </w:rPr>
      </w:pPr>
      <w:r w:rsidRPr="00D134CE">
        <w:rPr>
          <w:rFonts w:ascii="Palatino Linotype" w:eastAsia="Palatino Linotype" w:hAnsi="Palatino Linotype" w:cs="Palatino Linotype"/>
        </w:rPr>
        <w:lastRenderedPageBreak/>
        <w:t>Cabe señalar que, en algunos casos, las cadenas originales y sellos digitales, se pueden conformar de datos confidenciales, tales como el Registro Federal de Contribuyentes o la Clave Única de Registro de Población o las deducciones personales; por lo que, en su caso actualizarán la clasificación, en términos del artículo 143, fracción I, de la Ley de la materia.</w:t>
      </w:r>
    </w:p>
    <w:p w:rsidR="00372598" w:rsidRPr="00D134CE" w:rsidRDefault="00372598" w:rsidP="004C1116">
      <w:pPr>
        <w:spacing w:line="360" w:lineRule="auto"/>
        <w:ind w:left="708"/>
        <w:rPr>
          <w:rFonts w:ascii="Palatino Linotype" w:eastAsia="Palatino Linotype" w:hAnsi="Palatino Linotype" w:cs="Palatino Linotype"/>
          <w:color w:val="000000"/>
          <w:lang w:val="es-ES" w:eastAsia="es-ES"/>
        </w:rPr>
      </w:pPr>
    </w:p>
    <w:p w:rsidR="00372598" w:rsidRPr="00D134CE" w:rsidRDefault="00372598" w:rsidP="004C1116">
      <w:pPr>
        <w:numPr>
          <w:ilvl w:val="0"/>
          <w:numId w:val="1"/>
        </w:numPr>
        <w:spacing w:line="360" w:lineRule="auto"/>
        <w:ind w:left="0" w:right="49" w:firstLine="0"/>
        <w:jc w:val="both"/>
        <w:rPr>
          <w:rFonts w:ascii="Palatino Linotype" w:hAnsi="Palatino Linotype" w:cs="Arial"/>
          <w:lang w:eastAsia="es-ES"/>
        </w:rPr>
      </w:pPr>
      <w:r w:rsidRPr="00D134CE">
        <w:rPr>
          <w:rFonts w:ascii="Palatino Linotype" w:eastAsia="Palatino Linotype" w:hAnsi="Palatino Linotype" w:cs="Palatino Linotype"/>
          <w:color w:val="000000"/>
          <w:lang w:eastAsia="es-ES"/>
        </w:rPr>
        <w:t>Por</w:t>
      </w:r>
      <w:r w:rsidRPr="00D134CE">
        <w:rPr>
          <w:rFonts w:ascii="Palatino Linotype" w:hAnsi="Palatino Linotype" w:cs="Arial"/>
          <w:lang w:eastAsia="es-ES"/>
        </w:rPr>
        <w:t xml:space="preserve"> otra </w:t>
      </w:r>
      <w:r w:rsidRPr="00D134CE">
        <w:rPr>
          <w:rFonts w:ascii="Palatino Linotype" w:eastAsia="Palatino Linotype" w:hAnsi="Palatino Linotype" w:cs="Palatino Linotype"/>
        </w:rPr>
        <w:t>parte</w:t>
      </w:r>
      <w:r w:rsidRPr="00D134CE">
        <w:rPr>
          <w:rFonts w:ascii="Palatino Linotype" w:hAnsi="Palatino Linotype" w:cs="Arial"/>
          <w:lang w:eastAsia="es-ES"/>
        </w:rPr>
        <w:t xml:space="preserve">, por lo que hace al </w:t>
      </w:r>
      <w:r w:rsidRPr="00D134CE">
        <w:rPr>
          <w:rFonts w:ascii="Palatino Linotype" w:hAnsi="Palatino Linotype" w:cs="Arial"/>
          <w:b/>
          <w:lang w:eastAsia="es-ES"/>
        </w:rPr>
        <w:t>número de serie de los certificados de Sello Digitales del emisor y del Servicio de Administración Tributaria</w:t>
      </w:r>
      <w:r w:rsidRPr="00D134CE">
        <w:rPr>
          <w:rFonts w:ascii="Palatino Linotype" w:hAnsi="Palatino Linotype" w:cs="Arial"/>
          <w:lang w:eastAsia="es-ES"/>
        </w:rPr>
        <w:t xml:space="preserve">, el ANEXO 20 de la Segunda Resolución de modificaciones a la Resolución Miscelánea Fiscal para dos mil  diecisiete, precisa que dichos datos se conforman por veinte caracteres numéricos; dicha situación se robustece con el ejemplo localizado en el documento denominado “Cómo ubicar el Folio Fiscal en una factura”, emitido por el Instituto Nacional electoral (consultado el veinticinco de junio de dos mil diecinueve, a las dieciséis horas con diez minutos, en la página electrónica </w:t>
      </w:r>
      <w:hyperlink r:id="rId9">
        <w:r w:rsidRPr="00D134CE">
          <w:rPr>
            <w:rFonts w:ascii="Palatino Linotype" w:hAnsi="Palatino Linotype" w:cs="Arial"/>
            <w:lang w:eastAsia="es-ES"/>
          </w:rPr>
          <w:t>https://portalanterior.ine.mx/archivos2/tutoriales/sistemas/ApoyoInstitucional/SIF/docs/candidatos/folioFiscalFactura.pdf</w:t>
        </w:r>
      </w:hyperlink>
      <w:r w:rsidRPr="00D134CE">
        <w:rPr>
          <w:rFonts w:ascii="Palatino Linotype" w:hAnsi="Palatino Linotype" w:cs="Arial"/>
          <w:lang w:eastAsia="es-ES"/>
        </w:rPr>
        <w:t>), en la cual se advierte que únicamente se encuentra conformado por números, se muestra a continuación:</w:t>
      </w:r>
    </w:p>
    <w:p w:rsidR="00372598" w:rsidRPr="00D134CE" w:rsidRDefault="00372598" w:rsidP="004C1116">
      <w:pPr>
        <w:spacing w:line="360" w:lineRule="auto"/>
        <w:ind w:right="-929"/>
        <w:rPr>
          <w:rFonts w:ascii="Palatino Linotype" w:eastAsia="Palatino Linotype" w:hAnsi="Palatino Linotype" w:cs="Palatino Linotype"/>
          <w:lang w:eastAsia="es-ES"/>
        </w:rPr>
      </w:pPr>
      <w:r w:rsidRPr="00D134CE">
        <w:rPr>
          <w:rFonts w:ascii="Palatino Linotype" w:hAnsi="Palatino Linotype"/>
          <w:noProof/>
          <w:lang w:val="es-MX"/>
        </w:rPr>
        <mc:AlternateContent>
          <mc:Choice Requires="wps">
            <w:drawing>
              <wp:anchor distT="0" distB="0" distL="114300" distR="114300" simplePos="0" relativeHeight="251659264" behindDoc="0" locked="0" layoutInCell="1" hidden="0" allowOverlap="1" wp14:anchorId="4A63CB88" wp14:editId="7184051B">
                <wp:simplePos x="0" y="0"/>
                <wp:positionH relativeFrom="column">
                  <wp:posOffset>68460</wp:posOffset>
                </wp:positionH>
                <wp:positionV relativeFrom="paragraph">
                  <wp:posOffset>672202</wp:posOffset>
                </wp:positionV>
                <wp:extent cx="3543300" cy="323850"/>
                <wp:effectExtent l="0" t="0" r="0" b="0"/>
                <wp:wrapNone/>
                <wp:docPr id="48" name="Rectángulo 48"/>
                <wp:cNvGraphicFramePr/>
                <a:graphic xmlns:a="http://schemas.openxmlformats.org/drawingml/2006/main">
                  <a:graphicData uri="http://schemas.microsoft.com/office/word/2010/wordprocessingShape">
                    <wps:wsp>
                      <wps:cNvSpPr/>
                      <wps:spPr>
                        <a:xfrm>
                          <a:off x="0" y="0"/>
                          <a:ext cx="3543300" cy="323850"/>
                        </a:xfrm>
                        <a:prstGeom prst="rect">
                          <a:avLst/>
                        </a:prstGeom>
                        <a:noFill/>
                        <a:ln w="28575" cap="flat" cmpd="sng">
                          <a:solidFill>
                            <a:srgbClr val="000000"/>
                          </a:solidFill>
                          <a:prstDash val="solid"/>
                          <a:miter lim="800000"/>
                          <a:headEnd type="none" w="sm" len="sm"/>
                          <a:tailEnd type="none" w="sm" len="sm"/>
                        </a:ln>
                      </wps:spPr>
                      <wps:txbx>
                        <w:txbxContent>
                          <w:p w:rsidR="00131682" w:rsidRDefault="00131682" w:rsidP="004C1116">
                            <w:pPr>
                              <w:jc w:val="center"/>
                              <w:textDirection w:val="btLr"/>
                            </w:pPr>
                          </w:p>
                        </w:txbxContent>
                      </wps:txbx>
                      <wps:bodyPr spcFirstLastPara="1" wrap="square" lIns="91425" tIns="91425" rIns="91425" bIns="91425" anchor="ctr" anchorCtr="0">
                        <a:noAutofit/>
                      </wps:bodyPr>
                    </wps:wsp>
                  </a:graphicData>
                </a:graphic>
              </wp:anchor>
            </w:drawing>
          </mc:Choice>
          <mc:Fallback>
            <w:pict>
              <v:rect w14:anchorId="4A63CB88" id="Rectángulo 48" o:spid="_x0000_s1026" style="position:absolute;margin-left:5.4pt;margin-top:52.95pt;width:279pt;height:2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" filled="f" strokeweight="2.25pt">
                <v:stroke startarrowwidth="narrow" startarrowlength="short" endarrowwidth="narrow" endarrowlength="short"/>
                <v:textbox inset="2.53958mm,2.53958mm,2.53958mm,2.53958mm">
                  <w:txbxContent>
                    <w:p w:rsidR="00131682" w:rsidRDefault="00131682" w:rsidP="004C1116">
                      <w:pPr>
                        <w:jc w:val="center"/>
                        <w:textDirection w:val="btLr"/>
                      </w:pPr>
                    </w:p>
                  </w:txbxContent>
                </v:textbox>
              </v:rect>
            </w:pict>
          </mc:Fallback>
        </mc:AlternateContent>
      </w:r>
      <w:r w:rsidRPr="00D134CE">
        <w:rPr>
          <w:rFonts w:ascii="Palatino Linotype" w:eastAsia="Palatino Linotype" w:hAnsi="Palatino Linotype" w:cs="Palatino Linotype"/>
          <w:noProof/>
          <w:lang w:val="es-MX"/>
        </w:rPr>
        <w:drawing>
          <wp:inline distT="0" distB="0" distL="0" distR="0" wp14:anchorId="70C4E1CE" wp14:editId="4C17858F">
            <wp:extent cx="5189855" cy="100965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189855" cy="1009650"/>
                    </a:xfrm>
                    <a:prstGeom prst="rect">
                      <a:avLst/>
                    </a:prstGeom>
                    <a:ln/>
                  </pic:spPr>
                </pic:pic>
              </a:graphicData>
            </a:graphic>
          </wp:inline>
        </w:drawing>
      </w:r>
    </w:p>
    <w:p w:rsidR="00372598" w:rsidRPr="00D134CE" w:rsidRDefault="00372598" w:rsidP="004C1116">
      <w:pPr>
        <w:spacing w:line="360" w:lineRule="auto"/>
        <w:ind w:right="-929"/>
        <w:jc w:val="center"/>
        <w:rPr>
          <w:rFonts w:ascii="Palatino Linotype" w:eastAsia="Palatino Linotype" w:hAnsi="Palatino Linotype" w:cs="Palatino Linotype"/>
          <w:lang w:eastAsia="es-ES"/>
        </w:rPr>
      </w:pPr>
    </w:p>
    <w:p w:rsidR="00372598" w:rsidRPr="00D134CE" w:rsidRDefault="00372598" w:rsidP="004C1116">
      <w:pPr>
        <w:numPr>
          <w:ilvl w:val="0"/>
          <w:numId w:val="1"/>
        </w:numPr>
        <w:spacing w:line="360" w:lineRule="auto"/>
        <w:ind w:left="0" w:right="49" w:firstLine="0"/>
        <w:jc w:val="both"/>
        <w:rPr>
          <w:rFonts w:ascii="Palatino Linotype" w:hAnsi="Palatino Linotype" w:cs="Arial"/>
          <w:lang w:eastAsia="es-ES"/>
        </w:rPr>
      </w:pPr>
      <w:r w:rsidRPr="00D134CE">
        <w:rPr>
          <w:rFonts w:ascii="Palatino Linotype" w:hAnsi="Palatino Linotype" w:cs="Arial"/>
          <w:lang w:eastAsia="es-ES"/>
        </w:rPr>
        <w:t xml:space="preserve">Cómo se logra observar, los números de serie del certificado de sello digital no contiene datos personales y con dichos dígitos tampoco se puede obtener información de carácter confidencial, por lo que, tampoco actualizan la causal de clasificación, </w:t>
      </w:r>
      <w:r w:rsidRPr="00D134CE">
        <w:rPr>
          <w:rFonts w:ascii="Palatino Linotype" w:hAnsi="Palatino Linotype"/>
          <w:color w:val="000000"/>
        </w:rPr>
        <w:t>establecida</w:t>
      </w:r>
      <w:r w:rsidRPr="00D134CE">
        <w:rPr>
          <w:rFonts w:ascii="Palatino Linotype" w:hAnsi="Palatino Linotype" w:cs="Arial"/>
          <w:lang w:eastAsia="es-ES"/>
        </w:rPr>
        <w:t xml:space="preserve"> en el artículo 143, fracción I, de la Ley de Transparencia y Acceso a la Información Pública del Estado de </w:t>
      </w:r>
      <w:r w:rsidRPr="00D134CE">
        <w:rPr>
          <w:rFonts w:ascii="Palatino Linotype" w:hAnsi="Palatino Linotype" w:cs="Arial"/>
          <w:lang w:eastAsia="es-ES"/>
        </w:rPr>
        <w:lastRenderedPageBreak/>
        <w:t>México y Municipios. Máxime que permite corroborar la legitimidad a la factura, pues amparan la utilización de los certificados de sellos digitales válidos.</w:t>
      </w:r>
    </w:p>
    <w:p w:rsidR="00372598" w:rsidRPr="00D134CE" w:rsidRDefault="00372598" w:rsidP="004C1116">
      <w:pPr>
        <w:tabs>
          <w:tab w:val="left" w:pos="284"/>
        </w:tabs>
        <w:spacing w:line="360" w:lineRule="auto"/>
        <w:jc w:val="both"/>
        <w:rPr>
          <w:rFonts w:ascii="Palatino Linotype" w:hAnsi="Palatino Linotype" w:cs="Arial"/>
          <w:lang w:eastAsia="es-ES"/>
        </w:rPr>
      </w:pPr>
    </w:p>
    <w:p w:rsidR="00372598" w:rsidRPr="00D134CE" w:rsidRDefault="00372598" w:rsidP="004C1116">
      <w:pPr>
        <w:numPr>
          <w:ilvl w:val="0"/>
          <w:numId w:val="1"/>
        </w:numPr>
        <w:spacing w:line="360" w:lineRule="auto"/>
        <w:ind w:left="0" w:right="49" w:firstLine="0"/>
        <w:jc w:val="both"/>
        <w:rPr>
          <w:rFonts w:ascii="Palatino Linotype" w:hAnsi="Palatino Linotype"/>
          <w:color w:val="000000"/>
        </w:rPr>
      </w:pPr>
      <w:r w:rsidRPr="00D134CE">
        <w:rPr>
          <w:rFonts w:ascii="Palatino Linotype" w:hAnsi="Palatino Linotype" w:cs="Arial"/>
          <w:lang w:eastAsia="es-ES"/>
        </w:rPr>
        <w:t xml:space="preserve">En ese sentido, el </w:t>
      </w:r>
      <w:r w:rsidRPr="00D134CE">
        <w:rPr>
          <w:rFonts w:ascii="Palatino Linotype" w:hAnsi="Palatino Linotype" w:cs="Arial"/>
          <w:b/>
          <w:lang w:eastAsia="es-ES"/>
        </w:rPr>
        <w:t>SUJETO OBLIGADO</w:t>
      </w:r>
      <w:r w:rsidRPr="00D134CE">
        <w:rPr>
          <w:rFonts w:ascii="Palatino Linotype" w:hAnsi="Palatino Linotype" w:cs="Arial"/>
          <w:lang w:eastAsia="es-ES"/>
        </w:rPr>
        <w:t xml:space="preserve"> deberá de emitir el Acuerdo del </w:t>
      </w:r>
      <w:r w:rsidRPr="00D134CE">
        <w:rPr>
          <w:rFonts w:ascii="Palatino Linotype" w:eastAsia="Palatino Linotype" w:hAnsi="Palatino Linotype" w:cs="Palatino Linotype"/>
          <w:color w:val="000000"/>
          <w:lang w:eastAsia="es-ES"/>
        </w:rPr>
        <w:t>Comité</w:t>
      </w:r>
      <w:r w:rsidRPr="00D134CE">
        <w:rPr>
          <w:rFonts w:ascii="Palatino Linotype" w:hAnsi="Palatino Linotype" w:cs="Arial"/>
          <w:lang w:eastAsia="es-ES"/>
        </w:rPr>
        <w:t xml:space="preserve"> de Transparencia, mediante el cual de manera fundada y motivada establezca las razones por las cuales se </w:t>
      </w:r>
      <w:r w:rsidRPr="00D134CE">
        <w:rPr>
          <w:rFonts w:ascii="Palatino Linotype" w:hAnsi="Palatino Linotype"/>
          <w:color w:val="000000"/>
        </w:rPr>
        <w:t>clasifican</w:t>
      </w:r>
      <w:r w:rsidRPr="00D134CE">
        <w:rPr>
          <w:rFonts w:ascii="Palatino Linotype" w:hAnsi="Palatino Linotype" w:cs="Arial"/>
          <w:lang w:eastAsia="es-ES"/>
        </w:rPr>
        <w:t xml:space="preserve"> como confidenciales los datos expuestos con anterioridad</w:t>
      </w:r>
      <w:r w:rsidR="00913495" w:rsidRPr="00D134CE">
        <w:rPr>
          <w:rFonts w:ascii="Palatino Linotype" w:hAnsi="Palatino Linotype" w:cs="Arial"/>
          <w:lang w:eastAsia="es-ES"/>
        </w:rPr>
        <w:t>.</w:t>
      </w:r>
    </w:p>
    <w:p w:rsidR="00913495" w:rsidRPr="00D134CE" w:rsidRDefault="00913495" w:rsidP="004C1116">
      <w:pPr>
        <w:pStyle w:val="Prrafodelista"/>
        <w:spacing w:line="360" w:lineRule="auto"/>
        <w:rPr>
          <w:rFonts w:ascii="Palatino Linotype" w:hAnsi="Palatino Linotype"/>
          <w:color w:val="000000"/>
        </w:rPr>
      </w:pPr>
    </w:p>
    <w:p w:rsidR="00913495" w:rsidRPr="00D134CE" w:rsidRDefault="00913495" w:rsidP="004C1116">
      <w:pPr>
        <w:numPr>
          <w:ilvl w:val="0"/>
          <w:numId w:val="1"/>
        </w:numPr>
        <w:spacing w:line="360" w:lineRule="auto"/>
        <w:ind w:left="0" w:right="49" w:firstLine="0"/>
        <w:jc w:val="both"/>
        <w:rPr>
          <w:rFonts w:ascii="Palatino Linotype" w:hAnsi="Palatino Linotype"/>
          <w:color w:val="000000"/>
        </w:rPr>
      </w:pPr>
      <w:r w:rsidRPr="00D134CE">
        <w:rPr>
          <w:rFonts w:ascii="Palatino Linotype" w:hAnsi="Palatino Linotype"/>
          <w:color w:val="000000"/>
        </w:rPr>
        <w:t xml:space="preserve">Seguidamente, respecto </w:t>
      </w:r>
      <w:r w:rsidR="00A75233" w:rsidRPr="00D134CE">
        <w:rPr>
          <w:rFonts w:ascii="Palatino Linotype" w:hAnsi="Palatino Linotype"/>
          <w:color w:val="000000"/>
        </w:rPr>
        <w:t xml:space="preserve">del contrato o convenio celebrado entre el Ayuntamiento y el encargado del quiosco de venta de comida dentro de las instalaciones de la Unidad Deportivo, el </w:t>
      </w:r>
      <w:r w:rsidR="00A75233" w:rsidRPr="00D134CE">
        <w:rPr>
          <w:rFonts w:ascii="Palatino Linotype" w:hAnsi="Palatino Linotype"/>
          <w:b/>
          <w:color w:val="000000"/>
        </w:rPr>
        <w:t>SUJETO OBLIGADO</w:t>
      </w:r>
      <w:r w:rsidR="00A75233" w:rsidRPr="00D134CE">
        <w:rPr>
          <w:rFonts w:ascii="Palatino Linotype" w:hAnsi="Palatino Linotype"/>
          <w:color w:val="000000"/>
        </w:rPr>
        <w:t xml:space="preserve"> establece que no se cuenta con un instrumento legal como lo es un contrato o convenio, al estar cedido por autorización a título gratuito sin fines de lucro.</w:t>
      </w:r>
    </w:p>
    <w:p w:rsidR="00A75233" w:rsidRPr="00D134CE" w:rsidRDefault="00A75233" w:rsidP="004C1116">
      <w:pPr>
        <w:pStyle w:val="Prrafodelista"/>
        <w:spacing w:line="360" w:lineRule="auto"/>
        <w:rPr>
          <w:rFonts w:ascii="Palatino Linotype" w:hAnsi="Palatino Linotype"/>
          <w:color w:val="000000"/>
        </w:rPr>
      </w:pPr>
    </w:p>
    <w:p w:rsidR="00A75233" w:rsidRDefault="006E2F35" w:rsidP="004C1116">
      <w:pPr>
        <w:numPr>
          <w:ilvl w:val="0"/>
          <w:numId w:val="1"/>
        </w:numPr>
        <w:spacing w:line="360" w:lineRule="auto"/>
        <w:ind w:left="0" w:right="49" w:firstLine="0"/>
        <w:jc w:val="both"/>
        <w:rPr>
          <w:rFonts w:ascii="Palatino Linotype" w:hAnsi="Palatino Linotype"/>
          <w:i/>
          <w:color w:val="000000"/>
        </w:rPr>
      </w:pPr>
      <w:r w:rsidRPr="00D134CE">
        <w:rPr>
          <w:rFonts w:ascii="Palatino Linotype" w:hAnsi="Palatino Linotype"/>
          <w:color w:val="000000"/>
        </w:rPr>
        <w:t xml:space="preserve">Dicha respuesta colma parcialmente el punto de mérito; toda vez que si bien no se puede entregar un contrato o convenio por no haberse celebrado; también lo es que se debió en todo caso, entregar el documento que cuya expresión documental colme la pretensión del solicitante y, que es el documento o instrumento jurídico que celebro el Ayuntamiento y la persona para el uso de las instalaciones con independencia de su denominación. De modo tal que deviene procedente el motivo de inconformidad relativo a: </w:t>
      </w:r>
      <w:r w:rsidRPr="00D134CE">
        <w:rPr>
          <w:rFonts w:ascii="Palatino Linotype" w:hAnsi="Palatino Linotype"/>
          <w:i/>
          <w:color w:val="000000"/>
        </w:rPr>
        <w:t>"...habla de que la cooperativa es prestada a título gratuito pero no presenta documento alguno que avale dicha circunstancia..."</w:t>
      </w:r>
    </w:p>
    <w:p w:rsidR="00D134CE" w:rsidRPr="00D134CE" w:rsidRDefault="00D134CE" w:rsidP="00D134CE">
      <w:pPr>
        <w:spacing w:line="360" w:lineRule="auto"/>
        <w:ind w:right="49"/>
        <w:jc w:val="both"/>
        <w:rPr>
          <w:rFonts w:ascii="Palatino Linotype" w:hAnsi="Palatino Linotype"/>
          <w:i/>
          <w:color w:val="000000"/>
        </w:rPr>
      </w:pPr>
    </w:p>
    <w:p w:rsidR="00131682" w:rsidRPr="00D134CE" w:rsidRDefault="00131682" w:rsidP="004C1116">
      <w:pPr>
        <w:numPr>
          <w:ilvl w:val="0"/>
          <w:numId w:val="1"/>
        </w:numPr>
        <w:spacing w:line="360" w:lineRule="auto"/>
        <w:ind w:left="0" w:right="49" w:firstLine="0"/>
        <w:jc w:val="both"/>
        <w:rPr>
          <w:rFonts w:ascii="Palatino Linotype" w:eastAsia="Palatino Linotype" w:hAnsi="Palatino Linotype" w:cs="Palatino Linotype"/>
        </w:rPr>
      </w:pPr>
      <w:r w:rsidRPr="00D134CE">
        <w:rPr>
          <w:rFonts w:ascii="Palatino Linotype" w:eastAsia="Palatino Linotype" w:hAnsi="Palatino Linotype" w:cs="Palatino Linotype"/>
        </w:rPr>
        <w:t xml:space="preserve">Lo anterior encuentra sustento en el Criterio 028-10 emitido por el Pleno del entonces llamado Instituto Federal de Acceso a la Información y Protección de Datos, ahora Instituto Nacional de Transparencia, Acceso a la Información y Protección de Datos Personales: establece que se deberá garantizar el acceso a la información contenida en documentos que los sujetos </w:t>
      </w:r>
      <w:r w:rsidRPr="00D134CE">
        <w:rPr>
          <w:rFonts w:ascii="Palatino Linotype" w:eastAsia="Palatino Linotype" w:hAnsi="Palatino Linotype" w:cs="Palatino Linotype"/>
        </w:rPr>
        <w:lastRenderedPageBreak/>
        <w:t>obligados generen, obtengan, adquieran, transformen o conserven por cualquier título; que se entienden como cualquier registro que documente el ejercicio de las facultades o la actividad de los sujetos obligados sin importar su fuente o fecha de elaboración aunque el particular lleve a cabo una solicitud de información sin identificar de forma precisa la documentación, el sujeto obligado deberá entregar del mismo al solicitante mismo que a continuación se cita:</w:t>
      </w:r>
    </w:p>
    <w:p w:rsidR="00131682" w:rsidRPr="00D134CE" w:rsidRDefault="00131682" w:rsidP="004C1116">
      <w:pPr>
        <w:pBdr>
          <w:top w:val="nil"/>
          <w:left w:val="nil"/>
          <w:bottom w:val="nil"/>
          <w:right w:val="nil"/>
          <w:between w:val="nil"/>
        </w:pBdr>
        <w:shd w:val="clear" w:color="auto" w:fill="FFFFFF"/>
        <w:spacing w:line="360" w:lineRule="auto"/>
        <w:ind w:left="567" w:right="616"/>
        <w:jc w:val="both"/>
        <w:rPr>
          <w:rFonts w:ascii="Palatino Linotype" w:eastAsia="Palatino Linotype" w:hAnsi="Palatino Linotype" w:cs="Palatino Linotype"/>
          <w:i/>
          <w:iCs/>
          <w:color w:val="222222"/>
        </w:rPr>
      </w:pPr>
      <w:r w:rsidRPr="00D134CE">
        <w:rPr>
          <w:rFonts w:ascii="Palatino Linotype" w:eastAsia="Palatino Linotype" w:hAnsi="Palatino Linotype" w:cs="Palatino Linotype"/>
          <w:b/>
          <w:bCs/>
          <w:i/>
          <w:iCs/>
          <w:color w:val="222222"/>
        </w:rPr>
        <w:t>“Cuando en una solicitud de información no se identifique un documento en específico, si ésta tiene una expresión documental, el sujeto obligado deberá entregar al particular el documento en específico.</w:t>
      </w:r>
      <w:r w:rsidRPr="00D134CE">
        <w:rPr>
          <w:rFonts w:ascii="Palatino Linotype" w:eastAsia="Palatino Linotype" w:hAnsi="Palatino Linotype" w:cs="Palatino Linotype"/>
          <w:i/>
          <w:iCs/>
          <w:color w:val="222222"/>
        </w:rPr>
        <w:t xml:space="preserve"> La Ley Federal de Transparencia y Acceso a la Información Pública Gubernamental tiene por objeto garantizar el acceso a la información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 En este sentido, cuando el particular lleve a cabo una solicitud de información sin identificar de forma precisa la documentación específica que pudiera contener dicha información, o bien pareciera que más bien la solicitud se constituye como una consulta y no como una solicitud de acceso en términos de la Ley Federal de Transparencia y Acceso a la Información Pública Gubernamental, pero su respuesta puede obrar en algún documento, el sujeto obligado debe dar a la solicitud una interpretación que le dé una expresión documental. Es decir, si la respuesta a la solicitud obra en algún documento en poder de la autoridad, pero el particular no hace referencia específica a tal documento, se deberá hacer entrega del mismo al solicitante.”</w:t>
      </w:r>
    </w:p>
    <w:p w:rsidR="00131682" w:rsidRPr="00D134CE" w:rsidRDefault="00131682" w:rsidP="004C1116">
      <w:pPr>
        <w:pBdr>
          <w:top w:val="nil"/>
          <w:left w:val="nil"/>
          <w:bottom w:val="nil"/>
          <w:right w:val="nil"/>
          <w:between w:val="nil"/>
        </w:pBdr>
        <w:shd w:val="clear" w:color="auto" w:fill="FFFFFF"/>
        <w:spacing w:line="360" w:lineRule="auto"/>
        <w:ind w:left="567" w:right="616"/>
        <w:jc w:val="both"/>
        <w:rPr>
          <w:rFonts w:ascii="Palatino Linotype" w:eastAsia="Palatino Linotype" w:hAnsi="Palatino Linotype" w:cs="Palatino Linotype"/>
          <w:color w:val="222222"/>
        </w:rPr>
      </w:pPr>
    </w:p>
    <w:p w:rsidR="00131682" w:rsidRPr="00D134CE" w:rsidRDefault="00131682" w:rsidP="004C1116">
      <w:pPr>
        <w:numPr>
          <w:ilvl w:val="0"/>
          <w:numId w:val="1"/>
        </w:numPr>
        <w:spacing w:line="360" w:lineRule="auto"/>
        <w:ind w:left="0" w:right="49" w:firstLine="0"/>
        <w:jc w:val="both"/>
        <w:rPr>
          <w:rFonts w:ascii="Palatino Linotype" w:eastAsia="Palatino Linotype" w:hAnsi="Palatino Linotype" w:cs="Palatino Linotype"/>
        </w:rPr>
      </w:pPr>
      <w:r w:rsidRPr="00D134CE">
        <w:rPr>
          <w:rFonts w:ascii="Palatino Linotype" w:eastAsia="Palatino Linotype" w:hAnsi="Palatino Linotype" w:cs="Palatino Linotype"/>
        </w:rPr>
        <w:lastRenderedPageBreak/>
        <w:t>Robustece lo anterior el Criterio orientador 16/17 emitido de igual forma por el entonces Instituto Nacional de Transparencia, Acceso a la Información y Protección de Datos Personales que a la literalidad prevé:</w:t>
      </w:r>
    </w:p>
    <w:p w:rsidR="00131682" w:rsidRPr="00D134CE" w:rsidRDefault="00131682" w:rsidP="004C1116">
      <w:pPr>
        <w:spacing w:line="360" w:lineRule="auto"/>
        <w:ind w:left="567" w:right="616"/>
        <w:jc w:val="both"/>
        <w:rPr>
          <w:rFonts w:ascii="Palatino Linotype" w:eastAsia="Palatino Linotype" w:hAnsi="Palatino Linotype" w:cs="Palatino Linotype"/>
          <w:i/>
          <w:iCs/>
        </w:rPr>
      </w:pPr>
      <w:r w:rsidRPr="00D134CE">
        <w:rPr>
          <w:rFonts w:ascii="Palatino Linotype" w:eastAsia="Palatino Linotype" w:hAnsi="Palatino Linotype" w:cs="Palatino Linotype"/>
          <w:b/>
          <w:bCs/>
          <w:i/>
          <w:iCs/>
        </w:rPr>
        <w:t>“Expresión documental</w:t>
      </w:r>
      <w:r w:rsidRPr="00D134CE">
        <w:rPr>
          <w:rFonts w:ascii="Palatino Linotype" w:eastAsia="Palatino Linotype" w:hAnsi="Palatino Linotype" w:cs="Palatino Linotype"/>
          <w:i/>
          <w:iCs/>
        </w:rPr>
        <w:t>. Cuando los particulares presenten solicitudes de acceso a la información sin identificar de forma precisa la documentación que pudiera contener la información de su interés, o bien, la solicitud constituya una consulta, pero la respuesta pudiera obrar en algún documento en poder de los sujetos obligados, éstos deben dar a dichas solicitudes una interpretación que les otorgue una expresión documental.”</w:t>
      </w:r>
    </w:p>
    <w:p w:rsidR="00131682" w:rsidRPr="00D134CE" w:rsidRDefault="00131682" w:rsidP="004C1116">
      <w:pPr>
        <w:spacing w:line="360" w:lineRule="auto"/>
        <w:ind w:right="49"/>
        <w:jc w:val="both"/>
        <w:rPr>
          <w:rFonts w:ascii="Palatino Linotype" w:eastAsia="Palatino Linotype" w:hAnsi="Palatino Linotype" w:cs="Palatino Linotype"/>
        </w:rPr>
      </w:pPr>
    </w:p>
    <w:p w:rsidR="00131682" w:rsidRPr="00D134CE" w:rsidRDefault="00131682" w:rsidP="004C1116">
      <w:pPr>
        <w:numPr>
          <w:ilvl w:val="0"/>
          <w:numId w:val="1"/>
        </w:numPr>
        <w:spacing w:line="360" w:lineRule="auto"/>
        <w:ind w:left="0" w:right="49" w:firstLine="0"/>
        <w:jc w:val="both"/>
        <w:rPr>
          <w:rFonts w:ascii="Palatino Linotype" w:eastAsia="Palatino Linotype" w:hAnsi="Palatino Linotype" w:cs="Palatino Linotype"/>
        </w:rPr>
      </w:pPr>
      <w:r w:rsidRPr="00D134CE">
        <w:rPr>
          <w:rFonts w:ascii="Palatino Linotype" w:eastAsia="Palatino Linotype" w:hAnsi="Palatino Linotype" w:cs="Palatino Linotype"/>
        </w:rPr>
        <w:t xml:space="preserve">Por lo que en relatadas circunstancias lo procedente es la aplicación de la suplencia de la queja en favor del solicitante; que corresponde a la </w:t>
      </w:r>
      <w:r w:rsidRPr="00D134CE">
        <w:rPr>
          <w:rFonts w:ascii="Palatino Linotype" w:eastAsia="Palatino Linotype" w:hAnsi="Palatino Linotype" w:cs="Palatino Linotype"/>
          <w:b/>
          <w:bCs/>
        </w:rPr>
        <w:t xml:space="preserve">figura que prevé la ley de la </w:t>
      </w:r>
      <w:r w:rsidRPr="00D134CE">
        <w:rPr>
          <w:rFonts w:ascii="Palatino Linotype" w:eastAsia="Palatino Linotype" w:hAnsi="Palatino Linotype" w:cs="Palatino Linotype"/>
        </w:rPr>
        <w:t>materia</w:t>
      </w:r>
      <w:r w:rsidRPr="00D134CE">
        <w:rPr>
          <w:rFonts w:ascii="Palatino Linotype" w:eastAsia="Palatino Linotype" w:hAnsi="Palatino Linotype" w:cs="Palatino Linotype"/>
          <w:b/>
          <w:bCs/>
        </w:rPr>
        <w:t xml:space="preserve"> para subsanar </w:t>
      </w:r>
      <w:r w:rsidRPr="00D134CE">
        <w:rPr>
          <w:rFonts w:ascii="Palatino Linotype" w:eastAsia="Palatino Linotype" w:hAnsi="Palatino Linotype" w:cs="Palatino Linotype"/>
        </w:rPr>
        <w:t xml:space="preserve">errores técnicos o la eventual falta de conocimientos del ciudadano, </w:t>
      </w:r>
      <w:r w:rsidRPr="00D134CE">
        <w:rPr>
          <w:rFonts w:ascii="Palatino Linotype" w:eastAsia="Palatino Linotype" w:hAnsi="Palatino Linotype" w:cs="Palatino Linotype"/>
          <w:b/>
          <w:bCs/>
        </w:rPr>
        <w:t>garantizando así que el acceso a la información sea efectivo y no meramente formal</w:t>
      </w:r>
      <w:r w:rsidRPr="00D134CE">
        <w:rPr>
          <w:rFonts w:ascii="Palatino Linotype" w:eastAsia="Palatino Linotype" w:hAnsi="Palatino Linotype" w:cs="Palatino Linotype"/>
        </w:rPr>
        <w:t>.</w:t>
      </w:r>
    </w:p>
    <w:p w:rsidR="00131682" w:rsidRPr="00D134CE" w:rsidRDefault="00131682" w:rsidP="004C1116">
      <w:pPr>
        <w:spacing w:line="360" w:lineRule="auto"/>
        <w:ind w:right="49"/>
        <w:jc w:val="both"/>
        <w:rPr>
          <w:rFonts w:ascii="Palatino Linotype" w:eastAsia="Palatino Linotype" w:hAnsi="Palatino Linotype" w:cs="Palatino Linotype"/>
        </w:rPr>
      </w:pPr>
    </w:p>
    <w:p w:rsidR="00131682" w:rsidRPr="00D134CE" w:rsidRDefault="00131682" w:rsidP="004C1116">
      <w:pPr>
        <w:numPr>
          <w:ilvl w:val="0"/>
          <w:numId w:val="1"/>
        </w:numPr>
        <w:spacing w:line="360" w:lineRule="auto"/>
        <w:ind w:left="0" w:right="49" w:firstLine="0"/>
        <w:jc w:val="both"/>
        <w:rPr>
          <w:rFonts w:ascii="Palatino Linotype" w:eastAsia="Palatino Linotype" w:hAnsi="Palatino Linotype" w:cs="Palatino Linotype"/>
          <w:color w:val="222222"/>
        </w:rPr>
      </w:pPr>
      <w:r w:rsidRPr="00D134CE">
        <w:rPr>
          <w:rFonts w:ascii="Palatino Linotype" w:eastAsia="Palatino Linotype" w:hAnsi="Palatino Linotype" w:cs="Palatino Linotype"/>
          <w:color w:val="222222"/>
        </w:rPr>
        <w:t xml:space="preserve">En ese contexto, la Ley de Transparencia y Acceso a la información Pública del </w:t>
      </w:r>
      <w:r w:rsidRPr="00D134CE">
        <w:rPr>
          <w:rFonts w:ascii="Palatino Linotype" w:eastAsia="Palatino Linotype" w:hAnsi="Palatino Linotype" w:cs="Palatino Linotype"/>
        </w:rPr>
        <w:t>Estado</w:t>
      </w:r>
      <w:r w:rsidRPr="00D134CE">
        <w:rPr>
          <w:rFonts w:ascii="Palatino Linotype" w:eastAsia="Palatino Linotype" w:hAnsi="Palatino Linotype" w:cs="Palatino Linotype"/>
          <w:color w:val="222222"/>
        </w:rPr>
        <w:t xml:space="preserve"> de </w:t>
      </w:r>
      <w:r w:rsidRPr="00D134CE">
        <w:rPr>
          <w:rFonts w:ascii="Palatino Linotype" w:eastAsia="Palatino Linotype" w:hAnsi="Palatino Linotype" w:cs="Palatino Linotype"/>
        </w:rPr>
        <w:t>México</w:t>
      </w:r>
      <w:r w:rsidRPr="00D134CE">
        <w:rPr>
          <w:rFonts w:ascii="Palatino Linotype" w:eastAsia="Palatino Linotype" w:hAnsi="Palatino Linotype" w:cs="Palatino Linotype"/>
          <w:color w:val="222222"/>
        </w:rPr>
        <w:t xml:space="preserve"> y Municipios contempla la suplencia de la deficiencia para garantizar </w:t>
      </w:r>
      <w:r w:rsidRPr="00D134CE">
        <w:rPr>
          <w:rFonts w:ascii="Palatino Linotype" w:eastAsia="Palatino Linotype" w:hAnsi="Palatino Linotype" w:cs="Palatino Linotype"/>
        </w:rPr>
        <w:t>e</w:t>
      </w:r>
      <w:r w:rsidRPr="00D134CE">
        <w:rPr>
          <w:rFonts w:ascii="Palatino Linotype" w:eastAsia="Palatino Linotype" w:hAnsi="Palatino Linotype" w:cs="Palatino Linotype"/>
          <w:color w:val="222222"/>
        </w:rPr>
        <w:t xml:space="preserve">l derecho de acceso de acceso a la información pública a favor del </w:t>
      </w:r>
      <w:r w:rsidRPr="00D134CE">
        <w:rPr>
          <w:rFonts w:ascii="Palatino Linotype" w:eastAsia="Palatino Linotype" w:hAnsi="Palatino Linotype" w:cs="Palatino Linotype"/>
          <w:b/>
          <w:bCs/>
          <w:color w:val="222222"/>
        </w:rPr>
        <w:t>RECURRENTE</w:t>
      </w:r>
      <w:r w:rsidRPr="00D134CE">
        <w:rPr>
          <w:rFonts w:ascii="Palatino Linotype" w:eastAsia="Palatino Linotype" w:hAnsi="Palatino Linotype" w:cs="Palatino Linotype"/>
          <w:color w:val="222222"/>
        </w:rPr>
        <w:t>, sin que se cambien los hechos expuestos por éste; lo cual, encuentra sustento en la jurisprudencia emitida por la Suprema Corte de Justicia de la Nación que a continuación se inserta:</w:t>
      </w:r>
    </w:p>
    <w:p w:rsidR="00131682" w:rsidRPr="00D134CE" w:rsidRDefault="00131682" w:rsidP="004C1116">
      <w:pPr>
        <w:spacing w:line="360" w:lineRule="auto"/>
        <w:ind w:left="567" w:right="616"/>
        <w:jc w:val="both"/>
        <w:rPr>
          <w:rFonts w:ascii="Palatino Linotype" w:eastAsia="Palatino Linotype" w:hAnsi="Palatino Linotype" w:cs="Palatino Linotype"/>
          <w:i/>
          <w:iCs/>
        </w:rPr>
      </w:pPr>
      <w:r w:rsidRPr="00D134CE">
        <w:rPr>
          <w:rFonts w:ascii="Palatino Linotype" w:eastAsia="Palatino Linotype" w:hAnsi="Palatino Linotype" w:cs="Palatino Linotype"/>
          <w:b/>
          <w:bCs/>
          <w:i/>
          <w:iCs/>
        </w:rPr>
        <w:t xml:space="preserve">“SUPLENCIA DE LA QUEJA DEFICIENTE. DEBE HACERSE A PARTIR DE LOS CONCEPTOS DE VIOLACIÓN O, EN SU CASO, DE LOS AGRAVIOS EXPRESADOS, POR LO TANTO NO ES ILIMITADA. </w:t>
      </w:r>
      <w:r w:rsidRPr="00D134CE">
        <w:rPr>
          <w:rFonts w:ascii="Palatino Linotype" w:eastAsia="Palatino Linotype" w:hAnsi="Palatino Linotype" w:cs="Palatino Linotype"/>
          <w:i/>
          <w:iCs/>
        </w:rPr>
        <w:t xml:space="preserve">El artículo 76 bis de la Ley de Amparo señala que la suplencia de la queja deficiente se entiende referida a los conceptos de violación y, en su caso, a los agravios, es decir, a la materia misma del juicio de garantías, por </w:t>
      </w:r>
      <w:r w:rsidRPr="00D134CE">
        <w:rPr>
          <w:rFonts w:ascii="Palatino Linotype" w:eastAsia="Palatino Linotype" w:hAnsi="Palatino Linotype" w:cs="Palatino Linotype"/>
          <w:i/>
          <w:iCs/>
        </w:rPr>
        <w:lastRenderedPageBreak/>
        <w:t>lo que debe considerarse que dicho precepto limita el ámbito de aplicación de tal figura a las cuestiones relacionadas con el fondo del asunto, de ahí que dicha suplencia no sea aplicable a la procedencia del juicio de amparo. En ese tenor, a excepción de la materia penal, el órgano de control constitucional no puede libremente realizar el examen del precepto legal reclamado o de la resolución recurrida, sino que debe hacerlo a partir de lo expresado en los conceptos de violación o, en su caso, en los agravios, de manera que sin la existencia de un mínimo razonamiento expresado en la demanda, esto es, sin la elemental causa de pedir, el juzgador no se encuentra en aptitud de resolver si el acto reclamado es o no violatorio de garantías, porque la suplencia de la queja deficiente es una institución procesal que si bien fue establecida con la finalidad de hacer prevalecer las garantías que otorga la Constitución Federal, no deja de estar sujeta a los requisitos previstos al efecto, tanto en la Ley Fundamental como en la Ley de Amparo.”</w:t>
      </w:r>
    </w:p>
    <w:p w:rsidR="00131682" w:rsidRPr="00D134CE" w:rsidRDefault="00131682" w:rsidP="004C1116">
      <w:pPr>
        <w:spacing w:line="360" w:lineRule="auto"/>
        <w:ind w:left="851" w:right="902"/>
        <w:jc w:val="both"/>
        <w:rPr>
          <w:rFonts w:ascii="Palatino Linotype" w:eastAsia="Palatino Linotype" w:hAnsi="Palatino Linotype" w:cs="Palatino Linotype"/>
          <w:i/>
          <w:iCs/>
        </w:rPr>
      </w:pPr>
    </w:p>
    <w:p w:rsidR="00131682" w:rsidRPr="00D134CE" w:rsidRDefault="00131682" w:rsidP="004C1116">
      <w:pPr>
        <w:numPr>
          <w:ilvl w:val="0"/>
          <w:numId w:val="1"/>
        </w:numPr>
        <w:spacing w:line="360" w:lineRule="auto"/>
        <w:ind w:left="0" w:right="49" w:firstLine="0"/>
        <w:jc w:val="both"/>
        <w:rPr>
          <w:rFonts w:ascii="Palatino Linotype" w:eastAsia="Palatino Linotype" w:hAnsi="Palatino Linotype" w:cs="Palatino Linotype"/>
          <w:color w:val="222222"/>
        </w:rPr>
      </w:pPr>
      <w:r w:rsidRPr="00D134CE">
        <w:rPr>
          <w:rFonts w:ascii="Palatino Linotype" w:eastAsia="Palatino Linotype" w:hAnsi="Palatino Linotype" w:cs="Palatino Linotype"/>
          <w:color w:val="222222"/>
        </w:rPr>
        <w:t>De modo tal que debe interpretarse la solicitud de información atendiendo el principio de interpretación más favorable a la persona</w:t>
      </w:r>
      <w:r w:rsidRPr="00D134CE">
        <w:rPr>
          <w:rFonts w:ascii="Palatino Linotype" w:eastAsia="Palatino Linotype" w:hAnsi="Palatino Linotype" w:cs="Palatino Linotype"/>
          <w:color w:val="222222"/>
          <w:vertAlign w:val="superscript"/>
        </w:rPr>
        <w:footnoteReference w:id="1"/>
      </w:r>
      <w:r w:rsidRPr="00D134CE">
        <w:rPr>
          <w:rFonts w:ascii="Palatino Linotype" w:eastAsia="Palatino Linotype" w:hAnsi="Palatino Linotype" w:cs="Palatino Linotype"/>
          <w:color w:val="222222"/>
        </w:rPr>
        <w:t>, con fundamento en los artículos 13 y 181 cuarto párrafo de la Ley de la Materia, que rezan así:</w:t>
      </w:r>
    </w:p>
    <w:p w:rsidR="00131682" w:rsidRPr="00D134CE" w:rsidRDefault="00131682" w:rsidP="004C1116">
      <w:pPr>
        <w:spacing w:line="360" w:lineRule="auto"/>
        <w:ind w:right="49"/>
        <w:jc w:val="both"/>
        <w:rPr>
          <w:rFonts w:ascii="Palatino Linotype" w:eastAsia="Palatino Linotype" w:hAnsi="Palatino Linotype" w:cs="Palatino Linotype"/>
          <w:color w:val="222222"/>
        </w:rPr>
      </w:pPr>
    </w:p>
    <w:p w:rsidR="00131682" w:rsidRPr="00D134CE" w:rsidRDefault="00131682" w:rsidP="004C1116">
      <w:pPr>
        <w:spacing w:line="360" w:lineRule="auto"/>
        <w:ind w:left="567" w:right="758"/>
        <w:jc w:val="both"/>
        <w:rPr>
          <w:rFonts w:ascii="Palatino Linotype" w:eastAsia="Palatino Linotype" w:hAnsi="Palatino Linotype" w:cs="Palatino Linotype"/>
          <w:i/>
          <w:iCs/>
          <w:color w:val="222222"/>
        </w:rPr>
      </w:pPr>
      <w:r w:rsidRPr="00D134CE">
        <w:rPr>
          <w:rFonts w:ascii="Palatino Linotype" w:eastAsia="Palatino Linotype" w:hAnsi="Palatino Linotype" w:cs="Palatino Linotype"/>
          <w:b/>
          <w:bCs/>
          <w:i/>
          <w:iCs/>
          <w:color w:val="222222"/>
        </w:rPr>
        <w:lastRenderedPageBreak/>
        <w:t>“Artículo 13.</w:t>
      </w:r>
      <w:r w:rsidRPr="00D134CE">
        <w:rPr>
          <w:rFonts w:ascii="Palatino Linotype" w:eastAsia="Palatino Linotype" w:hAnsi="Palatino Linotype" w:cs="Palatino Linotype"/>
          <w:i/>
          <w:iCs/>
          <w:color w:val="222222"/>
        </w:rPr>
        <w:t xml:space="preserve"> El Instituto, en el ámbito de sus atribuciones, deberá suplir cualquier deficiencia para garantizar el ejercicio del derecho de acceso a la información.</w:t>
      </w:r>
    </w:p>
    <w:p w:rsidR="00131682" w:rsidRPr="00D134CE" w:rsidRDefault="00131682" w:rsidP="004C1116">
      <w:pPr>
        <w:spacing w:line="360" w:lineRule="auto"/>
        <w:ind w:left="567" w:right="758"/>
        <w:jc w:val="both"/>
        <w:rPr>
          <w:rFonts w:ascii="Palatino Linotype" w:eastAsia="Palatino Linotype" w:hAnsi="Palatino Linotype" w:cs="Palatino Linotype"/>
          <w:i/>
          <w:iCs/>
          <w:color w:val="222222"/>
        </w:rPr>
      </w:pPr>
    </w:p>
    <w:p w:rsidR="00131682" w:rsidRPr="00D134CE" w:rsidRDefault="00131682" w:rsidP="004C1116">
      <w:pPr>
        <w:spacing w:line="360" w:lineRule="auto"/>
        <w:ind w:left="567" w:right="758"/>
        <w:jc w:val="both"/>
        <w:rPr>
          <w:rFonts w:ascii="Palatino Linotype" w:eastAsia="Palatino Linotype" w:hAnsi="Palatino Linotype" w:cs="Palatino Linotype"/>
          <w:i/>
          <w:iCs/>
          <w:color w:val="222222"/>
        </w:rPr>
      </w:pPr>
      <w:r w:rsidRPr="00D134CE">
        <w:rPr>
          <w:rFonts w:ascii="Palatino Linotype" w:eastAsia="Palatino Linotype" w:hAnsi="Palatino Linotype" w:cs="Palatino Linotype"/>
          <w:b/>
          <w:bCs/>
          <w:i/>
          <w:iCs/>
          <w:color w:val="222222"/>
        </w:rPr>
        <w:t>Artículo 181.</w:t>
      </w:r>
      <w:r w:rsidRPr="00D134CE">
        <w:rPr>
          <w:rFonts w:ascii="Palatino Linotype" w:eastAsia="Palatino Linotype" w:hAnsi="Palatino Linotype" w:cs="Palatino Linotype"/>
          <w:i/>
          <w:iCs/>
          <w:color w:val="222222"/>
        </w:rPr>
        <w:t xml:space="preserve"> …</w:t>
      </w:r>
      <w:r w:rsidRPr="00D134CE">
        <w:rPr>
          <w:rFonts w:ascii="Palatino Linotype" w:eastAsia="Palatino Linotype" w:hAnsi="Palatino Linotype" w:cs="Palatino Linotype"/>
          <w:i/>
          <w:iCs/>
        </w:rPr>
        <w:t xml:space="preserve"> </w:t>
      </w:r>
      <w:r w:rsidRPr="00D134CE">
        <w:rPr>
          <w:rFonts w:ascii="Palatino Linotype" w:eastAsia="Palatino Linotype" w:hAnsi="Palatino Linotype" w:cs="Palatino Linotype"/>
          <w:i/>
          <w:iCs/>
          <w:color w:val="222222"/>
        </w:rPr>
        <w:t>Durante el procedimiento deberá aplicarse la suplencia de la queja a favor dla RECURRENTE, sin cambiar los hechos expuestos, asegurándose de que las partes puedan presentar, de manera oral o escrita, los argumentos que funden y motiven sus pretensiones.”</w:t>
      </w:r>
    </w:p>
    <w:p w:rsidR="00131682" w:rsidRPr="00D134CE" w:rsidRDefault="00131682" w:rsidP="004C1116">
      <w:pPr>
        <w:spacing w:line="360" w:lineRule="auto"/>
        <w:ind w:left="851" w:right="1041"/>
        <w:jc w:val="both"/>
        <w:rPr>
          <w:rFonts w:ascii="Palatino Linotype" w:eastAsia="Palatino Linotype" w:hAnsi="Palatino Linotype" w:cs="Palatino Linotype"/>
          <w:i/>
          <w:iCs/>
          <w:color w:val="222222"/>
        </w:rPr>
      </w:pPr>
    </w:p>
    <w:p w:rsidR="00131682" w:rsidRPr="00D134CE" w:rsidRDefault="00131682" w:rsidP="004C1116">
      <w:pPr>
        <w:numPr>
          <w:ilvl w:val="0"/>
          <w:numId w:val="1"/>
        </w:numPr>
        <w:spacing w:line="360" w:lineRule="auto"/>
        <w:ind w:left="0" w:right="49" w:firstLine="0"/>
        <w:jc w:val="both"/>
        <w:rPr>
          <w:rFonts w:ascii="Palatino Linotype" w:eastAsia="Palatino Linotype" w:hAnsi="Palatino Linotype" w:cs="Palatino Linotype"/>
        </w:rPr>
      </w:pPr>
      <w:r w:rsidRPr="00D134CE">
        <w:rPr>
          <w:rFonts w:ascii="Palatino Linotype" w:eastAsia="Palatino Linotype" w:hAnsi="Palatino Linotype" w:cs="Palatino Linotype"/>
          <w:color w:val="222222"/>
        </w:rPr>
        <w:t>En esa línea de pensamiento, es de recordar que los solicitantes no están obligados a conocer el nombre jurídico, técnico, legal o administrativo del soporte documental al que desean acceder,</w:t>
      </w:r>
      <w:r w:rsidRPr="00D134CE">
        <w:rPr>
          <w:rFonts w:ascii="Palatino Linotype" w:eastAsia="Palatino Linotype" w:hAnsi="Palatino Linotype" w:cs="Palatino Linotype"/>
          <w:i/>
          <w:color w:val="222222"/>
        </w:rPr>
        <w:t xml:space="preserve"> máxime</w:t>
      </w:r>
      <w:r w:rsidRPr="00D134CE">
        <w:rPr>
          <w:rFonts w:ascii="Palatino Linotype" w:eastAsia="Palatino Linotype" w:hAnsi="Palatino Linotype" w:cs="Palatino Linotype"/>
          <w:color w:val="222222"/>
        </w:rPr>
        <w:t xml:space="preserve"> si desconocen qué tipo de documento es el que se generó, posee y administra, como lo es en este caso un autorización, que el particular al desconocerlo, solicito un convenio o contrato de lo que –se insiste– fue obligación del </w:t>
      </w:r>
      <w:r w:rsidRPr="00D134CE">
        <w:rPr>
          <w:rFonts w:ascii="Palatino Linotype" w:eastAsia="Palatino Linotype" w:hAnsi="Palatino Linotype" w:cs="Palatino Linotype"/>
          <w:b/>
          <w:color w:val="222222"/>
        </w:rPr>
        <w:t>SUJETO OBLIGADO</w:t>
      </w:r>
      <w:r w:rsidRPr="00D134CE">
        <w:rPr>
          <w:rFonts w:ascii="Palatino Linotype" w:eastAsia="Palatino Linotype" w:hAnsi="Palatino Linotype" w:cs="Palatino Linotype"/>
          <w:color w:val="222222"/>
        </w:rPr>
        <w:t xml:space="preserve"> realizar la suplencia de la queja, otorgando observancia a la expresión documental aportado, entregando para tal efecto el soporte documental que género, posee y administra que colma la pretensión del solicitante. Por lo que en relatadas consideraciones, es dable ordenar el Oficio Número IMCUFIDENR/DR/221/2025, que contiene la autorización a título gratuito, sin fines de lucro y, bajo condiciones específicas de mantenimiento y orden del quiosco con venta de alimentos ubicado en las instalaciones de la Unidad Deportiva denominada "Nicolás Romero".</w:t>
      </w:r>
    </w:p>
    <w:p w:rsidR="00030952" w:rsidRPr="00D134CE" w:rsidRDefault="00030952" w:rsidP="004C1116">
      <w:pPr>
        <w:spacing w:line="360" w:lineRule="auto"/>
        <w:rPr>
          <w:rFonts w:ascii="Palatino Linotype" w:eastAsia="Palatino Linotype" w:hAnsi="Palatino Linotype" w:cs="Palatino Linotype"/>
        </w:rPr>
      </w:pPr>
    </w:p>
    <w:p w:rsidR="00144EDA" w:rsidRPr="00D134CE" w:rsidRDefault="00C81811" w:rsidP="004C1116">
      <w:pPr>
        <w:pBdr>
          <w:top w:val="nil"/>
          <w:left w:val="nil"/>
          <w:bottom w:val="nil"/>
          <w:right w:val="nil"/>
          <w:between w:val="nil"/>
        </w:pBdr>
        <w:tabs>
          <w:tab w:val="left" w:pos="284"/>
          <w:tab w:val="left" w:pos="426"/>
        </w:tabs>
        <w:spacing w:line="360" w:lineRule="auto"/>
        <w:ind w:right="49"/>
        <w:jc w:val="both"/>
        <w:rPr>
          <w:rFonts w:ascii="Palatino Linotype" w:eastAsia="Palatino Linotype" w:hAnsi="Palatino Linotype" w:cs="Palatino Linotype"/>
          <w:b/>
          <w:bCs/>
          <w:color w:val="000000"/>
        </w:rPr>
      </w:pPr>
      <w:r w:rsidRPr="00D134CE">
        <w:rPr>
          <w:rFonts w:ascii="Palatino Linotype" w:eastAsia="Palatino Linotype" w:hAnsi="Palatino Linotype" w:cs="Palatino Linotype"/>
          <w:b/>
          <w:bCs/>
          <w:color w:val="000000"/>
        </w:rPr>
        <w:t>QUINTO. De la versión pública.</w:t>
      </w:r>
    </w:p>
    <w:p w:rsidR="00144EDA" w:rsidRPr="00D134CE" w:rsidRDefault="00C81811" w:rsidP="00D134CE">
      <w:pPr>
        <w:pStyle w:val="Prrafodelista"/>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134CE">
        <w:rPr>
          <w:rFonts w:ascii="Palatino Linotype" w:eastAsia="Palatino Linotype" w:hAnsi="Palatino Linotype" w:cs="Palatino Linotype"/>
          <w:color w:val="000000"/>
        </w:rPr>
        <w:t xml:space="preserve">Finalmente, debe señalarse que dada la propia y especial naturaleza de lo solicitado, eminentemente contiene múltiples datos personales que deberán ser protegidos como ya quedó asentado en el Considerando anterior del presente proveído. Para dar cumplimiento a la </w:t>
      </w:r>
      <w:r w:rsidRPr="00D134CE">
        <w:rPr>
          <w:rFonts w:ascii="Palatino Linotype" w:eastAsia="Palatino Linotype" w:hAnsi="Palatino Linotype" w:cs="Palatino Linotype"/>
          <w:color w:val="000000"/>
        </w:rPr>
        <w:lastRenderedPageBreak/>
        <w:t xml:space="preserve">presente resolución, contengan datos que deban ser clasificados, el </w:t>
      </w:r>
      <w:r w:rsidRPr="00D134CE">
        <w:rPr>
          <w:rFonts w:ascii="Palatino Linotype" w:eastAsia="Palatino Linotype" w:hAnsi="Palatino Linotype" w:cs="Palatino Linotype"/>
          <w:b/>
          <w:bCs/>
          <w:color w:val="000000"/>
        </w:rPr>
        <w:t>SUJETO OBLIGADO</w:t>
      </w:r>
      <w:r w:rsidRPr="00D134CE">
        <w:rPr>
          <w:rFonts w:ascii="Palatino Linotype" w:eastAsia="Palatino Linotype" w:hAnsi="Palatino Linotype" w:cs="Palatino Linotype"/>
          <w:color w:val="000000"/>
        </w:rPr>
        <w:t xml:space="preserve"> deberá hacer la elaboración de la versión pública de tales documentos a fin de satisfacer el derecho de acceso a la información pública del recurrente sin menoscabo al derecho a la protección de los datos personales de terceros.</w:t>
      </w:r>
    </w:p>
    <w:p w:rsidR="00144EDA" w:rsidRPr="00D134CE" w:rsidRDefault="00144EDA" w:rsidP="004C1116">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144EDA" w:rsidRPr="00D134CE" w:rsidRDefault="00C81811" w:rsidP="00D134CE">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134CE">
        <w:rPr>
          <w:rFonts w:ascii="Palatino Linotype" w:eastAsia="Palatino Linotype" w:hAnsi="Palatino Linotype" w:cs="Palatino Linotype"/>
          <w:color w:val="000000"/>
        </w:rPr>
        <w:t>Por lo que, para efectos de la elaboración de la versión pública se deberá observar lo dispuesto por los artículos 3 fracciones IX, XX, XXI, XXXII y XLV; 6, 49 fracción VIII, 91, 137, 143 Fracción I, de la Ley de Transparencia y Acceso a la Información Pública del Estado de México y Municipios vigente, que establecen:</w:t>
      </w:r>
    </w:p>
    <w:p w:rsidR="00144EDA" w:rsidRPr="00D134CE" w:rsidRDefault="00C81811" w:rsidP="004C1116">
      <w:pPr>
        <w:spacing w:line="360" w:lineRule="auto"/>
        <w:ind w:left="709" w:right="616"/>
        <w:jc w:val="both"/>
        <w:rPr>
          <w:rFonts w:ascii="Palatino Linotype" w:eastAsia="Palatino Linotype" w:hAnsi="Palatino Linotype" w:cs="Palatino Linotype"/>
          <w:b/>
          <w:bCs/>
          <w:i/>
          <w:iCs/>
        </w:rPr>
      </w:pPr>
      <w:r w:rsidRPr="00D134CE">
        <w:rPr>
          <w:rFonts w:ascii="Palatino Linotype" w:eastAsia="Palatino Linotype" w:hAnsi="Palatino Linotype" w:cs="Palatino Linotype"/>
          <w:b/>
          <w:bCs/>
          <w:i/>
          <w:iCs/>
        </w:rPr>
        <w:t xml:space="preserve"> “Artículo 3. Para los efectos de la presente Ley se entenderá por:</w:t>
      </w:r>
    </w:p>
    <w:p w:rsidR="00144EDA" w:rsidRPr="00D134CE" w:rsidRDefault="00C81811" w:rsidP="004C1116">
      <w:pPr>
        <w:spacing w:line="360" w:lineRule="auto"/>
        <w:ind w:left="709" w:right="616"/>
        <w:jc w:val="both"/>
        <w:rPr>
          <w:rFonts w:ascii="Palatino Linotype" w:eastAsia="Palatino Linotype" w:hAnsi="Palatino Linotype" w:cs="Palatino Linotype"/>
          <w:i/>
          <w:iCs/>
        </w:rPr>
      </w:pPr>
      <w:r w:rsidRPr="00D134CE">
        <w:rPr>
          <w:rFonts w:ascii="Palatino Linotype" w:eastAsia="Palatino Linotype" w:hAnsi="Palatino Linotype" w:cs="Palatino Linotype"/>
          <w:b/>
          <w:bCs/>
          <w:i/>
          <w:iCs/>
        </w:rPr>
        <w:t>IX. Datos personales:</w:t>
      </w:r>
      <w:r w:rsidRPr="00D134CE">
        <w:rPr>
          <w:rFonts w:ascii="Palatino Linotype" w:eastAsia="Palatino Linotype" w:hAnsi="Palatino Linotype" w:cs="Palatino Linotype"/>
          <w:i/>
          <w:iCs/>
        </w:rPr>
        <w:t xml:space="preserve"> </w:t>
      </w:r>
      <w:r w:rsidRPr="00D134CE">
        <w:rPr>
          <w:rFonts w:ascii="Palatino Linotype" w:eastAsia="Palatino Linotype" w:hAnsi="Palatino Linotype" w:cs="Palatino Linotype"/>
          <w:b/>
          <w:bCs/>
          <w:i/>
          <w:iCs/>
        </w:rPr>
        <w:t>La información concerniente a una persona, identificada o identificable</w:t>
      </w:r>
      <w:r w:rsidRPr="00D134CE">
        <w:rPr>
          <w:rFonts w:ascii="Palatino Linotype" w:eastAsia="Palatino Linotype" w:hAnsi="Palatino Linotype" w:cs="Palatino Linotype"/>
          <w:i/>
          <w:iCs/>
        </w:rPr>
        <w:t xml:space="preserve"> según lo dispuesto por la Ley de Protección de Datos Personales del Estado de México;</w:t>
      </w:r>
    </w:p>
    <w:p w:rsidR="00144EDA" w:rsidRPr="00D134CE" w:rsidRDefault="00C81811" w:rsidP="004C1116">
      <w:pPr>
        <w:spacing w:line="360" w:lineRule="auto"/>
        <w:ind w:left="709" w:right="616"/>
        <w:jc w:val="both"/>
        <w:rPr>
          <w:rFonts w:ascii="Palatino Linotype" w:eastAsia="Palatino Linotype" w:hAnsi="Palatino Linotype" w:cs="Palatino Linotype"/>
          <w:i/>
          <w:iCs/>
        </w:rPr>
      </w:pPr>
      <w:r w:rsidRPr="00D134CE">
        <w:rPr>
          <w:rFonts w:ascii="Palatino Linotype" w:eastAsia="Palatino Linotype" w:hAnsi="Palatino Linotype" w:cs="Palatino Linotype"/>
          <w:b/>
          <w:bCs/>
          <w:i/>
          <w:iCs/>
        </w:rPr>
        <w:t>XX. Información clasificada:</w:t>
      </w:r>
      <w:r w:rsidRPr="00D134CE">
        <w:rPr>
          <w:rFonts w:ascii="Palatino Linotype" w:eastAsia="Palatino Linotype" w:hAnsi="Palatino Linotype" w:cs="Palatino Linotype"/>
          <w:i/>
          <w:iCs/>
        </w:rPr>
        <w:t xml:space="preserve"> Aquella considerada por la presente Ley como reservada o confidencial;</w:t>
      </w:r>
    </w:p>
    <w:p w:rsidR="00144EDA" w:rsidRPr="00D134CE" w:rsidRDefault="00C81811" w:rsidP="004C1116">
      <w:pPr>
        <w:spacing w:line="360" w:lineRule="auto"/>
        <w:ind w:left="709" w:right="616"/>
        <w:jc w:val="both"/>
        <w:rPr>
          <w:rFonts w:ascii="Palatino Linotype" w:eastAsia="Palatino Linotype" w:hAnsi="Palatino Linotype" w:cs="Palatino Linotype"/>
          <w:i/>
          <w:iCs/>
        </w:rPr>
      </w:pPr>
      <w:r w:rsidRPr="00D134CE">
        <w:rPr>
          <w:rFonts w:ascii="Palatino Linotype" w:eastAsia="Palatino Linotype" w:hAnsi="Palatino Linotype" w:cs="Palatino Linotype"/>
          <w:b/>
          <w:bCs/>
          <w:i/>
          <w:iCs/>
        </w:rPr>
        <w:t>XXXII. Protección de Datos Personales:</w:t>
      </w:r>
      <w:r w:rsidRPr="00D134CE">
        <w:rPr>
          <w:rFonts w:ascii="Palatino Linotype" w:eastAsia="Palatino Linotype" w:hAnsi="Palatino Linotype" w:cs="Palatino Linotype"/>
          <w:i/>
          <w:iCs/>
        </w:rPr>
        <w:t xml:space="preserve"> Derecho humano que tutela la privacidad de datos personales en poder de los sujetos obligados y sujetos particulares;</w:t>
      </w:r>
    </w:p>
    <w:p w:rsidR="00144EDA" w:rsidRPr="00D134CE" w:rsidRDefault="00C81811" w:rsidP="004C1116">
      <w:pPr>
        <w:spacing w:line="360" w:lineRule="auto"/>
        <w:ind w:left="709" w:right="616"/>
        <w:jc w:val="both"/>
        <w:rPr>
          <w:rFonts w:ascii="Palatino Linotype" w:eastAsia="Palatino Linotype" w:hAnsi="Palatino Linotype" w:cs="Palatino Linotype"/>
          <w:i/>
          <w:iCs/>
        </w:rPr>
      </w:pPr>
      <w:r w:rsidRPr="00D134CE">
        <w:rPr>
          <w:rFonts w:ascii="Palatino Linotype" w:eastAsia="Palatino Linotype" w:hAnsi="Palatino Linotype" w:cs="Palatino Linotype"/>
          <w:b/>
          <w:bCs/>
          <w:i/>
          <w:iCs/>
        </w:rPr>
        <w:t>XLV. Versión pública</w:t>
      </w:r>
      <w:r w:rsidRPr="00D134CE">
        <w:rPr>
          <w:rFonts w:ascii="Palatino Linotype" w:eastAsia="Palatino Linotype" w:hAnsi="Palatino Linotype" w:cs="Palatino Linotype"/>
          <w:i/>
          <w:iCs/>
        </w:rPr>
        <w:t>: Documento en el que se elimine, suprime o borra la información clasificada como reservada o confidencial para permitir su acceso.”</w:t>
      </w:r>
    </w:p>
    <w:p w:rsidR="00144EDA" w:rsidRPr="00D134CE" w:rsidRDefault="00144EDA" w:rsidP="004C1116">
      <w:pPr>
        <w:spacing w:line="360" w:lineRule="auto"/>
        <w:ind w:left="709" w:right="616"/>
        <w:jc w:val="both"/>
        <w:rPr>
          <w:rFonts w:ascii="Palatino Linotype" w:eastAsia="Palatino Linotype" w:hAnsi="Palatino Linotype" w:cs="Palatino Linotype"/>
          <w:i/>
          <w:iCs/>
        </w:rPr>
      </w:pPr>
    </w:p>
    <w:p w:rsidR="00144EDA" w:rsidRPr="00D134CE" w:rsidRDefault="00C81811" w:rsidP="004C1116">
      <w:pPr>
        <w:spacing w:line="360" w:lineRule="auto"/>
        <w:ind w:left="709" w:right="616"/>
        <w:jc w:val="both"/>
        <w:rPr>
          <w:rFonts w:ascii="Palatino Linotype" w:eastAsia="Palatino Linotype" w:hAnsi="Palatino Linotype" w:cs="Palatino Linotype"/>
          <w:i/>
          <w:iCs/>
        </w:rPr>
      </w:pPr>
      <w:r w:rsidRPr="00D134CE">
        <w:rPr>
          <w:rFonts w:ascii="Palatino Linotype" w:eastAsia="Palatino Linotype" w:hAnsi="Palatino Linotype" w:cs="Palatino Linotype"/>
          <w:b/>
          <w:bCs/>
          <w:i/>
          <w:iCs/>
        </w:rPr>
        <w:t>“Artículo 6.</w:t>
      </w:r>
      <w:r w:rsidRPr="00D134CE">
        <w:rPr>
          <w:rFonts w:ascii="Palatino Linotype" w:eastAsia="Palatino Linotype" w:hAnsi="Palatino Linotype" w:cs="Palatino Linotype"/>
          <w:i/>
          <w:iCs/>
        </w:rPr>
        <w:t xml:space="preserve">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w:t>
      </w:r>
      <w:r w:rsidRPr="00D134CE">
        <w:rPr>
          <w:rFonts w:ascii="Palatino Linotype" w:eastAsia="Palatino Linotype" w:hAnsi="Palatino Linotype" w:cs="Palatino Linotype"/>
          <w:i/>
          <w:iCs/>
        </w:rPr>
        <w:lastRenderedPageBreak/>
        <w:t>oposición; los principios, procedimientos, medidas de seguridad en el tratamiento y demás disposiciones en materia de datos personales, se deberá estar a lo dispuesto en las leyes de la materia.”</w:t>
      </w:r>
    </w:p>
    <w:p w:rsidR="00144EDA" w:rsidRPr="00D134CE" w:rsidRDefault="00144EDA" w:rsidP="004C1116">
      <w:pPr>
        <w:spacing w:line="360" w:lineRule="auto"/>
        <w:ind w:left="709" w:right="616"/>
        <w:jc w:val="both"/>
        <w:rPr>
          <w:rFonts w:ascii="Palatino Linotype" w:eastAsia="Palatino Linotype" w:hAnsi="Palatino Linotype" w:cs="Palatino Linotype"/>
          <w:i/>
          <w:iCs/>
        </w:rPr>
      </w:pPr>
    </w:p>
    <w:p w:rsidR="00144EDA" w:rsidRPr="00D134CE" w:rsidRDefault="00C81811" w:rsidP="004C1116">
      <w:pPr>
        <w:spacing w:line="360" w:lineRule="auto"/>
        <w:ind w:left="709" w:right="616"/>
        <w:jc w:val="both"/>
        <w:rPr>
          <w:rFonts w:ascii="Palatino Linotype" w:eastAsia="Palatino Linotype" w:hAnsi="Palatino Linotype" w:cs="Palatino Linotype"/>
          <w:i/>
          <w:iCs/>
        </w:rPr>
      </w:pPr>
      <w:r w:rsidRPr="00D134CE">
        <w:rPr>
          <w:rFonts w:ascii="Palatino Linotype" w:eastAsia="Palatino Linotype" w:hAnsi="Palatino Linotype" w:cs="Palatino Linotype"/>
          <w:i/>
          <w:iCs/>
        </w:rPr>
        <w:t> </w:t>
      </w:r>
      <w:r w:rsidRPr="00D134CE">
        <w:rPr>
          <w:rFonts w:ascii="Palatino Linotype" w:eastAsia="Palatino Linotype" w:hAnsi="Palatino Linotype" w:cs="Palatino Linotype"/>
          <w:b/>
          <w:bCs/>
          <w:i/>
          <w:iCs/>
        </w:rPr>
        <w:t>Artículo 49.</w:t>
      </w:r>
      <w:r w:rsidRPr="00D134CE">
        <w:rPr>
          <w:rFonts w:ascii="Palatino Linotype" w:eastAsia="Palatino Linotype" w:hAnsi="Palatino Linotype" w:cs="Palatino Linotype"/>
          <w:i/>
          <w:iCs/>
        </w:rPr>
        <w:t> Los Comités de Transparencia tendrán las siguientes atribuciones:</w:t>
      </w:r>
    </w:p>
    <w:p w:rsidR="00144EDA" w:rsidRPr="00D134CE" w:rsidRDefault="00C81811" w:rsidP="004C1116">
      <w:pPr>
        <w:spacing w:line="360" w:lineRule="auto"/>
        <w:ind w:left="709" w:right="616"/>
        <w:jc w:val="both"/>
        <w:rPr>
          <w:rFonts w:ascii="Palatino Linotype" w:eastAsia="Palatino Linotype" w:hAnsi="Palatino Linotype" w:cs="Palatino Linotype"/>
          <w:i/>
          <w:iCs/>
        </w:rPr>
      </w:pPr>
      <w:r w:rsidRPr="00D134CE">
        <w:rPr>
          <w:rFonts w:ascii="Palatino Linotype" w:eastAsia="Palatino Linotype" w:hAnsi="Palatino Linotype" w:cs="Palatino Linotype"/>
          <w:i/>
          <w:iCs/>
        </w:rPr>
        <w:t>(…)</w:t>
      </w:r>
    </w:p>
    <w:p w:rsidR="00144EDA" w:rsidRPr="00D134CE" w:rsidRDefault="00C81811" w:rsidP="004C1116">
      <w:pPr>
        <w:spacing w:line="360" w:lineRule="auto"/>
        <w:ind w:left="709" w:right="616"/>
        <w:jc w:val="both"/>
        <w:rPr>
          <w:rFonts w:ascii="Palatino Linotype" w:eastAsia="Palatino Linotype" w:hAnsi="Palatino Linotype" w:cs="Palatino Linotype"/>
          <w:i/>
          <w:iCs/>
        </w:rPr>
      </w:pPr>
      <w:r w:rsidRPr="00D134CE">
        <w:rPr>
          <w:rFonts w:ascii="Palatino Linotype" w:eastAsia="Palatino Linotype" w:hAnsi="Palatino Linotype" w:cs="Palatino Linotype"/>
          <w:b/>
          <w:bCs/>
          <w:i/>
          <w:iCs/>
        </w:rPr>
        <w:t>VIII</w:t>
      </w:r>
      <w:r w:rsidRPr="00D134CE">
        <w:rPr>
          <w:rFonts w:ascii="Palatino Linotype" w:eastAsia="Palatino Linotype" w:hAnsi="Palatino Linotype" w:cs="Palatino Linotype"/>
          <w:i/>
          <w:iCs/>
        </w:rPr>
        <w:t>. Aprobar, modificar o revocar la clasificación de la información;</w:t>
      </w:r>
    </w:p>
    <w:p w:rsidR="00144EDA" w:rsidRPr="00D134CE" w:rsidRDefault="00C81811" w:rsidP="004C1116">
      <w:pPr>
        <w:spacing w:line="360" w:lineRule="auto"/>
        <w:ind w:left="709" w:right="616"/>
        <w:jc w:val="both"/>
        <w:rPr>
          <w:rFonts w:ascii="Palatino Linotype" w:eastAsia="Palatino Linotype" w:hAnsi="Palatino Linotype" w:cs="Palatino Linotype"/>
          <w:i/>
          <w:iCs/>
        </w:rPr>
      </w:pPr>
      <w:r w:rsidRPr="00D134CE">
        <w:rPr>
          <w:rFonts w:ascii="Palatino Linotype" w:eastAsia="Palatino Linotype" w:hAnsi="Palatino Linotype" w:cs="Palatino Linotype"/>
          <w:i/>
          <w:iCs/>
        </w:rPr>
        <w:t>(…)</w:t>
      </w:r>
    </w:p>
    <w:p w:rsidR="00144EDA" w:rsidRPr="00D134CE" w:rsidRDefault="00C81811" w:rsidP="004C1116">
      <w:pPr>
        <w:spacing w:line="360" w:lineRule="auto"/>
        <w:ind w:left="709" w:right="616"/>
        <w:jc w:val="both"/>
        <w:rPr>
          <w:rFonts w:ascii="Palatino Linotype" w:eastAsia="Palatino Linotype" w:hAnsi="Palatino Linotype" w:cs="Palatino Linotype"/>
          <w:i/>
          <w:iCs/>
        </w:rPr>
      </w:pPr>
      <w:r w:rsidRPr="00D134CE">
        <w:rPr>
          <w:rFonts w:ascii="Palatino Linotype" w:eastAsia="Palatino Linotype" w:hAnsi="Palatino Linotype" w:cs="Palatino Linotype"/>
          <w:b/>
          <w:bCs/>
          <w:i/>
          <w:iCs/>
        </w:rPr>
        <w:t xml:space="preserve">Artículo 91. </w:t>
      </w:r>
      <w:r w:rsidRPr="00D134CE">
        <w:rPr>
          <w:rFonts w:ascii="Palatino Linotype" w:eastAsia="Palatino Linotype" w:hAnsi="Palatino Linotype" w:cs="Palatino Linotype"/>
          <w:i/>
          <w:iCs/>
        </w:rPr>
        <w:t>El acceso a la información pública será restringido excepcionalmente, cuando ésta sea clasificada como reservada o confidencial.</w:t>
      </w:r>
    </w:p>
    <w:p w:rsidR="00144EDA" w:rsidRPr="00D134CE" w:rsidRDefault="00144EDA" w:rsidP="004C1116">
      <w:pPr>
        <w:spacing w:line="360" w:lineRule="auto"/>
        <w:ind w:left="709" w:right="616"/>
        <w:jc w:val="both"/>
        <w:rPr>
          <w:rFonts w:ascii="Palatino Linotype" w:eastAsia="Palatino Linotype" w:hAnsi="Palatino Linotype" w:cs="Palatino Linotype"/>
          <w:i/>
          <w:iCs/>
        </w:rPr>
      </w:pPr>
    </w:p>
    <w:p w:rsidR="00144EDA" w:rsidRPr="00D134CE" w:rsidRDefault="00C81811" w:rsidP="004C1116">
      <w:pPr>
        <w:spacing w:line="360" w:lineRule="auto"/>
        <w:ind w:left="709" w:right="616"/>
        <w:jc w:val="both"/>
        <w:rPr>
          <w:rFonts w:ascii="Palatino Linotype" w:eastAsia="Palatino Linotype" w:hAnsi="Palatino Linotype" w:cs="Palatino Linotype"/>
          <w:b/>
          <w:bCs/>
          <w:i/>
          <w:iCs/>
        </w:rPr>
      </w:pPr>
      <w:r w:rsidRPr="00D134CE">
        <w:rPr>
          <w:rFonts w:ascii="Palatino Linotype" w:eastAsia="Palatino Linotype" w:hAnsi="Palatino Linotype" w:cs="Palatino Linotype"/>
          <w:b/>
          <w:bCs/>
          <w:i/>
          <w:iCs/>
        </w:rPr>
        <w:t>“Artículo 137.</w:t>
      </w:r>
      <w:r w:rsidRPr="00D134CE">
        <w:rPr>
          <w:rFonts w:ascii="Palatino Linotype" w:eastAsia="Palatino Linotype" w:hAnsi="Palatino Linotype" w:cs="Palatino Linotype"/>
          <w:i/>
          <w:iCs/>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rsidR="00144EDA" w:rsidRPr="00D134CE" w:rsidRDefault="00144EDA" w:rsidP="004C1116">
      <w:pPr>
        <w:spacing w:line="360" w:lineRule="auto"/>
        <w:ind w:left="709" w:right="616"/>
        <w:jc w:val="both"/>
        <w:rPr>
          <w:rFonts w:ascii="Palatino Linotype" w:eastAsia="Palatino Linotype" w:hAnsi="Palatino Linotype" w:cs="Palatino Linotype"/>
          <w:b/>
          <w:bCs/>
          <w:i/>
          <w:iCs/>
        </w:rPr>
      </w:pPr>
    </w:p>
    <w:p w:rsidR="00144EDA" w:rsidRPr="00D134CE" w:rsidRDefault="00C81811" w:rsidP="004C1116">
      <w:pPr>
        <w:spacing w:line="360" w:lineRule="auto"/>
        <w:ind w:left="709" w:right="616"/>
        <w:jc w:val="both"/>
        <w:rPr>
          <w:rFonts w:ascii="Palatino Linotype" w:eastAsia="Palatino Linotype" w:hAnsi="Palatino Linotype" w:cs="Palatino Linotype"/>
          <w:i/>
          <w:iCs/>
        </w:rPr>
      </w:pPr>
      <w:r w:rsidRPr="00D134CE">
        <w:rPr>
          <w:rFonts w:ascii="Palatino Linotype" w:eastAsia="Palatino Linotype" w:hAnsi="Palatino Linotype" w:cs="Palatino Linotype"/>
          <w:b/>
          <w:bCs/>
          <w:i/>
          <w:iCs/>
        </w:rPr>
        <w:t>“Artículo 143</w:t>
      </w:r>
      <w:r w:rsidRPr="00D134CE">
        <w:rPr>
          <w:rFonts w:ascii="Palatino Linotype" w:eastAsia="Palatino Linotype" w:hAnsi="Palatino Linotype" w:cs="Palatino Linotype"/>
          <w:i/>
          <w:iCs/>
        </w:rPr>
        <w:t>. Para los efectos de esta Ley se considera información confidencial, la clasificada como tal, de manera permanente, por su naturaleza, cuando:</w:t>
      </w:r>
    </w:p>
    <w:p w:rsidR="00144EDA" w:rsidRPr="00D134CE" w:rsidRDefault="00C81811" w:rsidP="004C1116">
      <w:pPr>
        <w:spacing w:line="360" w:lineRule="auto"/>
        <w:ind w:left="709" w:right="616"/>
        <w:jc w:val="both"/>
        <w:rPr>
          <w:rFonts w:ascii="Palatino Linotype" w:eastAsia="Palatino Linotype" w:hAnsi="Palatino Linotype" w:cs="Palatino Linotype"/>
          <w:i/>
          <w:iCs/>
        </w:rPr>
      </w:pPr>
      <w:r w:rsidRPr="00D134CE">
        <w:rPr>
          <w:rFonts w:ascii="Palatino Linotype" w:eastAsia="Palatino Linotype" w:hAnsi="Palatino Linotype" w:cs="Palatino Linotype"/>
          <w:b/>
          <w:bCs/>
          <w:i/>
          <w:iCs/>
        </w:rPr>
        <w:t>I.</w:t>
      </w:r>
      <w:r w:rsidRPr="00D134CE">
        <w:rPr>
          <w:rFonts w:ascii="Palatino Linotype" w:eastAsia="Palatino Linotype" w:hAnsi="Palatino Linotype" w:cs="Palatino Linotype"/>
          <w:i/>
          <w:iCs/>
        </w:rPr>
        <w:t xml:space="preserve"> Se refiera a la información privada y los datos personales concernientes a una persona física o jurídica colectiva identificada o identificable;</w:t>
      </w:r>
    </w:p>
    <w:p w:rsidR="00144EDA" w:rsidRPr="00D134CE" w:rsidRDefault="00C81811" w:rsidP="004C1116">
      <w:pPr>
        <w:spacing w:line="360" w:lineRule="auto"/>
        <w:ind w:left="709" w:right="616"/>
        <w:jc w:val="both"/>
        <w:rPr>
          <w:rFonts w:ascii="Palatino Linotype" w:eastAsia="Palatino Linotype" w:hAnsi="Palatino Linotype" w:cs="Palatino Linotype"/>
          <w:i/>
          <w:iCs/>
        </w:rPr>
      </w:pPr>
      <w:r w:rsidRPr="00D134CE">
        <w:rPr>
          <w:rFonts w:ascii="Palatino Linotype" w:eastAsia="Palatino Linotype" w:hAnsi="Palatino Linotype" w:cs="Palatino Linotype"/>
          <w:i/>
          <w:iCs/>
        </w:rPr>
        <w:t>II. Los secretos bancario, fiduciario, industrial, comercial, fiscal, bursátil y postal, cuya titularidad corresponda a particulares, sujetos de derecho internacional o a sujetos obligados cuando no involucren el ejercicio de recursos públicos; y</w:t>
      </w:r>
    </w:p>
    <w:p w:rsidR="00144EDA" w:rsidRPr="00D134CE" w:rsidRDefault="00C81811" w:rsidP="004C1116">
      <w:pPr>
        <w:spacing w:line="360" w:lineRule="auto"/>
        <w:ind w:left="709" w:right="616"/>
        <w:jc w:val="both"/>
        <w:rPr>
          <w:rFonts w:ascii="Palatino Linotype" w:eastAsia="Palatino Linotype" w:hAnsi="Palatino Linotype" w:cs="Palatino Linotype"/>
          <w:i/>
          <w:iCs/>
        </w:rPr>
      </w:pPr>
      <w:r w:rsidRPr="00D134CE">
        <w:rPr>
          <w:rFonts w:ascii="Palatino Linotype" w:eastAsia="Palatino Linotype" w:hAnsi="Palatino Linotype" w:cs="Palatino Linotype"/>
          <w:i/>
          <w:iCs/>
        </w:rPr>
        <w:lastRenderedPageBreak/>
        <w:t xml:space="preserve">III. La que presenten los particulares a los sujetos obligados, de conformidad con lo dispuesto por las leyes o los tratados internacionales.” </w:t>
      </w:r>
    </w:p>
    <w:p w:rsidR="00150D14" w:rsidRPr="00D134CE" w:rsidRDefault="00150D14" w:rsidP="004C1116">
      <w:pPr>
        <w:spacing w:line="360" w:lineRule="auto"/>
        <w:ind w:left="993" w:right="1041"/>
        <w:jc w:val="both"/>
        <w:rPr>
          <w:rFonts w:ascii="Palatino Linotype" w:eastAsia="Palatino Linotype" w:hAnsi="Palatino Linotype" w:cs="Palatino Linotype"/>
          <w:i/>
          <w:iCs/>
        </w:rPr>
      </w:pPr>
    </w:p>
    <w:p w:rsidR="00144EDA" w:rsidRPr="00D134CE" w:rsidRDefault="00C81811" w:rsidP="00D134CE">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134CE">
        <w:rPr>
          <w:rFonts w:ascii="Palatino Linotype" w:eastAsia="Palatino Linotype" w:hAnsi="Palatino Linotype" w:cs="Palatino Linotype"/>
          <w:color w:val="000000"/>
        </w:rPr>
        <w:t>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Sujeto Obligado deberá proceder a testar los datos personales que se encuentren contenidos en los documentos a entregar por parte del Sujeto Obligado para satisfacer el derecho de acceso a la información pública de la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 que señala la fracción XII del artículo 4 de la Ley de Protección de Datos Personales en Posesión de Sujetos Obligados del Estado de México.</w:t>
      </w:r>
    </w:p>
    <w:p w:rsidR="00144EDA" w:rsidRPr="00D134CE" w:rsidRDefault="00144EDA" w:rsidP="004C1116">
      <w:pPr>
        <w:spacing w:line="360" w:lineRule="auto"/>
        <w:ind w:right="51"/>
        <w:jc w:val="both"/>
        <w:rPr>
          <w:rFonts w:ascii="Palatino Linotype" w:eastAsia="Palatino Linotype" w:hAnsi="Palatino Linotype" w:cs="Palatino Linotype"/>
        </w:rPr>
      </w:pPr>
    </w:p>
    <w:p w:rsidR="00144EDA" w:rsidRPr="00D134CE" w:rsidRDefault="00C81811" w:rsidP="00D134CE">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134CE">
        <w:rPr>
          <w:rFonts w:ascii="Palatino Linotype" w:eastAsia="Palatino Linotype" w:hAnsi="Palatino Linotype" w:cs="Palatino Linotype"/>
          <w:color w:val="000000"/>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rsidR="00144EDA" w:rsidRPr="00D134CE" w:rsidRDefault="00144EDA" w:rsidP="004C1116">
      <w:pPr>
        <w:spacing w:line="360" w:lineRule="auto"/>
        <w:ind w:right="50"/>
        <w:jc w:val="both"/>
        <w:rPr>
          <w:rFonts w:ascii="Palatino Linotype" w:eastAsia="Palatino Linotype" w:hAnsi="Palatino Linotype" w:cs="Palatino Linotype"/>
        </w:rPr>
      </w:pPr>
    </w:p>
    <w:p w:rsidR="00144EDA" w:rsidRPr="00D134CE" w:rsidRDefault="00C81811" w:rsidP="00D134CE">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134CE">
        <w:rPr>
          <w:rFonts w:ascii="Palatino Linotype" w:eastAsia="Palatino Linotype" w:hAnsi="Palatino Linotype" w:cs="Palatino Linotype"/>
          <w:color w:val="000000"/>
        </w:rPr>
        <w:t xml:space="preserve">En ese contexto, la clasificación de la información no opera con la simple supresión de datos que se haga en los documentos de que se trate o con la simple decisión que tome el Servidor Público Habilitado o el Responsable de la Unidad de Transparencia del Sujeto </w:t>
      </w:r>
      <w:r w:rsidRPr="00D134CE">
        <w:rPr>
          <w:rFonts w:ascii="Palatino Linotype" w:eastAsia="Palatino Linotype" w:hAnsi="Palatino Linotype" w:cs="Palatino Linotype"/>
          <w:color w:val="000000"/>
        </w:rPr>
        <w:lastRenderedPageBreak/>
        <w:t>Obligado, sino que ello deberá realizarse en términos de lo que disponen los artículos 49 fracción VIII, 53, fracción X y 59, fracción V, de la Ley en consulta, cuyo sentido literal es el siguiente:</w:t>
      </w:r>
    </w:p>
    <w:p w:rsidR="00144EDA" w:rsidRPr="00D134CE" w:rsidRDefault="00C81811" w:rsidP="004C1116">
      <w:pPr>
        <w:spacing w:line="360" w:lineRule="auto"/>
        <w:ind w:left="567" w:right="758"/>
        <w:jc w:val="both"/>
        <w:rPr>
          <w:rFonts w:ascii="Palatino Linotype" w:eastAsia="Palatino Linotype" w:hAnsi="Palatino Linotype" w:cs="Palatino Linotype"/>
          <w:i/>
          <w:iCs/>
        </w:rPr>
      </w:pPr>
      <w:r w:rsidRPr="00D134CE">
        <w:rPr>
          <w:rFonts w:ascii="Palatino Linotype" w:eastAsia="Palatino Linotype" w:hAnsi="Palatino Linotype" w:cs="Palatino Linotype"/>
          <w:b/>
          <w:bCs/>
          <w:i/>
          <w:iCs/>
        </w:rPr>
        <w:t>“Artículo 49.</w:t>
      </w:r>
      <w:r w:rsidRPr="00D134CE">
        <w:rPr>
          <w:rFonts w:ascii="Palatino Linotype" w:eastAsia="Palatino Linotype" w:hAnsi="Palatino Linotype" w:cs="Palatino Linotype"/>
          <w:i/>
          <w:iCs/>
        </w:rPr>
        <w:t xml:space="preserve"> </w:t>
      </w:r>
      <w:r w:rsidRPr="00D134CE">
        <w:rPr>
          <w:rFonts w:ascii="Palatino Linotype" w:eastAsia="Palatino Linotype" w:hAnsi="Palatino Linotype" w:cs="Palatino Linotype"/>
          <w:b/>
          <w:bCs/>
          <w:i/>
          <w:iCs/>
        </w:rPr>
        <w:t>Los Comités de Transparencia</w:t>
      </w:r>
      <w:r w:rsidRPr="00D134CE">
        <w:rPr>
          <w:rFonts w:ascii="Palatino Linotype" w:eastAsia="Palatino Linotype" w:hAnsi="Palatino Linotype" w:cs="Palatino Linotype"/>
          <w:i/>
          <w:iCs/>
        </w:rPr>
        <w:t xml:space="preserve"> tendrán las siguientes atribuciones:</w:t>
      </w:r>
    </w:p>
    <w:p w:rsidR="00144EDA" w:rsidRPr="00D134CE" w:rsidRDefault="00C81811" w:rsidP="004C1116">
      <w:pPr>
        <w:spacing w:line="360" w:lineRule="auto"/>
        <w:ind w:left="567" w:right="758"/>
        <w:jc w:val="both"/>
        <w:rPr>
          <w:rFonts w:ascii="Palatino Linotype" w:eastAsia="Palatino Linotype" w:hAnsi="Palatino Linotype" w:cs="Palatino Linotype"/>
          <w:i/>
          <w:iCs/>
        </w:rPr>
      </w:pPr>
      <w:r w:rsidRPr="00D134CE">
        <w:rPr>
          <w:rFonts w:ascii="Palatino Linotype" w:eastAsia="Palatino Linotype" w:hAnsi="Palatino Linotype" w:cs="Palatino Linotype"/>
          <w:b/>
          <w:bCs/>
          <w:i/>
          <w:iCs/>
        </w:rPr>
        <w:t>VIII. Aprobar, modificar o revocar la clasificación de la información</w:t>
      </w:r>
      <w:r w:rsidRPr="00D134CE">
        <w:rPr>
          <w:rFonts w:ascii="Palatino Linotype" w:eastAsia="Palatino Linotype" w:hAnsi="Palatino Linotype" w:cs="Palatino Linotype"/>
          <w:i/>
          <w:iCs/>
        </w:rPr>
        <w:t>…”</w:t>
      </w:r>
    </w:p>
    <w:p w:rsidR="00144EDA" w:rsidRPr="00D134CE" w:rsidRDefault="00C81811" w:rsidP="004C1116">
      <w:pPr>
        <w:spacing w:line="360" w:lineRule="auto"/>
        <w:ind w:left="567" w:right="758"/>
        <w:jc w:val="both"/>
        <w:rPr>
          <w:rFonts w:ascii="Palatino Linotype" w:eastAsia="Palatino Linotype" w:hAnsi="Palatino Linotype" w:cs="Palatino Linotype"/>
          <w:i/>
          <w:iCs/>
        </w:rPr>
      </w:pPr>
      <w:r w:rsidRPr="00D134CE">
        <w:rPr>
          <w:rFonts w:ascii="Palatino Linotype" w:eastAsia="Palatino Linotype" w:hAnsi="Palatino Linotype" w:cs="Palatino Linotype"/>
          <w:i/>
          <w:iCs/>
        </w:rPr>
        <w:t>“</w:t>
      </w:r>
      <w:r w:rsidRPr="00D134CE">
        <w:rPr>
          <w:rFonts w:ascii="Palatino Linotype" w:eastAsia="Palatino Linotype" w:hAnsi="Palatino Linotype" w:cs="Palatino Linotype"/>
          <w:b/>
          <w:bCs/>
          <w:i/>
          <w:iCs/>
        </w:rPr>
        <w:t>Artículo 53.</w:t>
      </w:r>
      <w:r w:rsidRPr="00D134CE">
        <w:rPr>
          <w:rFonts w:ascii="Palatino Linotype" w:eastAsia="Palatino Linotype" w:hAnsi="Palatino Linotype" w:cs="Palatino Linotype"/>
          <w:i/>
          <w:iCs/>
        </w:rPr>
        <w:t xml:space="preserve"> Las </w:t>
      </w:r>
      <w:r w:rsidRPr="00D134CE">
        <w:rPr>
          <w:rFonts w:ascii="Palatino Linotype" w:eastAsia="Palatino Linotype" w:hAnsi="Palatino Linotype" w:cs="Palatino Linotype"/>
          <w:b/>
          <w:bCs/>
          <w:i/>
          <w:iCs/>
        </w:rPr>
        <w:t>Unidades de Transparencia</w:t>
      </w:r>
      <w:r w:rsidRPr="00D134CE">
        <w:rPr>
          <w:rFonts w:ascii="Palatino Linotype" w:eastAsia="Palatino Linotype" w:hAnsi="Palatino Linotype" w:cs="Palatino Linotype"/>
          <w:i/>
          <w:iCs/>
        </w:rPr>
        <w:t xml:space="preserve"> tendrán las siguientes </w:t>
      </w:r>
      <w:r w:rsidRPr="00D134CE">
        <w:rPr>
          <w:rFonts w:ascii="Palatino Linotype" w:eastAsia="Palatino Linotype" w:hAnsi="Palatino Linotype" w:cs="Palatino Linotype"/>
          <w:b/>
          <w:bCs/>
          <w:i/>
          <w:iCs/>
        </w:rPr>
        <w:t>funciones</w:t>
      </w:r>
      <w:r w:rsidRPr="00D134CE">
        <w:rPr>
          <w:rFonts w:ascii="Palatino Linotype" w:eastAsia="Palatino Linotype" w:hAnsi="Palatino Linotype" w:cs="Palatino Linotype"/>
          <w:i/>
          <w:iCs/>
        </w:rPr>
        <w:t>:</w:t>
      </w:r>
    </w:p>
    <w:p w:rsidR="00144EDA" w:rsidRPr="00D134CE" w:rsidRDefault="00C81811" w:rsidP="004C1116">
      <w:pPr>
        <w:spacing w:line="360" w:lineRule="auto"/>
        <w:ind w:left="567" w:right="758"/>
        <w:jc w:val="both"/>
        <w:rPr>
          <w:rFonts w:ascii="Palatino Linotype" w:eastAsia="Palatino Linotype" w:hAnsi="Palatino Linotype" w:cs="Palatino Linotype"/>
          <w:i/>
          <w:iCs/>
        </w:rPr>
      </w:pPr>
      <w:r w:rsidRPr="00D134CE">
        <w:rPr>
          <w:rFonts w:ascii="Palatino Linotype" w:eastAsia="Palatino Linotype" w:hAnsi="Palatino Linotype" w:cs="Palatino Linotype"/>
          <w:b/>
          <w:bCs/>
          <w:i/>
          <w:iCs/>
        </w:rPr>
        <w:t>X. Presentar ante el Comité, el proyecto de clasificación de información</w:t>
      </w:r>
      <w:r w:rsidRPr="00D134CE">
        <w:rPr>
          <w:rFonts w:ascii="Palatino Linotype" w:eastAsia="Palatino Linotype" w:hAnsi="Palatino Linotype" w:cs="Palatino Linotype"/>
          <w:i/>
          <w:iCs/>
        </w:rPr>
        <w:t xml:space="preserve">…” </w:t>
      </w:r>
    </w:p>
    <w:p w:rsidR="00144EDA" w:rsidRPr="00D134CE" w:rsidRDefault="00C81811" w:rsidP="004C1116">
      <w:pPr>
        <w:spacing w:line="360" w:lineRule="auto"/>
        <w:ind w:left="567" w:right="758"/>
        <w:jc w:val="both"/>
        <w:rPr>
          <w:rFonts w:ascii="Palatino Linotype" w:eastAsia="Palatino Linotype" w:hAnsi="Palatino Linotype" w:cs="Palatino Linotype"/>
          <w:i/>
          <w:iCs/>
        </w:rPr>
      </w:pPr>
      <w:r w:rsidRPr="00D134CE">
        <w:rPr>
          <w:rFonts w:ascii="Palatino Linotype" w:eastAsia="Palatino Linotype" w:hAnsi="Palatino Linotype" w:cs="Palatino Linotype"/>
          <w:b/>
          <w:bCs/>
          <w:i/>
          <w:iCs/>
        </w:rPr>
        <w:t>“Artículo 59.</w:t>
      </w:r>
      <w:r w:rsidRPr="00D134CE">
        <w:rPr>
          <w:rFonts w:ascii="Palatino Linotype" w:eastAsia="Palatino Linotype" w:hAnsi="Palatino Linotype" w:cs="Palatino Linotype"/>
          <w:i/>
          <w:iCs/>
        </w:rPr>
        <w:t xml:space="preserve"> Los </w:t>
      </w:r>
      <w:r w:rsidRPr="00D134CE">
        <w:rPr>
          <w:rFonts w:ascii="Palatino Linotype" w:eastAsia="Palatino Linotype" w:hAnsi="Palatino Linotype" w:cs="Palatino Linotype"/>
          <w:b/>
          <w:bCs/>
          <w:i/>
          <w:iCs/>
        </w:rPr>
        <w:t>servidores públicos habilitados</w:t>
      </w:r>
      <w:r w:rsidRPr="00D134CE">
        <w:rPr>
          <w:rFonts w:ascii="Palatino Linotype" w:eastAsia="Palatino Linotype" w:hAnsi="Palatino Linotype" w:cs="Palatino Linotype"/>
          <w:i/>
          <w:iCs/>
        </w:rPr>
        <w:t xml:space="preserve"> tendrán las </w:t>
      </w:r>
      <w:r w:rsidRPr="00D134CE">
        <w:rPr>
          <w:rFonts w:ascii="Palatino Linotype" w:eastAsia="Palatino Linotype" w:hAnsi="Palatino Linotype" w:cs="Palatino Linotype"/>
          <w:b/>
          <w:bCs/>
          <w:i/>
          <w:iCs/>
        </w:rPr>
        <w:t>funciones</w:t>
      </w:r>
      <w:r w:rsidRPr="00D134CE">
        <w:rPr>
          <w:rFonts w:ascii="Palatino Linotype" w:eastAsia="Palatino Linotype" w:hAnsi="Palatino Linotype" w:cs="Palatino Linotype"/>
          <w:i/>
          <w:iCs/>
        </w:rPr>
        <w:t xml:space="preserve"> siguientes:</w:t>
      </w:r>
    </w:p>
    <w:p w:rsidR="00144EDA" w:rsidRPr="00D134CE" w:rsidRDefault="00C81811" w:rsidP="004C1116">
      <w:pPr>
        <w:spacing w:line="360" w:lineRule="auto"/>
        <w:ind w:left="567" w:right="758"/>
        <w:jc w:val="both"/>
        <w:rPr>
          <w:rFonts w:ascii="Palatino Linotype" w:eastAsia="Palatino Linotype" w:hAnsi="Palatino Linotype" w:cs="Palatino Linotype"/>
          <w:i/>
          <w:iCs/>
        </w:rPr>
      </w:pPr>
      <w:r w:rsidRPr="00D134CE">
        <w:rPr>
          <w:rFonts w:ascii="Palatino Linotype" w:eastAsia="Palatino Linotype" w:hAnsi="Palatino Linotype" w:cs="Palatino Linotype"/>
          <w:b/>
          <w:bCs/>
          <w:i/>
          <w:iCs/>
        </w:rPr>
        <w:t>V. Integrar y presentar al responsable de la Unidad de Transparencia la propuesta de clasificación de información</w:t>
      </w:r>
      <w:r w:rsidRPr="00D134CE">
        <w:rPr>
          <w:rFonts w:ascii="Palatino Linotype" w:eastAsia="Palatino Linotype" w:hAnsi="Palatino Linotype" w:cs="Palatino Linotype"/>
          <w:i/>
          <w:iCs/>
        </w:rPr>
        <w:t>, la cual tendrá los fundamentos y argumentos en que se basa dicha propuesta…”</w:t>
      </w:r>
    </w:p>
    <w:p w:rsidR="00144EDA" w:rsidRPr="00D134CE" w:rsidRDefault="00144EDA" w:rsidP="004C1116">
      <w:pPr>
        <w:spacing w:line="360" w:lineRule="auto"/>
        <w:ind w:left="851" w:right="1043"/>
        <w:jc w:val="both"/>
        <w:rPr>
          <w:rFonts w:ascii="Palatino Linotype" w:eastAsia="Palatino Linotype" w:hAnsi="Palatino Linotype" w:cs="Palatino Linotype"/>
          <w:i/>
          <w:iCs/>
        </w:rPr>
      </w:pPr>
    </w:p>
    <w:p w:rsidR="00144EDA" w:rsidRPr="00D134CE" w:rsidRDefault="00C81811" w:rsidP="00D134CE">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134CE">
        <w:rPr>
          <w:rFonts w:ascii="Palatino Linotype" w:eastAsia="Palatino Linotype" w:hAnsi="Palatino Linotype" w:cs="Palatino Linotype"/>
          <w:color w:val="000000"/>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rsidR="00144EDA" w:rsidRPr="00D134CE" w:rsidRDefault="00144EDA" w:rsidP="004C1116">
      <w:pPr>
        <w:spacing w:line="360" w:lineRule="auto"/>
        <w:jc w:val="both"/>
        <w:rPr>
          <w:rFonts w:ascii="Palatino Linotype" w:eastAsia="Palatino Linotype" w:hAnsi="Palatino Linotype" w:cs="Palatino Linotype"/>
        </w:rPr>
      </w:pPr>
    </w:p>
    <w:p w:rsidR="00144EDA" w:rsidRPr="00D134CE" w:rsidRDefault="00C81811" w:rsidP="00D134CE">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134CE">
        <w:rPr>
          <w:rFonts w:ascii="Palatino Linotype" w:eastAsia="Palatino Linotype" w:hAnsi="Palatino Linotype" w:cs="Palatino Linotype"/>
          <w:color w:val="000000"/>
        </w:rPr>
        <w:t>Para lo cual, a su vez en el caso de información de carácter confidencial, se debe atender a lo que señala el artículo 149 de la Ley de Transparencia Local vigente, que se lee como sigue:</w:t>
      </w:r>
    </w:p>
    <w:p w:rsidR="00144EDA" w:rsidRPr="00D134CE" w:rsidRDefault="00C81811" w:rsidP="004C1116">
      <w:pPr>
        <w:spacing w:line="360" w:lineRule="auto"/>
        <w:ind w:left="709" w:right="1041"/>
        <w:jc w:val="both"/>
        <w:rPr>
          <w:rFonts w:ascii="Palatino Linotype" w:eastAsia="Palatino Linotype" w:hAnsi="Palatino Linotype" w:cs="Palatino Linotype"/>
          <w:i/>
          <w:iCs/>
        </w:rPr>
      </w:pPr>
      <w:r w:rsidRPr="00D134CE">
        <w:rPr>
          <w:rFonts w:ascii="Palatino Linotype" w:eastAsia="Palatino Linotype" w:hAnsi="Palatino Linotype" w:cs="Palatino Linotype"/>
          <w:i/>
          <w:iCs/>
        </w:rPr>
        <w:t>“</w:t>
      </w:r>
      <w:r w:rsidRPr="00D134CE">
        <w:rPr>
          <w:rFonts w:ascii="Palatino Linotype" w:eastAsia="Palatino Linotype" w:hAnsi="Palatino Linotype" w:cs="Palatino Linotype"/>
          <w:b/>
          <w:bCs/>
          <w:i/>
          <w:iCs/>
        </w:rPr>
        <w:t>Artículo 149.</w:t>
      </w:r>
      <w:r w:rsidRPr="00D134CE">
        <w:rPr>
          <w:rFonts w:ascii="Palatino Linotype" w:eastAsia="Palatino Linotype" w:hAnsi="Palatino Linotype" w:cs="Palatino Linotype"/>
          <w:i/>
          <w:iCs/>
        </w:rPr>
        <w:t xml:space="preserve"> El </w:t>
      </w:r>
      <w:r w:rsidRPr="00D134CE">
        <w:rPr>
          <w:rFonts w:ascii="Palatino Linotype" w:eastAsia="Palatino Linotype" w:hAnsi="Palatino Linotype" w:cs="Palatino Linotype"/>
          <w:b/>
          <w:bCs/>
          <w:i/>
          <w:iCs/>
        </w:rPr>
        <w:t>acuerdo que clasifique la información como confidencial</w:t>
      </w:r>
      <w:r w:rsidRPr="00D134CE">
        <w:rPr>
          <w:rFonts w:ascii="Palatino Linotype" w:eastAsia="Palatino Linotype" w:hAnsi="Palatino Linotype" w:cs="Palatino Linotype"/>
          <w:i/>
          <w:iCs/>
        </w:rPr>
        <w:t xml:space="preserve"> deberá contener un razonamiento lógico en el que demuestre que la información se encuentra en alguna o algunas de las hipótesis previstas en la presente Ley.”</w:t>
      </w:r>
    </w:p>
    <w:p w:rsidR="00144EDA" w:rsidRPr="00D134CE" w:rsidRDefault="00C81811" w:rsidP="00D134CE">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134CE">
        <w:rPr>
          <w:rFonts w:ascii="Palatino Linotype" w:eastAsia="Palatino Linotype" w:hAnsi="Palatino Linotype" w:cs="Palatino Linotype"/>
          <w:color w:val="000000"/>
        </w:rPr>
        <w:lastRenderedPageBreak/>
        <w:t>Es decir, el Sujeto Obligado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parte solicitante.</w:t>
      </w:r>
    </w:p>
    <w:p w:rsidR="00144EDA" w:rsidRPr="00D134CE" w:rsidRDefault="00144EDA" w:rsidP="004C1116">
      <w:pPr>
        <w:pBdr>
          <w:top w:val="nil"/>
          <w:left w:val="nil"/>
          <w:bottom w:val="nil"/>
          <w:right w:val="nil"/>
          <w:between w:val="nil"/>
        </w:pBdr>
        <w:tabs>
          <w:tab w:val="left" w:pos="284"/>
          <w:tab w:val="left" w:pos="426"/>
        </w:tabs>
        <w:spacing w:line="360" w:lineRule="auto"/>
        <w:ind w:right="49"/>
        <w:jc w:val="both"/>
        <w:rPr>
          <w:rFonts w:ascii="Palatino Linotype" w:eastAsia="Palatino Linotype" w:hAnsi="Palatino Linotype" w:cs="Palatino Linotype"/>
          <w:color w:val="000000"/>
        </w:rPr>
      </w:pPr>
    </w:p>
    <w:p w:rsidR="00144EDA" w:rsidRPr="00D134CE" w:rsidRDefault="00C81811" w:rsidP="00D134CE">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134CE">
        <w:rPr>
          <w:rFonts w:ascii="Palatino Linotype" w:eastAsia="Palatino Linotype" w:hAnsi="Palatino Linotype" w:cs="Palatino Linotype"/>
          <w:color w:val="000000"/>
        </w:rPr>
        <w:t>Por lo tanto, la entrega de documentos en su versión pública debe acompañarse necesariamente del Acuerdo del Comité de Transparencia que la sustente, en el que se expongan los fundamentos y razonamientos que llevaron al </w:t>
      </w:r>
      <w:r w:rsidRPr="00D134CE">
        <w:rPr>
          <w:rFonts w:ascii="Palatino Linotype" w:eastAsia="Palatino Linotype" w:hAnsi="Palatino Linotype" w:cs="Palatino Linotype"/>
          <w:b/>
          <w:bCs/>
          <w:color w:val="000000"/>
        </w:rPr>
        <w:t>SUJETO OBLIGADO</w:t>
      </w:r>
      <w:r w:rsidRPr="00D134CE">
        <w:rPr>
          <w:rFonts w:ascii="Palatino Linotype" w:eastAsia="Palatino Linotype" w:hAnsi="Palatino Linotype" w:cs="Palatino Linotype"/>
          <w:color w:val="000000"/>
        </w:rPr>
        <w:t>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 por lo que el acuerdo respectivo, deberá hacerse del conocimiento del </w:t>
      </w:r>
      <w:r w:rsidRPr="00D134CE">
        <w:rPr>
          <w:rFonts w:ascii="Palatino Linotype" w:eastAsia="Palatino Linotype" w:hAnsi="Palatino Linotype" w:cs="Palatino Linotype"/>
          <w:b/>
          <w:bCs/>
          <w:color w:val="000000"/>
        </w:rPr>
        <w:t>RECURRENTE.</w:t>
      </w:r>
    </w:p>
    <w:p w:rsidR="00144EDA" w:rsidRPr="00D134CE" w:rsidRDefault="00144EDA" w:rsidP="004C1116">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144EDA" w:rsidRPr="00D134CE" w:rsidRDefault="00C81811" w:rsidP="00D134CE">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134CE">
        <w:rPr>
          <w:rFonts w:ascii="Palatino Linotype" w:eastAsia="Palatino Linotype" w:hAnsi="Palatino Linotype" w:cs="Palatino Linotype"/>
          <w:color w:val="000000"/>
        </w:rPr>
        <w:t xml:space="preserve">De este modo, como ha sido señalado en la presente </w:t>
      </w:r>
      <w:r w:rsidR="00CC0D6A" w:rsidRPr="00D134CE">
        <w:rPr>
          <w:rFonts w:ascii="Palatino Linotype" w:eastAsia="Palatino Linotype" w:hAnsi="Palatino Linotype" w:cs="Palatino Linotype"/>
          <w:color w:val="000000"/>
        </w:rPr>
        <w:t>R</w:t>
      </w:r>
      <w:r w:rsidRPr="00D134CE">
        <w:rPr>
          <w:rFonts w:ascii="Palatino Linotype" w:eastAsia="Palatino Linotype" w:hAnsi="Palatino Linotype" w:cs="Palatino Linotype"/>
          <w:color w:val="000000"/>
        </w:rPr>
        <w:t xml:space="preserve">esolución, en armonía entre los principios constitucionales de máxima publicidad y de protección de datos personales, la Ley de Transparencia y Acceso a la Información Pública del Estado de México y Municipios permite </w:t>
      </w:r>
      <w:r w:rsidRPr="00D134CE">
        <w:rPr>
          <w:rFonts w:ascii="Palatino Linotype" w:eastAsia="Palatino Linotype" w:hAnsi="Palatino Linotype" w:cs="Palatino Linotype"/>
          <w:color w:val="000000"/>
        </w:rPr>
        <w:lastRenderedPageBreak/>
        <w:t xml:space="preserve">la elaboración de versiones públicas en las que se suprima aquella información relacionada con la vida privada de los servidores públicos. </w:t>
      </w:r>
    </w:p>
    <w:p w:rsidR="00144EDA" w:rsidRPr="00D134CE" w:rsidRDefault="00144EDA" w:rsidP="004C1116">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144EDA" w:rsidRPr="00D134CE" w:rsidRDefault="00C81811" w:rsidP="00D134CE">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134CE">
        <w:rPr>
          <w:rFonts w:ascii="Palatino Linotype" w:eastAsia="Palatino Linotype" w:hAnsi="Palatino Linotype" w:cs="Palatino Linotype"/>
          <w:color w:val="000000"/>
        </w:rPr>
        <w:t>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rsidR="00144EDA" w:rsidRPr="00D134CE" w:rsidRDefault="00144EDA" w:rsidP="004C1116">
      <w:pPr>
        <w:pBdr>
          <w:top w:val="nil"/>
          <w:left w:val="nil"/>
          <w:bottom w:val="nil"/>
          <w:right w:val="nil"/>
          <w:between w:val="nil"/>
        </w:pBdr>
        <w:spacing w:line="360" w:lineRule="auto"/>
        <w:ind w:left="720"/>
        <w:jc w:val="both"/>
        <w:rPr>
          <w:rFonts w:ascii="Palatino Linotype" w:eastAsia="Palatino Linotype" w:hAnsi="Palatino Linotype" w:cs="Palatino Linotype"/>
        </w:rPr>
      </w:pPr>
    </w:p>
    <w:p w:rsidR="00144EDA" w:rsidRPr="00D134CE" w:rsidRDefault="00C81811" w:rsidP="00D134CE">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134CE">
        <w:rPr>
          <w:rFonts w:ascii="Palatino Linotype" w:eastAsia="Palatino Linotype" w:hAnsi="Palatino Linotype" w:cs="Palatino Linotype"/>
          <w:color w:val="000000"/>
        </w:rPr>
        <w:t>Entorno a lo que aquí nos interesa, los Lineamientos Quincuagésimo sexto, Quincuagésimo séptimo y Quincuagésimo octavo, establecen lo siguiente:</w:t>
      </w:r>
    </w:p>
    <w:p w:rsidR="00144EDA" w:rsidRPr="00D134CE" w:rsidRDefault="00C81811" w:rsidP="004C1116">
      <w:pPr>
        <w:spacing w:line="360" w:lineRule="auto"/>
        <w:ind w:left="567" w:right="902"/>
        <w:jc w:val="both"/>
        <w:rPr>
          <w:rFonts w:ascii="Palatino Linotype" w:eastAsia="Palatino Linotype" w:hAnsi="Palatino Linotype" w:cs="Palatino Linotype"/>
          <w:i/>
          <w:iCs/>
        </w:rPr>
      </w:pPr>
      <w:r w:rsidRPr="00D134CE">
        <w:rPr>
          <w:rFonts w:ascii="Palatino Linotype" w:eastAsia="Palatino Linotype" w:hAnsi="Palatino Linotype" w:cs="Palatino Linotype"/>
          <w:i/>
          <w:iCs/>
        </w:rPr>
        <w:t>“Quincuagésimo sexto</w:t>
      </w:r>
      <w:r w:rsidRPr="00D134CE">
        <w:rPr>
          <w:rFonts w:ascii="Palatino Linotype" w:eastAsia="Palatino Linotype" w:hAnsi="Palatino Linotype" w:cs="Palatino Linotype"/>
          <w:b/>
          <w:bCs/>
          <w:i/>
          <w:iCs/>
        </w:rPr>
        <w:t>.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rsidR="00144EDA" w:rsidRPr="00D134CE" w:rsidRDefault="00C81811" w:rsidP="004C1116">
      <w:pPr>
        <w:spacing w:line="360" w:lineRule="auto"/>
        <w:ind w:left="567" w:right="902"/>
        <w:jc w:val="both"/>
        <w:rPr>
          <w:rFonts w:ascii="Palatino Linotype" w:eastAsia="Palatino Linotype" w:hAnsi="Palatino Linotype" w:cs="Palatino Linotype"/>
          <w:i/>
          <w:iCs/>
        </w:rPr>
      </w:pPr>
      <w:r w:rsidRPr="00D134CE">
        <w:rPr>
          <w:rFonts w:ascii="Palatino Linotype" w:eastAsia="Palatino Linotype" w:hAnsi="Palatino Linotype" w:cs="Palatino Linotype"/>
          <w:i/>
          <w:iCs/>
        </w:rPr>
        <w:t xml:space="preserve">Quincuagésimo séptimo. Se considera, en principio, como información pública y no podrá omitirse de las versiones públicas la siguiente: </w:t>
      </w:r>
    </w:p>
    <w:p w:rsidR="00144EDA" w:rsidRPr="00D134CE" w:rsidRDefault="00C81811" w:rsidP="004C1116">
      <w:pPr>
        <w:spacing w:line="360" w:lineRule="auto"/>
        <w:ind w:left="567" w:right="902"/>
        <w:jc w:val="both"/>
        <w:rPr>
          <w:rFonts w:ascii="Palatino Linotype" w:eastAsia="Palatino Linotype" w:hAnsi="Palatino Linotype" w:cs="Palatino Linotype"/>
          <w:i/>
          <w:iCs/>
        </w:rPr>
      </w:pPr>
      <w:r w:rsidRPr="00D134CE">
        <w:rPr>
          <w:rFonts w:ascii="Palatino Linotype" w:eastAsia="Palatino Linotype" w:hAnsi="Palatino Linotype" w:cs="Palatino Linotype"/>
          <w:i/>
          <w:iCs/>
        </w:rPr>
        <w:t xml:space="preserve">I. La relativa a las Obligaciones de Transparencia que contempla el Título V de la Ley General y las demás disposiciones legales aplicables; </w:t>
      </w:r>
    </w:p>
    <w:p w:rsidR="00144EDA" w:rsidRPr="00D134CE" w:rsidRDefault="00C81811" w:rsidP="004C1116">
      <w:pPr>
        <w:spacing w:line="360" w:lineRule="auto"/>
        <w:ind w:left="567" w:right="902"/>
        <w:jc w:val="both"/>
        <w:rPr>
          <w:rFonts w:ascii="Palatino Linotype" w:eastAsia="Palatino Linotype" w:hAnsi="Palatino Linotype" w:cs="Palatino Linotype"/>
          <w:i/>
          <w:iCs/>
        </w:rPr>
      </w:pPr>
      <w:r w:rsidRPr="00D134CE">
        <w:rPr>
          <w:rFonts w:ascii="Palatino Linotype" w:eastAsia="Palatino Linotype" w:hAnsi="Palatino Linotype" w:cs="Palatino Linotype"/>
          <w:i/>
          <w:iCs/>
        </w:rPr>
        <w:lastRenderedPageBreak/>
        <w:t xml:space="preserve">II. El nombre de los servidores públicos en los documentos, y sus firmas autógrafas, cuando sean utilizados en el ejercicio de las facultades conferidas para el desempeño del servicio público, y </w:t>
      </w:r>
    </w:p>
    <w:p w:rsidR="00144EDA" w:rsidRPr="00D134CE" w:rsidRDefault="00C81811" w:rsidP="004C1116">
      <w:pPr>
        <w:spacing w:line="360" w:lineRule="auto"/>
        <w:ind w:left="567" w:right="902"/>
        <w:jc w:val="both"/>
        <w:rPr>
          <w:rFonts w:ascii="Palatino Linotype" w:eastAsia="Palatino Linotype" w:hAnsi="Palatino Linotype" w:cs="Palatino Linotype"/>
          <w:i/>
          <w:iCs/>
        </w:rPr>
      </w:pPr>
      <w:r w:rsidRPr="00D134CE">
        <w:rPr>
          <w:rFonts w:ascii="Palatino Linotype" w:eastAsia="Palatino Linotype" w:hAnsi="Palatino Linotype" w:cs="Palatino Linotype"/>
          <w:i/>
          <w:iCs/>
        </w:rPr>
        <w:t>III. La información que documente decisiones y los actos de autoridad concluidos de los sujetos obligados, así como el ejercicio de las facultades o actividades de los servidores públicos, de manera que se pueda valorar el desempeño de los mismos.</w:t>
      </w:r>
    </w:p>
    <w:p w:rsidR="00144EDA" w:rsidRPr="00D134CE" w:rsidRDefault="00C81811" w:rsidP="004C1116">
      <w:pPr>
        <w:spacing w:line="360" w:lineRule="auto"/>
        <w:ind w:left="567" w:right="902"/>
        <w:jc w:val="both"/>
        <w:rPr>
          <w:rFonts w:ascii="Palatino Linotype" w:eastAsia="Palatino Linotype" w:hAnsi="Palatino Linotype" w:cs="Palatino Linotype"/>
          <w:i/>
          <w:iCs/>
        </w:rPr>
      </w:pPr>
      <w:r w:rsidRPr="00D134CE">
        <w:rPr>
          <w:rFonts w:ascii="Palatino Linotype" w:eastAsia="Palatino Linotype" w:hAnsi="Palatino Linotype" w:cs="Palatino Linotype"/>
          <w:i/>
          <w:iCs/>
        </w:rPr>
        <w:t xml:space="preserve">Lo anterior, siempre y cuando no se acredite alguna causal de clasificación, prevista en las leyes o en los tratados internaciones suscritos por el Estado mexicano. </w:t>
      </w:r>
    </w:p>
    <w:p w:rsidR="00144EDA" w:rsidRPr="00D134CE" w:rsidRDefault="00C81811" w:rsidP="004C1116">
      <w:pPr>
        <w:spacing w:line="360" w:lineRule="auto"/>
        <w:ind w:left="567" w:right="902"/>
        <w:jc w:val="both"/>
        <w:rPr>
          <w:rFonts w:ascii="Palatino Linotype" w:eastAsia="Palatino Linotype" w:hAnsi="Palatino Linotype" w:cs="Palatino Linotype"/>
          <w:i/>
          <w:iCs/>
        </w:rPr>
      </w:pPr>
      <w:r w:rsidRPr="00D134CE">
        <w:rPr>
          <w:rFonts w:ascii="Palatino Linotype" w:eastAsia="Palatino Linotype" w:hAnsi="Palatino Linotype" w:cs="Palatino Linotype"/>
          <w:i/>
          <w:iCs/>
        </w:rPr>
        <w:t>Quincuagésimo octavo. Los sujetos obligados garantizarán que los sistemas o medios empleados para eliminar la información en las versiones públicas no permitan la recuperación o visualización de la misma.”</w:t>
      </w:r>
    </w:p>
    <w:p w:rsidR="00144EDA" w:rsidRPr="00D134CE" w:rsidRDefault="00144EDA" w:rsidP="004C1116">
      <w:pPr>
        <w:spacing w:line="360" w:lineRule="auto"/>
        <w:ind w:left="851" w:right="902"/>
        <w:jc w:val="both"/>
        <w:rPr>
          <w:rFonts w:ascii="Palatino Linotype" w:eastAsia="Palatino Linotype" w:hAnsi="Palatino Linotype" w:cs="Palatino Linotype"/>
          <w:i/>
          <w:iCs/>
        </w:rPr>
      </w:pPr>
    </w:p>
    <w:p w:rsidR="00144EDA" w:rsidRPr="00D134CE" w:rsidRDefault="00C81811" w:rsidP="00D134CE">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134CE">
        <w:rPr>
          <w:rFonts w:ascii="Palatino Linotype" w:eastAsia="Palatino Linotype" w:hAnsi="Palatino Linotype" w:cs="Palatino Linotype"/>
          <w:color w:val="000000"/>
        </w:rPr>
        <w:t xml:space="preserve">Por lo tanto, </w:t>
      </w:r>
      <w:r w:rsidRPr="00D134CE">
        <w:rPr>
          <w:rFonts w:ascii="Palatino Linotype" w:eastAsia="Palatino Linotype" w:hAnsi="Palatino Linotype" w:cs="Palatino Linotype"/>
          <w:b/>
          <w:bCs/>
          <w:color w:val="000000"/>
        </w:rPr>
        <w:t xml:space="preserve">la entrega de documentos en su versión pública debe </w:t>
      </w:r>
      <w:r w:rsidRPr="00D134CE">
        <w:rPr>
          <w:rFonts w:ascii="Palatino Linotype" w:eastAsia="Palatino Linotype" w:hAnsi="Palatino Linotype" w:cs="Palatino Linotype"/>
          <w:color w:val="000000"/>
        </w:rPr>
        <w:t>acompañarse</w:t>
      </w:r>
      <w:r w:rsidRPr="00D134CE">
        <w:rPr>
          <w:rFonts w:ascii="Palatino Linotype" w:eastAsia="Palatino Linotype" w:hAnsi="Palatino Linotype" w:cs="Palatino Linotype"/>
          <w:b/>
          <w:bCs/>
          <w:color w:val="000000"/>
        </w:rPr>
        <w:t xml:space="preserve"> </w:t>
      </w:r>
      <w:r w:rsidRPr="00D134CE">
        <w:rPr>
          <w:rFonts w:ascii="Palatino Linotype" w:eastAsia="Palatino Linotype" w:hAnsi="Palatino Linotype" w:cs="Palatino Linotype"/>
          <w:color w:val="000000"/>
        </w:rPr>
        <w:t>necesariamente</w:t>
      </w:r>
      <w:r w:rsidRPr="00D134CE">
        <w:rPr>
          <w:rFonts w:ascii="Palatino Linotype" w:eastAsia="Palatino Linotype" w:hAnsi="Palatino Linotype" w:cs="Palatino Linotype"/>
          <w:b/>
          <w:bCs/>
          <w:color w:val="000000"/>
        </w:rPr>
        <w:t xml:space="preserve"> del Acuerdo del Comité de Transparencia que la sustente el cual debe estar debidamente fundado y motivado, en el que se expongan los fundamentos y razonamientos que llevaron al Sujeto Obligado a testar, suprimir o eliminar datos de dicho soporte documental</w:t>
      </w:r>
      <w:r w:rsidRPr="00D134CE">
        <w:rPr>
          <w:rFonts w:ascii="Palatino Linotype" w:eastAsia="Palatino Linotype" w:hAnsi="Palatino Linotype" w:cs="Palatino Linotype"/>
          <w:color w:val="000000"/>
        </w:rPr>
        <w:t>,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rsidR="00144EDA" w:rsidRPr="00D134CE" w:rsidRDefault="00144EDA" w:rsidP="004C1116">
      <w:pPr>
        <w:pBdr>
          <w:top w:val="nil"/>
          <w:left w:val="nil"/>
          <w:bottom w:val="nil"/>
          <w:right w:val="nil"/>
          <w:between w:val="nil"/>
        </w:pBdr>
        <w:tabs>
          <w:tab w:val="left" w:pos="284"/>
          <w:tab w:val="left" w:pos="426"/>
        </w:tabs>
        <w:spacing w:line="360" w:lineRule="auto"/>
        <w:ind w:right="49"/>
        <w:jc w:val="both"/>
        <w:rPr>
          <w:rFonts w:ascii="Palatino Linotype" w:eastAsia="Palatino Linotype" w:hAnsi="Palatino Linotype" w:cs="Palatino Linotype"/>
          <w:color w:val="000000"/>
        </w:rPr>
      </w:pPr>
    </w:p>
    <w:p w:rsidR="00144EDA" w:rsidRPr="00D134CE" w:rsidRDefault="00C81811" w:rsidP="00D134CE">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134CE">
        <w:rPr>
          <w:rFonts w:ascii="Palatino Linotype" w:eastAsia="Palatino Linotype" w:hAnsi="Palatino Linotype" w:cs="Palatino Linotype"/>
          <w:color w:val="000000"/>
        </w:rPr>
        <w:t>Los sujetos obligados</w:t>
      </w:r>
      <w:r w:rsidRPr="00D134CE">
        <w:rPr>
          <w:rFonts w:ascii="Palatino Linotype" w:eastAsia="Palatino Linotype" w:hAnsi="Palatino Linotype" w:cs="Palatino Linotype"/>
          <w:b/>
          <w:bCs/>
          <w:color w:val="000000"/>
        </w:rPr>
        <w:t xml:space="preserve"> </w:t>
      </w:r>
      <w:r w:rsidRPr="00D134CE">
        <w:rPr>
          <w:rFonts w:ascii="Palatino Linotype" w:eastAsia="Palatino Linotype" w:hAnsi="Palatino Linotype" w:cs="Palatino Linotype"/>
          <w:color w:val="000000"/>
        </w:rPr>
        <w:t xml:space="preserve">serán responsables de los datos personales en su posesión y que, en caso de localizarse datos concernientes a terceros, éstos no podrán difundir, distribuir o </w:t>
      </w:r>
      <w:r w:rsidRPr="00D134CE">
        <w:rPr>
          <w:rFonts w:ascii="Palatino Linotype" w:eastAsia="Palatino Linotype" w:hAnsi="Palatino Linotype" w:cs="Palatino Linotype"/>
          <w:color w:val="000000"/>
        </w:rPr>
        <w:lastRenderedPageBreak/>
        <w:t>comercializar los datos personales.  Cabe destacar que, para la realización de la clasificación de la información, se deben seguir una serie de pasos y procedimientos, por lo que es menester reiterar los mismos:</w:t>
      </w:r>
    </w:p>
    <w:tbl>
      <w:tblPr>
        <w:tblStyle w:val="a4"/>
        <w:tblW w:w="1006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371"/>
      </w:tblGrid>
      <w:tr w:rsidR="00144EDA" w:rsidRPr="00D134CE" w:rsidTr="00D134CE">
        <w:tc>
          <w:tcPr>
            <w:tcW w:w="2689" w:type="dxa"/>
          </w:tcPr>
          <w:p w:rsidR="00144EDA" w:rsidRPr="00D134CE" w:rsidRDefault="00C81811" w:rsidP="004C1116">
            <w:pPr>
              <w:tabs>
                <w:tab w:val="left" w:pos="284"/>
              </w:tabs>
              <w:rPr>
                <w:rFonts w:ascii="Palatino Linotype" w:eastAsia="Palatino Linotype" w:hAnsi="Palatino Linotype" w:cs="Palatino Linotype"/>
              </w:rPr>
            </w:pPr>
            <w:r w:rsidRPr="00D134CE">
              <w:rPr>
                <w:rFonts w:ascii="Palatino Linotype" w:eastAsia="Palatino Linotype" w:hAnsi="Palatino Linotype" w:cs="Palatino Linotype"/>
              </w:rPr>
              <w:t>a) Requisitos previos.</w:t>
            </w:r>
          </w:p>
        </w:tc>
        <w:tc>
          <w:tcPr>
            <w:tcW w:w="7371" w:type="dxa"/>
          </w:tcPr>
          <w:p w:rsidR="00144EDA" w:rsidRPr="00D134CE" w:rsidRDefault="00C81811" w:rsidP="004C1116">
            <w:pPr>
              <w:tabs>
                <w:tab w:val="left" w:pos="284"/>
              </w:tabs>
              <w:ind w:right="49"/>
              <w:jc w:val="both"/>
              <w:rPr>
                <w:rFonts w:ascii="Palatino Linotype" w:eastAsia="Palatino Linotype" w:hAnsi="Palatino Linotype" w:cs="Palatino Linotype"/>
                <w:color w:val="000000"/>
              </w:rPr>
            </w:pPr>
            <w:r w:rsidRPr="00D134CE">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144EDA" w:rsidRPr="00D134CE" w:rsidRDefault="00C81811" w:rsidP="004C1116">
            <w:pPr>
              <w:tabs>
                <w:tab w:val="left" w:pos="284"/>
              </w:tabs>
              <w:ind w:right="49"/>
              <w:jc w:val="both"/>
              <w:rPr>
                <w:rFonts w:ascii="Palatino Linotype" w:eastAsia="Palatino Linotype" w:hAnsi="Palatino Linotype" w:cs="Palatino Linotype"/>
                <w:color w:val="000000"/>
              </w:rPr>
            </w:pPr>
            <w:r w:rsidRPr="00D134CE">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144EDA" w:rsidRPr="00D134CE" w:rsidRDefault="00C81811" w:rsidP="004C1116">
            <w:pPr>
              <w:tabs>
                <w:tab w:val="left" w:pos="284"/>
              </w:tabs>
              <w:ind w:right="49"/>
              <w:jc w:val="both"/>
              <w:rPr>
                <w:rFonts w:ascii="Palatino Linotype" w:eastAsia="Palatino Linotype" w:hAnsi="Palatino Linotype" w:cs="Palatino Linotype"/>
                <w:color w:val="000000"/>
              </w:rPr>
            </w:pPr>
            <w:r w:rsidRPr="00D134CE">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144EDA" w:rsidRPr="00D134CE" w:rsidRDefault="00C81811" w:rsidP="004C1116">
            <w:pPr>
              <w:tabs>
                <w:tab w:val="left" w:pos="284"/>
              </w:tabs>
              <w:jc w:val="both"/>
              <w:rPr>
                <w:rFonts w:ascii="Palatino Linotype" w:eastAsia="Palatino Linotype" w:hAnsi="Palatino Linotype" w:cs="Palatino Linotype"/>
                <w:color w:val="000000"/>
              </w:rPr>
            </w:pPr>
            <w:r w:rsidRPr="00D134CE">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D134CE">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D134CE">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p w:rsidR="00144EDA" w:rsidRPr="00D134CE" w:rsidRDefault="00144EDA" w:rsidP="004C1116">
            <w:pPr>
              <w:tabs>
                <w:tab w:val="left" w:pos="284"/>
              </w:tabs>
              <w:jc w:val="both"/>
              <w:rPr>
                <w:rFonts w:ascii="Palatino Linotype" w:eastAsia="Palatino Linotype" w:hAnsi="Palatino Linotype" w:cs="Palatino Linotype"/>
              </w:rPr>
            </w:pPr>
          </w:p>
        </w:tc>
      </w:tr>
      <w:tr w:rsidR="00144EDA" w:rsidRPr="00D134CE" w:rsidTr="00D134CE">
        <w:tc>
          <w:tcPr>
            <w:tcW w:w="2689" w:type="dxa"/>
          </w:tcPr>
          <w:p w:rsidR="00144EDA" w:rsidRPr="00D134CE" w:rsidRDefault="00C81811" w:rsidP="004C1116">
            <w:pPr>
              <w:tabs>
                <w:tab w:val="left" w:pos="284"/>
              </w:tabs>
              <w:rPr>
                <w:rFonts w:ascii="Palatino Linotype" w:eastAsia="Palatino Linotype" w:hAnsi="Palatino Linotype" w:cs="Palatino Linotype"/>
              </w:rPr>
            </w:pPr>
            <w:r w:rsidRPr="00D134CE">
              <w:rPr>
                <w:rFonts w:ascii="Palatino Linotype" w:eastAsia="Palatino Linotype" w:hAnsi="Palatino Linotype" w:cs="Palatino Linotype"/>
              </w:rPr>
              <w:t>b) Supuestos de clasificación.</w:t>
            </w:r>
          </w:p>
        </w:tc>
        <w:tc>
          <w:tcPr>
            <w:tcW w:w="7371" w:type="dxa"/>
          </w:tcPr>
          <w:p w:rsidR="00144EDA" w:rsidRPr="00D134CE" w:rsidRDefault="00C81811" w:rsidP="004C1116">
            <w:pPr>
              <w:tabs>
                <w:tab w:val="left" w:pos="284"/>
              </w:tabs>
              <w:ind w:right="49"/>
              <w:jc w:val="both"/>
              <w:rPr>
                <w:rFonts w:ascii="Palatino Linotype" w:eastAsia="Palatino Linotype" w:hAnsi="Palatino Linotype" w:cs="Palatino Linotype"/>
                <w:color w:val="000000"/>
              </w:rPr>
            </w:pPr>
            <w:r w:rsidRPr="00D134CE">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144EDA" w:rsidRPr="00D134CE" w:rsidRDefault="00C81811" w:rsidP="004C1116">
            <w:pPr>
              <w:tabs>
                <w:tab w:val="left" w:pos="284"/>
              </w:tabs>
              <w:ind w:right="49"/>
              <w:jc w:val="both"/>
              <w:rPr>
                <w:rFonts w:ascii="Palatino Linotype" w:eastAsia="Palatino Linotype" w:hAnsi="Palatino Linotype" w:cs="Palatino Linotype"/>
                <w:color w:val="000000"/>
              </w:rPr>
            </w:pPr>
            <w:r w:rsidRPr="00D134CE">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144EDA" w:rsidRPr="00D134CE" w:rsidRDefault="00C81811" w:rsidP="004C1116">
            <w:pPr>
              <w:tabs>
                <w:tab w:val="left" w:pos="284"/>
              </w:tabs>
              <w:jc w:val="both"/>
              <w:rPr>
                <w:rFonts w:ascii="Palatino Linotype" w:eastAsia="Palatino Linotype" w:hAnsi="Palatino Linotype" w:cs="Palatino Linotype"/>
                <w:color w:val="000000"/>
              </w:rPr>
            </w:pPr>
            <w:r w:rsidRPr="00D134CE">
              <w:rPr>
                <w:rFonts w:ascii="Palatino Linotype" w:eastAsia="Palatino Linotype" w:hAnsi="Palatino Linotype" w:cs="Palatino Linotype"/>
                <w:color w:val="000000"/>
              </w:rPr>
              <w:lastRenderedPageBreak/>
              <w:t xml:space="preserve">El </w:t>
            </w:r>
            <w:r w:rsidRPr="00D134CE">
              <w:rPr>
                <w:rFonts w:ascii="Palatino Linotype" w:eastAsia="Palatino Linotype" w:hAnsi="Palatino Linotype" w:cs="Palatino Linotype"/>
                <w:b/>
                <w:bCs/>
                <w:color w:val="000000"/>
              </w:rPr>
              <w:t>Sujeto Obligado</w:t>
            </w:r>
            <w:r w:rsidRPr="00D134CE">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p w:rsidR="00144EDA" w:rsidRPr="00D134CE" w:rsidRDefault="00144EDA" w:rsidP="004C1116">
            <w:pPr>
              <w:tabs>
                <w:tab w:val="left" w:pos="284"/>
              </w:tabs>
              <w:jc w:val="both"/>
              <w:rPr>
                <w:rFonts w:ascii="Palatino Linotype" w:eastAsia="Palatino Linotype" w:hAnsi="Palatino Linotype" w:cs="Palatino Linotype"/>
              </w:rPr>
            </w:pPr>
          </w:p>
        </w:tc>
      </w:tr>
      <w:tr w:rsidR="00144EDA" w:rsidRPr="00D134CE" w:rsidTr="00D134CE">
        <w:tc>
          <w:tcPr>
            <w:tcW w:w="2689" w:type="dxa"/>
          </w:tcPr>
          <w:p w:rsidR="00144EDA" w:rsidRPr="00D134CE" w:rsidRDefault="00C81811" w:rsidP="004C1116">
            <w:pPr>
              <w:tabs>
                <w:tab w:val="left" w:pos="284"/>
              </w:tabs>
              <w:rPr>
                <w:rFonts w:ascii="Palatino Linotype" w:eastAsia="Palatino Linotype" w:hAnsi="Palatino Linotype" w:cs="Palatino Linotype"/>
              </w:rPr>
            </w:pPr>
            <w:r w:rsidRPr="00D134CE">
              <w:rPr>
                <w:rFonts w:ascii="Palatino Linotype" w:eastAsia="Palatino Linotype" w:hAnsi="Palatino Linotype" w:cs="Palatino Linotype"/>
              </w:rPr>
              <w:lastRenderedPageBreak/>
              <w:t>c) Formalidades para emitir el acuerdo de clasificación.</w:t>
            </w:r>
          </w:p>
        </w:tc>
        <w:tc>
          <w:tcPr>
            <w:tcW w:w="7371" w:type="dxa"/>
          </w:tcPr>
          <w:p w:rsidR="00144EDA" w:rsidRPr="00D134CE" w:rsidRDefault="00C81811" w:rsidP="004C1116">
            <w:pPr>
              <w:tabs>
                <w:tab w:val="left" w:pos="284"/>
              </w:tabs>
              <w:ind w:right="49"/>
              <w:jc w:val="both"/>
              <w:rPr>
                <w:rFonts w:ascii="Palatino Linotype" w:eastAsia="Palatino Linotype" w:hAnsi="Palatino Linotype" w:cs="Palatino Linotype"/>
                <w:color w:val="000000"/>
              </w:rPr>
            </w:pPr>
            <w:r w:rsidRPr="00D134CE">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144EDA" w:rsidRPr="00D134CE" w:rsidRDefault="00C81811" w:rsidP="004C1116">
            <w:pPr>
              <w:tabs>
                <w:tab w:val="left" w:pos="284"/>
              </w:tabs>
              <w:ind w:right="49"/>
              <w:jc w:val="both"/>
              <w:rPr>
                <w:rFonts w:ascii="Palatino Linotype" w:eastAsia="Palatino Linotype" w:hAnsi="Palatino Linotype" w:cs="Palatino Linotype"/>
                <w:color w:val="000000"/>
              </w:rPr>
            </w:pPr>
            <w:r w:rsidRPr="00D134CE">
              <w:rPr>
                <w:rFonts w:ascii="Palatino Linotype" w:eastAsia="Palatino Linotype" w:hAnsi="Palatino Linotype" w:cs="Palatino Linotype"/>
                <w:color w:val="000000"/>
              </w:rPr>
              <w:t xml:space="preserve">Es necesario que </w:t>
            </w:r>
            <w:r w:rsidRPr="00D134CE">
              <w:rPr>
                <w:rFonts w:ascii="Palatino Linotype" w:eastAsia="Palatino Linotype" w:hAnsi="Palatino Linotype" w:cs="Palatino Linotype"/>
                <w:b/>
                <w:bCs/>
                <w:color w:val="000000"/>
                <w:u w:val="single"/>
              </w:rPr>
              <w:t>el acto reúna con los requisitos elementales</w:t>
            </w:r>
            <w:r w:rsidRPr="00D134CE">
              <w:rPr>
                <w:rFonts w:ascii="Palatino Linotype" w:eastAsia="Palatino Linotype" w:hAnsi="Palatino Linotype" w:cs="Palatino Linotype"/>
                <w:color w:val="000000"/>
              </w:rPr>
              <w:t>, entre ellos, que la autoridad que va a emitir el acto de autoridad sea la legalmente facultada para ello.</w:t>
            </w:r>
          </w:p>
          <w:p w:rsidR="00144EDA" w:rsidRPr="00D134CE" w:rsidRDefault="00C81811" w:rsidP="004C1116">
            <w:pPr>
              <w:tabs>
                <w:tab w:val="left" w:pos="284"/>
              </w:tabs>
              <w:jc w:val="both"/>
              <w:rPr>
                <w:rFonts w:ascii="Palatino Linotype" w:eastAsia="Palatino Linotype" w:hAnsi="Palatino Linotype" w:cs="Palatino Linotype"/>
                <w:color w:val="000000"/>
              </w:rPr>
            </w:pPr>
            <w:r w:rsidRPr="00D134CE">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rsidR="00144EDA" w:rsidRPr="00D134CE" w:rsidRDefault="00144EDA" w:rsidP="004C1116">
            <w:pPr>
              <w:tabs>
                <w:tab w:val="left" w:pos="284"/>
              </w:tabs>
              <w:jc w:val="both"/>
              <w:rPr>
                <w:rFonts w:ascii="Palatino Linotype" w:eastAsia="Palatino Linotype" w:hAnsi="Palatino Linotype" w:cs="Palatino Linotype"/>
              </w:rPr>
            </w:pPr>
          </w:p>
        </w:tc>
      </w:tr>
      <w:tr w:rsidR="00144EDA" w:rsidRPr="00D134CE" w:rsidTr="00D134CE">
        <w:tc>
          <w:tcPr>
            <w:tcW w:w="2689" w:type="dxa"/>
          </w:tcPr>
          <w:p w:rsidR="00144EDA" w:rsidRPr="00D134CE" w:rsidRDefault="00144EDA" w:rsidP="004C1116">
            <w:pPr>
              <w:tabs>
                <w:tab w:val="left" w:pos="284"/>
              </w:tabs>
              <w:rPr>
                <w:rFonts w:ascii="Palatino Linotype" w:eastAsia="Palatino Linotype" w:hAnsi="Palatino Linotype" w:cs="Palatino Linotype"/>
              </w:rPr>
            </w:pPr>
          </w:p>
          <w:p w:rsidR="00144EDA" w:rsidRPr="00D134CE" w:rsidRDefault="00C81811" w:rsidP="004C1116">
            <w:pPr>
              <w:tabs>
                <w:tab w:val="left" w:pos="284"/>
              </w:tabs>
              <w:jc w:val="both"/>
              <w:rPr>
                <w:rFonts w:ascii="Palatino Linotype" w:eastAsia="Palatino Linotype" w:hAnsi="Palatino Linotype" w:cs="Palatino Linotype"/>
              </w:rPr>
            </w:pPr>
            <w:r w:rsidRPr="00D134CE">
              <w:rPr>
                <w:rFonts w:ascii="Palatino Linotype" w:eastAsia="Palatino Linotype" w:hAnsi="Palatino Linotype" w:cs="Palatino Linotype"/>
                <w:color w:val="000000"/>
              </w:rPr>
              <w:t xml:space="preserve">d) Requisitos de fondo del acuerdo de clasificación. </w:t>
            </w:r>
          </w:p>
        </w:tc>
        <w:tc>
          <w:tcPr>
            <w:tcW w:w="7371" w:type="dxa"/>
          </w:tcPr>
          <w:p w:rsidR="00144EDA" w:rsidRPr="00D134CE" w:rsidRDefault="00C81811" w:rsidP="004C1116">
            <w:pPr>
              <w:tabs>
                <w:tab w:val="left" w:pos="284"/>
              </w:tabs>
              <w:ind w:right="49"/>
              <w:jc w:val="both"/>
              <w:rPr>
                <w:rFonts w:ascii="Palatino Linotype" w:eastAsia="Palatino Linotype" w:hAnsi="Palatino Linotype" w:cs="Palatino Linotype"/>
                <w:color w:val="000000"/>
              </w:rPr>
            </w:pPr>
            <w:r w:rsidRPr="00D134CE">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D134CE">
              <w:rPr>
                <w:rFonts w:ascii="Palatino Linotype" w:eastAsia="Palatino Linotype" w:hAnsi="Palatino Linotype" w:cs="Palatino Linotype"/>
                <w:b/>
                <w:bCs/>
                <w:color w:val="000000"/>
              </w:rPr>
              <w:t>Sujetos Obligados</w:t>
            </w:r>
            <w:r w:rsidRPr="00D134CE">
              <w:rPr>
                <w:rFonts w:ascii="Palatino Linotype" w:eastAsia="Palatino Linotype" w:hAnsi="Palatino Linotype" w:cs="Palatino Linotype"/>
                <w:color w:val="000000"/>
              </w:rPr>
              <w:t xml:space="preserve">, por lo que deberán fundar y motivar debidamente la clasificación. </w:t>
            </w:r>
          </w:p>
          <w:p w:rsidR="00144EDA" w:rsidRPr="00D134CE" w:rsidRDefault="00C81811" w:rsidP="004C1116">
            <w:pPr>
              <w:tabs>
                <w:tab w:val="left" w:pos="284"/>
              </w:tabs>
              <w:ind w:right="49"/>
              <w:jc w:val="both"/>
              <w:rPr>
                <w:rFonts w:ascii="Palatino Linotype" w:eastAsia="Palatino Linotype" w:hAnsi="Palatino Linotype" w:cs="Palatino Linotype"/>
                <w:color w:val="000000"/>
              </w:rPr>
            </w:pPr>
            <w:r w:rsidRPr="00D134CE">
              <w:rPr>
                <w:rFonts w:ascii="Palatino Linotype" w:eastAsia="Palatino Linotype" w:hAnsi="Palatino Linotype" w:cs="Palatino Linotype"/>
                <w:color w:val="000000"/>
              </w:rPr>
              <w:t xml:space="preserve">De lo anterior, se desprende que para una correcta </w:t>
            </w:r>
            <w:r w:rsidRPr="00D134CE">
              <w:rPr>
                <w:rFonts w:ascii="Palatino Linotype" w:eastAsia="Palatino Linotype" w:hAnsi="Palatino Linotype" w:cs="Palatino Linotype"/>
                <w:b/>
                <w:bCs/>
                <w:color w:val="000000"/>
              </w:rPr>
              <w:t>clasificación total o parcial</w:t>
            </w:r>
            <w:r w:rsidRPr="00D134CE">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144EDA" w:rsidRPr="00D134CE" w:rsidRDefault="00C81811" w:rsidP="004C1116">
            <w:pPr>
              <w:tabs>
                <w:tab w:val="left" w:pos="284"/>
              </w:tabs>
              <w:ind w:right="49"/>
              <w:jc w:val="both"/>
              <w:rPr>
                <w:rFonts w:ascii="Palatino Linotype" w:eastAsia="Palatino Linotype" w:hAnsi="Palatino Linotype" w:cs="Palatino Linotype"/>
                <w:color w:val="000000"/>
              </w:rPr>
            </w:pPr>
            <w:r w:rsidRPr="00D134CE">
              <w:rPr>
                <w:rFonts w:ascii="Palatino Linotype" w:eastAsia="Palatino Linotype" w:hAnsi="Palatino Linotype" w:cs="Palatino Linotype"/>
                <w:color w:val="000000"/>
              </w:rPr>
              <w:lastRenderedPageBreak/>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144EDA" w:rsidRPr="00D134CE" w:rsidRDefault="00C81811" w:rsidP="004C1116">
            <w:pPr>
              <w:tabs>
                <w:tab w:val="left" w:pos="284"/>
              </w:tabs>
              <w:ind w:right="49"/>
              <w:jc w:val="both"/>
              <w:rPr>
                <w:rFonts w:ascii="Palatino Linotype" w:eastAsia="Palatino Linotype" w:hAnsi="Palatino Linotype" w:cs="Palatino Linotype"/>
                <w:color w:val="000000"/>
              </w:rPr>
            </w:pPr>
            <w:r w:rsidRPr="00D134CE">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144EDA" w:rsidRPr="00D134CE" w:rsidRDefault="00C81811" w:rsidP="004C1116">
            <w:pPr>
              <w:tabs>
                <w:tab w:val="left" w:pos="284"/>
              </w:tabs>
              <w:ind w:right="49"/>
              <w:jc w:val="both"/>
              <w:rPr>
                <w:rFonts w:ascii="Palatino Linotype" w:eastAsia="Palatino Linotype" w:hAnsi="Palatino Linotype" w:cs="Palatino Linotype"/>
                <w:color w:val="000000"/>
              </w:rPr>
            </w:pPr>
            <w:r w:rsidRPr="00D134CE">
              <w:rPr>
                <w:rFonts w:ascii="Palatino Linotype" w:eastAsia="Palatino Linotype" w:hAnsi="Palatino Linotype" w:cs="Palatino Linotype"/>
                <w:color w:val="000000"/>
              </w:rPr>
              <w:t xml:space="preserve">Ahora bien, </w:t>
            </w:r>
            <w:r w:rsidRPr="00D134CE">
              <w:rPr>
                <w:rFonts w:ascii="Palatino Linotype" w:eastAsia="Palatino Linotype" w:hAnsi="Palatino Linotype" w:cs="Palatino Linotype"/>
                <w:b/>
                <w:bCs/>
                <w:color w:val="000000"/>
                <w:u w:val="single"/>
              </w:rPr>
              <w:t>para cada caso además de fundar y motivar</w:t>
            </w:r>
            <w:r w:rsidRPr="00D134CE">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p w:rsidR="00144EDA" w:rsidRPr="00D134CE" w:rsidRDefault="00144EDA" w:rsidP="004C1116">
            <w:pPr>
              <w:tabs>
                <w:tab w:val="left" w:pos="284"/>
              </w:tabs>
              <w:ind w:right="49"/>
              <w:jc w:val="both"/>
              <w:rPr>
                <w:rFonts w:ascii="Palatino Linotype" w:eastAsia="Palatino Linotype" w:hAnsi="Palatino Linotype" w:cs="Palatino Linotype"/>
                <w:color w:val="000000"/>
              </w:rPr>
            </w:pPr>
          </w:p>
        </w:tc>
      </w:tr>
      <w:tr w:rsidR="00144EDA" w:rsidRPr="00D134CE" w:rsidTr="00D134CE">
        <w:tc>
          <w:tcPr>
            <w:tcW w:w="2689" w:type="dxa"/>
          </w:tcPr>
          <w:p w:rsidR="00144EDA" w:rsidRPr="00D134CE" w:rsidRDefault="00C81811" w:rsidP="004C1116">
            <w:pPr>
              <w:tabs>
                <w:tab w:val="left" w:pos="284"/>
              </w:tabs>
              <w:ind w:right="49"/>
              <w:jc w:val="both"/>
              <w:rPr>
                <w:rFonts w:ascii="Palatino Linotype" w:eastAsia="Palatino Linotype" w:hAnsi="Palatino Linotype" w:cs="Palatino Linotype"/>
              </w:rPr>
            </w:pPr>
            <w:r w:rsidRPr="00D134CE">
              <w:rPr>
                <w:rFonts w:ascii="Palatino Linotype" w:eastAsia="Palatino Linotype" w:hAnsi="Palatino Linotype" w:cs="Palatino Linotype"/>
              </w:rPr>
              <w:lastRenderedPageBreak/>
              <w:t xml:space="preserve">e) Condiciones especiales de la clasificación de la información como confidencial. </w:t>
            </w:r>
          </w:p>
        </w:tc>
        <w:tc>
          <w:tcPr>
            <w:tcW w:w="7371" w:type="dxa"/>
          </w:tcPr>
          <w:p w:rsidR="00144EDA" w:rsidRPr="00D134CE" w:rsidRDefault="00C81811" w:rsidP="004C1116">
            <w:pPr>
              <w:tabs>
                <w:tab w:val="left" w:pos="284"/>
              </w:tabs>
              <w:ind w:right="49"/>
              <w:jc w:val="both"/>
              <w:rPr>
                <w:rFonts w:ascii="Palatino Linotype" w:eastAsia="Palatino Linotype" w:hAnsi="Palatino Linotype" w:cs="Palatino Linotype"/>
                <w:color w:val="000000"/>
              </w:rPr>
            </w:pPr>
            <w:r w:rsidRPr="00D134CE">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144EDA" w:rsidRPr="00D134CE" w:rsidRDefault="00C81811" w:rsidP="004C1116">
            <w:pPr>
              <w:tabs>
                <w:tab w:val="left" w:pos="284"/>
              </w:tabs>
              <w:ind w:right="49"/>
              <w:jc w:val="both"/>
              <w:rPr>
                <w:rFonts w:ascii="Palatino Linotype" w:eastAsia="Palatino Linotype" w:hAnsi="Palatino Linotype" w:cs="Palatino Linotype"/>
                <w:color w:val="000000"/>
              </w:rPr>
            </w:pPr>
            <w:r w:rsidRPr="00D134CE">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144EDA" w:rsidRPr="00D134CE" w:rsidRDefault="00C81811" w:rsidP="004C1116">
            <w:pPr>
              <w:tabs>
                <w:tab w:val="left" w:pos="284"/>
              </w:tabs>
              <w:rPr>
                <w:rFonts w:ascii="Palatino Linotype" w:eastAsia="Palatino Linotype" w:hAnsi="Palatino Linotype" w:cs="Palatino Linotype"/>
                <w:color w:val="000000"/>
              </w:rPr>
            </w:pPr>
            <w:r w:rsidRPr="00D134CE">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p w:rsidR="00144EDA" w:rsidRPr="00D134CE" w:rsidRDefault="00144EDA" w:rsidP="004C1116">
            <w:pPr>
              <w:tabs>
                <w:tab w:val="left" w:pos="284"/>
              </w:tabs>
              <w:rPr>
                <w:rFonts w:ascii="Palatino Linotype" w:eastAsia="Palatino Linotype" w:hAnsi="Palatino Linotype" w:cs="Palatino Linotype"/>
              </w:rPr>
            </w:pPr>
          </w:p>
        </w:tc>
      </w:tr>
    </w:tbl>
    <w:p w:rsidR="00144EDA" w:rsidRPr="00D134CE" w:rsidRDefault="00144EDA" w:rsidP="004C1116">
      <w:pPr>
        <w:tabs>
          <w:tab w:val="left" w:pos="284"/>
        </w:tabs>
        <w:spacing w:line="360" w:lineRule="auto"/>
        <w:rPr>
          <w:rFonts w:ascii="Palatino Linotype" w:eastAsia="Palatino Linotype" w:hAnsi="Palatino Linotype" w:cs="Palatino Linotype"/>
          <w:color w:val="000000"/>
        </w:rPr>
      </w:pPr>
    </w:p>
    <w:p w:rsidR="00144EDA" w:rsidRPr="00D134CE" w:rsidRDefault="00C81811" w:rsidP="00D134CE">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134CE">
        <w:rPr>
          <w:rFonts w:ascii="Palatino Linotype" w:eastAsia="Palatino Linotype" w:hAnsi="Palatino Linotype" w:cs="Palatino Linotype"/>
          <w:color w:val="000000"/>
        </w:rPr>
        <w:lastRenderedPageBreak/>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144EDA" w:rsidRPr="00D134CE" w:rsidRDefault="00144EDA" w:rsidP="004C1116">
      <w:pPr>
        <w:pBdr>
          <w:top w:val="nil"/>
          <w:left w:val="nil"/>
          <w:bottom w:val="nil"/>
          <w:right w:val="nil"/>
          <w:between w:val="nil"/>
        </w:pBdr>
        <w:tabs>
          <w:tab w:val="left" w:pos="851"/>
        </w:tabs>
        <w:spacing w:line="360" w:lineRule="auto"/>
        <w:ind w:right="476"/>
        <w:jc w:val="both"/>
        <w:rPr>
          <w:rFonts w:ascii="Palatino Linotype" w:eastAsia="Palatino Linotype" w:hAnsi="Palatino Linotype" w:cs="Palatino Linotype"/>
          <w:i/>
          <w:iCs/>
          <w:color w:val="000000"/>
        </w:rPr>
      </w:pPr>
    </w:p>
    <w:p w:rsidR="00144EDA" w:rsidRPr="00D134CE" w:rsidRDefault="00C81811" w:rsidP="00D134CE">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134CE">
        <w:rPr>
          <w:rFonts w:ascii="Palatino Linotype" w:eastAsia="Palatino Linotype" w:hAnsi="Palatino Linotype" w:cs="Palatino Linotype"/>
          <w:color w:val="222222"/>
        </w:rPr>
        <w:t xml:space="preserve">Por lo </w:t>
      </w:r>
      <w:r w:rsidRPr="00D134CE">
        <w:rPr>
          <w:rFonts w:ascii="Palatino Linotype" w:eastAsia="Palatino Linotype" w:hAnsi="Palatino Linotype" w:cs="Palatino Linotype"/>
          <w:color w:val="000000"/>
        </w:rPr>
        <w:t>anteriormente</w:t>
      </w:r>
      <w:r w:rsidRPr="00D134CE">
        <w:rPr>
          <w:rFonts w:ascii="Palatino Linotype" w:eastAsia="Palatino Linotype" w:hAnsi="Palatino Linotype" w:cs="Palatino Linotype"/>
          <w:color w:val="222222"/>
        </w:rPr>
        <w:t xml:space="preserve"> expuesto y fundado, este </w:t>
      </w:r>
      <w:r w:rsidRPr="00D134CE">
        <w:rPr>
          <w:rFonts w:ascii="Palatino Linotype" w:eastAsia="Palatino Linotype" w:hAnsi="Palatino Linotype" w:cs="Palatino Linotype"/>
          <w:b/>
          <w:bCs/>
          <w:color w:val="222222"/>
        </w:rPr>
        <w:t>ÓRGANO GARANTE</w:t>
      </w:r>
      <w:r w:rsidRPr="00D134CE">
        <w:rPr>
          <w:rFonts w:ascii="Palatino Linotype" w:eastAsia="Palatino Linotype" w:hAnsi="Palatino Linotype" w:cs="Palatino Linotype"/>
          <w:color w:val="222222"/>
        </w:rPr>
        <w:t xml:space="preserve"> emite los </w:t>
      </w:r>
      <w:r w:rsidRPr="00D134CE">
        <w:rPr>
          <w:rFonts w:ascii="Palatino Linotype" w:eastAsia="Palatino Linotype" w:hAnsi="Palatino Linotype" w:cs="Palatino Linotype"/>
        </w:rPr>
        <w:t>siguientes</w:t>
      </w:r>
      <w:r w:rsidRPr="00D134CE">
        <w:rPr>
          <w:rFonts w:ascii="Palatino Linotype" w:eastAsia="Palatino Linotype" w:hAnsi="Palatino Linotype" w:cs="Palatino Linotype"/>
          <w:color w:val="222222"/>
        </w:rPr>
        <w:t>:</w:t>
      </w:r>
    </w:p>
    <w:p w:rsidR="00D134CE" w:rsidRPr="00D134CE" w:rsidRDefault="00D134CE" w:rsidP="00D134CE">
      <w:pPr>
        <w:pBdr>
          <w:top w:val="nil"/>
          <w:left w:val="nil"/>
          <w:bottom w:val="nil"/>
          <w:right w:val="nil"/>
          <w:between w:val="nil"/>
        </w:pBdr>
        <w:spacing w:line="360" w:lineRule="auto"/>
        <w:jc w:val="both"/>
        <w:rPr>
          <w:rFonts w:ascii="Palatino Linotype" w:eastAsia="Palatino Linotype" w:hAnsi="Palatino Linotype" w:cs="Palatino Linotype"/>
        </w:rPr>
      </w:pPr>
    </w:p>
    <w:p w:rsidR="00144EDA" w:rsidRPr="00D134CE" w:rsidRDefault="00C81811" w:rsidP="004C1116">
      <w:pPr>
        <w:pStyle w:val="Ttulo1"/>
        <w:spacing w:before="0" w:line="360" w:lineRule="auto"/>
        <w:ind w:right="49"/>
        <w:jc w:val="center"/>
        <w:rPr>
          <w:rFonts w:ascii="Palatino Linotype" w:eastAsia="Palatino Linotype" w:hAnsi="Palatino Linotype" w:cs="Palatino Linotype"/>
          <w:b/>
          <w:bCs/>
          <w:color w:val="000000"/>
          <w:sz w:val="24"/>
          <w:szCs w:val="24"/>
        </w:rPr>
      </w:pPr>
      <w:r w:rsidRPr="00D134CE">
        <w:rPr>
          <w:rFonts w:ascii="Palatino Linotype" w:eastAsia="Palatino Linotype" w:hAnsi="Palatino Linotype" w:cs="Palatino Linotype"/>
          <w:b/>
          <w:bCs/>
          <w:color w:val="000000"/>
          <w:sz w:val="24"/>
          <w:szCs w:val="24"/>
        </w:rPr>
        <w:t>R E S O L U T I V O S</w:t>
      </w:r>
    </w:p>
    <w:p w:rsidR="00144EDA" w:rsidRPr="00D134CE" w:rsidRDefault="00144EDA" w:rsidP="004C1116">
      <w:pPr>
        <w:spacing w:line="360" w:lineRule="auto"/>
        <w:ind w:right="49"/>
        <w:jc w:val="both"/>
        <w:rPr>
          <w:rFonts w:ascii="Palatino Linotype" w:eastAsia="Palatino Linotype" w:hAnsi="Palatino Linotype" w:cs="Palatino Linotype"/>
        </w:rPr>
      </w:pPr>
    </w:p>
    <w:p w:rsidR="00144EDA" w:rsidRPr="00D134CE" w:rsidRDefault="00C81811" w:rsidP="004C1116">
      <w:pPr>
        <w:spacing w:line="360" w:lineRule="auto"/>
        <w:jc w:val="both"/>
        <w:rPr>
          <w:rFonts w:ascii="Palatino Linotype" w:eastAsia="Palatino Linotype" w:hAnsi="Palatino Linotype" w:cs="Palatino Linotype"/>
        </w:rPr>
      </w:pPr>
      <w:bookmarkStart w:id="8" w:name="_heading=h.1t3h5sf" w:colFirst="0" w:colLast="0"/>
      <w:bookmarkEnd w:id="8"/>
      <w:r w:rsidRPr="00D134CE">
        <w:rPr>
          <w:rFonts w:ascii="Palatino Linotype" w:eastAsia="Palatino Linotype" w:hAnsi="Palatino Linotype" w:cs="Palatino Linotype"/>
          <w:b/>
          <w:bCs/>
        </w:rPr>
        <w:t>PRIMERO</w:t>
      </w:r>
      <w:r w:rsidRPr="00D134CE">
        <w:rPr>
          <w:rFonts w:ascii="Palatino Linotype" w:eastAsia="Palatino Linotype" w:hAnsi="Palatino Linotype" w:cs="Palatino Linotype"/>
        </w:rPr>
        <w:t>. Resultan fundadas las</w:t>
      </w:r>
      <w:r w:rsidRPr="00D134CE">
        <w:rPr>
          <w:rFonts w:ascii="Palatino Linotype" w:eastAsia="Palatino Linotype" w:hAnsi="Palatino Linotype" w:cs="Palatino Linotype"/>
          <w:b/>
          <w:bCs/>
        </w:rPr>
        <w:t xml:space="preserve"> </w:t>
      </w:r>
      <w:r w:rsidRPr="00D134CE">
        <w:rPr>
          <w:rFonts w:ascii="Palatino Linotype" w:eastAsia="Palatino Linotype" w:hAnsi="Palatino Linotype" w:cs="Palatino Linotype"/>
        </w:rPr>
        <w:t xml:space="preserve">razones o motivos de inconformidad hechos valer en el Recurso de Revisión </w:t>
      </w:r>
      <w:r w:rsidR="00530026" w:rsidRPr="00D134CE">
        <w:rPr>
          <w:rFonts w:ascii="Palatino Linotype" w:eastAsia="Palatino Linotype" w:hAnsi="Palatino Linotype" w:cs="Palatino Linotype"/>
          <w:b/>
          <w:bCs/>
          <w:color w:val="000000"/>
        </w:rPr>
        <w:t>13303/INFOEM/IP/RR/2025</w:t>
      </w:r>
      <w:r w:rsidRPr="00D134CE">
        <w:rPr>
          <w:rFonts w:ascii="Palatino Linotype" w:eastAsia="Palatino Linotype" w:hAnsi="Palatino Linotype" w:cs="Palatino Linotype"/>
          <w:b/>
          <w:bCs/>
        </w:rPr>
        <w:t xml:space="preserve">, </w:t>
      </w:r>
      <w:r w:rsidRPr="00D134CE">
        <w:rPr>
          <w:rFonts w:ascii="Palatino Linotype" w:eastAsia="Palatino Linotype" w:hAnsi="Palatino Linotype" w:cs="Palatino Linotype"/>
        </w:rPr>
        <w:t xml:space="preserve">en términos de los </w:t>
      </w:r>
      <w:r w:rsidRPr="00D134CE">
        <w:rPr>
          <w:rFonts w:ascii="Palatino Linotype" w:eastAsia="Palatino Linotype" w:hAnsi="Palatino Linotype" w:cs="Palatino Linotype"/>
          <w:b/>
          <w:bCs/>
        </w:rPr>
        <w:t>Considerandos</w:t>
      </w:r>
      <w:r w:rsidRPr="00D134CE">
        <w:rPr>
          <w:rFonts w:ascii="Palatino Linotype" w:eastAsia="Palatino Linotype" w:hAnsi="Palatino Linotype" w:cs="Palatino Linotype"/>
        </w:rPr>
        <w:t xml:space="preserve"> </w:t>
      </w:r>
      <w:r w:rsidRPr="00D134CE">
        <w:rPr>
          <w:rFonts w:ascii="Palatino Linotype" w:eastAsia="Palatino Linotype" w:hAnsi="Palatino Linotype" w:cs="Palatino Linotype"/>
          <w:b/>
          <w:bCs/>
        </w:rPr>
        <w:t>CUARTO</w:t>
      </w:r>
      <w:r w:rsidRPr="00D134CE">
        <w:rPr>
          <w:rFonts w:ascii="Palatino Linotype" w:eastAsia="Palatino Linotype" w:hAnsi="Palatino Linotype" w:cs="Palatino Linotype"/>
        </w:rPr>
        <w:t xml:space="preserve"> y </w:t>
      </w:r>
      <w:r w:rsidRPr="00D134CE">
        <w:rPr>
          <w:rFonts w:ascii="Palatino Linotype" w:eastAsia="Palatino Linotype" w:hAnsi="Palatino Linotype" w:cs="Palatino Linotype"/>
          <w:b/>
          <w:bCs/>
        </w:rPr>
        <w:t xml:space="preserve">QUINTO </w:t>
      </w:r>
      <w:r w:rsidRPr="00D134CE">
        <w:rPr>
          <w:rFonts w:ascii="Palatino Linotype" w:eastAsia="Palatino Linotype" w:hAnsi="Palatino Linotype" w:cs="Palatino Linotype"/>
        </w:rPr>
        <w:t>de la presente Resolución.</w:t>
      </w:r>
    </w:p>
    <w:p w:rsidR="00144EDA" w:rsidRPr="00D134CE" w:rsidRDefault="00144EDA" w:rsidP="004C1116">
      <w:pPr>
        <w:spacing w:line="360" w:lineRule="auto"/>
        <w:jc w:val="both"/>
        <w:rPr>
          <w:rFonts w:ascii="Palatino Linotype" w:eastAsia="Palatino Linotype" w:hAnsi="Palatino Linotype" w:cs="Palatino Linotype"/>
        </w:rPr>
      </w:pPr>
    </w:p>
    <w:p w:rsidR="00144EDA" w:rsidRPr="00D134CE" w:rsidRDefault="00C81811" w:rsidP="004C1116">
      <w:pPr>
        <w:spacing w:line="360" w:lineRule="auto"/>
        <w:jc w:val="both"/>
        <w:rPr>
          <w:rFonts w:ascii="Palatino Linotype" w:eastAsia="Palatino Linotype" w:hAnsi="Palatino Linotype" w:cs="Palatino Linotype"/>
        </w:rPr>
      </w:pPr>
      <w:bookmarkStart w:id="9" w:name="_heading=h.s3gl4gz35x1x" w:colFirst="0" w:colLast="0"/>
      <w:bookmarkEnd w:id="9"/>
      <w:r w:rsidRPr="00D134CE">
        <w:rPr>
          <w:rFonts w:ascii="Palatino Linotype" w:eastAsia="Palatino Linotype" w:hAnsi="Palatino Linotype" w:cs="Palatino Linotype"/>
          <w:b/>
          <w:bCs/>
        </w:rPr>
        <w:t xml:space="preserve">SEGUNDO. </w:t>
      </w:r>
      <w:r w:rsidRPr="00D134CE">
        <w:rPr>
          <w:rFonts w:ascii="Palatino Linotype" w:eastAsia="Palatino Linotype" w:hAnsi="Palatino Linotype" w:cs="Palatino Linotype"/>
          <w:color w:val="000000"/>
        </w:rPr>
        <w:t xml:space="preserve">Se </w:t>
      </w:r>
      <w:r w:rsidR="00CC0D6A" w:rsidRPr="00D134CE">
        <w:rPr>
          <w:rFonts w:ascii="Palatino Linotype" w:eastAsia="Palatino Linotype" w:hAnsi="Palatino Linotype" w:cs="Palatino Linotype"/>
          <w:b/>
          <w:bCs/>
          <w:color w:val="000000"/>
        </w:rPr>
        <w:t>MODIFI</w:t>
      </w:r>
      <w:r w:rsidRPr="00D134CE">
        <w:rPr>
          <w:rFonts w:ascii="Palatino Linotype" w:eastAsia="Palatino Linotype" w:hAnsi="Palatino Linotype" w:cs="Palatino Linotype"/>
          <w:b/>
          <w:bCs/>
          <w:color w:val="000000"/>
        </w:rPr>
        <w:t xml:space="preserve">CA </w:t>
      </w:r>
      <w:r w:rsidRPr="00D134CE">
        <w:rPr>
          <w:rFonts w:ascii="Palatino Linotype" w:eastAsia="Palatino Linotype" w:hAnsi="Palatino Linotype" w:cs="Palatino Linotype"/>
          <w:color w:val="000000"/>
        </w:rPr>
        <w:t xml:space="preserve">la respuesta emitida por el </w:t>
      </w:r>
      <w:r w:rsidR="00530026" w:rsidRPr="00D134CE">
        <w:rPr>
          <w:rFonts w:ascii="Palatino Linotype" w:eastAsia="Palatino Linotype" w:hAnsi="Palatino Linotype" w:cs="Palatino Linotype"/>
          <w:b/>
          <w:bCs/>
        </w:rPr>
        <w:t>Instituto Municipal de Cultura Física y Deporte de Nicolás Romero</w:t>
      </w:r>
      <w:r w:rsidRPr="00D134CE">
        <w:rPr>
          <w:rFonts w:ascii="Palatino Linotype" w:eastAsia="Palatino Linotype" w:hAnsi="Palatino Linotype" w:cs="Palatino Linotype"/>
          <w:b/>
          <w:bCs/>
        </w:rPr>
        <w:t xml:space="preserve"> </w:t>
      </w:r>
      <w:r w:rsidRPr="00D134CE">
        <w:rPr>
          <w:rFonts w:ascii="Palatino Linotype" w:eastAsia="Palatino Linotype" w:hAnsi="Palatino Linotype" w:cs="Palatino Linotype"/>
          <w:color w:val="000000"/>
        </w:rPr>
        <w:t xml:space="preserve">y se </w:t>
      </w:r>
      <w:r w:rsidRPr="00D134CE">
        <w:rPr>
          <w:rFonts w:ascii="Palatino Linotype" w:eastAsia="Palatino Linotype" w:hAnsi="Palatino Linotype" w:cs="Palatino Linotype"/>
          <w:b/>
          <w:bCs/>
          <w:color w:val="000000"/>
        </w:rPr>
        <w:t>ORDENA</w:t>
      </w:r>
      <w:r w:rsidRPr="00D134CE">
        <w:rPr>
          <w:rFonts w:ascii="Palatino Linotype" w:eastAsia="Palatino Linotype" w:hAnsi="Palatino Linotype" w:cs="Palatino Linotype"/>
          <w:color w:val="000000"/>
        </w:rPr>
        <w:t xml:space="preserve"> entregar vía Sistema de Acceso a la Información Mexiquense (SAIMEX), la siguiente información</w:t>
      </w:r>
      <w:r w:rsidRPr="00D134CE">
        <w:rPr>
          <w:rFonts w:ascii="Palatino Linotype" w:eastAsia="Palatino Linotype" w:hAnsi="Palatino Linotype" w:cs="Palatino Linotype"/>
        </w:rPr>
        <w:t>:</w:t>
      </w:r>
    </w:p>
    <w:p w:rsidR="006A4FBD" w:rsidRPr="00D134CE" w:rsidRDefault="006A4FBD" w:rsidP="004C1116">
      <w:pPr>
        <w:pBdr>
          <w:top w:val="nil"/>
          <w:left w:val="nil"/>
          <w:bottom w:val="nil"/>
          <w:right w:val="nil"/>
          <w:between w:val="nil"/>
        </w:pBdr>
        <w:spacing w:line="360" w:lineRule="auto"/>
        <w:ind w:left="720" w:right="616"/>
        <w:jc w:val="both"/>
        <w:rPr>
          <w:rFonts w:ascii="Palatino Linotype" w:eastAsia="Palatino Linotype" w:hAnsi="Palatino Linotype" w:cs="Palatino Linotype"/>
          <w:b/>
          <w:bCs/>
          <w:color w:val="000000"/>
        </w:rPr>
      </w:pPr>
    </w:p>
    <w:p w:rsidR="00144EDA" w:rsidRPr="00D134CE" w:rsidRDefault="00CC0D6A" w:rsidP="00D134CE">
      <w:pPr>
        <w:numPr>
          <w:ilvl w:val="0"/>
          <w:numId w:val="4"/>
        </w:numPr>
        <w:pBdr>
          <w:top w:val="nil"/>
          <w:left w:val="nil"/>
          <w:bottom w:val="nil"/>
          <w:right w:val="nil"/>
          <w:between w:val="nil"/>
        </w:pBdr>
        <w:spacing w:line="360" w:lineRule="auto"/>
        <w:ind w:right="142"/>
        <w:jc w:val="both"/>
        <w:rPr>
          <w:rFonts w:ascii="Palatino Linotype" w:eastAsia="Palatino Linotype" w:hAnsi="Palatino Linotype" w:cs="Palatino Linotype"/>
          <w:b/>
          <w:bCs/>
          <w:color w:val="000000"/>
        </w:rPr>
      </w:pPr>
      <w:r w:rsidRPr="00D134CE">
        <w:rPr>
          <w:rFonts w:ascii="Palatino Linotype" w:eastAsia="Palatino Linotype" w:hAnsi="Palatino Linotype" w:cs="Palatino Linotype"/>
          <w:color w:val="000000"/>
        </w:rPr>
        <w:t>Los recibos de nómina remitidos en informe justificado, en correcta versión pública</w:t>
      </w:r>
      <w:r w:rsidR="00C81811" w:rsidRPr="00D134CE">
        <w:rPr>
          <w:rFonts w:ascii="Palatino Linotype" w:eastAsia="Palatino Linotype" w:hAnsi="Palatino Linotype" w:cs="Palatino Linotype"/>
          <w:color w:val="000000"/>
        </w:rPr>
        <w:t>;</w:t>
      </w:r>
      <w:r w:rsidR="00D134CE">
        <w:rPr>
          <w:rFonts w:ascii="Palatino Linotype" w:eastAsia="Palatino Linotype" w:hAnsi="Palatino Linotype" w:cs="Palatino Linotype"/>
          <w:color w:val="000000"/>
        </w:rPr>
        <w:t xml:space="preserve"> </w:t>
      </w:r>
      <w:r w:rsidRPr="00D134CE">
        <w:rPr>
          <w:rFonts w:ascii="Palatino Linotype" w:eastAsia="Palatino Linotype" w:hAnsi="Palatino Linotype" w:cs="Palatino Linotype"/>
          <w:color w:val="000000"/>
        </w:rPr>
        <w:t>y</w:t>
      </w:r>
    </w:p>
    <w:p w:rsidR="00144EDA" w:rsidRPr="00D134CE" w:rsidRDefault="00CC0D6A" w:rsidP="00D134CE">
      <w:pPr>
        <w:numPr>
          <w:ilvl w:val="0"/>
          <w:numId w:val="4"/>
        </w:numPr>
        <w:pBdr>
          <w:top w:val="nil"/>
          <w:left w:val="nil"/>
          <w:bottom w:val="nil"/>
          <w:right w:val="nil"/>
          <w:between w:val="nil"/>
        </w:pBdr>
        <w:spacing w:line="360" w:lineRule="auto"/>
        <w:ind w:right="142"/>
        <w:jc w:val="both"/>
        <w:rPr>
          <w:rFonts w:ascii="Palatino Linotype" w:eastAsia="Palatino Linotype" w:hAnsi="Palatino Linotype" w:cs="Palatino Linotype"/>
          <w:b/>
          <w:bCs/>
          <w:color w:val="000000"/>
        </w:rPr>
      </w:pPr>
      <w:r w:rsidRPr="00D134CE">
        <w:rPr>
          <w:rFonts w:ascii="Palatino Linotype" w:eastAsia="Palatino Linotype" w:hAnsi="Palatino Linotype" w:cs="Palatino Linotype"/>
          <w:color w:val="222222"/>
        </w:rPr>
        <w:t>El Oficio Número IMCUFIDENR/DR/221/2025, que contiene la autorización a título gratuito, sin fines de lucro y, bajo condiciones específicas de mantenimiento y orden del quiosco con venta de alimentos ubicado en las instalaciones de la Unidad Deportiva denominada "Nicolás Romero"</w:t>
      </w:r>
      <w:r w:rsidRPr="00D134CE">
        <w:rPr>
          <w:rFonts w:ascii="Palatino Linotype" w:eastAsia="Palatino Linotype" w:hAnsi="Palatino Linotype" w:cs="Palatino Linotype"/>
          <w:color w:val="000000"/>
        </w:rPr>
        <w:t>, de ser el caso en versión pública.</w:t>
      </w:r>
    </w:p>
    <w:p w:rsidR="00144EDA" w:rsidRPr="00D134CE" w:rsidRDefault="00144EDA" w:rsidP="004C1116">
      <w:pPr>
        <w:spacing w:line="360" w:lineRule="auto"/>
        <w:jc w:val="both"/>
        <w:rPr>
          <w:rFonts w:ascii="Palatino Linotype" w:eastAsia="Palatino Linotype" w:hAnsi="Palatino Linotype" w:cs="Palatino Linotype"/>
        </w:rPr>
      </w:pPr>
    </w:p>
    <w:p w:rsidR="00144EDA" w:rsidRPr="00D134CE" w:rsidRDefault="00C81811" w:rsidP="004C1116">
      <w:pPr>
        <w:spacing w:line="360" w:lineRule="auto"/>
        <w:jc w:val="both"/>
        <w:rPr>
          <w:rFonts w:ascii="Palatino Linotype" w:eastAsia="Palatino Linotype" w:hAnsi="Palatino Linotype" w:cs="Palatino Linotype"/>
        </w:rPr>
      </w:pPr>
      <w:r w:rsidRPr="00D134CE">
        <w:rPr>
          <w:rFonts w:ascii="Palatino Linotype" w:eastAsia="Palatino Linotype" w:hAnsi="Palatino Linotype" w:cs="Palatino Linotype"/>
        </w:rPr>
        <w:lastRenderedPageBreak/>
        <w:t xml:space="preserve">Para efectos de lo anterior, se deberá emitir el Acuerdo del Comité de Transparencia en términos de los artículos 49, fracciones II y VIII, 132, fracción II y 143 de la Ley de Transparencia y Acceso a la Información Pública del Estado de México y Municipios, en el que funde y motive las razones sobre la eliminación de los datos y documentos confidenciales del soporte documental respectivo objeto de las versiones públicas que se formulen y se pongan a disposición del </w:t>
      </w:r>
      <w:r w:rsidRPr="00D134CE">
        <w:rPr>
          <w:rFonts w:ascii="Palatino Linotype" w:eastAsia="Palatino Linotype" w:hAnsi="Palatino Linotype" w:cs="Palatino Linotype"/>
          <w:b/>
          <w:bCs/>
        </w:rPr>
        <w:t>RECURRENTE</w:t>
      </w:r>
      <w:r w:rsidRPr="00D134CE">
        <w:rPr>
          <w:rFonts w:ascii="Palatino Linotype" w:eastAsia="Palatino Linotype" w:hAnsi="Palatino Linotype" w:cs="Palatino Linotype"/>
        </w:rPr>
        <w:t>.</w:t>
      </w:r>
    </w:p>
    <w:p w:rsidR="00144EDA" w:rsidRPr="00D134CE" w:rsidRDefault="00144EDA" w:rsidP="004C1116">
      <w:pPr>
        <w:spacing w:line="360" w:lineRule="auto"/>
        <w:jc w:val="both"/>
        <w:rPr>
          <w:rFonts w:ascii="Palatino Linotype" w:eastAsia="Palatino Linotype" w:hAnsi="Palatino Linotype" w:cs="Palatino Linotype"/>
        </w:rPr>
      </w:pPr>
    </w:p>
    <w:p w:rsidR="00144EDA" w:rsidRPr="00D134CE" w:rsidRDefault="00C81811" w:rsidP="004C1116">
      <w:pPr>
        <w:spacing w:line="360" w:lineRule="auto"/>
        <w:jc w:val="both"/>
        <w:rPr>
          <w:rFonts w:ascii="Palatino Linotype" w:eastAsia="Palatino Linotype" w:hAnsi="Palatino Linotype" w:cs="Palatino Linotype"/>
        </w:rPr>
      </w:pPr>
      <w:r w:rsidRPr="00D134CE">
        <w:rPr>
          <w:rFonts w:ascii="Palatino Linotype" w:eastAsia="Palatino Linotype" w:hAnsi="Palatino Linotype" w:cs="Palatino Linotype"/>
          <w:b/>
          <w:bCs/>
        </w:rPr>
        <w:t xml:space="preserve">TERCERO. Notifíquese </w:t>
      </w:r>
      <w:r w:rsidRPr="00D134CE">
        <w:rPr>
          <w:rFonts w:ascii="Palatino Linotype" w:eastAsia="Palatino Linotype" w:hAnsi="Palatino Linotype" w:cs="Palatino Linotype"/>
        </w:rPr>
        <w:t xml:space="preserve">la presente Resolución al Titular de la Unidad de Transparencia del Sujeto Obligado vía </w:t>
      </w:r>
      <w:r w:rsidRPr="00D134CE">
        <w:rPr>
          <w:rFonts w:ascii="Palatino Linotype" w:eastAsia="Palatino Linotype" w:hAnsi="Palatino Linotype" w:cs="Palatino Linotype"/>
          <w:b/>
          <w:bCs/>
        </w:rPr>
        <w:t>SAIMEX</w:t>
      </w:r>
      <w:r w:rsidRPr="00D134CE">
        <w:rPr>
          <w:rFonts w:ascii="Palatino Linotype" w:eastAsia="Palatino Linotype" w:hAnsi="Palatino Linotype" w:cs="Palatino Linotype"/>
        </w:rPr>
        <w:t xml:space="preserve">, para que conforme al artículo 186 último párrafo, 189 segundo párrafo y 194 de la Ley de Transparencia y Acceso a la Información Pública del Estado de México y Municipios; </w:t>
      </w:r>
      <w:r w:rsidRPr="00D134CE">
        <w:rPr>
          <w:rFonts w:ascii="Palatino Linotype" w:eastAsia="Palatino Linotype" w:hAnsi="Palatino Linotype" w:cs="Palatino Linotype"/>
          <w:b/>
          <w:bCs/>
        </w:rPr>
        <w:t>dé cumplimiento a lo ordenado dentro del plazo de diez días hábiles</w:t>
      </w:r>
      <w:r w:rsidRPr="00D134CE">
        <w:rPr>
          <w:rFonts w:ascii="Palatino Linotype" w:eastAsia="Palatino Linotype" w:hAnsi="Palatino Linotype" w:cs="Palatino Linotyp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144EDA" w:rsidRPr="00D134CE" w:rsidRDefault="00144EDA" w:rsidP="004C1116">
      <w:pPr>
        <w:spacing w:line="360" w:lineRule="auto"/>
        <w:jc w:val="both"/>
        <w:rPr>
          <w:rFonts w:ascii="Palatino Linotype" w:eastAsia="Palatino Linotype" w:hAnsi="Palatino Linotype" w:cs="Palatino Linotype"/>
        </w:rPr>
      </w:pPr>
    </w:p>
    <w:p w:rsidR="00144EDA" w:rsidRPr="00D134CE" w:rsidRDefault="00C81811" w:rsidP="004C1116">
      <w:pPr>
        <w:spacing w:line="360" w:lineRule="auto"/>
        <w:jc w:val="both"/>
        <w:rPr>
          <w:rFonts w:ascii="Palatino Linotype" w:eastAsia="Palatino Linotype" w:hAnsi="Palatino Linotype" w:cs="Palatino Linotype"/>
        </w:rPr>
      </w:pPr>
      <w:r w:rsidRPr="00D134CE">
        <w:rPr>
          <w:rFonts w:ascii="Palatino Linotype" w:eastAsia="Palatino Linotype" w:hAnsi="Palatino Linotype" w:cs="Palatino Linotype"/>
          <w:b/>
          <w:bCs/>
        </w:rPr>
        <w:t xml:space="preserve">CUARTO. </w:t>
      </w:r>
      <w:r w:rsidRPr="00D134CE">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D134CE">
        <w:rPr>
          <w:rFonts w:ascii="Palatino Linotype" w:eastAsia="Palatino Linotype" w:hAnsi="Palatino Linotype" w:cs="Palatino Linotype"/>
          <w:b/>
          <w:bCs/>
        </w:rPr>
        <w:t>SUJETO OBLIGADO</w:t>
      </w:r>
      <w:r w:rsidRPr="00D134CE">
        <w:rPr>
          <w:rFonts w:ascii="Palatino Linotype" w:eastAsia="Palatino Linotype" w:hAnsi="Palatino Linotype" w:cs="Palatino Linotype"/>
        </w:rPr>
        <w:t xml:space="preserve"> de manera fundada y motivada, podrá solicitar una ampliación de plazo para el cumplimiento de la presente Resolución.</w:t>
      </w:r>
    </w:p>
    <w:p w:rsidR="00144EDA" w:rsidRPr="00D134CE" w:rsidRDefault="00144EDA" w:rsidP="004C1116">
      <w:pPr>
        <w:spacing w:line="360" w:lineRule="auto"/>
        <w:jc w:val="both"/>
        <w:rPr>
          <w:rFonts w:ascii="Palatino Linotype" w:eastAsia="Palatino Linotype" w:hAnsi="Palatino Linotype" w:cs="Palatino Linotype"/>
        </w:rPr>
      </w:pPr>
    </w:p>
    <w:p w:rsidR="00144EDA" w:rsidRPr="00D134CE" w:rsidRDefault="00C81811" w:rsidP="004C1116">
      <w:pPr>
        <w:tabs>
          <w:tab w:val="left" w:pos="8080"/>
        </w:tabs>
        <w:spacing w:line="360" w:lineRule="auto"/>
        <w:ind w:right="49"/>
        <w:jc w:val="both"/>
        <w:rPr>
          <w:rFonts w:ascii="Palatino Linotype" w:eastAsia="Palatino Linotype" w:hAnsi="Palatino Linotype" w:cs="Palatino Linotype"/>
        </w:rPr>
      </w:pPr>
      <w:bookmarkStart w:id="10" w:name="_heading=h.13w3882666vl" w:colFirst="0" w:colLast="0"/>
      <w:bookmarkEnd w:id="10"/>
      <w:r w:rsidRPr="00D134CE">
        <w:rPr>
          <w:rFonts w:ascii="Palatino Linotype" w:eastAsia="Palatino Linotype" w:hAnsi="Palatino Linotype" w:cs="Palatino Linotype"/>
          <w:b/>
          <w:bCs/>
        </w:rPr>
        <w:t xml:space="preserve">QUINTO. </w:t>
      </w:r>
      <w:r w:rsidRPr="00D134CE">
        <w:rPr>
          <w:rFonts w:ascii="Palatino Linotype" w:eastAsia="Palatino Linotype" w:hAnsi="Palatino Linotype" w:cs="Palatino Linotype"/>
        </w:rPr>
        <w:t xml:space="preserve">Notifíquese al </w:t>
      </w:r>
      <w:r w:rsidRPr="00D134CE">
        <w:rPr>
          <w:rFonts w:ascii="Palatino Linotype" w:eastAsia="Palatino Linotype" w:hAnsi="Palatino Linotype" w:cs="Palatino Linotype"/>
          <w:b/>
          <w:bCs/>
        </w:rPr>
        <w:t>RECURRENTE</w:t>
      </w:r>
      <w:r w:rsidRPr="00D134CE">
        <w:rPr>
          <w:rFonts w:ascii="Palatino Linotype" w:eastAsia="Palatino Linotype" w:hAnsi="Palatino Linotype" w:cs="Palatino Linotype"/>
        </w:rPr>
        <w:t xml:space="preserve"> la presente Resolución, vía </w:t>
      </w:r>
      <w:r w:rsidRPr="00D134CE">
        <w:rPr>
          <w:rFonts w:ascii="Palatino Linotype" w:eastAsia="Palatino Linotype" w:hAnsi="Palatino Linotype" w:cs="Palatino Linotype"/>
          <w:b/>
          <w:bCs/>
        </w:rPr>
        <w:t>SAIMEX</w:t>
      </w:r>
      <w:r w:rsidRPr="00D134CE">
        <w:rPr>
          <w:rFonts w:ascii="Palatino Linotype" w:eastAsia="Palatino Linotype" w:hAnsi="Palatino Linotype" w:cs="Palatino Linotype"/>
        </w:rPr>
        <w:t>.</w:t>
      </w:r>
    </w:p>
    <w:p w:rsidR="00144EDA" w:rsidRPr="00D134CE" w:rsidRDefault="00144EDA" w:rsidP="004C1116">
      <w:pPr>
        <w:tabs>
          <w:tab w:val="left" w:pos="8080"/>
        </w:tabs>
        <w:spacing w:line="360" w:lineRule="auto"/>
        <w:ind w:right="49"/>
        <w:jc w:val="both"/>
        <w:rPr>
          <w:rFonts w:ascii="Palatino Linotype" w:eastAsia="Palatino Linotype" w:hAnsi="Palatino Linotype" w:cs="Palatino Linotype"/>
        </w:rPr>
      </w:pPr>
    </w:p>
    <w:p w:rsidR="00144EDA" w:rsidRPr="00D134CE" w:rsidRDefault="00C81811" w:rsidP="004C1116">
      <w:pPr>
        <w:shd w:val="clear" w:color="auto" w:fill="FFFFFF"/>
        <w:spacing w:line="360" w:lineRule="auto"/>
        <w:jc w:val="both"/>
        <w:rPr>
          <w:rFonts w:ascii="Palatino Linotype" w:eastAsia="Palatino Linotype" w:hAnsi="Palatino Linotype" w:cs="Palatino Linotype"/>
        </w:rPr>
      </w:pPr>
      <w:r w:rsidRPr="00D134CE">
        <w:rPr>
          <w:rFonts w:ascii="Palatino Linotype" w:eastAsia="Palatino Linotype" w:hAnsi="Palatino Linotype" w:cs="Palatino Linotype"/>
          <w:b/>
          <w:bCs/>
        </w:rPr>
        <w:lastRenderedPageBreak/>
        <w:t xml:space="preserve">SEXTO. </w:t>
      </w:r>
      <w:r w:rsidRPr="00D134CE">
        <w:rPr>
          <w:rFonts w:ascii="Palatino Linotype" w:eastAsia="Palatino Linotype" w:hAnsi="Palatino Linotype" w:cs="Palatino Linotype"/>
        </w:rPr>
        <w:t>Se hace del conocimiento del</w:t>
      </w:r>
      <w:r w:rsidRPr="00D134CE">
        <w:rPr>
          <w:rFonts w:ascii="Palatino Linotype" w:eastAsia="Palatino Linotype" w:hAnsi="Palatino Linotype" w:cs="Palatino Linotype"/>
          <w:b/>
          <w:bCs/>
        </w:rPr>
        <w:t xml:space="preserve"> RECURRENTE </w:t>
      </w:r>
      <w:r w:rsidRPr="00D134CE">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144EDA" w:rsidRPr="00D134CE" w:rsidRDefault="00144EDA" w:rsidP="004C1116">
      <w:pPr>
        <w:shd w:val="clear" w:color="auto" w:fill="FFFFFF"/>
        <w:spacing w:line="360" w:lineRule="auto"/>
        <w:ind w:right="49"/>
        <w:jc w:val="both"/>
        <w:rPr>
          <w:rFonts w:ascii="Palatino Linotype" w:eastAsia="Palatino Linotype" w:hAnsi="Palatino Linotype" w:cs="Palatino Linotype"/>
        </w:rPr>
      </w:pPr>
    </w:p>
    <w:p w:rsidR="00EB7062" w:rsidRPr="00D134CE" w:rsidRDefault="00EB7062" w:rsidP="00EB7062">
      <w:pPr>
        <w:spacing w:before="240" w:after="240" w:line="360" w:lineRule="auto"/>
        <w:ind w:firstLine="1"/>
        <w:jc w:val="both"/>
        <w:rPr>
          <w:rFonts w:ascii="Palatino Linotype" w:hAnsi="Palatino Linotype"/>
        </w:rPr>
      </w:pPr>
      <w:bookmarkStart w:id="11" w:name="_Hlk99014733"/>
      <w:r w:rsidRPr="00D134CE">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(25) DE FEBRERO DE DOS MIL VEINTISÉIS, ANTE EL SECRETARIO TÉCNICO DEL PLENO </w:t>
      </w:r>
      <w:r w:rsidRPr="00D134CE">
        <w:rPr>
          <w:rFonts w:ascii="Palatino Linotype" w:hAnsi="Palatino Linotype" w:cs="Palatino Linotype"/>
          <w:color w:val="000000" w:themeColor="text1"/>
        </w:rPr>
        <w:t>ALEXIS TAPIA RAMÍREZ.</w:t>
      </w:r>
    </w:p>
    <w:bookmarkEnd w:id="11"/>
    <w:p w:rsidR="00144EDA" w:rsidRPr="00D134CE" w:rsidRDefault="00144EDA" w:rsidP="004C1116">
      <w:pPr>
        <w:spacing w:line="360" w:lineRule="auto"/>
        <w:ind w:right="49"/>
        <w:jc w:val="both"/>
        <w:rPr>
          <w:rFonts w:ascii="Palatino Linotype" w:eastAsia="Palatino Linotype" w:hAnsi="Palatino Linotype" w:cs="Palatino Linotype"/>
        </w:rPr>
      </w:pPr>
    </w:p>
    <w:p w:rsidR="00144EDA" w:rsidRPr="00D134CE" w:rsidRDefault="00144EDA" w:rsidP="004C1116">
      <w:pPr>
        <w:spacing w:line="360" w:lineRule="auto"/>
        <w:ind w:right="49"/>
        <w:jc w:val="both"/>
        <w:rPr>
          <w:rFonts w:ascii="Palatino Linotype" w:eastAsia="Palatino Linotype" w:hAnsi="Palatino Linotype" w:cs="Palatino Linotype"/>
        </w:rPr>
      </w:pPr>
    </w:p>
    <w:p w:rsidR="00144EDA" w:rsidRPr="00D134CE" w:rsidRDefault="00144EDA" w:rsidP="004C1116">
      <w:pPr>
        <w:spacing w:line="360" w:lineRule="auto"/>
        <w:ind w:right="49"/>
        <w:jc w:val="both"/>
        <w:rPr>
          <w:rFonts w:ascii="Palatino Linotype" w:eastAsia="Palatino Linotype" w:hAnsi="Palatino Linotype" w:cs="Palatino Linotype"/>
        </w:rPr>
      </w:pPr>
    </w:p>
    <w:p w:rsidR="00144EDA" w:rsidRPr="00D134CE" w:rsidRDefault="00144EDA" w:rsidP="004C1116">
      <w:pPr>
        <w:spacing w:line="360" w:lineRule="auto"/>
        <w:ind w:right="49"/>
        <w:jc w:val="both"/>
        <w:rPr>
          <w:rFonts w:ascii="Palatino Linotype" w:eastAsia="Palatino Linotype" w:hAnsi="Palatino Linotype" w:cs="Palatino Linotype"/>
        </w:rPr>
      </w:pPr>
    </w:p>
    <w:p w:rsidR="00144EDA" w:rsidRPr="00D134CE" w:rsidRDefault="00144EDA" w:rsidP="004C1116">
      <w:pPr>
        <w:spacing w:line="360" w:lineRule="auto"/>
        <w:ind w:right="49"/>
        <w:jc w:val="both"/>
        <w:rPr>
          <w:rFonts w:ascii="Palatino Linotype" w:eastAsia="Palatino Linotype" w:hAnsi="Palatino Linotype" w:cs="Palatino Linotype"/>
        </w:rPr>
      </w:pPr>
    </w:p>
    <w:p w:rsidR="00144EDA" w:rsidRPr="00D134CE" w:rsidRDefault="00144EDA" w:rsidP="004C1116">
      <w:pPr>
        <w:spacing w:line="360" w:lineRule="auto"/>
        <w:ind w:right="49"/>
        <w:jc w:val="both"/>
        <w:rPr>
          <w:rFonts w:ascii="Palatino Linotype" w:eastAsia="Palatino Linotype" w:hAnsi="Palatino Linotype" w:cs="Palatino Linotype"/>
        </w:rPr>
      </w:pPr>
    </w:p>
    <w:p w:rsidR="00144EDA" w:rsidRPr="00D134CE" w:rsidRDefault="00144EDA" w:rsidP="004C1116">
      <w:pPr>
        <w:spacing w:line="360" w:lineRule="auto"/>
        <w:ind w:right="49"/>
        <w:jc w:val="both"/>
        <w:rPr>
          <w:rFonts w:ascii="Palatino Linotype" w:eastAsia="Palatino Linotype" w:hAnsi="Palatino Linotype" w:cs="Palatino Linotype"/>
        </w:rPr>
      </w:pPr>
    </w:p>
    <w:p w:rsidR="00144EDA" w:rsidRPr="00D134CE" w:rsidRDefault="00C81811" w:rsidP="004C1116">
      <w:pPr>
        <w:tabs>
          <w:tab w:val="left" w:pos="3374"/>
        </w:tabs>
        <w:spacing w:line="360" w:lineRule="auto"/>
        <w:ind w:right="49"/>
        <w:jc w:val="both"/>
        <w:rPr>
          <w:rFonts w:ascii="Palatino Linotype" w:eastAsia="Palatino Linotype" w:hAnsi="Palatino Linotype" w:cs="Palatino Linotype"/>
        </w:rPr>
      </w:pPr>
      <w:r w:rsidRPr="00D134CE">
        <w:rPr>
          <w:rFonts w:ascii="Palatino Linotype" w:eastAsia="Palatino Linotype" w:hAnsi="Palatino Linotype" w:cs="Palatino Linotype"/>
        </w:rPr>
        <w:tab/>
      </w:r>
    </w:p>
    <w:p w:rsidR="00144EDA" w:rsidRPr="00D134CE" w:rsidRDefault="00144EDA" w:rsidP="004C1116">
      <w:pPr>
        <w:tabs>
          <w:tab w:val="left" w:pos="3374"/>
        </w:tabs>
        <w:spacing w:line="360" w:lineRule="auto"/>
        <w:ind w:right="49"/>
        <w:jc w:val="both"/>
        <w:rPr>
          <w:rFonts w:ascii="Palatino Linotype" w:eastAsia="Palatino Linotype" w:hAnsi="Palatino Linotype" w:cs="Palatino Linotype"/>
        </w:rPr>
      </w:pPr>
    </w:p>
    <w:p w:rsidR="00144EDA" w:rsidRPr="00D134CE" w:rsidRDefault="00144EDA" w:rsidP="004C1116">
      <w:pPr>
        <w:tabs>
          <w:tab w:val="left" w:pos="3374"/>
        </w:tabs>
        <w:spacing w:line="360" w:lineRule="auto"/>
        <w:ind w:right="49"/>
        <w:jc w:val="both"/>
        <w:rPr>
          <w:rFonts w:ascii="Palatino Linotype" w:eastAsia="Palatino Linotype" w:hAnsi="Palatino Linotype" w:cs="Palatino Linotype"/>
        </w:rPr>
      </w:pPr>
    </w:p>
    <w:p w:rsidR="00144EDA" w:rsidRPr="00D134CE" w:rsidRDefault="00144EDA" w:rsidP="004C1116">
      <w:pPr>
        <w:tabs>
          <w:tab w:val="left" w:pos="3374"/>
        </w:tabs>
        <w:spacing w:line="360" w:lineRule="auto"/>
        <w:ind w:right="49"/>
        <w:jc w:val="both"/>
        <w:rPr>
          <w:rFonts w:ascii="Palatino Linotype" w:eastAsia="Palatino Linotype" w:hAnsi="Palatino Linotype" w:cs="Palatino Linotype"/>
        </w:rPr>
      </w:pPr>
    </w:p>
    <w:p w:rsidR="00144EDA" w:rsidRPr="00D134CE" w:rsidRDefault="00144EDA" w:rsidP="004C1116">
      <w:pPr>
        <w:tabs>
          <w:tab w:val="left" w:pos="3374"/>
        </w:tabs>
        <w:spacing w:line="360" w:lineRule="auto"/>
        <w:ind w:right="49"/>
        <w:jc w:val="both"/>
        <w:rPr>
          <w:rFonts w:ascii="Palatino Linotype" w:eastAsia="Palatino Linotype" w:hAnsi="Palatino Linotype" w:cs="Palatino Linotype"/>
        </w:rPr>
      </w:pPr>
    </w:p>
    <w:p w:rsidR="00144EDA" w:rsidRPr="00D134CE" w:rsidRDefault="00144EDA" w:rsidP="004C1116">
      <w:pPr>
        <w:tabs>
          <w:tab w:val="left" w:pos="3374"/>
        </w:tabs>
        <w:spacing w:line="360" w:lineRule="auto"/>
        <w:ind w:right="49"/>
        <w:jc w:val="both"/>
        <w:rPr>
          <w:rFonts w:ascii="Palatino Linotype" w:eastAsia="Palatino Linotype" w:hAnsi="Palatino Linotype" w:cs="Palatino Linotype"/>
        </w:rPr>
      </w:pPr>
    </w:p>
    <w:p w:rsidR="00144EDA" w:rsidRPr="00D134CE" w:rsidRDefault="00144EDA" w:rsidP="004C1116">
      <w:pPr>
        <w:tabs>
          <w:tab w:val="left" w:pos="3374"/>
        </w:tabs>
        <w:spacing w:line="360" w:lineRule="auto"/>
        <w:ind w:right="49"/>
        <w:jc w:val="both"/>
        <w:rPr>
          <w:rFonts w:ascii="Palatino Linotype" w:eastAsia="Palatino Linotype" w:hAnsi="Palatino Linotype" w:cs="Palatino Linotype"/>
        </w:rPr>
      </w:pPr>
    </w:p>
    <w:p w:rsidR="00144EDA" w:rsidRPr="00D134CE" w:rsidRDefault="00144EDA" w:rsidP="004C1116">
      <w:pPr>
        <w:tabs>
          <w:tab w:val="left" w:pos="3374"/>
        </w:tabs>
        <w:spacing w:line="360" w:lineRule="auto"/>
        <w:ind w:right="49"/>
        <w:jc w:val="both"/>
        <w:rPr>
          <w:rFonts w:ascii="Palatino Linotype" w:eastAsia="Palatino Linotype" w:hAnsi="Palatino Linotype" w:cs="Palatino Linotype"/>
        </w:rPr>
      </w:pPr>
    </w:p>
    <w:p w:rsidR="00144EDA" w:rsidRPr="00D134CE" w:rsidRDefault="00144EDA" w:rsidP="004C1116">
      <w:pPr>
        <w:tabs>
          <w:tab w:val="left" w:pos="3374"/>
        </w:tabs>
        <w:spacing w:line="360" w:lineRule="auto"/>
        <w:ind w:right="49"/>
        <w:jc w:val="both"/>
        <w:rPr>
          <w:rFonts w:ascii="Palatino Linotype" w:eastAsia="Palatino Linotype" w:hAnsi="Palatino Linotype" w:cs="Palatino Linotype"/>
        </w:rPr>
      </w:pPr>
    </w:p>
    <w:p w:rsidR="00144EDA" w:rsidRPr="00D134CE" w:rsidRDefault="00144EDA" w:rsidP="004C1116">
      <w:pPr>
        <w:spacing w:line="360" w:lineRule="auto"/>
        <w:ind w:right="49"/>
        <w:jc w:val="both"/>
        <w:rPr>
          <w:rFonts w:ascii="Palatino Linotype" w:eastAsia="Palatino Linotype" w:hAnsi="Palatino Linotype" w:cs="Palatino Linotype"/>
        </w:rPr>
      </w:pPr>
    </w:p>
    <w:p w:rsidR="00144EDA" w:rsidRPr="00D134CE" w:rsidRDefault="00144EDA" w:rsidP="004C1116">
      <w:pPr>
        <w:spacing w:line="360" w:lineRule="auto"/>
        <w:ind w:right="49"/>
        <w:jc w:val="both"/>
        <w:rPr>
          <w:rFonts w:ascii="Palatino Linotype" w:eastAsia="Palatino Linotype" w:hAnsi="Palatino Linotype" w:cs="Palatino Linotype"/>
        </w:rPr>
      </w:pPr>
    </w:p>
    <w:sectPr w:rsidR="00144EDA" w:rsidRPr="00D134CE" w:rsidSect="00D134CE">
      <w:headerReference w:type="even" r:id="rId11"/>
      <w:headerReference w:type="default" r:id="rId12"/>
      <w:footerReference w:type="default" r:id="rId13"/>
      <w:headerReference w:type="first" r:id="rId14"/>
      <w:footerReference w:type="first" r:id="rId15"/>
      <w:pgSz w:w="12240" w:h="15840"/>
      <w:pgMar w:top="2268" w:right="474"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793C" w:rsidRDefault="0015793C">
      <w:r>
        <w:separator/>
      </w:r>
    </w:p>
  </w:endnote>
  <w:endnote w:type="continuationSeparator" w:id="0">
    <w:p w:rsidR="0015793C" w:rsidRDefault="00157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A9C85A1A-DCB0-411D-AC3A-F1414911E594}"/>
    <w:embedBold r:id="rId2" w:fontKey="{4E616C4C-AE83-4D68-B3DE-7D2A68D37837}"/>
    <w:embedItalic r:id="rId3" w:fontKey="{26F6BD08-7E34-4D16-A51C-05C2B4DCF47A}"/>
    <w:embedBoldItalic r:id="rId4" w:fontKey="{1CA5A19E-4D01-497C-8B53-24368E89A33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5" w:fontKey="{1B8057AA-2EB4-45C9-B18D-4DA519F339C8}"/>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6" w:fontKey="{D19AAF5D-27C0-4AA7-BCF4-D342E99929DD}"/>
    <w:embedBold r:id="rId7" w:fontKey="{141E3968-6BC6-4F5E-A877-81312E704D09}"/>
    <w:embedItalic r:id="rId8" w:fontKey="{D131F8EF-F241-43A1-BF30-BB272EB21384}"/>
  </w:font>
  <w:font w:name="Calibri Light">
    <w:panose1 w:val="020F0302020204030204"/>
    <w:charset w:val="00"/>
    <w:family w:val="swiss"/>
    <w:pitch w:val="variable"/>
    <w:sig w:usb0="E4002EFF" w:usb1="C200247B" w:usb2="00000009" w:usb3="00000000" w:csb0="000001FF" w:csb1="00000000"/>
    <w:embedRegular r:id="rId9" w:fontKey="{AAE98C9F-8890-4C76-9B67-0821ECC476E4}"/>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0" w:fontKey="{CC1BE7A4-0356-400F-B92D-082D0888A5A0}"/>
  </w:font>
  <w:font w:name="Consolas">
    <w:panose1 w:val="020B0609020204030204"/>
    <w:charset w:val="00"/>
    <w:family w:val="modern"/>
    <w:pitch w:val="fixed"/>
    <w:sig w:usb0="E00006FF" w:usb1="0000FCFF" w:usb2="00000001" w:usb3="00000000" w:csb0="0000019F" w:csb1="00000000"/>
    <w:embedRegular r:id="rId11" w:fontKey="{8AD2B635-1C8D-48DD-8B35-A84B331DC0B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682" w:rsidRPr="00D134CE" w:rsidRDefault="00131682">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D134CE">
      <w:rPr>
        <w:rFonts w:ascii="Palatino Linotype" w:eastAsia="Palatino Linotype" w:hAnsi="Palatino Linotype" w:cs="Palatino Linotype"/>
        <w:b/>
        <w:color w:val="000000"/>
        <w:sz w:val="22"/>
        <w:szCs w:val="20"/>
      </w:rPr>
      <w:t xml:space="preserve">Página </w:t>
    </w:r>
    <w:r w:rsidRPr="00D134CE">
      <w:rPr>
        <w:rFonts w:ascii="Palatino Linotype" w:eastAsia="Palatino Linotype" w:hAnsi="Palatino Linotype" w:cs="Palatino Linotype"/>
        <w:b/>
        <w:color w:val="000000"/>
        <w:sz w:val="22"/>
        <w:szCs w:val="20"/>
      </w:rPr>
      <w:fldChar w:fldCharType="begin"/>
    </w:r>
    <w:r w:rsidRPr="00D134CE">
      <w:rPr>
        <w:rFonts w:ascii="Palatino Linotype" w:eastAsia="Palatino Linotype" w:hAnsi="Palatino Linotype" w:cs="Palatino Linotype"/>
        <w:b/>
        <w:color w:val="000000"/>
        <w:sz w:val="22"/>
        <w:szCs w:val="20"/>
      </w:rPr>
      <w:instrText>PAGE</w:instrText>
    </w:r>
    <w:r w:rsidRPr="00D134CE">
      <w:rPr>
        <w:rFonts w:ascii="Palatino Linotype" w:eastAsia="Palatino Linotype" w:hAnsi="Palatino Linotype" w:cs="Palatino Linotype"/>
        <w:b/>
        <w:color w:val="000000"/>
        <w:sz w:val="22"/>
        <w:szCs w:val="20"/>
      </w:rPr>
      <w:fldChar w:fldCharType="separate"/>
    </w:r>
    <w:r w:rsidR="00596E44">
      <w:rPr>
        <w:rFonts w:ascii="Palatino Linotype" w:eastAsia="Palatino Linotype" w:hAnsi="Palatino Linotype" w:cs="Palatino Linotype"/>
        <w:b/>
        <w:noProof/>
        <w:color w:val="000000"/>
        <w:sz w:val="22"/>
        <w:szCs w:val="20"/>
      </w:rPr>
      <w:t>2</w:t>
    </w:r>
    <w:r w:rsidRPr="00D134CE">
      <w:rPr>
        <w:rFonts w:ascii="Palatino Linotype" w:eastAsia="Palatino Linotype" w:hAnsi="Palatino Linotype" w:cs="Palatino Linotype"/>
        <w:b/>
        <w:color w:val="000000"/>
        <w:sz w:val="22"/>
        <w:szCs w:val="20"/>
      </w:rPr>
      <w:fldChar w:fldCharType="end"/>
    </w:r>
    <w:r w:rsidRPr="00D134CE">
      <w:rPr>
        <w:rFonts w:ascii="Palatino Linotype" w:eastAsia="Palatino Linotype" w:hAnsi="Palatino Linotype" w:cs="Palatino Linotype"/>
        <w:b/>
        <w:color w:val="000000"/>
        <w:sz w:val="22"/>
        <w:szCs w:val="20"/>
      </w:rPr>
      <w:t xml:space="preserve"> de </w:t>
    </w:r>
    <w:r w:rsidRPr="00D134CE">
      <w:rPr>
        <w:rFonts w:ascii="Palatino Linotype" w:eastAsia="Palatino Linotype" w:hAnsi="Palatino Linotype" w:cs="Palatino Linotype"/>
        <w:b/>
        <w:color w:val="000000"/>
        <w:sz w:val="22"/>
        <w:szCs w:val="20"/>
      </w:rPr>
      <w:fldChar w:fldCharType="begin"/>
    </w:r>
    <w:r w:rsidRPr="00D134CE">
      <w:rPr>
        <w:rFonts w:ascii="Palatino Linotype" w:eastAsia="Palatino Linotype" w:hAnsi="Palatino Linotype" w:cs="Palatino Linotype"/>
        <w:b/>
        <w:color w:val="000000"/>
        <w:sz w:val="22"/>
        <w:szCs w:val="20"/>
      </w:rPr>
      <w:instrText>NUMPAGES</w:instrText>
    </w:r>
    <w:r w:rsidRPr="00D134CE">
      <w:rPr>
        <w:rFonts w:ascii="Palatino Linotype" w:eastAsia="Palatino Linotype" w:hAnsi="Palatino Linotype" w:cs="Palatino Linotype"/>
        <w:b/>
        <w:color w:val="000000"/>
        <w:sz w:val="22"/>
        <w:szCs w:val="20"/>
      </w:rPr>
      <w:fldChar w:fldCharType="separate"/>
    </w:r>
    <w:r w:rsidR="00596E44">
      <w:rPr>
        <w:rFonts w:ascii="Palatino Linotype" w:eastAsia="Palatino Linotype" w:hAnsi="Palatino Linotype" w:cs="Palatino Linotype"/>
        <w:b/>
        <w:noProof/>
        <w:color w:val="000000"/>
        <w:sz w:val="22"/>
        <w:szCs w:val="20"/>
      </w:rPr>
      <w:t>44</w:t>
    </w:r>
    <w:r w:rsidRPr="00D134CE">
      <w:rPr>
        <w:rFonts w:ascii="Palatino Linotype" w:eastAsia="Palatino Linotype" w:hAnsi="Palatino Linotype" w:cs="Palatino Linotype"/>
        <w:b/>
        <w:color w:val="000000"/>
        <w:sz w:val="22"/>
        <w:szCs w:val="20"/>
      </w:rPr>
      <w:fldChar w:fldCharType="end"/>
    </w:r>
  </w:p>
  <w:p w:rsidR="00131682" w:rsidRDefault="0013168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682" w:rsidRPr="00D134CE" w:rsidRDefault="00131682">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D134CE">
      <w:rPr>
        <w:rFonts w:ascii="Palatino Linotype" w:eastAsia="Palatino Linotype" w:hAnsi="Palatino Linotype" w:cs="Palatino Linotype"/>
        <w:b/>
        <w:color w:val="000000"/>
        <w:sz w:val="22"/>
        <w:szCs w:val="20"/>
      </w:rPr>
      <w:t xml:space="preserve">Página </w:t>
    </w:r>
    <w:r w:rsidRPr="00D134CE">
      <w:rPr>
        <w:rFonts w:ascii="Palatino Linotype" w:eastAsia="Palatino Linotype" w:hAnsi="Palatino Linotype" w:cs="Palatino Linotype"/>
        <w:b/>
        <w:color w:val="000000"/>
        <w:sz w:val="22"/>
        <w:szCs w:val="20"/>
      </w:rPr>
      <w:fldChar w:fldCharType="begin"/>
    </w:r>
    <w:r w:rsidRPr="00D134CE">
      <w:rPr>
        <w:rFonts w:ascii="Palatino Linotype" w:eastAsia="Palatino Linotype" w:hAnsi="Palatino Linotype" w:cs="Palatino Linotype"/>
        <w:b/>
        <w:color w:val="000000"/>
        <w:sz w:val="22"/>
        <w:szCs w:val="20"/>
      </w:rPr>
      <w:instrText>PAGE</w:instrText>
    </w:r>
    <w:r w:rsidRPr="00D134CE">
      <w:rPr>
        <w:rFonts w:ascii="Palatino Linotype" w:eastAsia="Palatino Linotype" w:hAnsi="Palatino Linotype" w:cs="Palatino Linotype"/>
        <w:b/>
        <w:color w:val="000000"/>
        <w:sz w:val="22"/>
        <w:szCs w:val="20"/>
      </w:rPr>
      <w:fldChar w:fldCharType="separate"/>
    </w:r>
    <w:r w:rsidR="00596E44">
      <w:rPr>
        <w:rFonts w:ascii="Palatino Linotype" w:eastAsia="Palatino Linotype" w:hAnsi="Palatino Linotype" w:cs="Palatino Linotype"/>
        <w:b/>
        <w:noProof/>
        <w:color w:val="000000"/>
        <w:sz w:val="22"/>
        <w:szCs w:val="20"/>
      </w:rPr>
      <w:t>1</w:t>
    </w:r>
    <w:r w:rsidRPr="00D134CE">
      <w:rPr>
        <w:rFonts w:ascii="Palatino Linotype" w:eastAsia="Palatino Linotype" w:hAnsi="Palatino Linotype" w:cs="Palatino Linotype"/>
        <w:b/>
        <w:color w:val="000000"/>
        <w:sz w:val="22"/>
        <w:szCs w:val="20"/>
      </w:rPr>
      <w:fldChar w:fldCharType="end"/>
    </w:r>
    <w:r w:rsidRPr="00D134CE">
      <w:rPr>
        <w:rFonts w:ascii="Palatino Linotype" w:eastAsia="Palatino Linotype" w:hAnsi="Palatino Linotype" w:cs="Palatino Linotype"/>
        <w:b/>
        <w:color w:val="000000"/>
        <w:sz w:val="22"/>
        <w:szCs w:val="20"/>
      </w:rPr>
      <w:t xml:space="preserve"> de </w:t>
    </w:r>
    <w:r w:rsidRPr="00D134CE">
      <w:rPr>
        <w:rFonts w:ascii="Palatino Linotype" w:eastAsia="Palatino Linotype" w:hAnsi="Palatino Linotype" w:cs="Palatino Linotype"/>
        <w:b/>
        <w:color w:val="000000"/>
        <w:sz w:val="22"/>
        <w:szCs w:val="20"/>
      </w:rPr>
      <w:fldChar w:fldCharType="begin"/>
    </w:r>
    <w:r w:rsidRPr="00D134CE">
      <w:rPr>
        <w:rFonts w:ascii="Palatino Linotype" w:eastAsia="Palatino Linotype" w:hAnsi="Palatino Linotype" w:cs="Palatino Linotype"/>
        <w:b/>
        <w:color w:val="000000"/>
        <w:sz w:val="22"/>
        <w:szCs w:val="20"/>
      </w:rPr>
      <w:instrText>NUMPAGES</w:instrText>
    </w:r>
    <w:r w:rsidRPr="00D134CE">
      <w:rPr>
        <w:rFonts w:ascii="Palatino Linotype" w:eastAsia="Palatino Linotype" w:hAnsi="Palatino Linotype" w:cs="Palatino Linotype"/>
        <w:b/>
        <w:color w:val="000000"/>
        <w:sz w:val="22"/>
        <w:szCs w:val="20"/>
      </w:rPr>
      <w:fldChar w:fldCharType="separate"/>
    </w:r>
    <w:r w:rsidR="00596E44">
      <w:rPr>
        <w:rFonts w:ascii="Palatino Linotype" w:eastAsia="Palatino Linotype" w:hAnsi="Palatino Linotype" w:cs="Palatino Linotype"/>
        <w:b/>
        <w:noProof/>
        <w:color w:val="000000"/>
        <w:sz w:val="22"/>
        <w:szCs w:val="20"/>
      </w:rPr>
      <w:t>44</w:t>
    </w:r>
    <w:r w:rsidRPr="00D134CE">
      <w:rPr>
        <w:rFonts w:ascii="Palatino Linotype" w:eastAsia="Palatino Linotype" w:hAnsi="Palatino Linotype" w:cs="Palatino Linotype"/>
        <w:b/>
        <w:color w:val="000000"/>
        <w:sz w:val="22"/>
        <w:szCs w:val="20"/>
      </w:rPr>
      <w:fldChar w:fldCharType="end"/>
    </w:r>
  </w:p>
  <w:p w:rsidR="00131682" w:rsidRDefault="0013168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793C" w:rsidRDefault="0015793C">
      <w:r>
        <w:separator/>
      </w:r>
    </w:p>
  </w:footnote>
  <w:footnote w:type="continuationSeparator" w:id="0">
    <w:p w:rsidR="0015793C" w:rsidRDefault="0015793C">
      <w:r>
        <w:continuationSeparator/>
      </w:r>
    </w:p>
  </w:footnote>
  <w:footnote w:id="1">
    <w:p w:rsidR="00131682" w:rsidRDefault="00131682" w:rsidP="00131682">
      <w:pPr>
        <w:jc w:val="both"/>
        <w:rPr>
          <w:rFonts w:ascii="Palatino Linotype" w:eastAsia="Palatino Linotype" w:hAnsi="Palatino Linotype" w:cs="Palatino Linotype"/>
          <w:i/>
          <w:iCs/>
          <w:sz w:val="16"/>
          <w:szCs w:val="16"/>
        </w:rPr>
      </w:pPr>
      <w:r>
        <w:rPr>
          <w:vertAlign w:val="superscript"/>
        </w:rPr>
        <w:footnoteRef/>
      </w:r>
      <w:r>
        <w:t xml:space="preserve"> “</w:t>
      </w:r>
      <w:r>
        <w:rPr>
          <w:rFonts w:ascii="Palatino Linotype" w:eastAsia="Palatino Linotype" w:hAnsi="Palatino Linotype" w:cs="Palatino Linotype"/>
          <w:b/>
          <w:bCs/>
          <w:i/>
          <w:iCs/>
          <w:sz w:val="16"/>
          <w:szCs w:val="16"/>
        </w:rPr>
        <w:t>PRINCIPIO DE INTERPRETACIÓN MÁS FAVORABLE A LA PERSONA. ES APLICABLE RESPECTO DE LAS NORMAS RELATIVAS A LOS DERECHOS HUMANOS DE LOS QUE SEAN TITULARES LAS PERSONAS MORALES.</w:t>
      </w:r>
      <w:r>
        <w:rPr>
          <w:rFonts w:ascii="Palatino Linotype" w:eastAsia="Palatino Linotype" w:hAnsi="Palatino Linotype" w:cs="Palatino Linotype"/>
          <w:i/>
          <w:iCs/>
          <w:sz w:val="16"/>
          <w:szCs w:val="16"/>
        </w:rPr>
        <w:t xml:space="preserve"> El artículo 1o. de la Constitución Política de los Estados Unidos Mexicanos, al disponer que en los Estados Unidos Mexicanos todas las personas gozarán de los derechos humanos reconocidos en dicha Constitución y en los tratados internacionales de los que el Estado Mexicano sea parte, así como de las garantías para su protección, no prevé distinción alguna, por lo que debe interpretarse en el sentido de que comprende tanto a las personas físicas, como a las morales, las que gozarán de aquellos derechos en la medida en que resulten conformes con su naturaleza y fines. En consecuencia, el principio de interpretación más favorable a la persona, que como imperativo establece el párrafo segundo del citado precepto, es aplicable respecto de las normas relativas a los derechos humanos de los que gocen las personas morales, por lo que deberán interpretarse favoreciendo en todo tiempo la protección más amplia, a condición de que no se trate de aquellos derechos cuyo contenido material sólo pueda ser disfrutado por las personas físicas, lo que habrá de determinarse en cada caso concreto.”</w:t>
      </w:r>
    </w:p>
    <w:p w:rsidR="00131682" w:rsidRDefault="00131682" w:rsidP="00131682"/>
    <w:p w:rsidR="00131682" w:rsidRDefault="00131682" w:rsidP="00131682">
      <w:pPr>
        <w:pBdr>
          <w:top w:val="nil"/>
          <w:left w:val="nil"/>
          <w:bottom w:val="nil"/>
          <w:right w:val="nil"/>
          <w:between w:val="nil"/>
        </w:pBdr>
        <w:rPr>
          <w:color w:val="000000"/>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682" w:rsidRDefault="0015793C">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5"/>
      <w:tblW w:w="7512" w:type="dxa"/>
      <w:tblInd w:w="2694" w:type="dxa"/>
      <w:tblLayout w:type="fixed"/>
      <w:tblLook w:val="0400" w:firstRow="0" w:lastRow="0" w:firstColumn="0" w:lastColumn="0" w:noHBand="0" w:noVBand="1"/>
    </w:tblPr>
    <w:tblGrid>
      <w:gridCol w:w="2976"/>
      <w:gridCol w:w="4536"/>
    </w:tblGrid>
    <w:tr w:rsidR="00131682" w:rsidTr="00D134CE">
      <w:trPr>
        <w:trHeight w:val="227"/>
      </w:trPr>
      <w:tc>
        <w:tcPr>
          <w:tcW w:w="2976" w:type="dxa"/>
          <w:vAlign w:val="center"/>
        </w:tcPr>
        <w:p w:rsidR="00131682" w:rsidRPr="00D134CE" w:rsidRDefault="00131682">
          <w:pPr>
            <w:ind w:right="34"/>
            <w:jc w:val="right"/>
            <w:rPr>
              <w:rFonts w:ascii="Palatino Linotype" w:eastAsia="Palatino Linotype" w:hAnsi="Palatino Linotype" w:cs="Palatino Linotype"/>
              <w:b/>
              <w:bCs/>
              <w:szCs w:val="22"/>
            </w:rPr>
          </w:pPr>
          <w:r w:rsidRPr="00D134CE">
            <w:rPr>
              <w:rFonts w:ascii="Palatino Linotype" w:eastAsia="Palatino Linotype" w:hAnsi="Palatino Linotype" w:cs="Palatino Linotype"/>
              <w:b/>
              <w:bCs/>
              <w:szCs w:val="22"/>
            </w:rPr>
            <w:t>Recurso de Revisión:</w:t>
          </w:r>
        </w:p>
      </w:tc>
      <w:tc>
        <w:tcPr>
          <w:tcW w:w="4536" w:type="dxa"/>
          <w:vAlign w:val="center"/>
        </w:tcPr>
        <w:p w:rsidR="00131682" w:rsidRPr="00D134CE" w:rsidRDefault="00CC0D6A" w:rsidP="00D134CE">
          <w:pPr>
            <w:pBdr>
              <w:top w:val="nil"/>
              <w:left w:val="nil"/>
              <w:bottom w:val="nil"/>
              <w:right w:val="nil"/>
              <w:between w:val="nil"/>
            </w:pBdr>
            <w:tabs>
              <w:tab w:val="right" w:pos="8838"/>
            </w:tabs>
            <w:rPr>
              <w:rFonts w:ascii="Palatino Linotype" w:eastAsia="Palatino Linotype" w:hAnsi="Palatino Linotype" w:cs="Palatino Linotype"/>
              <w:color w:val="000000"/>
              <w:szCs w:val="22"/>
              <w:highlight w:val="green"/>
            </w:rPr>
          </w:pPr>
          <w:r w:rsidRPr="00D134CE">
            <w:rPr>
              <w:rFonts w:ascii="Palatino Linotype" w:eastAsia="Palatino Linotype" w:hAnsi="Palatino Linotype" w:cs="Palatino Linotype"/>
              <w:color w:val="000000"/>
              <w:szCs w:val="22"/>
            </w:rPr>
            <w:t>13303</w:t>
          </w:r>
          <w:r w:rsidR="00131682" w:rsidRPr="00D134CE">
            <w:rPr>
              <w:rFonts w:ascii="Palatino Linotype" w:eastAsia="Palatino Linotype" w:hAnsi="Palatino Linotype" w:cs="Palatino Linotype"/>
              <w:color w:val="000000"/>
              <w:szCs w:val="22"/>
            </w:rPr>
            <w:t>/INFOEM/IP/RR/2025</w:t>
          </w:r>
        </w:p>
      </w:tc>
    </w:tr>
    <w:tr w:rsidR="00131682" w:rsidTr="00D134CE">
      <w:trPr>
        <w:trHeight w:val="242"/>
      </w:trPr>
      <w:tc>
        <w:tcPr>
          <w:tcW w:w="2976" w:type="dxa"/>
          <w:vAlign w:val="center"/>
        </w:tcPr>
        <w:p w:rsidR="00131682" w:rsidRPr="00D134CE" w:rsidRDefault="00131682">
          <w:pPr>
            <w:ind w:right="34"/>
            <w:jc w:val="right"/>
            <w:rPr>
              <w:rFonts w:ascii="Palatino Linotype" w:eastAsia="Palatino Linotype" w:hAnsi="Palatino Linotype" w:cs="Palatino Linotype"/>
              <w:b/>
              <w:bCs/>
              <w:szCs w:val="22"/>
            </w:rPr>
          </w:pPr>
          <w:r w:rsidRPr="00D134CE">
            <w:rPr>
              <w:rFonts w:ascii="Palatino Linotype" w:eastAsia="Palatino Linotype" w:hAnsi="Palatino Linotype" w:cs="Palatino Linotype"/>
              <w:b/>
              <w:bCs/>
              <w:szCs w:val="22"/>
            </w:rPr>
            <w:t>Sujeto Obligado:</w:t>
          </w:r>
        </w:p>
      </w:tc>
      <w:tc>
        <w:tcPr>
          <w:tcW w:w="4536" w:type="dxa"/>
          <w:vAlign w:val="center"/>
        </w:tcPr>
        <w:p w:rsidR="00131682" w:rsidRPr="00D134CE" w:rsidRDefault="00131682" w:rsidP="00D134CE">
          <w:pPr>
            <w:pBdr>
              <w:top w:val="nil"/>
              <w:left w:val="nil"/>
              <w:bottom w:val="nil"/>
              <w:right w:val="nil"/>
              <w:between w:val="nil"/>
            </w:pBdr>
            <w:tabs>
              <w:tab w:val="right" w:pos="8838"/>
            </w:tabs>
            <w:rPr>
              <w:rFonts w:ascii="Palatino Linotype" w:eastAsia="Palatino Linotype" w:hAnsi="Palatino Linotype" w:cs="Palatino Linotype"/>
              <w:color w:val="000000"/>
              <w:szCs w:val="22"/>
              <w:highlight w:val="green"/>
            </w:rPr>
          </w:pPr>
          <w:r w:rsidRPr="00D134CE">
            <w:rPr>
              <w:rFonts w:ascii="Palatino Linotype" w:hAnsi="Palatino Linotype" w:cs="Consolas"/>
              <w:color w:val="000000"/>
              <w:szCs w:val="22"/>
              <w:lang w:val="es-MX"/>
            </w:rPr>
            <w:t>Instituto Municipal de Cultura Física y Deporte de Nicolás Romero</w:t>
          </w:r>
        </w:p>
      </w:tc>
    </w:tr>
    <w:tr w:rsidR="00131682" w:rsidTr="00D134CE">
      <w:trPr>
        <w:trHeight w:val="342"/>
      </w:trPr>
      <w:tc>
        <w:tcPr>
          <w:tcW w:w="2976" w:type="dxa"/>
          <w:vAlign w:val="center"/>
        </w:tcPr>
        <w:p w:rsidR="00131682" w:rsidRPr="00D134CE" w:rsidRDefault="00131682">
          <w:pPr>
            <w:ind w:right="34"/>
            <w:jc w:val="right"/>
            <w:rPr>
              <w:rFonts w:ascii="Palatino Linotype" w:eastAsia="Palatino Linotype" w:hAnsi="Palatino Linotype" w:cs="Palatino Linotype"/>
              <w:b/>
              <w:bCs/>
              <w:szCs w:val="22"/>
            </w:rPr>
          </w:pPr>
          <w:r w:rsidRPr="00D134CE">
            <w:rPr>
              <w:rFonts w:ascii="Palatino Linotype" w:eastAsia="Palatino Linotype" w:hAnsi="Palatino Linotype" w:cs="Palatino Linotype"/>
              <w:b/>
              <w:bCs/>
              <w:szCs w:val="22"/>
            </w:rPr>
            <w:t>Comisionada Ponente:</w:t>
          </w:r>
        </w:p>
      </w:tc>
      <w:tc>
        <w:tcPr>
          <w:tcW w:w="4536" w:type="dxa"/>
          <w:vAlign w:val="center"/>
        </w:tcPr>
        <w:p w:rsidR="00131682" w:rsidRPr="00D134CE" w:rsidRDefault="00131682" w:rsidP="00D134CE">
          <w:pPr>
            <w:pBdr>
              <w:top w:val="nil"/>
              <w:left w:val="nil"/>
              <w:bottom w:val="nil"/>
              <w:right w:val="nil"/>
              <w:between w:val="nil"/>
            </w:pBdr>
            <w:tabs>
              <w:tab w:val="right" w:pos="8838"/>
            </w:tabs>
            <w:rPr>
              <w:rFonts w:ascii="Palatino Linotype" w:eastAsia="Palatino Linotype" w:hAnsi="Palatino Linotype" w:cs="Palatino Linotype"/>
              <w:color w:val="000000"/>
              <w:szCs w:val="22"/>
            </w:rPr>
          </w:pPr>
          <w:r w:rsidRPr="00D134CE">
            <w:rPr>
              <w:rFonts w:ascii="Palatino Linotype" w:eastAsia="Palatino Linotype" w:hAnsi="Palatino Linotype" w:cs="Palatino Linotype"/>
              <w:color w:val="000000"/>
              <w:szCs w:val="22"/>
            </w:rPr>
            <w:t>María del Rosario Mejía Ayala</w:t>
          </w:r>
        </w:p>
      </w:tc>
    </w:tr>
  </w:tbl>
  <w:p w:rsidR="00131682" w:rsidRDefault="0015793C">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6"/>
      <w:tblW w:w="7371" w:type="dxa"/>
      <w:tblInd w:w="2835" w:type="dxa"/>
      <w:tblLayout w:type="fixed"/>
      <w:tblLook w:val="0400" w:firstRow="0" w:lastRow="0" w:firstColumn="0" w:lastColumn="0" w:noHBand="0" w:noVBand="1"/>
    </w:tblPr>
    <w:tblGrid>
      <w:gridCol w:w="2977"/>
      <w:gridCol w:w="4394"/>
    </w:tblGrid>
    <w:tr w:rsidR="00131682" w:rsidTr="00D134CE">
      <w:trPr>
        <w:trHeight w:val="227"/>
      </w:trPr>
      <w:tc>
        <w:tcPr>
          <w:tcW w:w="2977" w:type="dxa"/>
          <w:vAlign w:val="center"/>
        </w:tcPr>
        <w:p w:rsidR="00131682" w:rsidRPr="00D134CE" w:rsidRDefault="00131682">
          <w:pPr>
            <w:jc w:val="right"/>
            <w:rPr>
              <w:rFonts w:ascii="Palatino Linotype" w:eastAsia="Palatino Linotype" w:hAnsi="Palatino Linotype" w:cs="Palatino Linotype"/>
              <w:b/>
              <w:bCs/>
              <w:szCs w:val="22"/>
            </w:rPr>
          </w:pPr>
          <w:r w:rsidRPr="00D134CE">
            <w:rPr>
              <w:rFonts w:ascii="Palatino Linotype" w:eastAsia="Palatino Linotype" w:hAnsi="Palatino Linotype" w:cs="Palatino Linotype"/>
              <w:b/>
              <w:bCs/>
              <w:szCs w:val="22"/>
            </w:rPr>
            <w:t>Recurso de Revisión:</w:t>
          </w:r>
        </w:p>
      </w:tc>
      <w:tc>
        <w:tcPr>
          <w:tcW w:w="4394" w:type="dxa"/>
          <w:vAlign w:val="center"/>
        </w:tcPr>
        <w:p w:rsidR="00131682" w:rsidRPr="00D134CE" w:rsidRDefault="00131682">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D134CE">
            <w:rPr>
              <w:rFonts w:ascii="Palatino Linotype" w:eastAsia="Palatino Linotype" w:hAnsi="Palatino Linotype" w:cs="Palatino Linotype"/>
              <w:color w:val="000000"/>
              <w:szCs w:val="22"/>
            </w:rPr>
            <w:t>13303/INFOEM/IP/RR/2025</w:t>
          </w:r>
        </w:p>
      </w:tc>
    </w:tr>
    <w:tr w:rsidR="00131682" w:rsidTr="00D134CE">
      <w:trPr>
        <w:trHeight w:val="242"/>
      </w:trPr>
      <w:tc>
        <w:tcPr>
          <w:tcW w:w="2977" w:type="dxa"/>
          <w:vAlign w:val="center"/>
        </w:tcPr>
        <w:p w:rsidR="00131682" w:rsidRPr="00D134CE" w:rsidRDefault="00131682">
          <w:pPr>
            <w:jc w:val="right"/>
            <w:rPr>
              <w:rFonts w:ascii="Palatino Linotype" w:eastAsia="Palatino Linotype" w:hAnsi="Palatino Linotype" w:cs="Palatino Linotype"/>
              <w:b/>
              <w:bCs/>
              <w:szCs w:val="22"/>
            </w:rPr>
          </w:pPr>
          <w:r w:rsidRPr="00D134CE">
            <w:rPr>
              <w:rFonts w:ascii="Palatino Linotype" w:eastAsia="Palatino Linotype" w:hAnsi="Palatino Linotype" w:cs="Palatino Linotype"/>
              <w:b/>
              <w:bCs/>
              <w:szCs w:val="22"/>
            </w:rPr>
            <w:t>Recurrente:</w:t>
          </w:r>
        </w:p>
      </w:tc>
      <w:tc>
        <w:tcPr>
          <w:tcW w:w="4394" w:type="dxa"/>
        </w:tcPr>
        <w:p w:rsidR="00131682" w:rsidRPr="00D134CE" w:rsidRDefault="00596E44" w:rsidP="00530026">
          <w:pPr>
            <w:tabs>
              <w:tab w:val="left" w:pos="521"/>
            </w:tabs>
            <w:autoSpaceDE w:val="0"/>
            <w:autoSpaceDN w:val="0"/>
            <w:adjustRightInd w:val="0"/>
            <w:rPr>
              <w:rFonts w:ascii="Palatino Linotype" w:hAnsi="Palatino Linotype" w:cs="Consolas"/>
              <w:color w:val="000000"/>
              <w:szCs w:val="22"/>
              <w:lang w:val="es-MX"/>
            </w:rPr>
          </w:pPr>
          <w:r>
            <w:rPr>
              <w:rFonts w:ascii="Palatino Linotype" w:hAnsi="Palatino Linotype" w:cs="Consolas"/>
              <w:color w:val="000000"/>
              <w:szCs w:val="22"/>
              <w:lang w:val="es-MX"/>
            </w:rPr>
            <w:t>XXXX</w:t>
          </w:r>
        </w:p>
      </w:tc>
    </w:tr>
    <w:tr w:rsidR="00131682" w:rsidTr="00D134CE">
      <w:trPr>
        <w:trHeight w:val="342"/>
      </w:trPr>
      <w:tc>
        <w:tcPr>
          <w:tcW w:w="2977" w:type="dxa"/>
          <w:vAlign w:val="center"/>
        </w:tcPr>
        <w:p w:rsidR="00131682" w:rsidRPr="00D134CE" w:rsidRDefault="00131682">
          <w:pPr>
            <w:jc w:val="right"/>
            <w:rPr>
              <w:rFonts w:ascii="Palatino Linotype" w:eastAsia="Palatino Linotype" w:hAnsi="Palatino Linotype" w:cs="Palatino Linotype"/>
              <w:b/>
              <w:bCs/>
              <w:szCs w:val="22"/>
            </w:rPr>
          </w:pPr>
          <w:r w:rsidRPr="00D134CE">
            <w:rPr>
              <w:rFonts w:ascii="Palatino Linotype" w:eastAsia="Palatino Linotype" w:hAnsi="Palatino Linotype" w:cs="Palatino Linotype"/>
              <w:b/>
              <w:bCs/>
              <w:szCs w:val="22"/>
            </w:rPr>
            <w:t>Sujeto Obligado:</w:t>
          </w:r>
        </w:p>
      </w:tc>
      <w:tc>
        <w:tcPr>
          <w:tcW w:w="4394" w:type="dxa"/>
          <w:vAlign w:val="center"/>
        </w:tcPr>
        <w:p w:rsidR="00131682" w:rsidRPr="00D134CE" w:rsidRDefault="00131682" w:rsidP="00530026">
          <w:pPr>
            <w:autoSpaceDE w:val="0"/>
            <w:autoSpaceDN w:val="0"/>
            <w:adjustRightInd w:val="0"/>
            <w:rPr>
              <w:rFonts w:ascii="Palatino Linotype" w:hAnsi="Palatino Linotype" w:cs="Consolas"/>
              <w:color w:val="000000"/>
              <w:szCs w:val="22"/>
              <w:lang w:val="es-MX"/>
            </w:rPr>
          </w:pPr>
          <w:r w:rsidRPr="00D134CE">
            <w:rPr>
              <w:rFonts w:ascii="Palatino Linotype" w:hAnsi="Palatino Linotype" w:cs="Consolas"/>
              <w:color w:val="000000"/>
              <w:szCs w:val="22"/>
              <w:lang w:val="es-MX"/>
            </w:rPr>
            <w:t>Instituto Municipal de Cultura Física y Deporte de Nicolás Romero</w:t>
          </w:r>
        </w:p>
      </w:tc>
    </w:tr>
    <w:tr w:rsidR="00131682" w:rsidTr="00D134CE">
      <w:trPr>
        <w:trHeight w:val="342"/>
      </w:trPr>
      <w:tc>
        <w:tcPr>
          <w:tcW w:w="2977" w:type="dxa"/>
          <w:vAlign w:val="center"/>
        </w:tcPr>
        <w:p w:rsidR="00131682" w:rsidRPr="00D134CE" w:rsidRDefault="00131682">
          <w:pPr>
            <w:jc w:val="right"/>
            <w:rPr>
              <w:rFonts w:ascii="Palatino Linotype" w:eastAsia="Palatino Linotype" w:hAnsi="Palatino Linotype" w:cs="Palatino Linotype"/>
              <w:b/>
              <w:bCs/>
              <w:szCs w:val="22"/>
            </w:rPr>
          </w:pPr>
          <w:r w:rsidRPr="00D134CE">
            <w:rPr>
              <w:rFonts w:ascii="Palatino Linotype" w:eastAsia="Palatino Linotype" w:hAnsi="Palatino Linotype" w:cs="Palatino Linotype"/>
              <w:b/>
              <w:bCs/>
              <w:szCs w:val="22"/>
            </w:rPr>
            <w:t>Comisionada Ponente:</w:t>
          </w:r>
        </w:p>
      </w:tc>
      <w:tc>
        <w:tcPr>
          <w:tcW w:w="4394" w:type="dxa"/>
          <w:vAlign w:val="center"/>
        </w:tcPr>
        <w:p w:rsidR="00131682" w:rsidRPr="00D134CE" w:rsidRDefault="00131682">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D134CE">
            <w:rPr>
              <w:rFonts w:ascii="Palatino Linotype" w:eastAsia="Palatino Linotype" w:hAnsi="Palatino Linotype" w:cs="Palatino Linotype"/>
              <w:color w:val="000000"/>
              <w:szCs w:val="22"/>
            </w:rPr>
            <w:t>María del Rosario Mejía Ayala</w:t>
          </w:r>
        </w:p>
      </w:tc>
    </w:tr>
  </w:tbl>
  <w:p w:rsidR="00131682" w:rsidRDefault="0015793C">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1.5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639FB"/>
    <w:multiLevelType w:val="hybridMultilevel"/>
    <w:tmpl w:val="3D4CF354"/>
    <w:lvl w:ilvl="0" w:tplc="7EE0C6EC">
      <w:start w:val="1"/>
      <w:numFmt w:val="decimal"/>
      <w:lvlText w:val="%1."/>
      <w:lvlJc w:val="left"/>
      <w:pPr>
        <w:ind w:left="0" w:firstLine="0"/>
      </w:pPr>
      <w:rPr>
        <w:rFonts w:ascii="Palatino Linotype" w:hAnsi="Palatino Linotype" w:hint="default"/>
        <w:b/>
        <w:i w:val="0"/>
        <w:sz w:val="24"/>
      </w:rPr>
    </w:lvl>
    <w:lvl w:ilvl="1" w:tplc="080A0013">
      <w:start w:val="1"/>
      <w:numFmt w:val="upperRoman"/>
      <w:lvlText w:val="%2."/>
      <w:lvlJc w:val="right"/>
      <w:pPr>
        <w:ind w:left="1440" w:hanging="360"/>
      </w:pPr>
      <w:rPr>
        <w:rFonts w:hint="default"/>
        <w:b/>
        <w:bCs/>
        <w:i w:val="0"/>
        <w:iCs w:val="0"/>
      </w:rPr>
    </w:lvl>
    <w:lvl w:ilvl="2" w:tplc="35B2368A">
      <w:start w:val="1"/>
      <w:numFmt w:val="lowerRoman"/>
      <w:lvlText w:val="%3."/>
      <w:lvlJc w:val="right"/>
      <w:pPr>
        <w:ind w:left="2340" w:hanging="360"/>
      </w:pPr>
      <w:rPr>
        <w:rFonts w:hint="default"/>
        <w:b/>
        <w:strike w:val="0"/>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9D37392"/>
    <w:multiLevelType w:val="multilevel"/>
    <w:tmpl w:val="DC32EBC0"/>
    <w:lvl w:ilvl="0">
      <w:start w:val="1"/>
      <w:numFmt w:val="bullet"/>
      <w:lvlText w:val="●"/>
      <w:lvlJc w:val="left"/>
      <w:pPr>
        <w:ind w:left="709" w:hanging="357"/>
      </w:pPr>
      <w:rPr>
        <w:rFonts w:ascii="Noto Sans Symbols" w:eastAsia="Noto Sans Symbols" w:hAnsi="Noto Sans Symbols" w:cs="Noto Sans Symbols"/>
      </w:rPr>
    </w:lvl>
    <w:lvl w:ilvl="1">
      <w:start w:val="1"/>
      <w:numFmt w:val="bullet"/>
      <w:lvlText w:val="o"/>
      <w:lvlJc w:val="left"/>
      <w:pPr>
        <w:ind w:left="1429" w:hanging="360"/>
      </w:pPr>
      <w:rPr>
        <w:rFonts w:ascii="Courier New" w:eastAsia="Courier New" w:hAnsi="Courier New" w:cs="Courier New"/>
      </w:rPr>
    </w:lvl>
    <w:lvl w:ilvl="2">
      <w:start w:val="1"/>
      <w:numFmt w:val="bullet"/>
      <w:lvlText w:val="▪"/>
      <w:lvlJc w:val="left"/>
      <w:pPr>
        <w:ind w:left="2149" w:hanging="360"/>
      </w:pPr>
      <w:rPr>
        <w:rFonts w:ascii="Noto Sans Symbols" w:eastAsia="Noto Sans Symbols" w:hAnsi="Noto Sans Symbols" w:cs="Noto Sans Symbols"/>
      </w:rPr>
    </w:lvl>
    <w:lvl w:ilvl="3">
      <w:start w:val="1"/>
      <w:numFmt w:val="bullet"/>
      <w:lvlText w:val="●"/>
      <w:lvlJc w:val="left"/>
      <w:pPr>
        <w:ind w:left="2869" w:hanging="360"/>
      </w:pPr>
      <w:rPr>
        <w:rFonts w:ascii="Noto Sans Symbols" w:eastAsia="Noto Sans Symbols" w:hAnsi="Noto Sans Symbols" w:cs="Noto Sans Symbols"/>
      </w:rPr>
    </w:lvl>
    <w:lvl w:ilvl="4">
      <w:start w:val="1"/>
      <w:numFmt w:val="bullet"/>
      <w:lvlText w:val="o"/>
      <w:lvlJc w:val="left"/>
      <w:pPr>
        <w:ind w:left="3589" w:hanging="360"/>
      </w:pPr>
      <w:rPr>
        <w:rFonts w:ascii="Courier New" w:eastAsia="Courier New" w:hAnsi="Courier New" w:cs="Courier New"/>
      </w:rPr>
    </w:lvl>
    <w:lvl w:ilvl="5">
      <w:start w:val="1"/>
      <w:numFmt w:val="bullet"/>
      <w:lvlText w:val="▪"/>
      <w:lvlJc w:val="left"/>
      <w:pPr>
        <w:ind w:left="4309" w:hanging="360"/>
      </w:pPr>
      <w:rPr>
        <w:rFonts w:ascii="Noto Sans Symbols" w:eastAsia="Noto Sans Symbols" w:hAnsi="Noto Sans Symbols" w:cs="Noto Sans Symbols"/>
      </w:rPr>
    </w:lvl>
    <w:lvl w:ilvl="6">
      <w:start w:val="1"/>
      <w:numFmt w:val="bullet"/>
      <w:lvlText w:val="●"/>
      <w:lvlJc w:val="left"/>
      <w:pPr>
        <w:ind w:left="5029" w:hanging="360"/>
      </w:pPr>
      <w:rPr>
        <w:rFonts w:ascii="Noto Sans Symbols" w:eastAsia="Noto Sans Symbols" w:hAnsi="Noto Sans Symbols" w:cs="Noto Sans Symbols"/>
      </w:rPr>
    </w:lvl>
    <w:lvl w:ilvl="7">
      <w:start w:val="1"/>
      <w:numFmt w:val="bullet"/>
      <w:lvlText w:val="o"/>
      <w:lvlJc w:val="left"/>
      <w:pPr>
        <w:ind w:left="5749" w:hanging="360"/>
      </w:pPr>
      <w:rPr>
        <w:rFonts w:ascii="Courier New" w:eastAsia="Courier New" w:hAnsi="Courier New" w:cs="Courier New"/>
      </w:rPr>
    </w:lvl>
    <w:lvl w:ilvl="8">
      <w:start w:val="1"/>
      <w:numFmt w:val="bullet"/>
      <w:lvlText w:val="▪"/>
      <w:lvlJc w:val="left"/>
      <w:pPr>
        <w:ind w:left="6469" w:hanging="360"/>
      </w:pPr>
      <w:rPr>
        <w:rFonts w:ascii="Noto Sans Symbols" w:eastAsia="Noto Sans Symbols" w:hAnsi="Noto Sans Symbols" w:cs="Noto Sans Symbols"/>
      </w:rPr>
    </w:lvl>
  </w:abstractNum>
  <w:abstractNum w:abstractNumId="2" w15:restartNumberingAfterBreak="0">
    <w:nsid w:val="28365323"/>
    <w:multiLevelType w:val="multilevel"/>
    <w:tmpl w:val="4434E6B8"/>
    <w:lvl w:ilvl="0">
      <w:start w:val="1"/>
      <w:numFmt w:val="decimal"/>
      <w:lvlText w:val="%1."/>
      <w:lvlJc w:val="left"/>
      <w:pPr>
        <w:ind w:left="644"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4317490"/>
    <w:multiLevelType w:val="hybridMultilevel"/>
    <w:tmpl w:val="9768D970"/>
    <w:lvl w:ilvl="0" w:tplc="7EE0C6EC">
      <w:start w:val="1"/>
      <w:numFmt w:val="decimal"/>
      <w:lvlText w:val="%1."/>
      <w:lvlJc w:val="left"/>
      <w:pPr>
        <w:ind w:left="0" w:firstLine="0"/>
      </w:pPr>
      <w:rPr>
        <w:rFonts w:ascii="Palatino Linotype" w:hAnsi="Palatino Linotype" w:hint="default"/>
        <w:b/>
        <w:i w:val="0"/>
        <w:sz w:val="24"/>
      </w:rPr>
    </w:lvl>
    <w:lvl w:ilvl="1" w:tplc="080A0017">
      <w:start w:val="1"/>
      <w:numFmt w:val="lowerLetter"/>
      <w:lvlText w:val="%2)"/>
      <w:lvlJc w:val="left"/>
      <w:pPr>
        <w:ind w:left="1440" w:hanging="360"/>
      </w:pPr>
      <w:rPr>
        <w:rFonts w:hint="default"/>
        <w:b/>
        <w:bCs/>
        <w:i w:val="0"/>
        <w:iCs w:val="0"/>
      </w:rPr>
    </w:lvl>
    <w:lvl w:ilvl="2" w:tplc="35B2368A">
      <w:start w:val="1"/>
      <w:numFmt w:val="lowerRoman"/>
      <w:lvlText w:val="%3."/>
      <w:lvlJc w:val="right"/>
      <w:pPr>
        <w:ind w:left="2340" w:hanging="360"/>
      </w:pPr>
      <w:rPr>
        <w:rFonts w:hint="default"/>
        <w:b/>
        <w:strike w:val="0"/>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F7F243D"/>
    <w:multiLevelType w:val="hybridMultilevel"/>
    <w:tmpl w:val="C226D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404F31"/>
    <w:multiLevelType w:val="multilevel"/>
    <w:tmpl w:val="9732F446"/>
    <w:lvl w:ilvl="0">
      <w:start w:val="1"/>
      <w:numFmt w:val="lowerLetter"/>
      <w:lvlText w:val="%1)"/>
      <w:lvlJc w:val="left"/>
      <w:pPr>
        <w:ind w:left="1068" w:hanging="360"/>
      </w:p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6" w15:restartNumberingAfterBreak="0">
    <w:nsid w:val="4D8D520D"/>
    <w:multiLevelType w:val="multilevel"/>
    <w:tmpl w:val="0D5E1FB4"/>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E757E89"/>
    <w:multiLevelType w:val="multilevel"/>
    <w:tmpl w:val="4B8E0ED6"/>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8" w15:restartNumberingAfterBreak="0">
    <w:nsid w:val="66465D6D"/>
    <w:multiLevelType w:val="multilevel"/>
    <w:tmpl w:val="DB668E56"/>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83871C1"/>
    <w:multiLevelType w:val="multilevel"/>
    <w:tmpl w:val="B546ADFC"/>
    <w:lvl w:ilvl="0">
      <w:start w:val="24"/>
      <w:numFmt w:val="decimal"/>
      <w:lvlText w:val="%1."/>
      <w:lvlJc w:val="left"/>
      <w:pPr>
        <w:ind w:left="644" w:hanging="359"/>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5842CEE"/>
    <w:multiLevelType w:val="multilevel"/>
    <w:tmpl w:val="9D3C932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E803C6B"/>
    <w:multiLevelType w:val="multilevel"/>
    <w:tmpl w:val="2376B3BC"/>
    <w:lvl w:ilvl="0">
      <w:start w:val="1"/>
      <w:numFmt w:val="decimal"/>
      <w:lvlText w:val="%1."/>
      <w:lvlJc w:val="left"/>
      <w:pPr>
        <w:ind w:left="644"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7"/>
  </w:num>
  <w:num w:numId="3">
    <w:abstractNumId w:val="5"/>
  </w:num>
  <w:num w:numId="4">
    <w:abstractNumId w:val="10"/>
  </w:num>
  <w:num w:numId="5">
    <w:abstractNumId w:val="9"/>
  </w:num>
  <w:num w:numId="6">
    <w:abstractNumId w:val="1"/>
  </w:num>
  <w:num w:numId="7">
    <w:abstractNumId w:val="4"/>
  </w:num>
  <w:num w:numId="8">
    <w:abstractNumId w:val="3"/>
  </w:num>
  <w:num w:numId="9">
    <w:abstractNumId w:val="0"/>
  </w:num>
  <w:num w:numId="10">
    <w:abstractNumId w:val="2"/>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EDA"/>
    <w:rsid w:val="00030952"/>
    <w:rsid w:val="00087840"/>
    <w:rsid w:val="000C5566"/>
    <w:rsid w:val="001079D9"/>
    <w:rsid w:val="00131682"/>
    <w:rsid w:val="00144EDA"/>
    <w:rsid w:val="00150D14"/>
    <w:rsid w:val="0015793C"/>
    <w:rsid w:val="001772CE"/>
    <w:rsid w:val="00190219"/>
    <w:rsid w:val="001A65E8"/>
    <w:rsid w:val="001B706C"/>
    <w:rsid w:val="00372598"/>
    <w:rsid w:val="003A3800"/>
    <w:rsid w:val="004C1116"/>
    <w:rsid w:val="00530026"/>
    <w:rsid w:val="00596E44"/>
    <w:rsid w:val="005E412D"/>
    <w:rsid w:val="006253FE"/>
    <w:rsid w:val="00652185"/>
    <w:rsid w:val="006A4FBD"/>
    <w:rsid w:val="006E2F35"/>
    <w:rsid w:val="00913495"/>
    <w:rsid w:val="009B4AEC"/>
    <w:rsid w:val="00A75233"/>
    <w:rsid w:val="00B564DF"/>
    <w:rsid w:val="00BF1E85"/>
    <w:rsid w:val="00C2311E"/>
    <w:rsid w:val="00C443F2"/>
    <w:rsid w:val="00C81811"/>
    <w:rsid w:val="00CC0D6A"/>
    <w:rsid w:val="00D04207"/>
    <w:rsid w:val="00D134CE"/>
    <w:rsid w:val="00DE658D"/>
    <w:rsid w:val="00E04396"/>
    <w:rsid w:val="00E1291E"/>
    <w:rsid w:val="00E22A59"/>
    <w:rsid w:val="00EB706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649DF8C6-9C77-4692-B600-C135D7807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ndamentos">
    <w:name w:val="Fundamentos"/>
    <w:basedOn w:val="Normal"/>
    <w:next w:val="Normal"/>
    <w:qFormat/>
    <w:rsid w:val="00D70F20"/>
    <w:pPr>
      <w:pBdr>
        <w:top w:val="nil"/>
        <w:left w:val="nil"/>
        <w:bottom w:val="nil"/>
        <w:right w:val="nil"/>
        <w:between w:val="nil"/>
      </w:pBdr>
      <w:ind w:left="567" w:right="567"/>
      <w:contextualSpacing/>
      <w:jc w:val="both"/>
    </w:pPr>
    <w:rPr>
      <w:rFonts w:ascii="Palatino Linotype" w:eastAsia="Palatino Linotype" w:hAnsi="Palatino Linotype" w:cs="Palatino Linotype"/>
      <w:i/>
      <w:color w:val="000000"/>
      <w:sz w:val="22"/>
    </w:rPr>
  </w:style>
  <w:style w:type="paragraph" w:styleId="Sinespaciado">
    <w:name w:val="No Spacing"/>
    <w:aliases w:val="Francesa,INAI"/>
    <w:link w:val="SinespaciadoCar"/>
    <w:uiPriority w:val="1"/>
    <w:qFormat/>
    <w:rsid w:val="00071265"/>
  </w:style>
  <w:style w:type="character" w:customStyle="1" w:styleId="SinespaciadoCar">
    <w:name w:val="Sin espaciado Car"/>
    <w:aliases w:val="Francesa Car,INAI Car"/>
    <w:link w:val="Sinespaciado"/>
    <w:uiPriority w:val="1"/>
    <w:qFormat/>
    <w:locked/>
    <w:rsid w:val="00071265"/>
  </w:style>
  <w:style w:type="paragraph" w:customStyle="1" w:styleId="Default">
    <w:name w:val="Default"/>
    <w:qFormat/>
    <w:rsid w:val="001C69FE"/>
    <w:pPr>
      <w:autoSpaceDE w:val="0"/>
      <w:autoSpaceDN w:val="0"/>
      <w:adjustRightInd w:val="0"/>
    </w:pPr>
    <w:rPr>
      <w:rFonts w:ascii="Arial" w:hAnsi="Arial" w:cs="Arial"/>
      <w:color w:val="000000"/>
    </w:rPr>
  </w:style>
  <w:style w:type="table" w:customStyle="1" w:styleId="Tablanormal12">
    <w:name w:val="Tabla normal 12"/>
    <w:basedOn w:val="Tablanormal"/>
    <w:next w:val="Tablanormal1"/>
    <w:uiPriority w:val="41"/>
    <w:rsid w:val="00C3684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xtoennegrita">
    <w:name w:val="Strong"/>
    <w:uiPriority w:val="22"/>
    <w:qFormat/>
    <w:rsid w:val="003F5071"/>
    <w:rPr>
      <w:b/>
      <w:bCs/>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70" w:type="dxa"/>
        <w:right w:w="70" w:type="dxa"/>
      </w:tblCellMar>
    </w:tblPr>
  </w:style>
  <w:style w:type="table" w:customStyle="1" w:styleId="a1">
    <w:basedOn w:val="TableNormal1"/>
    <w:tblPr>
      <w:tblStyleRowBandSize w:val="1"/>
      <w:tblStyleColBandSize w:val="1"/>
      <w:tblCellMar>
        <w:left w:w="70" w:type="dxa"/>
        <w:right w:w="70" w:type="dxa"/>
      </w:tblCellMar>
    </w:tblPr>
  </w:style>
  <w:style w:type="paragraph" w:customStyle="1" w:styleId="Citas">
    <w:name w:val="Citas"/>
    <w:basedOn w:val="Normal"/>
    <w:qFormat/>
    <w:rsid w:val="00E803AA"/>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CitasINFOEM">
    <w:name w:val="Citas INFOEM"/>
    <w:basedOn w:val="Normal"/>
    <w:qFormat/>
    <w:rsid w:val="00F37A04"/>
    <w:pPr>
      <w:spacing w:before="240" w:after="160" w:line="360" w:lineRule="auto"/>
      <w:ind w:left="851" w:right="851"/>
      <w:jc w:val="both"/>
    </w:pPr>
    <w:rPr>
      <w:rFonts w:ascii="Palatino Linotype" w:eastAsia="Times New Roman" w:hAnsi="Palatino Linotype" w:cs="Times New Roman"/>
      <w:i/>
      <w:sz w:val="22"/>
      <w:lang w:val="es-MX" w:eastAsia="en-US"/>
    </w:rPr>
  </w:style>
  <w:style w:type="paragraph" w:styleId="NormalWeb">
    <w:name w:val="Normal (Web)"/>
    <w:basedOn w:val="Normal"/>
    <w:uiPriority w:val="99"/>
    <w:rsid w:val="00151F2D"/>
    <w:pPr>
      <w:spacing w:before="100" w:beforeAutospacing="1" w:after="100" w:afterAutospacing="1"/>
    </w:pPr>
    <w:rPr>
      <w:rFonts w:ascii="Times New Roman" w:eastAsia="Times New Roman" w:hAnsi="Times New Roman" w:cs="Times New Roman"/>
      <w:lang w:val="es-MX"/>
    </w:rPr>
  </w:style>
  <w:style w:type="table" w:customStyle="1" w:styleId="a2">
    <w:basedOn w:val="TableNormal1"/>
    <w:tblPr>
      <w:tblStyleRowBandSize w:val="1"/>
      <w:tblStyleColBandSize w:val="1"/>
      <w:tblCellMar>
        <w:left w:w="70" w:type="dxa"/>
        <w:right w:w="70" w:type="dxa"/>
      </w:tblCellMar>
    </w:tblPr>
  </w:style>
  <w:style w:type="table" w:customStyle="1" w:styleId="a3">
    <w:basedOn w:val="TableNormal1"/>
    <w:tblPr>
      <w:tblStyleRowBandSize w:val="1"/>
      <w:tblStyleColBandSize w:val="1"/>
      <w:tblCellMar>
        <w:left w:w="70" w:type="dxa"/>
        <w:right w:w="70" w:type="dxa"/>
      </w:tblCellMar>
    </w:tblPr>
  </w:style>
  <w:style w:type="paragraph" w:customStyle="1" w:styleId="m5907675151158779931gmail-msolistparagraph">
    <w:name w:val="m_5907675151158779931gmail-msolistparagraph"/>
    <w:basedOn w:val="Normal"/>
    <w:rsid w:val="00AD34C6"/>
    <w:pPr>
      <w:spacing w:before="100" w:beforeAutospacing="1" w:after="100" w:afterAutospacing="1"/>
    </w:pPr>
    <w:rPr>
      <w:rFonts w:ascii="Times New Roman" w:eastAsia="Times New Roman" w:hAnsi="Times New Roman" w:cs="Times New Roman"/>
      <w:lang w:val="es-MX"/>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portalanterior.ine.mx/archivos2/tutoriales/sistemas/ApoyoInstitucional/SIF/docs/candidatos/folioFiscalFactura.pdf"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tM6t5gTWINwJxuGGTnO7uGwbAg==">CgMxLjAyCGguZ2pkZ3hzMgloLjMwajB6bGwyDmguYzRhMDY0czhwN3M5MgloLjN6bnlzaDcyCWguMmV0OTJwMDIIaC50eWpjd3QyCWguM2R5NnZrbTIJaC4xdDNoNXNmMg5oLnMzZ2w0Z3ozNXgxeDIOaC4yYWF4d3l0dGUwcWoyDmguMTN3Mzg4MjY2NnZsOAByITFOVjJuX1U1bG83MTJ6TVNUNG1PM2d4QUVNWEh5dFRySw==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44</Pages>
  <Words>11119</Words>
  <Characters>61156</Characters>
  <Application>Microsoft Office Word</Application>
  <DocSecurity>0</DocSecurity>
  <Lines>509</Lines>
  <Paragraphs>144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72131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Belen Sanchez Estrada</dc:creator>
  <cp:lastModifiedBy>Cuenta Microsoft</cp:lastModifiedBy>
  <cp:revision>7</cp:revision>
  <cp:lastPrinted>2026-02-27T16:22:00Z</cp:lastPrinted>
  <dcterms:created xsi:type="dcterms:W3CDTF">2026-02-19T20:42:00Z</dcterms:created>
  <dcterms:modified xsi:type="dcterms:W3CDTF">2026-03-06T19:44:00Z</dcterms:modified>
</cp:coreProperties>
</file>