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0FBB5" w14:textId="3EABA5CE" w:rsidR="00562A90" w:rsidRPr="00F72CA0" w:rsidRDefault="0062255D">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F72CA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w:t>
      </w:r>
      <w:r w:rsidR="00447DB1" w:rsidRPr="00F72CA0">
        <w:rPr>
          <w:rFonts w:ascii="Palatino Linotype" w:eastAsia="Palatino Linotype" w:hAnsi="Palatino Linotype" w:cs="Palatino Linotype"/>
          <w:sz w:val="22"/>
          <w:szCs w:val="22"/>
        </w:rPr>
        <w:t>en Metepec, Estado de México, a</w:t>
      </w:r>
      <w:r w:rsidR="00016E26" w:rsidRPr="00F72CA0">
        <w:rPr>
          <w:rFonts w:ascii="Palatino Linotype" w:eastAsia="Palatino Linotype" w:hAnsi="Palatino Linotype" w:cs="Palatino Linotype"/>
          <w:sz w:val="22"/>
          <w:szCs w:val="22"/>
        </w:rPr>
        <w:t xml:space="preserve"> </w:t>
      </w:r>
      <w:r w:rsidR="00C26A97" w:rsidRPr="00F72CA0">
        <w:rPr>
          <w:rFonts w:ascii="Palatino Linotype" w:eastAsia="Palatino Linotype" w:hAnsi="Palatino Linotype" w:cs="Palatino Linotype"/>
          <w:sz w:val="22"/>
          <w:szCs w:val="22"/>
        </w:rPr>
        <w:t>catorce de enero de dos mil veintiséis</w:t>
      </w:r>
      <w:r w:rsidRPr="00F72CA0">
        <w:rPr>
          <w:rFonts w:ascii="Palatino Linotype" w:eastAsia="Palatino Linotype" w:hAnsi="Palatino Linotype" w:cs="Palatino Linotype"/>
          <w:sz w:val="22"/>
          <w:szCs w:val="22"/>
        </w:rPr>
        <w:t xml:space="preserve">. </w:t>
      </w:r>
    </w:p>
    <w:p w14:paraId="4795114A" w14:textId="11313313" w:rsidR="00562A90" w:rsidRPr="00F72CA0" w:rsidRDefault="0062255D">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F72CA0">
        <w:rPr>
          <w:rFonts w:ascii="Palatino Linotype" w:eastAsia="Palatino Linotype" w:hAnsi="Palatino Linotype" w:cs="Palatino Linotype"/>
          <w:b/>
          <w:sz w:val="22"/>
          <w:szCs w:val="22"/>
        </w:rPr>
        <w:t>VISTO</w:t>
      </w:r>
      <w:r w:rsidRPr="00F72CA0">
        <w:rPr>
          <w:rFonts w:ascii="Palatino Linotype" w:eastAsia="Palatino Linotype" w:hAnsi="Palatino Linotype" w:cs="Palatino Linotype"/>
          <w:sz w:val="22"/>
          <w:szCs w:val="22"/>
        </w:rPr>
        <w:t xml:space="preserve"> el expediente formado con motivo del recurso de revisión </w:t>
      </w:r>
      <w:r w:rsidR="00464621" w:rsidRPr="00F72CA0">
        <w:rPr>
          <w:rFonts w:ascii="Palatino Linotype" w:eastAsia="Palatino Linotype" w:hAnsi="Palatino Linotype" w:cs="Palatino Linotype"/>
          <w:b/>
          <w:sz w:val="22"/>
          <w:szCs w:val="22"/>
        </w:rPr>
        <w:t>10</w:t>
      </w:r>
      <w:r w:rsidR="00F6238C" w:rsidRPr="00F72CA0">
        <w:rPr>
          <w:rFonts w:ascii="Palatino Linotype" w:eastAsia="Palatino Linotype" w:hAnsi="Palatino Linotype" w:cs="Palatino Linotype"/>
          <w:b/>
          <w:sz w:val="22"/>
          <w:szCs w:val="22"/>
        </w:rPr>
        <w:t>879</w:t>
      </w:r>
      <w:r w:rsidR="00337D82" w:rsidRPr="00F72CA0">
        <w:rPr>
          <w:rFonts w:ascii="Palatino Linotype" w:eastAsia="Palatino Linotype" w:hAnsi="Palatino Linotype" w:cs="Palatino Linotype"/>
          <w:b/>
          <w:sz w:val="22"/>
          <w:szCs w:val="22"/>
        </w:rPr>
        <w:t>/INFOEM/IP/RR/2025</w:t>
      </w:r>
      <w:r w:rsidRPr="00F72CA0">
        <w:rPr>
          <w:rFonts w:ascii="Palatino Linotype" w:eastAsia="Palatino Linotype" w:hAnsi="Palatino Linotype" w:cs="Palatino Linotype"/>
          <w:sz w:val="22"/>
          <w:szCs w:val="22"/>
        </w:rPr>
        <w:t>, interpuesto por</w:t>
      </w:r>
      <w:r w:rsidRPr="00F72CA0">
        <w:rPr>
          <w:rFonts w:ascii="Palatino Linotype" w:eastAsia="Palatino Linotype" w:hAnsi="Palatino Linotype" w:cs="Palatino Linotype"/>
          <w:b/>
          <w:sz w:val="22"/>
          <w:szCs w:val="22"/>
        </w:rPr>
        <w:t xml:space="preserve"> </w:t>
      </w:r>
      <w:r w:rsidR="002612D6" w:rsidRPr="002612D6">
        <w:rPr>
          <w:rFonts w:ascii="Palatino Linotype" w:eastAsia="Palatino Linotype" w:hAnsi="Palatino Linotype" w:cs="Palatino Linotype"/>
          <w:b/>
          <w:sz w:val="22"/>
          <w:szCs w:val="22"/>
        </w:rPr>
        <w:t>XXXX XXXXXXXX XXXXXXX</w:t>
      </w:r>
      <w:r w:rsidRPr="002612D6">
        <w:rPr>
          <w:rFonts w:ascii="Palatino Linotype" w:eastAsia="Palatino Linotype" w:hAnsi="Palatino Linotype" w:cs="Palatino Linotype"/>
          <w:b/>
          <w:sz w:val="22"/>
          <w:szCs w:val="22"/>
        </w:rPr>
        <w:t>,</w:t>
      </w:r>
      <w:bookmarkStart w:id="2" w:name="_GoBack"/>
      <w:bookmarkEnd w:id="2"/>
      <w:r w:rsidRPr="00F72CA0">
        <w:rPr>
          <w:rFonts w:ascii="Palatino Linotype" w:eastAsia="Palatino Linotype" w:hAnsi="Palatino Linotype" w:cs="Palatino Linotype"/>
          <w:sz w:val="22"/>
          <w:szCs w:val="22"/>
        </w:rPr>
        <w:t xml:space="preserve"> en lo sucesivo</w:t>
      </w:r>
      <w:r w:rsidRPr="00F72CA0">
        <w:rPr>
          <w:rFonts w:ascii="Palatino Linotype" w:eastAsia="Palatino Linotype" w:hAnsi="Palatino Linotype" w:cs="Palatino Linotype"/>
          <w:b/>
          <w:sz w:val="22"/>
          <w:szCs w:val="22"/>
        </w:rPr>
        <w:t xml:space="preserve"> </w:t>
      </w:r>
      <w:r w:rsidRPr="00F72CA0">
        <w:rPr>
          <w:rFonts w:ascii="Palatino Linotype" w:eastAsia="Palatino Linotype" w:hAnsi="Palatino Linotype" w:cs="Palatino Linotype"/>
          <w:sz w:val="22"/>
          <w:szCs w:val="22"/>
        </w:rPr>
        <w:t xml:space="preserve">la parte </w:t>
      </w:r>
      <w:r w:rsidRPr="00F72CA0">
        <w:rPr>
          <w:rFonts w:ascii="Palatino Linotype" w:eastAsia="Palatino Linotype" w:hAnsi="Palatino Linotype" w:cs="Palatino Linotype"/>
          <w:b/>
          <w:sz w:val="22"/>
          <w:szCs w:val="22"/>
        </w:rPr>
        <w:t>Recurrente,</w:t>
      </w:r>
      <w:r w:rsidRPr="00F72CA0">
        <w:rPr>
          <w:rFonts w:ascii="Palatino Linotype" w:eastAsia="Palatino Linotype" w:hAnsi="Palatino Linotype" w:cs="Palatino Linotype"/>
          <w:sz w:val="22"/>
          <w:szCs w:val="22"/>
        </w:rPr>
        <w:t xml:space="preserve"> en contra de la respuesta a la solicitud de información con número de folio</w:t>
      </w:r>
      <w:r w:rsidRPr="00F72CA0">
        <w:rPr>
          <w:rFonts w:ascii="Palatino Linotype" w:eastAsia="Palatino Linotype" w:hAnsi="Palatino Linotype" w:cs="Palatino Linotype"/>
          <w:b/>
          <w:sz w:val="22"/>
          <w:szCs w:val="22"/>
        </w:rPr>
        <w:t xml:space="preserve"> </w:t>
      </w:r>
      <w:r w:rsidR="00AF5220" w:rsidRPr="00F72CA0">
        <w:rPr>
          <w:rFonts w:ascii="Palatino Linotype" w:eastAsia="Palatino Linotype" w:hAnsi="Palatino Linotype" w:cs="Palatino Linotype"/>
          <w:b/>
          <w:sz w:val="22"/>
          <w:szCs w:val="22"/>
        </w:rPr>
        <w:t>00310/OASTLALNE/IP/2025</w:t>
      </w:r>
      <w:r w:rsidRPr="00F72CA0">
        <w:rPr>
          <w:rFonts w:ascii="Palatino Linotype" w:eastAsia="Palatino Linotype" w:hAnsi="Palatino Linotype" w:cs="Palatino Linotype"/>
          <w:b/>
          <w:sz w:val="22"/>
          <w:szCs w:val="22"/>
        </w:rPr>
        <w:t xml:space="preserve">, </w:t>
      </w:r>
      <w:r w:rsidRPr="00F72CA0">
        <w:rPr>
          <w:rFonts w:ascii="Palatino Linotype" w:eastAsia="Palatino Linotype" w:hAnsi="Palatino Linotype" w:cs="Palatino Linotype"/>
          <w:sz w:val="22"/>
          <w:szCs w:val="22"/>
        </w:rPr>
        <w:t xml:space="preserve">por parte del </w:t>
      </w:r>
      <w:r w:rsidR="00F6238C" w:rsidRPr="00F72CA0">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r w:rsidR="00EF0D72" w:rsidRPr="00F72CA0">
        <w:rPr>
          <w:rFonts w:ascii="Palatino Linotype" w:eastAsia="Palatino Linotype" w:hAnsi="Palatino Linotype" w:cs="Palatino Linotype"/>
          <w:b/>
          <w:sz w:val="22"/>
          <w:szCs w:val="22"/>
        </w:rPr>
        <w:t>,</w:t>
      </w:r>
      <w:r w:rsidRPr="00F72CA0">
        <w:rPr>
          <w:rFonts w:ascii="Palatino Linotype" w:eastAsia="Palatino Linotype" w:hAnsi="Palatino Linotype" w:cs="Palatino Linotype"/>
          <w:b/>
          <w:sz w:val="22"/>
          <w:szCs w:val="22"/>
        </w:rPr>
        <w:t xml:space="preserve"> </w:t>
      </w:r>
      <w:r w:rsidRPr="00F72CA0">
        <w:rPr>
          <w:rFonts w:ascii="Palatino Linotype" w:eastAsia="Palatino Linotype" w:hAnsi="Palatino Linotype" w:cs="Palatino Linotype"/>
          <w:sz w:val="22"/>
          <w:szCs w:val="22"/>
        </w:rPr>
        <w:t xml:space="preserve">en lo sucesivo el </w:t>
      </w:r>
      <w:r w:rsidRPr="00F72CA0">
        <w:rPr>
          <w:rFonts w:ascii="Palatino Linotype" w:eastAsia="Palatino Linotype" w:hAnsi="Palatino Linotype" w:cs="Palatino Linotype"/>
          <w:b/>
          <w:sz w:val="22"/>
          <w:szCs w:val="22"/>
        </w:rPr>
        <w:t xml:space="preserve">Sujeto Obligado, </w:t>
      </w:r>
      <w:r w:rsidRPr="00F72CA0">
        <w:rPr>
          <w:rFonts w:ascii="Palatino Linotype" w:eastAsia="Palatino Linotype" w:hAnsi="Palatino Linotype" w:cs="Palatino Linotype"/>
          <w:sz w:val="22"/>
          <w:szCs w:val="22"/>
        </w:rPr>
        <w:t xml:space="preserve">se procede a dictar la presente resolución con base en los siguientes: </w:t>
      </w:r>
    </w:p>
    <w:p w14:paraId="3CC5291D" w14:textId="77777777" w:rsidR="00562A90" w:rsidRPr="00F72CA0" w:rsidRDefault="0062255D">
      <w:pPr>
        <w:spacing w:before="240" w:after="240" w:line="360" w:lineRule="auto"/>
        <w:jc w:val="center"/>
        <w:rPr>
          <w:rFonts w:ascii="Palatino Linotype" w:eastAsia="Palatino Linotype" w:hAnsi="Palatino Linotype" w:cs="Palatino Linotype"/>
          <w:b/>
          <w:sz w:val="22"/>
          <w:szCs w:val="22"/>
        </w:rPr>
      </w:pPr>
      <w:r w:rsidRPr="00F72CA0">
        <w:rPr>
          <w:rFonts w:ascii="Palatino Linotype" w:eastAsia="Palatino Linotype" w:hAnsi="Palatino Linotype" w:cs="Palatino Linotype"/>
          <w:b/>
          <w:sz w:val="22"/>
          <w:szCs w:val="22"/>
        </w:rPr>
        <w:t>I. A N T E C E D E N T E S</w:t>
      </w:r>
    </w:p>
    <w:p w14:paraId="72C70038" w14:textId="09CAA050" w:rsidR="00562A90" w:rsidRPr="00F72CA0" w:rsidRDefault="0062255D">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F72CA0">
        <w:rPr>
          <w:rFonts w:ascii="Palatino Linotype" w:eastAsia="Palatino Linotype" w:hAnsi="Palatino Linotype" w:cs="Palatino Linotype"/>
          <w:b/>
          <w:sz w:val="22"/>
          <w:szCs w:val="22"/>
        </w:rPr>
        <w:t>1. Solicitud de acceso a la información.</w:t>
      </w:r>
      <w:r w:rsidRPr="00F72CA0">
        <w:rPr>
          <w:rFonts w:ascii="Palatino Linotype" w:eastAsia="Palatino Linotype" w:hAnsi="Palatino Linotype" w:cs="Palatino Linotype"/>
          <w:sz w:val="22"/>
          <w:szCs w:val="22"/>
        </w:rPr>
        <w:t xml:space="preserve"> El </w:t>
      </w:r>
      <w:bookmarkStart w:id="4" w:name="_Hlk212125406"/>
      <w:r w:rsidR="00F6238C" w:rsidRPr="00F72CA0">
        <w:rPr>
          <w:rFonts w:ascii="Palatino Linotype" w:eastAsia="Palatino Linotype" w:hAnsi="Palatino Linotype" w:cs="Palatino Linotype"/>
          <w:b/>
          <w:sz w:val="22"/>
          <w:szCs w:val="22"/>
        </w:rPr>
        <w:t xml:space="preserve">dieciséis </w:t>
      </w:r>
      <w:r w:rsidR="00EC3036" w:rsidRPr="00F72CA0">
        <w:rPr>
          <w:rFonts w:ascii="Palatino Linotype" w:eastAsia="Palatino Linotype" w:hAnsi="Palatino Linotype" w:cs="Palatino Linotype"/>
          <w:b/>
          <w:sz w:val="22"/>
          <w:szCs w:val="22"/>
        </w:rPr>
        <w:t>de</w:t>
      </w:r>
      <w:r w:rsidR="00EF0D72" w:rsidRPr="00F72CA0">
        <w:rPr>
          <w:rFonts w:ascii="Palatino Linotype" w:eastAsia="Palatino Linotype" w:hAnsi="Palatino Linotype" w:cs="Palatino Linotype"/>
          <w:b/>
          <w:sz w:val="22"/>
          <w:szCs w:val="22"/>
        </w:rPr>
        <w:t xml:space="preserve"> </w:t>
      </w:r>
      <w:r w:rsidR="00196087" w:rsidRPr="00F72CA0">
        <w:rPr>
          <w:rFonts w:ascii="Palatino Linotype" w:eastAsia="Palatino Linotype" w:hAnsi="Palatino Linotype" w:cs="Palatino Linotype"/>
          <w:b/>
          <w:sz w:val="22"/>
          <w:szCs w:val="22"/>
        </w:rPr>
        <w:t>julio</w:t>
      </w:r>
      <w:r w:rsidRPr="00F72CA0">
        <w:rPr>
          <w:rFonts w:ascii="Palatino Linotype" w:eastAsia="Palatino Linotype" w:hAnsi="Palatino Linotype" w:cs="Palatino Linotype"/>
          <w:b/>
          <w:sz w:val="22"/>
          <w:szCs w:val="22"/>
        </w:rPr>
        <w:t xml:space="preserve"> de dos mil veinticinco</w:t>
      </w:r>
      <w:bookmarkEnd w:id="4"/>
      <w:r w:rsidRPr="00F72CA0">
        <w:rPr>
          <w:rFonts w:ascii="Palatino Linotype" w:eastAsia="Palatino Linotype" w:hAnsi="Palatino Linotype" w:cs="Palatino Linotype"/>
          <w:b/>
          <w:sz w:val="22"/>
          <w:szCs w:val="22"/>
        </w:rPr>
        <w:t>,</w:t>
      </w:r>
      <w:r w:rsidRPr="00F72CA0">
        <w:rPr>
          <w:rFonts w:ascii="Palatino Linotype" w:eastAsia="Palatino Linotype" w:hAnsi="Palatino Linotype" w:cs="Palatino Linotype"/>
          <w:sz w:val="22"/>
          <w:szCs w:val="22"/>
        </w:rPr>
        <w:t xml:space="preserve"> la parte </w:t>
      </w:r>
      <w:r w:rsidRPr="00F72CA0">
        <w:rPr>
          <w:rFonts w:ascii="Palatino Linotype" w:eastAsia="Palatino Linotype" w:hAnsi="Palatino Linotype" w:cs="Palatino Linotype"/>
          <w:b/>
          <w:sz w:val="22"/>
          <w:szCs w:val="22"/>
        </w:rPr>
        <w:t xml:space="preserve">Recurrente </w:t>
      </w:r>
      <w:r w:rsidRPr="00F72CA0">
        <w:rPr>
          <w:rFonts w:ascii="Palatino Linotype" w:eastAsia="Palatino Linotype" w:hAnsi="Palatino Linotype" w:cs="Palatino Linotype"/>
          <w:sz w:val="22"/>
          <w:szCs w:val="22"/>
        </w:rPr>
        <w:t xml:space="preserve">presentó la solicitud de acceso a la información pública ante el </w:t>
      </w:r>
      <w:r w:rsidRPr="00F72CA0">
        <w:rPr>
          <w:rFonts w:ascii="Palatino Linotype" w:eastAsia="Palatino Linotype" w:hAnsi="Palatino Linotype" w:cs="Palatino Linotype"/>
          <w:b/>
          <w:sz w:val="22"/>
          <w:szCs w:val="22"/>
        </w:rPr>
        <w:t>Sujeto Obligado</w:t>
      </w:r>
      <w:r w:rsidRPr="00F72CA0">
        <w:rPr>
          <w:rFonts w:ascii="Palatino Linotype" w:eastAsia="Palatino Linotype" w:hAnsi="Palatino Linotype" w:cs="Palatino Linotype"/>
          <w:sz w:val="22"/>
          <w:szCs w:val="22"/>
        </w:rPr>
        <w:t xml:space="preserve">, a través del Sistema de Acceso a la Información Mexiquense, en lo subsecuente el </w:t>
      </w:r>
      <w:r w:rsidRPr="00F72CA0">
        <w:rPr>
          <w:rFonts w:ascii="Palatino Linotype" w:eastAsia="Palatino Linotype" w:hAnsi="Palatino Linotype" w:cs="Palatino Linotype"/>
          <w:b/>
          <w:sz w:val="22"/>
          <w:szCs w:val="22"/>
        </w:rPr>
        <w:t>SAIMEX</w:t>
      </w:r>
      <w:r w:rsidR="00EC3036" w:rsidRPr="00F72CA0">
        <w:rPr>
          <w:rFonts w:ascii="Palatino Linotype" w:eastAsia="Palatino Linotype" w:hAnsi="Palatino Linotype" w:cs="Palatino Linotype"/>
          <w:b/>
          <w:sz w:val="22"/>
          <w:szCs w:val="22"/>
        </w:rPr>
        <w:t xml:space="preserve">, </w:t>
      </w:r>
      <w:r w:rsidRPr="00F72CA0">
        <w:rPr>
          <w:rFonts w:ascii="Palatino Linotype" w:eastAsia="Palatino Linotype" w:hAnsi="Palatino Linotype" w:cs="Palatino Linotype"/>
          <w:sz w:val="22"/>
          <w:szCs w:val="22"/>
        </w:rPr>
        <w:t>mediante la cual requirió lo siguiente:</w:t>
      </w:r>
    </w:p>
    <w:p w14:paraId="57605782" w14:textId="3D5DE09E" w:rsidR="00562A90" w:rsidRPr="00F72CA0" w:rsidRDefault="0062255D">
      <w:pPr>
        <w:spacing w:before="120" w:after="120"/>
        <w:ind w:left="851" w:right="902"/>
        <w:jc w:val="both"/>
        <w:rPr>
          <w:rFonts w:ascii="Palatino Linotype" w:eastAsia="Palatino Linotype" w:hAnsi="Palatino Linotype" w:cs="Palatino Linotype"/>
          <w:b/>
          <w:i/>
          <w:sz w:val="22"/>
          <w:szCs w:val="22"/>
        </w:rPr>
      </w:pPr>
      <w:r w:rsidRPr="00F72CA0">
        <w:rPr>
          <w:rFonts w:ascii="Palatino Linotype" w:eastAsia="Palatino Linotype" w:hAnsi="Palatino Linotype" w:cs="Palatino Linotype"/>
          <w:i/>
          <w:sz w:val="22"/>
          <w:szCs w:val="22"/>
        </w:rPr>
        <w:t xml:space="preserve"> “</w:t>
      </w:r>
      <w:r w:rsidR="00F6238C" w:rsidRPr="00F72CA0">
        <w:rPr>
          <w:rFonts w:ascii="Palatino Linotype" w:eastAsia="Palatino Linotype" w:hAnsi="Palatino Linotype" w:cs="Palatino Linotype"/>
          <w:i/>
          <w:sz w:val="22"/>
          <w:szCs w:val="22"/>
        </w:rPr>
        <w:t>Buenos días, por este medio solicito, el formato de “Reporte de Adquisiciones del Comité de Adquisiciones y Servicios trimestral”, contenido en los informes enviados al OSFEM, por los años 2022, 2023, 2024 y primer trimestre del año 2025.</w:t>
      </w:r>
      <w:r w:rsidRPr="00F72CA0">
        <w:rPr>
          <w:rFonts w:ascii="Palatino Linotype" w:eastAsia="Palatino Linotype" w:hAnsi="Palatino Linotype" w:cs="Palatino Linotype"/>
          <w:b/>
          <w:i/>
          <w:sz w:val="22"/>
          <w:szCs w:val="22"/>
        </w:rPr>
        <w:t>”</w:t>
      </w:r>
      <w:r w:rsidRPr="00F72CA0">
        <w:rPr>
          <w:rFonts w:ascii="Palatino Linotype" w:eastAsia="Palatino Linotype" w:hAnsi="Palatino Linotype" w:cs="Palatino Linotype"/>
          <w:i/>
          <w:sz w:val="22"/>
          <w:szCs w:val="22"/>
        </w:rPr>
        <w:t xml:space="preserve"> (sic) </w:t>
      </w:r>
    </w:p>
    <w:p w14:paraId="240AC998" w14:textId="55B9E551" w:rsidR="00F6238C" w:rsidRPr="00F72CA0" w:rsidRDefault="0062255D" w:rsidP="00F6238C">
      <w:pPr>
        <w:spacing w:before="240" w:after="240" w:line="360" w:lineRule="auto"/>
        <w:jc w:val="both"/>
        <w:rPr>
          <w:rFonts w:ascii="Palatino Linotype" w:eastAsia="Palatino Linotype" w:hAnsi="Palatino Linotype" w:cs="Palatino Linotype"/>
          <w:sz w:val="22"/>
          <w:szCs w:val="22"/>
        </w:rPr>
      </w:pPr>
      <w:bookmarkStart w:id="5" w:name="_heading=h.3dy6vkm" w:colFirst="0" w:colLast="0"/>
      <w:bookmarkEnd w:id="5"/>
      <w:r w:rsidRPr="00F72CA0">
        <w:rPr>
          <w:rFonts w:ascii="Palatino Linotype" w:eastAsia="Palatino Linotype" w:hAnsi="Palatino Linotype" w:cs="Palatino Linotype"/>
          <w:b/>
          <w:sz w:val="22"/>
          <w:szCs w:val="22"/>
        </w:rPr>
        <w:lastRenderedPageBreak/>
        <w:t>2.</w:t>
      </w:r>
      <w:r w:rsidR="00F6238C" w:rsidRPr="00F72CA0">
        <w:rPr>
          <w:rFonts w:ascii="Palatino Linotype" w:eastAsia="Palatino Linotype" w:hAnsi="Palatino Linotype" w:cs="Palatino Linotype"/>
          <w:b/>
          <w:sz w:val="22"/>
          <w:szCs w:val="22"/>
        </w:rPr>
        <w:t xml:space="preserve"> Prórroga. </w:t>
      </w:r>
      <w:r w:rsidR="00F6238C" w:rsidRPr="00F72CA0">
        <w:rPr>
          <w:rFonts w:ascii="Palatino Linotype" w:eastAsia="Palatino Linotype" w:hAnsi="Palatino Linotype" w:cs="Palatino Linotype"/>
          <w:sz w:val="22"/>
          <w:szCs w:val="22"/>
        </w:rPr>
        <w:t xml:space="preserve">El </w:t>
      </w:r>
      <w:r w:rsidR="00F6238C" w:rsidRPr="00F72CA0">
        <w:rPr>
          <w:rFonts w:ascii="Palatino Linotype" w:eastAsia="Palatino Linotype" w:hAnsi="Palatino Linotype" w:cs="Palatino Linotype"/>
          <w:b/>
          <w:sz w:val="22"/>
          <w:szCs w:val="22"/>
        </w:rPr>
        <w:t xml:space="preserve">veinte de agosto de dos mil veinticinco, </w:t>
      </w:r>
      <w:r w:rsidR="00F6238C" w:rsidRPr="00F72CA0">
        <w:rPr>
          <w:rFonts w:ascii="Palatino Linotype" w:eastAsia="Palatino Linotype" w:hAnsi="Palatino Linotype" w:cs="Palatino Linotype"/>
          <w:sz w:val="22"/>
          <w:szCs w:val="22"/>
        </w:rPr>
        <w:t xml:space="preserve">el </w:t>
      </w:r>
      <w:r w:rsidR="00F6238C" w:rsidRPr="00F72CA0">
        <w:rPr>
          <w:rFonts w:ascii="Palatino Linotype" w:eastAsia="Palatino Linotype" w:hAnsi="Palatino Linotype" w:cs="Palatino Linotype"/>
          <w:b/>
          <w:sz w:val="22"/>
          <w:szCs w:val="22"/>
        </w:rPr>
        <w:t xml:space="preserve">Sujeto Obligado </w:t>
      </w:r>
      <w:r w:rsidR="00F6238C" w:rsidRPr="00F72CA0">
        <w:rPr>
          <w:rFonts w:ascii="Palatino Linotype" w:eastAsia="Palatino Linotype" w:hAnsi="Palatino Linotype" w:cs="Palatino Linotype"/>
          <w:sz w:val="22"/>
          <w:szCs w:val="22"/>
        </w:rPr>
        <w:t>notificó a la persona solicitante la prórroga para dar respuesta a la solicitud</w:t>
      </w:r>
      <w:r w:rsidR="00F6238C" w:rsidRPr="00F72CA0">
        <w:rPr>
          <w:rFonts w:ascii="Palatino Linotype" w:eastAsia="Palatino Linotype" w:hAnsi="Palatino Linotype" w:cs="Palatino Linotype"/>
          <w:b/>
          <w:sz w:val="22"/>
          <w:szCs w:val="22"/>
        </w:rPr>
        <w:t>,</w:t>
      </w:r>
      <w:r w:rsidR="00F6238C" w:rsidRPr="00F72CA0">
        <w:rPr>
          <w:rFonts w:ascii="Palatino Linotype" w:eastAsia="Palatino Linotype" w:hAnsi="Palatino Linotype" w:cs="Palatino Linotype"/>
          <w:sz w:val="22"/>
          <w:szCs w:val="22"/>
        </w:rPr>
        <w:t xml:space="preserve"> medularmente en los siguientes términos:</w:t>
      </w:r>
    </w:p>
    <w:p w14:paraId="1B9611D4" w14:textId="77777777" w:rsidR="00F6238C" w:rsidRPr="00F72CA0" w:rsidRDefault="00F6238C" w:rsidP="00F6238C">
      <w:pPr>
        <w:spacing w:before="240" w:after="240"/>
        <w:ind w:left="851" w:right="900"/>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A72E2BD" w14:textId="407FE362" w:rsidR="00F6238C" w:rsidRPr="00F72CA0" w:rsidRDefault="00F6238C" w:rsidP="00F6238C">
      <w:pPr>
        <w:spacing w:before="240" w:after="240"/>
        <w:ind w:left="851" w:right="900"/>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Para dar atención a la solicitud de información 00310/OASTLALNE/IP/2025, se requiere ampliación de término con el fin de recabar la información requerida, lo anterior con fundamento en el Artículo 163 de la Ley de Transparencia y Acceso a la Información Pública del Estado de México y Municipios.” (sic)</w:t>
      </w:r>
    </w:p>
    <w:p w14:paraId="029C0844" w14:textId="43620A5D" w:rsidR="00F6238C" w:rsidRPr="00F72CA0" w:rsidRDefault="00F6238C">
      <w:pPr>
        <w:spacing w:before="240" w:after="240" w:line="360" w:lineRule="auto"/>
        <w:jc w:val="both"/>
        <w:rPr>
          <w:rFonts w:ascii="Palatino Linotype" w:eastAsia="Palatino Linotype" w:hAnsi="Palatino Linotype" w:cs="Palatino Linotype"/>
          <w:b/>
          <w:sz w:val="22"/>
          <w:szCs w:val="22"/>
        </w:rPr>
      </w:pPr>
      <w:r w:rsidRPr="00F72CA0">
        <w:rPr>
          <w:rFonts w:ascii="Palatino Linotype" w:eastAsia="Palatino Linotype" w:hAnsi="Palatino Linotype" w:cs="Palatino Linotype"/>
          <w:sz w:val="22"/>
          <w:szCs w:val="22"/>
        </w:rPr>
        <w:t xml:space="preserve">El </w:t>
      </w:r>
      <w:r w:rsidRPr="00F72CA0">
        <w:rPr>
          <w:rFonts w:ascii="Palatino Linotype" w:eastAsia="Palatino Linotype" w:hAnsi="Palatino Linotype" w:cs="Palatino Linotype"/>
          <w:b/>
          <w:sz w:val="22"/>
          <w:szCs w:val="22"/>
        </w:rPr>
        <w:t xml:space="preserve">Sujeto Obligado </w:t>
      </w:r>
      <w:r w:rsidRPr="00F72CA0">
        <w:rPr>
          <w:rFonts w:ascii="Palatino Linotype" w:eastAsia="Palatino Linotype" w:hAnsi="Palatino Linotype" w:cs="Palatino Linotype"/>
          <w:sz w:val="22"/>
          <w:szCs w:val="22"/>
        </w:rPr>
        <w:t>anexó el Acta de la Vigésima Sesión Extraordinaria del Comité de Transparencia mediante la cual se aprobó la ampliación de plazo para dar respuesta a la solicitud de información a solicitud de la Oficialía Mayor.</w:t>
      </w:r>
    </w:p>
    <w:p w14:paraId="6759C1B0" w14:textId="0BDE0E2F" w:rsidR="00562A90" w:rsidRPr="00F72CA0" w:rsidRDefault="00F6238C">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b/>
          <w:sz w:val="22"/>
          <w:szCs w:val="22"/>
        </w:rPr>
        <w:t xml:space="preserve">3. </w:t>
      </w:r>
      <w:r w:rsidR="0062255D" w:rsidRPr="00F72CA0">
        <w:rPr>
          <w:rFonts w:ascii="Palatino Linotype" w:eastAsia="Palatino Linotype" w:hAnsi="Palatino Linotype" w:cs="Palatino Linotype"/>
          <w:b/>
          <w:sz w:val="22"/>
          <w:szCs w:val="22"/>
        </w:rPr>
        <w:t xml:space="preserve">Respuesta. </w:t>
      </w:r>
      <w:r w:rsidR="0062255D" w:rsidRPr="00F72CA0">
        <w:rPr>
          <w:rFonts w:ascii="Palatino Linotype" w:eastAsia="Palatino Linotype" w:hAnsi="Palatino Linotype" w:cs="Palatino Linotype"/>
          <w:sz w:val="22"/>
          <w:szCs w:val="22"/>
        </w:rPr>
        <w:t xml:space="preserve">El </w:t>
      </w:r>
      <w:r w:rsidR="0040394B" w:rsidRPr="00F72CA0">
        <w:rPr>
          <w:rFonts w:ascii="Palatino Linotype" w:eastAsia="Palatino Linotype" w:hAnsi="Palatino Linotype" w:cs="Palatino Linotype"/>
          <w:b/>
          <w:sz w:val="22"/>
          <w:szCs w:val="22"/>
        </w:rPr>
        <w:t xml:space="preserve">veintiocho </w:t>
      </w:r>
      <w:r w:rsidR="00196087" w:rsidRPr="00F72CA0">
        <w:rPr>
          <w:rFonts w:ascii="Palatino Linotype" w:eastAsia="Palatino Linotype" w:hAnsi="Palatino Linotype" w:cs="Palatino Linotype"/>
          <w:b/>
          <w:sz w:val="22"/>
          <w:szCs w:val="22"/>
        </w:rPr>
        <w:t>de agosto</w:t>
      </w:r>
      <w:r w:rsidR="002F1DF9" w:rsidRPr="00F72CA0">
        <w:rPr>
          <w:rFonts w:ascii="Palatino Linotype" w:eastAsia="Palatino Linotype" w:hAnsi="Palatino Linotype" w:cs="Palatino Linotype"/>
          <w:b/>
          <w:sz w:val="22"/>
          <w:szCs w:val="22"/>
        </w:rPr>
        <w:t xml:space="preserve"> de </w:t>
      </w:r>
      <w:r w:rsidR="0062255D" w:rsidRPr="00F72CA0">
        <w:rPr>
          <w:rFonts w:ascii="Palatino Linotype" w:eastAsia="Palatino Linotype" w:hAnsi="Palatino Linotype" w:cs="Palatino Linotype"/>
          <w:b/>
          <w:sz w:val="22"/>
          <w:szCs w:val="22"/>
        </w:rPr>
        <w:t>dos mil veinticinco,</w:t>
      </w:r>
      <w:r w:rsidR="0062255D" w:rsidRPr="00F72CA0">
        <w:rPr>
          <w:rFonts w:ascii="Palatino Linotype" w:eastAsia="Palatino Linotype" w:hAnsi="Palatino Linotype" w:cs="Palatino Linotype"/>
          <w:sz w:val="22"/>
          <w:szCs w:val="22"/>
        </w:rPr>
        <w:t xml:space="preserve"> el </w:t>
      </w:r>
      <w:r w:rsidR="0062255D" w:rsidRPr="00F72CA0">
        <w:rPr>
          <w:rFonts w:ascii="Palatino Linotype" w:eastAsia="Palatino Linotype" w:hAnsi="Palatino Linotype" w:cs="Palatino Linotype"/>
          <w:b/>
          <w:sz w:val="22"/>
          <w:szCs w:val="22"/>
        </w:rPr>
        <w:t xml:space="preserve">Sujeto Obligado </w:t>
      </w:r>
      <w:r w:rsidR="0062255D" w:rsidRPr="00F72CA0">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796878F1" w14:textId="55875C36" w:rsidR="00562A90" w:rsidRPr="00F72CA0" w:rsidRDefault="0062255D">
      <w:pPr>
        <w:spacing w:before="240" w:after="24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w:t>
      </w:r>
      <w:r w:rsidR="0040394B" w:rsidRPr="00F72CA0">
        <w:rPr>
          <w:rFonts w:ascii="Palatino Linotype" w:eastAsia="Palatino Linotype" w:hAnsi="Palatino Linotype" w:cs="Palatino Linotype"/>
          <w:i/>
          <w:sz w:val="22"/>
          <w:szCs w:val="22"/>
        </w:rPr>
        <w:t>SAIMEX 00310/OASTLALNE/IP/2025</w:t>
      </w:r>
      <w:r w:rsidR="00904E27" w:rsidRPr="00F72CA0">
        <w:rPr>
          <w:rFonts w:ascii="Palatino Linotype" w:eastAsia="Palatino Linotype" w:hAnsi="Palatino Linotype" w:cs="Palatino Linotype"/>
          <w:i/>
          <w:sz w:val="22"/>
          <w:szCs w:val="22"/>
        </w:rPr>
        <w:t>.</w:t>
      </w:r>
      <w:r w:rsidR="00337D82" w:rsidRPr="00F72CA0">
        <w:rPr>
          <w:rFonts w:ascii="Palatino Linotype" w:eastAsia="Palatino Linotype" w:hAnsi="Palatino Linotype" w:cs="Palatino Linotype"/>
          <w:i/>
          <w:sz w:val="22"/>
          <w:szCs w:val="22"/>
        </w:rPr>
        <w:t>.</w:t>
      </w:r>
      <w:r w:rsidRPr="00F72CA0">
        <w:rPr>
          <w:rFonts w:ascii="Palatino Linotype" w:eastAsia="Palatino Linotype" w:hAnsi="Palatino Linotype" w:cs="Palatino Linotype"/>
          <w:i/>
          <w:sz w:val="22"/>
          <w:szCs w:val="22"/>
        </w:rPr>
        <w:t>..” (sic)</w:t>
      </w:r>
    </w:p>
    <w:p w14:paraId="37F4A6FE" w14:textId="77777777" w:rsidR="00562A90" w:rsidRPr="00F72CA0" w:rsidRDefault="0062255D">
      <w:pPr>
        <w:spacing w:before="240" w:after="240" w:line="360" w:lineRule="auto"/>
        <w:ind w:right="49"/>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El </w:t>
      </w:r>
      <w:r w:rsidRPr="00F72CA0">
        <w:rPr>
          <w:rFonts w:ascii="Palatino Linotype" w:eastAsia="Palatino Linotype" w:hAnsi="Palatino Linotype" w:cs="Palatino Linotype"/>
          <w:b/>
          <w:sz w:val="22"/>
          <w:szCs w:val="22"/>
        </w:rPr>
        <w:t xml:space="preserve">Sujeto Obligado </w:t>
      </w:r>
      <w:r w:rsidRPr="00F72CA0">
        <w:rPr>
          <w:rFonts w:ascii="Palatino Linotype" w:eastAsia="Palatino Linotype" w:hAnsi="Palatino Linotype" w:cs="Palatino Linotype"/>
          <w:sz w:val="22"/>
          <w:szCs w:val="22"/>
        </w:rPr>
        <w:t>adjuntó lo siguiente:</w:t>
      </w:r>
    </w:p>
    <w:p w14:paraId="3BCCC186" w14:textId="74D29A57" w:rsidR="004918B1" w:rsidRPr="00F72CA0" w:rsidRDefault="0015439E">
      <w:pPr>
        <w:spacing w:before="240" w:after="240" w:line="360" w:lineRule="auto"/>
        <w:ind w:right="49"/>
        <w:jc w:val="both"/>
        <w:rPr>
          <w:rFonts w:ascii="Palatino Linotype" w:hAnsi="Palatino Linotype"/>
          <w:sz w:val="22"/>
          <w:szCs w:val="22"/>
        </w:rPr>
      </w:pPr>
      <w:r w:rsidRPr="00F72CA0">
        <w:rPr>
          <w:rFonts w:ascii="Palatino Linotype" w:eastAsia="Palatino Linotype" w:hAnsi="Palatino Linotype" w:cs="Palatino Linotype"/>
          <w:sz w:val="22"/>
          <w:szCs w:val="22"/>
        </w:rPr>
        <w:t xml:space="preserve">- Oficio número </w:t>
      </w:r>
      <w:r w:rsidR="004918B1" w:rsidRPr="00F72CA0">
        <w:rPr>
          <w:rFonts w:ascii="Palatino Linotype" w:hAnsi="Palatino Linotype"/>
          <w:sz w:val="22"/>
          <w:szCs w:val="22"/>
        </w:rPr>
        <w:t>OPDM/OM-0682/2025</w:t>
      </w:r>
      <w:r w:rsidRPr="00F72CA0">
        <w:rPr>
          <w:rFonts w:ascii="Palatino Linotype" w:hAnsi="Palatino Linotype"/>
          <w:sz w:val="22"/>
          <w:szCs w:val="22"/>
        </w:rPr>
        <w:t xml:space="preserve">, mediante el cual </w:t>
      </w:r>
      <w:r w:rsidR="004918B1" w:rsidRPr="00F72CA0">
        <w:rPr>
          <w:rFonts w:ascii="Palatino Linotype" w:hAnsi="Palatino Linotype"/>
          <w:sz w:val="22"/>
          <w:szCs w:val="22"/>
        </w:rPr>
        <w:t>titular de la Oficialía Mayor</w:t>
      </w:r>
      <w:r w:rsidR="00FF0C43" w:rsidRPr="00F72CA0">
        <w:rPr>
          <w:rFonts w:ascii="Palatino Linotype" w:hAnsi="Palatino Linotype"/>
          <w:sz w:val="22"/>
          <w:szCs w:val="22"/>
        </w:rPr>
        <w:t xml:space="preserve">, por conducto del Área de Adquisiciones y Recursos Materiales, como refirió que derivado de la </w:t>
      </w:r>
      <w:r w:rsidR="000B3672" w:rsidRPr="00F72CA0">
        <w:rPr>
          <w:rFonts w:ascii="Palatino Linotype" w:hAnsi="Palatino Linotype"/>
          <w:sz w:val="22"/>
          <w:szCs w:val="22"/>
        </w:rPr>
        <w:t>búsqueda exhaustiva y razonable, localizó trece archivos que contienen la información solicitada.</w:t>
      </w:r>
    </w:p>
    <w:p w14:paraId="091B43CC" w14:textId="5B4593DA" w:rsidR="000B3672" w:rsidRPr="00F72CA0" w:rsidRDefault="000B3672">
      <w:pPr>
        <w:spacing w:before="240" w:after="240" w:line="360" w:lineRule="auto"/>
        <w:ind w:right="49"/>
        <w:jc w:val="both"/>
        <w:rPr>
          <w:rFonts w:ascii="Palatino Linotype" w:hAnsi="Palatino Linotype"/>
          <w:sz w:val="22"/>
          <w:szCs w:val="22"/>
        </w:rPr>
      </w:pPr>
      <w:r w:rsidRPr="00F72CA0">
        <w:rPr>
          <w:rFonts w:ascii="Palatino Linotype" w:hAnsi="Palatino Linotype"/>
          <w:sz w:val="22"/>
          <w:szCs w:val="22"/>
        </w:rPr>
        <w:lastRenderedPageBreak/>
        <w:t>- Dictámenes de Adjudicación Emitidos por el Comité de Adquisiciones y Servicios, de los ejercicios 2022 y 2023.</w:t>
      </w:r>
    </w:p>
    <w:p w14:paraId="18377E54" w14:textId="723DF480" w:rsidR="000B3672" w:rsidRPr="00F72CA0" w:rsidRDefault="000B3672">
      <w:pPr>
        <w:spacing w:before="240" w:after="240" w:line="360" w:lineRule="auto"/>
        <w:ind w:right="49"/>
        <w:jc w:val="both"/>
        <w:rPr>
          <w:rFonts w:ascii="Palatino Linotype" w:hAnsi="Palatino Linotype"/>
          <w:sz w:val="22"/>
          <w:szCs w:val="22"/>
        </w:rPr>
      </w:pPr>
      <w:r w:rsidRPr="00F72CA0">
        <w:rPr>
          <w:rFonts w:ascii="Palatino Linotype" w:hAnsi="Palatino Linotype"/>
          <w:sz w:val="22"/>
          <w:szCs w:val="22"/>
        </w:rPr>
        <w:t xml:space="preserve">- Reporte de Adjudicaciones del Comité de Adquisiciones y Servicios del ejercicio 2024. </w:t>
      </w:r>
    </w:p>
    <w:p w14:paraId="1746036A" w14:textId="5E1A90E4" w:rsidR="000B3672" w:rsidRPr="00F72CA0" w:rsidRDefault="000B3672">
      <w:pPr>
        <w:spacing w:before="240" w:after="240" w:line="360" w:lineRule="auto"/>
        <w:ind w:right="49"/>
        <w:jc w:val="both"/>
        <w:rPr>
          <w:rFonts w:ascii="Palatino Linotype" w:hAnsi="Palatino Linotype"/>
          <w:sz w:val="22"/>
          <w:szCs w:val="22"/>
        </w:rPr>
      </w:pPr>
      <w:r w:rsidRPr="00F72CA0">
        <w:rPr>
          <w:rFonts w:ascii="Palatino Linotype" w:hAnsi="Palatino Linotype"/>
          <w:sz w:val="22"/>
          <w:szCs w:val="22"/>
        </w:rPr>
        <w:t>- Relación de suficiencias</w:t>
      </w:r>
      <w:r w:rsidR="00836233" w:rsidRPr="00F72CA0">
        <w:rPr>
          <w:rFonts w:ascii="Palatino Linotype" w:hAnsi="Palatino Linotype"/>
          <w:sz w:val="22"/>
          <w:szCs w:val="22"/>
        </w:rPr>
        <w:t xml:space="preserve">, por tipo de </w:t>
      </w:r>
      <w:r w:rsidR="00123D9A" w:rsidRPr="00F72CA0">
        <w:rPr>
          <w:rFonts w:ascii="Palatino Linotype" w:hAnsi="Palatino Linotype"/>
          <w:sz w:val="22"/>
          <w:szCs w:val="22"/>
        </w:rPr>
        <w:t>adjudicación</w:t>
      </w:r>
      <w:r w:rsidR="00836233" w:rsidRPr="00F72CA0">
        <w:rPr>
          <w:rFonts w:ascii="Palatino Linotype" w:hAnsi="Palatino Linotype"/>
          <w:sz w:val="22"/>
          <w:szCs w:val="22"/>
        </w:rPr>
        <w:t>,</w:t>
      </w:r>
      <w:r w:rsidRPr="00F72CA0">
        <w:rPr>
          <w:rFonts w:ascii="Palatino Linotype" w:hAnsi="Palatino Linotype"/>
          <w:sz w:val="22"/>
          <w:szCs w:val="22"/>
        </w:rPr>
        <w:t xml:space="preserve"> del </w:t>
      </w:r>
      <w:r w:rsidR="00836233" w:rsidRPr="00F72CA0">
        <w:rPr>
          <w:rFonts w:ascii="Palatino Linotype" w:hAnsi="Palatino Linotype"/>
          <w:sz w:val="22"/>
          <w:szCs w:val="22"/>
        </w:rPr>
        <w:t>primer trimestre ejercicio 2025.</w:t>
      </w:r>
    </w:p>
    <w:p w14:paraId="2DDF2CE4" w14:textId="0E6C96C8" w:rsidR="00123D9A" w:rsidRPr="00F72CA0" w:rsidRDefault="00621F2F">
      <w:pPr>
        <w:spacing w:before="240" w:after="240" w:line="360" w:lineRule="auto"/>
        <w:ind w:right="49"/>
        <w:jc w:val="both"/>
        <w:rPr>
          <w:rFonts w:ascii="Palatino Linotype" w:eastAsia="Palatino Linotype" w:hAnsi="Palatino Linotype" w:cs="Palatino Linotype"/>
          <w:sz w:val="22"/>
          <w:szCs w:val="22"/>
        </w:rPr>
      </w:pPr>
      <w:r w:rsidRPr="00F72CA0">
        <w:rPr>
          <w:rFonts w:ascii="Palatino Linotype" w:hAnsi="Palatino Linotype"/>
          <w:sz w:val="22"/>
          <w:szCs w:val="22"/>
        </w:rPr>
        <w:t xml:space="preserve">- </w:t>
      </w:r>
      <w:r w:rsidR="00123D9A" w:rsidRPr="00F72CA0">
        <w:rPr>
          <w:rFonts w:ascii="Palatino Linotype" w:eastAsia="Palatino Linotype" w:hAnsi="Palatino Linotype" w:cs="Palatino Linotype"/>
          <w:sz w:val="22"/>
          <w:szCs w:val="22"/>
        </w:rPr>
        <w:t xml:space="preserve">Acta de la Vigésima Sesión Extraordinaria del Comité de Transparencia referida en el </w:t>
      </w:r>
      <w:r w:rsidR="002926A3" w:rsidRPr="00F72CA0">
        <w:rPr>
          <w:rFonts w:ascii="Palatino Linotype" w:eastAsia="Palatino Linotype" w:hAnsi="Palatino Linotype" w:cs="Palatino Linotype"/>
          <w:sz w:val="22"/>
          <w:szCs w:val="22"/>
        </w:rPr>
        <w:t>antecedente</w:t>
      </w:r>
      <w:r w:rsidR="00123D9A" w:rsidRPr="00F72CA0">
        <w:rPr>
          <w:rFonts w:ascii="Palatino Linotype" w:eastAsia="Palatino Linotype" w:hAnsi="Palatino Linotype" w:cs="Palatino Linotype"/>
          <w:sz w:val="22"/>
          <w:szCs w:val="22"/>
        </w:rPr>
        <w:t xml:space="preserve"> anterior.</w:t>
      </w:r>
    </w:p>
    <w:p w14:paraId="15D280BF" w14:textId="5C166044" w:rsidR="00562A90" w:rsidRPr="00F72CA0" w:rsidRDefault="0062255D">
      <w:pPr>
        <w:spacing w:before="240" w:after="240" w:line="360" w:lineRule="auto"/>
        <w:ind w:right="49"/>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b/>
          <w:sz w:val="22"/>
          <w:szCs w:val="22"/>
        </w:rPr>
        <w:t xml:space="preserve">3. Interposición del recurso de revisión. </w:t>
      </w:r>
      <w:r w:rsidRPr="00F72CA0">
        <w:rPr>
          <w:rFonts w:ascii="Palatino Linotype" w:eastAsia="Palatino Linotype" w:hAnsi="Palatino Linotype" w:cs="Palatino Linotype"/>
          <w:sz w:val="22"/>
          <w:szCs w:val="22"/>
        </w:rPr>
        <w:t xml:space="preserve">Inconforme con los términos de la respuesta emitida por parte del </w:t>
      </w:r>
      <w:r w:rsidRPr="00F72CA0">
        <w:rPr>
          <w:rFonts w:ascii="Palatino Linotype" w:eastAsia="Palatino Linotype" w:hAnsi="Palatino Linotype" w:cs="Palatino Linotype"/>
          <w:b/>
          <w:sz w:val="22"/>
          <w:szCs w:val="22"/>
        </w:rPr>
        <w:t>Sujeto Obligado</w:t>
      </w:r>
      <w:r w:rsidRPr="00F72CA0">
        <w:rPr>
          <w:rFonts w:ascii="Palatino Linotype" w:eastAsia="Palatino Linotype" w:hAnsi="Palatino Linotype" w:cs="Palatino Linotype"/>
          <w:sz w:val="22"/>
          <w:szCs w:val="22"/>
        </w:rPr>
        <w:t xml:space="preserve">, el </w:t>
      </w:r>
      <w:r w:rsidR="003E764C" w:rsidRPr="00F72CA0">
        <w:rPr>
          <w:rFonts w:ascii="Palatino Linotype" w:eastAsia="Palatino Linotype" w:hAnsi="Palatino Linotype" w:cs="Palatino Linotype"/>
          <w:b/>
          <w:sz w:val="22"/>
          <w:szCs w:val="22"/>
        </w:rPr>
        <w:t xml:space="preserve">dieciocho de septiembre </w:t>
      </w:r>
      <w:r w:rsidRPr="00F72CA0">
        <w:rPr>
          <w:rFonts w:ascii="Palatino Linotype" w:eastAsia="Palatino Linotype" w:hAnsi="Palatino Linotype" w:cs="Palatino Linotype"/>
          <w:b/>
          <w:sz w:val="22"/>
          <w:szCs w:val="22"/>
        </w:rPr>
        <w:t>de dos mil veinticinco,</w:t>
      </w:r>
      <w:r w:rsidRPr="00F72CA0">
        <w:rPr>
          <w:rFonts w:ascii="Palatino Linotype" w:eastAsia="Palatino Linotype" w:hAnsi="Palatino Linotype" w:cs="Palatino Linotype"/>
          <w:sz w:val="22"/>
          <w:szCs w:val="22"/>
        </w:rPr>
        <w:t xml:space="preserve"> la parte </w:t>
      </w:r>
      <w:r w:rsidRPr="00F72CA0">
        <w:rPr>
          <w:rFonts w:ascii="Palatino Linotype" w:eastAsia="Palatino Linotype" w:hAnsi="Palatino Linotype" w:cs="Palatino Linotype"/>
          <w:b/>
          <w:sz w:val="22"/>
          <w:szCs w:val="22"/>
        </w:rPr>
        <w:t>Recurrente</w:t>
      </w:r>
      <w:r w:rsidRPr="00F72CA0">
        <w:rPr>
          <w:rFonts w:ascii="Palatino Linotype" w:eastAsia="Palatino Linotype" w:hAnsi="Palatino Linotype" w:cs="Palatino Linotype"/>
          <w:sz w:val="22"/>
          <w:szCs w:val="22"/>
        </w:rPr>
        <w:t xml:space="preserve"> interpuso el recurso de revisión a través de </w:t>
      </w:r>
      <w:r w:rsidRPr="00F72CA0">
        <w:rPr>
          <w:rFonts w:ascii="Palatino Linotype" w:eastAsia="Palatino Linotype" w:hAnsi="Palatino Linotype" w:cs="Palatino Linotype"/>
          <w:b/>
          <w:sz w:val="22"/>
          <w:szCs w:val="22"/>
        </w:rPr>
        <w:t xml:space="preserve">SAIMEX, </w:t>
      </w:r>
      <w:r w:rsidRPr="00F72CA0">
        <w:rPr>
          <w:rFonts w:ascii="Palatino Linotype" w:eastAsia="Palatino Linotype" w:hAnsi="Palatino Linotype" w:cs="Palatino Linotype"/>
          <w:sz w:val="22"/>
          <w:szCs w:val="22"/>
        </w:rPr>
        <w:t>en donde se manifestó de la siguiente manera:</w:t>
      </w:r>
    </w:p>
    <w:p w14:paraId="47A1D1F7" w14:textId="77777777" w:rsidR="00562A90" w:rsidRPr="00F72CA0" w:rsidRDefault="0062255D">
      <w:pPr>
        <w:spacing w:before="240" w:after="240" w:line="360" w:lineRule="auto"/>
        <w:ind w:right="49"/>
        <w:jc w:val="both"/>
        <w:rPr>
          <w:rFonts w:ascii="Palatino Linotype" w:eastAsia="Palatino Linotype" w:hAnsi="Palatino Linotype" w:cs="Palatino Linotype"/>
          <w:b/>
          <w:sz w:val="22"/>
          <w:szCs w:val="22"/>
        </w:rPr>
      </w:pPr>
      <w:r w:rsidRPr="00F72CA0">
        <w:rPr>
          <w:rFonts w:ascii="Palatino Linotype" w:eastAsia="Palatino Linotype" w:hAnsi="Palatino Linotype" w:cs="Palatino Linotype"/>
          <w:b/>
          <w:sz w:val="22"/>
          <w:szCs w:val="22"/>
        </w:rPr>
        <w:t xml:space="preserve">Acto impugnado: </w:t>
      </w:r>
    </w:p>
    <w:p w14:paraId="2600BB83" w14:textId="4E6F84E9" w:rsidR="00562A90" w:rsidRPr="00F72CA0" w:rsidRDefault="0062255D" w:rsidP="00F62803">
      <w:pPr>
        <w:ind w:left="851" w:right="900"/>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w:t>
      </w:r>
      <w:r w:rsidR="003E764C" w:rsidRPr="00F72CA0">
        <w:rPr>
          <w:rFonts w:ascii="Palatino Linotype" w:eastAsia="Palatino Linotype" w:hAnsi="Palatino Linotype" w:cs="Palatino Linotype"/>
          <w:i/>
          <w:sz w:val="22"/>
          <w:szCs w:val="22"/>
        </w:rPr>
        <w:t xml:space="preserve">omisión en presentar la información solicitada de manera completa y de conformidad con los formatos oficiales que se entregan al </w:t>
      </w:r>
      <w:proofErr w:type="spellStart"/>
      <w:r w:rsidR="003E764C" w:rsidRPr="00F72CA0">
        <w:rPr>
          <w:rFonts w:ascii="Palatino Linotype" w:eastAsia="Palatino Linotype" w:hAnsi="Palatino Linotype" w:cs="Palatino Linotype"/>
          <w:i/>
          <w:sz w:val="22"/>
          <w:szCs w:val="22"/>
        </w:rPr>
        <w:t>osfem</w:t>
      </w:r>
      <w:proofErr w:type="spellEnd"/>
      <w:r w:rsidR="003E764C" w:rsidRPr="00F72CA0">
        <w:rPr>
          <w:rFonts w:ascii="Palatino Linotype" w:eastAsia="Palatino Linotype" w:hAnsi="Palatino Linotype" w:cs="Palatino Linotype"/>
          <w:i/>
          <w:sz w:val="22"/>
          <w:szCs w:val="22"/>
        </w:rPr>
        <w:t xml:space="preserve">, como bien se ejemplifica con años anteriores que si agregaron con los formatos oficiales, </w:t>
      </w:r>
      <w:r w:rsidR="003E764C" w:rsidRPr="00F72CA0">
        <w:rPr>
          <w:rFonts w:ascii="Palatino Linotype" w:eastAsia="Palatino Linotype" w:hAnsi="Palatino Linotype" w:cs="Palatino Linotype"/>
          <w:b/>
          <w:bCs/>
          <w:i/>
          <w:sz w:val="22"/>
          <w:szCs w:val="22"/>
          <w:u w:val="single"/>
        </w:rPr>
        <w:t>no siendo así por lo que respecta a este año 2025,</w:t>
      </w:r>
      <w:r w:rsidR="003E764C" w:rsidRPr="00F72CA0">
        <w:rPr>
          <w:rFonts w:ascii="Palatino Linotype" w:eastAsia="Palatino Linotype" w:hAnsi="Palatino Linotype" w:cs="Palatino Linotype"/>
          <w:i/>
          <w:sz w:val="22"/>
          <w:szCs w:val="22"/>
        </w:rPr>
        <w:t xml:space="preserve"> donde claramente son omisos en compartir los formatos oficiales enviados el OSFEM, los cuales cuentan con datos como a quien fueron adjudicados, fecha de adjudicación, que numero de acta como lo refleja en los formatos que anexaron de años pasados.</w:t>
      </w:r>
      <w:r w:rsidRPr="00F72CA0">
        <w:rPr>
          <w:rFonts w:ascii="Palatino Linotype" w:eastAsia="Palatino Linotype" w:hAnsi="Palatino Linotype" w:cs="Palatino Linotype"/>
          <w:i/>
          <w:sz w:val="22"/>
          <w:szCs w:val="22"/>
        </w:rPr>
        <w:t>” (sic)</w:t>
      </w:r>
    </w:p>
    <w:p w14:paraId="6D3A7034" w14:textId="77777777" w:rsidR="00DE3527" w:rsidRPr="00F72CA0" w:rsidRDefault="00DE3527">
      <w:pPr>
        <w:spacing w:line="360" w:lineRule="auto"/>
        <w:jc w:val="both"/>
        <w:rPr>
          <w:rFonts w:ascii="Palatino Linotype" w:eastAsia="Palatino Linotype" w:hAnsi="Palatino Linotype" w:cs="Palatino Linotype"/>
          <w:b/>
          <w:sz w:val="22"/>
          <w:szCs w:val="22"/>
        </w:rPr>
      </w:pPr>
      <w:bookmarkStart w:id="6" w:name="_heading=h.30j0zll" w:colFirst="0" w:colLast="0"/>
      <w:bookmarkEnd w:id="6"/>
    </w:p>
    <w:p w14:paraId="05264EB6" w14:textId="77777777" w:rsidR="00562A90" w:rsidRPr="00F72CA0" w:rsidRDefault="0062255D">
      <w:pPr>
        <w:spacing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b/>
          <w:sz w:val="22"/>
          <w:szCs w:val="22"/>
        </w:rPr>
        <w:t>Y, Razones o motivos de inconformidad</w:t>
      </w:r>
      <w:r w:rsidRPr="00F72CA0">
        <w:rPr>
          <w:rFonts w:ascii="Palatino Linotype" w:eastAsia="Palatino Linotype" w:hAnsi="Palatino Linotype" w:cs="Palatino Linotype"/>
          <w:sz w:val="22"/>
          <w:szCs w:val="22"/>
        </w:rPr>
        <w:t>:</w:t>
      </w:r>
    </w:p>
    <w:p w14:paraId="29A63F7C" w14:textId="0483AC28" w:rsidR="00562A90" w:rsidRPr="00F72CA0" w:rsidRDefault="0062255D">
      <w:pPr>
        <w:tabs>
          <w:tab w:val="left" w:pos="2745"/>
        </w:tabs>
        <w:spacing w:before="240" w:after="240"/>
        <w:ind w:left="851" w:right="900"/>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w:t>
      </w:r>
      <w:r w:rsidR="003E764C" w:rsidRPr="00F72CA0">
        <w:rPr>
          <w:rFonts w:ascii="Palatino Linotype" w:eastAsia="Palatino Linotype" w:hAnsi="Palatino Linotype" w:cs="Palatino Linotype"/>
          <w:i/>
          <w:sz w:val="22"/>
          <w:szCs w:val="22"/>
        </w:rPr>
        <w:t xml:space="preserve">omisión en presentar la información solicitada de manera completa y de conformidad con los formatos oficiales que se entregan al </w:t>
      </w:r>
      <w:proofErr w:type="spellStart"/>
      <w:r w:rsidR="003E764C" w:rsidRPr="00F72CA0">
        <w:rPr>
          <w:rFonts w:ascii="Palatino Linotype" w:eastAsia="Palatino Linotype" w:hAnsi="Palatino Linotype" w:cs="Palatino Linotype"/>
          <w:i/>
          <w:sz w:val="22"/>
          <w:szCs w:val="22"/>
        </w:rPr>
        <w:t>osfem</w:t>
      </w:r>
      <w:proofErr w:type="spellEnd"/>
      <w:r w:rsidR="003E764C" w:rsidRPr="00F72CA0">
        <w:rPr>
          <w:rFonts w:ascii="Palatino Linotype" w:eastAsia="Palatino Linotype" w:hAnsi="Palatino Linotype" w:cs="Palatino Linotype"/>
          <w:i/>
          <w:sz w:val="22"/>
          <w:szCs w:val="22"/>
        </w:rPr>
        <w:t xml:space="preserve">, como bien se ejemplifica con años anteriores que si agregaron con los formatos oficiales, </w:t>
      </w:r>
      <w:r w:rsidR="003E764C" w:rsidRPr="00F72CA0">
        <w:rPr>
          <w:rFonts w:ascii="Palatino Linotype" w:eastAsia="Palatino Linotype" w:hAnsi="Palatino Linotype" w:cs="Palatino Linotype"/>
          <w:b/>
          <w:bCs/>
          <w:i/>
          <w:sz w:val="22"/>
          <w:szCs w:val="22"/>
          <w:u w:val="single"/>
        </w:rPr>
        <w:t>no siendo así por lo que respecta a este año 2025</w:t>
      </w:r>
      <w:r w:rsidR="003E764C" w:rsidRPr="00F72CA0">
        <w:rPr>
          <w:rFonts w:ascii="Palatino Linotype" w:eastAsia="Palatino Linotype" w:hAnsi="Palatino Linotype" w:cs="Palatino Linotype"/>
          <w:i/>
          <w:sz w:val="22"/>
          <w:szCs w:val="22"/>
        </w:rPr>
        <w:t xml:space="preserve">, donde claramente son omisos en compartir los formatos oficiales enviados el OSFEM, los cuales cuentan con datos como a quien fueron adjudicados, fecha de adjudicación, que numero de acta como lo refleja en los formatos que anexaron de años pasados, y que deben de ser enviados al OSFEM de manera trimestral, siendo información </w:t>
      </w:r>
      <w:proofErr w:type="spellStart"/>
      <w:r w:rsidR="003E764C" w:rsidRPr="00F72CA0">
        <w:rPr>
          <w:rFonts w:ascii="Palatino Linotype" w:eastAsia="Palatino Linotype" w:hAnsi="Palatino Linotype" w:cs="Palatino Linotype"/>
          <w:i/>
          <w:sz w:val="22"/>
          <w:szCs w:val="22"/>
        </w:rPr>
        <w:t>publica</w:t>
      </w:r>
      <w:proofErr w:type="spellEnd"/>
      <w:r w:rsidR="003E764C" w:rsidRPr="00F72CA0">
        <w:rPr>
          <w:rFonts w:ascii="Palatino Linotype" w:eastAsia="Palatino Linotype" w:hAnsi="Palatino Linotype" w:cs="Palatino Linotype"/>
          <w:i/>
          <w:sz w:val="22"/>
          <w:szCs w:val="22"/>
        </w:rPr>
        <w:t xml:space="preserve"> en su totalidad, por lo que del análisis y de las documentales y anexos que se agregaron en la respuesta se podrán percatar de lo narrado en el presente.</w:t>
      </w:r>
      <w:r w:rsidRPr="00F72CA0">
        <w:rPr>
          <w:rFonts w:ascii="Palatino Linotype" w:eastAsia="Palatino Linotype" w:hAnsi="Palatino Linotype" w:cs="Palatino Linotype"/>
          <w:i/>
          <w:sz w:val="22"/>
          <w:szCs w:val="22"/>
        </w:rPr>
        <w:t>” (sic)</w:t>
      </w:r>
    </w:p>
    <w:p w14:paraId="69DE47B2" w14:textId="77777777" w:rsidR="00562A90" w:rsidRPr="00F72CA0" w:rsidRDefault="0062255D">
      <w:pPr>
        <w:spacing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b/>
          <w:sz w:val="22"/>
          <w:szCs w:val="22"/>
        </w:rPr>
        <w:t xml:space="preserve">4. Turno. </w:t>
      </w:r>
      <w:r w:rsidRPr="00F72CA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72CA0">
        <w:rPr>
          <w:rFonts w:ascii="Palatino Linotype" w:eastAsia="Palatino Linotype" w:hAnsi="Palatino Linotype" w:cs="Palatino Linotype"/>
          <w:b/>
          <w:sz w:val="22"/>
          <w:szCs w:val="22"/>
        </w:rPr>
        <w:t xml:space="preserve">Guadalupe Ramírez Peña, </w:t>
      </w:r>
      <w:r w:rsidRPr="00F72CA0">
        <w:rPr>
          <w:rFonts w:ascii="Palatino Linotype" w:eastAsia="Palatino Linotype" w:hAnsi="Palatino Linotype" w:cs="Palatino Linotype"/>
          <w:sz w:val="22"/>
          <w:szCs w:val="22"/>
        </w:rPr>
        <w:t xml:space="preserve">a efecto de que analizara sobre su admisión o su </w:t>
      </w:r>
      <w:proofErr w:type="spellStart"/>
      <w:r w:rsidRPr="00F72CA0">
        <w:rPr>
          <w:rFonts w:ascii="Palatino Linotype" w:eastAsia="Palatino Linotype" w:hAnsi="Palatino Linotype" w:cs="Palatino Linotype"/>
          <w:sz w:val="22"/>
          <w:szCs w:val="22"/>
        </w:rPr>
        <w:t>desechamiento</w:t>
      </w:r>
      <w:proofErr w:type="spellEnd"/>
      <w:r w:rsidRPr="00F72CA0">
        <w:rPr>
          <w:rFonts w:ascii="Palatino Linotype" w:eastAsia="Palatino Linotype" w:hAnsi="Palatino Linotype" w:cs="Palatino Linotype"/>
          <w:sz w:val="22"/>
          <w:szCs w:val="22"/>
        </w:rPr>
        <w:t>.</w:t>
      </w:r>
    </w:p>
    <w:p w14:paraId="0F7154BA" w14:textId="674F976D" w:rsidR="00562A90" w:rsidRPr="00F72CA0" w:rsidRDefault="0062255D">
      <w:pPr>
        <w:spacing w:before="240" w:after="240" w:line="360" w:lineRule="auto"/>
        <w:jc w:val="both"/>
        <w:rPr>
          <w:rFonts w:ascii="Palatino Linotype" w:eastAsia="Palatino Linotype" w:hAnsi="Palatino Linotype" w:cs="Palatino Linotype"/>
          <w:b/>
          <w:sz w:val="22"/>
          <w:szCs w:val="22"/>
        </w:rPr>
      </w:pPr>
      <w:r w:rsidRPr="00F72CA0">
        <w:rPr>
          <w:rFonts w:ascii="Palatino Linotype" w:eastAsia="Palatino Linotype" w:hAnsi="Palatino Linotype" w:cs="Palatino Linotype"/>
          <w:b/>
          <w:sz w:val="22"/>
          <w:szCs w:val="22"/>
        </w:rPr>
        <w:t>5. Admisión del Recurso de revisión.</w:t>
      </w:r>
      <w:r w:rsidRPr="00F72CA0">
        <w:rPr>
          <w:rFonts w:ascii="Palatino Linotype" w:eastAsia="Palatino Linotype" w:hAnsi="Palatino Linotype" w:cs="Palatino Linotype"/>
          <w:sz w:val="22"/>
          <w:szCs w:val="22"/>
        </w:rPr>
        <w:t xml:space="preserve"> El</w:t>
      </w:r>
      <w:r w:rsidRPr="00F72CA0">
        <w:rPr>
          <w:rFonts w:ascii="Palatino Linotype" w:eastAsia="Palatino Linotype" w:hAnsi="Palatino Linotype" w:cs="Palatino Linotype"/>
          <w:b/>
          <w:sz w:val="22"/>
          <w:szCs w:val="22"/>
        </w:rPr>
        <w:t xml:space="preserve"> </w:t>
      </w:r>
      <w:r w:rsidR="00F62803" w:rsidRPr="00F72CA0">
        <w:rPr>
          <w:rFonts w:ascii="Palatino Linotype" w:eastAsia="Palatino Linotype" w:hAnsi="Palatino Linotype" w:cs="Palatino Linotype"/>
          <w:b/>
          <w:sz w:val="22"/>
          <w:szCs w:val="22"/>
        </w:rPr>
        <w:t xml:space="preserve">veintitrés </w:t>
      </w:r>
      <w:r w:rsidR="009702EC" w:rsidRPr="00F72CA0">
        <w:rPr>
          <w:rFonts w:ascii="Palatino Linotype" w:eastAsia="Palatino Linotype" w:hAnsi="Palatino Linotype" w:cs="Palatino Linotype"/>
          <w:b/>
          <w:sz w:val="22"/>
          <w:szCs w:val="22"/>
        </w:rPr>
        <w:t xml:space="preserve">de septiembre </w:t>
      </w:r>
      <w:r w:rsidRPr="00F72CA0">
        <w:rPr>
          <w:rFonts w:ascii="Palatino Linotype" w:eastAsia="Palatino Linotype" w:hAnsi="Palatino Linotype" w:cs="Palatino Linotype"/>
          <w:b/>
          <w:sz w:val="22"/>
          <w:szCs w:val="22"/>
        </w:rPr>
        <w:t xml:space="preserve">de dos mil veinticinco, </w:t>
      </w:r>
      <w:r w:rsidRPr="00F72CA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72CA0">
        <w:rPr>
          <w:rFonts w:ascii="Palatino Linotype" w:eastAsia="Palatino Linotype" w:hAnsi="Palatino Linotype" w:cs="Palatino Linotype"/>
          <w:b/>
          <w:sz w:val="22"/>
          <w:szCs w:val="22"/>
        </w:rPr>
        <w:t xml:space="preserve">Sujeto Obligado </w:t>
      </w:r>
      <w:r w:rsidRPr="00F72CA0">
        <w:rPr>
          <w:rFonts w:ascii="Palatino Linotype" w:eastAsia="Palatino Linotype" w:hAnsi="Palatino Linotype" w:cs="Palatino Linotype"/>
          <w:sz w:val="22"/>
          <w:szCs w:val="22"/>
        </w:rPr>
        <w:t>presentara su informe justificado.</w:t>
      </w:r>
    </w:p>
    <w:p w14:paraId="0456879D" w14:textId="18E74373" w:rsidR="00442099" w:rsidRPr="00F72CA0" w:rsidRDefault="0062255D" w:rsidP="00442099">
      <w:pPr>
        <w:spacing w:before="240" w:after="240" w:line="360" w:lineRule="auto"/>
        <w:jc w:val="both"/>
        <w:rPr>
          <w:rFonts w:ascii="Palatino Linotype" w:eastAsia="Palatino Linotype" w:hAnsi="Palatino Linotype" w:cs="Palatino Linotype"/>
          <w:sz w:val="22"/>
          <w:szCs w:val="22"/>
        </w:rPr>
      </w:pPr>
      <w:bookmarkStart w:id="7" w:name="_heading=h.2s8eyo1" w:colFirst="0" w:colLast="0"/>
      <w:bookmarkEnd w:id="7"/>
      <w:r w:rsidRPr="00F72CA0">
        <w:rPr>
          <w:rFonts w:ascii="Palatino Linotype" w:eastAsia="Palatino Linotype" w:hAnsi="Palatino Linotype" w:cs="Palatino Linotype"/>
          <w:b/>
          <w:sz w:val="22"/>
          <w:szCs w:val="22"/>
        </w:rPr>
        <w:t>6. Manifestaciones</w:t>
      </w:r>
      <w:r w:rsidRPr="00F72CA0">
        <w:rPr>
          <w:rFonts w:ascii="Palatino Linotype" w:eastAsia="Palatino Linotype" w:hAnsi="Palatino Linotype" w:cs="Palatino Linotype"/>
          <w:sz w:val="22"/>
          <w:szCs w:val="22"/>
        </w:rPr>
        <w:t xml:space="preserve">. </w:t>
      </w:r>
      <w:r w:rsidR="00442099" w:rsidRPr="00F72CA0">
        <w:rPr>
          <w:rFonts w:ascii="Palatino Linotype" w:eastAsia="Palatino Linotype" w:hAnsi="Palatino Linotype" w:cs="Palatino Linotype"/>
          <w:sz w:val="22"/>
          <w:szCs w:val="22"/>
        </w:rPr>
        <w:t xml:space="preserve">El </w:t>
      </w:r>
      <w:r w:rsidR="00955078" w:rsidRPr="00F72CA0">
        <w:rPr>
          <w:rFonts w:ascii="Palatino Linotype" w:eastAsia="Palatino Linotype" w:hAnsi="Palatino Linotype" w:cs="Palatino Linotype"/>
          <w:b/>
          <w:bCs/>
          <w:sz w:val="22"/>
          <w:szCs w:val="22"/>
        </w:rPr>
        <w:t>uno de octubre</w:t>
      </w:r>
      <w:r w:rsidR="00442099" w:rsidRPr="00F72CA0">
        <w:rPr>
          <w:rFonts w:ascii="Palatino Linotype" w:eastAsia="Palatino Linotype" w:hAnsi="Palatino Linotype" w:cs="Palatino Linotype"/>
          <w:b/>
          <w:bCs/>
          <w:sz w:val="22"/>
          <w:szCs w:val="22"/>
        </w:rPr>
        <w:t xml:space="preserve"> de</w:t>
      </w:r>
      <w:r w:rsidR="00442099" w:rsidRPr="00F72CA0">
        <w:rPr>
          <w:rFonts w:ascii="Palatino Linotype" w:eastAsia="Palatino Linotype" w:hAnsi="Palatino Linotype" w:cs="Palatino Linotype"/>
          <w:sz w:val="22"/>
          <w:szCs w:val="22"/>
        </w:rPr>
        <w:t xml:space="preserve"> </w:t>
      </w:r>
      <w:r w:rsidR="00442099" w:rsidRPr="00F72CA0">
        <w:rPr>
          <w:rFonts w:ascii="Palatino Linotype" w:eastAsia="Palatino Linotype" w:hAnsi="Palatino Linotype" w:cs="Palatino Linotype"/>
          <w:b/>
          <w:sz w:val="22"/>
          <w:szCs w:val="22"/>
        </w:rPr>
        <w:t>dos mil veinticinco</w:t>
      </w:r>
      <w:r w:rsidR="00442099" w:rsidRPr="00F72CA0">
        <w:rPr>
          <w:rFonts w:ascii="Palatino Linotype" w:eastAsia="Palatino Linotype" w:hAnsi="Palatino Linotype" w:cs="Palatino Linotype"/>
          <w:sz w:val="22"/>
          <w:szCs w:val="22"/>
        </w:rPr>
        <w:t xml:space="preserve">, el </w:t>
      </w:r>
      <w:r w:rsidR="00442099" w:rsidRPr="00F72CA0">
        <w:rPr>
          <w:rFonts w:ascii="Palatino Linotype" w:eastAsia="Palatino Linotype" w:hAnsi="Palatino Linotype" w:cs="Palatino Linotype"/>
          <w:b/>
          <w:sz w:val="22"/>
          <w:szCs w:val="22"/>
        </w:rPr>
        <w:t>Sujeto Obligado</w:t>
      </w:r>
      <w:r w:rsidR="00442099" w:rsidRPr="00F72CA0">
        <w:rPr>
          <w:rFonts w:ascii="Palatino Linotype" w:eastAsia="Palatino Linotype" w:hAnsi="Palatino Linotype" w:cs="Palatino Linotype"/>
          <w:sz w:val="22"/>
          <w:szCs w:val="22"/>
        </w:rPr>
        <w:t xml:space="preserve"> remitió, a través del SAIMEX el oficio número </w:t>
      </w:r>
      <w:r w:rsidR="00442099" w:rsidRPr="00F72CA0">
        <w:rPr>
          <w:rFonts w:ascii="Palatino Linotype" w:hAnsi="Palatino Linotype"/>
          <w:sz w:val="22"/>
          <w:szCs w:val="22"/>
        </w:rPr>
        <w:t>OPDM/OM/SA/09-121/2025, mediante el cual ratificó en lo sustancial la respuesta proporcionada en primera instancia.</w:t>
      </w:r>
    </w:p>
    <w:p w14:paraId="56A2877C" w14:textId="77777777" w:rsidR="00442099" w:rsidRPr="00F72CA0" w:rsidRDefault="00442099" w:rsidP="00442099">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1BC3F94B" w14:textId="334B0F13" w:rsidR="00286DF8" w:rsidRPr="00F72CA0" w:rsidRDefault="005D5DC9" w:rsidP="00286DF8">
      <w:pPr>
        <w:widowControl w:val="0"/>
        <w:spacing w:before="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b/>
          <w:sz w:val="22"/>
          <w:szCs w:val="22"/>
        </w:rPr>
        <w:t>7</w:t>
      </w:r>
      <w:r w:rsidR="00286DF8" w:rsidRPr="00F72CA0">
        <w:rPr>
          <w:rFonts w:ascii="Palatino Linotype" w:eastAsia="Palatino Linotype" w:hAnsi="Palatino Linotype" w:cs="Palatino Linotype"/>
          <w:b/>
          <w:sz w:val="22"/>
          <w:szCs w:val="22"/>
        </w:rPr>
        <w:t>. Ampliación del término para resolver</w:t>
      </w:r>
      <w:r w:rsidR="00286DF8" w:rsidRPr="00F72CA0">
        <w:rPr>
          <w:rFonts w:ascii="Palatino Linotype" w:eastAsia="Palatino Linotype" w:hAnsi="Palatino Linotype" w:cs="Palatino Linotype"/>
          <w:sz w:val="22"/>
          <w:szCs w:val="22"/>
        </w:rPr>
        <w:t xml:space="preserve">. El </w:t>
      </w:r>
      <w:r w:rsidR="00F62803" w:rsidRPr="00F72CA0">
        <w:rPr>
          <w:rFonts w:ascii="Palatino Linotype" w:eastAsia="Palatino Linotype" w:hAnsi="Palatino Linotype" w:cs="Palatino Linotype"/>
          <w:b/>
          <w:sz w:val="22"/>
          <w:szCs w:val="22"/>
        </w:rPr>
        <w:t>diez</w:t>
      </w:r>
      <w:r w:rsidR="00955078" w:rsidRPr="00F72CA0">
        <w:rPr>
          <w:rFonts w:ascii="Palatino Linotype" w:eastAsia="Palatino Linotype" w:hAnsi="Palatino Linotype" w:cs="Palatino Linotype"/>
          <w:b/>
          <w:sz w:val="22"/>
          <w:szCs w:val="22"/>
        </w:rPr>
        <w:t xml:space="preserve"> de diciembre</w:t>
      </w:r>
      <w:r w:rsidR="00F65DCF" w:rsidRPr="00F72CA0">
        <w:rPr>
          <w:rFonts w:ascii="Palatino Linotype" w:eastAsia="Palatino Linotype" w:hAnsi="Palatino Linotype" w:cs="Palatino Linotype"/>
          <w:b/>
          <w:sz w:val="22"/>
          <w:szCs w:val="22"/>
        </w:rPr>
        <w:t xml:space="preserve"> de dos mil veinticinco</w:t>
      </w:r>
      <w:r w:rsidR="00286DF8" w:rsidRPr="00F72CA0">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r w:rsidR="003C6AE1" w:rsidRPr="00F72CA0">
        <w:rPr>
          <w:rFonts w:ascii="Palatino Linotype" w:eastAsia="Palatino Linotype" w:hAnsi="Palatino Linotype" w:cs="Palatino Linotype"/>
          <w:sz w:val="22"/>
          <w:szCs w:val="22"/>
        </w:rPr>
        <w:t>, mediante acuerdo del ocho de diciembre de dos mil veinticinco.</w:t>
      </w:r>
    </w:p>
    <w:p w14:paraId="74A7EB08" w14:textId="77777777" w:rsidR="009E66E4" w:rsidRPr="00F72CA0" w:rsidRDefault="009E66E4" w:rsidP="009E66E4">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8F09434" w14:textId="77777777" w:rsidR="009E66E4" w:rsidRPr="00F72CA0" w:rsidRDefault="009E66E4" w:rsidP="009E66E4">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728A4B" w14:textId="77777777" w:rsidR="009E66E4" w:rsidRPr="00F72CA0" w:rsidRDefault="009E66E4" w:rsidP="009E66E4">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3065AA" w14:textId="77777777" w:rsidR="009E66E4" w:rsidRPr="00F72CA0" w:rsidRDefault="009E66E4" w:rsidP="009E66E4">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CB925DD" w14:textId="77777777" w:rsidR="009E66E4" w:rsidRPr="00F72CA0" w:rsidRDefault="009E66E4" w:rsidP="009E66E4">
      <w:pPr>
        <w:spacing w:before="240" w:after="240" w:line="360" w:lineRule="auto"/>
        <w:jc w:val="both"/>
        <w:rPr>
          <w:rFonts w:ascii="Palatino Linotype" w:eastAsia="Palatino Linotype" w:hAnsi="Palatino Linotype" w:cs="Palatino Linotype"/>
          <w:strike/>
          <w:sz w:val="22"/>
          <w:szCs w:val="22"/>
        </w:rPr>
      </w:pPr>
      <w:r w:rsidRPr="00F72CA0">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5EE79E8" w14:textId="77777777" w:rsidR="009E66E4" w:rsidRPr="00F72CA0" w:rsidRDefault="009E66E4" w:rsidP="009E66E4">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68C7A553" w14:textId="77777777" w:rsidR="009E66E4" w:rsidRPr="00F72CA0" w:rsidRDefault="009E66E4" w:rsidP="009E66E4">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Actividad Procesal del interesado. Acciones u omisiones del interesado.</w:t>
      </w:r>
    </w:p>
    <w:p w14:paraId="4E1E5E82" w14:textId="77777777" w:rsidR="009E66E4" w:rsidRPr="00F72CA0" w:rsidRDefault="009E66E4" w:rsidP="009E66E4">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7E1C76A4" w14:textId="77777777" w:rsidR="009E66E4" w:rsidRPr="00F72CA0" w:rsidRDefault="009E66E4" w:rsidP="009E66E4">
      <w:pPr>
        <w:tabs>
          <w:tab w:val="left" w:pos="567"/>
        </w:tabs>
        <w:spacing w:before="240" w:after="240" w:line="360" w:lineRule="auto"/>
        <w:ind w:left="284"/>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2500747B" w14:textId="77777777" w:rsidR="009E66E4" w:rsidRPr="00F72CA0" w:rsidRDefault="009E66E4" w:rsidP="009E66E4">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8152C0" w14:textId="77777777" w:rsidR="009E66E4" w:rsidRPr="00F72CA0" w:rsidRDefault="009E66E4" w:rsidP="009E66E4">
      <w:pPr>
        <w:spacing w:before="240" w:after="240" w:line="360" w:lineRule="auto"/>
        <w:jc w:val="both"/>
        <w:rPr>
          <w:rFonts w:ascii="Palatino Linotype" w:eastAsia="Palatino Linotype" w:hAnsi="Palatino Linotype" w:cs="Palatino Linotype"/>
          <w:b/>
          <w:sz w:val="22"/>
          <w:szCs w:val="22"/>
        </w:rPr>
      </w:pPr>
      <w:r w:rsidRPr="00F72CA0">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F72CA0">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F72CA0">
        <w:rPr>
          <w:rFonts w:ascii="Palatino Linotype" w:eastAsia="Palatino Linotype" w:hAnsi="Palatino Linotype" w:cs="Palatino Linotype"/>
          <w:sz w:val="22"/>
          <w:szCs w:val="22"/>
        </w:rPr>
        <w:t>, visible en la Gaceta del Seminario Judicial de la Federación con el registro digital 205635.</w:t>
      </w:r>
    </w:p>
    <w:p w14:paraId="05504ED8" w14:textId="77777777" w:rsidR="009E66E4" w:rsidRPr="00F72CA0" w:rsidRDefault="009E66E4" w:rsidP="009E66E4">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4ED65B2" w14:textId="77777777" w:rsidR="009E66E4" w:rsidRPr="00F72CA0" w:rsidRDefault="009E66E4" w:rsidP="009E66E4">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2634477" w14:textId="77777777" w:rsidR="009E66E4" w:rsidRPr="00F72CA0" w:rsidRDefault="009E66E4" w:rsidP="009E66E4">
      <w:pPr>
        <w:spacing w:before="120" w:after="120"/>
        <w:ind w:left="851" w:right="902"/>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 </w:t>
      </w:r>
      <w:r w:rsidRPr="00F72CA0">
        <w:rPr>
          <w:rFonts w:ascii="Palatino Linotype" w:eastAsia="Palatino Linotype" w:hAnsi="Palatino Linotype" w:cs="Palatino Linotype"/>
          <w:i/>
          <w:sz w:val="22"/>
          <w:szCs w:val="22"/>
        </w:rPr>
        <w:t>“</w:t>
      </w:r>
      <w:r w:rsidRPr="00F72CA0">
        <w:rPr>
          <w:rFonts w:ascii="Palatino Linotype" w:eastAsia="Palatino Linotype" w:hAnsi="Palatino Linotype" w:cs="Palatino Linotype"/>
          <w:b/>
          <w:i/>
          <w:sz w:val="22"/>
          <w:szCs w:val="22"/>
        </w:rPr>
        <w:t>PLAZO RAZONABLE PARA RESOLVER. DIMENSIÓN Y EFECTOS DE ESTE CONCEPTO CUANDO SE ADUCE EXCESIVA CARGA DE TRABAJO</w:t>
      </w:r>
      <w:r w:rsidRPr="00F72CA0">
        <w:rPr>
          <w:rFonts w:ascii="Palatino Linotype" w:eastAsia="Palatino Linotype" w:hAnsi="Palatino Linotype" w:cs="Palatino Linotype"/>
          <w:i/>
          <w:sz w:val="22"/>
          <w:szCs w:val="22"/>
        </w:rPr>
        <w:t>.”</w:t>
      </w:r>
      <w:r w:rsidRPr="00F72CA0">
        <w:rPr>
          <w:rFonts w:ascii="Palatino Linotype" w:eastAsia="Palatino Linotype" w:hAnsi="Palatino Linotype" w:cs="Palatino Linotype"/>
          <w:sz w:val="22"/>
          <w:szCs w:val="22"/>
        </w:rPr>
        <w:t xml:space="preserve"> consultable en el Seminario Judicial de la Federación y su gaceta, con el registro digital 2002351.</w:t>
      </w:r>
    </w:p>
    <w:p w14:paraId="45466B29" w14:textId="77777777" w:rsidR="009E66E4" w:rsidRPr="00F72CA0" w:rsidRDefault="009E66E4" w:rsidP="009E66E4">
      <w:pPr>
        <w:spacing w:before="120" w:after="120"/>
        <w:ind w:left="851" w:right="902"/>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i/>
          <w:sz w:val="22"/>
          <w:szCs w:val="22"/>
        </w:rPr>
        <w:t>“</w:t>
      </w:r>
      <w:r w:rsidRPr="00F72CA0">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F72CA0">
        <w:rPr>
          <w:rFonts w:ascii="Palatino Linotype" w:eastAsia="Palatino Linotype" w:hAnsi="Palatino Linotype" w:cs="Palatino Linotype"/>
          <w:i/>
          <w:sz w:val="22"/>
          <w:szCs w:val="22"/>
        </w:rPr>
        <w:t>.”</w:t>
      </w:r>
      <w:r w:rsidRPr="00F72CA0">
        <w:rPr>
          <w:rFonts w:ascii="Palatino Linotype" w:eastAsia="Palatino Linotype" w:hAnsi="Palatino Linotype" w:cs="Palatino Linotype"/>
          <w:sz w:val="22"/>
          <w:szCs w:val="22"/>
        </w:rPr>
        <w:t>, visible en el Seminario Judicial de la Federación y su gaceta, con el registro digital 2002350.</w:t>
      </w:r>
    </w:p>
    <w:p w14:paraId="3989ED3F" w14:textId="1A3CC7BE" w:rsidR="009E66E4" w:rsidRPr="00F72CA0" w:rsidRDefault="009E66E4" w:rsidP="009E66E4">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9D27D8F" w14:textId="09FA8914" w:rsidR="005D5DC9" w:rsidRPr="00F72CA0" w:rsidRDefault="005D5DC9" w:rsidP="005D5DC9">
      <w:pPr>
        <w:widowControl w:val="0"/>
        <w:spacing w:before="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b/>
          <w:sz w:val="22"/>
          <w:szCs w:val="22"/>
        </w:rPr>
        <w:t xml:space="preserve">7. Cierre de instrucción. </w:t>
      </w:r>
      <w:r w:rsidRPr="00F72CA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F62803" w:rsidRPr="00F72CA0">
        <w:rPr>
          <w:rFonts w:ascii="Palatino Linotype" w:eastAsia="Palatino Linotype" w:hAnsi="Palatino Linotype" w:cs="Palatino Linotype"/>
          <w:b/>
          <w:sz w:val="22"/>
          <w:szCs w:val="22"/>
        </w:rPr>
        <w:t>diez</w:t>
      </w:r>
      <w:r w:rsidR="002926A3" w:rsidRPr="00F72CA0">
        <w:rPr>
          <w:rFonts w:ascii="Palatino Linotype" w:eastAsia="Palatino Linotype" w:hAnsi="Palatino Linotype" w:cs="Palatino Linotype"/>
          <w:b/>
          <w:sz w:val="22"/>
          <w:szCs w:val="22"/>
        </w:rPr>
        <w:t xml:space="preserve"> </w:t>
      </w:r>
      <w:r w:rsidR="00955078" w:rsidRPr="00F72CA0">
        <w:rPr>
          <w:rFonts w:ascii="Palatino Linotype" w:eastAsia="Palatino Linotype" w:hAnsi="Palatino Linotype" w:cs="Palatino Linotype"/>
          <w:b/>
          <w:sz w:val="22"/>
          <w:szCs w:val="22"/>
        </w:rPr>
        <w:t>de dici</w:t>
      </w:r>
      <w:r w:rsidR="00DD773C" w:rsidRPr="00F72CA0">
        <w:rPr>
          <w:rFonts w:ascii="Palatino Linotype" w:eastAsia="Palatino Linotype" w:hAnsi="Palatino Linotype" w:cs="Palatino Linotype"/>
          <w:b/>
          <w:sz w:val="22"/>
          <w:szCs w:val="22"/>
        </w:rPr>
        <w:t>e</w:t>
      </w:r>
      <w:r w:rsidR="00955078" w:rsidRPr="00F72CA0">
        <w:rPr>
          <w:rFonts w:ascii="Palatino Linotype" w:eastAsia="Palatino Linotype" w:hAnsi="Palatino Linotype" w:cs="Palatino Linotype"/>
          <w:b/>
          <w:sz w:val="22"/>
          <w:szCs w:val="22"/>
        </w:rPr>
        <w:t>mbre</w:t>
      </w:r>
      <w:r w:rsidRPr="00F72CA0">
        <w:rPr>
          <w:rFonts w:ascii="Palatino Linotype" w:eastAsia="Palatino Linotype" w:hAnsi="Palatino Linotype" w:cs="Palatino Linotype"/>
          <w:b/>
          <w:sz w:val="22"/>
          <w:szCs w:val="22"/>
        </w:rPr>
        <w:t xml:space="preserve"> de dos mil veinticinco</w:t>
      </w:r>
      <w:r w:rsidRPr="00F72CA0">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r w:rsidR="002926A3" w:rsidRPr="00F72CA0">
        <w:rPr>
          <w:rFonts w:ascii="Palatino Linotype" w:eastAsia="Palatino Linotype" w:hAnsi="Palatino Linotype" w:cs="Palatino Linotype"/>
          <w:sz w:val="22"/>
          <w:szCs w:val="22"/>
        </w:rPr>
        <w:t>, mediane acuerdo del ocho de diciembre de dos mil veinticinco</w:t>
      </w:r>
      <w:r w:rsidR="003C6AE1" w:rsidRPr="00F72CA0">
        <w:rPr>
          <w:rFonts w:ascii="Palatino Linotype" w:eastAsia="Palatino Linotype" w:hAnsi="Palatino Linotype" w:cs="Palatino Linotype"/>
          <w:sz w:val="22"/>
          <w:szCs w:val="22"/>
        </w:rPr>
        <w:t>.</w:t>
      </w:r>
    </w:p>
    <w:p w14:paraId="7B0FA1BD" w14:textId="77777777" w:rsidR="00562A90" w:rsidRPr="00F72CA0" w:rsidRDefault="0062255D">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1BCBDF5" w14:textId="77777777" w:rsidR="00562A90" w:rsidRPr="00F72CA0" w:rsidRDefault="0062255D">
      <w:pPr>
        <w:widowControl w:val="0"/>
        <w:spacing w:before="240" w:after="240" w:line="360" w:lineRule="auto"/>
        <w:jc w:val="center"/>
        <w:rPr>
          <w:rFonts w:ascii="Palatino Linotype" w:eastAsia="Palatino Linotype" w:hAnsi="Palatino Linotype" w:cs="Palatino Linotype"/>
          <w:b/>
          <w:sz w:val="22"/>
          <w:szCs w:val="22"/>
        </w:rPr>
      </w:pPr>
      <w:r w:rsidRPr="00F72CA0">
        <w:rPr>
          <w:rFonts w:ascii="Palatino Linotype" w:eastAsia="Palatino Linotype" w:hAnsi="Palatino Linotype" w:cs="Palatino Linotype"/>
          <w:b/>
          <w:sz w:val="22"/>
          <w:szCs w:val="22"/>
        </w:rPr>
        <w:t>II. C O N S I D E R A N D O S</w:t>
      </w:r>
    </w:p>
    <w:p w14:paraId="60D021DD" w14:textId="6369A956" w:rsidR="00562A90" w:rsidRPr="00F72CA0" w:rsidRDefault="0062255D">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b/>
          <w:sz w:val="22"/>
          <w:szCs w:val="22"/>
        </w:rPr>
        <w:t>Primero. Competencia.</w:t>
      </w:r>
      <w:r w:rsidRPr="00F72CA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5D5DC9" w:rsidRPr="00F72CA0">
        <w:rPr>
          <w:rFonts w:ascii="Palatino Linotype" w:eastAsia="Palatino Linotype" w:hAnsi="Palatino Linotype" w:cs="Palatino Linotype"/>
          <w:sz w:val="22"/>
          <w:szCs w:val="22"/>
        </w:rPr>
        <w:t>5</w:t>
      </w:r>
      <w:r w:rsidR="000E700F" w:rsidRPr="00F72CA0">
        <w:rPr>
          <w:rFonts w:ascii="Palatino Linotype" w:eastAsia="Palatino Linotype" w:hAnsi="Palatino Linotype" w:cs="Palatino Linotype"/>
          <w:sz w:val="22"/>
          <w:szCs w:val="22"/>
        </w:rPr>
        <w:t>,</w:t>
      </w:r>
      <w:r w:rsidR="005D5DC9" w:rsidRPr="00F72CA0">
        <w:rPr>
          <w:rFonts w:ascii="Palatino Linotype" w:eastAsia="Palatino Linotype" w:hAnsi="Palatino Linotype" w:cs="Palatino Linotype"/>
          <w:sz w:val="22"/>
          <w:szCs w:val="22"/>
        </w:rPr>
        <w:t xml:space="preserve"> párrafos </w:t>
      </w:r>
      <w:r w:rsidR="000E700F" w:rsidRPr="00F72CA0">
        <w:rPr>
          <w:rFonts w:ascii="Palatino Linotype" w:eastAsia="Palatino Linotype" w:hAnsi="Palatino Linotype" w:cs="Palatino Linotype"/>
          <w:sz w:val="22"/>
          <w:szCs w:val="22"/>
        </w:rPr>
        <w:t>cuadragésimo cuarto, cuadragésimo quinto cuadragésimo sexto,</w:t>
      </w:r>
      <w:r w:rsidR="005D5DC9" w:rsidRPr="00F72CA0">
        <w:rPr>
          <w:rFonts w:ascii="Palatino Linotype" w:eastAsia="Palatino Linotype" w:hAnsi="Palatino Linotype" w:cs="Palatino Linotype"/>
          <w:sz w:val="22"/>
          <w:szCs w:val="22"/>
        </w:rPr>
        <w:t xml:space="preserve"> fracciones IV y V de la Constitución Política del Estado Libre y Soberano de México; Transitorio Cuarto, párrafo segundo del Decreto número 198 de la “LXII” Legislatura del Estado de México;</w:t>
      </w:r>
      <w:r w:rsidRPr="00F72CA0">
        <w:rPr>
          <w:rFonts w:ascii="Palatino Linotype" w:eastAsia="Palatino Linotype" w:hAnsi="Palatino Linotype" w:cs="Palatino Linotype"/>
          <w:sz w:val="22"/>
          <w:szCs w:val="22"/>
        </w:rPr>
        <w:t xml:space="preserve">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BB00E87" w14:textId="77777777" w:rsidR="00562A90" w:rsidRPr="00F72CA0" w:rsidRDefault="0062255D">
      <w:pPr>
        <w:spacing w:before="240" w:after="240" w:line="360" w:lineRule="auto"/>
        <w:jc w:val="both"/>
        <w:rPr>
          <w:rFonts w:ascii="Palatino Linotype" w:eastAsia="Palatino Linotype" w:hAnsi="Palatino Linotype" w:cs="Palatino Linotype"/>
          <w:sz w:val="22"/>
          <w:szCs w:val="22"/>
        </w:rPr>
      </w:pPr>
      <w:bookmarkStart w:id="8" w:name="_heading=h.tyjcwt" w:colFirst="0" w:colLast="0"/>
      <w:bookmarkEnd w:id="8"/>
      <w:r w:rsidRPr="00F72CA0">
        <w:rPr>
          <w:rFonts w:ascii="Palatino Linotype" w:eastAsia="Palatino Linotype" w:hAnsi="Palatino Linotype" w:cs="Palatino Linotype"/>
          <w:b/>
          <w:sz w:val="22"/>
          <w:szCs w:val="22"/>
        </w:rPr>
        <w:t>Segundo. Oportunidad y Procedibilidad del Recurso de Revisión</w:t>
      </w:r>
      <w:r w:rsidRPr="00F72CA0">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C2A1275" w14:textId="5544AE13" w:rsidR="00562A90" w:rsidRPr="00F72CA0" w:rsidRDefault="0062255D">
      <w:pPr>
        <w:spacing w:before="240" w:after="240" w:line="360" w:lineRule="auto"/>
        <w:jc w:val="both"/>
        <w:rPr>
          <w:rFonts w:ascii="Palatino Linotype" w:eastAsia="Palatino Linotype" w:hAnsi="Palatino Linotype" w:cs="Palatino Linotype"/>
          <w:b/>
          <w:sz w:val="22"/>
          <w:szCs w:val="22"/>
        </w:rPr>
      </w:pPr>
      <w:r w:rsidRPr="00F72CA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F72CA0">
        <w:rPr>
          <w:rFonts w:ascii="Palatino Linotype" w:eastAsia="Palatino Linotype" w:hAnsi="Palatino Linotype" w:cs="Palatino Linotype"/>
          <w:b/>
          <w:sz w:val="22"/>
          <w:szCs w:val="22"/>
        </w:rPr>
        <w:t xml:space="preserve">Sujeto Obligado </w:t>
      </w:r>
      <w:r w:rsidRPr="00F72CA0">
        <w:rPr>
          <w:rFonts w:ascii="Palatino Linotype" w:eastAsia="Palatino Linotype" w:hAnsi="Palatino Linotype" w:cs="Palatino Linotype"/>
          <w:sz w:val="22"/>
          <w:szCs w:val="22"/>
        </w:rPr>
        <w:t xml:space="preserve">remitió la respuesta a la solicitud de información el día </w:t>
      </w:r>
      <w:r w:rsidR="00044464" w:rsidRPr="00F72CA0">
        <w:rPr>
          <w:rFonts w:ascii="Palatino Linotype" w:eastAsia="Palatino Linotype" w:hAnsi="Palatino Linotype" w:cs="Palatino Linotype"/>
          <w:b/>
          <w:sz w:val="22"/>
          <w:szCs w:val="22"/>
        </w:rPr>
        <w:t>veintiocho de agosto</w:t>
      </w:r>
      <w:r w:rsidR="00F84EDF" w:rsidRPr="00F72CA0">
        <w:rPr>
          <w:rFonts w:ascii="Palatino Linotype" w:eastAsia="Palatino Linotype" w:hAnsi="Palatino Linotype" w:cs="Palatino Linotype"/>
          <w:b/>
          <w:sz w:val="22"/>
          <w:szCs w:val="22"/>
        </w:rPr>
        <w:t xml:space="preserve"> </w:t>
      </w:r>
      <w:r w:rsidRPr="00F72CA0">
        <w:rPr>
          <w:rFonts w:ascii="Palatino Linotype" w:eastAsia="Palatino Linotype" w:hAnsi="Palatino Linotype" w:cs="Palatino Linotype"/>
          <w:b/>
          <w:sz w:val="22"/>
          <w:szCs w:val="22"/>
        </w:rPr>
        <w:t xml:space="preserve">de dos mil veinticinco, </w:t>
      </w:r>
      <w:r w:rsidRPr="00F72CA0">
        <w:rPr>
          <w:rFonts w:ascii="Palatino Linotype" w:eastAsia="Palatino Linotype" w:hAnsi="Palatino Linotype" w:cs="Palatino Linotype"/>
          <w:sz w:val="22"/>
          <w:szCs w:val="22"/>
        </w:rPr>
        <w:t xml:space="preserve">mientras que el recurso de revisión interpuesto por la parte </w:t>
      </w:r>
      <w:r w:rsidRPr="00F72CA0">
        <w:rPr>
          <w:rFonts w:ascii="Palatino Linotype" w:eastAsia="Palatino Linotype" w:hAnsi="Palatino Linotype" w:cs="Palatino Linotype"/>
          <w:b/>
          <w:sz w:val="22"/>
          <w:szCs w:val="22"/>
        </w:rPr>
        <w:t xml:space="preserve">Recurrente, </w:t>
      </w:r>
      <w:r w:rsidRPr="00F72CA0">
        <w:rPr>
          <w:rFonts w:ascii="Palatino Linotype" w:eastAsia="Palatino Linotype" w:hAnsi="Palatino Linotype" w:cs="Palatino Linotype"/>
          <w:sz w:val="22"/>
          <w:szCs w:val="22"/>
        </w:rPr>
        <w:t>se tuvo por presentado el día</w:t>
      </w:r>
      <w:r w:rsidR="009E66E4" w:rsidRPr="00F72CA0">
        <w:rPr>
          <w:rFonts w:ascii="Palatino Linotype" w:eastAsia="Palatino Linotype" w:hAnsi="Palatino Linotype" w:cs="Palatino Linotype"/>
          <w:b/>
          <w:sz w:val="22"/>
          <w:szCs w:val="22"/>
        </w:rPr>
        <w:t xml:space="preserve"> </w:t>
      </w:r>
      <w:r w:rsidR="00044464" w:rsidRPr="00F72CA0">
        <w:rPr>
          <w:rFonts w:ascii="Palatino Linotype" w:eastAsia="Palatino Linotype" w:hAnsi="Palatino Linotype" w:cs="Palatino Linotype"/>
          <w:b/>
          <w:sz w:val="22"/>
          <w:szCs w:val="22"/>
        </w:rPr>
        <w:t>dieci</w:t>
      </w:r>
      <w:r w:rsidR="00F62803" w:rsidRPr="00F72CA0">
        <w:rPr>
          <w:rFonts w:ascii="Palatino Linotype" w:eastAsia="Palatino Linotype" w:hAnsi="Palatino Linotype" w:cs="Palatino Linotype"/>
          <w:b/>
          <w:sz w:val="22"/>
          <w:szCs w:val="22"/>
        </w:rPr>
        <w:t>ocho</w:t>
      </w:r>
      <w:r w:rsidR="00044464" w:rsidRPr="00F72CA0">
        <w:rPr>
          <w:rFonts w:ascii="Palatino Linotype" w:eastAsia="Palatino Linotype" w:hAnsi="Palatino Linotype" w:cs="Palatino Linotype"/>
          <w:b/>
          <w:sz w:val="22"/>
          <w:szCs w:val="22"/>
        </w:rPr>
        <w:t xml:space="preserve"> de septiembre</w:t>
      </w:r>
      <w:r w:rsidR="00F84EDF" w:rsidRPr="00F72CA0">
        <w:rPr>
          <w:rFonts w:ascii="Palatino Linotype" w:eastAsia="Palatino Linotype" w:hAnsi="Palatino Linotype" w:cs="Palatino Linotype"/>
          <w:b/>
          <w:sz w:val="22"/>
          <w:szCs w:val="22"/>
        </w:rPr>
        <w:t xml:space="preserve"> </w:t>
      </w:r>
      <w:r w:rsidRPr="00F72CA0">
        <w:rPr>
          <w:rFonts w:ascii="Palatino Linotype" w:eastAsia="Palatino Linotype" w:hAnsi="Palatino Linotype" w:cs="Palatino Linotype"/>
          <w:b/>
          <w:sz w:val="22"/>
          <w:szCs w:val="22"/>
        </w:rPr>
        <w:t xml:space="preserve">de dos mil veinticinco, </w:t>
      </w:r>
      <w:r w:rsidRPr="00F72CA0">
        <w:rPr>
          <w:rFonts w:ascii="Palatino Linotype" w:eastAsia="Palatino Linotype" w:hAnsi="Palatino Linotype" w:cs="Palatino Linotype"/>
          <w:sz w:val="22"/>
          <w:szCs w:val="22"/>
        </w:rPr>
        <w:t xml:space="preserve">esto es, </w:t>
      </w:r>
      <w:r w:rsidR="00554CDE" w:rsidRPr="00F72CA0">
        <w:rPr>
          <w:rFonts w:ascii="Palatino Linotype" w:eastAsia="Palatino Linotype" w:hAnsi="Palatino Linotype" w:cs="Palatino Linotype"/>
          <w:sz w:val="22"/>
          <w:szCs w:val="22"/>
        </w:rPr>
        <w:t xml:space="preserve">el </w:t>
      </w:r>
      <w:r w:rsidR="00044464" w:rsidRPr="00F72CA0">
        <w:rPr>
          <w:rFonts w:ascii="Palatino Linotype" w:eastAsia="Palatino Linotype" w:hAnsi="Palatino Linotype" w:cs="Palatino Linotype"/>
          <w:sz w:val="22"/>
          <w:szCs w:val="22"/>
        </w:rPr>
        <w:t>décimo cuarto</w:t>
      </w:r>
      <w:r w:rsidR="00554CDE" w:rsidRPr="00F72CA0">
        <w:rPr>
          <w:rFonts w:ascii="Palatino Linotype" w:eastAsia="Palatino Linotype" w:hAnsi="Palatino Linotype" w:cs="Palatino Linotype"/>
          <w:sz w:val="22"/>
          <w:szCs w:val="22"/>
        </w:rPr>
        <w:t xml:space="preserve"> día</w:t>
      </w:r>
      <w:r w:rsidRPr="00F72CA0">
        <w:rPr>
          <w:rFonts w:ascii="Palatino Linotype" w:eastAsia="Palatino Linotype" w:hAnsi="Palatino Linotype" w:cs="Palatino Linotype"/>
          <w:sz w:val="22"/>
          <w:szCs w:val="22"/>
        </w:rPr>
        <w:t xml:space="preserve"> </w:t>
      </w:r>
      <w:r w:rsidR="00F84EDF" w:rsidRPr="00F72CA0">
        <w:rPr>
          <w:rFonts w:ascii="Palatino Linotype" w:eastAsia="Palatino Linotype" w:hAnsi="Palatino Linotype" w:cs="Palatino Linotype"/>
          <w:sz w:val="22"/>
          <w:szCs w:val="22"/>
        </w:rPr>
        <w:t xml:space="preserve">hábil posterior a aquel </w:t>
      </w:r>
      <w:r w:rsidRPr="00F72CA0">
        <w:rPr>
          <w:rFonts w:ascii="Palatino Linotype" w:eastAsia="Palatino Linotype" w:hAnsi="Palatino Linotype" w:cs="Palatino Linotype"/>
          <w:sz w:val="22"/>
          <w:szCs w:val="22"/>
        </w:rPr>
        <w:t>en el que tuvo conocimiento de la respuesta impugnada. En este sentido, se concluye que el presente recurso de revisión se encuentra dentro de los márgenes temporales previstos en las disposiciones legales referidas.</w:t>
      </w:r>
    </w:p>
    <w:p w14:paraId="4358C8AE" w14:textId="77777777" w:rsidR="00044464" w:rsidRPr="00F72CA0" w:rsidRDefault="00044464" w:rsidP="00257D93">
      <w:pPr>
        <w:spacing w:before="240" w:after="240" w:line="360" w:lineRule="auto"/>
        <w:jc w:val="both"/>
        <w:rPr>
          <w:rFonts w:ascii="Palatino Linotype" w:eastAsia="Palatino Linotype" w:hAnsi="Palatino Linotype" w:cs="Palatino Linotype"/>
          <w:sz w:val="22"/>
          <w:szCs w:val="22"/>
        </w:rPr>
      </w:pPr>
    </w:p>
    <w:p w14:paraId="1B42C6EE" w14:textId="77777777" w:rsidR="00044464" w:rsidRPr="00F72CA0" w:rsidRDefault="00044464" w:rsidP="00044464">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51C625F6" w14:textId="12BEA4C2" w:rsidR="00562A90" w:rsidRPr="00F72CA0" w:rsidRDefault="0062255D">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F72CA0">
        <w:rPr>
          <w:rFonts w:ascii="Palatino Linotype" w:eastAsia="Palatino Linotype" w:hAnsi="Palatino Linotype" w:cs="Palatino Linotype"/>
          <w:b/>
          <w:sz w:val="22"/>
          <w:szCs w:val="22"/>
        </w:rPr>
        <w:t>Recurrente</w:t>
      </w:r>
      <w:r w:rsidRPr="00F72CA0">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39AB3B04" w14:textId="77777777" w:rsidR="00562A90" w:rsidRPr="00F72CA0" w:rsidRDefault="0062255D" w:rsidP="00AF51BA">
      <w:pPr>
        <w:tabs>
          <w:tab w:val="left" w:pos="7938"/>
        </w:tabs>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w:t>
      </w:r>
      <w:r w:rsidRPr="00F72CA0">
        <w:rPr>
          <w:rFonts w:ascii="Palatino Linotype" w:eastAsia="Palatino Linotype" w:hAnsi="Palatino Linotype" w:cs="Palatino Linotype"/>
          <w:b/>
          <w:i/>
          <w:sz w:val="22"/>
          <w:szCs w:val="22"/>
        </w:rPr>
        <w:t>Artículo 179.</w:t>
      </w:r>
      <w:r w:rsidRPr="00F72CA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903CA76" w14:textId="77777777" w:rsidR="00562A90" w:rsidRPr="00F72CA0" w:rsidRDefault="0062255D" w:rsidP="00AF51BA">
      <w:pPr>
        <w:tabs>
          <w:tab w:val="left" w:pos="7938"/>
        </w:tabs>
        <w:spacing w:before="120" w:after="120"/>
        <w:ind w:left="851" w:right="900"/>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w:t>
      </w:r>
    </w:p>
    <w:p w14:paraId="217B120C" w14:textId="77777777" w:rsidR="00562A90" w:rsidRPr="00F72CA0" w:rsidRDefault="0062255D" w:rsidP="00AF51BA">
      <w:pPr>
        <w:tabs>
          <w:tab w:val="left" w:pos="7938"/>
        </w:tabs>
        <w:spacing w:before="120" w:after="120"/>
        <w:ind w:left="851" w:right="900"/>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b/>
          <w:i/>
          <w:sz w:val="22"/>
          <w:szCs w:val="22"/>
        </w:rPr>
        <w:t>V.</w:t>
      </w:r>
      <w:r w:rsidRPr="00F72CA0">
        <w:rPr>
          <w:rFonts w:ascii="Palatino Linotype" w:eastAsia="Palatino Linotype" w:hAnsi="Palatino Linotype" w:cs="Palatino Linotype"/>
          <w:i/>
          <w:sz w:val="22"/>
          <w:szCs w:val="22"/>
        </w:rPr>
        <w:t xml:space="preserve"> La entrega de información incompleta;”</w:t>
      </w:r>
    </w:p>
    <w:p w14:paraId="09700F89" w14:textId="77777777" w:rsidR="00562A90" w:rsidRPr="00F72CA0" w:rsidRDefault="0062255D">
      <w:pPr>
        <w:spacing w:before="240" w:after="240" w:line="360" w:lineRule="auto"/>
        <w:jc w:val="both"/>
        <w:rPr>
          <w:rFonts w:ascii="Palatino Linotype" w:eastAsia="Palatino Linotype" w:hAnsi="Palatino Linotype" w:cs="Palatino Linotype"/>
          <w:b/>
          <w:sz w:val="22"/>
          <w:szCs w:val="22"/>
        </w:rPr>
      </w:pPr>
      <w:r w:rsidRPr="00F72CA0">
        <w:rPr>
          <w:rFonts w:ascii="Palatino Linotype" w:eastAsia="Palatino Linotype" w:hAnsi="Palatino Linotype" w:cs="Palatino Linotype"/>
          <w:b/>
          <w:sz w:val="22"/>
          <w:szCs w:val="22"/>
        </w:rPr>
        <w:t xml:space="preserve">Tercero. Materia de la revisión. </w:t>
      </w:r>
      <w:r w:rsidRPr="00F72CA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F72CA0">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F72CA0">
        <w:rPr>
          <w:rFonts w:ascii="Palatino Linotype" w:eastAsia="Palatino Linotype" w:hAnsi="Palatino Linotype" w:cs="Palatino Linotype"/>
          <w:sz w:val="22"/>
          <w:szCs w:val="22"/>
        </w:rPr>
        <w:t xml:space="preserve">de la parte </w:t>
      </w:r>
      <w:r w:rsidRPr="00F72CA0">
        <w:rPr>
          <w:rFonts w:ascii="Palatino Linotype" w:eastAsia="Palatino Linotype" w:hAnsi="Palatino Linotype" w:cs="Palatino Linotype"/>
          <w:b/>
          <w:sz w:val="22"/>
          <w:szCs w:val="22"/>
        </w:rPr>
        <w:t>Recurrente</w:t>
      </w:r>
      <w:r w:rsidRPr="00F72CA0">
        <w:rPr>
          <w:rFonts w:ascii="Palatino Linotype" w:eastAsia="Palatino Linotype" w:hAnsi="Palatino Linotype" w:cs="Palatino Linotype"/>
          <w:sz w:val="22"/>
          <w:szCs w:val="22"/>
        </w:rPr>
        <w:t>, o en su defecto, en caso de ser procedente, ordenar la entrega de información.</w:t>
      </w:r>
    </w:p>
    <w:p w14:paraId="2B109E96" w14:textId="77777777" w:rsidR="00562A90" w:rsidRPr="00F72CA0" w:rsidRDefault="0062255D">
      <w:pPr>
        <w:spacing w:before="240" w:after="240" w:line="360" w:lineRule="auto"/>
        <w:jc w:val="both"/>
        <w:rPr>
          <w:rFonts w:ascii="Palatino Linotype" w:eastAsia="Palatino Linotype" w:hAnsi="Palatino Linotype" w:cs="Palatino Linotype"/>
          <w:sz w:val="22"/>
          <w:szCs w:val="22"/>
        </w:rPr>
      </w:pPr>
      <w:bookmarkStart w:id="9" w:name="_heading=h.2et92p0" w:colFirst="0" w:colLast="0"/>
      <w:bookmarkEnd w:id="9"/>
      <w:r w:rsidRPr="00F72CA0">
        <w:rPr>
          <w:rFonts w:ascii="Palatino Linotype" w:eastAsia="Palatino Linotype" w:hAnsi="Palatino Linotype" w:cs="Palatino Linotype"/>
          <w:b/>
          <w:sz w:val="22"/>
          <w:szCs w:val="22"/>
        </w:rPr>
        <w:t xml:space="preserve">Cuarto. Estudio del asunto. </w:t>
      </w:r>
      <w:r w:rsidRPr="00F72CA0">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7A0B397" w14:textId="77777777" w:rsidR="00562A90" w:rsidRPr="00F72CA0" w:rsidRDefault="0062255D">
      <w:pPr>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w:t>
      </w:r>
      <w:r w:rsidRPr="00F72CA0">
        <w:rPr>
          <w:rFonts w:ascii="Palatino Linotype" w:eastAsia="Palatino Linotype" w:hAnsi="Palatino Linotype" w:cs="Palatino Linotype"/>
          <w:b/>
          <w:i/>
          <w:sz w:val="22"/>
          <w:szCs w:val="22"/>
        </w:rPr>
        <w:t>Artículo 4</w:t>
      </w:r>
      <w:r w:rsidRPr="00F72CA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B166C31" w14:textId="77777777" w:rsidR="00562A90" w:rsidRPr="00F72CA0" w:rsidRDefault="0062255D">
      <w:pPr>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72CA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6416075" w14:textId="77777777" w:rsidR="00562A90" w:rsidRPr="00F72CA0" w:rsidRDefault="0062255D">
      <w:pPr>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72CA0">
        <w:rPr>
          <w:rFonts w:ascii="Palatino Linotype" w:eastAsia="Palatino Linotype" w:hAnsi="Palatino Linotype" w:cs="Palatino Linotype"/>
          <w:i/>
          <w:sz w:val="22"/>
          <w:szCs w:val="22"/>
        </w:rPr>
        <w:t>.”</w:t>
      </w:r>
    </w:p>
    <w:p w14:paraId="651E1502" w14:textId="77777777" w:rsidR="00562A90" w:rsidRPr="00F72CA0" w:rsidRDefault="0062255D">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E18E9E2" w14:textId="77777777" w:rsidR="00562A90" w:rsidRPr="00F72CA0" w:rsidRDefault="0062255D">
      <w:pPr>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b/>
          <w:i/>
          <w:sz w:val="22"/>
          <w:szCs w:val="22"/>
        </w:rPr>
        <w:t>“Artículo 12.-</w:t>
      </w:r>
      <w:r w:rsidRPr="00F72CA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CD15C1E" w14:textId="77777777" w:rsidR="00562A90" w:rsidRPr="00F72CA0" w:rsidRDefault="0062255D">
      <w:pPr>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72CA0">
        <w:rPr>
          <w:rFonts w:ascii="Palatino Linotype" w:eastAsia="Palatino Linotype" w:hAnsi="Palatino Linotype" w:cs="Palatino Linotype"/>
          <w:i/>
          <w:sz w:val="22"/>
          <w:szCs w:val="22"/>
        </w:rPr>
        <w:t xml:space="preserve">. </w:t>
      </w:r>
      <w:r w:rsidRPr="00F72CA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6C7BCA4" w14:textId="77777777" w:rsidR="00562A90" w:rsidRPr="00F72CA0" w:rsidRDefault="0062255D">
      <w:pPr>
        <w:spacing w:before="240" w:after="240" w:line="360" w:lineRule="auto"/>
        <w:ind w:right="-93"/>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79CE64C" w14:textId="77777777" w:rsidR="00562A90" w:rsidRPr="00F72CA0" w:rsidRDefault="0062255D">
      <w:pPr>
        <w:spacing w:before="240" w:after="240" w:line="360" w:lineRule="auto"/>
        <w:jc w:val="both"/>
        <w:rPr>
          <w:rFonts w:ascii="Palatino Linotype" w:eastAsia="Palatino Linotype" w:hAnsi="Palatino Linotype" w:cs="Palatino Linotype"/>
          <w:b/>
          <w:sz w:val="22"/>
          <w:szCs w:val="22"/>
        </w:rPr>
      </w:pPr>
      <w:r w:rsidRPr="00F72CA0">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F72CA0">
        <w:rPr>
          <w:rFonts w:ascii="Palatino Linotype" w:eastAsia="Palatino Linotype" w:hAnsi="Palatino Linotype" w:cs="Palatino Linotype"/>
          <w:b/>
          <w:sz w:val="22"/>
          <w:szCs w:val="22"/>
        </w:rPr>
        <w:t xml:space="preserve"> </w:t>
      </w:r>
    </w:p>
    <w:p w14:paraId="093BE23B" w14:textId="77777777" w:rsidR="00562A90" w:rsidRPr="00F72CA0" w:rsidRDefault="0062255D">
      <w:pPr>
        <w:spacing w:before="120" w:after="120"/>
        <w:ind w:left="1134"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 xml:space="preserve"> “</w:t>
      </w:r>
      <w:r w:rsidRPr="00F72CA0">
        <w:rPr>
          <w:rFonts w:ascii="Palatino Linotype" w:eastAsia="Palatino Linotype" w:hAnsi="Palatino Linotype" w:cs="Palatino Linotype"/>
          <w:b/>
          <w:i/>
          <w:sz w:val="22"/>
          <w:szCs w:val="22"/>
        </w:rPr>
        <w:t>No existe obligación de elaborar documentos ad hoc para atender las solicitudes de acceso a la información.</w:t>
      </w:r>
      <w:r w:rsidRPr="00F72CA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962A522" w14:textId="77777777" w:rsidR="00562A90" w:rsidRPr="00F72CA0" w:rsidRDefault="0062255D">
      <w:pPr>
        <w:spacing w:before="120" w:after="12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65EFEE" w14:textId="77777777" w:rsidR="00562A90" w:rsidRPr="00F72CA0" w:rsidRDefault="0062255D">
      <w:pPr>
        <w:spacing w:before="120" w:after="12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9B24A7D" w14:textId="77777777" w:rsidR="00562A90" w:rsidRPr="00F72CA0" w:rsidRDefault="0062255D" w:rsidP="00AF51BA">
      <w:pPr>
        <w:tabs>
          <w:tab w:val="left" w:pos="993"/>
        </w:tabs>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w:t>
      </w:r>
      <w:r w:rsidRPr="00F72CA0">
        <w:rPr>
          <w:rFonts w:ascii="Palatino Linotype" w:eastAsia="Palatino Linotype" w:hAnsi="Palatino Linotype" w:cs="Palatino Linotype"/>
          <w:b/>
          <w:i/>
          <w:sz w:val="22"/>
          <w:szCs w:val="22"/>
        </w:rPr>
        <w:t xml:space="preserve">Artículo 3. </w:t>
      </w:r>
      <w:r w:rsidRPr="00F72CA0">
        <w:rPr>
          <w:rFonts w:ascii="Palatino Linotype" w:eastAsia="Palatino Linotype" w:hAnsi="Palatino Linotype" w:cs="Palatino Linotype"/>
          <w:i/>
          <w:sz w:val="22"/>
          <w:szCs w:val="22"/>
        </w:rPr>
        <w:t>Para los efectos de la presente Ley se entenderá por:</w:t>
      </w:r>
    </w:p>
    <w:p w14:paraId="07E06CC3" w14:textId="77777777" w:rsidR="00562A90" w:rsidRPr="00F72CA0" w:rsidRDefault="0062255D" w:rsidP="00AF51BA">
      <w:pPr>
        <w:tabs>
          <w:tab w:val="left" w:pos="993"/>
        </w:tabs>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w:t>
      </w:r>
    </w:p>
    <w:p w14:paraId="47B93607" w14:textId="77777777" w:rsidR="00562A90" w:rsidRPr="00F72CA0" w:rsidRDefault="0062255D" w:rsidP="00AF51BA">
      <w:pPr>
        <w:tabs>
          <w:tab w:val="left" w:pos="993"/>
        </w:tabs>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b/>
          <w:i/>
          <w:sz w:val="22"/>
          <w:szCs w:val="22"/>
        </w:rPr>
        <w:t>XI. Documento:</w:t>
      </w:r>
      <w:r w:rsidRPr="00F72CA0">
        <w:rPr>
          <w:rFonts w:ascii="Palatino Linotype" w:eastAsia="Palatino Linotype" w:hAnsi="Palatino Linotype" w:cs="Palatino Linotype"/>
          <w:i/>
          <w:sz w:val="22"/>
          <w:szCs w:val="22"/>
        </w:rPr>
        <w:t xml:space="preserve"> Los expedientes, reportes, estudios, actas</w:t>
      </w:r>
      <w:r w:rsidRPr="00F72CA0">
        <w:rPr>
          <w:rFonts w:ascii="Palatino Linotype" w:eastAsia="Palatino Linotype" w:hAnsi="Palatino Linotype" w:cs="Palatino Linotype"/>
          <w:b/>
          <w:i/>
          <w:sz w:val="22"/>
          <w:szCs w:val="22"/>
        </w:rPr>
        <w:t>,</w:t>
      </w:r>
      <w:r w:rsidRPr="00F72CA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75A856F" w14:textId="77777777" w:rsidR="00562A90" w:rsidRPr="00F72CA0" w:rsidRDefault="0062255D">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BDB376" w14:textId="77777777" w:rsidR="00562A90" w:rsidRPr="00F72CA0" w:rsidRDefault="0062255D">
      <w:pPr>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b/>
          <w:sz w:val="22"/>
          <w:szCs w:val="22"/>
        </w:rPr>
        <w:t>“</w:t>
      </w:r>
      <w:r w:rsidRPr="00F72CA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72CA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9AA24A" w14:textId="77777777" w:rsidR="00562A90" w:rsidRPr="00F72CA0" w:rsidRDefault="0062255D">
      <w:pPr>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550C45B" w14:textId="77777777" w:rsidR="00562A90" w:rsidRPr="00F72CA0" w:rsidRDefault="0062255D">
      <w:pPr>
        <w:spacing w:before="120" w:after="120"/>
        <w:ind w:left="1134"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68997DE" w14:textId="77777777" w:rsidR="00562A90" w:rsidRPr="00F72CA0" w:rsidRDefault="0062255D">
      <w:pPr>
        <w:spacing w:before="120" w:after="120"/>
        <w:ind w:left="1134"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1794246D" w14:textId="77777777" w:rsidR="00562A90" w:rsidRPr="00F72CA0" w:rsidRDefault="0062255D">
      <w:pPr>
        <w:spacing w:before="120" w:after="120"/>
        <w:ind w:left="1134"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94617FB" w14:textId="77777777" w:rsidR="00562A90" w:rsidRPr="00F72CA0" w:rsidRDefault="0062255D">
      <w:pPr>
        <w:spacing w:before="240" w:after="240" w:line="360" w:lineRule="auto"/>
        <w:ind w:right="51"/>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112BC5F" w14:textId="6AED6107" w:rsidR="00562A90" w:rsidRPr="00F72CA0" w:rsidRDefault="0062255D">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En el mismo tenor, los artículos 6, apartado A, fracción I, de la Constitución Política de los Estados Unidos Mexicanos y 5,</w:t>
      </w:r>
      <w:r w:rsidR="00CB6CDB" w:rsidRPr="00F72CA0">
        <w:rPr>
          <w:rFonts w:ascii="Palatino Linotype" w:eastAsia="Palatino Linotype" w:hAnsi="Palatino Linotype" w:cs="Palatino Linotype"/>
          <w:sz w:val="22"/>
          <w:szCs w:val="22"/>
        </w:rPr>
        <w:t xml:space="preserve"> párrafo cuadragésimo sexto,</w:t>
      </w:r>
      <w:r w:rsidRPr="00F72CA0">
        <w:rPr>
          <w:rFonts w:ascii="Palatino Linotype" w:eastAsia="Palatino Linotype" w:hAnsi="Palatino Linotype" w:cs="Palatino Linotype"/>
          <w:sz w:val="22"/>
          <w:szCs w:val="22"/>
        </w:rPr>
        <w:t xml:space="preserve">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924D1ED" w14:textId="77777777" w:rsidR="00562A90" w:rsidRPr="00F72CA0" w:rsidRDefault="0062255D">
      <w:pPr>
        <w:spacing w:before="240" w:after="240" w:line="360" w:lineRule="auto"/>
        <w:ind w:right="51"/>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F72CA0">
        <w:rPr>
          <w:rFonts w:ascii="Palatino Linotype" w:eastAsia="Palatino Linotype" w:hAnsi="Palatino Linotype" w:cs="Palatino Linotype"/>
          <w:b/>
          <w:sz w:val="22"/>
          <w:szCs w:val="22"/>
        </w:rPr>
        <w:t>Recurrente</w:t>
      </w:r>
      <w:r w:rsidRPr="00F72CA0">
        <w:rPr>
          <w:rFonts w:ascii="Palatino Linotype" w:eastAsia="Palatino Linotype" w:hAnsi="Palatino Linotype" w:cs="Palatino Linotype"/>
          <w:sz w:val="22"/>
          <w:szCs w:val="22"/>
        </w:rPr>
        <w:t xml:space="preserve"> requirió al </w:t>
      </w:r>
      <w:r w:rsidRPr="00F72CA0">
        <w:rPr>
          <w:rFonts w:ascii="Palatino Linotype" w:eastAsia="Palatino Linotype" w:hAnsi="Palatino Linotype" w:cs="Palatino Linotype"/>
          <w:b/>
          <w:sz w:val="22"/>
          <w:szCs w:val="22"/>
        </w:rPr>
        <w:t xml:space="preserve">Sujeto Obligado </w:t>
      </w:r>
      <w:r w:rsidRPr="00F72CA0">
        <w:rPr>
          <w:rFonts w:ascii="Palatino Linotype" w:eastAsia="Palatino Linotype" w:hAnsi="Palatino Linotype" w:cs="Palatino Linotype"/>
          <w:sz w:val="22"/>
          <w:szCs w:val="22"/>
        </w:rPr>
        <w:t>le proporcione, información consistente en lo siguiente:</w:t>
      </w:r>
    </w:p>
    <w:p w14:paraId="7BE777F2" w14:textId="5EB35269" w:rsidR="00445C80" w:rsidRPr="00F72CA0" w:rsidRDefault="004A01CE" w:rsidP="00044464">
      <w:pPr>
        <w:spacing w:before="240" w:after="240" w:line="360" w:lineRule="auto"/>
        <w:ind w:left="284" w:right="49"/>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1. </w:t>
      </w:r>
      <w:r w:rsidR="00044464" w:rsidRPr="00F72CA0">
        <w:rPr>
          <w:rFonts w:ascii="Palatino Linotype" w:eastAsia="Palatino Linotype" w:hAnsi="Palatino Linotype" w:cs="Palatino Linotype"/>
          <w:sz w:val="22"/>
          <w:szCs w:val="22"/>
        </w:rPr>
        <w:t>Reporte de Adquisiciones del Comité de Adquisiciones y Servicios trimestral, contenido en los informes enviados al OSFEM, por los años 2022, 2023, 2024 y primer trimestre del año 2025.</w:t>
      </w:r>
    </w:p>
    <w:p w14:paraId="7A6A0BDD" w14:textId="270A4F53" w:rsidR="00044464" w:rsidRPr="00F72CA0" w:rsidRDefault="00044464" w:rsidP="00044464">
      <w:pPr>
        <w:spacing w:before="240" w:after="240" w:line="360" w:lineRule="auto"/>
        <w:ind w:right="49"/>
        <w:jc w:val="both"/>
        <w:rPr>
          <w:rFonts w:ascii="Palatino Linotype" w:hAnsi="Palatino Linotype"/>
          <w:sz w:val="22"/>
          <w:szCs w:val="22"/>
        </w:rPr>
      </w:pPr>
      <w:r w:rsidRPr="00F72CA0">
        <w:rPr>
          <w:rFonts w:ascii="Palatino Linotype" w:eastAsia="Palatino Linotype" w:hAnsi="Palatino Linotype" w:cs="Palatino Linotype"/>
          <w:sz w:val="22"/>
          <w:szCs w:val="22"/>
        </w:rPr>
        <w:t xml:space="preserve">En respuesta a la solicitud, por conducto de la </w:t>
      </w:r>
      <w:r w:rsidRPr="00F72CA0">
        <w:rPr>
          <w:rFonts w:ascii="Palatino Linotype" w:hAnsi="Palatino Linotype"/>
          <w:sz w:val="22"/>
          <w:szCs w:val="22"/>
        </w:rPr>
        <w:t>Oficialía Mayor hizo entrega de los - Dictámenes de Adjudicación Emitidos por el Comité de Adquisiciones y Servicios, de los ejercicios 2022 y 2023, el Reporte de Adjudicaciones del Comité de Adquisiciones y Servicios del ejercicio 2024 y la Relación de suficiencias, por tipo de adjudicación, del primer trimestre ejercicio 2025.</w:t>
      </w:r>
    </w:p>
    <w:p w14:paraId="0883B69A" w14:textId="2E312DBF" w:rsidR="00163A18" w:rsidRPr="00F72CA0" w:rsidRDefault="00163A18" w:rsidP="003D2176">
      <w:pPr>
        <w:spacing w:before="240" w:after="240" w:line="360" w:lineRule="auto"/>
        <w:ind w:right="49"/>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Sin embargo, al no estar conforme con los términos de la respuesta proporcionada en primera instancia, la parte </w:t>
      </w:r>
      <w:r w:rsidRPr="00F72CA0">
        <w:rPr>
          <w:rFonts w:ascii="Palatino Linotype" w:eastAsia="Palatino Linotype" w:hAnsi="Palatino Linotype" w:cs="Palatino Linotype"/>
          <w:b/>
          <w:bCs/>
          <w:sz w:val="22"/>
          <w:szCs w:val="22"/>
        </w:rPr>
        <w:t xml:space="preserve">Recurrente </w:t>
      </w:r>
      <w:r w:rsidRPr="00F72CA0">
        <w:rPr>
          <w:rFonts w:ascii="Palatino Linotype" w:eastAsia="Palatino Linotype" w:hAnsi="Palatino Linotype" w:cs="Palatino Linotype"/>
          <w:sz w:val="22"/>
          <w:szCs w:val="22"/>
        </w:rPr>
        <w:t>interpuso el recurso de revisión que nos ocupa, en e</w:t>
      </w:r>
      <w:r w:rsidR="005D5DC9" w:rsidRPr="00F72CA0">
        <w:rPr>
          <w:rFonts w:ascii="Palatino Linotype" w:eastAsia="Palatino Linotype" w:hAnsi="Palatino Linotype" w:cs="Palatino Linotype"/>
          <w:sz w:val="22"/>
          <w:szCs w:val="22"/>
        </w:rPr>
        <w:t>l</w:t>
      </w:r>
      <w:r w:rsidRPr="00F72CA0">
        <w:rPr>
          <w:rFonts w:ascii="Palatino Linotype" w:eastAsia="Palatino Linotype" w:hAnsi="Palatino Linotype" w:cs="Palatino Linotype"/>
          <w:sz w:val="22"/>
          <w:szCs w:val="22"/>
        </w:rPr>
        <w:t xml:space="preserve"> que manifestó que no se hizo entrega de la información </w:t>
      </w:r>
      <w:r w:rsidR="009F387F" w:rsidRPr="00F72CA0">
        <w:rPr>
          <w:rFonts w:ascii="Palatino Linotype" w:eastAsia="Palatino Linotype" w:hAnsi="Palatino Linotype" w:cs="Palatino Linotype"/>
          <w:sz w:val="22"/>
          <w:szCs w:val="22"/>
        </w:rPr>
        <w:t xml:space="preserve">completa </w:t>
      </w:r>
      <w:r w:rsidR="00A43F2F" w:rsidRPr="00F72CA0">
        <w:rPr>
          <w:rFonts w:ascii="Palatino Linotype" w:eastAsia="Palatino Linotype" w:hAnsi="Palatino Linotype" w:cs="Palatino Linotype"/>
          <w:sz w:val="22"/>
          <w:szCs w:val="22"/>
        </w:rPr>
        <w:t xml:space="preserve">y de conformidad con los formatos oficiales que se entregan al OSFEM por lo que respecta al ejercicio 2025, los cuales cuentan con datos como a quien fueron </w:t>
      </w:r>
      <w:r w:rsidR="00602A56" w:rsidRPr="00F72CA0">
        <w:rPr>
          <w:rFonts w:ascii="Palatino Linotype" w:eastAsia="Palatino Linotype" w:hAnsi="Palatino Linotype" w:cs="Palatino Linotype"/>
          <w:sz w:val="22"/>
          <w:szCs w:val="22"/>
        </w:rPr>
        <w:t xml:space="preserve">adjudicados, </w:t>
      </w:r>
      <w:r w:rsidR="001E76A9" w:rsidRPr="00F72CA0">
        <w:rPr>
          <w:rFonts w:ascii="Palatino Linotype" w:eastAsia="Palatino Linotype" w:hAnsi="Palatino Linotype" w:cs="Palatino Linotype"/>
          <w:sz w:val="22"/>
          <w:szCs w:val="22"/>
        </w:rPr>
        <w:t>fecha de adjudicación, número de acta como se</w:t>
      </w:r>
      <w:r w:rsidR="00602A56" w:rsidRPr="00F72CA0">
        <w:rPr>
          <w:rFonts w:ascii="Palatino Linotype" w:eastAsia="Palatino Linotype" w:hAnsi="Palatino Linotype" w:cs="Palatino Linotype"/>
          <w:sz w:val="22"/>
          <w:szCs w:val="22"/>
        </w:rPr>
        <w:t xml:space="preserve"> refleja</w:t>
      </w:r>
      <w:r w:rsidR="001E76A9" w:rsidRPr="00F72CA0">
        <w:rPr>
          <w:rFonts w:ascii="Palatino Linotype" w:eastAsia="Palatino Linotype" w:hAnsi="Palatino Linotype" w:cs="Palatino Linotype"/>
          <w:sz w:val="22"/>
          <w:szCs w:val="22"/>
        </w:rPr>
        <w:t>n</w:t>
      </w:r>
      <w:r w:rsidR="00602A56" w:rsidRPr="00F72CA0">
        <w:rPr>
          <w:rFonts w:ascii="Palatino Linotype" w:eastAsia="Palatino Linotype" w:hAnsi="Palatino Linotype" w:cs="Palatino Linotype"/>
          <w:sz w:val="22"/>
          <w:szCs w:val="22"/>
        </w:rPr>
        <w:t xml:space="preserve"> en los formatos que</w:t>
      </w:r>
      <w:r w:rsidR="001E76A9" w:rsidRPr="00F72CA0">
        <w:rPr>
          <w:rFonts w:ascii="Palatino Linotype" w:eastAsia="Palatino Linotype" w:hAnsi="Palatino Linotype" w:cs="Palatino Linotype"/>
          <w:sz w:val="22"/>
          <w:szCs w:val="22"/>
        </w:rPr>
        <w:t xml:space="preserve"> se</w:t>
      </w:r>
      <w:r w:rsidR="00602A56" w:rsidRPr="00F72CA0">
        <w:rPr>
          <w:rFonts w:ascii="Palatino Linotype" w:eastAsia="Palatino Linotype" w:hAnsi="Palatino Linotype" w:cs="Palatino Linotype"/>
          <w:sz w:val="22"/>
          <w:szCs w:val="22"/>
        </w:rPr>
        <w:t xml:space="preserve"> anexaron de años pasados</w:t>
      </w:r>
      <w:r w:rsidR="001E76A9" w:rsidRPr="00F72CA0">
        <w:rPr>
          <w:rFonts w:ascii="Palatino Linotype" w:eastAsia="Palatino Linotype" w:hAnsi="Palatino Linotype" w:cs="Palatino Linotype"/>
          <w:sz w:val="22"/>
          <w:szCs w:val="22"/>
        </w:rPr>
        <w:t>.</w:t>
      </w:r>
    </w:p>
    <w:p w14:paraId="5655EC30" w14:textId="6FF484FC" w:rsidR="00D35F60" w:rsidRPr="00F72CA0" w:rsidRDefault="00D35F60" w:rsidP="00D35F60">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Es de señalar que de la lectura del motivo de inconformidad de la parte </w:t>
      </w:r>
      <w:r w:rsidRPr="00F72CA0">
        <w:rPr>
          <w:rFonts w:ascii="Palatino Linotype" w:eastAsia="Palatino Linotype" w:hAnsi="Palatino Linotype" w:cs="Palatino Linotype"/>
          <w:b/>
          <w:sz w:val="22"/>
          <w:szCs w:val="22"/>
        </w:rPr>
        <w:t xml:space="preserve">Recurrente, </w:t>
      </w:r>
      <w:r w:rsidRPr="00F72CA0">
        <w:rPr>
          <w:rFonts w:ascii="Palatino Linotype" w:eastAsia="Palatino Linotype" w:hAnsi="Palatino Linotype" w:cs="Palatino Linotype"/>
          <w:sz w:val="22"/>
          <w:szCs w:val="22"/>
        </w:rPr>
        <w:t xml:space="preserve">se advierte que este no versa sobre la totalidad de la información proporcionada por el </w:t>
      </w:r>
      <w:r w:rsidRPr="00F72CA0">
        <w:rPr>
          <w:rFonts w:ascii="Palatino Linotype" w:eastAsia="Palatino Linotype" w:hAnsi="Palatino Linotype" w:cs="Palatino Linotype"/>
          <w:b/>
          <w:sz w:val="22"/>
          <w:szCs w:val="22"/>
        </w:rPr>
        <w:t>Sujeto Obligado</w:t>
      </w:r>
      <w:r w:rsidRPr="00F72CA0">
        <w:rPr>
          <w:rFonts w:ascii="Palatino Linotype" w:eastAsia="Palatino Linotype" w:hAnsi="Palatino Linotype" w:cs="Palatino Linotype"/>
          <w:sz w:val="22"/>
          <w:szCs w:val="22"/>
        </w:rPr>
        <w:t xml:space="preserve">, ya que no manifestó agravios respecto de </w:t>
      </w:r>
      <w:r w:rsidR="001E76A9" w:rsidRPr="00F72CA0">
        <w:rPr>
          <w:rFonts w:ascii="Palatino Linotype" w:eastAsia="Palatino Linotype" w:hAnsi="Palatino Linotype" w:cs="Palatino Linotype"/>
          <w:sz w:val="22"/>
          <w:szCs w:val="22"/>
        </w:rPr>
        <w:t xml:space="preserve">los formatos de los ejercicios 2022, 2023 y 2024, </w:t>
      </w:r>
      <w:r w:rsidRPr="00F72CA0">
        <w:rPr>
          <w:rFonts w:ascii="Palatino Linotype" w:eastAsia="Palatino Linotype" w:hAnsi="Palatino Linotype" w:cs="Palatino Linotype"/>
          <w:sz w:val="22"/>
          <w:szCs w:val="22"/>
        </w:rPr>
        <w:t>por tanto, esta parte de la respuesta, al no haber sido impugnada, debe declararse consentida, ya que al no haber realizado manifestaciones de inconformidad al respecto, no pueden producirse efectos jurídicos tendentes a revocar, confirmar o modificar el acto, pues en el caso concreto se infiere que la información proporcionada, satisface la solicitud presentada respecto de los requerimientos que no fueron combatidos.</w:t>
      </w:r>
    </w:p>
    <w:p w14:paraId="3952CB19" w14:textId="77777777" w:rsidR="00D35F60" w:rsidRPr="00F72CA0" w:rsidRDefault="00D35F60" w:rsidP="00D35F60">
      <w:pPr>
        <w:spacing w:before="240" w:after="36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Lo anterior es así, debido a que cuando la parte </w:t>
      </w:r>
      <w:r w:rsidRPr="00F72CA0">
        <w:rPr>
          <w:rFonts w:ascii="Palatino Linotype" w:eastAsia="Palatino Linotype" w:hAnsi="Palatino Linotype" w:cs="Palatino Linotype"/>
          <w:b/>
          <w:sz w:val="22"/>
          <w:szCs w:val="22"/>
        </w:rPr>
        <w:t>Recurrente</w:t>
      </w:r>
      <w:r w:rsidRPr="00F72CA0">
        <w:rPr>
          <w:rFonts w:ascii="Palatino Linotype" w:eastAsia="Palatino Linotype" w:hAnsi="Palatino Linotype" w:cs="Palatino Linotype"/>
          <w:sz w:val="22"/>
          <w:szCs w:val="22"/>
        </w:rPr>
        <w:t xml:space="preserve"> impugna la respuesta del </w:t>
      </w:r>
      <w:r w:rsidRPr="00F72CA0">
        <w:rPr>
          <w:rFonts w:ascii="Palatino Linotype" w:eastAsia="Palatino Linotype" w:hAnsi="Palatino Linotype" w:cs="Palatino Linotype"/>
          <w:b/>
          <w:sz w:val="22"/>
          <w:szCs w:val="22"/>
        </w:rPr>
        <w:t>Sujeto Obligado</w:t>
      </w:r>
      <w:r w:rsidRPr="00F72CA0">
        <w:rPr>
          <w:rFonts w:ascii="Palatino Linotype" w:eastAsia="Palatino Linotype" w:hAnsi="Palatino Linotype" w:cs="Palatino Linotype"/>
          <w:sz w:val="22"/>
          <w:szCs w:val="22"/>
        </w:rPr>
        <w:t xml:space="preserve">, y éste no expresa razón o motivo de inconformidad en contra de todos los rubros solicitados, dichos rubros deben declararse atendidos, pues se entiende que ésta conforme con la información entregada al no contravenir la misma. </w:t>
      </w:r>
    </w:p>
    <w:p w14:paraId="384659DF" w14:textId="77777777" w:rsidR="00D35F60" w:rsidRPr="00F72CA0" w:rsidRDefault="00D35F60" w:rsidP="00D35F60">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Sirve de apoyo a lo anterior, lo plasmado en el criterio orientador con clave de control SO/001/2020, emitido por el entonces Instituto Nacional de Transparencia, Acceso a la Información, y Protección de Datos Personales, INAI, que lleva por rubro y texto, lo siguiente: </w:t>
      </w:r>
    </w:p>
    <w:p w14:paraId="7DF2870A" w14:textId="77777777" w:rsidR="00D35F60" w:rsidRPr="00F72CA0" w:rsidRDefault="00D35F60" w:rsidP="00D35F6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i/>
          <w:sz w:val="22"/>
          <w:szCs w:val="22"/>
        </w:rPr>
        <w:t>“</w:t>
      </w:r>
      <w:r w:rsidRPr="00F72CA0">
        <w:rPr>
          <w:rFonts w:ascii="Palatino Linotype" w:eastAsia="Palatino Linotype" w:hAnsi="Palatino Linotype" w:cs="Palatino Linotype"/>
          <w:b/>
          <w:i/>
          <w:sz w:val="22"/>
          <w:szCs w:val="22"/>
        </w:rPr>
        <w:t xml:space="preserve">Actos consentidos tácitamente. Improcedencia de su análisis. </w:t>
      </w:r>
      <w:r w:rsidRPr="00F72CA0">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C339254" w14:textId="77777777" w:rsidR="00D35F60" w:rsidRPr="00F72CA0" w:rsidRDefault="00D35F60" w:rsidP="00D35F60">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181788E" w14:textId="77777777" w:rsidR="00D35F60" w:rsidRPr="00F72CA0" w:rsidRDefault="00D35F60" w:rsidP="00D35F60">
      <w:pPr>
        <w:ind w:left="851" w:right="900"/>
        <w:jc w:val="both"/>
        <w:rPr>
          <w:rFonts w:ascii="Palatino Linotype" w:eastAsia="Palatino Linotype" w:hAnsi="Palatino Linotype" w:cs="Palatino Linotype"/>
          <w:i/>
          <w:sz w:val="22"/>
          <w:szCs w:val="22"/>
        </w:rPr>
      </w:pPr>
      <w:r w:rsidRPr="00F72CA0">
        <w:rPr>
          <w:rFonts w:ascii="Palatino Linotype" w:eastAsia="Palatino Linotype" w:hAnsi="Palatino Linotype" w:cs="Palatino Linotype"/>
          <w:b/>
          <w:i/>
          <w:smallCaps/>
          <w:sz w:val="22"/>
          <w:szCs w:val="22"/>
        </w:rPr>
        <w:t xml:space="preserve">“ACTOS CONSENTIDOS. SON LOS QUE NO SE IMPUGNAN MEDIANTE EL RECURSO IDÓNEO. </w:t>
      </w:r>
      <w:r w:rsidRPr="00F72CA0">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61DDFF3" w14:textId="36D2F2CA" w:rsidR="00D35F60" w:rsidRPr="00F72CA0" w:rsidRDefault="00D35F60" w:rsidP="00D35F60">
      <w:pPr>
        <w:spacing w:before="240" w:after="240" w:line="360" w:lineRule="auto"/>
        <w:jc w:val="both"/>
        <w:rPr>
          <w:rFonts w:ascii="Palatino Linotype" w:hAnsi="Palatino Linotype" w:cs="Arial"/>
          <w:sz w:val="22"/>
          <w:szCs w:val="22"/>
        </w:rPr>
      </w:pPr>
      <w:r w:rsidRPr="00F72CA0">
        <w:rPr>
          <w:rFonts w:ascii="Palatino Linotype" w:eastAsia="Palatino Linotype" w:hAnsi="Palatino Linotype" w:cs="Palatino Linotype"/>
          <w:sz w:val="22"/>
          <w:szCs w:val="22"/>
        </w:rPr>
        <w:t>En consecuencia, se insiste, ante la falta de impugnación eficaz, la respuesta entregada debe declararse consentida por la persona solicitante, y, p</w:t>
      </w:r>
      <w:r w:rsidRPr="00F72CA0">
        <w:rPr>
          <w:rFonts w:ascii="Palatino Linotype" w:hAnsi="Palatino Linotype" w:cs="Arial"/>
          <w:sz w:val="22"/>
          <w:szCs w:val="22"/>
        </w:rPr>
        <w:t>or consiguiente, no es procedente el análisis de fondo en la resolución.</w:t>
      </w:r>
    </w:p>
    <w:p w14:paraId="044E5A8A" w14:textId="665592BB" w:rsidR="000B73B6" w:rsidRPr="00F72CA0" w:rsidRDefault="000B73B6" w:rsidP="000B73B6">
      <w:pPr>
        <w:spacing w:before="240" w:after="240" w:line="360" w:lineRule="auto"/>
        <w:jc w:val="both"/>
        <w:rPr>
          <w:rFonts w:ascii="Palatino Linotype" w:eastAsia="Palatino Linotype" w:hAnsi="Palatino Linotype" w:cs="Palatino Linotype"/>
          <w:sz w:val="22"/>
          <w:szCs w:val="22"/>
        </w:rPr>
      </w:pPr>
      <w:r w:rsidRPr="00F72CA0">
        <w:rPr>
          <w:rFonts w:ascii="Palatino Linotype" w:hAnsi="Palatino Linotype" w:cs="Arial"/>
          <w:sz w:val="22"/>
          <w:szCs w:val="22"/>
        </w:rPr>
        <w:t xml:space="preserve">En la etapa de manifestaciones el </w:t>
      </w:r>
      <w:r w:rsidRPr="00F72CA0">
        <w:rPr>
          <w:rFonts w:ascii="Palatino Linotype" w:hAnsi="Palatino Linotype" w:cs="Arial"/>
          <w:b/>
          <w:sz w:val="22"/>
          <w:szCs w:val="22"/>
        </w:rPr>
        <w:t xml:space="preserve">Sujeto Obligado </w:t>
      </w:r>
      <w:r w:rsidRPr="00F72CA0">
        <w:rPr>
          <w:rFonts w:ascii="Palatino Linotype" w:hAnsi="Palatino Linotype" w:cs="Arial"/>
          <w:sz w:val="22"/>
          <w:szCs w:val="22"/>
        </w:rPr>
        <w:t xml:space="preserve">ratificó en lo sustancial la respuesta proporcionada en primera instancia, </w:t>
      </w:r>
      <w:r w:rsidRPr="00F72CA0">
        <w:rPr>
          <w:rFonts w:ascii="Palatino Linotype" w:eastAsia="Palatino Linotype" w:hAnsi="Palatino Linotype" w:cs="Palatino Linotype"/>
          <w:sz w:val="22"/>
          <w:szCs w:val="22"/>
        </w:rPr>
        <w:t xml:space="preserve">mientras que la parte </w:t>
      </w:r>
      <w:r w:rsidRPr="00F72CA0">
        <w:rPr>
          <w:rFonts w:ascii="Palatino Linotype" w:eastAsia="Palatino Linotype" w:hAnsi="Palatino Linotype" w:cs="Palatino Linotype"/>
          <w:b/>
          <w:sz w:val="22"/>
          <w:szCs w:val="22"/>
        </w:rPr>
        <w:t xml:space="preserve">Recurrente, </w:t>
      </w:r>
      <w:r w:rsidRPr="00F72CA0">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3707143E" w14:textId="388B8236" w:rsidR="009B47F1" w:rsidRPr="00F72CA0" w:rsidRDefault="000B73B6" w:rsidP="009B47F1">
      <w:pPr>
        <w:spacing w:before="240" w:after="240" w:line="360" w:lineRule="auto"/>
        <w:jc w:val="both"/>
        <w:rPr>
          <w:rFonts w:ascii="Palatino Linotype" w:eastAsia="Calibri" w:hAnsi="Palatino Linotype" w:cs="Arial"/>
          <w:sz w:val="22"/>
          <w:szCs w:val="22"/>
        </w:rPr>
      </w:pPr>
      <w:r w:rsidRPr="00F72CA0">
        <w:rPr>
          <w:rFonts w:ascii="Palatino Linotype" w:eastAsia="Palatino Linotype" w:hAnsi="Palatino Linotype" w:cs="Palatino Linotype"/>
          <w:sz w:val="22"/>
          <w:szCs w:val="22"/>
        </w:rPr>
        <w:t>Una vez estableci</w:t>
      </w:r>
      <w:r w:rsidR="009B47F1" w:rsidRPr="00F72CA0">
        <w:rPr>
          <w:rFonts w:ascii="Palatino Linotype" w:eastAsia="Palatino Linotype" w:hAnsi="Palatino Linotype" w:cs="Palatino Linotype"/>
          <w:sz w:val="22"/>
          <w:szCs w:val="22"/>
        </w:rPr>
        <w:t xml:space="preserve">das las posturas de las partes, </w:t>
      </w:r>
      <w:r w:rsidRPr="00F72CA0">
        <w:rPr>
          <w:rFonts w:ascii="Palatino Linotype" w:eastAsia="Palatino Linotype" w:hAnsi="Palatino Linotype" w:cs="Palatino Linotype"/>
          <w:sz w:val="22"/>
          <w:szCs w:val="22"/>
        </w:rPr>
        <w:t xml:space="preserve">tomando en consideración la materia de la solicitud, así como la respuesta proporcionada por el </w:t>
      </w:r>
      <w:r w:rsidRPr="00F72CA0">
        <w:rPr>
          <w:rFonts w:ascii="Palatino Linotype" w:eastAsia="Palatino Linotype" w:hAnsi="Palatino Linotype" w:cs="Palatino Linotype"/>
          <w:b/>
          <w:sz w:val="22"/>
          <w:szCs w:val="22"/>
        </w:rPr>
        <w:t xml:space="preserve">Sujeto Obligado, </w:t>
      </w:r>
      <w:r w:rsidR="009B47F1" w:rsidRPr="00F72CA0">
        <w:rPr>
          <w:rFonts w:ascii="Palatino Linotype" w:hAnsi="Palatino Linotype" w:cs="Arial"/>
          <w:sz w:val="22"/>
          <w:szCs w:val="22"/>
        </w:rPr>
        <w:t xml:space="preserve">se colige que </w:t>
      </w:r>
      <w:r w:rsidR="009B47F1" w:rsidRPr="00F72CA0">
        <w:rPr>
          <w:rFonts w:ascii="Palatino Linotype" w:eastAsia="Calibri" w:hAnsi="Palatino Linotype" w:cs="Arial"/>
          <w:sz w:val="22"/>
          <w:szCs w:val="22"/>
        </w:rPr>
        <w:t xml:space="preserve">el </w:t>
      </w:r>
      <w:r w:rsidR="009B47F1" w:rsidRPr="00F72CA0">
        <w:rPr>
          <w:rFonts w:ascii="Palatino Linotype" w:eastAsia="Calibri" w:hAnsi="Palatino Linotype" w:cs="Arial"/>
          <w:b/>
          <w:sz w:val="22"/>
          <w:szCs w:val="22"/>
        </w:rPr>
        <w:t xml:space="preserve">Sujeto Obligado </w:t>
      </w:r>
      <w:r w:rsidR="009B47F1" w:rsidRPr="00F72CA0">
        <w:rPr>
          <w:rFonts w:ascii="Palatino Linotype" w:eastAsia="Calibri" w:hAnsi="Palatino Linotype" w:cs="Arial"/>
          <w:sz w:val="22"/>
          <w:szCs w:val="22"/>
        </w:rPr>
        <w:t xml:space="preserve">no niega la competencia para conocer de la información solicitada, sino por el contrario, con la respuesta pronunciada </w:t>
      </w:r>
      <w:r w:rsidR="009B47F1" w:rsidRPr="00F72CA0">
        <w:rPr>
          <w:rFonts w:ascii="Palatino Linotype" w:hAnsi="Palatino Linotype" w:cs="Arial"/>
          <w:sz w:val="22"/>
          <w:szCs w:val="22"/>
        </w:rPr>
        <w:t>asevera que es competente para conocer de la solicitud de información</w:t>
      </w:r>
      <w:r w:rsidR="009B47F1" w:rsidRPr="00F72CA0">
        <w:rPr>
          <w:rFonts w:ascii="Palatino Linotype" w:eastAsia="MS Mincho" w:hAnsi="Palatino Linotype" w:cs="Bookman Old Style"/>
          <w:i/>
          <w:iCs/>
          <w:sz w:val="22"/>
          <w:szCs w:val="22"/>
        </w:rPr>
        <w:t xml:space="preserve">, </w:t>
      </w:r>
      <w:r w:rsidR="009B47F1" w:rsidRPr="00F72CA0">
        <w:rPr>
          <w:rFonts w:ascii="Palatino Linotype" w:hAnsi="Palatino Linotype" w:cs="Arial"/>
          <w:sz w:val="22"/>
          <w:szCs w:val="22"/>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w:t>
      </w:r>
      <w:r w:rsidR="009B47F1" w:rsidRPr="00F72CA0">
        <w:rPr>
          <w:rFonts w:ascii="Palatino Linotype" w:hAnsi="Palatino Linotype"/>
          <w:sz w:val="22"/>
          <w:szCs w:val="22"/>
        </w:rPr>
        <w:t xml:space="preserve">motivo por el cual se actualiza el supuesto previsto en el artículo 12 de la legislación aplicable en la materia. </w:t>
      </w:r>
    </w:p>
    <w:p w14:paraId="25A05F86" w14:textId="77777777" w:rsidR="009B47F1" w:rsidRPr="00F72CA0" w:rsidRDefault="009B47F1" w:rsidP="009B47F1">
      <w:pPr>
        <w:spacing w:before="240" w:after="240"/>
        <w:ind w:left="851" w:right="902"/>
        <w:jc w:val="both"/>
        <w:rPr>
          <w:rFonts w:ascii="Palatino Linotype" w:eastAsia="MS Mincho" w:hAnsi="Palatino Linotype" w:cs="Bookman Old Style"/>
          <w:i/>
          <w:iCs/>
          <w:sz w:val="22"/>
          <w:szCs w:val="22"/>
        </w:rPr>
      </w:pPr>
      <w:r w:rsidRPr="00F72CA0">
        <w:rPr>
          <w:rFonts w:ascii="Palatino Linotype" w:eastAsia="MS Mincho" w:hAnsi="Palatino Linotype" w:cs="Bookman Old Style"/>
          <w:b/>
          <w:bCs/>
          <w:i/>
          <w:iCs/>
          <w:sz w:val="22"/>
          <w:szCs w:val="22"/>
        </w:rPr>
        <w:t xml:space="preserve">“Artículo 12. </w:t>
      </w:r>
      <w:r w:rsidRPr="00F72CA0">
        <w:rPr>
          <w:rFonts w:ascii="Palatino Linotype" w:eastAsia="MS Mincho" w:hAnsi="Palatino Linotype" w:cs="Bookman Old Style"/>
          <w:b/>
          <w:i/>
          <w:iCs/>
          <w:sz w:val="22"/>
          <w:szCs w:val="22"/>
        </w:rPr>
        <w:t>Quienes generen, recopilen, administren, manejen, procesen, archiven o conserven información pública serán responsables de la misma</w:t>
      </w:r>
      <w:r w:rsidRPr="00F72CA0">
        <w:rPr>
          <w:rFonts w:ascii="Palatino Linotype" w:eastAsia="MS Mincho" w:hAnsi="Palatino Linotype" w:cs="Bookman Old Style"/>
          <w:i/>
          <w:iCs/>
          <w:sz w:val="22"/>
          <w:szCs w:val="22"/>
        </w:rPr>
        <w:t xml:space="preserve"> en los términos de las disposiciones jurídicas aplicables. </w:t>
      </w:r>
    </w:p>
    <w:p w14:paraId="147D58B8" w14:textId="77777777" w:rsidR="009B47F1" w:rsidRPr="00F72CA0" w:rsidRDefault="009B47F1" w:rsidP="009B47F1">
      <w:pPr>
        <w:spacing w:before="240" w:after="240"/>
        <w:ind w:left="851" w:right="902"/>
        <w:jc w:val="both"/>
        <w:rPr>
          <w:rFonts w:ascii="Palatino Linotype" w:eastAsia="MS Mincho" w:hAnsi="Palatino Linotype" w:cs="Bookman Old Style"/>
          <w:i/>
          <w:iCs/>
          <w:sz w:val="22"/>
          <w:szCs w:val="22"/>
        </w:rPr>
      </w:pPr>
      <w:r w:rsidRPr="00F72CA0">
        <w:rPr>
          <w:rFonts w:ascii="Palatino Linotype" w:eastAsia="MS Mincho" w:hAnsi="Palatino Linotype" w:cs="Bookman Old Style"/>
          <w:b/>
          <w:i/>
          <w:iCs/>
          <w:sz w:val="22"/>
          <w:szCs w:val="22"/>
        </w:rPr>
        <w:t>Los sujetos obligados sólo proporcionarán la información pública que se les requiera y que obre en sus archivos y en el estado en que ésta se encuentre</w:t>
      </w:r>
      <w:r w:rsidRPr="00F72CA0">
        <w:rPr>
          <w:rFonts w:ascii="Palatino Linotype" w:eastAsia="MS Mincho" w:hAnsi="Palatino Linotype" w:cs="Bookman Old Style"/>
          <w:i/>
          <w:iCs/>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27C157CC" w14:textId="2487076A" w:rsidR="009B47F1" w:rsidRPr="00F72CA0" w:rsidRDefault="009B47F1" w:rsidP="009B47F1">
      <w:pPr>
        <w:pStyle w:val="NormalWeb"/>
        <w:spacing w:line="360" w:lineRule="auto"/>
        <w:jc w:val="both"/>
        <w:rPr>
          <w:rFonts w:ascii="Palatino Linotype" w:hAnsi="Palatino Linotype"/>
          <w:sz w:val="22"/>
          <w:szCs w:val="22"/>
        </w:rPr>
      </w:pPr>
      <w:r w:rsidRPr="00F72CA0">
        <w:rPr>
          <w:rFonts w:ascii="Palatino Linotype" w:hAnsi="Palatino Linotype" w:cs="Arial"/>
          <w:sz w:val="22"/>
          <w:szCs w:val="22"/>
        </w:rPr>
        <w:t xml:space="preserve">Por consiguiente, </w:t>
      </w:r>
      <w:r w:rsidRPr="00F72CA0">
        <w:rPr>
          <w:rFonts w:ascii="Palatino Linotype" w:hAnsi="Palatino Linotype"/>
          <w:sz w:val="22"/>
          <w:szCs w:val="22"/>
        </w:rPr>
        <w:t xml:space="preserve">se procede al análisis del requerimiento combatido por la persona solicitante y la respuesta proporcionada por el </w:t>
      </w:r>
      <w:r w:rsidRPr="00F72CA0">
        <w:rPr>
          <w:rFonts w:ascii="Palatino Linotype" w:eastAsia="Calibri" w:hAnsi="Palatino Linotype" w:cs="Arial"/>
          <w:b/>
          <w:bCs/>
          <w:sz w:val="22"/>
          <w:szCs w:val="22"/>
          <w:lang w:val="es-ES_tradnl"/>
        </w:rPr>
        <w:t>Sujeto Obligado</w:t>
      </w:r>
      <w:r w:rsidRPr="00F72CA0">
        <w:rPr>
          <w:rFonts w:ascii="Palatino Linotype" w:hAnsi="Palatino Linotype"/>
          <w:sz w:val="22"/>
          <w:szCs w:val="22"/>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7A62D9F8" w14:textId="4D526AEA" w:rsidR="009B47F1" w:rsidRPr="00F72CA0" w:rsidRDefault="009B47F1" w:rsidP="009B47F1">
      <w:pPr>
        <w:spacing w:before="240" w:after="240" w:line="360" w:lineRule="auto"/>
        <w:jc w:val="both"/>
        <w:rPr>
          <w:rFonts w:ascii="Palatino Linotype" w:hAnsi="Palatino Linotype"/>
          <w:sz w:val="22"/>
          <w:szCs w:val="22"/>
        </w:rPr>
      </w:pPr>
      <w:r w:rsidRPr="00F72CA0">
        <w:rPr>
          <w:rFonts w:ascii="Palatino Linotype" w:eastAsia="Palatino Linotype" w:hAnsi="Palatino Linotype" w:cs="Palatino Linotype"/>
          <w:sz w:val="22"/>
          <w:szCs w:val="22"/>
        </w:rPr>
        <w:t xml:space="preserve">En este tenor, recordemos que la parte </w:t>
      </w:r>
      <w:r w:rsidRPr="00F72CA0">
        <w:rPr>
          <w:rFonts w:ascii="Palatino Linotype" w:eastAsia="Palatino Linotype" w:hAnsi="Palatino Linotype" w:cs="Palatino Linotype"/>
          <w:b/>
          <w:sz w:val="22"/>
          <w:szCs w:val="22"/>
        </w:rPr>
        <w:t xml:space="preserve">Recurrente </w:t>
      </w:r>
      <w:r w:rsidRPr="00F72CA0">
        <w:rPr>
          <w:rFonts w:ascii="Palatino Linotype" w:eastAsia="Palatino Linotype" w:hAnsi="Palatino Linotype" w:cs="Palatino Linotype"/>
          <w:sz w:val="22"/>
          <w:szCs w:val="22"/>
        </w:rPr>
        <w:t>requirió la entrega del “Reporte de Adquisiciones del Comité de Adquisiciones y Servicios</w:t>
      </w:r>
      <w:r w:rsidR="002C71C1" w:rsidRPr="00F72CA0">
        <w:rPr>
          <w:rFonts w:ascii="Palatino Linotype" w:eastAsia="Palatino Linotype" w:hAnsi="Palatino Linotype" w:cs="Palatino Linotype"/>
          <w:sz w:val="22"/>
          <w:szCs w:val="22"/>
        </w:rPr>
        <w:t>”</w:t>
      </w:r>
      <w:r w:rsidRPr="00F72CA0">
        <w:rPr>
          <w:rFonts w:ascii="Palatino Linotype" w:eastAsia="Palatino Linotype" w:hAnsi="Palatino Linotype" w:cs="Palatino Linotype"/>
          <w:sz w:val="22"/>
          <w:szCs w:val="22"/>
        </w:rPr>
        <w:t xml:space="preserve">, contenido en los informes </w:t>
      </w:r>
      <w:r w:rsidR="002C71C1" w:rsidRPr="00F72CA0">
        <w:rPr>
          <w:rFonts w:ascii="Palatino Linotype" w:eastAsia="Palatino Linotype" w:hAnsi="Palatino Linotype" w:cs="Palatino Linotype"/>
          <w:sz w:val="22"/>
          <w:szCs w:val="22"/>
        </w:rPr>
        <w:t xml:space="preserve">trimestrales </w:t>
      </w:r>
      <w:r w:rsidRPr="00F72CA0">
        <w:rPr>
          <w:rFonts w:ascii="Palatino Linotype" w:eastAsia="Palatino Linotype" w:hAnsi="Palatino Linotype" w:cs="Palatino Linotype"/>
          <w:sz w:val="22"/>
          <w:szCs w:val="22"/>
        </w:rPr>
        <w:t>enviados al Órgano Superior de Fiscalización</w:t>
      </w:r>
      <w:r w:rsidR="00252EAE" w:rsidRPr="00F72CA0">
        <w:rPr>
          <w:rFonts w:ascii="Palatino Linotype" w:eastAsia="Palatino Linotype" w:hAnsi="Palatino Linotype" w:cs="Palatino Linotype"/>
          <w:sz w:val="22"/>
          <w:szCs w:val="22"/>
        </w:rPr>
        <w:t xml:space="preserve"> del Estado de México</w:t>
      </w:r>
      <w:r w:rsidRPr="00F72CA0">
        <w:rPr>
          <w:rFonts w:ascii="Palatino Linotype" w:eastAsia="Palatino Linotype" w:hAnsi="Palatino Linotype" w:cs="Palatino Linotype"/>
          <w:sz w:val="22"/>
          <w:szCs w:val="22"/>
        </w:rPr>
        <w:t xml:space="preserve"> del primer trimestre del año 2025, mientras que el </w:t>
      </w:r>
      <w:r w:rsidRPr="00F72CA0">
        <w:rPr>
          <w:rFonts w:ascii="Palatino Linotype" w:eastAsia="Palatino Linotype" w:hAnsi="Palatino Linotype" w:cs="Palatino Linotype"/>
          <w:b/>
          <w:sz w:val="22"/>
          <w:szCs w:val="22"/>
        </w:rPr>
        <w:t xml:space="preserve">Sujeto Obligado </w:t>
      </w:r>
      <w:r w:rsidRPr="00F72CA0">
        <w:rPr>
          <w:rFonts w:ascii="Palatino Linotype" w:hAnsi="Palatino Linotype"/>
          <w:sz w:val="22"/>
          <w:szCs w:val="22"/>
        </w:rPr>
        <w:t>por conducto del Área de Adquisiciones y Recursos Materiales, de la Oficialía Mayor, hizo entrega de la Relación de suficiencias, por tipo de adjudicación, del primer trimestre ejercicio 2025, como se ilustra a continuación para mejor referencia:</w:t>
      </w:r>
    </w:p>
    <w:p w14:paraId="01433DF6" w14:textId="756C9128" w:rsidR="009B47F1" w:rsidRPr="00F72CA0" w:rsidRDefault="002C71C1" w:rsidP="002C71C1">
      <w:pPr>
        <w:spacing w:before="240" w:after="240" w:line="360" w:lineRule="auto"/>
        <w:jc w:val="center"/>
        <w:rPr>
          <w:rFonts w:ascii="Palatino Linotype" w:hAnsi="Palatino Linotype"/>
          <w:sz w:val="22"/>
          <w:szCs w:val="22"/>
        </w:rPr>
      </w:pPr>
      <w:r w:rsidRPr="00F72CA0">
        <w:rPr>
          <w:rFonts w:ascii="Palatino Linotype" w:hAnsi="Palatino Linotype"/>
          <w:noProof/>
          <w:sz w:val="22"/>
          <w:szCs w:val="22"/>
        </w:rPr>
        <w:drawing>
          <wp:inline distT="0" distB="0" distL="0" distR="0" wp14:anchorId="6109AF2E" wp14:editId="384F4A96">
            <wp:extent cx="3600000" cy="2354674"/>
            <wp:effectExtent l="0" t="0" r="63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2722"/>
                    <a:stretch/>
                  </pic:blipFill>
                  <pic:spPr bwMode="auto">
                    <a:xfrm>
                      <a:off x="0" y="0"/>
                      <a:ext cx="3600000" cy="2354674"/>
                    </a:xfrm>
                    <a:prstGeom prst="rect">
                      <a:avLst/>
                    </a:prstGeom>
                    <a:ln>
                      <a:noFill/>
                    </a:ln>
                    <a:extLst>
                      <a:ext uri="{53640926-AAD7-44D8-BBD7-CCE9431645EC}">
                        <a14:shadowObscured xmlns:a14="http://schemas.microsoft.com/office/drawing/2010/main"/>
                      </a:ext>
                    </a:extLst>
                  </pic:spPr>
                </pic:pic>
              </a:graphicData>
            </a:graphic>
          </wp:inline>
        </w:drawing>
      </w:r>
    </w:p>
    <w:p w14:paraId="54ED1D61" w14:textId="278CF79E" w:rsidR="002C71C1" w:rsidRPr="00F72CA0" w:rsidRDefault="002C71C1" w:rsidP="002C71C1">
      <w:pPr>
        <w:spacing w:before="240" w:after="240" w:line="360" w:lineRule="auto"/>
        <w:jc w:val="center"/>
        <w:rPr>
          <w:rFonts w:ascii="Palatino Linotype" w:hAnsi="Palatino Linotype"/>
          <w:sz w:val="22"/>
          <w:szCs w:val="22"/>
        </w:rPr>
      </w:pPr>
      <w:r w:rsidRPr="00F72CA0">
        <w:rPr>
          <w:rFonts w:ascii="Palatino Linotype" w:hAnsi="Palatino Linotype"/>
          <w:noProof/>
          <w:sz w:val="22"/>
          <w:szCs w:val="22"/>
        </w:rPr>
        <w:drawing>
          <wp:inline distT="0" distB="0" distL="0" distR="0" wp14:anchorId="66043905" wp14:editId="5BB259DE">
            <wp:extent cx="3600000" cy="21995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5837"/>
                    <a:stretch/>
                  </pic:blipFill>
                  <pic:spPr bwMode="auto">
                    <a:xfrm>
                      <a:off x="0" y="0"/>
                      <a:ext cx="3600000" cy="2199500"/>
                    </a:xfrm>
                    <a:prstGeom prst="rect">
                      <a:avLst/>
                    </a:prstGeom>
                    <a:ln>
                      <a:noFill/>
                    </a:ln>
                    <a:extLst>
                      <a:ext uri="{53640926-AAD7-44D8-BBD7-CCE9431645EC}">
                        <a14:shadowObscured xmlns:a14="http://schemas.microsoft.com/office/drawing/2010/main"/>
                      </a:ext>
                    </a:extLst>
                  </pic:spPr>
                </pic:pic>
              </a:graphicData>
            </a:graphic>
          </wp:inline>
        </w:drawing>
      </w:r>
    </w:p>
    <w:p w14:paraId="48241653" w14:textId="6B9F8733" w:rsidR="002C71C1" w:rsidRPr="00F72CA0" w:rsidRDefault="002C71C1" w:rsidP="002C71C1">
      <w:pPr>
        <w:spacing w:before="240" w:after="240" w:line="360" w:lineRule="auto"/>
        <w:jc w:val="center"/>
        <w:rPr>
          <w:rFonts w:ascii="Palatino Linotype" w:hAnsi="Palatino Linotype"/>
          <w:sz w:val="22"/>
          <w:szCs w:val="22"/>
        </w:rPr>
      </w:pPr>
      <w:r w:rsidRPr="00F72CA0">
        <w:rPr>
          <w:rFonts w:ascii="Palatino Linotype" w:hAnsi="Palatino Linotype"/>
          <w:noProof/>
          <w:sz w:val="22"/>
          <w:szCs w:val="22"/>
        </w:rPr>
        <w:drawing>
          <wp:inline distT="0" distB="0" distL="0" distR="0" wp14:anchorId="62129BCC" wp14:editId="56F2142D">
            <wp:extent cx="5400000" cy="3938691"/>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4724"/>
                    <a:stretch/>
                  </pic:blipFill>
                  <pic:spPr bwMode="auto">
                    <a:xfrm>
                      <a:off x="0" y="0"/>
                      <a:ext cx="5400000" cy="3938691"/>
                    </a:xfrm>
                    <a:prstGeom prst="rect">
                      <a:avLst/>
                    </a:prstGeom>
                    <a:ln>
                      <a:noFill/>
                    </a:ln>
                    <a:extLst>
                      <a:ext uri="{53640926-AAD7-44D8-BBD7-CCE9431645EC}">
                        <a14:shadowObscured xmlns:a14="http://schemas.microsoft.com/office/drawing/2010/main"/>
                      </a:ext>
                    </a:extLst>
                  </pic:spPr>
                </pic:pic>
              </a:graphicData>
            </a:graphic>
          </wp:inline>
        </w:drawing>
      </w:r>
    </w:p>
    <w:p w14:paraId="5540D1EF" w14:textId="0BBE03F6" w:rsidR="002C71C1" w:rsidRPr="00F72CA0" w:rsidRDefault="002C71C1" w:rsidP="002C71C1">
      <w:pPr>
        <w:spacing w:before="240" w:after="240" w:line="360" w:lineRule="auto"/>
        <w:jc w:val="center"/>
        <w:rPr>
          <w:rFonts w:ascii="Palatino Linotype" w:hAnsi="Palatino Linotype"/>
          <w:sz w:val="22"/>
          <w:szCs w:val="22"/>
        </w:rPr>
      </w:pPr>
      <w:r w:rsidRPr="00F72CA0">
        <w:rPr>
          <w:rFonts w:ascii="Palatino Linotype" w:hAnsi="Palatino Linotype"/>
          <w:noProof/>
          <w:sz w:val="22"/>
          <w:szCs w:val="22"/>
        </w:rPr>
        <w:drawing>
          <wp:inline distT="0" distB="0" distL="0" distR="0" wp14:anchorId="13AA9E41" wp14:editId="7C1FFA28">
            <wp:extent cx="5399405" cy="4791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5115" b="-194"/>
                    <a:stretch/>
                  </pic:blipFill>
                  <pic:spPr bwMode="auto">
                    <a:xfrm>
                      <a:off x="0" y="0"/>
                      <a:ext cx="5400000" cy="4791603"/>
                    </a:xfrm>
                    <a:prstGeom prst="rect">
                      <a:avLst/>
                    </a:prstGeom>
                    <a:ln>
                      <a:noFill/>
                    </a:ln>
                    <a:extLst>
                      <a:ext uri="{53640926-AAD7-44D8-BBD7-CCE9431645EC}">
                        <a14:shadowObscured xmlns:a14="http://schemas.microsoft.com/office/drawing/2010/main"/>
                      </a:ext>
                    </a:extLst>
                  </pic:spPr>
                </pic:pic>
              </a:graphicData>
            </a:graphic>
          </wp:inline>
        </w:drawing>
      </w:r>
    </w:p>
    <w:p w14:paraId="50DEECA3" w14:textId="48501509" w:rsidR="009B47F1" w:rsidRPr="00F72CA0" w:rsidRDefault="002C71C1" w:rsidP="009B47F1">
      <w:pPr>
        <w:spacing w:before="240" w:after="240" w:line="360" w:lineRule="auto"/>
        <w:jc w:val="both"/>
        <w:rPr>
          <w:rFonts w:ascii="Palatino Linotype" w:hAnsi="Palatino Linotype"/>
          <w:sz w:val="22"/>
          <w:szCs w:val="22"/>
        </w:rPr>
      </w:pPr>
      <w:r w:rsidRPr="00F72CA0">
        <w:rPr>
          <w:rFonts w:ascii="Palatino Linotype" w:hAnsi="Palatino Linotype"/>
          <w:sz w:val="22"/>
          <w:szCs w:val="22"/>
        </w:rPr>
        <w:t xml:space="preserve">Situación que motivó la </w:t>
      </w:r>
      <w:r w:rsidR="009B47F1" w:rsidRPr="00F72CA0">
        <w:rPr>
          <w:rFonts w:ascii="Palatino Linotype" w:hAnsi="Palatino Linotype"/>
          <w:sz w:val="22"/>
          <w:szCs w:val="22"/>
        </w:rPr>
        <w:t>interposición del recurso de revisión que nos ocupa</w:t>
      </w:r>
      <w:r w:rsidRPr="00F72CA0">
        <w:rPr>
          <w:rFonts w:ascii="Palatino Linotype" w:hAnsi="Palatino Linotype"/>
          <w:sz w:val="22"/>
          <w:szCs w:val="22"/>
        </w:rPr>
        <w:t xml:space="preserve">, en el que la parte </w:t>
      </w:r>
      <w:r w:rsidRPr="00F72CA0">
        <w:rPr>
          <w:rFonts w:ascii="Palatino Linotype" w:hAnsi="Palatino Linotype"/>
          <w:b/>
          <w:sz w:val="22"/>
          <w:szCs w:val="22"/>
        </w:rPr>
        <w:t xml:space="preserve">Recurrente </w:t>
      </w:r>
      <w:r w:rsidRPr="00F72CA0">
        <w:rPr>
          <w:rFonts w:ascii="Palatino Linotype" w:hAnsi="Palatino Linotype"/>
          <w:sz w:val="22"/>
          <w:szCs w:val="22"/>
        </w:rPr>
        <w:t xml:space="preserve">alegó que dicho documento no era el formato oficial que se entrega al OSFEM, lo cual puede constatarse en los ejercicios </w:t>
      </w:r>
      <w:r w:rsidR="00007B60" w:rsidRPr="00F72CA0">
        <w:rPr>
          <w:rFonts w:ascii="Palatino Linotype" w:hAnsi="Palatino Linotype"/>
          <w:sz w:val="22"/>
          <w:szCs w:val="22"/>
        </w:rPr>
        <w:t>anteriores</w:t>
      </w:r>
      <w:r w:rsidRPr="00F72CA0">
        <w:rPr>
          <w:rFonts w:ascii="Palatino Linotype" w:hAnsi="Palatino Linotype"/>
          <w:sz w:val="22"/>
          <w:szCs w:val="22"/>
        </w:rPr>
        <w:t>.</w:t>
      </w:r>
      <w:r w:rsidR="00007B60" w:rsidRPr="00F72CA0">
        <w:rPr>
          <w:rFonts w:ascii="Palatino Linotype" w:hAnsi="Palatino Linotype"/>
          <w:sz w:val="22"/>
          <w:szCs w:val="22"/>
        </w:rPr>
        <w:t xml:space="preserve"> De manera ejemplificativa se agrega el Reporte de Adjudicaciones del Comité de Adquisiciones y Servicios del cuarto trimestre del ejercicio 2024:</w:t>
      </w:r>
    </w:p>
    <w:p w14:paraId="1B471231" w14:textId="0C4A40B9" w:rsidR="00007B60" w:rsidRPr="00F72CA0" w:rsidRDefault="00007B60" w:rsidP="009B47F1">
      <w:pPr>
        <w:spacing w:before="240" w:after="240" w:line="360" w:lineRule="auto"/>
        <w:jc w:val="both"/>
        <w:rPr>
          <w:rFonts w:ascii="Palatino Linotype" w:hAnsi="Palatino Linotype"/>
          <w:sz w:val="22"/>
          <w:szCs w:val="22"/>
        </w:rPr>
      </w:pPr>
      <w:r w:rsidRPr="00F72CA0">
        <w:rPr>
          <w:rFonts w:ascii="Palatino Linotype" w:hAnsi="Palatino Linotype"/>
          <w:noProof/>
          <w:sz w:val="22"/>
          <w:szCs w:val="22"/>
        </w:rPr>
        <w:drawing>
          <wp:inline distT="0" distB="0" distL="0" distR="0" wp14:anchorId="17A1BC92" wp14:editId="4A5F0CCC">
            <wp:extent cx="5612130" cy="433260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332605"/>
                    </a:xfrm>
                    <a:prstGeom prst="rect">
                      <a:avLst/>
                    </a:prstGeom>
                  </pic:spPr>
                </pic:pic>
              </a:graphicData>
            </a:graphic>
          </wp:inline>
        </w:drawing>
      </w:r>
    </w:p>
    <w:p w14:paraId="0ABE98B4" w14:textId="4855A544" w:rsidR="00611C4A" w:rsidRPr="00F72CA0" w:rsidRDefault="00611C4A" w:rsidP="009B47F1">
      <w:pPr>
        <w:spacing w:before="240" w:after="240" w:line="360" w:lineRule="auto"/>
        <w:jc w:val="both"/>
        <w:rPr>
          <w:rFonts w:ascii="Palatino Linotype" w:hAnsi="Palatino Linotype"/>
          <w:sz w:val="22"/>
          <w:szCs w:val="22"/>
        </w:rPr>
      </w:pPr>
      <w:r w:rsidRPr="00F72CA0">
        <w:rPr>
          <w:rFonts w:ascii="Palatino Linotype" w:hAnsi="Palatino Linotype"/>
          <w:sz w:val="22"/>
          <w:szCs w:val="22"/>
        </w:rPr>
        <w:t xml:space="preserve">En tal tesitura, debe mencionarse que efectivamente, como lo refirió la parte </w:t>
      </w:r>
      <w:r w:rsidRPr="00F72CA0">
        <w:rPr>
          <w:rFonts w:ascii="Palatino Linotype" w:hAnsi="Palatino Linotype"/>
          <w:b/>
          <w:sz w:val="22"/>
          <w:szCs w:val="22"/>
        </w:rPr>
        <w:t>Recurrente</w:t>
      </w:r>
      <w:r w:rsidRPr="00F72CA0">
        <w:rPr>
          <w:rFonts w:ascii="Palatino Linotype" w:hAnsi="Palatino Linotype"/>
          <w:sz w:val="22"/>
          <w:szCs w:val="22"/>
        </w:rPr>
        <w:t xml:space="preserve">, el </w:t>
      </w:r>
      <w:r w:rsidRPr="00F72CA0">
        <w:rPr>
          <w:rFonts w:ascii="Palatino Linotype" w:hAnsi="Palatino Linotype"/>
          <w:b/>
          <w:sz w:val="22"/>
          <w:szCs w:val="22"/>
        </w:rPr>
        <w:t>Sujeto Obligado</w:t>
      </w:r>
      <w:r w:rsidRPr="00F72CA0">
        <w:rPr>
          <w:rFonts w:ascii="Palatino Linotype" w:hAnsi="Palatino Linotype"/>
          <w:sz w:val="22"/>
          <w:szCs w:val="22"/>
        </w:rPr>
        <w:t xml:space="preserve">, como ente fiscalizable, cuenta con el deber de entregar de manera trimestral al Órgano Superior de Fiscalización del Estado de México, OSFEM, el </w:t>
      </w:r>
      <w:r w:rsidRPr="00F72CA0">
        <w:rPr>
          <w:rFonts w:ascii="Palatino Linotype" w:hAnsi="Palatino Linotype"/>
          <w:b/>
          <w:sz w:val="22"/>
          <w:szCs w:val="22"/>
        </w:rPr>
        <w:t xml:space="preserve">Reporte de Adjudicaciones del Comité de Adquisiciones y Servicios, </w:t>
      </w:r>
      <w:r w:rsidRPr="00F72CA0">
        <w:rPr>
          <w:rFonts w:ascii="Palatino Linotype" w:hAnsi="Palatino Linotype"/>
          <w:sz w:val="22"/>
          <w:szCs w:val="22"/>
        </w:rPr>
        <w:t>el cual forma parte del Módulo 1 Información Contable y Financiera del informe trimestral, cuyo formato e instructivo de llenado se encuentra establecido en los Lineamientos para la integración y presentación de los Informes Trimestrales Municipales:</w:t>
      </w:r>
    </w:p>
    <w:p w14:paraId="19F6A928" w14:textId="15643693" w:rsidR="00611C4A" w:rsidRPr="00F72CA0" w:rsidRDefault="00611C4A" w:rsidP="00611C4A">
      <w:pPr>
        <w:spacing w:before="240" w:after="240" w:line="360" w:lineRule="auto"/>
        <w:jc w:val="center"/>
        <w:rPr>
          <w:rFonts w:ascii="Palatino Linotype" w:hAnsi="Palatino Linotype"/>
          <w:sz w:val="22"/>
          <w:szCs w:val="22"/>
        </w:rPr>
      </w:pPr>
      <w:r w:rsidRPr="00F72CA0">
        <w:rPr>
          <w:rFonts w:ascii="Palatino Linotype" w:hAnsi="Palatino Linotype"/>
          <w:noProof/>
          <w:sz w:val="22"/>
          <w:szCs w:val="22"/>
        </w:rPr>
        <w:drawing>
          <wp:inline distT="0" distB="0" distL="0" distR="0" wp14:anchorId="55AE4E31" wp14:editId="0404BC30">
            <wp:extent cx="5612130" cy="15049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3111"/>
                    <a:stretch/>
                  </pic:blipFill>
                  <pic:spPr bwMode="auto">
                    <a:xfrm>
                      <a:off x="0" y="0"/>
                      <a:ext cx="5612130" cy="1504950"/>
                    </a:xfrm>
                    <a:prstGeom prst="rect">
                      <a:avLst/>
                    </a:prstGeom>
                    <a:ln>
                      <a:noFill/>
                    </a:ln>
                    <a:extLst>
                      <a:ext uri="{53640926-AAD7-44D8-BBD7-CCE9431645EC}">
                        <a14:shadowObscured xmlns:a14="http://schemas.microsoft.com/office/drawing/2010/main"/>
                      </a:ext>
                    </a:extLst>
                  </pic:spPr>
                </pic:pic>
              </a:graphicData>
            </a:graphic>
          </wp:inline>
        </w:drawing>
      </w:r>
      <w:r w:rsidRPr="00F72CA0">
        <w:rPr>
          <w:rFonts w:ascii="Palatino Linotype" w:hAnsi="Palatino Linotype"/>
          <w:noProof/>
          <w:sz w:val="22"/>
          <w:szCs w:val="22"/>
        </w:rPr>
        <w:drawing>
          <wp:inline distT="0" distB="0" distL="0" distR="0" wp14:anchorId="032303F0" wp14:editId="422C86DA">
            <wp:extent cx="5612130" cy="7105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10565"/>
                    </a:xfrm>
                    <a:prstGeom prst="rect">
                      <a:avLst/>
                    </a:prstGeom>
                  </pic:spPr>
                </pic:pic>
              </a:graphicData>
            </a:graphic>
          </wp:inline>
        </w:drawing>
      </w:r>
      <w:r w:rsidRPr="00F72CA0">
        <w:rPr>
          <w:rFonts w:ascii="Palatino Linotype" w:hAnsi="Palatino Linotype"/>
          <w:noProof/>
          <w:sz w:val="22"/>
          <w:szCs w:val="22"/>
        </w:rPr>
        <w:drawing>
          <wp:inline distT="0" distB="0" distL="0" distR="0" wp14:anchorId="025EB2DA" wp14:editId="22971B15">
            <wp:extent cx="5612130" cy="88328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883285"/>
                    </a:xfrm>
                    <a:prstGeom prst="rect">
                      <a:avLst/>
                    </a:prstGeom>
                  </pic:spPr>
                </pic:pic>
              </a:graphicData>
            </a:graphic>
          </wp:inline>
        </w:drawing>
      </w:r>
      <w:r w:rsidRPr="00F72CA0">
        <w:rPr>
          <w:rFonts w:ascii="Palatino Linotype" w:hAnsi="Palatino Linotype"/>
          <w:noProof/>
          <w:sz w:val="22"/>
          <w:szCs w:val="22"/>
        </w:rPr>
        <w:drawing>
          <wp:inline distT="0" distB="0" distL="0" distR="0" wp14:anchorId="07E28F97" wp14:editId="36B15D2B">
            <wp:extent cx="4858987" cy="3257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914" b="5494"/>
                    <a:stretch/>
                  </pic:blipFill>
                  <pic:spPr bwMode="auto">
                    <a:xfrm>
                      <a:off x="0" y="0"/>
                      <a:ext cx="4860000" cy="3258229"/>
                    </a:xfrm>
                    <a:prstGeom prst="rect">
                      <a:avLst/>
                    </a:prstGeom>
                    <a:ln>
                      <a:noFill/>
                    </a:ln>
                    <a:extLst>
                      <a:ext uri="{53640926-AAD7-44D8-BBD7-CCE9431645EC}">
                        <a14:shadowObscured xmlns:a14="http://schemas.microsoft.com/office/drawing/2010/main"/>
                      </a:ext>
                    </a:extLst>
                  </pic:spPr>
                </pic:pic>
              </a:graphicData>
            </a:graphic>
          </wp:inline>
        </w:drawing>
      </w:r>
    </w:p>
    <w:p w14:paraId="408E67B7" w14:textId="2E4252E9" w:rsidR="00611C4A" w:rsidRPr="00F72CA0" w:rsidRDefault="00611C4A" w:rsidP="00611C4A">
      <w:pPr>
        <w:spacing w:before="240" w:after="240" w:line="360" w:lineRule="auto"/>
        <w:jc w:val="center"/>
        <w:rPr>
          <w:rFonts w:ascii="Palatino Linotype" w:hAnsi="Palatino Linotype"/>
          <w:sz w:val="22"/>
          <w:szCs w:val="22"/>
        </w:rPr>
      </w:pPr>
      <w:r w:rsidRPr="00F72CA0">
        <w:rPr>
          <w:rFonts w:ascii="Palatino Linotype" w:hAnsi="Palatino Linotype"/>
          <w:noProof/>
          <w:sz w:val="22"/>
          <w:szCs w:val="22"/>
        </w:rPr>
        <w:drawing>
          <wp:inline distT="0" distB="0" distL="0" distR="0" wp14:anchorId="417384AB" wp14:editId="57315098">
            <wp:extent cx="5612130" cy="471106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711065"/>
                    </a:xfrm>
                    <a:prstGeom prst="rect">
                      <a:avLst/>
                    </a:prstGeom>
                  </pic:spPr>
                </pic:pic>
              </a:graphicData>
            </a:graphic>
          </wp:inline>
        </w:drawing>
      </w:r>
    </w:p>
    <w:p w14:paraId="5025B007" w14:textId="26C56647" w:rsidR="009B47F1" w:rsidRPr="00F72CA0" w:rsidRDefault="00611C4A" w:rsidP="000B73B6">
      <w:pPr>
        <w:spacing w:before="240" w:after="240" w:line="360" w:lineRule="auto"/>
        <w:jc w:val="both"/>
        <w:rPr>
          <w:rFonts w:ascii="Palatino Linotype" w:hAnsi="Palatino Linotype"/>
          <w:sz w:val="22"/>
          <w:szCs w:val="22"/>
        </w:rPr>
      </w:pPr>
      <w:r w:rsidRPr="00F72CA0">
        <w:rPr>
          <w:rFonts w:ascii="Palatino Linotype" w:hAnsi="Palatino Linotype" w:cs="Arial"/>
          <w:sz w:val="22"/>
          <w:szCs w:val="22"/>
        </w:rPr>
        <w:t xml:space="preserve">Como puede advertirse, el formato que </w:t>
      </w:r>
      <w:r w:rsidR="00252EAE" w:rsidRPr="00F72CA0">
        <w:rPr>
          <w:rFonts w:ascii="Palatino Linotype" w:hAnsi="Palatino Linotype" w:cs="Arial"/>
          <w:sz w:val="22"/>
          <w:szCs w:val="22"/>
        </w:rPr>
        <w:t xml:space="preserve">establece el </w:t>
      </w:r>
      <w:r w:rsidR="00252EAE" w:rsidRPr="00F72CA0">
        <w:rPr>
          <w:rFonts w:ascii="Palatino Linotype" w:eastAsia="Palatino Linotype" w:hAnsi="Palatino Linotype" w:cs="Palatino Linotype"/>
          <w:sz w:val="22"/>
          <w:szCs w:val="22"/>
        </w:rPr>
        <w:t xml:space="preserve">Órgano Superior de Fiscalización en los Lineamientos para el </w:t>
      </w:r>
      <w:r w:rsidR="00252EAE" w:rsidRPr="00F72CA0">
        <w:rPr>
          <w:rFonts w:ascii="Palatino Linotype" w:hAnsi="Palatino Linotype"/>
          <w:sz w:val="22"/>
          <w:szCs w:val="22"/>
        </w:rPr>
        <w:t xml:space="preserve">Reporte de Adjudicaciones del Comité de Adquisiciones y Servicios, no es coincidente con el formato remitido por el </w:t>
      </w:r>
      <w:r w:rsidR="00252EAE" w:rsidRPr="00F72CA0">
        <w:rPr>
          <w:rFonts w:ascii="Palatino Linotype" w:hAnsi="Palatino Linotype"/>
          <w:b/>
          <w:sz w:val="22"/>
          <w:szCs w:val="22"/>
        </w:rPr>
        <w:t xml:space="preserve">Sujeto Obligado </w:t>
      </w:r>
      <w:r w:rsidR="00252EAE" w:rsidRPr="00F72CA0">
        <w:rPr>
          <w:rFonts w:ascii="Palatino Linotype" w:hAnsi="Palatino Linotype"/>
          <w:sz w:val="22"/>
          <w:szCs w:val="22"/>
        </w:rPr>
        <w:t>respecto del primer trimestre de 2025, el cual debía entregarse al OSFEM como parte del Primer Informe trimestral a más tardar el miércoles 07 de mayo de 2025 de conformidad con la Calendarización par la integración y presentación de los informes trimestrales del ejercicio 2025:</w:t>
      </w:r>
    </w:p>
    <w:p w14:paraId="7DF18C14" w14:textId="4B610371" w:rsidR="00252EAE" w:rsidRPr="00F72CA0" w:rsidRDefault="00252EAE" w:rsidP="000B73B6">
      <w:pPr>
        <w:spacing w:before="240" w:after="240" w:line="360" w:lineRule="auto"/>
        <w:jc w:val="both"/>
        <w:rPr>
          <w:rFonts w:ascii="Palatino Linotype" w:hAnsi="Palatino Linotype" w:cs="Arial"/>
          <w:sz w:val="22"/>
          <w:szCs w:val="22"/>
        </w:rPr>
      </w:pPr>
      <w:r w:rsidRPr="00F72CA0">
        <w:rPr>
          <w:rFonts w:ascii="Palatino Linotype" w:hAnsi="Palatino Linotype" w:cs="Arial"/>
          <w:noProof/>
          <w:sz w:val="22"/>
          <w:szCs w:val="22"/>
        </w:rPr>
        <w:drawing>
          <wp:inline distT="0" distB="0" distL="0" distR="0" wp14:anchorId="63CDECA0" wp14:editId="25CEB871">
            <wp:extent cx="5612130" cy="18757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875790"/>
                    </a:xfrm>
                    <a:prstGeom prst="rect">
                      <a:avLst/>
                    </a:prstGeom>
                  </pic:spPr>
                </pic:pic>
              </a:graphicData>
            </a:graphic>
          </wp:inline>
        </w:drawing>
      </w:r>
    </w:p>
    <w:p w14:paraId="10935AD7" w14:textId="0097C580" w:rsidR="00252EAE" w:rsidRPr="00F72CA0" w:rsidRDefault="00252EAE" w:rsidP="000B73B6">
      <w:pPr>
        <w:spacing w:before="240" w:after="240" w:line="360" w:lineRule="auto"/>
        <w:jc w:val="both"/>
        <w:rPr>
          <w:rFonts w:ascii="Palatino Linotype" w:eastAsia="Palatino Linotype" w:hAnsi="Palatino Linotype" w:cs="Palatino Linotype"/>
          <w:sz w:val="22"/>
          <w:szCs w:val="22"/>
        </w:rPr>
      </w:pPr>
      <w:r w:rsidRPr="00F72CA0">
        <w:rPr>
          <w:rFonts w:ascii="Palatino Linotype" w:hAnsi="Palatino Linotype" w:cs="Arial"/>
          <w:sz w:val="22"/>
          <w:szCs w:val="22"/>
        </w:rPr>
        <w:t xml:space="preserve">Mientras que la solicitud se tuvo por presentada el día </w:t>
      </w:r>
      <w:r w:rsidRPr="00F72CA0">
        <w:rPr>
          <w:rFonts w:ascii="Palatino Linotype" w:eastAsia="Palatino Linotype" w:hAnsi="Palatino Linotype" w:cs="Palatino Linotype"/>
          <w:sz w:val="22"/>
          <w:szCs w:val="22"/>
        </w:rPr>
        <w:t>cuatro de agosto de dos mil veinticinco.</w:t>
      </w:r>
    </w:p>
    <w:p w14:paraId="5980673B" w14:textId="3F13B1B0" w:rsidR="00252EAE" w:rsidRPr="00F72CA0" w:rsidRDefault="00252EAE" w:rsidP="000B73B6">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Bajo esta línea de pensamiento, es claro que el Derecho de acceso de la persona solicitante se vulneró, al no haberse hecho entrega del Reporte de Adjudicaciones del Comité de Adquisiciones y Servicios del primer trimestre de 2025, el cual debió haberse generado con anterioridad a  la fecha de presentación de la solicitud, y, para tenerlo por satisfecho se estima dable ordenar la entrega de dicho documento.</w:t>
      </w:r>
    </w:p>
    <w:p w14:paraId="00525421" w14:textId="0073E442" w:rsidR="00193AE1" w:rsidRPr="00F72CA0" w:rsidRDefault="00193AE1" w:rsidP="00193AE1">
      <w:pPr>
        <w:tabs>
          <w:tab w:val="left" w:pos="975"/>
        </w:tabs>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De lo hasta aquí expuesto, se concluye que los motivos de inconformidad de la parte </w:t>
      </w:r>
      <w:r w:rsidRPr="00F72CA0">
        <w:rPr>
          <w:rFonts w:ascii="Palatino Linotype" w:eastAsia="Palatino Linotype" w:hAnsi="Palatino Linotype" w:cs="Palatino Linotype"/>
          <w:b/>
          <w:sz w:val="22"/>
          <w:szCs w:val="22"/>
        </w:rPr>
        <w:t xml:space="preserve">Recurrente </w:t>
      </w:r>
      <w:r w:rsidRPr="00F72CA0">
        <w:rPr>
          <w:rFonts w:ascii="Palatino Linotype" w:eastAsia="Palatino Linotype" w:hAnsi="Palatino Linotype" w:cs="Palatino Linotype"/>
          <w:sz w:val="22"/>
          <w:szCs w:val="22"/>
        </w:rPr>
        <w:t xml:space="preserve">devienen fundados, siendo procedente </w:t>
      </w:r>
      <w:r w:rsidRPr="00F72CA0">
        <w:rPr>
          <w:rFonts w:ascii="Palatino Linotype" w:eastAsia="Palatino Linotype" w:hAnsi="Palatino Linotype" w:cs="Palatino Linotype"/>
          <w:i/>
          <w:sz w:val="22"/>
          <w:szCs w:val="22"/>
        </w:rPr>
        <w:t xml:space="preserve">Modificar </w:t>
      </w:r>
      <w:r w:rsidRPr="00F72CA0">
        <w:rPr>
          <w:rFonts w:ascii="Palatino Linotype" w:eastAsia="Palatino Linotype" w:hAnsi="Palatino Linotype" w:cs="Palatino Linotype"/>
          <w:sz w:val="22"/>
          <w:szCs w:val="22"/>
        </w:rPr>
        <w:t xml:space="preserve">la respuesta proporcionada por el </w:t>
      </w:r>
      <w:r w:rsidRPr="00F72CA0">
        <w:rPr>
          <w:rFonts w:ascii="Palatino Linotype" w:eastAsia="Palatino Linotype" w:hAnsi="Palatino Linotype" w:cs="Palatino Linotype"/>
          <w:b/>
          <w:sz w:val="22"/>
          <w:szCs w:val="22"/>
        </w:rPr>
        <w:t xml:space="preserve">Sujeto Obligado </w:t>
      </w:r>
      <w:r w:rsidRPr="00F72CA0">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378EF624" w14:textId="3930BF0D" w:rsidR="00193AE1" w:rsidRPr="00F72CA0" w:rsidRDefault="00193AE1" w:rsidP="00193AE1">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Así, con fundamento en lo prescrito en los artículos </w:t>
      </w:r>
      <w:r w:rsidR="005D5DC9" w:rsidRPr="00F72CA0">
        <w:rPr>
          <w:rFonts w:ascii="Palatino Linotype" w:eastAsia="Palatino Linotype" w:hAnsi="Palatino Linotype" w:cs="Palatino Linotype"/>
          <w:sz w:val="22"/>
          <w:szCs w:val="22"/>
        </w:rPr>
        <w:t xml:space="preserve">5 párrafos </w:t>
      </w:r>
      <w:r w:rsidR="000E700F" w:rsidRPr="00F72CA0">
        <w:rPr>
          <w:rFonts w:ascii="Palatino Linotype" w:eastAsia="Palatino Linotype" w:hAnsi="Palatino Linotype" w:cs="Palatino Linotype"/>
          <w:sz w:val="22"/>
          <w:szCs w:val="22"/>
        </w:rPr>
        <w:t xml:space="preserve">cuadragésimo cuarto, cuadragésimo quinto cuadragésimo sexto, de la </w:t>
      </w:r>
      <w:r w:rsidR="005D5DC9" w:rsidRPr="00F72CA0">
        <w:rPr>
          <w:rFonts w:ascii="Palatino Linotype" w:eastAsia="Palatino Linotype" w:hAnsi="Palatino Linotype" w:cs="Palatino Linotype"/>
          <w:sz w:val="22"/>
          <w:szCs w:val="22"/>
        </w:rPr>
        <w:t>Constitución Política del Estado Libre y Soberano de México; Transitorio Cuarto, párrafo segundo del Decreto número 198 de la “LXII” Legislatura del Estado de México;</w:t>
      </w:r>
      <w:r w:rsidRPr="00F72CA0">
        <w:rPr>
          <w:rFonts w:ascii="Palatino Linotype" w:eastAsia="Palatino Linotype" w:hAnsi="Palatino Linotype" w:cs="Palatino Linotype"/>
          <w:sz w:val="22"/>
          <w:szCs w:val="22"/>
        </w:rPr>
        <w:t xml:space="preserve"> 2, fracción II; 29, 36 fracciones I y II; 176, 178, 181, 185 y 186 fracción II de la Ley de Transparencia y Acceso a la Información Pública del Estado de México y Municipios, este Pleno:</w:t>
      </w:r>
    </w:p>
    <w:p w14:paraId="0285A7B6" w14:textId="77777777" w:rsidR="00193AE1" w:rsidRPr="00F72CA0" w:rsidRDefault="00193AE1" w:rsidP="00193AE1">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F72CA0">
        <w:rPr>
          <w:rFonts w:ascii="Palatino Linotype" w:eastAsia="Palatino Linotype" w:hAnsi="Palatino Linotype" w:cs="Palatino Linotype"/>
          <w:b/>
          <w:sz w:val="22"/>
          <w:szCs w:val="22"/>
        </w:rPr>
        <w:t>III. R E S U E L V E</w:t>
      </w:r>
    </w:p>
    <w:p w14:paraId="5C7FA26B" w14:textId="533EDB59" w:rsidR="00193AE1" w:rsidRPr="00F72CA0" w:rsidRDefault="00193AE1" w:rsidP="00193AE1">
      <w:pPr>
        <w:spacing w:before="240" w:after="240" w:line="360" w:lineRule="auto"/>
        <w:jc w:val="both"/>
        <w:rPr>
          <w:rFonts w:ascii="Palatino Linotype" w:eastAsia="Palatino Linotype" w:hAnsi="Palatino Linotype" w:cs="Palatino Linotype"/>
          <w:sz w:val="22"/>
          <w:szCs w:val="22"/>
        </w:rPr>
      </w:pPr>
      <w:bookmarkStart w:id="10" w:name="_heading=h.26in1rg" w:colFirst="0" w:colLast="0"/>
      <w:bookmarkEnd w:id="10"/>
      <w:r w:rsidRPr="00F72CA0">
        <w:rPr>
          <w:rFonts w:ascii="Palatino Linotype" w:eastAsia="Palatino Linotype" w:hAnsi="Palatino Linotype" w:cs="Palatino Linotype"/>
          <w:b/>
          <w:sz w:val="22"/>
          <w:szCs w:val="22"/>
        </w:rPr>
        <w:t xml:space="preserve">Primero. </w:t>
      </w:r>
      <w:r w:rsidRPr="00F72CA0">
        <w:rPr>
          <w:rFonts w:ascii="Palatino Linotype" w:eastAsia="Palatino Linotype" w:hAnsi="Palatino Linotype" w:cs="Palatino Linotype"/>
          <w:sz w:val="22"/>
          <w:szCs w:val="22"/>
        </w:rPr>
        <w:t>Resultan</w:t>
      </w:r>
      <w:r w:rsidRPr="00F72CA0">
        <w:rPr>
          <w:rFonts w:ascii="Palatino Linotype" w:eastAsia="Palatino Linotype" w:hAnsi="Palatino Linotype" w:cs="Palatino Linotype"/>
          <w:b/>
          <w:sz w:val="22"/>
          <w:szCs w:val="22"/>
        </w:rPr>
        <w:t xml:space="preserve"> fundadas</w:t>
      </w:r>
      <w:r w:rsidRPr="00F72CA0">
        <w:rPr>
          <w:rFonts w:ascii="Palatino Linotype" w:eastAsia="Palatino Linotype" w:hAnsi="Palatino Linotype" w:cs="Palatino Linotype"/>
          <w:sz w:val="22"/>
          <w:szCs w:val="22"/>
        </w:rPr>
        <w:t xml:space="preserve"> las razones o motivos de inconformidad hechos valer por la parte</w:t>
      </w:r>
      <w:r w:rsidRPr="00F72CA0">
        <w:rPr>
          <w:rFonts w:ascii="Palatino Linotype" w:eastAsia="Palatino Linotype" w:hAnsi="Palatino Linotype" w:cs="Palatino Linotype"/>
          <w:b/>
          <w:sz w:val="22"/>
          <w:szCs w:val="22"/>
        </w:rPr>
        <w:t xml:space="preserve"> Recurrente</w:t>
      </w:r>
      <w:r w:rsidRPr="00F72CA0">
        <w:rPr>
          <w:rFonts w:ascii="Palatino Linotype" w:eastAsia="Palatino Linotype" w:hAnsi="Palatino Linotype" w:cs="Palatino Linotype"/>
          <w:sz w:val="22"/>
          <w:szCs w:val="22"/>
        </w:rPr>
        <w:t xml:space="preserve"> en el recurso de revisión </w:t>
      </w:r>
      <w:r w:rsidR="00AC6FF0" w:rsidRPr="00F72CA0">
        <w:rPr>
          <w:rFonts w:ascii="Palatino Linotype" w:eastAsia="Palatino Linotype" w:hAnsi="Palatino Linotype" w:cs="Palatino Linotype"/>
          <w:b/>
          <w:sz w:val="22"/>
          <w:szCs w:val="22"/>
        </w:rPr>
        <w:t>1</w:t>
      </w:r>
      <w:r w:rsidR="00252EAE" w:rsidRPr="00F72CA0">
        <w:rPr>
          <w:rFonts w:ascii="Palatino Linotype" w:eastAsia="Palatino Linotype" w:hAnsi="Palatino Linotype" w:cs="Palatino Linotype"/>
          <w:b/>
          <w:sz w:val="22"/>
          <w:szCs w:val="22"/>
        </w:rPr>
        <w:t>0879</w:t>
      </w:r>
      <w:r w:rsidRPr="00F72CA0">
        <w:rPr>
          <w:rFonts w:ascii="Palatino Linotype" w:eastAsia="Palatino Linotype" w:hAnsi="Palatino Linotype" w:cs="Palatino Linotype"/>
          <w:b/>
          <w:sz w:val="22"/>
          <w:szCs w:val="22"/>
        </w:rPr>
        <w:t>/INFOEM/IP/RR/202</w:t>
      </w:r>
      <w:r w:rsidR="00625B99" w:rsidRPr="00F72CA0">
        <w:rPr>
          <w:rFonts w:ascii="Palatino Linotype" w:eastAsia="Palatino Linotype" w:hAnsi="Palatino Linotype" w:cs="Palatino Linotype"/>
          <w:b/>
          <w:sz w:val="22"/>
          <w:szCs w:val="22"/>
        </w:rPr>
        <w:t>5</w:t>
      </w:r>
      <w:r w:rsidRPr="00F72CA0">
        <w:rPr>
          <w:rFonts w:ascii="Palatino Linotype" w:eastAsia="Palatino Linotype" w:hAnsi="Palatino Linotype" w:cs="Palatino Linotype"/>
          <w:sz w:val="22"/>
          <w:szCs w:val="22"/>
        </w:rPr>
        <w:t xml:space="preserve">; por lo que, en términos del </w:t>
      </w:r>
      <w:r w:rsidRPr="00F72CA0">
        <w:rPr>
          <w:rFonts w:ascii="Palatino Linotype" w:eastAsia="Palatino Linotype" w:hAnsi="Palatino Linotype" w:cs="Palatino Linotype"/>
          <w:b/>
          <w:sz w:val="22"/>
          <w:szCs w:val="22"/>
        </w:rPr>
        <w:t>Considerando</w:t>
      </w:r>
      <w:r w:rsidRPr="00F72CA0">
        <w:rPr>
          <w:rFonts w:ascii="Palatino Linotype" w:eastAsia="Palatino Linotype" w:hAnsi="Palatino Linotype" w:cs="Palatino Linotype"/>
          <w:sz w:val="22"/>
          <w:szCs w:val="22"/>
        </w:rPr>
        <w:t xml:space="preserve"> </w:t>
      </w:r>
      <w:r w:rsidRPr="00F72CA0">
        <w:rPr>
          <w:rFonts w:ascii="Palatino Linotype" w:eastAsia="Palatino Linotype" w:hAnsi="Palatino Linotype" w:cs="Palatino Linotype"/>
          <w:b/>
          <w:sz w:val="22"/>
          <w:szCs w:val="22"/>
        </w:rPr>
        <w:t xml:space="preserve">Cuarto </w:t>
      </w:r>
      <w:r w:rsidRPr="00F72CA0">
        <w:rPr>
          <w:rFonts w:ascii="Palatino Linotype" w:eastAsia="Palatino Linotype" w:hAnsi="Palatino Linotype" w:cs="Palatino Linotype"/>
          <w:sz w:val="22"/>
          <w:szCs w:val="22"/>
        </w:rPr>
        <w:t xml:space="preserve">de esta resolución, se </w:t>
      </w:r>
      <w:r w:rsidRPr="00F72CA0">
        <w:rPr>
          <w:rFonts w:ascii="Palatino Linotype" w:eastAsia="Palatino Linotype" w:hAnsi="Palatino Linotype" w:cs="Palatino Linotype"/>
          <w:b/>
          <w:sz w:val="22"/>
          <w:szCs w:val="22"/>
        </w:rPr>
        <w:t xml:space="preserve">Modifica </w:t>
      </w:r>
      <w:r w:rsidRPr="00F72CA0">
        <w:rPr>
          <w:rFonts w:ascii="Palatino Linotype" w:eastAsia="Palatino Linotype" w:hAnsi="Palatino Linotype" w:cs="Palatino Linotype"/>
          <w:sz w:val="22"/>
          <w:szCs w:val="22"/>
        </w:rPr>
        <w:t xml:space="preserve">la respuesta emitida por el </w:t>
      </w:r>
      <w:r w:rsidRPr="00F72CA0">
        <w:rPr>
          <w:rFonts w:ascii="Palatino Linotype" w:eastAsia="Palatino Linotype" w:hAnsi="Palatino Linotype" w:cs="Palatino Linotype"/>
          <w:b/>
          <w:sz w:val="22"/>
          <w:szCs w:val="22"/>
        </w:rPr>
        <w:t xml:space="preserve">Sujeto Obligado. </w:t>
      </w:r>
    </w:p>
    <w:p w14:paraId="3F306F48" w14:textId="22C3B7B5" w:rsidR="001A60C5" w:rsidRPr="00F72CA0" w:rsidRDefault="00193AE1" w:rsidP="001A60C5">
      <w:pPr>
        <w:spacing w:before="240" w:after="240" w:line="360" w:lineRule="auto"/>
        <w:ind w:right="49"/>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b/>
          <w:sz w:val="22"/>
          <w:szCs w:val="22"/>
        </w:rPr>
        <w:t xml:space="preserve">Segundo. </w:t>
      </w:r>
      <w:r w:rsidRPr="00F72CA0">
        <w:rPr>
          <w:rFonts w:ascii="Palatino Linotype" w:eastAsia="Palatino Linotype" w:hAnsi="Palatino Linotype" w:cs="Palatino Linotype"/>
          <w:sz w:val="22"/>
          <w:szCs w:val="22"/>
        </w:rPr>
        <w:t xml:space="preserve">Se </w:t>
      </w:r>
      <w:r w:rsidRPr="00F72CA0">
        <w:rPr>
          <w:rFonts w:ascii="Palatino Linotype" w:eastAsia="Palatino Linotype" w:hAnsi="Palatino Linotype" w:cs="Palatino Linotype"/>
          <w:b/>
          <w:sz w:val="22"/>
          <w:szCs w:val="22"/>
        </w:rPr>
        <w:t>Ordena</w:t>
      </w:r>
      <w:r w:rsidRPr="00F72CA0">
        <w:rPr>
          <w:rFonts w:ascii="Palatino Linotype" w:eastAsia="Palatino Linotype" w:hAnsi="Palatino Linotype" w:cs="Palatino Linotype"/>
          <w:sz w:val="22"/>
          <w:szCs w:val="22"/>
        </w:rPr>
        <w:t xml:space="preserve"> al </w:t>
      </w:r>
      <w:r w:rsidRPr="00F72CA0">
        <w:rPr>
          <w:rFonts w:ascii="Palatino Linotype" w:eastAsia="Palatino Linotype" w:hAnsi="Palatino Linotype" w:cs="Palatino Linotype"/>
          <w:b/>
          <w:sz w:val="22"/>
          <w:szCs w:val="22"/>
        </w:rPr>
        <w:t>Sujeto Obligado</w:t>
      </w:r>
      <w:r w:rsidRPr="00F72CA0">
        <w:rPr>
          <w:rFonts w:ascii="Palatino Linotype" w:eastAsia="Palatino Linotype" w:hAnsi="Palatino Linotype" w:cs="Palatino Linotype"/>
          <w:sz w:val="22"/>
          <w:szCs w:val="22"/>
        </w:rPr>
        <w:t>, en términos de</w:t>
      </w:r>
      <w:r w:rsidR="00252EAE" w:rsidRPr="00F72CA0">
        <w:rPr>
          <w:rFonts w:ascii="Palatino Linotype" w:eastAsia="Palatino Linotype" w:hAnsi="Palatino Linotype" w:cs="Palatino Linotype"/>
          <w:sz w:val="22"/>
          <w:szCs w:val="22"/>
        </w:rPr>
        <w:t xml:space="preserve">l </w:t>
      </w:r>
      <w:r w:rsidRPr="00F72CA0">
        <w:rPr>
          <w:rFonts w:ascii="Palatino Linotype" w:eastAsia="Palatino Linotype" w:hAnsi="Palatino Linotype" w:cs="Palatino Linotype"/>
          <w:sz w:val="22"/>
          <w:szCs w:val="22"/>
        </w:rPr>
        <w:t xml:space="preserve">Considerando </w:t>
      </w:r>
      <w:r w:rsidRPr="00F72CA0">
        <w:rPr>
          <w:rFonts w:ascii="Palatino Linotype" w:eastAsia="Palatino Linotype" w:hAnsi="Palatino Linotype" w:cs="Palatino Linotype"/>
          <w:b/>
          <w:sz w:val="22"/>
          <w:szCs w:val="22"/>
        </w:rPr>
        <w:t xml:space="preserve">Cuarto </w:t>
      </w:r>
      <w:r w:rsidRPr="00F72CA0">
        <w:rPr>
          <w:rFonts w:ascii="Palatino Linotype" w:eastAsia="Palatino Linotype" w:hAnsi="Palatino Linotype" w:cs="Palatino Linotype"/>
          <w:sz w:val="22"/>
          <w:szCs w:val="22"/>
        </w:rPr>
        <w:t xml:space="preserve">de esta resolución, haga entrega, </w:t>
      </w:r>
      <w:r w:rsidR="001A60C5" w:rsidRPr="00F72CA0">
        <w:rPr>
          <w:rFonts w:ascii="Palatino Linotype" w:eastAsia="Palatino Linotype" w:hAnsi="Palatino Linotype" w:cs="Palatino Linotype"/>
          <w:sz w:val="22"/>
          <w:szCs w:val="22"/>
        </w:rPr>
        <w:t xml:space="preserve">vía </w:t>
      </w:r>
      <w:r w:rsidR="001A60C5" w:rsidRPr="00F72CA0">
        <w:rPr>
          <w:rFonts w:ascii="Palatino Linotype" w:eastAsia="Palatino Linotype" w:hAnsi="Palatino Linotype" w:cs="Palatino Linotype"/>
          <w:b/>
          <w:sz w:val="22"/>
          <w:szCs w:val="22"/>
        </w:rPr>
        <w:t>SAIMEX</w:t>
      </w:r>
      <w:r w:rsidR="001A60C5" w:rsidRPr="00F72CA0">
        <w:rPr>
          <w:rFonts w:ascii="Palatino Linotype" w:eastAsia="Palatino Linotype" w:hAnsi="Palatino Linotype" w:cs="Palatino Linotype"/>
          <w:sz w:val="22"/>
          <w:szCs w:val="22"/>
        </w:rPr>
        <w:t>, de lo siguiente:</w:t>
      </w:r>
    </w:p>
    <w:p w14:paraId="2BE465A1" w14:textId="37A3AFCC" w:rsidR="00252EAE" w:rsidRPr="00F72CA0" w:rsidRDefault="009B7ACC" w:rsidP="00252EAE">
      <w:pPr>
        <w:spacing w:before="240" w:after="240" w:line="360" w:lineRule="auto"/>
        <w:ind w:left="284" w:right="49"/>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1. </w:t>
      </w:r>
      <w:r w:rsidR="00252EAE" w:rsidRPr="00F72CA0">
        <w:rPr>
          <w:rFonts w:ascii="Palatino Linotype" w:eastAsia="Palatino Linotype" w:hAnsi="Palatino Linotype" w:cs="Palatino Linotype"/>
          <w:sz w:val="22"/>
          <w:szCs w:val="22"/>
        </w:rPr>
        <w:t>Reporte de Adjudicaciones del Comité de Adquisiciones y Servicios del primer trimestre del ejercicio 2025.</w:t>
      </w:r>
    </w:p>
    <w:p w14:paraId="6B12F0AC" w14:textId="77777777" w:rsidR="00193AE1" w:rsidRPr="00F72CA0" w:rsidRDefault="00193AE1" w:rsidP="00193AE1">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b/>
          <w:sz w:val="22"/>
          <w:szCs w:val="22"/>
        </w:rPr>
        <w:t xml:space="preserve">Tercero. Notifíquese, </w:t>
      </w:r>
      <w:r w:rsidRPr="00F72CA0">
        <w:rPr>
          <w:rFonts w:ascii="Palatino Linotype" w:eastAsia="Palatino Linotype" w:hAnsi="Palatino Linotype" w:cs="Palatino Linotype"/>
          <w:sz w:val="22"/>
          <w:szCs w:val="22"/>
        </w:rPr>
        <w:t xml:space="preserve">vía </w:t>
      </w:r>
      <w:r w:rsidRPr="00F72CA0">
        <w:rPr>
          <w:rFonts w:ascii="Palatino Linotype" w:eastAsia="Palatino Linotype" w:hAnsi="Palatino Linotype" w:cs="Palatino Linotype"/>
          <w:b/>
          <w:sz w:val="22"/>
          <w:szCs w:val="22"/>
        </w:rPr>
        <w:t>SAIMEX</w:t>
      </w:r>
      <w:r w:rsidRPr="00F72CA0">
        <w:rPr>
          <w:rFonts w:ascii="Palatino Linotype" w:eastAsia="Palatino Linotype" w:hAnsi="Palatino Linotype" w:cs="Palatino Linotype"/>
          <w:sz w:val="22"/>
          <w:szCs w:val="22"/>
        </w:rPr>
        <w:t xml:space="preserve">, al Titular de la Unidad de Transparencia del </w:t>
      </w:r>
      <w:r w:rsidRPr="00F72CA0">
        <w:rPr>
          <w:rFonts w:ascii="Palatino Linotype" w:eastAsia="Palatino Linotype" w:hAnsi="Palatino Linotype" w:cs="Palatino Linotype"/>
          <w:b/>
          <w:sz w:val="22"/>
          <w:szCs w:val="22"/>
        </w:rPr>
        <w:t>Sujeto Obligado,</w:t>
      </w:r>
      <w:r w:rsidRPr="00F72CA0">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0A7DBDD" w14:textId="77777777" w:rsidR="00193AE1" w:rsidRPr="00F72CA0" w:rsidRDefault="00193AE1" w:rsidP="00193AE1">
      <w:pPr>
        <w:spacing w:before="240" w:after="240" w:line="360" w:lineRule="auto"/>
        <w:jc w:val="both"/>
        <w:rPr>
          <w:rFonts w:ascii="Palatino Linotype" w:eastAsia="Palatino Linotype" w:hAnsi="Palatino Linotype" w:cs="Palatino Linotype"/>
          <w:sz w:val="22"/>
          <w:szCs w:val="22"/>
        </w:rPr>
      </w:pPr>
      <w:r w:rsidRPr="00F72CA0">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F72CA0">
        <w:rPr>
          <w:rFonts w:ascii="Palatino Linotype" w:eastAsia="Palatino Linotype" w:hAnsi="Palatino Linotype" w:cs="Palatino Linotype"/>
          <w:b/>
          <w:sz w:val="22"/>
          <w:szCs w:val="22"/>
        </w:rPr>
        <w:t>Sujeto Obligado</w:t>
      </w:r>
      <w:r w:rsidRPr="00F72CA0">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2AA7DFB" w14:textId="77777777" w:rsidR="00193AE1" w:rsidRPr="00F72CA0" w:rsidRDefault="00193AE1" w:rsidP="00193AE1">
      <w:pPr>
        <w:spacing w:before="240" w:after="240" w:line="360" w:lineRule="auto"/>
        <w:jc w:val="both"/>
        <w:rPr>
          <w:rFonts w:ascii="Palatino Linotype" w:eastAsia="Palatino Linotype" w:hAnsi="Palatino Linotype" w:cs="Palatino Linotype"/>
          <w:sz w:val="22"/>
          <w:szCs w:val="22"/>
        </w:rPr>
      </w:pPr>
      <w:bookmarkStart w:id="11" w:name="_heading=h.17dp8vu" w:colFirst="0" w:colLast="0"/>
      <w:bookmarkEnd w:id="11"/>
      <w:r w:rsidRPr="00F72CA0">
        <w:rPr>
          <w:rFonts w:ascii="Palatino Linotype" w:eastAsia="Palatino Linotype" w:hAnsi="Palatino Linotype" w:cs="Palatino Linotype"/>
          <w:b/>
          <w:sz w:val="22"/>
          <w:szCs w:val="22"/>
        </w:rPr>
        <w:t xml:space="preserve">Cuarto.  Notifíquese, </w:t>
      </w:r>
      <w:r w:rsidRPr="00F72CA0">
        <w:rPr>
          <w:rFonts w:ascii="Palatino Linotype" w:eastAsia="Palatino Linotype" w:hAnsi="Palatino Linotype" w:cs="Palatino Linotype"/>
          <w:sz w:val="22"/>
          <w:szCs w:val="22"/>
        </w:rPr>
        <w:t xml:space="preserve">vía </w:t>
      </w:r>
      <w:r w:rsidRPr="00F72CA0">
        <w:rPr>
          <w:rFonts w:ascii="Palatino Linotype" w:eastAsia="Palatino Linotype" w:hAnsi="Palatino Linotype" w:cs="Palatino Linotype"/>
          <w:b/>
          <w:sz w:val="22"/>
          <w:szCs w:val="22"/>
        </w:rPr>
        <w:t>SAIMEX</w:t>
      </w:r>
      <w:r w:rsidRPr="00F72CA0">
        <w:rPr>
          <w:rFonts w:ascii="Palatino Linotype" w:eastAsia="Palatino Linotype" w:hAnsi="Palatino Linotype" w:cs="Palatino Linotype"/>
          <w:sz w:val="22"/>
          <w:szCs w:val="22"/>
        </w:rPr>
        <w:t xml:space="preserve">, a la parte </w:t>
      </w:r>
      <w:r w:rsidRPr="00F72CA0">
        <w:rPr>
          <w:rFonts w:ascii="Palatino Linotype" w:eastAsia="Palatino Linotype" w:hAnsi="Palatino Linotype" w:cs="Palatino Linotype"/>
          <w:b/>
          <w:sz w:val="22"/>
          <w:szCs w:val="22"/>
        </w:rPr>
        <w:t>Recurrente</w:t>
      </w:r>
      <w:r w:rsidRPr="00F72CA0">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D598642" w14:textId="5B6A1B39" w:rsidR="00562A90" w:rsidRPr="00C26A97" w:rsidRDefault="0062255D">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2" w:name="_heading=h.lnxbz9" w:colFirst="0" w:colLast="0"/>
      <w:bookmarkEnd w:id="12"/>
      <w:r w:rsidRPr="00F72CA0">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26A97" w:rsidRPr="00F72CA0">
        <w:rPr>
          <w:rFonts w:ascii="Palatino Linotype" w:eastAsia="Palatino Linotype" w:hAnsi="Palatino Linotype" w:cs="Palatino Linotype"/>
          <w:sz w:val="22"/>
          <w:szCs w:val="22"/>
        </w:rPr>
        <w:t>PRIMERA</w:t>
      </w:r>
      <w:r w:rsidR="00425F35" w:rsidRPr="00F72CA0">
        <w:rPr>
          <w:rFonts w:ascii="Palatino Linotype" w:eastAsia="Palatino Linotype" w:hAnsi="Palatino Linotype" w:cs="Palatino Linotype"/>
          <w:sz w:val="22"/>
          <w:szCs w:val="22"/>
        </w:rPr>
        <w:t xml:space="preserve"> </w:t>
      </w:r>
      <w:r w:rsidRPr="00F72CA0">
        <w:rPr>
          <w:rFonts w:ascii="Palatino Linotype" w:eastAsia="Palatino Linotype" w:hAnsi="Palatino Linotype" w:cs="Palatino Linotype"/>
          <w:sz w:val="22"/>
          <w:szCs w:val="22"/>
        </w:rPr>
        <w:t xml:space="preserve">SESIÓN ORDINARIA CELEBRADA EL </w:t>
      </w:r>
      <w:r w:rsidR="00C26A97" w:rsidRPr="00F72CA0">
        <w:rPr>
          <w:rFonts w:ascii="Palatino Linotype" w:eastAsia="Palatino Linotype" w:hAnsi="Palatino Linotype" w:cs="Palatino Linotype"/>
          <w:sz w:val="22"/>
          <w:szCs w:val="22"/>
        </w:rPr>
        <w:t>CATORCE DE ENERO</w:t>
      </w:r>
      <w:r w:rsidR="00F72CA0" w:rsidRPr="00F72CA0">
        <w:rPr>
          <w:rFonts w:ascii="Palatino Linotype" w:eastAsia="Palatino Linotype" w:hAnsi="Palatino Linotype" w:cs="Palatino Linotype"/>
          <w:sz w:val="22"/>
          <w:szCs w:val="22"/>
        </w:rPr>
        <w:t xml:space="preserve"> DE DOS MIL VEINTISÉIS</w:t>
      </w:r>
      <w:r w:rsidRPr="00F72CA0">
        <w:rPr>
          <w:rFonts w:ascii="Palatino Linotype" w:eastAsia="Palatino Linotype" w:hAnsi="Palatino Linotype" w:cs="Palatino Linotype"/>
          <w:sz w:val="22"/>
          <w:szCs w:val="22"/>
        </w:rPr>
        <w:t>, ANTE EL SECRETARIO TÉCNICO DEL PLENO ALEXIS TAPIA RAMÍREZ.</w:t>
      </w:r>
    </w:p>
    <w:p w14:paraId="7E80776D"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21728E8E" w14:textId="77777777" w:rsidR="00562A90" w:rsidRPr="00C26A97" w:rsidRDefault="00562A90">
      <w:pPr>
        <w:spacing w:line="360" w:lineRule="auto"/>
        <w:jc w:val="center"/>
        <w:rPr>
          <w:rFonts w:ascii="Palatino Linotype" w:eastAsia="Palatino Linotype" w:hAnsi="Palatino Linotype" w:cs="Palatino Linotype"/>
          <w:sz w:val="22"/>
          <w:szCs w:val="22"/>
        </w:rPr>
      </w:pPr>
    </w:p>
    <w:p w14:paraId="42D39E19"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4B650DFB"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7ED63B69"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7BB21431"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79BD8F1D"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78283A5A"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3A538169"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30987695"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6409F902"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6DA2BB7C"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16FF6442"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5EB5F424"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056403D1"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68F30A44"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4EDDCC63"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2DF6CB35"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6FDE708A"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4390587E" w14:textId="77777777" w:rsidR="00562A90" w:rsidRPr="00C26A97" w:rsidRDefault="00562A90">
      <w:pPr>
        <w:spacing w:line="360" w:lineRule="auto"/>
        <w:jc w:val="both"/>
        <w:rPr>
          <w:rFonts w:ascii="Palatino Linotype" w:eastAsia="Palatino Linotype" w:hAnsi="Palatino Linotype" w:cs="Palatino Linotype"/>
          <w:sz w:val="22"/>
          <w:szCs w:val="22"/>
        </w:rPr>
      </w:pPr>
    </w:p>
    <w:p w14:paraId="5F867AD1" w14:textId="77777777" w:rsidR="00CD09AE" w:rsidRPr="00C26A97" w:rsidRDefault="00CD09AE">
      <w:pPr>
        <w:spacing w:line="360" w:lineRule="auto"/>
        <w:jc w:val="both"/>
        <w:rPr>
          <w:rFonts w:ascii="Palatino Linotype" w:eastAsia="Palatino Linotype" w:hAnsi="Palatino Linotype" w:cs="Palatino Linotype"/>
          <w:sz w:val="22"/>
          <w:szCs w:val="22"/>
        </w:rPr>
      </w:pPr>
    </w:p>
    <w:p w14:paraId="45229870" w14:textId="77777777" w:rsidR="00CD09AE" w:rsidRPr="00C26A97" w:rsidRDefault="00CD09AE">
      <w:pPr>
        <w:spacing w:line="360" w:lineRule="auto"/>
        <w:jc w:val="both"/>
        <w:rPr>
          <w:rFonts w:ascii="Palatino Linotype" w:eastAsia="Palatino Linotype" w:hAnsi="Palatino Linotype" w:cs="Palatino Linotype"/>
          <w:sz w:val="22"/>
          <w:szCs w:val="22"/>
        </w:rPr>
      </w:pPr>
    </w:p>
    <w:p w14:paraId="5B3EEBD5" w14:textId="77777777" w:rsidR="00CD09AE" w:rsidRPr="00C26A97" w:rsidRDefault="00CD09AE">
      <w:pPr>
        <w:spacing w:line="360" w:lineRule="auto"/>
        <w:jc w:val="both"/>
        <w:rPr>
          <w:rFonts w:ascii="Palatino Linotype" w:eastAsia="Palatino Linotype" w:hAnsi="Palatino Linotype" w:cs="Palatino Linotype"/>
          <w:sz w:val="22"/>
          <w:szCs w:val="22"/>
        </w:rPr>
      </w:pPr>
    </w:p>
    <w:sectPr w:rsidR="00CD09AE" w:rsidRPr="00C26A97">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B2D34" w14:textId="77777777" w:rsidR="00732FE5" w:rsidRDefault="00732FE5">
      <w:r>
        <w:separator/>
      </w:r>
    </w:p>
  </w:endnote>
  <w:endnote w:type="continuationSeparator" w:id="0">
    <w:p w14:paraId="381A9833" w14:textId="77777777" w:rsidR="00732FE5" w:rsidRDefault="00732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2E014" w14:textId="09AB9D4B" w:rsidR="00611C4A" w:rsidRDefault="00611C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12D6">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12D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49CB52A8" w14:textId="77777777" w:rsidR="00611C4A" w:rsidRDefault="00611C4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59AB5" w14:textId="58919A3C" w:rsidR="00611C4A" w:rsidRDefault="00611C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12D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12D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21ECF124" w14:textId="77777777" w:rsidR="00611C4A" w:rsidRDefault="00611C4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90657" w14:textId="77777777" w:rsidR="00732FE5" w:rsidRDefault="00732FE5">
      <w:r>
        <w:separator/>
      </w:r>
    </w:p>
  </w:footnote>
  <w:footnote w:type="continuationSeparator" w:id="0">
    <w:p w14:paraId="5514C950" w14:textId="77777777" w:rsidR="00732FE5" w:rsidRDefault="00732F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2AF42" w14:textId="77777777" w:rsidR="00611C4A" w:rsidRDefault="00611C4A">
    <w:pPr>
      <w:rPr>
        <w:rFonts w:ascii="Cambria" w:eastAsia="Cambria" w:hAnsi="Cambria" w:cs="Cambria"/>
        <w:color w:val="000000"/>
      </w:rPr>
    </w:pPr>
    <w:r>
      <w:rPr>
        <w:noProof/>
      </w:rPr>
      <w:drawing>
        <wp:anchor distT="0" distB="0" distL="0" distR="0" simplePos="0" relativeHeight="251658240" behindDoc="1" locked="0" layoutInCell="1" hidden="0" allowOverlap="1" wp14:anchorId="5A33C493" wp14:editId="0F090F1A">
          <wp:simplePos x="0" y="0"/>
          <wp:positionH relativeFrom="column">
            <wp:posOffset>-1080091</wp:posOffset>
          </wp:positionH>
          <wp:positionV relativeFrom="paragraph">
            <wp:posOffset>-488262</wp:posOffset>
          </wp:positionV>
          <wp:extent cx="7809865" cy="1016571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953" w:type="dxa"/>
      <w:tblInd w:w="3261" w:type="dxa"/>
      <w:tblLayout w:type="fixed"/>
      <w:tblLook w:val="0400" w:firstRow="0" w:lastRow="0" w:firstColumn="0" w:lastColumn="0" w:noHBand="0" w:noVBand="1"/>
    </w:tblPr>
    <w:tblGrid>
      <w:gridCol w:w="2489"/>
      <w:gridCol w:w="3464"/>
    </w:tblGrid>
    <w:tr w:rsidR="00611C4A" w14:paraId="4679E995" w14:textId="77777777">
      <w:tc>
        <w:tcPr>
          <w:tcW w:w="2489" w:type="dxa"/>
        </w:tcPr>
        <w:p w14:paraId="1CBA62BA" w14:textId="77777777" w:rsidR="00611C4A" w:rsidRDefault="00611C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356A34D7" w14:textId="4122BA94" w:rsidR="00611C4A" w:rsidRDefault="00611C4A" w:rsidP="00016E2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10879/INFOEM/IP/RR/2025</w:t>
          </w:r>
        </w:p>
      </w:tc>
    </w:tr>
    <w:tr w:rsidR="00611C4A" w14:paraId="6CFA67DE" w14:textId="77777777">
      <w:trPr>
        <w:trHeight w:val="228"/>
      </w:trPr>
      <w:tc>
        <w:tcPr>
          <w:tcW w:w="2489" w:type="dxa"/>
          <w:vAlign w:val="center"/>
        </w:tcPr>
        <w:p w14:paraId="4E02CBED" w14:textId="77777777" w:rsidR="00611C4A" w:rsidRDefault="00611C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C5611EC" w14:textId="358419A1" w:rsidR="00611C4A" w:rsidRDefault="00611C4A">
          <w:pPr>
            <w:ind w:left="-45" w:right="176"/>
            <w:jc w:val="both"/>
            <w:rPr>
              <w:rFonts w:ascii="Palatino Linotype" w:eastAsia="Palatino Linotype" w:hAnsi="Palatino Linotype" w:cs="Palatino Linotype"/>
              <w:b/>
              <w:sz w:val="22"/>
              <w:szCs w:val="22"/>
            </w:rPr>
          </w:pPr>
          <w:r w:rsidRPr="00016E26">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p>
      </w:tc>
    </w:tr>
    <w:tr w:rsidR="00611C4A" w14:paraId="6FF09322" w14:textId="77777777">
      <w:tc>
        <w:tcPr>
          <w:tcW w:w="2489" w:type="dxa"/>
          <w:vAlign w:val="center"/>
        </w:tcPr>
        <w:p w14:paraId="5D6FA762" w14:textId="77777777" w:rsidR="00611C4A" w:rsidRDefault="00611C4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1F753EA2" w14:textId="77777777" w:rsidR="00611C4A" w:rsidRDefault="00611C4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4967B9" w14:textId="77777777" w:rsidR="00611C4A" w:rsidRDefault="00611C4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D5ECA" w14:textId="77777777" w:rsidR="00611C4A" w:rsidRDefault="00611C4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9951343" wp14:editId="1710E1BC">
          <wp:simplePos x="0" y="0"/>
          <wp:positionH relativeFrom="column">
            <wp:posOffset>-1080134</wp:posOffset>
          </wp:positionH>
          <wp:positionV relativeFrom="paragraph">
            <wp:posOffset>-369892</wp:posOffset>
          </wp:positionV>
          <wp:extent cx="7809865" cy="1016571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953" w:type="dxa"/>
      <w:tblInd w:w="3261" w:type="dxa"/>
      <w:tblLayout w:type="fixed"/>
      <w:tblLook w:val="0400" w:firstRow="0" w:lastRow="0" w:firstColumn="0" w:lastColumn="0" w:noHBand="0" w:noVBand="1"/>
    </w:tblPr>
    <w:tblGrid>
      <w:gridCol w:w="2489"/>
      <w:gridCol w:w="3464"/>
    </w:tblGrid>
    <w:tr w:rsidR="00611C4A" w14:paraId="0800C61A" w14:textId="77777777">
      <w:tc>
        <w:tcPr>
          <w:tcW w:w="2489" w:type="dxa"/>
        </w:tcPr>
        <w:p w14:paraId="45AA4645" w14:textId="77777777" w:rsidR="00611C4A" w:rsidRDefault="00611C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3056AB92" w14:textId="0434D856" w:rsidR="00611C4A" w:rsidRDefault="00611C4A" w:rsidP="00016E2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10879/INFOEM/IP/RR/2025</w:t>
          </w:r>
        </w:p>
      </w:tc>
    </w:tr>
    <w:tr w:rsidR="00611C4A" w14:paraId="62298F76" w14:textId="77777777">
      <w:tc>
        <w:tcPr>
          <w:tcW w:w="2489" w:type="dxa"/>
        </w:tcPr>
        <w:p w14:paraId="20BC808E" w14:textId="77777777" w:rsidR="00611C4A" w:rsidRDefault="00611C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7A9C8865" w14:textId="58C0EB2C" w:rsidR="00611C4A" w:rsidRPr="00606C35" w:rsidRDefault="002612D6" w:rsidP="002612D6">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 xml:space="preserve">XXXX XXXXXXXX XXXXXXX </w:t>
          </w:r>
        </w:p>
      </w:tc>
    </w:tr>
    <w:tr w:rsidR="00611C4A" w14:paraId="356DF698" w14:textId="77777777">
      <w:trPr>
        <w:trHeight w:val="228"/>
      </w:trPr>
      <w:tc>
        <w:tcPr>
          <w:tcW w:w="2489" w:type="dxa"/>
          <w:vAlign w:val="center"/>
        </w:tcPr>
        <w:p w14:paraId="6F719CF9" w14:textId="77777777" w:rsidR="00611C4A" w:rsidRDefault="00611C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49FE701" w14:textId="27DF4CEA" w:rsidR="00611C4A" w:rsidRDefault="00611C4A">
          <w:pPr>
            <w:ind w:left="-45" w:right="176"/>
            <w:jc w:val="both"/>
            <w:rPr>
              <w:rFonts w:ascii="Palatino Linotype" w:eastAsia="Palatino Linotype" w:hAnsi="Palatino Linotype" w:cs="Palatino Linotype"/>
              <w:b/>
              <w:sz w:val="22"/>
              <w:szCs w:val="22"/>
            </w:rPr>
          </w:pPr>
          <w:r w:rsidRPr="00016E26">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p>
      </w:tc>
    </w:tr>
    <w:tr w:rsidR="00611C4A" w14:paraId="70857C53" w14:textId="77777777">
      <w:tc>
        <w:tcPr>
          <w:tcW w:w="2489" w:type="dxa"/>
          <w:vAlign w:val="center"/>
        </w:tcPr>
        <w:p w14:paraId="5699E7FB" w14:textId="77777777" w:rsidR="00611C4A" w:rsidRDefault="00611C4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69655BF4" w14:textId="77777777" w:rsidR="00611C4A" w:rsidRDefault="00611C4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FF7071" w14:textId="77777777" w:rsidR="00611C4A" w:rsidRDefault="00611C4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E1E8B"/>
    <w:multiLevelType w:val="multilevel"/>
    <w:tmpl w:val="C9264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A915B4D"/>
    <w:multiLevelType w:val="multilevel"/>
    <w:tmpl w:val="DFECD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084782"/>
    <w:multiLevelType w:val="hybridMultilevel"/>
    <w:tmpl w:val="6A5CB0CE"/>
    <w:lvl w:ilvl="0" w:tplc="783622CA">
      <w:start w:val="1"/>
      <w:numFmt w:val="decimal"/>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2BFA62C2"/>
    <w:multiLevelType w:val="multilevel"/>
    <w:tmpl w:val="DCC8885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526C364D"/>
    <w:multiLevelType w:val="hybridMultilevel"/>
    <w:tmpl w:val="7B608ACC"/>
    <w:lvl w:ilvl="0" w:tplc="F676A41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9A655F"/>
    <w:multiLevelType w:val="multilevel"/>
    <w:tmpl w:val="5DBC5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E1354D"/>
    <w:multiLevelType w:val="multilevel"/>
    <w:tmpl w:val="0270FEBC"/>
    <w:lvl w:ilvl="0">
      <w:start w:val="1"/>
      <w:numFmt w:val="bullet"/>
      <w:lvlText w:val="-"/>
      <w:lvlJc w:val="left"/>
      <w:pPr>
        <w:ind w:left="3195" w:hanging="359"/>
      </w:pPr>
      <w:rPr>
        <w:rFonts w:ascii="Palatino Linotype" w:eastAsia="Palatino Linotype" w:hAnsi="Palatino Linotype" w:cs="Palatino Linotype"/>
      </w:rPr>
    </w:lvl>
    <w:lvl w:ilvl="1">
      <w:start w:val="1"/>
      <w:numFmt w:val="bullet"/>
      <w:lvlText w:val="o"/>
      <w:lvlJc w:val="left"/>
      <w:pPr>
        <w:ind w:left="3915" w:hanging="360"/>
      </w:pPr>
      <w:rPr>
        <w:rFonts w:ascii="Courier New" w:eastAsia="Courier New" w:hAnsi="Courier New" w:cs="Courier New"/>
      </w:rPr>
    </w:lvl>
    <w:lvl w:ilvl="2">
      <w:start w:val="1"/>
      <w:numFmt w:val="bullet"/>
      <w:lvlText w:val="▪"/>
      <w:lvlJc w:val="left"/>
      <w:pPr>
        <w:ind w:left="4635" w:hanging="360"/>
      </w:pPr>
      <w:rPr>
        <w:rFonts w:ascii="Noto Sans Symbols" w:eastAsia="Noto Sans Symbols" w:hAnsi="Noto Sans Symbols" w:cs="Noto Sans Symbols"/>
      </w:rPr>
    </w:lvl>
    <w:lvl w:ilvl="3">
      <w:start w:val="1"/>
      <w:numFmt w:val="bullet"/>
      <w:lvlText w:val="●"/>
      <w:lvlJc w:val="left"/>
      <w:pPr>
        <w:ind w:left="5355" w:hanging="360"/>
      </w:pPr>
      <w:rPr>
        <w:rFonts w:ascii="Noto Sans Symbols" w:eastAsia="Noto Sans Symbols" w:hAnsi="Noto Sans Symbols" w:cs="Noto Sans Symbols"/>
      </w:rPr>
    </w:lvl>
    <w:lvl w:ilvl="4">
      <w:start w:val="1"/>
      <w:numFmt w:val="bullet"/>
      <w:lvlText w:val="o"/>
      <w:lvlJc w:val="left"/>
      <w:pPr>
        <w:ind w:left="6075" w:hanging="360"/>
      </w:pPr>
      <w:rPr>
        <w:rFonts w:ascii="Courier New" w:eastAsia="Courier New" w:hAnsi="Courier New" w:cs="Courier New"/>
      </w:rPr>
    </w:lvl>
    <w:lvl w:ilvl="5">
      <w:start w:val="1"/>
      <w:numFmt w:val="bullet"/>
      <w:lvlText w:val="▪"/>
      <w:lvlJc w:val="left"/>
      <w:pPr>
        <w:ind w:left="6795" w:hanging="360"/>
      </w:pPr>
      <w:rPr>
        <w:rFonts w:ascii="Noto Sans Symbols" w:eastAsia="Noto Sans Symbols" w:hAnsi="Noto Sans Symbols" w:cs="Noto Sans Symbols"/>
      </w:rPr>
    </w:lvl>
    <w:lvl w:ilvl="6">
      <w:start w:val="1"/>
      <w:numFmt w:val="bullet"/>
      <w:lvlText w:val="●"/>
      <w:lvlJc w:val="left"/>
      <w:pPr>
        <w:ind w:left="7515" w:hanging="360"/>
      </w:pPr>
      <w:rPr>
        <w:rFonts w:ascii="Noto Sans Symbols" w:eastAsia="Noto Sans Symbols" w:hAnsi="Noto Sans Symbols" w:cs="Noto Sans Symbols"/>
      </w:rPr>
    </w:lvl>
    <w:lvl w:ilvl="7">
      <w:start w:val="1"/>
      <w:numFmt w:val="bullet"/>
      <w:lvlText w:val="o"/>
      <w:lvlJc w:val="left"/>
      <w:pPr>
        <w:ind w:left="8235" w:hanging="360"/>
      </w:pPr>
      <w:rPr>
        <w:rFonts w:ascii="Courier New" w:eastAsia="Courier New" w:hAnsi="Courier New" w:cs="Courier New"/>
      </w:rPr>
    </w:lvl>
    <w:lvl w:ilvl="8">
      <w:start w:val="1"/>
      <w:numFmt w:val="bullet"/>
      <w:lvlText w:val="▪"/>
      <w:lvlJc w:val="left"/>
      <w:pPr>
        <w:ind w:left="8955" w:hanging="360"/>
      </w:pPr>
      <w:rPr>
        <w:rFonts w:ascii="Noto Sans Symbols" w:eastAsia="Noto Sans Symbols" w:hAnsi="Noto Sans Symbols" w:cs="Noto Sans Symbols"/>
      </w:rPr>
    </w:lvl>
  </w:abstractNum>
  <w:num w:numId="1">
    <w:abstractNumId w:val="4"/>
  </w:num>
  <w:num w:numId="2">
    <w:abstractNumId w:val="3"/>
  </w:num>
  <w:num w:numId="3">
    <w:abstractNumId w:val="1"/>
  </w:num>
  <w:num w:numId="4">
    <w:abstractNumId w:val="6"/>
  </w:num>
  <w:num w:numId="5">
    <w:abstractNumId w:val="7"/>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A90"/>
    <w:rsid w:val="00007B60"/>
    <w:rsid w:val="0001097C"/>
    <w:rsid w:val="00016E26"/>
    <w:rsid w:val="0002069B"/>
    <w:rsid w:val="00024E98"/>
    <w:rsid w:val="000301F3"/>
    <w:rsid w:val="000427D6"/>
    <w:rsid w:val="00042B5C"/>
    <w:rsid w:val="00044464"/>
    <w:rsid w:val="000477B0"/>
    <w:rsid w:val="00056BCC"/>
    <w:rsid w:val="00057964"/>
    <w:rsid w:val="0007137F"/>
    <w:rsid w:val="00080D86"/>
    <w:rsid w:val="00080F70"/>
    <w:rsid w:val="00082489"/>
    <w:rsid w:val="000A48FE"/>
    <w:rsid w:val="000B3672"/>
    <w:rsid w:val="000B73B6"/>
    <w:rsid w:val="000C2629"/>
    <w:rsid w:val="000D6DE3"/>
    <w:rsid w:val="000E700F"/>
    <w:rsid w:val="000F7088"/>
    <w:rsid w:val="001050DE"/>
    <w:rsid w:val="001062CC"/>
    <w:rsid w:val="001128C8"/>
    <w:rsid w:val="00116DA6"/>
    <w:rsid w:val="00117A90"/>
    <w:rsid w:val="0012179F"/>
    <w:rsid w:val="00123D9A"/>
    <w:rsid w:val="00142B50"/>
    <w:rsid w:val="00145E45"/>
    <w:rsid w:val="0015439E"/>
    <w:rsid w:val="00163A18"/>
    <w:rsid w:val="00172883"/>
    <w:rsid w:val="0017486E"/>
    <w:rsid w:val="001772A1"/>
    <w:rsid w:val="00177FD6"/>
    <w:rsid w:val="00193AE1"/>
    <w:rsid w:val="00195067"/>
    <w:rsid w:val="00196087"/>
    <w:rsid w:val="0019691D"/>
    <w:rsid w:val="00197136"/>
    <w:rsid w:val="001A41F7"/>
    <w:rsid w:val="001A60C5"/>
    <w:rsid w:val="001B0D75"/>
    <w:rsid w:val="001E2948"/>
    <w:rsid w:val="001E76A9"/>
    <w:rsid w:val="001F1281"/>
    <w:rsid w:val="00227EDF"/>
    <w:rsid w:val="002305F2"/>
    <w:rsid w:val="00252EAE"/>
    <w:rsid w:val="00257D93"/>
    <w:rsid w:val="002612D6"/>
    <w:rsid w:val="002733D6"/>
    <w:rsid w:val="00273FF8"/>
    <w:rsid w:val="00277C5E"/>
    <w:rsid w:val="00285C22"/>
    <w:rsid w:val="00286DF8"/>
    <w:rsid w:val="002905AC"/>
    <w:rsid w:val="00290CED"/>
    <w:rsid w:val="00291E03"/>
    <w:rsid w:val="002926A3"/>
    <w:rsid w:val="002929C0"/>
    <w:rsid w:val="0029329E"/>
    <w:rsid w:val="002B3CD9"/>
    <w:rsid w:val="002B4E65"/>
    <w:rsid w:val="002C4768"/>
    <w:rsid w:val="002C71C1"/>
    <w:rsid w:val="002D1845"/>
    <w:rsid w:val="002E233E"/>
    <w:rsid w:val="002F0D5B"/>
    <w:rsid w:val="002F1DF9"/>
    <w:rsid w:val="00316C2A"/>
    <w:rsid w:val="0032051B"/>
    <w:rsid w:val="00323E61"/>
    <w:rsid w:val="00331EE8"/>
    <w:rsid w:val="00332040"/>
    <w:rsid w:val="003366B5"/>
    <w:rsid w:val="00336B49"/>
    <w:rsid w:val="00337D82"/>
    <w:rsid w:val="00343411"/>
    <w:rsid w:val="003441C4"/>
    <w:rsid w:val="0034706E"/>
    <w:rsid w:val="003637C7"/>
    <w:rsid w:val="00365716"/>
    <w:rsid w:val="003659A8"/>
    <w:rsid w:val="003705B7"/>
    <w:rsid w:val="00370D9C"/>
    <w:rsid w:val="00381A61"/>
    <w:rsid w:val="00381B66"/>
    <w:rsid w:val="00383558"/>
    <w:rsid w:val="003846F2"/>
    <w:rsid w:val="0038512D"/>
    <w:rsid w:val="003A0AEB"/>
    <w:rsid w:val="003A3BA9"/>
    <w:rsid w:val="003A5391"/>
    <w:rsid w:val="003B3D17"/>
    <w:rsid w:val="003B453E"/>
    <w:rsid w:val="003C2C96"/>
    <w:rsid w:val="003C6AE1"/>
    <w:rsid w:val="003C71C4"/>
    <w:rsid w:val="003D2176"/>
    <w:rsid w:val="003D5BB6"/>
    <w:rsid w:val="003D68F4"/>
    <w:rsid w:val="003E1AAB"/>
    <w:rsid w:val="003E43DE"/>
    <w:rsid w:val="003E764C"/>
    <w:rsid w:val="0040335D"/>
    <w:rsid w:val="0040394B"/>
    <w:rsid w:val="00425F35"/>
    <w:rsid w:val="00442099"/>
    <w:rsid w:val="00445C80"/>
    <w:rsid w:val="00446A9F"/>
    <w:rsid w:val="00447DB1"/>
    <w:rsid w:val="00447FC0"/>
    <w:rsid w:val="0045092C"/>
    <w:rsid w:val="00453D2A"/>
    <w:rsid w:val="00464621"/>
    <w:rsid w:val="00481FE9"/>
    <w:rsid w:val="00482F68"/>
    <w:rsid w:val="0048548C"/>
    <w:rsid w:val="004864B2"/>
    <w:rsid w:val="004918B1"/>
    <w:rsid w:val="004A01CE"/>
    <w:rsid w:val="004A5F1A"/>
    <w:rsid w:val="004B105A"/>
    <w:rsid w:val="004B31C3"/>
    <w:rsid w:val="004B50C3"/>
    <w:rsid w:val="004E07A1"/>
    <w:rsid w:val="004E3F9B"/>
    <w:rsid w:val="004E4C62"/>
    <w:rsid w:val="004E4E0D"/>
    <w:rsid w:val="004F017B"/>
    <w:rsid w:val="004F3270"/>
    <w:rsid w:val="004F3F24"/>
    <w:rsid w:val="004F7818"/>
    <w:rsid w:val="00503188"/>
    <w:rsid w:val="00503745"/>
    <w:rsid w:val="005039C8"/>
    <w:rsid w:val="0051150E"/>
    <w:rsid w:val="00512DC5"/>
    <w:rsid w:val="00520D54"/>
    <w:rsid w:val="00531B5E"/>
    <w:rsid w:val="005375DC"/>
    <w:rsid w:val="005504B5"/>
    <w:rsid w:val="00554CDE"/>
    <w:rsid w:val="00560092"/>
    <w:rsid w:val="00561B43"/>
    <w:rsid w:val="005626F7"/>
    <w:rsid w:val="00562A90"/>
    <w:rsid w:val="0056342B"/>
    <w:rsid w:val="005725CD"/>
    <w:rsid w:val="005759CD"/>
    <w:rsid w:val="00585B4C"/>
    <w:rsid w:val="005867AF"/>
    <w:rsid w:val="00593F06"/>
    <w:rsid w:val="005A5876"/>
    <w:rsid w:val="005C40B8"/>
    <w:rsid w:val="005D0945"/>
    <w:rsid w:val="005D261D"/>
    <w:rsid w:val="005D2646"/>
    <w:rsid w:val="005D5307"/>
    <w:rsid w:val="005D5DC9"/>
    <w:rsid w:val="005D7519"/>
    <w:rsid w:val="005F0996"/>
    <w:rsid w:val="005F5898"/>
    <w:rsid w:val="005F5F2E"/>
    <w:rsid w:val="006014E6"/>
    <w:rsid w:val="00602A56"/>
    <w:rsid w:val="006035E6"/>
    <w:rsid w:val="00606953"/>
    <w:rsid w:val="00606C35"/>
    <w:rsid w:val="00611C4A"/>
    <w:rsid w:val="00621F2F"/>
    <w:rsid w:val="0062255D"/>
    <w:rsid w:val="00625B99"/>
    <w:rsid w:val="00630B2A"/>
    <w:rsid w:val="006339DE"/>
    <w:rsid w:val="006341A1"/>
    <w:rsid w:val="00634D1C"/>
    <w:rsid w:val="006422BD"/>
    <w:rsid w:val="00643AD3"/>
    <w:rsid w:val="006525F8"/>
    <w:rsid w:val="00652E8E"/>
    <w:rsid w:val="00656465"/>
    <w:rsid w:val="00660BE7"/>
    <w:rsid w:val="006653FA"/>
    <w:rsid w:val="0067401E"/>
    <w:rsid w:val="00675BA6"/>
    <w:rsid w:val="00680BBB"/>
    <w:rsid w:val="00685FA0"/>
    <w:rsid w:val="0068770D"/>
    <w:rsid w:val="00690386"/>
    <w:rsid w:val="00691286"/>
    <w:rsid w:val="006B3E15"/>
    <w:rsid w:val="006B7FBA"/>
    <w:rsid w:val="006C1457"/>
    <w:rsid w:val="006D08E6"/>
    <w:rsid w:val="006D7A13"/>
    <w:rsid w:val="006E1160"/>
    <w:rsid w:val="006E1F52"/>
    <w:rsid w:val="006E4FFF"/>
    <w:rsid w:val="0070132B"/>
    <w:rsid w:val="007014FE"/>
    <w:rsid w:val="00701A9C"/>
    <w:rsid w:val="0071417D"/>
    <w:rsid w:val="007146B1"/>
    <w:rsid w:val="007169CC"/>
    <w:rsid w:val="00725A92"/>
    <w:rsid w:val="007271E9"/>
    <w:rsid w:val="00732FE5"/>
    <w:rsid w:val="00736B85"/>
    <w:rsid w:val="00736F00"/>
    <w:rsid w:val="00745EE8"/>
    <w:rsid w:val="0075193B"/>
    <w:rsid w:val="00754910"/>
    <w:rsid w:val="007610BD"/>
    <w:rsid w:val="0076666E"/>
    <w:rsid w:val="0076674E"/>
    <w:rsid w:val="00776DCE"/>
    <w:rsid w:val="00780601"/>
    <w:rsid w:val="00792513"/>
    <w:rsid w:val="007A1919"/>
    <w:rsid w:val="007A1E0D"/>
    <w:rsid w:val="007A57B6"/>
    <w:rsid w:val="007B46BD"/>
    <w:rsid w:val="007C51FC"/>
    <w:rsid w:val="007C556D"/>
    <w:rsid w:val="007C7BBE"/>
    <w:rsid w:val="007D1B31"/>
    <w:rsid w:val="007E0A49"/>
    <w:rsid w:val="007F1E1C"/>
    <w:rsid w:val="00801532"/>
    <w:rsid w:val="00802B29"/>
    <w:rsid w:val="00804C97"/>
    <w:rsid w:val="00817D68"/>
    <w:rsid w:val="008203F2"/>
    <w:rsid w:val="00835BDB"/>
    <w:rsid w:val="00835E7D"/>
    <w:rsid w:val="00836233"/>
    <w:rsid w:val="008525DE"/>
    <w:rsid w:val="00856962"/>
    <w:rsid w:val="00866013"/>
    <w:rsid w:val="008715C7"/>
    <w:rsid w:val="0087690A"/>
    <w:rsid w:val="00877B8B"/>
    <w:rsid w:val="0088183C"/>
    <w:rsid w:val="00885D6D"/>
    <w:rsid w:val="008A065E"/>
    <w:rsid w:val="008A13FF"/>
    <w:rsid w:val="008A7390"/>
    <w:rsid w:val="008A7B4A"/>
    <w:rsid w:val="008B0B99"/>
    <w:rsid w:val="008B686C"/>
    <w:rsid w:val="008C0285"/>
    <w:rsid w:val="008C3AAF"/>
    <w:rsid w:val="008C5299"/>
    <w:rsid w:val="008D3666"/>
    <w:rsid w:val="008D52CE"/>
    <w:rsid w:val="008D5E7B"/>
    <w:rsid w:val="00904214"/>
    <w:rsid w:val="00904E27"/>
    <w:rsid w:val="009124A3"/>
    <w:rsid w:val="00920130"/>
    <w:rsid w:val="00921BA8"/>
    <w:rsid w:val="00923B69"/>
    <w:rsid w:val="00934D15"/>
    <w:rsid w:val="009374BB"/>
    <w:rsid w:val="00940C41"/>
    <w:rsid w:val="009544B1"/>
    <w:rsid w:val="00955078"/>
    <w:rsid w:val="00957E45"/>
    <w:rsid w:val="00962C60"/>
    <w:rsid w:val="009702EC"/>
    <w:rsid w:val="00971AD4"/>
    <w:rsid w:val="00971F18"/>
    <w:rsid w:val="00972387"/>
    <w:rsid w:val="009731A8"/>
    <w:rsid w:val="00974192"/>
    <w:rsid w:val="00974B1D"/>
    <w:rsid w:val="00985285"/>
    <w:rsid w:val="009924A9"/>
    <w:rsid w:val="00992890"/>
    <w:rsid w:val="009A0DF3"/>
    <w:rsid w:val="009A6CA6"/>
    <w:rsid w:val="009B47F1"/>
    <w:rsid w:val="009B7ACC"/>
    <w:rsid w:val="009C1089"/>
    <w:rsid w:val="009C557D"/>
    <w:rsid w:val="009D40BF"/>
    <w:rsid w:val="009E66E4"/>
    <w:rsid w:val="009E7EAF"/>
    <w:rsid w:val="009F387F"/>
    <w:rsid w:val="009F66A2"/>
    <w:rsid w:val="009F704A"/>
    <w:rsid w:val="00A003FF"/>
    <w:rsid w:val="00A00FA7"/>
    <w:rsid w:val="00A0520F"/>
    <w:rsid w:val="00A211BA"/>
    <w:rsid w:val="00A21B6E"/>
    <w:rsid w:val="00A240D6"/>
    <w:rsid w:val="00A332E5"/>
    <w:rsid w:val="00A43F2F"/>
    <w:rsid w:val="00A4550B"/>
    <w:rsid w:val="00A56BC6"/>
    <w:rsid w:val="00A63029"/>
    <w:rsid w:val="00A76C70"/>
    <w:rsid w:val="00A8219B"/>
    <w:rsid w:val="00A84BFD"/>
    <w:rsid w:val="00A86924"/>
    <w:rsid w:val="00A878CB"/>
    <w:rsid w:val="00AB07A5"/>
    <w:rsid w:val="00AB2069"/>
    <w:rsid w:val="00AC6FF0"/>
    <w:rsid w:val="00AE2F40"/>
    <w:rsid w:val="00AE4EEE"/>
    <w:rsid w:val="00AF03E6"/>
    <w:rsid w:val="00AF0A6C"/>
    <w:rsid w:val="00AF3F55"/>
    <w:rsid w:val="00AF51BA"/>
    <w:rsid w:val="00AF5220"/>
    <w:rsid w:val="00B163DC"/>
    <w:rsid w:val="00B20319"/>
    <w:rsid w:val="00B331A7"/>
    <w:rsid w:val="00B35DED"/>
    <w:rsid w:val="00B42DC6"/>
    <w:rsid w:val="00B506C5"/>
    <w:rsid w:val="00B51D4D"/>
    <w:rsid w:val="00B63CDB"/>
    <w:rsid w:val="00B767CD"/>
    <w:rsid w:val="00B84F30"/>
    <w:rsid w:val="00B90458"/>
    <w:rsid w:val="00B906D5"/>
    <w:rsid w:val="00BA35E4"/>
    <w:rsid w:val="00BA39B7"/>
    <w:rsid w:val="00BA61EA"/>
    <w:rsid w:val="00BB55AD"/>
    <w:rsid w:val="00BC4A18"/>
    <w:rsid w:val="00BD56A8"/>
    <w:rsid w:val="00BD5CEC"/>
    <w:rsid w:val="00BE3ACA"/>
    <w:rsid w:val="00BF1DE2"/>
    <w:rsid w:val="00BF57BE"/>
    <w:rsid w:val="00C018C9"/>
    <w:rsid w:val="00C03654"/>
    <w:rsid w:val="00C07864"/>
    <w:rsid w:val="00C11552"/>
    <w:rsid w:val="00C13F03"/>
    <w:rsid w:val="00C1737F"/>
    <w:rsid w:val="00C26A97"/>
    <w:rsid w:val="00C3322F"/>
    <w:rsid w:val="00C41418"/>
    <w:rsid w:val="00C42014"/>
    <w:rsid w:val="00C42D18"/>
    <w:rsid w:val="00C43492"/>
    <w:rsid w:val="00C43D28"/>
    <w:rsid w:val="00C4409A"/>
    <w:rsid w:val="00C52BF5"/>
    <w:rsid w:val="00C602CE"/>
    <w:rsid w:val="00C715CA"/>
    <w:rsid w:val="00C754EE"/>
    <w:rsid w:val="00C8383A"/>
    <w:rsid w:val="00C90DA2"/>
    <w:rsid w:val="00C91D47"/>
    <w:rsid w:val="00C93C73"/>
    <w:rsid w:val="00C97E1B"/>
    <w:rsid w:val="00CA1F90"/>
    <w:rsid w:val="00CA4193"/>
    <w:rsid w:val="00CA763A"/>
    <w:rsid w:val="00CB0F0E"/>
    <w:rsid w:val="00CB575B"/>
    <w:rsid w:val="00CB6CDB"/>
    <w:rsid w:val="00CD09AE"/>
    <w:rsid w:val="00CD41CF"/>
    <w:rsid w:val="00CF49DF"/>
    <w:rsid w:val="00D00489"/>
    <w:rsid w:val="00D03477"/>
    <w:rsid w:val="00D05004"/>
    <w:rsid w:val="00D20443"/>
    <w:rsid w:val="00D276A6"/>
    <w:rsid w:val="00D35F60"/>
    <w:rsid w:val="00D36FFF"/>
    <w:rsid w:val="00D4252D"/>
    <w:rsid w:val="00D5007D"/>
    <w:rsid w:val="00D54429"/>
    <w:rsid w:val="00D70645"/>
    <w:rsid w:val="00D73336"/>
    <w:rsid w:val="00D741C6"/>
    <w:rsid w:val="00D800D2"/>
    <w:rsid w:val="00DA16F6"/>
    <w:rsid w:val="00DA2EBC"/>
    <w:rsid w:val="00DB3A94"/>
    <w:rsid w:val="00DB5B9D"/>
    <w:rsid w:val="00DB7EEE"/>
    <w:rsid w:val="00DC246F"/>
    <w:rsid w:val="00DC662E"/>
    <w:rsid w:val="00DC69BC"/>
    <w:rsid w:val="00DD1979"/>
    <w:rsid w:val="00DD773C"/>
    <w:rsid w:val="00DE191D"/>
    <w:rsid w:val="00DE1FB1"/>
    <w:rsid w:val="00DE3527"/>
    <w:rsid w:val="00DF0C0B"/>
    <w:rsid w:val="00DF5DA7"/>
    <w:rsid w:val="00DF5E2A"/>
    <w:rsid w:val="00E15A1A"/>
    <w:rsid w:val="00E15DF2"/>
    <w:rsid w:val="00E2174F"/>
    <w:rsid w:val="00E34062"/>
    <w:rsid w:val="00E35449"/>
    <w:rsid w:val="00E55C63"/>
    <w:rsid w:val="00E55F9B"/>
    <w:rsid w:val="00E669EA"/>
    <w:rsid w:val="00E6787E"/>
    <w:rsid w:val="00E70382"/>
    <w:rsid w:val="00E715FC"/>
    <w:rsid w:val="00E748EC"/>
    <w:rsid w:val="00E80390"/>
    <w:rsid w:val="00E85496"/>
    <w:rsid w:val="00E904FD"/>
    <w:rsid w:val="00E9255D"/>
    <w:rsid w:val="00EA3726"/>
    <w:rsid w:val="00EB0315"/>
    <w:rsid w:val="00EB0F34"/>
    <w:rsid w:val="00EC3036"/>
    <w:rsid w:val="00EC4146"/>
    <w:rsid w:val="00ED0825"/>
    <w:rsid w:val="00ED30A5"/>
    <w:rsid w:val="00ED47F2"/>
    <w:rsid w:val="00EF0D72"/>
    <w:rsid w:val="00EF5073"/>
    <w:rsid w:val="00EF6EA6"/>
    <w:rsid w:val="00F013DA"/>
    <w:rsid w:val="00F07312"/>
    <w:rsid w:val="00F14BC9"/>
    <w:rsid w:val="00F16F95"/>
    <w:rsid w:val="00F2456A"/>
    <w:rsid w:val="00F31CEB"/>
    <w:rsid w:val="00F34997"/>
    <w:rsid w:val="00F4372C"/>
    <w:rsid w:val="00F456A7"/>
    <w:rsid w:val="00F550B5"/>
    <w:rsid w:val="00F6238C"/>
    <w:rsid w:val="00F62803"/>
    <w:rsid w:val="00F64878"/>
    <w:rsid w:val="00F65DCF"/>
    <w:rsid w:val="00F6604C"/>
    <w:rsid w:val="00F72CA0"/>
    <w:rsid w:val="00F83945"/>
    <w:rsid w:val="00F8454B"/>
    <w:rsid w:val="00F84D2C"/>
    <w:rsid w:val="00F84EDF"/>
    <w:rsid w:val="00F866FE"/>
    <w:rsid w:val="00F86742"/>
    <w:rsid w:val="00F8691F"/>
    <w:rsid w:val="00F87495"/>
    <w:rsid w:val="00F9355A"/>
    <w:rsid w:val="00F952FA"/>
    <w:rsid w:val="00FA1BC1"/>
    <w:rsid w:val="00FB3D2C"/>
    <w:rsid w:val="00FD0ED3"/>
    <w:rsid w:val="00FD60CA"/>
    <w:rsid w:val="00FF0C43"/>
    <w:rsid w:val="00FF2516"/>
    <w:rsid w:val="00FF3183"/>
    <w:rsid w:val="00FF63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18B14"/>
  <w15:docId w15:val="{416C2562-28EE-4A6C-AC10-AB1C5EB5F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229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LwJaCJCy7O9JGy830EkbZ7Q/Jg==">CgMxLjAyCWguM3JkY3JqbjIOaC5kYWozajJ4bzZxNjYyCGguZ2pkZ3hzMgloLjNkeTZ2a20yCWguMzBqMHpsbDIJaC4yczhleW8xMghoLnR5amN3dDIJaC4yZXQ5MnAwMg5oLmgydzd1eXAyZDU5YjIJaC4xdDNoNXNmMgloLjFmb2I5dGUyDmguaG56eHNjaDVneXN6Mg5oLm90M3FxNnZ4YTA4ZjIIaC5sbnhiejk4AHIhMUFJNmZEOE5kY3VESlVnRFJaeWo0bThuWmExSndnbU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5688</Words>
  <Characters>31289</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2026-01-15T18:38:00Z</cp:lastPrinted>
  <dcterms:created xsi:type="dcterms:W3CDTF">2026-03-18T18:36:00Z</dcterms:created>
  <dcterms:modified xsi:type="dcterms:W3CDTF">2026-03-18T18:36:00Z</dcterms:modified>
</cp:coreProperties>
</file>