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90C" w:rsidRDefault="00090D1B">
      <w:pPr>
        <w:tabs>
          <w:tab w:val="left" w:pos="3465"/>
        </w:tabs>
        <w:spacing w:line="360" w:lineRule="auto"/>
        <w:ind w:right="-787"/>
        <w:jc w:val="both"/>
        <w:rPr>
          <w:rFonts w:ascii="Palatino Linotype" w:eastAsia="Palatino Linotype" w:hAnsi="Palatino Linotype" w:cs="Palatino Linotype"/>
          <w:b/>
          <w:bCs/>
        </w:rPr>
      </w:pPr>
      <w:bookmarkStart w:id="0" w:name="_GoBack"/>
      <w:bookmarkEnd w:id="0"/>
      <w:r>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México; de</w:t>
      </w:r>
      <w:r w:rsidR="00A303BA">
        <w:rPr>
          <w:rFonts w:ascii="Palatino Linotype" w:eastAsia="Palatino Linotype" w:hAnsi="Palatino Linotype" w:cs="Palatino Linotype"/>
          <w:b/>
          <w:bCs/>
        </w:rPr>
        <w:t xml:space="preserve"> fecha veintisiete</w:t>
      </w:r>
      <w:r w:rsidR="00995C52">
        <w:rPr>
          <w:rFonts w:ascii="Palatino Linotype" w:eastAsia="Palatino Linotype" w:hAnsi="Palatino Linotype" w:cs="Palatino Linotype"/>
          <w:b/>
          <w:bCs/>
        </w:rPr>
        <w:t xml:space="preserve"> (27)</w:t>
      </w:r>
      <w:r w:rsidR="00A303BA">
        <w:rPr>
          <w:rFonts w:ascii="Palatino Linotype" w:eastAsia="Palatino Linotype" w:hAnsi="Palatino Linotype" w:cs="Palatino Linotype"/>
          <w:b/>
          <w:bCs/>
        </w:rPr>
        <w:t xml:space="preserve"> </w:t>
      </w:r>
      <w:r>
        <w:rPr>
          <w:rFonts w:ascii="Palatino Linotype" w:eastAsia="Palatino Linotype" w:hAnsi="Palatino Linotype" w:cs="Palatino Linotype"/>
          <w:b/>
          <w:bCs/>
        </w:rPr>
        <w:t>de mayo de dos mil veintiséis.</w:t>
      </w:r>
    </w:p>
    <w:p w:rsidR="00EB590C" w:rsidRDefault="00EB590C">
      <w:pPr>
        <w:tabs>
          <w:tab w:val="left" w:pos="3465"/>
        </w:tabs>
        <w:spacing w:line="360" w:lineRule="auto"/>
        <w:ind w:right="-787"/>
        <w:jc w:val="both"/>
        <w:rPr>
          <w:rFonts w:ascii="Palatino Linotype" w:eastAsia="Palatino Linotype" w:hAnsi="Palatino Linotype" w:cs="Palatino Linotype"/>
        </w:rPr>
      </w:pPr>
    </w:p>
    <w:p w:rsidR="00EB590C" w:rsidRDefault="00090D1B">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VISTAS </w:t>
      </w:r>
      <w:r>
        <w:rPr>
          <w:rFonts w:ascii="Palatino Linotype" w:eastAsia="Palatino Linotype" w:hAnsi="Palatino Linotype" w:cs="Palatino Linotype"/>
        </w:rPr>
        <w:t xml:space="preserve">las constancias para resolver </w:t>
      </w:r>
      <w:r>
        <w:rPr>
          <w:rFonts w:ascii="Palatino Linotype" w:eastAsia="Palatino Linotype" w:hAnsi="Palatino Linotype" w:cs="Palatino Linotype"/>
          <w:color w:val="000000"/>
        </w:rPr>
        <w:t xml:space="preserve">el Recurso de Revisión </w:t>
      </w:r>
      <w:r>
        <w:rPr>
          <w:rFonts w:ascii="Palatino Linotype" w:eastAsia="Palatino Linotype" w:hAnsi="Palatino Linotype" w:cs="Palatino Linotype"/>
          <w:b/>
          <w:bCs/>
          <w:color w:val="000000"/>
        </w:rPr>
        <w:t>13843/INFOEM/IP/RR/2025</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promovido de manera anónima,</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en lo sucesivo se denominará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otorgada a la solicitud de información </w:t>
      </w:r>
      <w:r>
        <w:rPr>
          <w:rFonts w:ascii="Palatino Linotype" w:eastAsia="Palatino Linotype" w:hAnsi="Palatino Linotype" w:cs="Palatino Linotype"/>
          <w:b/>
          <w:bCs/>
        </w:rPr>
        <w:t>06161/TOLUCA/IP/2025</w:t>
      </w:r>
      <w:r>
        <w:rPr>
          <w:rFonts w:ascii="Palatino Linotype" w:eastAsia="Palatino Linotype" w:hAnsi="Palatino Linotype" w:cs="Palatino Linotype"/>
        </w:rPr>
        <w:t xml:space="preserve">, por parte del </w:t>
      </w:r>
      <w:r>
        <w:rPr>
          <w:rFonts w:ascii="Palatino Linotype" w:eastAsia="Palatino Linotype" w:hAnsi="Palatino Linotype" w:cs="Palatino Linotype"/>
          <w:b/>
          <w:bCs/>
        </w:rPr>
        <w:t xml:space="preserve">Ayuntamiento de Toluca, </w:t>
      </w:r>
      <w:r>
        <w:rPr>
          <w:rFonts w:ascii="Palatino Linotype" w:eastAsia="Palatino Linotype" w:hAnsi="Palatino Linotype" w:cs="Palatino Linotype"/>
        </w:rPr>
        <w:t xml:space="preserve">en adelante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se emite la presente resolución con base en los siguientes:</w:t>
      </w:r>
    </w:p>
    <w:p w:rsidR="00EB590C" w:rsidRDefault="00EB590C">
      <w:pPr>
        <w:spacing w:line="360" w:lineRule="auto"/>
        <w:ind w:right="-787"/>
        <w:jc w:val="both"/>
        <w:rPr>
          <w:rFonts w:ascii="Palatino Linotype" w:eastAsia="Palatino Linotype" w:hAnsi="Palatino Linotype" w:cs="Palatino Linotype"/>
        </w:rPr>
      </w:pPr>
    </w:p>
    <w:p w:rsidR="00EB590C" w:rsidRDefault="00090D1B">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1" w:name="_heading=h.gjdgxs" w:colFirst="0" w:colLast="0"/>
      <w:bookmarkEnd w:id="1"/>
      <w:r>
        <w:rPr>
          <w:rFonts w:ascii="Palatino Linotype" w:eastAsia="Palatino Linotype" w:hAnsi="Palatino Linotype" w:cs="Palatino Linotype"/>
          <w:b/>
          <w:bCs/>
          <w:color w:val="000000"/>
          <w:sz w:val="24"/>
          <w:szCs w:val="24"/>
        </w:rPr>
        <w:t>A N T E C E D E N T E S</w:t>
      </w:r>
    </w:p>
    <w:p w:rsidR="00EB590C" w:rsidRDefault="00EB590C">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color w:val="000000"/>
          <w:u w:val="single"/>
        </w:rPr>
      </w:pPr>
    </w:p>
    <w:p w:rsidR="00EB590C" w:rsidRDefault="00090D1B">
      <w:pPr>
        <w:numPr>
          <w:ilvl w:val="0"/>
          <w:numId w:val="6"/>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diez de noviembre de dos mil veinticinco</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Pr>
          <w:rFonts w:ascii="Palatino Linotype" w:eastAsia="Palatino Linotype" w:hAnsi="Palatino Linotype" w:cs="Palatino Linotype"/>
          <w:b/>
          <w:bCs/>
          <w:color w:val="000000"/>
        </w:rPr>
        <w:t>solicitud de información</w:t>
      </w:r>
      <w:r>
        <w:rPr>
          <w:rFonts w:ascii="Palatino Linotype" w:eastAsia="Palatino Linotype" w:hAnsi="Palatino Linotype" w:cs="Palatino Linotype"/>
          <w:color w:val="000000"/>
        </w:rPr>
        <w:t xml:space="preserve"> pública:</w:t>
      </w:r>
    </w:p>
    <w:p w:rsidR="00EB590C" w:rsidRDefault="00EB590C">
      <w:pPr>
        <w:pBdr>
          <w:top w:val="nil"/>
          <w:left w:val="nil"/>
          <w:bottom w:val="nil"/>
          <w:right w:val="nil"/>
          <w:between w:val="nil"/>
        </w:pBdr>
        <w:ind w:right="-788"/>
        <w:jc w:val="both"/>
        <w:rPr>
          <w:rFonts w:ascii="Palatino Linotype" w:eastAsia="Palatino Linotype" w:hAnsi="Palatino Linotype" w:cs="Palatino Linotype"/>
          <w:color w:val="000000"/>
        </w:rPr>
      </w:pPr>
    </w:p>
    <w:p w:rsidR="00EB590C" w:rsidRDefault="00090D1B">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“Nombre y sueldo de los Jueces civicos y Secretario Civicos, asi como las acciones que han realizado y funciones de cada uno y sus Turnos como Jueces y como Secretarios” (Sic)</w:t>
      </w:r>
    </w:p>
    <w:p w:rsidR="00EB590C" w:rsidRDefault="00EB590C">
      <w:pPr>
        <w:pBdr>
          <w:top w:val="nil"/>
          <w:left w:val="nil"/>
          <w:bottom w:val="nil"/>
          <w:right w:val="nil"/>
          <w:between w:val="nil"/>
        </w:pBdr>
        <w:ind w:right="-787"/>
        <w:jc w:val="both"/>
        <w:rPr>
          <w:rFonts w:ascii="Palatino Linotype" w:eastAsia="Palatino Linotype" w:hAnsi="Palatino Linotype" w:cs="Palatino Linotype"/>
          <w:i/>
          <w:iCs/>
          <w:color w:val="000000"/>
        </w:rPr>
      </w:pPr>
    </w:p>
    <w:p w:rsidR="00995C52" w:rsidRDefault="00995C52">
      <w:pPr>
        <w:pBdr>
          <w:top w:val="nil"/>
          <w:left w:val="nil"/>
          <w:bottom w:val="nil"/>
          <w:right w:val="nil"/>
          <w:between w:val="nil"/>
        </w:pBdr>
        <w:ind w:right="-787"/>
        <w:jc w:val="both"/>
        <w:rPr>
          <w:rFonts w:ascii="Palatino Linotype" w:eastAsia="Palatino Linotype" w:hAnsi="Palatino Linotype" w:cs="Palatino Linotype"/>
          <w:i/>
          <w:iCs/>
          <w:color w:val="000000"/>
        </w:rPr>
      </w:pPr>
    </w:p>
    <w:p w:rsidR="00EB590C" w:rsidRDefault="00090D1B">
      <w:pPr>
        <w:numPr>
          <w:ilvl w:val="0"/>
          <w:numId w:val="3"/>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A través del </w:t>
      </w:r>
      <w:r>
        <w:rPr>
          <w:rFonts w:ascii="Palatino Linotype" w:eastAsia="Palatino Linotype" w:hAnsi="Palatino Linotype" w:cs="Palatino Linotype"/>
          <w:b/>
          <w:bCs/>
          <w:color w:val="000000"/>
        </w:rPr>
        <w:t>SAIMEX.</w:t>
      </w:r>
    </w:p>
    <w:p w:rsidR="00EB590C" w:rsidRDefault="00EB590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color w:val="000000"/>
        </w:rPr>
      </w:pPr>
    </w:p>
    <w:p w:rsidR="00EB590C" w:rsidRPr="00995C52" w:rsidRDefault="00090D1B">
      <w:pPr>
        <w:numPr>
          <w:ilvl w:val="0"/>
          <w:numId w:val="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dos de diciembre de dos mil veinticinco</w:t>
      </w:r>
      <w:r>
        <w:rPr>
          <w:rFonts w:ascii="Palatino Linotype" w:eastAsia="Palatino Linotype" w:hAnsi="Palatino Linotype" w:cs="Palatino Linotype"/>
          <w:color w:val="000000"/>
        </w:rPr>
        <w:t xml:space="preserve">, el Sujeto Obligado emitió </w:t>
      </w:r>
      <w:r>
        <w:rPr>
          <w:rFonts w:ascii="Palatino Linotype" w:eastAsia="Palatino Linotype" w:hAnsi="Palatino Linotype" w:cs="Palatino Linotype"/>
          <w:b/>
          <w:bCs/>
          <w:color w:val="000000"/>
        </w:rPr>
        <w:t>respuesta</w:t>
      </w:r>
      <w:r>
        <w:rPr>
          <w:rFonts w:ascii="Palatino Linotype" w:eastAsia="Palatino Linotype" w:hAnsi="Palatino Linotype" w:cs="Palatino Linotype"/>
          <w:color w:val="000000"/>
        </w:rPr>
        <w:t xml:space="preserve"> a través de los archivos digitales siguientes:</w:t>
      </w:r>
    </w:p>
    <w:p w:rsidR="00995C52" w:rsidRDefault="00995C52" w:rsidP="00995C52">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995C52" w:rsidRDefault="00995C52" w:rsidP="00995C52">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color w:val="000000"/>
        </w:rPr>
      </w:pPr>
    </w:p>
    <w:p w:rsidR="00EB590C" w:rsidRDefault="00090D1B">
      <w:pPr>
        <w:numPr>
          <w:ilvl w:val="0"/>
          <w:numId w:val="4"/>
        </w:numPr>
        <w:pBdr>
          <w:top w:val="nil"/>
          <w:left w:val="nil"/>
          <w:bottom w:val="nil"/>
          <w:right w:val="nil"/>
          <w:between w:val="nil"/>
        </w:pBdr>
        <w:ind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NOTIF. CIUDADANO S. 6161.pdf</w:t>
      </w:r>
    </w:p>
    <w:p w:rsidR="00EB590C" w:rsidRDefault="00090D1B">
      <w:pPr>
        <w:pBdr>
          <w:top w:val="nil"/>
          <w:left w:val="nil"/>
          <w:bottom w:val="nil"/>
          <w:right w:val="nil"/>
          <w:between w:val="nil"/>
        </w:pBdr>
        <w:ind w:left="567" w:right="-787"/>
        <w:jc w:val="both"/>
        <w:rPr>
          <w:rFonts w:ascii="Palatino Linotype" w:eastAsia="Palatino Linotype" w:hAnsi="Palatino Linotype" w:cs="Palatino Linotype"/>
        </w:rPr>
      </w:pPr>
      <w:r>
        <w:rPr>
          <w:rFonts w:ascii="Palatino Linotype" w:eastAsia="Palatino Linotype" w:hAnsi="Palatino Linotype" w:cs="Palatino Linotype"/>
        </w:rPr>
        <w:t xml:space="preserve">- Número de Oficio: 206010000/7119/2025 de fecha 27 de noviembre de 2025, firmado por la </w:t>
      </w:r>
      <w:r>
        <w:rPr>
          <w:rFonts w:ascii="Palatino Linotype" w:eastAsia="Palatino Linotype" w:hAnsi="Palatino Linotype" w:cs="Palatino Linotype"/>
          <w:b/>
          <w:bCs/>
        </w:rPr>
        <w:t>Directora General de Administración</w:t>
      </w:r>
      <w:r>
        <w:rPr>
          <w:rFonts w:ascii="Palatino Linotype" w:eastAsia="Palatino Linotype" w:hAnsi="Palatino Linotype" w:cs="Palatino Linotype"/>
        </w:rPr>
        <w:t>, a través del cual refiere remitir la respuesta de la persona servidora pública de la Dirección de Recursos Humanos del Ayuntamiento de Toluca, competente para tal propósito.</w:t>
      </w:r>
    </w:p>
    <w:p w:rsidR="00EB590C" w:rsidRDefault="00EB590C">
      <w:pPr>
        <w:pBdr>
          <w:top w:val="nil"/>
          <w:left w:val="nil"/>
          <w:bottom w:val="nil"/>
          <w:right w:val="nil"/>
          <w:between w:val="nil"/>
        </w:pBdr>
        <w:ind w:left="567" w:right="-787"/>
        <w:jc w:val="both"/>
        <w:rPr>
          <w:rFonts w:ascii="Palatino Linotype" w:eastAsia="Palatino Linotype" w:hAnsi="Palatino Linotype" w:cs="Palatino Linotype"/>
        </w:rPr>
      </w:pPr>
    </w:p>
    <w:p w:rsidR="00EB590C" w:rsidRDefault="00090D1B">
      <w:pPr>
        <w:pBdr>
          <w:top w:val="nil"/>
          <w:left w:val="nil"/>
          <w:bottom w:val="nil"/>
          <w:right w:val="nil"/>
          <w:between w:val="nil"/>
        </w:pBdr>
        <w:ind w:left="567" w:right="-787"/>
        <w:jc w:val="both"/>
        <w:rPr>
          <w:rFonts w:ascii="Palatino Linotype" w:eastAsia="Palatino Linotype" w:hAnsi="Palatino Linotype" w:cs="Palatino Linotype"/>
        </w:rPr>
      </w:pPr>
      <w:r>
        <w:rPr>
          <w:rFonts w:ascii="Palatino Linotype" w:eastAsia="Palatino Linotype" w:hAnsi="Palatino Linotype" w:cs="Palatino Linotype"/>
        </w:rPr>
        <w:t xml:space="preserve">- Nota informativa: No. 1175/2025 de fecha 26 de noviembre de 2025, firmado por la </w:t>
      </w:r>
      <w:r>
        <w:rPr>
          <w:rFonts w:ascii="Palatino Linotype" w:eastAsia="Palatino Linotype" w:hAnsi="Palatino Linotype" w:cs="Palatino Linotype"/>
          <w:b/>
          <w:bCs/>
        </w:rPr>
        <w:t>Directora de Recursos Humanos</w:t>
      </w:r>
      <w:r>
        <w:rPr>
          <w:rFonts w:ascii="Palatino Linotype" w:eastAsia="Palatino Linotype" w:hAnsi="Palatino Linotype" w:cs="Palatino Linotype"/>
        </w:rPr>
        <w:t>, a través del cual señala que la información solicitada puede ser consultada en la página de internet del IPOMEX, agregando dos hipervínculos en formato cerrado:</w:t>
      </w:r>
    </w:p>
    <w:p w:rsidR="00EB590C" w:rsidRDefault="00EB590C">
      <w:pPr>
        <w:pBdr>
          <w:top w:val="nil"/>
          <w:left w:val="nil"/>
          <w:bottom w:val="nil"/>
          <w:right w:val="nil"/>
          <w:between w:val="nil"/>
        </w:pBdr>
        <w:ind w:left="567" w:right="-787"/>
        <w:jc w:val="both"/>
        <w:rPr>
          <w:rFonts w:ascii="Palatino Linotype" w:eastAsia="Palatino Linotype" w:hAnsi="Palatino Linotype" w:cs="Palatino Linotype"/>
        </w:rPr>
      </w:pPr>
    </w:p>
    <w:p w:rsidR="00EB590C" w:rsidRDefault="00090D1B">
      <w:pPr>
        <w:pBdr>
          <w:top w:val="nil"/>
          <w:left w:val="nil"/>
          <w:bottom w:val="nil"/>
          <w:right w:val="nil"/>
          <w:between w:val="nil"/>
        </w:pBdr>
        <w:ind w:left="567" w:right="-787"/>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extent cx="4618309" cy="520674"/>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618309" cy="520674"/>
                    </a:xfrm>
                    <a:prstGeom prst="rect">
                      <a:avLst/>
                    </a:prstGeom>
                    <a:ln/>
                  </pic:spPr>
                </pic:pic>
              </a:graphicData>
            </a:graphic>
          </wp:inline>
        </w:drawing>
      </w:r>
    </w:p>
    <w:p w:rsidR="00EB590C" w:rsidRDefault="00EB590C">
      <w:pPr>
        <w:pBdr>
          <w:top w:val="nil"/>
          <w:left w:val="nil"/>
          <w:bottom w:val="nil"/>
          <w:right w:val="nil"/>
          <w:between w:val="nil"/>
        </w:pBdr>
        <w:ind w:left="567" w:right="-787"/>
        <w:jc w:val="center"/>
        <w:rPr>
          <w:rFonts w:ascii="Palatino Linotype" w:eastAsia="Palatino Linotype" w:hAnsi="Palatino Linotype" w:cs="Palatino Linotype"/>
        </w:rPr>
      </w:pPr>
    </w:p>
    <w:p w:rsidR="00EB590C" w:rsidRDefault="00090D1B">
      <w:pPr>
        <w:pBdr>
          <w:top w:val="nil"/>
          <w:left w:val="nil"/>
          <w:bottom w:val="nil"/>
          <w:right w:val="nil"/>
          <w:between w:val="nil"/>
        </w:pBdr>
        <w:ind w:left="567" w:right="-787"/>
        <w:jc w:val="both"/>
        <w:rPr>
          <w:rFonts w:ascii="Palatino Linotype" w:eastAsia="Palatino Linotype" w:hAnsi="Palatino Linotype" w:cs="Palatino Linotype"/>
        </w:rPr>
      </w:pPr>
      <w:r>
        <w:rPr>
          <w:rFonts w:ascii="Palatino Linotype" w:eastAsia="Palatino Linotype" w:hAnsi="Palatino Linotype" w:cs="Palatino Linotype"/>
        </w:rPr>
        <w:t xml:space="preserve">Asimismo señala que "Por lo que respecta a: </w:t>
      </w:r>
      <w:r>
        <w:rPr>
          <w:rFonts w:ascii="Palatino Linotype" w:eastAsia="Palatino Linotype" w:hAnsi="Palatino Linotype" w:cs="Palatino Linotype"/>
          <w:i/>
          <w:iCs/>
        </w:rPr>
        <w:t>"... las acciones que han realizado..." Sic</w:t>
      </w:r>
      <w:r>
        <w:rPr>
          <w:rFonts w:ascii="Palatino Linotype" w:eastAsia="Palatino Linotype" w:hAnsi="Palatino Linotype" w:cs="Palatino Linotype"/>
        </w:rPr>
        <w:t xml:space="preserve"> esa Dirección no cuenta con dicha información, toda vez que no se encuentra dentro de sus funciones y atribuciones, referidas en el manual de Organización de la Dirección General de Administración, por lo que no es posible otorgar.</w:t>
      </w:r>
    </w:p>
    <w:p w:rsidR="00EB590C" w:rsidRDefault="00EB590C">
      <w:pPr>
        <w:pBdr>
          <w:top w:val="nil"/>
          <w:left w:val="nil"/>
          <w:bottom w:val="nil"/>
          <w:right w:val="nil"/>
          <w:between w:val="nil"/>
        </w:pBdr>
        <w:ind w:left="567" w:right="-787"/>
        <w:jc w:val="both"/>
        <w:rPr>
          <w:rFonts w:ascii="Palatino Linotype" w:eastAsia="Palatino Linotype" w:hAnsi="Palatino Linotype" w:cs="Palatino Linotype"/>
        </w:rPr>
      </w:pPr>
    </w:p>
    <w:p w:rsidR="00EB590C" w:rsidRDefault="00090D1B">
      <w:pPr>
        <w:numPr>
          <w:ilvl w:val="0"/>
          <w:numId w:val="4"/>
        </w:numPr>
        <w:pBdr>
          <w:top w:val="nil"/>
          <w:left w:val="nil"/>
          <w:bottom w:val="nil"/>
          <w:right w:val="nil"/>
          <w:between w:val="nil"/>
        </w:pBdr>
        <w:ind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saimex 06161.docx</w:t>
      </w:r>
    </w:p>
    <w:p w:rsidR="00EB590C" w:rsidRDefault="00EB590C">
      <w:pPr>
        <w:pBdr>
          <w:top w:val="nil"/>
          <w:left w:val="nil"/>
          <w:bottom w:val="nil"/>
          <w:right w:val="nil"/>
          <w:between w:val="nil"/>
        </w:pBdr>
        <w:ind w:left="1287" w:right="-787"/>
        <w:jc w:val="both"/>
        <w:rPr>
          <w:rFonts w:ascii="Palatino Linotype" w:eastAsia="Palatino Linotype" w:hAnsi="Palatino Linotype" w:cs="Palatino Linotype"/>
          <w:b/>
          <w:bCs/>
          <w:i/>
          <w:iCs/>
          <w:color w:val="000000"/>
        </w:rPr>
      </w:pPr>
    </w:p>
    <w:p w:rsidR="00EB590C" w:rsidRDefault="00090D1B">
      <w:pPr>
        <w:pBdr>
          <w:top w:val="nil"/>
          <w:left w:val="nil"/>
          <w:bottom w:val="nil"/>
          <w:right w:val="nil"/>
          <w:between w:val="nil"/>
        </w:pBdr>
        <w:ind w:left="567" w:right="-787"/>
        <w:jc w:val="both"/>
        <w:rPr>
          <w:rFonts w:ascii="Palatino Linotype" w:eastAsia="Palatino Linotype" w:hAnsi="Palatino Linotype" w:cs="Palatino Linotype"/>
        </w:rPr>
      </w:pPr>
      <w:r>
        <w:rPr>
          <w:rFonts w:ascii="Palatino Linotype" w:eastAsia="Palatino Linotype" w:hAnsi="Palatino Linotype" w:cs="Palatino Linotype"/>
        </w:rPr>
        <w:t>Misma Nota informativa descrita en el archivo anterior en formato Word:</w:t>
      </w:r>
    </w:p>
    <w:p w:rsidR="00EB590C" w:rsidRDefault="00090D1B">
      <w:pPr>
        <w:pBdr>
          <w:top w:val="nil"/>
          <w:left w:val="nil"/>
          <w:bottom w:val="nil"/>
          <w:right w:val="nil"/>
          <w:between w:val="nil"/>
        </w:pBdr>
        <w:ind w:left="567" w:right="-787"/>
        <w:jc w:val="both"/>
        <w:rPr>
          <w:rFonts w:ascii="Palatino Linotype" w:eastAsia="Palatino Linotype" w:hAnsi="Palatino Linotype" w:cs="Palatino Linotype"/>
        </w:rPr>
      </w:pPr>
      <w:r>
        <w:rPr>
          <w:rFonts w:ascii="Palatino Linotype" w:eastAsia="Palatino Linotype" w:hAnsi="Palatino Linotype" w:cs="Palatino Linotype"/>
        </w:rPr>
        <w:t>La información la podrá consultar en la página de internet:</w:t>
      </w:r>
    </w:p>
    <w:p w:rsidR="00EB590C" w:rsidRDefault="00EB590C">
      <w:pPr>
        <w:pBdr>
          <w:top w:val="nil"/>
          <w:left w:val="nil"/>
          <w:bottom w:val="nil"/>
          <w:right w:val="nil"/>
          <w:between w:val="nil"/>
        </w:pBdr>
        <w:ind w:left="567" w:right="-787"/>
        <w:jc w:val="both"/>
        <w:rPr>
          <w:rFonts w:ascii="Palatino Linotype" w:eastAsia="Palatino Linotype" w:hAnsi="Palatino Linotype" w:cs="Palatino Linotype"/>
        </w:rPr>
      </w:pPr>
    </w:p>
    <w:p w:rsidR="00EB590C" w:rsidRDefault="00E137D6">
      <w:pPr>
        <w:pBdr>
          <w:top w:val="nil"/>
          <w:left w:val="nil"/>
          <w:bottom w:val="nil"/>
          <w:right w:val="nil"/>
          <w:between w:val="nil"/>
        </w:pBdr>
        <w:ind w:left="567" w:right="-787"/>
        <w:jc w:val="both"/>
        <w:rPr>
          <w:rFonts w:ascii="Palatino Linotype" w:eastAsia="Palatino Linotype" w:hAnsi="Palatino Linotype" w:cs="Palatino Linotype"/>
          <w:b/>
          <w:bCs/>
        </w:rPr>
      </w:pPr>
      <w:hyperlink r:id="rId9" w:anchor="/info-fraccion/11/197/28">
        <w:r w:rsidR="00090D1B">
          <w:rPr>
            <w:rFonts w:ascii="Palatino Linotype" w:eastAsia="Palatino Linotype" w:hAnsi="Palatino Linotype" w:cs="Palatino Linotype"/>
            <w:b/>
            <w:bCs/>
            <w:color w:val="0563C1"/>
            <w:u w:val="single"/>
          </w:rPr>
          <w:t>https://ipomex.org.mx/ipomex/#/info-</w:t>
        </w:r>
      </w:hyperlink>
      <w:hyperlink r:id="rId10" w:anchor="/info-fraccion/11/197/28">
        <w:r w:rsidR="00090D1B">
          <w:rPr>
            <w:rFonts w:ascii="Palatino Linotype" w:eastAsia="Palatino Linotype" w:hAnsi="Palatino Linotype" w:cs="Palatino Linotype"/>
            <w:b/>
            <w:bCs/>
            <w:color w:val="0563C1"/>
            <w:u w:val="single"/>
          </w:rPr>
          <w:t>fraccion</w:t>
        </w:r>
      </w:hyperlink>
      <w:hyperlink r:id="rId11" w:anchor="/info-fraccion/11/197/28">
        <w:r w:rsidR="00090D1B">
          <w:rPr>
            <w:rFonts w:ascii="Palatino Linotype" w:eastAsia="Palatino Linotype" w:hAnsi="Palatino Linotype" w:cs="Palatino Linotype"/>
            <w:b/>
            <w:bCs/>
            <w:color w:val="0563C1"/>
            <w:u w:val="single"/>
          </w:rPr>
          <w:t>/11/197/28</w:t>
        </w:r>
      </w:hyperlink>
      <w:r w:rsidR="00090D1B">
        <w:rPr>
          <w:rFonts w:ascii="Palatino Linotype" w:eastAsia="Palatino Linotype" w:hAnsi="Palatino Linotype" w:cs="Palatino Linotype"/>
          <w:b/>
          <w:bCs/>
        </w:rPr>
        <w:t xml:space="preserve">  Remuneraciones</w:t>
      </w:r>
    </w:p>
    <w:p w:rsidR="00EB590C" w:rsidRDefault="00EB590C">
      <w:pPr>
        <w:pBdr>
          <w:top w:val="nil"/>
          <w:left w:val="nil"/>
          <w:bottom w:val="nil"/>
          <w:right w:val="nil"/>
          <w:between w:val="nil"/>
        </w:pBdr>
        <w:ind w:left="567" w:right="-787"/>
        <w:jc w:val="both"/>
        <w:rPr>
          <w:rFonts w:ascii="Palatino Linotype" w:eastAsia="Palatino Linotype" w:hAnsi="Palatino Linotype" w:cs="Palatino Linotype"/>
        </w:rPr>
      </w:pPr>
    </w:p>
    <w:p w:rsidR="00EB590C" w:rsidRDefault="00E137D6">
      <w:pPr>
        <w:pBdr>
          <w:top w:val="nil"/>
          <w:left w:val="nil"/>
          <w:bottom w:val="nil"/>
          <w:right w:val="nil"/>
          <w:between w:val="nil"/>
        </w:pBdr>
        <w:ind w:left="567" w:right="-787"/>
        <w:jc w:val="both"/>
        <w:rPr>
          <w:rFonts w:ascii="Palatino Linotype" w:eastAsia="Palatino Linotype" w:hAnsi="Palatino Linotype" w:cs="Palatino Linotype"/>
          <w:b/>
          <w:bCs/>
        </w:rPr>
      </w:pPr>
      <w:hyperlink r:id="rId12" w:anchor="/info-fraccion/1/197/15">
        <w:r w:rsidR="00090D1B">
          <w:rPr>
            <w:rFonts w:ascii="Palatino Linotype" w:eastAsia="Palatino Linotype" w:hAnsi="Palatino Linotype" w:cs="Palatino Linotype"/>
            <w:b/>
            <w:bCs/>
            <w:color w:val="0563C1"/>
            <w:u w:val="single"/>
          </w:rPr>
          <w:t>https://ipomex.org.mx/ipomex/#/info-</w:t>
        </w:r>
      </w:hyperlink>
      <w:hyperlink r:id="rId13" w:anchor="/info-fraccion/1/197/15">
        <w:r w:rsidR="00090D1B">
          <w:rPr>
            <w:rFonts w:ascii="Palatino Linotype" w:eastAsia="Palatino Linotype" w:hAnsi="Palatino Linotype" w:cs="Palatino Linotype"/>
            <w:b/>
            <w:bCs/>
            <w:color w:val="0563C1"/>
            <w:u w:val="single"/>
          </w:rPr>
          <w:t>fraccion</w:t>
        </w:r>
      </w:hyperlink>
      <w:hyperlink r:id="rId14" w:anchor="/info-fraccion/1/197/15">
        <w:r w:rsidR="00090D1B">
          <w:rPr>
            <w:rFonts w:ascii="Palatino Linotype" w:eastAsia="Palatino Linotype" w:hAnsi="Palatino Linotype" w:cs="Palatino Linotype"/>
            <w:b/>
            <w:bCs/>
            <w:color w:val="0563C1"/>
            <w:u w:val="single"/>
          </w:rPr>
          <w:t>/1/197/15</w:t>
        </w:r>
      </w:hyperlink>
      <w:r w:rsidR="00090D1B">
        <w:rPr>
          <w:rFonts w:ascii="Palatino Linotype" w:eastAsia="Palatino Linotype" w:hAnsi="Palatino Linotype" w:cs="Palatino Linotype"/>
          <w:b/>
          <w:bCs/>
          <w:u w:val="single"/>
        </w:rPr>
        <w:t xml:space="preserve"> </w:t>
      </w:r>
      <w:r w:rsidR="00090D1B">
        <w:rPr>
          <w:rFonts w:ascii="Palatino Linotype" w:eastAsia="Palatino Linotype" w:hAnsi="Palatino Linotype" w:cs="Palatino Linotype"/>
          <w:b/>
          <w:bCs/>
        </w:rPr>
        <w:t xml:space="preserve">   Manual de organización de Secretaria de Ayuntamiento (funciones)</w:t>
      </w:r>
    </w:p>
    <w:p w:rsidR="00EB590C" w:rsidRDefault="00EB590C">
      <w:pPr>
        <w:pBdr>
          <w:top w:val="nil"/>
          <w:left w:val="nil"/>
          <w:bottom w:val="nil"/>
          <w:right w:val="nil"/>
          <w:between w:val="nil"/>
        </w:pBdr>
        <w:ind w:left="567" w:right="-787"/>
        <w:jc w:val="both"/>
        <w:rPr>
          <w:rFonts w:ascii="Palatino Linotype" w:eastAsia="Palatino Linotype" w:hAnsi="Palatino Linotype" w:cs="Palatino Linotype"/>
        </w:rPr>
      </w:pPr>
    </w:p>
    <w:p w:rsidR="00EB590C" w:rsidRDefault="00EB590C">
      <w:pPr>
        <w:pBdr>
          <w:top w:val="nil"/>
          <w:left w:val="nil"/>
          <w:bottom w:val="nil"/>
          <w:right w:val="nil"/>
          <w:between w:val="nil"/>
        </w:pBdr>
        <w:ind w:left="567" w:right="-787"/>
        <w:jc w:val="both"/>
        <w:rPr>
          <w:rFonts w:ascii="Palatino Linotype" w:eastAsia="Palatino Linotype" w:hAnsi="Palatino Linotype" w:cs="Palatino Linotype"/>
          <w:b/>
          <w:bCs/>
          <w:i/>
          <w:iCs/>
        </w:rPr>
      </w:pPr>
    </w:p>
    <w:p w:rsidR="00EB590C" w:rsidRDefault="00090D1B">
      <w:pPr>
        <w:numPr>
          <w:ilvl w:val="0"/>
          <w:numId w:val="4"/>
        </w:numPr>
        <w:pBdr>
          <w:top w:val="nil"/>
          <w:left w:val="nil"/>
          <w:bottom w:val="nil"/>
          <w:right w:val="nil"/>
          <w:between w:val="nil"/>
        </w:pBdr>
        <w:ind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Sol-6161.pdf</w:t>
      </w:r>
    </w:p>
    <w:p w:rsidR="00EB590C" w:rsidRDefault="00EB590C">
      <w:pPr>
        <w:pBdr>
          <w:top w:val="nil"/>
          <w:left w:val="nil"/>
          <w:bottom w:val="nil"/>
          <w:right w:val="nil"/>
          <w:between w:val="nil"/>
        </w:pBdr>
        <w:ind w:left="567" w:right="-787"/>
        <w:jc w:val="both"/>
        <w:rPr>
          <w:rFonts w:ascii="Palatino Linotype" w:eastAsia="Palatino Linotype" w:hAnsi="Palatino Linotype" w:cs="Palatino Linotype"/>
          <w:b/>
          <w:bCs/>
          <w:i/>
          <w:iCs/>
        </w:rPr>
      </w:pPr>
    </w:p>
    <w:p w:rsidR="00EB590C" w:rsidRDefault="00090D1B">
      <w:pPr>
        <w:pBdr>
          <w:top w:val="nil"/>
          <w:left w:val="nil"/>
          <w:bottom w:val="nil"/>
          <w:right w:val="nil"/>
          <w:between w:val="nil"/>
        </w:pBdr>
        <w:ind w:left="567" w:right="-787"/>
        <w:jc w:val="both"/>
        <w:rPr>
          <w:rFonts w:ascii="Palatino Linotype" w:eastAsia="Palatino Linotype" w:hAnsi="Palatino Linotype" w:cs="Palatino Linotype"/>
        </w:rPr>
      </w:pPr>
      <w:r>
        <w:rPr>
          <w:rFonts w:ascii="Palatino Linotype" w:eastAsia="Palatino Linotype" w:hAnsi="Palatino Linotype" w:cs="Palatino Linotype"/>
        </w:rPr>
        <w:t xml:space="preserve">Documento suscrito por el Servidor Público Habilitado de la </w:t>
      </w:r>
      <w:r>
        <w:rPr>
          <w:rFonts w:ascii="Palatino Linotype" w:eastAsia="Palatino Linotype" w:hAnsi="Palatino Linotype" w:cs="Palatino Linotype"/>
          <w:b/>
          <w:bCs/>
        </w:rPr>
        <w:t>Consejería Jurídica</w:t>
      </w:r>
      <w:r>
        <w:rPr>
          <w:rFonts w:ascii="Palatino Linotype" w:eastAsia="Palatino Linotype" w:hAnsi="Palatino Linotype" w:cs="Palatino Linotype"/>
        </w:rPr>
        <w:t>, a través del cual manifiesta:</w:t>
      </w:r>
    </w:p>
    <w:p w:rsidR="00EB590C" w:rsidRDefault="00090D1B">
      <w:pPr>
        <w:numPr>
          <w:ilvl w:val="0"/>
          <w:numId w:val="5"/>
        </w:numPr>
        <w:pBdr>
          <w:top w:val="nil"/>
          <w:left w:val="nil"/>
          <w:bottom w:val="nil"/>
          <w:right w:val="nil"/>
          <w:between w:val="nil"/>
        </w:pBdr>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Se informa que remite en formato pdf los nombres de jueces y secretarios cívicos de cada materia y de cada turno, señalando que el juzgado del primer turno de infracciones administrativas, por el momento no tiene secretario.</w:t>
      </w:r>
    </w:p>
    <w:p w:rsidR="00EB590C" w:rsidRDefault="00090D1B">
      <w:pPr>
        <w:numPr>
          <w:ilvl w:val="0"/>
          <w:numId w:val="5"/>
        </w:numPr>
        <w:pBdr>
          <w:top w:val="nil"/>
          <w:left w:val="nil"/>
          <w:bottom w:val="nil"/>
          <w:right w:val="nil"/>
          <w:between w:val="nil"/>
        </w:pBdr>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lo que comprende a salarios, la Consejería Jurídica no contempla un tabulador o lista de sueldos, por no estar dentro de sus atribuciones y funciones, siendo competencia de la Dirección de Administración con la Dirección de Recursos Humanos.</w:t>
      </w:r>
    </w:p>
    <w:p w:rsidR="00EB590C" w:rsidRDefault="00090D1B">
      <w:pPr>
        <w:numPr>
          <w:ilvl w:val="0"/>
          <w:numId w:val="5"/>
        </w:numPr>
        <w:pBdr>
          <w:top w:val="nil"/>
          <w:left w:val="nil"/>
          <w:bottom w:val="nil"/>
          <w:right w:val="nil"/>
          <w:between w:val="nil"/>
        </w:pBdr>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Señala la normatividad que contiene las acciones que desempeñan los Jueces y Secretarios Cívicos, así como las funciones de los Jueces y Secretarios Cívicos conforme al Código Reglamentario Municipal de Toluca y la Ley de Justicia Cívica del Estado de México.</w:t>
      </w:r>
    </w:p>
    <w:p w:rsidR="00EB590C" w:rsidRDefault="00EB590C">
      <w:pPr>
        <w:pBdr>
          <w:top w:val="nil"/>
          <w:left w:val="nil"/>
          <w:bottom w:val="nil"/>
          <w:right w:val="nil"/>
          <w:between w:val="nil"/>
        </w:pBdr>
        <w:ind w:left="567" w:right="-787"/>
        <w:jc w:val="both"/>
        <w:rPr>
          <w:rFonts w:ascii="Palatino Linotype" w:eastAsia="Palatino Linotype" w:hAnsi="Palatino Linotype" w:cs="Palatino Linotype"/>
        </w:rPr>
      </w:pPr>
    </w:p>
    <w:p w:rsidR="00EB590C" w:rsidRDefault="00EB590C">
      <w:pPr>
        <w:pBdr>
          <w:top w:val="nil"/>
          <w:left w:val="nil"/>
          <w:bottom w:val="nil"/>
          <w:right w:val="nil"/>
          <w:between w:val="nil"/>
        </w:pBdr>
        <w:ind w:left="567" w:right="-787"/>
        <w:jc w:val="both"/>
        <w:rPr>
          <w:rFonts w:ascii="Palatino Linotype" w:eastAsia="Palatino Linotype" w:hAnsi="Palatino Linotype" w:cs="Palatino Linotype"/>
        </w:rPr>
      </w:pPr>
    </w:p>
    <w:p w:rsidR="00EB590C" w:rsidRDefault="00090D1B">
      <w:pPr>
        <w:numPr>
          <w:ilvl w:val="0"/>
          <w:numId w:val="4"/>
        </w:numPr>
        <w:pBdr>
          <w:top w:val="nil"/>
          <w:left w:val="nil"/>
          <w:bottom w:val="nil"/>
          <w:right w:val="nil"/>
          <w:between w:val="nil"/>
        </w:pBdr>
        <w:ind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JUZGADOS CIVICOS.pdf</w:t>
      </w:r>
    </w:p>
    <w:p w:rsidR="00EB590C" w:rsidRDefault="00090D1B">
      <w:pPr>
        <w:pBdr>
          <w:top w:val="nil"/>
          <w:left w:val="nil"/>
          <w:bottom w:val="nil"/>
          <w:right w:val="nil"/>
          <w:between w:val="nil"/>
        </w:pBdr>
        <w:ind w:left="567" w:right="-787"/>
        <w:jc w:val="both"/>
        <w:rPr>
          <w:rFonts w:ascii="Palatino Linotype" w:eastAsia="Palatino Linotype" w:hAnsi="Palatino Linotype" w:cs="Palatino Linotype"/>
        </w:rPr>
      </w:pPr>
      <w:r>
        <w:rPr>
          <w:rFonts w:ascii="Palatino Linotype" w:eastAsia="Palatino Linotype" w:hAnsi="Palatino Linotype" w:cs="Palatino Linotype"/>
        </w:rPr>
        <w:t>Documento que muestra información con los rubros de profesión, nombre, adscripción y cargo, de los siguientes juzgados:</w:t>
      </w:r>
    </w:p>
    <w:p w:rsidR="00EB590C" w:rsidRDefault="00090D1B">
      <w:pPr>
        <w:pBdr>
          <w:top w:val="nil"/>
          <w:left w:val="nil"/>
          <w:bottom w:val="nil"/>
          <w:right w:val="nil"/>
          <w:between w:val="nil"/>
        </w:pBdr>
        <w:ind w:left="567" w:right="-787"/>
        <w:jc w:val="both"/>
        <w:rPr>
          <w:rFonts w:ascii="Palatino Linotype" w:eastAsia="Palatino Linotype" w:hAnsi="Palatino Linotype" w:cs="Palatino Linotype"/>
        </w:rPr>
      </w:pPr>
      <w:r>
        <w:rPr>
          <w:rFonts w:ascii="Palatino Linotype" w:eastAsia="Palatino Linotype" w:hAnsi="Palatino Linotype" w:cs="Palatino Linotype"/>
        </w:rPr>
        <w:t>JUZGADO CÍVICO EN ALCOHOLIMETRÍA PRIMER TURNO.</w:t>
      </w:r>
    </w:p>
    <w:p w:rsidR="00EB590C" w:rsidRDefault="00090D1B">
      <w:pPr>
        <w:pBdr>
          <w:top w:val="nil"/>
          <w:left w:val="nil"/>
          <w:bottom w:val="nil"/>
          <w:right w:val="nil"/>
          <w:between w:val="nil"/>
        </w:pBdr>
        <w:ind w:left="567" w:right="-787"/>
        <w:jc w:val="both"/>
        <w:rPr>
          <w:rFonts w:ascii="Palatino Linotype" w:eastAsia="Palatino Linotype" w:hAnsi="Palatino Linotype" w:cs="Palatino Linotype"/>
        </w:rPr>
      </w:pPr>
      <w:r>
        <w:rPr>
          <w:rFonts w:ascii="Palatino Linotype" w:eastAsia="Palatino Linotype" w:hAnsi="Palatino Linotype" w:cs="Palatino Linotype"/>
        </w:rPr>
        <w:t>JUZGADO CÍVICO EN ALCOHOLIMETRÍA SEGUNDO TURNO.</w:t>
      </w:r>
    </w:p>
    <w:p w:rsidR="00EB590C" w:rsidRDefault="00090D1B">
      <w:pPr>
        <w:pBdr>
          <w:top w:val="nil"/>
          <w:left w:val="nil"/>
          <w:bottom w:val="nil"/>
          <w:right w:val="nil"/>
          <w:between w:val="nil"/>
        </w:pBdr>
        <w:ind w:left="567" w:right="-787"/>
        <w:jc w:val="both"/>
        <w:rPr>
          <w:rFonts w:ascii="Palatino Linotype" w:eastAsia="Palatino Linotype" w:hAnsi="Palatino Linotype" w:cs="Palatino Linotype"/>
        </w:rPr>
      </w:pPr>
      <w:r>
        <w:rPr>
          <w:rFonts w:ascii="Palatino Linotype" w:eastAsia="Palatino Linotype" w:hAnsi="Palatino Linotype" w:cs="Palatino Linotype"/>
        </w:rPr>
        <w:t>JUZGADO CÍVICO EN ALCOHOLIMETRÍA TERCER TURNO.</w:t>
      </w:r>
    </w:p>
    <w:p w:rsidR="00EB590C" w:rsidRDefault="00090D1B">
      <w:pPr>
        <w:pBdr>
          <w:top w:val="nil"/>
          <w:left w:val="nil"/>
          <w:bottom w:val="nil"/>
          <w:right w:val="nil"/>
          <w:between w:val="nil"/>
        </w:pBdr>
        <w:ind w:left="567" w:right="-787"/>
        <w:jc w:val="both"/>
        <w:rPr>
          <w:rFonts w:ascii="Palatino Linotype" w:eastAsia="Palatino Linotype" w:hAnsi="Palatino Linotype" w:cs="Palatino Linotype"/>
        </w:rPr>
      </w:pPr>
      <w:r>
        <w:rPr>
          <w:rFonts w:ascii="Palatino Linotype" w:eastAsia="Palatino Linotype" w:hAnsi="Palatino Linotype" w:cs="Palatino Linotype"/>
        </w:rPr>
        <w:t>JUZGADO CÍVICO EN HECHOS DE TRÁNSITO PRIMER TURNO.</w:t>
      </w:r>
    </w:p>
    <w:p w:rsidR="00EB590C" w:rsidRDefault="00090D1B">
      <w:pPr>
        <w:pBdr>
          <w:top w:val="nil"/>
          <w:left w:val="nil"/>
          <w:bottom w:val="nil"/>
          <w:right w:val="nil"/>
          <w:between w:val="nil"/>
        </w:pBdr>
        <w:ind w:left="567" w:right="-787"/>
        <w:jc w:val="both"/>
        <w:rPr>
          <w:rFonts w:ascii="Palatino Linotype" w:eastAsia="Palatino Linotype" w:hAnsi="Palatino Linotype" w:cs="Palatino Linotype"/>
        </w:rPr>
      </w:pPr>
      <w:r>
        <w:rPr>
          <w:rFonts w:ascii="Palatino Linotype" w:eastAsia="Palatino Linotype" w:hAnsi="Palatino Linotype" w:cs="Palatino Linotype"/>
        </w:rPr>
        <w:t>JUZGADO CIVICO EN HECHOS DE TRANSITO SEGUNDO TURNO.</w:t>
      </w:r>
    </w:p>
    <w:p w:rsidR="00EB590C" w:rsidRDefault="00090D1B">
      <w:pPr>
        <w:pBdr>
          <w:top w:val="nil"/>
          <w:left w:val="nil"/>
          <w:bottom w:val="nil"/>
          <w:right w:val="nil"/>
          <w:between w:val="nil"/>
        </w:pBdr>
        <w:ind w:left="567" w:right="-787"/>
        <w:jc w:val="both"/>
        <w:rPr>
          <w:rFonts w:ascii="Palatino Linotype" w:eastAsia="Palatino Linotype" w:hAnsi="Palatino Linotype" w:cs="Palatino Linotype"/>
        </w:rPr>
      </w:pPr>
      <w:r>
        <w:rPr>
          <w:rFonts w:ascii="Palatino Linotype" w:eastAsia="Palatino Linotype" w:hAnsi="Palatino Linotype" w:cs="Palatino Linotype"/>
        </w:rPr>
        <w:t>JUZGADO CIVICO EN HECHOS DE TRANSITO TERCER TURNO.</w:t>
      </w:r>
    </w:p>
    <w:p w:rsidR="00EB590C" w:rsidRDefault="00090D1B">
      <w:pPr>
        <w:pBdr>
          <w:top w:val="nil"/>
          <w:left w:val="nil"/>
          <w:bottom w:val="nil"/>
          <w:right w:val="nil"/>
          <w:between w:val="nil"/>
        </w:pBdr>
        <w:ind w:left="567" w:right="-787"/>
        <w:jc w:val="both"/>
        <w:rPr>
          <w:rFonts w:ascii="Palatino Linotype" w:eastAsia="Palatino Linotype" w:hAnsi="Palatino Linotype" w:cs="Palatino Linotype"/>
        </w:rPr>
      </w:pPr>
      <w:r>
        <w:rPr>
          <w:rFonts w:ascii="Palatino Linotype" w:eastAsia="Palatino Linotype" w:hAnsi="Palatino Linotype" w:cs="Palatino Linotype"/>
        </w:rPr>
        <w:t>JUZGADO CÍVICO EN INFRACCIONES ADMINISTRATIVAS PRIMER TURNO.</w:t>
      </w:r>
    </w:p>
    <w:p w:rsidR="00EB590C" w:rsidRDefault="00090D1B">
      <w:pPr>
        <w:pBdr>
          <w:top w:val="nil"/>
          <w:left w:val="nil"/>
          <w:bottom w:val="nil"/>
          <w:right w:val="nil"/>
          <w:between w:val="nil"/>
        </w:pBdr>
        <w:ind w:left="567" w:right="-787"/>
        <w:jc w:val="both"/>
        <w:rPr>
          <w:rFonts w:ascii="Palatino Linotype" w:eastAsia="Palatino Linotype" w:hAnsi="Palatino Linotype" w:cs="Palatino Linotype"/>
        </w:rPr>
      </w:pPr>
      <w:r>
        <w:rPr>
          <w:rFonts w:ascii="Palatino Linotype" w:eastAsia="Palatino Linotype" w:hAnsi="Palatino Linotype" w:cs="Palatino Linotype"/>
        </w:rPr>
        <w:t>JUZGADO CÍVICO EN INFRACCIONES ADMINISTRATIVAS SEGUNDO TURNO.</w:t>
      </w:r>
    </w:p>
    <w:p w:rsidR="00EB590C" w:rsidRDefault="00090D1B">
      <w:pPr>
        <w:pBdr>
          <w:top w:val="nil"/>
          <w:left w:val="nil"/>
          <w:bottom w:val="nil"/>
          <w:right w:val="nil"/>
          <w:between w:val="nil"/>
        </w:pBdr>
        <w:ind w:left="567" w:right="-787"/>
        <w:jc w:val="both"/>
        <w:rPr>
          <w:rFonts w:ascii="Palatino Linotype" w:eastAsia="Palatino Linotype" w:hAnsi="Palatino Linotype" w:cs="Palatino Linotype"/>
        </w:rPr>
      </w:pPr>
      <w:r>
        <w:rPr>
          <w:rFonts w:ascii="Palatino Linotype" w:eastAsia="Palatino Linotype" w:hAnsi="Palatino Linotype" w:cs="Palatino Linotype"/>
        </w:rPr>
        <w:t>JUZGADO CÍVICO EN INFRACCIONES ADMINISTRATIVAS TERCER TURNO</w:t>
      </w:r>
    </w:p>
    <w:p w:rsidR="00EB590C" w:rsidRDefault="00EB590C">
      <w:pPr>
        <w:pBdr>
          <w:top w:val="nil"/>
          <w:left w:val="nil"/>
          <w:bottom w:val="nil"/>
          <w:right w:val="nil"/>
          <w:between w:val="nil"/>
        </w:pBdr>
        <w:ind w:left="567" w:right="-787"/>
        <w:jc w:val="both"/>
        <w:rPr>
          <w:rFonts w:ascii="Palatino Linotype" w:eastAsia="Palatino Linotype" w:hAnsi="Palatino Linotype" w:cs="Palatino Linotype"/>
        </w:rPr>
      </w:pPr>
    </w:p>
    <w:p w:rsidR="00EB590C" w:rsidRDefault="00EB590C">
      <w:pPr>
        <w:pBdr>
          <w:top w:val="nil"/>
          <w:left w:val="nil"/>
          <w:bottom w:val="nil"/>
          <w:right w:val="nil"/>
          <w:between w:val="nil"/>
        </w:pBdr>
        <w:tabs>
          <w:tab w:val="left" w:pos="0"/>
        </w:tabs>
        <w:ind w:right="-787"/>
        <w:jc w:val="both"/>
        <w:rPr>
          <w:rFonts w:ascii="Palatino Linotype" w:eastAsia="Palatino Linotype" w:hAnsi="Palatino Linotype" w:cs="Palatino Linotype"/>
          <w:i/>
          <w:iCs/>
          <w:color w:val="000000"/>
        </w:rPr>
      </w:pPr>
    </w:p>
    <w:p w:rsidR="00EB590C" w:rsidRDefault="00090D1B">
      <w:pPr>
        <w:numPr>
          <w:ilvl w:val="0"/>
          <w:numId w:val="6"/>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cinco de diciembre de dos mil veinticinco</w:t>
      </w:r>
      <w:r>
        <w:rPr>
          <w:rFonts w:ascii="Palatino Linotype" w:eastAsia="Palatino Linotype" w:hAnsi="Palatino Linotype" w:cs="Palatino Linotype"/>
          <w:color w:val="000000"/>
        </w:rPr>
        <w:t xml:space="preserve">, el particular interpuso el Recurso de Revisión al que se le asignó el folio </w:t>
      </w:r>
      <w:r>
        <w:rPr>
          <w:rFonts w:ascii="Palatino Linotype" w:eastAsia="Palatino Linotype" w:hAnsi="Palatino Linotype" w:cs="Palatino Linotype"/>
          <w:b/>
          <w:bCs/>
          <w:color w:val="000000"/>
        </w:rPr>
        <w:t xml:space="preserve">13843/INFOEM/IP/RR/2025, </w:t>
      </w:r>
      <w:r>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EB590C" w:rsidRDefault="00EB590C">
      <w:pPr>
        <w:pBdr>
          <w:top w:val="nil"/>
          <w:left w:val="nil"/>
          <w:bottom w:val="nil"/>
          <w:right w:val="nil"/>
          <w:between w:val="nil"/>
        </w:pBdr>
        <w:ind w:left="1571" w:right="-787"/>
        <w:jc w:val="both"/>
        <w:rPr>
          <w:rFonts w:ascii="Palatino Linotype" w:eastAsia="Palatino Linotype" w:hAnsi="Palatino Linotype" w:cs="Palatino Linotype"/>
          <w:b/>
          <w:bCs/>
          <w:color w:val="000000"/>
        </w:rPr>
      </w:pPr>
      <w:bookmarkStart w:id="2" w:name="_heading=h.30j0zll" w:colFirst="0" w:colLast="0"/>
      <w:bookmarkEnd w:id="2"/>
    </w:p>
    <w:p w:rsidR="00995C52" w:rsidRDefault="00995C52">
      <w:pPr>
        <w:pBdr>
          <w:top w:val="nil"/>
          <w:left w:val="nil"/>
          <w:bottom w:val="nil"/>
          <w:right w:val="nil"/>
          <w:between w:val="nil"/>
        </w:pBdr>
        <w:ind w:left="1571" w:right="-787"/>
        <w:jc w:val="both"/>
        <w:rPr>
          <w:rFonts w:ascii="Palatino Linotype" w:eastAsia="Palatino Linotype" w:hAnsi="Palatino Linotype" w:cs="Palatino Linotype"/>
          <w:b/>
          <w:bCs/>
          <w:color w:val="000000"/>
        </w:rPr>
      </w:pPr>
    </w:p>
    <w:p w:rsidR="00EB590C" w:rsidRDefault="00090D1B">
      <w:pPr>
        <w:numPr>
          <w:ilvl w:val="0"/>
          <w:numId w:val="2"/>
        </w:numPr>
        <w:pBdr>
          <w:top w:val="nil"/>
          <w:left w:val="nil"/>
          <w:bottom w:val="nil"/>
          <w:right w:val="nil"/>
          <w:between w:val="nil"/>
        </w:pBdr>
        <w:ind w:right="-57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 xml:space="preserve">Acto impugnado: </w:t>
      </w:r>
    </w:p>
    <w:p w:rsidR="00EB590C" w:rsidRDefault="00090D1B">
      <w:pPr>
        <w:pBdr>
          <w:top w:val="nil"/>
          <w:left w:val="nil"/>
          <w:bottom w:val="nil"/>
          <w:right w:val="nil"/>
          <w:between w:val="nil"/>
        </w:pBdr>
        <w:ind w:left="851" w:right="-57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información esta incompleta no esta todo lo solicitado falta” (Sic)</w:t>
      </w:r>
    </w:p>
    <w:p w:rsidR="00EB590C" w:rsidRDefault="00EB590C">
      <w:pPr>
        <w:pBdr>
          <w:top w:val="nil"/>
          <w:left w:val="nil"/>
          <w:bottom w:val="nil"/>
          <w:right w:val="nil"/>
          <w:between w:val="nil"/>
        </w:pBdr>
        <w:ind w:left="851" w:right="-574"/>
        <w:jc w:val="both"/>
        <w:rPr>
          <w:rFonts w:ascii="Palatino Linotype" w:eastAsia="Palatino Linotype" w:hAnsi="Palatino Linotype" w:cs="Palatino Linotype"/>
          <w:i/>
          <w:iCs/>
          <w:color w:val="000000"/>
        </w:rPr>
      </w:pPr>
    </w:p>
    <w:p w:rsidR="00EB590C" w:rsidRDefault="00090D1B">
      <w:pPr>
        <w:numPr>
          <w:ilvl w:val="0"/>
          <w:numId w:val="1"/>
        </w:numPr>
        <w:pBdr>
          <w:top w:val="nil"/>
          <w:left w:val="nil"/>
          <w:bottom w:val="nil"/>
          <w:right w:val="nil"/>
          <w:between w:val="nil"/>
        </w:pBdr>
        <w:ind w:right="-574"/>
        <w:jc w:val="both"/>
        <w:rPr>
          <w:rFonts w:ascii="Palatino Linotype" w:eastAsia="Palatino Linotype" w:hAnsi="Palatino Linotype" w:cs="Palatino Linotype"/>
          <w:b/>
          <w:bCs/>
          <w:color w:val="000000"/>
        </w:rPr>
      </w:pPr>
      <w:bookmarkStart w:id="3" w:name="_heading=h.1fob9te" w:colFirst="0" w:colLast="0"/>
      <w:bookmarkEnd w:id="3"/>
      <w:r>
        <w:rPr>
          <w:rFonts w:ascii="Palatino Linotype" w:eastAsia="Palatino Linotype" w:hAnsi="Palatino Linotype" w:cs="Palatino Linotype"/>
          <w:b/>
          <w:bCs/>
          <w:color w:val="000000"/>
        </w:rPr>
        <w:t xml:space="preserve">Razones o Motivos de inconformidad: </w:t>
      </w:r>
    </w:p>
    <w:p w:rsidR="00EB590C" w:rsidRDefault="00090D1B">
      <w:pPr>
        <w:pBdr>
          <w:top w:val="nil"/>
          <w:left w:val="nil"/>
          <w:bottom w:val="nil"/>
          <w:right w:val="nil"/>
          <w:between w:val="nil"/>
        </w:pBdr>
        <w:ind w:left="851" w:right="-574"/>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 xml:space="preserve">“la información esta incompleta no esta todo lo solicitado falta” </w:t>
      </w:r>
      <w:r>
        <w:rPr>
          <w:rFonts w:ascii="Palatino Linotype" w:eastAsia="Palatino Linotype" w:hAnsi="Palatino Linotype" w:cs="Palatino Linotype"/>
          <w:color w:val="000000"/>
        </w:rPr>
        <w:t>(Sic)</w:t>
      </w:r>
    </w:p>
    <w:p w:rsidR="00995C52" w:rsidRDefault="00995C52">
      <w:pPr>
        <w:pBdr>
          <w:top w:val="nil"/>
          <w:left w:val="nil"/>
          <w:bottom w:val="nil"/>
          <w:right w:val="nil"/>
          <w:between w:val="nil"/>
        </w:pBdr>
        <w:ind w:left="851" w:right="-574"/>
        <w:jc w:val="both"/>
        <w:rPr>
          <w:rFonts w:ascii="Palatino Linotype" w:eastAsia="Palatino Linotype" w:hAnsi="Palatino Linotype" w:cs="Palatino Linotype"/>
          <w:color w:val="000000"/>
        </w:rPr>
      </w:pPr>
    </w:p>
    <w:p w:rsidR="00EB590C" w:rsidRDefault="00090D1B">
      <w:pPr>
        <w:numPr>
          <w:ilvl w:val="0"/>
          <w:numId w:val="6"/>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 fecha </w:t>
      </w:r>
      <w:r>
        <w:rPr>
          <w:rFonts w:ascii="Palatino Linotype" w:eastAsia="Palatino Linotype" w:hAnsi="Palatino Linotype" w:cs="Palatino Linotype"/>
          <w:b/>
          <w:bCs/>
          <w:color w:val="000000"/>
        </w:rPr>
        <w:t xml:space="preserve">diez de diciembre de dos mil veinticinco, </w:t>
      </w:r>
      <w:r>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EB590C" w:rsidRDefault="00EB590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EB590C" w:rsidRDefault="00090D1B">
      <w:pPr>
        <w:numPr>
          <w:ilvl w:val="0"/>
          <w:numId w:val="6"/>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El Recurrente dejó de realizar manifestaciones que a su derecho conviniera y asistiera. Por su parte, el Sujeto Obligado,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en fecha</w:t>
      </w:r>
      <w:r>
        <w:rPr>
          <w:rFonts w:ascii="Palatino Linotype" w:eastAsia="Palatino Linotype" w:hAnsi="Palatino Linotype" w:cs="Palatino Linotype"/>
          <w:b/>
          <w:bCs/>
          <w:color w:val="000000"/>
        </w:rPr>
        <w:t xml:space="preserve"> ocho de diciembre de dos mil veinticinco </w:t>
      </w:r>
      <w:r>
        <w:rPr>
          <w:rFonts w:ascii="Palatino Linotype" w:eastAsia="Palatino Linotype" w:hAnsi="Palatino Linotype" w:cs="Palatino Linotype"/>
          <w:color w:val="000000"/>
        </w:rPr>
        <w:t xml:space="preserve">presentó </w:t>
      </w:r>
      <w:r>
        <w:rPr>
          <w:rFonts w:ascii="Palatino Linotype" w:eastAsia="Palatino Linotype" w:hAnsi="Palatino Linotype" w:cs="Palatino Linotype"/>
          <w:b/>
          <w:bCs/>
          <w:color w:val="000000"/>
        </w:rPr>
        <w:t>informe justificado</w:t>
      </w:r>
      <w:r>
        <w:rPr>
          <w:rFonts w:ascii="Palatino Linotype" w:eastAsia="Palatino Linotype" w:hAnsi="Palatino Linotype" w:cs="Palatino Linotype"/>
          <w:color w:val="000000"/>
        </w:rPr>
        <w:t xml:space="preserve"> a través de los siguientes archivos electrónicos: </w:t>
      </w:r>
    </w:p>
    <w:p w:rsidR="00EB590C" w:rsidRDefault="00090D1B">
      <w:pPr>
        <w:pBdr>
          <w:top w:val="nil"/>
          <w:left w:val="nil"/>
          <w:bottom w:val="nil"/>
          <w:right w:val="nil"/>
          <w:between w:val="nil"/>
        </w:pBdr>
        <w:tabs>
          <w:tab w:val="left" w:pos="1134"/>
        </w:tabs>
        <w:ind w:left="567" w:right="-7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13843-2025-DGA.pdf</w:t>
      </w:r>
    </w:p>
    <w:p w:rsidR="00EB590C" w:rsidRDefault="00090D1B">
      <w:pPr>
        <w:pBdr>
          <w:top w:val="nil"/>
          <w:left w:val="nil"/>
          <w:bottom w:val="nil"/>
          <w:right w:val="nil"/>
          <w:between w:val="nil"/>
        </w:pBdr>
        <w:tabs>
          <w:tab w:val="left" w:pos="1134"/>
        </w:tabs>
        <w:ind w:left="567" w:right="-7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Número de Oficio: 206010000/7360/2025 de fecha 15 de diciembre de 2025, firmado por la </w:t>
      </w:r>
      <w:r>
        <w:rPr>
          <w:rFonts w:ascii="Palatino Linotype" w:eastAsia="Palatino Linotype" w:hAnsi="Palatino Linotype" w:cs="Palatino Linotype"/>
          <w:b/>
          <w:bCs/>
          <w:color w:val="000000"/>
        </w:rPr>
        <w:t>Directora General de Administración</w:t>
      </w:r>
      <w:r>
        <w:rPr>
          <w:rFonts w:ascii="Palatino Linotype" w:eastAsia="Palatino Linotype" w:hAnsi="Palatino Linotype" w:cs="Palatino Linotype"/>
          <w:color w:val="000000"/>
        </w:rPr>
        <w:t xml:space="preserve">, a través del cual </w:t>
      </w:r>
      <w:r>
        <w:rPr>
          <w:rFonts w:ascii="Palatino Linotype" w:eastAsia="Palatino Linotype" w:hAnsi="Palatino Linotype" w:cs="Palatino Linotype"/>
          <w:b/>
          <w:bCs/>
          <w:color w:val="000000"/>
        </w:rPr>
        <w:t>ratifica la respuesta inicial</w:t>
      </w:r>
      <w:r>
        <w:rPr>
          <w:rFonts w:ascii="Palatino Linotype" w:eastAsia="Palatino Linotype" w:hAnsi="Palatino Linotype" w:cs="Palatino Linotype"/>
          <w:color w:val="000000"/>
        </w:rPr>
        <w:t>.</w:t>
      </w:r>
    </w:p>
    <w:p w:rsidR="00EB590C" w:rsidRDefault="00EB590C">
      <w:pPr>
        <w:pBdr>
          <w:top w:val="nil"/>
          <w:left w:val="nil"/>
          <w:bottom w:val="nil"/>
          <w:right w:val="nil"/>
          <w:between w:val="nil"/>
        </w:pBdr>
        <w:tabs>
          <w:tab w:val="left" w:pos="1134"/>
        </w:tabs>
        <w:ind w:left="567" w:right="-79"/>
        <w:jc w:val="both"/>
        <w:rPr>
          <w:rFonts w:ascii="Palatino Linotype" w:eastAsia="Palatino Linotype" w:hAnsi="Palatino Linotype" w:cs="Palatino Linotype"/>
          <w:b/>
          <w:bCs/>
          <w:i/>
          <w:iCs/>
          <w:color w:val="000000"/>
        </w:rPr>
      </w:pPr>
    </w:p>
    <w:p w:rsidR="00EB590C" w:rsidRDefault="00090D1B">
      <w:pPr>
        <w:pBdr>
          <w:top w:val="nil"/>
          <w:left w:val="nil"/>
          <w:bottom w:val="nil"/>
          <w:right w:val="nil"/>
          <w:between w:val="nil"/>
        </w:pBdr>
        <w:tabs>
          <w:tab w:val="left" w:pos="1134"/>
        </w:tabs>
        <w:ind w:left="567" w:right="-7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Ratificación 13843.pdf</w:t>
      </w:r>
    </w:p>
    <w:p w:rsidR="00EB590C" w:rsidRDefault="00090D1B">
      <w:pPr>
        <w:pBdr>
          <w:top w:val="nil"/>
          <w:left w:val="nil"/>
          <w:bottom w:val="nil"/>
          <w:right w:val="nil"/>
          <w:between w:val="nil"/>
        </w:pBdr>
        <w:tabs>
          <w:tab w:val="left" w:pos="1134"/>
        </w:tabs>
        <w:ind w:left="567" w:right="-7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 suscrito por el Titular de la Unidad de Transparencia, a través del cual ratifica la respuesta emitida por la DIRECCIÓN GENERAL DE ADMINISTRACIÓN y la CONSEJERIA JURÍDICA.</w:t>
      </w:r>
    </w:p>
    <w:p w:rsidR="00EB590C" w:rsidRDefault="00EB590C">
      <w:pPr>
        <w:pBdr>
          <w:top w:val="nil"/>
          <w:left w:val="nil"/>
          <w:bottom w:val="nil"/>
          <w:right w:val="nil"/>
          <w:between w:val="nil"/>
        </w:pBdr>
        <w:tabs>
          <w:tab w:val="left" w:pos="1134"/>
        </w:tabs>
        <w:ind w:left="567" w:right="-79"/>
        <w:jc w:val="both"/>
        <w:rPr>
          <w:rFonts w:ascii="Palatino Linotype" w:eastAsia="Palatino Linotype" w:hAnsi="Palatino Linotype" w:cs="Palatino Linotype"/>
          <w:b/>
          <w:bCs/>
          <w:i/>
          <w:iCs/>
          <w:color w:val="000000"/>
        </w:rPr>
      </w:pPr>
    </w:p>
    <w:p w:rsidR="00EB590C" w:rsidRDefault="00090D1B">
      <w:pPr>
        <w:pBdr>
          <w:top w:val="nil"/>
          <w:left w:val="nil"/>
          <w:bottom w:val="nil"/>
          <w:right w:val="nil"/>
          <w:between w:val="nil"/>
        </w:pBdr>
        <w:tabs>
          <w:tab w:val="left" w:pos="1134"/>
        </w:tabs>
        <w:ind w:left="567" w:right="-7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Ratificación 13843.pdf</w:t>
      </w:r>
    </w:p>
    <w:p w:rsidR="00EB590C" w:rsidRDefault="00090D1B">
      <w:pPr>
        <w:pBdr>
          <w:top w:val="nil"/>
          <w:left w:val="nil"/>
          <w:bottom w:val="nil"/>
          <w:right w:val="nil"/>
          <w:between w:val="nil"/>
        </w:pBdr>
        <w:tabs>
          <w:tab w:val="left" w:pos="1134"/>
        </w:tabs>
        <w:ind w:left="567" w:right="-7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Mismo documento descrito en el archivo anterior.</w:t>
      </w:r>
    </w:p>
    <w:p w:rsidR="00EB590C" w:rsidRDefault="00EB590C">
      <w:pPr>
        <w:pBdr>
          <w:top w:val="nil"/>
          <w:left w:val="nil"/>
          <w:bottom w:val="nil"/>
          <w:right w:val="nil"/>
          <w:between w:val="nil"/>
        </w:pBdr>
        <w:tabs>
          <w:tab w:val="left" w:pos="1134"/>
        </w:tabs>
        <w:ind w:left="567" w:right="-79"/>
        <w:jc w:val="both"/>
        <w:rPr>
          <w:rFonts w:ascii="Palatino Linotype" w:eastAsia="Palatino Linotype" w:hAnsi="Palatino Linotype" w:cs="Palatino Linotype"/>
          <w:color w:val="000000"/>
        </w:rPr>
      </w:pPr>
    </w:p>
    <w:p w:rsidR="00EB590C" w:rsidRDefault="00EB590C">
      <w:pPr>
        <w:pBdr>
          <w:top w:val="nil"/>
          <w:left w:val="nil"/>
          <w:bottom w:val="nil"/>
          <w:right w:val="nil"/>
          <w:between w:val="nil"/>
        </w:pBdr>
        <w:ind w:right="-79"/>
        <w:jc w:val="both"/>
        <w:rPr>
          <w:rFonts w:ascii="Palatino Linotype" w:eastAsia="Palatino Linotype" w:hAnsi="Palatino Linotype" w:cs="Palatino Linotype"/>
          <w:color w:val="000000"/>
        </w:rPr>
      </w:pPr>
    </w:p>
    <w:p w:rsidR="00EB590C" w:rsidRDefault="00090D1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lastRenderedPageBreak/>
        <w:t>En fecha</w:t>
      </w:r>
      <w:r>
        <w:rPr>
          <w:rFonts w:ascii="Palatino Linotype" w:eastAsia="Palatino Linotype" w:hAnsi="Palatino Linotype" w:cs="Palatino Linotype"/>
          <w:b/>
          <w:bCs/>
          <w:color w:val="000000"/>
        </w:rPr>
        <w:t xml:space="preserve"> doce de febrero de dos mil veintiséis</w:t>
      </w:r>
      <w:r>
        <w:rPr>
          <w:rFonts w:ascii="Palatino Linotype" w:eastAsia="Palatino Linotype" w:hAnsi="Palatino Linotype" w:cs="Palatino Linotype"/>
          <w:color w:val="000000"/>
        </w:rPr>
        <w:t xml:space="preserve">, se acordó ampliar el </w:t>
      </w:r>
      <w:r>
        <w:rPr>
          <w:rFonts w:ascii="Palatino Linotype" w:eastAsia="Palatino Linotype" w:hAnsi="Palatino Linotype" w:cs="Palatino Linotype"/>
        </w:rPr>
        <w:t>plazo</w:t>
      </w:r>
      <w:r>
        <w:rPr>
          <w:rFonts w:ascii="Palatino Linotype" w:eastAsia="Palatino Linotype" w:hAnsi="Palatino Linotype" w:cs="Palatino Linotype"/>
          <w:color w:val="000000"/>
        </w:rPr>
        <w:t xml:space="preserve"> para resolver el presente Recurso de Revisión.</w:t>
      </w:r>
    </w:p>
    <w:p w:rsidR="00EB590C" w:rsidRDefault="00EB590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EB590C" w:rsidRDefault="00090D1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4" w:name="_heading=h.3znysh7" w:colFirst="0" w:colLast="0"/>
      <w:bookmarkEnd w:id="4"/>
      <w:r>
        <w:rPr>
          <w:rFonts w:ascii="Palatino Linotype" w:eastAsia="Palatino Linotype" w:hAnsi="Palatino Linotype" w:cs="Palatino Linotype"/>
          <w:color w:val="000000"/>
        </w:rPr>
        <w:t xml:space="preserve">Seguidamente, en fecha </w:t>
      </w:r>
      <w:r>
        <w:rPr>
          <w:rFonts w:ascii="Palatino Linotype" w:eastAsia="Palatino Linotype" w:hAnsi="Palatino Linotype" w:cs="Palatino Linotype"/>
          <w:b/>
          <w:bCs/>
          <w:color w:val="000000"/>
        </w:rPr>
        <w:t>veinticinco de mayo de dos mil veintiséis</w:t>
      </w:r>
      <w:r>
        <w:rPr>
          <w:rFonts w:ascii="Palatino Linotype" w:eastAsia="Palatino Linotype" w:hAnsi="Palatino Linotype" w:cs="Palatino Linotype"/>
          <w:color w:val="000000"/>
        </w:rPr>
        <w:t xml:space="preserve">, la Comisionada Ponente dictó el </w:t>
      </w:r>
      <w:r>
        <w:rPr>
          <w:rFonts w:ascii="Palatino Linotype" w:eastAsia="Palatino Linotype" w:hAnsi="Palatino Linotype" w:cs="Palatino Linotype"/>
          <w:b/>
          <w:bCs/>
          <w:color w:val="000000"/>
        </w:rPr>
        <w:t>cierre del periodo de instrucción</w:t>
      </w:r>
      <w:r>
        <w:rPr>
          <w:rFonts w:ascii="Palatino Linotype" w:eastAsia="Palatino Linotype" w:hAnsi="Palatino Linotype" w:cs="Palatino Linotype"/>
          <w:color w:val="000000"/>
        </w:rPr>
        <w:t xml:space="preserve"> y, ordenó la resolución que conforme a Derecho proceda:</w:t>
      </w:r>
    </w:p>
    <w:p w:rsidR="00EB590C" w:rsidRDefault="00EB590C">
      <w:pPr>
        <w:pBdr>
          <w:top w:val="nil"/>
          <w:left w:val="nil"/>
          <w:bottom w:val="nil"/>
          <w:right w:val="nil"/>
          <w:between w:val="nil"/>
        </w:pBdr>
        <w:ind w:left="720" w:right="-787"/>
        <w:rPr>
          <w:rFonts w:ascii="Palatino Linotype" w:eastAsia="Palatino Linotype" w:hAnsi="Palatino Linotype" w:cs="Palatino Linotype"/>
          <w:b/>
          <w:bCs/>
          <w:color w:val="000000"/>
        </w:rPr>
      </w:pPr>
    </w:p>
    <w:p w:rsidR="00EB590C" w:rsidRDefault="00090D1B">
      <w:pPr>
        <w:keepNext/>
        <w:keepLines/>
        <w:spacing w:line="360" w:lineRule="auto"/>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C O N S I D E R A N D O </w:t>
      </w:r>
    </w:p>
    <w:p w:rsidR="00EB590C" w:rsidRDefault="00EB590C">
      <w:pPr>
        <w:spacing w:line="360" w:lineRule="auto"/>
        <w:rPr>
          <w:rFonts w:ascii="Palatino Linotype" w:eastAsia="Palatino Linotype" w:hAnsi="Palatino Linotype" w:cs="Palatino Linotype"/>
        </w:rPr>
      </w:pPr>
    </w:p>
    <w:p w:rsidR="00EB590C" w:rsidRDefault="00090D1B">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PRIMERO. De la competencia</w:t>
      </w:r>
    </w:p>
    <w:p w:rsidR="00EB590C" w:rsidRDefault="00090D1B">
      <w:pPr>
        <w:numPr>
          <w:ilvl w:val="0"/>
          <w:numId w:val="6"/>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Este Instituto </w:t>
      </w:r>
      <w:r>
        <w:rPr>
          <w:rFonts w:ascii="Palatino Linotype" w:eastAsia="Palatino Linotype" w:hAnsi="Palatino Linotype" w:cs="Palatino Linotype"/>
        </w:rPr>
        <w:t>de</w:t>
      </w:r>
      <w:r>
        <w:rPr>
          <w:rFonts w:ascii="Palatino Linotype" w:eastAsia="Palatino Linotype" w:hAnsi="Palatino Linotype" w:cs="Palatino Linotype"/>
          <w:color w:val="000000"/>
        </w:rPr>
        <w:t xml:space="preserv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EB590C" w:rsidRDefault="00EB590C">
      <w:pPr>
        <w:tabs>
          <w:tab w:val="left" w:pos="426"/>
        </w:tabs>
        <w:spacing w:line="360" w:lineRule="auto"/>
        <w:jc w:val="both"/>
        <w:rPr>
          <w:rFonts w:ascii="Palatino Linotype" w:eastAsia="Palatino Linotype" w:hAnsi="Palatino Linotype" w:cs="Palatino Linotype"/>
          <w:color w:val="000000"/>
        </w:rPr>
      </w:pPr>
    </w:p>
    <w:p w:rsidR="00EB590C" w:rsidRDefault="00090D1B">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SEGUNDO. De la oportunidad y procedencia.</w:t>
      </w:r>
    </w:p>
    <w:p w:rsidR="00EB590C" w:rsidRDefault="00090D1B">
      <w:pPr>
        <w:numPr>
          <w:ilvl w:val="0"/>
          <w:numId w:val="6"/>
        </w:numPr>
        <w:pBdr>
          <w:top w:val="nil"/>
          <w:left w:val="nil"/>
          <w:bottom w:val="nil"/>
          <w:right w:val="nil"/>
          <w:between w:val="nil"/>
        </w:pBdr>
        <w:spacing w:line="360" w:lineRule="auto"/>
        <w:ind w:left="0" w:right="-787" w:firstLine="0"/>
        <w:jc w:val="both"/>
      </w:pPr>
      <w:bookmarkStart w:id="5" w:name="_heading=h.2et92p0" w:colFirst="0" w:colLast="0"/>
      <w:bookmarkEnd w:id="5"/>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w:t>
      </w:r>
      <w:r>
        <w:rPr>
          <w:rFonts w:ascii="Palatino Linotype" w:eastAsia="Palatino Linotype" w:hAnsi="Palatino Linotype" w:cs="Palatino Linotype"/>
        </w:rPr>
        <w:lastRenderedPageBreak/>
        <w:t xml:space="preserve">respuesta el </w:t>
      </w:r>
      <w:r>
        <w:rPr>
          <w:rFonts w:ascii="Palatino Linotype" w:eastAsia="Palatino Linotype" w:hAnsi="Palatino Linotype" w:cs="Palatino Linotype"/>
          <w:b/>
          <w:bCs/>
        </w:rPr>
        <w:t>dos de diciembre de dos mil veinticinco</w:t>
      </w:r>
      <w:r>
        <w:rPr>
          <w:rFonts w:ascii="Palatino Linotype" w:eastAsia="Palatino Linotype" w:hAnsi="Palatino Linotype" w:cs="Palatino Linotype"/>
        </w:rPr>
        <w:t xml:space="preserve">, de tal forma que el plazo para interponer el recurso transcurrió del </w:t>
      </w:r>
      <w:r>
        <w:rPr>
          <w:rFonts w:ascii="Palatino Linotype" w:eastAsia="Palatino Linotype" w:hAnsi="Palatino Linotype" w:cs="Palatino Linotype"/>
          <w:b/>
          <w:bCs/>
        </w:rPr>
        <w:t xml:space="preserve">tres de diciembre de dos mil veinticinco al trece de enero de dos mil veintiséis, </w:t>
      </w:r>
      <w:r>
        <w:rPr>
          <w:rFonts w:ascii="Palatino Linotype" w:eastAsia="Palatino Linotype" w:hAnsi="Palatino Linotype" w:cs="Palatino Linotype"/>
        </w:rPr>
        <w:t xml:space="preserve">en consecuencia, si el </w:t>
      </w:r>
      <w:r>
        <w:rPr>
          <w:rFonts w:ascii="Palatino Linotype" w:eastAsia="Palatino Linotype" w:hAnsi="Palatino Linotype" w:cs="Palatino Linotype"/>
          <w:b/>
          <w:bCs/>
        </w:rPr>
        <w:t>PARTICULAR</w:t>
      </w:r>
      <w:r>
        <w:rPr>
          <w:rFonts w:ascii="Palatino Linotype" w:eastAsia="Palatino Linotype" w:hAnsi="Palatino Linotype" w:cs="Palatino Linotype"/>
        </w:rPr>
        <w:t xml:space="preserve"> presentó su inconformidad el </w:t>
      </w:r>
      <w:r>
        <w:rPr>
          <w:rFonts w:ascii="Palatino Linotype" w:eastAsia="Palatino Linotype" w:hAnsi="Palatino Linotype" w:cs="Palatino Linotype"/>
          <w:b/>
          <w:bCs/>
        </w:rPr>
        <w:t>tres de diciembre de dos mil veinticinco</w:t>
      </w:r>
      <w:r>
        <w:rPr>
          <w:rFonts w:ascii="Palatino Linotype" w:eastAsia="Palatino Linotype" w:hAnsi="Palatino Linotype" w:cs="Palatino Linotype"/>
        </w:rPr>
        <w:t xml:space="preserve">, este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vigente. </w:t>
      </w:r>
    </w:p>
    <w:p w:rsidR="00EB590C" w:rsidRDefault="00EB590C">
      <w:pPr>
        <w:spacing w:line="360" w:lineRule="auto"/>
        <w:ind w:right="49"/>
        <w:jc w:val="both"/>
        <w:rPr>
          <w:rFonts w:ascii="Palatino Linotype" w:eastAsia="Palatino Linotype" w:hAnsi="Palatino Linotype" w:cs="Palatino Linotype"/>
        </w:rPr>
      </w:pPr>
    </w:p>
    <w:p w:rsidR="00EB590C" w:rsidRDefault="00090D1B">
      <w:pPr>
        <w:pStyle w:val="Ttulo2"/>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p>
    <w:p w:rsidR="00EB590C" w:rsidRDefault="00090D1B">
      <w:pPr>
        <w:numPr>
          <w:ilvl w:val="0"/>
          <w:numId w:val="6"/>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rPr>
        <w:t>Se</w:t>
      </w:r>
      <w:r>
        <w:rPr>
          <w:rFonts w:ascii="Palatino Linotype" w:eastAsia="Palatino Linotype" w:hAnsi="Palatino Linotype" w:cs="Palatino Linotype"/>
          <w:color w:val="000000"/>
        </w:rPr>
        <w:t xml:space="preserve"> solicitó tener acceso, a la información que a continuación se simplifica:</w:t>
      </w:r>
    </w:p>
    <w:p w:rsidR="00EB590C" w:rsidRDefault="00090D1B">
      <w:pPr>
        <w:numPr>
          <w:ilvl w:val="0"/>
          <w:numId w:val="9"/>
        </w:numPr>
        <w:pBdr>
          <w:top w:val="nil"/>
          <w:left w:val="nil"/>
          <w:bottom w:val="nil"/>
          <w:right w:val="nil"/>
          <w:between w:val="nil"/>
        </w:pBdr>
        <w:ind w:right="-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De los Jueces y Secretarios Cívicos:</w:t>
      </w:r>
    </w:p>
    <w:p w:rsidR="00EB590C" w:rsidRDefault="00090D1B">
      <w:pPr>
        <w:numPr>
          <w:ilvl w:val="1"/>
          <w:numId w:val="9"/>
        </w:numPr>
        <w:pBdr>
          <w:top w:val="nil"/>
          <w:left w:val="nil"/>
          <w:bottom w:val="nil"/>
          <w:right w:val="nil"/>
          <w:between w:val="nil"/>
        </w:pBdr>
        <w:ind w:right="-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Nombre</w:t>
      </w:r>
    </w:p>
    <w:p w:rsidR="00EB590C" w:rsidRDefault="00090D1B">
      <w:pPr>
        <w:numPr>
          <w:ilvl w:val="1"/>
          <w:numId w:val="9"/>
        </w:numPr>
        <w:pBdr>
          <w:top w:val="nil"/>
          <w:left w:val="nil"/>
          <w:bottom w:val="nil"/>
          <w:right w:val="nil"/>
          <w:between w:val="nil"/>
        </w:pBdr>
        <w:ind w:right="-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Sueldo</w:t>
      </w:r>
    </w:p>
    <w:p w:rsidR="00EB590C" w:rsidRDefault="00090D1B">
      <w:pPr>
        <w:numPr>
          <w:ilvl w:val="1"/>
          <w:numId w:val="9"/>
        </w:numPr>
        <w:pBdr>
          <w:top w:val="nil"/>
          <w:left w:val="nil"/>
          <w:bottom w:val="nil"/>
          <w:right w:val="nil"/>
          <w:between w:val="nil"/>
        </w:pBdr>
        <w:ind w:right="-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Acciones</w:t>
      </w:r>
    </w:p>
    <w:p w:rsidR="00EB590C" w:rsidRDefault="00090D1B">
      <w:pPr>
        <w:numPr>
          <w:ilvl w:val="1"/>
          <w:numId w:val="9"/>
        </w:numPr>
        <w:pBdr>
          <w:top w:val="nil"/>
          <w:left w:val="nil"/>
          <w:bottom w:val="nil"/>
          <w:right w:val="nil"/>
          <w:between w:val="nil"/>
        </w:pBdr>
        <w:ind w:right="-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Funciones</w:t>
      </w:r>
    </w:p>
    <w:p w:rsidR="00EB590C" w:rsidRDefault="00090D1B">
      <w:pPr>
        <w:numPr>
          <w:ilvl w:val="1"/>
          <w:numId w:val="9"/>
        </w:numPr>
        <w:pBdr>
          <w:top w:val="nil"/>
          <w:left w:val="nil"/>
          <w:bottom w:val="nil"/>
          <w:right w:val="nil"/>
          <w:between w:val="nil"/>
        </w:pBdr>
        <w:ind w:right="-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Turnos</w:t>
      </w:r>
    </w:p>
    <w:p w:rsidR="00EB590C" w:rsidRDefault="00EB590C">
      <w:pPr>
        <w:pBdr>
          <w:top w:val="nil"/>
          <w:left w:val="nil"/>
          <w:bottom w:val="nil"/>
          <w:right w:val="nil"/>
          <w:between w:val="nil"/>
        </w:pBdr>
        <w:ind w:left="720" w:right="-788"/>
        <w:jc w:val="both"/>
        <w:rPr>
          <w:rFonts w:ascii="Palatino Linotype" w:eastAsia="Palatino Linotype" w:hAnsi="Palatino Linotype" w:cs="Palatino Linotype"/>
          <w:color w:val="000000"/>
        </w:rPr>
      </w:pPr>
    </w:p>
    <w:p w:rsidR="00EB590C" w:rsidRDefault="00090D1B">
      <w:pPr>
        <w:numPr>
          <w:ilvl w:val="0"/>
          <w:numId w:val="6"/>
        </w:numPr>
        <w:spacing w:line="360" w:lineRule="auto"/>
        <w:ind w:left="0" w:right="-787" w:firstLine="0"/>
        <w:jc w:val="both"/>
        <w:rPr>
          <w:color w:val="000000"/>
        </w:rPr>
      </w:pPr>
      <w:r>
        <w:rPr>
          <w:rFonts w:ascii="Palatino Linotype" w:eastAsia="Palatino Linotype" w:hAnsi="Palatino Linotype" w:cs="Palatino Linotype"/>
        </w:rPr>
        <w:t>En respuesta, el Sujeto Obligado</w:t>
      </w:r>
      <w:r>
        <w:rPr>
          <w:rFonts w:ascii="Palatino Linotype" w:eastAsia="Palatino Linotype" w:hAnsi="Palatino Linotype" w:cs="Palatino Linotype"/>
          <w:b/>
          <w:bCs/>
        </w:rPr>
        <w:t xml:space="preserve"> </w:t>
      </w:r>
      <w:r>
        <w:rPr>
          <w:rFonts w:ascii="Palatino Linotype" w:eastAsia="Palatino Linotype" w:hAnsi="Palatino Linotype" w:cs="Palatino Linotype"/>
        </w:rPr>
        <w:t>remitió el archivo ya descrito en el párrafo 2, inconforme con la respuesta, se interpuso recurso de revisión argumentando sustancialmente la entrega de información incompleta.</w:t>
      </w:r>
    </w:p>
    <w:p w:rsidR="00EB590C" w:rsidRDefault="00EB590C">
      <w:pPr>
        <w:ind w:left="720" w:right="-788"/>
        <w:jc w:val="both"/>
        <w:rPr>
          <w:rFonts w:ascii="Palatino Linotype" w:eastAsia="Palatino Linotype" w:hAnsi="Palatino Linotype" w:cs="Palatino Linotype"/>
          <w:i/>
          <w:iCs/>
          <w:color w:val="000000"/>
        </w:rPr>
      </w:pPr>
    </w:p>
    <w:p w:rsidR="00EB590C" w:rsidRDefault="00090D1B">
      <w:pPr>
        <w:numPr>
          <w:ilvl w:val="0"/>
          <w:numId w:val="6"/>
        </w:numPr>
        <w:spacing w:line="360" w:lineRule="auto"/>
        <w:ind w:left="0" w:right="-787" w:firstLine="0"/>
        <w:jc w:val="both"/>
      </w:pPr>
      <w:r>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Pr>
          <w:rFonts w:ascii="Palatino Linotype" w:eastAsia="Palatino Linotype" w:hAnsi="Palatino Linotype" w:cs="Palatino Linotype"/>
          <w:b/>
          <w:bCs/>
        </w:rPr>
        <w:t>artículo 179, fracción V, de la Ley de Transparencia y Acceso a la Información Pública del Estado de México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fracción que determina la </w:t>
      </w:r>
      <w:r>
        <w:rPr>
          <w:rFonts w:ascii="Palatino Linotype" w:eastAsia="Palatino Linotype" w:hAnsi="Palatino Linotype" w:cs="Palatino Linotype"/>
          <w:b/>
          <w:bCs/>
          <w:color w:val="000000"/>
        </w:rPr>
        <w:t>hipótesis relativa a la entrega de información incompleta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contexto del cual se dolió el Recurrente al momento de interponer su inconformidad.</w:t>
      </w:r>
      <w:r>
        <w:rPr>
          <w:rFonts w:ascii="Palatino Linotype" w:eastAsia="Palatino Linotype" w:hAnsi="Palatino Linotype" w:cs="Palatino Linotype"/>
          <w:color w:val="000000"/>
        </w:rPr>
        <w:t xml:space="preserve"> 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si el Sujeto Obligado con sus respuestas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señalada. </w:t>
      </w:r>
    </w:p>
    <w:p w:rsidR="00EB590C" w:rsidRDefault="00090D1B">
      <w:pPr>
        <w:pStyle w:val="Ttulo2"/>
        <w:rPr>
          <w:rFonts w:ascii="Palatino Linotype" w:eastAsia="Palatino Linotype" w:hAnsi="Palatino Linotype" w:cs="Palatino Linotype"/>
          <w:b/>
          <w:bCs/>
          <w:color w:val="000000"/>
          <w:sz w:val="24"/>
          <w:szCs w:val="24"/>
        </w:rPr>
      </w:pPr>
      <w:bookmarkStart w:id="6" w:name="_heading=h.1t3h5sf" w:colFirst="0" w:colLast="0"/>
      <w:bookmarkEnd w:id="6"/>
      <w:r>
        <w:rPr>
          <w:rFonts w:ascii="Palatino Linotype" w:eastAsia="Palatino Linotype" w:hAnsi="Palatino Linotype" w:cs="Palatino Linotype"/>
          <w:b/>
          <w:bCs/>
          <w:color w:val="000000"/>
          <w:sz w:val="24"/>
          <w:szCs w:val="24"/>
        </w:rPr>
        <w:lastRenderedPageBreak/>
        <w:t>CUARTO. Del estudio y resolución del asunto.</w:t>
      </w:r>
    </w:p>
    <w:p w:rsidR="00EB590C" w:rsidRDefault="00090D1B">
      <w:pPr>
        <w:numPr>
          <w:ilvl w:val="0"/>
          <w:numId w:val="6"/>
        </w:numPr>
        <w:spacing w:line="360" w:lineRule="auto"/>
        <w:ind w:left="0" w:right="-787" w:firstLine="0"/>
        <w:jc w:val="both"/>
      </w:pPr>
      <w:r>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EB590C" w:rsidRDefault="00EB590C">
      <w:pPr>
        <w:spacing w:line="360" w:lineRule="auto"/>
        <w:ind w:right="-787"/>
        <w:jc w:val="both"/>
        <w:rPr>
          <w:rFonts w:ascii="Palatino Linotype" w:eastAsia="Palatino Linotype" w:hAnsi="Palatino Linotype" w:cs="Palatino Linotype"/>
        </w:rPr>
      </w:pPr>
    </w:p>
    <w:p w:rsidR="00EB590C" w:rsidRDefault="00090D1B">
      <w:pPr>
        <w:numPr>
          <w:ilvl w:val="0"/>
          <w:numId w:val="6"/>
        </w:numPr>
        <w:spacing w:line="360" w:lineRule="auto"/>
        <w:ind w:left="0" w:right="-787" w:firstLine="0"/>
        <w:jc w:val="both"/>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EB590C" w:rsidRDefault="00EB590C">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EB590C" w:rsidRDefault="00090D1B">
      <w:pPr>
        <w:numPr>
          <w:ilvl w:val="0"/>
          <w:numId w:val="6"/>
        </w:numPr>
        <w:spacing w:line="360" w:lineRule="auto"/>
        <w:ind w:left="0" w:right="-787" w:firstLine="0"/>
        <w:jc w:val="both"/>
      </w:pPr>
      <w:r>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w:t>
      </w:r>
      <w:r>
        <w:rPr>
          <w:rFonts w:ascii="Palatino Linotype" w:eastAsia="Palatino Linotype" w:hAnsi="Palatino Linotype" w:cs="Palatino Linotype"/>
        </w:rPr>
        <w:lastRenderedPageBreak/>
        <w:t>información, siempre y cuando no encuadre en una de las excepciones contempladas por la ley.</w:t>
      </w:r>
    </w:p>
    <w:p w:rsidR="00EB590C" w:rsidRDefault="00EB590C">
      <w:pPr>
        <w:spacing w:line="360" w:lineRule="auto"/>
        <w:ind w:right="-787"/>
        <w:jc w:val="both"/>
        <w:rPr>
          <w:rFonts w:ascii="Palatino Linotype" w:eastAsia="Palatino Linotype" w:hAnsi="Palatino Linotype" w:cs="Palatino Linotype"/>
        </w:rPr>
      </w:pPr>
    </w:p>
    <w:p w:rsidR="00EB590C" w:rsidRDefault="00090D1B">
      <w:pPr>
        <w:numPr>
          <w:ilvl w:val="0"/>
          <w:numId w:val="7"/>
        </w:numPr>
        <w:pBdr>
          <w:top w:val="nil"/>
          <w:left w:val="nil"/>
          <w:bottom w:val="nil"/>
          <w:right w:val="nil"/>
          <w:between w:val="nil"/>
        </w:pBdr>
        <w:spacing w:line="360" w:lineRule="auto"/>
        <w:ind w:right="-78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Del Sujeto Obligado.</w:t>
      </w:r>
    </w:p>
    <w:p w:rsidR="00EB590C" w:rsidRDefault="00090D1B">
      <w:pPr>
        <w:numPr>
          <w:ilvl w:val="0"/>
          <w:numId w:val="6"/>
        </w:numPr>
        <w:spacing w:line="360" w:lineRule="auto"/>
        <w:ind w:left="0" w:right="-787" w:firstLine="0"/>
        <w:jc w:val="both"/>
      </w:pPr>
      <w:r>
        <w:rPr>
          <w:rFonts w:ascii="Palatino Linotype" w:eastAsia="Palatino Linotype" w:hAnsi="Palatino Linotype" w:cs="Palatino Linotype"/>
        </w:rPr>
        <w:t>El ejercicio del gobierno municipal se deposita en un cuerpo colegiado denominado Ayuntamiento. La ejecución de las atribuciones corresponde al Presidente Municipal, quien dirige la Administración Pública Municipal, misma que será centralizada, descentralizada y autónoma, dentro de sus dependencias se encuentran las señaladas en el artículo 90, fracción I, del Bando Municipal 2025:</w:t>
      </w:r>
    </w:p>
    <w:p w:rsidR="00EB590C" w:rsidRDefault="00090D1B">
      <w:pPr>
        <w:ind w:left="1134" w:right="-220"/>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Bando Municipal 2025</w:t>
      </w:r>
    </w:p>
    <w:p w:rsidR="00EB590C" w:rsidRDefault="00EB590C">
      <w:pPr>
        <w:ind w:left="1134" w:right="-220"/>
        <w:jc w:val="center"/>
        <w:rPr>
          <w:rFonts w:ascii="Palatino Linotype" w:eastAsia="Palatino Linotype" w:hAnsi="Palatino Linotype" w:cs="Palatino Linotype"/>
          <w:b/>
          <w:bCs/>
          <w:i/>
          <w:iCs/>
        </w:rPr>
      </w:pPr>
    </w:p>
    <w:p w:rsidR="00EB590C" w:rsidRDefault="00090D1B">
      <w:pPr>
        <w:ind w:left="1134" w:right="-78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90. </w:t>
      </w:r>
      <w:r>
        <w:rPr>
          <w:rFonts w:ascii="Palatino Linotype" w:eastAsia="Palatino Linotype" w:hAnsi="Palatino Linotype" w:cs="Palatino Linotype"/>
          <w:i/>
          <w:iCs/>
        </w:rPr>
        <w:t>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el presente Bando y demás disposiciones aplicables, y se auxiliará de las siguientes:</w:t>
      </w:r>
    </w:p>
    <w:p w:rsidR="00EB590C" w:rsidRDefault="00EB590C">
      <w:pPr>
        <w:ind w:left="1134" w:right="-788"/>
        <w:jc w:val="both"/>
        <w:rPr>
          <w:rFonts w:ascii="Palatino Linotype" w:eastAsia="Palatino Linotype" w:hAnsi="Palatino Linotype" w:cs="Palatino Linotype"/>
          <w:i/>
          <w:iCs/>
        </w:rPr>
      </w:pPr>
    </w:p>
    <w:p w:rsidR="00EB590C" w:rsidRDefault="00090D1B">
      <w:pPr>
        <w:ind w:left="1134" w:right="-78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 DEPENDENCIAS: </w:t>
      </w:r>
    </w:p>
    <w:p w:rsidR="00EB590C" w:rsidRDefault="00090D1B">
      <w:pPr>
        <w:ind w:left="1134" w:right="-78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Secretaría del Ayuntamiento; </w:t>
      </w:r>
    </w:p>
    <w:p w:rsidR="00EB590C" w:rsidRDefault="00090D1B">
      <w:pPr>
        <w:ind w:left="1134"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 Tesorería Municipal; </w:t>
      </w:r>
    </w:p>
    <w:p w:rsidR="00EB590C" w:rsidRDefault="00090D1B">
      <w:pPr>
        <w:ind w:left="1134"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3. Órgano Interno de Control; </w:t>
      </w:r>
    </w:p>
    <w:p w:rsidR="00EB590C" w:rsidRDefault="00090D1B">
      <w:pPr>
        <w:ind w:left="1134"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4. Dirección General de Gobierno; </w:t>
      </w:r>
    </w:p>
    <w:p w:rsidR="00EB590C" w:rsidRDefault="00090D1B">
      <w:pPr>
        <w:ind w:left="1134"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5. Dirección General de Seguridad y Protección; </w:t>
      </w:r>
    </w:p>
    <w:p w:rsidR="00EB590C" w:rsidRDefault="00090D1B">
      <w:pPr>
        <w:ind w:left="1134" w:right="-78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6. Dirección General de Administración; </w:t>
      </w:r>
    </w:p>
    <w:p w:rsidR="00EB590C" w:rsidRDefault="00090D1B">
      <w:pPr>
        <w:ind w:left="1134"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7. Dirección General de Medio Ambiente; </w:t>
      </w:r>
    </w:p>
    <w:p w:rsidR="00EB590C" w:rsidRDefault="00090D1B">
      <w:pPr>
        <w:ind w:left="1134"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8. Dirección General de Servicios Públicos; </w:t>
      </w:r>
    </w:p>
    <w:p w:rsidR="00EB590C" w:rsidRDefault="00090D1B">
      <w:pPr>
        <w:ind w:left="1134"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9. Dirección General de Innovación, Planeación y Gestión Urbana; </w:t>
      </w:r>
    </w:p>
    <w:p w:rsidR="00EB590C" w:rsidRDefault="00090D1B">
      <w:pPr>
        <w:ind w:left="1134"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10. Dirección General de Obras Públicas; </w:t>
      </w:r>
    </w:p>
    <w:p w:rsidR="00EB590C" w:rsidRDefault="00090D1B">
      <w:pPr>
        <w:ind w:left="1134"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11. Dirección General de Desarrollo Económico; </w:t>
      </w:r>
    </w:p>
    <w:p w:rsidR="00EB590C" w:rsidRDefault="00090D1B">
      <w:pPr>
        <w:ind w:left="1134" w:right="-788"/>
        <w:jc w:val="both"/>
        <w:rPr>
          <w:rFonts w:ascii="Palatino Linotype" w:eastAsia="Palatino Linotype" w:hAnsi="Palatino Linotype" w:cs="Palatino Linotype"/>
          <w:i/>
          <w:iCs/>
        </w:rPr>
      </w:pPr>
      <w:r>
        <w:rPr>
          <w:rFonts w:ascii="Palatino Linotype" w:eastAsia="Palatino Linotype" w:hAnsi="Palatino Linotype" w:cs="Palatino Linotype"/>
          <w:i/>
          <w:iCs/>
        </w:rPr>
        <w:t>12. Dirección General de Bienestar; y 13.Dirección General de Educación, Cultura y Turismo.</w:t>
      </w:r>
    </w:p>
    <w:p w:rsidR="00EB590C" w:rsidRDefault="00090D1B">
      <w:pPr>
        <w:numPr>
          <w:ilvl w:val="0"/>
          <w:numId w:val="6"/>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lastRenderedPageBreak/>
        <w:t xml:space="preserve">La </w:t>
      </w:r>
      <w:r>
        <w:rPr>
          <w:rFonts w:ascii="Palatino Linotype" w:eastAsia="Palatino Linotype" w:hAnsi="Palatino Linotype" w:cs="Palatino Linotype"/>
          <w:b/>
          <w:bCs/>
          <w:color w:val="000000"/>
        </w:rPr>
        <w:t>Dirección General de Administración</w:t>
      </w:r>
      <w:r>
        <w:rPr>
          <w:rFonts w:ascii="Palatino Linotype" w:eastAsia="Palatino Linotype" w:hAnsi="Palatino Linotype" w:cs="Palatino Linotype"/>
          <w:color w:val="000000"/>
        </w:rPr>
        <w:t xml:space="preserve"> es responsable de la gestión integral del capital humano del Ayuntamiento, coordinando el reclutamiento, contratación, capacitación y desarrollo del personal, así como la aplicación de las disposiciones laborales y sindicales. </w:t>
      </w:r>
      <w:r>
        <w:rPr>
          <w:rFonts w:ascii="Palatino Linotype" w:eastAsia="Palatino Linotype" w:hAnsi="Palatino Linotype" w:cs="Palatino Linotype"/>
        </w:rPr>
        <w:t>Supervisar</w:t>
      </w:r>
      <w:r>
        <w:rPr>
          <w:rFonts w:ascii="Palatino Linotype" w:eastAsia="Palatino Linotype" w:hAnsi="Palatino Linotype" w:cs="Palatino Linotype"/>
          <w:color w:val="000000"/>
        </w:rPr>
        <w:t xml:space="preserve"> la elaboración y distribución de la nómina, garantizando su apego a la normatividad y el presupuesto autorizado. Dirigirá los procesos de adquisición, arrendamiento y contratación de servicios, asegurando la eficiencia y transparencia en el uso de los recursos públicos. Administrará el parque vehicular, los bienes municipales y la logística de eventos públicos e implementará políticas de gobierno digital y normativas para el uso de tecnologías de la información, promoviendo la eficiencia operativa de la administración pública municipal, de conformidad con el artículo 92, fracción VI, del Bando Municipal.</w:t>
      </w:r>
    </w:p>
    <w:p w:rsidR="00EB590C" w:rsidRDefault="00EB590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EB590C" w:rsidRDefault="00090D1B">
      <w:pPr>
        <w:numPr>
          <w:ilvl w:val="0"/>
          <w:numId w:val="6"/>
        </w:numPr>
        <w:pBdr>
          <w:top w:val="nil"/>
          <w:left w:val="nil"/>
          <w:bottom w:val="nil"/>
          <w:right w:val="nil"/>
          <w:between w:val="nil"/>
        </w:pBdr>
        <w:spacing w:line="360" w:lineRule="auto"/>
        <w:ind w:left="0" w:right="-787" w:firstLine="0"/>
        <w:jc w:val="both"/>
      </w:pPr>
      <w:r>
        <w:rPr>
          <w:rFonts w:ascii="Palatino Linotype" w:eastAsia="Palatino Linotype" w:hAnsi="Palatino Linotype" w:cs="Palatino Linotype"/>
        </w:rPr>
        <w:t>De conformidad con el Código Reglamentario Municipal de Toluca, en su artículo 3.31. establece dentro de las atribuciones de la Dirección General de Administración, las siguientes:</w:t>
      </w:r>
    </w:p>
    <w:p w:rsidR="00EB590C" w:rsidRDefault="00090D1B">
      <w:pPr>
        <w:ind w:left="567" w:right="-716"/>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DE LA DIRECCIÓN GENERAL DE ADMINISTRACIÓN </w:t>
      </w:r>
    </w:p>
    <w:p w:rsidR="00EB590C" w:rsidRDefault="00EB590C">
      <w:pPr>
        <w:ind w:left="567" w:right="-716"/>
        <w:jc w:val="center"/>
        <w:rPr>
          <w:rFonts w:ascii="Palatino Linotype" w:eastAsia="Palatino Linotype" w:hAnsi="Palatino Linotype" w:cs="Palatino Linotype"/>
          <w:i/>
          <w:iCs/>
        </w:rPr>
      </w:pPr>
    </w:p>
    <w:p w:rsidR="00EB590C" w:rsidRDefault="00090D1B">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3.31</w:t>
      </w:r>
      <w:r>
        <w:rPr>
          <w:rFonts w:ascii="Palatino Linotype" w:eastAsia="Palatino Linotype" w:hAnsi="Palatino Linotype" w:cs="Palatino Linotype"/>
          <w:i/>
          <w:iCs/>
        </w:rPr>
        <w:t>. La o el titular de la Dirección General de Administración, tiene las siguientes atribuciones:</w:t>
      </w:r>
    </w:p>
    <w:p w:rsidR="00EB590C" w:rsidRDefault="00EB590C">
      <w:pPr>
        <w:ind w:left="567" w:right="-716"/>
        <w:jc w:val="both"/>
        <w:rPr>
          <w:rFonts w:ascii="Palatino Linotype" w:eastAsia="Palatino Linotype" w:hAnsi="Palatino Linotype" w:cs="Palatino Linotype"/>
          <w:i/>
          <w:iCs/>
        </w:rPr>
      </w:pPr>
    </w:p>
    <w:p w:rsidR="00EB590C" w:rsidRDefault="00090D1B">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Coordinar y dirigir los sistemas de reclutamiento, selección, contratación e inducción y desarrollo de personal; </w:t>
      </w:r>
    </w:p>
    <w:p w:rsidR="00EB590C" w:rsidRDefault="00090D1B">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Verificar que se cumplan las disposiciones en materia de trabajo, seguridad e higiene laboral, así como las del Código Reglamentario, respecto de los derechos y obligaciones del personal; </w:t>
      </w:r>
    </w:p>
    <w:p w:rsidR="00EB590C" w:rsidRDefault="00090D1B">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III. Autorizar las altas, bajas, cambios, permisos, licencias, comisiones del personal, entre otras, para su trámite y efectos;</w:t>
      </w:r>
    </w:p>
    <w:p w:rsidR="00EB590C" w:rsidRDefault="00090D1B">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EB590C" w:rsidRDefault="00EB590C">
      <w:pPr>
        <w:ind w:left="567" w:right="-716"/>
        <w:jc w:val="both"/>
        <w:rPr>
          <w:rFonts w:ascii="Palatino Linotype" w:eastAsia="Palatino Linotype" w:hAnsi="Palatino Linotype" w:cs="Palatino Linotype"/>
          <w:i/>
          <w:iCs/>
        </w:rPr>
      </w:pPr>
    </w:p>
    <w:p w:rsidR="00EB590C" w:rsidRDefault="00090D1B">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3.32</w:t>
      </w:r>
      <w:r>
        <w:rPr>
          <w:rFonts w:ascii="Palatino Linotype" w:eastAsia="Palatino Linotype" w:hAnsi="Palatino Linotype" w:cs="Palatino Linotype"/>
          <w:i/>
          <w:iCs/>
        </w:rPr>
        <w:t xml:space="preserve">. La Dirección General de Administración, para el cumplimiento de sus atribuciones, se auxiliará de una Coordinación de Apoyo Técnico; una Coordinación de </w:t>
      </w:r>
      <w:r>
        <w:rPr>
          <w:rFonts w:ascii="Palatino Linotype" w:eastAsia="Palatino Linotype" w:hAnsi="Palatino Linotype" w:cs="Palatino Linotype"/>
          <w:i/>
          <w:iCs/>
        </w:rPr>
        <w:lastRenderedPageBreak/>
        <w:t xml:space="preserve">Delegaciones Administrativas; una Dirección de Recursos Materiales; una </w:t>
      </w:r>
      <w:r>
        <w:rPr>
          <w:rFonts w:ascii="Palatino Linotype" w:eastAsia="Palatino Linotype" w:hAnsi="Palatino Linotype" w:cs="Palatino Linotype"/>
          <w:b/>
          <w:bCs/>
          <w:i/>
          <w:iCs/>
        </w:rPr>
        <w:t>Dirección de Recursos Humanos</w:t>
      </w:r>
      <w:r>
        <w:rPr>
          <w:rFonts w:ascii="Palatino Linotype" w:eastAsia="Palatino Linotype" w:hAnsi="Palatino Linotype" w:cs="Palatino Linotype"/>
          <w:i/>
          <w:iCs/>
        </w:rPr>
        <w:t>; una Dirección de Servicios Generales; una Dirección de Innovación y Gobierno Digital, y las demás Unidades Administrativas necesarias para el cumplimiento de sus atribuciones.</w:t>
      </w:r>
    </w:p>
    <w:p w:rsidR="00EB590C" w:rsidRDefault="00EB590C">
      <w:pPr>
        <w:ind w:left="567" w:right="-716"/>
        <w:jc w:val="both"/>
        <w:rPr>
          <w:rFonts w:ascii="Palatino Linotype" w:eastAsia="Palatino Linotype" w:hAnsi="Palatino Linotype" w:cs="Palatino Linotype"/>
          <w:i/>
          <w:iCs/>
        </w:rPr>
      </w:pPr>
    </w:p>
    <w:p w:rsidR="00EB590C" w:rsidRDefault="00EB590C">
      <w:pPr>
        <w:ind w:left="567" w:right="-716"/>
        <w:jc w:val="both"/>
        <w:rPr>
          <w:rFonts w:ascii="Palatino Linotype" w:eastAsia="Palatino Linotype" w:hAnsi="Palatino Linotype" w:cs="Palatino Linotype"/>
          <w:i/>
          <w:iCs/>
        </w:rPr>
      </w:pPr>
    </w:p>
    <w:p w:rsidR="00EB590C" w:rsidRDefault="00090D1B">
      <w:pPr>
        <w:ind w:left="567" w:right="-716"/>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DE LA DIRECCIÓN DE RECURSOS HUMANOS</w:t>
      </w:r>
    </w:p>
    <w:p w:rsidR="00EB590C" w:rsidRDefault="00EB590C">
      <w:pPr>
        <w:ind w:left="567" w:right="-716"/>
        <w:jc w:val="both"/>
        <w:rPr>
          <w:rFonts w:ascii="Palatino Linotype" w:eastAsia="Palatino Linotype" w:hAnsi="Palatino Linotype" w:cs="Palatino Linotype"/>
          <w:i/>
          <w:iCs/>
        </w:rPr>
      </w:pPr>
    </w:p>
    <w:p w:rsidR="00EB590C" w:rsidRDefault="00090D1B">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3.33</w:t>
      </w:r>
      <w:r>
        <w:rPr>
          <w:rFonts w:ascii="Palatino Linotype" w:eastAsia="Palatino Linotype" w:hAnsi="Palatino Linotype" w:cs="Palatino Linotype"/>
          <w:i/>
          <w:iCs/>
        </w:rPr>
        <w:t>. La o el titular de la Dirección de Recursos Humanos cuenta con las siguientes atribuciones:</w:t>
      </w:r>
    </w:p>
    <w:p w:rsidR="00EB590C" w:rsidRDefault="00EB590C">
      <w:pPr>
        <w:ind w:left="567" w:right="-716"/>
        <w:jc w:val="both"/>
        <w:rPr>
          <w:rFonts w:ascii="Palatino Linotype" w:eastAsia="Palatino Linotype" w:hAnsi="Palatino Linotype" w:cs="Palatino Linotype"/>
          <w:i/>
          <w:iCs/>
        </w:rPr>
      </w:pPr>
    </w:p>
    <w:p w:rsidR="00EB590C" w:rsidRDefault="00090D1B">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Elaborar, operar y mejorar los procedimientos administrativos para la selección, reclutamiento, contratación, escalafón, inducción, evaluación del desempeño, capacitación, baja, comisión, licencias prejubilatorias, y desarrollo del personal al servicio del Municipio de acuerdo a lo dispuesto en la normatividad aplicable; </w:t>
      </w:r>
    </w:p>
    <w:p w:rsidR="00EB590C" w:rsidRDefault="00090D1B">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II. Vigilar que se cumplan las disposiciones en materia de trabajo, seguridad e higiene, igualdad laboral, así como las demás normas aplicables a la institución respecto de los derechos y obligaciones del personal;</w:t>
      </w:r>
    </w:p>
    <w:p w:rsidR="00EB590C" w:rsidRDefault="00090D1B">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EB590C" w:rsidRDefault="00090D1B">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Aplicar las disposiciones legales laborales que rigen al personal del Ayuntamiento; </w:t>
      </w:r>
    </w:p>
    <w:p w:rsidR="00EB590C" w:rsidRDefault="00090D1B">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V. Registrar, controlar y dar seguimiento a los movimientos de personal como, altas, reingresos, bajas, remociones, renuncias, retiro, cambios de categoría y adscripción, promociones, comisiones, entre otras;</w:t>
      </w:r>
    </w:p>
    <w:p w:rsidR="00EB590C" w:rsidRDefault="00090D1B">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EB590C" w:rsidRDefault="00090D1B">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IX. Registrar, controlar y dar seguimiento a las sanciones e incidencias de personal tales como faltas, permisos, licencias por incapacidad, por maternidad, por paternidad, días económicos, entre otras y verificar que se registren en el Formato Único de Justificación; y</w:t>
      </w:r>
    </w:p>
    <w:p w:rsidR="00EB590C" w:rsidRDefault="00090D1B">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EB590C" w:rsidRDefault="00EB590C">
      <w:pPr>
        <w:ind w:left="567" w:right="-716"/>
        <w:jc w:val="both"/>
        <w:rPr>
          <w:rFonts w:ascii="Palatino Linotype" w:eastAsia="Palatino Linotype" w:hAnsi="Palatino Linotype" w:cs="Palatino Linotype"/>
          <w:i/>
          <w:iCs/>
        </w:rPr>
      </w:pPr>
    </w:p>
    <w:p w:rsidR="00EB590C" w:rsidRDefault="00090D1B">
      <w:pPr>
        <w:numPr>
          <w:ilvl w:val="0"/>
          <w:numId w:val="6"/>
        </w:numPr>
        <w:pBdr>
          <w:top w:val="nil"/>
          <w:left w:val="nil"/>
          <w:bottom w:val="nil"/>
          <w:right w:val="nil"/>
          <w:between w:val="nil"/>
        </w:pBdr>
        <w:spacing w:line="360" w:lineRule="auto"/>
        <w:ind w:left="0" w:right="-787" w:firstLine="0"/>
        <w:jc w:val="both"/>
      </w:pPr>
      <w:r>
        <w:rPr>
          <w:rFonts w:ascii="Palatino Linotype" w:eastAsia="Palatino Linotype" w:hAnsi="Palatino Linotype" w:cs="Palatino Linotype"/>
        </w:rPr>
        <w:t xml:space="preserve">La </w:t>
      </w:r>
      <w:r>
        <w:rPr>
          <w:rFonts w:ascii="Palatino Linotype" w:eastAsia="Palatino Linotype" w:hAnsi="Palatino Linotype" w:cs="Palatino Linotype"/>
          <w:b/>
          <w:bCs/>
        </w:rPr>
        <w:t>Secretaría del Ayuntamiento</w:t>
      </w:r>
      <w:r>
        <w:rPr>
          <w:rFonts w:ascii="Palatino Linotype" w:eastAsia="Palatino Linotype" w:hAnsi="Palatino Linotype" w:cs="Palatino Linotype"/>
        </w:rPr>
        <w:t xml:space="preserve"> tendrá como principales funciones auxiliar a la Presidenta o Presidente Municipal, formular el proyecto de orden del día de las sesiones de cabildo, así como emitir las convocatorias, asistir y levantar las actas correspondientes, elaborar los informes mensuales y trimestrales de las comisiones edilicias y fomentar la participación ciudadana en apoyo de los programas sociales municipales.</w:t>
      </w:r>
    </w:p>
    <w:p w:rsidR="00EB590C" w:rsidRDefault="00090D1B">
      <w:pPr>
        <w:numPr>
          <w:ilvl w:val="0"/>
          <w:numId w:val="6"/>
        </w:numPr>
        <w:pBdr>
          <w:top w:val="nil"/>
          <w:left w:val="nil"/>
          <w:bottom w:val="nil"/>
          <w:right w:val="nil"/>
          <w:between w:val="nil"/>
        </w:pBdr>
        <w:spacing w:line="360" w:lineRule="auto"/>
        <w:ind w:left="0" w:right="-787" w:firstLine="0"/>
        <w:jc w:val="both"/>
      </w:pPr>
      <w:r>
        <w:rPr>
          <w:rFonts w:ascii="Palatino Linotype" w:eastAsia="Palatino Linotype" w:hAnsi="Palatino Linotype" w:cs="Palatino Linotype"/>
        </w:rPr>
        <w:lastRenderedPageBreak/>
        <w:t xml:space="preserve">La </w:t>
      </w:r>
      <w:r>
        <w:rPr>
          <w:rFonts w:ascii="Palatino Linotype" w:eastAsia="Palatino Linotype" w:hAnsi="Palatino Linotype" w:cs="Palatino Linotype"/>
          <w:b/>
          <w:bCs/>
        </w:rPr>
        <w:t>Secretaría del Ayuntamiento</w:t>
      </w:r>
      <w:r>
        <w:rPr>
          <w:rFonts w:ascii="Palatino Linotype" w:eastAsia="Palatino Linotype" w:hAnsi="Palatino Linotype" w:cs="Palatino Linotype"/>
        </w:rPr>
        <w:t xml:space="preserve">, para el cumplimiento de sus atribuciones, se auxiliará de la </w:t>
      </w:r>
      <w:r>
        <w:rPr>
          <w:rFonts w:ascii="Palatino Linotype" w:eastAsia="Palatino Linotype" w:hAnsi="Palatino Linotype" w:cs="Palatino Linotype"/>
          <w:b/>
          <w:bCs/>
        </w:rPr>
        <w:t>Consejería Jurídica</w:t>
      </w:r>
      <w:r>
        <w:rPr>
          <w:rFonts w:ascii="Palatino Linotype" w:eastAsia="Palatino Linotype" w:hAnsi="Palatino Linotype" w:cs="Palatino Linotype"/>
        </w:rPr>
        <w:t>, Coordinación General de Delegaciones y Autoridades Auxiliares, la Unidad de Información, Planeación, Programación y Evaluación y las demás unidades administrativas necesarias para el cumplimiento de sus atribuciones.</w:t>
      </w:r>
    </w:p>
    <w:p w:rsidR="00EB590C" w:rsidRDefault="00EB590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EB590C" w:rsidRDefault="00090D1B">
      <w:pPr>
        <w:numPr>
          <w:ilvl w:val="0"/>
          <w:numId w:val="6"/>
        </w:numPr>
        <w:pBdr>
          <w:top w:val="nil"/>
          <w:left w:val="nil"/>
          <w:bottom w:val="nil"/>
          <w:right w:val="nil"/>
          <w:between w:val="nil"/>
        </w:pBdr>
        <w:spacing w:line="360" w:lineRule="auto"/>
        <w:ind w:left="0" w:right="-787" w:firstLine="0"/>
        <w:jc w:val="both"/>
      </w:pPr>
      <w:r>
        <w:rPr>
          <w:rFonts w:ascii="Palatino Linotype" w:eastAsia="Palatino Linotype" w:hAnsi="Palatino Linotype" w:cs="Palatino Linotype"/>
        </w:rPr>
        <w:t xml:space="preserve">La </w:t>
      </w:r>
      <w:r>
        <w:rPr>
          <w:rFonts w:ascii="Palatino Linotype" w:eastAsia="Palatino Linotype" w:hAnsi="Palatino Linotype" w:cs="Palatino Linotype"/>
          <w:b/>
          <w:bCs/>
        </w:rPr>
        <w:t>Consejería Jurídica</w:t>
      </w:r>
      <w:r>
        <w:rPr>
          <w:rFonts w:ascii="Palatino Linotype" w:eastAsia="Palatino Linotype" w:hAnsi="Palatino Linotype" w:cs="Palatino Linotype"/>
        </w:rPr>
        <w:t xml:space="preserve"> para el cumplimiento de sus atribuciones se auxiliará de la </w:t>
      </w:r>
      <w:r>
        <w:rPr>
          <w:rFonts w:ascii="Palatino Linotype" w:eastAsia="Palatino Linotype" w:hAnsi="Palatino Linotype" w:cs="Palatino Linotype"/>
          <w:b/>
          <w:bCs/>
        </w:rPr>
        <w:t>Coordinación de Justicia Municipal</w:t>
      </w:r>
      <w:r>
        <w:rPr>
          <w:rFonts w:ascii="Palatino Linotype" w:eastAsia="Palatino Linotype" w:hAnsi="Palatino Linotype" w:cs="Palatino Linotype"/>
        </w:rPr>
        <w:t>, la Coordinación Jurídica, la Coordinación de Estudios y Reglamentación Municipal y el Centro de Mediación, Conciliación y Justicia Restaurativa, las cuales tendrán las siguientes atribuciones, de conformidad con el Manual de Organización de la Secretaría del Ayuntamiento vigente:</w:t>
      </w:r>
    </w:p>
    <w:p w:rsidR="00EB590C" w:rsidRDefault="00090D1B">
      <w:pPr>
        <w:ind w:left="567" w:right="62"/>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DE LA COORDINACIÓN DE JUSTICIA MUNICIPAL</w:t>
      </w:r>
    </w:p>
    <w:p w:rsidR="00EB590C" w:rsidRDefault="00EB590C">
      <w:pPr>
        <w:ind w:left="567" w:right="62"/>
        <w:jc w:val="center"/>
        <w:rPr>
          <w:rFonts w:ascii="Palatino Linotype" w:eastAsia="Palatino Linotype" w:hAnsi="Palatino Linotype" w:cs="Palatino Linotype"/>
          <w:b/>
          <w:bCs/>
          <w:i/>
          <w:iCs/>
        </w:rPr>
      </w:pPr>
    </w:p>
    <w:p w:rsidR="00EB590C" w:rsidRDefault="00090D1B">
      <w:pPr>
        <w:ind w:left="567" w:right="62"/>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3.17.</w:t>
      </w:r>
      <w:r>
        <w:rPr>
          <w:rFonts w:ascii="Palatino Linotype" w:eastAsia="Palatino Linotype" w:hAnsi="Palatino Linotype" w:cs="Palatino Linotype"/>
          <w:i/>
          <w:iCs/>
        </w:rPr>
        <w:t xml:space="preserve"> La o el titular de la </w:t>
      </w:r>
      <w:r>
        <w:rPr>
          <w:rFonts w:ascii="Palatino Linotype" w:eastAsia="Palatino Linotype" w:hAnsi="Palatino Linotype" w:cs="Palatino Linotype"/>
          <w:b/>
          <w:bCs/>
          <w:i/>
          <w:iCs/>
        </w:rPr>
        <w:t>Coordinación de Justicia Municipal</w:t>
      </w:r>
      <w:r>
        <w:rPr>
          <w:rFonts w:ascii="Palatino Linotype" w:eastAsia="Palatino Linotype" w:hAnsi="Palatino Linotype" w:cs="Palatino Linotype"/>
          <w:i/>
          <w:iCs/>
        </w:rPr>
        <w:t xml:space="preserve"> tendrá las siguientes </w:t>
      </w:r>
      <w:r>
        <w:rPr>
          <w:rFonts w:ascii="Palatino Linotype" w:eastAsia="Palatino Linotype" w:hAnsi="Palatino Linotype" w:cs="Palatino Linotype"/>
          <w:b/>
          <w:bCs/>
          <w:i/>
          <w:iCs/>
        </w:rPr>
        <w:t>atribuciones</w:t>
      </w:r>
      <w:r>
        <w:rPr>
          <w:rFonts w:ascii="Palatino Linotype" w:eastAsia="Palatino Linotype" w:hAnsi="Palatino Linotype" w:cs="Palatino Linotype"/>
          <w:i/>
          <w:iCs/>
        </w:rPr>
        <w:t xml:space="preserve">: </w:t>
      </w:r>
    </w:p>
    <w:p w:rsidR="00EB590C" w:rsidRDefault="00EB590C">
      <w:pPr>
        <w:ind w:left="567" w:right="62"/>
        <w:jc w:val="both"/>
        <w:rPr>
          <w:rFonts w:ascii="Palatino Linotype" w:eastAsia="Palatino Linotype" w:hAnsi="Palatino Linotype" w:cs="Palatino Linotype"/>
          <w:i/>
          <w:iCs/>
        </w:rPr>
      </w:pPr>
    </w:p>
    <w:p w:rsidR="00EB590C" w:rsidRDefault="00090D1B">
      <w:pPr>
        <w:ind w:left="567" w:right="62"/>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 Planear, organizar, dirigir, controlar y evaluar las actividades de los Juzgados Cívicos; </w:t>
      </w:r>
    </w:p>
    <w:p w:rsidR="00EB590C" w:rsidRDefault="00090D1B">
      <w:pPr>
        <w:ind w:left="567" w:right="62"/>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Coordinarse con las autoridades estatales competentes para apoyar, vigilar y controlar los servicios que prestan las Oficialías del Registro Civil en el Municipio; </w:t>
      </w:r>
    </w:p>
    <w:p w:rsidR="00EB590C" w:rsidRDefault="00090D1B">
      <w:pPr>
        <w:ind w:left="567" w:right="62"/>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Solicitar a las personas titulares de las dependencias municipales el cumplimiento, en sus términos, de las determinaciones que dicten las autoridades jurisdiccionales administrativas; y </w:t>
      </w:r>
    </w:p>
    <w:p w:rsidR="00EB590C" w:rsidRDefault="00090D1B">
      <w:pPr>
        <w:ind w:left="567" w:right="62"/>
        <w:jc w:val="both"/>
        <w:rPr>
          <w:rFonts w:ascii="Palatino Linotype" w:eastAsia="Palatino Linotype" w:hAnsi="Palatino Linotype" w:cs="Palatino Linotype"/>
          <w:i/>
          <w:iCs/>
        </w:rPr>
      </w:pPr>
      <w:r>
        <w:rPr>
          <w:rFonts w:ascii="Palatino Linotype" w:eastAsia="Palatino Linotype" w:hAnsi="Palatino Linotype" w:cs="Palatino Linotype"/>
          <w:i/>
          <w:iCs/>
        </w:rPr>
        <w:t>IV. Las demás que le asignen otros ordenamientos, la Presidenta o Presidente Municipal y la o el Consejero Jurídico.</w:t>
      </w:r>
    </w:p>
    <w:p w:rsidR="00EB590C" w:rsidRDefault="00EB590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EB590C" w:rsidRDefault="00090D1B">
      <w:pPr>
        <w:numPr>
          <w:ilvl w:val="0"/>
          <w:numId w:val="6"/>
        </w:numPr>
        <w:pBdr>
          <w:top w:val="nil"/>
          <w:left w:val="nil"/>
          <w:bottom w:val="nil"/>
          <w:right w:val="nil"/>
          <w:between w:val="nil"/>
        </w:pBdr>
        <w:spacing w:line="360" w:lineRule="auto"/>
        <w:ind w:left="0" w:right="-787" w:firstLine="0"/>
        <w:jc w:val="both"/>
      </w:pPr>
      <w:r>
        <w:rPr>
          <w:rFonts w:ascii="Palatino Linotype" w:eastAsia="Palatino Linotype" w:hAnsi="Palatino Linotype" w:cs="Palatino Linotype"/>
        </w:rPr>
        <w:t xml:space="preserve">De lo expuesto es de precisar que la respuesta fue emitida por la </w:t>
      </w:r>
      <w:r>
        <w:rPr>
          <w:rFonts w:ascii="Palatino Linotype" w:eastAsia="Palatino Linotype" w:hAnsi="Palatino Linotype" w:cs="Palatino Linotype"/>
          <w:b/>
          <w:bCs/>
        </w:rPr>
        <w:t>Dirección General de Administración</w:t>
      </w:r>
      <w:r>
        <w:rPr>
          <w:rFonts w:ascii="Palatino Linotype" w:eastAsia="Palatino Linotype" w:hAnsi="Palatino Linotype" w:cs="Palatino Linotype"/>
        </w:rPr>
        <w:t xml:space="preserve">, a través de la </w:t>
      </w:r>
      <w:r>
        <w:rPr>
          <w:rFonts w:ascii="Palatino Linotype" w:eastAsia="Palatino Linotype" w:hAnsi="Palatino Linotype" w:cs="Palatino Linotype"/>
          <w:b/>
          <w:bCs/>
        </w:rPr>
        <w:t xml:space="preserve">Dirección de Recursos Humanos, </w:t>
      </w:r>
      <w:r>
        <w:rPr>
          <w:rFonts w:ascii="Palatino Linotype" w:eastAsia="Palatino Linotype" w:hAnsi="Palatino Linotype" w:cs="Palatino Linotype"/>
        </w:rPr>
        <w:t xml:space="preserve">y la </w:t>
      </w:r>
      <w:r>
        <w:rPr>
          <w:rFonts w:ascii="Palatino Linotype" w:eastAsia="Palatino Linotype" w:hAnsi="Palatino Linotype" w:cs="Palatino Linotype"/>
          <w:b/>
          <w:bCs/>
        </w:rPr>
        <w:t xml:space="preserve">Secretaría del Ayuntamiento, </w:t>
      </w:r>
      <w:r>
        <w:rPr>
          <w:rFonts w:ascii="Palatino Linotype" w:eastAsia="Palatino Linotype" w:hAnsi="Palatino Linotype" w:cs="Palatino Linotype"/>
        </w:rPr>
        <w:t xml:space="preserve">a través de la </w:t>
      </w:r>
      <w:r>
        <w:rPr>
          <w:rFonts w:ascii="Palatino Linotype" w:eastAsia="Palatino Linotype" w:hAnsi="Palatino Linotype" w:cs="Palatino Linotype"/>
          <w:b/>
          <w:bCs/>
        </w:rPr>
        <w:t>Consejería Jurídica</w:t>
      </w:r>
      <w:r>
        <w:rPr>
          <w:rFonts w:ascii="Palatino Linotype" w:eastAsia="Palatino Linotype" w:hAnsi="Palatino Linotype" w:cs="Palatino Linotype"/>
        </w:rPr>
        <w:t xml:space="preserve"> por lo que podemos advertir que </w:t>
      </w:r>
      <w:r>
        <w:rPr>
          <w:rFonts w:ascii="Palatino Linotype" w:eastAsia="Palatino Linotype" w:hAnsi="Palatino Linotype" w:cs="Palatino Linotype"/>
          <w:b/>
          <w:bCs/>
        </w:rPr>
        <w:t xml:space="preserve">EL SUJETO OBLIGADO </w:t>
      </w:r>
      <w:r>
        <w:rPr>
          <w:rFonts w:ascii="Palatino Linotype" w:eastAsia="Palatino Linotype" w:hAnsi="Palatino Linotype" w:cs="Palatino Linotype"/>
        </w:rPr>
        <w:t xml:space="preserve">siguió el procedimiento inmerso en la normatividad aplicable, ya que </w:t>
      </w:r>
      <w:r>
        <w:rPr>
          <w:rFonts w:ascii="Palatino Linotype" w:eastAsia="Palatino Linotype" w:hAnsi="Palatino Linotype" w:cs="Palatino Linotype"/>
        </w:rPr>
        <w:lastRenderedPageBreak/>
        <w:t>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EB590C" w:rsidRDefault="00090D1B">
      <w:pPr>
        <w:ind w:left="567" w:right="62"/>
        <w:jc w:val="both"/>
        <w:rPr>
          <w:rFonts w:ascii="Palatino Linotype" w:eastAsia="Palatino Linotype" w:hAnsi="Palatino Linotype" w:cs="Palatino Linotype"/>
          <w:i/>
          <w:iCs/>
        </w:rPr>
      </w:pPr>
      <w:r>
        <w:rPr>
          <w:rFonts w:ascii="Palatino Linotype" w:eastAsia="Palatino Linotype" w:hAnsi="Palatino Linotype" w:cs="Palatino Linotype"/>
          <w:b/>
          <w:bCs/>
          <w:i/>
          <w:iCs/>
        </w:rPr>
        <w:t>XXXIX.</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Servidor público habilitado</w:t>
      </w:r>
      <w:r>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EB590C" w:rsidRDefault="00EB590C">
      <w:pPr>
        <w:spacing w:line="360" w:lineRule="auto"/>
        <w:ind w:left="708" w:right="62"/>
        <w:jc w:val="both"/>
        <w:rPr>
          <w:rFonts w:ascii="Palatino Linotype" w:eastAsia="Palatino Linotype" w:hAnsi="Palatino Linotype" w:cs="Palatino Linotype"/>
        </w:rPr>
      </w:pPr>
    </w:p>
    <w:p w:rsidR="00EB590C" w:rsidRDefault="00090D1B">
      <w:pPr>
        <w:numPr>
          <w:ilvl w:val="0"/>
          <w:numId w:val="6"/>
        </w:numPr>
        <w:pBdr>
          <w:top w:val="nil"/>
          <w:left w:val="nil"/>
          <w:bottom w:val="nil"/>
          <w:right w:val="nil"/>
          <w:between w:val="nil"/>
        </w:pBdr>
        <w:spacing w:line="360" w:lineRule="auto"/>
        <w:ind w:left="0" w:right="-787" w:firstLine="0"/>
        <w:jc w:val="both"/>
      </w:pPr>
      <w:r>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EB590C" w:rsidRDefault="00090D1B">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162.</w:t>
      </w:r>
      <w:r>
        <w:rPr>
          <w:rFonts w:ascii="Palatino Linotype" w:eastAsia="Palatino Linotype" w:hAnsi="Palatino Linotype" w:cs="Palatino Linotype"/>
          <w:i/>
          <w:iCs/>
        </w:rPr>
        <w:t xml:space="preserve"> Las unidades de transparencia deberán garantizar que las solicitudes se turnen a </w:t>
      </w:r>
      <w:r>
        <w:rPr>
          <w:rFonts w:ascii="Palatino Linotype" w:eastAsia="Palatino Linotype" w:hAnsi="Palatino Linotype" w:cs="Palatino Linotype"/>
          <w:b/>
          <w:bCs/>
          <w:i/>
          <w:iCs/>
        </w:rPr>
        <w:t>todas las Áreas competentes</w:t>
      </w:r>
      <w:r>
        <w:rPr>
          <w:rFonts w:ascii="Palatino Linotype" w:eastAsia="Palatino Linotype" w:hAnsi="Palatino Linotype" w:cs="Palatino Linotype"/>
          <w:i/>
          <w:iCs/>
        </w:rPr>
        <w:t xml:space="preserve"> que cuenten con la información o deban tenerla de acuerdo a sus facultades, competencias y funciones, con el objeto de que realicen una búsqueda exhaustiva y razonable de la información solicitada.”</w:t>
      </w:r>
    </w:p>
    <w:p w:rsidR="00EB590C" w:rsidRDefault="00EB590C">
      <w:pPr>
        <w:ind w:left="567" w:right="-220"/>
        <w:jc w:val="both"/>
        <w:rPr>
          <w:rFonts w:ascii="Palatino Linotype" w:eastAsia="Palatino Linotype" w:hAnsi="Palatino Linotype" w:cs="Palatino Linotype"/>
          <w:i/>
          <w:iCs/>
        </w:rPr>
      </w:pPr>
    </w:p>
    <w:p w:rsidR="00EB590C" w:rsidRDefault="00090D1B">
      <w:pPr>
        <w:numPr>
          <w:ilvl w:val="0"/>
          <w:numId w:val="6"/>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Es de subrayar que el derecho de acceso a la información pública, consiste en que la información </w:t>
      </w:r>
      <w:r>
        <w:rPr>
          <w:rFonts w:ascii="Palatino Linotype" w:eastAsia="Palatino Linotype" w:hAnsi="Palatino Linotype" w:cs="Palatino Linotype"/>
        </w:rPr>
        <w:t>solicitada</w:t>
      </w:r>
      <w:r>
        <w:rPr>
          <w:rFonts w:ascii="Palatino Linotype" w:eastAsia="Palatino Linotype" w:hAnsi="Palatino Linotype" w:cs="Palatino Linotype"/>
          <w:color w:val="000000"/>
        </w:rPr>
        <w:t xml:space="preserve"> conste en un soporte documental en cualquiera de sus formas, a saber: </w:t>
      </w:r>
      <w:r>
        <w:rPr>
          <w:rFonts w:ascii="Palatino Linotype" w:eastAsia="Palatino Linotype" w:hAnsi="Palatino Linotype" w:cs="Palatino Linotype"/>
        </w:rPr>
        <w:t>expedientes</w:t>
      </w:r>
      <w:r>
        <w:rPr>
          <w:rFonts w:ascii="Palatino Linotype" w:eastAsia="Palatino Linotype" w:hAnsi="Palatino Linotype" w:cs="Palatino Linotype"/>
          <w:color w:val="000000"/>
        </w:rPr>
        <w:t xml:space="preserve">,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EB590C" w:rsidRDefault="00090D1B">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 xml:space="preserve">Artículo 3. </w:t>
      </w:r>
      <w:r>
        <w:rPr>
          <w:rFonts w:ascii="Palatino Linotype" w:eastAsia="Palatino Linotype" w:hAnsi="Palatino Linotype" w:cs="Palatino Linotype"/>
          <w:i/>
          <w:iCs/>
          <w:color w:val="000000"/>
        </w:rPr>
        <w:t>Para los efectos de la presente Ley se entenderá por:</w:t>
      </w:r>
    </w:p>
    <w:p w:rsidR="00EB590C" w:rsidRDefault="00090D1B">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w:t>
      </w:r>
    </w:p>
    <w:p w:rsidR="00EB590C" w:rsidRDefault="00090D1B">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XI. Documento:</w:t>
      </w:r>
      <w:r>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EB590C" w:rsidRDefault="00090D1B">
      <w:pPr>
        <w:spacing w:line="360" w:lineRule="auto"/>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EB590C" w:rsidRDefault="00EB590C">
      <w:pPr>
        <w:ind w:right="-787"/>
        <w:jc w:val="both"/>
        <w:rPr>
          <w:rFonts w:ascii="Palatino Linotype" w:eastAsia="Palatino Linotype" w:hAnsi="Palatino Linotype" w:cs="Palatino Linotype"/>
        </w:rPr>
      </w:pPr>
    </w:p>
    <w:p w:rsidR="00EB590C" w:rsidRDefault="00090D1B">
      <w:pPr>
        <w:numPr>
          <w:ilvl w:val="0"/>
          <w:numId w:val="6"/>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Siendo aplicable el Criterio de interpretación en el orden administrativo número 0002-11, emitido por Acuerdo del Pleno del Instituto de Transparencia y Acceso a la Información Pública del </w:t>
      </w:r>
      <w:r>
        <w:rPr>
          <w:rFonts w:ascii="Palatino Linotype" w:eastAsia="Palatino Linotype" w:hAnsi="Palatino Linotype" w:cs="Palatino Linotype"/>
        </w:rPr>
        <w:t>Estado</w:t>
      </w:r>
      <w:r>
        <w:rPr>
          <w:rFonts w:ascii="Palatino Linotype" w:eastAsia="Palatino Linotype" w:hAnsi="Palatino Linotype" w:cs="Palatino Linotype"/>
          <w:color w:val="000000"/>
        </w:rPr>
        <w:t xml:space="preserve"> de México y Municipios; publicado en el Periódico Oficial del Gobierno del Estado Libre y Soberano de México “Gaceta del Gobierno”, el diecinueve de octubre de dos mil once, cuyo rubro y texto dispone:</w:t>
      </w:r>
    </w:p>
    <w:p w:rsidR="00EB590C" w:rsidRDefault="00090D1B">
      <w:pPr>
        <w:ind w:left="567"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rPr>
        <w:t>“</w:t>
      </w:r>
      <w:r>
        <w:rPr>
          <w:rFonts w:ascii="Palatino Linotype" w:eastAsia="Palatino Linotype" w:hAnsi="Palatino Linotype" w:cs="Palatino Linotype"/>
          <w:b/>
          <w:bCs/>
          <w:i/>
          <w:iCs/>
        </w:rPr>
        <w:t>CRITERIO 0002-11</w:t>
      </w:r>
    </w:p>
    <w:p w:rsidR="00EB590C" w:rsidRDefault="00090D1B">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EB590C" w:rsidRDefault="00090D1B">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rsidR="00EB590C" w:rsidRDefault="00090D1B">
      <w:pPr>
        <w:ind w:left="567"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w:t>
      </w:r>
      <w:r>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EB590C" w:rsidRDefault="00090D1B">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EB590C" w:rsidRDefault="00090D1B">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EB590C" w:rsidRDefault="00EB590C">
      <w:pPr>
        <w:pBdr>
          <w:top w:val="nil"/>
          <w:left w:val="nil"/>
          <w:bottom w:val="nil"/>
          <w:right w:val="nil"/>
          <w:between w:val="nil"/>
        </w:pBdr>
        <w:ind w:right="-787"/>
        <w:jc w:val="both"/>
        <w:rPr>
          <w:rFonts w:ascii="Palatino Linotype" w:eastAsia="Palatino Linotype" w:hAnsi="Palatino Linotype" w:cs="Palatino Linotype"/>
          <w:color w:val="000000"/>
        </w:rPr>
      </w:pPr>
    </w:p>
    <w:p w:rsidR="00EB590C" w:rsidRDefault="00090D1B">
      <w:pPr>
        <w:numPr>
          <w:ilvl w:val="0"/>
          <w:numId w:val="6"/>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lastRenderedPageBreak/>
        <w:t>Por su parte los artículos 160 y 166, de la Ley local en la materia, que se reproduce de la siguiente forma:</w:t>
      </w:r>
    </w:p>
    <w:p w:rsidR="00EB590C" w:rsidRDefault="00090D1B">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160.</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Pr>
          <w:rFonts w:ascii="Palatino Linotype" w:eastAsia="Palatino Linotype" w:hAnsi="Palatino Linotype" w:cs="Palatino Linotype"/>
          <w:i/>
          <w:iCs/>
        </w:rPr>
        <w:t>.</w:t>
      </w:r>
    </w:p>
    <w:p w:rsidR="00EB590C" w:rsidRDefault="00EB590C">
      <w:pPr>
        <w:ind w:left="566" w:right="-220"/>
        <w:jc w:val="both"/>
        <w:rPr>
          <w:rFonts w:ascii="Palatino Linotype" w:eastAsia="Palatino Linotype" w:hAnsi="Palatino Linotype" w:cs="Palatino Linotype"/>
          <w:i/>
          <w:iCs/>
        </w:rPr>
      </w:pPr>
    </w:p>
    <w:p w:rsidR="00EB590C" w:rsidRDefault="00090D1B">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caso que la información solicitada consista en bases de datos se deberá privilegiar la entrega de la misma en formatos abiertos.</w:t>
      </w:r>
    </w:p>
    <w:p w:rsidR="00EB590C" w:rsidRDefault="00090D1B">
      <w:pPr>
        <w:ind w:left="566" w:right="-220"/>
        <w:jc w:val="both"/>
        <w:rPr>
          <w:rFonts w:ascii="Palatino Linotype" w:eastAsia="Palatino Linotype" w:hAnsi="Palatino Linotype" w:cs="Palatino Linotype"/>
          <w:i/>
          <w:iCs/>
          <w:u w:val="single"/>
        </w:rPr>
      </w:pPr>
      <w:r>
        <w:rPr>
          <w:rFonts w:ascii="Palatino Linotype" w:eastAsia="Palatino Linotype" w:hAnsi="Palatino Linotype" w:cs="Palatino Linotype"/>
          <w:b/>
          <w:bCs/>
          <w:i/>
          <w:iCs/>
        </w:rPr>
        <w:t>Artículo 166.</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EB590C" w:rsidRDefault="00090D1B">
      <w:pPr>
        <w:spacing w:line="360" w:lineRule="auto"/>
        <w:ind w:left="566" w:right="-220"/>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EB590C" w:rsidRDefault="00EB590C">
      <w:pPr>
        <w:ind w:right="-787"/>
        <w:jc w:val="both"/>
        <w:rPr>
          <w:rFonts w:ascii="Palatino Linotype" w:eastAsia="Palatino Linotype" w:hAnsi="Palatino Linotype" w:cs="Palatino Linotype"/>
        </w:rPr>
      </w:pPr>
    </w:p>
    <w:p w:rsidR="00EB590C" w:rsidRDefault="00090D1B">
      <w:pPr>
        <w:numPr>
          <w:ilvl w:val="0"/>
          <w:numId w:val="6"/>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EB590C" w:rsidRDefault="00EB590C">
      <w:pPr>
        <w:spacing w:line="360" w:lineRule="auto"/>
        <w:ind w:right="-787"/>
        <w:jc w:val="both"/>
        <w:rPr>
          <w:rFonts w:ascii="Palatino Linotype" w:eastAsia="Palatino Linotype" w:hAnsi="Palatino Linotype" w:cs="Palatino Linotype"/>
          <w:color w:val="000000"/>
        </w:rPr>
      </w:pPr>
    </w:p>
    <w:p w:rsidR="00EB590C" w:rsidRDefault="00090D1B">
      <w:pPr>
        <w:numPr>
          <w:ilvl w:val="0"/>
          <w:numId w:val="8"/>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De la naturaleza de la información solicitada. </w:t>
      </w:r>
    </w:p>
    <w:p w:rsidR="00EB590C" w:rsidRDefault="00090D1B">
      <w:pPr>
        <w:numPr>
          <w:ilvl w:val="0"/>
          <w:numId w:val="6"/>
        </w:numPr>
        <w:spacing w:line="360" w:lineRule="auto"/>
        <w:ind w:left="0" w:right="-787" w:firstLine="0"/>
        <w:jc w:val="both"/>
      </w:pPr>
      <w:r>
        <w:rPr>
          <w:rFonts w:ascii="Palatino Linotype" w:eastAsia="Palatino Linotype" w:hAnsi="Palatino Linotype" w:cs="Palatino Linotype"/>
        </w:rPr>
        <w:t xml:space="preserve">Se </w:t>
      </w:r>
      <w:r>
        <w:rPr>
          <w:rFonts w:ascii="Palatino Linotype" w:eastAsia="Palatino Linotype" w:hAnsi="Palatino Linotype" w:cs="Palatino Linotype"/>
          <w:color w:val="000000"/>
        </w:rPr>
        <w:t>precisa</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que</w:t>
      </w:r>
      <w:r>
        <w:rPr>
          <w:rFonts w:ascii="Palatino Linotype" w:eastAsia="Palatino Linotype" w:hAnsi="Palatino Linotype" w:cs="Palatino Linotype"/>
        </w:rPr>
        <w:t xml:space="preserve"> se obvia el análisis de la competencia por parte del </w:t>
      </w:r>
      <w:r>
        <w:rPr>
          <w:rFonts w:ascii="Palatino Linotype" w:eastAsia="Palatino Linotype" w:hAnsi="Palatino Linotype" w:cs="Palatino Linotype"/>
          <w:b/>
          <w:bCs/>
        </w:rPr>
        <w:t>SUJETO OBLIGADO</w:t>
      </w:r>
      <w:r>
        <w:rPr>
          <w:rFonts w:ascii="Palatino Linotype" w:eastAsia="Palatino Linotype" w:hAnsi="Palatino Linotype" w:cs="Palatino Linotype"/>
        </w:rPr>
        <w:t>, para generar, administrar o poseer la información solicitada, dado que éste ha asumido la misma, en razón que en respuesta admitió contar con dicha información, tan es así que se remitió diversa información de la requerida, de los servidores públicos referidos en la solicitud de información.</w:t>
      </w:r>
    </w:p>
    <w:p w:rsidR="00EB590C" w:rsidRDefault="00EB590C">
      <w:pPr>
        <w:tabs>
          <w:tab w:val="left" w:pos="0"/>
          <w:tab w:val="left" w:pos="567"/>
        </w:tabs>
        <w:spacing w:line="360" w:lineRule="auto"/>
        <w:ind w:left="-566" w:right="-787"/>
        <w:jc w:val="both"/>
        <w:rPr>
          <w:rFonts w:ascii="Palatino Linotype" w:eastAsia="Palatino Linotype" w:hAnsi="Palatino Linotype" w:cs="Palatino Linotype"/>
        </w:rPr>
      </w:pPr>
    </w:p>
    <w:p w:rsidR="00EB590C" w:rsidRDefault="00090D1B">
      <w:pPr>
        <w:numPr>
          <w:ilvl w:val="0"/>
          <w:numId w:val="6"/>
        </w:numPr>
        <w:spacing w:line="360" w:lineRule="auto"/>
        <w:ind w:left="0" w:right="-787" w:firstLine="0"/>
        <w:jc w:val="both"/>
      </w:pPr>
      <w:bookmarkStart w:id="7" w:name="_heading=h.2s8eyo1" w:colFirst="0" w:colLast="0"/>
      <w:bookmarkEnd w:id="7"/>
      <w:r>
        <w:rPr>
          <w:rFonts w:ascii="Palatino Linotype" w:eastAsia="Palatino Linotype" w:hAnsi="Palatino Linotype" w:cs="Palatino Linotype"/>
        </w:rPr>
        <w:lastRenderedPageBreak/>
        <w:t xml:space="preserve">En efecto, el hecho de que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EB590C" w:rsidRDefault="00090D1B">
      <w:pPr>
        <w:tabs>
          <w:tab w:val="left" w:pos="8505"/>
        </w:tabs>
        <w:ind w:left="709" w:right="-858"/>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12.</w:t>
      </w:r>
      <w:r>
        <w:rPr>
          <w:rFonts w:ascii="Palatino Linotype" w:eastAsia="Palatino Linotype" w:hAnsi="Palatino Linotype" w:cs="Palatino Linotype"/>
          <w:i/>
          <w:iCs/>
        </w:rPr>
        <w:t> Quienes generen, recopilen, administren, manejen, procesen, archiven o conserven información pública serán responsables de la misma en los términos de las disposiciones jurídicas aplicables.</w:t>
      </w:r>
    </w:p>
    <w:p w:rsidR="00EB590C" w:rsidRDefault="00EB590C">
      <w:pPr>
        <w:tabs>
          <w:tab w:val="left" w:pos="8505"/>
        </w:tabs>
        <w:ind w:left="709" w:right="-858"/>
        <w:jc w:val="both"/>
        <w:rPr>
          <w:rFonts w:ascii="Palatino Linotype" w:eastAsia="Palatino Linotype" w:hAnsi="Palatino Linotype" w:cs="Palatino Linotype"/>
          <w:i/>
          <w:iCs/>
        </w:rPr>
      </w:pPr>
    </w:p>
    <w:p w:rsidR="00EB590C" w:rsidRDefault="00090D1B">
      <w:pPr>
        <w:tabs>
          <w:tab w:val="left" w:pos="8505"/>
        </w:tabs>
        <w:ind w:left="709" w:right="-858"/>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EB590C" w:rsidRDefault="00EB590C">
      <w:pPr>
        <w:tabs>
          <w:tab w:val="left" w:pos="8505"/>
        </w:tabs>
        <w:ind w:left="709" w:right="-858"/>
        <w:jc w:val="both"/>
        <w:rPr>
          <w:rFonts w:ascii="Palatino Linotype" w:eastAsia="Palatino Linotype" w:hAnsi="Palatino Linotype" w:cs="Palatino Linotype"/>
          <w:i/>
          <w:iCs/>
        </w:rPr>
      </w:pPr>
    </w:p>
    <w:p w:rsidR="00EB590C" w:rsidRDefault="00EB590C">
      <w:pPr>
        <w:pBdr>
          <w:top w:val="nil"/>
          <w:left w:val="nil"/>
          <w:bottom w:val="nil"/>
          <w:right w:val="nil"/>
          <w:between w:val="nil"/>
        </w:pBdr>
        <w:ind w:left="-566" w:right="-787"/>
        <w:rPr>
          <w:rFonts w:ascii="Palatino Linotype" w:eastAsia="Palatino Linotype" w:hAnsi="Palatino Linotype" w:cs="Palatino Linotype"/>
          <w:color w:val="000000"/>
        </w:rPr>
      </w:pPr>
    </w:p>
    <w:p w:rsidR="00EB590C" w:rsidRDefault="00090D1B">
      <w:pPr>
        <w:numPr>
          <w:ilvl w:val="0"/>
          <w:numId w:val="6"/>
        </w:numPr>
        <w:spacing w:line="360" w:lineRule="auto"/>
        <w:ind w:left="0" w:right="-787" w:firstLine="0"/>
        <w:jc w:val="both"/>
        <w:rPr>
          <w:color w:val="000000"/>
        </w:rPr>
      </w:pPr>
      <w:r>
        <w:rPr>
          <w:rFonts w:ascii="Palatino Linotype" w:eastAsia="Palatino Linotype" w:hAnsi="Palatino Linotype" w:cs="Palatino Linotype"/>
        </w:rPr>
        <w:t xml:space="preserve">Así, el estudio de </w:t>
      </w:r>
      <w:r>
        <w:rPr>
          <w:rFonts w:ascii="Palatino Linotype" w:eastAsia="Palatino Linotype" w:hAnsi="Palatino Linotype" w:cs="Palatino Linotype"/>
          <w:color w:val="000000"/>
        </w:rPr>
        <w:t>la</w:t>
      </w:r>
      <w:r>
        <w:rPr>
          <w:rFonts w:ascii="Palatino Linotype" w:eastAsia="Palatino Linotype" w:hAnsi="Palatino Linotype" w:cs="Palatino Linotype"/>
        </w:rPr>
        <w:t xml:space="preserve"> naturaleza jurídica de la información pública solicitada, tiene por objeto determinar si ésta la genera, posee o administra </w:t>
      </w:r>
      <w:r>
        <w:rPr>
          <w:rFonts w:ascii="Palatino Linotype" w:eastAsia="Palatino Linotype" w:hAnsi="Palatino Linotype" w:cs="Palatino Linotype"/>
          <w:b/>
          <w:bCs/>
        </w:rPr>
        <w:t>EL SUJETO OBLIGADO</w:t>
      </w:r>
      <w:r>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EB590C" w:rsidRDefault="00EB590C">
      <w:pPr>
        <w:spacing w:line="360" w:lineRule="auto"/>
        <w:ind w:right="-787"/>
        <w:jc w:val="both"/>
        <w:rPr>
          <w:rFonts w:ascii="Palatino Linotype" w:eastAsia="Palatino Linotype" w:hAnsi="Palatino Linotype" w:cs="Palatino Linotype"/>
          <w:color w:val="000000"/>
        </w:rPr>
      </w:pPr>
    </w:p>
    <w:p w:rsidR="00EB590C" w:rsidRDefault="00090D1B">
      <w:pPr>
        <w:numPr>
          <w:ilvl w:val="0"/>
          <w:numId w:val="6"/>
        </w:numPr>
        <w:spacing w:line="360" w:lineRule="auto"/>
        <w:ind w:left="0" w:right="-787" w:firstLine="0"/>
        <w:jc w:val="both"/>
        <w:rPr>
          <w:color w:val="000000"/>
        </w:rPr>
      </w:pPr>
      <w:r>
        <w:rPr>
          <w:rFonts w:ascii="Palatino Linotype" w:eastAsia="Palatino Linotype" w:hAnsi="Palatino Linotype" w:cs="Palatino Linotype"/>
          <w:color w:val="000000"/>
        </w:rPr>
        <w:t xml:space="preserve">Ahora bien, es de recordar que el particular requirió </w:t>
      </w:r>
      <w:r>
        <w:rPr>
          <w:rFonts w:ascii="Palatino Linotype" w:eastAsia="Palatino Linotype" w:hAnsi="Palatino Linotype" w:cs="Palatino Linotype"/>
          <w:i/>
          <w:iCs/>
          <w:color w:val="000000"/>
          <w:u w:val="single"/>
        </w:rPr>
        <w:t>De los Jueces y Secretarios Cívicos: Nombre, Sueldo, Acciones, Funciones y Turnos</w:t>
      </w:r>
      <w:r>
        <w:rPr>
          <w:rFonts w:ascii="Palatino Linotype" w:eastAsia="Palatino Linotype" w:hAnsi="Palatino Linotype" w:cs="Palatino Linotype"/>
          <w:color w:val="000000"/>
          <w:u w:val="single"/>
        </w:rPr>
        <w:t>,</w:t>
      </w:r>
      <w:r>
        <w:rPr>
          <w:rFonts w:ascii="Palatino Linotype" w:eastAsia="Palatino Linotype" w:hAnsi="Palatino Linotype" w:cs="Palatino Linotype"/>
          <w:color w:val="000000"/>
        </w:rPr>
        <w:t xml:space="preserve"> en respuesta el Sujeto Obligado remitió diversa información en atención al requerimiento, en consecuencia el particular se dolió por la entrega de información incompleta, posteriormente al particular fue omiso presentar manifestaciones que a su derecho conviniera o asistiera, por su parte el Sujeto Obligado ratificó su respuesta primigenia.</w:t>
      </w:r>
    </w:p>
    <w:p w:rsidR="00EB590C" w:rsidRDefault="00090D1B">
      <w:pPr>
        <w:numPr>
          <w:ilvl w:val="0"/>
          <w:numId w:val="6"/>
        </w:numPr>
        <w:spacing w:line="360" w:lineRule="auto"/>
        <w:ind w:left="0" w:right="-787" w:firstLine="0"/>
        <w:jc w:val="both"/>
        <w:rPr>
          <w:color w:val="000000"/>
        </w:rPr>
      </w:pPr>
      <w:r>
        <w:rPr>
          <w:rFonts w:ascii="Palatino Linotype" w:eastAsia="Palatino Linotype" w:hAnsi="Palatino Linotype" w:cs="Palatino Linotype"/>
          <w:color w:val="000000"/>
        </w:rPr>
        <w:lastRenderedPageBreak/>
        <w:t xml:space="preserve">En este sentido, respecto del punto relativo a </w:t>
      </w:r>
      <w:r>
        <w:rPr>
          <w:rFonts w:ascii="Palatino Linotype" w:eastAsia="Palatino Linotype" w:hAnsi="Palatino Linotype" w:cs="Palatino Linotype"/>
          <w:i/>
          <w:iCs/>
          <w:color w:val="000000"/>
          <w:u w:val="single"/>
        </w:rPr>
        <w:t>sueldo, acciones y funciones</w:t>
      </w:r>
      <w:r>
        <w:rPr>
          <w:rFonts w:ascii="Palatino Linotype" w:eastAsia="Palatino Linotype" w:hAnsi="Palatino Linotype" w:cs="Palatino Linotype"/>
          <w:color w:val="000000"/>
        </w:rPr>
        <w:t>, el Sujeto Obligado a través de la Dirección de Recursos Humanos remitió los hipervínculos en formatos abiertos, mismos que refiere remiten a la información de remuneraciones y funciones contenidas en el Manual de Organización de la Secretaría del Ayuntamiento, mismos que al consultarlos se advierte la información siguiente:</w:t>
      </w:r>
    </w:p>
    <w:p w:rsidR="00EB590C" w:rsidRDefault="00EB590C">
      <w:pPr>
        <w:spacing w:line="360" w:lineRule="auto"/>
        <w:ind w:right="-787"/>
        <w:jc w:val="both"/>
        <w:rPr>
          <w:rFonts w:ascii="Palatino Linotype" w:eastAsia="Palatino Linotype" w:hAnsi="Palatino Linotype" w:cs="Palatino Linotype"/>
          <w:i/>
          <w:iCs/>
          <w:color w:val="000000"/>
        </w:rPr>
      </w:pPr>
    </w:p>
    <w:p w:rsidR="00EB590C" w:rsidRDefault="00090D1B">
      <w:pPr>
        <w:numPr>
          <w:ilvl w:val="0"/>
          <w:numId w:val="6"/>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El </w:t>
      </w:r>
      <w:r>
        <w:rPr>
          <w:rFonts w:ascii="Palatino Linotype" w:eastAsia="Palatino Linotype" w:hAnsi="Palatino Linotype" w:cs="Palatino Linotype"/>
          <w:color w:val="000000"/>
        </w:rPr>
        <w:t>hipervínculo</w:t>
      </w:r>
      <w:r>
        <w:rPr>
          <w:rFonts w:ascii="Palatino Linotype" w:eastAsia="Palatino Linotype" w:hAnsi="Palatino Linotype" w:cs="Palatino Linotype"/>
        </w:rPr>
        <w:t xml:space="preserve"> </w:t>
      </w:r>
      <w:hyperlink r:id="rId15" w:anchor="/info-fraccion/11/197/28">
        <w:r>
          <w:rPr>
            <w:rFonts w:ascii="Palatino Linotype" w:eastAsia="Palatino Linotype" w:hAnsi="Palatino Linotype" w:cs="Palatino Linotype"/>
            <w:b/>
            <w:bCs/>
            <w:color w:val="0563C1"/>
            <w:u w:val="single"/>
          </w:rPr>
          <w:t>https://ipomex.org.mx/ipomex/#/info-</w:t>
        </w:r>
      </w:hyperlink>
      <w:hyperlink r:id="rId16" w:anchor="/info-fraccion/11/197/28">
        <w:r>
          <w:rPr>
            <w:rFonts w:ascii="Palatino Linotype" w:eastAsia="Palatino Linotype" w:hAnsi="Palatino Linotype" w:cs="Palatino Linotype"/>
            <w:b/>
            <w:bCs/>
            <w:color w:val="0563C1"/>
            <w:u w:val="single"/>
          </w:rPr>
          <w:t>fraccion</w:t>
        </w:r>
      </w:hyperlink>
      <w:hyperlink r:id="rId17" w:anchor="/info-fraccion/11/197/28">
        <w:r>
          <w:rPr>
            <w:rFonts w:ascii="Palatino Linotype" w:eastAsia="Palatino Linotype" w:hAnsi="Palatino Linotype" w:cs="Palatino Linotype"/>
            <w:b/>
            <w:bCs/>
            <w:color w:val="0563C1"/>
            <w:u w:val="single"/>
          </w:rPr>
          <w:t>/11/197/28</w:t>
        </w:r>
      </w:hyperlink>
      <w:r>
        <w:rPr>
          <w:rFonts w:ascii="Palatino Linotype" w:eastAsia="Palatino Linotype" w:hAnsi="Palatino Linotype" w:cs="Palatino Linotype"/>
          <w:b/>
          <w:bCs/>
        </w:rPr>
        <w:t xml:space="preserve">  Remuneraciones, </w:t>
      </w:r>
      <w:r>
        <w:rPr>
          <w:rFonts w:ascii="Palatino Linotype" w:eastAsia="Palatino Linotype" w:hAnsi="Palatino Linotype" w:cs="Palatino Linotype"/>
        </w:rPr>
        <w:t xml:space="preserve">dirige a la página web de Información Pública de Oficio Mexiquense IPOMEX, del Sujeto Obligado, en el apartado relativo al </w:t>
      </w:r>
      <w:r>
        <w:rPr>
          <w:rFonts w:ascii="Palatino Linotype" w:eastAsia="Palatino Linotype" w:hAnsi="Palatino Linotype" w:cs="Palatino Linotype"/>
          <w:b/>
          <w:bCs/>
        </w:rPr>
        <w:t>Artículo 92,  Fracción VIII A,  Remuneraciones,</w:t>
      </w:r>
      <w:r>
        <w:rPr>
          <w:rFonts w:ascii="Palatino Linotype" w:eastAsia="Palatino Linotype" w:hAnsi="Palatino Linotype" w:cs="Palatino Linotype"/>
        </w:rPr>
        <w:t xml:space="preserve"> en el que se advierte información de las remuneraciones de los servidores públicos adscritos a los Juzgados Cívicos, particularmente de los Jueces y Secretarios Cívicos, tal como se muestra en la imagen siguiente:</w:t>
      </w:r>
    </w:p>
    <w:p w:rsidR="00EB590C" w:rsidRDefault="00EB590C">
      <w:pPr>
        <w:pBdr>
          <w:top w:val="nil"/>
          <w:left w:val="nil"/>
          <w:bottom w:val="nil"/>
          <w:right w:val="nil"/>
          <w:between w:val="nil"/>
        </w:pBdr>
        <w:ind w:right="-787"/>
        <w:jc w:val="both"/>
        <w:rPr>
          <w:rFonts w:ascii="Palatino Linotype" w:eastAsia="Palatino Linotype" w:hAnsi="Palatino Linotype" w:cs="Palatino Linotype"/>
          <w:b/>
          <w:bCs/>
        </w:rPr>
      </w:pPr>
    </w:p>
    <w:p w:rsidR="00EB590C" w:rsidRDefault="00090D1B">
      <w:pPr>
        <w:pBdr>
          <w:top w:val="nil"/>
          <w:left w:val="nil"/>
          <w:bottom w:val="nil"/>
          <w:right w:val="nil"/>
          <w:between w:val="nil"/>
        </w:pBdr>
        <w:ind w:right="-787"/>
        <w:jc w:val="center"/>
        <w:rPr>
          <w:rFonts w:ascii="Palatino Linotype" w:eastAsia="Palatino Linotype" w:hAnsi="Palatino Linotype" w:cs="Palatino Linotype"/>
          <w:b/>
          <w:bCs/>
        </w:rPr>
      </w:pPr>
      <w:r>
        <w:rPr>
          <w:rFonts w:ascii="Palatino Linotype" w:eastAsia="Palatino Linotype" w:hAnsi="Palatino Linotype" w:cs="Palatino Linotype"/>
          <w:b/>
          <w:bCs/>
          <w:noProof/>
          <w:lang w:val="es-MX"/>
        </w:rPr>
        <w:drawing>
          <wp:inline distT="0" distB="0" distL="0" distR="0">
            <wp:extent cx="3938958" cy="1990809"/>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3938958" cy="1990809"/>
                    </a:xfrm>
                    <a:prstGeom prst="rect">
                      <a:avLst/>
                    </a:prstGeom>
                    <a:ln/>
                  </pic:spPr>
                </pic:pic>
              </a:graphicData>
            </a:graphic>
          </wp:inline>
        </w:drawing>
      </w:r>
    </w:p>
    <w:p w:rsidR="00EB590C" w:rsidRDefault="00EB590C">
      <w:pPr>
        <w:pBdr>
          <w:top w:val="nil"/>
          <w:left w:val="nil"/>
          <w:bottom w:val="nil"/>
          <w:right w:val="nil"/>
          <w:between w:val="nil"/>
        </w:pBdr>
        <w:ind w:right="-787"/>
        <w:jc w:val="both"/>
        <w:rPr>
          <w:rFonts w:ascii="Palatino Linotype" w:eastAsia="Palatino Linotype" w:hAnsi="Palatino Linotype" w:cs="Palatino Linotype"/>
          <w:b/>
          <w:bCs/>
        </w:rPr>
      </w:pPr>
    </w:p>
    <w:p w:rsidR="00EB590C" w:rsidRDefault="00090D1B">
      <w:pPr>
        <w:pBdr>
          <w:top w:val="nil"/>
          <w:left w:val="nil"/>
          <w:bottom w:val="nil"/>
          <w:right w:val="nil"/>
          <w:between w:val="nil"/>
        </w:pBdr>
        <w:ind w:right="-787"/>
        <w:jc w:val="center"/>
        <w:rPr>
          <w:rFonts w:ascii="Palatino Linotype" w:eastAsia="Palatino Linotype" w:hAnsi="Palatino Linotype" w:cs="Palatino Linotype"/>
          <w:b/>
          <w:bCs/>
        </w:rPr>
      </w:pPr>
      <w:r>
        <w:rPr>
          <w:rFonts w:ascii="Palatino Linotype" w:eastAsia="Palatino Linotype" w:hAnsi="Palatino Linotype" w:cs="Palatino Linotype"/>
          <w:b/>
          <w:bCs/>
          <w:noProof/>
          <w:lang w:val="es-MX"/>
        </w:rPr>
        <w:drawing>
          <wp:inline distT="0" distB="0" distL="0" distR="0">
            <wp:extent cx="4521949" cy="1100931"/>
            <wp:effectExtent l="0" t="0" r="0" b="0"/>
            <wp:docPr id="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9"/>
                    <a:srcRect/>
                    <a:stretch>
                      <a:fillRect/>
                    </a:stretch>
                  </pic:blipFill>
                  <pic:spPr>
                    <a:xfrm>
                      <a:off x="0" y="0"/>
                      <a:ext cx="4521949" cy="1100931"/>
                    </a:xfrm>
                    <a:prstGeom prst="rect">
                      <a:avLst/>
                    </a:prstGeom>
                    <a:ln/>
                  </pic:spPr>
                </pic:pic>
              </a:graphicData>
            </a:graphic>
          </wp:inline>
        </w:drawing>
      </w:r>
    </w:p>
    <w:p w:rsidR="00EB590C" w:rsidRDefault="00EB590C">
      <w:pPr>
        <w:pBdr>
          <w:top w:val="nil"/>
          <w:left w:val="nil"/>
          <w:bottom w:val="nil"/>
          <w:right w:val="nil"/>
          <w:between w:val="nil"/>
        </w:pBdr>
        <w:ind w:right="-787"/>
        <w:jc w:val="center"/>
        <w:rPr>
          <w:rFonts w:ascii="Palatino Linotype" w:eastAsia="Palatino Linotype" w:hAnsi="Palatino Linotype" w:cs="Palatino Linotype"/>
          <w:b/>
          <w:bCs/>
        </w:rPr>
      </w:pPr>
    </w:p>
    <w:p w:rsidR="00EB590C" w:rsidRDefault="00090D1B">
      <w:pPr>
        <w:numPr>
          <w:ilvl w:val="0"/>
          <w:numId w:val="6"/>
        </w:numPr>
        <w:spacing w:line="360" w:lineRule="auto"/>
        <w:ind w:left="0" w:right="-787" w:firstLine="0"/>
        <w:jc w:val="both"/>
      </w:pPr>
      <w:r>
        <w:rPr>
          <w:rFonts w:ascii="Palatino Linotype" w:eastAsia="Palatino Linotype" w:hAnsi="Palatino Linotype" w:cs="Palatino Linotype"/>
        </w:rPr>
        <w:lastRenderedPageBreak/>
        <w:t xml:space="preserve">Ahora bien, se puede advertir que la información se visualiza respecto al primer trimestre 2026; no obstante, este Organismo considera que al haberse consultado por el particular en la fecha en que se entregó la información, la misma remitió a la de la temporalidad requerida, ya que la liga entregada, remite de manera genérica al apartado de remuneraciones, mostrando la información vigente a la fecha de la consulta. En tal sentido se considera que la información proporcionada, </w:t>
      </w:r>
      <w:r>
        <w:rPr>
          <w:rFonts w:ascii="Palatino Linotype" w:eastAsia="Palatino Linotype" w:hAnsi="Palatino Linotype" w:cs="Palatino Linotype"/>
          <w:b/>
          <w:bCs/>
        </w:rPr>
        <w:t xml:space="preserve">colma el requerimiento de información en su totalidad, respecto al </w:t>
      </w:r>
      <w:r>
        <w:rPr>
          <w:rFonts w:ascii="Palatino Linotype" w:eastAsia="Palatino Linotype" w:hAnsi="Palatino Linotype" w:cs="Palatino Linotype"/>
          <w:b/>
          <w:bCs/>
          <w:u w:val="single"/>
        </w:rPr>
        <w:t>sueldo de los Jueces y Secretarios Cívicos.</w:t>
      </w:r>
    </w:p>
    <w:p w:rsidR="00EB590C" w:rsidRDefault="00EB590C">
      <w:pPr>
        <w:pBdr>
          <w:top w:val="nil"/>
          <w:left w:val="nil"/>
          <w:bottom w:val="nil"/>
          <w:right w:val="nil"/>
          <w:between w:val="nil"/>
        </w:pBdr>
        <w:ind w:right="-787"/>
        <w:jc w:val="center"/>
        <w:rPr>
          <w:rFonts w:ascii="Palatino Linotype" w:eastAsia="Palatino Linotype" w:hAnsi="Palatino Linotype" w:cs="Palatino Linotype"/>
          <w:b/>
          <w:bCs/>
        </w:rPr>
      </w:pPr>
    </w:p>
    <w:p w:rsidR="00EB590C" w:rsidRDefault="00090D1B">
      <w:pPr>
        <w:numPr>
          <w:ilvl w:val="0"/>
          <w:numId w:val="6"/>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El Hipervínculo </w:t>
      </w:r>
      <w:hyperlink r:id="rId20" w:anchor="/info-fraccion/1/197/15">
        <w:r>
          <w:rPr>
            <w:rFonts w:ascii="Palatino Linotype" w:eastAsia="Palatino Linotype" w:hAnsi="Palatino Linotype" w:cs="Palatino Linotype"/>
            <w:b/>
            <w:bCs/>
            <w:color w:val="0563C1"/>
            <w:u w:val="single"/>
          </w:rPr>
          <w:t>https://ipomex.org.mx/ipomex/#/info-</w:t>
        </w:r>
      </w:hyperlink>
      <w:hyperlink r:id="rId21" w:anchor="/info-fraccion/1/197/15">
        <w:r>
          <w:rPr>
            <w:rFonts w:ascii="Palatino Linotype" w:eastAsia="Palatino Linotype" w:hAnsi="Palatino Linotype" w:cs="Palatino Linotype"/>
            <w:b/>
            <w:bCs/>
            <w:color w:val="0563C1"/>
            <w:u w:val="single"/>
          </w:rPr>
          <w:t>fraccion</w:t>
        </w:r>
      </w:hyperlink>
      <w:hyperlink r:id="rId22" w:anchor="/info-fraccion/1/197/15">
        <w:r>
          <w:rPr>
            <w:rFonts w:ascii="Palatino Linotype" w:eastAsia="Palatino Linotype" w:hAnsi="Palatino Linotype" w:cs="Palatino Linotype"/>
            <w:b/>
            <w:bCs/>
            <w:color w:val="0563C1"/>
            <w:u w:val="single"/>
          </w:rPr>
          <w:t>/1/197/15</w:t>
        </w:r>
      </w:hyperlink>
      <w:r>
        <w:rPr>
          <w:rFonts w:ascii="Palatino Linotype" w:eastAsia="Palatino Linotype" w:hAnsi="Palatino Linotype" w:cs="Palatino Linotype"/>
          <w:b/>
          <w:bCs/>
          <w:u w:val="single"/>
        </w:rPr>
        <w:t xml:space="preserve"> </w:t>
      </w:r>
      <w:r>
        <w:rPr>
          <w:rFonts w:ascii="Palatino Linotype" w:eastAsia="Palatino Linotype" w:hAnsi="Palatino Linotype" w:cs="Palatino Linotype"/>
          <w:b/>
          <w:bCs/>
        </w:rPr>
        <w:t xml:space="preserve">   Manual de organización de Secretaria de Ayuntamiento (funciones)</w:t>
      </w:r>
      <w:r>
        <w:rPr>
          <w:rFonts w:ascii="Palatino Linotype" w:eastAsia="Palatino Linotype" w:hAnsi="Palatino Linotype" w:cs="Palatino Linotype"/>
        </w:rPr>
        <w:t xml:space="preserve">, nos remite a la página web de Información Pública de Oficio Mexiquense IPOMEX, del Sujeto Obligado, en el apartado relativo al </w:t>
      </w:r>
      <w:r>
        <w:rPr>
          <w:rFonts w:ascii="Palatino Linotype" w:eastAsia="Palatino Linotype" w:hAnsi="Palatino Linotype" w:cs="Palatino Linotype"/>
          <w:b/>
          <w:bCs/>
        </w:rPr>
        <w:t>Artículo 92,  Fracción I,  Normatividad Aplicable,</w:t>
      </w:r>
      <w:r>
        <w:rPr>
          <w:rFonts w:ascii="Palatino Linotype" w:eastAsia="Palatino Linotype" w:hAnsi="Palatino Linotype" w:cs="Palatino Linotype"/>
        </w:rPr>
        <w:t xml:space="preserve"> en el que se advierte información del Manual, al darle clic, se pueden advertir 29 registros, entre los que se encuentra el Manual de Organización de la Secretaría del Ayuntamiento, mismo que al darle clic nos remite a dicho documento normativo, tal como se muestra en las siguientes imágenes:</w:t>
      </w:r>
    </w:p>
    <w:p w:rsidR="00EB590C" w:rsidRDefault="00EB590C">
      <w:pPr>
        <w:jc w:val="both"/>
        <w:rPr>
          <w:rFonts w:ascii="Palatino Linotype" w:eastAsia="Palatino Linotype" w:hAnsi="Palatino Linotype" w:cs="Palatino Linotype"/>
          <w:b/>
          <w:bCs/>
        </w:rPr>
      </w:pPr>
    </w:p>
    <w:p w:rsidR="00EB590C" w:rsidRDefault="00090D1B">
      <w:pPr>
        <w:jc w:val="center"/>
        <w:rPr>
          <w:rFonts w:ascii="Palatino Linotype" w:eastAsia="Palatino Linotype" w:hAnsi="Palatino Linotype" w:cs="Palatino Linotype"/>
          <w:b/>
          <w:bCs/>
        </w:rPr>
      </w:pPr>
      <w:r>
        <w:rPr>
          <w:rFonts w:ascii="Palatino Linotype" w:eastAsia="Palatino Linotype" w:hAnsi="Palatino Linotype" w:cs="Palatino Linotype"/>
          <w:b/>
          <w:bCs/>
          <w:noProof/>
          <w:lang w:val="es-MX"/>
        </w:rPr>
        <w:lastRenderedPageBreak/>
        <w:drawing>
          <wp:inline distT="0" distB="0" distL="0" distR="0">
            <wp:extent cx="3814620" cy="3017611"/>
            <wp:effectExtent l="0" t="0" r="0"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3"/>
                    <a:srcRect/>
                    <a:stretch>
                      <a:fillRect/>
                    </a:stretch>
                  </pic:blipFill>
                  <pic:spPr>
                    <a:xfrm>
                      <a:off x="0" y="0"/>
                      <a:ext cx="3814620" cy="3017611"/>
                    </a:xfrm>
                    <a:prstGeom prst="rect">
                      <a:avLst/>
                    </a:prstGeom>
                    <a:ln/>
                  </pic:spPr>
                </pic:pic>
              </a:graphicData>
            </a:graphic>
          </wp:inline>
        </w:drawing>
      </w:r>
    </w:p>
    <w:p w:rsidR="00EB590C" w:rsidRDefault="00EB590C">
      <w:pPr>
        <w:jc w:val="center"/>
        <w:rPr>
          <w:rFonts w:ascii="Palatino Linotype" w:eastAsia="Palatino Linotype" w:hAnsi="Palatino Linotype" w:cs="Palatino Linotype"/>
          <w:b/>
          <w:bCs/>
        </w:rPr>
      </w:pPr>
    </w:p>
    <w:p w:rsidR="00EB590C" w:rsidRDefault="00090D1B">
      <w:pPr>
        <w:jc w:val="center"/>
        <w:rPr>
          <w:rFonts w:ascii="Palatino Linotype" w:eastAsia="Palatino Linotype" w:hAnsi="Palatino Linotype" w:cs="Palatino Linotype"/>
          <w:b/>
          <w:bCs/>
        </w:rPr>
      </w:pPr>
      <w:r>
        <w:rPr>
          <w:rFonts w:ascii="Palatino Linotype" w:eastAsia="Palatino Linotype" w:hAnsi="Palatino Linotype" w:cs="Palatino Linotype"/>
          <w:b/>
          <w:bCs/>
          <w:noProof/>
          <w:lang w:val="es-MX"/>
        </w:rPr>
        <w:drawing>
          <wp:inline distT="0" distB="0" distL="0" distR="0">
            <wp:extent cx="2294844" cy="2200672"/>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4"/>
                    <a:srcRect/>
                    <a:stretch>
                      <a:fillRect/>
                    </a:stretch>
                  </pic:blipFill>
                  <pic:spPr>
                    <a:xfrm>
                      <a:off x="0" y="0"/>
                      <a:ext cx="2294844" cy="2200672"/>
                    </a:xfrm>
                    <a:prstGeom prst="rect">
                      <a:avLst/>
                    </a:prstGeom>
                    <a:ln/>
                  </pic:spPr>
                </pic:pic>
              </a:graphicData>
            </a:graphic>
          </wp:inline>
        </w:drawing>
      </w:r>
    </w:p>
    <w:p w:rsidR="00EB590C" w:rsidRDefault="00EB590C">
      <w:pPr>
        <w:jc w:val="center"/>
        <w:rPr>
          <w:rFonts w:ascii="Palatino Linotype" w:eastAsia="Palatino Linotype" w:hAnsi="Palatino Linotype" w:cs="Palatino Linotype"/>
          <w:b/>
          <w:bCs/>
        </w:rPr>
      </w:pPr>
    </w:p>
    <w:p w:rsidR="00EB590C" w:rsidRDefault="00EB590C">
      <w:pPr>
        <w:jc w:val="center"/>
        <w:rPr>
          <w:rFonts w:ascii="Palatino Linotype" w:eastAsia="Palatino Linotype" w:hAnsi="Palatino Linotype" w:cs="Palatino Linotype"/>
          <w:b/>
          <w:bCs/>
        </w:rPr>
      </w:pPr>
    </w:p>
    <w:p w:rsidR="00EB590C" w:rsidRDefault="00090D1B">
      <w:pPr>
        <w:numPr>
          <w:ilvl w:val="0"/>
          <w:numId w:val="6"/>
        </w:numPr>
        <w:spacing w:line="360" w:lineRule="auto"/>
        <w:ind w:left="0" w:right="-787" w:firstLine="0"/>
        <w:jc w:val="both"/>
      </w:pPr>
      <w:r>
        <w:rPr>
          <w:rFonts w:ascii="Palatino Linotype" w:eastAsia="Palatino Linotype" w:hAnsi="Palatino Linotype" w:cs="Palatino Linotype"/>
        </w:rPr>
        <w:t>En este último se puede advertir respecto de los Juzgados Cívicos, su objetivo y funciones.</w:t>
      </w:r>
    </w:p>
    <w:p w:rsidR="00EB590C" w:rsidRDefault="00EB590C">
      <w:pPr>
        <w:spacing w:line="360" w:lineRule="auto"/>
        <w:ind w:right="-787"/>
        <w:jc w:val="both"/>
        <w:rPr>
          <w:rFonts w:ascii="Palatino Linotype" w:eastAsia="Palatino Linotype" w:hAnsi="Palatino Linotype" w:cs="Palatino Linotype"/>
        </w:rPr>
      </w:pPr>
    </w:p>
    <w:p w:rsidR="00EB590C" w:rsidRDefault="00090D1B">
      <w:pPr>
        <w:numPr>
          <w:ilvl w:val="0"/>
          <w:numId w:val="6"/>
        </w:numPr>
        <w:spacing w:line="360" w:lineRule="auto"/>
        <w:ind w:left="0" w:right="-787" w:firstLine="0"/>
        <w:jc w:val="both"/>
      </w:pPr>
      <w:r>
        <w:rPr>
          <w:rFonts w:ascii="Palatino Linotype" w:eastAsia="Palatino Linotype" w:hAnsi="Palatino Linotype" w:cs="Palatino Linotype"/>
        </w:rPr>
        <w:t xml:space="preserve">Asimismo, a través de la </w:t>
      </w:r>
      <w:r>
        <w:rPr>
          <w:rFonts w:ascii="Palatino Linotype" w:eastAsia="Palatino Linotype" w:hAnsi="Palatino Linotype" w:cs="Palatino Linotype"/>
          <w:b/>
          <w:bCs/>
        </w:rPr>
        <w:t>Consejería Jurídica</w:t>
      </w:r>
      <w:r>
        <w:rPr>
          <w:rFonts w:ascii="Palatino Linotype" w:eastAsia="Palatino Linotype" w:hAnsi="Palatino Linotype" w:cs="Palatino Linotype"/>
        </w:rPr>
        <w:t xml:space="preserve">, se señala la normatividad que contiene las acciones que desempeñan los Jueces y Secretarios Cívicos, así como las funciones de los </w:t>
      </w:r>
      <w:r>
        <w:rPr>
          <w:rFonts w:ascii="Palatino Linotype" w:eastAsia="Palatino Linotype" w:hAnsi="Palatino Linotype" w:cs="Palatino Linotype"/>
        </w:rPr>
        <w:lastRenderedPageBreak/>
        <w:t>Jueces y Secretarios Cívicos conforme al Código Reglamentario Municipal de Toluca y la Ley de Justicia Cívica del Estado de México, de manera precisa se refirió lo siguiente:</w:t>
      </w:r>
    </w:p>
    <w:p w:rsidR="00EB590C" w:rsidRDefault="00090D1B">
      <w:pPr>
        <w:numPr>
          <w:ilvl w:val="1"/>
          <w:numId w:val="6"/>
        </w:num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b/>
          <w:bCs/>
          <w:i/>
          <w:iCs/>
        </w:rPr>
        <w:t>Las acciones que desempeñan los Jueces y Secretarios Cívicos van conforme a lo siguiente</w:t>
      </w:r>
      <w:r>
        <w:rPr>
          <w:rFonts w:ascii="Palatino Linotype" w:eastAsia="Palatino Linotype" w:hAnsi="Palatino Linotype" w:cs="Palatino Linotype"/>
          <w:i/>
          <w:iCs/>
        </w:rPr>
        <w:t xml:space="preserve">: </w:t>
      </w:r>
    </w:p>
    <w:p w:rsidR="00EB590C" w:rsidRDefault="00EB590C">
      <w:pPr>
        <w:ind w:left="567" w:right="-788"/>
        <w:jc w:val="both"/>
        <w:rPr>
          <w:rFonts w:ascii="Palatino Linotype" w:eastAsia="Palatino Linotype" w:hAnsi="Palatino Linotype" w:cs="Palatino Linotype"/>
          <w:i/>
          <w:iCs/>
        </w:rPr>
      </w:pPr>
    </w:p>
    <w:p w:rsidR="00EB590C" w:rsidRDefault="00090D1B">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10.2. Los Juzgados Cívicos son la institución donde se imparte y administra la Justicia Cívica y son competentes para: </w:t>
      </w:r>
    </w:p>
    <w:p w:rsidR="00EB590C" w:rsidRDefault="00EB590C">
      <w:pPr>
        <w:ind w:left="567" w:right="-788"/>
        <w:jc w:val="both"/>
        <w:rPr>
          <w:rFonts w:ascii="Palatino Linotype" w:eastAsia="Palatino Linotype" w:hAnsi="Palatino Linotype" w:cs="Palatino Linotype"/>
          <w:i/>
          <w:iCs/>
        </w:rPr>
      </w:pPr>
    </w:p>
    <w:p w:rsidR="00EB590C" w:rsidRDefault="00090D1B">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Resolver de manera autónoma los conflictos particulares, vecinales y comunales; </w:t>
      </w:r>
    </w:p>
    <w:p w:rsidR="00EB590C" w:rsidRDefault="00090D1B">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Calificar las infracciones al Bando Municipal, y demás ordenamientos estatales y municipales donde losJueces Cívicos tengan competencia; y </w:t>
      </w:r>
    </w:p>
    <w:p w:rsidR="00EB590C" w:rsidRDefault="00090D1B">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Aplicar sanciones de acuerdo con la Ley, el Bando Municipal y demás disposiciones de la materia </w:t>
      </w:r>
    </w:p>
    <w:p w:rsidR="00EB590C" w:rsidRDefault="00EB590C">
      <w:pPr>
        <w:ind w:left="567" w:right="-788"/>
        <w:jc w:val="both"/>
        <w:rPr>
          <w:rFonts w:ascii="Palatino Linotype" w:eastAsia="Palatino Linotype" w:hAnsi="Palatino Linotype" w:cs="Palatino Linotype"/>
          <w:i/>
          <w:iCs/>
        </w:rPr>
      </w:pPr>
    </w:p>
    <w:p w:rsidR="00EB590C" w:rsidRDefault="00090D1B">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Artículo 10.3. Los Juzgados Cívicos deben privilegiar tanto la solución de conflictos sobre los formalismos procedimentales, como la oralidad en el desarrollo de los procedimientos, para lograr la solución expedita de los conflictos.</w:t>
      </w:r>
    </w:p>
    <w:p w:rsidR="00EB590C" w:rsidRDefault="00EB590C">
      <w:pPr>
        <w:ind w:left="567" w:right="-788"/>
        <w:jc w:val="both"/>
        <w:rPr>
          <w:rFonts w:ascii="Palatino Linotype" w:eastAsia="Palatino Linotype" w:hAnsi="Palatino Linotype" w:cs="Palatino Linotype"/>
          <w:i/>
          <w:iCs/>
        </w:rPr>
      </w:pPr>
    </w:p>
    <w:p w:rsidR="00EB590C" w:rsidRDefault="00090D1B">
      <w:pPr>
        <w:numPr>
          <w:ilvl w:val="0"/>
          <w:numId w:val="4"/>
        </w:numPr>
        <w:pBdr>
          <w:top w:val="nil"/>
          <w:left w:val="nil"/>
          <w:bottom w:val="nil"/>
          <w:right w:val="nil"/>
          <w:between w:val="nil"/>
        </w:pBdr>
        <w:ind w:left="567"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Funciones de los Jueces Cívicos</w:t>
      </w:r>
      <w:r>
        <w:rPr>
          <w:rFonts w:ascii="Palatino Linotype" w:eastAsia="Palatino Linotype" w:hAnsi="Palatino Linotype" w:cs="Palatino Linotype"/>
          <w:i/>
          <w:iCs/>
          <w:color w:val="000000"/>
        </w:rPr>
        <w:t xml:space="preserve"> de conformidad con el </w:t>
      </w:r>
      <w:r>
        <w:rPr>
          <w:rFonts w:ascii="Palatino Linotype" w:eastAsia="Palatino Linotype" w:hAnsi="Palatino Linotype" w:cs="Palatino Linotype"/>
          <w:i/>
          <w:iCs/>
          <w:color w:val="000000"/>
          <w:u w:val="single"/>
        </w:rPr>
        <w:t>Código Reglamentario Municipal de Toluca</w:t>
      </w:r>
    </w:p>
    <w:p w:rsidR="00EB590C" w:rsidRDefault="00EB590C">
      <w:pPr>
        <w:ind w:right="-788"/>
        <w:jc w:val="both"/>
        <w:rPr>
          <w:rFonts w:ascii="Palatino Linotype" w:eastAsia="Palatino Linotype" w:hAnsi="Palatino Linotype" w:cs="Palatino Linotype"/>
          <w:i/>
          <w:iCs/>
        </w:rPr>
      </w:pPr>
    </w:p>
    <w:p w:rsidR="00EB590C" w:rsidRDefault="00090D1B">
      <w:pPr>
        <w:ind w:right="-788"/>
        <w:jc w:val="center"/>
        <w:rPr>
          <w:rFonts w:ascii="Palatino Linotype" w:eastAsia="Palatino Linotype" w:hAnsi="Palatino Linotype" w:cs="Palatino Linotype"/>
          <w:i/>
          <w:iCs/>
        </w:rPr>
      </w:pPr>
      <w:r>
        <w:rPr>
          <w:rFonts w:ascii="Palatino Linotype" w:eastAsia="Palatino Linotype" w:hAnsi="Palatino Linotype" w:cs="Palatino Linotype"/>
          <w:i/>
          <w:iCs/>
          <w:noProof/>
          <w:lang w:val="es-MX"/>
        </w:rPr>
        <w:lastRenderedPageBreak/>
        <w:drawing>
          <wp:inline distT="0" distB="0" distL="0" distR="0">
            <wp:extent cx="4064140" cy="3624773"/>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5"/>
                    <a:srcRect/>
                    <a:stretch>
                      <a:fillRect/>
                    </a:stretch>
                  </pic:blipFill>
                  <pic:spPr>
                    <a:xfrm>
                      <a:off x="0" y="0"/>
                      <a:ext cx="4064140" cy="3624773"/>
                    </a:xfrm>
                    <a:prstGeom prst="rect">
                      <a:avLst/>
                    </a:prstGeom>
                    <a:ln/>
                  </pic:spPr>
                </pic:pic>
              </a:graphicData>
            </a:graphic>
          </wp:inline>
        </w:drawing>
      </w:r>
    </w:p>
    <w:p w:rsidR="00EB590C" w:rsidRDefault="00EB590C">
      <w:pPr>
        <w:ind w:right="-788"/>
        <w:jc w:val="both"/>
        <w:rPr>
          <w:rFonts w:ascii="Palatino Linotype" w:eastAsia="Palatino Linotype" w:hAnsi="Palatino Linotype" w:cs="Palatino Linotype"/>
          <w:i/>
          <w:iCs/>
        </w:rPr>
      </w:pPr>
    </w:p>
    <w:p w:rsidR="00EB590C" w:rsidRDefault="00090D1B">
      <w:pPr>
        <w:numPr>
          <w:ilvl w:val="0"/>
          <w:numId w:val="4"/>
        </w:numPr>
        <w:pBdr>
          <w:top w:val="nil"/>
          <w:left w:val="nil"/>
          <w:bottom w:val="nil"/>
          <w:right w:val="nil"/>
          <w:between w:val="nil"/>
        </w:pBdr>
        <w:ind w:left="567"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Funciones de los Jueces Cívicos</w:t>
      </w:r>
      <w:r>
        <w:rPr>
          <w:rFonts w:ascii="Palatino Linotype" w:eastAsia="Palatino Linotype" w:hAnsi="Palatino Linotype" w:cs="Palatino Linotype"/>
          <w:i/>
          <w:iCs/>
          <w:color w:val="000000"/>
        </w:rPr>
        <w:t xml:space="preserve"> conforme a la </w:t>
      </w:r>
      <w:r>
        <w:rPr>
          <w:rFonts w:ascii="Palatino Linotype" w:eastAsia="Palatino Linotype" w:hAnsi="Palatino Linotype" w:cs="Palatino Linotype"/>
          <w:i/>
          <w:iCs/>
          <w:color w:val="000000"/>
          <w:u w:val="single"/>
        </w:rPr>
        <w:t>Ley de Justicia Cívica del Estado de México y Municipios</w:t>
      </w:r>
      <w:r>
        <w:rPr>
          <w:rFonts w:ascii="Palatino Linotype" w:eastAsia="Palatino Linotype" w:hAnsi="Palatino Linotype" w:cs="Palatino Linotype"/>
          <w:i/>
          <w:iCs/>
          <w:color w:val="000000"/>
        </w:rPr>
        <w:t>.</w:t>
      </w:r>
    </w:p>
    <w:p w:rsidR="00EB590C" w:rsidRDefault="00090D1B">
      <w:pPr>
        <w:ind w:right="-788"/>
        <w:jc w:val="center"/>
        <w:rPr>
          <w:rFonts w:ascii="Palatino Linotype" w:eastAsia="Palatino Linotype" w:hAnsi="Palatino Linotype" w:cs="Palatino Linotype"/>
          <w:i/>
          <w:iCs/>
        </w:rPr>
      </w:pPr>
      <w:r>
        <w:rPr>
          <w:rFonts w:ascii="Palatino Linotype" w:eastAsia="Palatino Linotype" w:hAnsi="Palatino Linotype" w:cs="Palatino Linotype"/>
          <w:i/>
          <w:iCs/>
          <w:noProof/>
          <w:lang w:val="es-MX"/>
        </w:rPr>
        <w:drawing>
          <wp:inline distT="0" distB="0" distL="0" distR="0">
            <wp:extent cx="3812030" cy="1840203"/>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6"/>
                    <a:srcRect/>
                    <a:stretch>
                      <a:fillRect/>
                    </a:stretch>
                  </pic:blipFill>
                  <pic:spPr>
                    <a:xfrm>
                      <a:off x="0" y="0"/>
                      <a:ext cx="3812030" cy="1840203"/>
                    </a:xfrm>
                    <a:prstGeom prst="rect">
                      <a:avLst/>
                    </a:prstGeom>
                    <a:ln/>
                  </pic:spPr>
                </pic:pic>
              </a:graphicData>
            </a:graphic>
          </wp:inline>
        </w:drawing>
      </w:r>
    </w:p>
    <w:p w:rsidR="00EB590C" w:rsidRDefault="00090D1B">
      <w:pPr>
        <w:numPr>
          <w:ilvl w:val="0"/>
          <w:numId w:val="4"/>
        </w:numPr>
        <w:pBdr>
          <w:top w:val="nil"/>
          <w:left w:val="nil"/>
          <w:bottom w:val="nil"/>
          <w:right w:val="nil"/>
          <w:between w:val="nil"/>
        </w:pBdr>
        <w:ind w:left="567"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Funciones de los Secretarios Cívicos</w:t>
      </w:r>
      <w:r>
        <w:rPr>
          <w:rFonts w:ascii="Palatino Linotype" w:eastAsia="Palatino Linotype" w:hAnsi="Palatino Linotype" w:cs="Palatino Linotype"/>
          <w:i/>
          <w:iCs/>
          <w:color w:val="000000"/>
        </w:rPr>
        <w:t xml:space="preserve"> de conformidad con el </w:t>
      </w:r>
      <w:r>
        <w:rPr>
          <w:rFonts w:ascii="Palatino Linotype" w:eastAsia="Palatino Linotype" w:hAnsi="Palatino Linotype" w:cs="Palatino Linotype"/>
          <w:i/>
          <w:iCs/>
          <w:color w:val="000000"/>
          <w:u w:val="single"/>
        </w:rPr>
        <w:t>Código Reglamentario Municipal de Toluca</w:t>
      </w:r>
    </w:p>
    <w:p w:rsidR="00EB590C" w:rsidRDefault="00090D1B">
      <w:pPr>
        <w:ind w:right="-788"/>
        <w:jc w:val="center"/>
        <w:rPr>
          <w:rFonts w:ascii="Palatino Linotype" w:eastAsia="Palatino Linotype" w:hAnsi="Palatino Linotype" w:cs="Palatino Linotype"/>
          <w:i/>
          <w:iCs/>
        </w:rPr>
      </w:pPr>
      <w:r>
        <w:rPr>
          <w:rFonts w:ascii="Palatino Linotype" w:eastAsia="Palatino Linotype" w:hAnsi="Palatino Linotype" w:cs="Palatino Linotype"/>
          <w:i/>
          <w:iCs/>
          <w:noProof/>
          <w:lang w:val="es-MX"/>
        </w:rPr>
        <w:lastRenderedPageBreak/>
        <w:drawing>
          <wp:inline distT="0" distB="0" distL="0" distR="0">
            <wp:extent cx="4136794" cy="3061182"/>
            <wp:effectExtent l="0" t="0" r="0" b="0"/>
            <wp:docPr id="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7"/>
                    <a:srcRect/>
                    <a:stretch>
                      <a:fillRect/>
                    </a:stretch>
                  </pic:blipFill>
                  <pic:spPr>
                    <a:xfrm>
                      <a:off x="0" y="0"/>
                      <a:ext cx="4136794" cy="3061182"/>
                    </a:xfrm>
                    <a:prstGeom prst="rect">
                      <a:avLst/>
                    </a:prstGeom>
                    <a:ln/>
                  </pic:spPr>
                </pic:pic>
              </a:graphicData>
            </a:graphic>
          </wp:inline>
        </w:drawing>
      </w:r>
    </w:p>
    <w:p w:rsidR="00EB590C" w:rsidRDefault="00EB590C">
      <w:pPr>
        <w:ind w:right="-788"/>
        <w:jc w:val="both"/>
        <w:rPr>
          <w:rFonts w:ascii="Palatino Linotype" w:eastAsia="Palatino Linotype" w:hAnsi="Palatino Linotype" w:cs="Palatino Linotype"/>
          <w:i/>
          <w:iCs/>
        </w:rPr>
      </w:pPr>
    </w:p>
    <w:p w:rsidR="00EB590C" w:rsidRDefault="00090D1B">
      <w:pPr>
        <w:numPr>
          <w:ilvl w:val="0"/>
          <w:numId w:val="4"/>
        </w:numPr>
        <w:pBdr>
          <w:top w:val="nil"/>
          <w:left w:val="nil"/>
          <w:bottom w:val="nil"/>
          <w:right w:val="nil"/>
          <w:between w:val="nil"/>
        </w:pBdr>
        <w:ind w:left="567"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Funciones de los Secretarios Cívicos</w:t>
      </w:r>
      <w:r>
        <w:rPr>
          <w:rFonts w:ascii="Palatino Linotype" w:eastAsia="Palatino Linotype" w:hAnsi="Palatino Linotype" w:cs="Palatino Linotype"/>
          <w:i/>
          <w:iCs/>
          <w:color w:val="000000"/>
        </w:rPr>
        <w:t xml:space="preserve"> conforme a la </w:t>
      </w:r>
      <w:r>
        <w:rPr>
          <w:rFonts w:ascii="Palatino Linotype" w:eastAsia="Palatino Linotype" w:hAnsi="Palatino Linotype" w:cs="Palatino Linotype"/>
          <w:i/>
          <w:iCs/>
          <w:color w:val="000000"/>
          <w:u w:val="single"/>
        </w:rPr>
        <w:t>Ley de Justicia Cívica del Estado de México y Municipios</w:t>
      </w:r>
    </w:p>
    <w:p w:rsidR="00EB590C" w:rsidRDefault="00EB590C">
      <w:pPr>
        <w:ind w:right="-788"/>
        <w:jc w:val="both"/>
        <w:rPr>
          <w:rFonts w:ascii="Palatino Linotype" w:eastAsia="Palatino Linotype" w:hAnsi="Palatino Linotype" w:cs="Palatino Linotype"/>
          <w:i/>
          <w:iCs/>
        </w:rPr>
      </w:pPr>
    </w:p>
    <w:p w:rsidR="00EB590C" w:rsidRDefault="00090D1B">
      <w:pPr>
        <w:ind w:right="-788"/>
        <w:jc w:val="center"/>
        <w:rPr>
          <w:rFonts w:ascii="Palatino Linotype" w:eastAsia="Palatino Linotype" w:hAnsi="Palatino Linotype" w:cs="Palatino Linotype"/>
          <w:i/>
          <w:iCs/>
        </w:rPr>
      </w:pPr>
      <w:r>
        <w:rPr>
          <w:rFonts w:ascii="Palatino Linotype" w:eastAsia="Palatino Linotype" w:hAnsi="Palatino Linotype" w:cs="Palatino Linotype"/>
          <w:i/>
          <w:iCs/>
          <w:noProof/>
          <w:lang w:val="es-MX"/>
        </w:rPr>
        <w:drawing>
          <wp:inline distT="0" distB="0" distL="0" distR="0">
            <wp:extent cx="3489082" cy="2423690"/>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8"/>
                    <a:srcRect/>
                    <a:stretch>
                      <a:fillRect/>
                    </a:stretch>
                  </pic:blipFill>
                  <pic:spPr>
                    <a:xfrm>
                      <a:off x="0" y="0"/>
                      <a:ext cx="3489082" cy="2423690"/>
                    </a:xfrm>
                    <a:prstGeom prst="rect">
                      <a:avLst/>
                    </a:prstGeom>
                    <a:ln/>
                  </pic:spPr>
                </pic:pic>
              </a:graphicData>
            </a:graphic>
          </wp:inline>
        </w:drawing>
      </w:r>
    </w:p>
    <w:p w:rsidR="00EB590C" w:rsidRDefault="00EB590C">
      <w:pPr>
        <w:pBdr>
          <w:top w:val="nil"/>
          <w:left w:val="nil"/>
          <w:bottom w:val="nil"/>
          <w:right w:val="nil"/>
          <w:between w:val="nil"/>
        </w:pBdr>
        <w:ind w:left="567" w:right="-787"/>
        <w:jc w:val="both"/>
        <w:rPr>
          <w:rFonts w:ascii="Palatino Linotype" w:eastAsia="Palatino Linotype" w:hAnsi="Palatino Linotype" w:cs="Palatino Linotype"/>
          <w:color w:val="000000"/>
        </w:rPr>
      </w:pPr>
    </w:p>
    <w:p w:rsidR="00EB590C" w:rsidRDefault="00EB590C">
      <w:pPr>
        <w:spacing w:line="360" w:lineRule="auto"/>
        <w:ind w:left="1440" w:right="-787"/>
        <w:jc w:val="both"/>
        <w:rPr>
          <w:rFonts w:ascii="Palatino Linotype" w:eastAsia="Palatino Linotype" w:hAnsi="Palatino Linotype" w:cs="Palatino Linotype"/>
          <w:i/>
          <w:iCs/>
          <w:color w:val="000000"/>
        </w:rPr>
      </w:pPr>
    </w:p>
    <w:p w:rsidR="00EB590C" w:rsidRDefault="00EB590C">
      <w:pPr>
        <w:spacing w:line="360" w:lineRule="auto"/>
        <w:ind w:right="-787"/>
        <w:jc w:val="both"/>
        <w:rPr>
          <w:rFonts w:ascii="Palatino Linotype" w:eastAsia="Palatino Linotype" w:hAnsi="Palatino Linotype" w:cs="Palatino Linotype"/>
          <w:color w:val="000000"/>
        </w:rPr>
      </w:pPr>
    </w:p>
    <w:p w:rsidR="00EB590C" w:rsidRDefault="00EB590C">
      <w:pPr>
        <w:spacing w:line="360" w:lineRule="auto"/>
        <w:ind w:right="-787"/>
        <w:jc w:val="both"/>
        <w:rPr>
          <w:rFonts w:ascii="Palatino Linotype" w:eastAsia="Palatino Linotype" w:hAnsi="Palatino Linotype" w:cs="Palatino Linotype"/>
          <w:i/>
          <w:iCs/>
          <w:color w:val="000000"/>
        </w:rPr>
      </w:pPr>
    </w:p>
    <w:p w:rsidR="00EB590C" w:rsidRDefault="00090D1B">
      <w:pPr>
        <w:numPr>
          <w:ilvl w:val="0"/>
          <w:numId w:val="6"/>
        </w:numPr>
        <w:spacing w:line="360" w:lineRule="auto"/>
        <w:ind w:left="0" w:right="-787" w:firstLine="0"/>
        <w:jc w:val="both"/>
      </w:pPr>
      <w:r>
        <w:rPr>
          <w:rFonts w:ascii="Palatino Linotype" w:eastAsia="Palatino Linotype" w:hAnsi="Palatino Linotype" w:cs="Palatino Linotype"/>
        </w:rPr>
        <w:lastRenderedPageBreak/>
        <w:t xml:space="preserve">Por lo expuesto, </w:t>
      </w:r>
      <w:r>
        <w:rPr>
          <w:rFonts w:ascii="Palatino Linotype" w:eastAsia="Palatino Linotype" w:hAnsi="Palatino Linotype" w:cs="Palatino Linotype"/>
          <w:b/>
          <w:bCs/>
        </w:rPr>
        <w:t>se tiene por colmado en su totalidad el punto de solicitud relativo a acciones y funciones de los Jueces y Secretarios Cívicos</w:t>
      </w:r>
      <w:r>
        <w:rPr>
          <w:rFonts w:ascii="Palatino Linotype" w:eastAsia="Palatino Linotype" w:hAnsi="Palatino Linotype" w:cs="Palatino Linotype"/>
        </w:rPr>
        <w:t>, al entregar la información que es de interés para el solicitante, máxime que la Ley de Transparencia Local, establece que los sujetos obligados sólo proporcionarán la información pública que se les requiera y que obre en sus archivos y en el estado en que ésta se encuentre.</w:t>
      </w:r>
    </w:p>
    <w:p w:rsidR="00EB590C" w:rsidRDefault="00EB590C">
      <w:pPr>
        <w:spacing w:line="360" w:lineRule="auto"/>
        <w:ind w:right="-787"/>
        <w:jc w:val="both"/>
        <w:rPr>
          <w:rFonts w:ascii="Palatino Linotype" w:eastAsia="Palatino Linotype" w:hAnsi="Palatino Linotype" w:cs="Palatino Linotype"/>
          <w:i/>
          <w:iCs/>
        </w:rPr>
      </w:pPr>
    </w:p>
    <w:p w:rsidR="00EB590C" w:rsidRDefault="00090D1B">
      <w:pPr>
        <w:numPr>
          <w:ilvl w:val="0"/>
          <w:numId w:val="6"/>
        </w:numPr>
        <w:spacing w:line="360" w:lineRule="auto"/>
        <w:ind w:left="0" w:right="-787" w:firstLine="0"/>
        <w:jc w:val="both"/>
        <w:rPr>
          <w:color w:val="000000"/>
        </w:rPr>
      </w:pPr>
      <w:r>
        <w:rPr>
          <w:rFonts w:ascii="Palatino Linotype" w:eastAsia="Palatino Linotype" w:hAnsi="Palatino Linotype" w:cs="Palatino Linotype"/>
          <w:color w:val="000000"/>
        </w:rPr>
        <w:t xml:space="preserve">De </w:t>
      </w:r>
      <w:r>
        <w:rPr>
          <w:rFonts w:ascii="Palatino Linotype" w:eastAsia="Palatino Linotype" w:hAnsi="Palatino Linotype" w:cs="Palatino Linotype"/>
        </w:rPr>
        <w:t>esta</w:t>
      </w:r>
      <w:r>
        <w:rPr>
          <w:rFonts w:ascii="Palatino Linotype" w:eastAsia="Palatino Linotype" w:hAnsi="Palatino Linotype" w:cs="Palatino Linotype"/>
          <w:color w:val="000000"/>
        </w:rPr>
        <w:t xml:space="preserve"> manera, el derecho de acceso a la información pública se satisface en aquellos casos en que se entregue el soporte documental en el que conste la información solicitada, sin necesidad de elaborar documentos </w:t>
      </w:r>
      <w:r>
        <w:rPr>
          <w:rFonts w:ascii="Palatino Linotype" w:eastAsia="Palatino Linotype" w:hAnsi="Palatino Linotype" w:cs="Palatino Linotype"/>
          <w:i/>
          <w:iCs/>
          <w:color w:val="000000"/>
        </w:rPr>
        <w:t>ad hoc</w:t>
      </w:r>
      <w:r>
        <w:rPr>
          <w:rFonts w:ascii="Palatino Linotype" w:eastAsia="Palatino Linotype" w:hAnsi="Palatino Linotype" w:cs="Palatino Linotype"/>
          <w:color w:val="000000"/>
        </w:rPr>
        <w:t>; lo cual, toma sustento en el artículo 160 de la Ley de Transparencia y Acceso a la Información Pública del Estado de México y Municipios, el cual refiere que los sujetos obligados deberán entregar la información que obre en sus archivos. Además, resulta aplicable el Criterio 03/17 del Instituto Nacional de Transparencia, Acceso a la Información y Protección de Datos Personales que a continuación se cita:</w:t>
      </w:r>
    </w:p>
    <w:p w:rsidR="00EB590C" w:rsidRDefault="00090D1B">
      <w:pPr>
        <w:ind w:left="567" w:right="-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No existe obligación de elaborar documentos ad hoc para atender las solicitudes de acceso a la información. </w:t>
      </w:r>
      <w:r>
        <w:rPr>
          <w:rFonts w:ascii="Palatino Linotype" w:eastAsia="Palatino Linotype" w:hAnsi="Palatino Linotype" w:cs="Palatino Linotype"/>
          <w:i/>
          <w:iCs/>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EB590C" w:rsidRDefault="00EB590C">
      <w:pPr>
        <w:spacing w:line="360" w:lineRule="auto"/>
        <w:jc w:val="both"/>
        <w:rPr>
          <w:rFonts w:ascii="Palatino Linotype" w:eastAsia="Palatino Linotype" w:hAnsi="Palatino Linotype" w:cs="Palatino Linotype"/>
        </w:rPr>
      </w:pPr>
    </w:p>
    <w:p w:rsidR="00EB590C" w:rsidRDefault="00090D1B">
      <w:pPr>
        <w:numPr>
          <w:ilvl w:val="0"/>
          <w:numId w:val="6"/>
        </w:numPr>
        <w:spacing w:line="360" w:lineRule="auto"/>
        <w:ind w:left="0" w:right="-787" w:firstLine="0"/>
        <w:jc w:val="both"/>
        <w:rPr>
          <w:color w:val="000000"/>
        </w:rPr>
      </w:pPr>
      <w:r>
        <w:rPr>
          <w:rFonts w:ascii="Palatino Linotype" w:eastAsia="Palatino Linotype" w:hAnsi="Palatino Linotype" w:cs="Palatino Linotype"/>
          <w:color w:val="000000"/>
        </w:rPr>
        <w:t xml:space="preserve">También lo es que no existe normatividad o precepto legal </w:t>
      </w:r>
      <w:r>
        <w:rPr>
          <w:rFonts w:ascii="Palatino Linotype" w:eastAsia="Palatino Linotype" w:hAnsi="Palatino Linotype" w:cs="Palatino Linotype"/>
          <w:b/>
          <w:bCs/>
          <w:color w:val="000000"/>
        </w:rPr>
        <w:t>que lo impida</w:t>
      </w:r>
      <w:r>
        <w:rPr>
          <w:rFonts w:ascii="Palatino Linotype" w:eastAsia="Palatino Linotype" w:hAnsi="Palatino Linotype" w:cs="Palatino Linotype"/>
          <w:color w:val="000000"/>
        </w:rPr>
        <w:t xml:space="preserve">, de modo tal que un pronunciamiento que de atención a lo requerido eventualmente puede colmar el </w:t>
      </w:r>
      <w:r>
        <w:rPr>
          <w:rFonts w:ascii="Palatino Linotype" w:eastAsia="Palatino Linotype" w:hAnsi="Palatino Linotype" w:cs="Palatino Linotype"/>
          <w:color w:val="000000"/>
        </w:rPr>
        <w:lastRenderedPageBreak/>
        <w:t xml:space="preserve">cumplimiento de la presente resolución, lo cual no implica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procese la información, como ha sucedió en el presente caso.</w:t>
      </w:r>
    </w:p>
    <w:p w:rsidR="00EB590C" w:rsidRDefault="00EB590C">
      <w:pPr>
        <w:spacing w:line="360" w:lineRule="auto"/>
        <w:ind w:right="-787"/>
        <w:jc w:val="both"/>
        <w:rPr>
          <w:rFonts w:ascii="Palatino Linotype" w:eastAsia="Palatino Linotype" w:hAnsi="Palatino Linotype" w:cs="Palatino Linotype"/>
          <w:i/>
          <w:iCs/>
        </w:rPr>
      </w:pPr>
      <w:bookmarkStart w:id="8" w:name="_heading=h.wqie1kezffk5" w:colFirst="0" w:colLast="0"/>
      <w:bookmarkEnd w:id="8"/>
    </w:p>
    <w:p w:rsidR="00EB590C" w:rsidRDefault="00090D1B">
      <w:pPr>
        <w:numPr>
          <w:ilvl w:val="0"/>
          <w:numId w:val="6"/>
        </w:numPr>
        <w:spacing w:line="360" w:lineRule="auto"/>
        <w:ind w:left="0" w:right="-787" w:firstLine="0"/>
        <w:jc w:val="both"/>
      </w:pPr>
      <w:r>
        <w:rPr>
          <w:rFonts w:ascii="Palatino Linotype" w:eastAsia="Palatino Linotype" w:hAnsi="Palatino Linotype" w:cs="Palatino Linotype"/>
        </w:rPr>
        <w:t xml:space="preserve">En lo que respecta a los puntos relativos al </w:t>
      </w:r>
      <w:r>
        <w:rPr>
          <w:rFonts w:ascii="Palatino Linotype" w:eastAsia="Palatino Linotype" w:hAnsi="Palatino Linotype" w:cs="Palatino Linotype"/>
          <w:i/>
          <w:iCs/>
          <w:u w:val="single"/>
        </w:rPr>
        <w:t>nombre y turno de los Jueces y Secretarios Cívicos,</w:t>
      </w:r>
      <w:r>
        <w:rPr>
          <w:rFonts w:ascii="Palatino Linotype" w:eastAsia="Palatino Linotype" w:hAnsi="Palatino Linotype" w:cs="Palatino Linotype"/>
        </w:rPr>
        <w:t xml:space="preserve"> el Sujeto Obligado a través de la Consejería Jurídica refirió remitir los nombres de jueces y secretarios cívicos de cada materia y de cada turno, señalando que el juzgado del primer turno de infracciones administrativas, por el momento no tiene secretario, entregando un documento que muestra información con los rubros de profesión, nombre, adscripción y cargo, de los tres turnos de los Juzgados Cívicos de Alcoholimetría, Hechos de Tránsito, e Infracciones Administrativas, tal como se muestra en las imágenes siguientes:</w:t>
      </w:r>
    </w:p>
    <w:p w:rsidR="00EB590C" w:rsidRDefault="00090D1B">
      <w:pPr>
        <w:spacing w:line="360" w:lineRule="auto"/>
        <w:ind w:right="-787"/>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extent cx="4310485" cy="1853532"/>
            <wp:effectExtent l="0" t="0" r="0" b="0"/>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9"/>
                    <a:srcRect/>
                    <a:stretch>
                      <a:fillRect/>
                    </a:stretch>
                  </pic:blipFill>
                  <pic:spPr>
                    <a:xfrm>
                      <a:off x="0" y="0"/>
                      <a:ext cx="4310485" cy="1853532"/>
                    </a:xfrm>
                    <a:prstGeom prst="rect">
                      <a:avLst/>
                    </a:prstGeom>
                    <a:ln/>
                  </pic:spPr>
                </pic:pic>
              </a:graphicData>
            </a:graphic>
          </wp:inline>
        </w:drawing>
      </w:r>
    </w:p>
    <w:p w:rsidR="00EB590C" w:rsidRDefault="00090D1B">
      <w:pPr>
        <w:spacing w:line="360" w:lineRule="auto"/>
        <w:ind w:right="-787"/>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extent cx="4284127" cy="1318084"/>
            <wp:effectExtent l="0" t="0" r="0" b="0"/>
            <wp:docPr id="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0"/>
                    <a:srcRect/>
                    <a:stretch>
                      <a:fillRect/>
                    </a:stretch>
                  </pic:blipFill>
                  <pic:spPr>
                    <a:xfrm>
                      <a:off x="0" y="0"/>
                      <a:ext cx="4284127" cy="1318084"/>
                    </a:xfrm>
                    <a:prstGeom prst="rect">
                      <a:avLst/>
                    </a:prstGeom>
                    <a:ln/>
                  </pic:spPr>
                </pic:pic>
              </a:graphicData>
            </a:graphic>
          </wp:inline>
        </w:drawing>
      </w:r>
    </w:p>
    <w:p w:rsidR="00EB590C" w:rsidRDefault="00EB590C">
      <w:pPr>
        <w:spacing w:line="360" w:lineRule="auto"/>
        <w:ind w:right="-787"/>
        <w:jc w:val="both"/>
        <w:rPr>
          <w:rFonts w:ascii="Palatino Linotype" w:eastAsia="Palatino Linotype" w:hAnsi="Palatino Linotype" w:cs="Palatino Linotype"/>
        </w:rPr>
      </w:pPr>
    </w:p>
    <w:p w:rsidR="00EB590C" w:rsidRDefault="00090D1B">
      <w:pPr>
        <w:spacing w:line="360" w:lineRule="auto"/>
        <w:ind w:right="-787"/>
        <w:jc w:val="center"/>
        <w:rPr>
          <w:rFonts w:ascii="Palatino Linotype" w:eastAsia="Palatino Linotype" w:hAnsi="Palatino Linotype" w:cs="Palatino Linotype"/>
        </w:rPr>
      </w:pPr>
      <w:r>
        <w:rPr>
          <w:rFonts w:ascii="Palatino Linotype" w:eastAsia="Palatino Linotype" w:hAnsi="Palatino Linotype" w:cs="Palatino Linotype"/>
          <w:noProof/>
          <w:lang w:val="es-MX"/>
        </w:rPr>
        <w:lastRenderedPageBreak/>
        <w:drawing>
          <wp:inline distT="0" distB="0" distL="0" distR="0">
            <wp:extent cx="4752859" cy="821068"/>
            <wp:effectExtent l="0" t="0" r="0" b="0"/>
            <wp:docPr id="1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1"/>
                    <a:srcRect/>
                    <a:stretch>
                      <a:fillRect/>
                    </a:stretch>
                  </pic:blipFill>
                  <pic:spPr>
                    <a:xfrm>
                      <a:off x="0" y="0"/>
                      <a:ext cx="4752859" cy="821068"/>
                    </a:xfrm>
                    <a:prstGeom prst="rect">
                      <a:avLst/>
                    </a:prstGeom>
                    <a:ln/>
                  </pic:spPr>
                </pic:pic>
              </a:graphicData>
            </a:graphic>
          </wp:inline>
        </w:drawing>
      </w:r>
    </w:p>
    <w:p w:rsidR="00EB590C" w:rsidRDefault="00EB590C">
      <w:pPr>
        <w:spacing w:line="360" w:lineRule="auto"/>
        <w:ind w:right="-787"/>
        <w:jc w:val="both"/>
        <w:rPr>
          <w:rFonts w:ascii="Palatino Linotype" w:eastAsia="Palatino Linotype" w:hAnsi="Palatino Linotype" w:cs="Palatino Linotype"/>
        </w:rPr>
      </w:pPr>
    </w:p>
    <w:p w:rsidR="00EB590C" w:rsidRDefault="00090D1B">
      <w:pPr>
        <w:numPr>
          <w:ilvl w:val="0"/>
          <w:numId w:val="6"/>
        </w:numPr>
        <w:spacing w:line="360" w:lineRule="auto"/>
        <w:ind w:left="0" w:right="-787" w:firstLine="0"/>
        <w:jc w:val="both"/>
      </w:pPr>
      <w:r>
        <w:rPr>
          <w:rFonts w:ascii="Palatino Linotype" w:eastAsia="Palatino Linotype" w:hAnsi="Palatino Linotype" w:cs="Palatino Linotype"/>
        </w:rPr>
        <w:t xml:space="preserve">De la información remitida </w:t>
      </w:r>
      <w:r>
        <w:rPr>
          <w:rFonts w:ascii="Palatino Linotype" w:eastAsia="Palatino Linotype" w:hAnsi="Palatino Linotype" w:cs="Palatino Linotype"/>
          <w:b/>
          <w:bCs/>
        </w:rPr>
        <w:t>se tienen por colmados los puntos relativos al nombre y turno de los Jueces y Secretarios Cívicos</w:t>
      </w:r>
      <w:r>
        <w:rPr>
          <w:rFonts w:ascii="Palatino Linotype" w:eastAsia="Palatino Linotype" w:hAnsi="Palatino Linotype" w:cs="Palatino Linotype"/>
        </w:rPr>
        <w:t>, al haber remitido la misma.</w:t>
      </w:r>
    </w:p>
    <w:p w:rsidR="00EB590C" w:rsidRDefault="00EB590C">
      <w:pPr>
        <w:spacing w:line="360" w:lineRule="auto"/>
        <w:ind w:right="-787"/>
        <w:jc w:val="both"/>
        <w:rPr>
          <w:rFonts w:ascii="Palatino Linotype" w:eastAsia="Palatino Linotype" w:hAnsi="Palatino Linotype" w:cs="Palatino Linotype"/>
          <w:i/>
          <w:iCs/>
        </w:rPr>
      </w:pPr>
    </w:p>
    <w:p w:rsidR="00EB590C" w:rsidRDefault="00090D1B">
      <w:pPr>
        <w:numPr>
          <w:ilvl w:val="0"/>
          <w:numId w:val="6"/>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Asimismo, es de referir que el Sujeto Obligado señaló que el juzgado del primer turno de infracciones administrativas, por el momento no tiene secretario, por lo que es de referir que nos encontramos ante un</w:t>
      </w:r>
      <w:r>
        <w:rPr>
          <w:rFonts w:ascii="Palatino Linotype" w:eastAsia="Palatino Linotype" w:hAnsi="Palatino Linotype" w:cs="Palatino Linotype"/>
          <w:b/>
          <w:bCs/>
        </w:rPr>
        <w:t xml:space="preserve"> hecho negativo</w:t>
      </w:r>
      <w:r>
        <w:rPr>
          <w:rFonts w:ascii="Palatino Linotype" w:eastAsia="Palatino Linotype" w:hAnsi="Palatino Linotype" w:cs="Palatino Linotype"/>
        </w:rPr>
        <w:t xml:space="preserve">, en consecuencia no resulta aplicable el artículo 19, de la Ley de la materia que nos constriñe a la emisión de un acuerdo de inexistencia, resultando aplicable la siguiente tesis: </w:t>
      </w:r>
    </w:p>
    <w:p w:rsidR="00EB590C" w:rsidRDefault="00090D1B">
      <w:pPr>
        <w:pBdr>
          <w:top w:val="nil"/>
          <w:left w:val="nil"/>
          <w:bottom w:val="nil"/>
          <w:right w:val="nil"/>
          <w:between w:val="nil"/>
        </w:pBdr>
        <w:ind w:left="1134" w:right="4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HECHOS NEGATIVOS, NO SON SUSCEPTIBLES DE DEMOSTRACIÓN.</w:t>
      </w:r>
    </w:p>
    <w:p w:rsidR="00EB590C" w:rsidRDefault="00090D1B">
      <w:pPr>
        <w:pBdr>
          <w:top w:val="nil"/>
          <w:left w:val="nil"/>
          <w:bottom w:val="nil"/>
          <w:right w:val="nil"/>
          <w:between w:val="nil"/>
        </w:pBdr>
        <w:ind w:left="1134" w:right="4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Tratándose de un hecho negativo, el Juez no tiene por qué invocar prueba alguna de la que se desprenda, ya que es bien sabido que esta clase de hechos no son susceptibles de demostración.</w:t>
      </w:r>
    </w:p>
    <w:p w:rsidR="00EB590C" w:rsidRDefault="00EB590C">
      <w:pPr>
        <w:pBdr>
          <w:top w:val="nil"/>
          <w:left w:val="nil"/>
          <w:bottom w:val="nil"/>
          <w:right w:val="nil"/>
          <w:between w:val="nil"/>
        </w:pBdr>
        <w:ind w:left="1134" w:right="49"/>
        <w:jc w:val="both"/>
        <w:rPr>
          <w:rFonts w:ascii="Palatino Linotype" w:eastAsia="Palatino Linotype" w:hAnsi="Palatino Linotype" w:cs="Palatino Linotype"/>
          <w:i/>
          <w:iCs/>
          <w:color w:val="000000"/>
        </w:rPr>
      </w:pPr>
    </w:p>
    <w:p w:rsidR="00EB590C" w:rsidRDefault="00090D1B">
      <w:pPr>
        <w:pBdr>
          <w:top w:val="nil"/>
          <w:left w:val="nil"/>
          <w:bottom w:val="nil"/>
          <w:right w:val="nil"/>
          <w:between w:val="nil"/>
        </w:pBdr>
        <w:ind w:left="1134" w:right="4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Amparo en revisión 2022/61. José García Florín (Menor). 9 de octubre de 1961. Cinco votos. Ponente: José Rivera Pérez Campos</w:t>
      </w:r>
    </w:p>
    <w:p w:rsidR="00EB590C" w:rsidRDefault="00EB590C">
      <w:pPr>
        <w:spacing w:line="360" w:lineRule="auto"/>
        <w:ind w:right="49"/>
        <w:jc w:val="both"/>
        <w:rPr>
          <w:rFonts w:ascii="Palatino Linotype" w:eastAsia="Palatino Linotype" w:hAnsi="Palatino Linotype" w:cs="Palatino Linotype"/>
        </w:rPr>
      </w:pPr>
    </w:p>
    <w:p w:rsidR="00EB590C" w:rsidRDefault="00090D1B">
      <w:pPr>
        <w:numPr>
          <w:ilvl w:val="0"/>
          <w:numId w:val="6"/>
        </w:numP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rPr>
        <w:t xml:space="preserve">De lo que se desprende </w:t>
      </w:r>
      <w:r>
        <w:rPr>
          <w:rFonts w:ascii="Palatino Linotype" w:eastAsia="Palatino Linotype" w:hAnsi="Palatino Linotype" w:cs="Palatino Linotype"/>
          <w:color w:val="000000"/>
        </w:rPr>
        <w:t>que</w:t>
      </w:r>
      <w:r>
        <w:rPr>
          <w:rFonts w:ascii="Palatino Linotype" w:eastAsia="Palatino Linotype" w:hAnsi="Palatino Linotype" w:cs="Palatino Linotype"/>
        </w:rPr>
        <w:t xml:space="preserve"> es materialmente imposible realizar la entrega de algún documental que no ha generado el </w:t>
      </w:r>
      <w:r>
        <w:rPr>
          <w:rFonts w:ascii="Palatino Linotype" w:eastAsia="Palatino Linotype" w:hAnsi="Palatino Linotype" w:cs="Palatino Linotype"/>
          <w:b/>
          <w:bCs/>
        </w:rPr>
        <w:t>sujeto OBLIGADO</w:t>
      </w:r>
      <w:r>
        <w:rPr>
          <w:rFonts w:ascii="Palatino Linotype" w:eastAsia="Palatino Linotype" w:hAnsi="Palatino Linotype" w:cs="Palatino Linotype"/>
        </w:rPr>
        <w:t>.</w:t>
      </w:r>
    </w:p>
    <w:p w:rsidR="00EB590C" w:rsidRDefault="00EB590C">
      <w:pPr>
        <w:spacing w:line="360" w:lineRule="auto"/>
        <w:ind w:right="49"/>
        <w:jc w:val="both"/>
        <w:rPr>
          <w:rFonts w:ascii="Palatino Linotype" w:eastAsia="Palatino Linotype" w:hAnsi="Palatino Linotype" w:cs="Palatino Linotype"/>
          <w:b/>
          <w:bCs/>
          <w:color w:val="000000"/>
        </w:rPr>
      </w:pPr>
    </w:p>
    <w:p w:rsidR="00EB590C" w:rsidRDefault="00090D1B">
      <w:pPr>
        <w:numPr>
          <w:ilvl w:val="0"/>
          <w:numId w:val="6"/>
        </w:numP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rPr>
        <w:t xml:space="preserve">Por lo anterior  resulta necesario puntualizar con claridad que éste Órgano Protector del Derecho de Acceso a la Información no está facultado para pronunciarse sobre la </w:t>
      </w:r>
      <w:r>
        <w:rPr>
          <w:rFonts w:ascii="Palatino Linotype" w:eastAsia="Palatino Linotype" w:hAnsi="Palatino Linotype" w:cs="Palatino Linotype"/>
        </w:rPr>
        <w:lastRenderedPageBreak/>
        <w:t xml:space="preserve">veracidad de la información </w:t>
      </w:r>
      <w:r>
        <w:rPr>
          <w:rFonts w:ascii="Palatino Linotype" w:eastAsia="Palatino Linotype" w:hAnsi="Palatino Linotype" w:cs="Palatino Linotype"/>
          <w:color w:val="000000"/>
        </w:rPr>
        <w:t>que</w:t>
      </w:r>
      <w:r>
        <w:rPr>
          <w:rFonts w:ascii="Palatino Linotype" w:eastAsia="Palatino Linotype" w:hAnsi="Palatino Linotype" w:cs="Palatino Linotype"/>
        </w:rPr>
        <w:t xml:space="preserve"> los Sujetos Obligados ponen a disposición de los solicitantes; situación que se aleja de las atribuciones de este Instituto.</w:t>
      </w:r>
    </w:p>
    <w:p w:rsidR="00EB590C" w:rsidRDefault="00EB590C">
      <w:pPr>
        <w:pBdr>
          <w:top w:val="nil"/>
          <w:left w:val="nil"/>
          <w:bottom w:val="nil"/>
          <w:right w:val="nil"/>
          <w:between w:val="nil"/>
        </w:pBdr>
        <w:spacing w:line="360" w:lineRule="auto"/>
        <w:ind w:left="851" w:right="49"/>
        <w:jc w:val="both"/>
        <w:rPr>
          <w:rFonts w:ascii="Palatino Linotype" w:eastAsia="Palatino Linotype" w:hAnsi="Palatino Linotype" w:cs="Palatino Linotype"/>
          <w:i/>
          <w:iCs/>
          <w:color w:val="000000"/>
        </w:rPr>
      </w:pPr>
    </w:p>
    <w:p w:rsidR="00EB590C" w:rsidRDefault="00090D1B">
      <w:pPr>
        <w:numPr>
          <w:ilvl w:val="0"/>
          <w:numId w:val="6"/>
        </w:numPr>
        <w:spacing w:line="360" w:lineRule="auto"/>
        <w:ind w:left="0" w:right="-787" w:firstLine="0"/>
        <w:jc w:val="both"/>
      </w:pPr>
      <w:r>
        <w:rPr>
          <w:rFonts w:ascii="Palatino Linotype" w:eastAsia="Palatino Linotype" w:hAnsi="Palatino Linotype" w:cs="Palatino Linotype"/>
        </w:rPr>
        <w:t xml:space="preserve">Así mismo, la </w:t>
      </w:r>
      <w:r>
        <w:rPr>
          <w:rFonts w:ascii="Palatino Linotype" w:eastAsia="Palatino Linotype" w:hAnsi="Palatino Linotype" w:cs="Palatino Linotype"/>
          <w:b/>
          <w:bCs/>
        </w:rPr>
        <w:t>Ley de Transparencia y Acceso a la Información Pública del Estado de México y Municipios</w:t>
      </w:r>
      <w:r>
        <w:rPr>
          <w:rFonts w:ascii="Palatino Linotype" w:eastAsia="Palatino Linotype" w:hAnsi="Palatino Linotype" w:cs="Palatino Linotype"/>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w:t>
      </w:r>
      <w:r>
        <w:rPr>
          <w:rFonts w:ascii="Palatino Linotype" w:eastAsia="Palatino Linotype" w:hAnsi="Palatino Linotype" w:cs="Palatino Linotype"/>
          <w:b/>
          <w:bCs/>
        </w:rPr>
        <w:t>veracidad</w:t>
      </w:r>
      <w:r>
        <w:rPr>
          <w:rFonts w:ascii="Palatino Linotype" w:eastAsia="Palatino Linotype" w:hAnsi="Palatino Linotype" w:cs="Palatino Linotype"/>
        </w:rPr>
        <w:t>, oportunidad entre otros, numeral en comento que a la letra señala:</w:t>
      </w:r>
    </w:p>
    <w:p w:rsidR="00EB590C" w:rsidRDefault="00090D1B">
      <w:pPr>
        <w:pBdr>
          <w:top w:val="nil"/>
          <w:left w:val="nil"/>
          <w:bottom w:val="nil"/>
          <w:right w:val="nil"/>
          <w:between w:val="nil"/>
        </w:pBdr>
        <w:ind w:left="646" w:right="4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Pr>
          <w:rFonts w:ascii="Palatino Linotype" w:eastAsia="Palatino Linotype" w:hAnsi="Palatino Linotype" w:cs="Palatino Linotype"/>
          <w:b/>
          <w:bCs/>
          <w:i/>
          <w:iCs/>
          <w:color w:val="000000"/>
        </w:rPr>
        <w:t>Los Sujetos Obligados deben poner en práctica, políticas y programas de acceso a la información que se apeguen a criterios de publicidad, veracidad, oportunidad, precisión y suficiencia en beneficio de los solicitantes.</w:t>
      </w:r>
    </w:p>
    <w:p w:rsidR="00EB590C" w:rsidRDefault="00EB590C">
      <w:pPr>
        <w:spacing w:line="360" w:lineRule="auto"/>
        <w:ind w:right="49"/>
        <w:jc w:val="both"/>
      </w:pPr>
    </w:p>
    <w:p w:rsidR="00EB590C" w:rsidRDefault="00090D1B">
      <w:pPr>
        <w:numPr>
          <w:ilvl w:val="0"/>
          <w:numId w:val="6"/>
        </w:numPr>
        <w:spacing w:line="360" w:lineRule="auto"/>
        <w:ind w:left="0" w:right="-787" w:firstLine="0"/>
        <w:jc w:val="both"/>
      </w:pPr>
      <w:r>
        <w:rPr>
          <w:rFonts w:ascii="Palatino Linotype" w:eastAsia="Palatino Linotype" w:hAnsi="Palatino Linotype" w:cs="Palatino Linotype"/>
        </w:rPr>
        <w:t xml:space="preserve">Por lo anterior, éste </w:t>
      </w:r>
      <w:r>
        <w:rPr>
          <w:rFonts w:ascii="Palatino Linotype" w:eastAsia="Palatino Linotype" w:hAnsi="Palatino Linotype" w:cs="Palatino Linotype"/>
          <w:color w:val="000000"/>
        </w:rPr>
        <w:t>Órgano</w:t>
      </w:r>
      <w:r>
        <w:rPr>
          <w:rFonts w:ascii="Palatino Linotype" w:eastAsia="Palatino Linotype" w:hAnsi="Palatino Linotype" w:cs="Palatino Linotype"/>
        </w:rPr>
        <w:t xml:space="preserve"> Protector del Derecho de Acceso a la Información no está facultado para pronunciarse sobre la veracidad de la información que los Sujetos Obligados ponen a disposición de los solicitantes; situación que se aleja de las atribuciones de este Instituto.</w:t>
      </w:r>
    </w:p>
    <w:p w:rsidR="00EB590C" w:rsidRDefault="00EB590C">
      <w:pPr>
        <w:spacing w:line="360" w:lineRule="auto"/>
        <w:ind w:right="-787"/>
        <w:jc w:val="both"/>
        <w:rPr>
          <w:rFonts w:ascii="Palatino Linotype" w:eastAsia="Palatino Linotype" w:hAnsi="Palatino Linotype" w:cs="Palatino Linotype"/>
        </w:rPr>
      </w:pPr>
    </w:p>
    <w:p w:rsidR="00EB590C" w:rsidRDefault="00090D1B">
      <w:pPr>
        <w:numPr>
          <w:ilvl w:val="0"/>
          <w:numId w:val="6"/>
        </w:numPr>
        <w:spacing w:line="360" w:lineRule="auto"/>
        <w:ind w:left="0" w:right="-787" w:firstLine="0"/>
        <w:jc w:val="both"/>
      </w:pPr>
      <w:r>
        <w:rPr>
          <w:rFonts w:ascii="Palatino Linotype" w:eastAsia="Palatino Linotype" w:hAnsi="Palatino Linotype" w:cs="Palatino Linotype"/>
          <w:color w:val="000000"/>
        </w:rPr>
        <w:t xml:space="preserve">Finalizando el estudio del presente medio de impugnación, es de aludir que el derecho de acceso a la información pública se satisface en aquellos casos en que se entregue el soporte documental en que conste la información pública, como ha sucedido en el caso concreto a cada uno de los puntos de solicitud, </w:t>
      </w:r>
      <w:r>
        <w:rPr>
          <w:rFonts w:ascii="Palatino Linotype" w:eastAsia="Palatino Linotype" w:hAnsi="Palatino Linotype" w:cs="Palatino Linotype"/>
          <w:b/>
          <w:bCs/>
          <w:color w:val="000000"/>
        </w:rPr>
        <w:t>colmándose en su totalidad</w:t>
      </w:r>
      <w:r>
        <w:rPr>
          <w:rFonts w:ascii="Palatino Linotype" w:eastAsia="Palatino Linotype" w:hAnsi="Palatino Linotype" w:cs="Palatino Linotype"/>
          <w:color w:val="000000"/>
        </w:rPr>
        <w:t xml:space="preserve"> el requerimiento de información</w:t>
      </w:r>
    </w:p>
    <w:p w:rsidR="00EB590C" w:rsidRDefault="00EB590C">
      <w:pPr>
        <w:spacing w:line="360" w:lineRule="auto"/>
        <w:ind w:right="-787"/>
        <w:jc w:val="both"/>
        <w:rPr>
          <w:rFonts w:ascii="Palatino Linotype" w:eastAsia="Palatino Linotype" w:hAnsi="Palatino Linotype" w:cs="Palatino Linotype"/>
        </w:rPr>
      </w:pPr>
    </w:p>
    <w:p w:rsidR="00EB590C" w:rsidRDefault="00090D1B">
      <w:pPr>
        <w:numPr>
          <w:ilvl w:val="0"/>
          <w:numId w:val="6"/>
        </w:numPr>
        <w:spacing w:line="360" w:lineRule="auto"/>
        <w:ind w:left="0" w:right="-787" w:firstLine="0"/>
        <w:jc w:val="both"/>
      </w:pPr>
      <w:r>
        <w:rPr>
          <w:rFonts w:ascii="Palatino Linotype" w:eastAsia="Palatino Linotype" w:hAnsi="Palatino Linotype" w:cs="Palatino Linotype"/>
        </w:rPr>
        <w:lastRenderedPageBreak/>
        <w:t xml:space="preserve">De lo </w:t>
      </w:r>
      <w:r>
        <w:rPr>
          <w:rFonts w:ascii="Palatino Linotype" w:eastAsia="Palatino Linotype" w:hAnsi="Palatino Linotype" w:cs="Palatino Linotype"/>
          <w:color w:val="000000"/>
        </w:rPr>
        <w:t>expuesto</w:t>
      </w:r>
      <w:r>
        <w:rPr>
          <w:rFonts w:ascii="Palatino Linotype" w:eastAsia="Palatino Linotype" w:hAnsi="Palatino Linotype" w:cs="Palatino Linotype"/>
        </w:rPr>
        <w:t xml:space="preserve"> se concluye que el Sujeto Obligado dio atención a la solicitud de información al entregar la información requerida; por ello, resultan </w:t>
      </w:r>
      <w:r>
        <w:rPr>
          <w:rFonts w:ascii="Palatino Linotype" w:eastAsia="Palatino Linotype" w:hAnsi="Palatino Linotype" w:cs="Palatino Linotype"/>
          <w:b/>
          <w:bCs/>
        </w:rPr>
        <w:t>INFUNDADAS</w:t>
      </w:r>
      <w:r>
        <w:rPr>
          <w:rFonts w:ascii="Palatino Linotype" w:eastAsia="Palatino Linotype" w:hAnsi="Palatino Linotype" w:cs="Palatino Linotype"/>
        </w:rPr>
        <w:t xml:space="preserve">, las razones o motivos de inconformidad hechos valer por el Recurrente, siendo procedente </w:t>
      </w:r>
      <w:r>
        <w:rPr>
          <w:rFonts w:ascii="Palatino Linotype" w:eastAsia="Palatino Linotype" w:hAnsi="Palatino Linotype" w:cs="Palatino Linotype"/>
          <w:b/>
          <w:bCs/>
        </w:rPr>
        <w:t>CONFIRMAR</w:t>
      </w:r>
      <w:r>
        <w:rPr>
          <w:rFonts w:ascii="Palatino Linotype" w:eastAsia="Palatino Linotype" w:hAnsi="Palatino Linotype" w:cs="Palatino Linotype"/>
        </w:rPr>
        <w:t xml:space="preserve"> la respuesta otorgada por el </w:t>
      </w:r>
      <w:r>
        <w:rPr>
          <w:rFonts w:ascii="Palatino Linotype" w:eastAsia="Palatino Linotype" w:hAnsi="Palatino Linotype" w:cs="Palatino Linotype"/>
          <w:b/>
          <w:bCs/>
        </w:rPr>
        <w:t xml:space="preserve">Ayuntamiento de Toluca </w:t>
      </w:r>
      <w:r>
        <w:rPr>
          <w:rFonts w:ascii="Palatino Linotype" w:eastAsia="Palatino Linotype" w:hAnsi="Palatino Linotype" w:cs="Palatino Linotype"/>
        </w:rPr>
        <w:t xml:space="preserve">a la solicitud de información </w:t>
      </w:r>
      <w:r>
        <w:rPr>
          <w:rFonts w:ascii="Palatino Linotype" w:eastAsia="Palatino Linotype" w:hAnsi="Palatino Linotype" w:cs="Palatino Linotype"/>
          <w:b/>
          <w:bCs/>
        </w:rPr>
        <w:t>06161/TOLUCA/IP/2025.</w:t>
      </w:r>
    </w:p>
    <w:p w:rsidR="00EB590C" w:rsidRDefault="00EB590C">
      <w:pPr>
        <w:spacing w:line="360" w:lineRule="auto"/>
        <w:ind w:right="-787"/>
        <w:jc w:val="both"/>
        <w:rPr>
          <w:rFonts w:ascii="Palatino Linotype" w:eastAsia="Palatino Linotype" w:hAnsi="Palatino Linotype" w:cs="Palatino Linotype"/>
        </w:rPr>
      </w:pPr>
    </w:p>
    <w:p w:rsidR="00EB590C" w:rsidRDefault="00090D1B">
      <w:pPr>
        <w:numPr>
          <w:ilvl w:val="0"/>
          <w:numId w:val="6"/>
        </w:numPr>
        <w:spacing w:line="360" w:lineRule="auto"/>
        <w:ind w:left="0" w:right="-787" w:firstLine="0"/>
        <w:jc w:val="both"/>
      </w:pPr>
      <w:r>
        <w:rPr>
          <w:rFonts w:ascii="Palatino Linotype" w:eastAsia="Palatino Linotype" w:hAnsi="Palatino Linotype" w:cs="Palatino Linotype"/>
        </w:rPr>
        <w:t xml:space="preserve">Por lo expuesto, y con fundamento en lo prescrito en los artículos </w:t>
      </w:r>
      <w:r>
        <w:rPr>
          <w:rFonts w:ascii="Palatino Linotype" w:eastAsia="Palatino Linotype" w:hAnsi="Palatino Linotype" w:cs="Palatino Linotype"/>
          <w:color w:val="000000"/>
        </w:rPr>
        <w:t xml:space="preserve">5, párrafos cuadragésimo cuarto, </w:t>
      </w:r>
      <w:r>
        <w:rPr>
          <w:rFonts w:ascii="Palatino Linotype" w:eastAsia="Palatino Linotype" w:hAnsi="Palatino Linotype" w:cs="Palatino Linotype"/>
        </w:rPr>
        <w:t>cuadragésimo</w:t>
      </w:r>
      <w:r>
        <w:rPr>
          <w:rFonts w:ascii="Palatino Linotype" w:eastAsia="Palatino Linotype" w:hAnsi="Palatino Linotype" w:cs="Palatino Linotype"/>
          <w:color w:val="000000"/>
        </w:rPr>
        <w:t xml:space="preserve"> quinto y cuadragésimo sexto, fracciones IV y V, de la Constitución Política del Estado Libre y Soberano de México</w:t>
      </w:r>
      <w:r>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EB590C" w:rsidRDefault="00EB590C">
      <w:pPr>
        <w:ind w:right="278"/>
        <w:rPr>
          <w:rFonts w:ascii="Palatino Linotype" w:eastAsia="Palatino Linotype" w:hAnsi="Palatino Linotype" w:cs="Palatino Linotype"/>
        </w:rPr>
      </w:pPr>
      <w:bookmarkStart w:id="9" w:name="_heading=h.5c97cvrgdmru" w:colFirst="0" w:colLast="0"/>
      <w:bookmarkEnd w:id="9"/>
    </w:p>
    <w:p w:rsidR="00EB590C" w:rsidRDefault="00090D1B">
      <w:pPr>
        <w:spacing w:line="360" w:lineRule="auto"/>
        <w:ind w:right="-858"/>
        <w:jc w:val="center"/>
        <w:rPr>
          <w:rFonts w:ascii="Palatino Linotype" w:eastAsia="Palatino Linotype" w:hAnsi="Palatino Linotype" w:cs="Palatino Linotype"/>
          <w:b/>
          <w:bCs/>
        </w:rPr>
      </w:pPr>
      <w:r>
        <w:rPr>
          <w:rFonts w:ascii="Palatino Linotype" w:eastAsia="Palatino Linotype" w:hAnsi="Palatino Linotype" w:cs="Palatino Linotype"/>
          <w:b/>
          <w:bCs/>
        </w:rPr>
        <w:t>R E S U E L V E</w:t>
      </w:r>
    </w:p>
    <w:p w:rsidR="00EB590C" w:rsidRDefault="00EB590C">
      <w:pPr>
        <w:spacing w:line="360" w:lineRule="auto"/>
        <w:ind w:right="-787"/>
        <w:jc w:val="center"/>
        <w:rPr>
          <w:rFonts w:ascii="Palatino Linotype" w:eastAsia="Palatino Linotype" w:hAnsi="Palatino Linotype" w:cs="Palatino Linotype"/>
          <w:b/>
          <w:bCs/>
        </w:rPr>
      </w:pPr>
    </w:p>
    <w:p w:rsidR="00EB590C" w:rsidRDefault="00090D1B">
      <w:pPr>
        <w:spacing w:line="360" w:lineRule="auto"/>
        <w:ind w:right="-851"/>
        <w:jc w:val="both"/>
        <w:rPr>
          <w:rFonts w:ascii="Palatino Linotype" w:eastAsia="Palatino Linotype" w:hAnsi="Palatino Linotype" w:cs="Palatino Linotype"/>
          <w:b/>
          <w:bCs/>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w:t>
      </w:r>
      <w:r>
        <w:rPr>
          <w:rFonts w:ascii="Palatino Linotype" w:eastAsia="Palatino Linotype" w:hAnsi="Palatino Linotype" w:cs="Palatino Linotype"/>
          <w:b/>
          <w:bCs/>
        </w:rPr>
        <w:t>INFUNDADAS</w:t>
      </w:r>
      <w:r>
        <w:rPr>
          <w:rFonts w:ascii="Palatino Linotype" w:eastAsia="Palatino Linotype" w:hAnsi="Palatino Linotype" w:cs="Palatino Linotype"/>
        </w:rPr>
        <w:t xml:space="preserve"> las razones o motivos de inconformidad hechos valer en el recurso de revisión </w:t>
      </w:r>
      <w:r>
        <w:rPr>
          <w:rFonts w:ascii="Palatino Linotype" w:eastAsia="Palatino Linotype" w:hAnsi="Palatino Linotype" w:cs="Palatino Linotype"/>
          <w:b/>
          <w:bCs/>
        </w:rPr>
        <w:t>13843/INFOEM/IP/RR/2025</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 xml:space="preserve">Considerando CUARTO </w:t>
      </w:r>
      <w:r>
        <w:rPr>
          <w:rFonts w:ascii="Palatino Linotype" w:eastAsia="Palatino Linotype" w:hAnsi="Palatino Linotype" w:cs="Palatino Linotype"/>
        </w:rPr>
        <w:t>de la presente resolución</w:t>
      </w:r>
      <w:r>
        <w:rPr>
          <w:rFonts w:ascii="Palatino Linotype" w:eastAsia="Palatino Linotype" w:hAnsi="Palatino Linotype" w:cs="Palatino Linotype"/>
          <w:b/>
          <w:bCs/>
        </w:rPr>
        <w:t>.</w:t>
      </w:r>
    </w:p>
    <w:p w:rsidR="00EB590C" w:rsidRDefault="00EB590C">
      <w:pPr>
        <w:spacing w:line="360" w:lineRule="auto"/>
        <w:ind w:right="-851"/>
        <w:jc w:val="both"/>
        <w:rPr>
          <w:rFonts w:ascii="Palatino Linotype" w:eastAsia="Palatino Linotype" w:hAnsi="Palatino Linotype" w:cs="Palatino Linotype"/>
          <w:b/>
          <w:bCs/>
        </w:rPr>
      </w:pPr>
    </w:p>
    <w:p w:rsidR="00EB590C" w:rsidRDefault="00090D1B">
      <w:pPr>
        <w:pBdr>
          <w:top w:val="nil"/>
          <w:left w:val="nil"/>
          <w:bottom w:val="nil"/>
          <w:right w:val="nil"/>
          <w:between w:val="nil"/>
        </w:pBdr>
        <w:spacing w:line="360" w:lineRule="auto"/>
        <w:ind w:right="-851"/>
        <w:jc w:val="both"/>
        <w:rPr>
          <w:rFonts w:ascii="Palatino Linotype" w:eastAsia="Palatino Linotype" w:hAnsi="Palatino Linotype" w:cs="Palatino Linotype"/>
        </w:rPr>
      </w:pPr>
      <w:r>
        <w:rPr>
          <w:rFonts w:ascii="Palatino Linotype" w:eastAsia="Palatino Linotype" w:hAnsi="Palatino Linotype" w:cs="Palatino Linotype"/>
          <w:b/>
          <w:bCs/>
        </w:rPr>
        <w:t>SEGUNDO.</w:t>
      </w:r>
      <w:r>
        <w:rPr>
          <w:rFonts w:ascii="Palatino Linotype" w:eastAsia="Palatino Linotype" w:hAnsi="Palatino Linotype" w:cs="Palatino Linotype"/>
          <w:color w:val="2F5496"/>
        </w:rPr>
        <w:t xml:space="preserve">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CONFIRMA</w:t>
      </w:r>
      <w:r>
        <w:rPr>
          <w:rFonts w:ascii="Palatino Linotype" w:eastAsia="Palatino Linotype" w:hAnsi="Palatino Linotype" w:cs="Palatino Linotype"/>
          <w:color w:val="000000"/>
        </w:rPr>
        <w:t xml:space="preserve"> la respuesta emitida por el </w:t>
      </w:r>
      <w:r>
        <w:rPr>
          <w:rFonts w:ascii="Palatino Linotype" w:eastAsia="Palatino Linotype" w:hAnsi="Palatino Linotype" w:cs="Palatino Linotype"/>
          <w:b/>
          <w:bCs/>
        </w:rPr>
        <w:t xml:space="preserve">Ayuntamiento de Toluca, </w:t>
      </w:r>
      <w:r>
        <w:rPr>
          <w:rFonts w:ascii="Palatino Linotype" w:eastAsia="Palatino Linotype" w:hAnsi="Palatino Linotype" w:cs="Palatino Linotype"/>
        </w:rPr>
        <w:t xml:space="preserve">a la solicitud de información </w:t>
      </w:r>
      <w:r>
        <w:rPr>
          <w:rFonts w:ascii="Palatino Linotype" w:eastAsia="Palatino Linotype" w:hAnsi="Palatino Linotype" w:cs="Palatino Linotype"/>
          <w:b/>
          <w:bCs/>
        </w:rPr>
        <w:t>06161/TOLUCA/IP/2025.</w:t>
      </w:r>
    </w:p>
    <w:p w:rsidR="00EB590C" w:rsidRDefault="00EB590C">
      <w:pPr>
        <w:spacing w:line="360" w:lineRule="auto"/>
        <w:ind w:right="-851"/>
        <w:jc w:val="both"/>
        <w:rPr>
          <w:rFonts w:ascii="Palatino Linotype" w:eastAsia="Palatino Linotype" w:hAnsi="Palatino Linotype" w:cs="Palatino Linotype"/>
          <w:b/>
          <w:bCs/>
        </w:rPr>
      </w:pPr>
    </w:p>
    <w:p w:rsidR="00EB590C" w:rsidRDefault="00090D1B">
      <w:pPr>
        <w:spacing w:line="360" w:lineRule="auto"/>
        <w:ind w:right="-851"/>
        <w:jc w:val="both"/>
        <w:rPr>
          <w:rFonts w:ascii="Palatino Linotype" w:eastAsia="Palatino Linotype" w:hAnsi="Palatino Linotype" w:cs="Palatino Linotype"/>
          <w:b/>
          <w:bCs/>
        </w:rPr>
      </w:pPr>
      <w:r>
        <w:rPr>
          <w:rFonts w:ascii="Palatino Linotype" w:eastAsia="Palatino Linotype" w:hAnsi="Palatino Linotype" w:cs="Palatino Linotype"/>
          <w:b/>
          <w:bCs/>
        </w:rPr>
        <w:t>TERCERO</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rPr>
        <w:t xml:space="preserve">Notifíquese, </w:t>
      </w:r>
      <w:r>
        <w:rPr>
          <w:rFonts w:ascii="Palatino Linotype" w:eastAsia="Palatino Linotype" w:hAnsi="Palatino Linotype" w:cs="Palatino Linotype"/>
        </w:rPr>
        <w:t xml:space="preserve">vía Sistema de Acceso a la Información Mexiquense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la presente resolución al Titular de la Unidad de Transparencia del </w:t>
      </w:r>
      <w:r>
        <w:rPr>
          <w:rFonts w:ascii="Palatino Linotype" w:eastAsia="Palatino Linotype" w:hAnsi="Palatino Linotype" w:cs="Palatino Linotype"/>
          <w:b/>
          <w:bCs/>
        </w:rPr>
        <w:t>SUJETO OBLIGADO.</w:t>
      </w:r>
    </w:p>
    <w:p w:rsidR="00EB590C" w:rsidRDefault="00EB590C">
      <w:pPr>
        <w:tabs>
          <w:tab w:val="left" w:pos="8080"/>
        </w:tabs>
        <w:spacing w:line="360" w:lineRule="auto"/>
        <w:ind w:right="-851"/>
        <w:jc w:val="both"/>
        <w:rPr>
          <w:rFonts w:ascii="Palatino Linotype" w:eastAsia="Palatino Linotype" w:hAnsi="Palatino Linotype" w:cs="Palatino Linotype"/>
          <w:b/>
          <w:bCs/>
        </w:rPr>
      </w:pPr>
    </w:p>
    <w:p w:rsidR="00EB590C" w:rsidRDefault="00090D1B">
      <w:pPr>
        <w:spacing w:line="360" w:lineRule="auto"/>
        <w:ind w:right="-851"/>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 xml:space="preserve">CUARTO. </w:t>
      </w:r>
      <w:r>
        <w:rPr>
          <w:rFonts w:ascii="Palatino Linotype" w:eastAsia="Palatino Linotype" w:hAnsi="Palatino Linotype" w:cs="Palatino Linotype"/>
          <w:b/>
          <w:bCs/>
          <w:color w:val="222222"/>
        </w:rPr>
        <w:t>Notifíquese al</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la presente resolución, vía Sistema de Acceso a la Información Mexiquense </w:t>
      </w:r>
      <w:r>
        <w:rPr>
          <w:rFonts w:ascii="Palatino Linotype" w:eastAsia="Palatino Linotype" w:hAnsi="Palatino Linotype" w:cs="Palatino Linotype"/>
          <w:b/>
          <w:bCs/>
        </w:rPr>
        <w:t>(SAIMEX).</w:t>
      </w:r>
    </w:p>
    <w:p w:rsidR="00EB590C" w:rsidRDefault="00EB590C">
      <w:pPr>
        <w:shd w:val="clear" w:color="auto" w:fill="FFFFFF"/>
        <w:spacing w:line="360" w:lineRule="auto"/>
        <w:ind w:right="-851"/>
        <w:jc w:val="both"/>
        <w:rPr>
          <w:rFonts w:ascii="Palatino Linotype" w:eastAsia="Palatino Linotype" w:hAnsi="Palatino Linotype" w:cs="Palatino Linotype"/>
        </w:rPr>
      </w:pPr>
    </w:p>
    <w:p w:rsidR="00EB590C" w:rsidRDefault="00090D1B">
      <w:pPr>
        <w:spacing w:line="360" w:lineRule="auto"/>
        <w:ind w:right="-851"/>
        <w:jc w:val="both"/>
        <w:rPr>
          <w:rFonts w:ascii="Palatino Linotype" w:eastAsia="Palatino Linotype" w:hAnsi="Palatino Linotype" w:cs="Palatino Linotype"/>
        </w:rPr>
      </w:pPr>
      <w:r>
        <w:rPr>
          <w:rFonts w:ascii="Palatino Linotype" w:eastAsia="Palatino Linotype" w:hAnsi="Palatino Linotype" w:cs="Palatino Linotype"/>
          <w:b/>
          <w:bCs/>
        </w:rPr>
        <w:t>QUINTO.</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EB590C" w:rsidRDefault="00EB590C">
      <w:pPr>
        <w:spacing w:line="360" w:lineRule="auto"/>
        <w:ind w:right="-787"/>
        <w:jc w:val="both"/>
        <w:rPr>
          <w:rFonts w:ascii="Palatino Linotype" w:eastAsia="Palatino Linotype" w:hAnsi="Palatino Linotype" w:cs="Palatino Linotype"/>
          <w:color w:val="000000"/>
        </w:rPr>
      </w:pPr>
    </w:p>
    <w:p w:rsidR="00A303BA" w:rsidRPr="003E2295" w:rsidRDefault="00A303BA" w:rsidP="00A303BA">
      <w:pPr>
        <w:spacing w:before="240" w:after="240" w:line="360" w:lineRule="auto"/>
        <w:ind w:right="-858" w:firstLine="1"/>
        <w:jc w:val="both"/>
        <w:rPr>
          <w:rFonts w:ascii="Palatino Linotype" w:hAnsi="Palatino Linotype"/>
        </w:rPr>
      </w:pPr>
      <w:bookmarkStart w:id="10" w:name="_Hlk99014733"/>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w:t>
      </w:r>
      <w:r>
        <w:rPr>
          <w:rFonts w:ascii="Palatino Linotype" w:hAnsi="Palatino Linotype" w:cs="Palatino Linotype"/>
        </w:rPr>
        <w:t xml:space="preserve"> (AUSENCIA JUSTIFICADA)</w:t>
      </w:r>
      <w:r w:rsidRPr="003E2295">
        <w:rPr>
          <w:rFonts w:ascii="Palatino Linotype" w:hAnsi="Palatino Linotype" w:cs="Palatino Linotype"/>
        </w:rPr>
        <w:t xml:space="preserve">,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NOVENA </w:t>
      </w:r>
      <w:r w:rsidRPr="003E2295">
        <w:rPr>
          <w:rFonts w:ascii="Palatino Linotype" w:hAnsi="Palatino Linotype" w:cs="Palatino Linotype"/>
        </w:rPr>
        <w:t>SESIÓN O</w:t>
      </w:r>
      <w:r>
        <w:rPr>
          <w:rFonts w:ascii="Palatino Linotype" w:hAnsi="Palatino Linotype" w:cs="Palatino Linotype"/>
        </w:rPr>
        <w:t>RDINARIA, CELEBRADA EL VEINTISIETE (27</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0"/>
    <w:p w:rsidR="00EB590C" w:rsidRDefault="00EB590C" w:rsidP="00A303BA">
      <w:pPr>
        <w:spacing w:line="360" w:lineRule="auto"/>
        <w:ind w:right="-858"/>
        <w:jc w:val="both"/>
        <w:rPr>
          <w:rFonts w:ascii="Palatino Linotype" w:eastAsia="Palatino Linotype" w:hAnsi="Palatino Linotype" w:cs="Palatino Linotype"/>
        </w:rPr>
      </w:pPr>
    </w:p>
    <w:p w:rsidR="00EB590C" w:rsidRDefault="00EB590C" w:rsidP="00A303BA">
      <w:pPr>
        <w:spacing w:line="360" w:lineRule="auto"/>
        <w:ind w:right="-858"/>
        <w:jc w:val="both"/>
        <w:rPr>
          <w:rFonts w:ascii="Palatino Linotype" w:eastAsia="Palatino Linotype" w:hAnsi="Palatino Linotype" w:cs="Palatino Linotype"/>
        </w:rPr>
      </w:pPr>
    </w:p>
    <w:p w:rsidR="00EB590C" w:rsidRDefault="00EB590C" w:rsidP="00A303BA">
      <w:pPr>
        <w:spacing w:line="360" w:lineRule="auto"/>
        <w:ind w:right="-858"/>
        <w:jc w:val="both"/>
        <w:rPr>
          <w:rFonts w:ascii="Palatino Linotype" w:eastAsia="Palatino Linotype" w:hAnsi="Palatino Linotype" w:cs="Palatino Linotype"/>
        </w:rPr>
      </w:pPr>
    </w:p>
    <w:p w:rsidR="00EB590C" w:rsidRDefault="00EB590C">
      <w:pPr>
        <w:spacing w:line="360" w:lineRule="auto"/>
        <w:ind w:right="-787"/>
        <w:jc w:val="both"/>
        <w:rPr>
          <w:rFonts w:ascii="Palatino Linotype" w:eastAsia="Palatino Linotype" w:hAnsi="Palatino Linotype" w:cs="Palatino Linotype"/>
        </w:rPr>
      </w:pPr>
    </w:p>
    <w:p w:rsidR="00EB590C" w:rsidRDefault="00EB590C">
      <w:pPr>
        <w:spacing w:line="360" w:lineRule="auto"/>
        <w:ind w:right="-787"/>
        <w:jc w:val="both"/>
        <w:rPr>
          <w:rFonts w:ascii="Palatino Linotype" w:eastAsia="Palatino Linotype" w:hAnsi="Palatino Linotype" w:cs="Palatino Linotype"/>
        </w:rPr>
      </w:pPr>
    </w:p>
    <w:p w:rsidR="00EB590C" w:rsidRDefault="00EB590C">
      <w:pPr>
        <w:spacing w:line="360" w:lineRule="auto"/>
        <w:ind w:right="-787"/>
        <w:jc w:val="both"/>
        <w:rPr>
          <w:rFonts w:ascii="Palatino Linotype" w:eastAsia="Palatino Linotype" w:hAnsi="Palatino Linotype" w:cs="Palatino Linotype"/>
        </w:rPr>
      </w:pPr>
    </w:p>
    <w:p w:rsidR="00EB590C" w:rsidRDefault="00EB590C">
      <w:pPr>
        <w:spacing w:line="360" w:lineRule="auto"/>
        <w:ind w:right="-787"/>
        <w:rPr>
          <w:rFonts w:ascii="Palatino Linotype" w:eastAsia="Palatino Linotype" w:hAnsi="Palatino Linotype" w:cs="Palatino Linotype"/>
        </w:rPr>
      </w:pPr>
    </w:p>
    <w:p w:rsidR="00EB590C" w:rsidRDefault="00EB590C">
      <w:pPr>
        <w:spacing w:line="360" w:lineRule="auto"/>
        <w:ind w:right="-787"/>
        <w:rPr>
          <w:rFonts w:ascii="Palatino Linotype" w:eastAsia="Palatino Linotype" w:hAnsi="Palatino Linotype" w:cs="Palatino Linotype"/>
        </w:rPr>
      </w:pPr>
    </w:p>
    <w:p w:rsidR="00EB590C" w:rsidRDefault="00EB590C">
      <w:pPr>
        <w:spacing w:line="360" w:lineRule="auto"/>
        <w:ind w:right="-787"/>
        <w:rPr>
          <w:rFonts w:ascii="Palatino Linotype" w:eastAsia="Palatino Linotype" w:hAnsi="Palatino Linotype" w:cs="Palatino Linotype"/>
        </w:rPr>
      </w:pPr>
    </w:p>
    <w:p w:rsidR="00EB590C" w:rsidRDefault="00EB590C">
      <w:pPr>
        <w:tabs>
          <w:tab w:val="left" w:pos="3374"/>
        </w:tabs>
        <w:spacing w:line="360" w:lineRule="auto"/>
        <w:ind w:right="-787"/>
        <w:rPr>
          <w:rFonts w:ascii="Palatino Linotype" w:eastAsia="Palatino Linotype" w:hAnsi="Palatino Linotype" w:cs="Palatino Linotype"/>
        </w:rPr>
      </w:pPr>
      <w:bookmarkStart w:id="11" w:name="_heading=h.lnxbz9" w:colFirst="0" w:colLast="0"/>
      <w:bookmarkEnd w:id="11"/>
    </w:p>
    <w:p w:rsidR="00EB590C" w:rsidRDefault="00EB590C">
      <w:pPr>
        <w:tabs>
          <w:tab w:val="left" w:pos="3374"/>
        </w:tabs>
        <w:spacing w:line="360" w:lineRule="auto"/>
        <w:ind w:right="-787"/>
        <w:rPr>
          <w:rFonts w:ascii="Palatino Linotype" w:eastAsia="Palatino Linotype" w:hAnsi="Palatino Linotype" w:cs="Palatino Linotype"/>
        </w:rPr>
      </w:pPr>
    </w:p>
    <w:p w:rsidR="00EB590C" w:rsidRDefault="00EB590C">
      <w:pPr>
        <w:tabs>
          <w:tab w:val="left" w:pos="3374"/>
        </w:tabs>
        <w:spacing w:line="360" w:lineRule="auto"/>
        <w:ind w:right="-787"/>
        <w:rPr>
          <w:rFonts w:ascii="Palatino Linotype" w:eastAsia="Palatino Linotype" w:hAnsi="Palatino Linotype" w:cs="Palatino Linotype"/>
        </w:rPr>
      </w:pPr>
    </w:p>
    <w:sectPr w:rsidR="00EB590C">
      <w:headerReference w:type="even" r:id="rId32"/>
      <w:headerReference w:type="default" r:id="rId33"/>
      <w:footerReference w:type="default" r:id="rId34"/>
      <w:headerReference w:type="first" r:id="rId35"/>
      <w:footerReference w:type="first" r:id="rId36"/>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7D6" w:rsidRDefault="00E137D6">
      <w:r>
        <w:separator/>
      </w:r>
    </w:p>
  </w:endnote>
  <w:endnote w:type="continuationSeparator" w:id="0">
    <w:p w:rsidR="00E137D6" w:rsidRDefault="00E13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D355C3FE-DE44-4213-A589-E614E99AC4AB}"/>
    <w:embedBold r:id="rId2" w:fontKey="{55B073E9-5574-4DEA-AAA5-EEA10D8C78D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embedRegular r:id="rId3" w:fontKey="{2764544C-27E9-429B-9143-F05B1D9F467A}"/>
    <w:embedBold r:id="rId4" w:fontKey="{D434E2BE-1FE4-4927-BA23-40512D8FB8FC}"/>
    <w:embedItalic r:id="rId5" w:fontKey="{A7F55ED4-8549-47E7-AB8A-F672F855FF6C}"/>
    <w:embedBoldItalic r:id="rId6" w:fontKey="{0A3E57DA-B3A4-4A59-852A-DBC29C304171}"/>
  </w:font>
  <w:font w:name="Calibri">
    <w:panose1 w:val="020F0502020204030204"/>
    <w:charset w:val="00"/>
    <w:family w:val="swiss"/>
    <w:pitch w:val="variable"/>
    <w:sig w:usb0="E4002EFF" w:usb1="C200247B" w:usb2="00000009" w:usb3="00000000" w:csb0="000001FF" w:csb1="00000000"/>
    <w:embedRegular r:id="rId7" w:fontKey="{9A747156-D925-451E-A38C-9300702E1576}"/>
    <w:embedBold r:id="rId8" w:fontKey="{9D392BA6-66F4-4C90-8502-7AD1166984BC}"/>
  </w:font>
  <w:font w:name="Georgia">
    <w:panose1 w:val="02040502050405020303"/>
    <w:charset w:val="00"/>
    <w:family w:val="roman"/>
    <w:pitch w:val="variable"/>
    <w:sig w:usb0="00000287" w:usb1="00000000" w:usb2="00000000" w:usb3="00000000" w:csb0="0000009F" w:csb1="00000000"/>
    <w:embedItalic r:id="rId9" w:fontKey="{F5B87918-C43D-4968-A2DF-968EB4AA0C47}"/>
  </w:font>
  <w:font w:name="Cambria">
    <w:panose1 w:val="02040503050406030204"/>
    <w:charset w:val="00"/>
    <w:family w:val="roman"/>
    <w:pitch w:val="variable"/>
    <w:sig w:usb0="E00006FF" w:usb1="420024FF" w:usb2="02000000" w:usb3="00000000" w:csb0="0000019F" w:csb1="00000000"/>
    <w:embedRegular r:id="rId10" w:fontKey="{59365EF3-3C05-4B86-A33F-5C9021EB6F5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90C" w:rsidRDefault="00090D1B">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995C52">
      <w:rPr>
        <w:rFonts w:ascii="Palatino Linotype" w:eastAsia="Palatino Linotype" w:hAnsi="Palatino Linotype" w:cs="Palatino Linotype"/>
        <w:noProof/>
        <w:color w:val="000000"/>
        <w:sz w:val="22"/>
        <w:szCs w:val="22"/>
      </w:rPr>
      <w:t>21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995C52">
      <w:rPr>
        <w:rFonts w:ascii="Palatino Linotype" w:eastAsia="Palatino Linotype" w:hAnsi="Palatino Linotype" w:cs="Palatino Linotype"/>
        <w:noProof/>
        <w:color w:val="000000"/>
        <w:sz w:val="22"/>
        <w:szCs w:val="22"/>
      </w:rPr>
      <w:t>28</w:t>
    </w:r>
    <w:r>
      <w:rPr>
        <w:rFonts w:ascii="Palatino Linotype" w:eastAsia="Palatino Linotype" w:hAnsi="Palatino Linotype" w:cs="Palatino Linotype"/>
        <w:color w:val="000000"/>
        <w:sz w:val="22"/>
        <w:szCs w:val="22"/>
      </w:rPr>
      <w:fldChar w:fldCharType="end"/>
    </w:r>
  </w:p>
  <w:p w:rsidR="00EB590C" w:rsidRDefault="00EB590C">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90C" w:rsidRDefault="00090D1B">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995C52">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995C52">
      <w:rPr>
        <w:rFonts w:ascii="Palatino Linotype" w:eastAsia="Palatino Linotype" w:hAnsi="Palatino Linotype" w:cs="Palatino Linotype"/>
        <w:noProof/>
        <w:color w:val="000000"/>
        <w:sz w:val="22"/>
        <w:szCs w:val="22"/>
      </w:rPr>
      <w:t>28</w:t>
    </w:r>
    <w:r>
      <w:rPr>
        <w:rFonts w:ascii="Palatino Linotype" w:eastAsia="Palatino Linotype" w:hAnsi="Palatino Linotype" w:cs="Palatino Linotype"/>
        <w:color w:val="000000"/>
        <w:sz w:val="22"/>
        <w:szCs w:val="22"/>
      </w:rPr>
      <w:fldChar w:fldCharType="end"/>
    </w:r>
  </w:p>
  <w:p w:rsidR="00EB590C" w:rsidRDefault="00EB590C">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7D6" w:rsidRDefault="00E137D6">
      <w:r>
        <w:separator/>
      </w:r>
    </w:p>
  </w:footnote>
  <w:footnote w:type="continuationSeparator" w:id="0">
    <w:p w:rsidR="00E137D6" w:rsidRDefault="00E137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90C" w:rsidRDefault="00E137D6">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6750" w:type="dxa"/>
      <w:tblInd w:w="3261" w:type="dxa"/>
      <w:tblLayout w:type="fixed"/>
      <w:tblLook w:val="0400" w:firstRow="0" w:lastRow="0" w:firstColumn="0" w:lastColumn="0" w:noHBand="0" w:noVBand="1"/>
    </w:tblPr>
    <w:tblGrid>
      <w:gridCol w:w="3039"/>
      <w:gridCol w:w="3711"/>
    </w:tblGrid>
    <w:tr w:rsidR="00EB590C" w:rsidTr="00995C52">
      <w:trPr>
        <w:trHeight w:val="227"/>
      </w:trPr>
      <w:tc>
        <w:tcPr>
          <w:tcW w:w="3039" w:type="dxa"/>
        </w:tcPr>
        <w:p w:rsidR="00EB590C" w:rsidRDefault="00090D1B">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711" w:type="dxa"/>
        </w:tcPr>
        <w:p w:rsidR="00EB590C" w:rsidRDefault="00090D1B">
          <w:pPr>
            <w:pBdr>
              <w:top w:val="nil"/>
              <w:left w:val="nil"/>
              <w:bottom w:val="nil"/>
              <w:right w:val="nil"/>
              <w:between w:val="nil"/>
            </w:pBdr>
            <w:tabs>
              <w:tab w:val="right" w:pos="8838"/>
            </w:tabs>
            <w:ind w:right="-128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13843/INFOEM/IP/RR/2025</w:t>
          </w:r>
        </w:p>
      </w:tc>
    </w:tr>
    <w:tr w:rsidR="00EB590C" w:rsidTr="00995C52">
      <w:trPr>
        <w:trHeight w:val="342"/>
      </w:trPr>
      <w:tc>
        <w:tcPr>
          <w:tcW w:w="3039" w:type="dxa"/>
        </w:tcPr>
        <w:p w:rsidR="00EB590C" w:rsidRDefault="00090D1B">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711" w:type="dxa"/>
        </w:tcPr>
        <w:p w:rsidR="00EB590C" w:rsidRDefault="00090D1B">
          <w:pPr>
            <w:pBdr>
              <w:top w:val="nil"/>
              <w:left w:val="nil"/>
              <w:bottom w:val="nil"/>
              <w:right w:val="nil"/>
              <w:between w:val="nil"/>
            </w:pBdr>
            <w:tabs>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Toluca</w:t>
          </w:r>
        </w:p>
      </w:tc>
    </w:tr>
    <w:tr w:rsidR="00EB590C" w:rsidTr="00995C52">
      <w:trPr>
        <w:trHeight w:val="342"/>
      </w:trPr>
      <w:tc>
        <w:tcPr>
          <w:tcW w:w="3039" w:type="dxa"/>
        </w:tcPr>
        <w:p w:rsidR="00EB590C" w:rsidRDefault="00090D1B">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711" w:type="dxa"/>
        </w:tcPr>
        <w:p w:rsidR="00EB590C" w:rsidRDefault="00090D1B">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EB590C" w:rsidRDefault="00E137D6">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83pt;margin-top:-133.85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6750" w:type="dxa"/>
      <w:tblInd w:w="3261" w:type="dxa"/>
      <w:tblLayout w:type="fixed"/>
      <w:tblLook w:val="0400" w:firstRow="0" w:lastRow="0" w:firstColumn="0" w:lastColumn="0" w:noHBand="0" w:noVBand="1"/>
    </w:tblPr>
    <w:tblGrid>
      <w:gridCol w:w="3039"/>
      <w:gridCol w:w="3711"/>
    </w:tblGrid>
    <w:tr w:rsidR="00EB590C" w:rsidTr="00995C52">
      <w:trPr>
        <w:trHeight w:val="227"/>
      </w:trPr>
      <w:tc>
        <w:tcPr>
          <w:tcW w:w="3039" w:type="dxa"/>
        </w:tcPr>
        <w:p w:rsidR="00EB590C" w:rsidRDefault="00090D1B">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711" w:type="dxa"/>
        </w:tcPr>
        <w:p w:rsidR="00EB590C" w:rsidRDefault="00090D1B">
          <w:pPr>
            <w:pBdr>
              <w:top w:val="nil"/>
              <w:left w:val="nil"/>
              <w:bottom w:val="nil"/>
              <w:right w:val="nil"/>
              <w:between w:val="nil"/>
            </w:pBdr>
            <w:tabs>
              <w:tab w:val="right" w:pos="8838"/>
            </w:tabs>
            <w:ind w:right="-128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13843/INFOEM/IP/RR/2025</w:t>
          </w:r>
        </w:p>
      </w:tc>
    </w:tr>
    <w:tr w:rsidR="00EB590C" w:rsidTr="00995C52">
      <w:trPr>
        <w:trHeight w:val="242"/>
      </w:trPr>
      <w:tc>
        <w:tcPr>
          <w:tcW w:w="3039" w:type="dxa"/>
        </w:tcPr>
        <w:p w:rsidR="00EB590C" w:rsidRDefault="00090D1B">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711" w:type="dxa"/>
        </w:tcPr>
        <w:p w:rsidR="00EB590C" w:rsidRDefault="00EB590C">
          <w:pPr>
            <w:pBdr>
              <w:top w:val="nil"/>
              <w:left w:val="nil"/>
              <w:bottom w:val="nil"/>
              <w:right w:val="nil"/>
              <w:between w:val="nil"/>
            </w:pBdr>
            <w:tabs>
              <w:tab w:val="right" w:pos="8838"/>
              <w:tab w:val="left" w:pos="521"/>
            </w:tabs>
            <w:rPr>
              <w:rFonts w:ascii="Palatino Linotype" w:eastAsia="Palatino Linotype" w:hAnsi="Palatino Linotype" w:cs="Palatino Linotype"/>
              <w:color w:val="000000"/>
              <w:highlight w:val="green"/>
            </w:rPr>
          </w:pPr>
        </w:p>
      </w:tc>
    </w:tr>
    <w:tr w:rsidR="00EB590C" w:rsidTr="00995C52">
      <w:trPr>
        <w:trHeight w:val="342"/>
      </w:trPr>
      <w:tc>
        <w:tcPr>
          <w:tcW w:w="3039" w:type="dxa"/>
        </w:tcPr>
        <w:p w:rsidR="00EB590C" w:rsidRDefault="00090D1B">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711" w:type="dxa"/>
        </w:tcPr>
        <w:p w:rsidR="00EB590C" w:rsidRDefault="00090D1B">
          <w:pPr>
            <w:pBdr>
              <w:top w:val="nil"/>
              <w:left w:val="nil"/>
              <w:bottom w:val="nil"/>
              <w:right w:val="nil"/>
              <w:between w:val="nil"/>
            </w:pBdr>
            <w:tabs>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Toluca</w:t>
          </w:r>
        </w:p>
      </w:tc>
    </w:tr>
    <w:tr w:rsidR="00EB590C" w:rsidTr="00995C52">
      <w:trPr>
        <w:trHeight w:val="342"/>
      </w:trPr>
      <w:tc>
        <w:tcPr>
          <w:tcW w:w="3039" w:type="dxa"/>
        </w:tcPr>
        <w:p w:rsidR="00EB590C" w:rsidRDefault="00090D1B">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711" w:type="dxa"/>
        </w:tcPr>
        <w:p w:rsidR="00EB590C" w:rsidRDefault="00090D1B">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EB590C" w:rsidRDefault="00E137D6">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7F7917"/>
    <w:multiLevelType w:val="multilevel"/>
    <w:tmpl w:val="83BC648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 w15:restartNumberingAfterBreak="0">
    <w:nsid w:val="1BC03CEA"/>
    <w:multiLevelType w:val="multilevel"/>
    <w:tmpl w:val="291EB030"/>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2" w15:restartNumberingAfterBreak="0">
    <w:nsid w:val="2D34688C"/>
    <w:multiLevelType w:val="multilevel"/>
    <w:tmpl w:val="399A52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61C76BBE"/>
    <w:multiLevelType w:val="multilevel"/>
    <w:tmpl w:val="6402007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656057F1"/>
    <w:multiLevelType w:val="multilevel"/>
    <w:tmpl w:val="1B6435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92872EA"/>
    <w:multiLevelType w:val="multilevel"/>
    <w:tmpl w:val="A0AEB2A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74970396"/>
    <w:multiLevelType w:val="multilevel"/>
    <w:tmpl w:val="9EA01206"/>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7" w15:restartNumberingAfterBreak="0">
    <w:nsid w:val="76880AE6"/>
    <w:multiLevelType w:val="multilevel"/>
    <w:tmpl w:val="8F8EB83A"/>
    <w:lvl w:ilvl="0">
      <w:start w:val="1"/>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94066A5"/>
    <w:multiLevelType w:val="multilevel"/>
    <w:tmpl w:val="0F105076"/>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abstractNumId w:val="2"/>
  </w:num>
  <w:num w:numId="2">
    <w:abstractNumId w:val="3"/>
  </w:num>
  <w:num w:numId="3">
    <w:abstractNumId w:val="6"/>
  </w:num>
  <w:num w:numId="4">
    <w:abstractNumId w:val="8"/>
  </w:num>
  <w:num w:numId="5">
    <w:abstractNumId w:val="0"/>
  </w:num>
  <w:num w:numId="6">
    <w:abstractNumId w:val="7"/>
  </w:num>
  <w:num w:numId="7">
    <w:abstractNumId w:val="1"/>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90C"/>
    <w:rsid w:val="00090D1B"/>
    <w:rsid w:val="00995C52"/>
    <w:rsid w:val="00A303BA"/>
    <w:rsid w:val="00AE1F3D"/>
    <w:rsid w:val="00E137D6"/>
    <w:rsid w:val="00EB590C"/>
    <w:rsid w:val="00F23C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5B198ECE-FAA8-45C1-863F-6140D2108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995C52"/>
    <w:pPr>
      <w:tabs>
        <w:tab w:val="center" w:pos="4419"/>
        <w:tab w:val="right" w:pos="8838"/>
      </w:tabs>
    </w:pPr>
  </w:style>
  <w:style w:type="character" w:customStyle="1" w:styleId="PiedepginaCar">
    <w:name w:val="Pie de página Car"/>
    <w:basedOn w:val="Fuentedeprrafopredeter"/>
    <w:link w:val="Piedepgina"/>
    <w:uiPriority w:val="99"/>
    <w:rsid w:val="00995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pomex.org.mx/ipomex/" TargetMode="External"/><Relationship Id="rId18" Type="http://schemas.openxmlformats.org/officeDocument/2006/relationships/image" Target="media/image2.png"/><Relationship Id="rId26" Type="http://schemas.openxmlformats.org/officeDocument/2006/relationships/image" Target="media/image7.png"/><Relationship Id="rId21" Type="http://schemas.openxmlformats.org/officeDocument/2006/relationships/hyperlink" Target="https://ipomex.org.mx/ipomex/"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pomex.org.mx/ipomex/" TargetMode="External"/><Relationship Id="rId17" Type="http://schemas.openxmlformats.org/officeDocument/2006/relationships/hyperlink" Target="https://ipomex.org.mx/ipomex/" TargetMode="External"/><Relationship Id="rId25" Type="http://schemas.openxmlformats.org/officeDocument/2006/relationships/image" Target="media/image6.png"/><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pomex.org.mx/ipomex/" TargetMode="External"/><Relationship Id="rId20" Type="http://schemas.openxmlformats.org/officeDocument/2006/relationships/hyperlink" Target="https://ipomex.org.mx/ipomex/"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pomex.org.mx/ipomex/" TargetMode="External"/><Relationship Id="rId24" Type="http://schemas.openxmlformats.org/officeDocument/2006/relationships/image" Target="media/image5.png"/><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pomex.org.mx/ipomex/"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footer" Target="footer2.xml"/><Relationship Id="rId10" Type="http://schemas.openxmlformats.org/officeDocument/2006/relationships/hyperlink" Target="https://ipomex.org.mx/ipomex/" TargetMode="External"/><Relationship Id="rId19" Type="http://schemas.openxmlformats.org/officeDocument/2006/relationships/image" Target="media/image3.png"/><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yperlink" Target="https://ipomex.org.mx/ipomex/" TargetMode="External"/><Relationship Id="rId14" Type="http://schemas.openxmlformats.org/officeDocument/2006/relationships/hyperlink" Target="https://ipomex.org.mx/ipomex/" TargetMode="External"/><Relationship Id="rId22" Type="http://schemas.openxmlformats.org/officeDocument/2006/relationships/hyperlink" Target="https://ipomex.org.mx/ipomex/"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XNwPnfGSAisYGFlJrQS2RKn3Eg==">CgMxLjAyCGguZ2pkZ3hzMgloLjMwajB6bGwyCWguMWZvYjl0ZTIJaC4zem55c2g3MgloLjJldDkycDAyCWguMXQzaDVzZjIJaC4yczhleW8xMg5oLndxaWUxa2V6ZmZrNTIOaC41Yzk3Y3ZyZ2RtcnUyCGgubG54Yno5OAByITFwUmZuNmZKakVvdkhfVXZEbjUzdjFPSlcyQUdOUnUwOQ==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28</Pages>
  <Words>5960</Words>
  <Characters>32780</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38663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5</cp:revision>
  <cp:lastPrinted>2026-05-29T00:18:00Z</cp:lastPrinted>
  <dcterms:created xsi:type="dcterms:W3CDTF">2026-05-27T22:02:00Z</dcterms:created>
  <dcterms:modified xsi:type="dcterms:W3CDTF">2026-06-02T19:36:00Z</dcterms:modified>
</cp:coreProperties>
</file>