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959AD" w14:textId="77777777" w:rsidR="007664F8" w:rsidRPr="00F83343" w:rsidRDefault="00593714">
      <w:pPr>
        <w:spacing w:line="360" w:lineRule="auto"/>
        <w:ind w:right="49" w:hanging="22"/>
        <w:jc w:val="both"/>
        <w:rPr>
          <w:rFonts w:ascii="Palatino Linotype" w:eastAsia="Palatino Linotype" w:hAnsi="Palatino Linotype" w:cs="Palatino Linotype"/>
          <w:b/>
          <w:bCs/>
          <w:sz w:val="22"/>
          <w:szCs w:val="22"/>
        </w:rPr>
      </w:pPr>
      <w:r w:rsidRPr="00F8334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F83343">
        <w:rPr>
          <w:rFonts w:ascii="Palatino Linotype" w:eastAsia="Palatino Linotype" w:hAnsi="Palatino Linotype" w:cs="Palatino Linotype"/>
          <w:b/>
          <w:bCs/>
          <w:sz w:val="22"/>
          <w:szCs w:val="22"/>
        </w:rPr>
        <w:t>once de marzo</w:t>
      </w:r>
      <w:r w:rsidRPr="00F83343">
        <w:rPr>
          <w:rFonts w:ascii="Palatino Linotype" w:eastAsia="Palatino Linotype" w:hAnsi="Palatino Linotype" w:cs="Palatino Linotype"/>
          <w:sz w:val="22"/>
          <w:szCs w:val="22"/>
        </w:rPr>
        <w:t xml:space="preserve"> </w:t>
      </w:r>
      <w:r w:rsidRPr="00F83343">
        <w:rPr>
          <w:rFonts w:ascii="Palatino Linotype" w:eastAsia="Palatino Linotype" w:hAnsi="Palatino Linotype" w:cs="Palatino Linotype"/>
          <w:b/>
          <w:bCs/>
          <w:sz w:val="22"/>
          <w:szCs w:val="22"/>
        </w:rPr>
        <w:t>de dos mil veintiséis.</w:t>
      </w:r>
    </w:p>
    <w:p w14:paraId="64820941" w14:textId="77777777" w:rsidR="007664F8" w:rsidRPr="00F83343" w:rsidRDefault="007664F8">
      <w:pPr>
        <w:spacing w:line="360" w:lineRule="auto"/>
        <w:ind w:right="49"/>
        <w:jc w:val="both"/>
        <w:rPr>
          <w:rFonts w:ascii="Palatino Linotype" w:eastAsia="Palatino Linotype" w:hAnsi="Palatino Linotype" w:cs="Palatino Linotype"/>
          <w:sz w:val="22"/>
          <w:szCs w:val="22"/>
        </w:rPr>
      </w:pPr>
    </w:p>
    <w:p w14:paraId="6BA9E06C" w14:textId="0AB760B2" w:rsidR="007664F8" w:rsidRPr="00F83343" w:rsidRDefault="00593714">
      <w:pPr>
        <w:spacing w:line="360" w:lineRule="auto"/>
        <w:ind w:right="49"/>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 xml:space="preserve">VISTO </w:t>
      </w:r>
      <w:r w:rsidRPr="00F83343">
        <w:rPr>
          <w:rFonts w:ascii="Palatino Linotype" w:eastAsia="Palatino Linotype" w:hAnsi="Palatino Linotype" w:cs="Palatino Linotype"/>
          <w:sz w:val="22"/>
          <w:szCs w:val="22"/>
        </w:rPr>
        <w:t xml:space="preserve">el expediente relativo al recurso de revisión </w:t>
      </w:r>
      <w:r w:rsidRPr="00F83343">
        <w:rPr>
          <w:rFonts w:ascii="Palatino Linotype" w:eastAsia="Palatino Linotype" w:hAnsi="Palatino Linotype" w:cs="Palatino Linotype"/>
          <w:b/>
          <w:bCs/>
          <w:sz w:val="22"/>
          <w:szCs w:val="22"/>
        </w:rPr>
        <w:t xml:space="preserve">00989/INFOEM/IP/RR/2026, </w:t>
      </w:r>
      <w:r w:rsidRPr="00F83343">
        <w:rPr>
          <w:rFonts w:ascii="Palatino Linotype" w:eastAsia="Palatino Linotype" w:hAnsi="Palatino Linotype" w:cs="Palatino Linotype"/>
          <w:sz w:val="22"/>
          <w:szCs w:val="22"/>
        </w:rPr>
        <w:t xml:space="preserve">interpuesto por </w:t>
      </w:r>
      <w:r w:rsidR="00D03B27" w:rsidRPr="00D03B27">
        <w:rPr>
          <w:rFonts w:ascii="Palatino Linotype" w:eastAsia="Palatino Linotype" w:hAnsi="Palatino Linotype" w:cs="Palatino Linotype"/>
          <w:b/>
          <w:bCs/>
          <w:sz w:val="20"/>
          <w:szCs w:val="20"/>
        </w:rPr>
        <w:t>XXXXX XXXXXXX XXXXXXXX</w:t>
      </w:r>
      <w:r w:rsidRPr="00D03B27">
        <w:rPr>
          <w:rFonts w:ascii="Palatino Linotype" w:eastAsia="Palatino Linotype" w:hAnsi="Palatino Linotype" w:cs="Palatino Linotype"/>
          <w:b/>
          <w:bCs/>
          <w:sz w:val="20"/>
          <w:szCs w:val="20"/>
        </w:rPr>
        <w:t>,</w:t>
      </w:r>
      <w:bookmarkStart w:id="0" w:name="_GoBack"/>
      <w:bookmarkEnd w:id="0"/>
      <w:r w:rsidRPr="00F83343">
        <w:rPr>
          <w:rFonts w:ascii="Palatino Linotype" w:eastAsia="Palatino Linotype" w:hAnsi="Palatino Linotype" w:cs="Palatino Linotype"/>
          <w:sz w:val="22"/>
          <w:szCs w:val="22"/>
        </w:rPr>
        <w:t xml:space="preserve"> en lo sucesivo la parte </w:t>
      </w:r>
      <w:r w:rsidRPr="00F83343">
        <w:rPr>
          <w:rFonts w:ascii="Palatino Linotype" w:eastAsia="Palatino Linotype" w:hAnsi="Palatino Linotype" w:cs="Palatino Linotype"/>
          <w:b/>
          <w:bCs/>
          <w:sz w:val="22"/>
          <w:szCs w:val="22"/>
        </w:rPr>
        <w:t>Recurrente</w:t>
      </w:r>
      <w:r w:rsidRPr="00F83343">
        <w:rPr>
          <w:rFonts w:ascii="Palatino Linotype" w:eastAsia="Palatino Linotype" w:hAnsi="Palatino Linotype" w:cs="Palatino Linotype"/>
          <w:sz w:val="22"/>
          <w:szCs w:val="22"/>
        </w:rPr>
        <w:t xml:space="preserve">, en contra de la respuesta a la solicitud de información por parte del </w:t>
      </w:r>
      <w:r w:rsidRPr="00F83343">
        <w:rPr>
          <w:rFonts w:ascii="Palatino Linotype" w:eastAsia="Palatino Linotype" w:hAnsi="Palatino Linotype" w:cs="Palatino Linotype"/>
          <w:b/>
          <w:bCs/>
          <w:sz w:val="22"/>
          <w:szCs w:val="22"/>
        </w:rPr>
        <w:t>Ayuntamiento de Tepotzotlán</w:t>
      </w:r>
      <w:r w:rsidRPr="00F83343">
        <w:rPr>
          <w:rFonts w:ascii="Palatino Linotype" w:eastAsia="Palatino Linotype" w:hAnsi="Palatino Linotype" w:cs="Palatino Linotype"/>
          <w:sz w:val="22"/>
          <w:szCs w:val="22"/>
        </w:rPr>
        <w:t xml:space="preserve">, en lo sucesivo el </w:t>
      </w:r>
      <w:r w:rsidRPr="00F83343">
        <w:rPr>
          <w:rFonts w:ascii="Palatino Linotype" w:eastAsia="Palatino Linotype" w:hAnsi="Palatino Linotype" w:cs="Palatino Linotype"/>
          <w:b/>
          <w:bCs/>
          <w:sz w:val="22"/>
          <w:szCs w:val="22"/>
        </w:rPr>
        <w:t xml:space="preserve">Sujeto Obligado; </w:t>
      </w:r>
      <w:r w:rsidRPr="00F83343">
        <w:rPr>
          <w:rFonts w:ascii="Palatino Linotype" w:eastAsia="Palatino Linotype" w:hAnsi="Palatino Linotype" w:cs="Palatino Linotype"/>
          <w:sz w:val="22"/>
          <w:szCs w:val="22"/>
        </w:rPr>
        <w:t xml:space="preserve">se procede a dictar la presente resolución, con base en lo siguiente. </w:t>
      </w:r>
    </w:p>
    <w:p w14:paraId="6F1378F5" w14:textId="77777777" w:rsidR="007664F8" w:rsidRPr="00F83343" w:rsidRDefault="007664F8">
      <w:pPr>
        <w:spacing w:line="360" w:lineRule="auto"/>
        <w:ind w:right="49"/>
        <w:jc w:val="both"/>
        <w:rPr>
          <w:rFonts w:ascii="Palatino Linotype" w:eastAsia="Palatino Linotype" w:hAnsi="Palatino Linotype" w:cs="Palatino Linotype"/>
          <w:sz w:val="22"/>
          <w:szCs w:val="22"/>
        </w:rPr>
      </w:pPr>
    </w:p>
    <w:p w14:paraId="5914343B" w14:textId="77777777" w:rsidR="007664F8" w:rsidRPr="00F83343" w:rsidRDefault="00593714">
      <w:pPr>
        <w:spacing w:line="360" w:lineRule="auto"/>
        <w:ind w:right="49"/>
        <w:jc w:val="center"/>
        <w:rPr>
          <w:rFonts w:ascii="Palatino Linotype" w:eastAsia="Palatino Linotype" w:hAnsi="Palatino Linotype" w:cs="Palatino Linotype"/>
          <w:b/>
          <w:bCs/>
          <w:sz w:val="22"/>
          <w:szCs w:val="22"/>
        </w:rPr>
      </w:pPr>
      <w:r w:rsidRPr="00F83343">
        <w:rPr>
          <w:rFonts w:ascii="Palatino Linotype" w:eastAsia="Palatino Linotype" w:hAnsi="Palatino Linotype" w:cs="Palatino Linotype"/>
          <w:b/>
          <w:bCs/>
          <w:sz w:val="22"/>
          <w:szCs w:val="22"/>
        </w:rPr>
        <w:t>I.</w:t>
      </w:r>
      <w:r w:rsidRPr="00F83343">
        <w:rPr>
          <w:rFonts w:ascii="Palatino Linotype" w:eastAsia="Palatino Linotype" w:hAnsi="Palatino Linotype" w:cs="Palatino Linotype"/>
          <w:b/>
          <w:bCs/>
          <w:sz w:val="22"/>
          <w:szCs w:val="22"/>
        </w:rPr>
        <w:tab/>
        <w:t xml:space="preserve">A N T E C E D E N T E S </w:t>
      </w:r>
    </w:p>
    <w:p w14:paraId="7724A48E" w14:textId="77777777" w:rsidR="007664F8" w:rsidRPr="00F83343" w:rsidRDefault="007664F8">
      <w:pPr>
        <w:spacing w:line="360" w:lineRule="auto"/>
        <w:ind w:right="49"/>
        <w:jc w:val="both"/>
        <w:rPr>
          <w:rFonts w:ascii="Palatino Linotype" w:eastAsia="Palatino Linotype" w:hAnsi="Palatino Linotype" w:cs="Palatino Linotype"/>
          <w:sz w:val="22"/>
          <w:szCs w:val="22"/>
        </w:rPr>
      </w:pPr>
    </w:p>
    <w:p w14:paraId="53C9D5B8"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1.</w:t>
      </w:r>
      <w:r w:rsidRPr="00F83343">
        <w:rPr>
          <w:rFonts w:ascii="Palatino Linotype" w:eastAsia="Palatino Linotype" w:hAnsi="Palatino Linotype" w:cs="Palatino Linotype"/>
          <w:sz w:val="22"/>
          <w:szCs w:val="22"/>
        </w:rPr>
        <w:t xml:space="preserve"> </w:t>
      </w:r>
      <w:r w:rsidRPr="00F83343">
        <w:rPr>
          <w:rFonts w:ascii="Palatino Linotype" w:eastAsia="Palatino Linotype" w:hAnsi="Palatino Linotype" w:cs="Palatino Linotype"/>
          <w:b/>
          <w:bCs/>
          <w:sz w:val="22"/>
          <w:szCs w:val="22"/>
        </w:rPr>
        <w:t>Solicitud de Acceso a la Información. El dieciocho de diciembre de dos mil veinticinco</w:t>
      </w:r>
      <w:r w:rsidRPr="00F83343">
        <w:rPr>
          <w:rFonts w:ascii="Palatino Linotype" w:eastAsia="Palatino Linotype" w:hAnsi="Palatino Linotype" w:cs="Palatino Linotype"/>
          <w:sz w:val="22"/>
          <w:szCs w:val="22"/>
        </w:rPr>
        <w:t xml:space="preserve">, </w:t>
      </w:r>
      <w:r w:rsidRPr="00F83343">
        <w:rPr>
          <w:rFonts w:ascii="Palatino Linotype" w:eastAsia="Palatino Linotype" w:hAnsi="Palatino Linotype" w:cs="Palatino Linotype"/>
          <w:b/>
          <w:bCs/>
          <w:sz w:val="22"/>
          <w:szCs w:val="22"/>
        </w:rPr>
        <w:t>LA PARTE</w:t>
      </w:r>
      <w:r w:rsidRPr="00F83343">
        <w:rPr>
          <w:rFonts w:ascii="Palatino Linotype" w:eastAsia="Palatino Linotype" w:hAnsi="Palatino Linotype" w:cs="Palatino Linotype"/>
          <w:sz w:val="22"/>
          <w:szCs w:val="22"/>
        </w:rPr>
        <w:t xml:space="preserve"> </w:t>
      </w:r>
      <w:r w:rsidRPr="00F83343">
        <w:rPr>
          <w:rFonts w:ascii="Palatino Linotype" w:eastAsia="Palatino Linotype" w:hAnsi="Palatino Linotype" w:cs="Palatino Linotype"/>
          <w:b/>
          <w:bCs/>
          <w:sz w:val="22"/>
          <w:szCs w:val="22"/>
        </w:rPr>
        <w:t>RECURRENTE</w:t>
      </w:r>
      <w:r w:rsidRPr="00F83343">
        <w:rPr>
          <w:rFonts w:ascii="Palatino Linotype" w:eastAsia="Palatino Linotype" w:hAnsi="Palatino Linotype" w:cs="Palatino Linotype"/>
          <w:sz w:val="22"/>
          <w:szCs w:val="22"/>
        </w:rPr>
        <w:t xml:space="preserve"> formuló solicitud de acceso a información pública a través del </w:t>
      </w:r>
      <w:r w:rsidRPr="00F83343">
        <w:rPr>
          <w:rFonts w:ascii="Palatino Linotype" w:eastAsia="Palatino Linotype" w:hAnsi="Palatino Linotype" w:cs="Palatino Linotype"/>
          <w:b/>
          <w:bCs/>
          <w:sz w:val="22"/>
          <w:szCs w:val="22"/>
        </w:rPr>
        <w:t>SAIMEX</w:t>
      </w:r>
      <w:r w:rsidRPr="00F83343">
        <w:rPr>
          <w:rFonts w:ascii="Palatino Linotype" w:eastAsia="Palatino Linotype" w:hAnsi="Palatino Linotype" w:cs="Palatino Linotype"/>
          <w:sz w:val="22"/>
          <w:szCs w:val="22"/>
        </w:rPr>
        <w:t xml:space="preserve">, en la que requirió lo siguiente: </w:t>
      </w:r>
    </w:p>
    <w:p w14:paraId="0118D0AF"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300A7F13" w14:textId="77777777" w:rsidR="007664F8" w:rsidRPr="00F83343" w:rsidRDefault="00593714">
      <w:pPr>
        <w:numPr>
          <w:ilvl w:val="0"/>
          <w:numId w:val="5"/>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1" w:name="_heading=h.3znysh7" w:colFirst="0" w:colLast="0"/>
      <w:bookmarkEnd w:id="1"/>
      <w:r w:rsidRPr="00F83343">
        <w:rPr>
          <w:rFonts w:ascii="Palatino Linotype" w:eastAsia="Palatino Linotype" w:hAnsi="Palatino Linotype" w:cs="Palatino Linotype"/>
          <w:b/>
          <w:bCs/>
          <w:sz w:val="22"/>
          <w:szCs w:val="22"/>
        </w:rPr>
        <w:t>01697/TEPOTZOT/IP/2025</w:t>
      </w:r>
    </w:p>
    <w:p w14:paraId="1DB9C9E8" w14:textId="77777777" w:rsidR="007664F8" w:rsidRPr="00F83343" w:rsidRDefault="00593714">
      <w:pPr>
        <w:spacing w:line="276" w:lineRule="auto"/>
        <w:ind w:left="567" w:right="843"/>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i/>
          <w:iCs/>
          <w:sz w:val="22"/>
          <w:szCs w:val="22"/>
        </w:rPr>
        <w:t>"</w:t>
      </w:r>
      <w:r w:rsidRPr="00F83343">
        <w:t xml:space="preserve"> </w:t>
      </w:r>
      <w:r w:rsidRPr="00F83343">
        <w:rPr>
          <w:rFonts w:ascii="Palatino Linotype" w:eastAsia="Palatino Linotype" w:hAnsi="Palatino Linotype" w:cs="Palatino Linotype"/>
          <w:i/>
          <w:iCs/>
          <w:sz w:val="22"/>
          <w:szCs w:val="22"/>
        </w:rPr>
        <w:t xml:space="preserve">Informe todas las adjudicaciones directas realizadas </w:t>
      </w:r>
      <w:r w:rsidRPr="00F83343">
        <w:rPr>
          <w:rFonts w:ascii="Palatino Linotype" w:eastAsia="Palatino Linotype" w:hAnsi="Palatino Linotype" w:cs="Palatino Linotype"/>
          <w:b/>
          <w:bCs/>
          <w:i/>
          <w:iCs/>
          <w:sz w:val="22"/>
          <w:szCs w:val="22"/>
          <w:u w:val="single"/>
        </w:rPr>
        <w:t>en diciembre de 2025</w:t>
      </w:r>
      <w:r w:rsidRPr="00F83343">
        <w:rPr>
          <w:rFonts w:ascii="Palatino Linotype" w:eastAsia="Palatino Linotype" w:hAnsi="Palatino Linotype" w:cs="Palatino Linotype"/>
          <w:i/>
          <w:iCs/>
          <w:sz w:val="22"/>
          <w:szCs w:val="22"/>
        </w:rPr>
        <w:t>, señalando: proveedor, monto, concepto, justificación legal específica que motivó no licitar, servidor público responsable de la autorización.</w:t>
      </w:r>
      <w:r w:rsidRPr="00F83343">
        <w:rPr>
          <w:rFonts w:ascii="Palatino Linotype" w:eastAsia="Palatino Linotype" w:hAnsi="Palatino Linotype" w:cs="Palatino Linotype"/>
          <w:b/>
          <w:bCs/>
          <w:i/>
          <w:iCs/>
          <w:sz w:val="22"/>
          <w:szCs w:val="22"/>
        </w:rPr>
        <w:t>” (Sic.)</w:t>
      </w:r>
    </w:p>
    <w:p w14:paraId="7B838BA0" w14:textId="77777777" w:rsidR="007664F8" w:rsidRPr="00F83343" w:rsidRDefault="007664F8">
      <w:pPr>
        <w:spacing w:line="360" w:lineRule="auto"/>
        <w:ind w:left="567" w:right="843"/>
        <w:jc w:val="both"/>
        <w:rPr>
          <w:rFonts w:ascii="Palatino Linotype" w:eastAsia="Palatino Linotype" w:hAnsi="Palatino Linotype" w:cs="Palatino Linotype"/>
          <w:i/>
          <w:iCs/>
          <w:sz w:val="22"/>
          <w:szCs w:val="22"/>
        </w:rPr>
      </w:pPr>
    </w:p>
    <w:p w14:paraId="0090867B" w14:textId="77777777" w:rsidR="007664F8" w:rsidRPr="00F83343" w:rsidRDefault="00593714">
      <w:pPr>
        <w:spacing w:line="360" w:lineRule="auto"/>
        <w:ind w:right="49"/>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Modalidad elegida para la entrega de la información:</w:t>
      </w:r>
      <w:r w:rsidRPr="00F83343">
        <w:rPr>
          <w:rFonts w:ascii="Palatino Linotype" w:eastAsia="Palatino Linotype" w:hAnsi="Palatino Linotype" w:cs="Palatino Linotype"/>
          <w:sz w:val="22"/>
          <w:szCs w:val="22"/>
        </w:rPr>
        <w:t xml:space="preserve"> a través del Sistema de Acceso a la Información Mexiquense (SAIMEX).</w:t>
      </w:r>
    </w:p>
    <w:p w14:paraId="4383D69A" w14:textId="77777777" w:rsidR="007664F8" w:rsidRPr="00F83343" w:rsidRDefault="007664F8">
      <w:pPr>
        <w:widowControl w:val="0"/>
        <w:spacing w:line="360" w:lineRule="auto"/>
        <w:jc w:val="both"/>
        <w:rPr>
          <w:rFonts w:ascii="Palatino Linotype" w:eastAsia="Palatino Linotype" w:hAnsi="Palatino Linotype" w:cs="Palatino Linotype"/>
          <w:b/>
          <w:bCs/>
          <w:sz w:val="22"/>
          <w:szCs w:val="22"/>
        </w:rPr>
      </w:pPr>
    </w:p>
    <w:p w14:paraId="33CCBB72" w14:textId="77777777" w:rsidR="007664F8" w:rsidRPr="00F83343" w:rsidRDefault="00593714">
      <w:pPr>
        <w:widowControl w:val="0"/>
        <w:spacing w:line="360" w:lineRule="auto"/>
        <w:jc w:val="both"/>
        <w:rPr>
          <w:rFonts w:ascii="Palatino Linotype" w:eastAsia="Palatino Linotype" w:hAnsi="Palatino Linotype" w:cs="Palatino Linotype"/>
          <w:b/>
          <w:bCs/>
          <w:sz w:val="22"/>
          <w:szCs w:val="22"/>
          <w:u w:val="single"/>
        </w:rPr>
      </w:pPr>
      <w:r w:rsidRPr="00F83343">
        <w:rPr>
          <w:rFonts w:ascii="Palatino Linotype" w:eastAsia="Palatino Linotype" w:hAnsi="Palatino Linotype" w:cs="Palatino Linotype"/>
          <w:b/>
          <w:bCs/>
          <w:sz w:val="22"/>
          <w:szCs w:val="22"/>
        </w:rPr>
        <w:t>2. Respuesta.</w:t>
      </w:r>
      <w:r w:rsidRPr="00F83343">
        <w:rPr>
          <w:rFonts w:ascii="Palatino Linotype" w:eastAsia="Palatino Linotype" w:hAnsi="Palatino Linotype" w:cs="Palatino Linotype"/>
          <w:sz w:val="22"/>
          <w:szCs w:val="22"/>
        </w:rPr>
        <w:t xml:space="preserve"> El </w:t>
      </w:r>
      <w:r w:rsidRPr="00F83343">
        <w:rPr>
          <w:rFonts w:ascii="Palatino Linotype" w:eastAsia="Palatino Linotype" w:hAnsi="Palatino Linotype" w:cs="Palatino Linotype"/>
          <w:b/>
          <w:bCs/>
          <w:sz w:val="22"/>
          <w:szCs w:val="22"/>
        </w:rPr>
        <w:t>diecinueve</w:t>
      </w:r>
      <w:r w:rsidRPr="00F83343">
        <w:rPr>
          <w:rFonts w:ascii="Palatino Linotype" w:eastAsia="Palatino Linotype" w:hAnsi="Palatino Linotype" w:cs="Palatino Linotype"/>
          <w:sz w:val="22"/>
          <w:szCs w:val="22"/>
        </w:rPr>
        <w:t xml:space="preserve"> </w:t>
      </w:r>
      <w:r w:rsidRPr="00F83343">
        <w:rPr>
          <w:rFonts w:ascii="Palatino Linotype" w:eastAsia="Palatino Linotype" w:hAnsi="Palatino Linotype" w:cs="Palatino Linotype"/>
          <w:b/>
          <w:bCs/>
          <w:sz w:val="22"/>
          <w:szCs w:val="22"/>
        </w:rPr>
        <w:t>de enero de dos mil veintiséis</w:t>
      </w:r>
      <w:r w:rsidRPr="00F83343">
        <w:rPr>
          <w:rFonts w:ascii="Palatino Linotype" w:eastAsia="Palatino Linotype" w:hAnsi="Palatino Linotype" w:cs="Palatino Linotype"/>
          <w:sz w:val="22"/>
          <w:szCs w:val="22"/>
        </w:rPr>
        <w:t xml:space="preserve">, el Sujeto Obligado dio respuesta a la solicitud, a través de la Jefa de Adquisiciones mediante el cual refiere que después de </w:t>
      </w:r>
      <w:r w:rsidRPr="00F83343">
        <w:rPr>
          <w:rFonts w:ascii="Palatino Linotype" w:eastAsia="Palatino Linotype" w:hAnsi="Palatino Linotype" w:cs="Palatino Linotype"/>
          <w:sz w:val="22"/>
          <w:szCs w:val="22"/>
        </w:rPr>
        <w:lastRenderedPageBreak/>
        <w:t xml:space="preserve">realizar una búsqueda exhaustiva y razonable por el personal en el archivo en la Jefatura de Adquisiciones y se determinó que </w:t>
      </w:r>
      <w:r w:rsidRPr="00F83343">
        <w:rPr>
          <w:rFonts w:ascii="Palatino Linotype" w:eastAsia="Palatino Linotype" w:hAnsi="Palatino Linotype" w:cs="Palatino Linotype"/>
          <w:b/>
          <w:bCs/>
          <w:sz w:val="22"/>
          <w:szCs w:val="22"/>
          <w:u w:val="single"/>
        </w:rPr>
        <w:t>no existe ninguna adjudicación directa realizada en el mes de diciembre de dos mil veinticinco.</w:t>
      </w:r>
    </w:p>
    <w:p w14:paraId="503FE020" w14:textId="77777777" w:rsidR="007664F8" w:rsidRPr="00F83343" w:rsidRDefault="007664F8">
      <w:pPr>
        <w:widowControl w:val="0"/>
        <w:spacing w:line="360" w:lineRule="auto"/>
        <w:jc w:val="both"/>
        <w:rPr>
          <w:rFonts w:ascii="Palatino Linotype" w:eastAsia="Palatino Linotype" w:hAnsi="Palatino Linotype" w:cs="Palatino Linotype"/>
          <w:sz w:val="22"/>
          <w:szCs w:val="22"/>
        </w:rPr>
      </w:pPr>
    </w:p>
    <w:p w14:paraId="3D86120D"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 xml:space="preserve">3. Del Recurso de Revisión. </w:t>
      </w:r>
      <w:r w:rsidRPr="00F83343">
        <w:rPr>
          <w:rFonts w:ascii="Palatino Linotype" w:eastAsia="Palatino Linotype" w:hAnsi="Palatino Linotype" w:cs="Palatino Linotype"/>
          <w:sz w:val="22"/>
          <w:szCs w:val="22"/>
        </w:rPr>
        <w:t>Inconforme con la respuesta del</w:t>
      </w:r>
      <w:r w:rsidRPr="00F83343">
        <w:rPr>
          <w:rFonts w:ascii="Palatino Linotype" w:eastAsia="Palatino Linotype" w:hAnsi="Palatino Linotype" w:cs="Palatino Linotype"/>
          <w:b/>
          <w:bCs/>
          <w:sz w:val="22"/>
          <w:szCs w:val="22"/>
        </w:rPr>
        <w:t xml:space="preserve"> SUJETO OBLIGADO, </w:t>
      </w:r>
      <w:r w:rsidRPr="00F83343">
        <w:rPr>
          <w:rFonts w:ascii="Palatino Linotype" w:eastAsia="Palatino Linotype" w:hAnsi="Palatino Linotype" w:cs="Palatino Linotype"/>
          <w:sz w:val="22"/>
          <w:szCs w:val="22"/>
        </w:rPr>
        <w:t xml:space="preserve">el </w:t>
      </w:r>
      <w:r w:rsidRPr="00F83343">
        <w:rPr>
          <w:rFonts w:ascii="Palatino Linotype" w:eastAsia="Palatino Linotype" w:hAnsi="Palatino Linotype" w:cs="Palatino Linotype"/>
          <w:b/>
          <w:bCs/>
          <w:sz w:val="22"/>
          <w:szCs w:val="22"/>
        </w:rPr>
        <w:t>veintitrés</w:t>
      </w:r>
      <w:r w:rsidRPr="00F83343">
        <w:rPr>
          <w:rFonts w:ascii="Palatino Linotype" w:eastAsia="Palatino Linotype" w:hAnsi="Palatino Linotype" w:cs="Palatino Linotype"/>
          <w:sz w:val="22"/>
          <w:szCs w:val="22"/>
        </w:rPr>
        <w:t xml:space="preserve"> d</w:t>
      </w:r>
      <w:r w:rsidRPr="00F83343">
        <w:rPr>
          <w:rFonts w:ascii="Palatino Linotype" w:eastAsia="Palatino Linotype" w:hAnsi="Palatino Linotype" w:cs="Palatino Linotype"/>
          <w:b/>
          <w:bCs/>
          <w:sz w:val="22"/>
          <w:szCs w:val="22"/>
        </w:rPr>
        <w:t xml:space="preserve">e enero de dos mil veintiséis, LA PARTE RECURRENTE </w:t>
      </w:r>
      <w:r w:rsidRPr="00F83343">
        <w:rPr>
          <w:rFonts w:ascii="Palatino Linotype" w:eastAsia="Palatino Linotype" w:hAnsi="Palatino Linotype" w:cs="Palatino Linotype"/>
          <w:sz w:val="22"/>
          <w:szCs w:val="22"/>
        </w:rPr>
        <w:t xml:space="preserve">interpuso el recurso de revisión, mediante el cual y manifestó lo siguiente: </w:t>
      </w:r>
    </w:p>
    <w:p w14:paraId="5B6F622D" w14:textId="77777777" w:rsidR="007664F8" w:rsidRPr="00F83343" w:rsidRDefault="00593714">
      <w:pPr>
        <w:numPr>
          <w:ilvl w:val="0"/>
          <w:numId w:val="1"/>
        </w:numPr>
        <w:pBdr>
          <w:top w:val="nil"/>
          <w:left w:val="nil"/>
          <w:bottom w:val="nil"/>
          <w:right w:val="nil"/>
          <w:between w:val="nil"/>
        </w:pBdr>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b/>
          <w:bCs/>
          <w:i/>
          <w:iCs/>
          <w:sz w:val="22"/>
          <w:szCs w:val="22"/>
        </w:rPr>
        <w:t>Acto Impugnado:</w:t>
      </w:r>
      <w:r w:rsidRPr="00F83343">
        <w:rPr>
          <w:rFonts w:ascii="Palatino Linotype" w:eastAsia="Palatino Linotype" w:hAnsi="Palatino Linotype" w:cs="Palatino Linotype"/>
          <w:i/>
          <w:iCs/>
          <w:sz w:val="22"/>
          <w:szCs w:val="22"/>
        </w:rPr>
        <w:t xml:space="preserve"> “Informe todas las adjudicaciones directas realizadas en diciembre de 2025, señalando: proveedor, monto, concepto, justificación legal específica que motivó no licitar, servidor público responsable de la autorización. El sujeto obligado se niega a proporcionar la información solicitada, invocando el artículo 12 de la Ley de Transparencia y Acceso a la Información Pública del Estado de México, </w:t>
      </w:r>
      <w:r w:rsidRPr="00F83343">
        <w:rPr>
          <w:rFonts w:ascii="Palatino Linotype" w:eastAsia="Palatino Linotype" w:hAnsi="Palatino Linotype" w:cs="Palatino Linotype"/>
          <w:b/>
          <w:bCs/>
          <w:i/>
          <w:iCs/>
          <w:sz w:val="22"/>
          <w:szCs w:val="22"/>
          <w:u w:val="single"/>
        </w:rPr>
        <w:t>bajo el argumento de que únicamente está obligado a entregar información que obre en sus archivos</w:t>
      </w:r>
      <w:r w:rsidRPr="00F83343">
        <w:rPr>
          <w:rFonts w:ascii="Palatino Linotype" w:eastAsia="Palatino Linotype" w:hAnsi="Palatino Linotype" w:cs="Palatino Linotype"/>
          <w:i/>
          <w:iCs/>
          <w:sz w:val="22"/>
          <w:szCs w:val="22"/>
        </w:rPr>
        <w:t>.” (Sic.)</w:t>
      </w:r>
    </w:p>
    <w:p w14:paraId="5B162FF0" w14:textId="77777777" w:rsidR="007664F8" w:rsidRPr="00F83343" w:rsidRDefault="007664F8">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14:paraId="7D39F0FC" w14:textId="77777777" w:rsidR="007664F8" w:rsidRPr="00F83343" w:rsidRDefault="00593714">
      <w:pPr>
        <w:numPr>
          <w:ilvl w:val="0"/>
          <w:numId w:val="1"/>
        </w:numPr>
        <w:pBdr>
          <w:top w:val="nil"/>
          <w:left w:val="nil"/>
          <w:bottom w:val="nil"/>
          <w:right w:val="nil"/>
          <w:between w:val="nil"/>
        </w:pBdr>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Motivo de inconformidad:</w:t>
      </w:r>
      <w:r w:rsidRPr="00F83343">
        <w:rPr>
          <w:rFonts w:ascii="Palatino Linotype" w:eastAsia="Palatino Linotype" w:hAnsi="Palatino Linotype" w:cs="Palatino Linotype"/>
          <w:sz w:val="22"/>
          <w:szCs w:val="22"/>
        </w:rPr>
        <w:t xml:space="preserve"> “</w:t>
      </w:r>
      <w:r w:rsidRPr="00F83343">
        <w:rPr>
          <w:rFonts w:ascii="Palatino Linotype" w:eastAsia="Palatino Linotype" w:hAnsi="Palatino Linotype" w:cs="Palatino Linotype"/>
          <w:i/>
          <w:iCs/>
          <w:sz w:val="22"/>
          <w:szCs w:val="22"/>
        </w:rPr>
        <w:t xml:space="preserve">Agravios PRIMERO. Uso ilegal y desviado del artículo 12 El artículo 12 no constituye una causal de reserva, confidencialidad ni negativa. Su finalidad es delimitar que los sujetos obligados entreguen información existente, no permitir ocultar información que legalmente debe documentarse. Las adjudicaciones directas: son procedimientos administrativos formales; generan contratos, pedidos, órdenes de compra y oficios de autorización; deben contar obligatoriamente con justificación legal expresa; no pueden existir sin documentación previa y posterior. Por tanto, invocar el artículo 12 para negar su entrega constituye una aplicación indebida y evasiva de la ley. SEGUNDO. Las adjudicaciones directas son información pública obligatoria La información solicitada se relaciona directamente con: ejercicio del gasto público, contratación pública, excepciones al procedimiento de licitación, responsabilidades administrativas. Dicha información: es pública por regla general; no fue clasificada como reservada; no se acompañó de prueba de daño; no se fundamentó en causal legal alguna. Negarla implica ocultar deliberadamente el ejercicio de recursos públicos, lo cual contraviene el principio de máxima publicidad. TERCERO. Inexistencia implícita jurídicamente imposible Si el Ayuntamiento sostiene que la información no obra en sus archivos, incurre en una contradicción legal, ya que: no puede existir una adjudicación directa sin: proveedor identificado, monto determinado, concepto del gasto, justificación legal, servidor público que autoriza. Negar la información equivale a aceptar implícitamente que: se ejercieron recursos públicos sin soporte documental, o se pretende ocultar deliberadamente la información. </w:t>
      </w:r>
      <w:r w:rsidRPr="00F83343">
        <w:rPr>
          <w:rFonts w:ascii="Palatino Linotype" w:eastAsia="Palatino Linotype" w:hAnsi="Palatino Linotype" w:cs="Palatino Linotype"/>
          <w:i/>
          <w:iCs/>
          <w:sz w:val="22"/>
          <w:szCs w:val="22"/>
        </w:rPr>
        <w:lastRenderedPageBreak/>
        <w:t>Ambos supuestos son ilegales. CUARTO. Falta de búsqueda exhaustiva El sujeto obligado no acreditó haber realizado una búsqueda exhaustiva en las áreas competentes, entre ellas: Tesorería Municipal, Dirección de Administración y Finanzas, Área de Adquisiciones, Presidencia Municipal, Contraloría Interna. La simple invocación del artículo 12 no sustituye la obligación de búsqueda, lo que constituye una violación directa al procedimiento de acceso a la información. QUINTO. Interés público reforzado Las adjudicaciones directas constituyen excepciones al principio de licitación pública, por lo que su publicidad es de interés público reforzado. La negativa: impide verificar la legalidad del gasto, obstaculiza la fiscalización ciudadana, favorece la opacidad en contrataciones públicas. Este tipo de información ha sido reiteradamente ordenada por los órganos garantes. SEXTO. Patrón reiterado de evasión La respuesta impugnada forma parte de un patrón sistemático de respuestas evasivas, en el que el Ayuntamiento: usa el artículo 12 como excusa general, evita pronunciarse sobre información financiera, omite clasificar, fundar o motivar adecuadamente. Este comportamiento vulnera de manera reiterada el derecho de acceso a la información. Petición concreta Solicito al INFOEM: Revoque la respuesta emitida por el Ayuntamiento de Tepotzotlán. Ordene al sujeto obligado: informar el listado completo de adjudicaciones directas realizadas en diciembre de 2025; señalar proveedor, monto, concepto, justificación legal específica y servidor público responsable. Ordene la entrega de: contratos, pedidos, órdenes de compra, oficios de autorización, o versiones públicas debidamente fundadas. En caso de inexistencia, ordenar la emisión de una resolución formal, debidamente fundada y motivada, previa búsqueda exhaustiva. Se dé vista al área de control interno por el uso indebido de causales legales.</w:t>
      </w:r>
      <w:r w:rsidRPr="00F83343">
        <w:rPr>
          <w:rFonts w:ascii="Palatino Linotype" w:eastAsia="Palatino Linotype" w:hAnsi="Palatino Linotype" w:cs="Palatino Linotype"/>
          <w:sz w:val="22"/>
          <w:szCs w:val="22"/>
        </w:rPr>
        <w:t>” (Sic.)</w:t>
      </w:r>
    </w:p>
    <w:p w14:paraId="32DEFBD8" w14:textId="77777777" w:rsidR="007664F8" w:rsidRPr="00F83343" w:rsidRDefault="007664F8">
      <w:pPr>
        <w:pBdr>
          <w:top w:val="nil"/>
          <w:left w:val="nil"/>
          <w:bottom w:val="nil"/>
          <w:right w:val="nil"/>
          <w:between w:val="nil"/>
        </w:pBdr>
        <w:ind w:left="720"/>
        <w:rPr>
          <w:rFonts w:ascii="Palatino Linotype" w:eastAsia="Palatino Linotype" w:hAnsi="Palatino Linotype" w:cs="Palatino Linotype"/>
          <w:i/>
          <w:iCs/>
          <w:sz w:val="22"/>
          <w:szCs w:val="22"/>
        </w:rPr>
      </w:pPr>
    </w:p>
    <w:p w14:paraId="2F705088" w14:textId="77777777" w:rsidR="007664F8" w:rsidRPr="00F83343" w:rsidRDefault="007664F8">
      <w:pPr>
        <w:pBdr>
          <w:top w:val="nil"/>
          <w:left w:val="nil"/>
          <w:bottom w:val="nil"/>
          <w:right w:val="nil"/>
          <w:between w:val="nil"/>
        </w:pBdr>
        <w:ind w:left="720"/>
        <w:rPr>
          <w:rFonts w:ascii="Palatino Linotype" w:eastAsia="Palatino Linotype" w:hAnsi="Palatino Linotype" w:cs="Palatino Linotype"/>
          <w:i/>
          <w:iCs/>
          <w:sz w:val="22"/>
          <w:szCs w:val="22"/>
        </w:rPr>
      </w:pPr>
    </w:p>
    <w:p w14:paraId="02CE3AB1"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 xml:space="preserve">4. Turno. </w:t>
      </w:r>
      <w:r w:rsidRPr="00F8334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F83343">
        <w:rPr>
          <w:rFonts w:ascii="Palatino Linotype" w:eastAsia="Palatino Linotype" w:hAnsi="Palatino Linotype" w:cs="Palatino Linotype"/>
          <w:b/>
          <w:bCs/>
          <w:sz w:val="22"/>
          <w:szCs w:val="22"/>
        </w:rPr>
        <w:t>00989/INFOEM/IP/RR/2026</w:t>
      </w:r>
      <w:r w:rsidRPr="00F83343">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F83343">
        <w:rPr>
          <w:rFonts w:ascii="Palatino Linotype" w:eastAsia="Palatino Linotype" w:hAnsi="Palatino Linotype" w:cs="Palatino Linotype"/>
          <w:b/>
          <w:bCs/>
          <w:sz w:val="22"/>
          <w:szCs w:val="22"/>
        </w:rPr>
        <w:t>Guadalupe Ramírez Peña</w:t>
      </w:r>
      <w:r w:rsidRPr="00F83343">
        <w:rPr>
          <w:rFonts w:ascii="Palatino Linotype" w:eastAsia="Palatino Linotype" w:hAnsi="Palatino Linotype" w:cs="Palatino Linotype"/>
          <w:sz w:val="22"/>
          <w:szCs w:val="22"/>
        </w:rPr>
        <w:t>, para su análisis, estudio, elaboración del proyecto y presentación ante el Pleno de este Instituto.</w:t>
      </w:r>
    </w:p>
    <w:p w14:paraId="3CAE3E24"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0392BA82" w14:textId="77777777" w:rsidR="007664F8" w:rsidRPr="00F83343" w:rsidRDefault="00593714">
      <w:pPr>
        <w:spacing w:line="360" w:lineRule="auto"/>
        <w:jc w:val="both"/>
        <w:rPr>
          <w:rFonts w:ascii="Palatino Linotype" w:eastAsia="Palatino Linotype" w:hAnsi="Palatino Linotype" w:cs="Palatino Linotype"/>
          <w:b/>
          <w:bCs/>
          <w:sz w:val="22"/>
          <w:szCs w:val="22"/>
        </w:rPr>
      </w:pPr>
      <w:r w:rsidRPr="00F83343">
        <w:rPr>
          <w:rFonts w:ascii="Palatino Linotype" w:eastAsia="Palatino Linotype" w:hAnsi="Palatino Linotype" w:cs="Palatino Linotype"/>
          <w:b/>
          <w:bCs/>
          <w:sz w:val="22"/>
          <w:szCs w:val="22"/>
        </w:rPr>
        <w:t xml:space="preserve">5. Admisión. </w:t>
      </w:r>
      <w:r w:rsidRPr="00F83343">
        <w:rPr>
          <w:rFonts w:ascii="Palatino Linotype" w:eastAsia="Palatino Linotype" w:hAnsi="Palatino Linotype" w:cs="Palatino Linotype"/>
          <w:sz w:val="22"/>
          <w:szCs w:val="22"/>
        </w:rPr>
        <w:t xml:space="preserve">El </w:t>
      </w:r>
      <w:r w:rsidRPr="00F83343">
        <w:rPr>
          <w:rFonts w:ascii="Palatino Linotype" w:eastAsia="Palatino Linotype" w:hAnsi="Palatino Linotype" w:cs="Palatino Linotype"/>
          <w:b/>
          <w:bCs/>
          <w:sz w:val="22"/>
          <w:szCs w:val="22"/>
        </w:rPr>
        <w:t>veintiocho de enero de dos mil veintiséis</w:t>
      </w:r>
      <w:r w:rsidRPr="00F83343">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F83343">
        <w:rPr>
          <w:rFonts w:ascii="Palatino Linotype" w:eastAsia="Palatino Linotype" w:hAnsi="Palatino Linotype" w:cs="Palatino Linotype"/>
          <w:b/>
          <w:bCs/>
          <w:sz w:val="22"/>
          <w:szCs w:val="22"/>
        </w:rPr>
        <w:t xml:space="preserve">. </w:t>
      </w:r>
    </w:p>
    <w:p w14:paraId="2F09C606" w14:textId="77777777" w:rsidR="007664F8" w:rsidRPr="00F83343" w:rsidRDefault="007664F8">
      <w:pPr>
        <w:spacing w:line="360" w:lineRule="auto"/>
        <w:jc w:val="both"/>
        <w:rPr>
          <w:rFonts w:ascii="Palatino Linotype" w:eastAsia="Palatino Linotype" w:hAnsi="Palatino Linotype" w:cs="Palatino Linotype"/>
          <w:b/>
          <w:bCs/>
          <w:sz w:val="22"/>
          <w:szCs w:val="22"/>
        </w:rPr>
      </w:pPr>
    </w:p>
    <w:p w14:paraId="24FEA1E2"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6. Manifestaciones.</w:t>
      </w:r>
      <w:r w:rsidRPr="00F83343">
        <w:rPr>
          <w:rFonts w:ascii="Palatino Linotype" w:eastAsia="Palatino Linotype" w:hAnsi="Palatino Linotype" w:cs="Palatino Linotype"/>
          <w:sz w:val="22"/>
          <w:szCs w:val="22"/>
        </w:rPr>
        <w:t xml:space="preserve"> De las constancias que obran en el expediente electrónico del SAIMEX, se advierte que, tanto el Sujeto Obligado como el Recurrente fueron omisos en realizar manifestaciones; se inserta imagen de referencia:</w:t>
      </w:r>
    </w:p>
    <w:p w14:paraId="57951C70"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0E70DD84"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noProof/>
          <w:sz w:val="22"/>
          <w:szCs w:val="22"/>
        </w:rPr>
        <w:drawing>
          <wp:inline distT="0" distB="0" distL="0" distR="0" wp14:anchorId="471119BA" wp14:editId="7614BF6C">
            <wp:extent cx="5756275" cy="1702435"/>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56275" cy="1702435"/>
                    </a:xfrm>
                    <a:prstGeom prst="rect">
                      <a:avLst/>
                    </a:prstGeom>
                    <a:ln/>
                  </pic:spPr>
                </pic:pic>
              </a:graphicData>
            </a:graphic>
          </wp:inline>
        </w:drawing>
      </w:r>
    </w:p>
    <w:p w14:paraId="1AEEC8DA"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559C1A00" w14:textId="77777777" w:rsidR="007664F8" w:rsidRPr="00F83343" w:rsidRDefault="005937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7. Cierre de instrucción</w:t>
      </w:r>
      <w:r w:rsidRPr="00F83343">
        <w:rPr>
          <w:rFonts w:ascii="Palatino Linotype" w:eastAsia="Palatino Linotype" w:hAnsi="Palatino Linotype" w:cs="Palatino Linotype"/>
          <w:sz w:val="22"/>
          <w:szCs w:val="22"/>
        </w:rPr>
        <w:t xml:space="preserve">. En fecha </w:t>
      </w:r>
      <w:r w:rsidRPr="00F83343">
        <w:rPr>
          <w:rFonts w:ascii="Palatino Linotype" w:eastAsia="Palatino Linotype" w:hAnsi="Palatino Linotype" w:cs="Palatino Linotype"/>
          <w:b/>
          <w:bCs/>
          <w:sz w:val="22"/>
          <w:szCs w:val="22"/>
        </w:rPr>
        <w:t>cuatro</w:t>
      </w:r>
      <w:r w:rsidRPr="00F83343">
        <w:rPr>
          <w:rFonts w:ascii="Palatino Linotype" w:eastAsia="Palatino Linotype" w:hAnsi="Palatino Linotype" w:cs="Palatino Linotype"/>
          <w:sz w:val="22"/>
          <w:szCs w:val="22"/>
        </w:rPr>
        <w:t xml:space="preserve"> </w:t>
      </w:r>
      <w:r w:rsidRPr="00F83343">
        <w:rPr>
          <w:rFonts w:ascii="Palatino Linotype" w:eastAsia="Palatino Linotype" w:hAnsi="Palatino Linotype" w:cs="Palatino Linotype"/>
          <w:b/>
          <w:bCs/>
          <w:sz w:val="22"/>
          <w:szCs w:val="22"/>
        </w:rPr>
        <w:t>de marzo de dos mil veintiséis</w:t>
      </w:r>
      <w:r w:rsidRPr="00F8334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09E64CA" w14:textId="77777777" w:rsidR="007664F8" w:rsidRPr="00F83343" w:rsidRDefault="007664F8">
      <w:pPr>
        <w:spacing w:line="360" w:lineRule="auto"/>
        <w:ind w:right="49"/>
        <w:jc w:val="both"/>
        <w:rPr>
          <w:rFonts w:ascii="Palatino Linotype" w:eastAsia="Palatino Linotype" w:hAnsi="Palatino Linotype" w:cs="Palatino Linotype"/>
          <w:sz w:val="22"/>
          <w:szCs w:val="22"/>
        </w:rPr>
      </w:pPr>
    </w:p>
    <w:p w14:paraId="378D7DB6" w14:textId="77777777" w:rsidR="007664F8" w:rsidRPr="00F83343" w:rsidRDefault="00593714">
      <w:pPr>
        <w:spacing w:line="360" w:lineRule="auto"/>
        <w:ind w:right="49"/>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Debido a que fue debidamente sustanciado </w:t>
      </w:r>
      <w:r w:rsidRPr="00F83343">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14:paraId="4A1C9146" w14:textId="77777777" w:rsidR="007664F8" w:rsidRPr="00F83343" w:rsidRDefault="007664F8">
      <w:pPr>
        <w:spacing w:line="360" w:lineRule="auto"/>
        <w:ind w:right="49"/>
        <w:jc w:val="both"/>
        <w:rPr>
          <w:rFonts w:ascii="Palatino Linotype" w:eastAsia="Palatino Linotype" w:hAnsi="Palatino Linotype" w:cs="Palatino Linotype"/>
          <w:sz w:val="22"/>
          <w:szCs w:val="22"/>
        </w:rPr>
      </w:pPr>
    </w:p>
    <w:p w14:paraId="44FE0252" w14:textId="77777777" w:rsidR="007664F8" w:rsidRPr="00F83343" w:rsidRDefault="00593714">
      <w:pPr>
        <w:spacing w:line="360" w:lineRule="auto"/>
        <w:ind w:left="720" w:right="49" w:hanging="720"/>
        <w:jc w:val="center"/>
        <w:rPr>
          <w:rFonts w:ascii="Palatino Linotype" w:eastAsia="Palatino Linotype" w:hAnsi="Palatino Linotype" w:cs="Palatino Linotype"/>
          <w:b/>
          <w:bCs/>
          <w:sz w:val="22"/>
          <w:szCs w:val="22"/>
        </w:rPr>
      </w:pPr>
      <w:r w:rsidRPr="00F83343">
        <w:rPr>
          <w:rFonts w:ascii="Palatino Linotype" w:eastAsia="Palatino Linotype" w:hAnsi="Palatino Linotype" w:cs="Palatino Linotype"/>
          <w:b/>
          <w:bCs/>
          <w:sz w:val="22"/>
          <w:szCs w:val="22"/>
        </w:rPr>
        <w:t>II.</w:t>
      </w:r>
      <w:r w:rsidRPr="00F83343">
        <w:rPr>
          <w:rFonts w:ascii="Palatino Linotype" w:eastAsia="Palatino Linotype" w:hAnsi="Palatino Linotype" w:cs="Palatino Linotype"/>
          <w:b/>
          <w:bCs/>
          <w:sz w:val="22"/>
          <w:szCs w:val="22"/>
        </w:rPr>
        <w:tab/>
        <w:t xml:space="preserve">C O N S I D E R A N D O: </w:t>
      </w:r>
    </w:p>
    <w:p w14:paraId="5FABE019" w14:textId="77777777" w:rsidR="007664F8" w:rsidRPr="00F83343" w:rsidRDefault="007664F8">
      <w:pPr>
        <w:spacing w:line="360" w:lineRule="auto"/>
        <w:ind w:right="49"/>
        <w:jc w:val="both"/>
        <w:rPr>
          <w:rFonts w:ascii="Palatino Linotype" w:eastAsia="Palatino Linotype" w:hAnsi="Palatino Linotype" w:cs="Palatino Linotype"/>
          <w:sz w:val="22"/>
          <w:szCs w:val="22"/>
        </w:rPr>
      </w:pPr>
    </w:p>
    <w:p w14:paraId="5FC116E4"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Primero. Competencia.</w:t>
      </w:r>
      <w:r w:rsidRPr="00F8334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D9813AE" w14:textId="77777777" w:rsidR="007664F8" w:rsidRPr="00F83343" w:rsidRDefault="00593714">
      <w:pP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 xml:space="preserve">Segundo. Oportunidad y Procedibilidad del Recurso de Revisión. </w:t>
      </w:r>
      <w:r w:rsidRPr="00F83343">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E37AE70" w14:textId="77777777" w:rsidR="007664F8" w:rsidRPr="00F83343" w:rsidRDefault="00593714">
      <w:pP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592BC951" w14:textId="77777777" w:rsidR="007664F8" w:rsidRPr="00F83343" w:rsidRDefault="00593714">
      <w:pPr>
        <w:spacing w:line="360" w:lineRule="auto"/>
        <w:ind w:left="851" w:right="900"/>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b/>
          <w:bCs/>
          <w:i/>
          <w:iCs/>
          <w:sz w:val="22"/>
          <w:szCs w:val="22"/>
        </w:rPr>
        <w:t xml:space="preserve">“Artículo 178. </w:t>
      </w:r>
      <w:r w:rsidRPr="00F83343">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FD6FEF7" w14:textId="77777777" w:rsidR="007664F8" w:rsidRPr="00F83343" w:rsidRDefault="00593714">
      <w:pPr>
        <w:spacing w:before="240" w:after="240" w:line="360" w:lineRule="auto"/>
        <w:ind w:right="49"/>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F83343">
        <w:rPr>
          <w:rFonts w:ascii="Palatino Linotype" w:eastAsia="Palatino Linotype" w:hAnsi="Palatino Linotype" w:cs="Palatino Linotype"/>
          <w:b/>
          <w:bCs/>
          <w:sz w:val="22"/>
          <w:szCs w:val="22"/>
        </w:rPr>
        <w:t>SUJETO OBLIGADO</w:t>
      </w:r>
      <w:r w:rsidRPr="00F83343">
        <w:rPr>
          <w:rFonts w:ascii="Palatino Linotype" w:eastAsia="Palatino Linotype" w:hAnsi="Palatino Linotype" w:cs="Palatino Linotype"/>
          <w:sz w:val="22"/>
          <w:szCs w:val="22"/>
        </w:rPr>
        <w:t xml:space="preserve"> remitió la respuesta a la solicitud de información el día </w:t>
      </w:r>
      <w:r w:rsidRPr="00F83343">
        <w:rPr>
          <w:rFonts w:ascii="Palatino Linotype" w:eastAsia="Palatino Linotype" w:hAnsi="Palatino Linotype" w:cs="Palatino Linotype"/>
          <w:b/>
          <w:bCs/>
          <w:sz w:val="22"/>
          <w:szCs w:val="22"/>
        </w:rPr>
        <w:t xml:space="preserve">diecinueve de enero de dos mil veintiséis, </w:t>
      </w:r>
      <w:r w:rsidRPr="00F83343">
        <w:rPr>
          <w:rFonts w:ascii="Palatino Linotype" w:eastAsia="Palatino Linotype" w:hAnsi="Palatino Linotype" w:cs="Palatino Linotype"/>
          <w:sz w:val="22"/>
          <w:szCs w:val="22"/>
        </w:rPr>
        <w:t xml:space="preserve">mientras que el recurso de revisión interpuesto por la parte </w:t>
      </w:r>
      <w:r w:rsidRPr="00F83343">
        <w:rPr>
          <w:rFonts w:ascii="Palatino Linotype" w:eastAsia="Palatino Linotype" w:hAnsi="Palatino Linotype" w:cs="Palatino Linotype"/>
          <w:b/>
          <w:bCs/>
          <w:sz w:val="22"/>
          <w:szCs w:val="22"/>
        </w:rPr>
        <w:t>RECURRENTE</w:t>
      </w:r>
      <w:r w:rsidRPr="00F83343">
        <w:rPr>
          <w:rFonts w:ascii="Palatino Linotype" w:eastAsia="Palatino Linotype" w:hAnsi="Palatino Linotype" w:cs="Palatino Linotype"/>
          <w:sz w:val="22"/>
          <w:szCs w:val="22"/>
        </w:rPr>
        <w:t xml:space="preserve">, se tuvo por presentado el </w:t>
      </w:r>
      <w:r w:rsidRPr="00F83343">
        <w:rPr>
          <w:rFonts w:ascii="Palatino Linotype" w:eastAsia="Palatino Linotype" w:hAnsi="Palatino Linotype" w:cs="Palatino Linotype"/>
          <w:b/>
          <w:bCs/>
          <w:sz w:val="22"/>
          <w:szCs w:val="22"/>
        </w:rPr>
        <w:t>veintitrés de enero del año dos mil veintiséis</w:t>
      </w:r>
      <w:r w:rsidRPr="00F83343">
        <w:rPr>
          <w:rFonts w:ascii="Palatino Linotype" w:eastAsia="Palatino Linotype" w:hAnsi="Palatino Linotype" w:cs="Palatino Linotype"/>
          <w:sz w:val="22"/>
          <w:szCs w:val="22"/>
        </w:rPr>
        <w:t xml:space="preserve">; esto es, al </w:t>
      </w:r>
      <w:r w:rsidRPr="00F83343">
        <w:rPr>
          <w:rFonts w:ascii="Palatino Linotype" w:eastAsia="Palatino Linotype" w:hAnsi="Palatino Linotype" w:cs="Palatino Linotype"/>
          <w:b/>
          <w:bCs/>
          <w:sz w:val="22"/>
          <w:szCs w:val="22"/>
        </w:rPr>
        <w:t xml:space="preserve">cuarto día hábil </w:t>
      </w:r>
      <w:r w:rsidRPr="00F83343">
        <w:rPr>
          <w:rFonts w:ascii="Palatino Linotype" w:eastAsia="Palatino Linotype" w:hAnsi="Palatino Linotype" w:cs="Palatino Linotype"/>
          <w:sz w:val="22"/>
          <w:szCs w:val="22"/>
        </w:rPr>
        <w:t>siguiente al que se tuvo conocimiento de la respuesta respectivamente.</w:t>
      </w:r>
    </w:p>
    <w:p w14:paraId="76004210" w14:textId="77777777" w:rsidR="007664F8" w:rsidRPr="00F83343" w:rsidRDefault="00593714">
      <w:pPr>
        <w:spacing w:before="240" w:after="240" w:line="360" w:lineRule="auto"/>
        <w:ind w:right="49"/>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2F3553B" w14:textId="77777777" w:rsidR="007664F8" w:rsidRPr="00F83343" w:rsidRDefault="00593714">
      <w:pP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4C195DD3" w14:textId="77777777" w:rsidR="007664F8" w:rsidRPr="00F83343" w:rsidRDefault="00593714">
      <w:pPr>
        <w:spacing w:line="360" w:lineRule="auto"/>
        <w:ind w:left="851" w:right="1041"/>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w:t>
      </w:r>
      <w:r w:rsidRPr="00F83343">
        <w:rPr>
          <w:rFonts w:ascii="Palatino Linotype" w:eastAsia="Palatino Linotype" w:hAnsi="Palatino Linotype" w:cs="Palatino Linotype"/>
          <w:b/>
          <w:bCs/>
          <w:i/>
          <w:iCs/>
          <w:sz w:val="22"/>
          <w:szCs w:val="22"/>
        </w:rPr>
        <w:t xml:space="preserve">Artículo 179. </w:t>
      </w:r>
      <w:r w:rsidRPr="00F83343">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043133A3" w14:textId="77777777" w:rsidR="007664F8" w:rsidRPr="00F83343" w:rsidRDefault="00593714">
      <w:pPr>
        <w:spacing w:line="360" w:lineRule="auto"/>
        <w:ind w:left="851" w:right="1041"/>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I. La negativa de la información solicitada</w:t>
      </w:r>
    </w:p>
    <w:p w14:paraId="6E969F5F" w14:textId="77777777" w:rsidR="007664F8" w:rsidRPr="00F83343" w:rsidRDefault="00593714">
      <w:pPr>
        <w:spacing w:line="360" w:lineRule="auto"/>
        <w:ind w:left="851" w:right="1041"/>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w:t>
      </w:r>
    </w:p>
    <w:p w14:paraId="236CF154" w14:textId="77777777" w:rsidR="007664F8" w:rsidRPr="00F83343" w:rsidRDefault="00593714">
      <w:pP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 xml:space="preserve">Tercero. Materia de la revisión. </w:t>
      </w:r>
      <w:r w:rsidRPr="00F83343">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F83343">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F83343">
        <w:rPr>
          <w:rFonts w:ascii="Palatino Linotype" w:eastAsia="Palatino Linotype" w:hAnsi="Palatino Linotype" w:cs="Palatino Linotype"/>
          <w:sz w:val="22"/>
          <w:szCs w:val="22"/>
        </w:rPr>
        <w:t xml:space="preserve">de la parte </w:t>
      </w:r>
      <w:r w:rsidRPr="00F83343">
        <w:rPr>
          <w:rFonts w:ascii="Palatino Linotype" w:eastAsia="Palatino Linotype" w:hAnsi="Palatino Linotype" w:cs="Palatino Linotype"/>
          <w:b/>
          <w:bCs/>
          <w:sz w:val="22"/>
          <w:szCs w:val="22"/>
        </w:rPr>
        <w:t>Recurrente</w:t>
      </w:r>
      <w:r w:rsidRPr="00F83343">
        <w:rPr>
          <w:rFonts w:ascii="Palatino Linotype" w:eastAsia="Palatino Linotype" w:hAnsi="Palatino Linotype" w:cs="Palatino Linotype"/>
          <w:sz w:val="22"/>
          <w:szCs w:val="22"/>
        </w:rPr>
        <w:t>, o en su defecto, en caso de ser procedente, ordenar la entrega de información.</w:t>
      </w:r>
    </w:p>
    <w:p w14:paraId="2572FA0F"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 xml:space="preserve">Cuarto. Estudio del asunto. </w:t>
      </w:r>
      <w:r w:rsidRPr="00F83343">
        <w:rPr>
          <w:rFonts w:ascii="Palatino Linotype" w:eastAsia="Palatino Linotype" w:hAnsi="Palatino Linotype" w:cs="Palatino Linotype"/>
          <w:sz w:val="22"/>
          <w:szCs w:val="22"/>
        </w:rPr>
        <w:t xml:space="preserve">En principio, es conveniente analizar si la respuesta del </w:t>
      </w:r>
      <w:r w:rsidRPr="00F83343">
        <w:rPr>
          <w:rFonts w:ascii="Palatino Linotype" w:eastAsia="Palatino Linotype" w:hAnsi="Palatino Linotype" w:cs="Palatino Linotype"/>
          <w:b/>
          <w:bCs/>
          <w:sz w:val="22"/>
          <w:szCs w:val="22"/>
        </w:rPr>
        <w:t>SUJETO OBLIGADO</w:t>
      </w:r>
      <w:r w:rsidRPr="00F83343">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6EFE36C"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7BF47521" w14:textId="77777777" w:rsidR="007664F8" w:rsidRPr="00F83343" w:rsidRDefault="00593714">
      <w:pPr>
        <w:spacing w:line="276"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w:t>
      </w:r>
      <w:r w:rsidRPr="00F83343">
        <w:rPr>
          <w:rFonts w:ascii="Palatino Linotype" w:eastAsia="Palatino Linotype" w:hAnsi="Palatino Linotype" w:cs="Palatino Linotype"/>
          <w:b/>
          <w:bCs/>
          <w:i/>
          <w:iCs/>
          <w:sz w:val="22"/>
          <w:szCs w:val="22"/>
        </w:rPr>
        <w:t>Artículo 4</w:t>
      </w:r>
      <w:r w:rsidRPr="00F83343">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C3E7D74" w14:textId="77777777" w:rsidR="007664F8" w:rsidRPr="00F83343" w:rsidRDefault="00593714">
      <w:pPr>
        <w:spacing w:line="276"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F83343">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45FBEC2" w14:textId="77777777" w:rsidR="007664F8" w:rsidRPr="00F83343" w:rsidRDefault="00593714">
      <w:pPr>
        <w:spacing w:line="276"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F83343">
        <w:rPr>
          <w:rFonts w:ascii="Palatino Linotype" w:eastAsia="Palatino Linotype" w:hAnsi="Palatino Linotype" w:cs="Palatino Linotype"/>
          <w:i/>
          <w:iCs/>
          <w:sz w:val="22"/>
          <w:szCs w:val="22"/>
        </w:rPr>
        <w:t>.”</w:t>
      </w:r>
    </w:p>
    <w:p w14:paraId="5825D671" w14:textId="77777777" w:rsidR="007664F8" w:rsidRPr="00F83343" w:rsidRDefault="007664F8">
      <w:pPr>
        <w:spacing w:line="276" w:lineRule="auto"/>
        <w:jc w:val="both"/>
        <w:rPr>
          <w:rFonts w:ascii="Palatino Linotype" w:eastAsia="Palatino Linotype" w:hAnsi="Palatino Linotype" w:cs="Palatino Linotype"/>
          <w:sz w:val="22"/>
          <w:szCs w:val="22"/>
        </w:rPr>
      </w:pPr>
    </w:p>
    <w:p w14:paraId="3EA08F35"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0A2BC25"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6E18B3C0" w14:textId="77777777" w:rsidR="007664F8" w:rsidRPr="00F83343" w:rsidRDefault="00593714">
      <w:pPr>
        <w:spacing w:line="276"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b/>
          <w:bCs/>
          <w:i/>
          <w:iCs/>
          <w:sz w:val="22"/>
          <w:szCs w:val="22"/>
        </w:rPr>
        <w:t>“Artículo 12.-</w:t>
      </w:r>
      <w:r w:rsidRPr="00F83343">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44B4C48F" w14:textId="77777777" w:rsidR="007664F8" w:rsidRPr="00F83343" w:rsidRDefault="007664F8">
      <w:pPr>
        <w:spacing w:line="276" w:lineRule="auto"/>
        <w:ind w:left="567" w:right="616"/>
        <w:jc w:val="both"/>
        <w:rPr>
          <w:rFonts w:ascii="Palatino Linotype" w:eastAsia="Palatino Linotype" w:hAnsi="Palatino Linotype" w:cs="Palatino Linotype"/>
          <w:i/>
          <w:iCs/>
          <w:sz w:val="22"/>
          <w:szCs w:val="22"/>
        </w:rPr>
      </w:pPr>
    </w:p>
    <w:p w14:paraId="65E58CDF" w14:textId="77777777" w:rsidR="007664F8" w:rsidRPr="00F83343" w:rsidRDefault="00593714">
      <w:pPr>
        <w:spacing w:line="276"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F83343">
        <w:rPr>
          <w:rFonts w:ascii="Palatino Linotype" w:eastAsia="Palatino Linotype" w:hAnsi="Palatino Linotype" w:cs="Palatino Linotype"/>
          <w:i/>
          <w:iCs/>
          <w:sz w:val="22"/>
          <w:szCs w:val="22"/>
        </w:rPr>
        <w:t xml:space="preserve">. </w:t>
      </w:r>
      <w:r w:rsidRPr="00F83343">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25A2892" w14:textId="77777777" w:rsidR="007664F8" w:rsidRPr="00F83343" w:rsidRDefault="007664F8">
      <w:pPr>
        <w:spacing w:line="360" w:lineRule="auto"/>
        <w:ind w:right="-93"/>
        <w:jc w:val="both"/>
        <w:rPr>
          <w:rFonts w:ascii="Palatino Linotype" w:eastAsia="Palatino Linotype" w:hAnsi="Palatino Linotype" w:cs="Palatino Linotype"/>
          <w:sz w:val="22"/>
          <w:szCs w:val="22"/>
        </w:rPr>
      </w:pPr>
    </w:p>
    <w:p w14:paraId="47D32F8C" w14:textId="77777777" w:rsidR="007664F8" w:rsidRPr="00F83343" w:rsidRDefault="00593714">
      <w:pPr>
        <w:spacing w:line="360" w:lineRule="auto"/>
        <w:ind w:right="-93"/>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BD3E4C8" w14:textId="77777777" w:rsidR="007664F8" w:rsidRPr="00F83343" w:rsidRDefault="007664F8">
      <w:pPr>
        <w:spacing w:line="360" w:lineRule="auto"/>
        <w:ind w:right="-93"/>
        <w:jc w:val="both"/>
        <w:rPr>
          <w:rFonts w:ascii="Palatino Linotype" w:eastAsia="Palatino Linotype" w:hAnsi="Palatino Linotype" w:cs="Palatino Linotype"/>
          <w:sz w:val="22"/>
          <w:szCs w:val="22"/>
        </w:rPr>
      </w:pPr>
    </w:p>
    <w:p w14:paraId="5AFC74BE" w14:textId="77777777" w:rsidR="007664F8" w:rsidRPr="00F83343" w:rsidRDefault="00593714">
      <w:pPr>
        <w:spacing w:line="360" w:lineRule="auto"/>
        <w:ind w:right="-93"/>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F83343">
        <w:rPr>
          <w:rFonts w:ascii="Palatino Linotype" w:eastAsia="Palatino Linotype" w:hAnsi="Palatino Linotype" w:cs="Palatino Linotype"/>
          <w:b/>
          <w:bCs/>
          <w:sz w:val="22"/>
          <w:szCs w:val="22"/>
        </w:rPr>
        <w:t xml:space="preserve"> </w:t>
      </w:r>
    </w:p>
    <w:p w14:paraId="22177DAF" w14:textId="77777777" w:rsidR="007664F8" w:rsidRPr="00F83343" w:rsidRDefault="007664F8">
      <w:pPr>
        <w:spacing w:line="360" w:lineRule="auto"/>
        <w:jc w:val="both"/>
        <w:rPr>
          <w:rFonts w:ascii="Palatino Linotype" w:eastAsia="Palatino Linotype" w:hAnsi="Palatino Linotype" w:cs="Palatino Linotype"/>
          <w:b/>
          <w:bCs/>
          <w:sz w:val="22"/>
          <w:szCs w:val="22"/>
        </w:rPr>
      </w:pPr>
    </w:p>
    <w:p w14:paraId="7A3D622F" w14:textId="77777777" w:rsidR="007664F8" w:rsidRPr="00F83343" w:rsidRDefault="00593714">
      <w:pPr>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w:t>
      </w:r>
      <w:r w:rsidRPr="00F83343">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F83343">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FECAD72" w14:textId="77777777" w:rsidR="007664F8" w:rsidRPr="00F83343" w:rsidRDefault="007664F8">
      <w:pPr>
        <w:spacing w:line="360" w:lineRule="auto"/>
        <w:ind w:right="-93"/>
        <w:jc w:val="both"/>
        <w:rPr>
          <w:rFonts w:ascii="Palatino Linotype" w:eastAsia="Palatino Linotype" w:hAnsi="Palatino Linotype" w:cs="Palatino Linotype"/>
          <w:sz w:val="22"/>
          <w:szCs w:val="22"/>
        </w:rPr>
      </w:pPr>
    </w:p>
    <w:p w14:paraId="55C6B85E"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39BD2B4"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4BEF1417" w14:textId="77777777" w:rsidR="007664F8" w:rsidRPr="00F83343" w:rsidRDefault="00593714">
      <w:pPr>
        <w:spacing w:line="360" w:lineRule="auto"/>
        <w:ind w:right="49"/>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DE281E2" w14:textId="77777777" w:rsidR="007664F8" w:rsidRPr="00F83343" w:rsidRDefault="007664F8">
      <w:pPr>
        <w:spacing w:line="360" w:lineRule="auto"/>
        <w:ind w:right="49"/>
        <w:jc w:val="both"/>
        <w:rPr>
          <w:rFonts w:ascii="Palatino Linotype" w:eastAsia="Palatino Linotype" w:hAnsi="Palatino Linotype" w:cs="Palatino Linotype"/>
          <w:sz w:val="22"/>
          <w:szCs w:val="22"/>
        </w:rPr>
      </w:pPr>
    </w:p>
    <w:p w14:paraId="659D9889"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9F1AD03" w14:textId="77777777" w:rsidR="007664F8" w:rsidRPr="00F83343" w:rsidRDefault="007664F8">
      <w:pPr>
        <w:spacing w:line="360" w:lineRule="auto"/>
        <w:ind w:left="567" w:right="616"/>
        <w:jc w:val="both"/>
        <w:rPr>
          <w:rFonts w:ascii="Palatino Linotype" w:eastAsia="Palatino Linotype" w:hAnsi="Palatino Linotype" w:cs="Palatino Linotype"/>
          <w:i/>
          <w:iCs/>
          <w:sz w:val="22"/>
          <w:szCs w:val="22"/>
        </w:rPr>
      </w:pPr>
    </w:p>
    <w:p w14:paraId="778745D8" w14:textId="77777777" w:rsidR="007664F8" w:rsidRPr="00F83343" w:rsidRDefault="00593714">
      <w:pPr>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w:t>
      </w:r>
      <w:r w:rsidRPr="00F83343">
        <w:rPr>
          <w:rFonts w:ascii="Palatino Linotype" w:eastAsia="Palatino Linotype" w:hAnsi="Palatino Linotype" w:cs="Palatino Linotype"/>
          <w:b/>
          <w:bCs/>
          <w:i/>
          <w:iCs/>
          <w:sz w:val="22"/>
          <w:szCs w:val="22"/>
        </w:rPr>
        <w:t xml:space="preserve">Artículo 3. </w:t>
      </w:r>
      <w:r w:rsidRPr="00F83343">
        <w:rPr>
          <w:rFonts w:ascii="Palatino Linotype" w:eastAsia="Palatino Linotype" w:hAnsi="Palatino Linotype" w:cs="Palatino Linotype"/>
          <w:i/>
          <w:iCs/>
          <w:sz w:val="22"/>
          <w:szCs w:val="22"/>
        </w:rPr>
        <w:t>Para los efectos de la presente Ley se entenderá por:</w:t>
      </w:r>
    </w:p>
    <w:p w14:paraId="1B8F760B" w14:textId="77777777" w:rsidR="007664F8" w:rsidRPr="00F83343" w:rsidRDefault="00593714">
      <w:pPr>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w:t>
      </w:r>
    </w:p>
    <w:p w14:paraId="69B04029" w14:textId="77777777" w:rsidR="007664F8" w:rsidRPr="00F83343" w:rsidRDefault="00593714">
      <w:pPr>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b/>
          <w:bCs/>
          <w:i/>
          <w:iCs/>
          <w:sz w:val="22"/>
          <w:szCs w:val="22"/>
        </w:rPr>
        <w:t>XI. Documento:</w:t>
      </w:r>
      <w:r w:rsidRPr="00F83343">
        <w:rPr>
          <w:rFonts w:ascii="Palatino Linotype" w:eastAsia="Palatino Linotype" w:hAnsi="Palatino Linotype" w:cs="Palatino Linotype"/>
          <w:i/>
          <w:iCs/>
          <w:sz w:val="22"/>
          <w:szCs w:val="22"/>
        </w:rPr>
        <w:t xml:space="preserve"> Los expedientes, reportes, estudios, actas</w:t>
      </w:r>
      <w:r w:rsidRPr="00F83343">
        <w:rPr>
          <w:rFonts w:ascii="Palatino Linotype" w:eastAsia="Palatino Linotype" w:hAnsi="Palatino Linotype" w:cs="Palatino Linotype"/>
          <w:b/>
          <w:bCs/>
          <w:i/>
          <w:iCs/>
          <w:sz w:val="22"/>
          <w:szCs w:val="22"/>
        </w:rPr>
        <w:t>,</w:t>
      </w:r>
      <w:r w:rsidRPr="00F83343">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99A5FA1" w14:textId="77777777" w:rsidR="007664F8" w:rsidRPr="00F83343" w:rsidRDefault="007664F8">
      <w:pPr>
        <w:spacing w:line="360" w:lineRule="auto"/>
        <w:ind w:left="851" w:right="899"/>
        <w:jc w:val="both"/>
        <w:rPr>
          <w:rFonts w:ascii="Palatino Linotype" w:eastAsia="Palatino Linotype" w:hAnsi="Palatino Linotype" w:cs="Palatino Linotype"/>
          <w:sz w:val="22"/>
          <w:szCs w:val="22"/>
        </w:rPr>
      </w:pPr>
    </w:p>
    <w:p w14:paraId="22536B32"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544307B"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5404DE49" w14:textId="77777777" w:rsidR="007664F8" w:rsidRPr="00F83343" w:rsidRDefault="00593714">
      <w:pPr>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sz w:val="22"/>
          <w:szCs w:val="22"/>
        </w:rPr>
        <w:t>“</w:t>
      </w:r>
      <w:r w:rsidRPr="00F83343">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F83343">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9D07D3F" w14:textId="77777777" w:rsidR="007664F8" w:rsidRPr="00F83343" w:rsidRDefault="00593714">
      <w:pPr>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2E61B4DA" w14:textId="77777777" w:rsidR="007664F8" w:rsidRPr="00F83343" w:rsidRDefault="00593714">
      <w:pPr>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7563D64D" w14:textId="77777777" w:rsidR="007664F8" w:rsidRPr="00F83343" w:rsidRDefault="00593714">
      <w:pPr>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12213047" w14:textId="77777777" w:rsidR="007664F8" w:rsidRPr="00F83343" w:rsidRDefault="00593714">
      <w:pPr>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1E45C147" w14:textId="77777777" w:rsidR="007664F8" w:rsidRPr="00F83343" w:rsidRDefault="007664F8">
      <w:pPr>
        <w:tabs>
          <w:tab w:val="left" w:pos="8647"/>
        </w:tabs>
        <w:spacing w:line="360" w:lineRule="auto"/>
        <w:jc w:val="both"/>
        <w:rPr>
          <w:rFonts w:ascii="Palatino Linotype" w:eastAsia="Palatino Linotype" w:hAnsi="Palatino Linotype" w:cs="Palatino Linotype"/>
          <w:b/>
          <w:bCs/>
          <w:sz w:val="22"/>
          <w:szCs w:val="22"/>
        </w:rPr>
      </w:pPr>
    </w:p>
    <w:p w14:paraId="75147E15" w14:textId="77777777" w:rsidR="007664F8" w:rsidRPr="00F83343" w:rsidRDefault="00593714">
      <w:pPr>
        <w:spacing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al </w:t>
      </w:r>
      <w:r w:rsidRPr="00F83343">
        <w:rPr>
          <w:rFonts w:ascii="Palatino Linotype" w:eastAsia="Palatino Linotype" w:hAnsi="Palatino Linotype" w:cs="Palatino Linotype"/>
          <w:b/>
          <w:bCs/>
          <w:sz w:val="22"/>
          <w:szCs w:val="22"/>
        </w:rPr>
        <w:t>Ayuntamiento de Tepotzotlán</w:t>
      </w:r>
      <w:r w:rsidRPr="00F83343">
        <w:rPr>
          <w:rFonts w:ascii="Palatino Linotype" w:eastAsia="Palatino Linotype" w:hAnsi="Palatino Linotype" w:cs="Palatino Linotype"/>
          <w:sz w:val="22"/>
          <w:szCs w:val="22"/>
        </w:rPr>
        <w:t xml:space="preserve"> la siguiente información:</w:t>
      </w:r>
    </w:p>
    <w:p w14:paraId="2E35DBCC" w14:textId="77777777" w:rsidR="007664F8" w:rsidRPr="00F83343" w:rsidRDefault="00593714">
      <w:pPr>
        <w:numPr>
          <w:ilvl w:val="0"/>
          <w:numId w:val="6"/>
        </w:numPr>
        <w:pBdr>
          <w:top w:val="nil"/>
          <w:left w:val="nil"/>
          <w:bottom w:val="nil"/>
          <w:right w:val="nil"/>
          <w:between w:val="nil"/>
        </w:pBdr>
        <w:spacing w:after="240" w:line="360" w:lineRule="auto"/>
        <w:ind w:left="567" w:right="843"/>
        <w:jc w:val="both"/>
        <w:rPr>
          <w:rFonts w:ascii="Palatino Linotype" w:eastAsia="Palatino Linotype" w:hAnsi="Palatino Linotype" w:cs="Palatino Linotype"/>
          <w:b/>
          <w:bCs/>
          <w:sz w:val="22"/>
          <w:szCs w:val="22"/>
        </w:rPr>
      </w:pPr>
      <w:r w:rsidRPr="00F83343">
        <w:rPr>
          <w:rFonts w:ascii="Palatino Linotype" w:eastAsia="Palatino Linotype" w:hAnsi="Palatino Linotype" w:cs="Palatino Linotype"/>
          <w:b/>
          <w:bCs/>
          <w:sz w:val="22"/>
          <w:szCs w:val="22"/>
        </w:rPr>
        <w:t xml:space="preserve">Adjudicaciones directas realizadas </w:t>
      </w:r>
      <w:r w:rsidRPr="00F83343">
        <w:rPr>
          <w:rFonts w:ascii="Palatino Linotype" w:eastAsia="Palatino Linotype" w:hAnsi="Palatino Linotype" w:cs="Palatino Linotype"/>
          <w:sz w:val="22"/>
          <w:szCs w:val="22"/>
          <w:u w:val="single"/>
        </w:rPr>
        <w:t>en diciembre de dos mil veinticinco</w:t>
      </w:r>
      <w:r w:rsidRPr="00F83343">
        <w:rPr>
          <w:rFonts w:ascii="Palatino Linotype" w:eastAsia="Palatino Linotype" w:hAnsi="Palatino Linotype" w:cs="Palatino Linotype"/>
          <w:b/>
          <w:bCs/>
          <w:sz w:val="22"/>
          <w:szCs w:val="22"/>
        </w:rPr>
        <w:t xml:space="preserve">, donde se advierta proveedor, monto, concepto, justificación legal específica de no licitar, servidor público responsable de la autorización. </w:t>
      </w:r>
    </w:p>
    <w:p w14:paraId="633DF7CD" w14:textId="77777777" w:rsidR="007664F8" w:rsidRPr="00F83343" w:rsidRDefault="0059371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Establecido lo anterior, es necesario precisar que la naturaleza de la solicitud versa documentación relacionada con procedimientos de adjudicación directa, razón por la que es indispensable traer a contexto lo dispuesto en la Ley de la Contratación Pública del Estado de México y Municipios, la cual tiene por objeto regular los actos relativos a la planeación, programación, presupuestación, ejecución y control de </w:t>
      </w:r>
      <w:r w:rsidRPr="00F83343">
        <w:rPr>
          <w:rFonts w:ascii="Palatino Linotype" w:eastAsia="Palatino Linotype" w:hAnsi="Palatino Linotype" w:cs="Palatino Linotype"/>
          <w:b/>
          <w:bCs/>
          <w:sz w:val="22"/>
          <w:szCs w:val="22"/>
        </w:rPr>
        <w:t xml:space="preserve">la </w:t>
      </w:r>
      <w:r w:rsidRPr="00F83343">
        <w:rPr>
          <w:rFonts w:ascii="Palatino Linotype" w:eastAsia="Palatino Linotype" w:hAnsi="Palatino Linotype" w:cs="Palatino Linotype"/>
          <w:b/>
          <w:bCs/>
          <w:sz w:val="22"/>
          <w:szCs w:val="22"/>
          <w:u w:val="single"/>
        </w:rPr>
        <w:t>adquisición</w:t>
      </w:r>
      <w:r w:rsidRPr="00F83343">
        <w:rPr>
          <w:rFonts w:ascii="Palatino Linotype" w:eastAsia="Palatino Linotype" w:hAnsi="Palatino Linotype" w:cs="Palatino Linotype"/>
          <w:sz w:val="22"/>
          <w:szCs w:val="22"/>
        </w:rPr>
        <w:t xml:space="preserve">, enajenación y </w:t>
      </w:r>
      <w:r w:rsidRPr="00F83343">
        <w:rPr>
          <w:rFonts w:ascii="Palatino Linotype" w:eastAsia="Palatino Linotype" w:hAnsi="Palatino Linotype" w:cs="Palatino Linotype"/>
          <w:b/>
          <w:bCs/>
          <w:sz w:val="22"/>
          <w:szCs w:val="22"/>
        </w:rPr>
        <w:t xml:space="preserve">arrendamiento </w:t>
      </w:r>
      <w:r w:rsidRPr="00F83343">
        <w:rPr>
          <w:rFonts w:ascii="Palatino Linotype" w:eastAsia="Palatino Linotype" w:hAnsi="Palatino Linotype" w:cs="Palatino Linotype"/>
          <w:b/>
          <w:bCs/>
          <w:sz w:val="22"/>
          <w:szCs w:val="22"/>
          <w:u w:val="single"/>
        </w:rPr>
        <w:t>de bienes</w:t>
      </w:r>
      <w:r w:rsidRPr="00F83343">
        <w:rPr>
          <w:rFonts w:ascii="Palatino Linotype" w:eastAsia="Palatino Linotype" w:hAnsi="Palatino Linotype" w:cs="Palatino Linotype"/>
          <w:sz w:val="22"/>
          <w:szCs w:val="22"/>
        </w:rPr>
        <w:t xml:space="preserve">, </w:t>
      </w:r>
      <w:r w:rsidRPr="00F83343">
        <w:rPr>
          <w:rFonts w:ascii="Palatino Linotype" w:eastAsia="Palatino Linotype" w:hAnsi="Palatino Linotype" w:cs="Palatino Linotype"/>
          <w:b/>
          <w:bCs/>
          <w:sz w:val="22"/>
          <w:szCs w:val="22"/>
        </w:rPr>
        <w:t xml:space="preserve">y la </w:t>
      </w:r>
      <w:r w:rsidRPr="00F83343">
        <w:rPr>
          <w:rFonts w:ascii="Palatino Linotype" w:eastAsia="Palatino Linotype" w:hAnsi="Palatino Linotype" w:cs="Palatino Linotype"/>
          <w:b/>
          <w:bCs/>
          <w:sz w:val="22"/>
          <w:szCs w:val="22"/>
          <w:u w:val="single"/>
        </w:rPr>
        <w:t>contratación de servicios de cualquier naturaleza</w:t>
      </w:r>
      <w:r w:rsidRPr="00F83343">
        <w:rPr>
          <w:rFonts w:ascii="Palatino Linotype" w:eastAsia="Palatino Linotype" w:hAnsi="Palatino Linotype" w:cs="Palatino Linotype"/>
          <w:sz w:val="22"/>
          <w:szCs w:val="22"/>
          <w:u w:val="single"/>
        </w:rPr>
        <w:t>, que realicen los Ayuntamientos del Estado</w:t>
      </w:r>
      <w:r w:rsidRPr="00F83343">
        <w:rPr>
          <w:rFonts w:ascii="Palatino Linotype" w:eastAsia="Palatino Linotype" w:hAnsi="Palatino Linotype" w:cs="Palatino Linotype"/>
          <w:sz w:val="22"/>
          <w:szCs w:val="22"/>
        </w:rPr>
        <w:t xml:space="preserve">; los cuales se adjudicarán a través de licitaciones públicas, invitación restringida o </w:t>
      </w:r>
      <w:r w:rsidRPr="00F83343">
        <w:rPr>
          <w:rFonts w:ascii="Palatino Linotype" w:eastAsia="Palatino Linotype" w:hAnsi="Palatino Linotype" w:cs="Palatino Linotype"/>
          <w:sz w:val="22"/>
          <w:szCs w:val="22"/>
          <w:u w:val="single"/>
        </w:rPr>
        <w:t>adjudicación directa,</w:t>
      </w:r>
      <w:r w:rsidRPr="00F83343">
        <w:rPr>
          <w:rFonts w:ascii="Palatino Linotype" w:eastAsia="Palatino Linotype" w:hAnsi="Palatino Linotype" w:cs="Palatino Linotype"/>
          <w:sz w:val="22"/>
          <w:szCs w:val="22"/>
        </w:rPr>
        <w:t xml:space="preserve"> mediante convocatoria pública, tal y como lo establecen los artículos 4, 26 y 27 de dicha Ley, los cuales son del tenor siguiente: </w:t>
      </w:r>
    </w:p>
    <w:p w14:paraId="5B585361" w14:textId="77777777" w:rsidR="007664F8" w:rsidRPr="00F83343" w:rsidRDefault="007664F8">
      <w:pPr>
        <w:jc w:val="both"/>
        <w:rPr>
          <w:rFonts w:ascii="Palatino Linotype" w:eastAsia="Palatino Linotype" w:hAnsi="Palatino Linotype" w:cs="Palatino Linotype"/>
          <w:sz w:val="22"/>
          <w:szCs w:val="22"/>
        </w:rPr>
      </w:pPr>
    </w:p>
    <w:p w14:paraId="66839D42" w14:textId="77777777" w:rsidR="007664F8" w:rsidRPr="00F83343" w:rsidRDefault="00593714">
      <w:pPr>
        <w:spacing w:line="360" w:lineRule="auto"/>
        <w:ind w:left="567" w:right="822"/>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w:t>
      </w:r>
      <w:r w:rsidRPr="00F83343">
        <w:rPr>
          <w:rFonts w:ascii="Palatino Linotype" w:eastAsia="Palatino Linotype" w:hAnsi="Palatino Linotype" w:cs="Palatino Linotype"/>
          <w:b/>
          <w:bCs/>
          <w:i/>
          <w:iCs/>
          <w:sz w:val="22"/>
          <w:szCs w:val="22"/>
        </w:rPr>
        <w:t>Artículo 4.-</w:t>
      </w:r>
      <w:r w:rsidRPr="00F83343">
        <w:rPr>
          <w:rFonts w:ascii="Palatino Linotype" w:eastAsia="Palatino Linotype" w:hAnsi="Palatino Linotype" w:cs="Palatino Linotype"/>
          <w:i/>
          <w:iCs/>
          <w:sz w:val="22"/>
          <w:szCs w:val="22"/>
        </w:rPr>
        <w:t xml:space="preserve"> Para los efectos de esta Ley, en las adquisiciones, enajenaciones, arrendamientos y servicios, quedan comprendidos: </w:t>
      </w:r>
    </w:p>
    <w:p w14:paraId="6234D1D4" w14:textId="77777777" w:rsidR="007664F8" w:rsidRPr="00F83343" w:rsidRDefault="00593714">
      <w:pPr>
        <w:spacing w:line="360" w:lineRule="auto"/>
        <w:ind w:left="567" w:right="822"/>
        <w:jc w:val="both"/>
        <w:rPr>
          <w:rFonts w:ascii="Palatino Linotype" w:eastAsia="Palatino Linotype" w:hAnsi="Palatino Linotype" w:cs="Palatino Linotype"/>
          <w:b/>
          <w:bCs/>
          <w:i/>
          <w:iCs/>
          <w:sz w:val="22"/>
          <w:szCs w:val="22"/>
          <w:u w:val="single"/>
        </w:rPr>
      </w:pPr>
      <w:r w:rsidRPr="00F83343">
        <w:rPr>
          <w:rFonts w:ascii="Palatino Linotype" w:eastAsia="Palatino Linotype" w:hAnsi="Palatino Linotype" w:cs="Palatino Linotype"/>
          <w:b/>
          <w:bCs/>
          <w:i/>
          <w:iCs/>
          <w:sz w:val="22"/>
          <w:szCs w:val="22"/>
          <w:u w:val="single"/>
        </w:rPr>
        <w:t xml:space="preserve">I. La adquisición de bienes muebles. </w:t>
      </w:r>
    </w:p>
    <w:p w14:paraId="1F629E97" w14:textId="77777777" w:rsidR="007664F8" w:rsidRPr="00F83343" w:rsidRDefault="00593714">
      <w:pPr>
        <w:spacing w:line="360" w:lineRule="auto"/>
        <w:ind w:left="567" w:right="822"/>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II. La adquisición de bienes inmuebles, a través de compraventa. </w:t>
      </w:r>
    </w:p>
    <w:p w14:paraId="256AC1E7" w14:textId="77777777" w:rsidR="007664F8" w:rsidRPr="00F83343" w:rsidRDefault="00593714">
      <w:pPr>
        <w:spacing w:line="360" w:lineRule="auto"/>
        <w:ind w:left="567" w:right="822"/>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III. La enajenación de bienes muebles e inmuebles. </w:t>
      </w:r>
    </w:p>
    <w:p w14:paraId="0B9D737E" w14:textId="77777777" w:rsidR="007664F8" w:rsidRPr="00F83343" w:rsidRDefault="00593714">
      <w:pPr>
        <w:spacing w:line="360" w:lineRule="auto"/>
        <w:ind w:left="567" w:right="822"/>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IV. El arrendamiento de bienes muebles e inmuebles. </w:t>
      </w:r>
    </w:p>
    <w:p w14:paraId="32646192" w14:textId="77777777" w:rsidR="007664F8" w:rsidRPr="00F83343" w:rsidRDefault="00593714">
      <w:pPr>
        <w:spacing w:line="360" w:lineRule="auto"/>
        <w:ind w:left="567" w:right="822"/>
        <w:jc w:val="both"/>
        <w:rPr>
          <w:rFonts w:ascii="Palatino Linotype" w:eastAsia="Palatino Linotype" w:hAnsi="Palatino Linotype" w:cs="Palatino Linotype"/>
          <w:b/>
          <w:bCs/>
          <w:i/>
          <w:iCs/>
          <w:sz w:val="22"/>
          <w:szCs w:val="22"/>
          <w:u w:val="single"/>
        </w:rPr>
      </w:pPr>
      <w:r w:rsidRPr="00F83343">
        <w:rPr>
          <w:rFonts w:ascii="Palatino Linotype" w:eastAsia="Palatino Linotype" w:hAnsi="Palatino Linotype" w:cs="Palatino Linotype"/>
          <w:b/>
          <w:bCs/>
          <w:i/>
          <w:iCs/>
          <w:sz w:val="22"/>
          <w:szCs w:val="22"/>
          <w:u w:val="single"/>
        </w:rPr>
        <w:t xml:space="preserve">V. La contratación de los servicios, relacionados con bienes muebles que se encuentran incorporados o adheridos a bienes inmuebles, cuya instalación o mantenimiento no implique modificación al bien inmueble. </w:t>
      </w:r>
    </w:p>
    <w:p w14:paraId="4FFFEBBD" w14:textId="77777777" w:rsidR="007664F8" w:rsidRPr="00F83343" w:rsidRDefault="00593714">
      <w:pPr>
        <w:spacing w:line="360" w:lineRule="auto"/>
        <w:ind w:left="567" w:right="822"/>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VI. La contratación de los servicios de reconstrucción y mantenimiento de bienes muebles. </w:t>
      </w:r>
    </w:p>
    <w:p w14:paraId="2803995D" w14:textId="77777777" w:rsidR="007664F8" w:rsidRPr="00F83343" w:rsidRDefault="00593714">
      <w:pPr>
        <w:spacing w:line="360" w:lineRule="auto"/>
        <w:ind w:left="567" w:right="822"/>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b/>
          <w:bCs/>
          <w:i/>
          <w:iCs/>
          <w:sz w:val="22"/>
          <w:szCs w:val="22"/>
          <w:u w:val="single"/>
        </w:rPr>
        <w:t>VII. La contratación de los servicios de maquila, seguros y transportación, así como de los de limpieza y vigilancia de bienes inmuebles</w:t>
      </w:r>
    </w:p>
    <w:p w14:paraId="2D1F473F" w14:textId="77777777" w:rsidR="007664F8" w:rsidRPr="00F83343" w:rsidRDefault="00593714">
      <w:pPr>
        <w:spacing w:line="360" w:lineRule="auto"/>
        <w:ind w:left="567" w:right="822"/>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23FD1A26" w14:textId="77777777" w:rsidR="007664F8" w:rsidRPr="00F83343" w:rsidRDefault="00593714">
      <w:pPr>
        <w:spacing w:line="360" w:lineRule="auto"/>
        <w:ind w:left="567" w:right="822"/>
        <w:jc w:val="both"/>
        <w:rPr>
          <w:rFonts w:ascii="Palatino Linotype" w:eastAsia="Palatino Linotype" w:hAnsi="Palatino Linotype" w:cs="Palatino Linotype"/>
          <w:b/>
          <w:bCs/>
          <w:i/>
          <w:iCs/>
          <w:sz w:val="22"/>
          <w:szCs w:val="22"/>
          <w:u w:val="single"/>
        </w:rPr>
      </w:pPr>
      <w:r w:rsidRPr="00F83343">
        <w:rPr>
          <w:rFonts w:ascii="Palatino Linotype" w:eastAsia="Palatino Linotype" w:hAnsi="Palatino Linotype" w:cs="Palatino Linotype"/>
          <w:b/>
          <w:bCs/>
          <w:i/>
          <w:iCs/>
          <w:sz w:val="22"/>
          <w:szCs w:val="22"/>
          <w:u w:val="single"/>
        </w:rPr>
        <w:t>En general, otros actos que impliquen la contratación de servicios de cualquier naturaleza.</w:t>
      </w:r>
    </w:p>
    <w:p w14:paraId="3FE0EA9D" w14:textId="77777777" w:rsidR="007664F8" w:rsidRPr="00F83343" w:rsidRDefault="00593714">
      <w:pPr>
        <w:spacing w:line="360" w:lineRule="auto"/>
        <w:ind w:left="567" w:right="822"/>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Artículo 26.- Las adquisiciones, arrendamientos y servicios se adjudicarán a través de licitaciones públicas, mediante convocatoria pública.</w:t>
      </w:r>
    </w:p>
    <w:p w14:paraId="32955577" w14:textId="77777777" w:rsidR="007664F8" w:rsidRPr="00F83343" w:rsidRDefault="007664F8">
      <w:pPr>
        <w:spacing w:line="360" w:lineRule="auto"/>
        <w:ind w:left="567" w:right="822"/>
        <w:jc w:val="both"/>
        <w:rPr>
          <w:rFonts w:ascii="Palatino Linotype" w:eastAsia="Palatino Linotype" w:hAnsi="Palatino Linotype" w:cs="Palatino Linotype"/>
          <w:b/>
          <w:bCs/>
          <w:i/>
          <w:iCs/>
          <w:sz w:val="22"/>
          <w:szCs w:val="22"/>
        </w:rPr>
      </w:pPr>
    </w:p>
    <w:p w14:paraId="25FC7433" w14:textId="77777777" w:rsidR="007664F8" w:rsidRPr="00F83343" w:rsidRDefault="00593714">
      <w:pPr>
        <w:spacing w:line="360" w:lineRule="auto"/>
        <w:ind w:left="567" w:right="822"/>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b/>
          <w:bCs/>
          <w:i/>
          <w:iCs/>
          <w:sz w:val="22"/>
          <w:szCs w:val="22"/>
        </w:rPr>
        <w:t xml:space="preserve">Artículo 27.- </w:t>
      </w:r>
      <w:r w:rsidRPr="00F83343">
        <w:rPr>
          <w:rFonts w:ascii="Palatino Linotype" w:eastAsia="Palatino Linotype" w:hAnsi="Palatino Linotype" w:cs="Palatino Linotype"/>
          <w:i/>
          <w:iCs/>
          <w:sz w:val="22"/>
          <w:szCs w:val="22"/>
        </w:rPr>
        <w:t xml:space="preserve">La Secretaría, las entidades, los tribunales administrativos y los ayuntamientos podrán adjudicar adquisiciones, arrendamientos y servicios, mediante las excepciones al procedimiento de licitación que a continuación se señalan: </w:t>
      </w:r>
    </w:p>
    <w:p w14:paraId="61028452" w14:textId="77777777" w:rsidR="007664F8" w:rsidRPr="00F83343" w:rsidRDefault="00593714">
      <w:pPr>
        <w:spacing w:line="360" w:lineRule="auto"/>
        <w:ind w:left="567" w:right="822"/>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w:t>
      </w:r>
    </w:p>
    <w:p w14:paraId="389B15AE" w14:textId="77777777" w:rsidR="007664F8" w:rsidRPr="00F83343" w:rsidRDefault="00593714">
      <w:pPr>
        <w:spacing w:line="360" w:lineRule="auto"/>
        <w:ind w:left="567" w:right="822"/>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II. Adjudicación directa.”</w:t>
      </w:r>
    </w:p>
    <w:p w14:paraId="309B9086" w14:textId="77777777" w:rsidR="007664F8" w:rsidRPr="00F83343" w:rsidRDefault="00593714">
      <w:pPr>
        <w:ind w:left="567" w:right="567"/>
        <w:jc w:val="right"/>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(Énfasis añadido) </w:t>
      </w:r>
    </w:p>
    <w:p w14:paraId="5B043620"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4B9D5479" w14:textId="77777777" w:rsidR="007664F8" w:rsidRPr="00F83343" w:rsidRDefault="00593714">
      <w:pPr>
        <w:spacing w:line="360" w:lineRule="auto"/>
        <w:ind w:left="567" w:right="843"/>
        <w:jc w:val="center"/>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SECCIÓN QUINTA</w:t>
      </w:r>
    </w:p>
    <w:p w14:paraId="6DBE808B" w14:textId="77777777" w:rsidR="007664F8" w:rsidRPr="00F83343" w:rsidRDefault="00593714">
      <w:pPr>
        <w:spacing w:line="360" w:lineRule="auto"/>
        <w:ind w:left="567" w:right="843"/>
        <w:jc w:val="center"/>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DE LA ADJUDICACIÓN DIRECTA</w:t>
      </w:r>
    </w:p>
    <w:p w14:paraId="4056457D" w14:textId="77777777" w:rsidR="007664F8" w:rsidRPr="00F83343" w:rsidRDefault="007664F8">
      <w:pPr>
        <w:spacing w:line="360" w:lineRule="auto"/>
        <w:ind w:left="567" w:right="843"/>
        <w:jc w:val="both"/>
        <w:rPr>
          <w:rFonts w:ascii="Palatino Linotype" w:eastAsia="Palatino Linotype" w:hAnsi="Palatino Linotype" w:cs="Palatino Linotype"/>
          <w:i/>
          <w:iCs/>
          <w:sz w:val="22"/>
          <w:szCs w:val="22"/>
        </w:rPr>
      </w:pPr>
    </w:p>
    <w:p w14:paraId="48B4A2F4"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Artículo 48.- La Oficialía Mayor, las entidades, los tribunales administrativos y los ayuntamientos podrán adquirir bienes, arrendar bienes muebles e inmuebles y contratar servicios, mediante adjudicación directa, cuando: </w:t>
      </w:r>
    </w:p>
    <w:p w14:paraId="54DC3C9C"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I. La adquisición o el servicio sólo puedan realizarse con una determinada persona, por tratarse de obras de arte, titularidad de patentes, registros, marcas específicas, derechos de autor u otros derechos exclusivos. </w:t>
      </w:r>
    </w:p>
    <w:p w14:paraId="200E21F0"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5938B1ED"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6F0EC4B6"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249D5E60"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V. Existan circunstancias que puedan provocar pérdidas o costos adicionales importantes al erario. </w:t>
      </w:r>
    </w:p>
    <w:p w14:paraId="443A3DD9"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VI. Pueda comprometerse información de naturaleza confidencial para el Estado o municipios, por razones de seguridad pública. </w:t>
      </w:r>
    </w:p>
    <w:p w14:paraId="096397C9"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VII. Existan circunstancias extraordinarias o imprevisibles derivadas de riesgo o desastre. En este supuesto, la adquisición, arrendamiento y servicio deberá limitarse a lo estrictamente necesario para enfrentar tal eventualidad. </w:t>
      </w:r>
    </w:p>
    <w:p w14:paraId="4CC2A75A"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VIII. Se hubiere rescindido un contrato, por causas imputables al proveedor o que la persona que habiendo resultado ganadora en una licitación, no concurra a la suscripción del contrato dentro del plazo establecido en esta Ley.</w:t>
      </w:r>
    </w:p>
    <w:p w14:paraId="629AFD69"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En estos supuestos, la Oficialía Mayor,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6EF89D8D"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IX. Se hubiere declarado desierto un procedimiento de invitación restringida. </w:t>
      </w:r>
    </w:p>
    <w:p w14:paraId="52C12674"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 Cuando se aseguren condiciones financieras que permitan al Estado o a los municipios cumplir con la obligación de pago de manera diferida, sin que ello implique un costo financiero adicional o que habiéndolo, sea inferior al del mercado, o </w:t>
      </w:r>
    </w:p>
    <w:p w14:paraId="56ED1046"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w:t>
      </w:r>
    </w:p>
    <w:p w14:paraId="5F9628FE"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1EAF70C4"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14:paraId="4B85D689"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Artículo 49.- El procedimiento de adjudicación directa se substanciará con arreglo a el reglamento de esta Ley. </w:t>
      </w:r>
    </w:p>
    <w:p w14:paraId="68841C9C"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Artículo 50.- Las disposiciones relativas a los procedimientos de adquisición establecidas en este capítulo serán aplicables a los arrendamientos de bienes muebles e inmuebles, con arreglo a el reglamento de esta Ley.</w:t>
      </w:r>
    </w:p>
    <w:p w14:paraId="2F4A7A85" w14:textId="77777777" w:rsidR="007664F8" w:rsidRPr="00F83343" w:rsidRDefault="007664F8">
      <w:pPr>
        <w:spacing w:line="360" w:lineRule="auto"/>
        <w:jc w:val="both"/>
      </w:pPr>
    </w:p>
    <w:p w14:paraId="574AFEBB" w14:textId="77777777" w:rsidR="007664F8" w:rsidRPr="00F83343" w:rsidRDefault="005937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En este sentido, el convocante debe solicitar a su comité el dictamen correspondiente del procedimiento de adjudicación directa, en el que se acredite previamente la descripción general de los bienes a adquirir; </w:t>
      </w:r>
      <w:r w:rsidRPr="00F83343">
        <w:rPr>
          <w:rFonts w:ascii="Palatino Linotype" w:eastAsia="Palatino Linotype" w:hAnsi="Palatino Linotype" w:cs="Palatino Linotype"/>
          <w:b/>
          <w:bCs/>
          <w:sz w:val="22"/>
          <w:szCs w:val="22"/>
        </w:rPr>
        <w:t>la justificación o conveniencia de llevar a cabo la adjudicación directa</w:t>
      </w:r>
      <w:r w:rsidRPr="00F83343">
        <w:rPr>
          <w:rFonts w:ascii="Palatino Linotype" w:eastAsia="Palatino Linotype" w:hAnsi="Palatino Linotype" w:cs="Palatino Linotype"/>
          <w:sz w:val="22"/>
          <w:szCs w:val="22"/>
        </w:rPr>
        <w:t>; y la certificación de suficiencia presupuestaria.</w:t>
      </w:r>
    </w:p>
    <w:p w14:paraId="731B3189" w14:textId="77777777" w:rsidR="007664F8" w:rsidRPr="00F83343" w:rsidRDefault="007664F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5483A4B" w14:textId="77777777" w:rsidR="007664F8" w:rsidRPr="00F83343" w:rsidRDefault="005937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En este sentido, debe decirse que los </w:t>
      </w:r>
      <w:r w:rsidRPr="00F83343">
        <w:rPr>
          <w:rFonts w:ascii="Palatino Linotype" w:eastAsia="Palatino Linotype" w:hAnsi="Palatino Linotype" w:cs="Palatino Linotype"/>
          <w:b/>
          <w:bCs/>
          <w:sz w:val="22"/>
          <w:szCs w:val="22"/>
          <w:u w:val="single"/>
        </w:rPr>
        <w:t>expedientes de las adquisiciones, arrendamientos, enajenaciones y servicios</w:t>
      </w:r>
      <w:r w:rsidRPr="00F83343">
        <w:rPr>
          <w:rFonts w:ascii="Palatino Linotype" w:eastAsia="Palatino Linotype" w:hAnsi="Palatino Linotype" w:cs="Palatino Linotype"/>
          <w:sz w:val="22"/>
          <w:szCs w:val="22"/>
        </w:rPr>
        <w:t>, se encuentra considerada como una de las obligaciones de transparencias común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6EF1543E" w14:textId="77777777" w:rsidR="007664F8" w:rsidRPr="00F83343" w:rsidRDefault="007664F8">
      <w:pPr>
        <w:jc w:val="both"/>
        <w:rPr>
          <w:rFonts w:ascii="Palatino Linotype" w:eastAsia="Palatino Linotype" w:hAnsi="Palatino Linotype" w:cs="Palatino Linotype"/>
          <w:sz w:val="22"/>
          <w:szCs w:val="22"/>
        </w:rPr>
      </w:pPr>
    </w:p>
    <w:p w14:paraId="3B39B83F" w14:textId="77777777" w:rsidR="007664F8" w:rsidRPr="00F83343" w:rsidRDefault="00593714">
      <w:pPr>
        <w:spacing w:line="360" w:lineRule="auto"/>
        <w:ind w:left="567" w:right="82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“Artículo 92. </w:t>
      </w:r>
      <w:r w:rsidRPr="00F83343">
        <w:rPr>
          <w:rFonts w:ascii="Palatino Linotype" w:eastAsia="Palatino Linotype" w:hAnsi="Palatino Linotype" w:cs="Palatino Linotype"/>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5E2E1E" w14:textId="77777777" w:rsidR="007664F8" w:rsidRPr="00F83343" w:rsidRDefault="00593714">
      <w:pPr>
        <w:spacing w:line="360" w:lineRule="auto"/>
        <w:ind w:left="567" w:right="82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w:t>
      </w:r>
    </w:p>
    <w:p w14:paraId="281BF796" w14:textId="77777777" w:rsidR="007664F8" w:rsidRPr="00F83343" w:rsidRDefault="00593714">
      <w:pPr>
        <w:spacing w:line="360" w:lineRule="auto"/>
        <w:ind w:left="426" w:right="822"/>
        <w:jc w:val="both"/>
        <w:rPr>
          <w:rFonts w:ascii="Palatino Linotype" w:eastAsia="Palatino Linotype" w:hAnsi="Palatino Linotype" w:cs="Palatino Linotype"/>
          <w:b/>
          <w:bCs/>
          <w:sz w:val="22"/>
          <w:szCs w:val="22"/>
        </w:rPr>
      </w:pPr>
      <w:r w:rsidRPr="00F83343">
        <w:rPr>
          <w:rFonts w:ascii="Palatino Linotype" w:eastAsia="Palatino Linotype" w:hAnsi="Palatino Linotype" w:cs="Palatino Linotype"/>
          <w:b/>
          <w:bCs/>
          <w:i/>
          <w:iCs/>
          <w:sz w:val="22"/>
          <w:szCs w:val="22"/>
        </w:rPr>
        <w:t>b) De las adjudicaciones directas:</w:t>
      </w:r>
    </w:p>
    <w:p w14:paraId="53F6024B" w14:textId="77777777" w:rsidR="007664F8" w:rsidRPr="00F83343" w:rsidRDefault="00593714">
      <w:pPr>
        <w:spacing w:line="360" w:lineRule="auto"/>
        <w:ind w:left="567" w:right="82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1) </w:t>
      </w:r>
      <w:r w:rsidRPr="00F83343">
        <w:rPr>
          <w:rFonts w:ascii="Palatino Linotype" w:eastAsia="Palatino Linotype" w:hAnsi="Palatino Linotype" w:cs="Palatino Linotype"/>
          <w:i/>
          <w:iCs/>
          <w:sz w:val="22"/>
          <w:szCs w:val="22"/>
        </w:rPr>
        <w:t>La propuesta enviada por el participante;</w:t>
      </w:r>
    </w:p>
    <w:p w14:paraId="1FC2D80E" w14:textId="77777777" w:rsidR="007664F8" w:rsidRPr="00F83343" w:rsidRDefault="00593714">
      <w:pPr>
        <w:spacing w:line="360" w:lineRule="auto"/>
        <w:ind w:left="567" w:right="822"/>
        <w:jc w:val="both"/>
        <w:rPr>
          <w:rFonts w:ascii="Palatino Linotype" w:eastAsia="Palatino Linotype" w:hAnsi="Palatino Linotype" w:cs="Palatino Linotype"/>
          <w:b/>
          <w:bCs/>
          <w:sz w:val="22"/>
          <w:szCs w:val="22"/>
        </w:rPr>
      </w:pPr>
      <w:r w:rsidRPr="00F83343">
        <w:rPr>
          <w:rFonts w:ascii="Palatino Linotype" w:eastAsia="Palatino Linotype" w:hAnsi="Palatino Linotype" w:cs="Palatino Linotype"/>
          <w:b/>
          <w:bCs/>
          <w:i/>
          <w:iCs/>
          <w:sz w:val="22"/>
          <w:szCs w:val="22"/>
        </w:rPr>
        <w:t>2) Los motivos y fundamentos legales aplicados para llevarla a cabo;</w:t>
      </w:r>
    </w:p>
    <w:p w14:paraId="10E75EA4" w14:textId="77777777" w:rsidR="007664F8" w:rsidRPr="00F83343" w:rsidRDefault="00593714">
      <w:pPr>
        <w:spacing w:line="360" w:lineRule="auto"/>
        <w:ind w:left="567" w:right="82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3) </w:t>
      </w:r>
      <w:r w:rsidRPr="00F83343">
        <w:rPr>
          <w:rFonts w:ascii="Palatino Linotype" w:eastAsia="Palatino Linotype" w:hAnsi="Palatino Linotype" w:cs="Palatino Linotype"/>
          <w:i/>
          <w:iCs/>
          <w:sz w:val="22"/>
          <w:szCs w:val="22"/>
        </w:rPr>
        <w:t>La autorización del ejercicio de la opción;</w:t>
      </w:r>
    </w:p>
    <w:p w14:paraId="17266CFB" w14:textId="77777777" w:rsidR="007664F8" w:rsidRPr="00F83343" w:rsidRDefault="00593714">
      <w:pPr>
        <w:spacing w:line="360" w:lineRule="auto"/>
        <w:ind w:left="567" w:right="82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4) En su caso, las cotizaciones consideradas, especificando los nombres de los proveedores y sus montos;</w:t>
      </w:r>
    </w:p>
    <w:p w14:paraId="382FA3E3" w14:textId="77777777" w:rsidR="007664F8" w:rsidRPr="00F83343" w:rsidRDefault="00593714">
      <w:pPr>
        <w:spacing w:line="360" w:lineRule="auto"/>
        <w:ind w:left="567" w:right="82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5) </w:t>
      </w:r>
      <w:r w:rsidRPr="00F83343">
        <w:rPr>
          <w:rFonts w:ascii="Palatino Linotype" w:eastAsia="Palatino Linotype" w:hAnsi="Palatino Linotype" w:cs="Palatino Linotype"/>
          <w:i/>
          <w:iCs/>
          <w:sz w:val="22"/>
          <w:szCs w:val="22"/>
        </w:rPr>
        <w:t>El nombre de la persona física o jurídica colectiva adjudicada;</w:t>
      </w:r>
    </w:p>
    <w:p w14:paraId="16AF18FA" w14:textId="77777777" w:rsidR="007664F8" w:rsidRPr="00F83343" w:rsidRDefault="00593714">
      <w:pPr>
        <w:spacing w:line="360" w:lineRule="auto"/>
        <w:ind w:left="567" w:right="82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6) </w:t>
      </w:r>
      <w:r w:rsidRPr="00F83343">
        <w:rPr>
          <w:rFonts w:ascii="Palatino Linotype" w:eastAsia="Palatino Linotype" w:hAnsi="Palatino Linotype" w:cs="Palatino Linotype"/>
          <w:i/>
          <w:iCs/>
          <w:sz w:val="22"/>
          <w:szCs w:val="22"/>
        </w:rPr>
        <w:t>La unidad administrativa solicitante y la responsable de su ejecución;</w:t>
      </w:r>
    </w:p>
    <w:p w14:paraId="565DFCAB" w14:textId="77777777" w:rsidR="007664F8" w:rsidRPr="00F83343" w:rsidRDefault="00593714">
      <w:pPr>
        <w:spacing w:line="360" w:lineRule="auto"/>
        <w:ind w:left="567" w:right="82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7) El número, fecha, el monto del contrato y el plazo de entrega o de ejecución de los servicios u obra;</w:t>
      </w:r>
    </w:p>
    <w:p w14:paraId="6EB321C2" w14:textId="77777777" w:rsidR="007664F8" w:rsidRPr="00F83343" w:rsidRDefault="00593714">
      <w:pPr>
        <w:spacing w:line="360" w:lineRule="auto"/>
        <w:ind w:left="567" w:right="82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8) </w:t>
      </w:r>
      <w:r w:rsidRPr="00F83343">
        <w:rPr>
          <w:rFonts w:ascii="Palatino Linotype" w:eastAsia="Palatino Linotype" w:hAnsi="Palatino Linotype" w:cs="Palatino Linotype"/>
          <w:i/>
          <w:iCs/>
          <w:sz w:val="22"/>
          <w:szCs w:val="22"/>
        </w:rPr>
        <w:t>Los mecanismos de vigilancia y supervisión, incluyendo, en su caso, los estudios de impacto urbano y ambiental, según corresponda;</w:t>
      </w:r>
    </w:p>
    <w:p w14:paraId="6922F00F" w14:textId="77777777" w:rsidR="007664F8" w:rsidRPr="00F83343" w:rsidRDefault="00593714">
      <w:pPr>
        <w:spacing w:line="360" w:lineRule="auto"/>
        <w:ind w:left="567" w:right="82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9) </w:t>
      </w:r>
      <w:r w:rsidRPr="00F83343">
        <w:rPr>
          <w:rFonts w:ascii="Palatino Linotype" w:eastAsia="Palatino Linotype" w:hAnsi="Palatino Linotype" w:cs="Palatino Linotype"/>
          <w:i/>
          <w:iCs/>
          <w:sz w:val="22"/>
          <w:szCs w:val="22"/>
        </w:rPr>
        <w:t>Los informes de avance sobre las obras o servicios contratados;</w:t>
      </w:r>
    </w:p>
    <w:p w14:paraId="7C604E88" w14:textId="77777777" w:rsidR="007664F8" w:rsidRPr="00F83343" w:rsidRDefault="00593714">
      <w:pPr>
        <w:spacing w:line="360" w:lineRule="auto"/>
        <w:ind w:left="567" w:right="82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10) </w:t>
      </w:r>
      <w:r w:rsidRPr="00F83343">
        <w:rPr>
          <w:rFonts w:ascii="Palatino Linotype" w:eastAsia="Palatino Linotype" w:hAnsi="Palatino Linotype" w:cs="Palatino Linotype"/>
          <w:i/>
          <w:iCs/>
          <w:sz w:val="22"/>
          <w:szCs w:val="22"/>
        </w:rPr>
        <w:t>El convenio de terminación; y</w:t>
      </w:r>
    </w:p>
    <w:p w14:paraId="15B1A481" w14:textId="77777777" w:rsidR="007664F8" w:rsidRPr="00F83343" w:rsidRDefault="00593714">
      <w:pPr>
        <w:spacing w:line="360" w:lineRule="auto"/>
        <w:ind w:left="567" w:right="822"/>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11) </w:t>
      </w:r>
      <w:r w:rsidRPr="00F83343">
        <w:rPr>
          <w:rFonts w:ascii="Palatino Linotype" w:eastAsia="Palatino Linotype" w:hAnsi="Palatino Linotype" w:cs="Palatino Linotype"/>
          <w:i/>
          <w:iCs/>
          <w:sz w:val="22"/>
          <w:szCs w:val="22"/>
        </w:rPr>
        <w:t>El finiquito.</w:t>
      </w:r>
      <w:r w:rsidRPr="00F83343">
        <w:rPr>
          <w:rFonts w:ascii="Palatino Linotype" w:eastAsia="Palatino Linotype" w:hAnsi="Palatino Linotype" w:cs="Palatino Linotype"/>
          <w:b/>
          <w:bCs/>
          <w:i/>
          <w:iCs/>
          <w:sz w:val="22"/>
          <w:szCs w:val="22"/>
        </w:rPr>
        <w:t>”</w:t>
      </w:r>
    </w:p>
    <w:p w14:paraId="5B00AE52" w14:textId="77777777" w:rsidR="007664F8" w:rsidRPr="00F83343" w:rsidRDefault="007664F8">
      <w:pPr>
        <w:ind w:left="851" w:right="850"/>
        <w:jc w:val="both"/>
        <w:rPr>
          <w:rFonts w:ascii="Palatino Linotype" w:eastAsia="Palatino Linotype" w:hAnsi="Palatino Linotype" w:cs="Palatino Linotype"/>
          <w:sz w:val="22"/>
          <w:szCs w:val="22"/>
        </w:rPr>
      </w:pPr>
    </w:p>
    <w:p w14:paraId="442C683D" w14:textId="77777777" w:rsidR="007664F8" w:rsidRPr="00F83343" w:rsidRDefault="005937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En consecuencia, se determina que existe fuente obligacional para celebrar contratos relacionados con la adquisición de bienes y servicios por parte de los Ayuntamientos,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14:paraId="76A7CDF0" w14:textId="77777777" w:rsidR="007664F8" w:rsidRPr="00F83343" w:rsidRDefault="007664F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E9471F7" w14:textId="77777777" w:rsidR="007664F8" w:rsidRPr="00F83343" w:rsidRDefault="005937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Robustecen lo anterior </w:t>
      </w:r>
      <w:r w:rsidRPr="00F83343">
        <w:rPr>
          <w:rFonts w:ascii="Palatino Linotype" w:eastAsia="Palatino Linotype" w:hAnsi="Palatino Linotype" w:cs="Palatino Linotype"/>
          <w:i/>
          <w:iCs/>
          <w:sz w:val="22"/>
          <w:szCs w:val="22"/>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F83343">
        <w:rPr>
          <w:rFonts w:ascii="Palatino Linotype" w:eastAsia="Palatino Linotype" w:hAnsi="Palatino Linotype" w:cs="Palatino Linotype"/>
          <w:sz w:val="22"/>
          <w:szCs w:val="22"/>
        </w:rPr>
        <w:t>en los criterios sustantivos de contenido correspondientes a la fracción XXVIII del artículo 70 de la Ley General de Transparencia que marcan los parámetros para publicar la información en medios electrónicos en los siguientes términos:</w:t>
      </w:r>
    </w:p>
    <w:p w14:paraId="3FE4DB49" w14:textId="77777777" w:rsidR="007664F8" w:rsidRPr="00F83343" w:rsidRDefault="007664F8">
      <w:pPr>
        <w:pBdr>
          <w:top w:val="nil"/>
          <w:left w:val="nil"/>
          <w:bottom w:val="nil"/>
          <w:right w:val="nil"/>
          <w:between w:val="nil"/>
        </w:pBdr>
        <w:rPr>
          <w:rFonts w:ascii="Palatino Linotype" w:eastAsia="Palatino Linotype" w:hAnsi="Palatino Linotype" w:cs="Palatino Linotype"/>
          <w:sz w:val="22"/>
          <w:szCs w:val="22"/>
        </w:rPr>
      </w:pPr>
    </w:p>
    <w:p w14:paraId="49BD4F18"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Criterios sustantivos de contenido </w:t>
      </w:r>
    </w:p>
    <w:p w14:paraId="7E9021CF"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Respecto de cada uno de los eventos de licitación pública y de invitación a cuando menos tres personas se publicarán los siguientes datos: </w:t>
      </w:r>
    </w:p>
    <w:p w14:paraId="7A6DF716" w14:textId="77777777" w:rsidR="007664F8" w:rsidRPr="00F83343" w:rsidRDefault="007664F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p>
    <w:p w14:paraId="67ACEE9E"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Criterio 1 Ejercicio</w:t>
      </w:r>
    </w:p>
    <w:p w14:paraId="704B0554"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2 Periodo que se informa (fecha de inicio y fecha de término con el formato día/mes/año) </w:t>
      </w:r>
    </w:p>
    <w:p w14:paraId="091850DE"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 </w:t>
      </w:r>
    </w:p>
    <w:p w14:paraId="04E3171D"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4 Materia o tipo de contratación (catálogo): Obra pública/Servicios relacionados con obra pública/Adquisiciones/Arrendamientos/Servicios </w:t>
      </w:r>
    </w:p>
    <w:p w14:paraId="16FA6B6F"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5 Carácter del procedimiento (catálogo): Nacional/Internacional Relación con los nombres de las personas físicas o morales de los posibles contratantes: </w:t>
      </w:r>
    </w:p>
    <w:p w14:paraId="1FF84822"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Criterio 6 En el caso de personas físicas: nombre[s], primer apellido, segundo apellido. En el caso de persona moral: razón social. En su caso, incluir una leyenda señalando que no se realizaron cotizaciones</w:t>
      </w:r>
    </w:p>
    <w:p w14:paraId="12F40CC8"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7 Registro Federal de Contribuyentes (RFC) de las personas físicas o morales de los posibles contratantes </w:t>
      </w:r>
    </w:p>
    <w:p w14:paraId="379B129F"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Criterio 8 Número de expediente, folio o nomenclatura que identifique a cada procedimiento </w:t>
      </w:r>
    </w:p>
    <w:p w14:paraId="53263FEB"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Criterio 9 Hipervínculo a la convocatoria o invitaciones emitidas </w:t>
      </w:r>
    </w:p>
    <w:p w14:paraId="7D6EF242"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10 Fecha de la convocatoria o invitación, expresada con el formato día/mes/año </w:t>
      </w:r>
    </w:p>
    <w:p w14:paraId="2450D0A7"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11 Descripción de las obras públicas, los bienes o los servicios contratados </w:t>
      </w:r>
    </w:p>
    <w:p w14:paraId="4B61681D" w14:textId="77777777" w:rsidR="007664F8" w:rsidRPr="00F83343" w:rsidRDefault="007664F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p>
    <w:p w14:paraId="72E40B61"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Relación con los nombres de las personas físicas o morales que presentaron una proposición u oferta: </w:t>
      </w:r>
    </w:p>
    <w:p w14:paraId="31958931" w14:textId="77777777" w:rsidR="007664F8" w:rsidRPr="00F83343" w:rsidRDefault="007664F8">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p>
    <w:p w14:paraId="50BCE781"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Criterio 12 En el caso de personas físicas: nombre[s], primer apellido, segundo apellido. En el caso de persona moral: razón social </w:t>
      </w:r>
    </w:p>
    <w:p w14:paraId="7A0A1D5F"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i/>
          <w:iCs/>
          <w:sz w:val="22"/>
          <w:szCs w:val="22"/>
        </w:rPr>
        <w:t>Criterio 13 Registro Federal de Contribuyentes (RFC</w:t>
      </w:r>
      <w:r w:rsidRPr="00F83343">
        <w:rPr>
          <w:rFonts w:ascii="Palatino Linotype" w:eastAsia="Palatino Linotype" w:hAnsi="Palatino Linotype" w:cs="Palatino Linotype"/>
          <w:b/>
          <w:bCs/>
          <w:i/>
          <w:iCs/>
          <w:sz w:val="22"/>
          <w:szCs w:val="22"/>
        </w:rPr>
        <w:t xml:space="preserve">) </w:t>
      </w:r>
      <w:r w:rsidRPr="00F83343">
        <w:rPr>
          <w:rFonts w:ascii="Palatino Linotype" w:eastAsia="Palatino Linotype" w:hAnsi="Palatino Linotype" w:cs="Palatino Linotype"/>
          <w:i/>
          <w:iCs/>
          <w:sz w:val="22"/>
          <w:szCs w:val="22"/>
        </w:rPr>
        <w:t xml:space="preserve">de las personas físicas o morales que presentaron una proposición u oferta </w:t>
      </w:r>
    </w:p>
    <w:p w14:paraId="7115B9B9"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14 Fecha en la que se celebró la junta de aclaraciones108, expresada con el formato día/mes/año </w:t>
      </w:r>
    </w:p>
    <w:p w14:paraId="6982E3EB"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w:t>
      </w:r>
    </w:p>
    <w:p w14:paraId="5D6E95FF"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Criterio 27 Descripción breve de las razones que justifican la elección del/los proveedor/es o contratista/s </w:t>
      </w:r>
    </w:p>
    <w:p w14:paraId="767D397D"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28 Área(s) solicitante(s) de las obras públicas, el arrendamiento, la adquisición de bienes y/o la prestación de servicios </w:t>
      </w:r>
    </w:p>
    <w:p w14:paraId="3D137928"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Criterio 29 Área(s) contratante(s) </w:t>
      </w:r>
    </w:p>
    <w:p w14:paraId="2F1BBA0A"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30 Área(s) responsable de la ejecución </w:t>
      </w:r>
    </w:p>
    <w:p w14:paraId="55BCE88C"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31 Número que identifique al contrato </w:t>
      </w:r>
    </w:p>
    <w:p w14:paraId="4B3237AC"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32 Fecha del contrato, expresada con el formato día/mes/año </w:t>
      </w:r>
    </w:p>
    <w:p w14:paraId="608EA224"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33 Fecha de inicio de la vigencia del contrato, expresada con el formato día/mes/año </w:t>
      </w:r>
    </w:p>
    <w:p w14:paraId="5AEF250E"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Criterio 34 Fecha de término de la vigencia del contrato, expresada con el formato día/mes/año Criterio</w:t>
      </w:r>
    </w:p>
    <w:p w14:paraId="236D6C18"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Criterio 35 Monto del contrato sin impuestos incluidos (expresados en pesos mexicanos) </w:t>
      </w:r>
    </w:p>
    <w:p w14:paraId="37D89EAC"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Criterio 36 Monto total del contrato con impuestos incluidos (expresados en pesos mexicanos) </w:t>
      </w:r>
    </w:p>
    <w:p w14:paraId="0C4C110B"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Criterio 37 Monto mínimo con impuestos incluidos, en su caso</w:t>
      </w:r>
    </w:p>
    <w:p w14:paraId="5D367D54"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Criterio 38 Monto máximo con impuestos incluidos, en su caso </w:t>
      </w:r>
    </w:p>
    <w:p w14:paraId="0E72F169"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39 Tipo de moneda. Por ejemplo: Peso, Dólar, Euro, Libra, Yen </w:t>
      </w:r>
    </w:p>
    <w:p w14:paraId="6AA40037"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40 Tipo de cambio de referencia, en su caso </w:t>
      </w:r>
    </w:p>
    <w:p w14:paraId="30A92B3A"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41 Forma de pago. Por ejemplo: efectivo, cheque o transacción bancaria </w:t>
      </w:r>
    </w:p>
    <w:p w14:paraId="64EC2377"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42 Objeto del contrato </w:t>
      </w:r>
    </w:p>
    <w:p w14:paraId="52196C70"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Señalar el plazo de entrega o de ejecución de los servicios contratados u obra pública a realizar: </w:t>
      </w:r>
    </w:p>
    <w:p w14:paraId="3461E738"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43 Fecha de inicio expresada con el formato día/mes/año </w:t>
      </w:r>
    </w:p>
    <w:p w14:paraId="2AF023B7"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Criterio 44 Fecha de término expresada con el formato día/mes/año </w:t>
      </w:r>
    </w:p>
    <w:p w14:paraId="5996EB30" w14:textId="77777777" w:rsidR="007664F8" w:rsidRPr="00F83343" w:rsidRDefault="00593714">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bCs/>
          <w:i/>
          <w:iCs/>
          <w:sz w:val="22"/>
          <w:szCs w:val="22"/>
          <w:u w:val="single"/>
        </w:rPr>
      </w:pPr>
      <w:r w:rsidRPr="00F83343">
        <w:rPr>
          <w:rFonts w:ascii="Palatino Linotype" w:eastAsia="Palatino Linotype" w:hAnsi="Palatino Linotype" w:cs="Palatino Linotype"/>
          <w:b/>
          <w:bCs/>
          <w:i/>
          <w:iCs/>
          <w:sz w:val="22"/>
          <w:szCs w:val="22"/>
          <w:u w:val="single"/>
        </w:rPr>
        <w:t>Criterio 45 Hipervínculo al documento del contrato y sus anexos, en versión pública si así corresponde</w:t>
      </w:r>
    </w:p>
    <w:p w14:paraId="0DC963C3" w14:textId="77777777" w:rsidR="007664F8" w:rsidRPr="00F83343" w:rsidRDefault="00593714">
      <w:pPr>
        <w:spacing w:before="240" w:after="240" w:line="360" w:lineRule="auto"/>
        <w:ind w:right="49"/>
        <w:jc w:val="both"/>
        <w:rPr>
          <w:rFonts w:ascii="Palatino Linotype" w:eastAsia="Palatino Linotype" w:hAnsi="Palatino Linotype" w:cs="Palatino Linotype"/>
          <w:b/>
          <w:bCs/>
          <w:sz w:val="22"/>
          <w:szCs w:val="22"/>
        </w:rPr>
      </w:pPr>
      <w:r w:rsidRPr="00F83343">
        <w:rPr>
          <w:rFonts w:ascii="Palatino Linotype" w:eastAsia="Palatino Linotype" w:hAnsi="Palatino Linotype" w:cs="Palatino Linotype"/>
          <w:sz w:val="22"/>
          <w:szCs w:val="22"/>
        </w:rPr>
        <w:t>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de cualquier naturaleza, en el que se debe contener dentro de la versión pública del expediente respectivo toda la información relativa a dichos procedimientos, dentro de la que se encuentran los bienes adquiridos, contratos celebrados, actas del comité de adquisiciones, y los documentos comprobatorios de pago y pendientes de pago.</w:t>
      </w:r>
      <w:r w:rsidRPr="00F83343">
        <w:rPr>
          <w:rFonts w:ascii="Palatino Linotype" w:eastAsia="Palatino Linotype" w:hAnsi="Palatino Linotype" w:cs="Palatino Linotype"/>
          <w:b/>
          <w:bCs/>
          <w:sz w:val="22"/>
          <w:szCs w:val="22"/>
        </w:rPr>
        <w:t xml:space="preserve"> </w:t>
      </w:r>
    </w:p>
    <w:p w14:paraId="0204E2B8" w14:textId="77777777" w:rsidR="007664F8" w:rsidRPr="00F83343" w:rsidRDefault="00593714">
      <w:pPr>
        <w:spacing w:before="240" w:after="240" w:line="360" w:lineRule="auto"/>
        <w:ind w:right="49"/>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En el presente asunto en particular, se pronunció la Jefatura de Adquisiciones, la cual tiene las siguientes atribuciones:</w:t>
      </w:r>
    </w:p>
    <w:p w14:paraId="107A6D23" w14:textId="77777777" w:rsidR="007664F8" w:rsidRPr="00F83343" w:rsidRDefault="00593714">
      <w:pPr>
        <w:spacing w:before="240" w:after="240"/>
        <w:ind w:left="567" w:right="843"/>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I. Integrar un catálogo de proveedores y de prestadores de servicios a fin de conocer la capacidad administrativa, financiera, legal y técnica de las fuentes de suministro. </w:t>
      </w:r>
    </w:p>
    <w:p w14:paraId="43B98559"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II. Elaborar y actualizar el catálogo de bienes y servicios y, de proveedores y prestadores de servicios, incluyendo, así como el expediente de cada uno de ellos, conteniendo como mínimo: Tipo de servicios o bienes, nombre, razón o denominación social, documentos que acrediten la capacidad financiera, legal y técnica, domicilio legal, especificaciones, unidades de medida, costos y los demás requisitos que se consideren necesarios para la adecuada integración de los catálogos de las personas físicas y jurídicas que presten el servicio o suministren los bienes, conforme a lo dispuesto por la legislación y reglamentación vigente y aplicable. </w:t>
      </w:r>
    </w:p>
    <w:p w14:paraId="3F3D8990"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III. Solicitar al proveedor desglose en la factura cada valor unitario, número de serie tratándose de bienes que puedan ser identificados, esto con la finalidad de un mejor control e identificación en el inventario de bienes muebles, aún en caso de que sean donados a escuelas u otras instituciones. </w:t>
      </w:r>
    </w:p>
    <w:p w14:paraId="36D3382C" w14:textId="77777777" w:rsidR="007664F8" w:rsidRPr="00F83343" w:rsidRDefault="00593714">
      <w:pPr>
        <w:spacing w:before="240" w:after="240"/>
        <w:ind w:left="567" w:right="843"/>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IV. Verificar que las adquisiciones de bienes, servicios y arrendamientos en cualquier modalidad de adjudicación o, de la misma forma se deberá observar lo propio, tratándose de adjudicaciones de obra pública y servicios relacionados con la misma. </w:t>
      </w:r>
    </w:p>
    <w:p w14:paraId="601EC82C" w14:textId="77777777" w:rsidR="007664F8" w:rsidRPr="00F83343" w:rsidRDefault="00593714">
      <w:pPr>
        <w:spacing w:before="240" w:after="240"/>
        <w:ind w:left="567" w:right="843"/>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V. Cuidar que los bienes muebles tales como equipo de transporte, maquinaria, equipos y herramientas, u otros, se encuentren asegurados. </w:t>
      </w:r>
    </w:p>
    <w:p w14:paraId="17F2382C"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VI. Comunicar de inmediato el siniestro por daño o robo a la institución de seguros; así como al titular del órgano de control interno y al tesorero o equivalente. </w:t>
      </w:r>
    </w:p>
    <w:p w14:paraId="4261B0F3" w14:textId="77777777" w:rsidR="007664F8" w:rsidRPr="00F83343" w:rsidRDefault="00593714">
      <w:pPr>
        <w:spacing w:before="240" w:after="240"/>
        <w:ind w:left="567" w:right="843"/>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VII. Vigilar que las adquisiciones de bienes y contratación de servicios se efectuarán de conformidad con las disposiciones de la Ley de Contratación Públicas del Estado de México y en su caso del reglamento respectivo o de acuerdo con la normatividad Federal cuando sea el caso, previa Dictaminación del Comité de Adquisiciones y servicios respectivo. </w:t>
      </w:r>
    </w:p>
    <w:p w14:paraId="38CE2043" w14:textId="77777777" w:rsidR="007664F8" w:rsidRPr="00F83343" w:rsidRDefault="00593714">
      <w:pPr>
        <w:spacing w:before="240" w:after="240"/>
        <w:ind w:left="567" w:right="843"/>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VIII. Asignar fecha y número de folio a los requerimientos de bienes, servicios y arrendamientos de las unidades administrativas.</w:t>
      </w:r>
    </w:p>
    <w:p w14:paraId="56B876D7" w14:textId="77777777" w:rsidR="007664F8" w:rsidRPr="00F83343" w:rsidRDefault="00593714">
      <w:pPr>
        <w:spacing w:before="240" w:after="240"/>
        <w:ind w:left="567" w:right="843"/>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IX. Asegurar que las adjudicaciones de bienes y servicios de los proveedores cumplan con las características de vigencia, garantía y tiempo de entrega. </w:t>
      </w:r>
    </w:p>
    <w:p w14:paraId="7DB40166" w14:textId="77777777" w:rsidR="007664F8" w:rsidRPr="00F83343" w:rsidRDefault="00593714">
      <w:pPr>
        <w:spacing w:before="240" w:after="240"/>
        <w:ind w:left="567" w:right="843"/>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X. Elaborar el Cuadro Comparativo de adquisiciones, seleccionando al proveedor que cumpla con las mejores condiciones de mercado, oportunidad, calidad precio y financiamiento. </w:t>
      </w:r>
    </w:p>
    <w:p w14:paraId="7DA6AA73" w14:textId="77777777" w:rsidR="007664F8" w:rsidRPr="00F83343" w:rsidRDefault="00593714">
      <w:pPr>
        <w:spacing w:before="240" w:after="240"/>
        <w:ind w:left="567" w:right="843"/>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XI. Elaborar el Contrato-Pedido de adquisiciones, recabando la firma del Proveedor y Director de Administración y Finanzas. </w:t>
      </w:r>
    </w:p>
    <w:p w14:paraId="7DE5FC7A"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XII. Designar al responsable del almacén que tenga el perfil para el manejo del mismo y éste tendrá la obligación de recibir y entregar los bienes existentes en el almacén, a través de un inventario físico el cual debe estar conciliado con registros contables a la misma fecha. </w:t>
      </w:r>
    </w:p>
    <w:p w14:paraId="7B13DA83"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XIII. Verificar que todas las entradas se hayan realizado conforme al pedido o requerimiento de bienes, servicios o arrendamiento, anexando la factura correspondiente. </w:t>
      </w:r>
    </w:p>
    <w:p w14:paraId="43B2E015"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XIV. Verificar que todas las salidas de bienes se hayan, realizado conforme a la solicitud del usuario en la que conste su firma y evidencia fotográfica. </w:t>
      </w:r>
    </w:p>
    <w:p w14:paraId="404B4F49" w14:textId="77777777" w:rsidR="007664F8" w:rsidRPr="00F83343" w:rsidRDefault="00593714">
      <w:pPr>
        <w:spacing w:before="240" w:after="240"/>
        <w:ind w:left="567" w:right="843"/>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XV. Integrar toda la documentación soporte de las adquisiciones y servicios en conformidad a la Ley de Contratación Pública del Estado de México y Municipios, así como de los Lineamientos de Control Financiero y Administrativo para las Entidades Fiscalizables Municipales del Estado de México, previa a la suscripción del contrato. </w:t>
      </w:r>
    </w:p>
    <w:p w14:paraId="242D6C34"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XVI. Cancelar el reporte de entrada o vale de salida del almacén cuando exista un error en ellos, soportando el original y sus copias en el consecutivo que tenga el almacén, y colocando el sello de "CANCELADO" en todo el juego. </w:t>
      </w:r>
    </w:p>
    <w:p w14:paraId="7D9CC1B5"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XVII. Establecer los controles de entradas y salidas de bienes muebles del almacén, implementando el uso de tarjetas o sistemas automatizado, a través del método de costos promedios. </w:t>
      </w:r>
    </w:p>
    <w:p w14:paraId="01C02D27"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XVIII. Realizar inventarios físicos de los bienes del almacén, conjuntamente con el responsable del mismo, con la validación del titular del órgano de control interno, como mínimo dos veces al año. </w:t>
      </w:r>
    </w:p>
    <w:p w14:paraId="4490CFF7"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XIX. Verificar que los vales de entrada y salida del almacén, se encuentren debidamente foliados.</w:t>
      </w:r>
    </w:p>
    <w:p w14:paraId="02870350" w14:textId="77777777" w:rsidR="007664F8" w:rsidRPr="00F83343" w:rsidRDefault="00593714">
      <w:pPr>
        <w:spacing w:before="240" w:after="240"/>
        <w:ind w:left="567" w:right="843"/>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XX. Coordinar con la Dirección de Administración y Finanzas el programa anual de adquisiciones, arrendamientos y servicios, tomando en consideración, según corresponda, lo siguiente: I. Los objetivos, estrategias y líneas de acción establecidos en el Plan de Desarrollo del Estado de México, los criterios generales de política social fijados por el titular del Poder Ejecutivo, y las previsiones contenidas en los programas sectoriales. II. Los objetivos, estrategias y líneas de acción establecidos en los planes de desarrollo municipal. III. Las actividades sustantivas que desarrollen para cumplir con los programas prioritarios que tienen bajo su responsabilidad. IV. Las medidas que en materia de austeridad señale el Presupuesto de Egresos respectivo. </w:t>
      </w:r>
    </w:p>
    <w:p w14:paraId="1096D09C"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XXI. Instalar y Presidir el Comité de Adquisiciones y Servicios. </w:t>
      </w:r>
    </w:p>
    <w:p w14:paraId="04CD9B2A"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XXII. Realizar convocatoria pública en las adquisiciones, arrendamientos y servicios a través de licitaciones públicas. </w:t>
      </w:r>
    </w:p>
    <w:p w14:paraId="5EC63DFF"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XXIII. Publicar la convocatoria pública en uno de los diarios de mayor circulación en la capital del Estado y en uno de los diarios de mayor circulación nacional, así como a través del COMPRAMEX, Emitir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 </w:t>
      </w:r>
    </w:p>
    <w:p w14:paraId="76455220"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XXIV. Levantar el acta respectiva en los procedimientos de adquisición por licitación o invitación restringida, la cual será firmada por los participantes, sin que la falta de firma de alguno de ellos invalide su contenido y efectos. </w:t>
      </w:r>
    </w:p>
    <w:p w14:paraId="5C6C8471"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XXV. Declarar desierta la licitación en los procedimientos que tramiten, cuando no reciban propuesta alguna o las presentadas no reúnan los requisitos exigidos en las bases de licitación. Podrá declararse desierta una licitación parcialmente, cuando no se hubiese recibido propuesta alguna o las presentadas no reúnan los requisitos, respecto de una o varias partidas o conceptos. </w:t>
      </w:r>
    </w:p>
    <w:p w14:paraId="4A21D5C4"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XXVI. Adquirir y contratar servicios mediante invitación restringida.</w:t>
      </w:r>
    </w:p>
    <w:p w14:paraId="0F129D91"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XXVII. Adquirir bienes, arrendar bienes muebles e inmuebles y contratar servicios, mediante adjudicación directa. </w:t>
      </w:r>
    </w:p>
    <w:p w14:paraId="58338397"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XXVIII. Elaborar el programa anual de servicios de mantenimiento.</w:t>
      </w:r>
    </w:p>
    <w:p w14:paraId="4B4C0F5F"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XXIX. Verificar que la vigencia de los seguros del parque vehicular se encuentre vigente, evitando que éstos se queden sin cobertura; anticipando los procedimientos administrativos correspondientes para la contratación de los mismos. </w:t>
      </w:r>
    </w:p>
    <w:p w14:paraId="3FF68F58"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XXX. Supervisar y tramitar para las unidades del parque vehicular las obligaciones de pago de placas, tenencias, verificaciones, revistas, licencias y todos los aspectos administrativos. </w:t>
      </w:r>
    </w:p>
    <w:p w14:paraId="70E60905"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XXXI. Realizar diagnóstico de falla de las unidades vehiculares, hojalatería o soldadura. </w:t>
      </w:r>
    </w:p>
    <w:p w14:paraId="43F4EDCB"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XXXII. Controlar las Bitácoras de mantenimiento a unidades vehiculares. </w:t>
      </w:r>
    </w:p>
    <w:p w14:paraId="26534AA8"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XXXIII. Evaluar el servicio de taller interno y externo. </w:t>
      </w:r>
    </w:p>
    <w:p w14:paraId="6463D490"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XXXIV. Solicitar el dictamen o resolución de la compañía de seguros respecto del bien asegurado. para determinar el trámite correspondiente. </w:t>
      </w:r>
    </w:p>
    <w:p w14:paraId="64DE87BB" w14:textId="77777777" w:rsidR="007664F8" w:rsidRPr="00F83343" w:rsidRDefault="00593714">
      <w:pPr>
        <w:spacing w:before="240" w:after="240"/>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XXXV. Llevar un control de los gastos a través de una bitácora las reparaciones y mantenimiento del parque vehicular. </w:t>
      </w:r>
    </w:p>
    <w:p w14:paraId="4809EE98" w14:textId="77777777" w:rsidR="007664F8" w:rsidRPr="00F83343" w:rsidRDefault="00593714">
      <w:pPr>
        <w:spacing w:before="240" w:after="240"/>
        <w:ind w:left="567" w:right="843"/>
        <w:jc w:val="both"/>
        <w:rPr>
          <w:rFonts w:ascii="Palatino Linotype" w:eastAsia="Palatino Linotype" w:hAnsi="Palatino Linotype" w:cs="Palatino Linotype"/>
          <w:i/>
          <w:iCs/>
          <w:sz w:val="20"/>
          <w:szCs w:val="20"/>
        </w:rPr>
      </w:pPr>
      <w:r w:rsidRPr="00F83343">
        <w:rPr>
          <w:rFonts w:ascii="Palatino Linotype" w:eastAsia="Palatino Linotype" w:hAnsi="Palatino Linotype" w:cs="Palatino Linotype"/>
          <w:i/>
          <w:iCs/>
          <w:sz w:val="22"/>
          <w:szCs w:val="22"/>
        </w:rPr>
        <w:t>XXXVI. Llevar el control del consumo de los combustibles y lubricantes de cada uno de los vehículos y maquinaria de la entidad fiscalizable municipal, por medio de los vales de gasolina o por los consumos foráneos que realicen mediante bitácora.</w:t>
      </w:r>
    </w:p>
    <w:p w14:paraId="40131902" w14:textId="77777777" w:rsidR="007664F8" w:rsidRPr="00F83343" w:rsidRDefault="007664F8">
      <w:pPr>
        <w:spacing w:line="360" w:lineRule="auto"/>
        <w:ind w:right="134"/>
        <w:jc w:val="both"/>
        <w:rPr>
          <w:rFonts w:ascii="Palatino Linotype" w:eastAsia="Palatino Linotype" w:hAnsi="Palatino Linotype" w:cs="Palatino Linotype"/>
          <w:sz w:val="22"/>
          <w:szCs w:val="22"/>
        </w:rPr>
      </w:pPr>
    </w:p>
    <w:p w14:paraId="37B328C2" w14:textId="77777777" w:rsidR="007664F8" w:rsidRPr="00F83343" w:rsidRDefault="00593714">
      <w:pPr>
        <w:spacing w:line="360" w:lineRule="auto"/>
        <w:ind w:right="134"/>
        <w:jc w:val="both"/>
        <w:rPr>
          <w:rFonts w:ascii="Palatino Linotype" w:eastAsia="Palatino Linotype" w:hAnsi="Palatino Linotype" w:cs="Palatino Linotype"/>
          <w:sz w:val="22"/>
          <w:szCs w:val="22"/>
        </w:rPr>
      </w:pPr>
      <w:bookmarkStart w:id="2" w:name="_heading=h.oxeiay1uz8lh" w:colFirst="0" w:colLast="0"/>
      <w:bookmarkEnd w:id="2"/>
      <w:r w:rsidRPr="00F83343">
        <w:rPr>
          <w:rFonts w:ascii="Palatino Linotype" w:eastAsia="Palatino Linotype" w:hAnsi="Palatino Linotype" w:cs="Palatino Linotype"/>
          <w:sz w:val="22"/>
          <w:szCs w:val="22"/>
        </w:rPr>
        <w:t xml:space="preserve">Tal y como se advierte, la Jefatura de Adquisiciones del Ayuntamiento de Tepotzotlán, tiene atribuciones para generar, administrar y poseer información relativa a los procedimientos de adquisición de bienes y servicios del Ayuntamiento; sin embargo, al no precisar sobre la materia o elementos de adjudicaciones Directas, se tiene que se debió considerar a la Dirección de Obras Públicas o equivalente, ya que de acuerdo al Reglamento Interno de dicha unidad administrativa </w:t>
      </w:r>
    </w:p>
    <w:p w14:paraId="6F2F7BCE" w14:textId="77777777" w:rsidR="007664F8" w:rsidRPr="00F83343" w:rsidRDefault="007664F8">
      <w:pPr>
        <w:spacing w:line="360" w:lineRule="auto"/>
        <w:ind w:right="134"/>
        <w:jc w:val="both"/>
        <w:rPr>
          <w:rFonts w:ascii="Palatino Linotype" w:eastAsia="Palatino Linotype" w:hAnsi="Palatino Linotype" w:cs="Palatino Linotype"/>
          <w:sz w:val="22"/>
          <w:szCs w:val="22"/>
        </w:rPr>
      </w:pPr>
    </w:p>
    <w:p w14:paraId="0BAD8C2B" w14:textId="77777777" w:rsidR="007664F8" w:rsidRPr="00F83343" w:rsidRDefault="007664F8">
      <w:pPr>
        <w:spacing w:line="360" w:lineRule="auto"/>
        <w:ind w:right="134"/>
        <w:jc w:val="both"/>
        <w:rPr>
          <w:rFonts w:ascii="Palatino Linotype" w:eastAsia="Palatino Linotype" w:hAnsi="Palatino Linotype" w:cs="Palatino Linotype"/>
          <w:sz w:val="22"/>
          <w:szCs w:val="22"/>
        </w:rPr>
      </w:pPr>
    </w:p>
    <w:p w14:paraId="1BE70AB1" w14:textId="77777777" w:rsidR="007664F8" w:rsidRPr="00F83343" w:rsidRDefault="00593714">
      <w:pPr>
        <w:spacing w:line="360" w:lineRule="auto"/>
        <w:ind w:left="567" w:right="843"/>
        <w:jc w:val="center"/>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CAPÍTULO TERCERO</w:t>
      </w:r>
    </w:p>
    <w:p w14:paraId="0991DD34" w14:textId="77777777" w:rsidR="007664F8" w:rsidRPr="00F83343" w:rsidRDefault="00593714">
      <w:pPr>
        <w:spacing w:line="360" w:lineRule="auto"/>
        <w:ind w:left="567" w:right="843"/>
        <w:jc w:val="center"/>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DE LAS OBLIGACIONES DEL SUBDIRECTOR (A) DE OBRAS PÚBLICAS.</w:t>
      </w:r>
    </w:p>
    <w:p w14:paraId="3BDFD082" w14:textId="77777777" w:rsidR="007664F8" w:rsidRPr="00F83343" w:rsidRDefault="007664F8">
      <w:pPr>
        <w:spacing w:line="360" w:lineRule="auto"/>
        <w:ind w:left="567" w:right="843"/>
        <w:jc w:val="both"/>
        <w:rPr>
          <w:rFonts w:ascii="Palatino Linotype" w:eastAsia="Palatino Linotype" w:hAnsi="Palatino Linotype" w:cs="Palatino Linotype"/>
          <w:i/>
          <w:iCs/>
          <w:sz w:val="22"/>
          <w:szCs w:val="22"/>
        </w:rPr>
      </w:pPr>
    </w:p>
    <w:p w14:paraId="144EE30C"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Artículo 9.- Corresponde a el/la Subdirector de Obras Públicas, coordinar, supervisar, evaluar y en su caso, delegar el despacho de las actividades de las Jefaturas, coordinaciones, unidades administrativas, así como al personal adscrito a la Dirección, a fin de lograr el cumplimiento de los y objetivos y metas establecidos en los programas autorizados. </w:t>
      </w:r>
    </w:p>
    <w:p w14:paraId="3168F257" w14:textId="77777777" w:rsidR="007664F8" w:rsidRPr="00F83343" w:rsidRDefault="007664F8">
      <w:pPr>
        <w:spacing w:line="360" w:lineRule="auto"/>
        <w:ind w:left="567" w:right="843"/>
        <w:jc w:val="both"/>
        <w:rPr>
          <w:rFonts w:ascii="Palatino Linotype" w:eastAsia="Palatino Linotype" w:hAnsi="Palatino Linotype" w:cs="Palatino Linotype"/>
          <w:i/>
          <w:iCs/>
          <w:sz w:val="22"/>
          <w:szCs w:val="22"/>
        </w:rPr>
      </w:pPr>
    </w:p>
    <w:p w14:paraId="2225C92D" w14:textId="77777777" w:rsidR="007664F8" w:rsidRPr="00F83343" w:rsidRDefault="00593714">
      <w:pPr>
        <w:spacing w:line="360" w:lineRule="auto"/>
        <w:ind w:left="567" w:right="84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Artículo 10.- El/la Subdirección de Obras Públicas, tendrá las atribuciones siguientes: </w:t>
      </w:r>
    </w:p>
    <w:p w14:paraId="1EA38776" w14:textId="77777777" w:rsidR="007664F8" w:rsidRPr="00F83343" w:rsidRDefault="007664F8">
      <w:pPr>
        <w:spacing w:line="360" w:lineRule="auto"/>
        <w:ind w:left="567" w:right="843"/>
        <w:jc w:val="both"/>
        <w:rPr>
          <w:rFonts w:ascii="Palatino Linotype" w:eastAsia="Palatino Linotype" w:hAnsi="Palatino Linotype" w:cs="Palatino Linotype"/>
          <w:i/>
          <w:iCs/>
          <w:sz w:val="22"/>
          <w:szCs w:val="22"/>
        </w:rPr>
      </w:pPr>
    </w:p>
    <w:p w14:paraId="0290719E" w14:textId="77777777" w:rsidR="007664F8" w:rsidRPr="00F83343" w:rsidRDefault="00593714">
      <w:pPr>
        <w:numPr>
          <w:ilvl w:val="0"/>
          <w:numId w:val="3"/>
        </w:numPr>
        <w:pBdr>
          <w:top w:val="nil"/>
          <w:left w:val="nil"/>
          <w:bottom w:val="nil"/>
          <w:right w:val="nil"/>
          <w:between w:val="nil"/>
        </w:pBdr>
        <w:spacing w:line="360" w:lineRule="auto"/>
        <w:ind w:left="567" w:right="843" w:hanging="283"/>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Revisar la integración del Programa operativo anual de obra;</w:t>
      </w:r>
    </w:p>
    <w:p w14:paraId="7A637344" w14:textId="77777777" w:rsidR="007664F8" w:rsidRPr="00F83343" w:rsidRDefault="00593714">
      <w:pPr>
        <w:numPr>
          <w:ilvl w:val="0"/>
          <w:numId w:val="3"/>
        </w:numPr>
        <w:pBdr>
          <w:top w:val="nil"/>
          <w:left w:val="nil"/>
          <w:bottom w:val="nil"/>
          <w:right w:val="nil"/>
          <w:between w:val="nil"/>
        </w:pBdr>
        <w:spacing w:line="360" w:lineRule="auto"/>
        <w:ind w:left="567" w:right="843" w:hanging="425"/>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Revisar los proyectos de obra pública, con objeto de que estos, cumplan con la información mínima para su autorización y ejecución; </w:t>
      </w:r>
    </w:p>
    <w:p w14:paraId="5449F2BD" w14:textId="77777777" w:rsidR="007664F8" w:rsidRPr="00F83343" w:rsidRDefault="00593714">
      <w:pPr>
        <w:numPr>
          <w:ilvl w:val="0"/>
          <w:numId w:val="3"/>
        </w:numPr>
        <w:pBdr>
          <w:top w:val="nil"/>
          <w:left w:val="nil"/>
          <w:bottom w:val="nil"/>
          <w:right w:val="nil"/>
          <w:between w:val="nil"/>
        </w:pBdr>
        <w:spacing w:line="360" w:lineRule="auto"/>
        <w:ind w:left="567" w:right="843" w:hanging="425"/>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Revisar el procedimiento de adjudicación de obra pública, con el objeto de dar cumplimiento a la normatividad vigente en la materia; </w:t>
      </w:r>
    </w:p>
    <w:p w14:paraId="33F210F5" w14:textId="77777777" w:rsidR="007664F8" w:rsidRPr="00F83343" w:rsidRDefault="00593714">
      <w:pPr>
        <w:numPr>
          <w:ilvl w:val="0"/>
          <w:numId w:val="3"/>
        </w:numPr>
        <w:pBdr>
          <w:top w:val="nil"/>
          <w:left w:val="nil"/>
          <w:bottom w:val="nil"/>
          <w:right w:val="nil"/>
          <w:between w:val="nil"/>
        </w:pBdr>
        <w:spacing w:line="360" w:lineRule="auto"/>
        <w:ind w:left="567" w:right="843" w:hanging="425"/>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 xml:space="preserve">Revisa la elaboración de contratos de obra pública en los diferentes tipos de adjudicación, así como los convenios modificatorios; </w:t>
      </w:r>
    </w:p>
    <w:p w14:paraId="688147BD" w14:textId="77777777" w:rsidR="007664F8" w:rsidRPr="00F83343" w:rsidRDefault="00593714">
      <w:pPr>
        <w:numPr>
          <w:ilvl w:val="0"/>
          <w:numId w:val="3"/>
        </w:numPr>
        <w:pBdr>
          <w:top w:val="nil"/>
          <w:left w:val="nil"/>
          <w:bottom w:val="nil"/>
          <w:right w:val="nil"/>
          <w:between w:val="nil"/>
        </w:pBdr>
        <w:spacing w:line="360" w:lineRule="auto"/>
        <w:ind w:left="567" w:right="843" w:hanging="425"/>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Supervisa periódicamente las obras que se ejecutan, con objeto de verificar que cumplan con los alcances contractuales;</w:t>
      </w:r>
    </w:p>
    <w:p w14:paraId="42AA1B77" w14:textId="77777777" w:rsidR="007664F8" w:rsidRPr="00F83343" w:rsidRDefault="00593714">
      <w:pPr>
        <w:numPr>
          <w:ilvl w:val="0"/>
          <w:numId w:val="3"/>
        </w:numPr>
        <w:pBdr>
          <w:top w:val="nil"/>
          <w:left w:val="nil"/>
          <w:bottom w:val="nil"/>
          <w:right w:val="nil"/>
          <w:between w:val="nil"/>
        </w:pBdr>
        <w:spacing w:line="360" w:lineRule="auto"/>
        <w:ind w:left="567" w:right="843" w:hanging="425"/>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Revisar aleatoriamente los expedientes de obra, con objeto de que integre la información hasta la etapa de contratación. </w:t>
      </w:r>
    </w:p>
    <w:p w14:paraId="12EC7D19" w14:textId="77777777" w:rsidR="007664F8" w:rsidRPr="00F83343" w:rsidRDefault="00593714">
      <w:pPr>
        <w:numPr>
          <w:ilvl w:val="0"/>
          <w:numId w:val="3"/>
        </w:numPr>
        <w:pBdr>
          <w:top w:val="nil"/>
          <w:left w:val="nil"/>
          <w:bottom w:val="nil"/>
          <w:right w:val="nil"/>
          <w:between w:val="nil"/>
        </w:pBdr>
        <w:spacing w:line="360" w:lineRule="auto"/>
        <w:ind w:left="567" w:right="843" w:hanging="425"/>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Coordinar, supervisar y en su caso, elaborar, opiniones, reportes e informes que le solicite el Director; </w:t>
      </w:r>
    </w:p>
    <w:p w14:paraId="1587EBE5" w14:textId="77777777" w:rsidR="007664F8" w:rsidRPr="00F83343" w:rsidRDefault="00593714">
      <w:pPr>
        <w:numPr>
          <w:ilvl w:val="0"/>
          <w:numId w:val="3"/>
        </w:numPr>
        <w:pBdr>
          <w:top w:val="nil"/>
          <w:left w:val="nil"/>
          <w:bottom w:val="nil"/>
          <w:right w:val="nil"/>
          <w:between w:val="nil"/>
        </w:pBdr>
        <w:spacing w:line="360" w:lineRule="auto"/>
        <w:ind w:left="567" w:right="843" w:hanging="425"/>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Guardar y vigilar la adecuada aplicación de las normas administrativas, técnicas u operativas, en la materia; </w:t>
      </w:r>
    </w:p>
    <w:p w14:paraId="1A71726E" w14:textId="77777777" w:rsidR="007664F8" w:rsidRPr="00F83343" w:rsidRDefault="00593714">
      <w:pPr>
        <w:numPr>
          <w:ilvl w:val="0"/>
          <w:numId w:val="3"/>
        </w:numPr>
        <w:pBdr>
          <w:top w:val="nil"/>
          <w:left w:val="nil"/>
          <w:bottom w:val="nil"/>
          <w:right w:val="nil"/>
          <w:between w:val="nil"/>
        </w:pBdr>
        <w:spacing w:line="360" w:lineRule="auto"/>
        <w:ind w:left="567" w:right="843" w:hanging="425"/>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Coordinar, supervisar y evaluar auxiliándose del residente de obra correspondiente las acciones de inspección y verificación de la obra pública y de servicios relacionados con la misma, que cumplan calidad y plazo para la ejecución de los mismos;</w:t>
      </w:r>
    </w:p>
    <w:p w14:paraId="0D3FAF52" w14:textId="77777777" w:rsidR="007664F8" w:rsidRPr="00F83343" w:rsidRDefault="00593714">
      <w:pPr>
        <w:numPr>
          <w:ilvl w:val="0"/>
          <w:numId w:val="3"/>
        </w:numPr>
        <w:pBdr>
          <w:top w:val="nil"/>
          <w:left w:val="nil"/>
          <w:bottom w:val="nil"/>
          <w:right w:val="nil"/>
          <w:between w:val="nil"/>
        </w:pBdr>
        <w:spacing w:line="360" w:lineRule="auto"/>
        <w:ind w:left="567" w:right="843" w:hanging="425"/>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Las demás funciones inherentes que se le requiera y/o instruya;</w:t>
      </w:r>
    </w:p>
    <w:p w14:paraId="5F358998"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23EC7DE3"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Tal y como se advierte, la Subdirección de Obras Públicas tiene a facultad de revisar el procedimiento de adjudicación de obra, con el objeto de dar cumplimiento a la normatividad vigente, así como revisar la elaboración de contratos, siendo estas facultades las que conllevan a su participación en los procedimientos de adjudicación de Obra Pública.</w:t>
      </w:r>
    </w:p>
    <w:p w14:paraId="42A635FF"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7D724AE1"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De este modo se advierte que el </w:t>
      </w:r>
      <w:r w:rsidRPr="00F83343">
        <w:rPr>
          <w:rFonts w:ascii="Palatino Linotype" w:eastAsia="Palatino Linotype" w:hAnsi="Palatino Linotype" w:cs="Palatino Linotype"/>
          <w:b/>
          <w:bCs/>
          <w:sz w:val="22"/>
          <w:szCs w:val="22"/>
        </w:rPr>
        <w:t>Sujeto Obligado</w:t>
      </w:r>
      <w:r w:rsidRPr="00F83343">
        <w:rPr>
          <w:rFonts w:ascii="Palatino Linotype" w:eastAsia="Palatino Linotype" w:hAnsi="Palatino Linotype" w:cs="Palatino Linotype"/>
          <w:sz w:val="22"/>
          <w:szCs w:val="22"/>
        </w:rPr>
        <w:t xml:space="preserve">  no turnó la solicitud de información a todas las unidades administrativas competentes, de modo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24AF9260" w14:textId="77777777" w:rsidR="007664F8" w:rsidRPr="00F83343" w:rsidRDefault="007664F8">
      <w:pPr>
        <w:spacing w:line="360" w:lineRule="auto"/>
        <w:rPr>
          <w:rFonts w:ascii="Palatino Linotype" w:eastAsia="Palatino Linotype" w:hAnsi="Palatino Linotype" w:cs="Palatino Linotype"/>
          <w:sz w:val="22"/>
          <w:szCs w:val="22"/>
        </w:rPr>
      </w:pPr>
    </w:p>
    <w:p w14:paraId="7E8F316E" w14:textId="77777777" w:rsidR="007664F8" w:rsidRPr="00F83343" w:rsidRDefault="005937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66850E1" w14:textId="77777777" w:rsidR="007664F8" w:rsidRPr="00F83343" w:rsidRDefault="005937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7AF3B4C1" w14:textId="77777777" w:rsidR="007664F8" w:rsidRPr="00F83343" w:rsidRDefault="007664F8">
      <w:pPr>
        <w:tabs>
          <w:tab w:val="left" w:pos="4962"/>
        </w:tabs>
        <w:spacing w:line="360" w:lineRule="auto"/>
        <w:ind w:right="-28"/>
        <w:jc w:val="both"/>
        <w:rPr>
          <w:rFonts w:ascii="Palatino Linotype" w:eastAsia="Palatino Linotype" w:hAnsi="Palatino Linotype" w:cs="Palatino Linotype"/>
          <w:sz w:val="22"/>
          <w:szCs w:val="22"/>
        </w:rPr>
      </w:pPr>
    </w:p>
    <w:p w14:paraId="726A5B54"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De tal circunstancia, se logra colegir que el </w:t>
      </w:r>
      <w:r w:rsidRPr="00F83343">
        <w:rPr>
          <w:rFonts w:ascii="Palatino Linotype" w:eastAsia="Palatino Linotype" w:hAnsi="Palatino Linotype" w:cs="Palatino Linotype"/>
          <w:b/>
          <w:bCs/>
          <w:sz w:val="22"/>
          <w:szCs w:val="22"/>
        </w:rPr>
        <w:t>Sujeto Obligado</w:t>
      </w:r>
      <w:r w:rsidRPr="00F83343">
        <w:rPr>
          <w:rFonts w:ascii="Palatino Linotype" w:eastAsia="Palatino Linotype" w:hAnsi="Palatino Linotype" w:cs="Palatino Linotype"/>
          <w:sz w:val="22"/>
          <w:szCs w:val="22"/>
        </w:rPr>
        <w:t xml:space="preserve"> no cumplió con el procedimiento de búsqueda establecido en el artículo 162 de la Ley de Transparencia y Acceso a la Información Pública del Estado de México y Municipios, toda vez que no turnó la solicitud a la unidad administrativa denominada Dirección de Obras Públicas.</w:t>
      </w:r>
    </w:p>
    <w:p w14:paraId="753E923C"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7C7CF736"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En consecuencia, se ORDENA al Sujeto Obligado realizar una nueva búsqueda exhaustiva y razonable a efecto de localizar y poner a disposición del Recurrente los documentos donde consten los procedimientos de adjudicación directa realizadas del uno al dieciocho de diciembre de dos mil veinticinco. </w:t>
      </w:r>
    </w:p>
    <w:p w14:paraId="6124D6B7" w14:textId="77777777" w:rsidR="007664F8" w:rsidRPr="00F83343" w:rsidRDefault="00593714">
      <w:pP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Al respecto, atendiendo que en el presente asunto se requiere información del mes de diciembre de 2025, que comprende del 01 al 31 de diciembre de 2025, es de indicar que la información sobre hechos que aún no se han generado debido a la temporalidad, son hechos futuros; por lo que no es procedente que los sujetos obligados proporcionen dicha información; siendo aplicable la tesis con número de registro digital 209001</w:t>
      </w:r>
      <w:r w:rsidRPr="00F83343">
        <w:rPr>
          <w:rFonts w:ascii="Palatino Linotype" w:eastAsia="Palatino Linotype" w:hAnsi="Palatino Linotype" w:cs="Palatino Linotype"/>
          <w:sz w:val="22"/>
          <w:szCs w:val="22"/>
          <w:vertAlign w:val="superscript"/>
        </w:rPr>
        <w:footnoteReference w:id="1"/>
      </w:r>
      <w:r w:rsidRPr="00F83343">
        <w:rPr>
          <w:rFonts w:ascii="Palatino Linotype" w:eastAsia="Palatino Linotype" w:hAnsi="Palatino Linotype" w:cs="Palatino Linotype"/>
          <w:sz w:val="22"/>
          <w:szCs w:val="22"/>
        </w:rPr>
        <w:t xml:space="preserve"> emitida por el Poder Judicial de la Federación, que dispone lo siguiente:</w:t>
      </w:r>
    </w:p>
    <w:p w14:paraId="5D4E0D4F" w14:textId="77777777" w:rsidR="007664F8" w:rsidRPr="00F83343" w:rsidRDefault="00593714">
      <w:pPr>
        <w:spacing w:before="240" w:after="240" w:line="360" w:lineRule="auto"/>
        <w:ind w:left="567" w:right="426"/>
        <w:jc w:val="both"/>
        <w:rPr>
          <w:rFonts w:ascii="Palatino Linotype" w:eastAsia="Palatino Linotype" w:hAnsi="Palatino Linotype" w:cs="Palatino Linotype"/>
          <w:b/>
          <w:bCs/>
          <w:i/>
          <w:iCs/>
          <w:sz w:val="22"/>
          <w:szCs w:val="22"/>
        </w:rPr>
      </w:pPr>
      <w:r w:rsidRPr="00F83343">
        <w:rPr>
          <w:rFonts w:ascii="Palatino Linotype" w:eastAsia="Palatino Linotype" w:hAnsi="Palatino Linotype" w:cs="Palatino Linotype"/>
          <w:b/>
          <w:bCs/>
          <w:i/>
          <w:iCs/>
          <w:sz w:val="22"/>
          <w:szCs w:val="22"/>
        </w:rPr>
        <w:t>ACTOS FUTUROS DE REALIZACION INCIERTA. NO PROCEDE EL JUICIO DE AMPARO CONTRA LOS.</w:t>
      </w:r>
    </w:p>
    <w:p w14:paraId="16617FF2" w14:textId="77777777" w:rsidR="007664F8" w:rsidRPr="00F83343" w:rsidRDefault="00593714">
      <w:pPr>
        <w:spacing w:before="240" w:after="240" w:line="360" w:lineRule="auto"/>
        <w:ind w:left="567" w:right="42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Contra actos futuros de realización incierta no procede el juicio de garantías.</w:t>
      </w:r>
    </w:p>
    <w:p w14:paraId="35761E23" w14:textId="77777777" w:rsidR="007664F8" w:rsidRPr="00F83343" w:rsidRDefault="00593714">
      <w:pPr>
        <w:spacing w:before="240" w:after="240" w:line="360" w:lineRule="auto"/>
        <w:ind w:left="567" w:right="426"/>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En ese sentido, no es procedente la exigencia del hoy Recurrente de que el Sujeto Obligado atienda su solicitud, pues esa autoridad únicamente está constreñida a proporcionar la información pública que genere en uso de sus atribuciones de derecho público con anterioridad a la fecha de la solicitud de información.</w:t>
      </w:r>
    </w:p>
    <w:p w14:paraId="0F6EF989" w14:textId="77777777" w:rsidR="007664F8" w:rsidRPr="00F83343" w:rsidRDefault="00593714">
      <w:pP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En ese sentido, no es procedente la exigencia del hoy Recurrente de que el </w:t>
      </w:r>
      <w:r w:rsidRPr="00F83343">
        <w:rPr>
          <w:rFonts w:ascii="Palatino Linotype" w:eastAsia="Palatino Linotype" w:hAnsi="Palatino Linotype" w:cs="Palatino Linotype"/>
          <w:b/>
          <w:bCs/>
          <w:sz w:val="22"/>
          <w:szCs w:val="22"/>
        </w:rPr>
        <w:t>Sujeto Obligado</w:t>
      </w:r>
      <w:r w:rsidRPr="00F83343">
        <w:rPr>
          <w:rFonts w:ascii="Palatino Linotype" w:eastAsia="Palatino Linotype" w:hAnsi="Palatino Linotype" w:cs="Palatino Linotype"/>
          <w:sz w:val="22"/>
          <w:szCs w:val="22"/>
        </w:rPr>
        <w:t xml:space="preserve"> atienda su solicitud, respecto de la información precisada, respecto del 01 al 31 de diciembre de 2025, pues esa autoridad únicamente está constreñida a proporcionar la información pública que genere en uso de sus atribuciones de derecho público a la fecha de la solicitud de información, por lo que la información respecto dicho ejercicio, será la generada, poseída o administrada, </w:t>
      </w:r>
      <w:r w:rsidRPr="00F83343">
        <w:rPr>
          <w:rFonts w:ascii="Palatino Linotype" w:eastAsia="Palatino Linotype" w:hAnsi="Palatino Linotype" w:cs="Palatino Linotype"/>
          <w:b/>
          <w:bCs/>
          <w:sz w:val="22"/>
          <w:szCs w:val="22"/>
        </w:rPr>
        <w:t>del 01 al 18 de diciembre de 2025</w:t>
      </w:r>
      <w:r w:rsidRPr="00F83343">
        <w:rPr>
          <w:rFonts w:ascii="Palatino Linotype" w:eastAsia="Palatino Linotype" w:hAnsi="Palatino Linotype" w:cs="Palatino Linotype"/>
          <w:sz w:val="22"/>
          <w:szCs w:val="22"/>
        </w:rPr>
        <w:t>.</w:t>
      </w:r>
    </w:p>
    <w:p w14:paraId="2F67C7ED"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3B6D89B1"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De ser el caso de que la información que se ordena entregar contenga datos personales susceptibles de clasificarse como información confidencial, el Sujeto Obligado estará a lo dispuesto en el Considerando Quinto de la presente resolución. </w:t>
      </w:r>
    </w:p>
    <w:p w14:paraId="744826C9"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0F04E4E8" w14:textId="77777777" w:rsidR="007664F8" w:rsidRPr="00F83343" w:rsidRDefault="00593714">
      <w:pPr>
        <w:spacing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Ahora bien, si como resultado de la búsqueda exhaustiva y razonable, se determina que no se localizó la información, por no haberse realizado ningún procedimiento de adjudicación directa en el periodo señalado, bastará con que así lo haga del conocimiento de la parte </w:t>
      </w:r>
      <w:r w:rsidRPr="00F83343">
        <w:rPr>
          <w:rFonts w:ascii="Palatino Linotype" w:eastAsia="Palatino Linotype" w:hAnsi="Palatino Linotype" w:cs="Palatino Linotype"/>
          <w:b/>
          <w:bCs/>
          <w:sz w:val="22"/>
          <w:szCs w:val="22"/>
        </w:rPr>
        <w:t>Recurrente</w:t>
      </w:r>
      <w:r w:rsidRPr="00F83343">
        <w:rPr>
          <w:rFonts w:ascii="Palatino Linotype" w:eastAsia="Palatino Linotype" w:hAnsi="Palatino Linotype" w:cs="Palatino Linotype"/>
          <w:sz w:val="22"/>
          <w:szCs w:val="22"/>
        </w:rPr>
        <w:t>, de manera clara y precisa, en términos del artículo 19, párrafo segundo de la Ley de Transparencia y Acceso a la Información pública del Estado de México y Municipios.</w:t>
      </w:r>
    </w:p>
    <w:p w14:paraId="49CE63BC" w14:textId="77777777" w:rsidR="007664F8" w:rsidRPr="00F83343" w:rsidRDefault="007664F8">
      <w:pPr>
        <w:spacing w:line="360" w:lineRule="auto"/>
        <w:jc w:val="both"/>
        <w:rPr>
          <w:rFonts w:ascii="Palatino Linotype" w:eastAsia="Palatino Linotype" w:hAnsi="Palatino Linotype" w:cs="Palatino Linotype"/>
          <w:sz w:val="22"/>
          <w:szCs w:val="22"/>
        </w:rPr>
      </w:pPr>
    </w:p>
    <w:p w14:paraId="0DD4F9C4" w14:textId="77777777" w:rsidR="007664F8" w:rsidRPr="00F83343" w:rsidRDefault="0059371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 xml:space="preserve">Quinto. Versión Pública. </w:t>
      </w:r>
      <w:r w:rsidRPr="00F83343">
        <w:rPr>
          <w:rFonts w:ascii="Palatino Linotype" w:eastAsia="Palatino Linotype" w:hAnsi="Palatino Linotype" w:cs="Palatino Linotype"/>
          <w:sz w:val="22"/>
          <w:szCs w:val="22"/>
        </w:rPr>
        <w:t>Como fue debidamente apuntado, el </w:t>
      </w:r>
      <w:r w:rsidRPr="00F83343">
        <w:rPr>
          <w:rFonts w:ascii="Palatino Linotype" w:eastAsia="Palatino Linotype" w:hAnsi="Palatino Linotype" w:cs="Palatino Linotype"/>
          <w:b/>
          <w:bCs/>
          <w:sz w:val="22"/>
          <w:szCs w:val="22"/>
        </w:rPr>
        <w:t>Sujeto Obligado</w:t>
      </w:r>
      <w:r w:rsidRPr="00F83343">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3E7E9F35" w14:textId="77777777" w:rsidR="007664F8" w:rsidRPr="00F83343" w:rsidRDefault="0059371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AAE8747" w14:textId="77777777" w:rsidR="007664F8" w:rsidRPr="00F83343" w:rsidRDefault="0059371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4886C29" w14:textId="77777777" w:rsidR="007664F8" w:rsidRPr="00F83343" w:rsidRDefault="0059371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70AA31AA"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w:t>
      </w:r>
      <w:r w:rsidRPr="00F83343">
        <w:rPr>
          <w:rFonts w:ascii="Palatino Linotype" w:eastAsia="Palatino Linotype" w:hAnsi="Palatino Linotype" w:cs="Palatino Linotype"/>
          <w:i/>
          <w:iCs/>
          <w:sz w:val="22"/>
          <w:szCs w:val="22"/>
        </w:rPr>
        <w:t>“</w:t>
      </w:r>
      <w:r w:rsidRPr="00F83343">
        <w:rPr>
          <w:rFonts w:ascii="Palatino Linotype" w:eastAsia="Palatino Linotype" w:hAnsi="Palatino Linotype" w:cs="Palatino Linotype"/>
          <w:b/>
          <w:bCs/>
          <w:i/>
          <w:iCs/>
          <w:sz w:val="22"/>
          <w:szCs w:val="22"/>
        </w:rPr>
        <w:t>Artículo 3.</w:t>
      </w:r>
      <w:r w:rsidRPr="00F83343">
        <w:rPr>
          <w:rFonts w:ascii="Palatino Linotype" w:eastAsia="Palatino Linotype" w:hAnsi="Palatino Linotype" w:cs="Palatino Linotype"/>
          <w:i/>
          <w:iCs/>
          <w:sz w:val="22"/>
          <w:szCs w:val="22"/>
        </w:rPr>
        <w:t xml:space="preserve"> Para los efectos de la presente Ley se entenderá por:</w:t>
      </w:r>
    </w:p>
    <w:p w14:paraId="4C403F9E"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w:t>
      </w:r>
    </w:p>
    <w:p w14:paraId="57D569C9"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IX. Datos personales</w:t>
      </w:r>
      <w:r w:rsidRPr="00F83343">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3148389C"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w:t>
      </w:r>
    </w:p>
    <w:p w14:paraId="3AB0846D"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XX. Información clasificada</w:t>
      </w:r>
      <w:r w:rsidRPr="00F83343">
        <w:rPr>
          <w:rFonts w:ascii="Palatino Linotype" w:eastAsia="Palatino Linotype" w:hAnsi="Palatino Linotype" w:cs="Palatino Linotype"/>
          <w:i/>
          <w:iCs/>
          <w:sz w:val="22"/>
          <w:szCs w:val="22"/>
        </w:rPr>
        <w:t>: Aquella considerada por la presente Ley como reservada o confidencial;</w:t>
      </w:r>
    </w:p>
    <w:p w14:paraId="20D51594"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XXI. Información confidencial</w:t>
      </w:r>
      <w:r w:rsidRPr="00F83343">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9A98949"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w:t>
      </w:r>
    </w:p>
    <w:p w14:paraId="68048A09"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XXXII. Protección de Datos Personales</w:t>
      </w:r>
      <w:r w:rsidRPr="00F83343">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11307747"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w:t>
      </w:r>
    </w:p>
    <w:p w14:paraId="0B5CA9E0"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XLV. Versión pública</w:t>
      </w:r>
      <w:r w:rsidRPr="00F83343">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7CEDA9FF"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 Artículo 6</w:t>
      </w:r>
      <w:r w:rsidRPr="00F83343">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49FA19C"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w:t>
      </w:r>
    </w:p>
    <w:p w14:paraId="3B07AED2"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Artículo 91.</w:t>
      </w:r>
      <w:r w:rsidRPr="00F83343">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F83343">
        <w:rPr>
          <w:rFonts w:ascii="Palatino Linotype" w:eastAsia="Palatino Linotype" w:hAnsi="Palatino Linotype" w:cs="Palatino Linotype"/>
          <w:i/>
          <w:iCs/>
          <w:sz w:val="22"/>
          <w:szCs w:val="22"/>
        </w:rPr>
        <w:br/>
        <w:t>…</w:t>
      </w:r>
    </w:p>
    <w:p w14:paraId="30CA7D44"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Artículo 132.</w:t>
      </w:r>
      <w:r w:rsidRPr="00F83343">
        <w:rPr>
          <w:rFonts w:ascii="Palatino Linotype" w:eastAsia="Palatino Linotype" w:hAnsi="Palatino Linotype" w:cs="Palatino Linotype"/>
          <w:i/>
          <w:iCs/>
          <w:sz w:val="22"/>
          <w:szCs w:val="22"/>
        </w:rPr>
        <w:t xml:space="preserve"> La clasificación de la información se llevará a cabo en el momento en que:</w:t>
      </w:r>
    </w:p>
    <w:p w14:paraId="63345E69"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w:t>
      </w:r>
      <w:r w:rsidRPr="00F83343">
        <w:rPr>
          <w:rFonts w:ascii="Palatino Linotype" w:eastAsia="Palatino Linotype" w:hAnsi="Palatino Linotype" w:cs="Palatino Linotype"/>
          <w:i/>
          <w:iCs/>
          <w:sz w:val="22"/>
          <w:szCs w:val="22"/>
        </w:rPr>
        <w:t>. Se reciba una solicitud de acceso a la información;</w:t>
      </w:r>
    </w:p>
    <w:p w14:paraId="6B16D1A3"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II.</w:t>
      </w:r>
      <w:r w:rsidRPr="00F83343">
        <w:rPr>
          <w:rFonts w:ascii="Palatino Linotype" w:eastAsia="Palatino Linotype" w:hAnsi="Palatino Linotype" w:cs="Palatino Linotype"/>
          <w:i/>
          <w:iCs/>
          <w:sz w:val="22"/>
          <w:szCs w:val="22"/>
        </w:rPr>
        <w:t xml:space="preserve"> Se determine mediante resolución de autoridad competente; o</w:t>
      </w:r>
    </w:p>
    <w:p w14:paraId="65753ED7"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III.</w:t>
      </w:r>
      <w:r w:rsidRPr="00F83343">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5DF8BC35"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w:t>
      </w:r>
    </w:p>
    <w:p w14:paraId="2A5931FE"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Artículo 137.</w:t>
      </w:r>
      <w:r w:rsidRPr="00F83343">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ADFB6F7"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 Artículo 143.</w:t>
      </w:r>
      <w:r w:rsidRPr="00F83343">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337AE577"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w:t>
      </w:r>
      <w:r w:rsidRPr="00F83343">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0CC1E7DE"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83343">
        <w:rPr>
          <w:rFonts w:ascii="Palatino Linotype" w:eastAsia="Palatino Linotype" w:hAnsi="Palatino Linotype" w:cs="Palatino Linotype"/>
          <w:b/>
          <w:bCs/>
          <w:sz w:val="22"/>
          <w:szCs w:val="22"/>
        </w:rPr>
        <w:t>Sujeto Obligado</w:t>
      </w:r>
      <w:r w:rsidRPr="00F83343">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5E8D6C4"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083C9A3" w14:textId="77777777" w:rsidR="007664F8" w:rsidRPr="00F83343" w:rsidRDefault="0059371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6ADB410A" w14:textId="77777777" w:rsidR="007664F8" w:rsidRPr="00F83343" w:rsidRDefault="0059371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La </w:t>
      </w:r>
      <w:r w:rsidRPr="00F83343">
        <w:rPr>
          <w:rFonts w:ascii="Palatino Linotype" w:eastAsia="Palatino Linotype" w:hAnsi="Palatino Linotype" w:cs="Palatino Linotype"/>
          <w:b/>
          <w:bCs/>
          <w:sz w:val="22"/>
          <w:szCs w:val="22"/>
        </w:rPr>
        <w:t>clave de elector</w:t>
      </w:r>
      <w:r w:rsidRPr="00F83343">
        <w:rPr>
          <w:rFonts w:ascii="Palatino Linotype" w:eastAsia="Palatino Linotype" w:hAnsi="Palatino Linotype" w:cs="Palatino Linotype"/>
          <w:sz w:val="22"/>
          <w:szCs w:val="22"/>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785AF9C4" w14:textId="77777777" w:rsidR="007664F8" w:rsidRPr="00F83343" w:rsidRDefault="0059371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El </w:t>
      </w:r>
      <w:r w:rsidRPr="00F83343">
        <w:rPr>
          <w:rFonts w:ascii="Palatino Linotype" w:eastAsia="Palatino Linotype" w:hAnsi="Palatino Linotype" w:cs="Palatino Linotype"/>
          <w:b/>
          <w:bCs/>
          <w:sz w:val="22"/>
          <w:szCs w:val="22"/>
        </w:rPr>
        <w:t>número de OCR,</w:t>
      </w:r>
      <w:r w:rsidRPr="00F83343">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552CCC03" w14:textId="77777777" w:rsidR="007664F8" w:rsidRPr="00F83343" w:rsidRDefault="0059371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La </w:t>
      </w:r>
      <w:r w:rsidRPr="00F83343">
        <w:rPr>
          <w:rFonts w:ascii="Palatino Linotype" w:eastAsia="Palatino Linotype" w:hAnsi="Palatino Linotype" w:cs="Palatino Linotype"/>
          <w:b/>
          <w:bCs/>
          <w:sz w:val="22"/>
          <w:szCs w:val="22"/>
        </w:rPr>
        <w:t>clave única del registro de población,</w:t>
      </w:r>
      <w:r w:rsidRPr="00F83343">
        <w:rPr>
          <w:rFonts w:ascii="Palatino Linotype" w:eastAsia="Palatino Linotype" w:hAnsi="Palatino Linotype" w:cs="Palatino Linotype"/>
          <w:i/>
          <w:iCs/>
          <w:sz w:val="22"/>
          <w:szCs w:val="22"/>
        </w:rPr>
        <w:t xml:space="preserve"> </w:t>
      </w:r>
      <w:r w:rsidRPr="00F83343">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329B7A03"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Igualmente, resulta importante destacar que el </w:t>
      </w:r>
      <w:r w:rsidRPr="00F83343">
        <w:rPr>
          <w:rFonts w:ascii="Palatino Linotype" w:eastAsia="Palatino Linotype" w:hAnsi="Palatino Linotype" w:cs="Palatino Linotype"/>
          <w:i/>
          <w:iCs/>
          <w:sz w:val="22"/>
          <w:szCs w:val="22"/>
        </w:rPr>
        <w:t>número de cuenta bancaria</w:t>
      </w:r>
      <w:r w:rsidRPr="00F83343">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1A4A6A6"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7499F4CF"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151A67B"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En esa virtud, este Pleno determina que dicha información no puede ser del dominio público, toda vez que se podría dar un uso inadecuado a la misma o cometer algún ilícito o fraude como ya ha sido expuesto. </w:t>
      </w:r>
    </w:p>
    <w:p w14:paraId="446C8B22"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Es por esta razón que se debe omitir el o los números de cuentas bancarias de particulares en las versiones públicas que de las facturas se hagan, para ser entregadas.</w:t>
      </w:r>
    </w:p>
    <w:p w14:paraId="13227803"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2C62CAB5"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14:paraId="65073D65"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“Cuentas bancarias y/o CLABE interbancaria de personas físicas y morales privadas.</w:t>
      </w:r>
      <w:r w:rsidRPr="00F83343">
        <w:rPr>
          <w:rFonts w:ascii="Palatino Linotype" w:eastAsia="Palatino Linotype" w:hAnsi="Palatino Linotype" w:cs="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1CB3C02"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sidRPr="00F83343">
        <w:rPr>
          <w:rFonts w:ascii="Palatino Linotype" w:eastAsia="Palatino Linotype" w:hAnsi="Palatino Linotype" w:cs="Palatino Linotype"/>
          <w:i/>
          <w:iCs/>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CC9FD48"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Por cuanto hace al </w:t>
      </w:r>
      <w:r w:rsidRPr="00F83343">
        <w:rPr>
          <w:rFonts w:ascii="Palatino Linotype" w:eastAsia="Palatino Linotype" w:hAnsi="Palatino Linotype" w:cs="Palatino Linotype"/>
          <w:b/>
          <w:bCs/>
          <w:sz w:val="22"/>
          <w:szCs w:val="22"/>
        </w:rPr>
        <w:t xml:space="preserve">Registro Federal de Contribuyentes (RFC) </w:t>
      </w:r>
      <w:r w:rsidRPr="00F83343">
        <w:rPr>
          <w:rFonts w:ascii="Palatino Linotype" w:eastAsia="Palatino Linotype" w:hAnsi="Palatino Linotype" w:cs="Palatino Linotype"/>
          <w:sz w:val="22"/>
          <w:szCs w:val="22"/>
        </w:rPr>
        <w:t>y</w:t>
      </w:r>
      <w:r w:rsidRPr="00F83343">
        <w:rPr>
          <w:rFonts w:ascii="Palatino Linotype" w:eastAsia="Palatino Linotype" w:hAnsi="Palatino Linotype" w:cs="Palatino Linotype"/>
          <w:b/>
          <w:bCs/>
          <w:sz w:val="22"/>
          <w:szCs w:val="22"/>
        </w:rPr>
        <w:t xml:space="preserve"> el domicilio fiscal </w:t>
      </w:r>
      <w:r w:rsidRPr="00F83343">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7C0683DA"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0FD3417"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F83343">
        <w:rPr>
          <w:rFonts w:ascii="Palatino Linotype" w:eastAsia="Palatino Linotype" w:hAnsi="Palatino Linotype" w:cs="Palatino Linotype"/>
          <w:b/>
          <w:bCs/>
          <w:sz w:val="22"/>
          <w:szCs w:val="22"/>
        </w:rPr>
        <w:t>no puede considerarse como información clasificada lo relativo a su nombre, registro federal de contribuyentes y domicilio fiscal</w:t>
      </w:r>
      <w:r w:rsidRPr="00F83343">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2CC40D6E" w14:textId="77777777" w:rsidR="007664F8" w:rsidRPr="00F83343" w:rsidRDefault="0059371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Robustece lo anterior el criterio orientador 04/21 emitido por el entonces Instituto Nacional de Transparencia, Acceso a la Información y Protección de Datos Personales, INAI, el cual refiere:</w:t>
      </w:r>
    </w:p>
    <w:p w14:paraId="7843FBD7"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 xml:space="preserve">“Registro Federal de Contribuyentes (RFC) de personas físicas proveedoras o contratistas. </w:t>
      </w:r>
      <w:r w:rsidRPr="00F83343">
        <w:rPr>
          <w:rFonts w:ascii="Palatino Linotype" w:eastAsia="Palatino Linotype" w:hAnsi="Palatino Linotype" w:cs="Palatino Linotype"/>
          <w:i/>
          <w:iCs/>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632160DD"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Relacionado con lo anterior, el </w:t>
      </w:r>
      <w:r w:rsidRPr="00F83343">
        <w:rPr>
          <w:rFonts w:ascii="Palatino Linotype" w:eastAsia="Palatino Linotype" w:hAnsi="Palatino Linotype" w:cs="Palatino Linotype"/>
          <w:b/>
          <w:bCs/>
          <w:sz w:val="22"/>
          <w:szCs w:val="22"/>
        </w:rPr>
        <w:t>nombre de las personas físicas</w:t>
      </w:r>
      <w:r w:rsidRPr="00F83343">
        <w:rPr>
          <w:rFonts w:ascii="Palatino Linotype" w:eastAsia="Palatino Linotype" w:hAnsi="Palatino Linotype" w:cs="Palatino Linotype"/>
          <w:sz w:val="22"/>
          <w:szCs w:val="22"/>
        </w:rPr>
        <w:t xml:space="preserve"> o los </w:t>
      </w:r>
      <w:r w:rsidRPr="00F83343">
        <w:rPr>
          <w:rFonts w:ascii="Palatino Linotype" w:eastAsia="Palatino Linotype" w:hAnsi="Palatino Linotype" w:cs="Palatino Linotype"/>
          <w:b/>
          <w:bCs/>
          <w:sz w:val="22"/>
          <w:szCs w:val="22"/>
        </w:rPr>
        <w:t>representantes legales de las personas morales</w:t>
      </w:r>
      <w:r w:rsidRPr="00F83343">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128DDE92"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67A04A2C"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w:t>
      </w:r>
      <w:r w:rsidRPr="00F83343">
        <w:rPr>
          <w:rFonts w:ascii="Palatino Linotype" w:eastAsia="Palatino Linotype" w:hAnsi="Palatino Linotype" w:cs="Palatino Linotype"/>
          <w:b/>
          <w:bCs/>
          <w:i/>
          <w:iCs/>
          <w:sz w:val="22"/>
          <w:szCs w:val="22"/>
        </w:rPr>
        <w:t>Artículo 23.</w:t>
      </w:r>
      <w:r w:rsidRPr="00F83343">
        <w:rPr>
          <w:rFonts w:ascii="Palatino Linotype" w:eastAsia="Palatino Linotype" w:hAnsi="Palatino Linotype" w:cs="Palatino Linotype"/>
          <w:i/>
          <w:iCs/>
          <w:sz w:val="22"/>
          <w:szCs w:val="22"/>
        </w:rPr>
        <w:t xml:space="preserve"> (…)</w:t>
      </w:r>
    </w:p>
    <w:p w14:paraId="0B4A7099"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1CE65AA" w14:textId="77777777" w:rsidR="007664F8" w:rsidRPr="00F83343" w:rsidRDefault="00593714">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261EFA8F" w14:textId="77777777" w:rsidR="007664F8" w:rsidRPr="00F83343" w:rsidRDefault="00593714">
      <w:pPr>
        <w:pBdr>
          <w:top w:val="nil"/>
          <w:left w:val="nil"/>
          <w:bottom w:val="nil"/>
          <w:right w:val="nil"/>
          <w:between w:val="nil"/>
        </w:pBdr>
        <w:ind w:left="851" w:right="90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“Datos de identificación del representante o apoderado legal.</w:t>
      </w:r>
      <w:r w:rsidRPr="00F83343">
        <w:rPr>
          <w:rFonts w:ascii="Palatino Linotype" w:eastAsia="Palatino Linotype" w:hAnsi="Palatino Linotype" w:cs="Palatino Linotype"/>
          <w:i/>
          <w:iCs/>
          <w:sz w:val="22"/>
          <w:szCs w:val="22"/>
        </w:rPr>
        <w:t xml:space="preserve"> </w:t>
      </w:r>
      <w:r w:rsidRPr="00F83343">
        <w:rPr>
          <w:rFonts w:ascii="Palatino Linotype" w:eastAsia="Palatino Linotype" w:hAnsi="Palatino Linotype" w:cs="Palatino Linotype"/>
          <w:b/>
          <w:bCs/>
          <w:i/>
          <w:iCs/>
          <w:sz w:val="22"/>
          <w:szCs w:val="22"/>
        </w:rPr>
        <w:t xml:space="preserve">Naturaleza jurídica. </w:t>
      </w:r>
      <w:r w:rsidRPr="00F83343">
        <w:rPr>
          <w:rFonts w:ascii="Palatino Linotype" w:eastAsia="Palatino Linotype" w:hAnsi="Palatino Linotype" w:cs="Palatino Linotype"/>
          <w:i/>
          <w:iCs/>
          <w:sz w:val="22"/>
          <w:szCs w:val="22"/>
        </w:rPr>
        <w:t xml:space="preserve">El nombre, la firma y la rúbrica de una persona física, que actúe como representante o apoderado legal de un tercero que haya celebrado un acto jurídico, con algún sujeto obligado, </w:t>
      </w:r>
      <w:r w:rsidRPr="00F83343">
        <w:rPr>
          <w:rFonts w:ascii="Palatino Linotype" w:eastAsia="Palatino Linotype" w:hAnsi="Palatino Linotype" w:cs="Palatino Linotype"/>
          <w:b/>
          <w:bCs/>
          <w:i/>
          <w:iCs/>
          <w:sz w:val="22"/>
          <w:szCs w:val="22"/>
        </w:rPr>
        <w:t>es información pública, en razón de que tales datos fueron proporcionados con el objeto de expresar el consentimiento obligacional del tercero y otorgar validez a dicho instrumento jurídico</w:t>
      </w:r>
      <w:r w:rsidRPr="00F83343">
        <w:rPr>
          <w:rFonts w:ascii="Palatino Linotype" w:eastAsia="Palatino Linotype" w:hAnsi="Palatino Linotype" w:cs="Palatino Linotype"/>
          <w:i/>
          <w:iCs/>
          <w:sz w:val="22"/>
          <w:szCs w:val="22"/>
        </w:rPr>
        <w:t>.”</w:t>
      </w:r>
    </w:p>
    <w:p w14:paraId="0D7F0496" w14:textId="77777777" w:rsidR="007664F8" w:rsidRPr="00F83343" w:rsidRDefault="00593714">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CDFB0A7"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“Artículo 49.</w:t>
      </w:r>
      <w:r w:rsidRPr="00F83343">
        <w:rPr>
          <w:rFonts w:ascii="Palatino Linotype" w:eastAsia="Palatino Linotype" w:hAnsi="Palatino Linotype" w:cs="Palatino Linotype"/>
          <w:i/>
          <w:iCs/>
          <w:sz w:val="22"/>
          <w:szCs w:val="22"/>
        </w:rPr>
        <w:t xml:space="preserve"> </w:t>
      </w:r>
      <w:r w:rsidRPr="00F83343">
        <w:rPr>
          <w:rFonts w:ascii="Palatino Linotype" w:eastAsia="Palatino Linotype" w:hAnsi="Palatino Linotype" w:cs="Palatino Linotype"/>
          <w:b/>
          <w:bCs/>
          <w:i/>
          <w:iCs/>
          <w:sz w:val="22"/>
          <w:szCs w:val="22"/>
        </w:rPr>
        <w:t>Los Comités de Transparencia</w:t>
      </w:r>
      <w:r w:rsidRPr="00F83343">
        <w:rPr>
          <w:rFonts w:ascii="Palatino Linotype" w:eastAsia="Palatino Linotype" w:hAnsi="Palatino Linotype" w:cs="Palatino Linotype"/>
          <w:i/>
          <w:iCs/>
          <w:sz w:val="22"/>
          <w:szCs w:val="22"/>
        </w:rPr>
        <w:t xml:space="preserve"> tendrán las siguientes atribuciones:</w:t>
      </w:r>
    </w:p>
    <w:p w14:paraId="0C88DF6C"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VIII. Aprobar, modificar o revocar la clasificación de la información</w:t>
      </w:r>
      <w:r w:rsidRPr="00F83343">
        <w:rPr>
          <w:rFonts w:ascii="Palatino Linotype" w:eastAsia="Palatino Linotype" w:hAnsi="Palatino Linotype" w:cs="Palatino Linotype"/>
          <w:i/>
          <w:iCs/>
          <w:sz w:val="22"/>
          <w:szCs w:val="22"/>
        </w:rPr>
        <w:t>…”</w:t>
      </w:r>
    </w:p>
    <w:p w14:paraId="79EFE329"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w:t>
      </w:r>
      <w:r w:rsidRPr="00F83343">
        <w:rPr>
          <w:rFonts w:ascii="Palatino Linotype" w:eastAsia="Palatino Linotype" w:hAnsi="Palatino Linotype" w:cs="Palatino Linotype"/>
          <w:b/>
          <w:bCs/>
          <w:i/>
          <w:iCs/>
          <w:sz w:val="22"/>
          <w:szCs w:val="22"/>
        </w:rPr>
        <w:t>Artículo 53.</w:t>
      </w:r>
      <w:r w:rsidRPr="00F83343">
        <w:rPr>
          <w:rFonts w:ascii="Palatino Linotype" w:eastAsia="Palatino Linotype" w:hAnsi="Palatino Linotype" w:cs="Palatino Linotype"/>
          <w:i/>
          <w:iCs/>
          <w:sz w:val="22"/>
          <w:szCs w:val="22"/>
        </w:rPr>
        <w:t xml:space="preserve"> Las </w:t>
      </w:r>
      <w:r w:rsidRPr="00F83343">
        <w:rPr>
          <w:rFonts w:ascii="Palatino Linotype" w:eastAsia="Palatino Linotype" w:hAnsi="Palatino Linotype" w:cs="Palatino Linotype"/>
          <w:b/>
          <w:bCs/>
          <w:i/>
          <w:iCs/>
          <w:sz w:val="22"/>
          <w:szCs w:val="22"/>
        </w:rPr>
        <w:t>Unidades de Transparencia</w:t>
      </w:r>
      <w:r w:rsidRPr="00F83343">
        <w:rPr>
          <w:rFonts w:ascii="Palatino Linotype" w:eastAsia="Palatino Linotype" w:hAnsi="Palatino Linotype" w:cs="Palatino Linotype"/>
          <w:i/>
          <w:iCs/>
          <w:sz w:val="22"/>
          <w:szCs w:val="22"/>
        </w:rPr>
        <w:t xml:space="preserve"> tendrán las siguientes </w:t>
      </w:r>
      <w:r w:rsidRPr="00F83343">
        <w:rPr>
          <w:rFonts w:ascii="Palatino Linotype" w:eastAsia="Palatino Linotype" w:hAnsi="Palatino Linotype" w:cs="Palatino Linotype"/>
          <w:b/>
          <w:bCs/>
          <w:i/>
          <w:iCs/>
          <w:sz w:val="22"/>
          <w:szCs w:val="22"/>
        </w:rPr>
        <w:t>funciones</w:t>
      </w:r>
      <w:r w:rsidRPr="00F83343">
        <w:rPr>
          <w:rFonts w:ascii="Palatino Linotype" w:eastAsia="Palatino Linotype" w:hAnsi="Palatino Linotype" w:cs="Palatino Linotype"/>
          <w:i/>
          <w:iCs/>
          <w:sz w:val="22"/>
          <w:szCs w:val="22"/>
        </w:rPr>
        <w:t>:</w:t>
      </w:r>
    </w:p>
    <w:p w14:paraId="02EA8D31"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X. Presentar ante el Comité, el proyecto de clasificación de información</w:t>
      </w:r>
      <w:r w:rsidRPr="00F83343">
        <w:rPr>
          <w:rFonts w:ascii="Palatino Linotype" w:eastAsia="Palatino Linotype" w:hAnsi="Palatino Linotype" w:cs="Palatino Linotype"/>
          <w:i/>
          <w:iCs/>
          <w:sz w:val="22"/>
          <w:szCs w:val="22"/>
        </w:rPr>
        <w:t>…” </w:t>
      </w:r>
    </w:p>
    <w:p w14:paraId="7B37367D"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“Artículo 59.</w:t>
      </w:r>
      <w:r w:rsidRPr="00F83343">
        <w:rPr>
          <w:rFonts w:ascii="Palatino Linotype" w:eastAsia="Palatino Linotype" w:hAnsi="Palatino Linotype" w:cs="Palatino Linotype"/>
          <w:i/>
          <w:iCs/>
          <w:sz w:val="22"/>
          <w:szCs w:val="22"/>
        </w:rPr>
        <w:t xml:space="preserve"> Los </w:t>
      </w:r>
      <w:r w:rsidRPr="00F83343">
        <w:rPr>
          <w:rFonts w:ascii="Palatino Linotype" w:eastAsia="Palatino Linotype" w:hAnsi="Palatino Linotype" w:cs="Palatino Linotype"/>
          <w:b/>
          <w:bCs/>
          <w:i/>
          <w:iCs/>
          <w:sz w:val="22"/>
          <w:szCs w:val="22"/>
        </w:rPr>
        <w:t>servidores públicos habilitados</w:t>
      </w:r>
      <w:r w:rsidRPr="00F83343">
        <w:rPr>
          <w:rFonts w:ascii="Palatino Linotype" w:eastAsia="Palatino Linotype" w:hAnsi="Palatino Linotype" w:cs="Palatino Linotype"/>
          <w:i/>
          <w:iCs/>
          <w:sz w:val="22"/>
          <w:szCs w:val="22"/>
        </w:rPr>
        <w:t xml:space="preserve"> tendrán las </w:t>
      </w:r>
      <w:r w:rsidRPr="00F83343">
        <w:rPr>
          <w:rFonts w:ascii="Palatino Linotype" w:eastAsia="Palatino Linotype" w:hAnsi="Palatino Linotype" w:cs="Palatino Linotype"/>
          <w:b/>
          <w:bCs/>
          <w:i/>
          <w:iCs/>
          <w:sz w:val="22"/>
          <w:szCs w:val="22"/>
        </w:rPr>
        <w:t>funciones</w:t>
      </w:r>
      <w:r w:rsidRPr="00F83343">
        <w:rPr>
          <w:rFonts w:ascii="Palatino Linotype" w:eastAsia="Palatino Linotype" w:hAnsi="Palatino Linotype" w:cs="Palatino Linotype"/>
          <w:i/>
          <w:iCs/>
          <w:sz w:val="22"/>
          <w:szCs w:val="22"/>
        </w:rPr>
        <w:t xml:space="preserve"> siguientes:</w:t>
      </w:r>
    </w:p>
    <w:p w14:paraId="10324144"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F83343">
        <w:rPr>
          <w:rFonts w:ascii="Palatino Linotype" w:eastAsia="Palatino Linotype" w:hAnsi="Palatino Linotype" w:cs="Palatino Linotype"/>
          <w:i/>
          <w:iCs/>
          <w:sz w:val="22"/>
          <w:szCs w:val="22"/>
        </w:rPr>
        <w:t>, la cual tendrá los fundamentos y argumentos en que se basa dicha propuesta…”</w:t>
      </w:r>
    </w:p>
    <w:p w14:paraId="72FE8ED0" w14:textId="77777777" w:rsidR="007664F8" w:rsidRPr="00F83343" w:rsidRDefault="0059371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AB9BBD9" w14:textId="77777777" w:rsidR="007664F8" w:rsidRPr="00F83343" w:rsidRDefault="0059371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2683818" w14:textId="77777777" w:rsidR="007664F8" w:rsidRPr="00F83343" w:rsidRDefault="00593714">
      <w:pPr>
        <w:pBdr>
          <w:top w:val="nil"/>
          <w:left w:val="nil"/>
          <w:bottom w:val="nil"/>
          <w:right w:val="nil"/>
          <w:between w:val="nil"/>
        </w:pBdr>
        <w:spacing w:before="120" w:after="120" w:line="360" w:lineRule="auto"/>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w:t>
      </w:r>
      <w:r w:rsidRPr="00F83343">
        <w:rPr>
          <w:rFonts w:ascii="Palatino Linotype" w:eastAsia="Palatino Linotype" w:hAnsi="Palatino Linotype" w:cs="Palatino Linotype"/>
          <w:b/>
          <w:bCs/>
          <w:i/>
          <w:iCs/>
          <w:sz w:val="22"/>
          <w:szCs w:val="22"/>
        </w:rPr>
        <w:t>Artículo 149.</w:t>
      </w:r>
      <w:r w:rsidRPr="00F83343">
        <w:rPr>
          <w:rFonts w:ascii="Palatino Linotype" w:eastAsia="Palatino Linotype" w:hAnsi="Palatino Linotype" w:cs="Palatino Linotype"/>
          <w:i/>
          <w:iCs/>
          <w:sz w:val="22"/>
          <w:szCs w:val="22"/>
        </w:rPr>
        <w:t xml:space="preserve"> El </w:t>
      </w:r>
      <w:r w:rsidRPr="00F83343">
        <w:rPr>
          <w:rFonts w:ascii="Palatino Linotype" w:eastAsia="Palatino Linotype" w:hAnsi="Palatino Linotype" w:cs="Palatino Linotype"/>
          <w:b/>
          <w:bCs/>
          <w:i/>
          <w:iCs/>
          <w:sz w:val="22"/>
          <w:szCs w:val="22"/>
        </w:rPr>
        <w:t>acuerdo que clasifique la información como confidencial</w:t>
      </w:r>
      <w:r w:rsidRPr="00F83343">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633CB666" w14:textId="77777777" w:rsidR="007664F8" w:rsidRPr="00F83343" w:rsidRDefault="0059371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Es decir, el </w:t>
      </w:r>
      <w:r w:rsidRPr="00F83343">
        <w:rPr>
          <w:rFonts w:ascii="Palatino Linotype" w:eastAsia="Palatino Linotype" w:hAnsi="Palatino Linotype" w:cs="Palatino Linotype"/>
          <w:b/>
          <w:bCs/>
          <w:sz w:val="22"/>
          <w:szCs w:val="22"/>
        </w:rPr>
        <w:t>Sujeto Obligado</w:t>
      </w:r>
      <w:r w:rsidRPr="00F83343">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B2E6469" w14:textId="77777777" w:rsidR="007664F8" w:rsidRPr="00F83343" w:rsidRDefault="0059371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F83343">
        <w:rPr>
          <w:rFonts w:ascii="Palatino Linotype" w:eastAsia="Palatino Linotype" w:hAnsi="Palatino Linotype" w:cs="Palatino Linotype"/>
          <w:b/>
          <w:bCs/>
          <w:sz w:val="22"/>
          <w:szCs w:val="22"/>
        </w:rPr>
        <w:t>Sujeto Obligado</w:t>
      </w:r>
      <w:r w:rsidRPr="00F83343">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2DCEE590"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 xml:space="preserve"> “Quincuagésimo. </w:t>
      </w:r>
      <w:r w:rsidRPr="00F83343">
        <w:rPr>
          <w:rFonts w:ascii="Palatino Linotype" w:eastAsia="Palatino Linotype" w:hAnsi="Palatino Linotype" w:cs="Palatino Linotype"/>
          <w:i/>
          <w:iCs/>
          <w:sz w:val="22"/>
          <w:szCs w:val="22"/>
        </w:rPr>
        <w:t>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549A1D9"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 xml:space="preserve">Quincuagésimo primero. </w:t>
      </w:r>
      <w:r w:rsidRPr="00F83343">
        <w:rPr>
          <w:rFonts w:ascii="Palatino Linotype" w:eastAsia="Palatino Linotype" w:hAnsi="Palatino Linotype" w:cs="Palatino Linotype"/>
          <w:i/>
          <w:iCs/>
          <w:sz w:val="22"/>
          <w:szCs w:val="22"/>
        </w:rPr>
        <w:t>Toda acta del Comité de Transparencia deberá contener: </w:t>
      </w:r>
    </w:p>
    <w:p w14:paraId="24D2E830"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w:t>
      </w:r>
      <w:r w:rsidRPr="00F83343">
        <w:rPr>
          <w:rFonts w:ascii="Palatino Linotype" w:eastAsia="Palatino Linotype" w:hAnsi="Palatino Linotype" w:cs="Palatino Linotype"/>
          <w:i/>
          <w:iCs/>
          <w:sz w:val="22"/>
          <w:szCs w:val="22"/>
        </w:rPr>
        <w:t xml:space="preserve"> El número de sesión y fecha; </w:t>
      </w:r>
    </w:p>
    <w:p w14:paraId="4A2231B5"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II</w:t>
      </w:r>
      <w:r w:rsidRPr="00F83343">
        <w:rPr>
          <w:rFonts w:ascii="Palatino Linotype" w:eastAsia="Palatino Linotype" w:hAnsi="Palatino Linotype" w:cs="Palatino Linotype"/>
          <w:i/>
          <w:iCs/>
          <w:sz w:val="22"/>
          <w:szCs w:val="22"/>
        </w:rPr>
        <w:t>. El nombre del área que solicitó la clasificación de información; </w:t>
      </w:r>
    </w:p>
    <w:p w14:paraId="1CD9D668"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III</w:t>
      </w:r>
      <w:r w:rsidRPr="00F83343">
        <w:rPr>
          <w:rFonts w:ascii="Palatino Linotype" w:eastAsia="Palatino Linotype" w:hAnsi="Palatino Linotype" w:cs="Palatino Linotype"/>
          <w:i/>
          <w:iCs/>
          <w:sz w:val="22"/>
          <w:szCs w:val="22"/>
        </w:rPr>
        <w:t>. La fundamentación legal y motivación correspondiente; </w:t>
      </w:r>
    </w:p>
    <w:p w14:paraId="6C030B9A"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IV</w:t>
      </w:r>
      <w:r w:rsidRPr="00F83343">
        <w:rPr>
          <w:rFonts w:ascii="Palatino Linotype" w:eastAsia="Palatino Linotype" w:hAnsi="Palatino Linotype" w:cs="Palatino Linotype"/>
          <w:i/>
          <w:iCs/>
          <w:sz w:val="22"/>
          <w:szCs w:val="22"/>
        </w:rPr>
        <w:t>. La resolución o resoluciones aprobadas; y </w:t>
      </w:r>
    </w:p>
    <w:p w14:paraId="4BE0F926"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V</w:t>
      </w:r>
      <w:r w:rsidRPr="00F83343">
        <w:rPr>
          <w:rFonts w:ascii="Palatino Linotype" w:eastAsia="Palatino Linotype" w:hAnsi="Palatino Linotype" w:cs="Palatino Linotype"/>
          <w:i/>
          <w:iCs/>
          <w:sz w:val="22"/>
          <w:szCs w:val="22"/>
        </w:rPr>
        <w:t>. La rúbrica o firma digital de cada integrante del Comité de Transparencia. </w:t>
      </w:r>
    </w:p>
    <w:p w14:paraId="10C2F75B"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Las resoluciones del Comité en las que se haya determinado confirmar o modificar la clasificación de información pública como reservada, deberán incluir, cuando menos: </w:t>
      </w:r>
    </w:p>
    <w:p w14:paraId="22981BA7"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w:t>
      </w:r>
      <w:r w:rsidRPr="00F83343">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406994FC"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II</w:t>
      </w:r>
      <w:r w:rsidRPr="00F83343">
        <w:rPr>
          <w:rFonts w:ascii="Palatino Linotype" w:eastAsia="Palatino Linotype" w:hAnsi="Palatino Linotype" w:cs="Palatino Linotype"/>
          <w:i/>
          <w:iCs/>
          <w:sz w:val="22"/>
          <w:szCs w:val="22"/>
        </w:rPr>
        <w:t>. Descripción de las partes o secciones reservadas, en caso de clasificación parcial</w:t>
      </w:r>
      <w:r w:rsidRPr="00F83343">
        <w:rPr>
          <w:rFonts w:ascii="Palatino Linotype" w:eastAsia="Palatino Linotype" w:hAnsi="Palatino Linotype" w:cs="Palatino Linotype"/>
          <w:b/>
          <w:bCs/>
          <w:i/>
          <w:iCs/>
          <w:sz w:val="22"/>
          <w:szCs w:val="22"/>
        </w:rPr>
        <w:t>; </w:t>
      </w:r>
    </w:p>
    <w:p w14:paraId="2D854DAE"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III.</w:t>
      </w:r>
      <w:r w:rsidRPr="00F83343">
        <w:rPr>
          <w:rFonts w:ascii="Palatino Linotype" w:eastAsia="Palatino Linotype" w:hAnsi="Palatino Linotype" w:cs="Palatino Linotype"/>
          <w:i/>
          <w:iCs/>
          <w:sz w:val="22"/>
          <w:szCs w:val="22"/>
        </w:rPr>
        <w:t xml:space="preserve"> El periodo por el que mantendrá su clasificación y fecha de expiración; y </w:t>
      </w:r>
    </w:p>
    <w:p w14:paraId="6E01E6A6"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IV.</w:t>
      </w:r>
      <w:r w:rsidRPr="00F83343">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59FA515C"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En los casos en que se clasifique la información como reservada siempre se entregará o anexará la prueba de daño con la respuesta al solicitante. </w:t>
      </w:r>
    </w:p>
    <w:p w14:paraId="7310155A"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B102338" w14:textId="77777777" w:rsidR="007664F8" w:rsidRPr="00F83343" w:rsidRDefault="0059371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4523E932" w14:textId="77777777" w:rsidR="007664F8" w:rsidRPr="00F83343" w:rsidRDefault="0059371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w:t>
      </w:r>
      <w:r w:rsidRPr="00F83343">
        <w:rPr>
          <w:rFonts w:ascii="Palatino Linotype" w:eastAsia="Palatino Linotype" w:hAnsi="Palatino Linotype" w:cs="Palatino Linotype"/>
          <w:b/>
          <w:bCs/>
          <w:i/>
          <w:iCs/>
          <w:sz w:val="22"/>
          <w:szCs w:val="22"/>
        </w:rPr>
        <w:t>Quincuagésimo segundo</w:t>
      </w:r>
      <w:r w:rsidRPr="00F83343">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B5F271" w14:textId="77777777" w:rsidR="007664F8" w:rsidRPr="00F83343" w:rsidRDefault="0059371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En el caso específico de la clasificación y elaboración de versiones públicas de documentos que contengan información confidencial, las áreas de los sujetos obligados deberán: </w:t>
      </w:r>
    </w:p>
    <w:p w14:paraId="18229346" w14:textId="77777777" w:rsidR="007664F8" w:rsidRPr="00F83343" w:rsidRDefault="00593714">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w:t>
      </w:r>
      <w:r w:rsidRPr="00F83343">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01789D14" w14:textId="77777777" w:rsidR="007664F8" w:rsidRPr="00F83343" w:rsidRDefault="00593714">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II.</w:t>
      </w:r>
      <w:r w:rsidRPr="00F83343">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0B2EC808" w14:textId="77777777" w:rsidR="007664F8" w:rsidRPr="00F83343" w:rsidRDefault="00593714">
      <w:pPr>
        <w:pBdr>
          <w:top w:val="nil"/>
          <w:left w:val="nil"/>
          <w:bottom w:val="nil"/>
          <w:right w:val="nil"/>
          <w:between w:val="nil"/>
        </w:pBdr>
        <w:spacing w:before="120" w:after="120"/>
        <w:ind w:left="1134" w:right="90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III.</w:t>
      </w:r>
      <w:r w:rsidRPr="00F83343">
        <w:rPr>
          <w:rFonts w:ascii="Palatino Linotype" w:eastAsia="Palatino Linotype" w:hAnsi="Palatino Linotype" w:cs="Palatino Linotype"/>
          <w:i/>
          <w:iCs/>
          <w:sz w:val="22"/>
          <w:szCs w:val="22"/>
        </w:rPr>
        <w:t xml:space="preserve"> Señalar las personas o instancias autorizadas a acceder a la información clasificada.</w:t>
      </w:r>
    </w:p>
    <w:p w14:paraId="1CBCA47D" w14:textId="77777777" w:rsidR="007664F8" w:rsidRPr="00F83343" w:rsidRDefault="0059371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0BFF1CA1" w14:textId="77777777" w:rsidR="007664F8" w:rsidRPr="00F83343" w:rsidRDefault="0059371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w:t>
      </w:r>
    </w:p>
    <w:p w14:paraId="54F9F3B6" w14:textId="77777777" w:rsidR="007664F8" w:rsidRPr="00F83343" w:rsidRDefault="00593714">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 xml:space="preserve">Quincuagésimo cuarto. </w:t>
      </w:r>
      <w:r w:rsidRPr="00F83343">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F83343">
        <w:rPr>
          <w:rFonts w:ascii="Palatino Linotype" w:eastAsia="Palatino Linotype" w:hAnsi="Palatino Linotype" w:cs="Palatino Linotype"/>
          <w:b/>
          <w:bCs/>
          <w:i/>
          <w:iCs/>
          <w:sz w:val="22"/>
          <w:szCs w:val="22"/>
        </w:rPr>
        <w:t> </w:t>
      </w:r>
    </w:p>
    <w:p w14:paraId="14077D8D"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 xml:space="preserve">Quincuagésimo quinto. </w:t>
      </w:r>
      <w:r w:rsidRPr="00F83343">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E683FB8"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w:t>
      </w:r>
    </w:p>
    <w:p w14:paraId="00616A36"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Quincuagésimo séptimo</w:t>
      </w:r>
      <w:r w:rsidRPr="00F83343">
        <w:rPr>
          <w:rFonts w:ascii="Palatino Linotype" w:eastAsia="Palatino Linotype" w:hAnsi="Palatino Linotype" w:cs="Palatino Linotype"/>
          <w:i/>
          <w:iCs/>
          <w:sz w:val="22"/>
          <w:szCs w:val="22"/>
        </w:rPr>
        <w:t>. Se considera, en principio, como información pública y no podrá omitirse de las versiones públicas la siguiente: </w:t>
      </w:r>
    </w:p>
    <w:p w14:paraId="3434508A"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w:t>
      </w:r>
      <w:r w:rsidRPr="00F83343">
        <w:rPr>
          <w:rFonts w:ascii="Palatino Linotype" w:eastAsia="Palatino Linotype" w:hAnsi="Palatino Linotype" w:cs="Palatino Linotype"/>
          <w:i/>
          <w:iCs/>
          <w:sz w:val="22"/>
          <w:szCs w:val="22"/>
        </w:rPr>
        <w:t>. La relativa a las Obligaciones de Transparencia que contempla el Título V de la Ley General y las demás disposiciones legales aplicables; </w:t>
      </w:r>
    </w:p>
    <w:p w14:paraId="56029D71"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II.</w:t>
      </w:r>
      <w:r w:rsidRPr="00F83343">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D5EE213" w14:textId="77777777" w:rsidR="007664F8" w:rsidRPr="00F83343" w:rsidRDefault="00593714">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III</w:t>
      </w:r>
      <w:r w:rsidRPr="00F83343">
        <w:rPr>
          <w:rFonts w:ascii="Palatino Linotype" w:eastAsia="Palatino Linotype" w:hAnsi="Palatino Linotype" w:cs="Palatino Linotype"/>
          <w:i/>
          <w:iCs/>
          <w:sz w:val="22"/>
          <w:szCs w:val="22"/>
        </w:rPr>
        <w:t>. La información que documente decisiones y los actos de autoridad concluidos de los sujetos obligados, así como el ejercicio de las facultades o actividades de los servidores públicos, de manera que se pueda valorar el desempeño de los mismos. </w:t>
      </w:r>
    </w:p>
    <w:p w14:paraId="7C13CD90"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i/>
          <w:iCs/>
          <w:sz w:val="22"/>
          <w:szCs w:val="22"/>
        </w:rPr>
        <w:t>Lo anterior, siempre y cuando no se acredite alguna causal de clasificación, prevista en las leyes o en los tratados internacionales suscritas por el Estado mexicano.  </w:t>
      </w:r>
    </w:p>
    <w:p w14:paraId="1EC20546" w14:textId="77777777" w:rsidR="007664F8" w:rsidRPr="00F83343" w:rsidRDefault="00593714">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i/>
          <w:iCs/>
          <w:sz w:val="22"/>
          <w:szCs w:val="22"/>
        </w:rPr>
        <w:t>Quincuagésimo octavo</w:t>
      </w:r>
      <w:r w:rsidRPr="00F83343">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45120EE" w14:textId="77777777" w:rsidR="007664F8" w:rsidRPr="00F83343" w:rsidRDefault="00593714">
      <w:pP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0768FD6A" w14:textId="77777777" w:rsidR="007664F8" w:rsidRPr="00F83343" w:rsidRDefault="00593714">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F83343">
        <w:rPr>
          <w:rFonts w:ascii="Palatino Linotype" w:eastAsia="Palatino Linotype" w:hAnsi="Palatino Linotype" w:cs="Palatino Linotype"/>
          <w:b/>
          <w:bCs/>
          <w:sz w:val="22"/>
          <w:szCs w:val="22"/>
        </w:rPr>
        <w:t>R E S U E L V E:</w:t>
      </w:r>
    </w:p>
    <w:p w14:paraId="61CE92C3" w14:textId="77777777" w:rsidR="007664F8" w:rsidRPr="00F83343" w:rsidRDefault="00593714">
      <w:pPr>
        <w:spacing w:before="240" w:after="240" w:line="360" w:lineRule="auto"/>
        <w:jc w:val="both"/>
        <w:rPr>
          <w:rFonts w:ascii="Palatino Linotype" w:eastAsia="Palatino Linotype" w:hAnsi="Palatino Linotype" w:cs="Palatino Linotype"/>
          <w:b/>
          <w:bCs/>
          <w:sz w:val="22"/>
          <w:szCs w:val="22"/>
        </w:rPr>
      </w:pPr>
      <w:r w:rsidRPr="00F83343">
        <w:rPr>
          <w:rFonts w:ascii="Palatino Linotype" w:eastAsia="Palatino Linotype" w:hAnsi="Palatino Linotype" w:cs="Palatino Linotype"/>
          <w:b/>
          <w:bCs/>
          <w:sz w:val="22"/>
          <w:szCs w:val="22"/>
        </w:rPr>
        <w:t xml:space="preserve">Primero. </w:t>
      </w:r>
      <w:r w:rsidRPr="00F83343">
        <w:rPr>
          <w:rFonts w:ascii="Palatino Linotype" w:eastAsia="Palatino Linotype" w:hAnsi="Palatino Linotype" w:cs="Palatino Linotype"/>
          <w:sz w:val="22"/>
          <w:szCs w:val="22"/>
        </w:rPr>
        <w:t>Resultan</w:t>
      </w:r>
      <w:r w:rsidRPr="00F83343">
        <w:rPr>
          <w:rFonts w:ascii="Palatino Linotype" w:eastAsia="Palatino Linotype" w:hAnsi="Palatino Linotype" w:cs="Palatino Linotype"/>
          <w:b/>
          <w:bCs/>
          <w:sz w:val="22"/>
          <w:szCs w:val="22"/>
        </w:rPr>
        <w:t xml:space="preserve"> parcialmente fundados </w:t>
      </w:r>
      <w:r w:rsidRPr="00F83343">
        <w:rPr>
          <w:rFonts w:ascii="Palatino Linotype" w:eastAsia="Palatino Linotype" w:hAnsi="Palatino Linotype" w:cs="Palatino Linotype"/>
          <w:sz w:val="22"/>
          <w:szCs w:val="22"/>
        </w:rPr>
        <w:t xml:space="preserve">los motivos de inconformidad hechos valer por </w:t>
      </w:r>
      <w:r w:rsidRPr="00F83343">
        <w:rPr>
          <w:rFonts w:ascii="Palatino Linotype" w:eastAsia="Palatino Linotype" w:hAnsi="Palatino Linotype" w:cs="Palatino Linotype"/>
          <w:b/>
          <w:bCs/>
          <w:sz w:val="22"/>
          <w:szCs w:val="22"/>
        </w:rPr>
        <w:t>la parte Recurrente</w:t>
      </w:r>
      <w:r w:rsidRPr="00F83343">
        <w:rPr>
          <w:rFonts w:ascii="Palatino Linotype" w:eastAsia="Palatino Linotype" w:hAnsi="Palatino Linotype" w:cs="Palatino Linotype"/>
          <w:sz w:val="22"/>
          <w:szCs w:val="22"/>
        </w:rPr>
        <w:t xml:space="preserve"> en el Recurso de Revisión</w:t>
      </w:r>
      <w:r w:rsidRPr="00F83343">
        <w:rPr>
          <w:rFonts w:ascii="Palatino Linotype" w:eastAsia="Palatino Linotype" w:hAnsi="Palatino Linotype" w:cs="Palatino Linotype"/>
          <w:b/>
          <w:bCs/>
          <w:sz w:val="22"/>
          <w:szCs w:val="22"/>
        </w:rPr>
        <w:t xml:space="preserve"> 00989/INFOEM/IP/RR/2025, </w:t>
      </w:r>
      <w:r w:rsidRPr="00F83343">
        <w:rPr>
          <w:rFonts w:ascii="Palatino Linotype" w:eastAsia="Palatino Linotype" w:hAnsi="Palatino Linotype" w:cs="Palatino Linotype"/>
          <w:sz w:val="22"/>
          <w:szCs w:val="22"/>
        </w:rPr>
        <w:t>por lo que</w:t>
      </w:r>
      <w:r w:rsidRPr="00F83343">
        <w:rPr>
          <w:rFonts w:ascii="Palatino Linotype" w:eastAsia="Palatino Linotype" w:hAnsi="Palatino Linotype" w:cs="Palatino Linotype"/>
          <w:b/>
          <w:bCs/>
          <w:sz w:val="22"/>
          <w:szCs w:val="22"/>
        </w:rPr>
        <w:t xml:space="preserve">, en términos del Considerando Cuarto </w:t>
      </w:r>
      <w:r w:rsidRPr="00F83343">
        <w:rPr>
          <w:rFonts w:ascii="Palatino Linotype" w:eastAsia="Palatino Linotype" w:hAnsi="Palatino Linotype" w:cs="Palatino Linotype"/>
          <w:sz w:val="22"/>
          <w:szCs w:val="22"/>
        </w:rPr>
        <w:t>de la presente resolución</w:t>
      </w:r>
      <w:r w:rsidRPr="00F83343">
        <w:rPr>
          <w:rFonts w:ascii="Palatino Linotype" w:eastAsia="Palatino Linotype" w:hAnsi="Palatino Linotype" w:cs="Palatino Linotype"/>
          <w:b/>
          <w:bCs/>
          <w:sz w:val="22"/>
          <w:szCs w:val="22"/>
        </w:rPr>
        <w:t>, se MODIFICA l</w:t>
      </w:r>
      <w:r w:rsidRPr="00F83343">
        <w:rPr>
          <w:rFonts w:ascii="Palatino Linotype" w:eastAsia="Palatino Linotype" w:hAnsi="Palatino Linotype" w:cs="Palatino Linotype"/>
          <w:sz w:val="22"/>
          <w:szCs w:val="22"/>
        </w:rPr>
        <w:t>a respuesta del</w:t>
      </w:r>
      <w:r w:rsidRPr="00F83343">
        <w:rPr>
          <w:rFonts w:ascii="Palatino Linotype" w:eastAsia="Palatino Linotype" w:hAnsi="Palatino Linotype" w:cs="Palatino Linotype"/>
          <w:b/>
          <w:bCs/>
          <w:sz w:val="22"/>
          <w:szCs w:val="22"/>
        </w:rPr>
        <w:t xml:space="preserve"> Sujeto Obligado.</w:t>
      </w:r>
    </w:p>
    <w:p w14:paraId="4CE13914" w14:textId="77777777" w:rsidR="007664F8" w:rsidRPr="00F83343" w:rsidRDefault="00593714">
      <w:pPr>
        <w:spacing w:before="240" w:after="240" w:line="360" w:lineRule="auto"/>
        <w:jc w:val="both"/>
        <w:rPr>
          <w:rFonts w:ascii="Palatino Linotype" w:eastAsia="Palatino Linotype" w:hAnsi="Palatino Linotype" w:cs="Palatino Linotype"/>
          <w:sz w:val="22"/>
          <w:szCs w:val="22"/>
        </w:rPr>
      </w:pPr>
      <w:bookmarkStart w:id="3" w:name="_heading=h.j3ppyxwlb1s2" w:colFirst="0" w:colLast="0"/>
      <w:bookmarkEnd w:id="3"/>
      <w:r w:rsidRPr="00F83343">
        <w:rPr>
          <w:rFonts w:ascii="Palatino Linotype" w:eastAsia="Palatino Linotype" w:hAnsi="Palatino Linotype" w:cs="Palatino Linotype"/>
          <w:b/>
          <w:bCs/>
          <w:sz w:val="22"/>
          <w:szCs w:val="22"/>
        </w:rPr>
        <w:t xml:space="preserve">Segundo. Se Ordena al Sujeto Obligado </w:t>
      </w:r>
      <w:r w:rsidRPr="00F83343">
        <w:rPr>
          <w:rFonts w:ascii="Palatino Linotype" w:eastAsia="Palatino Linotype" w:hAnsi="Palatino Linotype" w:cs="Palatino Linotype"/>
          <w:sz w:val="22"/>
          <w:szCs w:val="22"/>
        </w:rPr>
        <w:t>que en términos de los</w:t>
      </w:r>
      <w:r w:rsidRPr="00F83343">
        <w:rPr>
          <w:rFonts w:ascii="Palatino Linotype" w:eastAsia="Palatino Linotype" w:hAnsi="Palatino Linotype" w:cs="Palatino Linotype"/>
          <w:b/>
          <w:bCs/>
          <w:sz w:val="22"/>
          <w:szCs w:val="22"/>
        </w:rPr>
        <w:t xml:space="preserve"> Considerandos Cuarto y Quinto </w:t>
      </w:r>
      <w:r w:rsidRPr="00F83343">
        <w:rPr>
          <w:rFonts w:ascii="Palatino Linotype" w:eastAsia="Palatino Linotype" w:hAnsi="Palatino Linotype" w:cs="Palatino Linotype"/>
          <w:sz w:val="22"/>
          <w:szCs w:val="22"/>
        </w:rPr>
        <w:t xml:space="preserve">de esta resolución, previa búsqueda exhaustiva y razonable, haga entrega a </w:t>
      </w:r>
      <w:r w:rsidRPr="00F83343">
        <w:rPr>
          <w:rFonts w:ascii="Palatino Linotype" w:eastAsia="Palatino Linotype" w:hAnsi="Palatino Linotype" w:cs="Palatino Linotype"/>
          <w:b/>
          <w:bCs/>
          <w:sz w:val="22"/>
          <w:szCs w:val="22"/>
        </w:rPr>
        <w:t xml:space="preserve">la parte Recurrente a través del SAIMEX, de ser el caso en versión pública, los documentos donde conste </w:t>
      </w:r>
      <w:r w:rsidRPr="00F83343">
        <w:rPr>
          <w:rFonts w:ascii="Palatino Linotype" w:eastAsia="Palatino Linotype" w:hAnsi="Palatino Linotype" w:cs="Palatino Linotype"/>
          <w:sz w:val="22"/>
          <w:szCs w:val="22"/>
        </w:rPr>
        <w:t>la siguiente información:</w:t>
      </w:r>
    </w:p>
    <w:p w14:paraId="77577FDD" w14:textId="77777777" w:rsidR="007664F8" w:rsidRPr="00F83343" w:rsidRDefault="00593714">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83343">
        <w:rPr>
          <w:rFonts w:ascii="Palatino Linotype" w:eastAsia="Palatino Linotype" w:hAnsi="Palatino Linotype" w:cs="Palatino Linotype"/>
          <w:b/>
          <w:bCs/>
          <w:sz w:val="22"/>
          <w:szCs w:val="22"/>
        </w:rPr>
        <w:t>Procedimientos de adjudicación directa de obra pública realizados del uno al dieciocho de diciembre de dos mil veinticinco, que contengan proveedor, monto, concepto, justificación legal para no realizar licitación pública y, servidor público responsable de la autorización.</w:t>
      </w:r>
    </w:p>
    <w:p w14:paraId="72D14C0D" w14:textId="77777777" w:rsidR="007664F8" w:rsidRPr="00F83343" w:rsidRDefault="007664F8">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625F77D8" w14:textId="77777777" w:rsidR="007664F8" w:rsidRPr="00F83343" w:rsidRDefault="00593714">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038593AE" w14:textId="77777777" w:rsidR="007664F8" w:rsidRPr="00F83343" w:rsidRDefault="007664F8">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p>
    <w:p w14:paraId="367F3781" w14:textId="77777777" w:rsidR="007664F8" w:rsidRPr="00F83343" w:rsidRDefault="00593714">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r w:rsidRPr="00F83343">
        <w:rPr>
          <w:rFonts w:ascii="Palatino Linotype" w:eastAsia="Palatino Linotype" w:hAnsi="Palatino Linotype" w:cs="Palatino Linotype"/>
          <w:i/>
          <w:iCs/>
          <w:sz w:val="22"/>
          <w:szCs w:val="22"/>
        </w:rPr>
        <w:t xml:space="preserve">Ahora bien, si como resultado de la búsqueda exhaustiva y razonable, se determina que no se localizó la información, por no haberse realizado ningún procedimiento de adjudicación directa en el periodo señalado, bastará con que así lo haga del conocimiento de la parte </w:t>
      </w:r>
      <w:r w:rsidRPr="00F83343">
        <w:rPr>
          <w:rFonts w:ascii="Palatino Linotype" w:eastAsia="Palatino Linotype" w:hAnsi="Palatino Linotype" w:cs="Palatino Linotype"/>
          <w:b/>
          <w:bCs/>
          <w:i/>
          <w:iCs/>
          <w:sz w:val="22"/>
          <w:szCs w:val="22"/>
        </w:rPr>
        <w:t>Recurrente</w:t>
      </w:r>
      <w:r w:rsidRPr="00F83343">
        <w:rPr>
          <w:rFonts w:ascii="Palatino Linotype" w:eastAsia="Palatino Linotype" w:hAnsi="Palatino Linotype" w:cs="Palatino Linotype"/>
          <w:i/>
          <w:iCs/>
          <w:sz w:val="22"/>
          <w:szCs w:val="22"/>
        </w:rPr>
        <w:t>, de manera clara y precisa, en términos del artículo 19, párrafo segundo de la Ley de Transparencia y Acceso a la Información pública del Estado de México y Municipios.</w:t>
      </w:r>
    </w:p>
    <w:p w14:paraId="498119AB" w14:textId="77777777" w:rsidR="007664F8" w:rsidRPr="00F83343" w:rsidRDefault="00593714">
      <w:pP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 xml:space="preserve">Tercero.  Notifíquese vía SAIMEX, </w:t>
      </w:r>
      <w:r w:rsidRPr="00F83343">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8C28BBC" w14:textId="77777777" w:rsidR="007664F8" w:rsidRPr="00F83343" w:rsidRDefault="00593714">
      <w:pPr>
        <w:spacing w:before="240" w:after="240" w:line="360" w:lineRule="auto"/>
        <w:jc w:val="both"/>
        <w:rPr>
          <w:rFonts w:ascii="Palatino Linotype" w:eastAsia="Palatino Linotype" w:hAnsi="Palatino Linotype" w:cs="Palatino Linotype"/>
          <w:sz w:val="22"/>
          <w:szCs w:val="22"/>
        </w:rPr>
      </w:pPr>
      <w:r w:rsidRPr="00F83343">
        <w:rPr>
          <w:rFonts w:ascii="Palatino Linotype" w:eastAsia="Palatino Linotype" w:hAnsi="Palatino Linotype" w:cs="Palatino Linotype"/>
          <w:b/>
          <w:bCs/>
          <w:sz w:val="22"/>
          <w:szCs w:val="22"/>
        </w:rPr>
        <w:t xml:space="preserve">Cuarto. </w:t>
      </w:r>
      <w:r w:rsidRPr="00F83343">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F83343">
        <w:rPr>
          <w:rFonts w:ascii="Palatino Linotype" w:eastAsia="Palatino Linotype" w:hAnsi="Palatino Linotype" w:cs="Palatino Linotype"/>
          <w:b/>
          <w:bCs/>
          <w:sz w:val="22"/>
          <w:szCs w:val="22"/>
        </w:rPr>
        <w:t>Sujeto Obligado</w:t>
      </w:r>
      <w:r w:rsidRPr="00F83343">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A77AA99" w14:textId="77777777" w:rsidR="007664F8" w:rsidRPr="00F83343" w:rsidRDefault="00593714">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F83343">
        <w:rPr>
          <w:rFonts w:ascii="Palatino Linotype" w:eastAsia="Palatino Linotype" w:hAnsi="Palatino Linotype" w:cs="Palatino Linotype"/>
          <w:b/>
          <w:bCs/>
          <w:sz w:val="22"/>
          <w:szCs w:val="22"/>
        </w:rPr>
        <w:t xml:space="preserve">Quinto. Notifíquese vía SAIMEX, </w:t>
      </w:r>
      <w:r w:rsidRPr="00F83343">
        <w:rPr>
          <w:rFonts w:ascii="Palatino Linotype" w:eastAsia="Palatino Linotype" w:hAnsi="Palatino Linotype" w:cs="Palatino Linotype"/>
          <w:sz w:val="22"/>
          <w:szCs w:val="22"/>
        </w:rPr>
        <w:t>a</w:t>
      </w:r>
      <w:r w:rsidRPr="00F83343">
        <w:rPr>
          <w:rFonts w:ascii="Palatino Linotype" w:eastAsia="Palatino Linotype" w:hAnsi="Palatino Linotype" w:cs="Palatino Linotype"/>
          <w:b/>
          <w:bCs/>
          <w:sz w:val="22"/>
          <w:szCs w:val="22"/>
        </w:rPr>
        <w:t xml:space="preserve"> la parte Recurrente</w:t>
      </w:r>
      <w:r w:rsidRPr="00F83343">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3BD8A0CD" w14:textId="77777777" w:rsidR="007664F8" w:rsidRPr="00F83343" w:rsidRDefault="007664F8">
      <w:pPr>
        <w:spacing w:before="240" w:after="240" w:line="360" w:lineRule="auto"/>
        <w:jc w:val="both"/>
        <w:rPr>
          <w:rFonts w:ascii="Palatino Linotype" w:eastAsia="Palatino Linotype" w:hAnsi="Palatino Linotype" w:cs="Palatino Linotype"/>
          <w:sz w:val="22"/>
          <w:szCs w:val="22"/>
        </w:rPr>
      </w:pPr>
    </w:p>
    <w:p w14:paraId="009D9D90" w14:textId="77777777" w:rsidR="007664F8" w:rsidRPr="002C1661" w:rsidRDefault="00593714">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r w:rsidRPr="00F8334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DE MARZO DE DOS MIL VEINTISÉIS, ANTE EL SECRETARIO TÉCNICO DEL PLENO ALEXIS TAPIA RAMÍREZ.</w:t>
      </w:r>
    </w:p>
    <w:p w14:paraId="39B23C8F" w14:textId="77777777" w:rsidR="007664F8" w:rsidRPr="002C1661" w:rsidRDefault="007664F8">
      <w:pPr>
        <w:spacing w:line="360" w:lineRule="auto"/>
        <w:ind w:right="-93"/>
        <w:jc w:val="both"/>
        <w:rPr>
          <w:rFonts w:ascii="Palatino Linotype" w:eastAsia="Palatino Linotype" w:hAnsi="Palatino Linotype" w:cs="Palatino Linotype"/>
          <w:sz w:val="22"/>
          <w:szCs w:val="22"/>
        </w:rPr>
      </w:pPr>
    </w:p>
    <w:p w14:paraId="05CA09FA" w14:textId="77777777" w:rsidR="007664F8" w:rsidRPr="002C1661" w:rsidRDefault="007664F8">
      <w:pPr>
        <w:spacing w:line="360" w:lineRule="auto"/>
        <w:ind w:right="-93"/>
        <w:jc w:val="both"/>
        <w:rPr>
          <w:rFonts w:ascii="Palatino Linotype" w:eastAsia="Palatino Linotype" w:hAnsi="Palatino Linotype" w:cs="Palatino Linotype"/>
          <w:sz w:val="22"/>
          <w:szCs w:val="22"/>
        </w:rPr>
      </w:pPr>
    </w:p>
    <w:p w14:paraId="32ED7A76" w14:textId="77777777" w:rsidR="007664F8" w:rsidRPr="002C1661" w:rsidRDefault="007664F8">
      <w:pPr>
        <w:spacing w:line="360" w:lineRule="auto"/>
        <w:ind w:right="-93"/>
        <w:jc w:val="both"/>
        <w:rPr>
          <w:rFonts w:ascii="Palatino Linotype" w:eastAsia="Palatino Linotype" w:hAnsi="Palatino Linotype" w:cs="Palatino Linotype"/>
          <w:sz w:val="22"/>
          <w:szCs w:val="22"/>
        </w:rPr>
      </w:pPr>
    </w:p>
    <w:p w14:paraId="5B7FD503" w14:textId="77777777" w:rsidR="007664F8" w:rsidRPr="002C1661" w:rsidRDefault="007664F8">
      <w:pPr>
        <w:spacing w:line="360" w:lineRule="auto"/>
        <w:ind w:right="-93"/>
        <w:jc w:val="both"/>
        <w:rPr>
          <w:rFonts w:ascii="Palatino Linotype" w:eastAsia="Palatino Linotype" w:hAnsi="Palatino Linotype" w:cs="Palatino Linotype"/>
          <w:sz w:val="22"/>
          <w:szCs w:val="22"/>
        </w:rPr>
      </w:pPr>
    </w:p>
    <w:p w14:paraId="521BAD41" w14:textId="77777777" w:rsidR="007664F8" w:rsidRPr="002C1661" w:rsidRDefault="007664F8">
      <w:pPr>
        <w:spacing w:line="360" w:lineRule="auto"/>
        <w:ind w:right="-93"/>
        <w:jc w:val="both"/>
        <w:rPr>
          <w:rFonts w:ascii="Palatino Linotype" w:eastAsia="Palatino Linotype" w:hAnsi="Palatino Linotype" w:cs="Palatino Linotype"/>
          <w:sz w:val="22"/>
          <w:szCs w:val="22"/>
        </w:rPr>
      </w:pPr>
    </w:p>
    <w:p w14:paraId="0AD2764D" w14:textId="77777777" w:rsidR="007664F8" w:rsidRPr="002C1661" w:rsidRDefault="007664F8">
      <w:pPr>
        <w:spacing w:line="360" w:lineRule="auto"/>
        <w:ind w:right="49"/>
        <w:jc w:val="both"/>
        <w:rPr>
          <w:rFonts w:ascii="Palatino Linotype" w:eastAsia="Palatino Linotype" w:hAnsi="Palatino Linotype" w:cs="Palatino Linotype"/>
          <w:sz w:val="22"/>
          <w:szCs w:val="22"/>
        </w:rPr>
      </w:pPr>
    </w:p>
    <w:sectPr w:rsidR="007664F8" w:rsidRPr="002C1661">
      <w:headerReference w:type="default" r:id="rId9"/>
      <w:footerReference w:type="default" r:id="rId10"/>
      <w:headerReference w:type="first" r:id="rId11"/>
      <w:footerReference w:type="first" r:id="rId1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F6C05" w14:textId="77777777" w:rsidR="00BD3599" w:rsidRDefault="00BD3599">
      <w:r>
        <w:separator/>
      </w:r>
    </w:p>
  </w:endnote>
  <w:endnote w:type="continuationSeparator" w:id="0">
    <w:p w14:paraId="70CDC84F" w14:textId="77777777" w:rsidR="00BD3599" w:rsidRDefault="00BD3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8B9FAE38-0DB9-439E-9804-6B1C00FA069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FA84314-A5BC-4021-8D0B-3809E65F9427}"/>
    <w:embedBold r:id="rId3" w:fontKey="{243F5584-627A-46BF-B3A7-7E359768F5F7}"/>
    <w:embedItalic r:id="rId4" w:fontKey="{6DD0050A-D0D8-489C-9B77-16FE1FB85D4C}"/>
  </w:font>
  <w:font w:name="Palatino Linotype">
    <w:panose1 w:val="02040502050505030304"/>
    <w:charset w:val="00"/>
    <w:family w:val="roman"/>
    <w:pitch w:val="variable"/>
    <w:sig w:usb0="E0000287" w:usb1="40000013" w:usb2="00000000" w:usb3="00000000" w:csb0="0000019F" w:csb1="00000000"/>
    <w:embedRegular r:id="rId5" w:fontKey="{6A2239AF-AF73-4E7A-A146-1AE57C9B93A4}"/>
    <w:embedBold r:id="rId6" w:fontKey="{EA3C9560-30D0-43FE-B302-6D7857249E37}"/>
    <w:embedItalic r:id="rId7" w:fontKey="{F72B7E0F-CA3D-418B-9300-06ACF77DF063}"/>
    <w:embedBoldItalic r:id="rId8" w:fontKey="{0BFD13D1-0ED7-4D98-94E0-77CD8B79D239}"/>
  </w:font>
  <w:font w:name="Georgia">
    <w:panose1 w:val="02040502050405020303"/>
    <w:charset w:val="00"/>
    <w:family w:val="roman"/>
    <w:pitch w:val="variable"/>
    <w:sig w:usb0="00000287" w:usb1="00000000" w:usb2="00000000" w:usb3="00000000" w:csb0="0000009F" w:csb1="00000000"/>
    <w:embedItalic r:id="rId9" w:fontKey="{D89C185C-161F-482C-B0F5-BBDC919EB72A}"/>
  </w:font>
  <w:font w:name="Cambria">
    <w:panose1 w:val="02040503050406030204"/>
    <w:charset w:val="00"/>
    <w:family w:val="roman"/>
    <w:pitch w:val="variable"/>
    <w:sig w:usb0="E00006FF" w:usb1="420024FF" w:usb2="02000000" w:usb3="00000000" w:csb0="0000019F" w:csb1="00000000"/>
    <w:embedRegular r:id="rId10" w:fontKey="{64B73DAB-2D98-4F3E-B9DF-89EEEECE4A37}"/>
    <w:embedItalic r:id="rId11" w:fontKey="{5A533103-098E-4251-B114-792C3C10BC37}"/>
  </w:font>
  <w:font w:name="Calibri Light">
    <w:panose1 w:val="020F0302020204030204"/>
    <w:charset w:val="00"/>
    <w:family w:val="swiss"/>
    <w:pitch w:val="variable"/>
    <w:sig w:usb0="E4002EFF" w:usb1="C200247B" w:usb2="00000009" w:usb3="00000000" w:csb0="000001FF" w:csb1="00000000"/>
    <w:embedRegular r:id="rId12" w:fontKey="{E00448DD-B7E0-4BC9-BBAE-535B2D23B02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5351" w14:textId="48E81A23" w:rsidR="007664F8" w:rsidRDefault="00593714">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D03B27">
      <w:rPr>
        <w:b/>
        <w:bCs/>
        <w:noProof/>
        <w:color w:val="000000"/>
      </w:rPr>
      <w:t>41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D03B27">
      <w:rPr>
        <w:b/>
        <w:bCs/>
        <w:noProof/>
        <w:color w:val="000000"/>
      </w:rPr>
      <w:t>43</w:t>
    </w:r>
    <w:r>
      <w:rPr>
        <w:b/>
        <w:bCs/>
        <w:color w:val="000000"/>
      </w:rPr>
      <w:fldChar w:fldCharType="end"/>
    </w:r>
  </w:p>
  <w:p w14:paraId="3FBA417D" w14:textId="77777777" w:rsidR="007664F8" w:rsidRDefault="007664F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1E96C" w14:textId="376CB0D2" w:rsidR="007664F8" w:rsidRDefault="00593714">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D03B27">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D03B27">
      <w:rPr>
        <w:b/>
        <w:bCs/>
        <w:noProof/>
        <w:color w:val="000000"/>
      </w:rPr>
      <w:t>43</w:t>
    </w:r>
    <w:r>
      <w:rPr>
        <w:b/>
        <w:bCs/>
        <w:color w:val="000000"/>
      </w:rPr>
      <w:fldChar w:fldCharType="end"/>
    </w:r>
  </w:p>
  <w:p w14:paraId="5374865C" w14:textId="77777777" w:rsidR="007664F8" w:rsidRDefault="007664F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C38BC" w14:textId="77777777" w:rsidR="00BD3599" w:rsidRDefault="00BD3599">
      <w:r>
        <w:separator/>
      </w:r>
    </w:p>
  </w:footnote>
  <w:footnote w:type="continuationSeparator" w:id="0">
    <w:p w14:paraId="4126B80D" w14:textId="77777777" w:rsidR="00BD3599" w:rsidRDefault="00BD3599">
      <w:r>
        <w:continuationSeparator/>
      </w:r>
    </w:p>
  </w:footnote>
  <w:footnote w:id="1">
    <w:p w14:paraId="68DEF11F" w14:textId="77777777" w:rsidR="007664F8" w:rsidRDefault="00593714">
      <w:pPr>
        <w:spacing w:after="160" w:line="259"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Tesis XX.308 K, </w:t>
      </w:r>
      <w:r>
        <w:rPr>
          <w:rFonts w:ascii="Cambria" w:eastAsia="Cambria" w:hAnsi="Cambria" w:cs="Cambria"/>
          <w:i/>
          <w:iCs/>
          <w:sz w:val="20"/>
          <w:szCs w:val="20"/>
        </w:rPr>
        <w:t>Semanario Judicial de la Federación</w:t>
      </w:r>
      <w:r>
        <w:rPr>
          <w:rFonts w:ascii="Cambria" w:eastAsia="Cambria" w:hAnsi="Cambria" w:cs="Cambria"/>
          <w:sz w:val="20"/>
          <w:szCs w:val="20"/>
        </w:rPr>
        <w:t>, Octava Época, tomo XV-1, febrero de 1995, pág. 138.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010B5" w14:textId="77777777" w:rsidR="007664F8" w:rsidRDefault="00593714">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291E6E82" wp14:editId="0F822FCC">
          <wp:simplePos x="0" y="0"/>
          <wp:positionH relativeFrom="column">
            <wp:posOffset>0</wp:posOffset>
          </wp:positionH>
          <wp:positionV relativeFrom="paragraph">
            <wp:posOffset>-401952</wp:posOffset>
          </wp:positionV>
          <wp:extent cx="7809876" cy="10165823"/>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7664F8" w14:paraId="136BEBA5" w14:textId="77777777">
      <w:tc>
        <w:tcPr>
          <w:tcW w:w="2551" w:type="dxa"/>
          <w:vAlign w:val="center"/>
        </w:tcPr>
        <w:p w14:paraId="390DE145" w14:textId="77777777" w:rsidR="007664F8" w:rsidRDefault="0059371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6487F506" w14:textId="77777777" w:rsidR="007664F8" w:rsidRDefault="007664F8">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4ECFC2AB" w14:textId="77777777" w:rsidR="007664F8" w:rsidRDefault="0059371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sz w:val="22"/>
              <w:szCs w:val="22"/>
            </w:rPr>
            <w:t>00989</w:t>
          </w:r>
          <w:r>
            <w:rPr>
              <w:rFonts w:ascii="Palatino Linotype" w:eastAsia="Palatino Linotype" w:hAnsi="Palatino Linotype" w:cs="Palatino Linotype"/>
              <w:b/>
              <w:bCs/>
              <w:color w:val="000000"/>
              <w:sz w:val="22"/>
              <w:szCs w:val="22"/>
            </w:rPr>
            <w:t>/INFOEM/IP/RR/2026</w:t>
          </w:r>
        </w:p>
      </w:tc>
    </w:tr>
    <w:tr w:rsidR="007664F8" w14:paraId="3B8C68E6" w14:textId="77777777">
      <w:trPr>
        <w:trHeight w:val="217"/>
      </w:trPr>
      <w:tc>
        <w:tcPr>
          <w:tcW w:w="2551" w:type="dxa"/>
          <w:vAlign w:val="center"/>
        </w:tcPr>
        <w:p w14:paraId="2E3BE465" w14:textId="77777777" w:rsidR="007664F8" w:rsidRDefault="0059371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4AB5CD29" w14:textId="77777777" w:rsidR="007664F8" w:rsidRDefault="00593714">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Tepotzotlán</w:t>
          </w:r>
        </w:p>
      </w:tc>
    </w:tr>
    <w:tr w:rsidR="007664F8" w14:paraId="30646A20" w14:textId="77777777">
      <w:tc>
        <w:tcPr>
          <w:tcW w:w="2551" w:type="dxa"/>
          <w:vAlign w:val="center"/>
        </w:tcPr>
        <w:p w14:paraId="14A11294" w14:textId="77777777" w:rsidR="007664F8" w:rsidRDefault="0059371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02527523" w14:textId="77777777" w:rsidR="007664F8" w:rsidRDefault="0059371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17482020" w14:textId="77777777" w:rsidR="007664F8" w:rsidRDefault="007664F8">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56B7F" w14:textId="77777777" w:rsidR="007664F8" w:rsidRDefault="00593714">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10704BED" wp14:editId="3F1D7A05">
          <wp:simplePos x="0" y="0"/>
          <wp:positionH relativeFrom="column">
            <wp:posOffset>-929003</wp:posOffset>
          </wp:positionH>
          <wp:positionV relativeFrom="paragraph">
            <wp:posOffset>-644523</wp:posOffset>
          </wp:positionV>
          <wp:extent cx="7809865" cy="10165715"/>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461" w:type="dxa"/>
      <w:tblInd w:w="3611" w:type="dxa"/>
      <w:tblLayout w:type="fixed"/>
      <w:tblLook w:val="0400" w:firstRow="0" w:lastRow="0" w:firstColumn="0" w:lastColumn="0" w:noHBand="0" w:noVBand="1"/>
    </w:tblPr>
    <w:tblGrid>
      <w:gridCol w:w="2343"/>
      <w:gridCol w:w="3118"/>
    </w:tblGrid>
    <w:tr w:rsidR="007664F8" w14:paraId="73CED207" w14:textId="77777777">
      <w:tc>
        <w:tcPr>
          <w:tcW w:w="2343" w:type="dxa"/>
          <w:vAlign w:val="center"/>
        </w:tcPr>
        <w:p w14:paraId="09B9A9E7" w14:textId="77777777" w:rsidR="007664F8" w:rsidRDefault="0059371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32B7B053" w14:textId="77777777" w:rsidR="007664F8" w:rsidRDefault="007664F8">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4BF43CD7" w14:textId="77777777" w:rsidR="007664F8" w:rsidRDefault="0059371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sz w:val="22"/>
              <w:szCs w:val="22"/>
            </w:rPr>
            <w:t>00989</w:t>
          </w:r>
          <w:r>
            <w:rPr>
              <w:rFonts w:ascii="Palatino Linotype" w:eastAsia="Palatino Linotype" w:hAnsi="Palatino Linotype" w:cs="Palatino Linotype"/>
              <w:b/>
              <w:bCs/>
              <w:color w:val="000000"/>
              <w:sz w:val="22"/>
              <w:szCs w:val="22"/>
            </w:rPr>
            <w:t>/INFOEM/IP/RR/2026</w:t>
          </w:r>
        </w:p>
      </w:tc>
    </w:tr>
    <w:tr w:rsidR="007664F8" w14:paraId="70AFB0F4" w14:textId="77777777">
      <w:tc>
        <w:tcPr>
          <w:tcW w:w="2343" w:type="dxa"/>
          <w:vAlign w:val="center"/>
        </w:tcPr>
        <w:p w14:paraId="605C5326" w14:textId="77777777" w:rsidR="007664F8" w:rsidRDefault="0059371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14:paraId="50EEB557" w14:textId="174CD909" w:rsidR="007664F8" w:rsidRDefault="00D03B27" w:rsidP="00D03B27">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XXXXX XXXXXXX XXXXXXXX </w:t>
          </w:r>
        </w:p>
      </w:tc>
    </w:tr>
    <w:tr w:rsidR="007664F8" w14:paraId="03565649" w14:textId="77777777">
      <w:trPr>
        <w:trHeight w:val="152"/>
      </w:trPr>
      <w:tc>
        <w:tcPr>
          <w:tcW w:w="2343" w:type="dxa"/>
          <w:vAlign w:val="center"/>
        </w:tcPr>
        <w:p w14:paraId="1F24857E" w14:textId="77777777" w:rsidR="007664F8" w:rsidRDefault="00593714">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5721E832" w14:textId="77777777" w:rsidR="007664F8" w:rsidRDefault="007664F8">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4AD5B38F" w14:textId="77777777" w:rsidR="007664F8" w:rsidRDefault="00593714">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Ayuntamiento de Tepotzotlán</w:t>
          </w:r>
        </w:p>
      </w:tc>
    </w:tr>
    <w:tr w:rsidR="007664F8" w14:paraId="06B7E9D3" w14:textId="77777777">
      <w:tc>
        <w:tcPr>
          <w:tcW w:w="2343" w:type="dxa"/>
          <w:vAlign w:val="center"/>
        </w:tcPr>
        <w:p w14:paraId="2238E020" w14:textId="77777777" w:rsidR="007664F8" w:rsidRDefault="0059371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14:paraId="7AFAE88A" w14:textId="77777777" w:rsidR="007664F8" w:rsidRDefault="0059371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58920883" w14:textId="77777777" w:rsidR="007664F8" w:rsidRDefault="00593714">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D698C"/>
    <w:multiLevelType w:val="multilevel"/>
    <w:tmpl w:val="D25004F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DA1FA4"/>
    <w:multiLevelType w:val="multilevel"/>
    <w:tmpl w:val="1CD8E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7F4E6C"/>
    <w:multiLevelType w:val="multilevel"/>
    <w:tmpl w:val="8954D8AC"/>
    <w:lvl w:ilvl="0">
      <w:start w:val="1"/>
      <w:numFmt w:val="bullet"/>
      <w:lvlText w:val="✔"/>
      <w:lvlJc w:val="left"/>
      <w:pPr>
        <w:ind w:left="1287" w:hanging="360"/>
      </w:pPr>
      <w:rPr>
        <w:rFonts w:ascii="Noto Sans Symbols" w:eastAsia="Noto Sans Symbols" w:hAnsi="Noto Sans Symbols" w:cs="Noto Sans Symbols"/>
        <w:sz w:val="22"/>
        <w:szCs w:val="22"/>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6F170F41"/>
    <w:multiLevelType w:val="multilevel"/>
    <w:tmpl w:val="C866AF2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2375EF"/>
    <w:multiLevelType w:val="multilevel"/>
    <w:tmpl w:val="5838E5E4"/>
    <w:lvl w:ilvl="0">
      <w:start w:val="1"/>
      <w:numFmt w:val="upperRoman"/>
      <w:pStyle w:val="Listaconvietas"/>
      <w:lvlText w:val="%1."/>
      <w:lvlJc w:val="left"/>
      <w:pPr>
        <w:ind w:left="22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BD27797"/>
    <w:multiLevelType w:val="multilevel"/>
    <w:tmpl w:val="566E15C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4F8"/>
    <w:rsid w:val="002C1661"/>
    <w:rsid w:val="00593714"/>
    <w:rsid w:val="007664F8"/>
    <w:rsid w:val="00BD3599"/>
    <w:rsid w:val="00D03B27"/>
    <w:rsid w:val="00F833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DF4B0"/>
  <w15:docId w15:val="{DE671300-6FD8-465C-A2E7-7570509F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qcOez/vVqPq/xVuQnXqsrZxizQ==">CgMxLjAyCWguM3pueXNoNzIOaC5veGVpYXkxdXo4bGgyDmguajNwcHl4d2xiMXMyMghoLnR5amN3dDINaC5qbDBkbGFzb3Q0ZjgAciExQnlmQ3VtdWxZZ2hvQXY5OTk4RklXN0JhRVJJU1FXb1k=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11758</Words>
  <Characters>64671</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2026-03-13T16:34:00Z</cp:lastPrinted>
  <dcterms:created xsi:type="dcterms:W3CDTF">2026-04-08T17:05:00Z</dcterms:created>
  <dcterms:modified xsi:type="dcterms:W3CDTF">2026-04-08T17:05:00Z</dcterms:modified>
</cp:coreProperties>
</file>