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EB9" w:rsidRDefault="000D6F72">
      <w:pPr>
        <w:tabs>
          <w:tab w:val="left" w:pos="3465"/>
        </w:tabs>
        <w:spacing w:before="240" w:after="360" w:line="360" w:lineRule="auto"/>
        <w:ind w:right="-1416"/>
        <w:jc w:val="both"/>
        <w:rPr>
          <w:rFonts w:ascii="Palatino Linotype" w:eastAsia="Palatino Linotype" w:hAnsi="Palatino Linotype" w:cs="Palatino Linotype"/>
          <w:b/>
          <w:bCs/>
          <w:color w:val="000000"/>
        </w:rPr>
      </w:pPr>
      <w:r>
        <w:rPr>
          <w:rFonts w:ascii="Palatino Linotype" w:eastAsia="Palatino Linotype" w:hAnsi="Palatino Linotype" w:cs="Palatino Linotype"/>
          <w:color w:val="000000"/>
        </w:rPr>
        <w:t xml:space="preserve">Resolución del Pleno del Instituto de Transparencia, Acceso a la Información Pública y Protección de Datos Personales del Estado de México y Municipios, con domicilio en Metepec, Estado de México; </w:t>
      </w:r>
      <w:r>
        <w:rPr>
          <w:rFonts w:ascii="Palatino Linotype" w:eastAsia="Palatino Linotype" w:hAnsi="Palatino Linotype" w:cs="Palatino Linotype"/>
          <w:b/>
          <w:bCs/>
          <w:color w:val="000000"/>
        </w:rPr>
        <w:t xml:space="preserve">de fecha </w:t>
      </w:r>
      <w:r>
        <w:rPr>
          <w:rFonts w:ascii="Palatino Linotype" w:eastAsia="Palatino Linotype" w:hAnsi="Palatino Linotype" w:cs="Palatino Linotype"/>
          <w:b/>
          <w:bCs/>
        </w:rPr>
        <w:t>veintiséis (26)</w:t>
      </w:r>
      <w:r>
        <w:rPr>
          <w:rFonts w:ascii="Palatino Linotype" w:eastAsia="Palatino Linotype" w:hAnsi="Palatino Linotype" w:cs="Palatino Linotype"/>
          <w:b/>
          <w:bCs/>
          <w:color w:val="000000"/>
        </w:rPr>
        <w:t xml:space="preserve"> de agosto de dos mil veintiséis.</w:t>
      </w:r>
    </w:p>
    <w:p w:rsidR="00977EB9" w:rsidRDefault="000D6F72">
      <w:pPr>
        <w:tabs>
          <w:tab w:val="left" w:pos="3465"/>
        </w:tabs>
        <w:spacing w:before="240" w:after="360" w:line="360" w:lineRule="auto"/>
        <w:ind w:right="-1416"/>
        <w:jc w:val="both"/>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VISTO</w:t>
      </w:r>
      <w:r>
        <w:rPr>
          <w:rFonts w:ascii="Palatino Linotype" w:eastAsia="Palatino Linotype" w:hAnsi="Palatino Linotype" w:cs="Palatino Linotype"/>
          <w:color w:val="000000"/>
        </w:rPr>
        <w:t xml:space="preserve"> el expediente electrónico formado con motivo del recurso de revisión </w:t>
      </w:r>
      <w:r>
        <w:rPr>
          <w:rFonts w:ascii="Palatino Linotype" w:eastAsia="Palatino Linotype" w:hAnsi="Palatino Linotype" w:cs="Palatino Linotype"/>
          <w:b/>
          <w:bCs/>
        </w:rPr>
        <w:t>05118/INFOEM/IP/RR/2026</w:t>
      </w:r>
      <w:r>
        <w:rPr>
          <w:rFonts w:ascii="Palatino Linotype" w:eastAsia="Palatino Linotype" w:hAnsi="Palatino Linotype" w:cs="Palatino Linotype"/>
          <w:color w:val="000000"/>
        </w:rPr>
        <w:t xml:space="preserve">, interpuesto por </w:t>
      </w:r>
      <w:r w:rsidR="00A8070E">
        <w:rPr>
          <w:rFonts w:ascii="Palatino Linotype" w:eastAsia="Palatino Linotype" w:hAnsi="Palatino Linotype" w:cs="Palatino Linotype"/>
          <w:b/>
          <w:bCs/>
        </w:rPr>
        <w:t>XXXX</w:t>
      </w:r>
      <w:r>
        <w:rPr>
          <w:rFonts w:ascii="Palatino Linotype" w:eastAsia="Palatino Linotype" w:hAnsi="Palatino Linotype" w:cs="Palatino Linotype"/>
          <w:b/>
          <w:bCs/>
        </w:rPr>
        <w:t xml:space="preserve">, </w:t>
      </w:r>
      <w:r>
        <w:rPr>
          <w:rFonts w:ascii="Palatino Linotype" w:eastAsia="Palatino Linotype" w:hAnsi="Palatino Linotype" w:cs="Palatino Linotype"/>
          <w:color w:val="000000"/>
        </w:rPr>
        <w:t xml:space="preserve">en lo sucesivo </w:t>
      </w:r>
      <w:r>
        <w:rPr>
          <w:rFonts w:ascii="Palatino Linotype" w:eastAsia="Palatino Linotype" w:hAnsi="Palatino Linotype" w:cs="Palatino Linotype"/>
          <w:b/>
          <w:bCs/>
          <w:color w:val="000000"/>
        </w:rPr>
        <w:t>EL RECURRENTE</w:t>
      </w:r>
      <w:r>
        <w:rPr>
          <w:rFonts w:ascii="Palatino Linotype" w:eastAsia="Palatino Linotype" w:hAnsi="Palatino Linotype" w:cs="Palatino Linotype"/>
        </w:rPr>
        <w:t>,</w:t>
      </w:r>
      <w:r>
        <w:rPr>
          <w:rFonts w:ascii="Palatino Linotype" w:eastAsia="Palatino Linotype" w:hAnsi="Palatino Linotype" w:cs="Palatino Linotype"/>
          <w:color w:val="000000"/>
        </w:rPr>
        <w:t xml:space="preserve"> en contra del incumplimiento al recurso de revisión </w:t>
      </w:r>
      <w:r>
        <w:rPr>
          <w:rFonts w:ascii="Palatino Linotype" w:eastAsia="Palatino Linotype" w:hAnsi="Palatino Linotype" w:cs="Palatino Linotype"/>
          <w:b/>
          <w:bCs/>
          <w:color w:val="000000"/>
        </w:rPr>
        <w:t> </w:t>
      </w:r>
      <w:r>
        <w:rPr>
          <w:rFonts w:ascii="Palatino Linotype" w:eastAsia="Palatino Linotype" w:hAnsi="Palatino Linotype" w:cs="Palatino Linotype"/>
          <w:b/>
          <w:bCs/>
        </w:rPr>
        <w:t xml:space="preserve">00067/SEMUJS/IP/2026 </w:t>
      </w:r>
      <w:r>
        <w:rPr>
          <w:rFonts w:ascii="Palatino Linotype" w:eastAsia="Palatino Linotype" w:hAnsi="Palatino Linotype" w:cs="Palatino Linotype"/>
          <w:color w:val="000000"/>
        </w:rPr>
        <w:t xml:space="preserve">de la </w:t>
      </w:r>
      <w:r>
        <w:rPr>
          <w:rFonts w:ascii="Palatino Linotype" w:eastAsia="Palatino Linotype" w:hAnsi="Palatino Linotype" w:cs="Palatino Linotype"/>
          <w:b/>
          <w:bCs/>
          <w:color w:val="000000"/>
        </w:rPr>
        <w:t>Secretaría de las Mujeres</w:t>
      </w:r>
      <w:r>
        <w:rPr>
          <w:rFonts w:ascii="Palatino Linotype" w:eastAsia="Palatino Linotype" w:hAnsi="Palatino Linotype" w:cs="Palatino Linotype"/>
          <w:color w:val="000000"/>
        </w:rPr>
        <w:t>, en adelante el</w:t>
      </w:r>
      <w:r>
        <w:rPr>
          <w:rFonts w:ascii="Palatino Linotype" w:eastAsia="Palatino Linotype" w:hAnsi="Palatino Linotype" w:cs="Palatino Linotype"/>
          <w:b/>
          <w:bCs/>
          <w:color w:val="000000"/>
        </w:rPr>
        <w:t xml:space="preserve"> SUJETO OBLIGADO</w:t>
      </w:r>
      <w:r>
        <w:rPr>
          <w:rFonts w:ascii="Palatino Linotype" w:eastAsia="Palatino Linotype" w:hAnsi="Palatino Linotype" w:cs="Palatino Linotype"/>
          <w:color w:val="000000"/>
        </w:rPr>
        <w:t>,</w:t>
      </w:r>
      <w:r>
        <w:rPr>
          <w:rFonts w:ascii="Palatino Linotype" w:eastAsia="Palatino Linotype" w:hAnsi="Palatino Linotype" w:cs="Palatino Linotype"/>
          <w:b/>
          <w:bCs/>
          <w:color w:val="000000"/>
        </w:rPr>
        <w:t xml:space="preserve"> </w:t>
      </w:r>
      <w:r>
        <w:rPr>
          <w:rFonts w:ascii="Palatino Linotype" w:eastAsia="Palatino Linotype" w:hAnsi="Palatino Linotype" w:cs="Palatino Linotype"/>
          <w:color w:val="000000"/>
        </w:rPr>
        <w:t>se procede a dictar la presente resolución, con base en los siguientes:</w:t>
      </w:r>
    </w:p>
    <w:p w:rsidR="00977EB9" w:rsidRDefault="00977EB9">
      <w:pPr>
        <w:spacing w:line="360" w:lineRule="auto"/>
        <w:ind w:right="-1416"/>
        <w:jc w:val="both"/>
        <w:rPr>
          <w:rFonts w:ascii="Palatino Linotype" w:eastAsia="Palatino Linotype" w:hAnsi="Palatino Linotype" w:cs="Palatino Linotype"/>
          <w:b/>
          <w:bCs/>
          <w:color w:val="000000"/>
        </w:rPr>
      </w:pPr>
    </w:p>
    <w:p w:rsidR="00977EB9" w:rsidRDefault="000D6F72">
      <w:pPr>
        <w:keepNext/>
        <w:keepLines/>
        <w:spacing w:line="360" w:lineRule="auto"/>
        <w:ind w:right="-1416"/>
        <w:jc w:val="center"/>
        <w:rPr>
          <w:rFonts w:ascii="Palatino Linotype" w:eastAsia="Palatino Linotype" w:hAnsi="Palatino Linotype" w:cs="Palatino Linotype"/>
          <w:b/>
          <w:bCs/>
          <w:color w:val="000000"/>
        </w:rPr>
      </w:pPr>
      <w:bookmarkStart w:id="0" w:name="_heading=h.p65svlj48l4z" w:colFirst="0" w:colLast="0"/>
      <w:bookmarkEnd w:id="0"/>
      <w:r>
        <w:rPr>
          <w:rFonts w:ascii="Palatino Linotype" w:eastAsia="Palatino Linotype" w:hAnsi="Palatino Linotype" w:cs="Palatino Linotype"/>
          <w:b/>
          <w:bCs/>
          <w:color w:val="000000"/>
        </w:rPr>
        <w:t>A N T E C E D E N T E S</w:t>
      </w:r>
    </w:p>
    <w:p w:rsidR="00977EB9" w:rsidRDefault="00977EB9">
      <w:pPr>
        <w:tabs>
          <w:tab w:val="left" w:pos="426"/>
        </w:tabs>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tabs>
          <w:tab w:val="left" w:pos="0"/>
        </w:tabs>
        <w:spacing w:line="360" w:lineRule="auto"/>
        <w:ind w:left="0" w:right="-1416" w:firstLine="0"/>
        <w:jc w:val="both"/>
      </w:pPr>
      <w:r>
        <w:rPr>
          <w:rFonts w:ascii="Palatino Linotype" w:eastAsia="Palatino Linotype" w:hAnsi="Palatino Linotype" w:cs="Palatino Linotype"/>
          <w:color w:val="000000"/>
        </w:rPr>
        <w:t xml:space="preserve">El </w:t>
      </w:r>
      <w:r>
        <w:rPr>
          <w:rFonts w:ascii="Palatino Linotype" w:eastAsia="Palatino Linotype" w:hAnsi="Palatino Linotype" w:cs="Palatino Linotype"/>
          <w:b/>
          <w:bCs/>
          <w:color w:val="000000"/>
        </w:rPr>
        <w:t>quince de abril de dos mil veintiséis</w:t>
      </w:r>
      <w:r>
        <w:rPr>
          <w:rFonts w:ascii="Palatino Linotype" w:eastAsia="Palatino Linotype" w:hAnsi="Palatino Linotype" w:cs="Palatino Linotype"/>
          <w:color w:val="000000"/>
        </w:rPr>
        <w:t>, el particular presentó</w:t>
      </w:r>
      <w:r>
        <w:rPr>
          <w:rFonts w:ascii="Palatino Linotype" w:eastAsia="Palatino Linotype" w:hAnsi="Palatino Linotype" w:cs="Palatino Linotype"/>
          <w:b/>
          <w:bCs/>
          <w:color w:val="000000"/>
        </w:rPr>
        <w:t xml:space="preserve"> </w:t>
      </w:r>
      <w:r>
        <w:rPr>
          <w:rFonts w:ascii="Palatino Linotype" w:eastAsia="Palatino Linotype" w:hAnsi="Palatino Linotype" w:cs="Palatino Linotype"/>
          <w:color w:val="000000"/>
        </w:rPr>
        <w:t xml:space="preserve">a través del Sistema de Acceso a la Información Mexiquense (SAIMEX), la solicitud de información pública registrada con el número </w:t>
      </w:r>
      <w:r>
        <w:rPr>
          <w:rFonts w:ascii="Palatino Linotype" w:eastAsia="Palatino Linotype" w:hAnsi="Palatino Linotype" w:cs="Palatino Linotype"/>
          <w:b/>
          <w:bCs/>
        </w:rPr>
        <w:t>00067/SEMUJS/IP/2026</w:t>
      </w:r>
      <w:r>
        <w:rPr>
          <w:rFonts w:ascii="Palatino Linotype" w:eastAsia="Palatino Linotype" w:hAnsi="Palatino Linotype" w:cs="Palatino Linotype"/>
          <w:b/>
          <w:bCs/>
          <w:color w:val="000000"/>
        </w:rPr>
        <w:t>,</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rPr>
        <w:t xml:space="preserve">en la que se </w:t>
      </w:r>
      <w:r>
        <w:rPr>
          <w:rFonts w:ascii="Palatino Linotype" w:eastAsia="Palatino Linotype" w:hAnsi="Palatino Linotype" w:cs="Palatino Linotype"/>
          <w:color w:val="000000"/>
        </w:rPr>
        <w:t>requirió lo siguiente:</w:t>
      </w:r>
    </w:p>
    <w:p w:rsidR="00977EB9" w:rsidRDefault="00977EB9">
      <w:pPr>
        <w:spacing w:line="276" w:lineRule="auto"/>
        <w:ind w:left="567" w:right="-1416"/>
        <w:jc w:val="both"/>
        <w:rPr>
          <w:rFonts w:ascii="Palatino Linotype" w:eastAsia="Palatino Linotype" w:hAnsi="Palatino Linotype" w:cs="Palatino Linotype"/>
          <w:i/>
          <w:iCs/>
          <w:color w:val="000000"/>
        </w:rPr>
      </w:pPr>
    </w:p>
    <w:p w:rsidR="00977EB9" w:rsidRDefault="000D6F72">
      <w:pPr>
        <w:spacing w:line="276" w:lineRule="auto"/>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 “Por medio de la presente, y con fundamento en la Ley de Transparencia y Acceso a la Información Pública del Estado de México y Municipios, solicito se me proporcione en formato digital la siguiente información generada por la Secretaría de las Mujeres:​Protocolo ante Conflictos de Interés en el Comité de Ética: Copia del documento o lineamiento que establezca el procedimiento de actuación, abstención y recusación cuando un miembro permanente del Comité de Ética y Prevención de Conflictos de Intereses es objeto de una queja o denuncia administrativa.​Informes de Evaluación del Clima Organizacional: Los resultados detallados y las recomendaciones del último 'Diagnóstico de Clima y Cultura Organizacional' realizado en la Secretaría de las Mujeres, con desglose específico (si existe) </w:t>
      </w:r>
      <w:r>
        <w:rPr>
          <w:rFonts w:ascii="Palatino Linotype" w:eastAsia="Palatino Linotype" w:hAnsi="Palatino Linotype" w:cs="Palatino Linotype"/>
          <w:i/>
          <w:iCs/>
          <w:color w:val="000000"/>
        </w:rPr>
        <w:lastRenderedPageBreak/>
        <w:t>de la unidad administrativa correspondiente a la Titular de la dependencia y sus áreas adscritas.​Actas de Seguimiento de Quejas SAM: Relación de actas de las sesiones del Comité de Ética celebradas en los años 2025 y 2026, donde se haya dado cuenta de las quejas remitidas por el Sistema de Atención Mexiquense (SAM), indicando el estado procesal actual de dichas quejas (sin revelar nombres de denunciantes, pero especificando el cargo de la Titular de la UIPPE ERIKA NÚÑEZ GUTIÉRREZ)​Registro de Medidas Cautelares o Correctivas: Informe sobre si el Comité de Ética ha emitido recomendaciones o medidas de protección para el personal que ha manifestado tratos denigrantes o conductas que vulneren el Código de Conducta de la institución en el último año.​Funciones del Personal de Apoyo: Copia de los perfiles de puesto y manuales de procedimientos que definan las funciones oficiales del personal de apoyo técnico y administrativo de la oficina de la Titular, con el fin de verificar si el uso de señales sonoras o dispositivos de comunicación (timbres) para llamados al personal está normado como herramienta de trabajo o práctica oficial; finalmente sustenta la anterior solicitud, el siguiente argumento: El uso de dispositivos sonoros (timbres) por parte de la Titular para requerir la presencia del personal es una conducta que excede las facultades legales conferidas en su Manual de Organización, contraviniendo el Principio de Legalidad. Asimismo, dicha práctica constituye una falta administrativa conforme al Art. 7, Fracción VI de la Ley de Responsabilidades Administrativas del Estado de México y Municipios, al representar un trato indigno, despersonalizado y humillante que vulnera la integridad y el respeto debido entre servidores públicos, creando un ambiente laboral hostil y degradante.Gracias.” (Sic).</w:t>
      </w:r>
    </w:p>
    <w:p w:rsidR="00977EB9" w:rsidRDefault="00977EB9">
      <w:pPr>
        <w:spacing w:line="360" w:lineRule="auto"/>
        <w:ind w:right="-1416"/>
        <w:jc w:val="both"/>
        <w:rPr>
          <w:rFonts w:ascii="Palatino Linotype" w:eastAsia="Palatino Linotype" w:hAnsi="Palatino Linotype" w:cs="Palatino Linotype"/>
          <w:color w:val="000000"/>
        </w:rPr>
      </w:pPr>
    </w:p>
    <w:p w:rsidR="00977EB9" w:rsidRDefault="000D6F72">
      <w:pPr>
        <w:numPr>
          <w:ilvl w:val="0"/>
          <w:numId w:val="5"/>
        </w:numPr>
        <w:pBdr>
          <w:top w:val="nil"/>
          <w:left w:val="nil"/>
          <w:bottom w:val="nil"/>
          <w:right w:val="nil"/>
          <w:between w:val="nil"/>
        </w:pBdr>
        <w:tabs>
          <w:tab w:val="left" w:pos="426"/>
        </w:tabs>
        <w:spacing w:line="360" w:lineRule="auto"/>
        <w:ind w:right="-1416"/>
        <w:jc w:val="both"/>
        <w:rPr>
          <w:color w:val="000000"/>
        </w:rPr>
      </w:pPr>
      <w:r>
        <w:rPr>
          <w:rFonts w:ascii="Palatino Linotype" w:eastAsia="Palatino Linotype" w:hAnsi="Palatino Linotype" w:cs="Palatino Linotype"/>
          <w:b/>
          <w:bCs/>
          <w:color w:val="000000"/>
        </w:rPr>
        <w:t>Modalidad de entrega de la información</w:t>
      </w:r>
      <w:r>
        <w:rPr>
          <w:rFonts w:ascii="Palatino Linotype" w:eastAsia="Palatino Linotype" w:hAnsi="Palatino Linotype" w:cs="Palatino Linotype"/>
          <w:color w:val="000000"/>
        </w:rPr>
        <w:t xml:space="preserve">: A través del </w:t>
      </w:r>
      <w:r>
        <w:rPr>
          <w:rFonts w:ascii="Palatino Linotype" w:eastAsia="Palatino Linotype" w:hAnsi="Palatino Linotype" w:cs="Palatino Linotype"/>
          <w:b/>
          <w:bCs/>
          <w:color w:val="000000"/>
        </w:rPr>
        <w:t>SAIME</w:t>
      </w:r>
      <w:r>
        <w:rPr>
          <w:rFonts w:ascii="Palatino Linotype" w:eastAsia="Palatino Linotype" w:hAnsi="Palatino Linotype" w:cs="Palatino Linotype"/>
          <w:color w:val="000000"/>
        </w:rPr>
        <w:t>X.</w:t>
      </w:r>
    </w:p>
    <w:p w:rsidR="00977EB9" w:rsidRDefault="00977EB9">
      <w:pPr>
        <w:tabs>
          <w:tab w:val="left" w:pos="426"/>
        </w:tabs>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tabs>
          <w:tab w:val="left" w:pos="426"/>
        </w:tabs>
        <w:spacing w:line="360" w:lineRule="auto"/>
        <w:ind w:left="0" w:right="-1416" w:firstLine="0"/>
        <w:jc w:val="both"/>
      </w:pPr>
      <w:r>
        <w:rPr>
          <w:rFonts w:ascii="Palatino Linotype" w:eastAsia="Palatino Linotype" w:hAnsi="Palatino Linotype" w:cs="Palatino Linotype"/>
          <w:color w:val="000000"/>
        </w:rPr>
        <w:t xml:space="preserve">De las constancias que integran el expediente electrónico se observa que en fecha </w:t>
      </w:r>
      <w:r>
        <w:rPr>
          <w:rFonts w:ascii="Palatino Linotype" w:eastAsia="Palatino Linotype" w:hAnsi="Palatino Linotype" w:cs="Palatino Linotype"/>
          <w:b/>
          <w:bCs/>
          <w:color w:val="000000"/>
        </w:rPr>
        <w:t>seis de mayo de dos mil veintiséis</w:t>
      </w:r>
      <w:r>
        <w:rPr>
          <w:rFonts w:ascii="Palatino Linotype" w:eastAsia="Palatino Linotype" w:hAnsi="Palatino Linotype" w:cs="Palatino Linotype"/>
          <w:color w:val="000000"/>
        </w:rPr>
        <w:t xml:space="preserve"> el </w:t>
      </w:r>
      <w:r>
        <w:rPr>
          <w:rFonts w:ascii="Palatino Linotype" w:eastAsia="Palatino Linotype" w:hAnsi="Palatino Linotype" w:cs="Palatino Linotype"/>
          <w:b/>
          <w:bCs/>
          <w:color w:val="000000"/>
        </w:rPr>
        <w:t xml:space="preserve">SUJETO OBLIGADO </w:t>
      </w:r>
      <w:r>
        <w:rPr>
          <w:rFonts w:ascii="Palatino Linotype" w:eastAsia="Palatino Linotype" w:hAnsi="Palatino Linotype" w:cs="Palatino Linotype"/>
          <w:color w:val="000000"/>
        </w:rPr>
        <w:t xml:space="preserve"> mediante cuatro archivos electrónicos rindió respuesta señalando medularmente lo siguiente:</w:t>
      </w:r>
    </w:p>
    <w:p w:rsidR="00977EB9" w:rsidRDefault="000D6F72">
      <w:pPr>
        <w:tabs>
          <w:tab w:val="left" w:pos="426"/>
        </w:tabs>
        <w:spacing w:line="276" w:lineRule="auto"/>
        <w:ind w:left="708"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bCs/>
          <w:color w:val="000000"/>
        </w:rPr>
        <w:t xml:space="preserve">00067-UNIDAD DE TRANSPARENCIA SEMUJERES.pdf </w:t>
      </w:r>
      <w:r>
        <w:rPr>
          <w:rFonts w:ascii="Palatino Linotype" w:eastAsia="Palatino Linotype" w:hAnsi="Palatino Linotype" w:cs="Palatino Linotype"/>
          <w:i/>
          <w:iCs/>
          <w:color w:val="000000"/>
        </w:rPr>
        <w:t>Donde Titular de la Unidad de Transparencia entrega al Solicitante la respuesta de los servidores públicos habilitados.</w:t>
      </w:r>
    </w:p>
    <w:p w:rsidR="00977EB9" w:rsidRDefault="000D6F72">
      <w:pPr>
        <w:tabs>
          <w:tab w:val="left" w:pos="426"/>
        </w:tabs>
        <w:spacing w:line="276" w:lineRule="auto"/>
        <w:ind w:left="708"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bCs/>
          <w:color w:val="000000"/>
        </w:rPr>
        <w:lastRenderedPageBreak/>
        <w:t xml:space="preserve">ANEXO 1. RESULTADOS EVALUACIÓN CLIMA ORGANIZACIONAL.pdf </w:t>
      </w:r>
      <w:r>
        <w:rPr>
          <w:rFonts w:ascii="Palatino Linotype" w:eastAsia="Palatino Linotype" w:hAnsi="Palatino Linotype" w:cs="Palatino Linotype"/>
          <w:i/>
          <w:iCs/>
          <w:color w:val="000000"/>
        </w:rPr>
        <w:t>Donde la Responsable del Área de Recursos Humanos remite informe de la Encuesta de Clima Organizacional del Segundo Semestre de 2025, incluyendo la interpretación de los resultados del Cuestionario para identificar los factores de riego psicosocial y evaluar el entorno organizacional de la Secretaría de las Mujeres, donde en primer lugar concluye que “el ambiente de trabajo es favorable…vale la pena revisar los casos particulares que deriven de dicha encuesta” , en segundo lugar concluye que los factores propios de la actividad laboral son idóneos “…sin embargo se debe dar atención a los casos donde los jefes inmediatos no permiten a los trabajadores acudir a las capacitaciones…se considera como limitada la posibilidad de desarrollo y por consiguiente no se puede aspirar a un mejor puesto”, de lo anterior se sugieren las siguientes acciones de mejora a)</w:t>
      </w:r>
      <w:r>
        <w:t xml:space="preserve"> </w:t>
      </w:r>
      <w:r>
        <w:rPr>
          <w:rFonts w:ascii="Palatino Linotype" w:eastAsia="Palatino Linotype" w:hAnsi="Palatino Linotype" w:cs="Palatino Linotype"/>
          <w:i/>
          <w:iCs/>
          <w:color w:val="000000"/>
        </w:rPr>
        <w:t xml:space="preserve">Se recomienda atender prioritariamente las cargas de trabajo y la falta de control, y fomentar que los jefes evalúen mejor las funciones, los horarios y las responsabilidades de su equipo mediante intervenciones breves, campañas de sensibilización y su inclusión en la política de prevención de riesgos. b)El Sujeto Obligado debe considerar integrar programas  de mejora de la comunicación, estilo de liderazgo empático, c)Se debe diseñar una estrategia de intervención psicológica para el personal que atiende a Mujeres en Situación de Violencia  d)Recomienda integrar protocolos de prevención y atención de hostigamiento y violencia laboral así como concientización a todas las áreas sobre el tema.  </w:t>
      </w:r>
    </w:p>
    <w:p w:rsidR="00977EB9" w:rsidRDefault="000D6F72">
      <w:pPr>
        <w:tabs>
          <w:tab w:val="left" w:pos="426"/>
        </w:tabs>
        <w:spacing w:line="276" w:lineRule="auto"/>
        <w:ind w:left="708"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bCs/>
          <w:color w:val="000000"/>
        </w:rPr>
        <w:t xml:space="preserve">ANEXO 3. FICHA CURRICULAR.pdf </w:t>
      </w:r>
      <w:r>
        <w:rPr>
          <w:rFonts w:ascii="Palatino Linotype" w:eastAsia="Palatino Linotype" w:hAnsi="Palatino Linotype" w:cs="Palatino Linotype"/>
          <w:i/>
          <w:iCs/>
          <w:color w:val="000000"/>
        </w:rPr>
        <w:t>Contiene fichas curriculares de dos servidores públicos adscritos a la UIPPE como auxiliar administrativo y secretarial así como enlace administrativo respectivamente.</w:t>
      </w:r>
    </w:p>
    <w:p w:rsidR="00977EB9" w:rsidRDefault="000D6F72">
      <w:pPr>
        <w:tabs>
          <w:tab w:val="left" w:pos="426"/>
        </w:tabs>
        <w:spacing w:line="276" w:lineRule="auto"/>
        <w:ind w:left="708" w:right="-1416"/>
        <w:jc w:val="both"/>
        <w:rPr>
          <w:rFonts w:ascii="Palatino Linotype" w:eastAsia="Palatino Linotype" w:hAnsi="Palatino Linotype" w:cs="Palatino Linotype"/>
          <w:i/>
          <w:iCs/>
        </w:rPr>
      </w:pPr>
      <w:r>
        <w:rPr>
          <w:rFonts w:ascii="Palatino Linotype" w:eastAsia="Palatino Linotype" w:hAnsi="Palatino Linotype" w:cs="Palatino Linotype"/>
          <w:b/>
          <w:bCs/>
          <w:color w:val="000000"/>
        </w:rPr>
        <w:t xml:space="preserve">ANEXO 2. Oficio de funciones.pdf </w:t>
      </w:r>
      <w:r>
        <w:rPr>
          <w:rFonts w:ascii="Palatino Linotype" w:eastAsia="Palatino Linotype" w:hAnsi="Palatino Linotype" w:cs="Palatino Linotype"/>
          <w:i/>
          <w:iCs/>
        </w:rPr>
        <w:t>Donde la jefa de la UIPPE comunica a las servidores públicos previamente referidas sus funciones con fundamento en los artículos 52 y 53 del Decreto 182 mediante el cual se expide la Ley Orgánica de la Administración Pública del estado de México, el Manual General de organización de la Secretaría de las Mujeres apartado VII numeral 22700000020000S y los artículos  20 de la Ley de Planeación del Estado de México y Municipios y 19 de su Reglamento.</w:t>
      </w:r>
    </w:p>
    <w:p w:rsidR="00977EB9" w:rsidRDefault="000D6F72">
      <w:pPr>
        <w:tabs>
          <w:tab w:val="left" w:pos="426"/>
        </w:tabs>
        <w:spacing w:line="360" w:lineRule="auto"/>
        <w:ind w:right="-1416"/>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ab/>
      </w:r>
    </w:p>
    <w:p w:rsidR="00977EB9" w:rsidRDefault="000D6F72">
      <w:pPr>
        <w:numPr>
          <w:ilvl w:val="0"/>
          <w:numId w:val="2"/>
        </w:numPr>
        <w:tabs>
          <w:tab w:val="left" w:pos="142"/>
        </w:tabs>
        <w:spacing w:line="360" w:lineRule="auto"/>
        <w:ind w:right="-1416"/>
        <w:jc w:val="both"/>
      </w:pPr>
      <w:r>
        <w:rPr>
          <w:rFonts w:ascii="Palatino Linotype" w:eastAsia="Palatino Linotype" w:hAnsi="Palatino Linotype" w:cs="Palatino Linotype"/>
          <w:color w:val="000000"/>
        </w:rPr>
        <w:t xml:space="preserve">Derivado de la respuesta, el </w:t>
      </w:r>
      <w:r>
        <w:rPr>
          <w:rFonts w:ascii="Palatino Linotype" w:eastAsia="Palatino Linotype" w:hAnsi="Palatino Linotype" w:cs="Palatino Linotype"/>
          <w:b/>
          <w:bCs/>
          <w:color w:val="000000"/>
        </w:rPr>
        <w:t>once de mayo de dos mil veintiséis,</w:t>
      </w:r>
      <w:r>
        <w:rPr>
          <w:rFonts w:ascii="Palatino Linotype" w:eastAsia="Palatino Linotype" w:hAnsi="Palatino Linotype" w:cs="Palatino Linotype"/>
          <w:color w:val="000000"/>
        </w:rPr>
        <w:t xml:space="preserve"> el particular interpuso el recurso de revisión bajo el número de expediente </w:t>
      </w:r>
      <w:r>
        <w:rPr>
          <w:rFonts w:ascii="Palatino Linotype" w:eastAsia="Palatino Linotype" w:hAnsi="Palatino Linotype" w:cs="Palatino Linotype"/>
          <w:b/>
          <w:bCs/>
          <w:color w:val="000000"/>
        </w:rPr>
        <w:t>05118/INFOEM/IP/RR/2026</w:t>
      </w:r>
      <w:r>
        <w:rPr>
          <w:rFonts w:ascii="Palatino Linotype" w:eastAsia="Palatino Linotype" w:hAnsi="Palatino Linotype" w:cs="Palatino Linotype"/>
          <w:color w:val="000000"/>
        </w:rPr>
        <w:t>; impugnación en la que refirió lo siguiente:</w:t>
      </w:r>
    </w:p>
    <w:p w:rsidR="00977EB9" w:rsidRDefault="000D6F72">
      <w:pPr>
        <w:numPr>
          <w:ilvl w:val="0"/>
          <w:numId w:val="8"/>
        </w:numPr>
        <w:tabs>
          <w:tab w:val="left" w:pos="851"/>
        </w:tabs>
        <w:spacing w:line="276" w:lineRule="auto"/>
        <w:ind w:right="-1416"/>
        <w:jc w:val="both"/>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lastRenderedPageBreak/>
        <w:t>ACTO IMPUGNADO:</w:t>
      </w:r>
      <w:r>
        <w:rPr>
          <w:rFonts w:ascii="Palatino Linotype" w:eastAsia="Palatino Linotype" w:hAnsi="Palatino Linotype" w:cs="Palatino Linotype"/>
          <w:color w:val="000000"/>
        </w:rPr>
        <w:t xml:space="preserve"> </w:t>
      </w:r>
    </w:p>
    <w:p w:rsidR="00977EB9" w:rsidRDefault="000D6F72">
      <w:pPr>
        <w:tabs>
          <w:tab w:val="left" w:pos="851"/>
        </w:tabs>
        <w:spacing w:line="276" w:lineRule="auto"/>
        <w:ind w:left="1134" w:right="-1416"/>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w:t>
      </w:r>
      <w:r>
        <w:rPr>
          <w:rFonts w:ascii="Palatino Linotype" w:eastAsia="Palatino Linotype" w:hAnsi="Palatino Linotype" w:cs="Palatino Linotype"/>
          <w:i/>
          <w:iCs/>
          <w:color w:val="000000"/>
        </w:rPr>
        <w:t>La SEMUJERES oculta información y/o no entrega la información solicitada, con tal de proteger los tratos indignos de la Titular de IUPPE hacia su personal”</w:t>
      </w:r>
      <w:r>
        <w:rPr>
          <w:rFonts w:ascii="Palatino Linotype" w:eastAsia="Palatino Linotype" w:hAnsi="Palatino Linotype" w:cs="Palatino Linotype"/>
          <w:color w:val="000000"/>
        </w:rPr>
        <w:t xml:space="preserve"> (Sic).</w:t>
      </w:r>
    </w:p>
    <w:p w:rsidR="00977EB9" w:rsidRDefault="00977EB9">
      <w:pPr>
        <w:tabs>
          <w:tab w:val="left" w:pos="851"/>
        </w:tabs>
        <w:spacing w:line="276" w:lineRule="auto"/>
        <w:ind w:left="1134" w:right="-1416"/>
        <w:jc w:val="both"/>
        <w:rPr>
          <w:rFonts w:ascii="Palatino Linotype" w:eastAsia="Palatino Linotype" w:hAnsi="Palatino Linotype" w:cs="Palatino Linotype"/>
          <w:color w:val="000000"/>
        </w:rPr>
      </w:pPr>
    </w:p>
    <w:p w:rsidR="00977EB9" w:rsidRDefault="000D6F72">
      <w:pPr>
        <w:numPr>
          <w:ilvl w:val="0"/>
          <w:numId w:val="1"/>
        </w:numPr>
        <w:ind w:right="-1416"/>
        <w:jc w:val="both"/>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RAZONES O MOTIVOS DE INCONFORMIDAD:</w:t>
      </w:r>
      <w:r>
        <w:rPr>
          <w:rFonts w:ascii="Palatino Linotype" w:eastAsia="Palatino Linotype" w:hAnsi="Palatino Linotype" w:cs="Palatino Linotype"/>
          <w:color w:val="000000"/>
        </w:rPr>
        <w:t xml:space="preserve"> </w:t>
      </w:r>
    </w:p>
    <w:p w:rsidR="00977EB9" w:rsidRDefault="000D6F72">
      <w:pPr>
        <w:ind w:left="1134" w:right="-1416"/>
        <w:jc w:val="both"/>
        <w:rPr>
          <w:rFonts w:ascii="Palatino Linotype" w:eastAsia="Palatino Linotype" w:hAnsi="Palatino Linotype" w:cs="Palatino Linotype"/>
          <w:color w:val="000000"/>
        </w:rPr>
      </w:pPr>
      <w:r>
        <w:rPr>
          <w:rFonts w:ascii="Palatino Linotype" w:eastAsia="Palatino Linotype" w:hAnsi="Palatino Linotype" w:cs="Palatino Linotype"/>
          <w:i/>
          <w:iCs/>
          <w:color w:val="000000"/>
        </w:rPr>
        <w:t xml:space="preserve">“FOLIO DE SOLICITUD: 00067/SEMUJS/IP/2026​MOTIVOS DE INCONFORMIDAD​Con fundamento en los artículos 176, 177, 179 y 181 de la Ley de Transparencia y Acceso a la Información Pública del Estado de México y Municipios, interpongo el presente Recurso de Revisión en contra de la respuesta notificada mediante el oficio No. SM/UT/403/2026, bajo los siguientes agravios:​1. Declaración de Inexistencia de Actas y Medidas del Comité de Ética (SAM y SIDE) El sujeto obligado manifiesta que, tras una "búsqueda exhaustiva", no localizó registros de denuncias ni medidas cautelares en el Sistema de Denuncias Éticas (SIDE) durante 2025 y 2026. Esta respuesta es incongruente y restrictiva, toda vez que se tiene conocimiento público y administrativo de quejas interpuestas de manera anónima a través del Sistema de Atención Mexiquense (SAM) dirigidas específicamente contra la Titular de la UIPPE por conductas denigrantes hacia el personal. El hecho de que el Comité de Ética argumente que "no da vista del seguimiento de quejas del SAM" constituye una omisión al deber de colaboración institucional, vulnerando el derecho de acceso a la información al ocultar el estado procesal real de denuncias que, por su naturaleza, deberían ser del conocimiento de dicho órgano de control ético.​2. Negativa de Entrega de Manuales de Procedimientos Específicos La Secretaría señala que no localizó un manual de procedimientos para el personal de apoyo de la oficina de la Titular, alegando que estos se documentan por "Unidad Administrativa". Este argumento es insuficiente. Al existir personal adscrito con funciones de apoyo técnico y administrativo (Lourdes Cejudo Escobar y Jazmin Abril Ceballos Bernal), el sujeto obligado está constreñido a contar con la documentación que rija sus procesos operativos, según la Guía Técnica para la Elaboración de Manuales de Procedimientos. La inexistencia de este documento sugiere una falta de cumplimiento a las obligaciones de transparencia proactiva y organización de archivos.​3. Falta de Fundamentación Jurídica sobre el Uso de Dispositivos Sonoros El sujeto obligado reconoce la ausencia de normatividad que regule el uso de timbres para llamar al personal, calificándolo como un "mecanismo interno de comunicación" discrecional. Esta respuesta contraviene el Principio de Legalidad, pues las autoridades solo pueden hacer lo que la ley les permite expresamente. El uso de señales sonoras para requerir la presencia de subordinados no solo carece de base legal en el Manual de Organización, sino que representa un trato indigno y despersonalizado.​PUNTOS PETITORIOS​PRIMERO. Se tenga por interpuesto en tiempo y forma el presente Recurso de Revisión.​SEGUNDO. Se ordene al </w:t>
      </w:r>
      <w:r>
        <w:rPr>
          <w:rFonts w:ascii="Palatino Linotype" w:eastAsia="Palatino Linotype" w:hAnsi="Palatino Linotype" w:cs="Palatino Linotype"/>
          <w:i/>
          <w:iCs/>
          <w:color w:val="000000"/>
        </w:rPr>
        <w:lastRenderedPageBreak/>
        <w:t>sujeto obligado realizar una nueva búsqueda realmente exhaustiva en los archivos del Órgano Interno de Control (OIC) y la Coordinación Administrativa respecto a las quejas del SAM mencionadas, para que informe el estado procesal actual y si existen procedimientos de sanción u omisión al respecto.​TERCERO. Se exhorte al Comité de Ética para que, en cumplimiento con el Art. 7, Fracción VI de la Ley de Responsabilidades Administrativas, emita un pronunciamiento sobre si el uso de dispositivos sonoros (timbres) vulnera el Código de Conducta institucional, garantizando un ambiente laboral libre de tratos humillantes.​CUARTO. Se revoque la respuesta del sujeto obligado y se le ordene entregar la información completa y fidedigna, so pena de las sanciones previstas en la Ley de la materia.”</w:t>
      </w:r>
      <w:r>
        <w:rPr>
          <w:rFonts w:ascii="Palatino Linotype" w:eastAsia="Palatino Linotype" w:hAnsi="Palatino Linotype" w:cs="Palatino Linotype"/>
          <w:color w:val="000000"/>
        </w:rPr>
        <w:t xml:space="preserve"> (Sic).</w:t>
      </w:r>
    </w:p>
    <w:p w:rsidR="00977EB9" w:rsidRDefault="00977EB9">
      <w:pPr>
        <w:tabs>
          <w:tab w:val="left" w:pos="426"/>
        </w:tabs>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tabs>
          <w:tab w:val="left" w:pos="426"/>
        </w:tabs>
        <w:spacing w:line="360" w:lineRule="auto"/>
        <w:ind w:left="0" w:right="-1416" w:firstLine="0"/>
        <w:jc w:val="both"/>
      </w:pPr>
      <w:r>
        <w:rPr>
          <w:rFonts w:ascii="Palatino Linotype" w:eastAsia="Palatino Linotype" w:hAnsi="Palatino Linotype" w:cs="Palatino Linotype"/>
          <w:color w:val="000000"/>
        </w:rPr>
        <w:t xml:space="preserve">Asimismo, con fundamento en lo dispuesto por el artículo 185, fracción I, de la Ley de Transparencia y Acceso a la Información Pública del Estado de México y Municipios se </w:t>
      </w:r>
      <w:r>
        <w:rPr>
          <w:rFonts w:ascii="Palatino Linotype" w:eastAsia="Palatino Linotype" w:hAnsi="Palatino Linotype" w:cs="Palatino Linotype"/>
        </w:rPr>
        <w:t>turna</w:t>
      </w:r>
      <w:r>
        <w:rPr>
          <w:rFonts w:ascii="Palatino Linotype" w:eastAsia="Palatino Linotype" w:hAnsi="Palatino Linotype" w:cs="Palatino Linotype"/>
          <w:color w:val="000000"/>
        </w:rPr>
        <w:t xml:space="preserve"> a la </w:t>
      </w:r>
      <w:r>
        <w:rPr>
          <w:rFonts w:ascii="Palatino Linotype" w:eastAsia="Palatino Linotype" w:hAnsi="Palatino Linotype" w:cs="Palatino Linotype"/>
          <w:b/>
          <w:bCs/>
          <w:color w:val="000000"/>
        </w:rPr>
        <w:t>Comisionada María del Rosario Mejía Ayala</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rPr>
        <w:t>para</w:t>
      </w:r>
      <w:r>
        <w:rPr>
          <w:rFonts w:ascii="Palatino Linotype" w:eastAsia="Palatino Linotype" w:hAnsi="Palatino Linotype" w:cs="Palatino Linotype"/>
          <w:color w:val="000000"/>
        </w:rPr>
        <w:t xml:space="preserve"> su análisis.</w:t>
      </w:r>
    </w:p>
    <w:p w:rsidR="00977EB9" w:rsidRDefault="00977EB9">
      <w:pPr>
        <w:tabs>
          <w:tab w:val="left" w:pos="284"/>
          <w:tab w:val="left" w:pos="426"/>
        </w:tabs>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tabs>
          <w:tab w:val="left" w:pos="426"/>
        </w:tabs>
        <w:spacing w:line="360" w:lineRule="auto"/>
        <w:ind w:left="0" w:right="-1416" w:firstLine="0"/>
        <w:jc w:val="both"/>
      </w:pPr>
      <w:bookmarkStart w:id="1" w:name="_heading=h.9d9yvsdxavoj" w:colFirst="0" w:colLast="0"/>
      <w:bookmarkEnd w:id="1"/>
      <w:r>
        <w:rPr>
          <w:rFonts w:ascii="Palatino Linotype" w:eastAsia="Palatino Linotype" w:hAnsi="Palatino Linotype" w:cs="Palatino Linotype"/>
          <w:color w:val="000000"/>
        </w:rPr>
        <w:t xml:space="preserve">La Comisionada Ponente, con fundamento en lo dispuesto por el artículo 185, fracción II, de la ley de la materia, a través del acuerdo de admisión </w:t>
      </w:r>
      <w:r>
        <w:rPr>
          <w:rFonts w:ascii="Palatino Linotype" w:eastAsia="Palatino Linotype" w:hAnsi="Palatino Linotype" w:cs="Palatino Linotype"/>
          <w:b/>
          <w:bCs/>
          <w:color w:val="000000"/>
        </w:rPr>
        <w:t>del trece de mayo de dos mil veintiséis</w:t>
      </w:r>
      <w:r>
        <w:rPr>
          <w:rFonts w:ascii="Palatino Linotype" w:eastAsia="Palatino Linotype" w:hAnsi="Palatino Linotype" w:cs="Palatino Linotype"/>
          <w:color w:val="000000"/>
        </w:rPr>
        <w:t xml:space="preserve">, puso a disposición de las partes el expediente electrónico vía SAIMEX, a efecto de que en un plazo máximo de siete días </w:t>
      </w:r>
      <w:r>
        <w:rPr>
          <w:rFonts w:ascii="Palatino Linotype" w:eastAsia="Palatino Linotype" w:hAnsi="Palatino Linotype" w:cs="Palatino Linotype"/>
        </w:rPr>
        <w:t>manifestara</w:t>
      </w:r>
      <w:r>
        <w:rPr>
          <w:rFonts w:ascii="Palatino Linotype" w:eastAsia="Palatino Linotype" w:hAnsi="Palatino Linotype" w:cs="Palatino Linotype"/>
          <w:color w:val="000000"/>
        </w:rPr>
        <w:t xml:space="preserve"> lo que a derecho conviniera, </w:t>
      </w:r>
      <w:r>
        <w:rPr>
          <w:rFonts w:ascii="Palatino Linotype" w:eastAsia="Palatino Linotype" w:hAnsi="Palatino Linotype" w:cs="Palatino Linotype"/>
        </w:rPr>
        <w:t>ofreciera</w:t>
      </w:r>
      <w:r>
        <w:rPr>
          <w:rFonts w:ascii="Palatino Linotype" w:eastAsia="Palatino Linotype" w:hAnsi="Palatino Linotype" w:cs="Palatino Linotype"/>
          <w:color w:val="000000"/>
        </w:rPr>
        <w:t xml:space="preserve"> pruebas y alegatos según corresponda a los casos concretos, de esta forma para que el </w:t>
      </w:r>
      <w:r>
        <w:rPr>
          <w:rFonts w:ascii="Palatino Linotype" w:eastAsia="Palatino Linotype" w:hAnsi="Palatino Linotype" w:cs="Palatino Linotype"/>
          <w:b/>
          <w:bCs/>
          <w:color w:val="000000"/>
        </w:rPr>
        <w:t>SUJETO OBLIGADO</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rPr>
        <w:t>presentará</w:t>
      </w:r>
      <w:r>
        <w:rPr>
          <w:rFonts w:ascii="Palatino Linotype" w:eastAsia="Palatino Linotype" w:hAnsi="Palatino Linotype" w:cs="Palatino Linotype"/>
          <w:color w:val="000000"/>
        </w:rPr>
        <w:t xml:space="preserve"> su informe justificado procedente.</w:t>
      </w:r>
    </w:p>
    <w:p w:rsidR="00977EB9" w:rsidRDefault="00977EB9">
      <w:pPr>
        <w:tabs>
          <w:tab w:val="left" w:pos="426"/>
        </w:tabs>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tabs>
          <w:tab w:val="left" w:pos="426"/>
        </w:tabs>
        <w:spacing w:line="360" w:lineRule="auto"/>
        <w:ind w:left="0" w:right="-1416" w:firstLine="0"/>
        <w:jc w:val="both"/>
      </w:pPr>
      <w:r>
        <w:rPr>
          <w:rFonts w:ascii="Palatino Linotype" w:eastAsia="Palatino Linotype" w:hAnsi="Palatino Linotype" w:cs="Palatino Linotype"/>
          <w:color w:val="000000"/>
        </w:rPr>
        <w:t xml:space="preserve">De las constancias que obran en el expediente digital del recurso de revisión que hoy se resuelve, se aprecia que el </w:t>
      </w:r>
      <w:r>
        <w:rPr>
          <w:rFonts w:ascii="Palatino Linotype" w:eastAsia="Palatino Linotype" w:hAnsi="Palatino Linotype" w:cs="Palatino Linotype"/>
          <w:b/>
          <w:bCs/>
          <w:color w:val="000000"/>
        </w:rPr>
        <w:t>SUJETO OBLIGADO</w:t>
      </w:r>
      <w:r>
        <w:rPr>
          <w:rFonts w:ascii="Palatino Linotype" w:eastAsia="Palatino Linotype" w:hAnsi="Palatino Linotype" w:cs="Palatino Linotype"/>
          <w:color w:val="000000"/>
        </w:rPr>
        <w:t xml:space="preserve">  presentó en </w:t>
      </w:r>
      <w:r>
        <w:rPr>
          <w:rFonts w:ascii="Palatino Linotype" w:eastAsia="Palatino Linotype" w:hAnsi="Palatino Linotype" w:cs="Palatino Linotype"/>
          <w:b/>
          <w:bCs/>
          <w:color w:val="000000"/>
        </w:rPr>
        <w:t xml:space="preserve">veintiuno de mayo de dos mil veintiséis </w:t>
      </w:r>
      <w:r>
        <w:rPr>
          <w:rFonts w:ascii="Palatino Linotype" w:eastAsia="Palatino Linotype" w:hAnsi="Palatino Linotype" w:cs="Palatino Linotype"/>
          <w:color w:val="000000"/>
        </w:rPr>
        <w:t xml:space="preserve">archivo electrónico en el que refiere lo siguiente: </w:t>
      </w:r>
    </w:p>
    <w:p w:rsidR="00977EB9" w:rsidRDefault="000D6F72">
      <w:pPr>
        <w:tabs>
          <w:tab w:val="left" w:pos="426"/>
        </w:tabs>
        <w:spacing w:line="360" w:lineRule="auto"/>
        <w:ind w:left="708" w:right="-1416"/>
        <w:jc w:val="both"/>
        <w:rPr>
          <w:rFonts w:ascii="Palatino Linotype" w:eastAsia="Palatino Linotype" w:hAnsi="Palatino Linotype" w:cs="Palatino Linotype"/>
          <w:i/>
          <w:iCs/>
        </w:rPr>
      </w:pPr>
      <w:r>
        <w:rPr>
          <w:rFonts w:ascii="Palatino Linotype" w:eastAsia="Palatino Linotype" w:hAnsi="Palatino Linotype" w:cs="Palatino Linotype"/>
          <w:b/>
          <w:bCs/>
          <w:color w:val="000000"/>
        </w:rPr>
        <w:t>00067 INFORME JUSTIFICADO SEMUJERES.pdf:</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i/>
          <w:iCs/>
        </w:rPr>
        <w:t xml:space="preserve">Donde el Titular de la Unidad de Transparencia medularmente realiza precisiones respecto a los manuales requeridos de los que no hay obligación de generar dado que  las funciones de los servidores públicos no involucran </w:t>
      </w:r>
      <w:r>
        <w:rPr>
          <w:rFonts w:ascii="Palatino Linotype" w:eastAsia="Palatino Linotype" w:hAnsi="Palatino Linotype" w:cs="Palatino Linotype"/>
          <w:i/>
          <w:iCs/>
        </w:rPr>
        <w:lastRenderedPageBreak/>
        <w:t>actitudes, formas, comportamientos o juicios de valor; diferenciación entre el SAM y el SIDE para evitar confusión y competencias, ratificando sus demás respuestas primigenias.</w:t>
      </w:r>
    </w:p>
    <w:p w:rsidR="00977EB9" w:rsidRDefault="00977EB9">
      <w:pPr>
        <w:pBdr>
          <w:top w:val="nil"/>
          <w:left w:val="nil"/>
          <w:bottom w:val="nil"/>
          <w:right w:val="nil"/>
          <w:between w:val="nil"/>
        </w:pBdr>
        <w:ind w:left="720" w:right="-1416"/>
        <w:rPr>
          <w:rFonts w:ascii="Palatino Linotype" w:eastAsia="Palatino Linotype" w:hAnsi="Palatino Linotype" w:cs="Palatino Linotype"/>
          <w:color w:val="000000"/>
        </w:rPr>
      </w:pPr>
    </w:p>
    <w:p w:rsidR="00977EB9" w:rsidRDefault="000D6F72">
      <w:pPr>
        <w:numPr>
          <w:ilvl w:val="0"/>
          <w:numId w:val="2"/>
        </w:numPr>
        <w:tabs>
          <w:tab w:val="left" w:pos="426"/>
        </w:tabs>
        <w:spacing w:line="360" w:lineRule="auto"/>
        <w:ind w:left="0" w:right="-1416" w:firstLine="0"/>
        <w:jc w:val="both"/>
      </w:pPr>
      <w:r>
        <w:rPr>
          <w:rFonts w:ascii="Palatino Linotype" w:eastAsia="Palatino Linotype" w:hAnsi="Palatino Linotype" w:cs="Palatino Linotype"/>
          <w:color w:val="000000"/>
        </w:rPr>
        <w:t xml:space="preserve">Por su parte </w:t>
      </w:r>
      <w:r>
        <w:rPr>
          <w:rFonts w:ascii="Palatino Linotype" w:eastAsia="Palatino Linotype" w:hAnsi="Palatino Linotype" w:cs="Palatino Linotype"/>
          <w:b/>
          <w:bCs/>
          <w:color w:val="000000"/>
        </w:rPr>
        <w:t>EL</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b/>
          <w:bCs/>
          <w:color w:val="000000"/>
        </w:rPr>
        <w:t xml:space="preserve">RECURRENTE </w:t>
      </w:r>
      <w:r>
        <w:rPr>
          <w:rFonts w:ascii="Palatino Linotype" w:eastAsia="Palatino Linotype" w:hAnsi="Palatino Linotype" w:cs="Palatino Linotype"/>
          <w:color w:val="000000"/>
        </w:rPr>
        <w:t xml:space="preserve">dejó de realizar manifestaciones que a su derecho </w:t>
      </w:r>
      <w:r>
        <w:rPr>
          <w:rFonts w:ascii="Palatino Linotype" w:eastAsia="Palatino Linotype" w:hAnsi="Palatino Linotype" w:cs="Palatino Linotype"/>
        </w:rPr>
        <w:t>conviniera</w:t>
      </w:r>
      <w:r>
        <w:rPr>
          <w:rFonts w:ascii="Palatino Linotype" w:eastAsia="Palatino Linotype" w:hAnsi="Palatino Linotype" w:cs="Palatino Linotype"/>
          <w:color w:val="000000"/>
        </w:rPr>
        <w:t xml:space="preserve"> y asistieran.</w:t>
      </w:r>
    </w:p>
    <w:p w:rsidR="00977EB9" w:rsidRDefault="00977EB9">
      <w:pPr>
        <w:ind w:right="-1416"/>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En </w:t>
      </w:r>
      <w:r>
        <w:rPr>
          <w:rFonts w:ascii="Palatino Linotype" w:eastAsia="Palatino Linotype" w:hAnsi="Palatino Linotype" w:cs="Palatino Linotype"/>
          <w:b/>
          <w:bCs/>
          <w:color w:val="000000"/>
        </w:rPr>
        <w:t>fecha diez de julio de dos mil veintiséis</w:t>
      </w:r>
      <w:r>
        <w:rPr>
          <w:rFonts w:ascii="Palatino Linotype" w:eastAsia="Palatino Linotype" w:hAnsi="Palatino Linotype" w:cs="Palatino Linotype"/>
          <w:color w:val="000000"/>
        </w:rPr>
        <w:t>, se acordó ampliar el término para resolver el presente asunto.</w:t>
      </w:r>
    </w:p>
    <w:p w:rsidR="00977EB9" w:rsidRDefault="00977EB9">
      <w:pPr>
        <w:pBdr>
          <w:top w:val="nil"/>
          <w:left w:val="nil"/>
          <w:bottom w:val="nil"/>
          <w:right w:val="nil"/>
          <w:between w:val="nil"/>
        </w:pBdr>
        <w:ind w:right="-1416"/>
        <w:rPr>
          <w:rFonts w:ascii="Palatino Linotype" w:eastAsia="Palatino Linotype" w:hAnsi="Palatino Linotype" w:cs="Palatino Linotype"/>
          <w:b/>
          <w:b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Por ello, es menester precisar que, si bien se ha excedido el plazo para resolver el presente medio de impugnación, de conformidad con la ley de la materia, dicha dilación es de carácter excepcional y se encuentra justificada en los elementos para medir la razonabilidad del plazo de resolución de asuntos conforme a los parámetros establecidos por diversos órganos jurisdiccionales federales, aplicables también en procedimientos análogos, como el que nos ocupa.</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 xml:space="preserve">Finalmente, la Comisionada Ponente una vez transcurrido el plazo decretado con anterioridad, en fecha </w:t>
      </w:r>
      <w:r>
        <w:rPr>
          <w:rFonts w:ascii="Palatino Linotype" w:eastAsia="Palatino Linotype" w:hAnsi="Palatino Linotype" w:cs="Palatino Linotype"/>
          <w:b/>
          <w:bCs/>
        </w:rPr>
        <w:t xml:space="preserve"> dieciocho de agosto de dos mil veintiséis</w:t>
      </w:r>
      <w:r>
        <w:rPr>
          <w:rFonts w:ascii="Palatino Linotype" w:eastAsia="Palatino Linotype" w:hAnsi="Palatino Linotype" w:cs="Palatino Linotype"/>
        </w:rPr>
        <w:t xml:space="preserve">  decretó el cierre  de instrucción de los expedientes, por lo que no habiendo diligencia pendiente de desahogo, se emite la resolución que conforme a Derecho proceda, de acuerdo a los siguientes:</w:t>
      </w:r>
    </w:p>
    <w:p w:rsidR="00977EB9" w:rsidRDefault="00977EB9">
      <w:pPr>
        <w:tabs>
          <w:tab w:val="left" w:pos="426"/>
        </w:tabs>
        <w:spacing w:line="360" w:lineRule="auto"/>
        <w:ind w:right="-1416"/>
        <w:jc w:val="both"/>
        <w:rPr>
          <w:rFonts w:ascii="Palatino Linotype" w:eastAsia="Palatino Linotype" w:hAnsi="Palatino Linotype" w:cs="Palatino Linotype"/>
          <w:color w:val="000000"/>
        </w:rPr>
      </w:pPr>
    </w:p>
    <w:p w:rsidR="00977EB9" w:rsidRDefault="00977EB9">
      <w:pPr>
        <w:pBdr>
          <w:top w:val="nil"/>
          <w:left w:val="nil"/>
          <w:bottom w:val="nil"/>
          <w:right w:val="nil"/>
          <w:between w:val="nil"/>
        </w:pBdr>
        <w:ind w:left="720" w:right="-1416"/>
        <w:rPr>
          <w:rFonts w:ascii="Palatino Linotype" w:eastAsia="Palatino Linotype" w:hAnsi="Palatino Linotype" w:cs="Palatino Linotype"/>
          <w:color w:val="000000"/>
        </w:rPr>
      </w:pPr>
    </w:p>
    <w:p w:rsidR="00977EB9" w:rsidRDefault="000D6F72">
      <w:pPr>
        <w:spacing w:line="360" w:lineRule="auto"/>
        <w:ind w:right="-1416"/>
        <w:jc w:val="center"/>
        <w:rPr>
          <w:rFonts w:ascii="Palatino Linotype" w:eastAsia="Palatino Linotype" w:hAnsi="Palatino Linotype" w:cs="Palatino Linotype"/>
          <w:b/>
          <w:bCs/>
        </w:rPr>
      </w:pPr>
      <w:bookmarkStart w:id="2" w:name="_heading=h.i53cmx7cby53" w:colFirst="0" w:colLast="0"/>
      <w:bookmarkEnd w:id="2"/>
      <w:r>
        <w:rPr>
          <w:rFonts w:ascii="Palatino Linotype" w:eastAsia="Palatino Linotype" w:hAnsi="Palatino Linotype" w:cs="Palatino Linotype"/>
          <w:b/>
          <w:bCs/>
        </w:rPr>
        <w:t>C O N S I D E R A N D O S</w:t>
      </w:r>
    </w:p>
    <w:p w:rsidR="00977EB9" w:rsidRDefault="000D6F72">
      <w:pPr>
        <w:pStyle w:val="Ttulo2"/>
        <w:spacing w:before="0" w:line="360" w:lineRule="auto"/>
        <w:ind w:right="-1416"/>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PRIMERO. De la competencia</w:t>
      </w:r>
    </w:p>
    <w:p w:rsidR="00977EB9" w:rsidRDefault="000D6F72">
      <w:pPr>
        <w:numPr>
          <w:ilvl w:val="0"/>
          <w:numId w:val="2"/>
        </w:numPr>
        <w:pBdr>
          <w:top w:val="nil"/>
          <w:left w:val="nil"/>
          <w:bottom w:val="nil"/>
          <w:right w:val="nil"/>
          <w:between w:val="nil"/>
        </w:pBdr>
        <w:spacing w:line="360" w:lineRule="auto"/>
        <w:ind w:left="0" w:right="-1416" w:firstLine="0"/>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Este Instituto de Transparencia, Acceso a la Información Pública y Protección de Datos Personales del Estado de México y Municipios, es competente para conocer y resolver del </w:t>
      </w:r>
      <w:r>
        <w:rPr>
          <w:rFonts w:ascii="Palatino Linotype" w:eastAsia="Palatino Linotype" w:hAnsi="Palatino Linotype" w:cs="Palatino Linotype"/>
          <w:color w:val="000000"/>
        </w:rPr>
        <w:lastRenderedPageBreak/>
        <w:t>presente recurso de conformidad con el artículo: 6, apartado A, fracción IV de la Constitución Política de los Estados Unidos Mexicanos; 5, párrafos trigésimo segundo, trigésimo tercero y trigésimo cuarto, fracciones IV y V, de la Constitución Política del Estado Libre y Soberano de México; artículos 1, 2 fracción II, 13, 29, 36 fracciones I y II, 176, 178, 179, 181 párrafo tercero y 185 de la Ley de Transparencia y Acceso a la Información Pública del Estado de México y Municipios; y 7, 9 fracciones I y XXIV, y 11 del Reglamento Interior del Instituto de Transparencia, Acceso a la Información Pública y Protección de Datos Personales del Estado de México y Municipios.</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color w:val="000000"/>
        </w:rPr>
      </w:pPr>
    </w:p>
    <w:p w:rsidR="00977EB9" w:rsidRDefault="000D6F72">
      <w:pPr>
        <w:pStyle w:val="Ttulo2"/>
        <w:spacing w:before="0" w:line="360" w:lineRule="auto"/>
        <w:ind w:right="-1416"/>
        <w:rPr>
          <w:rFonts w:ascii="Palatino Linotype" w:eastAsia="Palatino Linotype" w:hAnsi="Palatino Linotype" w:cs="Palatino Linotype"/>
          <w:b/>
          <w:bCs/>
          <w:color w:val="000000"/>
          <w:sz w:val="24"/>
          <w:szCs w:val="24"/>
        </w:rPr>
      </w:pPr>
      <w:bookmarkStart w:id="3" w:name="_heading=h.t5oahe35ovcb" w:colFirst="0" w:colLast="0"/>
      <w:bookmarkEnd w:id="3"/>
      <w:r>
        <w:rPr>
          <w:rFonts w:ascii="Palatino Linotype" w:eastAsia="Palatino Linotype" w:hAnsi="Palatino Linotype" w:cs="Palatino Linotype"/>
          <w:b/>
          <w:bCs/>
          <w:color w:val="000000"/>
          <w:sz w:val="24"/>
          <w:szCs w:val="24"/>
        </w:rPr>
        <w:t>SEGUNDO. De la oportunidad y procedencia.</w:t>
      </w:r>
    </w:p>
    <w:p w:rsidR="00977EB9" w:rsidRDefault="000D6F72">
      <w:pPr>
        <w:numPr>
          <w:ilvl w:val="0"/>
          <w:numId w:val="2"/>
        </w:numPr>
        <w:pBdr>
          <w:top w:val="nil"/>
          <w:left w:val="nil"/>
          <w:bottom w:val="nil"/>
          <w:right w:val="nil"/>
          <w:between w:val="nil"/>
        </w:pBdr>
        <w:spacing w:line="360" w:lineRule="auto"/>
        <w:ind w:left="0" w:right="-1416" w:firstLine="0"/>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Los medios de impugnación fueron presentados a través del </w:t>
      </w:r>
      <w:r>
        <w:rPr>
          <w:rFonts w:ascii="Palatino Linotype" w:eastAsia="Palatino Linotype" w:hAnsi="Palatino Linotype" w:cs="Palatino Linotype"/>
          <w:b/>
          <w:bCs/>
          <w:color w:val="000000"/>
        </w:rPr>
        <w:t>SAIMEX,</w:t>
      </w:r>
      <w:r>
        <w:rPr>
          <w:rFonts w:ascii="Palatino Linotype" w:eastAsia="Palatino Linotype" w:hAnsi="Palatino Linotype" w:cs="Palatino Linotype"/>
          <w:color w:val="000000"/>
        </w:rPr>
        <w:t xml:space="preserve"> en el formato previamente aprobado para tal efecto y dentro del plazo legal de quince días hábiles otorgados; para el caso en particular es de señalar que el </w:t>
      </w:r>
      <w:r>
        <w:rPr>
          <w:rFonts w:ascii="Palatino Linotype" w:eastAsia="Palatino Linotype" w:hAnsi="Palatino Linotype" w:cs="Palatino Linotype"/>
          <w:b/>
          <w:bCs/>
          <w:color w:val="000000"/>
        </w:rPr>
        <w:t>SUJETO OBLIGADO</w:t>
      </w:r>
      <w:r>
        <w:rPr>
          <w:rFonts w:ascii="Palatino Linotype" w:eastAsia="Palatino Linotype" w:hAnsi="Palatino Linotype" w:cs="Palatino Linotype"/>
          <w:color w:val="000000"/>
        </w:rPr>
        <w:t xml:space="preserve"> entregó su respuesta el </w:t>
      </w:r>
      <w:r>
        <w:rPr>
          <w:rFonts w:ascii="Palatino Linotype" w:eastAsia="Palatino Linotype" w:hAnsi="Palatino Linotype" w:cs="Palatino Linotype"/>
          <w:b/>
          <w:bCs/>
          <w:color w:val="000000"/>
        </w:rPr>
        <w:t>seis de mayo de dos mil veintiséis</w:t>
      </w:r>
      <w:r>
        <w:rPr>
          <w:rFonts w:ascii="Palatino Linotype" w:eastAsia="Palatino Linotype" w:hAnsi="Palatino Linotype" w:cs="Palatino Linotype"/>
          <w:color w:val="000000"/>
        </w:rPr>
        <w:t xml:space="preserve">, de tal forma que el plazo para interponer el recurso de revisión transcurrió del día </w:t>
      </w:r>
      <w:r>
        <w:rPr>
          <w:rFonts w:ascii="Palatino Linotype" w:eastAsia="Palatino Linotype" w:hAnsi="Palatino Linotype" w:cs="Palatino Linotype"/>
          <w:b/>
          <w:bCs/>
          <w:color w:val="000000"/>
        </w:rPr>
        <w:t>siete al veintisiete de mayo de dos mil veintiséis</w:t>
      </w:r>
      <w:r>
        <w:rPr>
          <w:rFonts w:ascii="Palatino Linotype" w:eastAsia="Palatino Linotype" w:hAnsi="Palatino Linotype" w:cs="Palatino Linotype"/>
          <w:color w:val="000000"/>
        </w:rPr>
        <w:t xml:space="preserve">; en consecuencia, el ahora </w:t>
      </w:r>
      <w:r>
        <w:rPr>
          <w:rFonts w:ascii="Palatino Linotype" w:eastAsia="Palatino Linotype" w:hAnsi="Palatino Linotype" w:cs="Palatino Linotype"/>
          <w:b/>
          <w:bCs/>
          <w:color w:val="000000"/>
        </w:rPr>
        <w:t>RECURRENTE</w:t>
      </w:r>
      <w:r>
        <w:rPr>
          <w:rFonts w:ascii="Palatino Linotype" w:eastAsia="Palatino Linotype" w:hAnsi="Palatino Linotype" w:cs="Palatino Linotype"/>
          <w:color w:val="000000"/>
        </w:rPr>
        <w:t xml:space="preserve"> presentó su inconformidad el día </w:t>
      </w:r>
      <w:r>
        <w:rPr>
          <w:rFonts w:ascii="Palatino Linotype" w:eastAsia="Palatino Linotype" w:hAnsi="Palatino Linotype" w:cs="Palatino Linotype"/>
          <w:b/>
          <w:bCs/>
          <w:color w:val="000000"/>
        </w:rPr>
        <w:t>once de mayo de dos mil veintiséis</w:t>
      </w:r>
      <w:r>
        <w:rPr>
          <w:rFonts w:ascii="Palatino Linotype" w:eastAsia="Palatino Linotype" w:hAnsi="Palatino Linotype" w:cs="Palatino Linotype"/>
          <w:color w:val="000000"/>
        </w:rPr>
        <w:t>; es decir dentro del lapso legalmente establecido para tal efecto.</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Asimismo, el escrito contiene las formalidades previstas por el artículo 180 último párrafo de la Ley de la materia actual, por lo que es procedente que este Instituto de Transparencia, Acceso a la Información Pública y Protección de Datos Personales del Estado de México y Municipios, conozca y resuelva el presente recurso.</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color w:val="000000"/>
        </w:rPr>
      </w:pPr>
    </w:p>
    <w:p w:rsidR="00977EB9" w:rsidRDefault="000D6F72">
      <w:pPr>
        <w:pStyle w:val="Ttulo2"/>
        <w:spacing w:before="0" w:line="360" w:lineRule="auto"/>
        <w:ind w:right="-1416"/>
        <w:rPr>
          <w:rFonts w:ascii="Palatino Linotype" w:eastAsia="Palatino Linotype" w:hAnsi="Palatino Linotype" w:cs="Palatino Linotype"/>
          <w:b/>
          <w:bCs/>
          <w:color w:val="000000"/>
          <w:sz w:val="24"/>
          <w:szCs w:val="24"/>
        </w:rPr>
      </w:pPr>
      <w:bookmarkStart w:id="4" w:name="_heading=h.4ah44ue6c3qj" w:colFirst="0" w:colLast="0"/>
      <w:bookmarkEnd w:id="4"/>
      <w:r>
        <w:rPr>
          <w:rFonts w:ascii="Palatino Linotype" w:eastAsia="Palatino Linotype" w:hAnsi="Palatino Linotype" w:cs="Palatino Linotype"/>
          <w:b/>
          <w:bCs/>
          <w:color w:val="000000"/>
          <w:sz w:val="24"/>
          <w:szCs w:val="24"/>
        </w:rPr>
        <w:lastRenderedPageBreak/>
        <w:t>TERCERO. Del planteamiento de la Litis</w:t>
      </w: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De las constancias en el expediente al rubro indicado, se desprende que el particular  solicitó tener acceso a la información que a continuación se desagrega:</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Verdana" w:eastAsia="Verdana" w:hAnsi="Verdana" w:cs="Verdana"/>
          <w:color w:val="000000"/>
        </w:rPr>
        <w:t> </w:t>
      </w:r>
      <w:r>
        <w:rPr>
          <w:rFonts w:ascii="Palatino Linotype" w:eastAsia="Palatino Linotype" w:hAnsi="Palatino Linotype" w:cs="Palatino Linotype"/>
          <w:i/>
          <w:iCs/>
          <w:color w:val="000000"/>
        </w:rPr>
        <w:t xml:space="preserve">1.Protocolo ante Conflictos de Interés en el Comité de Ética: </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2.Copia del documento o lineamiento que establezca el procedimiento de actuación, abstención y recusación cuando un miembro permanente del Comité de Ética y Prevención de Conflictos de Intereses es objeto de una queja o denuncia administrativa.Informes de Evaluación del Clima Organizacional: </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3.Los resultados detallados y las recomendaciones del último 'Diagnóstico de Clima y Cultura Organizacional' realizado en la Secretaría de las Mujeres, con desglose específico (si existe) de la unidad administrativa correspondiente a la Titular de la dependencia y sus áreas adscritas.</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4.Actas de Seguimiento de Quejas SAM </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5.Relación de actas de las sesiones del Comité de Ética celebradas en los años 2025 y 2026, donde se haya dado cuenta de las quejas remitidas por el Sistema de Atención Mexiquense (SAM), indicando el estado procesal actual de dichas quejas 6.Registro de Medidas Cautelares o Correctivas: </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7.Informe sobre si el Comité de Ética ha emitido recomendaciones o medidas de protección para el personal que ha manifestado tratos denigrantes o conductas que vulneren el Código de Conducta de la institución en el último año.</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8.Funciones del Personal de Apoyo: </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9.Copia de los perfiles de puesto </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10.Manuales de procedimientos que definan las funciones oficiales del personal de apoyo técnico y administrativo de la oficina de la Titular</w:t>
      </w:r>
    </w:p>
    <w:p w:rsidR="00977EB9" w:rsidRDefault="000D6F72">
      <w:pPr>
        <w:tabs>
          <w:tab w:val="left" w:pos="7938"/>
        </w:tabs>
        <w:spacing w:line="276" w:lineRule="auto"/>
        <w:ind w:left="567"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11.El uso de dispositivos sonoros (timbres) por parte de la Titular para requerir la presencia del personal es una conducta que excede las facultades legales conferidas en su Manual de Organización, contraviniendo el Principio de Legalidad. Asimismo, dicha práctica constituye una falta administrativa conforme al Art. 7, Fracción VI de la Ley de Responsabilidades Administrativas del Estado de México y Municipios, al representar un trato indigno, despersonalizado y humillante que vulnera la integridad y el respeto debido entre servidores públicos, creando un ambiente laboral hostil y degradante.</w:t>
      </w:r>
    </w:p>
    <w:p w:rsidR="00977EB9" w:rsidRDefault="00977EB9">
      <w:pPr>
        <w:tabs>
          <w:tab w:val="left" w:pos="7938"/>
        </w:tabs>
        <w:spacing w:line="276" w:lineRule="auto"/>
        <w:ind w:right="-1416"/>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lastRenderedPageBreak/>
        <w:t xml:space="preserve">En respuesta, el </w:t>
      </w:r>
      <w:r>
        <w:rPr>
          <w:rFonts w:ascii="Palatino Linotype" w:eastAsia="Palatino Linotype" w:hAnsi="Palatino Linotype" w:cs="Palatino Linotype"/>
          <w:b/>
          <w:bCs/>
          <w:color w:val="000000"/>
        </w:rPr>
        <w:t>SUJETO OBLIGADO</w:t>
      </w:r>
      <w:r>
        <w:rPr>
          <w:rFonts w:ascii="Palatino Linotype" w:eastAsia="Palatino Linotype" w:hAnsi="Palatino Linotype" w:cs="Palatino Linotype"/>
          <w:color w:val="000000"/>
        </w:rPr>
        <w:t>, remitió los archivos electrónicos cuyo contenido se desglosa en el punto dos de la presente resolución.</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Por lo que, el particular se inconformó por la entrega incompleta de  información  por parte del  </w:t>
      </w:r>
      <w:r>
        <w:rPr>
          <w:rFonts w:ascii="Palatino Linotype" w:eastAsia="Palatino Linotype" w:hAnsi="Palatino Linotype" w:cs="Palatino Linotype"/>
          <w:b/>
          <w:bCs/>
          <w:color w:val="000000"/>
        </w:rPr>
        <w:t>SUJETO OBLIGADO.</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 xml:space="preserve">En dichas condiciones, la </w:t>
      </w:r>
      <w:r>
        <w:rPr>
          <w:rFonts w:ascii="Palatino Linotype" w:eastAsia="Palatino Linotype" w:hAnsi="Palatino Linotype" w:cs="Palatino Linotype"/>
          <w:i/>
          <w:iCs/>
        </w:rPr>
        <w:t>Litis</w:t>
      </w:r>
      <w:r>
        <w:rPr>
          <w:rFonts w:ascii="Palatino Linotype" w:eastAsia="Palatino Linotype" w:hAnsi="Palatino Linotype" w:cs="Palatino Linotype"/>
        </w:rPr>
        <w:t xml:space="preserve"> a resolver en este recurso se circunscribe a determinar si se actualizan las causales de procedencia previstas en el artículo 179, </w:t>
      </w:r>
      <w:r>
        <w:rPr>
          <w:rFonts w:ascii="Palatino Linotype" w:eastAsia="Palatino Linotype" w:hAnsi="Palatino Linotype" w:cs="Palatino Linotype"/>
          <w:b/>
          <w:bCs/>
        </w:rPr>
        <w:t xml:space="preserve">fracción V </w:t>
      </w:r>
      <w:r>
        <w:rPr>
          <w:rFonts w:ascii="Palatino Linotype" w:eastAsia="Palatino Linotype" w:hAnsi="Palatino Linotype" w:cs="Palatino Linotype"/>
        </w:rPr>
        <w:t xml:space="preserve">de la </w:t>
      </w:r>
      <w:r>
        <w:rPr>
          <w:rFonts w:ascii="Palatino Linotype" w:eastAsia="Palatino Linotype" w:hAnsi="Palatino Linotype" w:cs="Palatino Linotype"/>
          <w:b/>
          <w:bCs/>
        </w:rPr>
        <w:t>Ley de Transparencia y Acceso a la Información Pública del Estado de México y Municipios</w:t>
      </w:r>
      <w:r>
        <w:rPr>
          <w:rFonts w:ascii="Palatino Linotype" w:eastAsia="Palatino Linotype" w:hAnsi="Palatino Linotype" w:cs="Palatino Linotype"/>
        </w:rPr>
        <w:t xml:space="preserve">; </w:t>
      </w:r>
      <w:r>
        <w:rPr>
          <w:rFonts w:ascii="Palatino Linotype" w:eastAsia="Palatino Linotype" w:hAnsi="Palatino Linotype" w:cs="Palatino Linotype"/>
          <w:color w:val="000000"/>
        </w:rPr>
        <w:t xml:space="preserve">fracción que determina la entrega de información incompleta; </w:t>
      </w:r>
      <w:r>
        <w:rPr>
          <w:rFonts w:ascii="Palatino Linotype" w:eastAsia="Palatino Linotype" w:hAnsi="Palatino Linotype" w:cs="Palatino Linotype"/>
        </w:rPr>
        <w:t xml:space="preserve">contexto del  cual se dolió </w:t>
      </w:r>
      <w:r>
        <w:rPr>
          <w:rFonts w:ascii="Palatino Linotype" w:eastAsia="Palatino Linotype" w:hAnsi="Palatino Linotype" w:cs="Palatino Linotype"/>
          <w:b/>
          <w:bCs/>
        </w:rPr>
        <w:t xml:space="preserve">EL RECURRENTE </w:t>
      </w:r>
      <w:r>
        <w:rPr>
          <w:rFonts w:ascii="Palatino Linotype" w:eastAsia="Palatino Linotype" w:hAnsi="Palatino Linotype" w:cs="Palatino Linotype"/>
        </w:rPr>
        <w:t>al momento de interponer su inconformidad.</w:t>
      </w:r>
      <w:r>
        <w:rPr>
          <w:rFonts w:ascii="Palatino Linotype" w:eastAsia="Palatino Linotype" w:hAnsi="Palatino Linotype" w:cs="Palatino Linotype"/>
          <w:color w:val="000000"/>
        </w:rPr>
        <w:t xml:space="preserve"> </w:t>
      </w:r>
    </w:p>
    <w:p w:rsidR="00977EB9" w:rsidRDefault="00977EB9">
      <w:pPr>
        <w:pBdr>
          <w:top w:val="nil"/>
          <w:left w:val="nil"/>
          <w:bottom w:val="nil"/>
          <w:right w:val="nil"/>
          <w:between w:val="nil"/>
        </w:pBdr>
        <w:ind w:left="720" w:right="-1416"/>
        <w:rPr>
          <w:rFonts w:ascii="Palatino Linotype" w:eastAsia="Palatino Linotype" w:hAnsi="Palatino Linotype" w:cs="Palatino Linotype"/>
          <w:color w:val="000000"/>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color w:val="000000"/>
        </w:rPr>
        <w:t xml:space="preserve">De modo tal que el presente recurso de revisión se abocará en determinar si el </w:t>
      </w:r>
      <w:r>
        <w:rPr>
          <w:rFonts w:ascii="Palatino Linotype" w:eastAsia="Palatino Linotype" w:hAnsi="Palatino Linotype" w:cs="Palatino Linotype"/>
          <w:b/>
          <w:bCs/>
          <w:color w:val="000000"/>
        </w:rPr>
        <w:t>SUJETO</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b/>
          <w:bCs/>
          <w:color w:val="000000"/>
        </w:rPr>
        <w:t>OBLIGADO</w:t>
      </w:r>
      <w:r>
        <w:rPr>
          <w:rFonts w:ascii="Palatino Linotype" w:eastAsia="Palatino Linotype" w:hAnsi="Palatino Linotype" w:cs="Palatino Linotype"/>
          <w:color w:val="000000"/>
        </w:rPr>
        <w:t xml:space="preserve"> con su respuesta ciertamente actualiza las causales de procedencia</w:t>
      </w:r>
      <w:r>
        <w:rPr>
          <w:rFonts w:ascii="Palatino Linotype" w:eastAsia="Palatino Linotype" w:hAnsi="Palatino Linotype" w:cs="Palatino Linotype"/>
          <w:b/>
          <w:bCs/>
          <w:color w:val="000000"/>
        </w:rPr>
        <w:t xml:space="preserve"> </w:t>
      </w:r>
      <w:r>
        <w:rPr>
          <w:rFonts w:ascii="Palatino Linotype" w:eastAsia="Palatino Linotype" w:hAnsi="Palatino Linotype" w:cs="Palatino Linotype"/>
          <w:color w:val="000000"/>
        </w:rPr>
        <w:t>antes señalada; asimismo, determinar si se vulnera el derecho de acceso a la información de la particular por la inobservancia a los principios contenidos en el artículo 11 de la Ley de Transparencia y Acceso a la Información Pública del Estado de México y Municipios, los cuales señala entre otros, que en la generación y entrega de información se deberá garantizar que sea oportuna, expedita, completa e integral.</w:t>
      </w:r>
    </w:p>
    <w:p w:rsidR="00977EB9" w:rsidRDefault="00977EB9">
      <w:pPr>
        <w:pStyle w:val="Ttulo2"/>
        <w:spacing w:before="0" w:line="360" w:lineRule="auto"/>
        <w:ind w:right="-1416"/>
        <w:rPr>
          <w:rFonts w:ascii="Palatino Linotype" w:eastAsia="Palatino Linotype" w:hAnsi="Palatino Linotype" w:cs="Palatino Linotype"/>
          <w:b/>
          <w:bCs/>
          <w:color w:val="000000"/>
          <w:sz w:val="24"/>
          <w:szCs w:val="24"/>
        </w:rPr>
      </w:pPr>
    </w:p>
    <w:p w:rsidR="00977EB9" w:rsidRDefault="000D6F72">
      <w:pPr>
        <w:pStyle w:val="Ttulo2"/>
        <w:spacing w:before="0"/>
        <w:ind w:right="-1416"/>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CUARTO. Del estudio y resolución del asunto.</w:t>
      </w:r>
    </w:p>
    <w:p w:rsidR="00977EB9" w:rsidRDefault="000D6F72">
      <w:pPr>
        <w:pStyle w:val="Ttulo1"/>
        <w:numPr>
          <w:ilvl w:val="0"/>
          <w:numId w:val="4"/>
        </w:numPr>
        <w:spacing w:before="0" w:after="240"/>
        <w:ind w:left="786" w:right="-1416" w:hanging="360"/>
        <w:rPr>
          <w:rFonts w:ascii="Palatino Linotype" w:eastAsia="Palatino Linotype" w:hAnsi="Palatino Linotype" w:cs="Palatino Linotype"/>
          <w:b/>
          <w:bCs/>
          <w:color w:val="000000"/>
          <w:sz w:val="24"/>
          <w:szCs w:val="24"/>
        </w:rPr>
      </w:pPr>
      <w:bookmarkStart w:id="5" w:name="_heading=h.2s8eyo1" w:colFirst="0" w:colLast="0"/>
      <w:bookmarkEnd w:id="5"/>
      <w:r>
        <w:rPr>
          <w:rFonts w:ascii="Palatino Linotype" w:eastAsia="Palatino Linotype" w:hAnsi="Palatino Linotype" w:cs="Palatino Linotype"/>
          <w:b/>
          <w:bCs/>
          <w:color w:val="000000"/>
          <w:sz w:val="24"/>
          <w:szCs w:val="24"/>
        </w:rPr>
        <w:t>Del derecho de acceso a la información.</w:t>
      </w: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color w:val="000000"/>
        </w:rPr>
        <w:t xml:space="preserve">El Derecho de Acceso a la Información Pública, es un derecho humano reconocido en el Pacto de Derechos Civiles y Políticos en su artículo 19.2; en la Convención Americana sobre </w:t>
      </w:r>
      <w:r>
        <w:rPr>
          <w:rFonts w:ascii="Palatino Linotype" w:eastAsia="Palatino Linotype" w:hAnsi="Palatino Linotype" w:cs="Palatino Linotype"/>
          <w:color w:val="000000"/>
        </w:rPr>
        <w:lastRenderedPageBreak/>
        <w:t xml:space="preserve">Derechos Humanos en su artículo 13.1; en el artículo sexto de la Constitución Política de los Estados Unidos Mexicanos y en el artículo quinto de la Particular del Estado de México. </w:t>
      </w:r>
    </w:p>
    <w:p w:rsidR="00977EB9" w:rsidRDefault="00977EB9">
      <w:pP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spacing w:before="240" w:line="360" w:lineRule="auto"/>
        <w:ind w:left="0" w:right="-1416" w:firstLine="0"/>
        <w:jc w:val="both"/>
      </w:pPr>
      <w:r>
        <w:rPr>
          <w:rFonts w:ascii="Palatino Linotype" w:eastAsia="Palatino Linotype" w:hAnsi="Palatino Linotype" w:cs="Palatino Linotype"/>
        </w:rPr>
        <w:t xml:space="preserve">Definiendo el Derecho de Acceso a la Información Pública como: </w:t>
      </w:r>
      <w:r>
        <w:rPr>
          <w:rFonts w:ascii="Palatino Linotype" w:eastAsia="Palatino Linotype" w:hAnsi="Palatino Linotype" w:cs="Palatino Linotype"/>
          <w:i/>
          <w:iCs/>
          <w:color w:val="000000"/>
        </w:rPr>
        <w:t>La igualdad de oportunidades para recibir, buscar e impartir información</w:t>
      </w:r>
      <w:r>
        <w:rPr>
          <w:rFonts w:ascii="Palatino Linotype" w:eastAsia="Palatino Linotype" w:hAnsi="Palatino Linotype" w:cs="Palatino Linotype"/>
          <w:i/>
          <w:iCs/>
          <w:vertAlign w:val="superscript"/>
        </w:rPr>
        <w:footnoteReference w:id="1"/>
      </w:r>
      <w:r>
        <w:rPr>
          <w:rFonts w:ascii="Palatino Linotype" w:eastAsia="Palatino Linotype" w:hAnsi="Palatino Linotype" w:cs="Palatino Linotype"/>
          <w:i/>
          <w:iCs/>
          <w:color w:val="000000"/>
        </w:rPr>
        <w:t>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w:t>
      </w:r>
      <w:r>
        <w:rPr>
          <w:rFonts w:ascii="Palatino Linotype" w:eastAsia="Palatino Linotype" w:hAnsi="Palatino Linotype" w:cs="Palatino Linotype"/>
          <w:i/>
          <w:iCs/>
          <w:vertAlign w:val="superscript"/>
        </w:rPr>
        <w:footnoteReference w:id="2"/>
      </w:r>
      <w:r>
        <w:rPr>
          <w:rFonts w:ascii="Palatino Linotype" w:eastAsia="Palatino Linotype" w:hAnsi="Palatino Linotype" w:cs="Palatino Linotype"/>
          <w:color w:val="000000"/>
        </w:rPr>
        <w:t>que se constituye como una herramienta fundamental para ejercer</w:t>
      </w:r>
      <w:r>
        <w:rPr>
          <w:rFonts w:ascii="Palatino Linotype" w:eastAsia="Palatino Linotype" w:hAnsi="Palatino Linotype" w:cs="Palatino Linotype"/>
          <w:i/>
          <w:iCs/>
          <w:color w:val="000000"/>
        </w:rPr>
        <w:t xml:space="preserve"> el control democrático de las gestiones estatales, de forma tal que puedan cuestionar, indagar y considerar si se está dando un adecuado cumplimiento a las funciones públicas,</w:t>
      </w:r>
      <w:r>
        <w:rPr>
          <w:rFonts w:ascii="Palatino Linotype" w:eastAsia="Palatino Linotype" w:hAnsi="Palatino Linotype" w:cs="Palatino Linotype"/>
          <w:i/>
          <w:iCs/>
          <w:vertAlign w:val="superscript"/>
        </w:rPr>
        <w:footnoteReference w:id="3"/>
      </w:r>
      <w:r>
        <w:rPr>
          <w:rFonts w:ascii="Palatino Linotype" w:eastAsia="Palatino Linotype" w:hAnsi="Palatino Linotype" w:cs="Palatino Linotype"/>
          <w:color w:val="000000"/>
        </w:rPr>
        <w:t>fomentando</w:t>
      </w:r>
      <w:r>
        <w:rPr>
          <w:rFonts w:ascii="Palatino Linotype" w:eastAsia="Palatino Linotype" w:hAnsi="Palatino Linotype" w:cs="Palatino Linotype"/>
          <w:i/>
          <w:iCs/>
          <w:color w:val="000000"/>
        </w:rPr>
        <w:t xml:space="preserve"> la transparencia de las actividades estatales y </w:t>
      </w:r>
      <w:r>
        <w:rPr>
          <w:rFonts w:ascii="Palatino Linotype" w:eastAsia="Palatino Linotype" w:hAnsi="Palatino Linotype" w:cs="Palatino Linotype"/>
          <w:color w:val="000000"/>
        </w:rPr>
        <w:t>promoviendo</w:t>
      </w:r>
      <w:r>
        <w:rPr>
          <w:rFonts w:ascii="Palatino Linotype" w:eastAsia="Palatino Linotype" w:hAnsi="Palatino Linotype" w:cs="Palatino Linotype"/>
          <w:i/>
          <w:iCs/>
          <w:color w:val="000000"/>
        </w:rPr>
        <w:t xml:space="preserve"> la responsabilidad de los funcionarios sobre su gestión pública,</w:t>
      </w:r>
      <w:r>
        <w:rPr>
          <w:rFonts w:ascii="Palatino Linotype" w:eastAsia="Palatino Linotype" w:hAnsi="Palatino Linotype" w:cs="Palatino Linotype"/>
          <w:i/>
          <w:iCs/>
          <w:vertAlign w:val="superscript"/>
        </w:rPr>
        <w:footnoteReference w:id="4"/>
      </w:r>
      <w:r>
        <w:rPr>
          <w:rFonts w:ascii="Palatino Linotype" w:eastAsia="Palatino Linotype" w:hAnsi="Palatino Linotype" w:cs="Palatino Linotype"/>
          <w:color w:val="000000"/>
        </w:rPr>
        <w:t>que permite</w:t>
      </w:r>
      <w:r>
        <w:rPr>
          <w:rFonts w:ascii="Palatino Linotype" w:eastAsia="Palatino Linotype" w:hAnsi="Palatino Linotype" w:cs="Palatino Linotype"/>
          <w:i/>
          <w:iCs/>
          <w:color w:val="000000"/>
        </w:rPr>
        <w:t xml:space="preserve"> saber qué están haciendo los gobiernos por sus pueblos, sin lo cual la verdad languidecería y la participación en el gobierno permanecería fragmentada.</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En México, además de los derechos, están reconocidas las garantías para su protección, en ese sentido el párrafo tercero de artículo primero de la Constitución Política de los Estados Unidos Mexicanos dispone lo siguiente:</w:t>
      </w:r>
    </w:p>
    <w:p w:rsidR="00977EB9" w:rsidRDefault="000D6F72">
      <w:pPr>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i/>
          <w:iCs/>
        </w:rPr>
        <w:t>“</w:t>
      </w:r>
      <w:r>
        <w:rPr>
          <w:rFonts w:ascii="Palatino Linotype" w:eastAsia="Palatino Linotype" w:hAnsi="Palatino Linotype" w:cs="Palatino Linotype"/>
          <w:b/>
          <w:bCs/>
          <w:i/>
          <w:iCs/>
        </w:rPr>
        <w:t>Artículo 1.-</w:t>
      </w:r>
      <w:r>
        <w:rPr>
          <w:rFonts w:ascii="Palatino Linotype" w:eastAsia="Palatino Linotype" w:hAnsi="Palatino Linotype" w:cs="Palatino Linotype"/>
          <w:i/>
          <w:iCs/>
        </w:rPr>
        <w:t xml:space="preserve"> </w:t>
      </w:r>
    </w:p>
    <w:p w:rsidR="00977EB9" w:rsidRDefault="000D6F72">
      <w:pPr>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i/>
          <w:iCs/>
        </w:rPr>
        <w:t>(…)</w:t>
      </w:r>
    </w:p>
    <w:p w:rsidR="00977EB9" w:rsidRDefault="000D6F72">
      <w:pPr>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i/>
          <w:iCs/>
        </w:rPr>
        <w:lastRenderedPageBreak/>
        <w:t>Todas las</w:t>
      </w:r>
      <w:r>
        <w:rPr>
          <w:rFonts w:ascii="Palatino Linotype" w:eastAsia="Palatino Linotype" w:hAnsi="Palatino Linotype" w:cs="Palatino Linotype"/>
        </w:rPr>
        <w:t xml:space="preserve"> </w:t>
      </w:r>
      <w:r>
        <w:rPr>
          <w:rFonts w:ascii="Palatino Linotype" w:eastAsia="Palatino Linotype" w:hAnsi="Palatino Linotype" w:cs="Palatino Linotype"/>
          <w:i/>
          <w:iCs/>
        </w:rPr>
        <w:t>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977EB9" w:rsidRDefault="000D6F72">
      <w:pPr>
        <w:ind w:left="1134" w:right="-1416"/>
        <w:jc w:val="both"/>
        <w:rPr>
          <w:rFonts w:ascii="Palatino Linotype" w:eastAsia="Palatino Linotype" w:hAnsi="Palatino Linotype" w:cs="Palatino Linotype"/>
        </w:rPr>
      </w:pPr>
      <w:r>
        <w:rPr>
          <w:rFonts w:ascii="Palatino Linotype" w:eastAsia="Palatino Linotype" w:hAnsi="Palatino Linotype" w:cs="Palatino Linotype"/>
          <w:i/>
          <w:iCs/>
        </w:rPr>
        <w:t>(…)</w:t>
      </w:r>
      <w:r>
        <w:rPr>
          <w:rFonts w:ascii="Palatino Linotype" w:eastAsia="Palatino Linotype" w:hAnsi="Palatino Linotype" w:cs="Palatino Linotype"/>
        </w:rPr>
        <w:t>”.</w:t>
      </w:r>
    </w:p>
    <w:p w:rsidR="00977EB9" w:rsidRDefault="00977EB9">
      <w:pPr>
        <w:ind w:right="-1416"/>
        <w:jc w:val="both"/>
        <w:rPr>
          <w:rFonts w:ascii="Palatino Linotype" w:eastAsia="Palatino Linotype" w:hAnsi="Palatino Linotype" w:cs="Palatino Linotype"/>
          <w:b/>
          <w:bCs/>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Por lo anterior, se deduce que el Derecho de Acceso a la Información Pública es un Derecho Humano de Fuente Internacional y Constitucionalmente reconocido. Además del derecho, también se reconocen garantías para su protección, lo que vincula con el mandato del párrafo tercero del mismo artículo.</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Así, conforme a la Constitución Política de las Estado Unidos Mexicanos y la Constitución Política del Estado Libre y Soberano de México respectivamente, el cumplimiento de las garantías primarias, entendidas como obligaciones inmediatamente relacionadas con el Derecho de Acceso a la Información Pública, permiten que todas las autoridades, en el ámbito de sus atribuciones lo respeten, protejan y garanticen.</w:t>
      </w:r>
    </w:p>
    <w:p w:rsidR="00977EB9" w:rsidRDefault="000D6F72">
      <w:pPr>
        <w:spacing w:after="240"/>
        <w:ind w:left="1134" w:right="-1416"/>
        <w:jc w:val="both"/>
        <w:rPr>
          <w:rFonts w:ascii="Palatino Linotype" w:eastAsia="Palatino Linotype" w:hAnsi="Palatino Linotype" w:cs="Palatino Linotype"/>
          <w:b/>
          <w:bCs/>
          <w:i/>
          <w:iCs/>
        </w:rPr>
      </w:pPr>
      <w:r>
        <w:rPr>
          <w:rFonts w:ascii="Palatino Linotype" w:eastAsia="Palatino Linotype" w:hAnsi="Palatino Linotype" w:cs="Palatino Linotype"/>
          <w:b/>
          <w:bCs/>
          <w:i/>
          <w:iCs/>
        </w:rPr>
        <w:t>Constitución Política de los Estados Unidos Mexicanos</w:t>
      </w:r>
    </w:p>
    <w:p w:rsidR="00977EB9" w:rsidRDefault="000D6F72">
      <w:pPr>
        <w:spacing w:before="240" w:after="240"/>
        <w:ind w:left="1134" w:right="-1416"/>
        <w:jc w:val="both"/>
        <w:rPr>
          <w:rFonts w:ascii="Palatino Linotype" w:eastAsia="Palatino Linotype" w:hAnsi="Palatino Linotype" w:cs="Palatino Linotype"/>
          <w:b/>
          <w:bCs/>
          <w:i/>
          <w:iCs/>
        </w:rPr>
      </w:pPr>
      <w:r>
        <w:rPr>
          <w:rFonts w:ascii="Palatino Linotype" w:eastAsia="Palatino Linotype" w:hAnsi="Palatino Linotype" w:cs="Palatino Linotype"/>
          <w:b/>
          <w:bCs/>
          <w:i/>
          <w:iCs/>
        </w:rPr>
        <w:t>“Artículo 6.</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i/>
          <w:iCs/>
        </w:rPr>
        <w:t>(…)</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i/>
          <w:iCs/>
        </w:rPr>
        <w:t>Para efectos de lo dispuesto en el presente artículo se observará lo siguiente:</w:t>
      </w:r>
    </w:p>
    <w:p w:rsidR="00977EB9" w:rsidRDefault="000D6F72">
      <w:pPr>
        <w:spacing w:before="240" w:after="240"/>
        <w:ind w:left="1134" w:right="-1416"/>
        <w:jc w:val="both"/>
        <w:rPr>
          <w:rFonts w:ascii="Palatino Linotype" w:eastAsia="Palatino Linotype" w:hAnsi="Palatino Linotype" w:cs="Palatino Linotype"/>
          <w:b/>
          <w:bCs/>
          <w:i/>
          <w:iCs/>
        </w:rPr>
      </w:pPr>
      <w:r>
        <w:rPr>
          <w:rFonts w:ascii="Palatino Linotype" w:eastAsia="Palatino Linotype" w:hAnsi="Palatino Linotype" w:cs="Palatino Linotype"/>
          <w:b/>
          <w:bCs/>
          <w:i/>
          <w:iCs/>
        </w:rPr>
        <w:t>A</w:t>
      </w:r>
      <w:r>
        <w:rPr>
          <w:rFonts w:ascii="Palatino Linotype" w:eastAsia="Palatino Linotype" w:hAnsi="Palatino Linotype" w:cs="Palatino Linotype"/>
          <w:i/>
          <w:iCs/>
        </w:rPr>
        <w:t xml:space="preserve">. </w:t>
      </w:r>
      <w:r>
        <w:rPr>
          <w:rFonts w:ascii="Palatino Linotype" w:eastAsia="Palatino Linotype" w:hAnsi="Palatino Linotype" w:cs="Palatino Linotype"/>
          <w:b/>
          <w:bCs/>
          <w:i/>
          <w:iCs/>
        </w:rPr>
        <w:t>Para el ejercicio del derecho de acceso a la información</w:t>
      </w:r>
      <w:r>
        <w:rPr>
          <w:rFonts w:ascii="Palatino Linotype" w:eastAsia="Palatino Linotype" w:hAnsi="Palatino Linotype" w:cs="Palatino Linotype"/>
          <w:i/>
          <w:iCs/>
        </w:rPr>
        <w:t xml:space="preserve">, la Federación y </w:t>
      </w:r>
      <w:r>
        <w:rPr>
          <w:rFonts w:ascii="Palatino Linotype" w:eastAsia="Palatino Linotype" w:hAnsi="Palatino Linotype" w:cs="Palatino Linotype"/>
          <w:b/>
          <w:bCs/>
          <w:i/>
          <w:iCs/>
        </w:rPr>
        <w:t>las entidades federativas, en el ámbito de sus respectivas competencias, se regirán por los siguientes principios y bases:</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b/>
          <w:bCs/>
          <w:i/>
          <w:iCs/>
        </w:rPr>
        <w:t xml:space="preserve">I. </w:t>
      </w:r>
      <w:r>
        <w:rPr>
          <w:rFonts w:ascii="Palatino Linotype" w:eastAsia="Palatino Linotype" w:hAnsi="Palatino Linotype" w:cs="Palatino Linotype"/>
          <w:b/>
          <w:bCs/>
          <w:i/>
          <w:iCs/>
        </w:rPr>
        <w:tab/>
        <w:t>Toda la información en posesión de cualquier</w:t>
      </w:r>
      <w:r>
        <w:rPr>
          <w:rFonts w:ascii="Palatino Linotype" w:eastAsia="Palatino Linotype" w:hAnsi="Palatino Linotype" w:cs="Palatino Linotype"/>
          <w:i/>
          <w:iCs/>
        </w:rPr>
        <w:t xml:space="preserve"> </w:t>
      </w:r>
      <w:r>
        <w:rPr>
          <w:rFonts w:ascii="Palatino Linotype" w:eastAsia="Palatino Linotype" w:hAnsi="Palatino Linotype" w:cs="Palatino Linotype"/>
          <w:b/>
          <w:bCs/>
          <w:i/>
          <w:iCs/>
        </w:rPr>
        <w:t>autoridad</w:t>
      </w:r>
      <w:r>
        <w:rPr>
          <w:rFonts w:ascii="Palatino Linotype" w:eastAsia="Palatino Linotype" w:hAnsi="Palatino Linotype" w:cs="Palatino Linotype"/>
          <w:i/>
          <w:iCs/>
        </w:rPr>
        <w:t xml:space="preserve">, entidad, órgano y organismo de los Poderes Ejecutivo, Legislativo y Judicial, órganos autónomos, partidos políticos, fideicomisos y fondos públicos, así como de cualquier persona física, moral o </w:t>
      </w:r>
      <w:r>
        <w:rPr>
          <w:rFonts w:ascii="Palatino Linotype" w:eastAsia="Palatino Linotype" w:hAnsi="Palatino Linotype" w:cs="Palatino Linotype"/>
          <w:i/>
          <w:iCs/>
        </w:rPr>
        <w:lastRenderedPageBreak/>
        <w:t xml:space="preserve">sindicato que reciba y ejerza recursos públicos o realice actos de autoridad en el ámbito federal, estatal y </w:t>
      </w:r>
      <w:r>
        <w:rPr>
          <w:rFonts w:ascii="Palatino Linotype" w:eastAsia="Palatino Linotype" w:hAnsi="Palatino Linotype" w:cs="Palatino Linotype"/>
          <w:b/>
          <w:bCs/>
          <w:i/>
          <w:iCs/>
        </w:rPr>
        <w:t>municipal</w:t>
      </w:r>
      <w:r>
        <w:rPr>
          <w:rFonts w:ascii="Palatino Linotype" w:eastAsia="Palatino Linotype" w:hAnsi="Palatino Linotype" w:cs="Palatino Linotype"/>
          <w:i/>
          <w:iCs/>
        </w:rPr>
        <w:t xml:space="preserve">, </w:t>
      </w:r>
      <w:r>
        <w:rPr>
          <w:rFonts w:ascii="Palatino Linotype" w:eastAsia="Palatino Linotype" w:hAnsi="Palatino Linotype" w:cs="Palatino Linotype"/>
          <w:b/>
          <w:bCs/>
          <w:i/>
          <w:iCs/>
        </w:rPr>
        <w:t>es pública</w:t>
      </w:r>
      <w:r>
        <w:rPr>
          <w:rFonts w:ascii="Palatino Linotype" w:eastAsia="Palatino Linotype" w:hAnsi="Palatino Linotype" w:cs="Palatino Linotype"/>
          <w:i/>
          <w:iCs/>
        </w:rPr>
        <w:t xml:space="preserve"> y sólo podrá ser reservada temporalmente por razones de interés público y seguridad nacional, en los términos que fijen las leyes. </w:t>
      </w:r>
      <w:r>
        <w:rPr>
          <w:rFonts w:ascii="Palatino Linotype" w:eastAsia="Palatino Linotype" w:hAnsi="Palatino Linotype" w:cs="Palatino Linotype"/>
          <w:b/>
          <w:bCs/>
          <w:i/>
          <w:iCs/>
        </w:rPr>
        <w:t>En la interpretación de este derecho deberá prevalecer el principio de máxima publicidad. Los sujetos obligados deberán documentar todo acto que derive del ejercicio de sus facultades, competencias o funciones</w:t>
      </w:r>
      <w:r>
        <w:rPr>
          <w:rFonts w:ascii="Palatino Linotype" w:eastAsia="Palatino Linotype" w:hAnsi="Palatino Linotype" w:cs="Palatino Linotype"/>
          <w:i/>
          <w:iCs/>
        </w:rPr>
        <w:t>, la ley determinará los supuestos específicos bajo los cuales procederá la declaración de inexistencia de la información.”</w:t>
      </w:r>
    </w:p>
    <w:p w:rsidR="00977EB9" w:rsidRDefault="00977EB9">
      <w:pPr>
        <w:pBdr>
          <w:top w:val="nil"/>
          <w:left w:val="nil"/>
          <w:bottom w:val="nil"/>
          <w:right w:val="nil"/>
          <w:between w:val="nil"/>
        </w:pBdr>
        <w:tabs>
          <w:tab w:val="left" w:pos="567"/>
        </w:tabs>
        <w:spacing w:before="240" w:after="240"/>
        <w:ind w:left="1134" w:right="-1416"/>
        <w:jc w:val="both"/>
        <w:rPr>
          <w:rFonts w:ascii="Palatino Linotype" w:eastAsia="Palatino Linotype" w:hAnsi="Palatino Linotype" w:cs="Palatino Linotype"/>
          <w:b/>
          <w:bCs/>
          <w:i/>
          <w:iCs/>
          <w:color w:val="000000"/>
        </w:rPr>
      </w:pPr>
    </w:p>
    <w:p w:rsidR="00977EB9" w:rsidRDefault="000D6F72">
      <w:pPr>
        <w:spacing w:before="240" w:after="240"/>
        <w:ind w:left="1134" w:right="-1416"/>
        <w:jc w:val="both"/>
        <w:rPr>
          <w:rFonts w:ascii="Palatino Linotype" w:eastAsia="Palatino Linotype" w:hAnsi="Palatino Linotype" w:cs="Palatino Linotype"/>
          <w:b/>
          <w:bCs/>
          <w:i/>
          <w:iCs/>
        </w:rPr>
      </w:pPr>
      <w:r>
        <w:rPr>
          <w:rFonts w:ascii="Palatino Linotype" w:eastAsia="Palatino Linotype" w:hAnsi="Palatino Linotype" w:cs="Palatino Linotype"/>
          <w:b/>
          <w:bCs/>
          <w:i/>
          <w:iCs/>
        </w:rPr>
        <w:t>Constitución Política del Estado Libre y Soberano de México</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b/>
          <w:bCs/>
          <w:i/>
          <w:iCs/>
        </w:rPr>
        <w:t>“Artículo 5</w:t>
      </w:r>
      <w:r>
        <w:rPr>
          <w:rFonts w:ascii="Palatino Linotype" w:eastAsia="Palatino Linotype" w:hAnsi="Palatino Linotype" w:cs="Palatino Linotype"/>
          <w:i/>
          <w:iCs/>
        </w:rPr>
        <w:t xml:space="preserve">.- </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i/>
          <w:iCs/>
        </w:rPr>
        <w:t>(…)</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b/>
          <w:bCs/>
          <w:i/>
          <w:iCs/>
        </w:rPr>
        <w:t>El derecho a la información será garantizado por el Estado. La ley establecerá las previsiones que permitan asegurar la protección, el respeto y la difusión de este derecho</w:t>
      </w:r>
      <w:r>
        <w:rPr>
          <w:rFonts w:ascii="Palatino Linotype" w:eastAsia="Palatino Linotype" w:hAnsi="Palatino Linotype" w:cs="Palatino Linotype"/>
          <w:i/>
          <w:iCs/>
        </w:rPr>
        <w:t>.</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i/>
          <w:iCs/>
        </w:rPr>
        <w:t>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b/>
          <w:bCs/>
          <w:i/>
          <w:iCs/>
        </w:rPr>
        <w:t>Este derecho se regirá por los principios y bases siguientes</w:t>
      </w:r>
      <w:r>
        <w:rPr>
          <w:rFonts w:ascii="Palatino Linotype" w:eastAsia="Palatino Linotype" w:hAnsi="Palatino Linotype" w:cs="Palatino Linotype"/>
          <w:i/>
          <w:iCs/>
        </w:rPr>
        <w:t>:</w:t>
      </w:r>
    </w:p>
    <w:p w:rsidR="00977EB9" w:rsidRDefault="000D6F72">
      <w:pPr>
        <w:spacing w:before="240" w:after="240"/>
        <w:ind w:left="1134" w:right="-1416"/>
        <w:jc w:val="both"/>
        <w:rPr>
          <w:rFonts w:ascii="Palatino Linotype" w:eastAsia="Palatino Linotype" w:hAnsi="Palatino Linotype" w:cs="Palatino Linotype"/>
          <w:i/>
          <w:iCs/>
        </w:rPr>
      </w:pPr>
      <w:r>
        <w:rPr>
          <w:rFonts w:ascii="Palatino Linotype" w:eastAsia="Palatino Linotype" w:hAnsi="Palatino Linotype" w:cs="Palatino Linotype"/>
          <w:b/>
          <w:bCs/>
          <w:i/>
          <w:iCs/>
        </w:rPr>
        <w:t>I. Toda la información en posesión de cualquier autoridad, entidad, órgano y organismos de los</w:t>
      </w:r>
      <w:r>
        <w:rPr>
          <w:rFonts w:ascii="Palatino Linotype" w:eastAsia="Palatino Linotype" w:hAnsi="Palatino Linotype" w:cs="Palatino Linotype"/>
          <w:i/>
          <w:iCs/>
        </w:rPr>
        <w:t xml:space="preserve"> Poderes Ejecutivo, Legislativo y Judicial, órganos autónomos, partidos políticos, fideicomisos y fondos públicos estatales y </w:t>
      </w:r>
      <w:r>
        <w:rPr>
          <w:rFonts w:ascii="Palatino Linotype" w:eastAsia="Palatino Linotype" w:hAnsi="Palatino Linotype" w:cs="Palatino Linotype"/>
          <w:b/>
          <w:bCs/>
          <w:i/>
          <w:iCs/>
        </w:rPr>
        <w:t>municipales</w:t>
      </w:r>
      <w:r>
        <w:rPr>
          <w:rFonts w:ascii="Palatino Linotype" w:eastAsia="Palatino Linotype" w:hAnsi="Palatino Linotype" w:cs="Palatino Linotype"/>
          <w:i/>
          <w:iCs/>
        </w:rPr>
        <w:t xml:space="preserve">, así como del gobierno y de la administración pública municipal y sus organismos descentralizados, asimismo de cualquier persona física, jurídica colectiva o sindicato que reciba y ejerza recursos públicos o realice actos de autoridad en el ámbito estatal y municipal, </w:t>
      </w:r>
      <w:r>
        <w:rPr>
          <w:rFonts w:ascii="Palatino Linotype" w:eastAsia="Palatino Linotype" w:hAnsi="Palatino Linotype" w:cs="Palatino Linotype"/>
          <w:b/>
          <w:bCs/>
          <w:i/>
          <w:iCs/>
        </w:rPr>
        <w:t>es pública</w:t>
      </w:r>
      <w:r>
        <w:rPr>
          <w:rFonts w:ascii="Palatino Linotype" w:eastAsia="Palatino Linotype" w:hAnsi="Palatino Linotype" w:cs="Palatino Linotype"/>
          <w:i/>
          <w:iCs/>
        </w:rPr>
        <w:t xml:space="preserve"> y sólo podrá ser reservada temporalmente por razones previstas en la Constitución Política de los Estados Unidos Mexicanos de interés público y seguridad, en los términos que fijen las leyes. </w:t>
      </w:r>
      <w:r>
        <w:rPr>
          <w:rFonts w:ascii="Palatino Linotype" w:eastAsia="Palatino Linotype" w:hAnsi="Palatino Linotype" w:cs="Palatino Linotype"/>
          <w:b/>
          <w:bCs/>
          <w:i/>
          <w:iCs/>
        </w:rPr>
        <w:t>En la interpretación de este derecho deberá prevalecer el principio de máxima publicidad</w:t>
      </w:r>
      <w:r>
        <w:rPr>
          <w:rFonts w:ascii="Palatino Linotype" w:eastAsia="Palatino Linotype" w:hAnsi="Palatino Linotype" w:cs="Palatino Linotype"/>
          <w:i/>
          <w:iCs/>
        </w:rPr>
        <w:t xml:space="preserve">. </w:t>
      </w:r>
      <w:r>
        <w:rPr>
          <w:rFonts w:ascii="Palatino Linotype" w:eastAsia="Palatino Linotype" w:hAnsi="Palatino Linotype" w:cs="Palatino Linotype"/>
          <w:b/>
          <w:bCs/>
          <w:i/>
          <w:iCs/>
        </w:rPr>
        <w:t xml:space="preserve">Los sujetos obligados deberán documentar todo acto que derive del ejercicio de sus </w:t>
      </w:r>
      <w:r>
        <w:rPr>
          <w:rFonts w:ascii="Palatino Linotype" w:eastAsia="Palatino Linotype" w:hAnsi="Palatino Linotype" w:cs="Palatino Linotype"/>
          <w:b/>
          <w:bCs/>
          <w:i/>
          <w:iCs/>
        </w:rPr>
        <w:lastRenderedPageBreak/>
        <w:t>facultades, competencias o funciones</w:t>
      </w:r>
      <w:r>
        <w:rPr>
          <w:rFonts w:ascii="Palatino Linotype" w:eastAsia="Palatino Linotype" w:hAnsi="Palatino Linotype" w:cs="Palatino Linotype"/>
          <w:i/>
          <w:iCs/>
        </w:rPr>
        <w:t>, la ley determinará los supuestos específicos bajo los cuales procederá la declaración de inexistencia de la información.”</w:t>
      </w:r>
    </w:p>
    <w:p w:rsidR="00977EB9" w:rsidRDefault="00977EB9">
      <w:pPr>
        <w:tabs>
          <w:tab w:val="left" w:pos="567"/>
        </w:tabs>
        <w:spacing w:before="240" w:after="240"/>
        <w:ind w:right="-1416"/>
        <w:jc w:val="both"/>
        <w:rPr>
          <w:rFonts w:ascii="Palatino Linotype" w:eastAsia="Palatino Linotype" w:hAnsi="Palatino Linotype" w:cs="Palatino Linotype"/>
          <w:b/>
          <w:bCs/>
          <w:i/>
          <w:iCs/>
        </w:rPr>
      </w:pPr>
    </w:p>
    <w:p w:rsidR="00977EB9" w:rsidRDefault="000D6F72">
      <w:pPr>
        <w:numPr>
          <w:ilvl w:val="0"/>
          <w:numId w:val="2"/>
        </w:numPr>
        <w:spacing w:before="240" w:line="360" w:lineRule="auto"/>
        <w:ind w:left="0" w:right="-1416" w:firstLine="0"/>
        <w:jc w:val="both"/>
      </w:pPr>
      <w:r>
        <w:rPr>
          <w:rFonts w:ascii="Palatino Linotype" w:eastAsia="Palatino Linotype" w:hAnsi="Palatino Linotype" w:cs="Palatino Linotype"/>
        </w:rPr>
        <w:t xml:space="preserve">Según el artículo 150 de la Ley de Transparencia del Estado, la solicitud es la garantía primaria del Derecho de Acceso a la Información, además, establece que se regirá </w:t>
      </w:r>
      <w:r>
        <w:rPr>
          <w:rFonts w:ascii="Palatino Linotype" w:eastAsia="Palatino Linotype" w:hAnsi="Palatino Linotype" w:cs="Palatino Linotype"/>
          <w:i/>
          <w:iCs/>
        </w:rPr>
        <w:t>por los principios de simplicidad, rapidez gratuidad del procedimiento, auxilio y orientación a los particulares</w:t>
      </w:r>
      <w:r>
        <w:rPr>
          <w:rFonts w:ascii="Palatino Linotype" w:eastAsia="Palatino Linotype" w:hAnsi="Palatino Linotype" w:cs="Palatino Linotype"/>
        </w:rPr>
        <w:t>, contemplando el derecho de las personas con discapacidad y hablantes de lengua indígena.</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 xml:space="preserve">El Derecho de Acceso a la Información se garantiza y respeta oportunamente, y según lo que dispone la Ley, las </w:t>
      </w:r>
      <w:r>
        <w:rPr>
          <w:rFonts w:ascii="Palatino Linotype" w:eastAsia="Palatino Linotype" w:hAnsi="Palatino Linotype" w:cs="Palatino Linotype"/>
          <w:i/>
          <w:iCs/>
        </w:rPr>
        <w:t>solicitudes de acceso a la información</w:t>
      </w:r>
      <w:r>
        <w:rPr>
          <w:rFonts w:ascii="Palatino Linotype" w:eastAsia="Palatino Linotype" w:hAnsi="Palatino Linotype" w:cs="Palatino Linotype"/>
        </w:rPr>
        <w:t>.</w:t>
      </w:r>
    </w:p>
    <w:p w:rsidR="00977EB9" w:rsidRDefault="00977EB9">
      <w:pPr>
        <w:spacing w:line="360" w:lineRule="auto"/>
        <w:ind w:right="-1416"/>
        <w:jc w:val="both"/>
        <w:rPr>
          <w:rFonts w:ascii="Palatino Linotype" w:eastAsia="Palatino Linotype" w:hAnsi="Palatino Linotype" w:cs="Palatino Linotype"/>
        </w:rPr>
      </w:pPr>
    </w:p>
    <w:p w:rsidR="00977EB9" w:rsidRPr="00E47913" w:rsidRDefault="000D6F72">
      <w:pPr>
        <w:numPr>
          <w:ilvl w:val="0"/>
          <w:numId w:val="2"/>
        </w:numPr>
        <w:spacing w:line="360" w:lineRule="auto"/>
        <w:ind w:left="0" w:right="-1416" w:firstLine="0"/>
        <w:jc w:val="both"/>
      </w:pPr>
      <w:bookmarkStart w:id="6" w:name="_heading=h.17dp8vu" w:colFirst="0" w:colLast="0"/>
      <w:bookmarkEnd w:id="6"/>
      <w:r>
        <w:rPr>
          <w:rFonts w:ascii="Palatino Linotype" w:eastAsia="Palatino Linotype" w:hAnsi="Palatino Linotype" w:cs="Palatino Linotype"/>
        </w:rPr>
        <w:t xml:space="preserve">Así entonces, se procede analizar, en primer lugar, si el </w:t>
      </w:r>
      <w:r>
        <w:rPr>
          <w:rFonts w:ascii="Palatino Linotype" w:eastAsia="Palatino Linotype" w:hAnsi="Palatino Linotype" w:cs="Palatino Linotype"/>
          <w:b/>
          <w:bCs/>
        </w:rPr>
        <w:t>SUJETO OBLIGADO</w:t>
      </w:r>
      <w:r>
        <w:rPr>
          <w:rFonts w:ascii="Palatino Linotype" w:eastAsia="Palatino Linotype" w:hAnsi="Palatino Linotype" w:cs="Palatino Linotype"/>
        </w:rPr>
        <w:t xml:space="preserve"> al atender la solicitud de acceso a la información, satisfizo la garantía primaria del derecho según lo dispuesto por el artículo 150 de la Ley de Transparencia y Acceso a la Información Pública del Estado de México y Municipios y en segundo término si cumplió con su deber de respetar y garantizar el derecho, entregando la información solicitada.</w:t>
      </w:r>
    </w:p>
    <w:p w:rsidR="00E47913" w:rsidRDefault="00E47913" w:rsidP="00E47913">
      <w:pPr>
        <w:spacing w:line="360" w:lineRule="auto"/>
        <w:ind w:right="-1416"/>
        <w:jc w:val="both"/>
      </w:pPr>
    </w:p>
    <w:p w:rsidR="00977EB9" w:rsidRDefault="000D6F72">
      <w:pPr>
        <w:pStyle w:val="Ttulo1"/>
        <w:spacing w:before="0" w:after="240"/>
        <w:ind w:right="-1416"/>
        <w:jc w:val="both"/>
        <w:rPr>
          <w:rFonts w:ascii="Palatino Linotype" w:eastAsia="Palatino Linotype" w:hAnsi="Palatino Linotype" w:cs="Palatino Linotype"/>
          <w:b/>
          <w:bCs/>
          <w:color w:val="000000"/>
          <w:sz w:val="24"/>
          <w:szCs w:val="24"/>
        </w:rPr>
      </w:pPr>
      <w:bookmarkStart w:id="7" w:name="_heading=h.3rdcrjn" w:colFirst="0" w:colLast="0"/>
      <w:bookmarkEnd w:id="7"/>
      <w:r>
        <w:rPr>
          <w:rFonts w:ascii="Palatino Linotype" w:eastAsia="Palatino Linotype" w:hAnsi="Palatino Linotype" w:cs="Palatino Linotype"/>
          <w:b/>
          <w:bCs/>
          <w:color w:val="000000"/>
          <w:sz w:val="24"/>
          <w:szCs w:val="24"/>
        </w:rPr>
        <w:t>II. De la información solicitada y la respuesta del SUJETO OBLIGADO</w:t>
      </w: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color w:val="000000"/>
        </w:rPr>
        <w:t xml:space="preserve">Acotada la </w:t>
      </w:r>
      <w:r>
        <w:rPr>
          <w:rFonts w:ascii="Palatino Linotype" w:eastAsia="Palatino Linotype" w:hAnsi="Palatino Linotype" w:cs="Palatino Linotype"/>
          <w:i/>
          <w:iCs/>
          <w:color w:val="000000"/>
        </w:rPr>
        <w:t>Litis</w:t>
      </w:r>
      <w:r>
        <w:rPr>
          <w:rFonts w:ascii="Palatino Linotype" w:eastAsia="Palatino Linotype" w:hAnsi="Palatino Linotype" w:cs="Palatino Linotype"/>
          <w:color w:val="000000"/>
        </w:rPr>
        <w:t xml:space="preserve"> del presente asunto, primeramente es menester precisar que del escrito de inconformidad, se observa que el particular se duele porque no se le entrega la información completa.</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 xml:space="preserve">En ese sentido, es importante recordar la información que fue solicitada por el </w:t>
      </w:r>
      <w:r>
        <w:rPr>
          <w:rFonts w:ascii="Palatino Linotype" w:eastAsia="Palatino Linotype" w:hAnsi="Palatino Linotype" w:cs="Palatino Linotype"/>
          <w:b/>
          <w:bCs/>
        </w:rPr>
        <w:t xml:space="preserve">RECURRENTE, </w:t>
      </w:r>
      <w:r>
        <w:rPr>
          <w:rFonts w:ascii="Palatino Linotype" w:eastAsia="Palatino Linotype" w:hAnsi="Palatino Linotype" w:cs="Palatino Linotype"/>
        </w:rPr>
        <w:t xml:space="preserve">para su mejor comprensión se desglosa en la siguiente tabla. </w:t>
      </w:r>
    </w:p>
    <w:p w:rsidR="00977EB9" w:rsidRDefault="00977EB9">
      <w:pPr>
        <w:pBdr>
          <w:top w:val="nil"/>
          <w:left w:val="nil"/>
          <w:bottom w:val="nil"/>
          <w:right w:val="nil"/>
          <w:between w:val="nil"/>
        </w:pBdr>
        <w:ind w:left="720" w:right="-1416"/>
        <w:rPr>
          <w:color w:val="000000"/>
        </w:rPr>
      </w:pPr>
    </w:p>
    <w:tbl>
      <w:tblPr>
        <w:tblStyle w:val="a"/>
        <w:tblW w:w="9840" w:type="dxa"/>
        <w:jc w:val="cente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3645"/>
        <w:gridCol w:w="3825"/>
        <w:gridCol w:w="2370"/>
      </w:tblGrid>
      <w:tr w:rsidR="00977EB9" w:rsidTr="00977EB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45" w:type="dxa"/>
          </w:tcPr>
          <w:p w:rsidR="00977EB9" w:rsidRDefault="000D6F72">
            <w:pPr>
              <w:pBdr>
                <w:top w:val="nil"/>
                <w:left w:val="nil"/>
                <w:bottom w:val="nil"/>
                <w:right w:val="nil"/>
                <w:between w:val="nil"/>
              </w:pBdr>
              <w:ind w:right="-74"/>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t>SOLICITUD</w:t>
            </w:r>
          </w:p>
        </w:tc>
        <w:tc>
          <w:tcPr>
            <w:tcW w:w="3825" w:type="dxa"/>
            <w:vAlign w:val="center"/>
          </w:tcPr>
          <w:p w:rsidR="00977EB9" w:rsidRDefault="000D6F72">
            <w:pPr>
              <w:pBdr>
                <w:top w:val="nil"/>
                <w:left w:val="nil"/>
                <w:bottom w:val="nil"/>
                <w:right w:val="nil"/>
                <w:between w:val="nil"/>
              </w:pBdr>
              <w:ind w:right="-74"/>
              <w:jc w:val="cente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RESPUESTA</w:t>
            </w:r>
          </w:p>
        </w:tc>
        <w:tc>
          <w:tcPr>
            <w:tcW w:w="2370" w:type="dxa"/>
          </w:tcPr>
          <w:p w:rsidR="00977EB9" w:rsidRDefault="000D6F72">
            <w:pPr>
              <w:pBdr>
                <w:top w:val="nil"/>
                <w:left w:val="nil"/>
                <w:bottom w:val="nil"/>
                <w:right w:val="nil"/>
                <w:between w:val="nil"/>
              </w:pBdr>
              <w:ind w:right="-74"/>
              <w:jc w:val="center"/>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CUMPLIMIENTO</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74"/>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1.Protocolo ante Conflictos de Interés en el Comité de Ética</w:t>
            </w:r>
          </w:p>
        </w:tc>
        <w:tc>
          <w:tcPr>
            <w:tcW w:w="3825" w:type="dxa"/>
            <w:vAlign w:val="center"/>
          </w:tcPr>
          <w:p w:rsidR="00977EB9" w:rsidRDefault="000D6F72">
            <w:pPr>
              <w:pBdr>
                <w:top w:val="nil"/>
                <w:left w:val="nil"/>
                <w:bottom w:val="nil"/>
                <w:right w:val="nil"/>
                <w:between w:val="nil"/>
              </w:pBdr>
              <w:ind w:left="29" w:right="-74"/>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Presenta link en formato cerrado donde se puede consultar la Gaceta de 24 de junio de 2021 que contiene el </w:t>
            </w:r>
            <w:r>
              <w:rPr>
                <w:rFonts w:ascii="Palatino Linotype" w:eastAsia="Palatino Linotype" w:hAnsi="Palatino Linotype" w:cs="Palatino Linotype"/>
                <w:i/>
                <w:iCs/>
                <w:color w:val="000000"/>
              </w:rPr>
              <w:t xml:space="preserve">PROTOCOLO DE ACTUACIÓN PARA LA RECEPCIÓN, TRÁMITE Y CONCLUSIÓN DE LAS DENUNCIAS, SUGERENCIAS Y RECONOCIMIENTOS </w:t>
            </w:r>
            <w:r>
              <w:rPr>
                <w:rFonts w:ascii="Palatino Linotype" w:eastAsia="Palatino Linotype" w:hAnsi="Palatino Linotype" w:cs="Palatino Linotype"/>
                <w:i/>
                <w:iCs/>
              </w:rPr>
              <w:t>PRESENTADAS</w:t>
            </w:r>
            <w:r>
              <w:rPr>
                <w:rFonts w:ascii="Palatino Linotype" w:eastAsia="Palatino Linotype" w:hAnsi="Palatino Linotype" w:cs="Palatino Linotype"/>
                <w:i/>
                <w:iCs/>
                <w:color w:val="000000"/>
              </w:rPr>
              <w:t xml:space="preserve"> ANTE LOS COMITÉS DE ÉTICA DE LAS DEPENDENCIAS DEL PODER EJECUTIVO DEL GOBIERNO DEL ESTADO DE MÉXICO Y SUS ORGANISMOS AUXILIARES</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NO</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74"/>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 xml:space="preserve">2. Documento o lineamiento que establezca el procedimiento de actuación, abstención y recusación cuando un miembro permanente del Comité de Ética y Prevención de Conflictos de Intereses es objeto de una queja o denuncia administrativa. </w:t>
            </w:r>
          </w:p>
        </w:tc>
        <w:tc>
          <w:tcPr>
            <w:tcW w:w="3825" w:type="dxa"/>
            <w:vAlign w:val="center"/>
          </w:tcPr>
          <w:p w:rsidR="00977EB9" w:rsidRDefault="000D6F72">
            <w:pPr>
              <w:pBdr>
                <w:top w:val="nil"/>
                <w:left w:val="nil"/>
                <w:bottom w:val="nil"/>
                <w:right w:val="nil"/>
                <w:between w:val="nil"/>
              </w:pBdr>
              <w:ind w:right="-74"/>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Presenta link en formato cerrado donde se puede consultar la Gaceta de 24 de junio de 2021 que contiene el </w:t>
            </w:r>
            <w:r>
              <w:rPr>
                <w:rFonts w:ascii="Palatino Linotype" w:eastAsia="Palatino Linotype" w:hAnsi="Palatino Linotype" w:cs="Palatino Linotype"/>
                <w:i/>
                <w:iCs/>
                <w:color w:val="000000"/>
              </w:rPr>
              <w:t xml:space="preserve">PROTOCOLO DE ACTUACIÓN PARA LA RECEPCIÓN, TRÁMITE Y CONCLUSIÓN DE LAS DENUNCIAS, SUGERENCIAS Y RECONOCIMIENTOS </w:t>
            </w:r>
            <w:r>
              <w:rPr>
                <w:rFonts w:ascii="Palatino Linotype" w:eastAsia="Palatino Linotype" w:hAnsi="Palatino Linotype" w:cs="Palatino Linotype"/>
                <w:i/>
                <w:iCs/>
              </w:rPr>
              <w:t>PRESENTADAS</w:t>
            </w:r>
            <w:r>
              <w:rPr>
                <w:rFonts w:ascii="Palatino Linotype" w:eastAsia="Palatino Linotype" w:hAnsi="Palatino Linotype" w:cs="Palatino Linotype"/>
                <w:i/>
                <w:iCs/>
                <w:color w:val="000000"/>
              </w:rPr>
              <w:t xml:space="preserve"> ANTE LOS COMITÉS DE ÉTICA DE LAS DEPENDENCIAS DEL PODER EJECUTIVO DEL GOBIERNO DEL ESTADO DE MÉXICO Y SUS ORGANISMOS AUXILIARES</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NO</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3.</w:t>
            </w:r>
            <w:r>
              <w:rPr>
                <w:rFonts w:ascii="Palatino Linotype" w:eastAsia="Palatino Linotype" w:hAnsi="Palatino Linotype" w:cs="Palatino Linotype"/>
                <w:b w:val="0"/>
                <w:bCs w:val="0"/>
                <w:i/>
                <w:iCs/>
                <w:color w:val="000000"/>
              </w:rPr>
              <w:tab/>
              <w:t>Informes de Evaluación del Clima Organizacional</w:t>
            </w:r>
          </w:p>
        </w:tc>
        <w:tc>
          <w:tcPr>
            <w:tcW w:w="3825" w:type="dxa"/>
            <w:vAlign w:val="center"/>
          </w:tcPr>
          <w:p w:rsidR="00977EB9" w:rsidRDefault="000D6F72">
            <w:pPr>
              <w:pBdr>
                <w:top w:val="nil"/>
                <w:left w:val="nil"/>
                <w:bottom w:val="nil"/>
                <w:right w:val="nil"/>
                <w:between w:val="nil"/>
              </w:pBdr>
              <w:ind w:right="-1416"/>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Remitió resultados del diagnóstico de clima organizacional de manera global de conformidad con lo establecido en la NOM-035-STPS-2018.</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SI</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lastRenderedPageBreak/>
              <w:t>4.Los resultados detallados y las recomendaciones del último 'Diagnóstico de Clima y Cultura Organizacional' realizado en la Secretaría de las Mujeres, con desglose específico (si existe) de la unidad administrativa correspondiente a la Titular de la dependencia y sus áreas adscritas.</w:t>
            </w:r>
          </w:p>
        </w:tc>
        <w:tc>
          <w:tcPr>
            <w:tcW w:w="3825" w:type="dxa"/>
            <w:vAlign w:val="center"/>
          </w:tcPr>
          <w:p w:rsidR="00977EB9" w:rsidRDefault="000D6F72">
            <w:pPr>
              <w:pBdr>
                <w:top w:val="nil"/>
                <w:left w:val="nil"/>
                <w:bottom w:val="nil"/>
                <w:right w:val="nil"/>
                <w:between w:val="nil"/>
              </w:pBdr>
              <w:ind w:right="-1416"/>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Remitió resultados del diagnóstico de clima organizacional de manera global de conformidad con lo establecido en la NOM-035-STPS-2018.</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SI</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5.Actas de Seguimiento de Quejas SAM</w:t>
            </w:r>
          </w:p>
        </w:tc>
        <w:tc>
          <w:tcPr>
            <w:tcW w:w="3825" w:type="dxa"/>
            <w:vAlign w:val="center"/>
          </w:tcPr>
          <w:p w:rsidR="00977EB9" w:rsidRDefault="000D6F72">
            <w:pPr>
              <w:pBdr>
                <w:top w:val="nil"/>
                <w:left w:val="nil"/>
                <w:bottom w:val="nil"/>
                <w:right w:val="nil"/>
                <w:between w:val="nil"/>
              </w:pBdr>
              <w:ind w:right="-1416"/>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Refiere que el Comité de Ética no da vista del seguimiento de quejas del SAM, por ende, las actas del Comité no reflejan estados procesales o medidas cautelares o correctivas derivadas de este sistema.</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SI</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6.Relación de actas de las sesiones del Comité de Ética celebradas en los años 2025 y 2026, donde se haya dado cuenta de las quejas remitidas por el Sistema de Atención Mexiquense (SAM), indicando el estado procesal actual de dichas quejas</w:t>
            </w:r>
          </w:p>
        </w:tc>
        <w:tc>
          <w:tcPr>
            <w:tcW w:w="3825" w:type="dxa"/>
            <w:vAlign w:val="center"/>
          </w:tcPr>
          <w:p w:rsidR="00977EB9" w:rsidRDefault="000D6F72">
            <w:pPr>
              <w:pBdr>
                <w:top w:val="nil"/>
                <w:left w:val="nil"/>
                <w:bottom w:val="nil"/>
                <w:right w:val="nil"/>
                <w:between w:val="nil"/>
              </w:pBdr>
              <w:ind w:right="-1416"/>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Refiere que el Comité de Ética no da vista del seguimiento de quejas del SAM, por ende, las actas del Comité no reflejan estados procesales o medidas cautelares o correctivas derivadas de este sistema.</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SI</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7.Registro de Medidas Cautelares o Correctivas:</w:t>
            </w:r>
          </w:p>
        </w:tc>
        <w:tc>
          <w:tcPr>
            <w:tcW w:w="3825" w:type="dxa"/>
            <w:vAlign w:val="center"/>
          </w:tcPr>
          <w:p w:rsidR="00977EB9" w:rsidRDefault="000D6F72">
            <w:pPr>
              <w:pBdr>
                <w:top w:val="nil"/>
                <w:left w:val="nil"/>
                <w:bottom w:val="nil"/>
                <w:right w:val="nil"/>
                <w:between w:val="nil"/>
              </w:pBdr>
              <w:ind w:right="-1416"/>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Refiere que el Comité de Ética no da vista del seguimiento de quejas del SAM, por ende, las actas del Comité no reflejan estados procesales o medidas cautelares o correctivas derivadas de este sistema.</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SI</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33"/>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8.Informe sobre si el Comité de Ética ha emitido recomendaciones o medidas de protección para el personal que ha manifestado tratos denigrantes o conductas que vulneren el Código de Conducta de la institución en el último año.</w:t>
            </w:r>
          </w:p>
        </w:tc>
        <w:tc>
          <w:tcPr>
            <w:tcW w:w="3825" w:type="dxa"/>
            <w:vAlign w:val="center"/>
          </w:tcPr>
          <w:p w:rsidR="00977EB9" w:rsidRDefault="000D6F72">
            <w:pPr>
              <w:pBdr>
                <w:top w:val="nil"/>
                <w:left w:val="nil"/>
                <w:bottom w:val="nil"/>
                <w:right w:val="nil"/>
                <w:between w:val="nil"/>
              </w:pBdr>
              <w:ind w:right="-70"/>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Refiere que el Comité de Ética no da vista del seguimiento de quejas del SAM, por ende, las actas del Comité no reflejan estados procesales o medidas cautelares o correctivas derivadas de este sistema Informó que se archivó por falta de elementos</w:t>
            </w:r>
          </w:p>
        </w:tc>
        <w:tc>
          <w:tcPr>
            <w:tcW w:w="2370" w:type="dxa"/>
            <w:vAlign w:val="center"/>
          </w:tcPr>
          <w:p w:rsidR="00977EB9" w:rsidRDefault="000D6F72">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SI</w:t>
            </w:r>
          </w:p>
          <w:p w:rsidR="00977EB9" w:rsidRDefault="00977EB9">
            <w:pPr>
              <w:pBdr>
                <w:top w:val="nil"/>
                <w:left w:val="nil"/>
                <w:bottom w:val="nil"/>
                <w:right w:val="nil"/>
                <w:between w:val="nil"/>
              </w:pBdr>
              <w:ind w:right="34"/>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i/>
                <w:iCs/>
                <w:color w:val="000000"/>
              </w:rPr>
            </w:pP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33"/>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9.Funciones del Personal de Apoyo:</w:t>
            </w:r>
          </w:p>
        </w:tc>
        <w:tc>
          <w:tcPr>
            <w:tcW w:w="3825" w:type="dxa"/>
            <w:vAlign w:val="center"/>
          </w:tcPr>
          <w:p w:rsidR="00977EB9" w:rsidRDefault="000D6F72">
            <w:pPr>
              <w:pBdr>
                <w:top w:val="nil"/>
                <w:left w:val="nil"/>
                <w:bottom w:val="nil"/>
                <w:right w:val="nil"/>
                <w:between w:val="nil"/>
              </w:pBdr>
              <w:ind w:right="-70"/>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Entrega oficios con funciones derivadas del Reglamento de la Ley de Planeación del Estado de México y del Manual General de Organización de la Secretaría de las Mujeres</w:t>
            </w:r>
          </w:p>
        </w:tc>
        <w:tc>
          <w:tcPr>
            <w:tcW w:w="2370" w:type="dxa"/>
            <w:vAlign w:val="center"/>
          </w:tcPr>
          <w:p w:rsidR="00977EB9" w:rsidRDefault="000D6F72">
            <w:pPr>
              <w:pBdr>
                <w:top w:val="nil"/>
                <w:left w:val="nil"/>
                <w:bottom w:val="nil"/>
                <w:right w:val="nil"/>
                <w:between w:val="nil"/>
              </w:pBdr>
              <w:ind w:right="-107"/>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SI</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33"/>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10.Copia de los perfiles de puesto</w:t>
            </w:r>
          </w:p>
        </w:tc>
        <w:tc>
          <w:tcPr>
            <w:tcW w:w="3825" w:type="dxa"/>
            <w:vAlign w:val="center"/>
          </w:tcPr>
          <w:p w:rsidR="00977EB9" w:rsidRDefault="000D6F72">
            <w:pPr>
              <w:pBdr>
                <w:top w:val="nil"/>
                <w:left w:val="nil"/>
                <w:bottom w:val="nil"/>
                <w:right w:val="nil"/>
                <w:between w:val="nil"/>
              </w:pBdr>
              <w:ind w:right="-70"/>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Entregó Fichas Curriculares</w:t>
            </w:r>
          </w:p>
        </w:tc>
        <w:tc>
          <w:tcPr>
            <w:tcW w:w="2370" w:type="dxa"/>
            <w:vAlign w:val="center"/>
          </w:tcPr>
          <w:p w:rsidR="00977EB9" w:rsidRDefault="000D6F72">
            <w:pPr>
              <w:pBdr>
                <w:top w:val="nil"/>
                <w:left w:val="nil"/>
                <w:bottom w:val="nil"/>
                <w:right w:val="nil"/>
                <w:between w:val="nil"/>
              </w:pBdr>
              <w:ind w:right="-107"/>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NO</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33"/>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lastRenderedPageBreak/>
              <w:t>11.Manuales de procedimientos que definan las funciones oficiales del personal de apoyo técnico y administrativo de la oficina de la Titular</w:t>
            </w:r>
          </w:p>
        </w:tc>
        <w:tc>
          <w:tcPr>
            <w:tcW w:w="3825" w:type="dxa"/>
            <w:vAlign w:val="center"/>
          </w:tcPr>
          <w:p w:rsidR="00977EB9" w:rsidRDefault="000D6F72">
            <w:pPr>
              <w:pBdr>
                <w:top w:val="nil"/>
                <w:left w:val="nil"/>
                <w:bottom w:val="nil"/>
                <w:right w:val="nil"/>
                <w:between w:val="nil"/>
              </w:pBdr>
              <w:ind w:right="-70"/>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Entrega Guía Técnica para la elaboración de Manuales de Procedimientos.</w:t>
            </w:r>
          </w:p>
        </w:tc>
        <w:tc>
          <w:tcPr>
            <w:tcW w:w="2370" w:type="dxa"/>
            <w:vAlign w:val="center"/>
          </w:tcPr>
          <w:p w:rsidR="00977EB9" w:rsidRDefault="000D6F72">
            <w:pPr>
              <w:pBdr>
                <w:top w:val="nil"/>
                <w:left w:val="nil"/>
                <w:bottom w:val="nil"/>
                <w:right w:val="nil"/>
                <w:between w:val="nil"/>
              </w:pBdr>
              <w:ind w:right="-107"/>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b/>
                <w:bCs/>
                <w:color w:val="000000"/>
              </w:rPr>
            </w:pPr>
            <w:r>
              <w:rPr>
                <w:rFonts w:ascii="Palatino Linotype" w:eastAsia="Palatino Linotype" w:hAnsi="Palatino Linotype" w:cs="Palatino Linotype"/>
                <w:b/>
                <w:bCs/>
                <w:color w:val="000000"/>
              </w:rPr>
              <w:t>NO</w:t>
            </w:r>
          </w:p>
        </w:tc>
      </w:tr>
      <w:tr w:rsidR="00977EB9" w:rsidTr="00977EB9">
        <w:trPr>
          <w:jc w:val="center"/>
        </w:trPr>
        <w:tc>
          <w:tcPr>
            <w:cnfStyle w:val="001000000000" w:firstRow="0" w:lastRow="0" w:firstColumn="1" w:lastColumn="0" w:oddVBand="0" w:evenVBand="0" w:oddHBand="0" w:evenHBand="0" w:firstRowFirstColumn="0" w:firstRowLastColumn="0" w:lastRowFirstColumn="0" w:lastRowLastColumn="0"/>
            <w:tcW w:w="3645" w:type="dxa"/>
            <w:vAlign w:val="center"/>
          </w:tcPr>
          <w:p w:rsidR="00977EB9" w:rsidRDefault="000D6F72">
            <w:pPr>
              <w:pBdr>
                <w:top w:val="nil"/>
                <w:left w:val="nil"/>
                <w:bottom w:val="nil"/>
                <w:right w:val="nil"/>
                <w:between w:val="nil"/>
              </w:pBdr>
              <w:ind w:right="33"/>
              <w:jc w:val="both"/>
              <w:rPr>
                <w:rFonts w:ascii="Palatino Linotype" w:eastAsia="Palatino Linotype" w:hAnsi="Palatino Linotype" w:cs="Palatino Linotype"/>
                <w:i/>
                <w:iCs/>
                <w:color w:val="000000"/>
              </w:rPr>
            </w:pPr>
            <w:r>
              <w:rPr>
                <w:rFonts w:ascii="Palatino Linotype" w:eastAsia="Palatino Linotype" w:hAnsi="Palatino Linotype" w:cs="Palatino Linotype"/>
                <w:b w:val="0"/>
                <w:bCs w:val="0"/>
                <w:i/>
                <w:iCs/>
                <w:color w:val="000000"/>
              </w:rPr>
              <w:t>12.El uso de dispositivos sonoros (timbres) por parte de la Titular para requerir la presencia del personal es una conducta que excede las facultades legales conferidas en su Manual de Organización, contraviniendo el Principio de Legalidad. Asimismo, dicha práctica constituye una falta administrativa conforme al Art. 7, Fracción VI de la Ley de Responsabilidades Administrativas del Estado de México y Municipios, al representar un trato indigno, despersonalizado y humillante que vulnera la integridad y el respeto debido entre servidores públicos, creando un ambiente laboral hostil y degradante.</w:t>
            </w:r>
          </w:p>
        </w:tc>
        <w:tc>
          <w:tcPr>
            <w:tcW w:w="3825" w:type="dxa"/>
            <w:vAlign w:val="center"/>
          </w:tcPr>
          <w:p w:rsidR="00977EB9" w:rsidRDefault="00977EB9">
            <w:pPr>
              <w:pBdr>
                <w:top w:val="nil"/>
                <w:left w:val="nil"/>
                <w:bottom w:val="nil"/>
                <w:right w:val="nil"/>
                <w:between w:val="nil"/>
              </w:pBdr>
              <w:ind w:right="-1416"/>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p>
        </w:tc>
        <w:tc>
          <w:tcPr>
            <w:tcW w:w="2370" w:type="dxa"/>
            <w:vAlign w:val="center"/>
          </w:tcPr>
          <w:p w:rsidR="00977EB9" w:rsidRDefault="000D6F72">
            <w:pPr>
              <w:pBdr>
                <w:top w:val="nil"/>
                <w:left w:val="nil"/>
                <w:bottom w:val="nil"/>
                <w:right w:val="nil"/>
                <w:between w:val="nil"/>
              </w:pBdr>
              <w:ind w:right="-107"/>
              <w:jc w:val="center"/>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rPr>
            </w:pPr>
            <w:r>
              <w:rPr>
                <w:rFonts w:ascii="Palatino Linotype" w:eastAsia="Palatino Linotype" w:hAnsi="Palatino Linotype" w:cs="Palatino Linotype"/>
                <w:color w:val="000000"/>
              </w:rPr>
              <w:t>Manifestaciones subjetivas</w:t>
            </w:r>
          </w:p>
        </w:tc>
      </w:tr>
    </w:tbl>
    <w:p w:rsidR="00977EB9" w:rsidRDefault="00977EB9">
      <w:pPr>
        <w:pBdr>
          <w:top w:val="nil"/>
          <w:left w:val="nil"/>
          <w:bottom w:val="nil"/>
          <w:right w:val="nil"/>
          <w:between w:val="nil"/>
        </w:pBdr>
        <w:ind w:left="720" w:right="-1416"/>
        <w:rPr>
          <w:color w:val="000000"/>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color w:val="000000"/>
        </w:rPr>
        <w:t xml:space="preserve">A más de lo anterior, es de explorado derecho que este Instituto no se encuentra facultado para dudar de la veracidad de la </w:t>
      </w:r>
      <w:r>
        <w:rPr>
          <w:rFonts w:ascii="Palatino Linotype" w:eastAsia="Palatino Linotype" w:hAnsi="Palatino Linotype" w:cs="Palatino Linotype"/>
        </w:rPr>
        <w:t>información</w:t>
      </w:r>
      <w:r>
        <w:rPr>
          <w:rFonts w:ascii="Palatino Linotype" w:eastAsia="Palatino Linotype" w:hAnsi="Palatino Linotype" w:cs="Palatino Linotype"/>
          <w:color w:val="000000"/>
        </w:rPr>
        <w:t xml:space="preserve"> que le fue entregada al hoy </w:t>
      </w:r>
      <w:r>
        <w:rPr>
          <w:rFonts w:ascii="Palatino Linotype" w:eastAsia="Palatino Linotype" w:hAnsi="Palatino Linotype" w:cs="Palatino Linotype"/>
          <w:b/>
          <w:bCs/>
          <w:color w:val="000000"/>
        </w:rPr>
        <w:t>RECURRENTE</w:t>
      </w:r>
      <w:r>
        <w:rPr>
          <w:rFonts w:ascii="Palatino Linotype" w:eastAsia="Palatino Linotype" w:hAnsi="Palatino Linotype" w:cs="Palatino Linotype"/>
          <w:color w:val="000000"/>
        </w:rPr>
        <w:t xml:space="preserve"> en el presente asunto, ni de las respuestas, ni de las documentales que ponen a disposición de los solicitantes los sujetos obligados, </w:t>
      </w:r>
      <w:r>
        <w:rPr>
          <w:rFonts w:ascii="Palatino Linotype" w:eastAsia="Palatino Linotype" w:hAnsi="Palatino Linotype" w:cs="Palatino Linotype"/>
        </w:rPr>
        <w:t xml:space="preserve">situación que se aleja de las atribuciones de este Instituto </w:t>
      </w:r>
      <w:r>
        <w:rPr>
          <w:rFonts w:ascii="Palatino Linotype" w:eastAsia="Palatino Linotype" w:hAnsi="Palatino Linotype" w:cs="Palatino Linotype"/>
          <w:i/>
          <w:iCs/>
          <w:color w:val="000000"/>
        </w:rPr>
        <w:t>máxime</w:t>
      </w:r>
      <w:r>
        <w:rPr>
          <w:rFonts w:ascii="Palatino Linotype" w:eastAsia="Palatino Linotype" w:hAnsi="Palatino Linotype" w:cs="Palatino Linotype"/>
          <w:color w:val="000000"/>
        </w:rPr>
        <w:t xml:space="preserve"> que al momento que ponen a disposición ésta, la misma tiene el carácter oficial y se presume veraz, tan es así que la misma queda registrada en el Sistema de Acceso a la Información Mexiquense (SAIMEX).</w:t>
      </w:r>
    </w:p>
    <w:p w:rsidR="00977EB9" w:rsidRDefault="00977EB9">
      <w:pPr>
        <w:pBdr>
          <w:top w:val="nil"/>
          <w:left w:val="nil"/>
          <w:bottom w:val="nil"/>
          <w:right w:val="nil"/>
          <w:between w:val="nil"/>
        </w:pBdr>
        <w:spacing w:line="360" w:lineRule="auto"/>
        <w:ind w:left="720" w:right="-1416"/>
        <w:rPr>
          <w:rFonts w:ascii="Palatino Linotype" w:eastAsia="Palatino Linotype" w:hAnsi="Palatino Linotype" w:cs="Palatino Linotype"/>
          <w:color w:val="000000"/>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lastRenderedPageBreak/>
        <w:t xml:space="preserve">Sirviendo de apoyo a lo anterior por analogía, el criterio 31-10 emitido por el entonces Instituto </w:t>
      </w:r>
      <w:r>
        <w:rPr>
          <w:rFonts w:ascii="Palatino Linotype" w:eastAsia="Palatino Linotype" w:hAnsi="Palatino Linotype" w:cs="Palatino Linotype"/>
          <w:color w:val="000000"/>
        </w:rPr>
        <w:t>Nacional</w:t>
      </w:r>
      <w:r>
        <w:rPr>
          <w:rFonts w:ascii="Palatino Linotype" w:eastAsia="Palatino Linotype" w:hAnsi="Palatino Linotype" w:cs="Palatino Linotype"/>
        </w:rPr>
        <w:t xml:space="preserve"> de Transparencia, Acceso a la Información y Protección de Datos Personales, que a la letra dice:</w:t>
      </w:r>
    </w:p>
    <w:p w:rsidR="00977EB9" w:rsidRDefault="000D6F72">
      <w:pPr>
        <w:pBdr>
          <w:top w:val="nil"/>
          <w:left w:val="nil"/>
          <w:bottom w:val="nil"/>
          <w:right w:val="nil"/>
          <w:between w:val="nil"/>
        </w:pBdr>
        <w:spacing w:line="276" w:lineRule="auto"/>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“El Instituto Federal de Acceso a la Información y Protección de Datos </w:t>
      </w:r>
      <w:r>
        <w:rPr>
          <w:rFonts w:ascii="Palatino Linotype" w:eastAsia="Palatino Linotype" w:hAnsi="Palatino Linotype" w:cs="Palatino Linotype"/>
          <w:b/>
          <w:bCs/>
          <w:i/>
          <w:iCs/>
          <w:color w:val="000000"/>
        </w:rPr>
        <w:t>no cuenta con facultades para pronunciarse respecto de la veracidad de los documentos proporcionados por los sujetos obligados.</w:t>
      </w:r>
      <w:r>
        <w:rPr>
          <w:rFonts w:ascii="Palatino Linotype" w:eastAsia="Palatino Linotype" w:hAnsi="Palatino Linotype" w:cs="Palatino Linotype"/>
          <w:i/>
          <w:iCs/>
          <w:color w:val="000000"/>
        </w:rPr>
        <w:t xml:space="preserve"> El Instituto Federal de Acceso a la Información y Protección de Datos es un órgano de la Administración Pública Federal con autonomía operativa, presupuestaria y de decisión, encargado de promover y difundir el ejercicio del derecho de acceso a la información; resolver sobre la negativa de las solicitudes de acceso a la información; y proteger los datos personales en poder de las dependencias y entidades. Sin embargo, no está facultado para pronunciarse sobre la veracidad de la información proporcionada por las autoridades en respuesta a las solicitudes de información que les presentan los particulares, en virtud de que en los artículos 49 y 50 de la Ley Federal de Transparencia y Acceso a la Información Pública Gubernamental no se prevé una causal que permita al Instituto Federal de Acceso a la Información y Protección de Datos conocer, vía recurso revisión, al respecto.”</w:t>
      </w:r>
    </w:p>
    <w:p w:rsidR="00977EB9" w:rsidRDefault="00977EB9">
      <w:pPr>
        <w:pBdr>
          <w:top w:val="nil"/>
          <w:left w:val="nil"/>
          <w:bottom w:val="nil"/>
          <w:right w:val="nil"/>
          <w:between w:val="nil"/>
        </w:pBdr>
        <w:spacing w:line="360" w:lineRule="auto"/>
        <w:ind w:left="851" w:right="-1416"/>
        <w:jc w:val="both"/>
        <w:rPr>
          <w:rFonts w:ascii="Palatino Linotype" w:eastAsia="Palatino Linotype" w:hAnsi="Palatino Linotype" w:cs="Palatino Linotype"/>
          <w:i/>
          <w:iCs/>
          <w:color w:val="000000"/>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 xml:space="preserve">Así como lo dispuesto por la </w:t>
      </w:r>
      <w:r>
        <w:rPr>
          <w:rFonts w:ascii="Palatino Linotype" w:eastAsia="Palatino Linotype" w:hAnsi="Palatino Linotype" w:cs="Palatino Linotype"/>
          <w:b/>
          <w:bCs/>
        </w:rPr>
        <w:t xml:space="preserve">Ley de Transparencia y Acceso a la Información Pública del </w:t>
      </w:r>
      <w:r>
        <w:rPr>
          <w:rFonts w:ascii="Palatino Linotype" w:eastAsia="Palatino Linotype" w:hAnsi="Palatino Linotype" w:cs="Palatino Linotype"/>
          <w:color w:val="000000"/>
        </w:rPr>
        <w:t>Estado</w:t>
      </w:r>
      <w:r>
        <w:rPr>
          <w:rFonts w:ascii="Palatino Linotype" w:eastAsia="Palatino Linotype" w:hAnsi="Palatino Linotype" w:cs="Palatino Linotype"/>
          <w:b/>
          <w:bCs/>
        </w:rPr>
        <w:t xml:space="preserve"> de México y Municipios</w:t>
      </w:r>
      <w:r>
        <w:rPr>
          <w:rFonts w:ascii="Palatino Linotype" w:eastAsia="Palatino Linotype" w:hAnsi="Palatino Linotype" w:cs="Palatino Linotype"/>
        </w:rPr>
        <w:t xml:space="preserve"> en su artículo 3, el cual establece que la información pública generada, administrada o en posesión de los sujetos obligados en ejercicio de sus atribuciones, será accesible de manera permanente a cualquier persona, privilegiando el principio de máxima publicidad de la información, por lo que deberán apegarse en todo momento a los criterios de publicidad, veracidad, oportunidad entre otros, numeral en comento que a la letra señala:</w:t>
      </w:r>
    </w:p>
    <w:p w:rsidR="00977EB9" w:rsidRDefault="000D6F72">
      <w:pPr>
        <w:pBdr>
          <w:top w:val="nil"/>
          <w:left w:val="nil"/>
          <w:bottom w:val="nil"/>
          <w:right w:val="nil"/>
          <w:between w:val="nil"/>
        </w:pBdr>
        <w:tabs>
          <w:tab w:val="left" w:pos="7938"/>
        </w:tabs>
        <w:ind w:left="1134" w:right="-1416"/>
        <w:jc w:val="both"/>
        <w:rPr>
          <w:rFonts w:ascii="Palatino Linotype" w:eastAsia="Palatino Linotype" w:hAnsi="Palatino Linotype" w:cs="Palatino Linotype"/>
          <w:b/>
          <w:bCs/>
          <w:i/>
          <w:iCs/>
          <w:color w:val="000000"/>
        </w:rPr>
      </w:pPr>
      <w:r>
        <w:rPr>
          <w:rFonts w:ascii="Palatino Linotype" w:eastAsia="Palatino Linotype" w:hAnsi="Palatino Linotype" w:cs="Palatino Linotype"/>
          <w:i/>
          <w:iCs/>
          <w:color w:val="000000"/>
        </w:rPr>
        <w:t xml:space="preserve">Artículo 3.- La información pública generada, administrada o en posesión de los Sujetos Obligados en ejercicio de sus atribuciones, será accesible de manera permanente a cualquier persona, privilegiando el principio de máxima publicidad de la información. </w:t>
      </w:r>
      <w:r>
        <w:rPr>
          <w:rFonts w:ascii="Palatino Linotype" w:eastAsia="Palatino Linotype" w:hAnsi="Palatino Linotype" w:cs="Palatino Linotype"/>
          <w:b/>
          <w:bCs/>
          <w:i/>
          <w:iCs/>
          <w:color w:val="000000"/>
        </w:rPr>
        <w:t xml:space="preserve">Los Sujetos Obligados deben poner en práctica, políticas y programas de acceso a la </w:t>
      </w:r>
      <w:r>
        <w:rPr>
          <w:rFonts w:ascii="Palatino Linotype" w:eastAsia="Palatino Linotype" w:hAnsi="Palatino Linotype" w:cs="Palatino Linotype"/>
          <w:b/>
          <w:bCs/>
          <w:i/>
          <w:iCs/>
          <w:color w:val="000000"/>
        </w:rPr>
        <w:lastRenderedPageBreak/>
        <w:t>información que se apeguen a criterios de publicidad, veracidad, oportunidad, precisión y suficiencia en beneficio de los solicitantes.</w:t>
      </w:r>
    </w:p>
    <w:p w:rsidR="00977EB9" w:rsidRDefault="00977EB9">
      <w:pPr>
        <w:pBdr>
          <w:top w:val="nil"/>
          <w:left w:val="nil"/>
          <w:bottom w:val="nil"/>
          <w:right w:val="nil"/>
          <w:between w:val="nil"/>
        </w:pBdr>
        <w:spacing w:line="360" w:lineRule="auto"/>
        <w:ind w:left="567" w:right="-1416"/>
        <w:jc w:val="both"/>
        <w:rPr>
          <w:rFonts w:ascii="Palatino Linotype" w:eastAsia="Palatino Linotype" w:hAnsi="Palatino Linotype" w:cs="Palatino Linotype"/>
          <w:b/>
          <w:bCs/>
          <w:i/>
          <w:iCs/>
          <w:color w:val="000000"/>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rPr>
        <w:t xml:space="preserve">Numerales que compelen al </w:t>
      </w:r>
      <w:r>
        <w:rPr>
          <w:rFonts w:ascii="Palatino Linotype" w:eastAsia="Palatino Linotype" w:hAnsi="Palatino Linotype" w:cs="Palatino Linotype"/>
          <w:b/>
          <w:bCs/>
        </w:rPr>
        <w:t>SUJETO OBLIGADO</w:t>
      </w:r>
      <w:r>
        <w:rPr>
          <w:rFonts w:ascii="Palatino Linotype" w:eastAsia="Palatino Linotype" w:hAnsi="Palatino Linotype" w:cs="Palatino Linotype"/>
        </w:rPr>
        <w:t xml:space="preserve"> apegarse en todo momento a los criterios ya expuestos, impidiendo a este Órgano Colegiado cuestionar la veracidad de la información.</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b/>
          <w:b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Resulta importante establecer, que el servidor público habilitado que emitió la respuesta en cita  admite ser poseedor de la información, por lo cual, no es necesario estudiar si este es competente para conocer y en su caso dar respuesta a la solicitud, pues al mencionar que pone a disposición la información solicitada, </w:t>
      </w:r>
      <w:r>
        <w:rPr>
          <w:rFonts w:ascii="Palatino Linotype" w:eastAsia="Palatino Linotype" w:hAnsi="Palatino Linotype" w:cs="Palatino Linotype"/>
        </w:rPr>
        <w:t>esté</w:t>
      </w:r>
      <w:r>
        <w:rPr>
          <w:rFonts w:ascii="Palatino Linotype" w:eastAsia="Palatino Linotype" w:hAnsi="Palatino Linotype" w:cs="Palatino Linotype"/>
          <w:color w:val="000000"/>
        </w:rPr>
        <w:t xml:space="preserve"> reconoce contar con la misma.</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i/>
          <w:i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rPr>
        <w:t>Al respecto, se precisa que se obvia el análisis de la competencia por parte del SUJETO OBLIGADO, para generar, administrar o poseer la información solicitada, dado que éste ha asumido la misma, en razón de que en su respuesta admitió contar con dicha información.</w:t>
      </w:r>
    </w:p>
    <w:p w:rsidR="00977EB9" w:rsidRDefault="00977EB9">
      <w:pPr>
        <w:pBdr>
          <w:top w:val="nil"/>
          <w:left w:val="nil"/>
          <w:bottom w:val="nil"/>
          <w:right w:val="nil"/>
          <w:between w:val="nil"/>
        </w:pBdr>
        <w:ind w:right="-1416"/>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En efecto, el hecho de que EL SUJETO OBLIGADO haya admitido contar con la información pública solicitada, acepta que la genera, posee y administra, en ejercicio de sus funciones de derecho público, motivo por el cual se actualiza el supuesto jurídico, previsto en el artículo 12 de la Ley de Transparencia y Acceso a la Información Pública del Estado de México y Municipios.</w:t>
      </w:r>
    </w:p>
    <w:p w:rsidR="00977EB9" w:rsidRDefault="000D6F72">
      <w:pPr>
        <w:shd w:val="clear" w:color="auto" w:fill="FFFFFF"/>
        <w:ind w:left="1134" w:right="-1416"/>
        <w:jc w:val="both"/>
        <w:rPr>
          <w:rFonts w:ascii="Palatino Linotype" w:eastAsia="Palatino Linotype" w:hAnsi="Palatino Linotype" w:cs="Palatino Linotype"/>
          <w:i/>
          <w:iCs/>
          <w:color w:val="222222"/>
        </w:rPr>
      </w:pPr>
      <w:r>
        <w:rPr>
          <w:rFonts w:ascii="Palatino Linotype" w:eastAsia="Palatino Linotype" w:hAnsi="Palatino Linotype" w:cs="Palatino Linotype"/>
          <w:i/>
          <w:iCs/>
          <w:color w:val="222222"/>
        </w:rPr>
        <w:t>“</w:t>
      </w:r>
      <w:r>
        <w:rPr>
          <w:rFonts w:ascii="Palatino Linotype" w:eastAsia="Palatino Linotype" w:hAnsi="Palatino Linotype" w:cs="Palatino Linotype"/>
          <w:b/>
          <w:bCs/>
          <w:i/>
          <w:iCs/>
          <w:color w:val="222222"/>
        </w:rPr>
        <w:t>Artículo 12.</w:t>
      </w:r>
      <w:r>
        <w:rPr>
          <w:rFonts w:ascii="Palatino Linotype" w:eastAsia="Palatino Linotype" w:hAnsi="Palatino Linotype" w:cs="Palatino Linotype"/>
          <w:i/>
          <w:iCs/>
          <w:color w:val="222222"/>
        </w:rPr>
        <w:t> Quienes generen, recopilen, administren, manejen, procesen, archiven o conserven información pública serán responsables de la misma en los términos de las disposiciones jurídicas aplicables.</w:t>
      </w:r>
    </w:p>
    <w:p w:rsidR="00977EB9" w:rsidRDefault="00977EB9">
      <w:pPr>
        <w:shd w:val="clear" w:color="auto" w:fill="FFFFFF"/>
        <w:ind w:left="1134" w:right="-1416"/>
        <w:jc w:val="both"/>
        <w:rPr>
          <w:rFonts w:ascii="Palatino Linotype" w:eastAsia="Palatino Linotype" w:hAnsi="Palatino Linotype" w:cs="Palatino Linotype"/>
          <w:color w:val="222222"/>
        </w:rPr>
      </w:pPr>
    </w:p>
    <w:p w:rsidR="00977EB9" w:rsidRDefault="000D6F72">
      <w:pPr>
        <w:shd w:val="clear" w:color="auto" w:fill="FFFFFF"/>
        <w:ind w:left="1134" w:right="-1416"/>
        <w:jc w:val="both"/>
        <w:rPr>
          <w:rFonts w:ascii="Palatino Linotype" w:eastAsia="Palatino Linotype" w:hAnsi="Palatino Linotype" w:cs="Palatino Linotype"/>
          <w:i/>
          <w:iCs/>
          <w:color w:val="222222"/>
        </w:rPr>
      </w:pPr>
      <w:r>
        <w:rPr>
          <w:rFonts w:ascii="Palatino Linotype" w:eastAsia="Palatino Linotype" w:hAnsi="Palatino Linotype" w:cs="Palatino Linotype"/>
          <w:i/>
          <w:iCs/>
          <w:color w:val="222222"/>
        </w:rPr>
        <w:t xml:space="preserve">Los sujetos obligados sólo proporcionarán la información pública que se les requiera y que obre en sus archivos y en el estado en que ésta se encuentre. La obligación de proporcionar </w:t>
      </w:r>
      <w:r>
        <w:rPr>
          <w:rFonts w:ascii="Palatino Linotype" w:eastAsia="Palatino Linotype" w:hAnsi="Palatino Linotype" w:cs="Palatino Linotype"/>
          <w:i/>
          <w:iCs/>
          <w:color w:val="222222"/>
        </w:rPr>
        <w:lastRenderedPageBreak/>
        <w:t>información no comprende el procesamiento de la misma, ni el presentarla conforme al interés del solicitante; no estarán obligados a generarla, resumirla, efectuar cálculos o practicar investigaciones.”</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Así, el estudio de la naturaleza jurídica de la información pública solicitada, tiene por objeto determinar si ésta la genera, posee o administra EL SUJETO OBLIGADO; sin embargo, en aquellos casos en que éste la asume, a nada práctico nos conduciría su estudio, ya que se insiste, dicha información, fue admitida por el mismo; por lo que, la genera, posee y administra, en ejercicio de sus funciones de derecho público, motivo por el cual, se actualiza el supuesto jurídico, previsto en el artículo 12 de la Ley de la materia, anteriormente referido.</w:t>
      </w:r>
    </w:p>
    <w:p w:rsidR="00977EB9" w:rsidRDefault="00977EB9">
      <w:pPr>
        <w:pBdr>
          <w:top w:val="nil"/>
          <w:left w:val="nil"/>
          <w:bottom w:val="nil"/>
          <w:right w:val="nil"/>
          <w:between w:val="nil"/>
        </w:pBdr>
        <w:ind w:left="720"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Ahora bien  en relación a los puntos </w:t>
      </w:r>
      <w:r>
        <w:rPr>
          <w:rFonts w:ascii="Palatino Linotype" w:eastAsia="Palatino Linotype" w:hAnsi="Palatino Linotype" w:cs="Palatino Linotype"/>
          <w:i/>
          <w:iCs/>
          <w:color w:val="000000"/>
        </w:rPr>
        <w:t>1 y 2</w:t>
      </w:r>
      <w:r>
        <w:rPr>
          <w:rFonts w:ascii="Palatino Linotype" w:eastAsia="Palatino Linotype" w:hAnsi="Palatino Linotype" w:cs="Palatino Linotype"/>
          <w:color w:val="000000"/>
        </w:rPr>
        <w:t xml:space="preserve"> de la tabla de referencia, dado que en respuesta el Sujeto Obligado remitió una liga en formato cerrado como se advierte de la captura de pantalla:</w:t>
      </w:r>
    </w:p>
    <w:p w:rsidR="00977EB9" w:rsidRDefault="000D6F72">
      <w:pPr>
        <w:pBdr>
          <w:top w:val="nil"/>
          <w:left w:val="nil"/>
          <w:bottom w:val="nil"/>
          <w:right w:val="nil"/>
          <w:between w:val="nil"/>
        </w:pBdr>
        <w:ind w:right="-1416"/>
        <w:jc w:val="center"/>
        <w:rPr>
          <w:rFonts w:ascii="Palatino Linotype" w:eastAsia="Palatino Linotype" w:hAnsi="Palatino Linotype" w:cs="Palatino Linotype"/>
          <w:b/>
          <w:bCs/>
          <w:color w:val="000000"/>
        </w:rPr>
      </w:pPr>
      <w:r>
        <w:rPr>
          <w:rFonts w:ascii="Palatino Linotype" w:eastAsia="Palatino Linotype" w:hAnsi="Palatino Linotype" w:cs="Palatino Linotype"/>
          <w:b/>
          <w:bCs/>
          <w:noProof/>
          <w:color w:val="000000"/>
          <w:lang w:val="es-MX"/>
        </w:rPr>
        <w:drawing>
          <wp:inline distT="0" distB="0" distL="0" distR="0">
            <wp:extent cx="5044026" cy="508258"/>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044026" cy="508258"/>
                    </a:xfrm>
                    <a:prstGeom prst="rect">
                      <a:avLst/>
                    </a:prstGeom>
                    <a:ln/>
                  </pic:spPr>
                </pic:pic>
              </a:graphicData>
            </a:graphic>
          </wp:inline>
        </w:drawing>
      </w:r>
    </w:p>
    <w:p w:rsidR="00977EB9" w:rsidRDefault="00977EB9">
      <w:pPr>
        <w:pBdr>
          <w:top w:val="nil"/>
          <w:left w:val="nil"/>
          <w:bottom w:val="nil"/>
          <w:right w:val="nil"/>
          <w:between w:val="nil"/>
        </w:pBdr>
        <w:ind w:right="-1416"/>
        <w:jc w:val="center"/>
        <w:rPr>
          <w:rFonts w:ascii="Palatino Linotype" w:eastAsia="Palatino Linotype" w:hAnsi="Palatino Linotype" w:cs="Palatino Linotype"/>
          <w:b/>
          <w:b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Es decir, que implica que se digite dato por dato de cada uno de los caracteres, lo que facilita la existencia del error humano; por lo cual, en atención a los artículos 3° fracción VIII, XVI, 24, fracción V, 41 y 160 de la Ley de Transparencia vigente en la Entidad, los Sujetos Obligados y este Organismo Garante, deben velar por la generación y </w:t>
      </w:r>
      <w:r>
        <w:rPr>
          <w:rFonts w:ascii="Palatino Linotype" w:eastAsia="Palatino Linotype" w:hAnsi="Palatino Linotype" w:cs="Palatino Linotype"/>
          <w:b/>
          <w:bCs/>
          <w:color w:val="000000"/>
        </w:rPr>
        <w:t>entrega</w:t>
      </w:r>
      <w:r>
        <w:rPr>
          <w:rFonts w:ascii="Palatino Linotype" w:eastAsia="Palatino Linotype" w:hAnsi="Palatino Linotype" w:cs="Palatino Linotype"/>
          <w:color w:val="000000"/>
        </w:rPr>
        <w:t xml:space="preserve"> de la información a los Particulares </w:t>
      </w:r>
      <w:r>
        <w:rPr>
          <w:rFonts w:ascii="Palatino Linotype" w:eastAsia="Palatino Linotype" w:hAnsi="Palatino Linotype" w:cs="Palatino Linotype"/>
          <w:b/>
          <w:bCs/>
          <w:color w:val="000000"/>
        </w:rPr>
        <w:t>en formatos abiertos, con los efectos de facilitar la reutilización de la información.</w:t>
      </w:r>
    </w:p>
    <w:p w:rsidR="00977EB9" w:rsidRDefault="00977EB9">
      <w:pPr>
        <w:spacing w:line="360" w:lineRule="auto"/>
        <w:ind w:right="-1416"/>
        <w:jc w:val="both"/>
        <w:rPr>
          <w:rFonts w:ascii="Palatino Linotype" w:eastAsia="Palatino Linotype" w:hAnsi="Palatino Linotype" w:cs="Palatino Linotype"/>
          <w:b/>
          <w:bCs/>
          <w:color w:val="000000"/>
        </w:rPr>
      </w:pPr>
    </w:p>
    <w:p w:rsidR="00977EB9" w:rsidRDefault="000D6F72">
      <w:pPr>
        <w:numPr>
          <w:ilvl w:val="0"/>
          <w:numId w:val="2"/>
        </w:numPr>
        <w:spacing w:line="360" w:lineRule="auto"/>
        <w:ind w:left="0" w:right="-1416" w:firstLine="0"/>
        <w:jc w:val="both"/>
      </w:pPr>
      <w:r>
        <w:rPr>
          <w:rFonts w:ascii="Palatino Linotype" w:eastAsia="Palatino Linotype" w:hAnsi="Palatino Linotype" w:cs="Palatino Linotype"/>
          <w:color w:val="000000"/>
        </w:rPr>
        <w:t xml:space="preserve">Lo anterior, en acatamiento a lo estipulado en el artículo 161, de la Ley de Transparencia y Acceso a la Información Pública del Estado de México y Municipios, mismo que señala que </w:t>
      </w:r>
      <w:r>
        <w:rPr>
          <w:rFonts w:ascii="Palatino Linotype" w:eastAsia="Palatino Linotype" w:hAnsi="Palatino Linotype" w:cs="Palatino Linotype"/>
          <w:color w:val="000000"/>
        </w:rPr>
        <w:lastRenderedPageBreak/>
        <w:t xml:space="preserve">cuando la información requerida por el solicitante ya esté disponible al público en medios impresos, tales como libros, compendios, trípticos, registros públicos, en formatos electrónicos disponibles en Internet o en cualquier otro medio, </w:t>
      </w:r>
      <w:r>
        <w:rPr>
          <w:rFonts w:ascii="Palatino Linotype" w:eastAsia="Palatino Linotype" w:hAnsi="Palatino Linotype" w:cs="Palatino Linotype"/>
          <w:b/>
          <w:bCs/>
          <w:color w:val="000000"/>
          <w:u w:val="single"/>
        </w:rPr>
        <w:t>se le hará saber por el medio requerido por el solicitante la fuente, el lugar y la forma en que puede consultar, reproducir o adquirir dicha información en un plazo no mayor a cinco días hábiles. La fuente deberá ser precisa y concreta y no debe implicar que el solicitante realice la búsqueda en toda la información que se encuentre disponible.</w:t>
      </w:r>
    </w:p>
    <w:p w:rsidR="00977EB9" w:rsidRDefault="00977EB9">
      <w:pPr>
        <w:pBdr>
          <w:top w:val="nil"/>
          <w:left w:val="nil"/>
          <w:bottom w:val="nil"/>
          <w:right w:val="nil"/>
          <w:between w:val="nil"/>
        </w:pBdr>
        <w:ind w:left="720" w:right="-1416"/>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Es así que, toda aquella información que sea requerida por los particulares que, previamente se encuentre disponible en sitios electrónicos, como puede ser de manera enunciativa más no limitativa, el sitio oficial del Sujeto Obligado o el portal IPOMEX o las páginas institucionales. Los Sujetos Obligado deben indicar la dirección electrónica donde obra la información solicitada. </w:t>
      </w:r>
      <w:r>
        <w:rPr>
          <w:rFonts w:ascii="Palatino Linotype" w:eastAsia="Palatino Linotype" w:hAnsi="Palatino Linotype" w:cs="Palatino Linotype"/>
          <w:b/>
          <w:bCs/>
          <w:color w:val="000000"/>
        </w:rPr>
        <w:t>Esta dirección electrónica debe ser precisa, de tal modo que no implique realizar una búsqueda en toda la información que ahí se encuentre, debiendo cumplir</w:t>
      </w:r>
      <w:r>
        <w:rPr>
          <w:rFonts w:ascii="Palatino Linotype" w:eastAsia="Palatino Linotype" w:hAnsi="Palatino Linotype" w:cs="Palatino Linotype"/>
          <w:color w:val="000000"/>
        </w:rPr>
        <w:t xml:space="preserve"> una serie de requisitos, a saber:</w:t>
      </w:r>
    </w:p>
    <w:p w:rsidR="00977EB9" w:rsidRDefault="000D6F72">
      <w:pPr>
        <w:numPr>
          <w:ilvl w:val="0"/>
          <w:numId w:val="7"/>
        </w:numPr>
        <w:pBdr>
          <w:top w:val="nil"/>
          <w:left w:val="nil"/>
          <w:bottom w:val="nil"/>
          <w:right w:val="nil"/>
          <w:between w:val="nil"/>
        </w:pBdr>
        <w:spacing w:line="360" w:lineRule="auto"/>
        <w:ind w:left="1134" w:right="-1416" w:hanging="425"/>
        <w:jc w:val="both"/>
        <w:rPr>
          <w:i/>
          <w:iCs/>
          <w:color w:val="000000"/>
        </w:rPr>
      </w:pPr>
      <w:r>
        <w:rPr>
          <w:rFonts w:ascii="Palatino Linotype" w:eastAsia="Palatino Linotype" w:hAnsi="Palatino Linotype" w:cs="Palatino Linotype"/>
          <w:i/>
          <w:iCs/>
          <w:color w:val="000000"/>
        </w:rPr>
        <w:t>La dirección electrónica debe señalarse en un plazo no mayor a cinco días hábiles;</w:t>
      </w:r>
    </w:p>
    <w:p w:rsidR="00977EB9" w:rsidRDefault="000D6F72">
      <w:pPr>
        <w:numPr>
          <w:ilvl w:val="0"/>
          <w:numId w:val="7"/>
        </w:numPr>
        <w:pBdr>
          <w:top w:val="nil"/>
          <w:left w:val="nil"/>
          <w:bottom w:val="nil"/>
          <w:right w:val="nil"/>
          <w:between w:val="nil"/>
        </w:pBdr>
        <w:spacing w:line="360" w:lineRule="auto"/>
        <w:ind w:left="1134" w:right="-1416" w:hanging="425"/>
        <w:jc w:val="both"/>
        <w:rPr>
          <w:i/>
          <w:iCs/>
          <w:color w:val="000000"/>
        </w:rPr>
      </w:pPr>
      <w:r>
        <w:rPr>
          <w:rFonts w:ascii="Palatino Linotype" w:eastAsia="Palatino Linotype" w:hAnsi="Palatino Linotype" w:cs="Palatino Linotype"/>
          <w:i/>
          <w:iCs/>
          <w:color w:val="000000"/>
        </w:rPr>
        <w:t>La dirección electrónica debe ser precisa, de tal modo que no implique realizar una búsqueda en toda la información que ahí se encuentre; y,</w:t>
      </w:r>
    </w:p>
    <w:p w:rsidR="00977EB9" w:rsidRDefault="000D6F72">
      <w:pPr>
        <w:numPr>
          <w:ilvl w:val="0"/>
          <w:numId w:val="7"/>
        </w:numPr>
        <w:pBdr>
          <w:top w:val="nil"/>
          <w:left w:val="nil"/>
          <w:bottom w:val="nil"/>
          <w:right w:val="nil"/>
          <w:between w:val="nil"/>
        </w:pBdr>
        <w:spacing w:line="360" w:lineRule="auto"/>
        <w:ind w:left="1134" w:right="-1416" w:hanging="425"/>
        <w:jc w:val="both"/>
        <w:rPr>
          <w:i/>
          <w:iCs/>
          <w:color w:val="000000"/>
        </w:rPr>
      </w:pPr>
      <w:r>
        <w:rPr>
          <w:rFonts w:ascii="Palatino Linotype" w:eastAsia="Palatino Linotype" w:hAnsi="Palatino Linotype" w:cs="Palatino Linotype"/>
          <w:i/>
          <w:iCs/>
          <w:color w:val="000000"/>
        </w:rPr>
        <w:t>La dirección electrónica debe ir acompañada del procedimiento a seguir, en caso de que la información se encuentre en distintos puntos del sitio electrónico referido; y,</w:t>
      </w:r>
    </w:p>
    <w:p w:rsidR="00977EB9" w:rsidRDefault="000D6F72">
      <w:pPr>
        <w:numPr>
          <w:ilvl w:val="0"/>
          <w:numId w:val="7"/>
        </w:numPr>
        <w:pBdr>
          <w:top w:val="nil"/>
          <w:left w:val="nil"/>
          <w:bottom w:val="nil"/>
          <w:right w:val="nil"/>
          <w:between w:val="nil"/>
        </w:pBdr>
        <w:spacing w:line="360" w:lineRule="auto"/>
        <w:ind w:left="1134" w:right="-1416" w:hanging="425"/>
        <w:jc w:val="both"/>
        <w:rPr>
          <w:i/>
          <w:iCs/>
          <w:color w:val="000000"/>
        </w:rPr>
      </w:pPr>
      <w:r>
        <w:rPr>
          <w:rFonts w:ascii="Palatino Linotype" w:eastAsia="Palatino Linotype" w:hAnsi="Palatino Linotype" w:cs="Palatino Linotype"/>
          <w:i/>
          <w:iCs/>
          <w:color w:val="000000"/>
          <w:u w:val="single"/>
        </w:rPr>
        <w:t>La dirección electrónica se debe entregar en formato abierto,</w:t>
      </w:r>
      <w:r>
        <w:rPr>
          <w:rFonts w:ascii="Palatino Linotype" w:eastAsia="Palatino Linotype" w:hAnsi="Palatino Linotype" w:cs="Palatino Linotype"/>
          <w:i/>
          <w:iCs/>
          <w:color w:val="000000"/>
        </w:rPr>
        <w:t xml:space="preserve"> para que el Recurrente pueda copiar y pegar sin la necesidad de transcribir la liga electrónica.</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i/>
          <w:iCs/>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lastRenderedPageBreak/>
        <w:t xml:space="preserve">Ahora bien, de la revisión de esta, se logra vislumbrar que en encuentran en un formato cerrado, es decir, que no se puede copiar y pegar para tener acceso; sobre el tema, Trujillo, Humberto (2019), en el “Diccionario de Transparencia y Acceso a la Información Pública” (p. 136 y 137), precisa que cuando un Sujeto Obligado </w:t>
      </w:r>
      <w:r>
        <w:rPr>
          <w:rFonts w:ascii="Palatino Linotype" w:eastAsia="Palatino Linotype" w:hAnsi="Palatino Linotype" w:cs="Palatino Linotype"/>
        </w:rPr>
        <w:t>proporcionó</w:t>
      </w:r>
      <w:r>
        <w:rPr>
          <w:rFonts w:ascii="Palatino Linotype" w:eastAsia="Palatino Linotype" w:hAnsi="Palatino Linotype" w:cs="Palatino Linotype"/>
          <w:color w:val="000000"/>
        </w:rPr>
        <w:t xml:space="preserve"> información pública de manera electrónica es necesario garantizar su interoperabilidad, lo cual se traduce al hecho a que la información contenga datos en formatos y estándares abiertos para su reproducción y reutilización electrónica de manera libre y sin ninguna restricción.</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Asimismo, establece que al proporcionar información pública es necesario que sea en un formato que no tenga ninguna restricción en el acceso o reutilización, por lo que, es necesario que los datos digitales (como ligas electrónicas), se proporcionen en un formato abierto.</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En ese contexto, el artículo 3°, fracciones VIII y XVI de la Ley de Transparencia y Acceso a la Información Pública del Estado de México y Municipios, precisan lo siguiente:</w:t>
      </w:r>
    </w:p>
    <w:p w:rsidR="00977EB9" w:rsidRDefault="000D6F72">
      <w:pPr>
        <w:numPr>
          <w:ilvl w:val="0"/>
          <w:numId w:val="6"/>
        </w:numPr>
        <w:pBdr>
          <w:top w:val="nil"/>
          <w:left w:val="nil"/>
          <w:bottom w:val="nil"/>
          <w:right w:val="nil"/>
          <w:between w:val="nil"/>
        </w:pBdr>
        <w:spacing w:line="360" w:lineRule="auto"/>
        <w:ind w:left="1134" w:right="-1416"/>
        <w:jc w:val="both"/>
        <w:rPr>
          <w:b/>
          <w:bCs/>
          <w:i/>
          <w:iCs/>
          <w:color w:val="000000"/>
        </w:rPr>
      </w:pPr>
      <w:r>
        <w:rPr>
          <w:rFonts w:ascii="Palatino Linotype" w:eastAsia="Palatino Linotype" w:hAnsi="Palatino Linotype" w:cs="Palatino Linotype"/>
          <w:b/>
          <w:bCs/>
          <w:i/>
          <w:iCs/>
          <w:color w:val="000000"/>
        </w:rPr>
        <w:t xml:space="preserve">Dato abierto: </w:t>
      </w:r>
      <w:r>
        <w:rPr>
          <w:rFonts w:ascii="Palatino Linotype" w:eastAsia="Palatino Linotype" w:hAnsi="Palatino Linotype" w:cs="Palatino Linotype"/>
          <w:i/>
          <w:iCs/>
          <w:color w:val="000000"/>
        </w:rPr>
        <w:t>Datos digitales de carácter público que son accesibles en línea que pueden ser usados, reutilizados y redistribuidos por cualquier persona, mismos que se conforman de diversas características, entre las cuales se encuentra que se encuentren en formatos abiertos.</w:t>
      </w:r>
    </w:p>
    <w:p w:rsidR="00977EB9" w:rsidRDefault="000D6F72">
      <w:pPr>
        <w:numPr>
          <w:ilvl w:val="0"/>
          <w:numId w:val="6"/>
        </w:numPr>
        <w:pBdr>
          <w:top w:val="nil"/>
          <w:left w:val="nil"/>
          <w:bottom w:val="nil"/>
          <w:right w:val="nil"/>
          <w:between w:val="nil"/>
        </w:pBdr>
        <w:spacing w:line="360" w:lineRule="auto"/>
        <w:ind w:left="1134" w:right="-1416"/>
        <w:jc w:val="both"/>
        <w:rPr>
          <w:b/>
          <w:bCs/>
          <w:i/>
          <w:iCs/>
          <w:color w:val="000000"/>
        </w:rPr>
      </w:pPr>
      <w:r>
        <w:rPr>
          <w:rFonts w:ascii="Palatino Linotype" w:eastAsia="Palatino Linotype" w:hAnsi="Palatino Linotype" w:cs="Palatino Linotype"/>
          <w:b/>
          <w:bCs/>
          <w:i/>
          <w:iCs/>
          <w:color w:val="000000"/>
        </w:rPr>
        <w:t xml:space="preserve">Formato accesible: </w:t>
      </w:r>
      <w:r>
        <w:rPr>
          <w:rFonts w:ascii="Palatino Linotype" w:eastAsia="Palatino Linotype" w:hAnsi="Palatino Linotype" w:cs="Palatino Linotype"/>
          <w:i/>
          <w:iCs/>
          <w:color w:val="000000"/>
        </w:rPr>
        <w:t>Conjunto de características técnicas y de presentación de la información que corresponden a la estructura lógica usada para almacenar datos de forma integral y facilitan su procesamiento digital, cuyas especificaciones estás disponibles públicamente y que permite el acceso sin restricción de uso por parte de los usuarios.</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lastRenderedPageBreak/>
        <w:t xml:space="preserve">Conforme a lo anterior, se considera que en el caso de que la información peticionada obre en ligas electrónicas, el Sujeto Obligado deberá privilegiar la entrega de estas, en datos abiertos, es decir, en un formato que permita la accesibilidad y facilidad a los Particulares, para obtener la información contenida </w:t>
      </w:r>
      <w:r>
        <w:rPr>
          <w:rFonts w:ascii="Palatino Linotype" w:eastAsia="Palatino Linotype" w:hAnsi="Palatino Linotype" w:cs="Palatino Linotype"/>
        </w:rPr>
        <w:t>estás</w:t>
      </w:r>
      <w:r>
        <w:rPr>
          <w:rFonts w:ascii="Palatino Linotype" w:eastAsia="Palatino Linotype" w:hAnsi="Palatino Linotype" w:cs="Palatino Linotype"/>
          <w:color w:val="000000"/>
        </w:rPr>
        <w:t>, siendo pues dable ordenar la información en formato abierto.</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Ahora bien, relativo a los puntos </w:t>
      </w:r>
      <w:r>
        <w:rPr>
          <w:rFonts w:ascii="Palatino Linotype" w:eastAsia="Palatino Linotype" w:hAnsi="Palatino Linotype" w:cs="Palatino Linotype"/>
          <w:i/>
          <w:iCs/>
          <w:color w:val="000000"/>
        </w:rPr>
        <w:t>3 y 4</w:t>
      </w:r>
      <w:r>
        <w:rPr>
          <w:rFonts w:ascii="Palatino Linotype" w:eastAsia="Palatino Linotype" w:hAnsi="Palatino Linotype" w:cs="Palatino Linotype"/>
          <w:color w:val="000000"/>
        </w:rPr>
        <w:t xml:space="preserve"> de la misma tabla, al remitir los resultados del diagnóstico de clima organizacional de manera global de conformidad con lo establecido en la </w:t>
      </w:r>
      <w:r>
        <w:rPr>
          <w:rFonts w:ascii="Palatino Linotype" w:eastAsia="Palatino Linotype" w:hAnsi="Palatino Linotype" w:cs="Palatino Linotype"/>
          <w:i/>
          <w:iCs/>
          <w:color w:val="000000"/>
        </w:rPr>
        <w:t>NOM-035-STPS-2018 Factores de riesgo psicosocial-Identificación y prevención</w:t>
      </w:r>
      <w:r>
        <w:rPr>
          <w:rFonts w:ascii="Palatino Linotype" w:eastAsia="Palatino Linotype" w:hAnsi="Palatino Linotype" w:cs="Palatino Linotype"/>
          <w:color w:val="000000"/>
        </w:rPr>
        <w:t>, misma que refiere como objetivo establecer los elementos para identificar, analizar y prevenir los factores de riesgo psicosocial, así como para promover un entorno organizacional favorable en los centros de trabajo y  que constriñe en este caso al Sujeto Obligado a la creación y difusión de políticas de prevención, implementación de buzón confidencial de quejas, a la aplicación de cuestionarios oficiales (</w:t>
      </w:r>
      <w:r>
        <w:rPr>
          <w:rFonts w:ascii="Palatino Linotype" w:eastAsia="Palatino Linotype" w:hAnsi="Palatino Linotype" w:cs="Palatino Linotype"/>
          <w:i/>
          <w:iCs/>
          <w:color w:val="000000"/>
        </w:rPr>
        <w:t xml:space="preserve">diagnóstico), </w:t>
      </w:r>
      <w:r>
        <w:rPr>
          <w:rFonts w:ascii="Palatino Linotype" w:eastAsia="Palatino Linotype" w:hAnsi="Palatino Linotype" w:cs="Palatino Linotype"/>
          <w:color w:val="000000"/>
        </w:rPr>
        <w:t>por lo que se concluye que con la información entregada por el Sujeto Obligado se tiene por colmado en  sendos puntos el derecho al acceso a la información del Particular.</w:t>
      </w:r>
    </w:p>
    <w:p w:rsidR="00977EB9" w:rsidRDefault="00977EB9">
      <w:pPr>
        <w:pBdr>
          <w:top w:val="nil"/>
          <w:left w:val="nil"/>
          <w:bottom w:val="nil"/>
          <w:right w:val="nil"/>
          <w:between w:val="nil"/>
        </w:pBdr>
        <w:ind w:left="720" w:right="-1416"/>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Así mismo con referencia a los puntos </w:t>
      </w:r>
      <w:r>
        <w:rPr>
          <w:rFonts w:ascii="Palatino Linotype" w:eastAsia="Palatino Linotype" w:hAnsi="Palatino Linotype" w:cs="Palatino Linotype"/>
          <w:i/>
          <w:iCs/>
          <w:color w:val="000000"/>
        </w:rPr>
        <w:t xml:space="preserve">5, 6  7 y 8 </w:t>
      </w:r>
      <w:r>
        <w:rPr>
          <w:rFonts w:ascii="Palatino Linotype" w:eastAsia="Palatino Linotype" w:hAnsi="Palatino Linotype" w:cs="Palatino Linotype"/>
          <w:color w:val="000000"/>
        </w:rPr>
        <w:t>de la referida tabla, no se advierte de las obligaciones del Comité de Ética</w:t>
      </w:r>
      <w:r>
        <w:rPr>
          <w:rFonts w:ascii="Palatino Linotype" w:eastAsia="Palatino Linotype" w:hAnsi="Palatino Linotype" w:cs="Palatino Linotype"/>
          <w:color w:val="000000"/>
          <w:vertAlign w:val="superscript"/>
        </w:rPr>
        <w:footnoteReference w:id="5"/>
      </w:r>
      <w:r>
        <w:rPr>
          <w:rFonts w:ascii="Palatino Linotype" w:eastAsia="Palatino Linotype" w:hAnsi="Palatino Linotype" w:cs="Palatino Linotype"/>
          <w:color w:val="000000"/>
        </w:rPr>
        <w:t xml:space="preserve"> del Sujeto Obligado la gestión para la actuación para la recepción, trámite y conclusión de las denuncias, sugerencias y reconocimientos la utilización del SAM (Sistema de Atención Mexiquense) sino  a través del Sistema de Denuncias Éticas (SIDE), sobre las que de las  denuncias recibidas emite opiniones, recomendaciones y </w:t>
      </w:r>
      <w:r>
        <w:rPr>
          <w:rFonts w:ascii="Palatino Linotype" w:eastAsia="Palatino Linotype" w:hAnsi="Palatino Linotype" w:cs="Palatino Linotype"/>
          <w:color w:val="000000"/>
        </w:rPr>
        <w:lastRenderedPageBreak/>
        <w:t>sugerencias no vinculantes, de ahí que se  desprende que los Sujetos Obligados tienen la obligación o deber de atender las solicitudes de acceso a la información pública que se les hagan de su conocimiento y proporcionar la información pública que obren en su poder como así lo establece el artículo 12 de la Ley de Transparencia y Acceso a la Información Pública del Estado de México y Municipios, el cual a la letra dice:</w:t>
      </w:r>
    </w:p>
    <w:p w:rsidR="00977EB9" w:rsidRDefault="000D6F72">
      <w:pPr>
        <w:pBdr>
          <w:top w:val="nil"/>
          <w:left w:val="nil"/>
          <w:bottom w:val="nil"/>
          <w:right w:val="nil"/>
          <w:between w:val="nil"/>
        </w:pBdr>
        <w:spacing w:line="276" w:lineRule="auto"/>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“Artículo 12. Quienes generen, recopilen, administren, manejen, procesen, archiven o conserven información pública serán responsables de la misma en los términos de las disposiciones jurídicas aplicables. </w:t>
      </w:r>
    </w:p>
    <w:p w:rsidR="00977EB9" w:rsidRDefault="000D6F72">
      <w:pPr>
        <w:pBdr>
          <w:top w:val="nil"/>
          <w:left w:val="nil"/>
          <w:bottom w:val="nil"/>
          <w:right w:val="nil"/>
          <w:between w:val="nil"/>
        </w:pBdr>
        <w:spacing w:line="276" w:lineRule="auto"/>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 (Sic)</w:t>
      </w:r>
    </w:p>
    <w:p w:rsidR="00977EB9" w:rsidRDefault="00977EB9">
      <w:pPr>
        <w:pBdr>
          <w:top w:val="nil"/>
          <w:left w:val="nil"/>
          <w:bottom w:val="nil"/>
          <w:right w:val="nil"/>
          <w:between w:val="nil"/>
        </w:pBdr>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Por cuanto hace al punto décimo de la tabla en cita, se advierte que el Sujeto Obligado entregó fichas curriculares, sin embargo de la entrega de tales documentales se advierte la ausencia de relación lógica con lo solicitado, dejando al particular sin el acceso a la información que conste en documentales diversas, al respecto los artículos 98, fracción XV, 99 y 100 de la Ley del Trabajo de los Servidores Públicos del Estado y Municipios, precisa que es obligación de las Instituciones Públicas, elaborar un catálogo general de puestos; además, que dichas dependencias establecerán un sistema de profesionalización de servidores públicos generales, a partir de diversas bases, entre las cuales se encuentra la definición de un catálogo de puestos, que deberá contener el perfil de cada uno de los existentes y los requisitos necesarios para desempeñarlos.</w:t>
      </w:r>
    </w:p>
    <w:p w:rsidR="00977EB9" w:rsidRDefault="00977EB9">
      <w:pPr>
        <w:spacing w:line="360" w:lineRule="auto"/>
        <w:ind w:right="-1416"/>
        <w:rPr>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lastRenderedPageBreak/>
        <w:t>En ese contexto, el Procedimiento de Actualización del Catálogo General de Puestos del Poder Ejecutivo del Gobierno del Estado de México y Cédulas de Identificación de Puestos, emitido por la Secretaría de Finanzas, establece lo siguiente:</w:t>
      </w:r>
    </w:p>
    <w:p w:rsidR="00977EB9" w:rsidRDefault="000D6F72">
      <w:pPr>
        <w:numPr>
          <w:ilvl w:val="0"/>
          <w:numId w:val="3"/>
        </w:numPr>
        <w:pBdr>
          <w:top w:val="nil"/>
          <w:left w:val="nil"/>
          <w:bottom w:val="nil"/>
          <w:right w:val="nil"/>
          <w:between w:val="nil"/>
        </w:pBdr>
        <w:spacing w:line="360" w:lineRule="auto"/>
        <w:ind w:left="1134" w:right="-1416"/>
        <w:jc w:val="both"/>
        <w:rPr>
          <w:i/>
          <w:iCs/>
          <w:color w:val="000000"/>
        </w:rPr>
      </w:pPr>
      <w:r>
        <w:rPr>
          <w:rFonts w:ascii="Palatino Linotype" w:eastAsia="Palatino Linotype" w:hAnsi="Palatino Linotype" w:cs="Palatino Linotype"/>
          <w:b/>
          <w:bCs/>
          <w:i/>
          <w:iCs/>
          <w:color w:val="000000"/>
        </w:rPr>
        <w:t>Catálogo General de Puestos:</w:t>
      </w:r>
      <w:r>
        <w:rPr>
          <w:rFonts w:ascii="Palatino Linotype" w:eastAsia="Palatino Linotype" w:hAnsi="Palatino Linotype" w:cs="Palatino Linotype"/>
          <w:i/>
          <w:iCs/>
          <w:color w:val="000000"/>
        </w:rPr>
        <w:t xml:space="preserve"> Instrumento básico de la administración pública estatal que reúne, clasifica y sistematiza la información de todos los puestos existentes en el sector central del Poder Ejecutivo del Gobierno del Estado de México. </w:t>
      </w:r>
    </w:p>
    <w:p w:rsidR="00977EB9" w:rsidRDefault="000D6F72">
      <w:pPr>
        <w:numPr>
          <w:ilvl w:val="0"/>
          <w:numId w:val="3"/>
        </w:numPr>
        <w:pBdr>
          <w:top w:val="nil"/>
          <w:left w:val="nil"/>
          <w:bottom w:val="nil"/>
          <w:right w:val="nil"/>
          <w:between w:val="nil"/>
        </w:pBdr>
        <w:spacing w:line="360" w:lineRule="auto"/>
        <w:ind w:left="1134" w:right="-1416"/>
        <w:jc w:val="both"/>
        <w:rPr>
          <w:i/>
          <w:iCs/>
          <w:color w:val="000000"/>
        </w:rPr>
      </w:pPr>
      <w:r>
        <w:rPr>
          <w:rFonts w:ascii="Palatino Linotype" w:eastAsia="Palatino Linotype" w:hAnsi="Palatino Linotype" w:cs="Palatino Linotype"/>
          <w:b/>
          <w:bCs/>
          <w:i/>
          <w:iCs/>
          <w:color w:val="000000"/>
        </w:rPr>
        <w:t>Perfil de puestos:</w:t>
      </w:r>
      <w:r>
        <w:rPr>
          <w:rFonts w:ascii="Palatino Linotype" w:eastAsia="Palatino Linotype" w:hAnsi="Palatino Linotype" w:cs="Palatino Linotype"/>
          <w:i/>
          <w:iCs/>
          <w:color w:val="000000"/>
        </w:rPr>
        <w:t xml:space="preserve"> Que establece la finalidad y funciones principales del puesto, así como, características requeridas en cuanto a la formación escolar, profesional capacitación y experiencia para ocuparlo. </w:t>
      </w:r>
    </w:p>
    <w:p w:rsidR="00977EB9" w:rsidRDefault="000D6F72">
      <w:pPr>
        <w:numPr>
          <w:ilvl w:val="0"/>
          <w:numId w:val="3"/>
        </w:numPr>
        <w:pBdr>
          <w:top w:val="nil"/>
          <w:left w:val="nil"/>
          <w:bottom w:val="nil"/>
          <w:right w:val="nil"/>
          <w:between w:val="nil"/>
        </w:pBdr>
        <w:spacing w:line="360" w:lineRule="auto"/>
        <w:ind w:left="1134" w:right="-1416"/>
        <w:jc w:val="both"/>
        <w:rPr>
          <w:i/>
          <w:iCs/>
          <w:color w:val="000000"/>
        </w:rPr>
      </w:pPr>
      <w:r>
        <w:rPr>
          <w:rFonts w:ascii="Palatino Linotype" w:eastAsia="Palatino Linotype" w:hAnsi="Palatino Linotype" w:cs="Palatino Linotype"/>
          <w:b/>
          <w:bCs/>
          <w:i/>
          <w:iCs/>
          <w:color w:val="000000"/>
        </w:rPr>
        <w:t>Cédula de Puestos:</w:t>
      </w:r>
      <w:r>
        <w:rPr>
          <w:rFonts w:ascii="Palatino Linotype" w:eastAsia="Palatino Linotype" w:hAnsi="Palatino Linotype" w:cs="Palatino Linotype"/>
          <w:i/>
          <w:iCs/>
          <w:color w:val="000000"/>
        </w:rPr>
        <w:t xml:space="preserve"> Documento que permite describir brevemente el perfil requerido para la ocupación de los puestos. </w:t>
      </w:r>
    </w:p>
    <w:p w:rsidR="00977EB9" w:rsidRDefault="000D6F72">
      <w:pPr>
        <w:numPr>
          <w:ilvl w:val="0"/>
          <w:numId w:val="3"/>
        </w:numPr>
        <w:pBdr>
          <w:top w:val="nil"/>
          <w:left w:val="nil"/>
          <w:bottom w:val="nil"/>
          <w:right w:val="nil"/>
          <w:between w:val="nil"/>
        </w:pBdr>
        <w:spacing w:line="360" w:lineRule="auto"/>
        <w:ind w:left="1134" w:right="-1416"/>
        <w:jc w:val="both"/>
        <w:rPr>
          <w:i/>
          <w:iCs/>
          <w:color w:val="000000"/>
        </w:rPr>
      </w:pPr>
      <w:r>
        <w:rPr>
          <w:rFonts w:ascii="Palatino Linotype" w:eastAsia="Palatino Linotype" w:hAnsi="Palatino Linotype" w:cs="Palatino Linotype"/>
          <w:b/>
          <w:bCs/>
          <w:i/>
          <w:iCs/>
          <w:color w:val="000000"/>
        </w:rPr>
        <w:t>Cédula de Identificación del Puesto:</w:t>
      </w:r>
      <w:r>
        <w:rPr>
          <w:rFonts w:ascii="Palatino Linotype" w:eastAsia="Palatino Linotype" w:hAnsi="Palatino Linotype" w:cs="Palatino Linotype"/>
          <w:i/>
          <w:iCs/>
          <w:color w:val="000000"/>
        </w:rPr>
        <w:t xml:space="preserve"> Que describe en forma breve las características, misión del puesto, finalidades principales, así como los requisitos mínimos de quien lo  ocupe.</w:t>
      </w:r>
    </w:p>
    <w:p w:rsidR="00977EB9" w:rsidRDefault="00977EB9">
      <w:pPr>
        <w:spacing w:line="360" w:lineRule="auto"/>
        <w:ind w:right="-1416"/>
        <w:rPr>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En ese orden de ideas, el Manual de Normas y Procedimientos de Desarrollo y Administración de Personal, establece que es un instrumento administrativo en el que se describen y clasifican los puestos, de acuerdo a su análisis y </w:t>
      </w:r>
      <w:r>
        <w:rPr>
          <w:rFonts w:ascii="Palatino Linotype" w:eastAsia="Palatino Linotype" w:hAnsi="Palatino Linotype" w:cs="Palatino Linotype"/>
        </w:rPr>
        <w:t>evaluación</w:t>
      </w:r>
      <w:r>
        <w:rPr>
          <w:rFonts w:ascii="Palatino Linotype" w:eastAsia="Palatino Linotype" w:hAnsi="Palatino Linotype" w:cs="Palatino Linotype"/>
          <w:color w:val="000000"/>
        </w:rPr>
        <w:t xml:space="preserve"> respectivos, efectuados conforme a las normas correspondientes.</w:t>
      </w:r>
    </w:p>
    <w:p w:rsidR="00977EB9" w:rsidRDefault="00977EB9">
      <w:pP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Además, precisa que derivado de que cada de las dependencias tiene atribuciones, funciones y responsabilidades específicas, no todos los puestos existentes en el Catálogo General de Puestos son requeridos en todas las dependencias. Por ello, se ha elaborado un Catálogo de Puestos para cada una de ellas, en ese orden de ideas, el Catálogo Específico de Puestos de cada dependencia se señala para puestos operativos de confianza y generales, la </w:t>
      </w:r>
      <w:r>
        <w:rPr>
          <w:rFonts w:ascii="Palatino Linotype" w:eastAsia="Palatino Linotype" w:hAnsi="Palatino Linotype" w:cs="Palatino Linotype"/>
          <w:color w:val="000000"/>
        </w:rPr>
        <w:lastRenderedPageBreak/>
        <w:t>denominación del puesto, el cual debe ser coincidente con la función descrita en las Cédulas de Identificación de Puestos que forman parte integrante de dicho catálogo.</w:t>
      </w:r>
    </w:p>
    <w:p w:rsidR="00977EB9" w:rsidRDefault="00977EB9">
      <w:pPr>
        <w:spacing w:line="360" w:lineRule="auto"/>
        <w:ind w:right="-1416"/>
        <w:rPr>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Además, que las Cédulas de Identificación de Puestos contienen una breve descripción de los mismos y los requisitos mínimos que deberán cubrir quienes los ocupan, así como la especificación de los puestos desde los que se puede acceder al puesto que se describe, así como aquellos a los que se puede ascender a partir del que se está desempeñando, y los cursos o actividades de capacitación que deberán acreditarse para que un servidor público sea ascendido.</w:t>
      </w:r>
    </w:p>
    <w:p w:rsidR="00977EB9" w:rsidRDefault="00977EB9">
      <w:pP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En ese orden de ideas, el artículo 92, fracción XII, de la Ley de Transparencia y Acceso a la Información Pública del Estado de México y Municipios, establece que los Sujetos Obligados deben de publicar el perfil de puestos de los servidores públicos, por lo que es dable ordenar su entrega.</w:t>
      </w:r>
    </w:p>
    <w:p w:rsidR="00977EB9" w:rsidRDefault="00977EB9">
      <w:pPr>
        <w:spacing w:line="360" w:lineRule="auto"/>
        <w:ind w:right="-1416"/>
        <w:rPr>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Ahora bien, por cuanto hace al  punto </w:t>
      </w:r>
      <w:r>
        <w:rPr>
          <w:rFonts w:ascii="Palatino Linotype" w:eastAsia="Palatino Linotype" w:hAnsi="Palatino Linotype" w:cs="Palatino Linotype"/>
          <w:i/>
          <w:iCs/>
          <w:color w:val="000000"/>
        </w:rPr>
        <w:t>11</w:t>
      </w:r>
      <w:r>
        <w:rPr>
          <w:rFonts w:ascii="Palatino Linotype" w:eastAsia="Palatino Linotype" w:hAnsi="Palatino Linotype" w:cs="Palatino Linotype"/>
          <w:color w:val="000000"/>
        </w:rPr>
        <w:t xml:space="preserve">, relativo al interés del hoy Recurrente en conocer los Manuales de procedimientos que definan las funciones oficiales del personal de apoyo técnico y administrativo de la oficina de la Titular de la UIPPE, al referir el Sujeto Obligado que tales funciones no involucran actitudes, formas, comportamientos o juicios de valor para justificar la omisión a la entrega de las documentales requeridas y más aún referir la entrega mediante una liga en formato cerrado de la Guía Técnica para </w:t>
      </w:r>
      <w:r>
        <w:rPr>
          <w:rFonts w:ascii="Palatino Linotype" w:eastAsia="Palatino Linotype" w:hAnsi="Palatino Linotype" w:cs="Palatino Linotype"/>
        </w:rPr>
        <w:t>la Elaboración</w:t>
      </w:r>
      <w:r>
        <w:rPr>
          <w:rFonts w:ascii="Palatino Linotype" w:eastAsia="Palatino Linotype" w:hAnsi="Palatino Linotype" w:cs="Palatino Linotype"/>
          <w:color w:val="000000"/>
        </w:rPr>
        <w:t xml:space="preserve"> de Manuales de Procedimientos; es así que; dado que el particular no resulta experto en </w:t>
      </w:r>
      <w:r>
        <w:rPr>
          <w:rFonts w:ascii="Palatino Linotype" w:eastAsia="Palatino Linotype" w:hAnsi="Palatino Linotype" w:cs="Palatino Linotype"/>
          <w:color w:val="000000"/>
        </w:rPr>
        <w:lastRenderedPageBreak/>
        <w:t>terminología de administración pública o incluso de transparencia, se comprende</w:t>
      </w:r>
      <w:r>
        <w:rPr>
          <w:rFonts w:ascii="Palatino Linotype" w:eastAsia="Palatino Linotype" w:hAnsi="Palatino Linotype" w:cs="Palatino Linotype"/>
          <w:color w:val="000000"/>
          <w:vertAlign w:val="superscript"/>
        </w:rPr>
        <w:footnoteReference w:id="6"/>
      </w:r>
      <w:r>
        <w:rPr>
          <w:rFonts w:ascii="Palatino Linotype" w:eastAsia="Palatino Linotype" w:hAnsi="Palatino Linotype" w:cs="Palatino Linotype"/>
          <w:color w:val="000000"/>
        </w:rPr>
        <w:t xml:space="preserve"> que resultan de su interés los Manuales que justifiquen las funciones de los servidores públicos referidos en la solicitud, aunado a que el propio Sujeto Obligado al entregar oficios con asignación de funciones citó Manuales y Reglamentos, por lo que en función de tales argumentos se ordena la entrega de las documentales que den cuenta con lo requerido por el Particular en este punto.</w:t>
      </w:r>
    </w:p>
    <w:p w:rsidR="00977EB9" w:rsidRDefault="00977EB9">
      <w:pPr>
        <w:pBdr>
          <w:top w:val="nil"/>
          <w:left w:val="nil"/>
          <w:bottom w:val="nil"/>
          <w:right w:val="nil"/>
          <w:between w:val="nil"/>
        </w:pBdr>
        <w:ind w:left="720" w:right="-1416"/>
        <w:rPr>
          <w:rFonts w:ascii="Palatino Linotype" w:eastAsia="Palatino Linotype" w:hAnsi="Palatino Linotype" w:cs="Palatino Linotype"/>
          <w:i/>
          <w:i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bookmarkStart w:id="8" w:name="_heading=h.fozvr9flbn66" w:colFirst="0" w:colLast="0"/>
      <w:bookmarkEnd w:id="8"/>
      <w:r>
        <w:rPr>
          <w:rFonts w:ascii="Palatino Linotype" w:eastAsia="Palatino Linotype" w:hAnsi="Palatino Linotype" w:cs="Palatino Linotype"/>
          <w:color w:val="000000"/>
        </w:rPr>
        <w:t xml:space="preserve">Finalmente, por cuanto hace al punto </w:t>
      </w:r>
      <w:r>
        <w:rPr>
          <w:rFonts w:ascii="Palatino Linotype" w:eastAsia="Palatino Linotype" w:hAnsi="Palatino Linotype" w:cs="Palatino Linotype"/>
          <w:i/>
          <w:iCs/>
          <w:color w:val="000000"/>
        </w:rPr>
        <w:t xml:space="preserve">12, </w:t>
      </w:r>
      <w:r>
        <w:rPr>
          <w:rFonts w:ascii="Palatino Linotype" w:eastAsia="Palatino Linotype" w:hAnsi="Palatino Linotype" w:cs="Palatino Linotype"/>
          <w:color w:val="000000"/>
        </w:rPr>
        <w:t>hay que hacer un énfasis en que son solicitudes que deben señalarse</w:t>
      </w:r>
      <w:r>
        <w:rPr>
          <w:rFonts w:ascii="Palatino Linotype" w:eastAsia="Palatino Linotype" w:hAnsi="Palatino Linotype" w:cs="Palatino Linotype"/>
          <w:i/>
          <w:iCs/>
          <w:color w:val="000000"/>
        </w:rPr>
        <w:t xml:space="preserve">, </w:t>
      </w:r>
      <w:r>
        <w:rPr>
          <w:rFonts w:ascii="Palatino Linotype" w:eastAsia="Palatino Linotype" w:hAnsi="Palatino Linotype" w:cs="Palatino Linotype"/>
          <w:color w:val="000000"/>
        </w:rPr>
        <w:t xml:space="preserve">no constituyen un derecho de acceso a la información pública y por lo tanto </w:t>
      </w:r>
      <w:r>
        <w:rPr>
          <w:rFonts w:ascii="Palatino Linotype" w:eastAsia="Palatino Linotype" w:hAnsi="Palatino Linotype" w:cs="Palatino Linotype"/>
          <w:b/>
          <w:bCs/>
          <w:color w:val="000000"/>
        </w:rPr>
        <w:t>no son atendibles mediante una solicitud de Acceso a la Información</w:t>
      </w:r>
      <w:r>
        <w:rPr>
          <w:rFonts w:ascii="Palatino Linotype" w:eastAsia="Palatino Linotype" w:hAnsi="Palatino Linotype" w:cs="Palatino Linotype"/>
          <w:color w:val="000000"/>
        </w:rPr>
        <w:t xml:space="preserve">, porque se tratan de manifestaciones subjetivas vertidas por el particular, </w:t>
      </w:r>
      <w:r>
        <w:rPr>
          <w:rFonts w:ascii="Palatino Linotype" w:eastAsia="Palatino Linotype" w:hAnsi="Palatino Linotype" w:cs="Palatino Linotype"/>
          <w:b/>
          <w:bCs/>
          <w:color w:val="000000"/>
        </w:rPr>
        <w:t>interrogantes</w:t>
      </w:r>
      <w:r>
        <w:rPr>
          <w:rFonts w:ascii="Palatino Linotype" w:eastAsia="Palatino Linotype" w:hAnsi="Palatino Linotype" w:cs="Palatino Linotype"/>
          <w:color w:val="000000"/>
        </w:rPr>
        <w:t xml:space="preserve"> y declaraciones que no se colman con la entrega de documentos, situación que conlleva a afirmar que se está en presencia del ejercicio del </w:t>
      </w:r>
      <w:r>
        <w:rPr>
          <w:rFonts w:ascii="Palatino Linotype" w:eastAsia="Palatino Linotype" w:hAnsi="Palatino Linotype" w:cs="Palatino Linotype"/>
          <w:b/>
          <w:bCs/>
          <w:color w:val="000000"/>
        </w:rPr>
        <w:t>DERECHO DE PETICIÓN</w:t>
      </w:r>
      <w:r>
        <w:rPr>
          <w:rFonts w:ascii="Palatino Linotype" w:eastAsia="Palatino Linotype" w:hAnsi="Palatino Linotype" w:cs="Palatino Linotype"/>
          <w:color w:val="000000"/>
        </w:rPr>
        <w:t>.</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Por lo que la entrega de una razón o un razonamiento por parte del </w:t>
      </w:r>
      <w:r>
        <w:rPr>
          <w:rFonts w:ascii="Palatino Linotype" w:eastAsia="Palatino Linotype" w:hAnsi="Palatino Linotype" w:cs="Palatino Linotype"/>
          <w:b/>
          <w:bCs/>
          <w:color w:val="000000"/>
        </w:rPr>
        <w:t>Sujeto Obligado</w:t>
      </w:r>
      <w:r>
        <w:rPr>
          <w:rFonts w:ascii="Palatino Linotype" w:eastAsia="Palatino Linotype" w:hAnsi="Palatino Linotype" w:cs="Palatino Linotype"/>
          <w:color w:val="000000"/>
        </w:rPr>
        <w:t xml:space="preserve"> no es algo que la ley establezca como atribución, derecho, o facultad; pues ello implicaría un juicio de valor referente a </w:t>
      </w:r>
      <w:r>
        <w:rPr>
          <w:rFonts w:ascii="Palatino Linotype" w:eastAsia="Palatino Linotype" w:hAnsi="Palatino Linotype" w:cs="Palatino Linotype"/>
          <w:b/>
          <w:bCs/>
          <w:color w:val="000000"/>
        </w:rPr>
        <w:t>un cuestionamiento</w:t>
      </w:r>
      <w:r>
        <w:rPr>
          <w:rFonts w:ascii="Palatino Linotype" w:eastAsia="Palatino Linotype" w:hAnsi="Palatino Linotype" w:cs="Palatino Linotype"/>
          <w:color w:val="000000"/>
        </w:rPr>
        <w:t xml:space="preserve"> realizado, los cuales, </w:t>
      </w:r>
      <w:r>
        <w:rPr>
          <w:rFonts w:ascii="Palatino Linotype" w:eastAsia="Palatino Linotype" w:hAnsi="Palatino Linotype" w:cs="Palatino Linotype"/>
          <w:b/>
          <w:bCs/>
          <w:color w:val="000000"/>
        </w:rPr>
        <w:t>al constituir interrogantes</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b/>
          <w:bCs/>
          <w:color w:val="000000"/>
        </w:rPr>
        <w:t>inquietudes</w:t>
      </w:r>
      <w:r>
        <w:rPr>
          <w:rFonts w:ascii="Palatino Linotype" w:eastAsia="Palatino Linotype" w:hAnsi="Palatino Linotype" w:cs="Palatino Linotype"/>
          <w:color w:val="000000"/>
        </w:rPr>
        <w:t xml:space="preserve"> y manifestaciones se satisfacen vía derecho de petición.</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Asimismo, se puede advertir que el ejercicio del derecho de acceso a la información pública se centra en la potestad de los particulares para conocer el contenido de los documentos que obren en los archivos de los Sujetos Obligados, ya sea porque los generen, administren o simplemente los posean en el ejercicio de sus atribuciones.</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lastRenderedPageBreak/>
        <w:t xml:space="preserve">Para ello, la Ley de la materia otorga la calidad de documento a los expedientes, reportes, estudios, actas, resoluciones, oficios, correspondencia, acuerdos, directivas, directrices, circulares, contratos, convenios, instructivos, notas, memorandos, estadísticas o bien, </w:t>
      </w:r>
      <w:r>
        <w:rPr>
          <w:rFonts w:ascii="Palatino Linotype" w:eastAsia="Palatino Linotype" w:hAnsi="Palatino Linotype" w:cs="Palatino Linotype"/>
          <w:b/>
          <w:bCs/>
          <w:color w:val="000000"/>
        </w:rPr>
        <w:t>cualquier otro registro que documente el ejercicio de las facultades, funciones y competencias de los Sujetos Obligados</w:t>
      </w:r>
      <w:r>
        <w:rPr>
          <w:rFonts w:ascii="Palatino Linotype" w:eastAsia="Palatino Linotype" w:hAnsi="Palatino Linotype" w:cs="Palatino Linotype"/>
          <w:color w:val="000000"/>
        </w:rPr>
        <w:t>, sus servidores públicos e integrantes, sin importar su fuente o fecha de elaboración. Los documentos podrán estar en cualquier medio, sea escrito, impreso, sonoro, visual, electrónico, informático u holográfico.</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De lo anterior, se puede concluir que la distinción entre el derecho de petición y el derecho de acceso a la información pública estriba principalmente en que en el primero de ellos, la pretensión del peticionario consiste generalmente en obligar a la autoridad responsable a que actúe en el sentido de contestar lo solicitado, mientras que en el segundo supuesto </w:t>
      </w:r>
      <w:r>
        <w:rPr>
          <w:rFonts w:ascii="Palatino Linotype" w:eastAsia="Palatino Linotype" w:hAnsi="Palatino Linotype" w:cs="Palatino Linotype"/>
          <w:b/>
          <w:bCs/>
          <w:color w:val="000000"/>
        </w:rPr>
        <w:t xml:space="preserve">la solicitud de acceso a la información pública se encamina primordialmente a permitir el acceso a datos, registros y todo tipo de información pública que </w:t>
      </w:r>
      <w:r>
        <w:rPr>
          <w:rFonts w:ascii="Palatino Linotype" w:eastAsia="Palatino Linotype" w:hAnsi="Palatino Linotype" w:cs="Palatino Linotype"/>
          <w:b/>
          <w:bCs/>
        </w:rPr>
        <w:t>consten</w:t>
      </w:r>
      <w:r>
        <w:rPr>
          <w:rFonts w:ascii="Palatino Linotype" w:eastAsia="Palatino Linotype" w:hAnsi="Palatino Linotype" w:cs="Palatino Linotype"/>
          <w:b/>
          <w:bCs/>
          <w:color w:val="000000"/>
        </w:rPr>
        <w:t xml:space="preserve"> en documentos, sea generada o se encuentre en posesión de la autoridad. </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Sobre el particular, cabe traer a colación los artículos 2°, fracción II; 3°, fracción XI y 18, de la Ley de Transparencia y Acceso a la Información Pública del Estado de México y Municipios; los cuales disponen lo siguiente:</w:t>
      </w:r>
    </w:p>
    <w:p w:rsidR="00977EB9" w:rsidRDefault="000D6F72">
      <w:pPr>
        <w:numPr>
          <w:ilvl w:val="1"/>
          <w:numId w:val="2"/>
        </w:numPr>
        <w:pBdr>
          <w:top w:val="nil"/>
          <w:left w:val="nil"/>
          <w:bottom w:val="nil"/>
          <w:right w:val="nil"/>
          <w:between w:val="nil"/>
        </w:pBdr>
        <w:spacing w:line="360" w:lineRule="auto"/>
        <w:ind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Que uno de los objetivos de la Ley es proveer lo necesario para garantizar a toda persona el derecho de acceso a la información pública;</w:t>
      </w:r>
    </w:p>
    <w:p w:rsidR="00977EB9" w:rsidRDefault="000D6F72">
      <w:pPr>
        <w:numPr>
          <w:ilvl w:val="1"/>
          <w:numId w:val="2"/>
        </w:numPr>
        <w:pBdr>
          <w:top w:val="nil"/>
          <w:left w:val="nil"/>
          <w:bottom w:val="nil"/>
          <w:right w:val="nil"/>
          <w:between w:val="nil"/>
        </w:pBdr>
        <w:spacing w:line="360" w:lineRule="auto"/>
        <w:ind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Que los documentos son los expedientes, reportes, estudios, actas, resoluciones, contratos, convenios, instructivos, notas, memorandos, estadísticas o cualquier registro que documente el ejercicio de facultades, funciones y competencia de los Sujetos Obligados, </w:t>
      </w:r>
      <w:r>
        <w:rPr>
          <w:rFonts w:ascii="Palatino Linotype" w:eastAsia="Palatino Linotype" w:hAnsi="Palatino Linotype" w:cs="Palatino Linotype"/>
          <w:i/>
          <w:iCs/>
          <w:color w:val="000000"/>
        </w:rPr>
        <w:lastRenderedPageBreak/>
        <w:t>sin importar su fuente y fecha de elaboración y, por último, que los sujetos obligados deberán documentar todo acto que derive del ejercicio de sus facultades, competencias o funciones, considerando desde su origen la eventual publicidad y reutilización de la información que generan. En este orden de ideas, puede concluirse que la Ley en cita, es una ley de acceso a documentos.</w:t>
      </w:r>
    </w:p>
    <w:p w:rsidR="00977EB9" w:rsidRDefault="00977EB9">
      <w:pPr>
        <w:spacing w:line="360" w:lineRule="auto"/>
        <w:ind w:right="-1416"/>
        <w:jc w:val="both"/>
        <w:rPr>
          <w:rFonts w:ascii="Palatino Linotype" w:eastAsia="Palatino Linotype" w:hAnsi="Palatino Linotype" w:cs="Palatino Linotype"/>
          <w:color w:val="000000"/>
        </w:rPr>
      </w:pPr>
    </w:p>
    <w:p w:rsidR="00977EB9" w:rsidRPr="00E47913"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Por lo que, la entrega de una razón o un razonamiento por parte del</w:t>
      </w:r>
      <w:r>
        <w:rPr>
          <w:rFonts w:ascii="Palatino Linotype" w:eastAsia="Palatino Linotype" w:hAnsi="Palatino Linotype" w:cs="Palatino Linotype"/>
          <w:b/>
          <w:bCs/>
          <w:color w:val="000000"/>
        </w:rPr>
        <w:t xml:space="preserve"> Sujeto Obligado</w:t>
      </w:r>
      <w:r>
        <w:rPr>
          <w:rFonts w:ascii="Palatino Linotype" w:eastAsia="Palatino Linotype" w:hAnsi="Palatino Linotype" w:cs="Palatino Linotype"/>
          <w:color w:val="000000"/>
        </w:rPr>
        <w:t xml:space="preserve"> no es algo que la ley establezca como atribución, derecho, o facultad; pues ello implicaría </w:t>
      </w:r>
      <w:r>
        <w:rPr>
          <w:rFonts w:ascii="Palatino Linotype" w:eastAsia="Palatino Linotype" w:hAnsi="Palatino Linotype" w:cs="Palatino Linotype"/>
          <w:b/>
          <w:bCs/>
          <w:color w:val="000000"/>
        </w:rPr>
        <w:t>un juicio de valor</w:t>
      </w:r>
      <w:r>
        <w:rPr>
          <w:rFonts w:ascii="Palatino Linotype" w:eastAsia="Palatino Linotype" w:hAnsi="Palatino Linotype" w:cs="Palatino Linotype"/>
          <w:color w:val="000000"/>
        </w:rPr>
        <w:t xml:space="preserve"> referente a un cuestionamiento realizado, los cuales, al constituir interrogantes, inquietudes y manifestaciones se satisfacen vía derecho de petición, y no así, a través del ejercicio del derecho a acceder a información pública.</w:t>
      </w:r>
    </w:p>
    <w:p w:rsidR="00E47913" w:rsidRDefault="00E47913" w:rsidP="00E47913">
      <w:pPr>
        <w:pBdr>
          <w:top w:val="nil"/>
          <w:left w:val="nil"/>
          <w:bottom w:val="nil"/>
          <w:right w:val="nil"/>
          <w:between w:val="nil"/>
        </w:pBdr>
        <w:spacing w:line="360" w:lineRule="auto"/>
        <w:ind w:right="-1416"/>
        <w:jc w:val="both"/>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Entonces, al tratarse de un derecho de petición estamos en presencia de una consulta que se aleja del derecho de acceso a la información pública, bajo esas consideraciones, se afirma que en el recurso de revisión sujeto a estudio se actualiza la hipótesis jurídica citada, toda vez que quedó probado que la solicitud de acceso a la información que promovió la parte </w:t>
      </w:r>
      <w:r>
        <w:rPr>
          <w:rFonts w:ascii="Palatino Linotype" w:eastAsia="Palatino Linotype" w:hAnsi="Palatino Linotype" w:cs="Palatino Linotype"/>
          <w:b/>
          <w:bCs/>
          <w:color w:val="000000"/>
        </w:rPr>
        <w:t>Recurrente</w:t>
      </w:r>
      <w:r>
        <w:rPr>
          <w:rFonts w:ascii="Palatino Linotype" w:eastAsia="Palatino Linotype" w:hAnsi="Palatino Linotype" w:cs="Palatino Linotype"/>
          <w:color w:val="000000"/>
        </w:rPr>
        <w:t xml:space="preserve"> corresponde en parte al ejercicio de un derecho de petición y no al derecho de acceso a la información pública.</w:t>
      </w:r>
    </w:p>
    <w:p w:rsidR="00977EB9" w:rsidRDefault="00977EB9">
      <w:pPr>
        <w:pBdr>
          <w:top w:val="nil"/>
          <w:left w:val="nil"/>
          <w:bottom w:val="nil"/>
          <w:right w:val="nil"/>
          <w:between w:val="nil"/>
        </w:pBdr>
        <w:spacing w:line="360" w:lineRule="auto"/>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Así mismo es de suma importancia precisar que cualquier persona tiene el derecho al acceso de la información pública, información que consiste en aquella que sea generada, obtenida, adquirida, transformada, administrada o en posesión de los Sujetos Obligados, como así también lo señala la Ley de Transparencia y Acceso a la Información Pública del Estado de México y Municipios en su artículo 4, que toda la información generada, obtenida, adquirida, </w:t>
      </w:r>
      <w:r>
        <w:rPr>
          <w:rFonts w:ascii="Palatino Linotype" w:eastAsia="Palatino Linotype" w:hAnsi="Palatino Linotype" w:cs="Palatino Linotype"/>
          <w:color w:val="000000"/>
        </w:rPr>
        <w:lastRenderedPageBreak/>
        <w:t>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 xml:space="preserve">“Artículo 4. El derecho humano de acceso a la información pública es la prerrogativa de las personas para buscar, difundir, investigar, recabar, recibir y solicitar información pública, sin necesidad de acreditar personalidad ni interés jurídico. </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Toda la información generada, obtenida, adquirida, transformada, administrada o en posesión de los sujetos obligados es pública y accesible de manera permanente a cualquier persona, en los términos y condiciones que se establezcan en los tratados internacionales de los que el Estado mexicano sea parte, en la Ley General vigente a la fecha de la solicitud,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Los sujetos obligados deben poner en práctica, políticas y programas de acceso a la información que se apeguen a criterios de publicidad, veracidad, oportunidad, precisión y suficiencia en beneficio de los solicitantes.”(Sic)</w:t>
      </w:r>
    </w:p>
    <w:p w:rsidR="00977EB9" w:rsidRDefault="00977EB9">
      <w:pPr>
        <w:pBdr>
          <w:top w:val="nil"/>
          <w:left w:val="nil"/>
          <w:bottom w:val="nil"/>
          <w:right w:val="nil"/>
          <w:between w:val="nil"/>
        </w:pBdr>
        <w:ind w:left="1134" w:right="-1416"/>
        <w:jc w:val="both"/>
        <w:rPr>
          <w:rFonts w:ascii="Palatino Linotype" w:eastAsia="Palatino Linotype" w:hAnsi="Palatino Linotype" w:cs="Palatino Linotype"/>
          <w:i/>
          <w:iCs/>
          <w:color w:val="000000"/>
        </w:rPr>
      </w:pPr>
    </w:p>
    <w:p w:rsidR="00977EB9" w:rsidRDefault="00977EB9">
      <w:pPr>
        <w:pBdr>
          <w:top w:val="nil"/>
          <w:left w:val="nil"/>
          <w:bottom w:val="nil"/>
          <w:right w:val="nil"/>
          <w:between w:val="nil"/>
        </w:pBdr>
        <w:spacing w:line="276" w:lineRule="auto"/>
        <w:ind w:left="1134" w:right="-1416"/>
        <w:jc w:val="both"/>
        <w:rPr>
          <w:rFonts w:ascii="Palatino Linotype" w:eastAsia="Palatino Linotype" w:hAnsi="Palatino Linotype" w:cs="Palatino Linotype"/>
          <w:i/>
          <w:i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Por otra parte, y aunado a lo antepuesto, el último párrafo del artículo 24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977EB9" w:rsidRDefault="00977EB9">
      <w:pPr>
        <w:pBdr>
          <w:top w:val="nil"/>
          <w:left w:val="nil"/>
          <w:bottom w:val="nil"/>
          <w:right w:val="nil"/>
          <w:between w:val="nil"/>
        </w:pBdr>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Siempre y cuando no se trate de información reservada o clasificada, que difundirla pondría en riesgo la seguridad jurídica y física del titular de la información, debiendo tener audacia los Sujetos Obligados para cuidar esta información a través del acuerdo clasificatorio </w:t>
      </w:r>
      <w:r>
        <w:rPr>
          <w:rFonts w:ascii="Palatino Linotype" w:eastAsia="Palatino Linotype" w:hAnsi="Palatino Linotype" w:cs="Palatino Linotype"/>
          <w:color w:val="000000"/>
        </w:rPr>
        <w:lastRenderedPageBreak/>
        <w:t>del comité de transparencia y la versión pública que emita el servidor público habilitado de cada Sujeto Obligado; como así se establece en la Ley de Transparencia y Acceso a la Información Pública del Estado de México y Municipios.</w:t>
      </w:r>
    </w:p>
    <w:p w:rsidR="00977EB9" w:rsidRDefault="00977EB9">
      <w:pPr>
        <w:pBdr>
          <w:top w:val="nil"/>
          <w:left w:val="nil"/>
          <w:bottom w:val="nil"/>
          <w:right w:val="nil"/>
          <w:between w:val="nil"/>
        </w:pBdr>
        <w:ind w:right="-1416"/>
        <w:jc w:val="both"/>
        <w:rPr>
          <w:rFonts w:ascii="Palatino Linotype" w:eastAsia="Palatino Linotype" w:hAnsi="Palatino Linotype" w:cs="Palatino Linotype"/>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“Artículo 3. Para los efectos de la presente Ley se entenderá por:</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XI. Documento: Los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(Sic)</w:t>
      </w:r>
    </w:p>
    <w:p w:rsidR="00977EB9" w:rsidRDefault="00977EB9">
      <w:pPr>
        <w:pBdr>
          <w:top w:val="nil"/>
          <w:left w:val="nil"/>
          <w:bottom w:val="nil"/>
          <w:right w:val="nil"/>
          <w:between w:val="nil"/>
        </w:pBdr>
        <w:ind w:left="1134" w:right="-1416"/>
        <w:jc w:val="both"/>
        <w:rPr>
          <w:rFonts w:ascii="Palatino Linotype" w:eastAsia="Palatino Linotype" w:hAnsi="Palatino Linotype" w:cs="Palatino Linotype"/>
          <w:i/>
          <w:i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“CRITERIO 0002-11</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lastRenderedPageBreak/>
        <w:t>INFORMACIÓN PÚBLICA, CONCEPTO DE, EN MATERIA DE TRANSPARENCIA. INTERPRETACIÓN SISTEMÁTICA DE LOS ARTÍCULOS 2°, FRACCIÓN V, XV, Y XVI, 3°, 4°, 11 Y 41.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En consecuencia el acceso a la información se refiere a que se cumplan cualquiera de los siguientes tres supuestos:</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1)</w:t>
      </w:r>
      <w:r>
        <w:rPr>
          <w:rFonts w:ascii="Palatino Linotype" w:eastAsia="Palatino Linotype" w:hAnsi="Palatino Linotype" w:cs="Palatino Linotype"/>
          <w:i/>
          <w:iCs/>
          <w:color w:val="000000"/>
        </w:rPr>
        <w:tab/>
        <w:t>Que se trate de información registrada en cualquier soporte documental, que en ejercicio de las atribuciones conferidas, sea generada por los Sujetos Obligados;</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2)</w:t>
      </w:r>
      <w:r>
        <w:rPr>
          <w:rFonts w:ascii="Palatino Linotype" w:eastAsia="Palatino Linotype" w:hAnsi="Palatino Linotype" w:cs="Palatino Linotype"/>
          <w:i/>
          <w:iCs/>
          <w:color w:val="000000"/>
        </w:rPr>
        <w:tab/>
        <w:t>Que se trate de información registrada en cualquier soporte documental, que en ejercicio de las atribuciones conferidas, sea administrada por los Sujetos Obligados, y</w:t>
      </w:r>
    </w:p>
    <w:p w:rsidR="00977EB9" w:rsidRDefault="000D6F72">
      <w:pPr>
        <w:pBdr>
          <w:top w:val="nil"/>
          <w:left w:val="nil"/>
          <w:bottom w:val="nil"/>
          <w:right w:val="nil"/>
          <w:between w:val="nil"/>
        </w:pBdr>
        <w:ind w:left="1134" w:right="-1416"/>
        <w:jc w:val="both"/>
        <w:rPr>
          <w:rFonts w:ascii="Palatino Linotype" w:eastAsia="Palatino Linotype" w:hAnsi="Palatino Linotype" w:cs="Palatino Linotype"/>
          <w:i/>
          <w:iCs/>
          <w:color w:val="000000"/>
        </w:rPr>
      </w:pPr>
      <w:r>
        <w:rPr>
          <w:rFonts w:ascii="Palatino Linotype" w:eastAsia="Palatino Linotype" w:hAnsi="Palatino Linotype" w:cs="Palatino Linotype"/>
          <w:i/>
          <w:iCs/>
          <w:color w:val="000000"/>
        </w:rPr>
        <w:t>3) Que se trate de información registrada en cualquier soporte documental, que en ejercicio de las atribuciones conferidas, se encuentre en posesión de los Sujetos Obligados.” (Sic)</w:t>
      </w:r>
    </w:p>
    <w:p w:rsidR="00977EB9" w:rsidRDefault="00977EB9">
      <w:pPr>
        <w:pBdr>
          <w:top w:val="nil"/>
          <w:left w:val="nil"/>
          <w:bottom w:val="nil"/>
          <w:right w:val="nil"/>
          <w:between w:val="nil"/>
        </w:pBdr>
        <w:ind w:left="1134" w:right="-1416"/>
        <w:jc w:val="both"/>
        <w:rPr>
          <w:rFonts w:ascii="Palatino Linotype" w:eastAsia="Palatino Linotype" w:hAnsi="Palatino Linotype" w:cs="Palatino Linotype"/>
          <w:i/>
          <w:iCs/>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De ahí que EL SUJETO OBLIGADO cuenta con el deber de satisfacer las solicitudes de acceso a la información que le sean formuladas y entregar la información pública que obre en sus archivos; más aún si la misma se trata de información pública de oficio la cual se relaciona con aquella que se genere de acuerdo con sus facultades, atribuciones señaladas por la Ley en la materia , así como de interés público, es decir, aquella que resulta relevante o beneficiosa para la sociedad y no simplemente de interés individual, y cuya divulgación resulta útil para que el público comprenda las actividades que llevan a cabo los Sujetos Obligados .</w:t>
      </w:r>
    </w:p>
    <w:p w:rsidR="00977EB9" w:rsidRDefault="00977EB9">
      <w:pPr>
        <w:pBdr>
          <w:top w:val="nil"/>
          <w:left w:val="nil"/>
          <w:bottom w:val="nil"/>
          <w:right w:val="nil"/>
          <w:between w:val="nil"/>
        </w:pBdr>
        <w:spacing w:line="360" w:lineRule="auto"/>
        <w:ind w:right="-1416"/>
        <w:jc w:val="both"/>
        <w:rPr>
          <w:color w:val="000000"/>
        </w:rPr>
      </w:pPr>
    </w:p>
    <w:p w:rsidR="00977EB9" w:rsidRDefault="000D6F72">
      <w:pPr>
        <w:numPr>
          <w:ilvl w:val="0"/>
          <w:numId w:val="2"/>
        </w:numPr>
        <w:pBdr>
          <w:top w:val="nil"/>
          <w:left w:val="nil"/>
          <w:bottom w:val="nil"/>
          <w:right w:val="nil"/>
          <w:between w:val="nil"/>
        </w:pBdr>
        <w:spacing w:line="360" w:lineRule="auto"/>
        <w:ind w:left="0" w:right="-1416" w:firstLine="0"/>
        <w:jc w:val="both"/>
      </w:pPr>
      <w:r>
        <w:rPr>
          <w:rFonts w:ascii="Palatino Linotype" w:eastAsia="Palatino Linotype" w:hAnsi="Palatino Linotype" w:cs="Palatino Linotype"/>
          <w:color w:val="000000"/>
        </w:rPr>
        <w:t>Por lo anteriormente expuesto, este Órgano Garante considera parcialmente fundadas las razones o motivos de inconformidad que plantea el</w:t>
      </w:r>
      <w:r>
        <w:rPr>
          <w:rFonts w:ascii="Palatino Linotype" w:eastAsia="Palatino Linotype" w:hAnsi="Palatino Linotype" w:cs="Palatino Linotype"/>
          <w:b/>
          <w:bCs/>
          <w:color w:val="000000"/>
        </w:rPr>
        <w:t xml:space="preserve"> RECURRENTE</w:t>
      </w:r>
      <w:r>
        <w:rPr>
          <w:rFonts w:ascii="Palatino Linotype" w:eastAsia="Palatino Linotype" w:hAnsi="Palatino Linotype" w:cs="Palatino Linotype"/>
          <w:color w:val="000000"/>
        </w:rPr>
        <w:t xml:space="preserve">, determinando </w:t>
      </w:r>
      <w:r>
        <w:rPr>
          <w:rFonts w:ascii="Palatino Linotype" w:eastAsia="Palatino Linotype" w:hAnsi="Palatino Linotype" w:cs="Palatino Linotype"/>
          <w:b/>
          <w:bCs/>
          <w:smallCaps/>
          <w:color w:val="000000"/>
        </w:rPr>
        <w:t>MODIFICAR</w:t>
      </w:r>
      <w:r>
        <w:rPr>
          <w:rFonts w:ascii="Palatino Linotype" w:eastAsia="Palatino Linotype" w:hAnsi="Palatino Linotype" w:cs="Palatino Linotype"/>
          <w:b/>
          <w:bCs/>
          <w:color w:val="000000"/>
        </w:rPr>
        <w:t xml:space="preserve"> </w:t>
      </w:r>
      <w:r>
        <w:rPr>
          <w:rFonts w:ascii="Palatino Linotype" w:eastAsia="Palatino Linotype" w:hAnsi="Palatino Linotype" w:cs="Palatino Linotype"/>
          <w:color w:val="000000"/>
        </w:rPr>
        <w:t xml:space="preserve">la respuesta del </w:t>
      </w:r>
      <w:r>
        <w:rPr>
          <w:rFonts w:ascii="Palatino Linotype" w:eastAsia="Palatino Linotype" w:hAnsi="Palatino Linotype" w:cs="Palatino Linotype"/>
          <w:b/>
          <w:bCs/>
          <w:color w:val="000000"/>
        </w:rPr>
        <w:t>SUJETO OBLIGADO</w:t>
      </w:r>
      <w:r>
        <w:rPr>
          <w:rFonts w:ascii="Palatino Linotype" w:eastAsia="Palatino Linotype" w:hAnsi="Palatino Linotype" w:cs="Palatino Linotype"/>
          <w:color w:val="000000"/>
        </w:rPr>
        <w:t xml:space="preserve">, por lo que con fundamento en lo prescrito en los artículos 5 párrafos vigésimo noveno, trigésimo y trigésimo primero fracciones IV y V de la Constitución Política del Estado Libre y Soberano de México; 2, fracción II; 29, 36 </w:t>
      </w:r>
      <w:r>
        <w:rPr>
          <w:rFonts w:ascii="Palatino Linotype" w:eastAsia="Palatino Linotype" w:hAnsi="Palatino Linotype" w:cs="Palatino Linotype"/>
          <w:color w:val="000000"/>
        </w:rPr>
        <w:lastRenderedPageBreak/>
        <w:t xml:space="preserve">fracciones I y II; 176, 178, 181, 185 de la Ley de Transparencia y Acceso a la Información Pública del Estado de México y Municipios, este </w:t>
      </w:r>
      <w:r>
        <w:rPr>
          <w:rFonts w:ascii="Palatino Linotype" w:eastAsia="Palatino Linotype" w:hAnsi="Palatino Linotype" w:cs="Palatino Linotype"/>
          <w:b/>
          <w:bCs/>
          <w:color w:val="000000"/>
        </w:rPr>
        <w:t>ÓRGANO GARANTE</w:t>
      </w:r>
      <w:r>
        <w:rPr>
          <w:rFonts w:ascii="Palatino Linotype" w:eastAsia="Palatino Linotype" w:hAnsi="Palatino Linotype" w:cs="Palatino Linotype"/>
          <w:color w:val="000000"/>
        </w:rPr>
        <w:t xml:space="preserve"> emite los siguientes</w:t>
      </w:r>
      <w:r>
        <w:rPr>
          <w:rFonts w:ascii="Palatino Linotype" w:eastAsia="Palatino Linotype" w:hAnsi="Palatino Linotype" w:cs="Palatino Linotype"/>
          <w:color w:val="222222"/>
        </w:rPr>
        <w:t>:</w:t>
      </w:r>
    </w:p>
    <w:p w:rsidR="00977EB9" w:rsidRDefault="00977EB9">
      <w:pPr>
        <w:pBdr>
          <w:top w:val="nil"/>
          <w:left w:val="nil"/>
          <w:bottom w:val="nil"/>
          <w:right w:val="nil"/>
          <w:between w:val="nil"/>
        </w:pBdr>
        <w:ind w:left="720" w:right="-1416"/>
        <w:rPr>
          <w:rFonts w:ascii="Palatino Linotype" w:eastAsia="Palatino Linotype" w:hAnsi="Palatino Linotype" w:cs="Palatino Linotype"/>
          <w:color w:val="000000"/>
        </w:rPr>
      </w:pPr>
    </w:p>
    <w:p w:rsidR="00977EB9" w:rsidRDefault="00977EB9">
      <w:pPr>
        <w:pBdr>
          <w:top w:val="nil"/>
          <w:left w:val="nil"/>
          <w:bottom w:val="nil"/>
          <w:right w:val="nil"/>
          <w:between w:val="nil"/>
        </w:pBdr>
        <w:ind w:left="720" w:right="-1416"/>
        <w:rPr>
          <w:rFonts w:ascii="Palatino Linotype" w:eastAsia="Palatino Linotype" w:hAnsi="Palatino Linotype" w:cs="Palatino Linotype"/>
          <w:color w:val="000000"/>
        </w:rPr>
      </w:pPr>
    </w:p>
    <w:p w:rsidR="00977EB9" w:rsidRDefault="000D6F72">
      <w:pPr>
        <w:pStyle w:val="Ttulo1"/>
        <w:spacing w:before="0" w:line="360" w:lineRule="auto"/>
        <w:ind w:right="-1416"/>
        <w:jc w:val="center"/>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R E S O L U T I V O S</w:t>
      </w:r>
    </w:p>
    <w:p w:rsidR="00977EB9" w:rsidRDefault="00977EB9">
      <w:pPr>
        <w:spacing w:line="360" w:lineRule="auto"/>
        <w:ind w:right="-1416"/>
        <w:rPr>
          <w:rFonts w:ascii="Palatino Linotype" w:eastAsia="Palatino Linotype" w:hAnsi="Palatino Linotype" w:cs="Palatino Linotype"/>
        </w:rPr>
      </w:pPr>
    </w:p>
    <w:p w:rsidR="00977EB9" w:rsidRDefault="000D6F72">
      <w:pPr>
        <w:spacing w:line="360" w:lineRule="auto"/>
        <w:ind w:right="-1416"/>
        <w:jc w:val="both"/>
        <w:rPr>
          <w:rFonts w:ascii="Palatino Linotype" w:eastAsia="Palatino Linotype" w:hAnsi="Palatino Linotype" w:cs="Palatino Linotype"/>
        </w:rPr>
      </w:pPr>
      <w:r>
        <w:rPr>
          <w:rFonts w:ascii="Palatino Linotype" w:eastAsia="Palatino Linotype" w:hAnsi="Palatino Linotype" w:cs="Palatino Linotype"/>
          <w:b/>
          <w:bCs/>
        </w:rPr>
        <w:t xml:space="preserve">PRIMERO. </w:t>
      </w:r>
      <w:r>
        <w:rPr>
          <w:rFonts w:ascii="Palatino Linotype" w:eastAsia="Palatino Linotype" w:hAnsi="Palatino Linotype" w:cs="Palatino Linotype"/>
        </w:rPr>
        <w:t>Resultan parcialmente fundadas las</w:t>
      </w:r>
      <w:r>
        <w:rPr>
          <w:rFonts w:ascii="Palatino Linotype" w:eastAsia="Palatino Linotype" w:hAnsi="Palatino Linotype" w:cs="Palatino Linotype"/>
          <w:b/>
          <w:bCs/>
        </w:rPr>
        <w:t xml:space="preserve"> </w:t>
      </w:r>
      <w:r>
        <w:rPr>
          <w:rFonts w:ascii="Palatino Linotype" w:eastAsia="Palatino Linotype" w:hAnsi="Palatino Linotype" w:cs="Palatino Linotype"/>
        </w:rPr>
        <w:t xml:space="preserve">razones o motivos de inconformidad hechos valer en el recurso de revisión </w:t>
      </w:r>
      <w:r>
        <w:rPr>
          <w:rFonts w:ascii="Palatino Linotype" w:eastAsia="Palatino Linotype" w:hAnsi="Palatino Linotype" w:cs="Palatino Linotype"/>
          <w:b/>
          <w:bCs/>
        </w:rPr>
        <w:t xml:space="preserve">05118/INFOEM/IP/RR/2026, </w:t>
      </w:r>
      <w:r>
        <w:rPr>
          <w:rFonts w:ascii="Palatino Linotype" w:eastAsia="Palatino Linotype" w:hAnsi="Palatino Linotype" w:cs="Palatino Linotype"/>
        </w:rPr>
        <w:t>en términos del</w:t>
      </w:r>
      <w:r>
        <w:rPr>
          <w:rFonts w:ascii="Palatino Linotype" w:eastAsia="Palatino Linotype" w:hAnsi="Palatino Linotype" w:cs="Palatino Linotype"/>
          <w:b/>
          <w:bCs/>
        </w:rPr>
        <w:t xml:space="preserve"> </w:t>
      </w:r>
      <w:r>
        <w:rPr>
          <w:rFonts w:ascii="Palatino Linotype" w:eastAsia="Palatino Linotype" w:hAnsi="Palatino Linotype" w:cs="Palatino Linotype"/>
        </w:rPr>
        <w:t xml:space="preserve">considerando </w:t>
      </w:r>
      <w:r>
        <w:rPr>
          <w:rFonts w:ascii="Palatino Linotype" w:eastAsia="Palatino Linotype" w:hAnsi="Palatino Linotype" w:cs="Palatino Linotype"/>
          <w:b/>
          <w:bCs/>
        </w:rPr>
        <w:t xml:space="preserve">CUARTO </w:t>
      </w:r>
      <w:r>
        <w:rPr>
          <w:rFonts w:ascii="Palatino Linotype" w:eastAsia="Palatino Linotype" w:hAnsi="Palatino Linotype" w:cs="Palatino Linotype"/>
        </w:rPr>
        <w:t>de la presente resolución.</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spacing w:line="360" w:lineRule="auto"/>
        <w:ind w:right="-1416"/>
        <w:jc w:val="both"/>
        <w:rPr>
          <w:rFonts w:ascii="Palatino Linotype" w:eastAsia="Palatino Linotype" w:hAnsi="Palatino Linotype" w:cs="Palatino Linotype"/>
          <w:color w:val="000000"/>
        </w:rPr>
      </w:pPr>
      <w:r>
        <w:rPr>
          <w:rFonts w:ascii="Palatino Linotype" w:eastAsia="Palatino Linotype" w:hAnsi="Palatino Linotype" w:cs="Palatino Linotype"/>
          <w:b/>
          <w:bCs/>
          <w:color w:val="000000"/>
        </w:rPr>
        <w:t xml:space="preserve">SEGUNDO. </w:t>
      </w:r>
      <w:r>
        <w:rPr>
          <w:rFonts w:ascii="Palatino Linotype" w:eastAsia="Palatino Linotype" w:hAnsi="Palatino Linotype" w:cs="Palatino Linotype"/>
          <w:color w:val="000000"/>
        </w:rPr>
        <w:t xml:space="preserve">Se </w:t>
      </w:r>
      <w:r>
        <w:rPr>
          <w:rFonts w:ascii="Palatino Linotype" w:eastAsia="Palatino Linotype" w:hAnsi="Palatino Linotype" w:cs="Palatino Linotype"/>
          <w:b/>
          <w:bCs/>
          <w:color w:val="000000"/>
        </w:rPr>
        <w:t>MODIFICA</w:t>
      </w:r>
      <w:r>
        <w:rPr>
          <w:rFonts w:ascii="Palatino Linotype" w:eastAsia="Palatino Linotype" w:hAnsi="Palatino Linotype" w:cs="Palatino Linotype"/>
          <w:color w:val="000000"/>
        </w:rPr>
        <w:t xml:space="preserve"> la respuesta y se </w:t>
      </w:r>
      <w:r>
        <w:rPr>
          <w:rFonts w:ascii="Palatino Linotype" w:eastAsia="Palatino Linotype" w:hAnsi="Palatino Linotype" w:cs="Palatino Linotype"/>
          <w:b/>
          <w:bCs/>
          <w:color w:val="000000"/>
        </w:rPr>
        <w:t xml:space="preserve">ORDENA </w:t>
      </w:r>
      <w:r>
        <w:rPr>
          <w:rFonts w:ascii="Palatino Linotype" w:eastAsia="Palatino Linotype" w:hAnsi="Palatino Linotype" w:cs="Palatino Linotype"/>
          <w:color w:val="000000"/>
        </w:rPr>
        <w:t xml:space="preserve">a la </w:t>
      </w:r>
      <w:r>
        <w:rPr>
          <w:rFonts w:ascii="Palatino Linotype" w:eastAsia="Palatino Linotype" w:hAnsi="Palatino Linotype" w:cs="Palatino Linotype"/>
          <w:b/>
          <w:bCs/>
          <w:color w:val="000000"/>
        </w:rPr>
        <w:t xml:space="preserve">Secretaría de las Mujeres, </w:t>
      </w:r>
      <w:r>
        <w:rPr>
          <w:rFonts w:ascii="Palatino Linotype" w:eastAsia="Palatino Linotype" w:hAnsi="Palatino Linotype" w:cs="Palatino Linotype"/>
          <w:b/>
          <w:bCs/>
        </w:rPr>
        <w:t xml:space="preserve"> </w:t>
      </w:r>
      <w:r>
        <w:rPr>
          <w:rFonts w:ascii="Palatino Linotype" w:eastAsia="Palatino Linotype" w:hAnsi="Palatino Linotype" w:cs="Palatino Linotype"/>
          <w:color w:val="000000"/>
        </w:rPr>
        <w:t xml:space="preserve">entregar vía Sistema de Acceso a la Información Mexiquense </w:t>
      </w:r>
      <w:r>
        <w:rPr>
          <w:rFonts w:ascii="Palatino Linotype" w:eastAsia="Palatino Linotype" w:hAnsi="Palatino Linotype" w:cs="Palatino Linotype"/>
          <w:b/>
          <w:bCs/>
          <w:color w:val="000000"/>
        </w:rPr>
        <w:t>(SAIMEX)</w:t>
      </w:r>
      <w:r>
        <w:rPr>
          <w:rFonts w:ascii="Palatino Linotype" w:eastAsia="Palatino Linotype" w:hAnsi="Palatino Linotype" w:cs="Palatino Linotype"/>
          <w:color w:val="000000"/>
        </w:rPr>
        <w:t xml:space="preserve">, el o los documentos en los que conste lo siguiente: </w:t>
      </w:r>
    </w:p>
    <w:p w:rsidR="00977EB9" w:rsidRDefault="00977EB9">
      <w:pPr>
        <w:spacing w:line="360" w:lineRule="auto"/>
        <w:ind w:right="-1416"/>
        <w:jc w:val="both"/>
        <w:rPr>
          <w:rFonts w:ascii="Palatino Linotype" w:eastAsia="Palatino Linotype" w:hAnsi="Palatino Linotype" w:cs="Palatino Linotype"/>
          <w:color w:val="000000"/>
        </w:rPr>
      </w:pPr>
    </w:p>
    <w:p w:rsidR="00977EB9" w:rsidRDefault="000D6F72">
      <w:pPr>
        <w:numPr>
          <w:ilvl w:val="3"/>
          <w:numId w:val="2"/>
        </w:numPr>
        <w:pBdr>
          <w:top w:val="nil"/>
          <w:left w:val="nil"/>
          <w:bottom w:val="nil"/>
          <w:right w:val="nil"/>
          <w:between w:val="nil"/>
        </w:pBdr>
        <w:spacing w:line="360" w:lineRule="auto"/>
        <w:ind w:left="1134" w:right="-1416"/>
        <w:jc w:val="both"/>
        <w:rPr>
          <w:rFonts w:ascii="Palatino Linotype" w:eastAsia="Palatino Linotype" w:hAnsi="Palatino Linotype" w:cs="Palatino Linotype"/>
          <w:b/>
          <w:bCs/>
          <w:i/>
          <w:iCs/>
          <w:color w:val="000000"/>
        </w:rPr>
      </w:pPr>
      <w:r>
        <w:rPr>
          <w:rFonts w:ascii="Palatino Linotype" w:eastAsia="Palatino Linotype" w:hAnsi="Palatino Linotype" w:cs="Palatino Linotype"/>
          <w:b/>
          <w:bCs/>
          <w:i/>
          <w:iCs/>
          <w:color w:val="000000"/>
        </w:rPr>
        <w:t>Protocolo ante Conflictos de Interés en el Comité de Ética;</w:t>
      </w:r>
    </w:p>
    <w:p w:rsidR="00977EB9" w:rsidRDefault="000D6F72">
      <w:pPr>
        <w:numPr>
          <w:ilvl w:val="3"/>
          <w:numId w:val="2"/>
        </w:numPr>
        <w:pBdr>
          <w:top w:val="nil"/>
          <w:left w:val="nil"/>
          <w:bottom w:val="nil"/>
          <w:right w:val="nil"/>
          <w:between w:val="nil"/>
        </w:pBdr>
        <w:spacing w:line="360" w:lineRule="auto"/>
        <w:ind w:left="1134" w:right="-1416"/>
        <w:jc w:val="both"/>
        <w:rPr>
          <w:rFonts w:ascii="Palatino Linotype" w:eastAsia="Palatino Linotype" w:hAnsi="Palatino Linotype" w:cs="Palatino Linotype"/>
          <w:b/>
          <w:bCs/>
          <w:i/>
          <w:iCs/>
          <w:color w:val="000000"/>
        </w:rPr>
      </w:pPr>
      <w:r>
        <w:rPr>
          <w:rFonts w:ascii="Palatino Linotype" w:eastAsia="Palatino Linotype" w:hAnsi="Palatino Linotype" w:cs="Palatino Linotype"/>
          <w:b/>
          <w:bCs/>
          <w:i/>
          <w:iCs/>
        </w:rPr>
        <w:t>Documento o lineamiento que establezca el procedimiento de actuación, abstención y recusación cuando un miembro permanente del Comité de Ética y Prevención de Conflictos de Intereses es objeto de una queja o denuncia administrativa;</w:t>
      </w:r>
    </w:p>
    <w:p w:rsidR="00977EB9" w:rsidRDefault="000D6F72">
      <w:pPr>
        <w:numPr>
          <w:ilvl w:val="3"/>
          <w:numId w:val="2"/>
        </w:numPr>
        <w:pBdr>
          <w:top w:val="nil"/>
          <w:left w:val="nil"/>
          <w:bottom w:val="nil"/>
          <w:right w:val="nil"/>
          <w:between w:val="nil"/>
        </w:pBdr>
        <w:spacing w:line="360" w:lineRule="auto"/>
        <w:ind w:left="1134" w:right="-1416"/>
        <w:jc w:val="both"/>
        <w:rPr>
          <w:rFonts w:ascii="Palatino Linotype" w:eastAsia="Palatino Linotype" w:hAnsi="Palatino Linotype" w:cs="Palatino Linotype"/>
          <w:b/>
          <w:bCs/>
          <w:i/>
          <w:iCs/>
          <w:color w:val="000000"/>
        </w:rPr>
      </w:pPr>
      <w:r>
        <w:rPr>
          <w:rFonts w:ascii="Palatino Linotype" w:eastAsia="Palatino Linotype" w:hAnsi="Palatino Linotype" w:cs="Palatino Linotype"/>
          <w:b/>
          <w:bCs/>
          <w:i/>
          <w:iCs/>
        </w:rPr>
        <w:t>Perfil de puesto de los servidores públicos referidos en la solicitud;</w:t>
      </w:r>
    </w:p>
    <w:p w:rsidR="00977EB9" w:rsidRDefault="000D6F72">
      <w:pPr>
        <w:numPr>
          <w:ilvl w:val="3"/>
          <w:numId w:val="2"/>
        </w:numPr>
        <w:pBdr>
          <w:top w:val="nil"/>
          <w:left w:val="nil"/>
          <w:bottom w:val="nil"/>
          <w:right w:val="nil"/>
          <w:between w:val="nil"/>
        </w:pBdr>
        <w:spacing w:line="360" w:lineRule="auto"/>
        <w:ind w:left="1134" w:right="-1416" w:hanging="283"/>
        <w:jc w:val="both"/>
        <w:rPr>
          <w:rFonts w:ascii="Palatino Linotype" w:eastAsia="Palatino Linotype" w:hAnsi="Palatino Linotype" w:cs="Palatino Linotype"/>
          <w:b/>
          <w:bCs/>
          <w:i/>
          <w:iCs/>
          <w:color w:val="000000"/>
        </w:rPr>
      </w:pPr>
      <w:r>
        <w:rPr>
          <w:rFonts w:ascii="Palatino Linotype" w:eastAsia="Palatino Linotype" w:hAnsi="Palatino Linotype" w:cs="Palatino Linotype"/>
          <w:b/>
          <w:bCs/>
          <w:i/>
          <w:iCs/>
          <w:color w:val="000000"/>
        </w:rPr>
        <w:t>Manuales que definan las funciones oficiales del personal de apoyo técnico y administrativo de la oficina de la Titular de la UIPPE</w:t>
      </w:r>
    </w:p>
    <w:p w:rsidR="00977EB9" w:rsidRDefault="00977EB9">
      <w:pPr>
        <w:ind w:left="774" w:right="-1416"/>
        <w:jc w:val="both"/>
        <w:rPr>
          <w:rFonts w:ascii="Palatino Linotype" w:eastAsia="Palatino Linotype" w:hAnsi="Palatino Linotype" w:cs="Palatino Linotype"/>
          <w:b/>
          <w:bCs/>
          <w:i/>
          <w:iCs/>
          <w:color w:val="000000"/>
        </w:rPr>
      </w:pPr>
      <w:bookmarkStart w:id="9" w:name="_heading=h.l8x4y0szwxl0" w:colFirst="0" w:colLast="0"/>
      <w:bookmarkEnd w:id="9"/>
    </w:p>
    <w:p w:rsidR="00977EB9" w:rsidRDefault="000D6F72">
      <w:pPr>
        <w:spacing w:line="360" w:lineRule="auto"/>
        <w:ind w:right="-1416"/>
        <w:jc w:val="both"/>
        <w:rPr>
          <w:rFonts w:ascii="Palatino Linotype" w:eastAsia="Palatino Linotype" w:hAnsi="Palatino Linotype" w:cs="Palatino Linotype"/>
          <w:b/>
          <w:bCs/>
        </w:rPr>
      </w:pPr>
      <w:r>
        <w:rPr>
          <w:rFonts w:ascii="Palatino Linotype" w:eastAsia="Palatino Linotype" w:hAnsi="Palatino Linotype" w:cs="Palatino Linotype"/>
          <w:b/>
          <w:bCs/>
        </w:rPr>
        <w:t xml:space="preserve">TERCERO. NOTIFÍQUESE </w:t>
      </w:r>
      <w:r>
        <w:rPr>
          <w:rFonts w:ascii="Palatino Linotype" w:eastAsia="Palatino Linotype" w:hAnsi="Palatino Linotype" w:cs="Palatino Linotype"/>
        </w:rPr>
        <w:t xml:space="preserve">la presente resolución al Titular de la Unidad de Transparencia del Sujeto Obligado vía SAIMEX, para que conforme al artículo 186 último párrafo, 189 segundo párrafo y 194 de la Ley de Transparencia y Acceso a la Información Pública del Estado </w:t>
      </w:r>
      <w:r>
        <w:rPr>
          <w:rFonts w:ascii="Palatino Linotype" w:eastAsia="Palatino Linotype" w:hAnsi="Palatino Linotype" w:cs="Palatino Linotype"/>
        </w:rPr>
        <w:lastRenderedPageBreak/>
        <w:t xml:space="preserve">de México y Municipios; dé cumplimiento a lo </w:t>
      </w:r>
      <w:r>
        <w:rPr>
          <w:rFonts w:ascii="Palatino Linotype" w:eastAsia="Palatino Linotype" w:hAnsi="Palatino Linotype" w:cs="Palatino Linotype"/>
          <w:b/>
          <w:bCs/>
        </w:rPr>
        <w:t>ordenado dentro del plazo de diez días hábiles</w:t>
      </w:r>
      <w:r>
        <w:rPr>
          <w:rFonts w:ascii="Palatino Linotype" w:eastAsia="Palatino Linotype" w:hAnsi="Palatino Linotype" w:cs="Palatino Linotype"/>
        </w:rPr>
        <w:t xml:space="preserve">,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 </w:t>
      </w:r>
    </w:p>
    <w:p w:rsidR="00977EB9" w:rsidRDefault="00977EB9">
      <w:pPr>
        <w:spacing w:line="360" w:lineRule="auto"/>
        <w:ind w:right="-1416"/>
        <w:jc w:val="both"/>
        <w:rPr>
          <w:rFonts w:ascii="Palatino Linotype" w:eastAsia="Palatino Linotype" w:hAnsi="Palatino Linotype" w:cs="Palatino Linotype"/>
          <w:b/>
          <w:bCs/>
        </w:rPr>
      </w:pPr>
    </w:p>
    <w:p w:rsidR="00977EB9" w:rsidRDefault="000D6F72">
      <w:pPr>
        <w:spacing w:line="360" w:lineRule="auto"/>
        <w:ind w:right="-1416"/>
        <w:jc w:val="both"/>
        <w:rPr>
          <w:rFonts w:ascii="Palatino Linotype" w:eastAsia="Palatino Linotype" w:hAnsi="Palatino Linotype" w:cs="Palatino Linotype"/>
        </w:rPr>
      </w:pPr>
      <w:r>
        <w:rPr>
          <w:rFonts w:ascii="Palatino Linotype" w:eastAsia="Palatino Linotype" w:hAnsi="Palatino Linotype" w:cs="Palatino Linotype"/>
          <w:b/>
          <w:bCs/>
        </w:rPr>
        <w:t xml:space="preserve">CUARTO. </w:t>
      </w:r>
      <w:r>
        <w:rPr>
          <w:rFonts w:ascii="Palatino Linotype" w:eastAsia="Palatino Linotype" w:hAnsi="Palatino Linotype" w:cs="Palatino Linotype"/>
        </w:rPr>
        <w:t xml:space="preserve">De conformidad con el artículo 198 de la Ley de Transparencia y Acceso a la Información Pública del Estado de México y Municipios, de considerarlo procedente, el </w:t>
      </w:r>
      <w:r>
        <w:rPr>
          <w:rFonts w:ascii="Palatino Linotype" w:eastAsia="Palatino Linotype" w:hAnsi="Palatino Linotype" w:cs="Palatino Linotype"/>
          <w:b/>
          <w:bCs/>
        </w:rPr>
        <w:t>SUJETO OBLIGADO</w:t>
      </w:r>
      <w:r>
        <w:rPr>
          <w:rFonts w:ascii="Palatino Linotype" w:eastAsia="Palatino Linotype" w:hAnsi="Palatino Linotype" w:cs="Palatino Linotype"/>
        </w:rPr>
        <w:t xml:space="preserve"> de manera fundada y motivada, podrá solicitar una ampliación de plazo para el cumplimiento de la presente resolución.</w:t>
      </w:r>
    </w:p>
    <w:p w:rsidR="00977EB9" w:rsidRDefault="00977EB9">
      <w:pPr>
        <w:spacing w:line="360" w:lineRule="auto"/>
        <w:ind w:right="-1416"/>
        <w:jc w:val="both"/>
        <w:rPr>
          <w:rFonts w:ascii="Palatino Linotype" w:eastAsia="Palatino Linotype" w:hAnsi="Palatino Linotype" w:cs="Palatino Linotype"/>
        </w:rPr>
      </w:pPr>
    </w:p>
    <w:p w:rsidR="00977EB9" w:rsidRDefault="000D6F72">
      <w:pPr>
        <w:tabs>
          <w:tab w:val="left" w:pos="8080"/>
        </w:tabs>
        <w:spacing w:line="360" w:lineRule="auto"/>
        <w:ind w:right="-1416"/>
        <w:jc w:val="both"/>
        <w:rPr>
          <w:rFonts w:ascii="Palatino Linotype" w:eastAsia="Palatino Linotype" w:hAnsi="Palatino Linotype" w:cs="Palatino Linotype"/>
        </w:rPr>
      </w:pPr>
      <w:r>
        <w:rPr>
          <w:rFonts w:ascii="Palatino Linotype" w:eastAsia="Palatino Linotype" w:hAnsi="Palatino Linotype" w:cs="Palatino Linotype"/>
          <w:b/>
          <w:bCs/>
        </w:rPr>
        <w:t xml:space="preserve">QUINTO. </w:t>
      </w:r>
      <w:r>
        <w:rPr>
          <w:rFonts w:ascii="Palatino Linotype" w:eastAsia="Palatino Linotype" w:hAnsi="Palatino Linotype" w:cs="Palatino Linotype"/>
        </w:rPr>
        <w:t xml:space="preserve">Notifíquese a </w:t>
      </w:r>
      <w:r>
        <w:rPr>
          <w:rFonts w:ascii="Palatino Linotype" w:eastAsia="Palatino Linotype" w:hAnsi="Palatino Linotype" w:cs="Palatino Linotype"/>
          <w:b/>
          <w:bCs/>
        </w:rPr>
        <w:t>EL RECURRENTE</w:t>
      </w:r>
      <w:r>
        <w:rPr>
          <w:rFonts w:ascii="Palatino Linotype" w:eastAsia="Palatino Linotype" w:hAnsi="Palatino Linotype" w:cs="Palatino Linotype"/>
        </w:rPr>
        <w:t xml:space="preserve"> la presente resolución, vía SAIMEX.</w:t>
      </w:r>
    </w:p>
    <w:p w:rsidR="00977EB9" w:rsidRDefault="00977EB9">
      <w:pPr>
        <w:tabs>
          <w:tab w:val="left" w:pos="8080"/>
        </w:tabs>
        <w:spacing w:line="360" w:lineRule="auto"/>
        <w:ind w:right="-1416"/>
        <w:jc w:val="both"/>
        <w:rPr>
          <w:rFonts w:ascii="Palatino Linotype" w:eastAsia="Palatino Linotype" w:hAnsi="Palatino Linotype" w:cs="Palatino Linotype"/>
        </w:rPr>
      </w:pPr>
    </w:p>
    <w:p w:rsidR="00977EB9" w:rsidRDefault="000D6F72">
      <w:pPr>
        <w:shd w:val="clear" w:color="auto" w:fill="FFFFFF"/>
        <w:spacing w:line="360" w:lineRule="auto"/>
        <w:ind w:right="-1416"/>
        <w:jc w:val="both"/>
        <w:rPr>
          <w:rFonts w:ascii="Palatino Linotype" w:eastAsia="Palatino Linotype" w:hAnsi="Palatino Linotype" w:cs="Palatino Linotype"/>
        </w:rPr>
      </w:pPr>
      <w:r>
        <w:rPr>
          <w:rFonts w:ascii="Palatino Linotype" w:eastAsia="Palatino Linotype" w:hAnsi="Palatino Linotype" w:cs="Palatino Linotype"/>
          <w:b/>
          <w:bCs/>
        </w:rPr>
        <w:t>SEXTO.</w:t>
      </w:r>
      <w:r>
        <w:rPr>
          <w:rFonts w:ascii="Palatino Linotype" w:eastAsia="Palatino Linotype" w:hAnsi="Palatino Linotype" w:cs="Palatino Linotype"/>
        </w:rPr>
        <w:t xml:space="preserve"> Se hace del conocimiento de </w:t>
      </w:r>
      <w:r>
        <w:rPr>
          <w:rFonts w:ascii="Palatino Linotype" w:eastAsia="Palatino Linotype" w:hAnsi="Palatino Linotype" w:cs="Palatino Linotype"/>
          <w:b/>
          <w:bCs/>
        </w:rPr>
        <w:t>EL RECURRENTE</w:t>
      </w:r>
      <w:r>
        <w:rPr>
          <w:rFonts w:ascii="Palatino Linotype" w:eastAsia="Palatino Linotype" w:hAnsi="Palatino Linotype" w:cs="Palatino Linotype"/>
        </w:rPr>
        <w:t xml:space="preserve"> que, de conformidad con lo establecido en el artículo 196 de la Ley de Transparencia y Acceso a la Información Pública del Estado de México y Municipios, en caso de que considere que la resolución le cause algún perjuicio podrá impugnar vía juicio de amparo en los términos de las leyes aplicables.</w:t>
      </w:r>
    </w:p>
    <w:p w:rsidR="00977EB9" w:rsidRDefault="00977EB9">
      <w:pPr>
        <w:shd w:val="clear" w:color="auto" w:fill="FFFFFF"/>
        <w:spacing w:line="360" w:lineRule="auto"/>
        <w:ind w:right="-1416"/>
        <w:jc w:val="both"/>
        <w:rPr>
          <w:rFonts w:ascii="Palatino Linotype" w:eastAsia="Palatino Linotype" w:hAnsi="Palatino Linotype" w:cs="Palatino Linotype"/>
        </w:rPr>
      </w:pPr>
    </w:p>
    <w:p w:rsidR="00BF7893" w:rsidRPr="003E2295" w:rsidRDefault="00BF7893" w:rsidP="00BF7893">
      <w:pPr>
        <w:spacing w:before="240" w:after="240" w:line="360" w:lineRule="auto"/>
        <w:ind w:right="-1418" w:firstLine="1"/>
        <w:jc w:val="both"/>
        <w:rPr>
          <w:rFonts w:ascii="Palatino Linotype" w:hAnsi="Palatino Linotype"/>
        </w:rPr>
      </w:pPr>
      <w:bookmarkStart w:id="10" w:name="_heading=h.d09eqso8b8mb" w:colFirst="0" w:colLast="0"/>
      <w:bookmarkStart w:id="11" w:name="_Hlk99014733"/>
      <w:bookmarkEnd w:id="10"/>
      <w:r w:rsidRPr="003E2295">
        <w:rPr>
          <w:rFonts w:ascii="Palatino Linotype" w:hAnsi="Palatino Linotype" w:cs="Palatino Linotype"/>
        </w:rPr>
        <w:t>ASÍ LO RESUELVE, POR UNANIMIDAD DE VOTOS, EL PLENO DEL INSTITUTO DE TRANSPARENCIA, ACCESO A LA INFORMACIÓN PÚBLICA Y PROTECCIÓN DE DATOS PERSONALES DEL ESTADO DE MÉXICO Y MUNICIPIOS, CONFORMADO POR LOS COMISIONADOS JOSÉ MARTÍNEZ VILCHIS,</w:t>
      </w:r>
      <w:r>
        <w:rPr>
          <w:rFonts w:ascii="Palatino Linotype" w:hAnsi="Palatino Linotype" w:cs="Palatino Linotype"/>
        </w:rPr>
        <w:t xml:space="preserve"> MARÍA DEL ROSARIO MEJÍA AYALA </w:t>
      </w:r>
      <w:r w:rsidRPr="003E2295">
        <w:rPr>
          <w:rFonts w:ascii="Palatino Linotype" w:hAnsi="Palatino Linotype" w:cs="Palatino Linotype"/>
        </w:rPr>
        <w:t xml:space="preserve">Y GUADALUPE RAMÍREZ PEÑA; EN LA </w:t>
      </w:r>
      <w:r>
        <w:rPr>
          <w:rFonts w:ascii="Palatino Linotype" w:hAnsi="Palatino Linotype" w:cs="Palatino Linotype"/>
        </w:rPr>
        <w:t xml:space="preserve">TRIGÉSIMA </w:t>
      </w:r>
      <w:r w:rsidRPr="003E2295">
        <w:rPr>
          <w:rFonts w:ascii="Palatino Linotype" w:hAnsi="Palatino Linotype" w:cs="Palatino Linotype"/>
        </w:rPr>
        <w:t>SESIÓN O</w:t>
      </w:r>
      <w:r>
        <w:rPr>
          <w:rFonts w:ascii="Palatino Linotype" w:hAnsi="Palatino Linotype" w:cs="Palatino Linotype"/>
        </w:rPr>
        <w:t xml:space="preserve">RDINARIA, CELEBRADA </w:t>
      </w:r>
      <w:r>
        <w:rPr>
          <w:rFonts w:ascii="Palatino Linotype" w:hAnsi="Palatino Linotype" w:cs="Palatino Linotype"/>
        </w:rPr>
        <w:lastRenderedPageBreak/>
        <w:t>EL VEINTISÉIS (26</w:t>
      </w:r>
      <w:r w:rsidRPr="003E2295">
        <w:rPr>
          <w:rFonts w:ascii="Palatino Linotype" w:hAnsi="Palatino Linotype" w:cs="Palatino Linotype"/>
        </w:rPr>
        <w:t xml:space="preserve">) DE </w:t>
      </w:r>
      <w:r>
        <w:rPr>
          <w:rFonts w:ascii="Palatino Linotype" w:hAnsi="Palatino Linotype" w:cs="Palatino Linotype"/>
        </w:rPr>
        <w:t>AGOSTO</w:t>
      </w:r>
      <w:r w:rsidRPr="003E2295">
        <w:rPr>
          <w:rFonts w:ascii="Palatino Linotype" w:hAnsi="Palatino Linotype" w:cs="Palatino Linotype"/>
        </w:rPr>
        <w:t xml:space="preserve"> DE DOS MIL VEINTISÉIS, ANTE EL SECRETARIO TÉCNICO DEL PLENO </w:t>
      </w:r>
      <w:r w:rsidRPr="003E2295">
        <w:rPr>
          <w:rFonts w:ascii="Palatino Linotype" w:hAnsi="Palatino Linotype" w:cs="Palatino Linotype"/>
          <w:color w:val="000000" w:themeColor="text1"/>
        </w:rPr>
        <w:t>ALEXIS TAPIA RAMÍREZ.</w:t>
      </w:r>
    </w:p>
    <w:bookmarkEnd w:id="11"/>
    <w:p w:rsidR="00977EB9" w:rsidRDefault="00977EB9" w:rsidP="00BF7893">
      <w:pPr>
        <w:pBdr>
          <w:top w:val="nil"/>
          <w:left w:val="nil"/>
          <w:bottom w:val="nil"/>
          <w:right w:val="nil"/>
          <w:between w:val="nil"/>
        </w:pBdr>
        <w:ind w:left="720" w:right="-1418"/>
        <w:rPr>
          <w:rFonts w:ascii="Palatino Linotype" w:eastAsia="Palatino Linotype" w:hAnsi="Palatino Linotype" w:cs="Palatino Linotype"/>
          <w:color w:val="000000"/>
        </w:rPr>
      </w:pPr>
    </w:p>
    <w:p w:rsidR="00977EB9" w:rsidRDefault="00977EB9" w:rsidP="00BF7893">
      <w:pPr>
        <w:spacing w:line="360" w:lineRule="auto"/>
        <w:ind w:right="-1418"/>
        <w:rPr>
          <w:rFonts w:ascii="Palatino Linotype" w:eastAsia="Palatino Linotype" w:hAnsi="Palatino Linotype" w:cs="Palatino Linotype"/>
        </w:rPr>
      </w:pPr>
    </w:p>
    <w:p w:rsidR="00977EB9" w:rsidRDefault="00977EB9" w:rsidP="00BF7893">
      <w:pPr>
        <w:spacing w:line="360" w:lineRule="auto"/>
        <w:ind w:right="-1418"/>
        <w:rPr>
          <w:rFonts w:ascii="Palatino Linotype" w:eastAsia="Palatino Linotype" w:hAnsi="Palatino Linotype" w:cs="Palatino Linotype"/>
        </w:rPr>
      </w:pPr>
      <w:bookmarkStart w:id="12" w:name="_GoBack"/>
      <w:bookmarkEnd w:id="12"/>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p w:rsidR="00977EB9" w:rsidRDefault="00977EB9">
      <w:pPr>
        <w:spacing w:line="360" w:lineRule="auto"/>
        <w:ind w:right="-1416"/>
        <w:rPr>
          <w:rFonts w:ascii="Palatino Linotype" w:eastAsia="Palatino Linotype" w:hAnsi="Palatino Linotype" w:cs="Palatino Linotype"/>
        </w:rPr>
      </w:pPr>
    </w:p>
    <w:sectPr w:rsidR="00977EB9">
      <w:headerReference w:type="even" r:id="rId9"/>
      <w:headerReference w:type="default" r:id="rId10"/>
      <w:footerReference w:type="default" r:id="rId11"/>
      <w:headerReference w:type="first" r:id="rId12"/>
      <w:footerReference w:type="first" r:id="rId13"/>
      <w:pgSz w:w="12240" w:h="15840"/>
      <w:pgMar w:top="2269" w:right="2034" w:bottom="1702"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889" w:rsidRDefault="009C7889">
      <w:r>
        <w:separator/>
      </w:r>
    </w:p>
  </w:endnote>
  <w:endnote w:type="continuationSeparator" w:id="0">
    <w:p w:rsidR="009C7889" w:rsidRDefault="009C7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144A0CB-9EC2-4B17-8D27-EBFAD3ECC9F2}"/>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2" w:fontKey="{507B4E7E-ACC8-48A2-9A61-3BF0777A9952}"/>
    <w:embedBold r:id="rId3" w:fontKey="{A6A7C67B-CEEC-4557-BC8C-823EF6C55C30}"/>
    <w:embedItalic r:id="rId4" w:fontKey="{AA943D10-3A15-4C39-A0EA-3CA1C7A9392E}"/>
    <w:embedBoldItalic r:id="rId5" w:fontKey="{32BD1D69-2CBB-4CE5-9B6D-1AFC4E1A5EA0}"/>
  </w:font>
  <w:font w:name="Calibri">
    <w:panose1 w:val="020F0502020204030204"/>
    <w:charset w:val="00"/>
    <w:family w:val="swiss"/>
    <w:pitch w:val="variable"/>
    <w:sig w:usb0="E4002EFF" w:usb1="C200247B" w:usb2="00000009" w:usb3="00000000" w:csb0="000001FF" w:csb1="00000000"/>
    <w:embedRegular r:id="rId6" w:fontKey="{1931A6FE-6C57-4CB6-AEC9-2CDB6DA6C571}"/>
    <w:embedBold r:id="rId7" w:fontKey="{CDE8093F-D2AD-4503-83F5-F49934F56806}"/>
    <w:embedItalic r:id="rId8" w:fontKey="{9D9C0569-9B0D-4C02-917E-623519FC3900}"/>
    <w:embedBoldItalic r:id="rId9" w:fontKey="{F1DEC67B-ABC3-48D9-8BBD-86669FAD203D}"/>
  </w:font>
  <w:font w:name="Calibri Light">
    <w:panose1 w:val="020F0302020204030204"/>
    <w:charset w:val="00"/>
    <w:family w:val="swiss"/>
    <w:pitch w:val="variable"/>
    <w:sig w:usb0="E4002EFF" w:usb1="C200247B" w:usb2="00000009" w:usb3="00000000" w:csb0="000001FF" w:csb1="00000000"/>
    <w:embedRegular r:id="rId10" w:fontKey="{1BBB511E-70CD-4246-967B-438293E510B4}"/>
  </w:font>
  <w:font w:name="Modica Black">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embedRegular r:id="rId11" w:fontKey="{B6E8305E-A167-42EC-AF6D-609CB2AEDB61}"/>
  </w:font>
  <w:font w:name="Georgia">
    <w:panose1 w:val="02040502050405020303"/>
    <w:charset w:val="00"/>
    <w:family w:val="roman"/>
    <w:pitch w:val="variable"/>
    <w:sig w:usb0="00000287" w:usb1="00000000" w:usb2="00000000" w:usb3="00000000" w:csb0="0000009F" w:csb1="00000000"/>
    <w:embedItalic r:id="rId12" w:fontKey="{BF6CC8E0-6E3C-49D1-9726-3AC97C409AE1}"/>
  </w:font>
  <w:font w:name="Verdana">
    <w:panose1 w:val="020B0604030504040204"/>
    <w:charset w:val="00"/>
    <w:family w:val="swiss"/>
    <w:pitch w:val="variable"/>
    <w:sig w:usb0="A00006FF" w:usb1="4000205B" w:usb2="00000010" w:usb3="00000000" w:csb0="0000019F" w:csb1="00000000"/>
    <w:embedRegular r:id="rId13" w:fontKey="{F347C1D5-2090-4E29-BB25-7ED65CC302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EB9" w:rsidRDefault="000D6F72">
    <w:pPr>
      <w:pBdr>
        <w:top w:val="nil"/>
        <w:left w:val="nil"/>
        <w:bottom w:val="nil"/>
        <w:right w:val="nil"/>
        <w:between w:val="nil"/>
      </w:pBdr>
      <w:tabs>
        <w:tab w:val="center" w:pos="4419"/>
        <w:tab w:val="right" w:pos="8838"/>
      </w:tabs>
      <w:jc w:val="right"/>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Página </w:t>
    </w:r>
    <w:r>
      <w:rPr>
        <w:rFonts w:ascii="Palatino Linotype" w:eastAsia="Palatino Linotype" w:hAnsi="Palatino Linotype" w:cs="Palatino Linotype"/>
        <w:color w:val="000000"/>
        <w:sz w:val="22"/>
        <w:szCs w:val="22"/>
      </w:rPr>
      <w:fldChar w:fldCharType="begin"/>
    </w:r>
    <w:r>
      <w:rPr>
        <w:rFonts w:ascii="Palatino Linotype" w:eastAsia="Palatino Linotype" w:hAnsi="Palatino Linotype" w:cs="Palatino Linotype"/>
        <w:color w:val="000000"/>
        <w:sz w:val="22"/>
        <w:szCs w:val="22"/>
      </w:rPr>
      <w:instrText>PAGE</w:instrText>
    </w:r>
    <w:r>
      <w:rPr>
        <w:rFonts w:ascii="Palatino Linotype" w:eastAsia="Palatino Linotype" w:hAnsi="Palatino Linotype" w:cs="Palatino Linotype"/>
        <w:color w:val="000000"/>
        <w:sz w:val="22"/>
        <w:szCs w:val="22"/>
      </w:rPr>
      <w:fldChar w:fldCharType="separate"/>
    </w:r>
    <w:r w:rsidR="00A8070E">
      <w:rPr>
        <w:rFonts w:ascii="Palatino Linotype" w:eastAsia="Palatino Linotype" w:hAnsi="Palatino Linotype" w:cs="Palatino Linotype"/>
        <w:noProof/>
        <w:color w:val="000000"/>
        <w:sz w:val="22"/>
        <w:szCs w:val="22"/>
      </w:rPr>
      <w:t>35</w:t>
    </w:r>
    <w:r>
      <w:rPr>
        <w:rFonts w:ascii="Palatino Linotype" w:eastAsia="Palatino Linotype" w:hAnsi="Palatino Linotype" w:cs="Palatino Linotype"/>
        <w:color w:val="000000"/>
        <w:sz w:val="22"/>
        <w:szCs w:val="22"/>
      </w:rPr>
      <w:fldChar w:fldCharType="end"/>
    </w:r>
    <w:r>
      <w:rPr>
        <w:rFonts w:ascii="Palatino Linotype" w:eastAsia="Palatino Linotype" w:hAnsi="Palatino Linotype" w:cs="Palatino Linotype"/>
        <w:color w:val="000000"/>
        <w:sz w:val="22"/>
        <w:szCs w:val="22"/>
      </w:rPr>
      <w:t xml:space="preserve"> de </w:t>
    </w:r>
    <w:r>
      <w:rPr>
        <w:rFonts w:ascii="Palatino Linotype" w:eastAsia="Palatino Linotype" w:hAnsi="Palatino Linotype" w:cs="Palatino Linotype"/>
        <w:color w:val="000000"/>
        <w:sz w:val="22"/>
        <w:szCs w:val="22"/>
      </w:rPr>
      <w:fldChar w:fldCharType="begin"/>
    </w:r>
    <w:r>
      <w:rPr>
        <w:rFonts w:ascii="Palatino Linotype" w:eastAsia="Palatino Linotype" w:hAnsi="Palatino Linotype" w:cs="Palatino Linotype"/>
        <w:color w:val="000000"/>
        <w:sz w:val="22"/>
        <w:szCs w:val="22"/>
      </w:rPr>
      <w:instrText>NUMPAGES</w:instrText>
    </w:r>
    <w:r>
      <w:rPr>
        <w:rFonts w:ascii="Palatino Linotype" w:eastAsia="Palatino Linotype" w:hAnsi="Palatino Linotype" w:cs="Palatino Linotype"/>
        <w:color w:val="000000"/>
        <w:sz w:val="22"/>
        <w:szCs w:val="22"/>
      </w:rPr>
      <w:fldChar w:fldCharType="separate"/>
    </w:r>
    <w:r w:rsidR="00A8070E">
      <w:rPr>
        <w:rFonts w:ascii="Palatino Linotype" w:eastAsia="Palatino Linotype" w:hAnsi="Palatino Linotype" w:cs="Palatino Linotype"/>
        <w:noProof/>
        <w:color w:val="000000"/>
        <w:sz w:val="22"/>
        <w:szCs w:val="22"/>
      </w:rPr>
      <w:t>35</w:t>
    </w:r>
    <w:r>
      <w:rPr>
        <w:rFonts w:ascii="Palatino Linotype" w:eastAsia="Palatino Linotype" w:hAnsi="Palatino Linotype" w:cs="Palatino Linotype"/>
        <w:color w:val="000000"/>
        <w:sz w:val="22"/>
        <w:szCs w:val="22"/>
      </w:rPr>
      <w:fldChar w:fldCharType="end"/>
    </w:r>
  </w:p>
  <w:p w:rsidR="00977EB9" w:rsidRDefault="00977EB9">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EB9" w:rsidRDefault="000D6F72">
    <w:pPr>
      <w:pBdr>
        <w:top w:val="nil"/>
        <w:left w:val="nil"/>
        <w:bottom w:val="nil"/>
        <w:right w:val="nil"/>
        <w:between w:val="nil"/>
      </w:pBdr>
      <w:tabs>
        <w:tab w:val="center" w:pos="4419"/>
        <w:tab w:val="right" w:pos="8838"/>
      </w:tabs>
      <w:jc w:val="right"/>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Página </w:t>
    </w:r>
    <w:r>
      <w:rPr>
        <w:rFonts w:ascii="Palatino Linotype" w:eastAsia="Palatino Linotype" w:hAnsi="Palatino Linotype" w:cs="Palatino Linotype"/>
        <w:color w:val="000000"/>
        <w:sz w:val="22"/>
        <w:szCs w:val="22"/>
      </w:rPr>
      <w:fldChar w:fldCharType="begin"/>
    </w:r>
    <w:r>
      <w:rPr>
        <w:rFonts w:ascii="Palatino Linotype" w:eastAsia="Palatino Linotype" w:hAnsi="Palatino Linotype" w:cs="Palatino Linotype"/>
        <w:color w:val="000000"/>
        <w:sz w:val="22"/>
        <w:szCs w:val="22"/>
      </w:rPr>
      <w:instrText>PAGE</w:instrText>
    </w:r>
    <w:r>
      <w:rPr>
        <w:rFonts w:ascii="Palatino Linotype" w:eastAsia="Palatino Linotype" w:hAnsi="Palatino Linotype" w:cs="Palatino Linotype"/>
        <w:color w:val="000000"/>
        <w:sz w:val="22"/>
        <w:szCs w:val="22"/>
      </w:rPr>
      <w:fldChar w:fldCharType="separate"/>
    </w:r>
    <w:r w:rsidR="00A8070E">
      <w:rPr>
        <w:rFonts w:ascii="Palatino Linotype" w:eastAsia="Palatino Linotype" w:hAnsi="Palatino Linotype" w:cs="Palatino Linotype"/>
        <w:noProof/>
        <w:color w:val="000000"/>
        <w:sz w:val="22"/>
        <w:szCs w:val="22"/>
      </w:rPr>
      <w:t>1</w:t>
    </w:r>
    <w:r>
      <w:rPr>
        <w:rFonts w:ascii="Palatino Linotype" w:eastAsia="Palatino Linotype" w:hAnsi="Palatino Linotype" w:cs="Palatino Linotype"/>
        <w:color w:val="000000"/>
        <w:sz w:val="22"/>
        <w:szCs w:val="22"/>
      </w:rPr>
      <w:fldChar w:fldCharType="end"/>
    </w:r>
    <w:r>
      <w:rPr>
        <w:rFonts w:ascii="Palatino Linotype" w:eastAsia="Palatino Linotype" w:hAnsi="Palatino Linotype" w:cs="Palatino Linotype"/>
        <w:color w:val="000000"/>
        <w:sz w:val="22"/>
        <w:szCs w:val="22"/>
      </w:rPr>
      <w:t xml:space="preserve"> de </w:t>
    </w:r>
    <w:r>
      <w:rPr>
        <w:rFonts w:ascii="Palatino Linotype" w:eastAsia="Palatino Linotype" w:hAnsi="Palatino Linotype" w:cs="Palatino Linotype"/>
        <w:color w:val="000000"/>
        <w:sz w:val="22"/>
        <w:szCs w:val="22"/>
      </w:rPr>
      <w:fldChar w:fldCharType="begin"/>
    </w:r>
    <w:r>
      <w:rPr>
        <w:rFonts w:ascii="Palatino Linotype" w:eastAsia="Palatino Linotype" w:hAnsi="Palatino Linotype" w:cs="Palatino Linotype"/>
        <w:color w:val="000000"/>
        <w:sz w:val="22"/>
        <w:szCs w:val="22"/>
      </w:rPr>
      <w:instrText>NUMPAGES</w:instrText>
    </w:r>
    <w:r>
      <w:rPr>
        <w:rFonts w:ascii="Palatino Linotype" w:eastAsia="Palatino Linotype" w:hAnsi="Palatino Linotype" w:cs="Palatino Linotype"/>
        <w:color w:val="000000"/>
        <w:sz w:val="22"/>
        <w:szCs w:val="22"/>
      </w:rPr>
      <w:fldChar w:fldCharType="separate"/>
    </w:r>
    <w:r w:rsidR="00A8070E">
      <w:rPr>
        <w:rFonts w:ascii="Palatino Linotype" w:eastAsia="Palatino Linotype" w:hAnsi="Palatino Linotype" w:cs="Palatino Linotype"/>
        <w:noProof/>
        <w:color w:val="000000"/>
        <w:sz w:val="22"/>
        <w:szCs w:val="22"/>
      </w:rPr>
      <w:t>35</w:t>
    </w:r>
    <w:r>
      <w:rPr>
        <w:rFonts w:ascii="Palatino Linotype" w:eastAsia="Palatino Linotype" w:hAnsi="Palatino Linotype" w:cs="Palatino Linotype"/>
        <w:color w:val="000000"/>
        <w:sz w:val="22"/>
        <w:szCs w:val="22"/>
      </w:rPr>
      <w:fldChar w:fldCharType="end"/>
    </w:r>
  </w:p>
  <w:p w:rsidR="00977EB9" w:rsidRDefault="00977EB9">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889" w:rsidRDefault="009C7889">
      <w:r>
        <w:separator/>
      </w:r>
    </w:p>
  </w:footnote>
  <w:footnote w:type="continuationSeparator" w:id="0">
    <w:p w:rsidR="009C7889" w:rsidRDefault="009C7889">
      <w:r>
        <w:continuationSeparator/>
      </w:r>
    </w:p>
  </w:footnote>
  <w:footnote w:id="1">
    <w:p w:rsidR="00977EB9" w:rsidRDefault="000D6F7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Convención Americana sobre Derechos Humanos. Artículo 13.</w:t>
      </w:r>
    </w:p>
  </w:footnote>
  <w:footnote w:id="2">
    <w:p w:rsidR="00977EB9" w:rsidRDefault="000D6F7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Constitución Política de los Estados Unidos Mexicanos. Artículo sexto, sección A, fracción I.</w:t>
      </w:r>
    </w:p>
  </w:footnote>
  <w:footnote w:id="3">
    <w:p w:rsidR="00977EB9" w:rsidRDefault="000D6F7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Corte Interamericana de Derechos Humanos. Caso Claude Reyes y otros vs. Chile. Sentencia de 19 de septiembre de 2006. Serie C. No. 151. Párr. 86.</w:t>
      </w:r>
    </w:p>
  </w:footnote>
  <w:footnote w:id="4">
    <w:p w:rsidR="00977EB9" w:rsidRDefault="000D6F7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Ibídem. Parr. 87.</w:t>
      </w:r>
    </w:p>
  </w:footnote>
  <w:footnote w:id="5">
    <w:p w:rsidR="00977EB9" w:rsidRDefault="000D6F72">
      <w:pPr>
        <w:pBdr>
          <w:top w:val="nil"/>
          <w:left w:val="nil"/>
          <w:bottom w:val="nil"/>
          <w:right w:val="nil"/>
          <w:between w:val="nil"/>
        </w:pBdr>
        <w:jc w:val="both"/>
        <w:rPr>
          <w:rFonts w:ascii="Palatino Linotype" w:eastAsia="Palatino Linotype" w:hAnsi="Palatino Linotype" w:cs="Palatino Linotype"/>
          <w:color w:val="000000"/>
          <w:sz w:val="20"/>
          <w:szCs w:val="20"/>
        </w:rPr>
      </w:pPr>
      <w:r>
        <w:rPr>
          <w:vertAlign w:val="superscript"/>
        </w:rPr>
        <w:footnoteRef/>
      </w:r>
      <w:r>
        <w:rPr>
          <w:color w:val="000000"/>
          <w:sz w:val="20"/>
          <w:szCs w:val="20"/>
        </w:rPr>
        <w:t xml:space="preserve"> </w:t>
      </w:r>
      <w:r>
        <w:rPr>
          <w:rFonts w:ascii="Palatino Linotype" w:eastAsia="Palatino Linotype" w:hAnsi="Palatino Linotype" w:cs="Palatino Linotype"/>
          <w:color w:val="000000"/>
          <w:sz w:val="20"/>
          <w:szCs w:val="20"/>
        </w:rPr>
        <w:t>Protocolo de Actuación para la Recepción, Trámite y Conclusión de las Denuncias, Sugerencias y reconocimientos presentadas ante los Comités de Ética de las Dependencias del Poder Ejecutivo del Gobierno del Estado de México y Sus Organismos Auxiliares.</w:t>
      </w:r>
    </w:p>
  </w:footnote>
  <w:footnote w:id="6">
    <w:p w:rsidR="00977EB9" w:rsidRDefault="000D6F72">
      <w:pPr>
        <w:pBdr>
          <w:top w:val="nil"/>
          <w:left w:val="nil"/>
          <w:bottom w:val="nil"/>
          <w:right w:val="nil"/>
          <w:between w:val="nil"/>
        </w:pBdr>
        <w:jc w:val="both"/>
        <w:rPr>
          <w:rFonts w:ascii="Palatino Linotype" w:eastAsia="Palatino Linotype" w:hAnsi="Palatino Linotype" w:cs="Palatino Linotype"/>
          <w:color w:val="000000"/>
          <w:sz w:val="20"/>
          <w:szCs w:val="20"/>
        </w:rPr>
      </w:pPr>
      <w:r>
        <w:rPr>
          <w:vertAlign w:val="superscript"/>
        </w:rPr>
        <w:footnoteRef/>
      </w:r>
      <w:r>
        <w:rPr>
          <w:color w:val="000000"/>
          <w:sz w:val="20"/>
          <w:szCs w:val="20"/>
        </w:rPr>
        <w:t xml:space="preserve"> </w:t>
      </w:r>
      <w:r>
        <w:rPr>
          <w:rFonts w:ascii="Palatino Linotype" w:eastAsia="Palatino Linotype" w:hAnsi="Palatino Linotype" w:cs="Palatino Linotype"/>
          <w:color w:val="000000"/>
          <w:sz w:val="20"/>
          <w:szCs w:val="20"/>
        </w:rPr>
        <w:t>Ley de Transparencia y Acceso a la Información Pública del Estado de México y Municipios. Artículos 13 y 181 párrafo IV</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EB9" w:rsidRDefault="009C7889">
    <w:pPr>
      <w:pBdr>
        <w:top w:val="nil"/>
        <w:left w:val="nil"/>
        <w:bottom w:val="nil"/>
        <w:right w:val="nil"/>
        <w:between w:val="nil"/>
      </w:pBdr>
      <w:tabs>
        <w:tab w:val="center" w:pos="4419"/>
        <w:tab w:val="right" w:pos="8838"/>
      </w:tabs>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609.4pt;height:793.75pt;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0"/>
      <w:tblW w:w="6519" w:type="dxa"/>
      <w:tblInd w:w="3402" w:type="dxa"/>
      <w:tblLayout w:type="fixed"/>
      <w:tblLook w:val="0400" w:firstRow="0" w:lastRow="0" w:firstColumn="0" w:lastColumn="0" w:noHBand="0" w:noVBand="1"/>
    </w:tblPr>
    <w:tblGrid>
      <w:gridCol w:w="2976"/>
      <w:gridCol w:w="3543"/>
    </w:tblGrid>
    <w:tr w:rsidR="00977EB9" w:rsidTr="00E47913">
      <w:trPr>
        <w:trHeight w:val="227"/>
      </w:trPr>
      <w:tc>
        <w:tcPr>
          <w:tcW w:w="2976" w:type="dxa"/>
          <w:vAlign w:val="center"/>
        </w:tcPr>
        <w:p w:rsidR="00977EB9" w:rsidRDefault="000D6F72">
          <w:pPr>
            <w:ind w:right="34"/>
            <w:jc w:val="right"/>
            <w:rPr>
              <w:rFonts w:ascii="Palatino Linotype" w:eastAsia="Palatino Linotype" w:hAnsi="Palatino Linotype" w:cs="Palatino Linotype"/>
              <w:b/>
              <w:bCs/>
            </w:rPr>
          </w:pPr>
          <w:r>
            <w:rPr>
              <w:rFonts w:ascii="Palatino Linotype" w:eastAsia="Palatino Linotype" w:hAnsi="Palatino Linotype" w:cs="Palatino Linotype"/>
              <w:b/>
              <w:bCs/>
            </w:rPr>
            <w:t>Recurso de Revisión:</w:t>
          </w:r>
        </w:p>
      </w:tc>
      <w:tc>
        <w:tcPr>
          <w:tcW w:w="3543" w:type="dxa"/>
          <w:vAlign w:val="center"/>
        </w:tcPr>
        <w:p w:rsidR="00977EB9" w:rsidRDefault="000D6F72">
          <w:pPr>
            <w:pBdr>
              <w:top w:val="nil"/>
              <w:left w:val="nil"/>
              <w:bottom w:val="nil"/>
              <w:right w:val="nil"/>
              <w:between w:val="nil"/>
            </w:pBdr>
            <w:tabs>
              <w:tab w:val="center" w:pos="4419"/>
              <w:tab w:val="right" w:pos="8838"/>
            </w:tabs>
            <w:ind w:right="-213"/>
            <w:rPr>
              <w:rFonts w:ascii="Palatino Linotype" w:eastAsia="Palatino Linotype" w:hAnsi="Palatino Linotype" w:cs="Palatino Linotype"/>
              <w:color w:val="000000"/>
            </w:rPr>
          </w:pPr>
          <w:r>
            <w:rPr>
              <w:rFonts w:ascii="Palatino Linotype" w:eastAsia="Palatino Linotype" w:hAnsi="Palatino Linotype" w:cs="Palatino Linotype"/>
              <w:color w:val="000000"/>
            </w:rPr>
            <w:t>05118/INFOEM/IP/RR/2026</w:t>
          </w:r>
        </w:p>
      </w:tc>
    </w:tr>
    <w:tr w:rsidR="00977EB9" w:rsidTr="00E47913">
      <w:trPr>
        <w:trHeight w:val="242"/>
      </w:trPr>
      <w:tc>
        <w:tcPr>
          <w:tcW w:w="2976" w:type="dxa"/>
          <w:vAlign w:val="center"/>
        </w:tcPr>
        <w:p w:rsidR="00977EB9" w:rsidRDefault="000D6F72">
          <w:pPr>
            <w:ind w:right="34"/>
            <w:jc w:val="right"/>
            <w:rPr>
              <w:rFonts w:ascii="Palatino Linotype" w:eastAsia="Palatino Linotype" w:hAnsi="Palatino Linotype" w:cs="Palatino Linotype"/>
              <w:b/>
              <w:bCs/>
            </w:rPr>
          </w:pPr>
          <w:r>
            <w:rPr>
              <w:rFonts w:ascii="Palatino Linotype" w:eastAsia="Palatino Linotype" w:hAnsi="Palatino Linotype" w:cs="Palatino Linotype"/>
              <w:b/>
              <w:bCs/>
            </w:rPr>
            <w:t>Sujeto Obligado:</w:t>
          </w:r>
        </w:p>
      </w:tc>
      <w:tc>
        <w:tcPr>
          <w:tcW w:w="3543" w:type="dxa"/>
          <w:vAlign w:val="center"/>
        </w:tcPr>
        <w:p w:rsidR="00977EB9" w:rsidRDefault="000D6F72">
          <w:pPr>
            <w:pBdr>
              <w:top w:val="nil"/>
              <w:left w:val="nil"/>
              <w:bottom w:val="nil"/>
              <w:right w:val="nil"/>
              <w:between w:val="nil"/>
            </w:pBdr>
            <w:tabs>
              <w:tab w:val="center" w:pos="4419"/>
              <w:tab w:val="right" w:pos="8838"/>
            </w:tabs>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Secretaría de las Mujeres</w:t>
          </w:r>
        </w:p>
      </w:tc>
    </w:tr>
    <w:tr w:rsidR="00977EB9" w:rsidTr="00E47913">
      <w:trPr>
        <w:trHeight w:val="342"/>
      </w:trPr>
      <w:tc>
        <w:tcPr>
          <w:tcW w:w="2976" w:type="dxa"/>
          <w:vAlign w:val="center"/>
        </w:tcPr>
        <w:p w:rsidR="00977EB9" w:rsidRDefault="000D6F72">
          <w:pPr>
            <w:ind w:right="34"/>
            <w:jc w:val="right"/>
            <w:rPr>
              <w:rFonts w:ascii="Palatino Linotype" w:eastAsia="Palatino Linotype" w:hAnsi="Palatino Linotype" w:cs="Palatino Linotype"/>
              <w:b/>
              <w:bCs/>
            </w:rPr>
          </w:pPr>
          <w:r>
            <w:rPr>
              <w:rFonts w:ascii="Palatino Linotype" w:eastAsia="Palatino Linotype" w:hAnsi="Palatino Linotype" w:cs="Palatino Linotype"/>
              <w:b/>
              <w:bCs/>
            </w:rPr>
            <w:t>Comisionada Ponente:</w:t>
          </w:r>
        </w:p>
      </w:tc>
      <w:tc>
        <w:tcPr>
          <w:tcW w:w="3543" w:type="dxa"/>
          <w:vAlign w:val="center"/>
        </w:tcPr>
        <w:p w:rsidR="00977EB9" w:rsidRDefault="000D6F72">
          <w:pPr>
            <w:pBdr>
              <w:top w:val="nil"/>
              <w:left w:val="nil"/>
              <w:bottom w:val="nil"/>
              <w:right w:val="nil"/>
              <w:between w:val="nil"/>
            </w:pBdr>
            <w:tabs>
              <w:tab w:val="center" w:pos="4419"/>
              <w:tab w:val="right" w:pos="8838"/>
            </w:tabs>
            <w:rPr>
              <w:rFonts w:ascii="Palatino Linotype" w:eastAsia="Palatino Linotype" w:hAnsi="Palatino Linotype" w:cs="Palatino Linotype"/>
              <w:color w:val="000000"/>
            </w:rPr>
          </w:pPr>
          <w:r>
            <w:rPr>
              <w:rFonts w:ascii="Palatino Linotype" w:eastAsia="Palatino Linotype" w:hAnsi="Palatino Linotype" w:cs="Palatino Linotype"/>
              <w:color w:val="000000"/>
            </w:rPr>
            <w:t>María del Rosario Mejía Ayala</w:t>
          </w:r>
        </w:p>
      </w:tc>
    </w:tr>
  </w:tbl>
  <w:p w:rsidR="00977EB9" w:rsidRDefault="009C7889">
    <w:pPr>
      <w:pBdr>
        <w:top w:val="nil"/>
        <w:left w:val="nil"/>
        <w:bottom w:val="nil"/>
        <w:right w:val="nil"/>
        <w:between w:val="nil"/>
      </w:pBdr>
      <w:tabs>
        <w:tab w:val="center" w:pos="4419"/>
        <w:tab w:val="right" w:pos="8838"/>
        <w:tab w:val="left" w:pos="6005"/>
      </w:tabs>
      <w:rPr>
        <w:color w:val="000000"/>
        <w:sz w:val="14"/>
        <w:szCs w:val="14"/>
      </w:rPr>
    </w:pPr>
    <w:r>
      <w:rPr>
        <w:color w:val="000000"/>
        <w:sz w:val="14"/>
        <w:szCs w:val="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1" type="#_x0000_t75" alt="" style="position:absolute;margin-left:-82.3pt;margin-top:-110.1pt;width:609.4pt;height:793.75pt;z-index:-251659776;mso-position-horizontal:absolute;mso-position-horizontal-relative:margin;mso-position-vertical:absolute;mso-position-vertical-relative:margin">
          <v:imagedata r:id="rId1" o:title="image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EB9" w:rsidRDefault="00977EB9">
    <w:pPr>
      <w:widowControl w:val="0"/>
      <w:pBdr>
        <w:top w:val="nil"/>
        <w:left w:val="nil"/>
        <w:bottom w:val="nil"/>
        <w:right w:val="nil"/>
        <w:between w:val="nil"/>
      </w:pBdr>
      <w:spacing w:line="276" w:lineRule="auto"/>
      <w:rPr>
        <w:color w:val="000000"/>
        <w:sz w:val="14"/>
        <w:szCs w:val="14"/>
      </w:rPr>
    </w:pPr>
  </w:p>
  <w:tbl>
    <w:tblPr>
      <w:tblStyle w:val="a1"/>
      <w:tblW w:w="6660" w:type="dxa"/>
      <w:tblInd w:w="3119" w:type="dxa"/>
      <w:tblLayout w:type="fixed"/>
      <w:tblLook w:val="0400" w:firstRow="0" w:lastRow="0" w:firstColumn="0" w:lastColumn="0" w:noHBand="0" w:noVBand="1"/>
    </w:tblPr>
    <w:tblGrid>
      <w:gridCol w:w="3174"/>
      <w:gridCol w:w="3486"/>
    </w:tblGrid>
    <w:tr w:rsidR="00977EB9" w:rsidTr="00E47913">
      <w:trPr>
        <w:trHeight w:val="227"/>
      </w:trPr>
      <w:tc>
        <w:tcPr>
          <w:tcW w:w="3174" w:type="dxa"/>
          <w:vAlign w:val="center"/>
        </w:tcPr>
        <w:p w:rsidR="00977EB9" w:rsidRDefault="000D6F72">
          <w:pPr>
            <w:jc w:val="right"/>
            <w:rPr>
              <w:rFonts w:ascii="Palatino Linotype" w:eastAsia="Palatino Linotype" w:hAnsi="Palatino Linotype" w:cs="Palatino Linotype"/>
              <w:b/>
              <w:bCs/>
            </w:rPr>
          </w:pPr>
          <w:r>
            <w:rPr>
              <w:rFonts w:ascii="Palatino Linotype" w:eastAsia="Palatino Linotype" w:hAnsi="Palatino Linotype" w:cs="Palatino Linotype"/>
              <w:b/>
              <w:bCs/>
            </w:rPr>
            <w:t>Recurso de Revisión:</w:t>
          </w:r>
        </w:p>
      </w:tc>
      <w:tc>
        <w:tcPr>
          <w:tcW w:w="3486" w:type="dxa"/>
          <w:vAlign w:val="center"/>
        </w:tcPr>
        <w:p w:rsidR="00977EB9" w:rsidRDefault="000D6F72">
          <w:pPr>
            <w:pBdr>
              <w:top w:val="nil"/>
              <w:left w:val="nil"/>
              <w:bottom w:val="nil"/>
              <w:right w:val="nil"/>
              <w:between w:val="nil"/>
            </w:pBdr>
            <w:tabs>
              <w:tab w:val="center" w:pos="4419"/>
              <w:tab w:val="right" w:pos="8838"/>
            </w:tabs>
            <w:ind w:left="141" w:right="-638"/>
            <w:rPr>
              <w:rFonts w:ascii="Palatino Linotype" w:eastAsia="Palatino Linotype" w:hAnsi="Palatino Linotype" w:cs="Palatino Linotype"/>
              <w:color w:val="000000"/>
            </w:rPr>
          </w:pPr>
          <w:r>
            <w:rPr>
              <w:rFonts w:ascii="Palatino Linotype" w:eastAsia="Palatino Linotype" w:hAnsi="Palatino Linotype" w:cs="Palatino Linotype"/>
              <w:color w:val="000000"/>
            </w:rPr>
            <w:t>05118/INFOEM/IP/RR/2026</w:t>
          </w:r>
        </w:p>
      </w:tc>
    </w:tr>
    <w:tr w:rsidR="00977EB9" w:rsidTr="00E47913">
      <w:trPr>
        <w:trHeight w:val="242"/>
      </w:trPr>
      <w:tc>
        <w:tcPr>
          <w:tcW w:w="3174" w:type="dxa"/>
          <w:vAlign w:val="center"/>
        </w:tcPr>
        <w:p w:rsidR="00977EB9" w:rsidRDefault="000D6F72">
          <w:pPr>
            <w:jc w:val="right"/>
            <w:rPr>
              <w:rFonts w:ascii="Palatino Linotype" w:eastAsia="Palatino Linotype" w:hAnsi="Palatino Linotype" w:cs="Palatino Linotype"/>
              <w:b/>
              <w:bCs/>
            </w:rPr>
          </w:pPr>
          <w:r>
            <w:rPr>
              <w:rFonts w:ascii="Palatino Linotype" w:eastAsia="Palatino Linotype" w:hAnsi="Palatino Linotype" w:cs="Palatino Linotype"/>
              <w:b/>
              <w:bCs/>
            </w:rPr>
            <w:t>Recurrente:</w:t>
          </w:r>
        </w:p>
      </w:tc>
      <w:tc>
        <w:tcPr>
          <w:tcW w:w="3486" w:type="dxa"/>
        </w:tcPr>
        <w:p w:rsidR="00977EB9" w:rsidRDefault="000D6F72" w:rsidP="00A8070E">
          <w:pPr>
            <w:pBdr>
              <w:top w:val="nil"/>
              <w:left w:val="nil"/>
              <w:bottom w:val="nil"/>
              <w:right w:val="nil"/>
              <w:between w:val="nil"/>
            </w:pBdr>
            <w:tabs>
              <w:tab w:val="center" w:pos="4419"/>
              <w:tab w:val="right" w:pos="8838"/>
              <w:tab w:val="left" w:pos="521"/>
            </w:tabs>
            <w:ind w:right="-638"/>
            <w:rPr>
              <w:rFonts w:ascii="Palatino Linotype" w:eastAsia="Palatino Linotype" w:hAnsi="Palatino Linotype" w:cs="Palatino Linotype"/>
              <w:color w:val="000000"/>
            </w:rPr>
          </w:pPr>
          <w:r>
            <w:rPr>
              <w:rFonts w:ascii="Palatino Linotype" w:eastAsia="Palatino Linotype" w:hAnsi="Palatino Linotype" w:cs="Palatino Linotype"/>
              <w:color w:val="FF0000"/>
            </w:rPr>
            <w:t xml:space="preserve">   </w:t>
          </w:r>
          <w:r w:rsidR="00A8070E">
            <w:rPr>
              <w:rFonts w:ascii="Palatino Linotype" w:eastAsia="Palatino Linotype" w:hAnsi="Palatino Linotype" w:cs="Palatino Linotype"/>
              <w:color w:val="000000"/>
            </w:rPr>
            <w:t>XXXX</w:t>
          </w:r>
        </w:p>
      </w:tc>
    </w:tr>
    <w:tr w:rsidR="00977EB9" w:rsidTr="00E47913">
      <w:trPr>
        <w:trHeight w:val="342"/>
      </w:trPr>
      <w:tc>
        <w:tcPr>
          <w:tcW w:w="3174" w:type="dxa"/>
          <w:vAlign w:val="center"/>
        </w:tcPr>
        <w:p w:rsidR="00977EB9" w:rsidRDefault="000D6F72">
          <w:pPr>
            <w:jc w:val="right"/>
            <w:rPr>
              <w:rFonts w:ascii="Palatino Linotype" w:eastAsia="Palatino Linotype" w:hAnsi="Palatino Linotype" w:cs="Palatino Linotype"/>
              <w:b/>
              <w:bCs/>
            </w:rPr>
          </w:pPr>
          <w:r>
            <w:rPr>
              <w:rFonts w:ascii="Palatino Linotype" w:eastAsia="Palatino Linotype" w:hAnsi="Palatino Linotype" w:cs="Palatino Linotype"/>
              <w:b/>
              <w:bCs/>
            </w:rPr>
            <w:t>Sujeto Obligado:</w:t>
          </w:r>
        </w:p>
      </w:tc>
      <w:tc>
        <w:tcPr>
          <w:tcW w:w="3486" w:type="dxa"/>
          <w:vAlign w:val="center"/>
        </w:tcPr>
        <w:p w:rsidR="00977EB9" w:rsidRDefault="000D6F72">
          <w:pPr>
            <w:pBdr>
              <w:top w:val="nil"/>
              <w:left w:val="nil"/>
              <w:bottom w:val="nil"/>
              <w:right w:val="nil"/>
              <w:between w:val="nil"/>
            </w:pBdr>
            <w:tabs>
              <w:tab w:val="center" w:pos="4419"/>
              <w:tab w:val="right" w:pos="8838"/>
            </w:tabs>
            <w:ind w:left="141" w:right="-638"/>
            <w:jc w:val="both"/>
            <w:rPr>
              <w:rFonts w:ascii="Palatino Linotype" w:eastAsia="Palatino Linotype" w:hAnsi="Palatino Linotype" w:cs="Palatino Linotype"/>
              <w:color w:val="000000"/>
            </w:rPr>
          </w:pPr>
          <w:r>
            <w:rPr>
              <w:rFonts w:ascii="Palatino Linotype" w:eastAsia="Palatino Linotype" w:hAnsi="Palatino Linotype" w:cs="Palatino Linotype"/>
              <w:color w:val="000000"/>
            </w:rPr>
            <w:t>Secretaría de las Mujeres</w:t>
          </w:r>
        </w:p>
      </w:tc>
    </w:tr>
    <w:tr w:rsidR="00977EB9" w:rsidTr="00E47913">
      <w:trPr>
        <w:trHeight w:val="342"/>
      </w:trPr>
      <w:tc>
        <w:tcPr>
          <w:tcW w:w="3174" w:type="dxa"/>
          <w:vAlign w:val="center"/>
        </w:tcPr>
        <w:p w:rsidR="00977EB9" w:rsidRDefault="000D6F72">
          <w:pPr>
            <w:jc w:val="right"/>
            <w:rPr>
              <w:rFonts w:ascii="Palatino Linotype" w:eastAsia="Palatino Linotype" w:hAnsi="Palatino Linotype" w:cs="Palatino Linotype"/>
              <w:b/>
              <w:bCs/>
            </w:rPr>
          </w:pPr>
          <w:r>
            <w:rPr>
              <w:rFonts w:ascii="Palatino Linotype" w:eastAsia="Palatino Linotype" w:hAnsi="Palatino Linotype" w:cs="Palatino Linotype"/>
              <w:b/>
              <w:bCs/>
            </w:rPr>
            <w:t>Comisionada Ponente:</w:t>
          </w:r>
        </w:p>
      </w:tc>
      <w:tc>
        <w:tcPr>
          <w:tcW w:w="3486" w:type="dxa"/>
          <w:vAlign w:val="center"/>
        </w:tcPr>
        <w:p w:rsidR="00977EB9" w:rsidRDefault="000D6F72">
          <w:pPr>
            <w:pBdr>
              <w:top w:val="nil"/>
              <w:left w:val="nil"/>
              <w:bottom w:val="nil"/>
              <w:right w:val="nil"/>
              <w:between w:val="nil"/>
            </w:pBdr>
            <w:tabs>
              <w:tab w:val="center" w:pos="4419"/>
              <w:tab w:val="right" w:pos="8838"/>
            </w:tabs>
            <w:ind w:left="141" w:right="-638"/>
            <w:rPr>
              <w:rFonts w:ascii="Palatino Linotype" w:eastAsia="Palatino Linotype" w:hAnsi="Palatino Linotype" w:cs="Palatino Linotype"/>
              <w:color w:val="000000"/>
            </w:rPr>
          </w:pPr>
          <w:r>
            <w:rPr>
              <w:rFonts w:ascii="Palatino Linotype" w:eastAsia="Palatino Linotype" w:hAnsi="Palatino Linotype" w:cs="Palatino Linotype"/>
              <w:color w:val="000000"/>
            </w:rPr>
            <w:t>María del Rosario Mejía Ayala</w:t>
          </w:r>
        </w:p>
      </w:tc>
    </w:tr>
  </w:tbl>
  <w:p w:rsidR="00977EB9" w:rsidRDefault="009C7889">
    <w:pPr>
      <w:pBdr>
        <w:top w:val="nil"/>
        <w:left w:val="nil"/>
        <w:bottom w:val="nil"/>
        <w:right w:val="nil"/>
        <w:between w:val="nil"/>
      </w:pBdr>
      <w:tabs>
        <w:tab w:val="center" w:pos="4419"/>
        <w:tab w:val="right" w:pos="8838"/>
      </w:tabs>
      <w:rPr>
        <w:color w:val="000000"/>
        <w:sz w:val="16"/>
        <w:szCs w:val="16"/>
      </w:rPr>
    </w:pPr>
    <w:r>
      <w:rPr>
        <w:color w:val="000000"/>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84.55pt;margin-top:-122.3pt;width:609.4pt;height:793.75pt;z-index:-251658752;mso-position-horizontal:absolute;mso-position-horizontal-relative:margin;mso-position-vertical:absolute;mso-position-vertical-relative:margin">
          <v:imagedata r:id="rId1" o:title="image2"/>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712B10"/>
    <w:multiLevelType w:val="multilevel"/>
    <w:tmpl w:val="A614F2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EE91ED2"/>
    <w:multiLevelType w:val="multilevel"/>
    <w:tmpl w:val="46E05B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0D078F0"/>
    <w:multiLevelType w:val="multilevel"/>
    <w:tmpl w:val="9DD20ACE"/>
    <w:lvl w:ilvl="0">
      <w:start w:val="1"/>
      <w:numFmt w:val="decimal"/>
      <w:lvlText w:val="%1."/>
      <w:lvlJc w:val="left"/>
      <w:pPr>
        <w:ind w:left="786" w:hanging="360"/>
      </w:pPr>
      <w:rPr>
        <w:rFonts w:ascii="Palatino Linotype" w:eastAsia="Palatino Linotype" w:hAnsi="Palatino Linotype" w:cs="Palatino Linotype"/>
        <w:b/>
        <w:bCs/>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74126FD"/>
    <w:multiLevelType w:val="multilevel"/>
    <w:tmpl w:val="03DA03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C207B42"/>
    <w:multiLevelType w:val="multilevel"/>
    <w:tmpl w:val="B19AD6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233553C"/>
    <w:multiLevelType w:val="multilevel"/>
    <w:tmpl w:val="29EEE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67079F3"/>
    <w:multiLevelType w:val="multilevel"/>
    <w:tmpl w:val="47C81A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C77DE7"/>
    <w:multiLevelType w:val="multilevel"/>
    <w:tmpl w:val="AED475A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5"/>
  </w:num>
  <w:num w:numId="4">
    <w:abstractNumId w:val="7"/>
  </w:num>
  <w:num w:numId="5">
    <w:abstractNumId w:val="1"/>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TrueTypeFonts/>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EB9"/>
    <w:rsid w:val="000D6F72"/>
    <w:rsid w:val="003439B0"/>
    <w:rsid w:val="007A2692"/>
    <w:rsid w:val="008F760D"/>
    <w:rsid w:val="00977EB9"/>
    <w:rsid w:val="009C7889"/>
    <w:rsid w:val="00A6379F"/>
    <w:rsid w:val="00A8070E"/>
    <w:rsid w:val="00BF7893"/>
    <w:rsid w:val="00E479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E60CBFFC-6552-4827-93D8-FA337B23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s-ES_tradnl"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240"/>
      <w:outlineLvl w:val="0"/>
    </w:pPr>
    <w:rPr>
      <w:color w:val="2E75B5"/>
      <w:sz w:val="32"/>
      <w:szCs w:val="32"/>
    </w:rPr>
  </w:style>
  <w:style w:type="paragraph" w:styleId="Ttulo2">
    <w:name w:val="heading 2"/>
    <w:basedOn w:val="Normal"/>
    <w:next w:val="Normal"/>
    <w:pPr>
      <w:keepNext/>
      <w:keepLines/>
      <w:spacing w:before="40"/>
      <w:outlineLvl w:val="1"/>
    </w:pPr>
    <w:rPr>
      <w:color w:val="2E75B5"/>
      <w:sz w:val="26"/>
      <w:szCs w:val="2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character" w:customStyle="1" w:styleId="Ttulo1Car">
    <w:name w:val="Título 1 Car"/>
    <w:basedOn w:val="Fuentedeprrafopredeter"/>
    <w:uiPriority w:val="9"/>
    <w:rsid w:val="00685D5F"/>
    <w:rPr>
      <w:rFonts w:asciiTheme="majorHAnsi" w:eastAsiaTheme="majorEastAsia" w:hAnsiTheme="majorHAnsi" w:cstheme="majorBidi"/>
      <w:color w:val="2E74B5" w:themeColor="accent1" w:themeShade="BF"/>
      <w:sz w:val="32"/>
      <w:szCs w:val="32"/>
      <w:lang w:val="es-ES_tradnl" w:eastAsia="es-ES"/>
    </w:rPr>
  </w:style>
  <w:style w:type="character" w:customStyle="1" w:styleId="Ttulo2Car">
    <w:name w:val="Título 2 Car"/>
    <w:basedOn w:val="Fuentedeprrafopredeter"/>
    <w:uiPriority w:val="9"/>
    <w:rsid w:val="00685D5F"/>
    <w:rPr>
      <w:rFonts w:asciiTheme="majorHAnsi" w:eastAsiaTheme="majorEastAsia" w:hAnsiTheme="majorHAnsi" w:cstheme="majorBidi"/>
      <w:color w:val="2E74B5" w:themeColor="accent1" w:themeShade="BF"/>
      <w:sz w:val="26"/>
      <w:szCs w:val="26"/>
      <w:lang w:val="es-ES_tradnl" w:eastAsia="es-ES"/>
    </w:rPr>
  </w:style>
  <w:style w:type="paragraph" w:styleId="Encabezado">
    <w:name w:val="header"/>
    <w:basedOn w:val="Normal"/>
    <w:link w:val="EncabezadoCar"/>
    <w:uiPriority w:val="99"/>
    <w:unhideWhenUsed/>
    <w:rsid w:val="00685D5F"/>
    <w:pPr>
      <w:tabs>
        <w:tab w:val="center" w:pos="4419"/>
        <w:tab w:val="right" w:pos="8838"/>
      </w:tabs>
    </w:pPr>
  </w:style>
  <w:style w:type="character" w:customStyle="1" w:styleId="EncabezadoCar">
    <w:name w:val="Encabezado Car"/>
    <w:basedOn w:val="Fuentedeprrafopredeter"/>
    <w:link w:val="Encabezado"/>
    <w:uiPriority w:val="99"/>
    <w:rsid w:val="00685D5F"/>
    <w:rPr>
      <w:rFonts w:eastAsiaTheme="minorEastAsia"/>
      <w:sz w:val="24"/>
      <w:szCs w:val="24"/>
      <w:lang w:val="es-ES_tradnl" w:eastAsia="es-ES"/>
    </w:rPr>
  </w:style>
  <w:style w:type="paragraph" w:styleId="Piedepgina">
    <w:name w:val="footer"/>
    <w:basedOn w:val="Normal"/>
    <w:link w:val="PiedepginaCar"/>
    <w:uiPriority w:val="99"/>
    <w:unhideWhenUsed/>
    <w:rsid w:val="00685D5F"/>
    <w:pPr>
      <w:tabs>
        <w:tab w:val="center" w:pos="4419"/>
        <w:tab w:val="right" w:pos="8838"/>
      </w:tabs>
    </w:pPr>
  </w:style>
  <w:style w:type="character" w:customStyle="1" w:styleId="PiedepginaCar">
    <w:name w:val="Pie de página Car"/>
    <w:basedOn w:val="Fuentedeprrafopredeter"/>
    <w:link w:val="Piedepgina"/>
    <w:uiPriority w:val="99"/>
    <w:rsid w:val="00685D5F"/>
    <w:rPr>
      <w:rFonts w:eastAsiaTheme="minorEastAsia"/>
      <w:sz w:val="24"/>
      <w:szCs w:val="24"/>
      <w:lang w:val="es-ES_tradnl"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685D5F"/>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685D5F"/>
    <w:rPr>
      <w:rFonts w:eastAsiaTheme="minorEastAsia"/>
      <w:sz w:val="24"/>
      <w:szCs w:val="24"/>
      <w:lang w:val="es-ES_tradnl" w:eastAsia="es-ES"/>
    </w:rPr>
  </w:style>
  <w:style w:type="character" w:styleId="Hipervnculo">
    <w:name w:val="Hyperlink"/>
    <w:aliases w:val="Hipervínculo1,Hipervínculo11,Hipervínculo12,Hipervínculo13,Hipervínculo14,Hipervínculo15"/>
    <w:basedOn w:val="Fuentedeprrafopredeter"/>
    <w:uiPriority w:val="99"/>
    <w:unhideWhenUsed/>
    <w:qFormat/>
    <w:rsid w:val="00685D5F"/>
    <w:rPr>
      <w:color w:val="0563C1" w:themeColor="hyperlink"/>
      <w:u w:val="single"/>
    </w:rPr>
  </w:style>
  <w:style w:type="table" w:styleId="Tablanormal1">
    <w:name w:val="Plain Table 1"/>
    <w:basedOn w:val="Tablanormal"/>
    <w:uiPriority w:val="41"/>
    <w:rsid w:val="00685D5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2">
    <w:name w:val="A2"/>
    <w:uiPriority w:val="99"/>
    <w:rsid w:val="002C5318"/>
    <w:rPr>
      <w:rFonts w:cs="Modica Black"/>
      <w:color w:val="000000"/>
      <w:sz w:val="20"/>
      <w:szCs w:val="20"/>
    </w:rPr>
  </w:style>
  <w:style w:type="paragraph" w:customStyle="1" w:styleId="Pa2">
    <w:name w:val="Pa2"/>
    <w:basedOn w:val="Normal"/>
    <w:next w:val="Normal"/>
    <w:uiPriority w:val="99"/>
    <w:rsid w:val="002C5318"/>
    <w:pPr>
      <w:autoSpaceDE w:val="0"/>
      <w:autoSpaceDN w:val="0"/>
      <w:adjustRightInd w:val="0"/>
      <w:spacing w:line="221" w:lineRule="atLeast"/>
    </w:pPr>
    <w:rPr>
      <w:rFonts w:ascii="Modica Black" w:eastAsiaTheme="minorHAnsi" w:hAnsi="Modica Black"/>
      <w:lang w:val="es-MX" w:eastAsia="en-US"/>
    </w:rPr>
  </w:style>
  <w:style w:type="paragraph" w:customStyle="1" w:styleId="Pa5">
    <w:name w:val="Pa5"/>
    <w:basedOn w:val="Normal"/>
    <w:next w:val="Normal"/>
    <w:uiPriority w:val="99"/>
    <w:rsid w:val="002C5318"/>
    <w:pPr>
      <w:autoSpaceDE w:val="0"/>
      <w:autoSpaceDN w:val="0"/>
      <w:adjustRightInd w:val="0"/>
      <w:spacing w:line="221" w:lineRule="atLeast"/>
    </w:pPr>
    <w:rPr>
      <w:rFonts w:ascii="Modica Black" w:eastAsiaTheme="minorHAnsi" w:hAnsi="Modica Black"/>
      <w:lang w:val="es-MX" w:eastAsia="en-US"/>
    </w:rPr>
  </w:style>
  <w:style w:type="paragraph" w:customStyle="1" w:styleId="Default">
    <w:name w:val="Default"/>
    <w:qFormat/>
    <w:rsid w:val="00525732"/>
    <w:pPr>
      <w:autoSpaceDE w:val="0"/>
      <w:autoSpaceDN w:val="0"/>
      <w:adjustRightInd w:val="0"/>
    </w:pPr>
    <w:rPr>
      <w:rFonts w:ascii="Bookman Old Style" w:hAnsi="Bookman Old Style" w:cs="Bookman Old Style"/>
      <w:color w:val="000000"/>
    </w:rPr>
  </w:style>
  <w:style w:type="paragraph" w:styleId="Sinespaciado">
    <w:name w:val="No Spacing"/>
    <w:aliases w:val="Francesa,INAI"/>
    <w:link w:val="SinespaciadoCar"/>
    <w:uiPriority w:val="1"/>
    <w:qFormat/>
    <w:rsid w:val="00845AE9"/>
  </w:style>
  <w:style w:type="character" w:customStyle="1" w:styleId="SinespaciadoCar">
    <w:name w:val="Sin espaciado Car"/>
    <w:aliases w:val="Francesa Car,INAI Car"/>
    <w:link w:val="Sinespaciado"/>
    <w:uiPriority w:val="1"/>
    <w:locked/>
    <w:rsid w:val="00845AE9"/>
  </w:style>
  <w:style w:type="character" w:customStyle="1" w:styleId="gmail-il">
    <w:name w:val="gmail-il"/>
    <w:basedOn w:val="Fuentedeprrafopredeter"/>
    <w:rsid w:val="00D45FD4"/>
  </w:style>
  <w:style w:type="paragraph" w:styleId="NormalWeb">
    <w:name w:val="Normal (Web)"/>
    <w:basedOn w:val="Normal"/>
    <w:uiPriority w:val="99"/>
    <w:unhideWhenUsed/>
    <w:rsid w:val="00D45FD4"/>
    <w:pPr>
      <w:spacing w:before="100" w:beforeAutospacing="1" w:after="100" w:afterAutospacing="1"/>
    </w:pPr>
    <w:rPr>
      <w:rFonts w:ascii="Times New Roman" w:eastAsia="Times New Roman" w:hAnsi="Times New Roman" w:cs="Times New Roman"/>
      <w:lang w:val="es-MX"/>
    </w:rPr>
  </w:style>
  <w:style w:type="character" w:customStyle="1" w:styleId="object">
    <w:name w:val="object"/>
    <w:basedOn w:val="Fuentedeprrafopredeter"/>
    <w:rsid w:val="00D45FD4"/>
  </w:style>
  <w:style w:type="character" w:styleId="Hipervnculovisitado">
    <w:name w:val="FollowedHyperlink"/>
    <w:basedOn w:val="Fuentedeprrafopredeter"/>
    <w:uiPriority w:val="99"/>
    <w:semiHidden/>
    <w:unhideWhenUsed/>
    <w:rsid w:val="00EE552F"/>
    <w:rPr>
      <w:color w:val="954F72" w:themeColor="followedHyperlink"/>
      <w:u w:val="single"/>
    </w:rPr>
  </w:style>
  <w:style w:type="paragraph" w:customStyle="1" w:styleId="NormalINFOEM">
    <w:name w:val="Normal INFOEM"/>
    <w:basedOn w:val="Normal"/>
    <w:link w:val="NormalINFOEMCar"/>
    <w:qFormat/>
    <w:rsid w:val="008E3726"/>
    <w:pPr>
      <w:spacing w:line="360" w:lineRule="auto"/>
      <w:jc w:val="both"/>
    </w:pPr>
    <w:rPr>
      <w:rFonts w:ascii="Palatino Linotype" w:hAnsi="Palatino Linotype"/>
      <w:szCs w:val="22"/>
    </w:rPr>
  </w:style>
  <w:style w:type="character" w:customStyle="1" w:styleId="NormalINFOEMCar">
    <w:name w:val="Normal INFOEM Car"/>
    <w:basedOn w:val="Fuentedeprrafopredeter"/>
    <w:link w:val="NormalINFOEM"/>
    <w:rsid w:val="008E3726"/>
    <w:rPr>
      <w:rFonts w:ascii="Palatino Linotype" w:eastAsia="Calibri" w:hAnsi="Palatino Linotype" w:cs="Calibri"/>
      <w:sz w:val="24"/>
      <w:lang w:val="es-ES_tradnl" w:eastAsia="es-MX"/>
    </w:rPr>
  </w:style>
  <w:style w:type="table" w:styleId="Tablaconcuadrcula">
    <w:name w:val="Table Grid"/>
    <w:basedOn w:val="Tablanormal"/>
    <w:uiPriority w:val="39"/>
    <w:rsid w:val="008938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1clara-nfasis1">
    <w:name w:val="Grid Table 1 Light Accent 1"/>
    <w:basedOn w:val="Tablanormal"/>
    <w:uiPriority w:val="46"/>
    <w:rsid w:val="0089385C"/>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Textonotapie">
    <w:name w:val="footnote text"/>
    <w:basedOn w:val="Normal"/>
    <w:link w:val="TextonotapieCar"/>
    <w:uiPriority w:val="99"/>
    <w:semiHidden/>
    <w:unhideWhenUsed/>
    <w:rsid w:val="004F07D6"/>
    <w:rPr>
      <w:sz w:val="20"/>
      <w:szCs w:val="20"/>
    </w:rPr>
  </w:style>
  <w:style w:type="character" w:customStyle="1" w:styleId="TextonotapieCar">
    <w:name w:val="Texto nota pie Car"/>
    <w:basedOn w:val="Fuentedeprrafopredeter"/>
    <w:link w:val="Textonotapie"/>
    <w:uiPriority w:val="99"/>
    <w:semiHidden/>
    <w:rsid w:val="004F07D6"/>
    <w:rPr>
      <w:rFonts w:eastAsiaTheme="minorEastAsia"/>
      <w:sz w:val="20"/>
      <w:szCs w:val="20"/>
      <w:lang w:val="es-ES_tradnl" w:eastAsia="es-ES"/>
    </w:rPr>
  </w:style>
  <w:style w:type="character" w:styleId="Refdenotaalpie">
    <w:name w:val="footnote reference"/>
    <w:basedOn w:val="Fuentedeprrafopredeter"/>
    <w:uiPriority w:val="99"/>
    <w:semiHidden/>
    <w:unhideWhenUsed/>
    <w:rsid w:val="004F07D6"/>
    <w:rPr>
      <w:vertAlign w:val="superscript"/>
    </w:rPr>
  </w:style>
  <w:style w:type="paragraph" w:styleId="Textocomentario">
    <w:name w:val="annotation text"/>
    <w:basedOn w:val="Normal"/>
    <w:link w:val="TextocomentarioCar"/>
    <w:uiPriority w:val="99"/>
    <w:semiHidden/>
    <w:unhideWhenUsed/>
    <w:rsid w:val="00AA50A2"/>
    <w:pPr>
      <w:spacing w:after="160"/>
    </w:pPr>
    <w:rPr>
      <w:rFonts w:eastAsiaTheme="minorHAnsi"/>
      <w:sz w:val="20"/>
      <w:szCs w:val="20"/>
      <w:lang w:val="es-MX" w:eastAsia="en-US"/>
    </w:rPr>
  </w:style>
  <w:style w:type="character" w:customStyle="1" w:styleId="TextocomentarioCar">
    <w:name w:val="Texto comentario Car"/>
    <w:basedOn w:val="Fuentedeprrafopredeter"/>
    <w:link w:val="Textocomentario"/>
    <w:uiPriority w:val="99"/>
    <w:semiHidden/>
    <w:rsid w:val="00AA50A2"/>
    <w:rPr>
      <w:sz w:val="20"/>
      <w:szCs w:val="20"/>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CvVqQB7MccOKE3r0UqHnx5Teqw==">CgMxLjAyDmgucDY1c3ZsajQ4bDR6Mg5oLjlkOXl2c2R4YXZvajIOaC5pNTNjbXg3Y2J5NTMyDmgudDVvYWhlMzVvdmNiMg5oLjRhaDQ0dWU2YzNxajIJaC4yczhleW8xMgloLjE3ZHA4dnUyCWguM3JkY3JqbjIOaC5mb3p2cjlmbGJuNjYyDmgubDh4NHkwc3p3eGwwMg5oLmQwOWVxc284YjhtYjgAciExQ1k5S3I3b0N3RHhlWXdweFRybXZSdmpJR0NGXzhJWUc=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35</Pages>
  <Words>9309</Words>
  <Characters>51200</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60389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INFOEM399</dc:creator>
  <cp:lastModifiedBy>Cuenta Microsoft</cp:lastModifiedBy>
  <cp:revision>7</cp:revision>
  <cp:lastPrinted>2026-08-27T19:18:00Z</cp:lastPrinted>
  <dcterms:created xsi:type="dcterms:W3CDTF">2026-08-05T16:55:00Z</dcterms:created>
  <dcterms:modified xsi:type="dcterms:W3CDTF">2026-09-08T23:47:00Z</dcterms:modified>
</cp:coreProperties>
</file>