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3B835B" w14:textId="1C952471" w:rsidR="00870B18" w:rsidRPr="00F97C81" w:rsidRDefault="00870B18" w:rsidP="00870B18">
      <w:pPr>
        <w:spacing w:before="240" w:line="360" w:lineRule="auto"/>
        <w:jc w:val="both"/>
        <w:rPr>
          <w:rFonts w:ascii="Palatino Linotype" w:eastAsia="Times New Roman" w:hAnsi="Palatino Linotype" w:cs="Arial"/>
          <w:color w:val="000000"/>
          <w:sz w:val="24"/>
          <w:szCs w:val="24"/>
          <w:lang w:eastAsia="es-MX"/>
        </w:rPr>
      </w:pPr>
      <w:r w:rsidRPr="00F97C81">
        <w:rPr>
          <w:rFonts w:ascii="Palatino Linotype" w:eastAsia="Times New Roman" w:hAnsi="Palatino Linotype" w:cs="Arial"/>
          <w:color w:val="000000"/>
          <w:sz w:val="24"/>
          <w:szCs w:val="24"/>
          <w:lang w:eastAsia="es-MX"/>
        </w:rPr>
        <w:t>Resolución del Pleno del Instituto de Transparencia, Acc</w:t>
      </w:r>
      <w:bookmarkStart w:id="0" w:name="_GoBack"/>
      <w:bookmarkEnd w:id="0"/>
      <w:r w:rsidRPr="00F97C81">
        <w:rPr>
          <w:rFonts w:ascii="Palatino Linotype" w:eastAsia="Times New Roman" w:hAnsi="Palatino Linotype" w:cs="Arial"/>
          <w:color w:val="000000"/>
          <w:sz w:val="24"/>
          <w:szCs w:val="24"/>
          <w:lang w:eastAsia="es-MX"/>
        </w:rPr>
        <w:t xml:space="preserve">eso a la Información Pública y Protección de Datos Personales del Estado de México y Municipios, con domicilio en Metepec, Estado de México, a </w:t>
      </w:r>
      <w:r w:rsidR="00515163" w:rsidRPr="00F97C81">
        <w:rPr>
          <w:rFonts w:ascii="Palatino Linotype" w:eastAsia="Times New Roman" w:hAnsi="Palatino Linotype" w:cs="Arial"/>
          <w:color w:val="000000"/>
          <w:sz w:val="24"/>
          <w:szCs w:val="24"/>
          <w:lang w:eastAsia="es-MX"/>
        </w:rPr>
        <w:t xml:space="preserve">quince de julio de dos mil veintiséis. </w:t>
      </w:r>
      <w:r w:rsidR="008F5877" w:rsidRPr="00F97C81">
        <w:rPr>
          <w:rFonts w:ascii="Palatino Linotype" w:eastAsia="Times New Roman" w:hAnsi="Palatino Linotype" w:cs="Arial"/>
          <w:color w:val="000000"/>
          <w:sz w:val="24"/>
          <w:szCs w:val="24"/>
          <w:lang w:eastAsia="es-MX"/>
        </w:rPr>
        <w:t xml:space="preserve"> </w:t>
      </w:r>
      <w:r w:rsidRPr="00F97C81">
        <w:rPr>
          <w:rFonts w:ascii="Palatino Linotype" w:eastAsia="Times New Roman" w:hAnsi="Palatino Linotype" w:cs="Arial"/>
          <w:color w:val="000000"/>
          <w:sz w:val="24"/>
          <w:szCs w:val="24"/>
          <w:lang w:eastAsia="es-MX"/>
        </w:rPr>
        <w:t xml:space="preserve">        </w:t>
      </w:r>
    </w:p>
    <w:p w14:paraId="3265C97F" w14:textId="1D39C665" w:rsidR="00515163" w:rsidRPr="00F97C81" w:rsidRDefault="00870B18" w:rsidP="00870B18">
      <w:pPr>
        <w:tabs>
          <w:tab w:val="left" w:pos="1701"/>
        </w:tabs>
        <w:spacing w:before="240" w:line="360" w:lineRule="auto"/>
        <w:jc w:val="both"/>
        <w:rPr>
          <w:rFonts w:ascii="Palatino Linotype" w:hAnsi="Palatino Linotype" w:cs="Arial"/>
          <w:sz w:val="24"/>
          <w:szCs w:val="24"/>
        </w:rPr>
      </w:pPr>
      <w:r w:rsidRPr="00F97C81">
        <w:rPr>
          <w:rFonts w:ascii="Palatino Linotype" w:hAnsi="Palatino Linotype" w:cs="Arial"/>
          <w:b/>
          <w:sz w:val="24"/>
        </w:rPr>
        <w:t>VISTO</w:t>
      </w:r>
      <w:r w:rsidRPr="00F97C81">
        <w:rPr>
          <w:rFonts w:ascii="Palatino Linotype" w:hAnsi="Palatino Linotype" w:cs="Arial"/>
          <w:sz w:val="24"/>
        </w:rPr>
        <w:t xml:space="preserve"> el expediente electrónico formado con motivo del recurso de revisión número </w:t>
      </w:r>
      <w:r w:rsidR="00515163" w:rsidRPr="00F97C81">
        <w:rPr>
          <w:rFonts w:ascii="Palatino Linotype" w:hAnsi="Palatino Linotype" w:cs="Arial"/>
          <w:b/>
          <w:bCs/>
          <w:sz w:val="24"/>
          <w:lang w:eastAsia="es-MX"/>
        </w:rPr>
        <w:t>06130</w:t>
      </w:r>
      <w:r w:rsidRPr="00F97C81">
        <w:rPr>
          <w:rFonts w:ascii="Palatino Linotype" w:hAnsi="Palatino Linotype" w:cs="Arial"/>
          <w:b/>
          <w:bCs/>
          <w:sz w:val="24"/>
          <w:lang w:eastAsia="es-MX"/>
        </w:rPr>
        <w:t>/INFOEM/IP/RR/202</w:t>
      </w:r>
      <w:r w:rsidR="00515163" w:rsidRPr="00F97C81">
        <w:rPr>
          <w:rFonts w:ascii="Palatino Linotype" w:hAnsi="Palatino Linotype" w:cs="Arial"/>
          <w:b/>
          <w:bCs/>
          <w:sz w:val="24"/>
          <w:lang w:eastAsia="es-MX"/>
        </w:rPr>
        <w:t>6</w:t>
      </w:r>
      <w:r w:rsidRPr="00F97C81">
        <w:rPr>
          <w:rFonts w:ascii="Palatino Linotype" w:hAnsi="Palatino Linotype" w:cs="Arial"/>
          <w:sz w:val="24"/>
        </w:rPr>
        <w:t xml:space="preserve">, </w:t>
      </w:r>
      <w:r w:rsidRPr="00F97C81">
        <w:rPr>
          <w:rFonts w:ascii="Palatino Linotype" w:hAnsi="Palatino Linotype" w:cs="Arial"/>
          <w:sz w:val="24"/>
          <w:szCs w:val="24"/>
        </w:rPr>
        <w:t>interpuesto por</w:t>
      </w:r>
      <w:r w:rsidR="00FD118E" w:rsidRPr="00F97C81">
        <w:rPr>
          <w:rFonts w:ascii="Palatino Linotype" w:hAnsi="Palatino Linotype" w:cs="Arial"/>
          <w:sz w:val="24"/>
          <w:szCs w:val="24"/>
        </w:rPr>
        <w:t xml:space="preserve"> </w:t>
      </w:r>
      <w:r w:rsidR="00515163" w:rsidRPr="00F97C81">
        <w:rPr>
          <w:rFonts w:ascii="Palatino Linotype" w:hAnsi="Palatino Linotype" w:cs="Arial"/>
          <w:sz w:val="24"/>
          <w:szCs w:val="24"/>
        </w:rPr>
        <w:t xml:space="preserve">un particular, en lo sucesivo </w:t>
      </w:r>
      <w:r w:rsidR="00515163" w:rsidRPr="00F97C81">
        <w:rPr>
          <w:rFonts w:ascii="Palatino Linotype" w:hAnsi="Palatino Linotype" w:cs="Arial"/>
          <w:b/>
          <w:bCs/>
          <w:sz w:val="24"/>
          <w:szCs w:val="24"/>
        </w:rPr>
        <w:t xml:space="preserve">El Recurrente, </w:t>
      </w:r>
      <w:r w:rsidR="00515163" w:rsidRPr="00F97C81">
        <w:rPr>
          <w:rFonts w:ascii="Palatino Linotype" w:hAnsi="Palatino Linotype" w:cs="Arial"/>
          <w:sz w:val="24"/>
          <w:szCs w:val="24"/>
        </w:rPr>
        <w:t xml:space="preserve">en contra de la respuesta del </w:t>
      </w:r>
      <w:r w:rsidR="00515163" w:rsidRPr="00F97C81">
        <w:rPr>
          <w:rFonts w:ascii="Palatino Linotype" w:hAnsi="Palatino Linotype" w:cs="Arial"/>
          <w:b/>
          <w:bCs/>
          <w:sz w:val="24"/>
          <w:szCs w:val="24"/>
        </w:rPr>
        <w:t xml:space="preserve">Ayuntamiento de Calimaya, </w:t>
      </w:r>
      <w:r w:rsidR="00515163" w:rsidRPr="00F97C81">
        <w:rPr>
          <w:rFonts w:ascii="Palatino Linotype" w:hAnsi="Palatino Linotype" w:cs="Arial"/>
          <w:sz w:val="24"/>
          <w:szCs w:val="24"/>
        </w:rPr>
        <w:t xml:space="preserve">en lo subsecuente </w:t>
      </w:r>
      <w:r w:rsidR="00515163" w:rsidRPr="00F97C81">
        <w:rPr>
          <w:rFonts w:ascii="Palatino Linotype" w:hAnsi="Palatino Linotype" w:cs="Arial"/>
          <w:b/>
          <w:bCs/>
          <w:sz w:val="24"/>
          <w:szCs w:val="24"/>
        </w:rPr>
        <w:t xml:space="preserve">El Sujeto Obligado, </w:t>
      </w:r>
      <w:r w:rsidR="00515163" w:rsidRPr="00F97C81">
        <w:rPr>
          <w:rFonts w:ascii="Palatino Linotype" w:hAnsi="Palatino Linotype" w:cs="Arial"/>
          <w:sz w:val="24"/>
          <w:szCs w:val="24"/>
        </w:rPr>
        <w:t xml:space="preserve">se procede a dictar la presente resolución. </w:t>
      </w:r>
    </w:p>
    <w:p w14:paraId="609F296E" w14:textId="77777777" w:rsidR="00515163" w:rsidRPr="00F97C81" w:rsidRDefault="00515163" w:rsidP="00870B18">
      <w:pPr>
        <w:tabs>
          <w:tab w:val="left" w:pos="1701"/>
        </w:tabs>
        <w:spacing w:before="240" w:line="360" w:lineRule="auto"/>
        <w:jc w:val="both"/>
        <w:rPr>
          <w:rFonts w:ascii="Palatino Linotype" w:hAnsi="Palatino Linotype" w:cs="Arial"/>
          <w:sz w:val="24"/>
          <w:szCs w:val="24"/>
        </w:rPr>
      </w:pPr>
    </w:p>
    <w:p w14:paraId="51FDFCCD" w14:textId="1AF3433D" w:rsidR="00870B18" w:rsidRPr="00F97C81" w:rsidRDefault="00870B18" w:rsidP="00870B18">
      <w:pPr>
        <w:spacing w:before="240" w:after="240" w:line="360" w:lineRule="auto"/>
        <w:jc w:val="center"/>
        <w:rPr>
          <w:rFonts w:ascii="Palatino Linotype" w:hAnsi="Palatino Linotype"/>
          <w:b/>
          <w:sz w:val="28"/>
        </w:rPr>
      </w:pPr>
      <w:r w:rsidRPr="00F97C81">
        <w:rPr>
          <w:rFonts w:ascii="Palatino Linotype" w:hAnsi="Palatino Linotype"/>
          <w:b/>
          <w:sz w:val="28"/>
        </w:rPr>
        <w:t>A N T E C E D E N T E S   D E L   A S U N T O</w:t>
      </w:r>
    </w:p>
    <w:p w14:paraId="17D82356" w14:textId="77777777" w:rsidR="00870B18" w:rsidRPr="00F97C81" w:rsidRDefault="00870B18" w:rsidP="00870B18">
      <w:pPr>
        <w:spacing w:before="240" w:after="240" w:line="360" w:lineRule="auto"/>
        <w:jc w:val="both"/>
        <w:rPr>
          <w:rFonts w:ascii="Palatino Linotype" w:hAnsi="Palatino Linotype"/>
        </w:rPr>
      </w:pPr>
      <w:r w:rsidRPr="00F97C81">
        <w:rPr>
          <w:rFonts w:ascii="Palatino Linotype" w:hAnsi="Palatino Linotype" w:cs="Arial"/>
          <w:b/>
          <w:sz w:val="28"/>
        </w:rPr>
        <w:t>PRIMERO.</w:t>
      </w:r>
      <w:r w:rsidRPr="00F97C81">
        <w:rPr>
          <w:rFonts w:ascii="Palatino Linotype" w:hAnsi="Palatino Linotype" w:cs="Arial"/>
        </w:rPr>
        <w:t xml:space="preserve"> </w:t>
      </w:r>
      <w:r w:rsidRPr="00F97C81">
        <w:rPr>
          <w:rFonts w:ascii="Palatino Linotype" w:hAnsi="Palatino Linotype"/>
          <w:b/>
          <w:sz w:val="28"/>
          <w:szCs w:val="28"/>
        </w:rPr>
        <w:t>De la Solicitud de Información.</w:t>
      </w:r>
    </w:p>
    <w:p w14:paraId="53DADCC6" w14:textId="47D23F60" w:rsidR="00515163" w:rsidRPr="00F97C81" w:rsidRDefault="00870B18" w:rsidP="00870B18">
      <w:pPr>
        <w:spacing w:before="240" w:line="360" w:lineRule="auto"/>
        <w:jc w:val="both"/>
        <w:rPr>
          <w:rFonts w:ascii="Palatino Linotype" w:hAnsi="Palatino Linotype" w:cs="Arial"/>
          <w:sz w:val="24"/>
        </w:rPr>
      </w:pPr>
      <w:r w:rsidRPr="00F97C81">
        <w:rPr>
          <w:rFonts w:ascii="Palatino Linotype" w:hAnsi="Palatino Linotype" w:cs="Arial"/>
          <w:sz w:val="24"/>
        </w:rPr>
        <w:t xml:space="preserve">Con fecha </w:t>
      </w:r>
      <w:r w:rsidR="00515163" w:rsidRPr="00F97C81">
        <w:rPr>
          <w:rFonts w:ascii="Palatino Linotype" w:hAnsi="Palatino Linotype" w:cs="Arial"/>
          <w:b/>
          <w:bCs/>
          <w:sz w:val="24"/>
        </w:rPr>
        <w:t xml:space="preserve">cuatro de mayo de dos mil veintiséis, El Recurrente, </w:t>
      </w:r>
      <w:r w:rsidRPr="00F97C81">
        <w:rPr>
          <w:rFonts w:ascii="Palatino Linotype" w:hAnsi="Palatino Linotype" w:cs="Arial"/>
          <w:sz w:val="24"/>
        </w:rPr>
        <w:t>presentó a través del Sistema de Acceso a la Información Mexiquense (</w:t>
      </w:r>
      <w:r w:rsidRPr="00F97C81">
        <w:rPr>
          <w:rFonts w:ascii="Palatino Linotype" w:hAnsi="Palatino Linotype" w:cs="Arial"/>
          <w:b/>
          <w:sz w:val="24"/>
        </w:rPr>
        <w:t>SAIMEX)</w:t>
      </w:r>
      <w:r w:rsidRPr="00F97C81">
        <w:rPr>
          <w:rFonts w:ascii="Palatino Linotype" w:hAnsi="Palatino Linotype" w:cs="Arial"/>
          <w:sz w:val="24"/>
        </w:rPr>
        <w:t xml:space="preserve"> ante </w:t>
      </w:r>
      <w:r w:rsidRPr="00F97C81">
        <w:rPr>
          <w:rFonts w:ascii="Palatino Linotype" w:hAnsi="Palatino Linotype" w:cs="Arial"/>
          <w:b/>
          <w:sz w:val="24"/>
        </w:rPr>
        <w:t>El Sujeto Obligado</w:t>
      </w:r>
      <w:r w:rsidRPr="00F97C81">
        <w:rPr>
          <w:rFonts w:ascii="Palatino Linotype" w:hAnsi="Palatino Linotype" w:cs="Arial"/>
          <w:sz w:val="24"/>
        </w:rPr>
        <w:t>, solicitud de acceso a la información pública, registrada bajo el número de expediente</w:t>
      </w:r>
      <w:r w:rsidR="00FD118E" w:rsidRPr="00F97C81">
        <w:rPr>
          <w:rFonts w:ascii="Palatino Linotype" w:hAnsi="Palatino Linotype" w:cs="Arial"/>
          <w:sz w:val="24"/>
        </w:rPr>
        <w:t xml:space="preserve"> </w:t>
      </w:r>
      <w:r w:rsidR="00515163" w:rsidRPr="00F97C81">
        <w:rPr>
          <w:rFonts w:ascii="Palatino Linotype" w:hAnsi="Palatino Linotype" w:cs="Arial"/>
          <w:b/>
          <w:bCs/>
          <w:sz w:val="24"/>
        </w:rPr>
        <w:t xml:space="preserve">00119/CALIMAYA/IP/2026, </w:t>
      </w:r>
      <w:r w:rsidR="00515163" w:rsidRPr="00F97C81">
        <w:rPr>
          <w:rFonts w:ascii="Palatino Linotype" w:hAnsi="Palatino Linotype" w:cs="Arial"/>
          <w:sz w:val="24"/>
        </w:rPr>
        <w:t>mediante la cual solicitó información en el tenor siguiente:</w:t>
      </w:r>
    </w:p>
    <w:p w14:paraId="1F37A260" w14:textId="2A798157" w:rsidR="00515163" w:rsidRPr="00F97C81" w:rsidRDefault="00515163" w:rsidP="00515163">
      <w:pPr>
        <w:pStyle w:val="Citas"/>
        <w:rPr>
          <w:b/>
          <w:bCs/>
        </w:rPr>
      </w:pPr>
      <w:r w:rsidRPr="00F97C81">
        <w:t xml:space="preserve">“Con fundamento en lo dispuesto por el artículo 6° de la Constitución Política de los Estados Unidos Mexicanos, así como en la Ley de Transparencia y Acceso a la Información Pública del Estado de México y Municipios, por medio de la presente solicito la siguiente información: Respecto del Ayuntamiento de Calimaya, requiero: Alcance de la solicitud: 1. Relación de todas las obras públicas ejecutadas durante el </w:t>
      </w:r>
      <w:r w:rsidRPr="00F97C81">
        <w:lastRenderedPageBreak/>
        <w:t xml:space="preserve">periodo del 1 de enero al 31 de diciembre de 2025, que incluya: Nombre de la obra Ubicación Tipo de obra Monto aprobado Monto ejercido final Fuente de financiamiento Modalidad de contratación (licitación, invitación restringida, adjudicación directa) Empresa o contratista adjudicado 2. Expediente técnico completo de cada obra, que incluya, en su caso: Proyecto ejecutivo Presupuesto de obra Catálogo de conceptos Números generadores Estimaciones de obra Bitácora de obra Reportes de supervisión Dictámenes técnicos 3. Documentación contractual: Contrato de obra pública firmado Anexos técnicos, financieros y administrativos Convenios modificatorios o ampliaciones de plazo y monto (en su caso) 4. Comprobación y cierre de obra: Acta de entrega-recepción Finiquito de obra Facturas o comprobantes de pago Pólizas contables relacionadas Modalidad de entrega: Solicito que la información sea proporcionada directamente en formato PDF, en archivo(s) descargable(s), evitando la remisión a hipervínculos, portales electrónicos o plataformas de consulta. En caso de que la información se encuentre en otro formato, solicito que sea convertida a formato PDF para su entrega. Consideraciones adicionales: La información solicitada corresponde al ejercicio de recursos públicos, por lo que es de carácter público conforme al principio de máxima publicidad. En caso de contener datos personales o información clasificada, solicito la entrega de la versión pública debidamente fundada y motivada, sin afectar el acceso a la información sustantiva. En caso de inexistencia total o parcial, solicito se remita el acta del Comité de Transparencia correspondiente. En caso de negativa, solicito se funde y motive la respuesta conforme a derecho. Sin otro particular, quedo atento a la respuesta dentro de los plazos legales establecidos” </w:t>
      </w:r>
      <w:r w:rsidRPr="00F97C81">
        <w:rPr>
          <w:b/>
          <w:bCs/>
        </w:rPr>
        <w:t>(Sic)</w:t>
      </w:r>
    </w:p>
    <w:p w14:paraId="3DFD50C0" w14:textId="77777777" w:rsidR="00870B18" w:rsidRPr="00F97C81" w:rsidRDefault="00870B18" w:rsidP="00870B18">
      <w:pPr>
        <w:spacing w:before="240" w:line="360" w:lineRule="auto"/>
        <w:ind w:right="850"/>
        <w:jc w:val="both"/>
        <w:rPr>
          <w:rFonts w:ascii="Palatino Linotype" w:eastAsia="Times New Roman" w:hAnsi="Palatino Linotype" w:cs="Times New Roman"/>
          <w:sz w:val="24"/>
          <w:szCs w:val="24"/>
          <w:lang w:val="es-ES_tradnl" w:eastAsia="es-ES"/>
        </w:rPr>
      </w:pPr>
      <w:r w:rsidRPr="00F97C81">
        <w:rPr>
          <w:rFonts w:ascii="Palatino Linotype" w:eastAsia="Times New Roman" w:hAnsi="Palatino Linotype" w:cs="Times New Roman"/>
          <w:b/>
          <w:sz w:val="24"/>
          <w:szCs w:val="24"/>
          <w:lang w:val="es-ES_tradnl" w:eastAsia="es-ES"/>
        </w:rPr>
        <w:t>Modalidad de entrega:</w:t>
      </w:r>
      <w:r w:rsidRPr="00F97C81">
        <w:rPr>
          <w:rFonts w:ascii="Palatino Linotype" w:eastAsia="Times New Roman" w:hAnsi="Palatino Linotype" w:cs="Times New Roman"/>
          <w:sz w:val="24"/>
          <w:szCs w:val="24"/>
          <w:lang w:val="es-ES_tradnl" w:eastAsia="es-ES"/>
        </w:rPr>
        <w:t xml:space="preserve"> A través del SAIMEX. </w:t>
      </w:r>
    </w:p>
    <w:p w14:paraId="15837887" w14:textId="77777777" w:rsidR="00FD118E" w:rsidRPr="00F97C81" w:rsidRDefault="00FD118E" w:rsidP="00870B18">
      <w:pPr>
        <w:spacing w:before="240" w:line="360" w:lineRule="auto"/>
        <w:ind w:right="850"/>
        <w:jc w:val="both"/>
        <w:rPr>
          <w:rFonts w:ascii="Palatino Linotype" w:eastAsia="Times New Roman" w:hAnsi="Palatino Linotype" w:cs="Times New Roman"/>
          <w:sz w:val="24"/>
          <w:szCs w:val="24"/>
          <w:lang w:val="es-ES_tradnl" w:eastAsia="es-ES"/>
        </w:rPr>
      </w:pPr>
    </w:p>
    <w:p w14:paraId="543FA9E7" w14:textId="77777777" w:rsidR="00515163" w:rsidRPr="00F97C81" w:rsidRDefault="00515163" w:rsidP="00515163">
      <w:pPr>
        <w:spacing w:before="240" w:line="360" w:lineRule="auto"/>
        <w:ind w:right="850"/>
        <w:jc w:val="both"/>
        <w:rPr>
          <w:rFonts w:ascii="Palatino Linotype" w:hAnsi="Palatino Linotype" w:cs="Arial"/>
          <w:b/>
          <w:sz w:val="28"/>
        </w:rPr>
      </w:pPr>
      <w:r w:rsidRPr="00F97C81">
        <w:rPr>
          <w:rFonts w:ascii="Palatino Linotype" w:hAnsi="Palatino Linotype" w:cs="Arial"/>
          <w:b/>
          <w:sz w:val="28"/>
        </w:rPr>
        <w:lastRenderedPageBreak/>
        <w:t xml:space="preserve">SEGUNDO. De la prórroga del Sujeto Obligado. </w:t>
      </w:r>
    </w:p>
    <w:p w14:paraId="2965F1F7" w14:textId="374C7D45" w:rsidR="00515163" w:rsidRPr="00F97C81" w:rsidRDefault="00515163" w:rsidP="00515163">
      <w:pPr>
        <w:spacing w:before="240" w:line="360" w:lineRule="auto"/>
        <w:jc w:val="both"/>
        <w:rPr>
          <w:rFonts w:ascii="Palatino Linotype" w:hAnsi="Palatino Linotype" w:cs="Arial"/>
          <w:b/>
          <w:bCs/>
          <w:sz w:val="24"/>
          <w:szCs w:val="24"/>
        </w:rPr>
      </w:pPr>
      <w:r w:rsidRPr="00F97C81">
        <w:rPr>
          <w:rFonts w:ascii="Palatino Linotype" w:hAnsi="Palatino Linotype" w:cs="Arial"/>
          <w:sz w:val="24"/>
          <w:szCs w:val="24"/>
        </w:rPr>
        <w:t xml:space="preserve">De las constancias que obran en el expediente electrónico de los recursos de revisión, se advierte que en fecha </w:t>
      </w:r>
      <w:r w:rsidRPr="00F97C81">
        <w:rPr>
          <w:rFonts w:ascii="Palatino Linotype" w:hAnsi="Palatino Linotype" w:cs="Arial"/>
          <w:b/>
          <w:bCs/>
          <w:sz w:val="24"/>
          <w:szCs w:val="24"/>
        </w:rPr>
        <w:t xml:space="preserve">veintiséis de mayo de dos mil veintiséis, El Sujeto Obligado </w:t>
      </w:r>
      <w:r w:rsidRPr="00F97C81">
        <w:rPr>
          <w:rFonts w:ascii="Palatino Linotype" w:hAnsi="Palatino Linotype" w:cs="Arial"/>
          <w:sz w:val="24"/>
          <w:szCs w:val="24"/>
        </w:rPr>
        <w:t xml:space="preserve">solicitó prórroga de siete días para recabar la información solicitada y dar cumplimiento a lo requerido por </w:t>
      </w:r>
      <w:r w:rsidRPr="00F97C81">
        <w:rPr>
          <w:rFonts w:ascii="Palatino Linotype" w:hAnsi="Palatino Linotype" w:cs="Arial"/>
          <w:b/>
          <w:bCs/>
          <w:sz w:val="24"/>
          <w:szCs w:val="24"/>
        </w:rPr>
        <w:t xml:space="preserve">El Recurrente, </w:t>
      </w:r>
      <w:r w:rsidRPr="00F97C81">
        <w:rPr>
          <w:rFonts w:ascii="Palatino Linotype" w:hAnsi="Palatino Linotype" w:cs="Arial"/>
          <w:sz w:val="24"/>
          <w:szCs w:val="24"/>
        </w:rPr>
        <w:t xml:space="preserve">advirtiendo que dicha prórroga </w:t>
      </w:r>
      <w:r w:rsidRPr="00F97C81">
        <w:rPr>
          <w:rFonts w:ascii="Palatino Linotype" w:hAnsi="Palatino Linotype" w:cs="Arial"/>
          <w:b/>
          <w:bCs/>
          <w:sz w:val="24"/>
          <w:szCs w:val="24"/>
        </w:rPr>
        <w:t>SÍ</w:t>
      </w:r>
      <w:r w:rsidRPr="00F97C81">
        <w:rPr>
          <w:rFonts w:ascii="Palatino Linotype" w:hAnsi="Palatino Linotype" w:cs="Arial"/>
          <w:sz w:val="24"/>
          <w:szCs w:val="24"/>
        </w:rPr>
        <w:t xml:space="preserve"> cumple con lo </w:t>
      </w:r>
      <w:r w:rsidRPr="00F97C81">
        <w:rPr>
          <w:rFonts w:ascii="Palatino Linotype" w:hAnsi="Palatino Linotype"/>
          <w:sz w:val="24"/>
          <w:szCs w:val="24"/>
        </w:rPr>
        <w:t xml:space="preserve">establecido en el artículo 49, fracción II, así como en el artículo 163 segundo párrafo, de la </w:t>
      </w:r>
      <w:r w:rsidRPr="00F97C81">
        <w:rPr>
          <w:rFonts w:ascii="Palatino Linotype" w:hAnsi="Palatino Linotype" w:cs="Arial"/>
          <w:sz w:val="24"/>
          <w:szCs w:val="24"/>
        </w:rPr>
        <w:t>Ley de Transparencia y Acceso a la Información Pública del Estado de México y Municipios.</w:t>
      </w:r>
    </w:p>
    <w:p w14:paraId="0B97A8D5" w14:textId="77777777" w:rsidR="00515163" w:rsidRPr="00F97C81" w:rsidRDefault="00515163" w:rsidP="00870B18">
      <w:pPr>
        <w:spacing w:before="240" w:line="360" w:lineRule="auto"/>
        <w:jc w:val="both"/>
        <w:rPr>
          <w:rFonts w:ascii="Palatino Linotype" w:hAnsi="Palatino Linotype" w:cs="Arial"/>
          <w:b/>
          <w:sz w:val="28"/>
          <w:lang w:val="es-ES_tradnl"/>
        </w:rPr>
      </w:pPr>
    </w:p>
    <w:p w14:paraId="609B2597" w14:textId="0347B084" w:rsidR="00870B18" w:rsidRPr="00F97C81" w:rsidRDefault="00515163" w:rsidP="00870B18">
      <w:pPr>
        <w:spacing w:before="240" w:line="360" w:lineRule="auto"/>
        <w:jc w:val="both"/>
        <w:rPr>
          <w:rFonts w:ascii="Palatino Linotype" w:hAnsi="Palatino Linotype" w:cs="Arial"/>
          <w:b/>
          <w:sz w:val="28"/>
        </w:rPr>
      </w:pPr>
      <w:r w:rsidRPr="00F97C81">
        <w:rPr>
          <w:rFonts w:ascii="Palatino Linotype" w:hAnsi="Palatino Linotype" w:cs="Arial"/>
          <w:b/>
          <w:sz w:val="28"/>
        </w:rPr>
        <w:t>TERCERO</w:t>
      </w:r>
      <w:r w:rsidR="00870B18" w:rsidRPr="00F97C81">
        <w:rPr>
          <w:rFonts w:ascii="Palatino Linotype" w:hAnsi="Palatino Linotype" w:cs="Arial"/>
          <w:b/>
          <w:sz w:val="28"/>
        </w:rPr>
        <w:t xml:space="preserve">. </w:t>
      </w:r>
      <w:r w:rsidR="00870B18" w:rsidRPr="00F97C81">
        <w:rPr>
          <w:rFonts w:ascii="Palatino Linotype" w:hAnsi="Palatino Linotype" w:cs="Arial"/>
          <w:b/>
          <w:sz w:val="28"/>
          <w:szCs w:val="20"/>
        </w:rPr>
        <w:t>De la respuesta del Sujeto Obligado.</w:t>
      </w:r>
    </w:p>
    <w:p w14:paraId="1728FADD" w14:textId="37F4AA07" w:rsidR="00515163" w:rsidRPr="00F97C81" w:rsidRDefault="00870B18" w:rsidP="00870B18">
      <w:pPr>
        <w:spacing w:before="240" w:line="360" w:lineRule="auto"/>
        <w:jc w:val="both"/>
        <w:rPr>
          <w:rFonts w:ascii="Palatino Linotype" w:hAnsi="Palatino Linotype" w:cs="Arial"/>
          <w:sz w:val="24"/>
          <w:szCs w:val="24"/>
        </w:rPr>
      </w:pPr>
      <w:r w:rsidRPr="00F97C81">
        <w:rPr>
          <w:rFonts w:ascii="Palatino Linotype" w:hAnsi="Palatino Linotype" w:cs="Arial"/>
          <w:sz w:val="24"/>
          <w:szCs w:val="24"/>
        </w:rPr>
        <w:t xml:space="preserve">En el expediente electrónico </w:t>
      </w:r>
      <w:r w:rsidRPr="00F97C81">
        <w:rPr>
          <w:rFonts w:ascii="Palatino Linotype" w:hAnsi="Palatino Linotype" w:cs="Arial"/>
          <w:b/>
          <w:sz w:val="24"/>
          <w:szCs w:val="24"/>
        </w:rPr>
        <w:t>SAIMEX</w:t>
      </w:r>
      <w:r w:rsidRPr="00F97C81">
        <w:rPr>
          <w:rFonts w:ascii="Palatino Linotype" w:hAnsi="Palatino Linotype" w:cs="Arial"/>
          <w:sz w:val="24"/>
          <w:szCs w:val="24"/>
        </w:rPr>
        <w:t xml:space="preserve">, se aprecia que el </w:t>
      </w:r>
      <w:r w:rsidR="00515163" w:rsidRPr="00F97C81">
        <w:rPr>
          <w:rFonts w:ascii="Palatino Linotype" w:hAnsi="Palatino Linotype" w:cs="Arial"/>
          <w:b/>
          <w:bCs/>
          <w:sz w:val="24"/>
          <w:szCs w:val="24"/>
        </w:rPr>
        <w:t xml:space="preserve">tres de junio de dos mil veintiséis, El Sujeto Obligado </w:t>
      </w:r>
      <w:r w:rsidR="00515163" w:rsidRPr="00F97C81">
        <w:rPr>
          <w:rFonts w:ascii="Palatino Linotype" w:hAnsi="Palatino Linotype" w:cs="Arial"/>
          <w:sz w:val="24"/>
          <w:szCs w:val="24"/>
        </w:rPr>
        <w:t xml:space="preserve">dio respuesta a la solicitud de información </w:t>
      </w:r>
      <w:r w:rsidR="00515163" w:rsidRPr="00F97C81">
        <w:rPr>
          <w:rFonts w:ascii="Palatino Linotype" w:hAnsi="Palatino Linotype" w:cs="Arial"/>
          <w:b/>
          <w:bCs/>
          <w:sz w:val="24"/>
          <w:szCs w:val="24"/>
        </w:rPr>
        <w:t xml:space="preserve">00119/CALIMAYA/IP/2026, </w:t>
      </w:r>
      <w:r w:rsidR="00515163" w:rsidRPr="00F97C81">
        <w:rPr>
          <w:rFonts w:ascii="Palatino Linotype" w:hAnsi="Palatino Linotype" w:cs="Arial"/>
          <w:sz w:val="24"/>
          <w:szCs w:val="24"/>
        </w:rPr>
        <w:t>resultando de nuestro interés lo siguiente:</w:t>
      </w:r>
    </w:p>
    <w:p w14:paraId="6443DC27" w14:textId="59CE0CA9" w:rsidR="00515163" w:rsidRPr="00F97C81" w:rsidRDefault="00515163" w:rsidP="00515163">
      <w:pPr>
        <w:pStyle w:val="Citas"/>
      </w:pPr>
      <w:r w:rsidRPr="00F97C81">
        <w:t>“En respuesta a la solicitud recibida, nos permitimos hacer de su conocimiento que con fundamento en el artículo 53, Fracciones: II, V y VI de la Ley de Transparencia y Acceso a la Información Pública del Estado de México y Municipios, le contestamos que:</w:t>
      </w:r>
    </w:p>
    <w:p w14:paraId="77894B80" w14:textId="6D397858" w:rsidR="00515163" w:rsidRPr="00F97C81" w:rsidRDefault="00515163" w:rsidP="00515163">
      <w:pPr>
        <w:pStyle w:val="Citas"/>
        <w:rPr>
          <w:b/>
          <w:bCs/>
        </w:rPr>
      </w:pPr>
      <w:r w:rsidRPr="00F97C81">
        <w:t xml:space="preserve">ESTIMADO SOLICITANTE: EN ATENCIÓN A SU SOLICITUD DE INFORMACIÓN CON NÚMERO DE FOLIO 00119/CALIMAYA/IP/2026 POR ESTE MEDIO ME PERMITO HACER DE SU CONOCIMIENTO QUE SU SOLICITUD FUE TURNADA AL SERVIDOR PÚBLICO HABILITADO QUE </w:t>
      </w:r>
      <w:r w:rsidRPr="00F97C81">
        <w:lastRenderedPageBreak/>
        <w:t xml:space="preserve">A CONTINUACIÓN SE ENLISTAN, QUIEN EMITIÓ LA SIGUIENTE RESPUESTA Y DOCUMENTOS ADJUNTOS QUE SE ENTREGAN A TRAVÉS DEL SAIMEX, DE CONFORMIDAD A LO ESTABLECIDO EN LOS ARTÍCULOS 53 FRACCIÓN II Y IV, 59, 158, 159, 161, 162 Y 163 DE LA LEY DE TRANSPARENCIA Y ACCESO A LA INFORMACIÓN PÚBLICA DEL ESTADO DE MÉXICO Y MUNICIPIOS: “SE HACE DEL CONOCIMIENTO DEL SOLICITANTE QUE MEDIANTE LOS OFICIOS NÚMERO PMC/DOP/0308/2026 (DIRECCIÓN DE OBRAS PÚBLICAS) Y PMC/TM/0208/2026 (TESORERÍA MUNICIPAL), SE DIÓ RESPUESTA A LA SOLICITUD CON NÚMERO DE FOLIO 00119/CALIMAYA/IP/2026, SE ADJUNTAN LOS OFICIO DE RESPUESTA, CON SUS ANEXOS PARA MAYOR REFERENCIA”. SIN OTRO ASUNTO, DEJANDO A SALVO SUS PRERROGATIVAS DE INCONFORMIDAD ESTABLECIDAS EN EL TÍTULO OCTAVO DE LA LEY DE TRANSPARENCIA Y ACCESO A LA INFORMACIÓN PÚBLICA DEL ESTADO DE MÉXICO Y MUNICIPIOS, INFORMANDO QUE CUENTA, EN SU CASO, CON 15 DÍAS PARA PROMOVERLA, QUEDO DE USTED” </w:t>
      </w:r>
      <w:r w:rsidRPr="00F97C81">
        <w:rPr>
          <w:b/>
          <w:bCs/>
        </w:rPr>
        <w:t>(Sic)</w:t>
      </w:r>
    </w:p>
    <w:p w14:paraId="0BFE4DE0" w14:textId="3E856F10" w:rsidR="00515163" w:rsidRPr="00F97C81" w:rsidRDefault="00870B18" w:rsidP="00870B18">
      <w:pPr>
        <w:spacing w:before="240" w:line="360" w:lineRule="auto"/>
        <w:jc w:val="both"/>
        <w:rPr>
          <w:rFonts w:ascii="Palatino Linotype" w:hAnsi="Palatino Linotype" w:cs="Arial"/>
          <w:sz w:val="24"/>
          <w:szCs w:val="24"/>
        </w:rPr>
      </w:pPr>
      <w:r w:rsidRPr="00F97C81">
        <w:rPr>
          <w:rFonts w:ascii="Palatino Linotype" w:hAnsi="Palatino Linotype" w:cs="Arial"/>
          <w:sz w:val="24"/>
          <w:szCs w:val="24"/>
        </w:rPr>
        <w:t xml:space="preserve">De forma complementaria, </w:t>
      </w:r>
      <w:r w:rsidRPr="00F97C81">
        <w:rPr>
          <w:rFonts w:ascii="Palatino Linotype" w:hAnsi="Palatino Linotype" w:cs="Arial"/>
          <w:b/>
          <w:bCs/>
          <w:sz w:val="24"/>
          <w:szCs w:val="24"/>
        </w:rPr>
        <w:t xml:space="preserve">El Sujeto Obligado </w:t>
      </w:r>
      <w:r w:rsidRPr="00F97C81">
        <w:rPr>
          <w:rFonts w:ascii="Palatino Linotype" w:hAnsi="Palatino Linotype" w:cs="Arial"/>
          <w:sz w:val="24"/>
          <w:szCs w:val="24"/>
        </w:rPr>
        <w:t xml:space="preserve">adjuntó </w:t>
      </w:r>
      <w:r w:rsidR="00FD118E" w:rsidRPr="00F97C81">
        <w:rPr>
          <w:rFonts w:ascii="Palatino Linotype" w:hAnsi="Palatino Linotype" w:cs="Arial"/>
          <w:sz w:val="24"/>
          <w:szCs w:val="24"/>
        </w:rPr>
        <w:t xml:space="preserve">los documentos electrónicos </w:t>
      </w:r>
      <w:r w:rsidR="00FD118E" w:rsidRPr="00F97C81">
        <w:rPr>
          <w:rFonts w:ascii="Palatino Linotype" w:hAnsi="Palatino Linotype" w:cs="Arial"/>
          <w:b/>
          <w:bCs/>
          <w:sz w:val="24"/>
          <w:szCs w:val="24"/>
        </w:rPr>
        <w:t>“</w:t>
      </w:r>
      <w:r w:rsidR="00515163" w:rsidRPr="00F97C81">
        <w:rPr>
          <w:rFonts w:ascii="Palatino Linotype" w:hAnsi="Palatino Linotype" w:cs="Arial"/>
          <w:b/>
          <w:bCs/>
          <w:sz w:val="24"/>
          <w:szCs w:val="24"/>
        </w:rPr>
        <w:t xml:space="preserve">00119.pdf”, “ANEXOS FOLIO 00119.pdf” </w:t>
      </w:r>
      <w:r w:rsidR="00515163" w:rsidRPr="00F97C81">
        <w:rPr>
          <w:rFonts w:ascii="Palatino Linotype" w:hAnsi="Palatino Linotype" w:cs="Arial"/>
          <w:sz w:val="24"/>
          <w:szCs w:val="24"/>
        </w:rPr>
        <w:t xml:space="preserve">y </w:t>
      </w:r>
      <w:r w:rsidR="00515163" w:rsidRPr="00F97C81">
        <w:rPr>
          <w:rFonts w:ascii="Palatino Linotype" w:hAnsi="Palatino Linotype" w:cs="Arial"/>
          <w:b/>
          <w:bCs/>
          <w:sz w:val="24"/>
          <w:szCs w:val="24"/>
        </w:rPr>
        <w:t xml:space="preserve">“FOLIO 00119 OFICIO.pdf”, </w:t>
      </w:r>
      <w:r w:rsidR="00515163" w:rsidRPr="00F97C81">
        <w:rPr>
          <w:rFonts w:ascii="Palatino Linotype" w:hAnsi="Palatino Linotype" w:cs="Arial"/>
          <w:sz w:val="24"/>
          <w:szCs w:val="24"/>
        </w:rPr>
        <w:t xml:space="preserve">mismos que serán materia de estudio en el considerando respectivo. </w:t>
      </w:r>
    </w:p>
    <w:p w14:paraId="73A65C3D" w14:textId="77777777" w:rsidR="00515163" w:rsidRPr="00F97C81" w:rsidRDefault="00515163" w:rsidP="00870B18">
      <w:pPr>
        <w:spacing w:before="240" w:line="360" w:lineRule="auto"/>
        <w:jc w:val="both"/>
        <w:rPr>
          <w:rFonts w:ascii="Palatino Linotype" w:hAnsi="Palatino Linotype" w:cs="Arial"/>
          <w:b/>
          <w:bCs/>
          <w:sz w:val="24"/>
          <w:szCs w:val="24"/>
        </w:rPr>
      </w:pPr>
    </w:p>
    <w:p w14:paraId="2F3F8225" w14:textId="68B0E4BB" w:rsidR="00870B18" w:rsidRPr="00F97C81" w:rsidRDefault="00515163" w:rsidP="00870B18">
      <w:pPr>
        <w:spacing w:before="240" w:line="360" w:lineRule="auto"/>
        <w:jc w:val="both"/>
        <w:rPr>
          <w:rFonts w:ascii="Palatino Linotype" w:hAnsi="Palatino Linotype" w:cs="Arial"/>
          <w:b/>
          <w:sz w:val="28"/>
        </w:rPr>
      </w:pPr>
      <w:r w:rsidRPr="00F97C81">
        <w:rPr>
          <w:rFonts w:ascii="Palatino Linotype" w:hAnsi="Palatino Linotype" w:cs="Arial"/>
          <w:b/>
          <w:sz w:val="28"/>
        </w:rPr>
        <w:t>CUARTO</w:t>
      </w:r>
      <w:r w:rsidR="00870B18" w:rsidRPr="00F97C81">
        <w:rPr>
          <w:rFonts w:ascii="Palatino Linotype" w:hAnsi="Palatino Linotype" w:cs="Arial"/>
          <w:b/>
          <w:sz w:val="28"/>
        </w:rPr>
        <w:t xml:space="preserve">. </w:t>
      </w:r>
      <w:r w:rsidR="00870B18" w:rsidRPr="00F97C81">
        <w:rPr>
          <w:rFonts w:ascii="Palatino Linotype" w:hAnsi="Palatino Linotype"/>
          <w:b/>
          <w:sz w:val="28"/>
        </w:rPr>
        <w:t>Del recurso de revisión.</w:t>
      </w:r>
    </w:p>
    <w:p w14:paraId="740F052C" w14:textId="0CE9A789" w:rsidR="00515163" w:rsidRPr="00F97C81" w:rsidRDefault="00870B18" w:rsidP="00870B18">
      <w:pPr>
        <w:spacing w:before="240" w:line="360" w:lineRule="auto"/>
        <w:jc w:val="both"/>
        <w:rPr>
          <w:rFonts w:ascii="Palatino Linotype" w:hAnsi="Palatino Linotype" w:cs="Arial"/>
          <w:bCs/>
          <w:sz w:val="24"/>
          <w:szCs w:val="24"/>
        </w:rPr>
      </w:pPr>
      <w:r w:rsidRPr="00F97C81">
        <w:rPr>
          <w:rFonts w:ascii="Palatino Linotype" w:hAnsi="Palatino Linotype" w:cs="Arial"/>
          <w:sz w:val="24"/>
          <w:szCs w:val="24"/>
        </w:rPr>
        <w:lastRenderedPageBreak/>
        <w:t xml:space="preserve">Inconforme con la respuesta notificada por </w:t>
      </w:r>
      <w:r w:rsidRPr="00F97C81">
        <w:rPr>
          <w:rFonts w:ascii="Palatino Linotype" w:hAnsi="Palatino Linotype" w:cs="Arial"/>
          <w:b/>
          <w:sz w:val="24"/>
          <w:szCs w:val="24"/>
        </w:rPr>
        <w:t xml:space="preserve">El Sujeto Obligado, </w:t>
      </w:r>
      <w:r w:rsidR="00EB1B16" w:rsidRPr="00F97C81">
        <w:rPr>
          <w:rFonts w:ascii="Palatino Linotype" w:hAnsi="Palatino Linotype" w:cs="Arial"/>
          <w:b/>
          <w:sz w:val="24"/>
          <w:szCs w:val="24"/>
        </w:rPr>
        <w:t>El</w:t>
      </w:r>
      <w:r w:rsidRPr="00F97C81">
        <w:rPr>
          <w:rFonts w:ascii="Palatino Linotype" w:hAnsi="Palatino Linotype" w:cs="Arial"/>
          <w:b/>
          <w:sz w:val="24"/>
          <w:szCs w:val="24"/>
        </w:rPr>
        <w:t xml:space="preserve"> Recurrente </w:t>
      </w:r>
      <w:r w:rsidRPr="00F97C81">
        <w:rPr>
          <w:rFonts w:ascii="Palatino Linotype" w:hAnsi="Palatino Linotype" w:cs="Arial"/>
          <w:bCs/>
          <w:sz w:val="24"/>
          <w:szCs w:val="24"/>
        </w:rPr>
        <w:t>interpuso el recurso de revisión, en fecha</w:t>
      </w:r>
      <w:r w:rsidR="00EB1B16" w:rsidRPr="00F97C81">
        <w:rPr>
          <w:rFonts w:ascii="Palatino Linotype" w:hAnsi="Palatino Linotype" w:cs="Arial"/>
          <w:bCs/>
          <w:sz w:val="24"/>
          <w:szCs w:val="24"/>
        </w:rPr>
        <w:t xml:space="preserve"> </w:t>
      </w:r>
      <w:r w:rsidR="00515163" w:rsidRPr="00F97C81">
        <w:rPr>
          <w:rFonts w:ascii="Palatino Linotype" w:hAnsi="Palatino Linotype" w:cs="Arial"/>
          <w:b/>
          <w:sz w:val="24"/>
          <w:szCs w:val="24"/>
        </w:rPr>
        <w:t xml:space="preserve">ocho de junio de dos mil veintiséis, </w:t>
      </w:r>
      <w:r w:rsidR="00515163" w:rsidRPr="00F97C81">
        <w:rPr>
          <w:rFonts w:ascii="Palatino Linotype" w:hAnsi="Palatino Linotype" w:cs="Arial"/>
          <w:bCs/>
          <w:sz w:val="24"/>
          <w:szCs w:val="24"/>
        </w:rPr>
        <w:t xml:space="preserve">el cual fue registrado en el sistema electrónico con el expediente </w:t>
      </w:r>
      <w:r w:rsidR="00515163" w:rsidRPr="00F97C81">
        <w:rPr>
          <w:rFonts w:ascii="Palatino Linotype" w:hAnsi="Palatino Linotype" w:cs="Arial"/>
          <w:b/>
          <w:sz w:val="24"/>
          <w:szCs w:val="24"/>
        </w:rPr>
        <w:t xml:space="preserve">06130/INFOEM/IP/RR/2026, </w:t>
      </w:r>
      <w:r w:rsidR="00515163" w:rsidRPr="00F97C81">
        <w:rPr>
          <w:rFonts w:ascii="Palatino Linotype" w:hAnsi="Palatino Linotype" w:cs="Arial"/>
          <w:bCs/>
          <w:sz w:val="24"/>
          <w:szCs w:val="24"/>
        </w:rPr>
        <w:t xml:space="preserve">en el cual arguye las siguientes manifestaciones: </w:t>
      </w:r>
    </w:p>
    <w:p w14:paraId="22BB7FF0" w14:textId="77777777" w:rsidR="00870B18" w:rsidRPr="00F97C81" w:rsidRDefault="00870B18" w:rsidP="00870B18">
      <w:pPr>
        <w:spacing w:before="240" w:line="360" w:lineRule="auto"/>
        <w:jc w:val="both"/>
        <w:rPr>
          <w:rFonts w:ascii="Palatino Linotype" w:hAnsi="Palatino Linotype" w:cs="Arial"/>
          <w:b/>
          <w:sz w:val="24"/>
        </w:rPr>
      </w:pPr>
      <w:r w:rsidRPr="00F97C81">
        <w:rPr>
          <w:rFonts w:ascii="Palatino Linotype" w:hAnsi="Palatino Linotype" w:cs="Arial"/>
          <w:b/>
          <w:sz w:val="24"/>
        </w:rPr>
        <w:t>Acto Impugnado:</w:t>
      </w:r>
    </w:p>
    <w:p w14:paraId="0E27E066" w14:textId="45278A40" w:rsidR="00870B18" w:rsidRPr="00F97C81" w:rsidRDefault="00870B18" w:rsidP="00870B18">
      <w:pPr>
        <w:pStyle w:val="Citas"/>
        <w:rPr>
          <w:b/>
          <w:bCs/>
          <w:sz w:val="24"/>
        </w:rPr>
      </w:pPr>
      <w:r w:rsidRPr="00F97C81">
        <w:t>“</w:t>
      </w:r>
      <w:r w:rsidR="00560950" w:rsidRPr="00F97C81">
        <w:t>Se impugna la respuesta emitida por la Dirección de Obras Públicas mediante oficio PMC/DOP/0308/2026 de fecha 02 de junio de 2026, así como la respuesta emitida por la Tesorería Municipal mediante oficio PMC/TM/0208/2026 de fecha 20 de mayo de 2026, dentro de la solicitud de información folio 00119/CALIMAYA/IP/2026. Lo anterior, debido a que el sujeto obligado omitió proporcionar la documentación solicitada relativa a expedientes técnicos, contratos, estimaciones, números generadores, bitácoras, finiquitos, facturas, pólizas, actas de entrega-recepción y demás documentación relacionada con las obras públicas ejecutadas durante el ejercicio fiscal 2025, argumentando que los expedientes originales fueron remitidos al Órgano Superior de Fiscalización del Estado de México (OSFEM) con motivo de una auditoría. Dicha circunstancia no constituye impedimento legal para el acceso a la información pública, toda vez que el propio sujeto obligado reconoce expresamente la existencia de la documentación solicitada, sin acreditar imposibilidad jurídica o material para proporcionar copias, versiones digitales o versiones públicas de la misma</w:t>
      </w:r>
      <w:r w:rsidRPr="00F97C81">
        <w:t xml:space="preserve">” </w:t>
      </w:r>
      <w:r w:rsidRPr="00F97C81">
        <w:rPr>
          <w:b/>
          <w:bCs/>
        </w:rPr>
        <w:t>(Sic)</w:t>
      </w:r>
    </w:p>
    <w:p w14:paraId="2AD8641A" w14:textId="77777777" w:rsidR="00870B18" w:rsidRPr="00F97C81" w:rsidRDefault="00870B18" w:rsidP="00870B18">
      <w:pPr>
        <w:spacing w:before="240" w:line="360" w:lineRule="auto"/>
        <w:jc w:val="both"/>
        <w:rPr>
          <w:rFonts w:ascii="Palatino Linotype" w:hAnsi="Palatino Linotype" w:cs="Arial"/>
          <w:sz w:val="24"/>
        </w:rPr>
      </w:pPr>
      <w:r w:rsidRPr="00F97C81">
        <w:rPr>
          <w:rFonts w:ascii="Palatino Linotype" w:hAnsi="Palatino Linotype" w:cs="Arial"/>
          <w:b/>
          <w:sz w:val="24"/>
        </w:rPr>
        <w:t>Razones o Motivos de Inconformidad</w:t>
      </w:r>
      <w:r w:rsidRPr="00F97C81">
        <w:rPr>
          <w:rFonts w:ascii="Palatino Linotype" w:hAnsi="Palatino Linotype" w:cs="Arial"/>
          <w:sz w:val="24"/>
        </w:rPr>
        <w:t xml:space="preserve">: </w:t>
      </w:r>
    </w:p>
    <w:p w14:paraId="4A84F204" w14:textId="44776257" w:rsidR="00870B18" w:rsidRPr="00F97C81" w:rsidRDefault="00870B18" w:rsidP="00870B18">
      <w:pPr>
        <w:pStyle w:val="Citas"/>
        <w:rPr>
          <w:b/>
          <w:bCs/>
        </w:rPr>
      </w:pPr>
      <w:r w:rsidRPr="00F97C81">
        <w:t>“</w:t>
      </w:r>
      <w:r w:rsidR="00560950" w:rsidRPr="00F97C81">
        <w:t xml:space="preserve">PRIMERO. El sujeto obligado reconoció expresamente la existencia de la documentación solicitada, incluyendo expedientes técnicos, contratos, presupuestos, catálogos de conceptos, números generadores, estimaciones, bitácoras, convenios </w:t>
      </w:r>
      <w:r w:rsidR="00560950" w:rsidRPr="00F97C81">
        <w:lastRenderedPageBreak/>
        <w:t xml:space="preserve">modificatorios, pólizas, facturas, fotografías, pruebas de laboratorio, actas de entrega-recepción, finiquitos y demás documentación relacionada con las obras públicas ejecutadas durante el ejercicio fiscal 2025. SEGUNDO. No obstante reconocer la existencia de dicha documentación, el sujeto obligado omitió entregarla al solicitante, limitándose a manifestar que los expedientes originales fueron remitidos al Órgano Superior de Fiscalización del Estado de México (OSFEM) con motivo de una auditoría en curso. TERCERO. La remisión de documentación a una autoridad fiscalizadora no constituye una causal de reserva, confidencialidad, inexistencia o imposibilidad de acceso prevista en la Ley de Transparencia y Acceso a la Información Pública del Estado de México y Municipios, por lo que no justifica la negativa de acceso a la información solicitada. CUARTO. El sujeto obligado no acreditó imposibilidad material o jurídica para proporcionar copias simples, copias certificadas, versiones digitales o versiones públicas de los documentos requeridos, ni señaló la existencia de alguna clasificación formal aprobada por el Comité de Transparencia que restringiera su entrega. QUINTO. La respuesta resulta carente de exhaustividad, ya que únicamente se proporcionó información parcial relativa al Programa Anual de Obra y referencias generales a documentación entregada al OSFEM, omitiéndose la entrega de los expedientes y documentos específicos expresamente solicitados. SEXTO. El propio sujeto obligado identificó de manera precisa los expedientes, contratos y documentación que obran en sus archivos y que fueron entregados para efectos de auditoría, circunstancia que acredita plenamente la existencia de la información solicitada y desvirtúa cualquier argumento que pretenda justificar su falta de entrega. SÉPTIMO. La respuesta vulnera los principios de máxima publicidad, exhaustividad, transparencia y rendición de cuentas, al impedir el acceso a documentación relacionada con el ejercicio de recursos públicos destinados a la ejecución de obra pública municipal. Por lo anterior, solicito </w:t>
      </w:r>
      <w:r w:rsidR="00560950" w:rsidRPr="00F97C81">
        <w:lastRenderedPageBreak/>
        <w:t>se revoque o modifique la respuesta impugnada y se ordene al sujeto obligado realizar una búsqueda exhaustiva y proporcionar la totalidad de la documentación solicitada, en versión pública cuando corresponda, garantizando plenamente el derecho de acceso a la información</w:t>
      </w:r>
      <w:r w:rsidRPr="00F97C81">
        <w:t xml:space="preserve">” </w:t>
      </w:r>
      <w:r w:rsidRPr="00F97C81">
        <w:rPr>
          <w:b/>
          <w:bCs/>
        </w:rPr>
        <w:t>(Sic)</w:t>
      </w:r>
    </w:p>
    <w:p w14:paraId="451B9C96" w14:textId="77777777" w:rsidR="00F42452" w:rsidRPr="00F97C81" w:rsidRDefault="00F42452" w:rsidP="00F42452">
      <w:pPr>
        <w:pStyle w:val="Citas"/>
        <w:ind w:left="0"/>
        <w:rPr>
          <w:b/>
        </w:rPr>
      </w:pPr>
    </w:p>
    <w:p w14:paraId="25E4EEBD" w14:textId="762461E7" w:rsidR="00870B18" w:rsidRPr="00F97C81" w:rsidRDefault="00E11735" w:rsidP="00870B18">
      <w:pPr>
        <w:spacing w:before="240" w:line="360" w:lineRule="auto"/>
        <w:jc w:val="both"/>
        <w:rPr>
          <w:rFonts w:ascii="Palatino Linotype" w:hAnsi="Palatino Linotype" w:cs="Arial"/>
          <w:b/>
          <w:sz w:val="24"/>
          <w:szCs w:val="24"/>
        </w:rPr>
      </w:pPr>
      <w:r w:rsidRPr="00F97C81">
        <w:rPr>
          <w:rFonts w:ascii="Palatino Linotype" w:hAnsi="Palatino Linotype" w:cs="Arial"/>
          <w:b/>
          <w:sz w:val="28"/>
        </w:rPr>
        <w:t>QUINTO</w:t>
      </w:r>
      <w:r w:rsidR="00870B18" w:rsidRPr="00F97C81">
        <w:rPr>
          <w:rFonts w:ascii="Palatino Linotype" w:hAnsi="Palatino Linotype" w:cs="Arial"/>
          <w:b/>
          <w:sz w:val="24"/>
          <w:szCs w:val="24"/>
        </w:rPr>
        <w:t xml:space="preserve">. </w:t>
      </w:r>
      <w:r w:rsidR="00870B18" w:rsidRPr="00F97C81">
        <w:rPr>
          <w:rFonts w:ascii="Palatino Linotype" w:hAnsi="Palatino Linotype" w:cs="Arial"/>
          <w:b/>
          <w:sz w:val="28"/>
          <w:szCs w:val="28"/>
        </w:rPr>
        <w:t>Del turno del recurso de revisión.</w:t>
      </w:r>
    </w:p>
    <w:p w14:paraId="5AA789FF" w14:textId="32573630" w:rsidR="00870B18" w:rsidRPr="00F97C81" w:rsidRDefault="00870B18" w:rsidP="00870B18">
      <w:pPr>
        <w:spacing w:before="240" w:line="360" w:lineRule="auto"/>
        <w:jc w:val="both"/>
        <w:rPr>
          <w:rFonts w:ascii="Palatino Linotype" w:hAnsi="Palatino Linotype" w:cs="Arial"/>
          <w:sz w:val="24"/>
          <w:szCs w:val="24"/>
        </w:rPr>
      </w:pPr>
      <w:r w:rsidRPr="00F97C81">
        <w:rPr>
          <w:rFonts w:ascii="Palatino Linotype" w:hAnsi="Palatino Linotype" w:cs="Arial"/>
          <w:sz w:val="24"/>
          <w:szCs w:val="24"/>
        </w:rPr>
        <w:t xml:space="preserve">Medio de impugnación que le fue turnado al Comisionado </w:t>
      </w:r>
      <w:r w:rsidRPr="00F97C81">
        <w:rPr>
          <w:rFonts w:ascii="Palatino Linotype" w:hAnsi="Palatino Linotype" w:cs="Arial"/>
          <w:b/>
          <w:sz w:val="24"/>
          <w:szCs w:val="24"/>
        </w:rPr>
        <w:t>José Martínez Vilchis</w:t>
      </w:r>
      <w:r w:rsidRPr="00F97C81">
        <w:rPr>
          <w:rFonts w:ascii="Palatino Linotype" w:hAnsi="Palatino Linotype" w:cs="Arial"/>
          <w:sz w:val="24"/>
          <w:szCs w:val="24"/>
        </w:rPr>
        <w:t xml:space="preserve">, por medio del sistema electrónico en términos del arábigo 185 fracción I de la Ley de Transparencia y Acceso a la información Pública del Estado de México y Municipios, del cual recayó acuerdo de admisión en fecha </w:t>
      </w:r>
      <w:r w:rsidR="00560950" w:rsidRPr="00F97C81">
        <w:rPr>
          <w:rFonts w:ascii="Palatino Linotype" w:hAnsi="Palatino Linotype" w:cs="Arial"/>
          <w:b/>
          <w:bCs/>
          <w:sz w:val="24"/>
          <w:szCs w:val="24"/>
        </w:rPr>
        <w:t xml:space="preserve">diez de junio de dos mil veintiséis, </w:t>
      </w:r>
      <w:r w:rsidR="008F5877" w:rsidRPr="00F97C81">
        <w:rPr>
          <w:rFonts w:ascii="Palatino Linotype" w:hAnsi="Palatino Linotype" w:cs="Arial"/>
          <w:sz w:val="24"/>
          <w:szCs w:val="24"/>
        </w:rPr>
        <w:t xml:space="preserve">determinándose en él, un </w:t>
      </w:r>
      <w:r w:rsidRPr="00F97C81">
        <w:rPr>
          <w:rFonts w:ascii="Palatino Linotype" w:hAnsi="Palatino Linotype" w:cs="Arial"/>
          <w:sz w:val="24"/>
          <w:szCs w:val="24"/>
        </w:rPr>
        <w:t>plazo de siete días para que las partes manifestaran lo que a su derecho corresponda en términos del numeral ya citado.</w:t>
      </w:r>
    </w:p>
    <w:p w14:paraId="6865E476" w14:textId="77777777" w:rsidR="00870B18" w:rsidRPr="00F97C81" w:rsidRDefault="00870B18" w:rsidP="00870B18">
      <w:pPr>
        <w:spacing w:before="240" w:line="360" w:lineRule="auto"/>
        <w:jc w:val="both"/>
        <w:rPr>
          <w:rFonts w:ascii="Palatino Linotype" w:hAnsi="Palatino Linotype" w:cs="Arial"/>
          <w:sz w:val="24"/>
          <w:szCs w:val="24"/>
        </w:rPr>
      </w:pPr>
    </w:p>
    <w:p w14:paraId="27FA6121" w14:textId="0D0DD723" w:rsidR="00870B18" w:rsidRPr="00F97C81" w:rsidRDefault="00E11735" w:rsidP="00870B18">
      <w:pPr>
        <w:spacing w:before="240" w:line="360" w:lineRule="auto"/>
        <w:jc w:val="both"/>
        <w:rPr>
          <w:rFonts w:ascii="Palatino Linotype" w:hAnsi="Palatino Linotype" w:cs="Arial"/>
          <w:b/>
          <w:sz w:val="24"/>
          <w:szCs w:val="24"/>
        </w:rPr>
      </w:pPr>
      <w:r w:rsidRPr="00F97C81">
        <w:rPr>
          <w:rFonts w:ascii="Palatino Linotype" w:hAnsi="Palatino Linotype" w:cs="Arial"/>
          <w:b/>
          <w:sz w:val="28"/>
        </w:rPr>
        <w:t>SEXTO</w:t>
      </w:r>
      <w:r w:rsidR="00870B18" w:rsidRPr="00F97C81">
        <w:rPr>
          <w:rFonts w:ascii="Palatino Linotype" w:hAnsi="Palatino Linotype" w:cs="Arial"/>
          <w:b/>
          <w:sz w:val="24"/>
          <w:szCs w:val="24"/>
        </w:rPr>
        <w:t xml:space="preserve">. </w:t>
      </w:r>
      <w:r w:rsidR="00870B18" w:rsidRPr="00F97C81">
        <w:rPr>
          <w:rFonts w:ascii="Palatino Linotype" w:hAnsi="Palatino Linotype" w:cs="Arial"/>
          <w:b/>
          <w:sz w:val="28"/>
          <w:szCs w:val="28"/>
        </w:rPr>
        <w:t>De la etapa de instrucción.</w:t>
      </w:r>
    </w:p>
    <w:p w14:paraId="1F4A4F9B" w14:textId="69A5A774" w:rsidR="00560950" w:rsidRPr="00F97C81" w:rsidRDefault="00870B18" w:rsidP="00870B18">
      <w:pPr>
        <w:spacing w:before="240" w:line="360" w:lineRule="auto"/>
        <w:jc w:val="both"/>
        <w:rPr>
          <w:rFonts w:ascii="Palatino Linotype" w:hAnsi="Palatino Linotype" w:cs="Arial"/>
          <w:b/>
          <w:sz w:val="24"/>
          <w:szCs w:val="24"/>
        </w:rPr>
      </w:pPr>
      <w:r w:rsidRPr="00F97C81">
        <w:rPr>
          <w:rFonts w:ascii="Palatino Linotype" w:hAnsi="Palatino Linotype" w:cs="Arial"/>
          <w:sz w:val="24"/>
          <w:szCs w:val="24"/>
        </w:rPr>
        <w:t xml:space="preserve">Así, una vez transcurrido el término legal referido, se advierte que </w:t>
      </w:r>
      <w:r w:rsidRPr="00F97C81">
        <w:rPr>
          <w:rFonts w:ascii="Palatino Linotype" w:hAnsi="Palatino Linotype" w:cs="Arial"/>
          <w:b/>
          <w:sz w:val="24"/>
          <w:szCs w:val="24"/>
        </w:rPr>
        <w:t xml:space="preserve">El Sujeto Obligado </w:t>
      </w:r>
      <w:r w:rsidR="00EB1B16" w:rsidRPr="00F97C81">
        <w:rPr>
          <w:rFonts w:ascii="Palatino Linotype" w:hAnsi="Palatino Linotype" w:cs="Arial"/>
          <w:bCs/>
          <w:sz w:val="24"/>
          <w:szCs w:val="24"/>
        </w:rPr>
        <w:t xml:space="preserve">rindió su informe justificado en fecha </w:t>
      </w:r>
      <w:r w:rsidR="00560950" w:rsidRPr="00F97C81">
        <w:rPr>
          <w:rFonts w:ascii="Palatino Linotype" w:hAnsi="Palatino Linotype" w:cs="Arial"/>
          <w:b/>
          <w:sz w:val="24"/>
          <w:szCs w:val="24"/>
        </w:rPr>
        <w:t xml:space="preserve">diecinueve de junio de dos mil veintiséis, </w:t>
      </w:r>
      <w:r w:rsidR="00560950" w:rsidRPr="00F97C81">
        <w:rPr>
          <w:rFonts w:ascii="Palatino Linotype" w:hAnsi="Palatino Linotype" w:cs="Arial"/>
          <w:bCs/>
          <w:sz w:val="24"/>
          <w:szCs w:val="24"/>
        </w:rPr>
        <w:t xml:space="preserve">mismo que fue puesto a la vista el </w:t>
      </w:r>
      <w:r w:rsidR="00560950" w:rsidRPr="00F97C81">
        <w:rPr>
          <w:rFonts w:ascii="Palatino Linotype" w:hAnsi="Palatino Linotype" w:cs="Arial"/>
          <w:b/>
          <w:sz w:val="24"/>
          <w:szCs w:val="24"/>
        </w:rPr>
        <w:t xml:space="preserve">veinticinco de junio de los corrientes. </w:t>
      </w:r>
    </w:p>
    <w:p w14:paraId="2E1E5F8A" w14:textId="4BFDE911" w:rsidR="00870B18" w:rsidRPr="00F97C81" w:rsidRDefault="00F42452" w:rsidP="00870B18">
      <w:pPr>
        <w:spacing w:before="240" w:line="360" w:lineRule="auto"/>
        <w:jc w:val="both"/>
        <w:rPr>
          <w:rFonts w:ascii="Palatino Linotype" w:hAnsi="Palatino Linotype" w:cs="Arial"/>
          <w:sz w:val="24"/>
          <w:szCs w:val="24"/>
        </w:rPr>
      </w:pPr>
      <w:r w:rsidRPr="00F97C81">
        <w:rPr>
          <w:rFonts w:ascii="Palatino Linotype" w:hAnsi="Palatino Linotype" w:cs="Arial"/>
          <w:bCs/>
          <w:sz w:val="24"/>
          <w:szCs w:val="24"/>
        </w:rPr>
        <w:t>Por lo cual se decretó el cierre de instrucción con fecha</w:t>
      </w:r>
      <w:r w:rsidR="00955048" w:rsidRPr="00F97C81">
        <w:rPr>
          <w:rFonts w:ascii="Palatino Linotype" w:hAnsi="Palatino Linotype" w:cs="Arial"/>
          <w:bCs/>
          <w:sz w:val="24"/>
          <w:szCs w:val="24"/>
        </w:rPr>
        <w:t xml:space="preserve"> </w:t>
      </w:r>
      <w:r w:rsidR="00560950" w:rsidRPr="00F97C81">
        <w:rPr>
          <w:rFonts w:ascii="Palatino Linotype" w:hAnsi="Palatino Linotype" w:cs="Arial"/>
          <w:b/>
          <w:sz w:val="24"/>
          <w:szCs w:val="24"/>
        </w:rPr>
        <w:t>dos de julio</w:t>
      </w:r>
      <w:r w:rsidR="00EB1B16" w:rsidRPr="00F97C81">
        <w:rPr>
          <w:rFonts w:ascii="Palatino Linotype" w:hAnsi="Palatino Linotype" w:cs="Arial"/>
          <w:b/>
          <w:sz w:val="24"/>
          <w:szCs w:val="24"/>
        </w:rPr>
        <w:t xml:space="preserve"> del año en curso, </w:t>
      </w:r>
      <w:r w:rsidR="00870B18" w:rsidRPr="00F97C81">
        <w:rPr>
          <w:rFonts w:ascii="Palatino Linotype" w:hAnsi="Palatino Linotype" w:cs="Arial"/>
          <w:bCs/>
          <w:sz w:val="24"/>
          <w:szCs w:val="24"/>
        </w:rPr>
        <w:t>e</w:t>
      </w:r>
      <w:r w:rsidR="00870B18" w:rsidRPr="00F97C81">
        <w:rPr>
          <w:rFonts w:ascii="Palatino Linotype" w:hAnsi="Palatino Linotype" w:cs="Arial"/>
          <w:sz w:val="24"/>
          <w:szCs w:val="24"/>
        </w:rPr>
        <w:t>n términos del artículo 185 Fracción VI de la Ley de Transparencia y Acceso a la Información Pública del Estado de México y Municipios, iniciando el término legal para dictar resolución definitiva del asunto.</w:t>
      </w:r>
    </w:p>
    <w:p w14:paraId="34D2D0F1" w14:textId="6A215A61" w:rsidR="00870B18" w:rsidRPr="00F97C81" w:rsidRDefault="00870B18" w:rsidP="00870B18">
      <w:pPr>
        <w:spacing w:before="240" w:line="360" w:lineRule="auto"/>
        <w:jc w:val="center"/>
        <w:rPr>
          <w:rFonts w:ascii="Palatino Linotype" w:hAnsi="Palatino Linotype" w:cs="Arial"/>
          <w:b/>
          <w:sz w:val="24"/>
        </w:rPr>
      </w:pPr>
      <w:r w:rsidRPr="00F97C81">
        <w:rPr>
          <w:rFonts w:ascii="Palatino Linotype" w:hAnsi="Palatino Linotype" w:cs="Arial"/>
          <w:b/>
          <w:sz w:val="24"/>
        </w:rPr>
        <w:lastRenderedPageBreak/>
        <w:t xml:space="preserve">C O N S I D E R A N D O </w:t>
      </w:r>
    </w:p>
    <w:p w14:paraId="16A675B6" w14:textId="77777777" w:rsidR="00870B18" w:rsidRPr="00F97C81" w:rsidRDefault="00870B18" w:rsidP="00870B18">
      <w:pPr>
        <w:spacing w:before="240" w:line="360" w:lineRule="auto"/>
        <w:jc w:val="both"/>
        <w:rPr>
          <w:rFonts w:ascii="Palatino Linotype" w:hAnsi="Palatino Linotype" w:cs="Arial"/>
          <w:sz w:val="28"/>
          <w:szCs w:val="28"/>
        </w:rPr>
      </w:pPr>
      <w:r w:rsidRPr="00F97C81">
        <w:rPr>
          <w:rFonts w:ascii="Palatino Linotype" w:hAnsi="Palatino Linotype" w:cs="Arial"/>
          <w:b/>
          <w:sz w:val="28"/>
        </w:rPr>
        <w:t>PRIMERO.</w:t>
      </w:r>
      <w:r w:rsidRPr="00F97C81">
        <w:rPr>
          <w:rFonts w:ascii="Palatino Linotype" w:hAnsi="Palatino Linotype" w:cs="Arial"/>
          <w:b/>
        </w:rPr>
        <w:t xml:space="preserve"> </w:t>
      </w:r>
      <w:r w:rsidRPr="00F97C81">
        <w:rPr>
          <w:rFonts w:ascii="Palatino Linotype" w:hAnsi="Palatino Linotype" w:cs="Arial"/>
          <w:b/>
          <w:sz w:val="28"/>
          <w:szCs w:val="28"/>
        </w:rPr>
        <w:t>De la competencia</w:t>
      </w:r>
      <w:r w:rsidRPr="00F97C81">
        <w:rPr>
          <w:rFonts w:ascii="Palatino Linotype" w:hAnsi="Palatino Linotype" w:cs="Arial"/>
          <w:sz w:val="28"/>
          <w:szCs w:val="28"/>
        </w:rPr>
        <w:t>.</w:t>
      </w:r>
    </w:p>
    <w:p w14:paraId="67FF68C8" w14:textId="77777777" w:rsidR="00955048" w:rsidRPr="00F97C81" w:rsidRDefault="00955048" w:rsidP="00955048">
      <w:pPr>
        <w:spacing w:line="360" w:lineRule="auto"/>
        <w:jc w:val="both"/>
        <w:rPr>
          <w:rFonts w:ascii="Palatino Linotype" w:hAnsi="Palatino Linotype"/>
          <w:sz w:val="24"/>
          <w:szCs w:val="24"/>
        </w:rPr>
      </w:pPr>
      <w:r w:rsidRPr="00F97C81">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C63A6EF" w14:textId="77777777" w:rsidR="00955048" w:rsidRPr="00F97C81" w:rsidRDefault="00955048" w:rsidP="00955048">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2607F658" w14:textId="77777777" w:rsidR="00955048" w:rsidRPr="00F97C81" w:rsidRDefault="00955048" w:rsidP="00955048">
      <w:pPr>
        <w:pStyle w:val="Prrafodelista"/>
        <w:autoSpaceDE w:val="0"/>
        <w:autoSpaceDN w:val="0"/>
        <w:adjustRightInd w:val="0"/>
        <w:spacing w:before="240" w:after="160" w:line="360" w:lineRule="auto"/>
        <w:ind w:left="0"/>
        <w:jc w:val="both"/>
        <w:rPr>
          <w:rFonts w:ascii="Palatino Linotype" w:hAnsi="Palatino Linotype" w:cs="Arial"/>
          <w:b/>
        </w:rPr>
      </w:pPr>
      <w:r w:rsidRPr="00F97C81">
        <w:rPr>
          <w:rFonts w:ascii="Palatino Linotype" w:hAnsi="Palatino Linotype" w:cs="Arial"/>
          <w:b/>
          <w:sz w:val="28"/>
        </w:rPr>
        <w:t>SEGUNDO</w:t>
      </w:r>
      <w:r w:rsidRPr="00F97C81">
        <w:rPr>
          <w:rFonts w:ascii="Palatino Linotype" w:hAnsi="Palatino Linotype" w:cs="Arial"/>
          <w:b/>
        </w:rPr>
        <w:t xml:space="preserve">. </w:t>
      </w:r>
      <w:r w:rsidRPr="00F97C81">
        <w:rPr>
          <w:rFonts w:ascii="Palatino Linotype" w:hAnsi="Palatino Linotype" w:cs="Arial"/>
          <w:b/>
          <w:sz w:val="28"/>
          <w:szCs w:val="28"/>
        </w:rPr>
        <w:t>Sobre los alcances del recurso de revisión.</w:t>
      </w:r>
      <w:r w:rsidRPr="00F97C81">
        <w:rPr>
          <w:rFonts w:ascii="Palatino Linotype" w:hAnsi="Palatino Linotype" w:cs="Arial"/>
          <w:b/>
        </w:rPr>
        <w:t xml:space="preserve"> </w:t>
      </w:r>
    </w:p>
    <w:p w14:paraId="1A824771" w14:textId="77777777" w:rsidR="00955048" w:rsidRPr="00F97C81" w:rsidRDefault="00955048" w:rsidP="00955048">
      <w:pPr>
        <w:pStyle w:val="Prrafodelista"/>
        <w:autoSpaceDE w:val="0"/>
        <w:autoSpaceDN w:val="0"/>
        <w:adjustRightInd w:val="0"/>
        <w:spacing w:before="240" w:after="160" w:line="360" w:lineRule="auto"/>
        <w:ind w:left="0"/>
        <w:jc w:val="both"/>
        <w:rPr>
          <w:rFonts w:ascii="Palatino Linotype" w:hAnsi="Palatino Linotype" w:cs="Arial"/>
          <w:lang w:val="es-MX"/>
        </w:rPr>
      </w:pPr>
      <w:r w:rsidRPr="00F97C81">
        <w:rPr>
          <w:rFonts w:ascii="Palatino Linotype" w:hAnsi="Palatino Linotype" w:cs="Arial"/>
          <w:lang w:val="es-MX"/>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F97C81">
        <w:rPr>
          <w:rFonts w:ascii="Palatino Linotype" w:hAnsi="Palatino Linotype" w:cs="Arial"/>
          <w:lang w:val="es-MX"/>
        </w:rPr>
        <w:lastRenderedPageBreak/>
        <w:t>afectación al derecho de acceso a la información pública y garantizando el principio rector de máxima publicidad.</w:t>
      </w:r>
    </w:p>
    <w:p w14:paraId="12FB79BE" w14:textId="77777777" w:rsidR="00955048" w:rsidRPr="00F97C81" w:rsidRDefault="00955048" w:rsidP="00955048">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3D805D1E" w14:textId="77777777" w:rsidR="00560950" w:rsidRPr="00F97C81" w:rsidRDefault="00560950" w:rsidP="00560950">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F97C81">
        <w:rPr>
          <w:rFonts w:ascii="Palatino Linotype" w:hAnsi="Palatino Linotype" w:cs="Arial"/>
          <w:b/>
          <w:sz w:val="28"/>
          <w:lang w:val="es-MX"/>
        </w:rPr>
        <w:t>TERCERO</w:t>
      </w:r>
      <w:r w:rsidRPr="00F97C81">
        <w:rPr>
          <w:rFonts w:ascii="Palatino Linotype" w:hAnsi="Palatino Linotype" w:cs="Arial"/>
          <w:b/>
          <w:lang w:val="es-MX"/>
        </w:rPr>
        <w:t xml:space="preserve">. </w:t>
      </w:r>
      <w:r w:rsidRPr="00F97C81">
        <w:rPr>
          <w:rFonts w:ascii="Palatino Linotype" w:hAnsi="Palatino Linotype" w:cs="Arial"/>
          <w:b/>
          <w:sz w:val="28"/>
        </w:rPr>
        <w:t>Cuestiones de previo y especial pronunciamiento</w:t>
      </w:r>
    </w:p>
    <w:p w14:paraId="00811022" w14:textId="77777777" w:rsidR="00560950" w:rsidRPr="00F97C81" w:rsidRDefault="00560950" w:rsidP="00560950">
      <w:pPr>
        <w:spacing w:after="0" w:line="360" w:lineRule="auto"/>
        <w:jc w:val="both"/>
        <w:rPr>
          <w:rFonts w:ascii="Palatino Linotype" w:eastAsia="Times New Roman" w:hAnsi="Palatino Linotype" w:cs="Times New Roman"/>
          <w:sz w:val="24"/>
          <w:szCs w:val="24"/>
          <w:lang w:eastAsia="es-ES"/>
        </w:rPr>
      </w:pPr>
      <w:r w:rsidRPr="00F97C81">
        <w:rPr>
          <w:rFonts w:ascii="Palatino Linotype" w:eastAsia="Times New Roman" w:hAnsi="Palatino Linotype" w:cs="Times New Roman"/>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72549FB9" w14:textId="77777777" w:rsidR="00560950" w:rsidRPr="00F97C81" w:rsidRDefault="00560950" w:rsidP="00560950">
      <w:pPr>
        <w:spacing w:before="240" w:line="360" w:lineRule="auto"/>
        <w:ind w:left="851" w:right="851"/>
        <w:jc w:val="both"/>
        <w:rPr>
          <w:rFonts w:ascii="Palatino Linotype" w:eastAsia="Times New Roman" w:hAnsi="Palatino Linotype" w:cs="Arial"/>
          <w:i/>
          <w:lang w:eastAsia="es-ES"/>
        </w:rPr>
      </w:pPr>
      <w:r w:rsidRPr="00F97C81">
        <w:rPr>
          <w:rFonts w:ascii="Palatino Linotype" w:eastAsia="Times New Roman" w:hAnsi="Palatino Linotype" w:cs="Arial"/>
          <w:b/>
          <w:i/>
          <w:lang w:eastAsia="es-ES"/>
        </w:rPr>
        <w:t xml:space="preserve">“Artículo 180. </w:t>
      </w:r>
      <w:r w:rsidRPr="00F97C81">
        <w:rPr>
          <w:rFonts w:ascii="Palatino Linotype" w:eastAsia="Times New Roman" w:hAnsi="Palatino Linotype" w:cs="Arial"/>
          <w:i/>
          <w:lang w:eastAsia="es-ES"/>
        </w:rPr>
        <w:t>El recurso de revisión contendrá:</w:t>
      </w:r>
    </w:p>
    <w:p w14:paraId="33805EF7" w14:textId="77777777" w:rsidR="00560950" w:rsidRPr="00F97C81" w:rsidRDefault="00560950" w:rsidP="00560950">
      <w:pPr>
        <w:spacing w:before="240" w:line="360" w:lineRule="auto"/>
        <w:ind w:left="851" w:right="851"/>
        <w:jc w:val="both"/>
        <w:rPr>
          <w:rFonts w:ascii="Palatino Linotype" w:eastAsia="Times New Roman" w:hAnsi="Palatino Linotype" w:cs="Arial"/>
          <w:i/>
          <w:lang w:eastAsia="es-ES"/>
        </w:rPr>
      </w:pPr>
      <w:r w:rsidRPr="00F97C81">
        <w:rPr>
          <w:rFonts w:ascii="Palatino Linotype" w:eastAsia="Times New Roman" w:hAnsi="Palatino Linotype" w:cs="Arial"/>
          <w:i/>
          <w:lang w:eastAsia="es-ES"/>
        </w:rPr>
        <w:t>I. El sujeto obligado ante la cual se presentó la solicitud;</w:t>
      </w:r>
    </w:p>
    <w:p w14:paraId="5EC7F82E" w14:textId="77777777" w:rsidR="00560950" w:rsidRPr="00F97C81" w:rsidRDefault="00560950" w:rsidP="00560950">
      <w:pPr>
        <w:spacing w:before="240" w:line="360" w:lineRule="auto"/>
        <w:ind w:left="851" w:right="851"/>
        <w:jc w:val="both"/>
        <w:rPr>
          <w:rFonts w:ascii="Palatino Linotype" w:eastAsia="Times New Roman" w:hAnsi="Palatino Linotype" w:cs="Arial"/>
          <w:i/>
          <w:lang w:eastAsia="es-ES"/>
        </w:rPr>
      </w:pPr>
      <w:r w:rsidRPr="00F97C81">
        <w:rPr>
          <w:rFonts w:ascii="Palatino Linotype" w:eastAsia="Times New Roman" w:hAnsi="Palatino Linotype" w:cs="Arial"/>
          <w:b/>
          <w:i/>
          <w:u w:val="single"/>
          <w:lang w:eastAsia="es-ES"/>
        </w:rPr>
        <w:t>II. El nombre del solicitante que recurre</w:t>
      </w:r>
      <w:r w:rsidRPr="00F97C81">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3888DD5F" w14:textId="77777777" w:rsidR="00560950" w:rsidRPr="00F97C81" w:rsidRDefault="00560950" w:rsidP="00560950">
      <w:pPr>
        <w:spacing w:before="240" w:line="360" w:lineRule="auto"/>
        <w:ind w:left="851" w:right="851"/>
        <w:jc w:val="both"/>
        <w:rPr>
          <w:rFonts w:ascii="Palatino Linotype" w:eastAsia="Times New Roman" w:hAnsi="Palatino Linotype" w:cs="Arial"/>
          <w:i/>
          <w:lang w:eastAsia="es-ES"/>
        </w:rPr>
      </w:pPr>
      <w:r w:rsidRPr="00F97C81">
        <w:rPr>
          <w:rFonts w:ascii="Palatino Linotype" w:eastAsia="Times New Roman" w:hAnsi="Palatino Linotype" w:cs="Arial"/>
          <w:i/>
          <w:lang w:eastAsia="es-ES"/>
        </w:rPr>
        <w:t>III. El número de folio de respuesta de la solicitud de acceso;</w:t>
      </w:r>
    </w:p>
    <w:p w14:paraId="75A1451F" w14:textId="77777777" w:rsidR="00560950" w:rsidRPr="00F97C81" w:rsidRDefault="00560950" w:rsidP="00560950">
      <w:pPr>
        <w:spacing w:before="240" w:line="360" w:lineRule="auto"/>
        <w:ind w:left="851" w:right="851"/>
        <w:jc w:val="both"/>
        <w:rPr>
          <w:rFonts w:ascii="Palatino Linotype" w:eastAsia="Times New Roman" w:hAnsi="Palatino Linotype" w:cs="Arial"/>
          <w:i/>
          <w:lang w:eastAsia="es-ES"/>
        </w:rPr>
      </w:pPr>
      <w:r w:rsidRPr="00F97C81">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46E5BEA2" w14:textId="77777777" w:rsidR="00560950" w:rsidRPr="00F97C81" w:rsidRDefault="00560950" w:rsidP="00560950">
      <w:pPr>
        <w:spacing w:before="240" w:line="360" w:lineRule="auto"/>
        <w:ind w:left="851" w:right="851"/>
        <w:jc w:val="both"/>
        <w:rPr>
          <w:rFonts w:ascii="Palatino Linotype" w:eastAsia="Times New Roman" w:hAnsi="Palatino Linotype" w:cs="Arial"/>
          <w:i/>
          <w:lang w:eastAsia="es-ES"/>
        </w:rPr>
      </w:pPr>
      <w:r w:rsidRPr="00F97C81">
        <w:rPr>
          <w:rFonts w:ascii="Palatino Linotype" w:eastAsia="Times New Roman" w:hAnsi="Palatino Linotype" w:cs="Arial"/>
          <w:i/>
          <w:lang w:eastAsia="es-ES"/>
        </w:rPr>
        <w:t>V. El acto que se recurre;</w:t>
      </w:r>
    </w:p>
    <w:p w14:paraId="76CF16CE" w14:textId="77777777" w:rsidR="00560950" w:rsidRPr="00F97C81" w:rsidRDefault="00560950" w:rsidP="00560950">
      <w:pPr>
        <w:spacing w:before="240" w:line="360" w:lineRule="auto"/>
        <w:ind w:left="851" w:right="851"/>
        <w:jc w:val="both"/>
        <w:rPr>
          <w:rFonts w:ascii="Palatino Linotype" w:eastAsia="Times New Roman" w:hAnsi="Palatino Linotype" w:cs="Arial"/>
          <w:i/>
          <w:lang w:eastAsia="es-ES"/>
        </w:rPr>
      </w:pPr>
      <w:r w:rsidRPr="00F97C81">
        <w:rPr>
          <w:rFonts w:ascii="Palatino Linotype" w:eastAsia="Times New Roman" w:hAnsi="Palatino Linotype" w:cs="Arial"/>
          <w:i/>
          <w:lang w:eastAsia="es-ES"/>
        </w:rPr>
        <w:t>VI. Las razones o motivos de inconformidad;</w:t>
      </w:r>
    </w:p>
    <w:p w14:paraId="01AAC165" w14:textId="77777777" w:rsidR="00560950" w:rsidRPr="00F97C81" w:rsidRDefault="00560950" w:rsidP="00560950">
      <w:pPr>
        <w:spacing w:before="240" w:line="360" w:lineRule="auto"/>
        <w:ind w:left="851" w:right="851"/>
        <w:jc w:val="both"/>
        <w:rPr>
          <w:rFonts w:ascii="Palatino Linotype" w:eastAsia="Times New Roman" w:hAnsi="Palatino Linotype" w:cs="Arial"/>
          <w:i/>
          <w:lang w:eastAsia="es-ES"/>
        </w:rPr>
      </w:pPr>
      <w:r w:rsidRPr="00F97C81">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0EC9EA2E" w14:textId="77777777" w:rsidR="00560950" w:rsidRPr="00F97C81" w:rsidRDefault="00560950" w:rsidP="00560950">
      <w:pPr>
        <w:spacing w:before="240" w:line="360" w:lineRule="auto"/>
        <w:ind w:left="851" w:right="851"/>
        <w:jc w:val="both"/>
        <w:rPr>
          <w:rFonts w:ascii="Palatino Linotype" w:eastAsia="Times New Roman" w:hAnsi="Palatino Linotype" w:cs="Arial"/>
          <w:i/>
          <w:lang w:eastAsia="es-ES"/>
        </w:rPr>
      </w:pPr>
      <w:r w:rsidRPr="00F97C81">
        <w:rPr>
          <w:rFonts w:ascii="Palatino Linotype" w:eastAsia="Times New Roman" w:hAnsi="Palatino Linotype" w:cs="Arial"/>
          <w:i/>
          <w:lang w:eastAsia="es-ES"/>
        </w:rPr>
        <w:lastRenderedPageBreak/>
        <w:t>VIII. Firma del recurrente, en su caso, cuando se presente por escrito, requisito sin el cual se dará trámite al recurso.</w:t>
      </w:r>
    </w:p>
    <w:p w14:paraId="732999D0" w14:textId="77777777" w:rsidR="00560950" w:rsidRPr="00F97C81" w:rsidRDefault="00560950" w:rsidP="00560950">
      <w:pPr>
        <w:spacing w:before="240" w:line="360" w:lineRule="auto"/>
        <w:ind w:left="851" w:right="851"/>
        <w:jc w:val="both"/>
        <w:rPr>
          <w:rFonts w:ascii="Palatino Linotype" w:eastAsia="Times New Roman" w:hAnsi="Palatino Linotype" w:cs="Arial"/>
          <w:i/>
          <w:lang w:eastAsia="es-ES"/>
        </w:rPr>
      </w:pPr>
      <w:r w:rsidRPr="00F97C81">
        <w:rPr>
          <w:rFonts w:ascii="Palatino Linotype" w:eastAsia="Times New Roman" w:hAnsi="Palatino Linotype" w:cs="Arial"/>
          <w:i/>
          <w:lang w:eastAsia="es-ES"/>
        </w:rPr>
        <w:t>Adicionalmente, se podrán anexar las pruebas y demás elementos que considere procedentes someter a juicio del Instituto.</w:t>
      </w:r>
    </w:p>
    <w:p w14:paraId="1DFEACC3" w14:textId="77777777" w:rsidR="00560950" w:rsidRPr="00F97C81" w:rsidRDefault="00560950" w:rsidP="00560950">
      <w:pPr>
        <w:spacing w:before="240" w:line="360" w:lineRule="auto"/>
        <w:ind w:left="851" w:right="851"/>
        <w:jc w:val="both"/>
        <w:rPr>
          <w:rFonts w:ascii="Palatino Linotype" w:eastAsia="Times New Roman" w:hAnsi="Palatino Linotype" w:cs="Arial"/>
          <w:i/>
          <w:lang w:eastAsia="es-ES"/>
        </w:rPr>
      </w:pPr>
      <w:r w:rsidRPr="00F97C81">
        <w:rPr>
          <w:rFonts w:ascii="Palatino Linotype" w:eastAsia="Times New Roman" w:hAnsi="Palatino Linotype" w:cs="Arial"/>
          <w:i/>
          <w:lang w:eastAsia="es-ES"/>
        </w:rPr>
        <w:t>En ningún caso será necesario que el particular ratifique el recurso de revisión interpuesto.</w:t>
      </w:r>
    </w:p>
    <w:p w14:paraId="4E367368" w14:textId="77777777" w:rsidR="00560950" w:rsidRPr="00F97C81" w:rsidRDefault="00560950" w:rsidP="00560950">
      <w:pPr>
        <w:spacing w:before="240" w:line="360" w:lineRule="auto"/>
        <w:ind w:left="851" w:right="851"/>
        <w:jc w:val="both"/>
        <w:rPr>
          <w:rFonts w:ascii="Palatino Linotype" w:eastAsia="Times New Roman" w:hAnsi="Palatino Linotype" w:cs="Arial"/>
          <w:i/>
          <w:sz w:val="24"/>
          <w:szCs w:val="24"/>
          <w:lang w:eastAsia="es-ES"/>
        </w:rPr>
      </w:pPr>
      <w:r w:rsidRPr="00F97C81">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F97C81">
        <w:rPr>
          <w:rFonts w:ascii="Palatino Linotype" w:eastAsia="Times New Roman" w:hAnsi="Palatino Linotype" w:cs="Arial"/>
          <w:b/>
          <w:i/>
          <w:lang w:eastAsia="es-ES"/>
        </w:rPr>
        <w:t xml:space="preserve"> [Sic] </w:t>
      </w:r>
    </w:p>
    <w:p w14:paraId="19F629F6" w14:textId="77777777" w:rsidR="00560950" w:rsidRPr="00F97C81" w:rsidRDefault="00560950" w:rsidP="00560950">
      <w:pPr>
        <w:spacing w:after="0" w:line="360" w:lineRule="auto"/>
        <w:jc w:val="both"/>
        <w:rPr>
          <w:rFonts w:ascii="Palatino Linotype" w:eastAsia="Times New Roman" w:hAnsi="Palatino Linotype" w:cs="Arial"/>
          <w:b/>
          <w:i/>
          <w:sz w:val="24"/>
          <w:szCs w:val="24"/>
          <w:lang w:eastAsia="es-ES"/>
        </w:rPr>
      </w:pPr>
    </w:p>
    <w:p w14:paraId="13B4794B" w14:textId="77777777" w:rsidR="00560950" w:rsidRPr="00F97C81" w:rsidRDefault="00560950" w:rsidP="00560950">
      <w:pPr>
        <w:spacing w:after="0" w:line="360" w:lineRule="auto"/>
        <w:jc w:val="both"/>
        <w:rPr>
          <w:rFonts w:ascii="Palatino Linotype" w:hAnsi="Palatino Linotype" w:cs="Arial"/>
          <w:sz w:val="24"/>
          <w:szCs w:val="24"/>
          <w:lang w:eastAsia="es-ES"/>
        </w:rPr>
      </w:pPr>
      <w:r w:rsidRPr="00F97C81">
        <w:rPr>
          <w:rFonts w:ascii="Palatino Linotype" w:hAnsi="Palatino Linotype" w:cs="Segoe UI"/>
          <w:sz w:val="24"/>
          <w:szCs w:val="24"/>
          <w:lang w:eastAsia="es-ES"/>
        </w:rPr>
        <w:t xml:space="preserve">Cabe señalar que </w:t>
      </w:r>
      <w:r w:rsidRPr="00F97C81">
        <w:rPr>
          <w:rFonts w:ascii="Palatino Linotype" w:hAnsi="Palatino Linotype" w:cs="Segoe UI"/>
          <w:b/>
          <w:sz w:val="24"/>
          <w:szCs w:val="24"/>
          <w:lang w:eastAsia="es-ES"/>
        </w:rPr>
        <w:t>El Recurrente</w:t>
      </w:r>
      <w:r w:rsidRPr="00F97C81">
        <w:rPr>
          <w:rFonts w:ascii="Palatino Linotype" w:hAnsi="Palatino Linotype" w:cs="Segoe UI"/>
          <w:sz w:val="24"/>
          <w:szCs w:val="24"/>
          <w:lang w:eastAsia="es-ES"/>
        </w:rPr>
        <w:t xml:space="preserve"> ejerció de manera anónima su derecho de acceso a la información pública</w:t>
      </w:r>
      <w:r w:rsidRPr="00F97C81">
        <w:rPr>
          <w:rFonts w:ascii="Palatino Linotype" w:hAnsi="Palatino Linotype" w:cs="Times New Roman"/>
          <w:sz w:val="24"/>
          <w:szCs w:val="24"/>
          <w:lang w:eastAsia="es-ES"/>
        </w:rPr>
        <w:t xml:space="preserve">, sin embargo, no es motivo para desechar las </w:t>
      </w:r>
      <w:r w:rsidRPr="00F97C81">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0D9DEB32" w14:textId="77777777" w:rsidR="00560950" w:rsidRPr="00F97C81" w:rsidRDefault="00560950" w:rsidP="00560950">
      <w:pPr>
        <w:spacing w:before="240" w:line="360" w:lineRule="auto"/>
        <w:ind w:left="851" w:right="851"/>
        <w:jc w:val="both"/>
        <w:rPr>
          <w:rFonts w:ascii="Palatino Linotype" w:hAnsi="Palatino Linotype" w:cs="Arial"/>
          <w:b/>
          <w:i/>
          <w:lang w:eastAsia="es-ES"/>
        </w:rPr>
      </w:pPr>
      <w:r w:rsidRPr="00F97C81">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F97C81">
        <w:rPr>
          <w:rFonts w:ascii="Palatino Linotype" w:hAnsi="Palatino Linotype" w:cs="Arial"/>
          <w:b/>
          <w:i/>
          <w:lang w:eastAsia="es-ES"/>
        </w:rPr>
        <w:t>[Sic]</w:t>
      </w:r>
    </w:p>
    <w:p w14:paraId="7E54926F" w14:textId="77777777" w:rsidR="00560950" w:rsidRPr="00F97C81" w:rsidRDefault="00560950" w:rsidP="00560950">
      <w:pPr>
        <w:spacing w:before="240" w:line="360" w:lineRule="auto"/>
        <w:ind w:left="851" w:right="851"/>
        <w:jc w:val="both"/>
        <w:rPr>
          <w:rFonts w:ascii="Palatino Linotype" w:hAnsi="Palatino Linotype" w:cs="Arial"/>
          <w:b/>
          <w:i/>
          <w:lang w:eastAsia="es-ES"/>
        </w:rPr>
      </w:pPr>
    </w:p>
    <w:p w14:paraId="0D82B226" w14:textId="77777777" w:rsidR="00560950" w:rsidRPr="00F97C81" w:rsidRDefault="00560950" w:rsidP="00560950">
      <w:pPr>
        <w:spacing w:after="0" w:line="360" w:lineRule="auto"/>
        <w:jc w:val="both"/>
        <w:rPr>
          <w:rFonts w:ascii="Palatino Linotype" w:hAnsi="Palatino Linotype" w:cs="Times New Roman"/>
          <w:sz w:val="24"/>
          <w:szCs w:val="24"/>
          <w:lang w:eastAsia="es-ES"/>
        </w:rPr>
      </w:pPr>
      <w:r w:rsidRPr="00F97C81">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w:t>
      </w:r>
      <w:r w:rsidRPr="00F97C81">
        <w:rPr>
          <w:rFonts w:ascii="Palatino Linotype" w:hAnsi="Palatino Linotype" w:cs="Times New Roman"/>
          <w:sz w:val="24"/>
          <w:szCs w:val="24"/>
          <w:lang w:eastAsia="es-ES"/>
        </w:rPr>
        <w:lastRenderedPageBreak/>
        <w:t xml:space="preserve">párrafos </w:t>
      </w:r>
      <w:r w:rsidRPr="00F97C81">
        <w:rPr>
          <w:rFonts w:ascii="Palatino Linotype" w:hAnsi="Palatino Linotype" w:cs="Arial"/>
          <w:sz w:val="24"/>
          <w:szCs w:val="24"/>
          <w:lang w:eastAsia="es-ES"/>
        </w:rPr>
        <w:t>vigésimo, vigésimo primero</w:t>
      </w:r>
      <w:r w:rsidRPr="00F97C81">
        <w:rPr>
          <w:rFonts w:ascii="Palatino Linotype" w:eastAsia="Times New Roman" w:hAnsi="Palatino Linotype" w:cs="Arial"/>
          <w:sz w:val="24"/>
          <w:szCs w:val="24"/>
          <w:lang w:eastAsia="es-ES"/>
        </w:rPr>
        <w:t xml:space="preserve"> y vigésimo segundo</w:t>
      </w:r>
      <w:r w:rsidRPr="00F97C81">
        <w:rPr>
          <w:rFonts w:ascii="Palatino Linotype" w:hAnsi="Palatino Linotype" w:cs="Times New Roman"/>
          <w:sz w:val="24"/>
          <w:szCs w:val="24"/>
          <w:lang w:eastAsia="es-ES"/>
        </w:rPr>
        <w:t>, de la Constitución Política del Estado Libre y Soberano de México, se establece lo siguiente:</w:t>
      </w:r>
    </w:p>
    <w:p w14:paraId="69F91F2A" w14:textId="77777777" w:rsidR="00560950" w:rsidRPr="00F97C81" w:rsidRDefault="00560950" w:rsidP="00560950">
      <w:pPr>
        <w:spacing w:before="240" w:line="360" w:lineRule="auto"/>
        <w:ind w:left="851" w:right="851"/>
        <w:jc w:val="center"/>
        <w:rPr>
          <w:rFonts w:ascii="Palatino Linotype" w:eastAsia="Times New Roman" w:hAnsi="Palatino Linotype" w:cs="Times New Roman"/>
          <w:b/>
          <w:i/>
          <w:u w:val="single"/>
          <w:lang w:eastAsia="es-ES"/>
        </w:rPr>
      </w:pPr>
      <w:r w:rsidRPr="00F97C81">
        <w:rPr>
          <w:rFonts w:ascii="Palatino Linotype" w:eastAsia="Times New Roman" w:hAnsi="Palatino Linotype" w:cs="Times New Roman"/>
          <w:b/>
          <w:i/>
          <w:u w:val="single"/>
          <w:lang w:eastAsia="es-ES"/>
        </w:rPr>
        <w:t>Constitución Política de los Estados Unidos Mexicanos</w:t>
      </w:r>
    </w:p>
    <w:p w14:paraId="152D736A"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b/>
          <w:i/>
          <w:lang w:eastAsia="es-ES"/>
        </w:rPr>
        <w:t>“Artículo 6</w:t>
      </w:r>
      <w:r w:rsidRPr="00F97C81">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BB1653B"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w:t>
      </w:r>
    </w:p>
    <w:p w14:paraId="2F8532FF"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 xml:space="preserve">Para efectos de lo dispuesto en el presente artículo se observará lo siguiente: </w:t>
      </w:r>
    </w:p>
    <w:p w14:paraId="24021AB5"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7FC762D3"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w:t>
      </w:r>
    </w:p>
    <w:p w14:paraId="1F272706"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3C10DA16" w14:textId="77777777" w:rsidR="00560950" w:rsidRPr="00F97C81" w:rsidRDefault="00560950" w:rsidP="00560950">
      <w:pPr>
        <w:spacing w:before="240" w:line="360" w:lineRule="auto"/>
        <w:ind w:left="851" w:right="851"/>
        <w:jc w:val="both"/>
        <w:rPr>
          <w:rFonts w:ascii="Palatino Linotype" w:eastAsia="Times New Roman" w:hAnsi="Palatino Linotype" w:cs="Times New Roman"/>
          <w:b/>
          <w:i/>
          <w:lang w:eastAsia="es-ES"/>
        </w:rPr>
      </w:pPr>
      <w:r w:rsidRPr="00F97C81">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F97C81">
        <w:rPr>
          <w:rFonts w:ascii="Palatino Linotype" w:eastAsia="Times New Roman" w:hAnsi="Palatino Linotype" w:cs="Times New Roman"/>
          <w:b/>
          <w:i/>
          <w:lang w:eastAsia="es-ES"/>
        </w:rPr>
        <w:t>[Sic]</w:t>
      </w:r>
    </w:p>
    <w:p w14:paraId="6D8B4DB7" w14:textId="77777777" w:rsidR="00560950" w:rsidRPr="00F97C81" w:rsidRDefault="00560950" w:rsidP="00560950">
      <w:pPr>
        <w:spacing w:before="240" w:line="360" w:lineRule="auto"/>
        <w:ind w:left="851" w:right="851"/>
        <w:jc w:val="both"/>
        <w:rPr>
          <w:rFonts w:ascii="Palatino Linotype" w:eastAsia="Times New Roman" w:hAnsi="Palatino Linotype" w:cs="Times New Roman"/>
          <w:b/>
          <w:i/>
          <w:lang w:eastAsia="es-ES"/>
        </w:rPr>
      </w:pPr>
    </w:p>
    <w:p w14:paraId="14314983" w14:textId="77777777" w:rsidR="00560950" w:rsidRPr="00F97C81" w:rsidRDefault="00560950" w:rsidP="00560950">
      <w:pPr>
        <w:spacing w:before="240" w:line="360" w:lineRule="auto"/>
        <w:ind w:left="851" w:right="851"/>
        <w:jc w:val="center"/>
        <w:rPr>
          <w:rFonts w:ascii="Palatino Linotype" w:eastAsia="Times New Roman" w:hAnsi="Palatino Linotype" w:cs="Times New Roman"/>
          <w:b/>
          <w:i/>
          <w:u w:val="single"/>
          <w:lang w:eastAsia="es-ES"/>
        </w:rPr>
      </w:pPr>
      <w:r w:rsidRPr="00F97C81">
        <w:rPr>
          <w:rFonts w:ascii="Palatino Linotype" w:eastAsia="Times New Roman" w:hAnsi="Palatino Linotype" w:cs="Times New Roman"/>
          <w:b/>
          <w:i/>
          <w:u w:val="single"/>
          <w:lang w:eastAsia="es-ES"/>
        </w:rPr>
        <w:lastRenderedPageBreak/>
        <w:t>Constitución Política del Estado Libre y Soberano de México</w:t>
      </w:r>
    </w:p>
    <w:p w14:paraId="41DDECF3"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w:t>
      </w:r>
      <w:r w:rsidRPr="00F97C81">
        <w:rPr>
          <w:rFonts w:ascii="Palatino Linotype" w:eastAsia="Times New Roman" w:hAnsi="Palatino Linotype" w:cs="Times New Roman"/>
          <w:b/>
          <w:i/>
          <w:lang w:eastAsia="es-ES"/>
        </w:rPr>
        <w:t>Artículo 5</w:t>
      </w:r>
      <w:r w:rsidRPr="00F97C81">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9D7EF41"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w:t>
      </w:r>
    </w:p>
    <w:p w14:paraId="6C028DAB"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3901B91B"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 xml:space="preserve"> (…)</w:t>
      </w:r>
    </w:p>
    <w:p w14:paraId="12270E83"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7F6478EC"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C8004EC"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w:t>
      </w:r>
    </w:p>
    <w:p w14:paraId="6649B011"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lastRenderedPageBreak/>
        <w:t>III. Toda persona, sin necesidad de acreditar interés alguno o justificar su utilización, tendrá acceso gratuito a la información pública, a sus datos personales o a la rectificación de éstos;</w:t>
      </w:r>
    </w:p>
    <w:p w14:paraId="33F47051"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43859BBB" w14:textId="77777777" w:rsidR="00560950" w:rsidRPr="00F97C81" w:rsidRDefault="00560950" w:rsidP="00560950">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w:t>
      </w:r>
    </w:p>
    <w:p w14:paraId="77B439A2" w14:textId="77777777" w:rsidR="00560950" w:rsidRPr="00F97C81" w:rsidRDefault="00560950" w:rsidP="00560950">
      <w:pPr>
        <w:spacing w:before="240" w:line="360" w:lineRule="auto"/>
        <w:ind w:left="851" w:right="851"/>
        <w:jc w:val="both"/>
        <w:rPr>
          <w:rFonts w:ascii="Palatino Linotype" w:eastAsia="Times New Roman" w:hAnsi="Palatino Linotype" w:cs="Times New Roman"/>
          <w:b/>
          <w:i/>
          <w:lang w:eastAsia="es-ES"/>
        </w:rPr>
      </w:pPr>
      <w:r w:rsidRPr="00F97C81">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F97C81">
        <w:rPr>
          <w:rFonts w:ascii="Palatino Linotype" w:eastAsia="Times New Roman" w:hAnsi="Palatino Linotype" w:cs="Times New Roman"/>
          <w:b/>
          <w:i/>
          <w:lang w:eastAsia="es-ES"/>
        </w:rPr>
        <w:t>[Sic]</w:t>
      </w:r>
    </w:p>
    <w:p w14:paraId="581400D9" w14:textId="77777777" w:rsidR="00560950" w:rsidRPr="00F97C81" w:rsidRDefault="00560950" w:rsidP="00560950">
      <w:pPr>
        <w:spacing w:after="0" w:line="360" w:lineRule="auto"/>
        <w:jc w:val="both"/>
        <w:rPr>
          <w:rFonts w:ascii="Palatino Linotype" w:eastAsia="Times New Roman" w:hAnsi="Palatino Linotype" w:cs="Times New Roman"/>
          <w:sz w:val="24"/>
          <w:szCs w:val="24"/>
          <w:lang w:eastAsia="es-ES"/>
        </w:rPr>
      </w:pPr>
    </w:p>
    <w:p w14:paraId="12716E8F" w14:textId="77777777" w:rsidR="00560950" w:rsidRPr="00F97C81" w:rsidRDefault="00560950" w:rsidP="00560950">
      <w:pPr>
        <w:spacing w:after="0" w:line="360" w:lineRule="auto"/>
        <w:jc w:val="both"/>
        <w:rPr>
          <w:rFonts w:ascii="Palatino Linotype" w:eastAsia="Times New Roman" w:hAnsi="Palatino Linotype" w:cs="Times New Roman"/>
          <w:sz w:val="24"/>
          <w:szCs w:val="24"/>
          <w:lang w:eastAsia="es-ES"/>
        </w:rPr>
      </w:pPr>
      <w:r w:rsidRPr="00F97C81">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24AB22BE" w14:textId="77777777" w:rsidR="00560950" w:rsidRPr="00F97C81" w:rsidRDefault="00560950" w:rsidP="00560950">
      <w:pPr>
        <w:spacing w:before="240" w:line="360" w:lineRule="auto"/>
        <w:ind w:left="851" w:right="851"/>
        <w:jc w:val="both"/>
        <w:rPr>
          <w:rFonts w:ascii="Palatino Linotype" w:hAnsi="Palatino Linotype" w:cs="Times New Roman"/>
          <w:i/>
          <w:lang w:eastAsia="es-ES"/>
        </w:rPr>
      </w:pPr>
      <w:r w:rsidRPr="00F97C81">
        <w:rPr>
          <w:rFonts w:ascii="Palatino Linotype" w:hAnsi="Palatino Linotype" w:cs="Times New Roman"/>
          <w:i/>
          <w:lang w:eastAsia="es-ES"/>
        </w:rPr>
        <w:t>“</w:t>
      </w:r>
      <w:r w:rsidRPr="00F97C81">
        <w:rPr>
          <w:rFonts w:ascii="Palatino Linotype" w:hAnsi="Palatino Linotype" w:cs="Times New Roman"/>
          <w:b/>
          <w:i/>
          <w:lang w:eastAsia="es-ES"/>
        </w:rPr>
        <w:t>Artículo 1o</w:t>
      </w:r>
      <w:r w:rsidRPr="00F97C81">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4608EBE" w14:textId="77777777" w:rsidR="00560950" w:rsidRPr="00F97C81" w:rsidRDefault="00560950" w:rsidP="00560950">
      <w:pPr>
        <w:spacing w:before="240" w:line="360" w:lineRule="auto"/>
        <w:ind w:left="851" w:right="851"/>
        <w:jc w:val="both"/>
        <w:rPr>
          <w:rFonts w:ascii="Palatino Linotype" w:hAnsi="Palatino Linotype" w:cs="Times New Roman"/>
          <w:i/>
          <w:lang w:eastAsia="es-ES"/>
        </w:rPr>
      </w:pPr>
      <w:r w:rsidRPr="00F97C81">
        <w:rPr>
          <w:rFonts w:ascii="Palatino Linotype" w:hAnsi="Palatino Linotype" w:cs="Times New Roman"/>
          <w:i/>
          <w:lang w:eastAsia="es-ES"/>
        </w:rPr>
        <w:lastRenderedPageBreak/>
        <w:t>Las normas relativas a los derechos humanos se interpretarán de conformidad con esta Constitución y con los tratados internacionales de la materia favoreciendo en todo tiempo a las personas la protección más amplia.</w:t>
      </w:r>
    </w:p>
    <w:p w14:paraId="1750DFF3" w14:textId="77777777" w:rsidR="00560950" w:rsidRPr="00F97C81" w:rsidRDefault="00560950" w:rsidP="00560950">
      <w:pPr>
        <w:spacing w:before="240" w:line="360" w:lineRule="auto"/>
        <w:ind w:left="851" w:right="851"/>
        <w:jc w:val="both"/>
        <w:rPr>
          <w:rFonts w:ascii="Palatino Linotype" w:hAnsi="Palatino Linotype" w:cs="Times New Roman"/>
          <w:b/>
          <w:i/>
          <w:lang w:eastAsia="es-ES"/>
        </w:rPr>
      </w:pPr>
      <w:r w:rsidRPr="00F97C81">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F97C81">
        <w:rPr>
          <w:rFonts w:ascii="Palatino Linotype" w:hAnsi="Palatino Linotype" w:cs="Times New Roman"/>
          <w:b/>
          <w:i/>
          <w:lang w:eastAsia="es-ES"/>
        </w:rPr>
        <w:t>[Sic]</w:t>
      </w:r>
    </w:p>
    <w:p w14:paraId="7A716A3B" w14:textId="77777777" w:rsidR="00E11735" w:rsidRPr="00F97C81" w:rsidRDefault="00E11735" w:rsidP="00560950">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14AC275A" w14:textId="670308B1" w:rsidR="00560950" w:rsidRPr="00F97C81" w:rsidRDefault="00560950" w:rsidP="00560950">
      <w:pPr>
        <w:tabs>
          <w:tab w:val="left" w:pos="709"/>
        </w:tabs>
        <w:spacing w:before="240" w:line="360" w:lineRule="auto"/>
        <w:ind w:right="51"/>
        <w:jc w:val="both"/>
        <w:rPr>
          <w:rFonts w:ascii="Palatino Linotype" w:hAnsi="Palatino Linotype"/>
          <w:b/>
          <w:sz w:val="28"/>
          <w:szCs w:val="28"/>
        </w:rPr>
      </w:pPr>
      <w:r w:rsidRPr="00F97C81">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F97C81">
        <w:rPr>
          <w:rFonts w:ascii="Palatino Linotype" w:eastAsia="Times New Roman" w:hAnsi="Palatino Linotype" w:cs="Times New Roman"/>
          <w:b/>
          <w:sz w:val="24"/>
          <w:szCs w:val="24"/>
          <w:u w:val="single"/>
          <w:lang w:eastAsia="es-ES"/>
        </w:rPr>
        <w:t>incluso, la solicitud de acceso a la información pueda ser anónima</w:t>
      </w:r>
      <w:r w:rsidRPr="00F97C81">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F97C81">
        <w:rPr>
          <w:rFonts w:ascii="Palatino Linotype" w:hAnsi="Palatino Linotype" w:cs="Arial"/>
          <w:sz w:val="24"/>
          <w:szCs w:val="24"/>
        </w:rPr>
        <w:t>En conclusión, se cubrieron los requisitos de procedencia y procedibilidad y conforme a las constancias que obran en el expediente.</w:t>
      </w:r>
    </w:p>
    <w:p w14:paraId="6690BE00" w14:textId="77777777" w:rsidR="00560950" w:rsidRPr="00F97C81" w:rsidRDefault="00560950" w:rsidP="00955048">
      <w:pPr>
        <w:tabs>
          <w:tab w:val="left" w:pos="709"/>
        </w:tabs>
        <w:spacing w:before="240" w:line="360" w:lineRule="auto"/>
        <w:ind w:right="51"/>
        <w:jc w:val="both"/>
        <w:rPr>
          <w:rFonts w:ascii="Palatino Linotype" w:hAnsi="Palatino Linotype"/>
          <w:b/>
          <w:sz w:val="28"/>
          <w:szCs w:val="28"/>
        </w:rPr>
      </w:pPr>
    </w:p>
    <w:p w14:paraId="6670F89B" w14:textId="77777777" w:rsidR="00955048" w:rsidRPr="00F97C81" w:rsidRDefault="00955048" w:rsidP="00955048">
      <w:pPr>
        <w:tabs>
          <w:tab w:val="left" w:pos="709"/>
        </w:tabs>
        <w:spacing w:before="240" w:line="360" w:lineRule="auto"/>
        <w:ind w:right="51"/>
        <w:jc w:val="both"/>
        <w:rPr>
          <w:rFonts w:ascii="Palatino Linotype" w:hAnsi="Palatino Linotype"/>
          <w:b/>
          <w:sz w:val="28"/>
          <w:szCs w:val="28"/>
        </w:rPr>
      </w:pPr>
      <w:r w:rsidRPr="00F97C81">
        <w:rPr>
          <w:rFonts w:ascii="Palatino Linotype" w:hAnsi="Palatino Linotype"/>
          <w:b/>
          <w:sz w:val="28"/>
          <w:szCs w:val="28"/>
        </w:rPr>
        <w:t xml:space="preserve">CUARTO. Estudio y resolución del asunto </w:t>
      </w:r>
      <w:r w:rsidRPr="00F97C81">
        <w:rPr>
          <w:rFonts w:ascii="Palatino Linotype" w:hAnsi="Palatino Linotype"/>
          <w:b/>
          <w:sz w:val="28"/>
          <w:szCs w:val="28"/>
        </w:rPr>
        <w:tab/>
      </w:r>
    </w:p>
    <w:p w14:paraId="16FE2D80" w14:textId="77777777" w:rsidR="00955048" w:rsidRPr="00F97C81" w:rsidRDefault="00955048" w:rsidP="00955048">
      <w:pPr>
        <w:pStyle w:val="Prrafodelista"/>
        <w:autoSpaceDE w:val="0"/>
        <w:autoSpaceDN w:val="0"/>
        <w:adjustRightInd w:val="0"/>
        <w:spacing w:before="240" w:after="160" w:line="360" w:lineRule="auto"/>
        <w:ind w:left="0"/>
        <w:jc w:val="both"/>
        <w:rPr>
          <w:rFonts w:ascii="Palatino Linotype" w:hAnsi="Palatino Linotype" w:cs="Arial"/>
          <w:lang w:val="es-MX"/>
        </w:rPr>
      </w:pPr>
      <w:r w:rsidRPr="00F97C81">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w:t>
      </w:r>
      <w:r w:rsidRPr="00F97C81">
        <w:rPr>
          <w:rFonts w:ascii="Palatino Linotype" w:hAnsi="Palatino Linotype" w:cs="Arial"/>
          <w:lang w:val="es-MX"/>
        </w:rPr>
        <w:lastRenderedPageBreak/>
        <w:t xml:space="preserve">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30243D26" w14:textId="77777777" w:rsidR="00955048" w:rsidRPr="00F97C81" w:rsidRDefault="00955048" w:rsidP="00955048">
      <w:pPr>
        <w:spacing w:after="0" w:line="360" w:lineRule="auto"/>
        <w:jc w:val="both"/>
        <w:rPr>
          <w:rFonts w:ascii="Palatino Linotype" w:eastAsia="Times New Roman" w:hAnsi="Palatino Linotype" w:cs="Times New Roman"/>
          <w:sz w:val="24"/>
          <w:szCs w:val="24"/>
          <w:lang w:eastAsia="es-ES"/>
        </w:rPr>
      </w:pPr>
      <w:r w:rsidRPr="00F97C81">
        <w:rPr>
          <w:rFonts w:ascii="Palatino Linotype" w:hAnsi="Palatino Linotype" w:cs="Arial"/>
          <w:sz w:val="24"/>
          <w:szCs w:val="24"/>
        </w:rPr>
        <w:t xml:space="preserve">En este tenor, es necesario subrayar que </w:t>
      </w:r>
      <w:r w:rsidRPr="00F97C81">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794AB6BD" w14:textId="77777777" w:rsidR="00955048" w:rsidRPr="00F97C81" w:rsidRDefault="00955048" w:rsidP="00955048">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b/>
          <w:i/>
          <w:lang w:eastAsia="es-ES"/>
        </w:rPr>
        <w:t>“Artículo 4.</w:t>
      </w:r>
      <w:r w:rsidRPr="00F97C81">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2516BFE" w14:textId="77777777" w:rsidR="00955048" w:rsidRPr="00F97C81" w:rsidRDefault="00955048" w:rsidP="00955048">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8A8C883" w14:textId="77777777" w:rsidR="00955048" w:rsidRPr="00F97C81" w:rsidRDefault="00955048" w:rsidP="00955048">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lastRenderedPageBreak/>
        <w:t>Los sujetos obligados deben poner en práctica, políticas y programas de acceso a la información que se apeguen a criterios de publicidad, veracidad, oportunidad, precisión y suficiencia en beneficio de los solicitantes.</w:t>
      </w:r>
    </w:p>
    <w:p w14:paraId="0E21303F" w14:textId="77777777" w:rsidR="00955048" w:rsidRPr="00F97C81" w:rsidRDefault="00955048" w:rsidP="00955048">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b/>
          <w:i/>
          <w:lang w:eastAsia="es-ES"/>
        </w:rPr>
        <w:t>Artículo 12.</w:t>
      </w:r>
      <w:r w:rsidRPr="00F97C81">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2A448E85" w14:textId="77777777" w:rsidR="00955048" w:rsidRPr="00F97C81" w:rsidRDefault="00955048" w:rsidP="00955048">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231C4F8C" w14:textId="77777777" w:rsidR="00955048" w:rsidRPr="00F97C81" w:rsidRDefault="00955048" w:rsidP="00955048">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w:t>
      </w:r>
    </w:p>
    <w:p w14:paraId="10246F6D" w14:textId="77777777" w:rsidR="00955048" w:rsidRPr="00F97C81" w:rsidRDefault="00955048" w:rsidP="00955048">
      <w:pPr>
        <w:spacing w:before="240" w:line="360" w:lineRule="auto"/>
        <w:ind w:left="851" w:right="851"/>
        <w:jc w:val="both"/>
        <w:rPr>
          <w:rFonts w:ascii="Palatino Linotype" w:eastAsia="Times New Roman" w:hAnsi="Palatino Linotype" w:cs="Times New Roman"/>
          <w:b/>
          <w:i/>
          <w:lang w:eastAsia="es-ES"/>
        </w:rPr>
      </w:pPr>
      <w:r w:rsidRPr="00F97C81">
        <w:rPr>
          <w:rFonts w:ascii="Palatino Linotype" w:eastAsia="Times New Roman" w:hAnsi="Palatino Linotype" w:cs="Times New Roman"/>
          <w:b/>
          <w:i/>
          <w:lang w:eastAsia="es-ES"/>
        </w:rPr>
        <w:t xml:space="preserve">Artículo 24. </w:t>
      </w:r>
    </w:p>
    <w:p w14:paraId="60D35999" w14:textId="77777777" w:rsidR="00955048" w:rsidRPr="00F97C81" w:rsidRDefault="00955048" w:rsidP="00955048">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w:t>
      </w:r>
    </w:p>
    <w:p w14:paraId="27213AD8" w14:textId="77777777" w:rsidR="00955048" w:rsidRPr="00F97C81" w:rsidRDefault="00955048" w:rsidP="00955048">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40DB3866" w14:textId="77777777" w:rsidR="00955048" w:rsidRPr="00F97C81" w:rsidRDefault="00955048" w:rsidP="00955048">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i/>
          <w:lang w:eastAsia="es-ES"/>
        </w:rPr>
        <w:t>(…)</w:t>
      </w:r>
    </w:p>
    <w:p w14:paraId="350F8948" w14:textId="77777777" w:rsidR="00955048" w:rsidRPr="00F97C81" w:rsidRDefault="00955048" w:rsidP="00955048">
      <w:pPr>
        <w:spacing w:before="240" w:line="360" w:lineRule="auto"/>
        <w:ind w:left="851" w:right="851"/>
        <w:jc w:val="both"/>
        <w:rPr>
          <w:rFonts w:ascii="Palatino Linotype" w:eastAsia="Times New Roman" w:hAnsi="Palatino Linotype" w:cs="Times New Roman"/>
          <w:i/>
          <w:lang w:eastAsia="es-ES"/>
        </w:rPr>
      </w:pPr>
      <w:r w:rsidRPr="00F97C81">
        <w:rPr>
          <w:rFonts w:ascii="Palatino Linotype" w:eastAsia="Times New Roman" w:hAnsi="Palatino Linotype" w:cs="Times New Roman"/>
          <w:b/>
          <w:i/>
          <w:lang w:eastAsia="es-ES"/>
        </w:rPr>
        <w:t>Artículo 160.</w:t>
      </w:r>
      <w:r w:rsidRPr="00F97C81">
        <w:rPr>
          <w:rFonts w:ascii="Palatino Linotype" w:eastAsia="Times New Roman" w:hAnsi="Palatino Linotype" w:cs="Times New Roman"/>
          <w:i/>
          <w:lang w:eastAsia="es-ES"/>
        </w:rPr>
        <w:t xml:space="preserve"> Los sujetos obligados deberán otorgar acceso a los documentos que se </w:t>
      </w:r>
      <w:r w:rsidRPr="00F97C81">
        <w:rPr>
          <w:rFonts w:ascii="Palatino Linotype" w:eastAsia="Times New Roman" w:hAnsi="Palatino Linotype" w:cs="Times New Roman"/>
          <w:b/>
          <w:i/>
          <w:lang w:eastAsia="es-ES"/>
        </w:rPr>
        <w:t xml:space="preserve"> </w:t>
      </w:r>
      <w:r w:rsidRPr="00F97C81">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0125C09" w14:textId="77777777" w:rsidR="00955048" w:rsidRPr="00F97C81" w:rsidRDefault="00955048" w:rsidP="00955048">
      <w:pPr>
        <w:spacing w:before="240" w:line="360" w:lineRule="auto"/>
        <w:ind w:left="851" w:right="851"/>
        <w:jc w:val="both"/>
        <w:rPr>
          <w:rFonts w:ascii="Palatino Linotype" w:eastAsia="Times New Roman" w:hAnsi="Palatino Linotype" w:cs="Times New Roman"/>
          <w:b/>
          <w:i/>
          <w:lang w:eastAsia="es-ES"/>
        </w:rPr>
      </w:pPr>
      <w:r w:rsidRPr="00F97C81">
        <w:rPr>
          <w:rFonts w:ascii="Palatino Linotype" w:eastAsia="Times New Roman" w:hAnsi="Palatino Linotype" w:cs="Times New Roman"/>
          <w:i/>
          <w:lang w:eastAsia="es-ES"/>
        </w:rPr>
        <w:lastRenderedPageBreak/>
        <w:t>En caso que la información solicitada consista en bases de datos se deberá privilegiar la entrega de la misma en formatos abiertos.”</w:t>
      </w:r>
      <w:r w:rsidRPr="00F97C81">
        <w:rPr>
          <w:rFonts w:ascii="Palatino Linotype" w:eastAsia="Times New Roman" w:hAnsi="Palatino Linotype" w:cs="Times New Roman"/>
          <w:b/>
          <w:i/>
          <w:lang w:eastAsia="es-ES"/>
        </w:rPr>
        <w:t xml:space="preserve"> (Sic)</w:t>
      </w:r>
    </w:p>
    <w:p w14:paraId="4B6186AE" w14:textId="77777777" w:rsidR="00955048" w:rsidRPr="00F97C81" w:rsidRDefault="00955048" w:rsidP="00955048">
      <w:pPr>
        <w:spacing w:after="0" w:line="360" w:lineRule="auto"/>
        <w:jc w:val="both"/>
        <w:rPr>
          <w:rFonts w:ascii="Palatino Linotype" w:eastAsia="Times New Roman" w:hAnsi="Palatino Linotype" w:cs="Times New Roman"/>
          <w:sz w:val="24"/>
          <w:szCs w:val="24"/>
          <w:lang w:eastAsia="es-ES"/>
        </w:rPr>
      </w:pPr>
    </w:p>
    <w:p w14:paraId="7778B100" w14:textId="77777777" w:rsidR="00955048" w:rsidRPr="00F97C81" w:rsidRDefault="00955048" w:rsidP="00955048">
      <w:pPr>
        <w:spacing w:after="0" w:line="360" w:lineRule="auto"/>
        <w:jc w:val="both"/>
        <w:rPr>
          <w:rFonts w:ascii="Palatino Linotype" w:eastAsia="Times New Roman" w:hAnsi="Palatino Linotype" w:cs="Times New Roman"/>
          <w:sz w:val="24"/>
          <w:szCs w:val="24"/>
          <w:lang w:eastAsia="es-ES"/>
        </w:rPr>
      </w:pPr>
      <w:r w:rsidRPr="00F97C81">
        <w:rPr>
          <w:rFonts w:ascii="Palatino Linotype" w:eastAsia="Times New Roman" w:hAnsi="Palatino Linotype" w:cs="Times New Roman"/>
          <w:sz w:val="24"/>
          <w:szCs w:val="24"/>
          <w:lang w:eastAsia="es-ES"/>
        </w:rPr>
        <w:t xml:space="preserve">Así que la obligación de los </w:t>
      </w:r>
      <w:r w:rsidRPr="00F97C81">
        <w:rPr>
          <w:rFonts w:ascii="Palatino Linotype" w:eastAsia="Times New Roman" w:hAnsi="Palatino Linotype" w:cs="Times New Roman"/>
          <w:b/>
          <w:sz w:val="24"/>
          <w:szCs w:val="24"/>
          <w:lang w:eastAsia="es-ES"/>
        </w:rPr>
        <w:t>Sujetos Obligados</w:t>
      </w:r>
      <w:r w:rsidRPr="00F97C81">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F97C81">
        <w:rPr>
          <w:rFonts w:ascii="Palatino Linotype" w:eastAsia="Times New Roman" w:hAnsi="Palatino Linotype" w:cs="Times New Roman"/>
          <w:bCs/>
          <w:sz w:val="24"/>
          <w:szCs w:val="24"/>
          <w:lang w:eastAsia="es-ES"/>
        </w:rPr>
        <w:t>de la Ley local en la materia, que se reproduce de la siguiente forma</w:t>
      </w:r>
      <w:r w:rsidRPr="00F97C81">
        <w:rPr>
          <w:rFonts w:ascii="Palatino Linotype" w:eastAsia="Times New Roman" w:hAnsi="Palatino Linotype" w:cs="Times New Roman"/>
          <w:sz w:val="24"/>
          <w:szCs w:val="24"/>
          <w:lang w:eastAsia="es-ES"/>
        </w:rPr>
        <w:t>:</w:t>
      </w:r>
    </w:p>
    <w:p w14:paraId="6C2B4D80" w14:textId="77777777" w:rsidR="00955048" w:rsidRPr="00F97C81" w:rsidRDefault="00955048" w:rsidP="00955048">
      <w:pPr>
        <w:spacing w:before="240" w:line="360" w:lineRule="auto"/>
        <w:ind w:left="851" w:right="851"/>
        <w:jc w:val="both"/>
        <w:rPr>
          <w:rFonts w:ascii="Palatino Linotype" w:eastAsia="Times New Roman" w:hAnsi="Palatino Linotype" w:cs="Arial"/>
          <w:b/>
          <w:i/>
          <w:lang w:eastAsia="es-ES"/>
        </w:rPr>
      </w:pPr>
      <w:r w:rsidRPr="00F97C81">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F97C81">
        <w:rPr>
          <w:rFonts w:ascii="Palatino Linotype" w:eastAsia="Times New Roman" w:hAnsi="Palatino Linotype" w:cs="Arial"/>
          <w:b/>
          <w:i/>
          <w:lang w:eastAsia="es-ES"/>
        </w:rPr>
        <w:t>[Sic]</w:t>
      </w:r>
    </w:p>
    <w:p w14:paraId="623A60D8" w14:textId="77777777" w:rsidR="00EB1B16" w:rsidRPr="00F97C81" w:rsidRDefault="00EB1B16" w:rsidP="00955048">
      <w:pPr>
        <w:autoSpaceDE w:val="0"/>
        <w:autoSpaceDN w:val="0"/>
        <w:adjustRightInd w:val="0"/>
        <w:spacing w:before="240" w:line="360" w:lineRule="auto"/>
        <w:jc w:val="both"/>
        <w:rPr>
          <w:rFonts w:ascii="Palatino Linotype" w:hAnsi="Palatino Linotype" w:cs="Arial"/>
          <w:sz w:val="24"/>
          <w:szCs w:val="24"/>
        </w:rPr>
      </w:pPr>
    </w:p>
    <w:p w14:paraId="51F2A4ED" w14:textId="7AAF9583" w:rsidR="00EB1B16" w:rsidRPr="00F97C81" w:rsidRDefault="00955048" w:rsidP="00955048">
      <w:pPr>
        <w:autoSpaceDE w:val="0"/>
        <w:autoSpaceDN w:val="0"/>
        <w:adjustRightInd w:val="0"/>
        <w:spacing w:before="240" w:line="360" w:lineRule="auto"/>
        <w:jc w:val="both"/>
        <w:rPr>
          <w:rFonts w:ascii="Palatino Linotype" w:hAnsi="Palatino Linotype" w:cs="Arial"/>
          <w:sz w:val="24"/>
          <w:szCs w:val="24"/>
        </w:rPr>
      </w:pPr>
      <w:r w:rsidRPr="00F97C81">
        <w:rPr>
          <w:rFonts w:ascii="Palatino Linotype" w:hAnsi="Palatino Linotype" w:cs="Arial"/>
          <w:sz w:val="24"/>
          <w:szCs w:val="24"/>
        </w:rPr>
        <w:t xml:space="preserve">En una aproximación inicial, con relación a la solicitud de información </w:t>
      </w:r>
      <w:r w:rsidR="00560950" w:rsidRPr="00F97C81">
        <w:rPr>
          <w:rFonts w:ascii="Palatino Linotype" w:hAnsi="Palatino Linotype" w:cs="Arial"/>
          <w:b/>
          <w:bCs/>
          <w:sz w:val="24"/>
          <w:szCs w:val="24"/>
        </w:rPr>
        <w:t>00119/CALIMAYA/IP/2026</w:t>
      </w:r>
      <w:r w:rsidR="00EB1B16" w:rsidRPr="00F97C81">
        <w:rPr>
          <w:rFonts w:ascii="Palatino Linotype" w:hAnsi="Palatino Linotype" w:cs="Arial"/>
          <w:b/>
          <w:bCs/>
          <w:sz w:val="24"/>
          <w:szCs w:val="24"/>
        </w:rPr>
        <w:t xml:space="preserve">, </w:t>
      </w:r>
      <w:r w:rsidR="00EB1B16" w:rsidRPr="00F97C81">
        <w:rPr>
          <w:rFonts w:ascii="Palatino Linotype" w:hAnsi="Palatino Linotype" w:cs="Arial"/>
          <w:sz w:val="24"/>
          <w:szCs w:val="24"/>
        </w:rPr>
        <w:t xml:space="preserve">se desprenden las siguientes consideraciones: </w:t>
      </w:r>
    </w:p>
    <w:p w14:paraId="515D3D6C" w14:textId="77777777" w:rsidR="00955048" w:rsidRPr="00F97C81" w:rsidRDefault="00955048" w:rsidP="00955048">
      <w:pPr>
        <w:pStyle w:val="Prrafodelista"/>
        <w:numPr>
          <w:ilvl w:val="0"/>
          <w:numId w:val="19"/>
        </w:numPr>
        <w:autoSpaceDE w:val="0"/>
        <w:autoSpaceDN w:val="0"/>
        <w:adjustRightInd w:val="0"/>
        <w:spacing w:before="240" w:line="360" w:lineRule="auto"/>
        <w:jc w:val="both"/>
        <w:rPr>
          <w:rFonts w:ascii="Palatino Linotype" w:hAnsi="Palatino Linotype" w:cs="Arial"/>
          <w:lang w:val="es-MX"/>
        </w:rPr>
      </w:pPr>
      <w:r w:rsidRPr="00F97C81">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F97C81">
        <w:rPr>
          <w:rFonts w:ascii="Palatino Linotype" w:hAnsi="Palatino Linotype" w:cs="Arial"/>
          <w:b/>
          <w:bCs/>
          <w:lang w:val="es-MX"/>
        </w:rPr>
        <w:t xml:space="preserve">Sujetos Obligados. </w:t>
      </w:r>
    </w:p>
    <w:p w14:paraId="010A3AFE" w14:textId="77777777" w:rsidR="00955048" w:rsidRPr="00F97C81" w:rsidRDefault="00955048" w:rsidP="00955048">
      <w:pPr>
        <w:pStyle w:val="Prrafodelista"/>
        <w:autoSpaceDE w:val="0"/>
        <w:autoSpaceDN w:val="0"/>
        <w:adjustRightInd w:val="0"/>
        <w:spacing w:before="240" w:line="360" w:lineRule="auto"/>
        <w:ind w:left="720"/>
        <w:jc w:val="both"/>
        <w:rPr>
          <w:rFonts w:ascii="Palatino Linotype" w:hAnsi="Palatino Linotype" w:cs="Arial"/>
          <w:lang w:val="es-MX"/>
        </w:rPr>
      </w:pPr>
    </w:p>
    <w:p w14:paraId="64281654" w14:textId="3F4F8FE4" w:rsidR="00560950" w:rsidRPr="00F97C81" w:rsidRDefault="00955048" w:rsidP="00955048">
      <w:pPr>
        <w:pStyle w:val="Prrafodelista"/>
        <w:numPr>
          <w:ilvl w:val="0"/>
          <w:numId w:val="13"/>
        </w:numPr>
        <w:autoSpaceDE w:val="0"/>
        <w:autoSpaceDN w:val="0"/>
        <w:adjustRightInd w:val="0"/>
        <w:spacing w:before="240" w:line="360" w:lineRule="auto"/>
        <w:jc w:val="both"/>
        <w:rPr>
          <w:rFonts w:ascii="Palatino Linotype" w:hAnsi="Palatino Linotype"/>
          <w:color w:val="000000"/>
          <w:lang w:val="es-MX"/>
        </w:rPr>
      </w:pPr>
      <w:r w:rsidRPr="00F97C81">
        <w:rPr>
          <w:rFonts w:ascii="Palatino Linotype" w:hAnsi="Palatino Linotype"/>
          <w:color w:val="000000"/>
          <w:lang w:val="es-MX"/>
        </w:rPr>
        <w:lastRenderedPageBreak/>
        <w:t>Que</w:t>
      </w:r>
      <w:r w:rsidR="00560950" w:rsidRPr="00F97C81">
        <w:rPr>
          <w:rFonts w:ascii="Palatino Linotype" w:hAnsi="Palatino Linotype"/>
          <w:color w:val="000000"/>
          <w:lang w:val="es-MX"/>
        </w:rPr>
        <w:t xml:space="preserve"> de una interpretación literal y gramatical a la solicitud de información </w:t>
      </w:r>
      <w:r w:rsidR="00455AD9" w:rsidRPr="00F97C81">
        <w:rPr>
          <w:rFonts w:ascii="Palatino Linotype" w:hAnsi="Palatino Linotype"/>
          <w:color w:val="000000"/>
          <w:lang w:val="es-MX"/>
        </w:rPr>
        <w:t xml:space="preserve">se advierte que fue señalada de manera diligente la temporalidad al precisar </w:t>
      </w:r>
      <w:r w:rsidR="00455AD9" w:rsidRPr="00F97C81">
        <w:rPr>
          <w:rFonts w:ascii="Palatino Linotype" w:hAnsi="Palatino Linotype"/>
          <w:i/>
          <w:iCs/>
          <w:color w:val="000000"/>
          <w:lang w:val="es-MX"/>
        </w:rPr>
        <w:t xml:space="preserve">“del 1 de enero al 31 de diciembre de 2025”. </w:t>
      </w:r>
    </w:p>
    <w:p w14:paraId="5D219121" w14:textId="77777777" w:rsidR="00455AD9" w:rsidRPr="00F97C81" w:rsidRDefault="00455AD9" w:rsidP="00455AD9">
      <w:pPr>
        <w:pStyle w:val="Prrafodelista"/>
        <w:autoSpaceDE w:val="0"/>
        <w:autoSpaceDN w:val="0"/>
        <w:adjustRightInd w:val="0"/>
        <w:spacing w:before="240" w:line="360" w:lineRule="auto"/>
        <w:ind w:left="720"/>
        <w:jc w:val="both"/>
        <w:rPr>
          <w:rFonts w:ascii="Palatino Linotype" w:hAnsi="Palatino Linotype"/>
          <w:color w:val="000000"/>
          <w:lang w:val="es-MX"/>
        </w:rPr>
      </w:pPr>
    </w:p>
    <w:p w14:paraId="5AF86ED1" w14:textId="77777777" w:rsidR="00455AD9" w:rsidRPr="00F97C81" w:rsidRDefault="00455AD9" w:rsidP="00455AD9">
      <w:pPr>
        <w:pStyle w:val="Prrafodelista"/>
        <w:numPr>
          <w:ilvl w:val="0"/>
          <w:numId w:val="13"/>
        </w:numPr>
        <w:autoSpaceDE w:val="0"/>
        <w:autoSpaceDN w:val="0"/>
        <w:adjustRightInd w:val="0"/>
        <w:spacing w:before="240" w:line="360" w:lineRule="auto"/>
        <w:jc w:val="both"/>
        <w:rPr>
          <w:rFonts w:ascii="Palatino Linotype" w:hAnsi="Palatino Linotype"/>
        </w:rPr>
      </w:pPr>
      <w:r w:rsidRPr="00F97C81">
        <w:rPr>
          <w:rFonts w:ascii="Palatino Linotype" w:hAnsi="Palatino Linotype"/>
          <w:color w:val="000000"/>
          <w:lang w:val="es-MX"/>
        </w:rPr>
        <w:t>Que con relación a los requerimientos resulta</w:t>
      </w:r>
      <w:r w:rsidRPr="00F97C81">
        <w:rPr>
          <w:rFonts w:ascii="Palatino Linotype" w:hAnsi="Palatino Linotype" w:cs="Arial"/>
        </w:rPr>
        <w:t xml:space="preserve"> oportuno destacar que cuando los particulares no identifican de forma precisa el documento requerido, bastará con que </w:t>
      </w:r>
      <w:r w:rsidRPr="00F97C81">
        <w:rPr>
          <w:rFonts w:ascii="Palatino Linotype" w:hAnsi="Palatino Linotype"/>
        </w:rPr>
        <w:t xml:space="preserve">se remita cualquiera que refleje la información requerida. Al respecto, cobra relevancia el criterio emitido por el Órgano Garante Nacional con número </w:t>
      </w:r>
      <w:r w:rsidRPr="00F97C81">
        <w:rPr>
          <w:rFonts w:ascii="Palatino Linotype" w:hAnsi="Palatino Linotype"/>
          <w:b/>
          <w:bCs/>
        </w:rPr>
        <w:t xml:space="preserve">16/17 </w:t>
      </w:r>
      <w:r w:rsidRPr="00F97C81">
        <w:rPr>
          <w:rFonts w:ascii="Palatino Linotype" w:hAnsi="Palatino Linotype"/>
        </w:rPr>
        <w:t>cuyo rubro y texto disponen a la literalidad lo siguiente:</w:t>
      </w:r>
    </w:p>
    <w:p w14:paraId="07C020B8" w14:textId="77777777" w:rsidR="00455AD9" w:rsidRPr="00F97C81" w:rsidRDefault="00455AD9" w:rsidP="00455AD9">
      <w:pPr>
        <w:pStyle w:val="Citas"/>
        <w:jc w:val="center"/>
        <w:rPr>
          <w:b/>
          <w:bCs/>
          <w:sz w:val="24"/>
          <w:szCs w:val="24"/>
        </w:rPr>
      </w:pPr>
      <w:r w:rsidRPr="00F97C81">
        <w:rPr>
          <w:b/>
          <w:bCs/>
          <w:sz w:val="24"/>
          <w:szCs w:val="24"/>
        </w:rPr>
        <w:t>“EXPRESIÓN DOCUMENTAL.</w:t>
      </w:r>
    </w:p>
    <w:p w14:paraId="70B3EFAF" w14:textId="77777777" w:rsidR="00455AD9" w:rsidRPr="00F97C81" w:rsidRDefault="00455AD9" w:rsidP="00455AD9">
      <w:pPr>
        <w:pStyle w:val="Citas"/>
        <w:rPr>
          <w:szCs w:val="24"/>
        </w:rPr>
      </w:pPr>
      <w:r w:rsidRPr="00F97C81">
        <w:rPr>
          <w:bCs/>
          <w:szCs w:val="24"/>
        </w:rPr>
        <w:t>Cuando</w:t>
      </w:r>
      <w:r w:rsidRPr="00F97C81">
        <w:rPr>
          <w:lang w:val="es-ES"/>
        </w:rPr>
        <w:t xml:space="preserve"> los particulares presenten solicitudes de acceso a la información sin identificar de forma precisa la documentación que pudiera contener la información de su interés, </w:t>
      </w:r>
      <w:r w:rsidRPr="00F97C81">
        <w:rPr>
          <w:szCs w:val="24"/>
        </w:rPr>
        <w:t>o bien, la solicitud constituya una consulta,</w:t>
      </w:r>
      <w:r w:rsidRPr="00F97C81">
        <w:rPr>
          <w:lang w:val="es-ES"/>
        </w:rPr>
        <w:t xml:space="preserve"> pero la respuesta pudiera obrar en algún documento en poder de los sujetos obligados, éstos deben dar a dichas solicitudes una interpretación que les otorgue una expresión documental. </w:t>
      </w:r>
    </w:p>
    <w:p w14:paraId="41FEF94C" w14:textId="77777777" w:rsidR="00455AD9" w:rsidRPr="00F97C81" w:rsidRDefault="00455AD9" w:rsidP="00455AD9">
      <w:pPr>
        <w:pStyle w:val="Citas"/>
        <w:rPr>
          <w:b/>
        </w:rPr>
      </w:pPr>
      <w:r w:rsidRPr="00F97C81">
        <w:rPr>
          <w:b/>
        </w:rPr>
        <w:t>Precedentes:</w:t>
      </w:r>
    </w:p>
    <w:p w14:paraId="6DAEA1A9" w14:textId="77777777" w:rsidR="00455AD9" w:rsidRPr="00F97C81" w:rsidRDefault="00455AD9" w:rsidP="00455AD9">
      <w:pPr>
        <w:pStyle w:val="Citas"/>
        <w:numPr>
          <w:ilvl w:val="0"/>
          <w:numId w:val="11"/>
        </w:numPr>
        <w:rPr>
          <w:color w:val="000000"/>
        </w:rPr>
      </w:pPr>
      <w:r w:rsidRPr="00F97C81">
        <w:t xml:space="preserve">Acceso a la información pública. RRA 0774/16. Sesión del 31 de agosto de 2016. Votación por unanimidad. </w:t>
      </w:r>
      <w:r w:rsidRPr="00F97C81">
        <w:rPr>
          <w:rFonts w:eastAsia="Arial"/>
        </w:rPr>
        <w:t>Sin votos disidentes o particulares.</w:t>
      </w:r>
      <w:r w:rsidRPr="00F97C81">
        <w:t xml:space="preserve"> Secretaría de Salud. Comisionada Ponente María Patricia Kurczyn Villalobos.</w:t>
      </w:r>
    </w:p>
    <w:p w14:paraId="5F7CD46B" w14:textId="77777777" w:rsidR="00455AD9" w:rsidRPr="00F97C81" w:rsidRDefault="00455AD9" w:rsidP="00455AD9">
      <w:pPr>
        <w:pStyle w:val="Citas"/>
        <w:numPr>
          <w:ilvl w:val="0"/>
          <w:numId w:val="11"/>
        </w:numPr>
        <w:rPr>
          <w:color w:val="000000"/>
        </w:rPr>
      </w:pPr>
      <w:r w:rsidRPr="00F97C81">
        <w:t xml:space="preserve">Acceso a la información pública. RRA 0143/17. Sesión del 22 de febrero de 2017. Votación por unanimidad. </w:t>
      </w:r>
      <w:r w:rsidRPr="00F97C81">
        <w:rPr>
          <w:rFonts w:eastAsia="Arial"/>
        </w:rPr>
        <w:t>Sin votos disidentes o particulares.</w:t>
      </w:r>
      <w:r w:rsidRPr="00F97C81">
        <w:t xml:space="preserve"> </w:t>
      </w:r>
      <w:r w:rsidRPr="00F97C81">
        <w:lastRenderedPageBreak/>
        <w:t xml:space="preserve">Universidad Autónoma Agraria Antonio Narro. Comisionado Ponente Oscar Mauricio Guerra Ford. </w:t>
      </w:r>
    </w:p>
    <w:p w14:paraId="52EDE8CF" w14:textId="77777777" w:rsidR="00455AD9" w:rsidRPr="00F97C81" w:rsidRDefault="00455AD9" w:rsidP="00455AD9">
      <w:pPr>
        <w:pStyle w:val="Citas"/>
        <w:numPr>
          <w:ilvl w:val="0"/>
          <w:numId w:val="11"/>
        </w:numPr>
        <w:rPr>
          <w:color w:val="000000"/>
        </w:rPr>
      </w:pPr>
      <w:r w:rsidRPr="00F97C81">
        <w:t xml:space="preserve">Acceso a la información pública. RRA 0540/17. Sesión del 08 de marzo del 2017. Votación por unanimidad. </w:t>
      </w:r>
      <w:r w:rsidRPr="00F97C81">
        <w:rPr>
          <w:rFonts w:eastAsia="Arial"/>
        </w:rPr>
        <w:t>Sin votos disidentes o particulares.</w:t>
      </w:r>
      <w:r w:rsidRPr="00F97C81">
        <w:t xml:space="preserve"> Secretaría de Economía. Comisionado Ponente Francisco Javier Acuña Llamas. “ </w:t>
      </w:r>
      <w:r w:rsidRPr="00F97C81">
        <w:rPr>
          <w:b/>
          <w:bCs/>
        </w:rPr>
        <w:t>(Sic)</w:t>
      </w:r>
    </w:p>
    <w:p w14:paraId="35973E24" w14:textId="77777777" w:rsidR="00EB1B16" w:rsidRPr="00F97C81" w:rsidRDefault="00EB1B16" w:rsidP="00EB1B16">
      <w:pPr>
        <w:pStyle w:val="Prrafodelista"/>
        <w:autoSpaceDE w:val="0"/>
        <w:autoSpaceDN w:val="0"/>
        <w:adjustRightInd w:val="0"/>
        <w:spacing w:line="360" w:lineRule="auto"/>
        <w:ind w:left="720"/>
        <w:jc w:val="both"/>
        <w:rPr>
          <w:rFonts w:ascii="Palatino Linotype" w:hAnsi="Palatino Linotype" w:cs="Arial"/>
          <w:lang w:val="es-MX"/>
        </w:rPr>
      </w:pPr>
    </w:p>
    <w:p w14:paraId="0EC7E8AD" w14:textId="77777777" w:rsidR="00955048" w:rsidRPr="00F97C81" w:rsidRDefault="00955048" w:rsidP="00955048">
      <w:pPr>
        <w:spacing w:before="240" w:line="360" w:lineRule="auto"/>
        <w:jc w:val="both"/>
        <w:rPr>
          <w:rFonts w:ascii="Palatino Linotype" w:hAnsi="Palatino Linotype"/>
          <w:sz w:val="24"/>
          <w:szCs w:val="24"/>
        </w:rPr>
      </w:pPr>
      <w:r w:rsidRPr="00F97C81">
        <w:rPr>
          <w:rFonts w:ascii="Palatino Linotype" w:hAnsi="Palatino Linotype"/>
          <w:sz w:val="24"/>
          <w:szCs w:val="24"/>
        </w:rPr>
        <w:t xml:space="preserve">Dichas precisiones, con fundamento en los artículos 13 y 181 cuarto párrafo de la Ley en materia, los cuales a la letra rezan: </w:t>
      </w:r>
    </w:p>
    <w:p w14:paraId="2635FFA1" w14:textId="77777777" w:rsidR="00955048" w:rsidRPr="00F97C81" w:rsidRDefault="00955048" w:rsidP="00955048">
      <w:pPr>
        <w:pStyle w:val="Citas"/>
      </w:pPr>
      <w:r w:rsidRPr="00F97C81">
        <w:rPr>
          <w:b/>
          <w:bCs/>
        </w:rPr>
        <w:t xml:space="preserve">“Artículo 13. </w:t>
      </w:r>
      <w:r w:rsidRPr="00F97C81">
        <w:t>El Instituto, en el ámbito de sus atribuciones, deberá suplir cualquier deficiencia para garantizar el ejercicio del derecho de acceso a la información.</w:t>
      </w:r>
    </w:p>
    <w:p w14:paraId="009C819C" w14:textId="77777777" w:rsidR="00955048" w:rsidRPr="00F97C81" w:rsidRDefault="00955048" w:rsidP="00955048">
      <w:pPr>
        <w:pStyle w:val="Citas"/>
        <w:rPr>
          <w:b/>
        </w:rPr>
      </w:pPr>
      <w:r w:rsidRPr="00F97C81">
        <w:rPr>
          <w:b/>
        </w:rPr>
        <w:t xml:space="preserve">Artículo 181. … </w:t>
      </w:r>
    </w:p>
    <w:p w14:paraId="0F24E10B" w14:textId="3742C295" w:rsidR="00955048" w:rsidRPr="00F97C81" w:rsidRDefault="00955048" w:rsidP="00955048">
      <w:pPr>
        <w:pStyle w:val="Citas"/>
        <w:rPr>
          <w:b/>
        </w:rPr>
      </w:pPr>
      <w:r w:rsidRPr="00F97C81">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F97C81">
        <w:rPr>
          <w:b/>
        </w:rPr>
        <w:t>[Sic]</w:t>
      </w:r>
    </w:p>
    <w:p w14:paraId="74B21564" w14:textId="77777777" w:rsidR="004905E2" w:rsidRPr="00F97C81" w:rsidRDefault="004905E2" w:rsidP="00955048">
      <w:pPr>
        <w:spacing w:before="240" w:line="360" w:lineRule="auto"/>
        <w:jc w:val="both"/>
        <w:rPr>
          <w:rFonts w:ascii="Palatino Linotype" w:hAnsi="Palatino Linotype"/>
          <w:sz w:val="24"/>
          <w:szCs w:val="24"/>
        </w:rPr>
      </w:pPr>
    </w:p>
    <w:p w14:paraId="0C160EB9" w14:textId="477F2B6F" w:rsidR="00955048" w:rsidRPr="00F97C81" w:rsidRDefault="00955048" w:rsidP="00955048">
      <w:pPr>
        <w:spacing w:before="240" w:line="360" w:lineRule="auto"/>
        <w:jc w:val="both"/>
        <w:rPr>
          <w:rFonts w:ascii="Palatino Linotype" w:hAnsi="Palatino Linotype"/>
          <w:sz w:val="24"/>
          <w:szCs w:val="24"/>
        </w:rPr>
      </w:pPr>
      <w:r w:rsidRPr="00F97C81">
        <w:rPr>
          <w:rFonts w:ascii="Palatino Linotype" w:hAnsi="Palatino Linotype"/>
          <w:sz w:val="24"/>
          <w:szCs w:val="24"/>
        </w:rPr>
        <w:t xml:space="preserve">Bajo estas líneas argumentativas, al retomar y delimitar los requerimientos formulados por la ahora </w:t>
      </w:r>
      <w:r w:rsidRPr="00F97C81">
        <w:rPr>
          <w:rFonts w:ascii="Palatino Linotype" w:hAnsi="Palatino Linotype"/>
          <w:b/>
          <w:bCs/>
          <w:sz w:val="24"/>
          <w:szCs w:val="24"/>
        </w:rPr>
        <w:t xml:space="preserve">Recurrente, </w:t>
      </w:r>
      <w:r w:rsidRPr="00F97C81">
        <w:rPr>
          <w:rFonts w:ascii="Palatino Linotype" w:hAnsi="Palatino Linotype"/>
          <w:sz w:val="24"/>
          <w:szCs w:val="24"/>
        </w:rPr>
        <w:t xml:space="preserve">de manera objetiva se precisa que versa en conocer la siguiente información: </w:t>
      </w:r>
    </w:p>
    <w:p w14:paraId="3979E139" w14:textId="69B1F679" w:rsidR="00AE71D8" w:rsidRPr="00F97C81" w:rsidRDefault="00AE71D8" w:rsidP="00955048">
      <w:pPr>
        <w:spacing w:before="240" w:line="360" w:lineRule="auto"/>
        <w:jc w:val="both"/>
        <w:rPr>
          <w:rFonts w:ascii="Palatino Linotype" w:hAnsi="Palatino Linotype"/>
          <w:b/>
          <w:bCs/>
          <w:sz w:val="24"/>
          <w:szCs w:val="24"/>
        </w:rPr>
      </w:pPr>
      <w:r w:rsidRPr="00F97C81">
        <w:rPr>
          <w:rFonts w:ascii="Palatino Linotype" w:hAnsi="Palatino Linotype"/>
          <w:b/>
          <w:bCs/>
          <w:sz w:val="24"/>
          <w:szCs w:val="24"/>
        </w:rPr>
        <w:lastRenderedPageBreak/>
        <w:t xml:space="preserve">Del periodo comprendido del uno de enero al treinta y uno de diciembre de dos mil veinticinco, en formato PDF o aquel en el que haya generado la información: </w:t>
      </w:r>
    </w:p>
    <w:p w14:paraId="012C5B45" w14:textId="6A994966" w:rsidR="004905E2" w:rsidRPr="00F97C81" w:rsidRDefault="00AE71D8" w:rsidP="00E060EA">
      <w:pPr>
        <w:pStyle w:val="Prrafodelista"/>
        <w:numPr>
          <w:ilvl w:val="0"/>
          <w:numId w:val="21"/>
        </w:numPr>
        <w:autoSpaceDE w:val="0"/>
        <w:autoSpaceDN w:val="0"/>
        <w:adjustRightInd w:val="0"/>
        <w:spacing w:before="240" w:after="160" w:line="360" w:lineRule="auto"/>
        <w:jc w:val="both"/>
        <w:rPr>
          <w:rFonts w:ascii="Palatino Linotype" w:hAnsi="Palatino Linotype" w:cs="Arial"/>
          <w:lang w:val="es-MX"/>
        </w:rPr>
      </w:pPr>
      <w:r w:rsidRPr="00F97C81">
        <w:rPr>
          <w:rFonts w:ascii="Palatino Linotype" w:hAnsi="Palatino Linotype" w:cs="Arial"/>
        </w:rPr>
        <w:t xml:space="preserve">El o los documentos donde conste la relación de obras ejecutadas que incluya nombre de la obra, ubicación, tipo, monto aprobado, monto ejercido final, fuente de financiamiento, modalidad de contratación (licitación, invitación restringida, adjudicación directa), empresa o contratista adjudicado. </w:t>
      </w:r>
    </w:p>
    <w:p w14:paraId="1466F41C" w14:textId="17A8F12C" w:rsidR="00AE71D8" w:rsidRPr="00F97C81" w:rsidRDefault="00AE71D8" w:rsidP="00E060EA">
      <w:pPr>
        <w:pStyle w:val="Prrafodelista"/>
        <w:numPr>
          <w:ilvl w:val="0"/>
          <w:numId w:val="21"/>
        </w:numPr>
        <w:autoSpaceDE w:val="0"/>
        <w:autoSpaceDN w:val="0"/>
        <w:adjustRightInd w:val="0"/>
        <w:spacing w:before="240" w:after="160" w:line="360" w:lineRule="auto"/>
        <w:jc w:val="both"/>
        <w:rPr>
          <w:rFonts w:ascii="Palatino Linotype" w:hAnsi="Palatino Linotype" w:cs="Arial"/>
          <w:lang w:val="es-MX"/>
        </w:rPr>
      </w:pPr>
      <w:r w:rsidRPr="00F97C81">
        <w:rPr>
          <w:rFonts w:ascii="Palatino Linotype" w:hAnsi="Palatino Linotype" w:cs="Arial"/>
        </w:rPr>
        <w:t>El o los documentos donde conste el expediente completo de cada obra que en su caso incluya proyecto ejecutivo, presupuesto de obra, catálogo de conceptos, números generadores, estimaciones de obra, bitácora de obra, reportes de supervisión, dictámenes técnicos</w:t>
      </w:r>
    </w:p>
    <w:p w14:paraId="6B78D12A" w14:textId="1A727FF6" w:rsidR="00AE71D8" w:rsidRPr="00F97C81" w:rsidRDefault="00AE71D8" w:rsidP="00E060EA">
      <w:pPr>
        <w:pStyle w:val="Prrafodelista"/>
        <w:numPr>
          <w:ilvl w:val="0"/>
          <w:numId w:val="21"/>
        </w:numPr>
        <w:autoSpaceDE w:val="0"/>
        <w:autoSpaceDN w:val="0"/>
        <w:adjustRightInd w:val="0"/>
        <w:spacing w:before="240" w:after="160" w:line="360" w:lineRule="auto"/>
        <w:jc w:val="both"/>
        <w:rPr>
          <w:rFonts w:ascii="Palatino Linotype" w:hAnsi="Palatino Linotype" w:cs="Arial"/>
          <w:lang w:val="es-MX"/>
        </w:rPr>
      </w:pPr>
      <w:r w:rsidRPr="00F97C81">
        <w:rPr>
          <w:rFonts w:ascii="Palatino Linotype" w:hAnsi="Palatino Linotype" w:cs="Arial"/>
          <w:lang w:val="es-MX"/>
        </w:rPr>
        <w:t>El o los documentos contractuales</w:t>
      </w:r>
      <w:r w:rsidR="00B21F2C" w:rsidRPr="00F97C81">
        <w:rPr>
          <w:rFonts w:ascii="Palatino Linotype" w:hAnsi="Palatino Linotype" w:cs="Arial"/>
          <w:lang w:val="es-MX"/>
        </w:rPr>
        <w:t xml:space="preserve">: </w:t>
      </w:r>
      <w:r w:rsidRPr="00F97C81">
        <w:rPr>
          <w:rFonts w:ascii="Palatino Linotype" w:hAnsi="Palatino Linotype" w:cs="Arial"/>
          <w:lang w:val="es-MX"/>
        </w:rPr>
        <w:t xml:space="preserve">contrato de obra pública firmado, anexos (técnicos, financieros y administrativos), convenios modificatorios o ampliaciones de plazo y monto. </w:t>
      </w:r>
    </w:p>
    <w:p w14:paraId="652E6C04" w14:textId="4D9801E5" w:rsidR="00B21F2C" w:rsidRPr="00F97C81" w:rsidRDefault="00B21F2C" w:rsidP="00E060EA">
      <w:pPr>
        <w:pStyle w:val="Prrafodelista"/>
        <w:numPr>
          <w:ilvl w:val="0"/>
          <w:numId w:val="21"/>
        </w:numPr>
        <w:autoSpaceDE w:val="0"/>
        <w:autoSpaceDN w:val="0"/>
        <w:adjustRightInd w:val="0"/>
        <w:spacing w:before="240" w:after="160" w:line="360" w:lineRule="auto"/>
        <w:jc w:val="both"/>
        <w:rPr>
          <w:rFonts w:ascii="Palatino Linotype" w:hAnsi="Palatino Linotype" w:cs="Arial"/>
          <w:lang w:val="es-MX"/>
        </w:rPr>
      </w:pPr>
      <w:r w:rsidRPr="00F97C81">
        <w:rPr>
          <w:rFonts w:ascii="Palatino Linotype" w:hAnsi="Palatino Linotype" w:cs="Arial"/>
          <w:lang w:val="es-MX"/>
        </w:rPr>
        <w:t xml:space="preserve">El o los documentos de comprobación y cierre de obra: </w:t>
      </w:r>
      <w:r w:rsidRPr="00F97C81">
        <w:rPr>
          <w:rFonts w:ascii="Palatino Linotype" w:hAnsi="Palatino Linotype" w:cs="Arial"/>
        </w:rPr>
        <w:t>Acta de entrega-recepción Finiquito de obra Facturas o comprobantes de pago Pólizas contables relacionadas</w:t>
      </w:r>
    </w:p>
    <w:p w14:paraId="607693DF" w14:textId="77777777" w:rsidR="00AE71D8" w:rsidRPr="00F97C81" w:rsidRDefault="00AE71D8" w:rsidP="00AE71D8">
      <w:pPr>
        <w:autoSpaceDE w:val="0"/>
        <w:autoSpaceDN w:val="0"/>
        <w:adjustRightInd w:val="0"/>
        <w:spacing w:before="240" w:line="360" w:lineRule="auto"/>
        <w:jc w:val="both"/>
        <w:rPr>
          <w:rFonts w:ascii="Palatino Linotype" w:hAnsi="Palatino Linotype" w:cs="Arial"/>
          <w:b/>
        </w:rPr>
      </w:pPr>
    </w:p>
    <w:p w14:paraId="028CF481" w14:textId="436AFEF5" w:rsidR="00955048" w:rsidRPr="00F97C81" w:rsidRDefault="00955048" w:rsidP="00955048">
      <w:pPr>
        <w:spacing w:before="240" w:line="360" w:lineRule="auto"/>
        <w:jc w:val="both"/>
        <w:rPr>
          <w:rFonts w:ascii="Palatino Linotype" w:hAnsi="Palatino Linotype" w:cs="Arial"/>
          <w:sz w:val="28"/>
          <w:szCs w:val="28"/>
        </w:rPr>
      </w:pPr>
      <w:r w:rsidRPr="00F97C81">
        <w:rPr>
          <w:rFonts w:ascii="Palatino Linotype" w:hAnsi="Palatino Linotype" w:cs="Arial"/>
          <w:sz w:val="24"/>
          <w:szCs w:val="24"/>
        </w:rPr>
        <w:t>Bajo este contexto, a efecto de identificar las unidades administrativas competentes se traen a colación las siguientes imágenes ilustrativas, correspondientes al organigrama del sujeto obligado</w:t>
      </w:r>
      <w:r w:rsidR="00781073" w:rsidRPr="00F97C81">
        <w:rPr>
          <w:rFonts w:ascii="Palatino Linotype" w:hAnsi="Palatino Linotype" w:cs="Arial"/>
          <w:sz w:val="24"/>
          <w:szCs w:val="24"/>
        </w:rPr>
        <w:t xml:space="preserve">: </w:t>
      </w:r>
    </w:p>
    <w:p w14:paraId="4FD3239F" w14:textId="160300B2" w:rsidR="00781073" w:rsidRPr="00F97C81" w:rsidRDefault="00A82CDF" w:rsidP="00870B18">
      <w:pPr>
        <w:spacing w:before="240" w:line="360" w:lineRule="auto"/>
        <w:jc w:val="both"/>
        <w:rPr>
          <w:rFonts w:ascii="Palatino Linotype" w:hAnsi="Palatino Linotype" w:cs="Arial"/>
          <w:sz w:val="28"/>
          <w:szCs w:val="28"/>
        </w:rPr>
      </w:pPr>
      <w:r w:rsidRPr="00F97C81">
        <w:rPr>
          <w:rFonts w:ascii="Palatino Linotype" w:hAnsi="Palatino Linotype" w:cs="Arial"/>
          <w:noProof/>
          <w:sz w:val="28"/>
          <w:szCs w:val="28"/>
          <w:lang w:eastAsia="es-MX"/>
        </w:rPr>
        <w:lastRenderedPageBreak/>
        <mc:AlternateContent>
          <mc:Choice Requires="wps">
            <w:drawing>
              <wp:anchor distT="0" distB="0" distL="114300" distR="114300" simplePos="0" relativeHeight="251755519" behindDoc="0" locked="0" layoutInCell="1" allowOverlap="1" wp14:anchorId="0C3E614D" wp14:editId="4D2FD924">
                <wp:simplePos x="0" y="0"/>
                <wp:positionH relativeFrom="column">
                  <wp:posOffset>568036</wp:posOffset>
                </wp:positionH>
                <wp:positionV relativeFrom="paragraph">
                  <wp:posOffset>5194819</wp:posOffset>
                </wp:positionV>
                <wp:extent cx="4779819" cy="339436"/>
                <wp:effectExtent l="0" t="0" r="20955" b="22860"/>
                <wp:wrapNone/>
                <wp:docPr id="1773913122" name="Rectángulo 4"/>
                <wp:cNvGraphicFramePr/>
                <a:graphic xmlns:a="http://schemas.openxmlformats.org/drawingml/2006/main">
                  <a:graphicData uri="http://schemas.microsoft.com/office/word/2010/wordprocessingShape">
                    <wps:wsp>
                      <wps:cNvSpPr/>
                      <wps:spPr>
                        <a:xfrm>
                          <a:off x="0" y="0"/>
                          <a:ext cx="4779819" cy="339436"/>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ACDB005" id="Rectángulo 4" o:spid="_x0000_s1026" style="position:absolute;margin-left:44.75pt;margin-top:409.05pt;width:376.35pt;height:26.75pt;z-index:2517555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" filled="f" strokecolor="#e00" strokeweight="1pt"/>
            </w:pict>
          </mc:Fallback>
        </mc:AlternateContent>
      </w:r>
      <w:r w:rsidRPr="00F97C81">
        <w:rPr>
          <w:rFonts w:ascii="Palatino Linotype" w:hAnsi="Palatino Linotype" w:cs="Arial"/>
          <w:noProof/>
          <w:sz w:val="28"/>
          <w:szCs w:val="28"/>
          <w:lang w:eastAsia="es-MX"/>
        </w:rPr>
        <mc:AlternateContent>
          <mc:Choice Requires="wps">
            <w:drawing>
              <wp:anchor distT="0" distB="0" distL="114300" distR="114300" simplePos="0" relativeHeight="251753471" behindDoc="0" locked="0" layoutInCell="1" allowOverlap="1" wp14:anchorId="25658C77" wp14:editId="507806B4">
                <wp:simplePos x="0" y="0"/>
                <wp:positionH relativeFrom="column">
                  <wp:posOffset>582410</wp:posOffset>
                </wp:positionH>
                <wp:positionV relativeFrom="paragraph">
                  <wp:posOffset>4578408</wp:posOffset>
                </wp:positionV>
                <wp:extent cx="4779819" cy="339436"/>
                <wp:effectExtent l="0" t="0" r="20955" b="22860"/>
                <wp:wrapNone/>
                <wp:docPr id="1420635733" name="Rectángulo 4"/>
                <wp:cNvGraphicFramePr/>
                <a:graphic xmlns:a="http://schemas.openxmlformats.org/drawingml/2006/main">
                  <a:graphicData uri="http://schemas.microsoft.com/office/word/2010/wordprocessingShape">
                    <wps:wsp>
                      <wps:cNvSpPr/>
                      <wps:spPr>
                        <a:xfrm>
                          <a:off x="0" y="0"/>
                          <a:ext cx="4779819" cy="339436"/>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A26F656" id="Rectángulo 4" o:spid="_x0000_s1026" style="position:absolute;margin-left:45.85pt;margin-top:360.5pt;width:376.35pt;height:26.75pt;z-index:2517534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" filled="f" strokecolor="#e00" strokeweight="1pt"/>
            </w:pict>
          </mc:Fallback>
        </mc:AlternateContent>
      </w:r>
      <w:r w:rsidRPr="00F97C81">
        <w:rPr>
          <w:rFonts w:ascii="Palatino Linotype" w:hAnsi="Palatino Linotype" w:cs="Arial"/>
          <w:noProof/>
          <w:sz w:val="28"/>
          <w:szCs w:val="28"/>
          <w:lang w:eastAsia="es-MX"/>
        </w:rPr>
        <w:drawing>
          <wp:anchor distT="0" distB="0" distL="114300" distR="114300" simplePos="0" relativeHeight="251740157" behindDoc="0" locked="0" layoutInCell="1" allowOverlap="1" wp14:anchorId="5C60566E" wp14:editId="6950A7A0">
            <wp:simplePos x="0" y="0"/>
            <wp:positionH relativeFrom="page">
              <wp:align>center</wp:align>
            </wp:positionH>
            <wp:positionV relativeFrom="paragraph">
              <wp:posOffset>19050</wp:posOffset>
            </wp:positionV>
            <wp:extent cx="5760720" cy="3479165"/>
            <wp:effectExtent l="19050" t="19050" r="11430" b="26035"/>
            <wp:wrapThrough wrapText="bothSides">
              <wp:wrapPolygon edited="0">
                <wp:start x="-71" y="-118"/>
                <wp:lineTo x="-71" y="21643"/>
                <wp:lineTo x="21571" y="21643"/>
                <wp:lineTo x="21571" y="-118"/>
                <wp:lineTo x="-71" y="-118"/>
              </wp:wrapPolygon>
            </wp:wrapThrough>
            <wp:docPr id="19364295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42959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5783" cy="348228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97C81">
        <w:rPr>
          <w:rFonts w:ascii="Palatino Linotype" w:hAnsi="Palatino Linotype" w:cs="Arial"/>
          <w:noProof/>
          <w:sz w:val="24"/>
          <w:szCs w:val="24"/>
          <w:lang w:eastAsia="es-MX"/>
        </w:rPr>
        <w:drawing>
          <wp:anchor distT="0" distB="0" distL="114300" distR="114300" simplePos="0" relativeHeight="251752447" behindDoc="0" locked="0" layoutInCell="1" allowOverlap="1" wp14:anchorId="58B4D12A" wp14:editId="0E86ED77">
            <wp:simplePos x="0" y="0"/>
            <wp:positionH relativeFrom="page">
              <wp:align>center</wp:align>
            </wp:positionH>
            <wp:positionV relativeFrom="paragraph">
              <wp:posOffset>3981450</wp:posOffset>
            </wp:positionV>
            <wp:extent cx="5760720" cy="3486150"/>
            <wp:effectExtent l="19050" t="19050" r="11430" b="19050"/>
            <wp:wrapThrough wrapText="bothSides">
              <wp:wrapPolygon edited="0">
                <wp:start x="-71" y="-118"/>
                <wp:lineTo x="-71" y="21600"/>
                <wp:lineTo x="21571" y="21600"/>
                <wp:lineTo x="21571" y="-118"/>
                <wp:lineTo x="-71" y="-118"/>
              </wp:wrapPolygon>
            </wp:wrapThrough>
            <wp:docPr id="17563753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37530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861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F039F7B" w14:textId="2034F18C" w:rsidR="001F5597" w:rsidRPr="00F97C81" w:rsidRDefault="00C721DC" w:rsidP="00513F18">
      <w:pPr>
        <w:spacing w:line="360" w:lineRule="auto"/>
        <w:jc w:val="both"/>
        <w:rPr>
          <w:rFonts w:ascii="Palatino Linotype" w:hAnsi="Palatino Linotype" w:cs="Arial"/>
          <w:sz w:val="24"/>
          <w:szCs w:val="24"/>
        </w:rPr>
      </w:pPr>
      <w:r w:rsidRPr="00F97C81">
        <w:rPr>
          <w:rFonts w:ascii="Palatino Linotype" w:hAnsi="Palatino Linotype" w:cs="Arial"/>
          <w:sz w:val="24"/>
          <w:szCs w:val="24"/>
        </w:rPr>
        <w:lastRenderedPageBreak/>
        <w:t>D</w:t>
      </w:r>
      <w:r w:rsidR="00513F18" w:rsidRPr="00F97C81">
        <w:rPr>
          <w:rFonts w:ascii="Palatino Linotype" w:hAnsi="Palatino Linotype" w:cs="Arial"/>
          <w:sz w:val="24"/>
          <w:szCs w:val="24"/>
        </w:rPr>
        <w:t xml:space="preserve">e lo expuesto con anterioridad, se desprende que </w:t>
      </w:r>
      <w:r w:rsidR="00513F18" w:rsidRPr="00F97C81">
        <w:rPr>
          <w:rFonts w:ascii="Palatino Linotype" w:hAnsi="Palatino Linotype" w:cs="Arial"/>
          <w:b/>
          <w:sz w:val="24"/>
          <w:szCs w:val="24"/>
        </w:rPr>
        <w:t xml:space="preserve">El Sujeto Obligado </w:t>
      </w:r>
      <w:r w:rsidR="00513F18" w:rsidRPr="00F97C81">
        <w:rPr>
          <w:rFonts w:ascii="Palatino Linotype" w:hAnsi="Palatino Linotype" w:cs="Arial"/>
          <w:sz w:val="24"/>
          <w:szCs w:val="24"/>
        </w:rPr>
        <w:t xml:space="preserve">se auxilia de diversas Direcciones, Subdirecciones, Departamentos y Unidades Administrativas para cumplir con sus fines y objetivos, resultando de nuestro más amplio interés </w:t>
      </w:r>
      <w:r w:rsidR="00566D97" w:rsidRPr="00F97C81">
        <w:rPr>
          <w:rFonts w:ascii="Palatino Linotype" w:hAnsi="Palatino Linotype" w:cs="Arial"/>
          <w:sz w:val="24"/>
          <w:szCs w:val="24"/>
        </w:rPr>
        <w:t xml:space="preserve">la </w:t>
      </w:r>
      <w:r w:rsidR="00A82CDF" w:rsidRPr="00F97C81">
        <w:rPr>
          <w:rFonts w:ascii="Palatino Linotype" w:hAnsi="Palatino Linotype" w:cs="Arial"/>
          <w:sz w:val="24"/>
          <w:szCs w:val="24"/>
        </w:rPr>
        <w:t xml:space="preserve">Dirección de administración, así como la dirección de obras públicas. </w:t>
      </w:r>
      <w:r w:rsidRPr="00F97C81">
        <w:rPr>
          <w:rFonts w:ascii="Palatino Linotype" w:hAnsi="Palatino Linotype" w:cs="Arial"/>
          <w:sz w:val="24"/>
          <w:szCs w:val="24"/>
        </w:rPr>
        <w:t xml:space="preserve"> </w:t>
      </w:r>
      <w:r w:rsidR="00566D97" w:rsidRPr="00F97C81">
        <w:rPr>
          <w:rFonts w:ascii="Palatino Linotype" w:hAnsi="Palatino Linotype" w:cs="Arial"/>
          <w:sz w:val="24"/>
          <w:szCs w:val="24"/>
        </w:rPr>
        <w:t xml:space="preserve"> </w:t>
      </w:r>
    </w:p>
    <w:p w14:paraId="60707AFB" w14:textId="1C25100E" w:rsidR="00C721DC" w:rsidRPr="00F97C81" w:rsidRDefault="00566D97" w:rsidP="00566D97">
      <w:pPr>
        <w:spacing w:line="360" w:lineRule="auto"/>
        <w:jc w:val="both"/>
        <w:rPr>
          <w:rFonts w:ascii="Palatino Linotype" w:hAnsi="Palatino Linotype" w:cs="Arial"/>
          <w:sz w:val="24"/>
          <w:szCs w:val="24"/>
        </w:rPr>
      </w:pPr>
      <w:r w:rsidRPr="00F97C81">
        <w:rPr>
          <w:rFonts w:ascii="Palatino Linotype" w:hAnsi="Palatino Linotype" w:cs="Arial"/>
          <w:sz w:val="24"/>
          <w:szCs w:val="24"/>
        </w:rPr>
        <w:t xml:space="preserve">En virtud de lo anterior, para ilustrar la competencia de dichas unidades administrativas, resulta oportuno traer a colación </w:t>
      </w:r>
      <w:r w:rsidR="00FE34D2" w:rsidRPr="00F97C81">
        <w:rPr>
          <w:rFonts w:ascii="Palatino Linotype" w:hAnsi="Palatino Linotype" w:cs="Arial"/>
          <w:sz w:val="24"/>
          <w:szCs w:val="24"/>
        </w:rPr>
        <w:t>el artículo 96 bis de la Ley Orgánica Municipal del Estado de México; numeral</w:t>
      </w:r>
      <w:r w:rsidR="001E332A" w:rsidRPr="00F97C81">
        <w:rPr>
          <w:rFonts w:ascii="Palatino Linotype" w:hAnsi="Palatino Linotype" w:cs="Arial"/>
          <w:sz w:val="24"/>
          <w:szCs w:val="24"/>
        </w:rPr>
        <w:t xml:space="preserve"> 64 del Bando municipal de Chicoloapan; </w:t>
      </w:r>
      <w:r w:rsidR="00FE34D2" w:rsidRPr="00F97C81">
        <w:rPr>
          <w:rFonts w:ascii="Palatino Linotype" w:hAnsi="Palatino Linotype" w:cs="Arial"/>
          <w:sz w:val="24"/>
          <w:szCs w:val="24"/>
        </w:rPr>
        <w:t xml:space="preserve">artículos 26 y 27 de la Ley de contratación pública; así como los numerales </w:t>
      </w:r>
      <w:r w:rsidR="001C7A9E" w:rsidRPr="00F97C81">
        <w:rPr>
          <w:rFonts w:ascii="Palatino Linotype" w:hAnsi="Palatino Linotype" w:cs="Arial"/>
          <w:sz w:val="24"/>
          <w:szCs w:val="24"/>
        </w:rPr>
        <w:t xml:space="preserve">43, 44, 54, 67, 90, 94 del Reglamento de la Ley de Contratación Pública del Estado de México y Municipios, porciones normativas que disponen a la literalidad lo siguiente: </w:t>
      </w:r>
    </w:p>
    <w:p w14:paraId="46542FFA" w14:textId="0B011764" w:rsidR="00C721DC" w:rsidRPr="00F97C81" w:rsidRDefault="00FE34D2" w:rsidP="00FE34D2">
      <w:pPr>
        <w:pStyle w:val="Citas"/>
        <w:jc w:val="center"/>
        <w:rPr>
          <w:b/>
          <w:bCs/>
          <w:i w:val="0"/>
          <w:iCs/>
        </w:rPr>
      </w:pPr>
      <w:r w:rsidRPr="00F97C81">
        <w:rPr>
          <w:b/>
          <w:bCs/>
          <w:i w:val="0"/>
          <w:iCs/>
        </w:rPr>
        <w:t>LEY ORGÁNICA MUNICIPAL DEL ESTADO DE MÉXICO</w:t>
      </w:r>
    </w:p>
    <w:p w14:paraId="62728F13" w14:textId="10700E4B" w:rsidR="00C721DC" w:rsidRPr="00F97C81" w:rsidRDefault="001C7A9E" w:rsidP="00FE34D2">
      <w:pPr>
        <w:pStyle w:val="Citas"/>
      </w:pPr>
      <w:r w:rsidRPr="00F97C81">
        <w:t>“</w:t>
      </w:r>
      <w:r w:rsidR="00C721DC" w:rsidRPr="00F97C81">
        <w:t>Artículo 96. Bis.- El Director de Obras Públicas o el Titular de la Unidad Administrativa equivalente, tiene las siguientes atribuciones:</w:t>
      </w:r>
    </w:p>
    <w:p w14:paraId="3FE7B3D6" w14:textId="3393994B" w:rsidR="00C721DC" w:rsidRPr="00F97C81" w:rsidRDefault="00C721DC" w:rsidP="00FE34D2">
      <w:pPr>
        <w:pStyle w:val="Citas"/>
        <w:rPr>
          <w:b/>
          <w:bCs/>
          <w:u w:val="single"/>
        </w:rPr>
      </w:pPr>
      <w:r w:rsidRPr="00F97C81">
        <w:rPr>
          <w:b/>
          <w:bCs/>
          <w:u w:val="single"/>
        </w:rPr>
        <w:t>I. Realizar la programación y ejecución de las obras públicas y servicios relacionados, que por</w:t>
      </w:r>
      <w:r w:rsidR="00FE34D2" w:rsidRPr="00F97C81">
        <w:rPr>
          <w:b/>
          <w:bCs/>
          <w:u w:val="single"/>
        </w:rPr>
        <w:t xml:space="preserve"> </w:t>
      </w:r>
      <w:r w:rsidRPr="00F97C81">
        <w:rPr>
          <w:b/>
          <w:bCs/>
          <w:u w:val="single"/>
        </w:rPr>
        <w:t>orden expresa del Ayuntamiento requieran prioridad;</w:t>
      </w:r>
    </w:p>
    <w:p w14:paraId="675B9E7B" w14:textId="071FA2C3" w:rsidR="00C721DC" w:rsidRPr="00F97C81" w:rsidRDefault="00C721DC" w:rsidP="00FE34D2">
      <w:pPr>
        <w:pStyle w:val="Citas"/>
      </w:pPr>
      <w:r w:rsidRPr="00F97C81">
        <w:t>II. Planear y coordinar los proyectos de obras públicas y servicios relacionados con las mismas</w:t>
      </w:r>
      <w:r w:rsidR="00FE34D2" w:rsidRPr="00F97C81">
        <w:t xml:space="preserve"> </w:t>
      </w:r>
      <w:r w:rsidRPr="00F97C81">
        <w:t>que autorice el Ayuntamiento, una vez que se cumplan los requisitos de licitación y otros que</w:t>
      </w:r>
      <w:r w:rsidR="00FE34D2" w:rsidRPr="00F97C81">
        <w:t xml:space="preserve"> </w:t>
      </w:r>
      <w:r w:rsidRPr="00F97C81">
        <w:t>determine la ley de la materia;</w:t>
      </w:r>
    </w:p>
    <w:p w14:paraId="4B9724BE" w14:textId="02E8A1CF" w:rsidR="00C721DC" w:rsidRPr="00F97C81" w:rsidRDefault="00C721DC" w:rsidP="00FE34D2">
      <w:pPr>
        <w:pStyle w:val="Citas"/>
      </w:pPr>
      <w:r w:rsidRPr="00F97C81">
        <w:t>III. Proyectar las obras públicas y servicios relacionados, que realice el Municipio, incluyendo la</w:t>
      </w:r>
      <w:r w:rsidR="00FE34D2" w:rsidRPr="00F97C81">
        <w:t xml:space="preserve"> </w:t>
      </w:r>
      <w:r w:rsidRPr="00F97C81">
        <w:t>conservación y mantenimiento de edificios, monumentos, calles, parques y jardines;</w:t>
      </w:r>
    </w:p>
    <w:p w14:paraId="1333B122" w14:textId="1D5D8537" w:rsidR="00C721DC" w:rsidRPr="00F97C81" w:rsidRDefault="00C721DC" w:rsidP="00FE34D2">
      <w:pPr>
        <w:pStyle w:val="Citas"/>
      </w:pPr>
      <w:r w:rsidRPr="00F97C81">
        <w:lastRenderedPageBreak/>
        <w:t>IV. Construir y ejecutar todas aquellas obras públicas y servicios relacionados, que aumenten y</w:t>
      </w:r>
      <w:r w:rsidR="00FE34D2" w:rsidRPr="00F97C81">
        <w:t xml:space="preserve"> </w:t>
      </w:r>
      <w:r w:rsidRPr="00F97C81">
        <w:t>mantengan la infraestructura municipal y que estén consideradas en el programa respectivo;</w:t>
      </w:r>
    </w:p>
    <w:p w14:paraId="7DBF5F36" w14:textId="0389B336" w:rsidR="00C721DC" w:rsidRPr="00F97C81" w:rsidRDefault="00C721DC" w:rsidP="00FE34D2">
      <w:pPr>
        <w:pStyle w:val="Citas"/>
      </w:pPr>
      <w:r w:rsidRPr="00F97C81">
        <w:t>(…)</w:t>
      </w:r>
    </w:p>
    <w:p w14:paraId="044CBCAC" w14:textId="06836089" w:rsidR="00C721DC" w:rsidRPr="00F97C81" w:rsidRDefault="00C721DC" w:rsidP="00FE34D2">
      <w:pPr>
        <w:pStyle w:val="Citas"/>
      </w:pPr>
      <w:r w:rsidRPr="00F97C81">
        <w:t>X. Verificar que las obras públicas y los servicios relacionados con la misma, hayan sido</w:t>
      </w:r>
      <w:r w:rsidR="00FE34D2" w:rsidRPr="00F97C81">
        <w:t xml:space="preserve"> </w:t>
      </w:r>
      <w:r w:rsidRPr="00F97C81">
        <w:t>programadas, presupuestadas, ejecutadas, adquiridas y contratadas en estricto apego a las</w:t>
      </w:r>
      <w:r w:rsidR="00FE34D2" w:rsidRPr="00F97C81">
        <w:t xml:space="preserve"> </w:t>
      </w:r>
      <w:r w:rsidRPr="00F97C81">
        <w:t>disposiciones legales aplicables;</w:t>
      </w:r>
    </w:p>
    <w:p w14:paraId="683EE88B" w14:textId="0BC1102F" w:rsidR="00C721DC" w:rsidRPr="00F97C81" w:rsidRDefault="00C721DC" w:rsidP="00FE34D2">
      <w:pPr>
        <w:pStyle w:val="Citas"/>
      </w:pPr>
      <w:r w:rsidRPr="00F97C81">
        <w:t>(…)</w:t>
      </w:r>
    </w:p>
    <w:p w14:paraId="12E1C928" w14:textId="349F288D" w:rsidR="00C721DC" w:rsidRPr="00F97C81" w:rsidRDefault="00C721DC" w:rsidP="00FE34D2">
      <w:pPr>
        <w:pStyle w:val="Citas"/>
        <w:rPr>
          <w:b/>
          <w:bCs/>
          <w:u w:val="single"/>
        </w:rPr>
      </w:pPr>
      <w:r w:rsidRPr="00F97C81">
        <w:rPr>
          <w:b/>
          <w:bCs/>
          <w:u w:val="single"/>
        </w:rPr>
        <w:t>XV. Proyectar, formular y proponer al Presidente Municipal, el Programa General de Obras</w:t>
      </w:r>
      <w:r w:rsidR="00FE34D2" w:rsidRPr="00F97C81">
        <w:rPr>
          <w:b/>
          <w:bCs/>
          <w:u w:val="single"/>
        </w:rPr>
        <w:t xml:space="preserve"> </w:t>
      </w:r>
      <w:r w:rsidRPr="00F97C81">
        <w:rPr>
          <w:b/>
          <w:bCs/>
          <w:u w:val="single"/>
        </w:rPr>
        <w:t>Públicas, para la construcción y mejoramiento de las mismas, de acuerdo a la normatividad</w:t>
      </w:r>
      <w:r w:rsidR="00FE34D2" w:rsidRPr="00F97C81">
        <w:rPr>
          <w:b/>
          <w:bCs/>
          <w:u w:val="single"/>
        </w:rPr>
        <w:t xml:space="preserve"> </w:t>
      </w:r>
      <w:r w:rsidRPr="00F97C81">
        <w:rPr>
          <w:b/>
          <w:bCs/>
          <w:u w:val="single"/>
        </w:rPr>
        <w:t>aplicable y en congruencia con el Plan de Desarrollo Municipal y con la política, objetivos y</w:t>
      </w:r>
      <w:r w:rsidR="00FE34D2" w:rsidRPr="00F97C81">
        <w:rPr>
          <w:b/>
          <w:bCs/>
          <w:u w:val="single"/>
        </w:rPr>
        <w:t xml:space="preserve"> </w:t>
      </w:r>
      <w:r w:rsidRPr="00F97C81">
        <w:rPr>
          <w:b/>
          <w:bCs/>
          <w:u w:val="single"/>
        </w:rPr>
        <w:t>prioridades del Municipio y vigilar su ejecución;</w:t>
      </w:r>
    </w:p>
    <w:p w14:paraId="27E07440" w14:textId="47FE46FE" w:rsidR="00FE34D2" w:rsidRPr="00F97C81" w:rsidRDefault="00FE34D2" w:rsidP="00FE34D2">
      <w:pPr>
        <w:pStyle w:val="Citas"/>
        <w:rPr>
          <w:b/>
          <w:bCs/>
        </w:rPr>
      </w:pPr>
      <w:r w:rsidRPr="00F97C81">
        <w:t xml:space="preserve">(…)” </w:t>
      </w:r>
      <w:r w:rsidRPr="00F97C81">
        <w:rPr>
          <w:b/>
          <w:bCs/>
        </w:rPr>
        <w:t xml:space="preserve">(Sic) </w:t>
      </w:r>
    </w:p>
    <w:p w14:paraId="78F4B869" w14:textId="77777777" w:rsidR="00C721DC" w:rsidRPr="00F97C81" w:rsidRDefault="00C721DC" w:rsidP="00C721DC">
      <w:pPr>
        <w:spacing w:line="360" w:lineRule="auto"/>
        <w:jc w:val="both"/>
        <w:rPr>
          <w:rFonts w:ascii="Palatino Linotype" w:hAnsi="Palatino Linotype" w:cs="Arial"/>
          <w:sz w:val="24"/>
          <w:szCs w:val="24"/>
        </w:rPr>
      </w:pPr>
    </w:p>
    <w:p w14:paraId="255D816C" w14:textId="2BFD26C8" w:rsidR="00C721DC" w:rsidRPr="00F97C81" w:rsidRDefault="00FE34D2" w:rsidP="00FE34D2">
      <w:pPr>
        <w:pStyle w:val="Citas"/>
        <w:jc w:val="center"/>
        <w:rPr>
          <w:b/>
          <w:bCs/>
          <w:i w:val="0"/>
          <w:iCs/>
        </w:rPr>
      </w:pPr>
      <w:r w:rsidRPr="00F97C81">
        <w:rPr>
          <w:b/>
          <w:bCs/>
          <w:i w:val="0"/>
          <w:iCs/>
        </w:rPr>
        <w:t xml:space="preserve">BANDO MUNICIPAL DE </w:t>
      </w:r>
      <w:r w:rsidR="001E332A" w:rsidRPr="00F97C81">
        <w:rPr>
          <w:b/>
          <w:bCs/>
          <w:i w:val="0"/>
          <w:iCs/>
        </w:rPr>
        <w:t>CALIMAYA</w:t>
      </w:r>
    </w:p>
    <w:p w14:paraId="64FC8BB7" w14:textId="0FDAECC2" w:rsidR="00FE34D2" w:rsidRPr="00F97C81" w:rsidRDefault="00FE34D2" w:rsidP="001E332A">
      <w:pPr>
        <w:pStyle w:val="Citas"/>
        <w:rPr>
          <w:b/>
          <w:bCs/>
          <w:sz w:val="24"/>
          <w:szCs w:val="24"/>
        </w:rPr>
      </w:pPr>
      <w:r w:rsidRPr="00F97C81">
        <w:t>“</w:t>
      </w:r>
      <w:r w:rsidR="001E332A" w:rsidRPr="00F97C81">
        <w:t xml:space="preserve">Artículo 64. Es el área encargada de proveer los recursos materiales y servicios necesarios para cada una de las áreas que corresponden a la Administración Pública Municipal, cumpliendo con las disposiciones establecidas en las leyes aplicables a la materia, en lo referente a las adquisiciones, enajenaciones, arrendamientos y servicios, en coordinación con las Dependencias y Organismos auxiliares interesados; su actividad estará regulada por la Ley de Contratación Pública del </w:t>
      </w:r>
      <w:r w:rsidR="001E332A" w:rsidRPr="00F97C81">
        <w:lastRenderedPageBreak/>
        <w:t xml:space="preserve">Estado de México y Municipios y su Reglamento, y demás disposiciones de la materia.” </w:t>
      </w:r>
      <w:r w:rsidR="001E332A" w:rsidRPr="00F97C81">
        <w:rPr>
          <w:b/>
          <w:bCs/>
        </w:rPr>
        <w:t>(Sic)</w:t>
      </w:r>
    </w:p>
    <w:p w14:paraId="32B4F0BD" w14:textId="77777777" w:rsidR="001E332A" w:rsidRPr="00F97C81" w:rsidRDefault="001E332A" w:rsidP="00566D97">
      <w:pPr>
        <w:spacing w:after="0" w:line="360" w:lineRule="auto"/>
        <w:jc w:val="center"/>
        <w:rPr>
          <w:rFonts w:ascii="Palatino Linotype" w:hAnsi="Palatino Linotype" w:cs="Arial"/>
          <w:b/>
          <w:iCs/>
          <w:color w:val="000000"/>
        </w:rPr>
      </w:pPr>
    </w:p>
    <w:p w14:paraId="17E62841" w14:textId="570695FD" w:rsidR="00566D97" w:rsidRPr="00F97C81" w:rsidRDefault="00566D97" w:rsidP="00566D97">
      <w:pPr>
        <w:spacing w:after="0" w:line="360" w:lineRule="auto"/>
        <w:jc w:val="center"/>
        <w:rPr>
          <w:rFonts w:ascii="Palatino Linotype" w:hAnsi="Palatino Linotype" w:cs="Arial"/>
          <w:b/>
          <w:iCs/>
          <w:color w:val="000000"/>
          <w:lang w:val="es-ES_tradnl"/>
        </w:rPr>
      </w:pPr>
      <w:r w:rsidRPr="00F97C81">
        <w:rPr>
          <w:rFonts w:ascii="Palatino Linotype" w:hAnsi="Palatino Linotype" w:cs="Arial"/>
          <w:b/>
          <w:iCs/>
          <w:color w:val="000000"/>
          <w:lang w:val="es-ES_tradnl"/>
        </w:rPr>
        <w:t>LEY DE CONTRATACIÓN PÚBLICA DEL ESTADO DE MÉXICO</w:t>
      </w:r>
    </w:p>
    <w:p w14:paraId="73A30AB2"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“Artículo 26.- Las adquisiciones, arrendamientos y servicios se adjudicarán a través de licitaciones públicas, mediante convocatoria pública. </w:t>
      </w:r>
    </w:p>
    <w:p w14:paraId="50DE3AA3"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Artículo 27.- La Secretaría, las entidades, los tribunales administrativos y los ayuntamientos podrán adjudicar adquisiciones, arrendamientos y servicios, mediante las excepciones al procedimiento de licitación que a continuación se señalan:</w:t>
      </w:r>
    </w:p>
    <w:p w14:paraId="787C4F4F" w14:textId="77777777" w:rsidR="00566D97" w:rsidRPr="00F97C81" w:rsidRDefault="00566D97" w:rsidP="00566D97">
      <w:pPr>
        <w:pStyle w:val="Prrafodelista"/>
        <w:numPr>
          <w:ilvl w:val="0"/>
          <w:numId w:val="22"/>
        </w:numPr>
        <w:spacing w:before="240" w:after="160" w:line="360" w:lineRule="auto"/>
        <w:ind w:left="851" w:right="851" w:firstLine="0"/>
        <w:jc w:val="both"/>
        <w:rPr>
          <w:rFonts w:ascii="Palatino Linotype" w:hAnsi="Palatino Linotype"/>
          <w:i/>
          <w:sz w:val="22"/>
          <w:szCs w:val="22"/>
        </w:rPr>
      </w:pPr>
      <w:r w:rsidRPr="00F97C81">
        <w:rPr>
          <w:rFonts w:ascii="Palatino Linotype" w:hAnsi="Palatino Linotype"/>
          <w:i/>
          <w:sz w:val="22"/>
          <w:szCs w:val="22"/>
        </w:rPr>
        <w:t>Invitación restringida.</w:t>
      </w:r>
    </w:p>
    <w:p w14:paraId="53FB9092" w14:textId="77777777" w:rsidR="00566D97" w:rsidRPr="00F97C81" w:rsidRDefault="00566D97" w:rsidP="00566D97">
      <w:pPr>
        <w:pStyle w:val="Prrafodelista"/>
        <w:numPr>
          <w:ilvl w:val="0"/>
          <w:numId w:val="22"/>
        </w:numPr>
        <w:spacing w:before="240" w:after="160" w:line="360" w:lineRule="auto"/>
        <w:ind w:left="851" w:right="851" w:firstLine="0"/>
        <w:jc w:val="both"/>
        <w:rPr>
          <w:rFonts w:ascii="Palatino Linotype" w:hAnsi="Palatino Linotype" w:cs="Arial"/>
          <w:b/>
          <w:i/>
          <w:color w:val="000000"/>
          <w:sz w:val="22"/>
          <w:szCs w:val="22"/>
          <w:lang w:val="es-ES_tradnl"/>
        </w:rPr>
      </w:pPr>
      <w:r w:rsidRPr="00F97C81">
        <w:rPr>
          <w:rFonts w:ascii="Palatino Linotype" w:hAnsi="Palatino Linotype"/>
          <w:i/>
          <w:sz w:val="22"/>
          <w:szCs w:val="22"/>
        </w:rPr>
        <w:t xml:space="preserve"> Adjudicación directa.” </w:t>
      </w:r>
      <w:r w:rsidRPr="00F97C81">
        <w:rPr>
          <w:rFonts w:ascii="Palatino Linotype" w:hAnsi="Palatino Linotype"/>
          <w:b/>
          <w:i/>
          <w:sz w:val="22"/>
          <w:szCs w:val="22"/>
        </w:rPr>
        <w:t>(Sic)</w:t>
      </w:r>
    </w:p>
    <w:p w14:paraId="74E60914" w14:textId="77777777" w:rsidR="00566D97" w:rsidRPr="00F97C81" w:rsidRDefault="00566D97" w:rsidP="00566D97">
      <w:pPr>
        <w:spacing w:before="240" w:line="360" w:lineRule="auto"/>
        <w:ind w:left="851" w:right="851"/>
        <w:jc w:val="center"/>
        <w:rPr>
          <w:rFonts w:ascii="Palatino Linotype" w:hAnsi="Palatino Linotype"/>
          <w:b/>
          <w:iCs/>
        </w:rPr>
      </w:pPr>
    </w:p>
    <w:p w14:paraId="37F72E84" w14:textId="77777777" w:rsidR="00566D97" w:rsidRPr="00F97C81" w:rsidRDefault="00566D97" w:rsidP="00566D97">
      <w:pPr>
        <w:spacing w:before="240" w:line="360" w:lineRule="auto"/>
        <w:ind w:left="851" w:right="851"/>
        <w:jc w:val="center"/>
        <w:rPr>
          <w:rFonts w:ascii="Palatino Linotype" w:hAnsi="Palatino Linotype"/>
          <w:b/>
          <w:iCs/>
        </w:rPr>
      </w:pPr>
      <w:r w:rsidRPr="00F97C81">
        <w:rPr>
          <w:rFonts w:ascii="Palatino Linotype" w:hAnsi="Palatino Linotype"/>
          <w:b/>
          <w:iCs/>
        </w:rPr>
        <w:t>REGLAMENTO DE LA LEY DE CONTRATACIÓN PÚBLICA DEL ESTADO DE MÉXICO Y MUNICIPIOS</w:t>
      </w:r>
    </w:p>
    <w:p w14:paraId="20C0474F"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“Artículo 43.- La Secretaría, organismos auxiliares, tribunales administrativos y municipios, se auxiliarán de un Comité de Adquisiciones y Servicios, para la substanciación de los procedimientos de adquisición regulados en la Ley. </w:t>
      </w:r>
    </w:p>
    <w:p w14:paraId="0B7C74E0" w14:textId="77777777" w:rsidR="00566D97" w:rsidRPr="00F97C81" w:rsidRDefault="00566D97" w:rsidP="00566D97">
      <w:pPr>
        <w:spacing w:before="240" w:line="360" w:lineRule="auto"/>
        <w:ind w:left="851" w:right="851"/>
        <w:jc w:val="both"/>
        <w:rPr>
          <w:rFonts w:ascii="Palatino Linotype" w:hAnsi="Palatino Linotype"/>
          <w:b/>
          <w:i/>
          <w:u w:val="single"/>
        </w:rPr>
      </w:pPr>
      <w:r w:rsidRPr="00F97C81">
        <w:rPr>
          <w:rFonts w:ascii="Palatino Linotype" w:hAnsi="Palatino Linotype"/>
          <w:b/>
          <w:i/>
          <w:u w:val="single"/>
        </w:rPr>
        <w:t xml:space="preserve">Artículo 44.- El Comité de Adquisiciones y Servicios se integrará por: </w:t>
      </w:r>
    </w:p>
    <w:p w14:paraId="409C5A51" w14:textId="77777777" w:rsidR="00566D97" w:rsidRPr="00F97C81" w:rsidRDefault="00566D97" w:rsidP="00566D97">
      <w:pPr>
        <w:pStyle w:val="Prrafodelista"/>
        <w:numPr>
          <w:ilvl w:val="0"/>
          <w:numId w:val="23"/>
        </w:numPr>
        <w:spacing w:before="240" w:line="360" w:lineRule="auto"/>
        <w:ind w:right="851"/>
        <w:jc w:val="both"/>
        <w:rPr>
          <w:rFonts w:ascii="Palatino Linotype" w:hAnsi="Palatino Linotype"/>
          <w:b/>
          <w:i/>
          <w:sz w:val="22"/>
          <w:szCs w:val="22"/>
          <w:u w:val="single"/>
        </w:rPr>
      </w:pPr>
      <w:r w:rsidRPr="00F97C81">
        <w:rPr>
          <w:rFonts w:ascii="Palatino Linotype" w:hAnsi="Palatino Linotype"/>
          <w:i/>
          <w:sz w:val="22"/>
          <w:szCs w:val="22"/>
        </w:rPr>
        <w:t xml:space="preserve">En la Secretaría, por el titular del área encargada de operar el sistema de adquisiciones de las dependencias del Poder Ejecutivo, y en los organismos </w:t>
      </w:r>
      <w:r w:rsidRPr="00F97C81">
        <w:rPr>
          <w:rFonts w:ascii="Palatino Linotype" w:hAnsi="Palatino Linotype"/>
          <w:i/>
          <w:sz w:val="22"/>
          <w:szCs w:val="22"/>
        </w:rPr>
        <w:lastRenderedPageBreak/>
        <w:t xml:space="preserve">auxiliares, tribunales administrativos y </w:t>
      </w:r>
      <w:r w:rsidRPr="00F97C81">
        <w:rPr>
          <w:rFonts w:ascii="Palatino Linotype" w:hAnsi="Palatino Linotype"/>
          <w:b/>
          <w:i/>
          <w:sz w:val="22"/>
          <w:szCs w:val="22"/>
          <w:u w:val="single"/>
        </w:rPr>
        <w:t xml:space="preserve">municipios, por el titular de la unidad administrativa, quien fungirá como presidente; </w:t>
      </w:r>
    </w:p>
    <w:p w14:paraId="49419DF5" w14:textId="77777777" w:rsidR="00566D97" w:rsidRPr="00F97C81" w:rsidRDefault="00566D97" w:rsidP="00566D97">
      <w:pPr>
        <w:pStyle w:val="Prrafodelista"/>
        <w:numPr>
          <w:ilvl w:val="0"/>
          <w:numId w:val="23"/>
        </w:numPr>
        <w:spacing w:before="240" w:line="360" w:lineRule="auto"/>
        <w:ind w:right="851"/>
        <w:jc w:val="both"/>
        <w:rPr>
          <w:rFonts w:ascii="Palatino Linotype" w:hAnsi="Palatino Linotype" w:cs="Arial"/>
          <w:b/>
          <w:i/>
          <w:sz w:val="22"/>
          <w:szCs w:val="22"/>
        </w:rPr>
      </w:pPr>
      <w:r w:rsidRPr="00F97C81">
        <w:rPr>
          <w:rFonts w:ascii="Palatino Linotype" w:hAnsi="Palatino Linotype"/>
          <w:i/>
          <w:sz w:val="22"/>
          <w:szCs w:val="22"/>
        </w:rPr>
        <w:t xml:space="preserve">Un representante del </w:t>
      </w:r>
      <w:r w:rsidRPr="00F97C81">
        <w:rPr>
          <w:rFonts w:ascii="Palatino Linotype" w:hAnsi="Palatino Linotype"/>
          <w:b/>
          <w:i/>
          <w:sz w:val="22"/>
          <w:szCs w:val="22"/>
          <w:u w:val="single"/>
        </w:rPr>
        <w:t>área financiera</w:t>
      </w:r>
      <w:r w:rsidRPr="00F97C81">
        <w:rPr>
          <w:rFonts w:ascii="Palatino Linotype" w:hAnsi="Palatino Linotype"/>
          <w:i/>
          <w:sz w:val="22"/>
          <w:szCs w:val="22"/>
        </w:rPr>
        <w:t xml:space="preserve"> de la Secretaría, entidad, tribunal administrativo o municipio, con función de vocal; </w:t>
      </w:r>
    </w:p>
    <w:p w14:paraId="7555933F" w14:textId="77777777" w:rsidR="00566D97" w:rsidRPr="00F97C81" w:rsidRDefault="00566D97" w:rsidP="00566D97">
      <w:pPr>
        <w:pStyle w:val="Prrafodelista"/>
        <w:numPr>
          <w:ilvl w:val="0"/>
          <w:numId w:val="23"/>
        </w:numPr>
        <w:spacing w:before="240" w:line="360" w:lineRule="auto"/>
        <w:ind w:right="851"/>
        <w:jc w:val="both"/>
        <w:rPr>
          <w:rFonts w:ascii="Palatino Linotype" w:hAnsi="Palatino Linotype" w:cs="Arial"/>
          <w:b/>
          <w:i/>
          <w:sz w:val="22"/>
          <w:szCs w:val="22"/>
        </w:rPr>
      </w:pPr>
      <w:r w:rsidRPr="00F97C81">
        <w:rPr>
          <w:rFonts w:ascii="Palatino Linotype" w:hAnsi="Palatino Linotype"/>
          <w:b/>
          <w:i/>
          <w:sz w:val="22"/>
          <w:szCs w:val="22"/>
          <w:u w:val="single"/>
        </w:rPr>
        <w:t>Un representante de cada dependencia o unidad administrativa interesada</w:t>
      </w:r>
      <w:r w:rsidRPr="00F97C81">
        <w:rPr>
          <w:rFonts w:ascii="Palatino Linotype" w:hAnsi="Palatino Linotype"/>
          <w:i/>
          <w:sz w:val="22"/>
          <w:szCs w:val="22"/>
        </w:rPr>
        <w:t xml:space="preserve"> en la adquisición de los bienes o contratación del servicio, con función de vocal;</w:t>
      </w:r>
    </w:p>
    <w:p w14:paraId="6EFED085" w14:textId="77777777" w:rsidR="00566D97" w:rsidRPr="00F97C81" w:rsidRDefault="00566D97" w:rsidP="00566D97">
      <w:pPr>
        <w:pStyle w:val="Prrafodelista"/>
        <w:numPr>
          <w:ilvl w:val="0"/>
          <w:numId w:val="23"/>
        </w:numPr>
        <w:spacing w:before="240" w:line="360" w:lineRule="auto"/>
        <w:ind w:right="851"/>
        <w:jc w:val="both"/>
        <w:rPr>
          <w:rFonts w:ascii="Palatino Linotype" w:hAnsi="Palatino Linotype" w:cs="Arial"/>
          <w:b/>
          <w:i/>
          <w:sz w:val="22"/>
          <w:szCs w:val="22"/>
        </w:rPr>
      </w:pPr>
      <w:r w:rsidRPr="00F97C81">
        <w:rPr>
          <w:rFonts w:ascii="Palatino Linotype" w:hAnsi="Palatino Linotype"/>
          <w:i/>
          <w:sz w:val="22"/>
          <w:szCs w:val="22"/>
        </w:rPr>
        <w:t xml:space="preserve"> Un representante de la </w:t>
      </w:r>
      <w:r w:rsidRPr="00F97C81">
        <w:rPr>
          <w:rFonts w:ascii="Palatino Linotype" w:hAnsi="Palatino Linotype"/>
          <w:b/>
          <w:i/>
          <w:sz w:val="22"/>
          <w:szCs w:val="22"/>
          <w:u w:val="single"/>
        </w:rPr>
        <w:t>Consejería Jurídica o del área jurídica respectiva</w:t>
      </w:r>
      <w:r w:rsidRPr="00F97C81">
        <w:rPr>
          <w:rFonts w:ascii="Palatino Linotype" w:hAnsi="Palatino Linotype"/>
          <w:i/>
          <w:sz w:val="22"/>
          <w:szCs w:val="22"/>
        </w:rPr>
        <w:t xml:space="preserve"> o quien lleve a cabo las funciones de esta naturaleza, con función de vocal; </w:t>
      </w:r>
    </w:p>
    <w:p w14:paraId="4092693D" w14:textId="77777777" w:rsidR="00566D97" w:rsidRPr="00F97C81" w:rsidRDefault="00566D97" w:rsidP="00566D97">
      <w:pPr>
        <w:pStyle w:val="Prrafodelista"/>
        <w:numPr>
          <w:ilvl w:val="0"/>
          <w:numId w:val="23"/>
        </w:numPr>
        <w:spacing w:before="240" w:line="360" w:lineRule="auto"/>
        <w:ind w:right="851"/>
        <w:jc w:val="both"/>
        <w:rPr>
          <w:rFonts w:ascii="Palatino Linotype" w:hAnsi="Palatino Linotype" w:cs="Arial"/>
          <w:b/>
          <w:i/>
          <w:sz w:val="22"/>
          <w:szCs w:val="22"/>
        </w:rPr>
      </w:pPr>
      <w:r w:rsidRPr="00F97C81">
        <w:rPr>
          <w:rFonts w:ascii="Palatino Linotype" w:hAnsi="Palatino Linotype"/>
          <w:i/>
          <w:sz w:val="22"/>
          <w:szCs w:val="22"/>
        </w:rPr>
        <w:t xml:space="preserve">Un representante del </w:t>
      </w:r>
      <w:r w:rsidRPr="00F97C81">
        <w:rPr>
          <w:rFonts w:ascii="Palatino Linotype" w:hAnsi="Palatino Linotype"/>
          <w:b/>
          <w:i/>
          <w:sz w:val="22"/>
          <w:szCs w:val="22"/>
          <w:u w:val="single"/>
        </w:rPr>
        <w:t>Órgano de Control,</w:t>
      </w:r>
      <w:r w:rsidRPr="00F97C81">
        <w:rPr>
          <w:rFonts w:ascii="Palatino Linotype" w:hAnsi="Palatino Linotype"/>
          <w:i/>
          <w:sz w:val="22"/>
          <w:szCs w:val="22"/>
        </w:rPr>
        <w:t xml:space="preserve"> con función de vocal; y </w:t>
      </w:r>
    </w:p>
    <w:p w14:paraId="4BDC2ACB" w14:textId="77777777" w:rsidR="00566D97" w:rsidRPr="00F97C81" w:rsidRDefault="00566D97" w:rsidP="00566D97">
      <w:pPr>
        <w:pStyle w:val="Prrafodelista"/>
        <w:numPr>
          <w:ilvl w:val="0"/>
          <w:numId w:val="23"/>
        </w:numPr>
        <w:spacing w:before="240" w:line="360" w:lineRule="auto"/>
        <w:ind w:right="851"/>
        <w:jc w:val="both"/>
        <w:rPr>
          <w:rFonts w:ascii="Palatino Linotype" w:hAnsi="Palatino Linotype" w:cs="Arial"/>
          <w:b/>
          <w:i/>
          <w:sz w:val="22"/>
          <w:szCs w:val="22"/>
        </w:rPr>
      </w:pPr>
      <w:r w:rsidRPr="00F97C81">
        <w:rPr>
          <w:rFonts w:ascii="Palatino Linotype" w:hAnsi="Palatino Linotype"/>
          <w:b/>
          <w:i/>
          <w:sz w:val="22"/>
          <w:szCs w:val="22"/>
          <w:u w:val="single"/>
        </w:rPr>
        <w:t>Un secretario ejecutivo,</w:t>
      </w:r>
      <w:r w:rsidRPr="00F97C81">
        <w:rPr>
          <w:rFonts w:ascii="Palatino Linotype" w:hAnsi="Palatino Linotype"/>
          <w:i/>
          <w:sz w:val="22"/>
          <w:szCs w:val="22"/>
        </w:rPr>
        <w:t xml:space="preserve"> que será designado por el presidente. </w:t>
      </w:r>
    </w:p>
    <w:p w14:paraId="58627B39" w14:textId="77777777" w:rsidR="00566D97" w:rsidRPr="00F97C81" w:rsidRDefault="00566D97" w:rsidP="00566D97">
      <w:pPr>
        <w:pStyle w:val="Prrafodelista"/>
        <w:spacing w:before="240" w:after="160" w:line="360" w:lineRule="auto"/>
        <w:ind w:left="851" w:right="851"/>
        <w:jc w:val="both"/>
        <w:rPr>
          <w:rFonts w:ascii="Palatino Linotype" w:hAnsi="Palatino Linotype"/>
          <w:i/>
          <w:sz w:val="22"/>
          <w:szCs w:val="22"/>
        </w:rPr>
      </w:pPr>
      <w:r w:rsidRPr="00F97C81">
        <w:rPr>
          <w:rFonts w:ascii="Palatino Linotype" w:hAnsi="Palatino Linotype"/>
          <w:i/>
          <w:sz w:val="22"/>
          <w:szCs w:val="22"/>
        </w:rPr>
        <w:t xml:space="preserve">Los organismos auxiliares y tribunales administrativos que no cuenten con unidades administrativas con funciones de contraloría y jurídico, corresponderá a los titulares designar a los servidores públicos que por su perfil realicen las funciones de jurídico, y a la Contraloría, designar al servidor público que fungirá como su representante. </w:t>
      </w:r>
    </w:p>
    <w:p w14:paraId="551E0C80" w14:textId="77777777" w:rsidR="00566D97" w:rsidRPr="00F97C81" w:rsidRDefault="00566D97" w:rsidP="00566D97">
      <w:pPr>
        <w:pStyle w:val="Prrafodelista"/>
        <w:spacing w:before="240" w:after="160" w:line="360" w:lineRule="auto"/>
        <w:ind w:left="851" w:right="851"/>
        <w:jc w:val="both"/>
        <w:rPr>
          <w:rFonts w:ascii="Palatino Linotype" w:hAnsi="Palatino Linotype"/>
          <w:i/>
          <w:sz w:val="22"/>
          <w:szCs w:val="22"/>
        </w:rPr>
      </w:pPr>
      <w:r w:rsidRPr="00F97C81">
        <w:rPr>
          <w:rFonts w:ascii="Palatino Linotype" w:hAnsi="Palatino Linotype"/>
          <w:i/>
          <w:sz w:val="22"/>
          <w:szCs w:val="22"/>
        </w:rPr>
        <w:t xml:space="preserve">Los integrantes del comité tendrán derecho a voz y voto a excepción de los indicados en las fracciones V y VI, quienes sólo participarán con voz, debiendo fundamentar y motivar el sentido de su opinión, a efecto de que sea incluida en el acta correspondiente. En caso de empate, el presidente tendrá voto de calidad. </w:t>
      </w:r>
    </w:p>
    <w:p w14:paraId="7CD27FAF" w14:textId="77777777" w:rsidR="00566D97" w:rsidRPr="00F97C81" w:rsidRDefault="00566D97" w:rsidP="00566D97">
      <w:pPr>
        <w:pStyle w:val="Prrafodelista"/>
        <w:spacing w:before="240" w:after="160" w:line="360" w:lineRule="auto"/>
        <w:ind w:left="851" w:right="851"/>
        <w:jc w:val="both"/>
        <w:rPr>
          <w:rFonts w:ascii="Palatino Linotype" w:hAnsi="Palatino Linotype"/>
          <w:i/>
          <w:sz w:val="22"/>
          <w:szCs w:val="22"/>
        </w:rPr>
      </w:pPr>
      <w:r w:rsidRPr="00F97C81">
        <w:rPr>
          <w:rFonts w:ascii="Palatino Linotype" w:hAnsi="Palatino Linotype"/>
          <w:i/>
          <w:sz w:val="22"/>
          <w:szCs w:val="22"/>
        </w:rPr>
        <w:lastRenderedPageBreak/>
        <w:t xml:space="preserve">A las sesiones del comité podrá invitarse a cualquier persona cuya intervención se considere necesaria por el secretario ejecutivo, para aclarar aspectos técnicos o administrativos relacionados con los asuntos sometidos al comité. </w:t>
      </w:r>
    </w:p>
    <w:p w14:paraId="32796013" w14:textId="77777777" w:rsidR="00566D97" w:rsidRPr="00F97C81" w:rsidRDefault="00566D97" w:rsidP="00566D97">
      <w:pPr>
        <w:pStyle w:val="Prrafodelista"/>
        <w:spacing w:before="240" w:after="160" w:line="360" w:lineRule="auto"/>
        <w:ind w:left="851" w:right="851"/>
        <w:jc w:val="both"/>
        <w:rPr>
          <w:rFonts w:ascii="Palatino Linotype" w:hAnsi="Palatino Linotype"/>
          <w:i/>
          <w:sz w:val="22"/>
          <w:szCs w:val="22"/>
        </w:rPr>
      </w:pPr>
      <w:r w:rsidRPr="00F97C81">
        <w:rPr>
          <w:rFonts w:ascii="Palatino Linotype" w:hAnsi="Palatino Linotype"/>
          <w:i/>
          <w:sz w:val="22"/>
          <w:szCs w:val="22"/>
        </w:rPr>
        <w:t xml:space="preserve">Los integrantes del comité designarán por escrito a sus respectivos suplentes, y sólo participarán en ausencia del titular. </w:t>
      </w:r>
    </w:p>
    <w:p w14:paraId="75678A59" w14:textId="77777777" w:rsidR="00566D97" w:rsidRPr="00F97C81" w:rsidRDefault="00566D97" w:rsidP="00566D97">
      <w:pPr>
        <w:pStyle w:val="Prrafodelista"/>
        <w:spacing w:before="240" w:after="160" w:line="360" w:lineRule="auto"/>
        <w:ind w:left="851" w:right="851"/>
        <w:jc w:val="both"/>
        <w:rPr>
          <w:rFonts w:ascii="Palatino Linotype" w:hAnsi="Palatino Linotype"/>
          <w:i/>
          <w:sz w:val="22"/>
          <w:szCs w:val="22"/>
        </w:rPr>
      </w:pPr>
      <w:r w:rsidRPr="00F97C81">
        <w:rPr>
          <w:rFonts w:ascii="Palatino Linotype" w:hAnsi="Palatino Linotype"/>
          <w:i/>
          <w:sz w:val="22"/>
          <w:szCs w:val="22"/>
        </w:rPr>
        <w:t>Los cargos de los integrantes del comité serán honoríficos.</w:t>
      </w:r>
    </w:p>
    <w:p w14:paraId="2033632F" w14:textId="77777777" w:rsidR="00566D97" w:rsidRPr="00F97C81" w:rsidRDefault="00566D97" w:rsidP="00566D97">
      <w:pPr>
        <w:pStyle w:val="Citas"/>
      </w:pPr>
      <w:r w:rsidRPr="00F97C81">
        <w:t xml:space="preserve">Artículo 54.- Además de las establecidas en la Ley, el Comité de Arrendamientos, Adquisiciones de Inmuebles y Enajenaciones tendrá las siguientes funciones: </w:t>
      </w:r>
    </w:p>
    <w:p w14:paraId="6E70B672" w14:textId="77777777" w:rsidR="00566D97" w:rsidRPr="00F97C81" w:rsidRDefault="00566D97" w:rsidP="00566D97">
      <w:pPr>
        <w:pStyle w:val="Citas"/>
      </w:pPr>
      <w:r w:rsidRPr="00F97C81">
        <w:t xml:space="preserve">I. Expedir su manual de operación; </w:t>
      </w:r>
    </w:p>
    <w:p w14:paraId="75143257" w14:textId="77777777" w:rsidR="00566D97" w:rsidRPr="00F97C81" w:rsidRDefault="00566D97" w:rsidP="00566D97">
      <w:pPr>
        <w:pStyle w:val="Citas"/>
      </w:pPr>
      <w:r w:rsidRPr="00F97C81">
        <w:t xml:space="preserve">II. Revisar y validar el programa anual de arrendamiento; así como formular las observaciones y recomendaciones que estimen convenientes; </w:t>
      </w:r>
    </w:p>
    <w:p w14:paraId="22DC286C" w14:textId="77777777" w:rsidR="00566D97" w:rsidRPr="00F97C81" w:rsidRDefault="00566D97" w:rsidP="00566D97">
      <w:pPr>
        <w:pStyle w:val="Citas"/>
      </w:pPr>
      <w:r w:rsidRPr="00F97C81">
        <w:t xml:space="preserve">III. Analizar la documentación de los actos relacionados con arrendamiento, adquisiciones de inmuebles y enajenaciones de muebles e inmuebles, y emitir la opinión correspondiente; </w:t>
      </w:r>
    </w:p>
    <w:p w14:paraId="7307719A" w14:textId="77777777" w:rsidR="00566D97" w:rsidRPr="00F97C81" w:rsidRDefault="00566D97" w:rsidP="00566D97">
      <w:pPr>
        <w:pStyle w:val="Citas"/>
      </w:pPr>
      <w:r w:rsidRPr="00F97C81">
        <w:t xml:space="preserve">IV. Dictaminar sobre las solicitudes para adquirir inmuebles, arrendamientos y subarrendamientos; </w:t>
      </w:r>
    </w:p>
    <w:p w14:paraId="7F9E0DE3" w14:textId="77777777" w:rsidR="00566D97" w:rsidRPr="00F97C81" w:rsidRDefault="00566D97" w:rsidP="00566D97">
      <w:pPr>
        <w:pStyle w:val="Citas"/>
      </w:pPr>
      <w:r w:rsidRPr="00F97C81">
        <w:t xml:space="preserve">V. Dictaminar sobre las propuestas de enajenación de bienes muebles e inmuebles; </w:t>
      </w:r>
    </w:p>
    <w:p w14:paraId="6D87C1DC" w14:textId="77777777" w:rsidR="00566D97" w:rsidRPr="00F97C81" w:rsidRDefault="00566D97" w:rsidP="00566D97">
      <w:pPr>
        <w:pStyle w:val="Citas"/>
      </w:pPr>
      <w:r w:rsidRPr="00F97C81">
        <w:t xml:space="preserve">VI. Solicitar asesoría técnica a las cámaras de comercio, industria de la construcción, de empresas inmobiliarias y colegios de profesionales o de las confederaciones que las agrupan; </w:t>
      </w:r>
    </w:p>
    <w:p w14:paraId="0C2513A1" w14:textId="77777777" w:rsidR="00566D97" w:rsidRPr="00F97C81" w:rsidRDefault="00566D97" w:rsidP="00566D97">
      <w:pPr>
        <w:pStyle w:val="Citas"/>
      </w:pPr>
      <w:r w:rsidRPr="00F97C81">
        <w:lastRenderedPageBreak/>
        <w:t xml:space="preserve">VII. Implementar acciones y emitir acuerdos que considere necesarios para el mejoramiento del procedimiento para arrendamiento, adquisiciones de inmuebles y enajenaciones de muebles e inmuebles; </w:t>
      </w:r>
    </w:p>
    <w:p w14:paraId="056EC0F6" w14:textId="77777777" w:rsidR="00566D97" w:rsidRPr="00F97C81" w:rsidRDefault="00566D97" w:rsidP="00566D97">
      <w:pPr>
        <w:pStyle w:val="Citas"/>
      </w:pPr>
      <w:r w:rsidRPr="00F97C81">
        <w:t>VIII. Evaluar las propuestas o posturas que se presenten en los procedimientos de licitación pública, subasta pública, invitación restringida o adjudicación directa;</w:t>
      </w:r>
    </w:p>
    <w:p w14:paraId="04ED5D0F" w14:textId="77777777" w:rsidR="00566D97" w:rsidRPr="00F97C81" w:rsidRDefault="00566D97" w:rsidP="00566D97">
      <w:pPr>
        <w:pStyle w:val="Citas"/>
      </w:pPr>
      <w:r w:rsidRPr="00F97C81">
        <w:t xml:space="preserve"> IX. Emitir los dictámenes de adjudicación, que servirán para la emisión del fallo en los arrendamientos, adquisiciones de inmuebles y enajenaciones; </w:t>
      </w:r>
    </w:p>
    <w:p w14:paraId="2117CB10" w14:textId="77777777" w:rsidR="00566D97" w:rsidRPr="00F97C81" w:rsidRDefault="00566D97" w:rsidP="00566D97">
      <w:pPr>
        <w:pStyle w:val="Citas"/>
      </w:pPr>
      <w:r w:rsidRPr="00F97C81">
        <w:t xml:space="preserve">X. Crear subcomités y grupos de trabajo de orden administrativo y técnico que considere necesarios para el desarrollo de sus funciones; y </w:t>
      </w:r>
    </w:p>
    <w:p w14:paraId="28D5EAA6" w14:textId="77777777" w:rsidR="00566D97" w:rsidRPr="00F97C81" w:rsidRDefault="00566D97" w:rsidP="00566D97">
      <w:pPr>
        <w:pStyle w:val="Citas"/>
        <w:rPr>
          <w:b/>
        </w:rPr>
      </w:pPr>
      <w:r w:rsidRPr="00F97C81">
        <w:t>XI. Las demás que sean necesarias para el cumplimiento de sus funciones.</w:t>
      </w:r>
    </w:p>
    <w:p w14:paraId="3197A0DF" w14:textId="77777777" w:rsidR="00566D97" w:rsidRPr="00F97C81" w:rsidRDefault="00566D97" w:rsidP="00566D97">
      <w:pPr>
        <w:pStyle w:val="Citas"/>
      </w:pPr>
      <w:bookmarkStart w:id="1" w:name="_Hlk152082571"/>
      <w:r w:rsidRPr="00F97C81">
        <w:t xml:space="preserve">Artículo 67.- El procedimiento de licitación pública comprende las siguientes fases: </w:t>
      </w:r>
    </w:p>
    <w:p w14:paraId="21035831" w14:textId="77777777" w:rsidR="00566D97" w:rsidRPr="00F97C81" w:rsidRDefault="00566D97" w:rsidP="00566D97">
      <w:pPr>
        <w:pStyle w:val="Citas"/>
      </w:pPr>
      <w:r w:rsidRPr="00F97C81">
        <w:t>I. Publicación de la convocatoria;</w:t>
      </w:r>
    </w:p>
    <w:p w14:paraId="185B06BA" w14:textId="77777777" w:rsidR="00566D97" w:rsidRPr="00F97C81" w:rsidRDefault="00566D97" w:rsidP="00566D97">
      <w:pPr>
        <w:pStyle w:val="Citas"/>
      </w:pPr>
      <w:r w:rsidRPr="00F97C81">
        <w:t xml:space="preserve"> II. Venta de las bases de licitación;</w:t>
      </w:r>
    </w:p>
    <w:p w14:paraId="771DC683" w14:textId="77777777" w:rsidR="00566D97" w:rsidRPr="00F97C81" w:rsidRDefault="00566D97" w:rsidP="00566D97">
      <w:pPr>
        <w:pStyle w:val="Citas"/>
      </w:pPr>
      <w:r w:rsidRPr="00F97C81">
        <w:t xml:space="preserve"> III. Visita, en su caso, al sitio donde se vayan a suministrar los bienes o a prestar los servicios;</w:t>
      </w:r>
    </w:p>
    <w:p w14:paraId="4C559197" w14:textId="77777777" w:rsidR="00566D97" w:rsidRPr="00F97C81" w:rsidRDefault="00566D97" w:rsidP="00566D97">
      <w:pPr>
        <w:pStyle w:val="Citas"/>
      </w:pPr>
      <w:r w:rsidRPr="00F97C81">
        <w:t xml:space="preserve"> IV. Junta de aclaraciones, en su caso; </w:t>
      </w:r>
    </w:p>
    <w:p w14:paraId="09BF2D65" w14:textId="77777777" w:rsidR="00566D97" w:rsidRPr="00F97C81" w:rsidRDefault="00566D97" w:rsidP="00566D97">
      <w:pPr>
        <w:pStyle w:val="Citas"/>
      </w:pPr>
      <w:r w:rsidRPr="00F97C81">
        <w:t xml:space="preserve">V. Acto de presentación y apertura de propuestas; </w:t>
      </w:r>
    </w:p>
    <w:p w14:paraId="063D1F83" w14:textId="77777777" w:rsidR="00566D97" w:rsidRPr="00F97C81" w:rsidRDefault="00566D97" w:rsidP="00566D97">
      <w:pPr>
        <w:pStyle w:val="Citas"/>
      </w:pPr>
      <w:r w:rsidRPr="00F97C81">
        <w:t xml:space="preserve">VI. Análisis y evaluación de propuestas; </w:t>
      </w:r>
    </w:p>
    <w:p w14:paraId="71EE9152" w14:textId="77777777" w:rsidR="00566D97" w:rsidRPr="00F97C81" w:rsidRDefault="00566D97" w:rsidP="00566D97">
      <w:pPr>
        <w:pStyle w:val="Citas"/>
      </w:pPr>
      <w:proofErr w:type="spellStart"/>
      <w:r w:rsidRPr="00F97C81">
        <w:t>VII.Dictamen</w:t>
      </w:r>
      <w:proofErr w:type="spellEnd"/>
      <w:r w:rsidRPr="00F97C81">
        <w:t xml:space="preserve"> de adjudicación; </w:t>
      </w:r>
    </w:p>
    <w:p w14:paraId="6849E17C" w14:textId="77777777" w:rsidR="00566D97" w:rsidRPr="00F97C81" w:rsidRDefault="00566D97" w:rsidP="00566D97">
      <w:pPr>
        <w:pStyle w:val="Citas"/>
      </w:pPr>
      <w:r w:rsidRPr="00F97C81">
        <w:lastRenderedPageBreak/>
        <w:t xml:space="preserve">VIII. Fallo; </w:t>
      </w:r>
    </w:p>
    <w:p w14:paraId="755C450F" w14:textId="77777777" w:rsidR="00566D97" w:rsidRPr="00F97C81" w:rsidRDefault="00566D97" w:rsidP="00566D97">
      <w:pPr>
        <w:pStyle w:val="Citas"/>
        <w:rPr>
          <w:b/>
          <w:bCs/>
          <w:u w:val="single"/>
        </w:rPr>
      </w:pPr>
      <w:r w:rsidRPr="00F97C81">
        <w:rPr>
          <w:b/>
          <w:bCs/>
          <w:u w:val="single"/>
        </w:rPr>
        <w:t xml:space="preserve">IX. Suscripción del contrato; y </w:t>
      </w:r>
    </w:p>
    <w:p w14:paraId="6FD249AE" w14:textId="77777777" w:rsidR="00566D97" w:rsidRPr="00F97C81" w:rsidRDefault="00566D97" w:rsidP="00566D97">
      <w:pPr>
        <w:pStyle w:val="Citas"/>
      </w:pPr>
      <w:r w:rsidRPr="00F97C81">
        <w:t>X. Suministro de los bienes o inicio de la prestación del servicio.</w:t>
      </w:r>
    </w:p>
    <w:p w14:paraId="71619484" w14:textId="77777777" w:rsidR="00566D97" w:rsidRPr="00F97C81" w:rsidRDefault="00566D97" w:rsidP="00566D97">
      <w:pPr>
        <w:pStyle w:val="Citas"/>
      </w:pPr>
      <w:r w:rsidRPr="00F97C81">
        <w:t xml:space="preserve">Artículo 90.- En el procedimiento de invitación restringida se deberá observar lo siguiente: </w:t>
      </w:r>
    </w:p>
    <w:p w14:paraId="478B72FB" w14:textId="77777777" w:rsidR="00566D97" w:rsidRPr="00F97C81" w:rsidRDefault="00566D97" w:rsidP="00566D97">
      <w:pPr>
        <w:pStyle w:val="Citas"/>
      </w:pPr>
      <w:r w:rsidRPr="00F97C81">
        <w:t xml:space="preserve">I. Se invitará a un mínimo de tres personas seleccionadas de entre las que se encuentren inscritas en el catálogo de proveedores y de prestadores de servicios. Se podrá invitar a personas que no se encuentren inscritas, cuando en el giro correspondiente del catálogo de proveedores y prestadores de servicios no exista el registro mínimo de personas requeridas para tal modalidad; </w:t>
      </w:r>
    </w:p>
    <w:p w14:paraId="4BC6D7BB" w14:textId="77777777" w:rsidR="00566D97" w:rsidRPr="00F97C81" w:rsidRDefault="00566D97" w:rsidP="00566D97">
      <w:pPr>
        <w:pStyle w:val="Citas"/>
      </w:pPr>
      <w:r w:rsidRPr="00F97C81">
        <w:t xml:space="preserve">II. Las bases de la invitación restringida indicarán los aspectos de la adquisición o contratación; y </w:t>
      </w:r>
    </w:p>
    <w:p w14:paraId="264F04E4" w14:textId="77777777" w:rsidR="00566D97" w:rsidRPr="00F97C81" w:rsidRDefault="00566D97" w:rsidP="00566D97">
      <w:pPr>
        <w:pStyle w:val="Citas"/>
      </w:pPr>
      <w:r w:rsidRPr="00F97C81">
        <w:t>III. Serán aplicables, en lo conducente, las disposiciones de la licitación pública</w:t>
      </w:r>
    </w:p>
    <w:p w14:paraId="407B5E25" w14:textId="77777777" w:rsidR="00566D97" w:rsidRPr="00F97C81" w:rsidRDefault="00566D97" w:rsidP="00566D97">
      <w:pPr>
        <w:pStyle w:val="Citas"/>
      </w:pPr>
      <w:r w:rsidRPr="00F97C81">
        <w:t xml:space="preserve">Artículo 94.- En el procedimiento de adjudicación directa se observará lo siguiente: </w:t>
      </w:r>
    </w:p>
    <w:p w14:paraId="57D77793" w14:textId="77777777" w:rsidR="00566D97" w:rsidRPr="00F97C81" w:rsidRDefault="00566D97" w:rsidP="00566D97">
      <w:pPr>
        <w:pStyle w:val="Citas"/>
      </w:pPr>
      <w:r w:rsidRPr="00F97C81">
        <w:t xml:space="preserve">I. Las adquisiciones de bienes y la contratación de servicios, se efectuaran previa dictaminación del comité, a excepción de los casos previstos en las fracciones IV, VII, IX y XI del artículo 48 de la Ley; las contrataciones que se realicen con fundamento en las fracciones IV y VII, deberán corresponder a lo estrictamente necesario para atender la eventualidad o urgencia y no deberán observar ninguna otra formalidad más que la suscripción del contrato respectivo. </w:t>
      </w:r>
    </w:p>
    <w:p w14:paraId="00131CD8" w14:textId="77777777" w:rsidR="00566D97" w:rsidRPr="00F97C81" w:rsidRDefault="00566D97" w:rsidP="00566D97">
      <w:pPr>
        <w:pStyle w:val="Citas"/>
      </w:pPr>
      <w:r w:rsidRPr="00F97C81">
        <w:lastRenderedPageBreak/>
        <w:t xml:space="preserve">II. Se considerará a la persona que atendiendo al bien o servicio que se pretenda adquirir o contratar, pueda suministrarlo o prestarlo en las mejores condiciones disponibles en cuanto a precio, calidad, financiamiento, oportunidad y demás circunstancias pertinentes; </w:t>
      </w:r>
    </w:p>
    <w:p w14:paraId="78464728" w14:textId="77777777" w:rsidR="00566D97" w:rsidRPr="00F97C81" w:rsidRDefault="00566D97" w:rsidP="00566D97">
      <w:pPr>
        <w:pStyle w:val="Citas"/>
      </w:pPr>
      <w:r w:rsidRPr="00F97C81">
        <w:t xml:space="preserve">III. La solicitud de participación contendrá, como mínimo, la descripción y cantidad de los bienes o servicios requeridos, lugar, plazo de entrega o duración del servicio y forma de pago; </w:t>
      </w:r>
    </w:p>
    <w:p w14:paraId="3B24CEAE" w14:textId="77777777" w:rsidR="00566D97" w:rsidRPr="00F97C81" w:rsidRDefault="00566D97" w:rsidP="00566D97">
      <w:pPr>
        <w:pStyle w:val="Citas"/>
      </w:pPr>
      <w:r w:rsidRPr="00F97C81">
        <w:t xml:space="preserve">IV. La solicitud de participación deberá señalar el día, hora y lugar en que tendrá verificativo el acto de presentación y apertura de ofertas; </w:t>
      </w:r>
    </w:p>
    <w:p w14:paraId="0E19C826" w14:textId="77777777" w:rsidR="00566D97" w:rsidRPr="00F97C81" w:rsidRDefault="00566D97" w:rsidP="00566D97">
      <w:pPr>
        <w:pStyle w:val="Citas"/>
      </w:pPr>
      <w:r w:rsidRPr="00F97C81">
        <w:t xml:space="preserve">V. Atendiendo a la naturaleza de los bienes o servicios, la convocante podrá optar entre celebrar o no junta de aclaraciones, en términos de lo dispuesto por este Reglamento; </w:t>
      </w:r>
    </w:p>
    <w:p w14:paraId="0E20129B" w14:textId="77777777" w:rsidR="00566D97" w:rsidRPr="00F97C81" w:rsidRDefault="00566D97" w:rsidP="00566D97">
      <w:pPr>
        <w:pStyle w:val="Citas"/>
      </w:pPr>
      <w:r w:rsidRPr="00F97C81">
        <w:t xml:space="preserve">VI. El servidor público designado por la convocante será el responsable de llevar a cabo el acto de presentación y apertura de propuestas; </w:t>
      </w:r>
    </w:p>
    <w:p w14:paraId="7F766BA4" w14:textId="77777777" w:rsidR="00566D97" w:rsidRPr="00F97C81" w:rsidRDefault="00566D97" w:rsidP="00566D97">
      <w:pPr>
        <w:pStyle w:val="Citas"/>
      </w:pPr>
      <w:r w:rsidRPr="00F97C81">
        <w:t xml:space="preserve">VII. Se observarán, en lo conducente, las disposiciones relativas a la contraoferta; y </w:t>
      </w:r>
    </w:p>
    <w:p w14:paraId="7D0C80A4" w14:textId="77777777" w:rsidR="00566D97" w:rsidRPr="00F97C81" w:rsidRDefault="00566D97" w:rsidP="00566D97">
      <w:pPr>
        <w:pStyle w:val="Citas"/>
      </w:pPr>
      <w:r w:rsidRPr="00F97C81">
        <w:t xml:space="preserve">VIII. El comité será responsable de emitir el dictamen de adjudicación que servirá de base para el fallo de adjudicación; correspondiendo a la convocante emitir dicho fallo, quien lo hará del conocimiento de los licitantes. </w:t>
      </w:r>
    </w:p>
    <w:p w14:paraId="63AFFC67" w14:textId="77777777" w:rsidR="00566D97" w:rsidRPr="00F97C81" w:rsidRDefault="00566D97" w:rsidP="00566D97">
      <w:pPr>
        <w:pStyle w:val="Citas"/>
        <w:rPr>
          <w:b/>
          <w:bCs/>
        </w:rPr>
      </w:pPr>
      <w:r w:rsidRPr="00F97C81">
        <w:t xml:space="preserve">Los actos referidos en los incisos anteriores deberán documentarse en el acta correspondiente y publicarse en el sistema COMPRAMEX” </w:t>
      </w:r>
      <w:r w:rsidRPr="00F97C81">
        <w:rPr>
          <w:b/>
          <w:bCs/>
        </w:rPr>
        <w:t>(Sic)</w:t>
      </w:r>
    </w:p>
    <w:bookmarkEnd w:id="1"/>
    <w:p w14:paraId="7172D9C0" w14:textId="77777777" w:rsidR="00566D97" w:rsidRPr="00F97C81" w:rsidRDefault="00566D97" w:rsidP="00566D97">
      <w:pPr>
        <w:pStyle w:val="Citas"/>
        <w:ind w:left="0"/>
        <w:rPr>
          <w:b/>
          <w:bCs/>
        </w:rPr>
      </w:pPr>
    </w:p>
    <w:p w14:paraId="39E365FF" w14:textId="577D6520" w:rsidR="00566D97" w:rsidRPr="00F97C81" w:rsidRDefault="00566D97" w:rsidP="00566D97">
      <w:pPr>
        <w:pStyle w:val="Citas"/>
        <w:ind w:left="0" w:right="0"/>
        <w:rPr>
          <w:i w:val="0"/>
          <w:iCs/>
          <w:sz w:val="24"/>
          <w:szCs w:val="24"/>
        </w:rPr>
      </w:pPr>
      <w:r w:rsidRPr="00F97C81">
        <w:rPr>
          <w:i w:val="0"/>
          <w:iCs/>
          <w:sz w:val="24"/>
          <w:szCs w:val="24"/>
        </w:rPr>
        <w:lastRenderedPageBreak/>
        <w:t xml:space="preserve">Visto de esta forma, </w:t>
      </w:r>
      <w:r w:rsidR="001C7A9E" w:rsidRPr="00F97C81">
        <w:rPr>
          <w:i w:val="0"/>
          <w:iCs/>
          <w:sz w:val="24"/>
          <w:szCs w:val="24"/>
        </w:rPr>
        <w:t xml:space="preserve">la Dirección de Obras Públicas tiene como finalidad planear, programar, presupuestar, licitar, adjudicar, contratar, ejecutar, supervisar, vigilar, controlar, </w:t>
      </w:r>
      <w:proofErr w:type="spellStart"/>
      <w:r w:rsidR="001C7A9E" w:rsidRPr="00F97C81">
        <w:rPr>
          <w:i w:val="0"/>
          <w:iCs/>
          <w:sz w:val="24"/>
          <w:szCs w:val="24"/>
        </w:rPr>
        <w:t>recepcionar</w:t>
      </w:r>
      <w:proofErr w:type="spellEnd"/>
      <w:r w:rsidR="001C7A9E" w:rsidRPr="00F97C81">
        <w:rPr>
          <w:i w:val="0"/>
          <w:iCs/>
          <w:sz w:val="24"/>
          <w:szCs w:val="24"/>
        </w:rPr>
        <w:t xml:space="preserve">, suspender, reanudar, conservar y mantener las obras públicas municipales. </w:t>
      </w:r>
      <w:r w:rsidR="001E332A" w:rsidRPr="00F97C81">
        <w:rPr>
          <w:i w:val="0"/>
          <w:iCs/>
          <w:sz w:val="24"/>
          <w:szCs w:val="24"/>
        </w:rPr>
        <w:t>En contraste</w:t>
      </w:r>
      <w:r w:rsidR="001C7A9E" w:rsidRPr="00F97C81">
        <w:rPr>
          <w:i w:val="0"/>
          <w:iCs/>
          <w:sz w:val="24"/>
          <w:szCs w:val="24"/>
        </w:rPr>
        <w:t xml:space="preserve">, la Dirección de Administración </w:t>
      </w:r>
      <w:r w:rsidRPr="00F97C81">
        <w:rPr>
          <w:i w:val="0"/>
          <w:iCs/>
          <w:sz w:val="24"/>
          <w:szCs w:val="24"/>
        </w:rPr>
        <w:t xml:space="preserve">tiene competencia en las siguientes aristas: </w:t>
      </w:r>
    </w:p>
    <w:p w14:paraId="6F2E8948" w14:textId="77777777" w:rsidR="00566D97" w:rsidRPr="00F97C81" w:rsidRDefault="00566D97" w:rsidP="00566D97">
      <w:pPr>
        <w:pStyle w:val="Prrafodelista"/>
        <w:numPr>
          <w:ilvl w:val="0"/>
          <w:numId w:val="24"/>
        </w:numPr>
        <w:spacing w:before="240" w:line="360" w:lineRule="auto"/>
        <w:jc w:val="both"/>
        <w:rPr>
          <w:rFonts w:ascii="Palatino Linotype" w:hAnsi="Palatino Linotype"/>
        </w:rPr>
      </w:pPr>
      <w:r w:rsidRPr="00F97C81">
        <w:rPr>
          <w:rFonts w:ascii="Palatino Linotype" w:hAnsi="Palatino Linotype"/>
        </w:rPr>
        <w:t>Procedimientos adquisitivos mediante comité</w:t>
      </w:r>
    </w:p>
    <w:p w14:paraId="675581CB" w14:textId="77777777" w:rsidR="00566D97" w:rsidRPr="00F97C81" w:rsidRDefault="00566D97" w:rsidP="00566D97">
      <w:pPr>
        <w:pStyle w:val="Prrafodelista"/>
        <w:numPr>
          <w:ilvl w:val="0"/>
          <w:numId w:val="24"/>
        </w:numPr>
        <w:spacing w:before="240" w:line="360" w:lineRule="auto"/>
        <w:jc w:val="both"/>
        <w:rPr>
          <w:rFonts w:ascii="Palatino Linotype" w:hAnsi="Palatino Linotype"/>
        </w:rPr>
      </w:pPr>
      <w:r w:rsidRPr="00F97C81">
        <w:rPr>
          <w:rFonts w:ascii="Palatino Linotype" w:hAnsi="Palatino Linotype"/>
        </w:rPr>
        <w:t>Celebración de contratos con proveedores</w:t>
      </w:r>
    </w:p>
    <w:p w14:paraId="566145A7" w14:textId="77777777" w:rsidR="00566D97" w:rsidRPr="00F97C81" w:rsidRDefault="00566D97" w:rsidP="00566D97">
      <w:pPr>
        <w:pStyle w:val="Prrafodelista"/>
        <w:numPr>
          <w:ilvl w:val="0"/>
          <w:numId w:val="24"/>
        </w:numPr>
        <w:spacing w:before="240" w:line="360" w:lineRule="auto"/>
        <w:jc w:val="both"/>
        <w:rPr>
          <w:rFonts w:ascii="Palatino Linotype" w:hAnsi="Palatino Linotype"/>
        </w:rPr>
      </w:pPr>
      <w:r w:rsidRPr="00F97C81">
        <w:rPr>
          <w:rFonts w:ascii="Palatino Linotype" w:hAnsi="Palatino Linotype"/>
        </w:rPr>
        <w:t>Coordinar el ejercicio del presupuesto</w:t>
      </w:r>
    </w:p>
    <w:p w14:paraId="6CB9E9A3" w14:textId="77777777" w:rsidR="00566D97" w:rsidRPr="00F97C81" w:rsidRDefault="00566D97" w:rsidP="00566D97">
      <w:pPr>
        <w:pStyle w:val="Prrafodelista"/>
        <w:numPr>
          <w:ilvl w:val="0"/>
          <w:numId w:val="24"/>
        </w:numPr>
        <w:spacing w:before="240" w:line="360" w:lineRule="auto"/>
        <w:jc w:val="both"/>
        <w:rPr>
          <w:rFonts w:ascii="Palatino Linotype" w:hAnsi="Palatino Linotype"/>
        </w:rPr>
      </w:pPr>
      <w:r w:rsidRPr="00F97C81">
        <w:rPr>
          <w:rFonts w:ascii="Palatino Linotype" w:hAnsi="Palatino Linotype"/>
        </w:rPr>
        <w:t>Actualización del padrón de proveedores</w:t>
      </w:r>
    </w:p>
    <w:p w14:paraId="00A20FE4" w14:textId="79F51560" w:rsidR="001015C3" w:rsidRPr="00F97C81" w:rsidRDefault="001015C3" w:rsidP="00566D97">
      <w:pPr>
        <w:pStyle w:val="Prrafodelista"/>
        <w:numPr>
          <w:ilvl w:val="0"/>
          <w:numId w:val="24"/>
        </w:numPr>
        <w:spacing w:before="240" w:line="360" w:lineRule="auto"/>
        <w:jc w:val="both"/>
        <w:rPr>
          <w:rFonts w:ascii="Palatino Linotype" w:hAnsi="Palatino Linotype"/>
        </w:rPr>
      </w:pPr>
      <w:r w:rsidRPr="00F97C81">
        <w:rPr>
          <w:rFonts w:ascii="Palatino Linotype" w:hAnsi="Palatino Linotype"/>
        </w:rPr>
        <w:t>Recepción de requisiciones de unidades administrativas</w:t>
      </w:r>
    </w:p>
    <w:p w14:paraId="3345077B" w14:textId="77777777" w:rsidR="00566D97" w:rsidRPr="00F97C81" w:rsidRDefault="00566D97" w:rsidP="00566D97">
      <w:pPr>
        <w:pStyle w:val="Prrafodelista"/>
        <w:numPr>
          <w:ilvl w:val="0"/>
          <w:numId w:val="24"/>
        </w:numPr>
        <w:spacing w:before="240" w:line="360" w:lineRule="auto"/>
        <w:jc w:val="both"/>
        <w:rPr>
          <w:rFonts w:ascii="Palatino Linotype" w:hAnsi="Palatino Linotype"/>
        </w:rPr>
      </w:pPr>
      <w:r w:rsidRPr="00F97C81">
        <w:rPr>
          <w:rFonts w:ascii="Palatino Linotype" w:hAnsi="Palatino Linotype"/>
        </w:rPr>
        <w:t xml:space="preserve">Otros. </w:t>
      </w:r>
    </w:p>
    <w:p w14:paraId="635F531B" w14:textId="77777777" w:rsidR="00566D97" w:rsidRPr="00F97C81" w:rsidRDefault="00566D97" w:rsidP="00B23384">
      <w:pPr>
        <w:spacing w:line="360" w:lineRule="auto"/>
        <w:ind w:left="360"/>
        <w:jc w:val="both"/>
        <w:rPr>
          <w:rFonts w:ascii="Palatino Linotype" w:hAnsi="Palatino Linotype" w:cs="Arial"/>
        </w:rPr>
      </w:pPr>
    </w:p>
    <w:p w14:paraId="613C5509" w14:textId="62B3BA3E" w:rsidR="00B23384" w:rsidRPr="00F97C81" w:rsidRDefault="00B23384" w:rsidP="00B23384">
      <w:pPr>
        <w:autoSpaceDE w:val="0"/>
        <w:autoSpaceDN w:val="0"/>
        <w:adjustRightInd w:val="0"/>
        <w:spacing w:before="240" w:line="360" w:lineRule="auto"/>
        <w:jc w:val="both"/>
        <w:rPr>
          <w:rFonts w:ascii="Palatino Linotype" w:hAnsi="Palatino Linotype" w:cs="Arial"/>
          <w:sz w:val="24"/>
          <w:szCs w:val="24"/>
        </w:rPr>
      </w:pPr>
      <w:r w:rsidRPr="00F97C81">
        <w:rPr>
          <w:rFonts w:ascii="Palatino Linotype" w:hAnsi="Palatino Linotype" w:cs="Arial"/>
          <w:sz w:val="24"/>
          <w:szCs w:val="24"/>
        </w:rPr>
        <w:t xml:space="preserve">De manera complementaria, resulta oportuno traer a colación los artículos 24 fracción XII y 92 </w:t>
      </w:r>
      <w:r w:rsidR="00566D97" w:rsidRPr="00F97C81">
        <w:rPr>
          <w:rFonts w:ascii="Palatino Linotype" w:hAnsi="Palatino Linotype" w:cs="Arial"/>
          <w:sz w:val="24"/>
          <w:szCs w:val="24"/>
        </w:rPr>
        <w:t>fracciones</w:t>
      </w:r>
      <w:r w:rsidRPr="00F97C81">
        <w:rPr>
          <w:rFonts w:ascii="Palatino Linotype" w:hAnsi="Palatino Linotype" w:cs="Arial"/>
          <w:sz w:val="24"/>
          <w:szCs w:val="24"/>
        </w:rPr>
        <w:t xml:space="preserve"> </w:t>
      </w:r>
      <w:r w:rsidR="00566D97" w:rsidRPr="00F97C81">
        <w:rPr>
          <w:rFonts w:ascii="Palatino Linotype" w:hAnsi="Palatino Linotype" w:cs="Arial"/>
          <w:sz w:val="24"/>
          <w:szCs w:val="24"/>
        </w:rPr>
        <w:t xml:space="preserve">XXIX y </w:t>
      </w:r>
      <w:r w:rsidR="00914DC8" w:rsidRPr="00F97C81">
        <w:rPr>
          <w:rFonts w:ascii="Palatino Linotype" w:hAnsi="Palatino Linotype" w:cs="Arial"/>
          <w:sz w:val="24"/>
          <w:szCs w:val="24"/>
        </w:rPr>
        <w:t>XXXVI</w:t>
      </w:r>
      <w:r w:rsidRPr="00F97C81">
        <w:rPr>
          <w:rFonts w:ascii="Palatino Linotype" w:hAnsi="Palatino Linotype" w:cs="Arial"/>
          <w:sz w:val="24"/>
          <w:szCs w:val="24"/>
        </w:rPr>
        <w:t xml:space="preserve"> de la Ley de Transparencia y Acceso a la Información Pública del Estado de México y Municipios, cuyo contenido literal es el siguiente: </w:t>
      </w:r>
    </w:p>
    <w:p w14:paraId="62972CAF" w14:textId="77777777" w:rsidR="00B23384" w:rsidRPr="00F97C81" w:rsidRDefault="00B23384" w:rsidP="00B23384">
      <w:pPr>
        <w:pStyle w:val="Default"/>
        <w:spacing w:before="240" w:after="160" w:line="360" w:lineRule="auto"/>
        <w:ind w:left="851" w:right="851"/>
        <w:jc w:val="both"/>
        <w:rPr>
          <w:rFonts w:ascii="Palatino Linotype" w:hAnsi="Palatino Linotype"/>
          <w:b/>
          <w:bCs/>
          <w:i/>
          <w:sz w:val="22"/>
          <w:szCs w:val="22"/>
        </w:rPr>
      </w:pPr>
      <w:r w:rsidRPr="00F97C81">
        <w:rPr>
          <w:rFonts w:ascii="Palatino Linotype" w:hAnsi="Palatino Linotype"/>
          <w:b/>
          <w:bCs/>
          <w:i/>
          <w:sz w:val="22"/>
          <w:szCs w:val="22"/>
        </w:rPr>
        <w:t xml:space="preserve">“Artículo 24. </w:t>
      </w:r>
      <w:r w:rsidRPr="00F97C81">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5C9A1D6C" w14:textId="77777777" w:rsidR="00B23384" w:rsidRPr="00F97C81" w:rsidRDefault="00B23384" w:rsidP="00B23384">
      <w:pPr>
        <w:pStyle w:val="Default"/>
        <w:spacing w:before="240" w:after="160" w:line="360" w:lineRule="auto"/>
        <w:ind w:left="851" w:right="851"/>
        <w:jc w:val="both"/>
        <w:rPr>
          <w:rFonts w:ascii="Palatino Linotype" w:hAnsi="Palatino Linotype"/>
          <w:b/>
          <w:bCs/>
          <w:i/>
          <w:sz w:val="22"/>
          <w:szCs w:val="22"/>
        </w:rPr>
      </w:pPr>
      <w:r w:rsidRPr="00F97C81">
        <w:rPr>
          <w:rFonts w:ascii="Palatino Linotype" w:hAnsi="Palatino Linotype"/>
          <w:b/>
          <w:bCs/>
          <w:i/>
          <w:sz w:val="22"/>
          <w:szCs w:val="22"/>
        </w:rPr>
        <w:lastRenderedPageBreak/>
        <w:t xml:space="preserve">XII. </w:t>
      </w:r>
      <w:r w:rsidRPr="00F97C81">
        <w:rPr>
          <w:rFonts w:ascii="Palatino Linotype" w:hAnsi="Palatino Linotype"/>
          <w:b/>
          <w:i/>
          <w:sz w:val="22"/>
          <w:szCs w:val="22"/>
          <w:u w:val="single"/>
        </w:rPr>
        <w:t>Publicar y mantener actualizada la información relativa a las obligaciones generales de transparencia</w:t>
      </w:r>
      <w:r w:rsidRPr="00F97C81">
        <w:rPr>
          <w:rFonts w:ascii="Palatino Linotype" w:hAnsi="Palatino Linotype"/>
          <w:i/>
          <w:sz w:val="22"/>
          <w:szCs w:val="22"/>
        </w:rPr>
        <w:t xml:space="preserve"> previstas en la presente Ley o determinadas así por el Instituto, y en general aquella que sea de interés público;</w:t>
      </w:r>
    </w:p>
    <w:p w14:paraId="1F67AEFF" w14:textId="77777777" w:rsidR="00B23384" w:rsidRPr="00F97C81" w:rsidRDefault="00B23384" w:rsidP="00B23384">
      <w:pPr>
        <w:pStyle w:val="Default"/>
        <w:spacing w:before="240" w:after="160" w:line="360" w:lineRule="auto"/>
        <w:ind w:left="851" w:right="851"/>
        <w:jc w:val="both"/>
        <w:rPr>
          <w:rFonts w:ascii="Palatino Linotype" w:hAnsi="Palatino Linotype"/>
          <w:i/>
          <w:sz w:val="22"/>
          <w:szCs w:val="22"/>
        </w:rPr>
      </w:pPr>
      <w:r w:rsidRPr="00F97C81">
        <w:rPr>
          <w:rFonts w:ascii="Palatino Linotype" w:hAnsi="Palatino Linotype"/>
          <w:b/>
          <w:bCs/>
          <w:i/>
          <w:sz w:val="22"/>
          <w:szCs w:val="22"/>
        </w:rPr>
        <w:t xml:space="preserve">Artículo 92. </w:t>
      </w:r>
      <w:r w:rsidRPr="00F97C81">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67B142A7" w14:textId="77777777" w:rsidR="00B23384" w:rsidRPr="00F97C81" w:rsidRDefault="00B23384" w:rsidP="00B23384">
      <w:pPr>
        <w:pStyle w:val="Default"/>
        <w:spacing w:before="240" w:after="160" w:line="360" w:lineRule="auto"/>
        <w:ind w:left="851" w:right="851"/>
        <w:jc w:val="both"/>
        <w:rPr>
          <w:rFonts w:ascii="Palatino Linotype" w:hAnsi="Palatino Linotype"/>
          <w:i/>
          <w:sz w:val="22"/>
          <w:szCs w:val="22"/>
        </w:rPr>
      </w:pPr>
      <w:r w:rsidRPr="00F97C81">
        <w:rPr>
          <w:rFonts w:ascii="Palatino Linotype" w:hAnsi="Palatino Linotype"/>
          <w:b/>
          <w:bCs/>
          <w:i/>
          <w:sz w:val="22"/>
          <w:szCs w:val="22"/>
        </w:rPr>
        <w:t>(…</w:t>
      </w:r>
      <w:r w:rsidRPr="00F97C81">
        <w:rPr>
          <w:rFonts w:ascii="Palatino Linotype" w:hAnsi="Palatino Linotype"/>
          <w:i/>
          <w:sz w:val="22"/>
          <w:szCs w:val="22"/>
        </w:rPr>
        <w:t>)</w:t>
      </w:r>
    </w:p>
    <w:p w14:paraId="545D8B99" w14:textId="77777777" w:rsidR="00566D97" w:rsidRPr="00F97C81" w:rsidRDefault="00566D97" w:rsidP="00566D97">
      <w:pPr>
        <w:spacing w:before="240" w:line="360" w:lineRule="auto"/>
        <w:ind w:left="851" w:right="851"/>
        <w:jc w:val="both"/>
        <w:rPr>
          <w:rFonts w:ascii="Palatino Linotype" w:hAnsi="Palatino Linotype"/>
          <w:b/>
          <w:i/>
          <w:u w:val="single"/>
        </w:rPr>
      </w:pPr>
      <w:r w:rsidRPr="00F97C81">
        <w:rPr>
          <w:rFonts w:ascii="Palatino Linotype" w:hAnsi="Palatino Linotype"/>
          <w:b/>
          <w:i/>
          <w:u w:val="single"/>
        </w:rPr>
        <w:t>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23C1496C" w14:textId="77777777" w:rsidR="00566D97" w:rsidRPr="00F97C81" w:rsidRDefault="00566D97" w:rsidP="00566D97">
      <w:pPr>
        <w:spacing w:before="240" w:line="360" w:lineRule="auto"/>
        <w:ind w:left="851" w:right="851"/>
        <w:jc w:val="both"/>
        <w:rPr>
          <w:rFonts w:ascii="Palatino Linotype" w:hAnsi="Palatino Linotype"/>
          <w:b/>
          <w:bCs/>
          <w:i/>
          <w:u w:val="single"/>
        </w:rPr>
      </w:pPr>
      <w:r w:rsidRPr="00F97C81">
        <w:rPr>
          <w:rFonts w:ascii="Palatino Linotype" w:hAnsi="Palatino Linotype"/>
          <w:b/>
          <w:bCs/>
          <w:i/>
          <w:u w:val="single"/>
        </w:rPr>
        <w:t xml:space="preserve">a) De licitaciones públicas o procedimientos de invitación restringida: </w:t>
      </w:r>
    </w:p>
    <w:p w14:paraId="492A69BC"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1) La convocatoria o invitación emitida, así como los fundamentos legales aplicados para llevarla a cabo; </w:t>
      </w:r>
    </w:p>
    <w:p w14:paraId="7B271F4B"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2) Los nombres de los participantes o invitados; </w:t>
      </w:r>
    </w:p>
    <w:p w14:paraId="26E883D2"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3) El nombre del ganador y las razones que lo justifican; </w:t>
      </w:r>
    </w:p>
    <w:p w14:paraId="4115E7A1"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4) El área solicitante y la responsable de su ejecución; </w:t>
      </w:r>
    </w:p>
    <w:p w14:paraId="0063EB40"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5) Las convocatorias e invitaciones emitidas; </w:t>
      </w:r>
    </w:p>
    <w:p w14:paraId="1444AEF9"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6) Los dictámenes y fallo de adjudicación; </w:t>
      </w:r>
    </w:p>
    <w:p w14:paraId="29F94D31"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lastRenderedPageBreak/>
        <w:t xml:space="preserve">7) El contrato y, en su caso, sus anexos; </w:t>
      </w:r>
    </w:p>
    <w:p w14:paraId="5C1324A0"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8) Los mecanismos de vigilancia y supervisión, incluyendo en su caso, los estudios de impacto urbano y ambiental, según corresponda; </w:t>
      </w:r>
    </w:p>
    <w:p w14:paraId="6570F9A5"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9) La partida presupuestal, de conformidad con el clasificador por objeto del gasto, en el caso de ser aplicable; </w:t>
      </w:r>
    </w:p>
    <w:p w14:paraId="3A2621E2"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10) Origen de los recursos especificando si son federales, estatales o municipales, así como el tipo de fondo de participación o aportación respectiva; </w:t>
      </w:r>
    </w:p>
    <w:p w14:paraId="63EEA701"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11) Los convenios modificatorios que, en su caso, sean firmados, precisando el objeto y la fecha de celebración;</w:t>
      </w:r>
    </w:p>
    <w:p w14:paraId="5589AB47"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 12) Los informes de avance físico y financiero sobre las obras o servicios contratados; 13) El convenio de terminación; y </w:t>
      </w:r>
    </w:p>
    <w:p w14:paraId="1D7C9B70"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14) El finiquito. </w:t>
      </w:r>
    </w:p>
    <w:p w14:paraId="5063C698" w14:textId="77777777" w:rsidR="00566D97" w:rsidRPr="00F97C81" w:rsidRDefault="00566D97" w:rsidP="00566D97">
      <w:pPr>
        <w:spacing w:before="240" w:line="360" w:lineRule="auto"/>
        <w:ind w:left="851" w:right="851"/>
        <w:jc w:val="both"/>
        <w:rPr>
          <w:rFonts w:ascii="Palatino Linotype" w:hAnsi="Palatino Linotype"/>
          <w:b/>
          <w:i/>
          <w:u w:val="single"/>
        </w:rPr>
      </w:pPr>
      <w:r w:rsidRPr="00F97C81">
        <w:rPr>
          <w:rFonts w:ascii="Palatino Linotype" w:hAnsi="Palatino Linotype"/>
          <w:b/>
          <w:i/>
          <w:u w:val="single"/>
        </w:rPr>
        <w:t xml:space="preserve">b) De las adjudicaciones directas: </w:t>
      </w:r>
    </w:p>
    <w:p w14:paraId="1EC683D2"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1) La propuesta enviada por el participante; </w:t>
      </w:r>
    </w:p>
    <w:p w14:paraId="40BBD785"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2) Los motivos y fundamentos legales aplicados para llevarla a cabo; </w:t>
      </w:r>
    </w:p>
    <w:p w14:paraId="0147E70E"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3) La autorización del ejercicio de la opción; </w:t>
      </w:r>
    </w:p>
    <w:p w14:paraId="3E77C07B"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4) En su caso, las cotizaciones consideradas, especificando los nombres de los proveedores y sus montos; </w:t>
      </w:r>
    </w:p>
    <w:p w14:paraId="131FF199"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5) El nombre de la persona física o jurídica colectiva adjudicada; </w:t>
      </w:r>
    </w:p>
    <w:p w14:paraId="4B844164"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lastRenderedPageBreak/>
        <w:t xml:space="preserve">6) La unidad administrativa solicitante y la responsable de su ejecución; </w:t>
      </w:r>
    </w:p>
    <w:p w14:paraId="2BCD65C2"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7) El número, fecha, el monto del contrato y el plazo de entrega o de ejecución de los servicios u obra; </w:t>
      </w:r>
    </w:p>
    <w:p w14:paraId="01C58172"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8) Los mecanismos de vigilancia y supervisión, incluyendo, en su caso, los estudios de impacto urbano y ambiental, según corresponda; </w:t>
      </w:r>
    </w:p>
    <w:p w14:paraId="1103AE36"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9) Los informes de avance sobre las obras o servicios contratados; </w:t>
      </w:r>
    </w:p>
    <w:p w14:paraId="553EFF25"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 xml:space="preserve">10) El convenio de terminación; y </w:t>
      </w:r>
    </w:p>
    <w:p w14:paraId="6CCF21C1" w14:textId="77777777" w:rsidR="00566D97" w:rsidRPr="00F97C81" w:rsidRDefault="00566D97" w:rsidP="00566D97">
      <w:pPr>
        <w:spacing w:before="240" w:line="360" w:lineRule="auto"/>
        <w:ind w:left="851" w:right="851"/>
        <w:jc w:val="both"/>
        <w:rPr>
          <w:rFonts w:ascii="Palatino Linotype" w:hAnsi="Palatino Linotype"/>
          <w:i/>
        </w:rPr>
      </w:pPr>
      <w:r w:rsidRPr="00F97C81">
        <w:rPr>
          <w:rFonts w:ascii="Palatino Linotype" w:hAnsi="Palatino Linotype"/>
          <w:i/>
        </w:rPr>
        <w:t>11) El finiquito.</w:t>
      </w:r>
    </w:p>
    <w:p w14:paraId="22D5AC33" w14:textId="321EEC9B" w:rsidR="00566D97" w:rsidRPr="00F97C81" w:rsidRDefault="00566D97" w:rsidP="00B23384">
      <w:pPr>
        <w:pStyle w:val="Default"/>
        <w:spacing w:before="240" w:after="160" w:line="360" w:lineRule="auto"/>
        <w:ind w:left="851" w:right="851"/>
        <w:jc w:val="both"/>
        <w:rPr>
          <w:rFonts w:ascii="Palatino Linotype" w:hAnsi="Palatino Linotype"/>
          <w:i/>
          <w:sz w:val="22"/>
          <w:szCs w:val="22"/>
        </w:rPr>
      </w:pPr>
      <w:r w:rsidRPr="00F97C81">
        <w:rPr>
          <w:rFonts w:ascii="Palatino Linotype" w:hAnsi="Palatino Linotype"/>
          <w:i/>
          <w:sz w:val="22"/>
          <w:szCs w:val="22"/>
        </w:rPr>
        <w:t>(…)</w:t>
      </w:r>
    </w:p>
    <w:p w14:paraId="276ADA7C" w14:textId="77777777" w:rsidR="00914DC8" w:rsidRPr="00F97C81" w:rsidRDefault="00914DC8" w:rsidP="00B23384">
      <w:pPr>
        <w:pStyle w:val="Citas"/>
      </w:pPr>
      <w:r w:rsidRPr="00F97C81">
        <w:t xml:space="preserve">XXXVI. Padrón de proveedores y contratistas; </w:t>
      </w:r>
    </w:p>
    <w:p w14:paraId="200BDC3E" w14:textId="27920231" w:rsidR="00B23384" w:rsidRPr="00F97C81" w:rsidRDefault="00B23384" w:rsidP="00B23384">
      <w:pPr>
        <w:pStyle w:val="Citas"/>
        <w:rPr>
          <w:b/>
          <w:bCs/>
        </w:rPr>
      </w:pPr>
      <w:r w:rsidRPr="00F97C81">
        <w:t xml:space="preserve">(…)” </w:t>
      </w:r>
      <w:r w:rsidRPr="00F97C81">
        <w:rPr>
          <w:b/>
          <w:bCs/>
        </w:rPr>
        <w:t>(Sic)</w:t>
      </w:r>
    </w:p>
    <w:p w14:paraId="020CF1A5" w14:textId="77777777" w:rsidR="00B23384" w:rsidRPr="00F97C81" w:rsidRDefault="00B23384" w:rsidP="00B23384">
      <w:pPr>
        <w:autoSpaceDE w:val="0"/>
        <w:autoSpaceDN w:val="0"/>
        <w:adjustRightInd w:val="0"/>
        <w:spacing w:before="240" w:line="360" w:lineRule="auto"/>
        <w:jc w:val="both"/>
        <w:rPr>
          <w:rFonts w:ascii="Palatino Linotype" w:hAnsi="Palatino Linotype"/>
          <w:sz w:val="24"/>
          <w:szCs w:val="24"/>
        </w:rPr>
      </w:pPr>
    </w:p>
    <w:p w14:paraId="459F067B" w14:textId="182A8DFE" w:rsidR="00B23384" w:rsidRPr="00F97C81" w:rsidRDefault="00B23384" w:rsidP="00B23384">
      <w:pPr>
        <w:spacing w:line="360" w:lineRule="auto"/>
        <w:contextualSpacing/>
        <w:jc w:val="both"/>
        <w:rPr>
          <w:rFonts w:ascii="Palatino Linotype" w:eastAsia="MS Mincho" w:hAnsi="Palatino Linotype" w:cs="Times New Roman"/>
          <w:sz w:val="24"/>
          <w:szCs w:val="24"/>
        </w:rPr>
      </w:pPr>
      <w:r w:rsidRPr="00F97C81">
        <w:rPr>
          <w:rFonts w:ascii="Palatino Linotype" w:eastAsia="MS Mincho" w:hAnsi="Palatino Linotype" w:cs="Tahoma"/>
          <w:sz w:val="24"/>
          <w:szCs w:val="24"/>
        </w:rPr>
        <w:t xml:space="preserve">Así la Ley de Transparencia y Acceso a la Información Pública del Estado de México y Municipios </w:t>
      </w:r>
      <w:r w:rsidRPr="00F97C81">
        <w:rPr>
          <w:rFonts w:ascii="Palatino Linotype" w:eastAsia="Arial Unicode MS" w:hAnsi="Palatino Linotype" w:cs="Arial"/>
          <w:sz w:val="24"/>
          <w:szCs w:val="24"/>
        </w:rPr>
        <w:t>en el artículo 92</w:t>
      </w:r>
      <w:r w:rsidR="00566D97" w:rsidRPr="00F97C81">
        <w:rPr>
          <w:rFonts w:ascii="Palatino Linotype" w:eastAsia="Arial Unicode MS" w:hAnsi="Palatino Linotype" w:cs="Arial"/>
          <w:sz w:val="24"/>
          <w:szCs w:val="24"/>
        </w:rPr>
        <w:t xml:space="preserve"> fracciones XXIX y </w:t>
      </w:r>
      <w:r w:rsidR="00566D97" w:rsidRPr="00F97C81">
        <w:rPr>
          <w:rFonts w:ascii="Palatino Linotype" w:eastAsia="Arial Unicode MS" w:hAnsi="Palatino Linotype" w:cs="Times New Roman"/>
          <w:sz w:val="24"/>
          <w:szCs w:val="24"/>
        </w:rPr>
        <w:t xml:space="preserve">XXXVI señala que la información solicitada respecto de licitaciones / adjudicaciones directas y padrón de proveedores se tratan de obligaciones de transparencia común, esto es, </w:t>
      </w:r>
      <w:r w:rsidRPr="00F97C81">
        <w:rPr>
          <w:rFonts w:ascii="Palatino Linotype" w:eastAsia="Arial Unicode MS" w:hAnsi="Palatino Linotype" w:cs="Arial"/>
          <w:sz w:val="24"/>
          <w:szCs w:val="24"/>
        </w:rPr>
        <w:t xml:space="preserve">información que por su naturaleza es pública y que los </w:t>
      </w:r>
      <w:r w:rsidRPr="00F97C81">
        <w:rPr>
          <w:rFonts w:ascii="Palatino Linotype" w:eastAsia="MS Mincho" w:hAnsi="Palatino Linotype" w:cs="Times New Roman"/>
          <w:sz w:val="24"/>
          <w:szCs w:val="24"/>
        </w:rPr>
        <w:t xml:space="preserve">sujetos obligados deben poner a disposición del público de manera permanente y por tanto deberán mantenerla actualizada, en los respectivos medios electrónicos, de acuerdo con sus facultades, atribuciones, funciones u objeto social. </w:t>
      </w:r>
    </w:p>
    <w:p w14:paraId="4E153192" w14:textId="77777777" w:rsidR="00566D97" w:rsidRPr="00F97C81" w:rsidRDefault="00566D97" w:rsidP="00566D97">
      <w:pPr>
        <w:spacing w:line="360" w:lineRule="auto"/>
        <w:jc w:val="both"/>
        <w:rPr>
          <w:rFonts w:ascii="Palatino Linotype" w:hAnsi="Palatino Linotype" w:cs="Arial"/>
          <w:sz w:val="24"/>
          <w:szCs w:val="24"/>
        </w:rPr>
      </w:pPr>
      <w:r w:rsidRPr="00F97C81">
        <w:rPr>
          <w:rFonts w:ascii="Palatino Linotype" w:hAnsi="Palatino Linotype" w:cs="Arial"/>
          <w:sz w:val="24"/>
          <w:szCs w:val="24"/>
        </w:rPr>
        <w:lastRenderedPageBreak/>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E1B7EAA" w14:textId="77777777" w:rsidR="00566D97" w:rsidRPr="00F97C81" w:rsidRDefault="00566D97" w:rsidP="00566D97">
      <w:pPr>
        <w:pStyle w:val="Citas"/>
      </w:pPr>
      <w:r w:rsidRPr="00F97C81">
        <w:t xml:space="preserve">“Artículo 18. Los sujetos obligados deberán documentar todo acto que derive del ejercicio de sus facultades, competencias o funciones, considerando desde su origen la eventual publicidad y reutilización de la información que generen. </w:t>
      </w:r>
    </w:p>
    <w:p w14:paraId="1FD70452" w14:textId="77777777" w:rsidR="00566D97" w:rsidRPr="00F97C81" w:rsidRDefault="00566D97" w:rsidP="00566D97">
      <w:pPr>
        <w:pStyle w:val="Citas"/>
      </w:pPr>
      <w:r w:rsidRPr="00F97C81">
        <w:t xml:space="preserve">Artículo 19. Se presume que la información debe existir si se refiere a las facultades, competencias y funciones que los ordenamientos jurídicos aplicables otorgan a los sujetos obligados. </w:t>
      </w:r>
    </w:p>
    <w:p w14:paraId="16CD78FC" w14:textId="77777777" w:rsidR="00566D97" w:rsidRPr="00F97C81" w:rsidRDefault="00566D97" w:rsidP="00566D97">
      <w:pPr>
        <w:pStyle w:val="Citas"/>
      </w:pPr>
      <w:r w:rsidRPr="00F97C81">
        <w:t xml:space="preserve">En los casos en que ciertas facultades, competencias o funciones no se hayan ejercido, se debe motivar la respuesta en función de las causas que motiven tal circunstancia. </w:t>
      </w:r>
    </w:p>
    <w:p w14:paraId="63A7220D" w14:textId="77777777" w:rsidR="00566D97" w:rsidRPr="00F97C81" w:rsidRDefault="00566D97" w:rsidP="00566D97">
      <w:pPr>
        <w:pStyle w:val="Citas"/>
        <w:rPr>
          <w:b/>
          <w:bCs/>
          <w:sz w:val="24"/>
          <w:szCs w:val="24"/>
        </w:rPr>
      </w:pPr>
      <w:r w:rsidRPr="00F97C81">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F97C81">
        <w:rPr>
          <w:b/>
          <w:bCs/>
        </w:rPr>
        <w:t>(Sic)</w:t>
      </w:r>
    </w:p>
    <w:p w14:paraId="1DD24A01" w14:textId="77777777" w:rsidR="00566D97" w:rsidRPr="00F97C81" w:rsidRDefault="00566D97" w:rsidP="00566D97">
      <w:pPr>
        <w:autoSpaceDE w:val="0"/>
        <w:autoSpaceDN w:val="0"/>
        <w:adjustRightInd w:val="0"/>
        <w:spacing w:before="240" w:line="360" w:lineRule="auto"/>
        <w:jc w:val="both"/>
        <w:rPr>
          <w:rFonts w:ascii="Palatino Linotype" w:hAnsi="Palatino Linotype" w:cs="Arial"/>
          <w:sz w:val="24"/>
          <w:szCs w:val="24"/>
        </w:rPr>
      </w:pPr>
    </w:p>
    <w:p w14:paraId="0D2FE3EB" w14:textId="0B74E36B" w:rsidR="001E332A" w:rsidRPr="00F97C81" w:rsidRDefault="00566D97" w:rsidP="00566D97">
      <w:pPr>
        <w:spacing w:after="240" w:line="360" w:lineRule="auto"/>
        <w:jc w:val="both"/>
        <w:rPr>
          <w:rFonts w:ascii="Palatino Linotype" w:hAnsi="Palatino Linotype" w:cs="Arial"/>
          <w:color w:val="000000"/>
          <w:sz w:val="24"/>
          <w:lang w:val="es-ES_tradnl"/>
        </w:rPr>
      </w:pPr>
      <w:r w:rsidRPr="00F97C81">
        <w:rPr>
          <w:rFonts w:ascii="Palatino Linotype" w:hAnsi="Palatino Linotype" w:cs="Arial"/>
          <w:color w:val="000000"/>
          <w:sz w:val="24"/>
          <w:lang w:val="es-ES_tradnl"/>
        </w:rPr>
        <w:t xml:space="preserve">Una vez sentado lo anterior, como se mencionó en el antecedente </w:t>
      </w:r>
      <w:r w:rsidR="001015C3" w:rsidRPr="00F97C81">
        <w:rPr>
          <w:rFonts w:ascii="Palatino Linotype" w:hAnsi="Palatino Linotype" w:cs="Arial"/>
          <w:color w:val="000000"/>
          <w:sz w:val="24"/>
          <w:lang w:val="es-ES_tradnl"/>
        </w:rPr>
        <w:t>segundo</w:t>
      </w:r>
      <w:r w:rsidRPr="00F97C81">
        <w:rPr>
          <w:rFonts w:ascii="Palatino Linotype" w:hAnsi="Palatino Linotype" w:cs="Arial"/>
          <w:color w:val="000000"/>
          <w:sz w:val="24"/>
          <w:lang w:val="es-ES_tradnl"/>
        </w:rPr>
        <w:t xml:space="preserve">, </w:t>
      </w:r>
      <w:r w:rsidRPr="00F97C81">
        <w:rPr>
          <w:rFonts w:ascii="Palatino Linotype" w:hAnsi="Palatino Linotype" w:cs="Arial"/>
          <w:b/>
          <w:color w:val="000000"/>
          <w:sz w:val="24"/>
          <w:lang w:val="es-ES_tradnl"/>
        </w:rPr>
        <w:t xml:space="preserve">El Sujeto Obligado </w:t>
      </w:r>
      <w:r w:rsidRPr="00F97C81">
        <w:rPr>
          <w:rFonts w:ascii="Palatino Linotype" w:hAnsi="Palatino Linotype" w:cs="Arial"/>
          <w:color w:val="000000"/>
          <w:sz w:val="24"/>
          <w:lang w:val="es-ES_tradnl"/>
        </w:rPr>
        <w:t xml:space="preserve">en fecha </w:t>
      </w:r>
      <w:r w:rsidR="001E332A" w:rsidRPr="00F97C81">
        <w:rPr>
          <w:rFonts w:ascii="Palatino Linotype" w:hAnsi="Palatino Linotype" w:cs="Arial"/>
          <w:b/>
          <w:bCs/>
          <w:color w:val="000000"/>
          <w:sz w:val="24"/>
          <w:lang w:val="es-ES_tradnl"/>
        </w:rPr>
        <w:t xml:space="preserve">tres de junio de dos mil veintiséis, </w:t>
      </w:r>
      <w:r w:rsidR="001E332A" w:rsidRPr="00F97C81">
        <w:rPr>
          <w:rFonts w:ascii="Palatino Linotype" w:hAnsi="Palatino Linotype" w:cs="Arial"/>
          <w:color w:val="000000"/>
          <w:sz w:val="24"/>
          <w:lang w:val="es-ES_tradnl"/>
        </w:rPr>
        <w:t xml:space="preserve">rindió su respuesta a la solicitud de información </w:t>
      </w:r>
      <w:r w:rsidR="001E332A" w:rsidRPr="00F97C81">
        <w:rPr>
          <w:rFonts w:ascii="Palatino Linotype" w:hAnsi="Palatino Linotype" w:cs="Arial"/>
          <w:b/>
          <w:bCs/>
          <w:color w:val="000000"/>
          <w:sz w:val="24"/>
          <w:lang w:val="es-ES_tradnl"/>
        </w:rPr>
        <w:t xml:space="preserve">00119/CALIMAYA/IP/2026 </w:t>
      </w:r>
      <w:r w:rsidR="001E332A" w:rsidRPr="00F97C81">
        <w:rPr>
          <w:rFonts w:ascii="Palatino Linotype" w:hAnsi="Palatino Linotype" w:cs="Arial"/>
          <w:color w:val="000000"/>
          <w:sz w:val="24"/>
          <w:lang w:val="es-ES_tradnl"/>
        </w:rPr>
        <w:t>formulada por el ciudadano, adjuntando para tal efecto lo siguiente:</w:t>
      </w:r>
    </w:p>
    <w:p w14:paraId="62E90B4F" w14:textId="2A6D9587" w:rsidR="001E332A" w:rsidRPr="00F97C81" w:rsidRDefault="001E332A" w:rsidP="001E332A">
      <w:pPr>
        <w:pStyle w:val="Prrafodelista"/>
        <w:numPr>
          <w:ilvl w:val="0"/>
          <w:numId w:val="39"/>
        </w:numPr>
        <w:spacing w:after="240" w:line="360" w:lineRule="auto"/>
        <w:jc w:val="both"/>
        <w:rPr>
          <w:rFonts w:ascii="Palatino Linotype" w:hAnsi="Palatino Linotype" w:cs="Arial"/>
          <w:b/>
          <w:bCs/>
          <w:color w:val="000000"/>
          <w:lang w:val="es-ES_tradnl"/>
        </w:rPr>
      </w:pPr>
      <w:r w:rsidRPr="00F97C81">
        <w:rPr>
          <w:rFonts w:ascii="Palatino Linotype" w:hAnsi="Palatino Linotype" w:cs="Arial"/>
          <w:b/>
          <w:bCs/>
          <w:color w:val="000000"/>
          <w:lang w:val="es-ES_tradnl"/>
        </w:rPr>
        <w:t xml:space="preserve">“00119.pdf”: </w:t>
      </w:r>
      <w:r w:rsidRPr="00F97C81">
        <w:rPr>
          <w:rFonts w:ascii="Palatino Linotype" w:hAnsi="Palatino Linotype" w:cs="Arial"/>
          <w:color w:val="000000"/>
          <w:lang w:val="es-ES_tradnl"/>
        </w:rPr>
        <w:t>Compila lo siguiente:</w:t>
      </w:r>
    </w:p>
    <w:p w14:paraId="3F1C68F5" w14:textId="68FE0D7A" w:rsidR="001E332A" w:rsidRPr="00F97C81" w:rsidRDefault="001E332A" w:rsidP="001E332A">
      <w:pPr>
        <w:pStyle w:val="Prrafodelista"/>
        <w:numPr>
          <w:ilvl w:val="0"/>
          <w:numId w:val="40"/>
        </w:numPr>
        <w:spacing w:after="240" w:line="360" w:lineRule="auto"/>
        <w:jc w:val="both"/>
        <w:rPr>
          <w:rFonts w:ascii="Palatino Linotype" w:hAnsi="Palatino Linotype" w:cs="Arial"/>
          <w:b/>
          <w:bCs/>
          <w:color w:val="000000"/>
          <w:lang w:val="es-ES_tradnl"/>
        </w:rPr>
      </w:pPr>
      <w:r w:rsidRPr="00F97C81">
        <w:rPr>
          <w:rFonts w:ascii="Palatino Linotype" w:hAnsi="Palatino Linotype" w:cs="Arial"/>
          <w:color w:val="000000"/>
          <w:lang w:val="es-ES_tradnl"/>
        </w:rPr>
        <w:lastRenderedPageBreak/>
        <w:t xml:space="preserve">Oficio número </w:t>
      </w:r>
      <w:r w:rsidRPr="00F97C81">
        <w:rPr>
          <w:rFonts w:ascii="Palatino Linotype" w:hAnsi="Palatino Linotype" w:cs="Arial"/>
          <w:b/>
          <w:bCs/>
          <w:color w:val="000000"/>
          <w:lang w:val="es-ES_tradnl"/>
        </w:rPr>
        <w:t xml:space="preserve">PMC/TM/0208/2026 </w:t>
      </w:r>
      <w:r w:rsidRPr="00F97C81">
        <w:rPr>
          <w:rFonts w:ascii="Palatino Linotype" w:hAnsi="Palatino Linotype" w:cs="Arial"/>
          <w:color w:val="000000"/>
          <w:lang w:val="es-ES_tradnl"/>
        </w:rPr>
        <w:t>signado por el tesorero municipal, dirigido a la titular de la unidad de transparencia, de fecha veinte de mayo de dos mil veinticinco, refiere adjuntar programa anual de obras públicas.</w:t>
      </w:r>
    </w:p>
    <w:p w14:paraId="494E253C" w14:textId="182AAA4F" w:rsidR="001E332A" w:rsidRPr="00F97C81" w:rsidRDefault="001E332A" w:rsidP="001E332A">
      <w:pPr>
        <w:pStyle w:val="Prrafodelista"/>
        <w:numPr>
          <w:ilvl w:val="0"/>
          <w:numId w:val="40"/>
        </w:numPr>
        <w:spacing w:after="240" w:line="360" w:lineRule="auto"/>
        <w:jc w:val="both"/>
        <w:rPr>
          <w:rFonts w:ascii="Palatino Linotype" w:hAnsi="Palatino Linotype" w:cs="Arial"/>
          <w:b/>
          <w:bCs/>
          <w:color w:val="000000"/>
          <w:lang w:val="es-ES_tradnl"/>
        </w:rPr>
      </w:pPr>
      <w:r w:rsidRPr="00F97C81">
        <w:rPr>
          <w:rFonts w:ascii="Palatino Linotype" w:hAnsi="Palatino Linotype" w:cs="Arial"/>
          <w:color w:val="000000"/>
          <w:lang w:val="es-ES_tradnl"/>
        </w:rPr>
        <w:t>Formato PbRM</w:t>
      </w:r>
      <w:r w:rsidR="0004653A" w:rsidRPr="00F97C81">
        <w:rPr>
          <w:rFonts w:ascii="Palatino Linotype" w:hAnsi="Palatino Linotype" w:cs="Arial"/>
          <w:color w:val="000000"/>
          <w:lang w:val="es-ES_tradnl"/>
        </w:rPr>
        <w:t xml:space="preserve">-07a “Programa Anual de Obras”, refleja clave programática, número de control, nombre de la obra, tipo, ubicación, justificación, presupuesto autorizado, entre otras. </w:t>
      </w:r>
    </w:p>
    <w:p w14:paraId="67CB7CE3" w14:textId="77777777" w:rsidR="0004653A" w:rsidRPr="00F97C81" w:rsidRDefault="0004653A" w:rsidP="0004653A">
      <w:pPr>
        <w:pStyle w:val="Prrafodelista"/>
        <w:spacing w:after="240" w:line="360" w:lineRule="auto"/>
        <w:ind w:left="1080"/>
        <w:jc w:val="both"/>
        <w:rPr>
          <w:rFonts w:ascii="Palatino Linotype" w:hAnsi="Palatino Linotype" w:cs="Arial"/>
          <w:b/>
          <w:bCs/>
          <w:color w:val="000000"/>
          <w:lang w:val="es-ES_tradnl"/>
        </w:rPr>
      </w:pPr>
    </w:p>
    <w:p w14:paraId="65A02A60" w14:textId="3C064D5F" w:rsidR="001E332A" w:rsidRPr="00F97C81" w:rsidRDefault="001E332A" w:rsidP="00873659">
      <w:pPr>
        <w:pStyle w:val="Prrafodelista"/>
        <w:numPr>
          <w:ilvl w:val="0"/>
          <w:numId w:val="39"/>
        </w:numPr>
        <w:spacing w:after="240" w:line="360" w:lineRule="auto"/>
        <w:jc w:val="both"/>
        <w:rPr>
          <w:rFonts w:ascii="Palatino Linotype" w:hAnsi="Palatino Linotype" w:cs="Arial"/>
          <w:b/>
          <w:bCs/>
          <w:color w:val="000000"/>
          <w:lang w:val="es-ES_tradnl"/>
        </w:rPr>
      </w:pPr>
      <w:r w:rsidRPr="00F97C81">
        <w:rPr>
          <w:rFonts w:ascii="Palatino Linotype" w:hAnsi="Palatino Linotype" w:cs="Arial"/>
          <w:b/>
          <w:bCs/>
          <w:color w:val="000000"/>
          <w:lang w:val="es-ES_tradnl"/>
        </w:rPr>
        <w:t>“ANEXOS FOLIO 00119.pdf”:</w:t>
      </w:r>
      <w:r w:rsidR="0004653A" w:rsidRPr="00F97C81">
        <w:rPr>
          <w:rFonts w:ascii="Palatino Linotype" w:hAnsi="Palatino Linotype" w:cs="Arial"/>
          <w:b/>
          <w:bCs/>
          <w:color w:val="000000"/>
          <w:lang w:val="es-ES_tradnl"/>
        </w:rPr>
        <w:t xml:space="preserve"> </w:t>
      </w:r>
      <w:r w:rsidR="0004653A" w:rsidRPr="00F97C81">
        <w:rPr>
          <w:rFonts w:ascii="Palatino Linotype" w:hAnsi="Palatino Linotype" w:cs="Arial"/>
          <w:color w:val="000000"/>
          <w:lang w:val="es-ES_tradnl"/>
        </w:rPr>
        <w:t xml:space="preserve">Oficio número </w:t>
      </w:r>
      <w:r w:rsidR="0004653A" w:rsidRPr="00F97C81">
        <w:rPr>
          <w:rFonts w:ascii="Palatino Linotype" w:hAnsi="Palatino Linotype" w:cs="Arial"/>
          <w:b/>
          <w:bCs/>
          <w:color w:val="000000"/>
          <w:lang w:val="es-ES_tradnl"/>
        </w:rPr>
        <w:t xml:space="preserve">PMC/TM/0188/2026 </w:t>
      </w:r>
      <w:r w:rsidR="0004653A" w:rsidRPr="00F97C81">
        <w:rPr>
          <w:rFonts w:ascii="Palatino Linotype" w:hAnsi="Palatino Linotype" w:cs="Arial"/>
          <w:color w:val="000000"/>
          <w:lang w:val="es-ES_tradnl"/>
        </w:rPr>
        <w:t>signado por el tesorero municipal, dirigido al auditor especial de cumplimiento financiero e inversión pública</w:t>
      </w:r>
      <w:r w:rsidR="0016514C" w:rsidRPr="00F97C81">
        <w:rPr>
          <w:rFonts w:ascii="Palatino Linotype" w:hAnsi="Palatino Linotype" w:cs="Arial"/>
          <w:color w:val="000000"/>
          <w:lang w:val="es-ES_tradnl"/>
        </w:rPr>
        <w:t xml:space="preserve"> del Órgano Superior de Fiscalización del Estado de México</w:t>
      </w:r>
      <w:r w:rsidR="0004653A" w:rsidRPr="00F97C81">
        <w:rPr>
          <w:rFonts w:ascii="Palatino Linotype" w:hAnsi="Palatino Linotype" w:cs="Arial"/>
          <w:color w:val="000000"/>
          <w:lang w:val="es-ES_tradnl"/>
        </w:rPr>
        <w:t xml:space="preserve">, de fecha seis de mayo de dos mil veinticinco, refiere adjuntar expedientes de obra, convenios de modificación, documentación financiera comprobatoria, actas de cabildo, expedientes de adquisiciones, registros de entrada y salida de bienes, dictámenes, fichas técnicas, entre otros. </w:t>
      </w:r>
    </w:p>
    <w:p w14:paraId="2FCD8834" w14:textId="77777777" w:rsidR="0004653A" w:rsidRPr="00F97C81" w:rsidRDefault="0004653A" w:rsidP="0004653A">
      <w:pPr>
        <w:pStyle w:val="Prrafodelista"/>
        <w:spacing w:after="240" w:line="360" w:lineRule="auto"/>
        <w:ind w:left="720"/>
        <w:jc w:val="both"/>
        <w:rPr>
          <w:rFonts w:ascii="Palatino Linotype" w:hAnsi="Palatino Linotype" w:cs="Arial"/>
          <w:b/>
          <w:bCs/>
          <w:color w:val="000000"/>
          <w:lang w:val="es-ES_tradnl"/>
        </w:rPr>
      </w:pPr>
    </w:p>
    <w:p w14:paraId="6DDB4A15" w14:textId="58D3011D" w:rsidR="001E332A" w:rsidRPr="00F97C81" w:rsidRDefault="001E332A" w:rsidP="001E332A">
      <w:pPr>
        <w:pStyle w:val="Prrafodelista"/>
        <w:numPr>
          <w:ilvl w:val="0"/>
          <w:numId w:val="39"/>
        </w:numPr>
        <w:spacing w:after="240" w:line="360" w:lineRule="auto"/>
        <w:jc w:val="both"/>
        <w:rPr>
          <w:rFonts w:ascii="Palatino Linotype" w:hAnsi="Palatino Linotype" w:cs="Arial"/>
          <w:b/>
          <w:bCs/>
          <w:color w:val="000000"/>
          <w:lang w:val="es-ES_tradnl"/>
        </w:rPr>
      </w:pPr>
      <w:r w:rsidRPr="00F97C81">
        <w:rPr>
          <w:rFonts w:ascii="Palatino Linotype" w:hAnsi="Palatino Linotype" w:cs="Arial"/>
          <w:b/>
          <w:bCs/>
          <w:color w:val="000000"/>
          <w:lang w:val="es-ES_tradnl"/>
        </w:rPr>
        <w:t xml:space="preserve">“FOLIO 00119 OFICIO.pdf”: </w:t>
      </w:r>
      <w:r w:rsidR="0004653A" w:rsidRPr="00F97C81">
        <w:rPr>
          <w:rFonts w:ascii="Palatino Linotype" w:hAnsi="Palatino Linotype" w:cs="Arial"/>
          <w:color w:val="000000"/>
          <w:lang w:val="es-ES_tradnl"/>
        </w:rPr>
        <w:t xml:space="preserve">Oficio número </w:t>
      </w:r>
      <w:r w:rsidR="0004653A" w:rsidRPr="00F97C81">
        <w:rPr>
          <w:rFonts w:ascii="Palatino Linotype" w:hAnsi="Palatino Linotype" w:cs="Arial"/>
          <w:b/>
          <w:bCs/>
          <w:color w:val="000000"/>
          <w:lang w:val="es-ES_tradnl"/>
        </w:rPr>
        <w:t xml:space="preserve">PMC/DOP/0308/2026 </w:t>
      </w:r>
      <w:r w:rsidR="0004653A" w:rsidRPr="00F97C81">
        <w:rPr>
          <w:rFonts w:ascii="Palatino Linotype" w:hAnsi="Palatino Linotype" w:cs="Arial"/>
          <w:color w:val="000000"/>
          <w:lang w:val="es-ES_tradnl"/>
        </w:rPr>
        <w:t xml:space="preserve">signado por el subdirector de obras públicas, dirigido a la titular de la unidad de transparencia, de fecha dos de junio de dos mil veintiséis, </w:t>
      </w:r>
      <w:r w:rsidR="0016514C" w:rsidRPr="00F97C81">
        <w:rPr>
          <w:rFonts w:ascii="Palatino Linotype" w:hAnsi="Palatino Linotype" w:cs="Arial"/>
          <w:color w:val="000000"/>
          <w:lang w:val="es-ES_tradnl"/>
        </w:rPr>
        <w:t xml:space="preserve">en lo medular resulta de nuestro interés el siguiente extracto: </w:t>
      </w:r>
    </w:p>
    <w:p w14:paraId="038659B6" w14:textId="71748476" w:rsidR="0016514C" w:rsidRPr="00F97C81" w:rsidRDefault="0016514C" w:rsidP="0016514C">
      <w:pPr>
        <w:pStyle w:val="Prrafodelista"/>
        <w:spacing w:line="360" w:lineRule="auto"/>
        <w:ind w:left="709"/>
        <w:jc w:val="both"/>
        <w:rPr>
          <w:rFonts w:ascii="Palatino Linotype" w:hAnsi="Palatino Linotype" w:cs="Arial"/>
          <w:b/>
          <w:bCs/>
          <w:i/>
          <w:iCs/>
          <w:color w:val="000000"/>
          <w:lang w:val="es-ES_tradnl"/>
        </w:rPr>
      </w:pPr>
      <w:r w:rsidRPr="00F97C81">
        <w:rPr>
          <w:rFonts w:ascii="Palatino Linotype" w:hAnsi="Palatino Linotype" w:cs="Arial"/>
          <w:i/>
          <w:iCs/>
          <w:color w:val="000000"/>
          <w:lang w:val="es-ES_tradnl"/>
        </w:rPr>
        <w:t xml:space="preserve">“Al respecto informo, que derivado a que esta dirección se encuentra en etapa de auditoría y la documentación solicitada se encuentra resguardada por el Órgano </w:t>
      </w:r>
      <w:r w:rsidRPr="00F97C81">
        <w:rPr>
          <w:rFonts w:ascii="Palatino Linotype" w:hAnsi="Palatino Linotype" w:cs="Arial"/>
          <w:i/>
          <w:iCs/>
          <w:color w:val="000000"/>
          <w:lang w:val="es-ES_tradnl"/>
        </w:rPr>
        <w:lastRenderedPageBreak/>
        <w:t xml:space="preserve">Superior de Fiscalización del Estado de México (OSFEM), como lo hago constar con copias de oficios de acuse de recibido en donde se hizo entrega de la documentación original, por lo cual no es posible enviar la información solicitada derivado a la auditoría que se esta realizando a esta dependencia; sin embargo, dentro del oficio número </w:t>
      </w:r>
      <w:r w:rsidRPr="00F97C81">
        <w:rPr>
          <w:rFonts w:ascii="Palatino Linotype" w:hAnsi="Palatino Linotype" w:cs="Arial"/>
          <w:b/>
          <w:bCs/>
          <w:i/>
          <w:iCs/>
          <w:color w:val="000000"/>
          <w:lang w:val="es-ES_tradnl"/>
        </w:rPr>
        <w:t xml:space="preserve">PMC/TM/0188/2026, </w:t>
      </w:r>
      <w:r w:rsidRPr="00F97C81">
        <w:rPr>
          <w:rFonts w:ascii="Palatino Linotype" w:hAnsi="Palatino Linotype" w:cs="Arial"/>
          <w:i/>
          <w:iCs/>
          <w:color w:val="000000"/>
          <w:lang w:val="es-ES_tradnl"/>
        </w:rPr>
        <w:t xml:space="preserve">que se remiten al OSFEM, se encuentra el listado de las obras realizadas para el ejercicio fiscal 2025” </w:t>
      </w:r>
      <w:r w:rsidRPr="00F97C81">
        <w:rPr>
          <w:rFonts w:ascii="Palatino Linotype" w:hAnsi="Palatino Linotype" w:cs="Arial"/>
          <w:b/>
          <w:bCs/>
          <w:i/>
          <w:iCs/>
          <w:color w:val="000000"/>
          <w:lang w:val="es-ES_tradnl"/>
        </w:rPr>
        <w:t>(Sic)</w:t>
      </w:r>
    </w:p>
    <w:p w14:paraId="413403E6" w14:textId="77777777" w:rsidR="0016514C" w:rsidRPr="00F97C81" w:rsidRDefault="0016514C" w:rsidP="0016514C">
      <w:pPr>
        <w:pStyle w:val="Prrafodelista"/>
        <w:spacing w:after="240" w:line="360" w:lineRule="auto"/>
        <w:ind w:left="720"/>
        <w:jc w:val="both"/>
        <w:rPr>
          <w:rFonts w:ascii="Palatino Linotype" w:hAnsi="Palatino Linotype" w:cs="Arial"/>
          <w:b/>
          <w:bCs/>
          <w:color w:val="000000"/>
          <w:lang w:val="es-ES_tradnl"/>
        </w:rPr>
      </w:pPr>
    </w:p>
    <w:p w14:paraId="2E5274DA" w14:textId="0CF51C04" w:rsidR="00BD26EE" w:rsidRPr="00F97C81" w:rsidRDefault="00BD26EE" w:rsidP="00BD26EE">
      <w:pPr>
        <w:spacing w:before="240" w:line="360" w:lineRule="auto"/>
        <w:jc w:val="both"/>
        <w:rPr>
          <w:rFonts w:ascii="Palatino Linotype" w:hAnsi="Palatino Linotype" w:cs="Arial"/>
          <w:color w:val="000000"/>
          <w:sz w:val="24"/>
          <w:szCs w:val="24"/>
          <w:lang w:val="es-ES_tradnl"/>
        </w:rPr>
      </w:pPr>
      <w:r w:rsidRPr="00F97C81">
        <w:rPr>
          <w:rFonts w:ascii="Palatino Linotype" w:hAnsi="Palatino Linotype" w:cs="Arial"/>
          <w:color w:val="000000"/>
          <w:sz w:val="24"/>
          <w:szCs w:val="24"/>
          <w:lang w:val="es-ES_tradnl"/>
        </w:rPr>
        <w:t xml:space="preserve">En este sentido, con relación al punto </w:t>
      </w:r>
      <w:r w:rsidRPr="00F97C81">
        <w:rPr>
          <w:rFonts w:ascii="Palatino Linotype" w:hAnsi="Palatino Linotype" w:cs="Arial"/>
          <w:b/>
          <w:bCs/>
          <w:color w:val="000000"/>
          <w:sz w:val="24"/>
          <w:szCs w:val="24"/>
          <w:lang w:val="es-ES_tradnl"/>
        </w:rPr>
        <w:t xml:space="preserve">1 -uno- </w:t>
      </w:r>
      <w:r w:rsidRPr="00F97C81">
        <w:rPr>
          <w:rFonts w:ascii="Palatino Linotype" w:hAnsi="Palatino Linotype" w:cs="Arial"/>
          <w:color w:val="000000"/>
          <w:sz w:val="24"/>
          <w:szCs w:val="24"/>
          <w:lang w:val="es-ES_tradnl"/>
        </w:rPr>
        <w:t xml:space="preserve">y el contenido del programa anual de obra pública debe de mencionarse que dentro de las atribuciones reservadas al órgano garante local no se encuentra la relativa a dudar de la veracidad de la información remitida por los </w:t>
      </w:r>
      <w:r w:rsidRPr="00F97C81">
        <w:rPr>
          <w:rFonts w:ascii="Palatino Linotype" w:hAnsi="Palatino Linotype" w:cs="Arial"/>
          <w:b/>
          <w:bCs/>
          <w:color w:val="000000"/>
          <w:sz w:val="24"/>
          <w:szCs w:val="24"/>
          <w:lang w:val="es-ES_tradnl"/>
        </w:rPr>
        <w:t xml:space="preserve">Sujetos Obligados, </w:t>
      </w:r>
      <w:r w:rsidRPr="00F97C81">
        <w:rPr>
          <w:rFonts w:ascii="Palatino Linotype" w:hAnsi="Palatino Linotype" w:cs="Arial"/>
          <w:color w:val="000000"/>
          <w:sz w:val="24"/>
          <w:szCs w:val="24"/>
          <w:lang w:val="es-ES_tradnl"/>
        </w:rPr>
        <w:t>por cuanto hace a su:</w:t>
      </w:r>
    </w:p>
    <w:p w14:paraId="2C5997CD" w14:textId="77777777" w:rsidR="00BD26EE" w:rsidRPr="00F97C81" w:rsidRDefault="00BD26EE" w:rsidP="00BD26EE">
      <w:pPr>
        <w:pStyle w:val="Prrafodelista"/>
        <w:numPr>
          <w:ilvl w:val="0"/>
          <w:numId w:val="41"/>
        </w:numPr>
        <w:autoSpaceDE w:val="0"/>
        <w:autoSpaceDN w:val="0"/>
        <w:adjustRightInd w:val="0"/>
        <w:spacing w:before="240" w:after="160" w:line="360" w:lineRule="auto"/>
        <w:jc w:val="both"/>
        <w:rPr>
          <w:rFonts w:ascii="Palatino Linotype" w:hAnsi="Palatino Linotype"/>
        </w:rPr>
      </w:pPr>
      <w:r w:rsidRPr="00F97C81">
        <w:rPr>
          <w:rFonts w:ascii="Palatino Linotype" w:hAnsi="Palatino Linotype"/>
        </w:rPr>
        <w:t>Volumen</w:t>
      </w:r>
    </w:p>
    <w:p w14:paraId="04216DB1" w14:textId="77777777" w:rsidR="00BD26EE" w:rsidRPr="00F97C81" w:rsidRDefault="00BD26EE" w:rsidP="00BD26EE">
      <w:pPr>
        <w:pStyle w:val="Prrafodelista"/>
        <w:numPr>
          <w:ilvl w:val="0"/>
          <w:numId w:val="41"/>
        </w:numPr>
        <w:autoSpaceDE w:val="0"/>
        <w:autoSpaceDN w:val="0"/>
        <w:adjustRightInd w:val="0"/>
        <w:spacing w:before="240" w:after="160" w:line="360" w:lineRule="auto"/>
        <w:jc w:val="both"/>
        <w:rPr>
          <w:rFonts w:ascii="Palatino Linotype" w:hAnsi="Palatino Linotype"/>
          <w:b/>
          <w:bCs/>
          <w:u w:val="single"/>
        </w:rPr>
      </w:pPr>
      <w:r w:rsidRPr="00F97C81">
        <w:rPr>
          <w:rFonts w:ascii="Palatino Linotype" w:hAnsi="Palatino Linotype"/>
          <w:b/>
          <w:bCs/>
          <w:u w:val="single"/>
        </w:rPr>
        <w:t>Contenido</w:t>
      </w:r>
    </w:p>
    <w:p w14:paraId="1179C717" w14:textId="77777777" w:rsidR="00BD26EE" w:rsidRPr="00F97C81" w:rsidRDefault="00BD26EE" w:rsidP="00BD26EE">
      <w:pPr>
        <w:pStyle w:val="Prrafodelista"/>
        <w:numPr>
          <w:ilvl w:val="0"/>
          <w:numId w:val="41"/>
        </w:numPr>
        <w:autoSpaceDE w:val="0"/>
        <w:autoSpaceDN w:val="0"/>
        <w:adjustRightInd w:val="0"/>
        <w:spacing w:before="240" w:after="160" w:line="360" w:lineRule="auto"/>
        <w:jc w:val="both"/>
        <w:rPr>
          <w:rFonts w:ascii="Palatino Linotype" w:hAnsi="Palatino Linotype"/>
        </w:rPr>
      </w:pPr>
      <w:r w:rsidRPr="00F97C81">
        <w:rPr>
          <w:rFonts w:ascii="Palatino Linotype" w:hAnsi="Palatino Linotype"/>
        </w:rPr>
        <w:t>Extensión</w:t>
      </w:r>
    </w:p>
    <w:p w14:paraId="2CF43750" w14:textId="07D78225" w:rsidR="001E332A" w:rsidRPr="00F97C81" w:rsidRDefault="001E332A" w:rsidP="00566D97">
      <w:pPr>
        <w:spacing w:after="240" w:line="360" w:lineRule="auto"/>
        <w:jc w:val="both"/>
        <w:rPr>
          <w:rFonts w:ascii="Palatino Linotype" w:hAnsi="Palatino Linotype" w:cs="Arial"/>
          <w:color w:val="000000"/>
          <w:sz w:val="24"/>
          <w:lang w:val="es-ES_tradnl"/>
        </w:rPr>
      </w:pPr>
    </w:p>
    <w:p w14:paraId="53971518" w14:textId="77777777" w:rsidR="00BD26EE" w:rsidRPr="00F97C81" w:rsidRDefault="00BD26EE" w:rsidP="00BD26EE">
      <w:pPr>
        <w:spacing w:after="0" w:line="360" w:lineRule="auto"/>
        <w:jc w:val="both"/>
        <w:rPr>
          <w:rFonts w:ascii="Palatino Linotype" w:hAnsi="Palatino Linotype" w:cs="Arial"/>
          <w:sz w:val="24"/>
          <w:szCs w:val="24"/>
        </w:rPr>
      </w:pPr>
      <w:r w:rsidRPr="00F97C81">
        <w:rPr>
          <w:rFonts w:ascii="Palatino Linotype" w:hAnsi="Palatino Linotype" w:cs="Arial"/>
          <w:color w:val="000000"/>
          <w:sz w:val="24"/>
          <w:lang w:val="es-ES_tradnl"/>
        </w:rPr>
        <w:t xml:space="preserve">Ahora bien, respecto de los requerimientos </w:t>
      </w:r>
      <w:r w:rsidRPr="00F97C81">
        <w:rPr>
          <w:rFonts w:ascii="Palatino Linotype" w:hAnsi="Palatino Linotype" w:cs="Arial"/>
          <w:b/>
          <w:bCs/>
          <w:color w:val="000000"/>
          <w:sz w:val="24"/>
          <w:lang w:val="es-ES_tradnl"/>
        </w:rPr>
        <w:t xml:space="preserve">2, 3 </w:t>
      </w:r>
      <w:r w:rsidRPr="00F97C81">
        <w:rPr>
          <w:rFonts w:ascii="Palatino Linotype" w:hAnsi="Palatino Linotype" w:cs="Arial"/>
          <w:color w:val="000000"/>
          <w:sz w:val="24"/>
          <w:lang w:val="es-ES_tradnl"/>
        </w:rPr>
        <w:t xml:space="preserve">y </w:t>
      </w:r>
      <w:r w:rsidRPr="00F97C81">
        <w:rPr>
          <w:rFonts w:ascii="Palatino Linotype" w:hAnsi="Palatino Linotype" w:cs="Arial"/>
          <w:b/>
          <w:bCs/>
          <w:color w:val="000000"/>
          <w:sz w:val="24"/>
          <w:lang w:val="es-ES_tradnl"/>
        </w:rPr>
        <w:t xml:space="preserve">4 </w:t>
      </w:r>
      <w:r w:rsidRPr="00F97C81">
        <w:rPr>
          <w:rFonts w:ascii="Palatino Linotype" w:hAnsi="Palatino Linotype" w:cs="Arial"/>
          <w:color w:val="000000"/>
          <w:sz w:val="24"/>
          <w:lang w:val="es-ES_tradnl"/>
        </w:rPr>
        <w:t xml:space="preserve">debe de mencionarse que </w:t>
      </w:r>
      <w:r w:rsidRPr="00F97C81">
        <w:rPr>
          <w:rFonts w:ascii="Palatino Linotype" w:hAnsi="Palatino Linotype" w:cs="Arial"/>
          <w:sz w:val="24"/>
          <w:szCs w:val="24"/>
        </w:rPr>
        <w:t xml:space="preserve">la auditoría es la </w:t>
      </w:r>
      <w:r w:rsidRPr="00F97C81">
        <w:rPr>
          <w:rFonts w:ascii="Palatino Linotype" w:hAnsi="Palatino Linotype"/>
          <w:bCs/>
          <w:sz w:val="24"/>
          <w:szCs w:val="24"/>
        </w:rPr>
        <w:t xml:space="preserve">actividad que verifica el cumplimiento de objetivos, programas y metas alcanzadas, con el propósito de determinar el grado de económica, eficacia, efectividad, imparcialidad, honestidad, equidad y transparencia. </w:t>
      </w:r>
    </w:p>
    <w:p w14:paraId="66111E0C" w14:textId="77777777" w:rsidR="00BD26EE" w:rsidRPr="00F97C81" w:rsidRDefault="00BD26EE" w:rsidP="00BD26EE">
      <w:pPr>
        <w:spacing w:after="0" w:line="360" w:lineRule="auto"/>
        <w:jc w:val="both"/>
        <w:rPr>
          <w:rFonts w:ascii="Palatino Linotype" w:hAnsi="Palatino Linotype" w:cs="Arial"/>
          <w:sz w:val="24"/>
          <w:szCs w:val="24"/>
        </w:rPr>
      </w:pPr>
    </w:p>
    <w:p w14:paraId="39BA9484" w14:textId="77777777" w:rsidR="00BD26EE" w:rsidRPr="00F97C81" w:rsidRDefault="00BD26EE" w:rsidP="00BD26EE">
      <w:pPr>
        <w:spacing w:after="0" w:line="360" w:lineRule="auto"/>
        <w:jc w:val="both"/>
        <w:rPr>
          <w:rFonts w:ascii="Palatino Linotype" w:hAnsi="Palatino Linotype"/>
          <w:bCs/>
          <w:sz w:val="24"/>
          <w:szCs w:val="24"/>
        </w:rPr>
      </w:pPr>
      <w:r w:rsidRPr="00F97C81">
        <w:rPr>
          <w:rFonts w:ascii="Palatino Linotype" w:hAnsi="Palatino Linotype" w:cs="Arial"/>
          <w:sz w:val="24"/>
          <w:szCs w:val="24"/>
        </w:rPr>
        <w:lastRenderedPageBreak/>
        <w:t xml:space="preserve">Adicionalmente, </w:t>
      </w:r>
      <w:r w:rsidRPr="00F97C81">
        <w:rPr>
          <w:rFonts w:ascii="Palatino Linotype" w:hAnsi="Palatino Linotype"/>
          <w:bCs/>
          <w:sz w:val="24"/>
          <w:szCs w:val="24"/>
        </w:rPr>
        <w:t>las auditorias en el ámbito público estriban en cinco tipos o tópicos fundamentales: financieras, administrativas, obra pública, integrales y tecnologías de la información.</w:t>
      </w:r>
    </w:p>
    <w:p w14:paraId="45E063D8" w14:textId="77777777" w:rsidR="00BD26EE" w:rsidRPr="00F97C81" w:rsidRDefault="00BD26EE" w:rsidP="00BD26EE">
      <w:pPr>
        <w:spacing w:after="0" w:line="360" w:lineRule="auto"/>
        <w:jc w:val="both"/>
        <w:rPr>
          <w:rFonts w:ascii="Palatino Linotype" w:hAnsi="Palatino Linotype"/>
          <w:bCs/>
          <w:sz w:val="24"/>
          <w:szCs w:val="24"/>
        </w:rPr>
      </w:pPr>
    </w:p>
    <w:p w14:paraId="6E9F8E10" w14:textId="77777777" w:rsidR="00BD26EE" w:rsidRPr="00F97C81" w:rsidRDefault="00BD26EE" w:rsidP="00BD26EE">
      <w:pPr>
        <w:spacing w:after="240" w:line="360" w:lineRule="auto"/>
        <w:jc w:val="both"/>
        <w:rPr>
          <w:rFonts w:ascii="Palatino Linotype" w:hAnsi="Palatino Linotype"/>
          <w:bCs/>
          <w:sz w:val="24"/>
          <w:szCs w:val="24"/>
        </w:rPr>
      </w:pPr>
      <w:r w:rsidRPr="00F97C81">
        <w:rPr>
          <w:rFonts w:ascii="Palatino Linotype" w:hAnsi="Palatino Linotype"/>
          <w:bCs/>
          <w:sz w:val="24"/>
          <w:szCs w:val="24"/>
        </w:rPr>
        <w:t xml:space="preserve">En las generalizaciones anteriores, respecto de la postura adoptaba por </w:t>
      </w:r>
      <w:r w:rsidRPr="00F97C81">
        <w:rPr>
          <w:rFonts w:ascii="Palatino Linotype" w:hAnsi="Palatino Linotype"/>
          <w:b/>
          <w:sz w:val="24"/>
          <w:szCs w:val="24"/>
        </w:rPr>
        <w:t xml:space="preserve">El Sujeto Obligado </w:t>
      </w:r>
      <w:r w:rsidRPr="00F97C81">
        <w:rPr>
          <w:rFonts w:ascii="Palatino Linotype" w:hAnsi="Palatino Linotype"/>
          <w:bCs/>
          <w:sz w:val="24"/>
          <w:szCs w:val="24"/>
        </w:rPr>
        <w:t>se desvirtúa bajo las siguientes consideraciones:</w:t>
      </w:r>
    </w:p>
    <w:p w14:paraId="40CD25C3" w14:textId="681D83C4" w:rsidR="00BD26EE" w:rsidRPr="00F97C81" w:rsidRDefault="00BD26EE" w:rsidP="00CC68C4">
      <w:pPr>
        <w:pStyle w:val="Prrafodelista"/>
        <w:numPr>
          <w:ilvl w:val="0"/>
          <w:numId w:val="42"/>
        </w:numPr>
        <w:spacing w:after="240" w:line="360" w:lineRule="auto"/>
        <w:jc w:val="both"/>
        <w:rPr>
          <w:rFonts w:ascii="Palatino Linotype" w:hAnsi="Palatino Linotype" w:cs="Arial"/>
          <w:color w:val="000000"/>
        </w:rPr>
      </w:pPr>
      <w:r w:rsidRPr="00F97C81">
        <w:rPr>
          <w:rFonts w:ascii="Palatino Linotype" w:hAnsi="Palatino Linotype" w:cs="Arial"/>
          <w:b/>
          <w:bCs/>
          <w:color w:val="000000"/>
        </w:rPr>
        <w:t>La remisión de documentos a otra autoridad no extingue la obligación de conservarlos.</w:t>
      </w:r>
      <w:r w:rsidRPr="00F97C81">
        <w:rPr>
          <w:rFonts w:ascii="Palatino Linotype" w:hAnsi="Palatino Linotype" w:cs="Arial"/>
          <w:color w:val="000000"/>
        </w:rPr>
        <w:t xml:space="preserve"> </w:t>
      </w:r>
      <w:r w:rsidRPr="00F97C81">
        <w:rPr>
          <w:rFonts w:ascii="Palatino Linotype" w:hAnsi="Palatino Linotype" w:cs="Arial"/>
          <w:b/>
          <w:bCs/>
          <w:color w:val="000000"/>
        </w:rPr>
        <w:t xml:space="preserve">El </w:t>
      </w:r>
      <w:r w:rsidR="00F448E7" w:rsidRPr="00F97C81">
        <w:rPr>
          <w:rFonts w:ascii="Palatino Linotype" w:hAnsi="Palatino Linotype" w:cs="Arial"/>
          <w:b/>
          <w:bCs/>
          <w:color w:val="000000"/>
        </w:rPr>
        <w:t>S</w:t>
      </w:r>
      <w:r w:rsidRPr="00F97C81">
        <w:rPr>
          <w:rFonts w:ascii="Palatino Linotype" w:hAnsi="Palatino Linotype" w:cs="Arial"/>
          <w:b/>
          <w:bCs/>
          <w:color w:val="000000"/>
        </w:rPr>
        <w:t xml:space="preserve">ujeto </w:t>
      </w:r>
      <w:r w:rsidR="00F448E7" w:rsidRPr="00F97C81">
        <w:rPr>
          <w:rFonts w:ascii="Palatino Linotype" w:hAnsi="Palatino Linotype" w:cs="Arial"/>
          <w:b/>
          <w:bCs/>
          <w:color w:val="000000"/>
        </w:rPr>
        <w:t>O</w:t>
      </w:r>
      <w:r w:rsidRPr="00F97C81">
        <w:rPr>
          <w:rFonts w:ascii="Palatino Linotype" w:hAnsi="Palatino Linotype" w:cs="Arial"/>
          <w:b/>
          <w:bCs/>
          <w:color w:val="000000"/>
        </w:rPr>
        <w:t>bligado</w:t>
      </w:r>
      <w:r w:rsidRPr="00F97C81">
        <w:rPr>
          <w:rFonts w:ascii="Palatino Linotype" w:hAnsi="Palatino Linotype" w:cs="Arial"/>
          <w:color w:val="000000"/>
        </w:rPr>
        <w:t xml:space="preserve"> tiene el deber de organizar, conservar y administrar los documentos que genera, obtiene o posee en ejercicio de sus atribuciones. El hecho de haber remitido </w:t>
      </w:r>
      <w:r w:rsidR="00E11735" w:rsidRPr="00F97C81">
        <w:rPr>
          <w:rFonts w:ascii="Palatino Linotype" w:hAnsi="Palatino Linotype" w:cs="Arial"/>
          <w:color w:val="000000"/>
        </w:rPr>
        <w:t>expedientes de obra</w:t>
      </w:r>
      <w:r w:rsidRPr="00F97C81">
        <w:rPr>
          <w:rFonts w:ascii="Palatino Linotype" w:hAnsi="Palatino Linotype" w:cs="Arial"/>
          <w:color w:val="000000"/>
        </w:rPr>
        <w:t xml:space="preserve"> al OSFEM no implica que deje de formar parte de sus archivos ni que desaparezca su obligación de garantizar el acceso a la información. </w:t>
      </w:r>
    </w:p>
    <w:p w14:paraId="01774AE6" w14:textId="652E5B2D" w:rsidR="00CC68C4" w:rsidRPr="00F97C81" w:rsidRDefault="00BD26EE" w:rsidP="00CC68C4">
      <w:pPr>
        <w:pStyle w:val="Prrafodelista"/>
        <w:numPr>
          <w:ilvl w:val="0"/>
          <w:numId w:val="42"/>
        </w:numPr>
        <w:spacing w:after="240" w:line="360" w:lineRule="auto"/>
        <w:jc w:val="both"/>
        <w:rPr>
          <w:rFonts w:ascii="Palatino Linotype" w:hAnsi="Palatino Linotype" w:cs="Arial"/>
          <w:color w:val="000000"/>
        </w:rPr>
      </w:pPr>
      <w:r w:rsidRPr="00F97C81">
        <w:rPr>
          <w:rFonts w:ascii="Palatino Linotype" w:hAnsi="Palatino Linotype" w:cs="Arial"/>
          <w:b/>
          <w:bCs/>
          <w:color w:val="000000"/>
        </w:rPr>
        <w:t>La información sigue considerándose en posesión del sujeto obligado</w:t>
      </w:r>
      <w:r w:rsidR="00CC68C4" w:rsidRPr="00F97C81">
        <w:rPr>
          <w:rFonts w:ascii="Palatino Linotype" w:hAnsi="Palatino Linotype" w:cs="Arial"/>
          <w:b/>
          <w:bCs/>
          <w:color w:val="000000"/>
        </w:rPr>
        <w:t>:</w:t>
      </w:r>
      <w:r w:rsidRPr="00F97C81">
        <w:rPr>
          <w:rFonts w:ascii="Palatino Linotype" w:hAnsi="Palatino Linotype" w:cs="Arial"/>
          <w:color w:val="000000"/>
        </w:rPr>
        <w:t xml:space="preserve"> La posesión para efectos del derecho de acceso a la información no debe entenderse únicamente como la tenencia física del documento. Si la información fue generada por el Ayuntamiento </w:t>
      </w:r>
      <w:r w:rsidR="00CC68C4" w:rsidRPr="00F97C81">
        <w:rPr>
          <w:rFonts w:ascii="Palatino Linotype" w:hAnsi="Palatino Linotype" w:cs="Arial"/>
          <w:color w:val="000000"/>
        </w:rPr>
        <w:t xml:space="preserve">de Calimaya </w:t>
      </w:r>
      <w:r w:rsidRPr="00F97C81">
        <w:rPr>
          <w:rFonts w:ascii="Palatino Linotype" w:hAnsi="Palatino Linotype" w:cs="Arial"/>
          <w:color w:val="000000"/>
        </w:rPr>
        <w:t>o forma parte de los expedientes derivados del ejercicio de sus funciones, continúa siendo responsable de ella y debe realizar las gestiones necesarias para obtener una copia o acceder al expediente que remitió.</w:t>
      </w:r>
    </w:p>
    <w:p w14:paraId="6D79840D" w14:textId="0660CB50" w:rsidR="00CC68C4" w:rsidRPr="00F97C81" w:rsidRDefault="00CC68C4" w:rsidP="00CC68C4">
      <w:pPr>
        <w:pStyle w:val="Prrafodelista"/>
        <w:numPr>
          <w:ilvl w:val="0"/>
          <w:numId w:val="42"/>
        </w:numPr>
        <w:spacing w:after="240" w:line="360" w:lineRule="auto"/>
        <w:jc w:val="both"/>
        <w:rPr>
          <w:rFonts w:ascii="Palatino Linotype" w:hAnsi="Palatino Linotype" w:cs="Arial"/>
          <w:color w:val="000000"/>
        </w:rPr>
      </w:pPr>
      <w:r w:rsidRPr="00F97C81">
        <w:rPr>
          <w:rFonts w:ascii="Palatino Linotype" w:hAnsi="Palatino Linotype" w:cs="Arial"/>
          <w:b/>
          <w:bCs/>
          <w:color w:val="000000"/>
        </w:rPr>
        <w:t xml:space="preserve">Prevalencia del principio de máxima publicidad: </w:t>
      </w:r>
      <w:r w:rsidRPr="00F97C81">
        <w:rPr>
          <w:rFonts w:ascii="Palatino Linotype" w:hAnsi="Palatino Linotype" w:cs="Arial"/>
          <w:color w:val="000000"/>
        </w:rPr>
        <w:t xml:space="preserve">Ante dos interpretaciones posibles, debe privilegiarse aquella que haga efectivo el derecho de acceso a la información. Por ello, </w:t>
      </w:r>
      <w:r w:rsidRPr="00F97C81">
        <w:rPr>
          <w:rFonts w:ascii="Palatino Linotype" w:hAnsi="Palatino Linotype" w:cs="Arial"/>
          <w:b/>
          <w:bCs/>
          <w:color w:val="000000"/>
        </w:rPr>
        <w:t>El Sujeto Obligado</w:t>
      </w:r>
      <w:r w:rsidRPr="00F97C81">
        <w:rPr>
          <w:rFonts w:ascii="Palatino Linotype" w:hAnsi="Palatino Linotype" w:cs="Arial"/>
          <w:color w:val="000000"/>
        </w:rPr>
        <w:t xml:space="preserve"> debe agotar todas las acciones razonables para localizar y proporcionar la documentación solicitada, ya sea </w:t>
      </w:r>
      <w:r w:rsidRPr="00F97C81">
        <w:rPr>
          <w:rFonts w:ascii="Palatino Linotype" w:hAnsi="Palatino Linotype" w:cs="Arial"/>
          <w:color w:val="000000"/>
        </w:rPr>
        <w:lastRenderedPageBreak/>
        <w:t xml:space="preserve">mediante copias de resguardo, expedientes electrónicos o solicitando temporalmente acceso al expediente remitido. </w:t>
      </w:r>
    </w:p>
    <w:p w14:paraId="0C06D6E0" w14:textId="71C7E559" w:rsidR="00BD26EE" w:rsidRPr="00F97C81" w:rsidRDefault="00CC68C4" w:rsidP="00CC68C4">
      <w:pPr>
        <w:pStyle w:val="Prrafodelista"/>
        <w:numPr>
          <w:ilvl w:val="0"/>
          <w:numId w:val="42"/>
        </w:numPr>
        <w:spacing w:after="240" w:line="360" w:lineRule="auto"/>
        <w:jc w:val="both"/>
        <w:rPr>
          <w:rFonts w:ascii="Palatino Linotype" w:hAnsi="Palatino Linotype" w:cs="Arial"/>
          <w:color w:val="000000"/>
          <w:lang w:val="es-ES_tradnl"/>
        </w:rPr>
      </w:pPr>
      <w:r w:rsidRPr="00F97C81">
        <w:rPr>
          <w:rFonts w:ascii="Palatino Linotype" w:hAnsi="Palatino Linotype" w:cs="Arial"/>
          <w:b/>
          <w:bCs/>
          <w:color w:val="000000"/>
        </w:rPr>
        <w:t>La gestión documental impone deberes de conservación y disponibilidad.</w:t>
      </w:r>
      <w:r w:rsidRPr="00F97C81">
        <w:rPr>
          <w:rFonts w:ascii="Palatino Linotype" w:hAnsi="Palatino Linotype" w:cs="Arial"/>
          <w:color w:val="000000"/>
        </w:rPr>
        <w:t xml:space="preserve"> Las entidades públicas tienen la obligación de administrar adecuadamente sus archivos, por lo que la remisión de documentos a una autoridad fiscalizadora no las exime de mantener mecanismos que permitan atender solicitudes de acceso.</w:t>
      </w:r>
      <w:r w:rsidR="00BD26EE" w:rsidRPr="00F97C81">
        <w:rPr>
          <w:rFonts w:ascii="Palatino Linotype" w:hAnsi="Palatino Linotype" w:cs="Arial"/>
          <w:color w:val="000000"/>
          <w:lang w:val="es-ES_tradnl"/>
        </w:rPr>
        <w:t xml:space="preserve"> </w:t>
      </w:r>
    </w:p>
    <w:p w14:paraId="086994FE" w14:textId="63AD19C7" w:rsidR="00CC68C4" w:rsidRPr="00F97C81" w:rsidRDefault="00CC68C4" w:rsidP="00CC68C4">
      <w:pPr>
        <w:pStyle w:val="Prrafodelista"/>
        <w:numPr>
          <w:ilvl w:val="0"/>
          <w:numId w:val="42"/>
        </w:numPr>
        <w:spacing w:after="240" w:line="360" w:lineRule="auto"/>
        <w:jc w:val="both"/>
        <w:rPr>
          <w:rFonts w:ascii="Palatino Linotype" w:hAnsi="Palatino Linotype" w:cs="Arial"/>
          <w:b/>
          <w:bCs/>
          <w:color w:val="000000"/>
          <w:u w:val="single"/>
          <w:lang w:val="es-ES_tradnl"/>
        </w:rPr>
      </w:pPr>
      <w:r w:rsidRPr="00F97C81">
        <w:rPr>
          <w:rFonts w:ascii="Palatino Linotype" w:hAnsi="Palatino Linotype" w:cs="Arial"/>
          <w:b/>
          <w:bCs/>
          <w:color w:val="000000"/>
          <w:u w:val="single"/>
          <w:lang w:val="es-ES_tradnl"/>
        </w:rPr>
        <w:t xml:space="preserve">Legislación aplicable: </w:t>
      </w:r>
      <w:r w:rsidRPr="00F97C81">
        <w:rPr>
          <w:rFonts w:ascii="Palatino Linotype" w:hAnsi="Palatino Linotype" w:cs="Arial"/>
          <w:b/>
          <w:bCs/>
          <w:color w:val="000000"/>
          <w:u w:val="single"/>
        </w:rPr>
        <w:t xml:space="preserve">Aunado a lo anterior, debe considerarse que la información relativa a la ejecución de obra pública integra, </w:t>
      </w:r>
      <w:r w:rsidR="00E11735" w:rsidRPr="00F97C81">
        <w:rPr>
          <w:rFonts w:ascii="Palatino Linotype" w:hAnsi="Palatino Linotype" w:cs="Arial"/>
          <w:b/>
          <w:bCs/>
          <w:color w:val="000000"/>
          <w:u w:val="single"/>
        </w:rPr>
        <w:t>figura en diversas obligaciones de transparencia común</w:t>
      </w:r>
      <w:r w:rsidRPr="00F97C81">
        <w:rPr>
          <w:rFonts w:ascii="Palatino Linotype" w:hAnsi="Palatino Linotype" w:cs="Arial"/>
          <w:b/>
          <w:bCs/>
          <w:color w:val="000000"/>
          <w:u w:val="single"/>
        </w:rPr>
        <w:t xml:space="preserve"> previstas en la legislación de transparencia aplicable. Entre ellas se encuentran la información relativa a contratos, procedimientos de adjudicación, montos, avances físicos y financieros, convenios modificatorios, finiquitos y demás información vinculada con el ejercicio de recursos públicos</w:t>
      </w:r>
      <w:r w:rsidR="00820555" w:rsidRPr="00F97C81">
        <w:rPr>
          <w:rFonts w:ascii="Palatino Linotype" w:hAnsi="Palatino Linotype" w:cs="Arial"/>
          <w:b/>
          <w:bCs/>
          <w:color w:val="000000"/>
          <w:u w:val="single"/>
        </w:rPr>
        <w:t xml:space="preserve">, luego entonces, la información invariablemente debe de obrar en el sistema IPOMEX (Información Pública de Oficio Mexiquense) destinado para tales efectos. </w:t>
      </w:r>
    </w:p>
    <w:p w14:paraId="5297DC04" w14:textId="77777777" w:rsidR="00A237B4" w:rsidRPr="00F97C81" w:rsidRDefault="00A237B4" w:rsidP="00566D97">
      <w:pPr>
        <w:spacing w:after="240" w:line="360" w:lineRule="auto"/>
        <w:jc w:val="both"/>
        <w:rPr>
          <w:rFonts w:ascii="Palatino Linotype" w:hAnsi="Palatino Linotype" w:cs="Arial"/>
          <w:b/>
          <w:bCs/>
          <w:color w:val="000000"/>
          <w:sz w:val="24"/>
          <w:lang w:val="es-ES_tradnl"/>
        </w:rPr>
      </w:pPr>
    </w:p>
    <w:p w14:paraId="55595520" w14:textId="3B22F900" w:rsidR="001D794F" w:rsidRPr="00F97C81" w:rsidRDefault="00E231B8" w:rsidP="00566D97">
      <w:pPr>
        <w:spacing w:after="240" w:line="360" w:lineRule="auto"/>
        <w:jc w:val="both"/>
        <w:rPr>
          <w:rFonts w:ascii="Palatino Linotype" w:hAnsi="Palatino Linotype" w:cs="Arial"/>
          <w:color w:val="000000"/>
          <w:sz w:val="24"/>
          <w:lang w:val="es-ES_tradnl"/>
        </w:rPr>
      </w:pPr>
      <w:r w:rsidRPr="00F97C81">
        <w:rPr>
          <w:rFonts w:ascii="Palatino Linotype" w:hAnsi="Palatino Linotype" w:cs="Arial"/>
          <w:color w:val="000000"/>
          <w:sz w:val="24"/>
          <w:lang w:val="es-ES_tradnl"/>
        </w:rPr>
        <w:t xml:space="preserve">Inconforme con la respuesta rendida por </w:t>
      </w:r>
      <w:r w:rsidRPr="00F97C81">
        <w:rPr>
          <w:rFonts w:ascii="Palatino Linotype" w:hAnsi="Palatino Linotype" w:cs="Arial"/>
          <w:b/>
          <w:bCs/>
          <w:color w:val="000000"/>
          <w:sz w:val="24"/>
          <w:lang w:val="es-ES_tradnl"/>
        </w:rPr>
        <w:t xml:space="preserve">El Sujeto Obligado, </w:t>
      </w:r>
      <w:r w:rsidR="00BC3E8F" w:rsidRPr="00F97C81">
        <w:rPr>
          <w:rFonts w:ascii="Palatino Linotype" w:hAnsi="Palatino Linotype" w:cs="Arial"/>
          <w:b/>
          <w:bCs/>
          <w:color w:val="000000"/>
          <w:sz w:val="24"/>
          <w:lang w:val="es-ES_tradnl"/>
        </w:rPr>
        <w:t>El</w:t>
      </w:r>
      <w:r w:rsidRPr="00F97C81">
        <w:rPr>
          <w:rFonts w:ascii="Palatino Linotype" w:hAnsi="Palatino Linotype" w:cs="Arial"/>
          <w:b/>
          <w:bCs/>
          <w:color w:val="000000"/>
          <w:sz w:val="24"/>
          <w:lang w:val="es-ES_tradnl"/>
        </w:rPr>
        <w:t xml:space="preserve"> Recurrente </w:t>
      </w:r>
      <w:r w:rsidRPr="00F97C81">
        <w:rPr>
          <w:rFonts w:ascii="Palatino Linotype" w:hAnsi="Palatino Linotype" w:cs="Arial"/>
          <w:color w:val="000000"/>
          <w:sz w:val="24"/>
          <w:lang w:val="es-ES_tradnl"/>
        </w:rPr>
        <w:t xml:space="preserve">interpuso recurso de revisión en fecha </w:t>
      </w:r>
      <w:r w:rsidR="00E11735" w:rsidRPr="00F97C81">
        <w:rPr>
          <w:rFonts w:ascii="Palatino Linotype" w:hAnsi="Palatino Linotype" w:cs="Arial"/>
          <w:b/>
          <w:bCs/>
          <w:color w:val="000000"/>
          <w:sz w:val="24"/>
          <w:lang w:val="es-ES_tradnl"/>
        </w:rPr>
        <w:t>ocho</w:t>
      </w:r>
      <w:r w:rsidR="001D794F" w:rsidRPr="00F97C81">
        <w:rPr>
          <w:rFonts w:ascii="Palatino Linotype" w:hAnsi="Palatino Linotype" w:cs="Arial"/>
          <w:b/>
          <w:bCs/>
          <w:color w:val="000000"/>
          <w:sz w:val="24"/>
          <w:lang w:val="es-ES_tradnl"/>
        </w:rPr>
        <w:t xml:space="preserve"> de junio, </w:t>
      </w:r>
      <w:r w:rsidR="001D794F" w:rsidRPr="00F97C81">
        <w:rPr>
          <w:rFonts w:ascii="Palatino Linotype" w:hAnsi="Palatino Linotype" w:cs="Arial"/>
          <w:color w:val="000000"/>
          <w:sz w:val="24"/>
          <w:lang w:val="es-ES_tradnl"/>
        </w:rPr>
        <w:t xml:space="preserve">admitiéndose el </w:t>
      </w:r>
      <w:r w:rsidR="00E11735" w:rsidRPr="00F97C81">
        <w:rPr>
          <w:rFonts w:ascii="Palatino Linotype" w:hAnsi="Palatino Linotype" w:cs="Arial"/>
          <w:b/>
          <w:bCs/>
          <w:color w:val="000000"/>
          <w:sz w:val="24"/>
          <w:lang w:val="es-ES_tradnl"/>
        </w:rPr>
        <w:t>diez</w:t>
      </w:r>
      <w:r w:rsidR="001D794F" w:rsidRPr="00F97C81">
        <w:rPr>
          <w:rFonts w:ascii="Palatino Linotype" w:hAnsi="Palatino Linotype" w:cs="Arial"/>
          <w:b/>
          <w:bCs/>
          <w:color w:val="000000"/>
          <w:sz w:val="24"/>
          <w:lang w:val="es-ES_tradnl"/>
        </w:rPr>
        <w:t xml:space="preserve"> de junio de dos mil veintiséis. </w:t>
      </w:r>
      <w:r w:rsidR="001D794F" w:rsidRPr="00F97C81">
        <w:rPr>
          <w:rFonts w:ascii="Palatino Linotype" w:hAnsi="Palatino Linotype" w:cs="Arial"/>
          <w:color w:val="000000"/>
          <w:sz w:val="24"/>
          <w:lang w:val="es-ES_tradnl"/>
        </w:rPr>
        <w:t xml:space="preserve">Señalando como acto impugnado y como razones o motivos de inconformidad: </w:t>
      </w:r>
    </w:p>
    <w:p w14:paraId="12B91924" w14:textId="77777777" w:rsidR="001D794F" w:rsidRPr="00F97C81" w:rsidRDefault="001D794F" w:rsidP="001D794F">
      <w:pPr>
        <w:spacing w:before="240" w:line="360" w:lineRule="auto"/>
        <w:jc w:val="both"/>
        <w:rPr>
          <w:rFonts w:ascii="Palatino Linotype" w:hAnsi="Palatino Linotype" w:cs="Arial"/>
          <w:b/>
          <w:sz w:val="24"/>
        </w:rPr>
      </w:pPr>
      <w:r w:rsidRPr="00F97C81">
        <w:rPr>
          <w:rFonts w:ascii="Palatino Linotype" w:hAnsi="Palatino Linotype" w:cs="Arial"/>
          <w:b/>
          <w:sz w:val="24"/>
        </w:rPr>
        <w:t>Acto Impugnado:</w:t>
      </w:r>
    </w:p>
    <w:p w14:paraId="62063425" w14:textId="77777777" w:rsidR="001D794F" w:rsidRPr="00F97C81" w:rsidRDefault="001D794F" w:rsidP="001D794F">
      <w:pPr>
        <w:pStyle w:val="Citas"/>
        <w:rPr>
          <w:b/>
          <w:bCs/>
          <w:sz w:val="24"/>
        </w:rPr>
      </w:pPr>
      <w:r w:rsidRPr="00F97C81">
        <w:lastRenderedPageBreak/>
        <w:t xml:space="preserve">“Se impugna la respuesta emitida por la Dirección de Obras Públicas mediante oficio PMC/DOP/0308/2026 de fecha 02 de junio de 2026, así como la respuesta emitida por la Tesorería Municipal mediante oficio PMC/TM/0208/2026 de fecha 20 de mayo de 2026, dentro de la solicitud de información folio 00119/CALIMAYA/IP/2026. Lo anterior, debido a que el sujeto obligado omitió proporcionar la documentación solicitada relativa a expedientes técnicos, contratos, estimaciones, números generadores, bitácoras, finiquitos, facturas, pólizas, actas de entrega-recepción y demás documentación relacionada con las obras públicas ejecutadas durante el ejercicio fiscal 2025, argumentando que los expedientes originales fueron remitidos al Órgano Superior de Fiscalización del Estado de México (OSFEM) con motivo de una auditoría. Dicha circunstancia no constituye impedimento legal para el acceso a la información pública, toda vez que el propio sujeto obligado reconoce expresamente la existencia de la documentación solicitada, sin acreditar imposibilidad jurídica o material para proporcionar copias, versiones digitales o versiones públicas de la misma” </w:t>
      </w:r>
      <w:r w:rsidRPr="00F97C81">
        <w:rPr>
          <w:b/>
          <w:bCs/>
        </w:rPr>
        <w:t>(Sic)</w:t>
      </w:r>
    </w:p>
    <w:p w14:paraId="230B66E1" w14:textId="77777777" w:rsidR="001D794F" w:rsidRPr="00F97C81" w:rsidRDefault="001D794F" w:rsidP="001D794F">
      <w:pPr>
        <w:spacing w:before="240" w:line="360" w:lineRule="auto"/>
        <w:jc w:val="both"/>
        <w:rPr>
          <w:rFonts w:ascii="Palatino Linotype" w:hAnsi="Palatino Linotype" w:cs="Arial"/>
          <w:sz w:val="24"/>
        </w:rPr>
      </w:pPr>
      <w:r w:rsidRPr="00F97C81">
        <w:rPr>
          <w:rFonts w:ascii="Palatino Linotype" w:hAnsi="Palatino Linotype" w:cs="Arial"/>
          <w:b/>
          <w:sz w:val="24"/>
        </w:rPr>
        <w:t>Razones o Motivos de Inconformidad</w:t>
      </w:r>
      <w:r w:rsidRPr="00F97C81">
        <w:rPr>
          <w:rFonts w:ascii="Palatino Linotype" w:hAnsi="Palatino Linotype" w:cs="Arial"/>
          <w:sz w:val="24"/>
        </w:rPr>
        <w:t xml:space="preserve">: </w:t>
      </w:r>
    </w:p>
    <w:p w14:paraId="07768DC0" w14:textId="77777777" w:rsidR="001D794F" w:rsidRPr="00F97C81" w:rsidRDefault="001D794F" w:rsidP="001D794F">
      <w:pPr>
        <w:pStyle w:val="Citas"/>
        <w:rPr>
          <w:b/>
          <w:bCs/>
        </w:rPr>
      </w:pPr>
      <w:r w:rsidRPr="00F97C81">
        <w:t xml:space="preserve">“PRIMERO. El sujeto obligado reconoció expresamente la existencia de la documentación solicitada, incluyendo expedientes técnicos, contratos, presupuestos, catálogos de conceptos, números generadores, estimaciones, bitácoras, convenios modificatorios, pólizas, facturas, fotografías, pruebas de laboratorio, actas de entrega-recepción, finiquitos y demás documentación relacionada con las obras públicas ejecutadas durante el ejercicio fiscal 2025. SEGUNDO. No obstante reconocer la existencia de dicha documentación, el sujeto obligado omitió entregarla al solicitante, limitándose a manifestar que los expedientes originales fueron remitidos al Órgano Superior de Fiscalización del Estado de México (OSFEM) con motivo de una </w:t>
      </w:r>
      <w:r w:rsidRPr="00F97C81">
        <w:lastRenderedPageBreak/>
        <w:t xml:space="preserve">auditoría en curso. TERCERO. La remisión de documentación a una autoridad fiscalizadora no constituye una causal de reserva, confidencialidad, inexistencia o imposibilidad de acceso prevista en la Ley de Transparencia y Acceso a la Información Pública del Estado de México y Municipios, por lo que no justifica la negativa de acceso a la información solicitada. CUARTO. El sujeto obligado no acreditó imposibilidad material o jurídica para proporcionar copias simples, copias certificadas, versiones digitales o versiones públicas de los documentos requeridos, ni señaló la existencia de alguna clasificación formal aprobada por el Comité de Transparencia que restringiera su entrega. QUINTO. La respuesta resulta carente de exhaustividad, ya que únicamente se proporcionó información parcial relativa al Programa Anual de Obra y referencias generales a documentación entregada al OSFEM, omitiéndose la entrega de los expedientes y documentos específicos expresamente solicitados. SEXTO. El propio sujeto obligado identificó de manera precisa los expedientes, contratos y documentación que obran en sus archivos y que fueron entregados para efectos de auditoría, circunstancia que acredita plenamente la existencia de la información solicitada y desvirtúa cualquier argumento que pretenda justificar su falta de entrega. SÉPTIMO. La respuesta vulnera los principios de máxima publicidad, exhaustividad, transparencia y rendición de cuentas, al impedir el acceso a documentación relacionada con el ejercicio de recursos públicos destinados a la ejecución de obra pública municipal. Por lo anterior, solicito se revoque o modifique la respuesta impugnada y se ordene al sujeto obligado realizar una búsqueda exhaustiva y proporcionar la totalidad de la documentación solicitada, en versión pública cuando corresponda, garantizando plenamente el derecho de acceso a la información” </w:t>
      </w:r>
      <w:r w:rsidRPr="00F97C81">
        <w:rPr>
          <w:b/>
          <w:bCs/>
        </w:rPr>
        <w:t>(Sic)</w:t>
      </w:r>
    </w:p>
    <w:p w14:paraId="7068FAB8" w14:textId="77777777" w:rsidR="001D794F" w:rsidRPr="00F97C81" w:rsidRDefault="001D794F" w:rsidP="00566D97">
      <w:pPr>
        <w:spacing w:after="240" w:line="360" w:lineRule="auto"/>
        <w:jc w:val="both"/>
        <w:rPr>
          <w:rFonts w:ascii="Palatino Linotype" w:hAnsi="Palatino Linotype" w:cs="Arial"/>
          <w:color w:val="000000"/>
          <w:sz w:val="24"/>
        </w:rPr>
      </w:pPr>
    </w:p>
    <w:p w14:paraId="38F6BE71" w14:textId="261CBAFC" w:rsidR="001D794F" w:rsidRPr="00F97C81" w:rsidRDefault="001D794F" w:rsidP="001D794F">
      <w:pPr>
        <w:tabs>
          <w:tab w:val="left" w:pos="709"/>
        </w:tabs>
        <w:spacing w:before="240" w:line="360" w:lineRule="auto"/>
        <w:ind w:right="51"/>
        <w:jc w:val="both"/>
        <w:rPr>
          <w:rFonts w:ascii="Palatino Linotype" w:hAnsi="Palatino Linotype" w:cs="Arial"/>
          <w:sz w:val="24"/>
          <w:szCs w:val="24"/>
        </w:rPr>
      </w:pPr>
      <w:r w:rsidRPr="00F97C81">
        <w:rPr>
          <w:rFonts w:ascii="Palatino Linotype" w:hAnsi="Palatino Linotype"/>
          <w:sz w:val="24"/>
          <w:szCs w:val="24"/>
        </w:rPr>
        <w:lastRenderedPageBreak/>
        <w:t xml:space="preserve">Luego entonces, la parte de la solicitud sobre la que no se expresó inconformidad </w:t>
      </w:r>
      <w:r w:rsidRPr="00F97C81">
        <w:rPr>
          <w:rFonts w:ascii="Palatino Linotype" w:hAnsi="Palatino Linotype"/>
          <w:b/>
          <w:bCs/>
          <w:sz w:val="24"/>
          <w:szCs w:val="24"/>
        </w:rPr>
        <w:t xml:space="preserve">(punto 1) </w:t>
      </w:r>
      <w:r w:rsidRPr="00F97C81">
        <w:rPr>
          <w:rFonts w:ascii="Palatino Linotype" w:hAnsi="Palatino Linotype"/>
          <w:sz w:val="24"/>
          <w:szCs w:val="24"/>
          <w:lang w:eastAsia="es-MX"/>
        </w:rPr>
        <w:t xml:space="preserve">debe declararse consentida por el hoy </w:t>
      </w:r>
      <w:r w:rsidRPr="00F97C81">
        <w:rPr>
          <w:rFonts w:ascii="Palatino Linotype" w:hAnsi="Palatino Linotype"/>
          <w:b/>
          <w:sz w:val="24"/>
          <w:szCs w:val="24"/>
          <w:lang w:eastAsia="es-MX"/>
        </w:rPr>
        <w:t xml:space="preserve">Recurrente, </w:t>
      </w:r>
      <w:r w:rsidRPr="00F97C81">
        <w:rPr>
          <w:rFonts w:ascii="Palatino Linotype" w:hAnsi="Palatino Linotype"/>
          <w:sz w:val="24"/>
          <w:szCs w:val="24"/>
          <w:lang w:eastAsia="es-MX"/>
        </w:rPr>
        <w:t xml:space="preserve">ya que </w:t>
      </w:r>
      <w:r w:rsidRPr="00F97C81">
        <w:rPr>
          <w:rFonts w:ascii="Palatino Linotype" w:hAnsi="Palatino Linotype" w:cs="Arial"/>
          <w:sz w:val="24"/>
          <w:szCs w:val="24"/>
          <w:lang w:eastAsia="es-MX"/>
        </w:rPr>
        <w:t xml:space="preserve">no pueden producirse efectos jurídicos tendentes a revocar, confirmar o modificar la parte de la respuesta con relación a la parte de la solicitud que no fue motivo de disenso ya que se infiere un consentimiento del </w:t>
      </w:r>
      <w:r w:rsidRPr="00F97C81">
        <w:rPr>
          <w:rFonts w:ascii="Palatino Linotype" w:hAnsi="Palatino Linotype" w:cs="Arial"/>
          <w:b/>
          <w:sz w:val="24"/>
          <w:szCs w:val="24"/>
          <w:lang w:eastAsia="es-MX"/>
        </w:rPr>
        <w:t>Recurrente</w:t>
      </w:r>
      <w:r w:rsidRPr="00F97C81">
        <w:rPr>
          <w:rFonts w:ascii="Palatino Linotype" w:hAnsi="Palatino Linotype" w:cs="Arial"/>
          <w:sz w:val="24"/>
          <w:szCs w:val="24"/>
          <w:lang w:eastAsia="es-MX"/>
        </w:rPr>
        <w:t xml:space="preserve"> ante la falta de impugnación eficaz. </w:t>
      </w:r>
      <w:r w:rsidRPr="00F97C81">
        <w:rPr>
          <w:rFonts w:ascii="Palatino Linotype" w:hAnsi="Palatino Linotype" w:cs="Arial"/>
          <w:sz w:val="24"/>
          <w:szCs w:val="24"/>
        </w:rPr>
        <w:t xml:space="preserve">Sirve de sustento a lo anterior, por analogía, la tesis jurisprudencial, que a la letra dice: </w:t>
      </w:r>
    </w:p>
    <w:p w14:paraId="6CF4D88E" w14:textId="77777777" w:rsidR="001D794F" w:rsidRPr="00F97C81" w:rsidRDefault="001D794F" w:rsidP="001D794F">
      <w:pPr>
        <w:pStyle w:val="Prrafodelista"/>
        <w:spacing w:before="240" w:after="160" w:line="360" w:lineRule="auto"/>
        <w:ind w:left="851" w:right="851"/>
        <w:jc w:val="both"/>
        <w:rPr>
          <w:rFonts w:ascii="Palatino Linotype" w:hAnsi="Palatino Linotype"/>
          <w:i/>
          <w:sz w:val="22"/>
          <w:szCs w:val="22"/>
        </w:rPr>
      </w:pPr>
      <w:r w:rsidRPr="00F97C81">
        <w:rPr>
          <w:rFonts w:ascii="Palatino Linotype" w:hAnsi="Palatino Linotype"/>
          <w:i/>
          <w:sz w:val="22"/>
          <w:szCs w:val="22"/>
        </w:rPr>
        <w:t>“Época: Novena</w:t>
      </w:r>
    </w:p>
    <w:p w14:paraId="0824A1D2" w14:textId="77777777" w:rsidR="001D794F" w:rsidRPr="00F97C81" w:rsidRDefault="001D794F" w:rsidP="001D794F">
      <w:pPr>
        <w:pStyle w:val="Prrafodelista"/>
        <w:spacing w:before="240" w:after="160" w:line="360" w:lineRule="auto"/>
        <w:ind w:left="851" w:right="851"/>
        <w:jc w:val="both"/>
        <w:rPr>
          <w:rFonts w:ascii="Palatino Linotype" w:hAnsi="Palatino Linotype"/>
          <w:i/>
          <w:sz w:val="22"/>
          <w:szCs w:val="22"/>
        </w:rPr>
      </w:pPr>
      <w:r w:rsidRPr="00F97C81">
        <w:rPr>
          <w:rFonts w:ascii="Palatino Linotype" w:hAnsi="Palatino Linotype"/>
          <w:i/>
          <w:sz w:val="22"/>
          <w:szCs w:val="22"/>
        </w:rPr>
        <w:t>Registro: 176608</w:t>
      </w:r>
    </w:p>
    <w:p w14:paraId="0060ADDD" w14:textId="77777777" w:rsidR="001D794F" w:rsidRPr="00F97C81" w:rsidRDefault="001D794F" w:rsidP="001D794F">
      <w:pPr>
        <w:pStyle w:val="Prrafodelista"/>
        <w:spacing w:before="240" w:after="160" w:line="360" w:lineRule="auto"/>
        <w:ind w:left="851" w:right="851"/>
        <w:jc w:val="both"/>
        <w:rPr>
          <w:rFonts w:ascii="Palatino Linotype" w:hAnsi="Palatino Linotype"/>
          <w:i/>
          <w:sz w:val="22"/>
          <w:szCs w:val="22"/>
        </w:rPr>
      </w:pPr>
      <w:r w:rsidRPr="00F97C81">
        <w:rPr>
          <w:rFonts w:ascii="Palatino Linotype" w:hAnsi="Palatino Linotype"/>
          <w:i/>
          <w:sz w:val="22"/>
          <w:szCs w:val="22"/>
        </w:rPr>
        <w:t>Tipo de tesis: Jurisprudencia</w:t>
      </w:r>
    </w:p>
    <w:p w14:paraId="17FAB015" w14:textId="77777777" w:rsidR="001D794F" w:rsidRPr="00F97C81" w:rsidRDefault="001D794F" w:rsidP="001D794F">
      <w:pPr>
        <w:pStyle w:val="Prrafodelista"/>
        <w:spacing w:before="240" w:after="160" w:line="360" w:lineRule="auto"/>
        <w:ind w:left="851" w:right="851"/>
        <w:jc w:val="both"/>
        <w:rPr>
          <w:rFonts w:ascii="Palatino Linotype" w:hAnsi="Palatino Linotype"/>
          <w:i/>
          <w:sz w:val="22"/>
          <w:szCs w:val="22"/>
        </w:rPr>
      </w:pPr>
      <w:r w:rsidRPr="00F97C81">
        <w:rPr>
          <w:rFonts w:ascii="Palatino Linotype" w:hAnsi="Palatino Linotype"/>
          <w:i/>
          <w:sz w:val="22"/>
          <w:szCs w:val="22"/>
        </w:rPr>
        <w:t>Fuente: Semanario Judicial de la Federación y su Gaceta</w:t>
      </w:r>
    </w:p>
    <w:p w14:paraId="0741E356" w14:textId="77777777" w:rsidR="001D794F" w:rsidRPr="00F97C81" w:rsidRDefault="001D794F" w:rsidP="001D794F">
      <w:pPr>
        <w:pStyle w:val="Prrafodelista"/>
        <w:spacing w:before="240" w:after="160" w:line="360" w:lineRule="auto"/>
        <w:ind w:left="851" w:right="851"/>
        <w:jc w:val="both"/>
        <w:rPr>
          <w:rFonts w:ascii="Palatino Linotype" w:hAnsi="Palatino Linotype"/>
          <w:i/>
          <w:sz w:val="22"/>
          <w:szCs w:val="22"/>
        </w:rPr>
      </w:pPr>
      <w:r w:rsidRPr="00F97C81">
        <w:rPr>
          <w:rFonts w:ascii="Palatino Linotype" w:hAnsi="Palatino Linotype"/>
          <w:i/>
          <w:sz w:val="22"/>
          <w:szCs w:val="22"/>
        </w:rPr>
        <w:t>Diciembre de 2005, Tomo XXII</w:t>
      </w:r>
    </w:p>
    <w:p w14:paraId="05BB0396" w14:textId="77777777" w:rsidR="001D794F" w:rsidRPr="00F97C81" w:rsidRDefault="001D794F" w:rsidP="001D794F">
      <w:pPr>
        <w:pStyle w:val="Prrafodelista"/>
        <w:spacing w:before="240" w:after="160" w:line="360" w:lineRule="auto"/>
        <w:ind w:left="851" w:right="851"/>
        <w:jc w:val="both"/>
        <w:rPr>
          <w:rFonts w:ascii="Palatino Linotype" w:hAnsi="Palatino Linotype"/>
          <w:i/>
          <w:sz w:val="22"/>
          <w:szCs w:val="22"/>
        </w:rPr>
      </w:pPr>
      <w:r w:rsidRPr="00F97C81">
        <w:rPr>
          <w:rFonts w:ascii="Palatino Linotype" w:hAnsi="Palatino Linotype"/>
          <w:i/>
          <w:sz w:val="22"/>
          <w:szCs w:val="22"/>
        </w:rPr>
        <w:t>Materia (s): Común</w:t>
      </w:r>
    </w:p>
    <w:p w14:paraId="72855701" w14:textId="77777777" w:rsidR="001D794F" w:rsidRPr="00F97C81" w:rsidRDefault="001D794F" w:rsidP="001D794F">
      <w:pPr>
        <w:pStyle w:val="Prrafodelista"/>
        <w:spacing w:before="240" w:after="160" w:line="360" w:lineRule="auto"/>
        <w:ind w:left="851" w:right="851"/>
        <w:jc w:val="both"/>
        <w:rPr>
          <w:rFonts w:ascii="Palatino Linotype" w:hAnsi="Palatino Linotype"/>
          <w:i/>
          <w:sz w:val="22"/>
          <w:szCs w:val="22"/>
        </w:rPr>
      </w:pPr>
      <w:r w:rsidRPr="00F97C81">
        <w:rPr>
          <w:rFonts w:ascii="Palatino Linotype" w:hAnsi="Palatino Linotype"/>
          <w:i/>
          <w:sz w:val="22"/>
          <w:szCs w:val="22"/>
        </w:rPr>
        <w:t>Tesis: VI. 3o.C. J/60</w:t>
      </w:r>
    </w:p>
    <w:p w14:paraId="0067B8A2" w14:textId="77777777" w:rsidR="001D794F" w:rsidRPr="00F97C81" w:rsidRDefault="001D794F" w:rsidP="001D794F">
      <w:pPr>
        <w:pStyle w:val="Prrafodelista"/>
        <w:spacing w:before="240" w:after="160" w:line="360" w:lineRule="auto"/>
        <w:ind w:left="851" w:right="851"/>
        <w:jc w:val="both"/>
        <w:rPr>
          <w:rFonts w:ascii="Palatino Linotype" w:hAnsi="Palatino Linotype"/>
          <w:i/>
          <w:sz w:val="22"/>
          <w:szCs w:val="22"/>
        </w:rPr>
      </w:pPr>
      <w:r w:rsidRPr="00F97C81">
        <w:rPr>
          <w:rFonts w:ascii="Palatino Linotype" w:hAnsi="Palatino Linotype"/>
          <w:i/>
          <w:sz w:val="22"/>
          <w:szCs w:val="22"/>
        </w:rPr>
        <w:t>Página: 2365</w:t>
      </w:r>
    </w:p>
    <w:p w14:paraId="2622E0DE" w14:textId="77777777" w:rsidR="001D794F" w:rsidRPr="00F97C81" w:rsidRDefault="001D794F" w:rsidP="001D794F">
      <w:pPr>
        <w:spacing w:before="240" w:line="360" w:lineRule="auto"/>
        <w:ind w:left="851" w:right="851"/>
        <w:jc w:val="both"/>
        <w:rPr>
          <w:rFonts w:ascii="Palatino Linotype" w:hAnsi="Palatino Linotype" w:cs="Arial"/>
          <w:i/>
          <w:lang w:eastAsia="es-MX"/>
        </w:rPr>
      </w:pPr>
      <w:r w:rsidRPr="00F97C81">
        <w:rPr>
          <w:rFonts w:ascii="Palatino Linotype" w:hAnsi="Palatino Linotype" w:cs="Arial"/>
          <w:i/>
          <w:lang w:eastAsia="es-MX"/>
        </w:rPr>
        <w:t xml:space="preserve"> </w:t>
      </w:r>
      <w:r w:rsidRPr="00F97C81">
        <w:rPr>
          <w:rFonts w:ascii="Palatino Linotype" w:hAnsi="Palatino Linotype" w:cs="Arial"/>
          <w:b/>
          <w:i/>
          <w:lang w:eastAsia="es-MX"/>
        </w:rPr>
        <w:t>ACTOS CONSENTIDOS. SON LOS QUE NO SE IMPUGNAN MEDIANTE EL RECURSO IDÓNEO</w:t>
      </w:r>
      <w:r w:rsidRPr="00F97C81">
        <w:rPr>
          <w:rFonts w:ascii="Palatino Linotype" w:hAnsi="Palatino Linotype" w:cs="Arial"/>
          <w:i/>
          <w:lang w:eastAsia="es-MX"/>
        </w:rPr>
        <w:t xml:space="preserve">. </w:t>
      </w:r>
    </w:p>
    <w:p w14:paraId="2319591A" w14:textId="77777777" w:rsidR="001D794F" w:rsidRPr="00F97C81" w:rsidRDefault="001D794F" w:rsidP="001D794F">
      <w:pPr>
        <w:spacing w:before="240" w:line="360" w:lineRule="auto"/>
        <w:ind w:left="851" w:right="851"/>
        <w:jc w:val="both"/>
        <w:rPr>
          <w:rFonts w:ascii="Palatino Linotype" w:hAnsi="Palatino Linotype" w:cs="Arial"/>
          <w:i/>
          <w:lang w:eastAsia="es-MX"/>
        </w:rPr>
      </w:pPr>
      <w:r w:rsidRPr="00F97C81">
        <w:rPr>
          <w:rFonts w:ascii="Palatino Linotype" w:hAnsi="Palatino Linotype" w:cs="Arial"/>
          <w:i/>
          <w:lang w:eastAsia="es-MX"/>
        </w:rPr>
        <w:t xml:space="preserve">Debe reputarse como consentido el acto que no se impugnó por el medio establecido por la ley, ya que si se hizo uso de otro no previsto por ella o si se hace una simple manifestación de inconformidad, tales actuaciones no producen efectos jurídicos </w:t>
      </w:r>
      <w:r w:rsidRPr="00F97C81">
        <w:rPr>
          <w:rFonts w:ascii="Palatino Linotype" w:hAnsi="Palatino Linotype" w:cs="Arial"/>
          <w:i/>
          <w:lang w:eastAsia="es-MX"/>
        </w:rPr>
        <w:lastRenderedPageBreak/>
        <w:t>tendientes a revocar, confirmar o modificar el acto reclamado en amparo, lo que significa consentimiento del mismo por falta de impugnación eficaz.</w:t>
      </w:r>
    </w:p>
    <w:p w14:paraId="1E7C0201" w14:textId="77777777" w:rsidR="001D794F" w:rsidRPr="00F97C81" w:rsidRDefault="001D794F" w:rsidP="001D794F">
      <w:pPr>
        <w:spacing w:before="240" w:line="360" w:lineRule="auto"/>
        <w:ind w:left="851" w:right="851"/>
        <w:jc w:val="both"/>
        <w:rPr>
          <w:rFonts w:ascii="Palatino Linotype" w:eastAsia="Times New Roman" w:hAnsi="Palatino Linotype" w:cs="Calibri"/>
          <w:i/>
          <w:color w:val="000000"/>
          <w:lang w:eastAsia="es-MX"/>
        </w:rPr>
      </w:pPr>
      <w:r w:rsidRPr="00F97C81">
        <w:rPr>
          <w:rFonts w:ascii="Palatino Linotype" w:eastAsia="Times New Roman" w:hAnsi="Palatino Linotype" w:cs="Calibri"/>
          <w:i/>
          <w:color w:val="000000"/>
          <w:lang w:eastAsia="es-MX"/>
        </w:rPr>
        <w:t>TERCER TRIBUNAL COLEGIADO EN MATERIA CIVIL DEL SEXTO CIRCUITO.</w:t>
      </w:r>
    </w:p>
    <w:p w14:paraId="1665A5C0" w14:textId="77777777" w:rsidR="001D794F" w:rsidRPr="00F97C81" w:rsidRDefault="001D794F" w:rsidP="001D794F">
      <w:pPr>
        <w:spacing w:before="240" w:line="360" w:lineRule="auto"/>
        <w:ind w:left="851" w:right="851"/>
        <w:jc w:val="both"/>
        <w:rPr>
          <w:rFonts w:ascii="Palatino Linotype" w:eastAsia="Times New Roman" w:hAnsi="Palatino Linotype" w:cs="Calibri"/>
          <w:i/>
          <w:color w:val="444444"/>
          <w:lang w:eastAsia="es-MX"/>
        </w:rPr>
      </w:pPr>
      <w:r w:rsidRPr="00F97C81">
        <w:rPr>
          <w:rFonts w:ascii="Palatino Linotype" w:eastAsia="Times New Roman" w:hAnsi="Palatino Linotype" w:cs="Calibri"/>
          <w:i/>
          <w:color w:val="444444"/>
          <w:lang w:eastAsia="es-MX"/>
        </w:rPr>
        <w:t>Amparo en revisión 2/90. Germán Miguel Núñez Rivera. 13 de noviembre de 1990. Unanimidad de votos. Ponente: Juan Manuel Brito Velázquez. Secretaria: Luz del Carmen Herrera Calderón.</w:t>
      </w:r>
    </w:p>
    <w:p w14:paraId="549471DE" w14:textId="77777777" w:rsidR="001D794F" w:rsidRPr="00F97C81" w:rsidRDefault="001D794F" w:rsidP="001D794F">
      <w:pPr>
        <w:spacing w:before="240" w:line="360" w:lineRule="auto"/>
        <w:ind w:left="851" w:right="851"/>
        <w:jc w:val="both"/>
        <w:rPr>
          <w:rFonts w:ascii="Palatino Linotype" w:eastAsia="Times New Roman" w:hAnsi="Palatino Linotype" w:cs="Calibri"/>
          <w:i/>
          <w:color w:val="444444"/>
          <w:lang w:eastAsia="es-MX"/>
        </w:rPr>
      </w:pPr>
      <w:r w:rsidRPr="00F97C81">
        <w:rPr>
          <w:rFonts w:ascii="Palatino Linotype" w:eastAsia="Times New Roman" w:hAnsi="Palatino Linotype" w:cs="Calibri"/>
          <w:i/>
          <w:color w:val="444444"/>
          <w:lang w:eastAsia="es-MX"/>
        </w:rPr>
        <w:t>Amparo en revisión 393/90. Amparo Naylor Hernández y otros. 6 de diciembre de 1990. Unanimidad de votos. Ponente: Juan Manuel Brito Velázquez. Secretaria: María Dolores Olarte Ruvalcaba.</w:t>
      </w:r>
    </w:p>
    <w:p w14:paraId="5DE1378D" w14:textId="77777777" w:rsidR="001D794F" w:rsidRPr="00F97C81" w:rsidRDefault="001D794F" w:rsidP="001D794F">
      <w:pPr>
        <w:spacing w:before="240" w:line="360" w:lineRule="auto"/>
        <w:ind w:left="851" w:right="851"/>
        <w:jc w:val="both"/>
        <w:rPr>
          <w:rFonts w:ascii="Palatino Linotype" w:eastAsia="Times New Roman" w:hAnsi="Palatino Linotype" w:cs="Calibri"/>
          <w:i/>
          <w:color w:val="444444"/>
          <w:lang w:eastAsia="es-MX"/>
        </w:rPr>
      </w:pPr>
      <w:r w:rsidRPr="00F97C81">
        <w:rPr>
          <w:rFonts w:ascii="Palatino Linotype" w:eastAsia="Times New Roman" w:hAnsi="Palatino Linotype" w:cs="Calibri"/>
          <w:i/>
          <w:color w:val="444444"/>
          <w:lang w:eastAsia="es-MX"/>
        </w:rPr>
        <w:t>Amparo directo 352/2000. Omar González Morales. 1o. de septiembre de 2000. Unanimidad de votos. Ponente: Teresa Munguía Sánchez. Secretaria: Julieta Esther Fernández Gaona.</w:t>
      </w:r>
    </w:p>
    <w:p w14:paraId="241CF743" w14:textId="77777777" w:rsidR="001D794F" w:rsidRPr="00F97C81" w:rsidRDefault="001D794F" w:rsidP="001D794F">
      <w:pPr>
        <w:spacing w:before="240" w:line="360" w:lineRule="auto"/>
        <w:ind w:left="851" w:right="851"/>
        <w:jc w:val="both"/>
        <w:rPr>
          <w:rFonts w:ascii="Palatino Linotype" w:eastAsia="Times New Roman" w:hAnsi="Palatino Linotype" w:cs="Calibri"/>
          <w:i/>
          <w:color w:val="444444"/>
          <w:lang w:eastAsia="es-MX"/>
        </w:rPr>
      </w:pPr>
      <w:r w:rsidRPr="00F97C81">
        <w:rPr>
          <w:rFonts w:ascii="Palatino Linotype" w:eastAsia="Times New Roman" w:hAnsi="Palatino Linotype" w:cs="Calibri"/>
          <w:i/>
          <w:color w:val="444444"/>
          <w:lang w:eastAsia="es-MX"/>
        </w:rPr>
        <w:t xml:space="preserve">Amparo directo 366/2005. Virginia Quixihuitl Burgos y otra. 14 de octubre de 2005. Unanimidad de votos. Ponente: Norma </w:t>
      </w:r>
      <w:proofErr w:type="spellStart"/>
      <w:r w:rsidRPr="00F97C81">
        <w:rPr>
          <w:rFonts w:ascii="Palatino Linotype" w:eastAsia="Times New Roman" w:hAnsi="Palatino Linotype" w:cs="Calibri"/>
          <w:i/>
          <w:color w:val="444444"/>
          <w:lang w:eastAsia="es-MX"/>
        </w:rPr>
        <w:t>Fiallega</w:t>
      </w:r>
      <w:proofErr w:type="spellEnd"/>
      <w:r w:rsidRPr="00F97C81">
        <w:rPr>
          <w:rFonts w:ascii="Palatino Linotype" w:eastAsia="Times New Roman" w:hAnsi="Palatino Linotype" w:cs="Calibri"/>
          <w:i/>
          <w:color w:val="444444"/>
          <w:lang w:eastAsia="es-MX"/>
        </w:rPr>
        <w:t xml:space="preserve"> Sánchez. Secretario: Horacio Óscar Rosete Mentado.</w:t>
      </w:r>
    </w:p>
    <w:p w14:paraId="0646936B" w14:textId="77777777" w:rsidR="001D794F" w:rsidRPr="00F97C81" w:rsidRDefault="001D794F" w:rsidP="001D794F">
      <w:pPr>
        <w:spacing w:before="240" w:line="360" w:lineRule="auto"/>
        <w:ind w:left="851" w:right="851"/>
        <w:jc w:val="both"/>
        <w:rPr>
          <w:rFonts w:ascii="Palatino Linotype" w:eastAsia="Times New Roman" w:hAnsi="Palatino Linotype" w:cs="Calibri"/>
          <w:b/>
          <w:i/>
          <w:color w:val="444444"/>
          <w:lang w:eastAsia="es-MX"/>
        </w:rPr>
      </w:pPr>
      <w:r w:rsidRPr="00F97C81">
        <w:rPr>
          <w:rFonts w:ascii="Palatino Linotype" w:eastAsia="Times New Roman" w:hAnsi="Palatino Linotype" w:cs="Calibri"/>
          <w:i/>
          <w:color w:val="444444"/>
          <w:lang w:eastAsia="es-MX"/>
        </w:rPr>
        <w:t xml:space="preserve">Amparo en revisión 353/2005. Francisco Torres Coronel y otro. 4 de noviembre de 2005. Unanimidad de votos. Ponente: Filiberto Méndez Gutiérrez. Secretaria: Carla Isselín Talavera.” </w:t>
      </w:r>
      <w:r w:rsidRPr="00F97C81">
        <w:rPr>
          <w:rFonts w:ascii="Palatino Linotype" w:eastAsia="Times New Roman" w:hAnsi="Palatino Linotype" w:cs="Calibri"/>
          <w:b/>
          <w:i/>
          <w:color w:val="444444"/>
          <w:lang w:eastAsia="es-MX"/>
        </w:rPr>
        <w:t>[Sic]</w:t>
      </w:r>
    </w:p>
    <w:p w14:paraId="6767BDBD" w14:textId="77777777" w:rsidR="001D794F" w:rsidRPr="00F97C81" w:rsidRDefault="001D794F" w:rsidP="001D794F">
      <w:pPr>
        <w:spacing w:after="0" w:line="360" w:lineRule="auto"/>
        <w:jc w:val="both"/>
        <w:rPr>
          <w:rFonts w:ascii="Palatino Linotype" w:hAnsi="Palatino Linotype" w:cs="Arial"/>
          <w:noProof/>
          <w:color w:val="000000"/>
          <w:sz w:val="24"/>
          <w:lang w:eastAsia="es-MX"/>
        </w:rPr>
      </w:pPr>
    </w:p>
    <w:p w14:paraId="5C922DAF" w14:textId="373E2D97" w:rsidR="001D794F" w:rsidRPr="00F97C81" w:rsidRDefault="001D794F" w:rsidP="001D794F">
      <w:pPr>
        <w:spacing w:after="0" w:line="360" w:lineRule="auto"/>
        <w:jc w:val="both"/>
        <w:rPr>
          <w:rFonts w:ascii="Palatino Linotype" w:hAnsi="Palatino Linotype" w:cs="Arial"/>
          <w:noProof/>
          <w:color w:val="000000"/>
          <w:sz w:val="24"/>
          <w:lang w:eastAsia="es-MX"/>
        </w:rPr>
      </w:pPr>
      <w:r w:rsidRPr="00F97C81">
        <w:rPr>
          <w:rFonts w:ascii="Palatino Linotype" w:hAnsi="Palatino Linotype" w:cs="Arial"/>
          <w:noProof/>
          <w:color w:val="000000"/>
          <w:sz w:val="24"/>
          <w:lang w:eastAsia="es-MX"/>
        </w:rPr>
        <w:lastRenderedPageBreak/>
        <w:t xml:space="preserve">De forma complementaria, robustece lo anterior el criterio </w:t>
      </w:r>
      <w:r w:rsidRPr="00F97C81">
        <w:rPr>
          <w:rFonts w:ascii="Palatino Linotype" w:hAnsi="Palatino Linotype" w:cs="Arial"/>
          <w:b/>
          <w:bCs/>
          <w:noProof/>
          <w:color w:val="000000"/>
          <w:sz w:val="24"/>
          <w:lang w:eastAsia="es-MX"/>
        </w:rPr>
        <w:t xml:space="preserve">01/20 </w:t>
      </w:r>
      <w:r w:rsidRPr="00F97C81">
        <w:rPr>
          <w:rFonts w:ascii="Palatino Linotype" w:hAnsi="Palatino Linotype" w:cs="Arial"/>
          <w:noProof/>
          <w:color w:val="000000"/>
          <w:sz w:val="24"/>
          <w:lang w:eastAsia="es-MX"/>
        </w:rPr>
        <w:t xml:space="preserve">emitido por el Instituto Nacional de Transparencia, Acceso a la Información y Protección de Datos Personales, cuyo rubro y texto señalan a la literalidad lo siguiente: </w:t>
      </w:r>
    </w:p>
    <w:p w14:paraId="6EEF8D28" w14:textId="77777777" w:rsidR="001D794F" w:rsidRPr="00F97C81" w:rsidRDefault="001D794F" w:rsidP="001D794F">
      <w:pPr>
        <w:pStyle w:val="Citas"/>
        <w:rPr>
          <w:b/>
        </w:rPr>
      </w:pPr>
      <w:r w:rsidRPr="00F97C81">
        <w:rPr>
          <w:b/>
        </w:rPr>
        <w:t xml:space="preserve">“ACTOS CONSENTIDOS TÁCITAMENTE. IMPROCEDENCIA DE SU ANÁLISIS. </w:t>
      </w:r>
    </w:p>
    <w:p w14:paraId="770717A9" w14:textId="77777777" w:rsidR="001D794F" w:rsidRPr="00F97C81" w:rsidRDefault="001D794F" w:rsidP="001D794F">
      <w:pPr>
        <w:pStyle w:val="Citas"/>
        <w:rPr>
          <w:strike/>
        </w:rPr>
      </w:pPr>
      <w:r w:rsidRPr="00F97C81">
        <w:t xml:space="preserve">Si en su recurso de revisión, la persona recurrente no expresó inconformidad alguna con ciertas partes de la respuesta otorgada, se entienden tácitamente consentidas, por ende, no deben formar parte del estudio de fondo de la resolución que emite el Instituto. </w:t>
      </w:r>
    </w:p>
    <w:p w14:paraId="6623B065" w14:textId="77777777" w:rsidR="001D794F" w:rsidRPr="00F97C81" w:rsidRDefault="001D794F" w:rsidP="001D794F">
      <w:pPr>
        <w:pStyle w:val="Citas"/>
        <w:rPr>
          <w:b/>
          <w:bCs/>
        </w:rPr>
      </w:pPr>
      <w:r w:rsidRPr="00F97C81">
        <w:rPr>
          <w:b/>
          <w:bCs/>
        </w:rPr>
        <w:t>Resoluciones:</w:t>
      </w:r>
    </w:p>
    <w:p w14:paraId="0232F23B" w14:textId="77777777" w:rsidR="001D794F" w:rsidRPr="00F97C81" w:rsidRDefault="001D794F" w:rsidP="001D794F">
      <w:pPr>
        <w:pStyle w:val="Citas"/>
      </w:pPr>
      <w:r w:rsidRPr="00F97C81">
        <w:rPr>
          <w:b/>
        </w:rPr>
        <w:t xml:space="preserve">RRA 4548/18. </w:t>
      </w:r>
      <w:r w:rsidRPr="00F97C81">
        <w:t>Instituto de Seguridad y Servicios Sociales de los Trabajadores del Estado. 12 de septiembre de 2018. Por unanimidad. Comisionado Ponente Oscar Mauricio Guerra Ford.</w:t>
      </w:r>
    </w:p>
    <w:p w14:paraId="7783653F" w14:textId="77777777" w:rsidR="001D794F" w:rsidRPr="00F97C81" w:rsidRDefault="00445798" w:rsidP="001D794F">
      <w:pPr>
        <w:pStyle w:val="Citas"/>
        <w:rPr>
          <w:sz w:val="20"/>
        </w:rPr>
      </w:pPr>
      <w:hyperlink r:id="rId10" w:history="1">
        <w:r w:rsidR="001D794F" w:rsidRPr="00F97C81">
          <w:rPr>
            <w:rStyle w:val="Hipervnculo"/>
          </w:rPr>
          <w:t>http://consultas.ifai.org.mx/descargar.php?r=./pdf/resoluciones/2018/&amp;a=RRA%204548.pdf</w:t>
        </w:r>
      </w:hyperlink>
    </w:p>
    <w:p w14:paraId="06D01B5A" w14:textId="77777777" w:rsidR="001D794F" w:rsidRPr="00F97C81" w:rsidRDefault="001D794F" w:rsidP="001D794F">
      <w:pPr>
        <w:pStyle w:val="Citas"/>
        <w:rPr>
          <w:b/>
        </w:rPr>
      </w:pPr>
      <w:r w:rsidRPr="00F97C81">
        <w:rPr>
          <w:b/>
        </w:rPr>
        <w:t xml:space="preserve">RRA 5097/18. </w:t>
      </w:r>
      <w:r w:rsidRPr="00F97C81">
        <w:t>Secretaría de Hacienda y Crédito Público. 05 de septiembre de 2018. Por unanimidad. Comisionado Ponente Joel Salas Suárez.</w:t>
      </w:r>
    </w:p>
    <w:p w14:paraId="78B600AB" w14:textId="77777777" w:rsidR="001D794F" w:rsidRPr="00F97C81" w:rsidRDefault="00445798" w:rsidP="001D794F">
      <w:pPr>
        <w:pStyle w:val="Citas"/>
        <w:rPr>
          <w:sz w:val="20"/>
        </w:rPr>
      </w:pPr>
      <w:hyperlink r:id="rId11" w:history="1">
        <w:r w:rsidR="001D794F" w:rsidRPr="00F97C81">
          <w:rPr>
            <w:rStyle w:val="Hipervnculo"/>
          </w:rPr>
          <w:t>http://consultas.ifai.org.mx/descargar.php?r=./pdf/resoluciones/2018/&amp;a=RRA%205097.pdf</w:t>
        </w:r>
      </w:hyperlink>
    </w:p>
    <w:p w14:paraId="79448A11" w14:textId="77777777" w:rsidR="001D794F" w:rsidRPr="00F97C81" w:rsidRDefault="001D794F" w:rsidP="001D794F">
      <w:pPr>
        <w:pStyle w:val="Citas"/>
        <w:rPr>
          <w:b/>
        </w:rPr>
      </w:pPr>
      <w:r w:rsidRPr="00F97C81">
        <w:rPr>
          <w:b/>
        </w:rPr>
        <w:t xml:space="preserve">RRA 14270/19. </w:t>
      </w:r>
      <w:r w:rsidRPr="00F97C81">
        <w:t>Registro Agrario Nacional. 22 de enero de 2020. Por unanimidad. Comisionado Ponente Francisco Javier Acuña Llamas.</w:t>
      </w:r>
    </w:p>
    <w:p w14:paraId="5571A862" w14:textId="77777777" w:rsidR="001D794F" w:rsidRPr="00F97C81" w:rsidRDefault="00445798" w:rsidP="001D794F">
      <w:pPr>
        <w:pStyle w:val="Citas"/>
        <w:rPr>
          <w:rStyle w:val="Hipervnculo"/>
          <w:b/>
          <w:bCs/>
          <w:color w:val="auto"/>
          <w:sz w:val="24"/>
          <w:szCs w:val="24"/>
          <w:u w:val="none"/>
          <w:lang w:val="en-US"/>
        </w:rPr>
      </w:pPr>
      <w:hyperlink r:id="rId12" w:history="1">
        <w:r w:rsidR="001D794F" w:rsidRPr="00F97C81">
          <w:rPr>
            <w:rStyle w:val="Hipervnculo"/>
            <w:lang w:val="en-US"/>
          </w:rPr>
          <w:t>http://consultas.ifai.org.mx/descargar.php?r=./pdf/resoluciones/2019/&amp;a=RRA%2014270.pdf</w:t>
        </w:r>
      </w:hyperlink>
      <w:r w:rsidR="001D794F" w:rsidRPr="00F97C81">
        <w:rPr>
          <w:rStyle w:val="Hipervnculo"/>
          <w:sz w:val="20"/>
          <w:lang w:val="en-US"/>
        </w:rPr>
        <w:t xml:space="preserve">” </w:t>
      </w:r>
      <w:r w:rsidR="001D794F" w:rsidRPr="00F97C81">
        <w:rPr>
          <w:rStyle w:val="Hipervnculo"/>
          <w:i w:val="0"/>
          <w:iCs/>
          <w:sz w:val="24"/>
          <w:szCs w:val="24"/>
          <w:u w:val="none"/>
          <w:lang w:val="en-US"/>
        </w:rPr>
        <w:t xml:space="preserve"> </w:t>
      </w:r>
      <w:r w:rsidR="001D794F" w:rsidRPr="00F97C81">
        <w:rPr>
          <w:rStyle w:val="Hipervnculo"/>
          <w:b/>
          <w:bCs/>
          <w:color w:val="auto"/>
          <w:sz w:val="24"/>
          <w:szCs w:val="24"/>
          <w:u w:val="none"/>
          <w:lang w:val="en-US"/>
        </w:rPr>
        <w:t xml:space="preserve">[Sic] </w:t>
      </w:r>
    </w:p>
    <w:p w14:paraId="04559B56" w14:textId="77777777" w:rsidR="001D794F" w:rsidRPr="00F97C81" w:rsidRDefault="001D794F" w:rsidP="001D794F">
      <w:pPr>
        <w:spacing w:before="240" w:line="360" w:lineRule="auto"/>
        <w:jc w:val="both"/>
        <w:rPr>
          <w:rFonts w:ascii="Palatino Linotype" w:hAnsi="Palatino Linotype"/>
          <w:b/>
          <w:bCs/>
          <w:lang w:val="en-US"/>
        </w:rPr>
      </w:pPr>
    </w:p>
    <w:p w14:paraId="6334DCA6" w14:textId="77777777" w:rsidR="001D794F" w:rsidRPr="00F97C81" w:rsidRDefault="001D794F" w:rsidP="001D794F">
      <w:pPr>
        <w:pStyle w:val="infoemcitas"/>
        <w:tabs>
          <w:tab w:val="left" w:pos="7655"/>
        </w:tabs>
        <w:ind w:left="0" w:right="0"/>
        <w:rPr>
          <w:rFonts w:cs="Arial"/>
          <w:i w:val="0"/>
          <w:noProof/>
          <w:color w:val="000000"/>
          <w:sz w:val="24"/>
          <w:lang w:eastAsia="es-MX"/>
        </w:rPr>
      </w:pPr>
      <w:r w:rsidRPr="00F97C81">
        <w:rPr>
          <w:i w:val="0"/>
          <w:sz w:val="24"/>
          <w:szCs w:val="24"/>
        </w:rPr>
        <w:t xml:space="preserve">Así las cosas, hasta aquí lo expuesto, resulta inconcuso que </w:t>
      </w:r>
      <w:r w:rsidRPr="00F97C81">
        <w:rPr>
          <w:b/>
          <w:i w:val="0"/>
          <w:sz w:val="24"/>
          <w:szCs w:val="24"/>
        </w:rPr>
        <w:t xml:space="preserve">El Sujeto Obligado </w:t>
      </w:r>
      <w:r w:rsidRPr="00F97C81">
        <w:rPr>
          <w:rFonts w:cs="Arial"/>
          <w:i w:val="0"/>
          <w:noProof/>
          <w:color w:val="000000"/>
          <w:sz w:val="24"/>
          <w:lang w:eastAsia="es-MX"/>
        </w:rPr>
        <w:t xml:space="preserve">no satisfizo el derecho de acceso a la información pública ejercido por </w:t>
      </w:r>
      <w:r w:rsidRPr="00F97C81">
        <w:rPr>
          <w:rFonts w:cs="Arial"/>
          <w:b/>
          <w:i w:val="0"/>
          <w:noProof/>
          <w:color w:val="000000"/>
          <w:sz w:val="24"/>
          <w:lang w:eastAsia="es-MX"/>
        </w:rPr>
        <w:t xml:space="preserve">El Recurrente, </w:t>
      </w:r>
      <w:r w:rsidRPr="00F97C81">
        <w:rPr>
          <w:rFonts w:cs="Arial"/>
          <w:i w:val="0"/>
          <w:noProof/>
          <w:color w:val="000000"/>
          <w:sz w:val="24"/>
          <w:lang w:eastAsia="es-MX"/>
        </w:rPr>
        <w:t>al tenerse por actualizada la hipotesis prevista en el artículo 179, fracciones I y V de la Ley de Transparencia y Acceso a la Información Pública del Estado de México y Municipios, cuyo contenido literal es el siguiente:</w:t>
      </w:r>
    </w:p>
    <w:p w14:paraId="7E01C529" w14:textId="77777777" w:rsidR="001D794F" w:rsidRPr="00F97C81" w:rsidRDefault="001D794F" w:rsidP="001D794F">
      <w:pPr>
        <w:pStyle w:val="Citas"/>
      </w:pPr>
      <w:r w:rsidRPr="00F97C81">
        <w:t>“Artículo 179. El recurso de revisión es un medio de protección que la Ley otorga a los particulares, para hacer valer su derecho de acceso a la información pública, y procederá en contra de las siguientes causas:</w:t>
      </w:r>
    </w:p>
    <w:p w14:paraId="24F5B593" w14:textId="77777777" w:rsidR="001D794F" w:rsidRPr="00F97C81" w:rsidRDefault="001D794F" w:rsidP="001D794F">
      <w:pPr>
        <w:pStyle w:val="Citas"/>
      </w:pPr>
      <w:r w:rsidRPr="00F97C81">
        <w:t>I. La negativa a la información solicitada;</w:t>
      </w:r>
    </w:p>
    <w:p w14:paraId="01438FAA" w14:textId="77777777" w:rsidR="001D794F" w:rsidRPr="00F97C81" w:rsidRDefault="001D794F" w:rsidP="001D794F">
      <w:pPr>
        <w:pStyle w:val="Citas"/>
      </w:pPr>
      <w:r w:rsidRPr="00F97C81">
        <w:t>(…)</w:t>
      </w:r>
    </w:p>
    <w:p w14:paraId="17EB1645" w14:textId="77777777" w:rsidR="001D794F" w:rsidRPr="00F97C81" w:rsidRDefault="001D794F" w:rsidP="001D794F">
      <w:pPr>
        <w:pStyle w:val="Citas"/>
        <w:rPr>
          <w:noProof/>
          <w:color w:val="000000"/>
          <w:sz w:val="24"/>
          <w:lang w:eastAsia="es-MX"/>
        </w:rPr>
      </w:pPr>
      <w:r w:rsidRPr="00F97C81">
        <w:t>V. La entrega de información incompleta;</w:t>
      </w:r>
    </w:p>
    <w:p w14:paraId="30C220AC" w14:textId="77777777" w:rsidR="001D794F" w:rsidRPr="00F97C81" w:rsidRDefault="001D794F" w:rsidP="001D794F">
      <w:pPr>
        <w:pStyle w:val="Citas"/>
        <w:rPr>
          <w:b/>
          <w:bCs/>
          <w:noProof/>
          <w:color w:val="000000"/>
          <w:sz w:val="24"/>
          <w:lang w:eastAsia="es-MX"/>
        </w:rPr>
      </w:pPr>
      <w:r w:rsidRPr="00F97C81">
        <w:rPr>
          <w:noProof/>
          <w:color w:val="000000"/>
          <w:sz w:val="24"/>
          <w:lang w:eastAsia="es-MX"/>
        </w:rPr>
        <w:t xml:space="preserve">” </w:t>
      </w:r>
      <w:r w:rsidRPr="00F97C81">
        <w:rPr>
          <w:b/>
          <w:bCs/>
          <w:noProof/>
          <w:color w:val="000000"/>
          <w:sz w:val="24"/>
          <w:lang w:eastAsia="es-MX"/>
        </w:rPr>
        <w:t>[Sic]</w:t>
      </w:r>
    </w:p>
    <w:p w14:paraId="32AA38F0" w14:textId="77777777" w:rsidR="001D794F" w:rsidRPr="00F97C81" w:rsidRDefault="001D794F" w:rsidP="00566D97">
      <w:pPr>
        <w:spacing w:after="240" w:line="360" w:lineRule="auto"/>
        <w:jc w:val="both"/>
        <w:rPr>
          <w:rFonts w:ascii="Palatino Linotype" w:hAnsi="Palatino Linotype" w:cs="Arial"/>
          <w:color w:val="000000"/>
          <w:sz w:val="24"/>
        </w:rPr>
      </w:pPr>
    </w:p>
    <w:p w14:paraId="5B1BD0D4" w14:textId="77777777" w:rsidR="00E4062D" w:rsidRPr="00F97C81" w:rsidRDefault="002E5A4A" w:rsidP="002E5A4A">
      <w:pPr>
        <w:spacing w:before="240" w:line="360" w:lineRule="auto"/>
        <w:jc w:val="both"/>
        <w:rPr>
          <w:rFonts w:ascii="Palatino Linotype" w:hAnsi="Palatino Linotype"/>
          <w:sz w:val="24"/>
          <w:szCs w:val="24"/>
        </w:rPr>
      </w:pPr>
      <w:r w:rsidRPr="00F97C81">
        <w:rPr>
          <w:rFonts w:ascii="Palatino Linotype" w:hAnsi="Palatino Linotype"/>
          <w:sz w:val="24"/>
          <w:szCs w:val="24"/>
        </w:rPr>
        <w:t xml:space="preserve">Ahora bien, como fue referido en el apartado relativo a antecedentes, </w:t>
      </w:r>
      <w:r w:rsidRPr="00F97C81">
        <w:rPr>
          <w:rFonts w:ascii="Palatino Linotype" w:hAnsi="Palatino Linotype"/>
          <w:b/>
          <w:bCs/>
          <w:sz w:val="24"/>
          <w:szCs w:val="24"/>
        </w:rPr>
        <w:t xml:space="preserve">El Sujeto Obligado </w:t>
      </w:r>
      <w:r w:rsidR="00E4062D" w:rsidRPr="00F97C81">
        <w:rPr>
          <w:rFonts w:ascii="Palatino Linotype" w:hAnsi="Palatino Linotype"/>
          <w:sz w:val="24"/>
          <w:szCs w:val="24"/>
        </w:rPr>
        <w:t>rindió su informe justificado en los siguientes términos:</w:t>
      </w:r>
    </w:p>
    <w:p w14:paraId="7B1CBC5E" w14:textId="38452405" w:rsidR="003C1C74" w:rsidRPr="00F97C81" w:rsidRDefault="00E4062D" w:rsidP="00E4062D">
      <w:pPr>
        <w:pStyle w:val="Prrafodelista"/>
        <w:numPr>
          <w:ilvl w:val="0"/>
          <w:numId w:val="34"/>
        </w:numPr>
        <w:spacing w:before="240" w:line="360" w:lineRule="auto"/>
        <w:jc w:val="both"/>
        <w:rPr>
          <w:rFonts w:ascii="Palatino Linotype" w:hAnsi="Palatino Linotype"/>
          <w:b/>
          <w:bCs/>
        </w:rPr>
      </w:pPr>
      <w:r w:rsidRPr="00F97C81">
        <w:rPr>
          <w:rFonts w:ascii="Palatino Linotype" w:hAnsi="Palatino Linotype"/>
          <w:b/>
          <w:bCs/>
        </w:rPr>
        <w:t>“</w:t>
      </w:r>
      <w:r w:rsidR="003C1C74" w:rsidRPr="00F97C81">
        <w:rPr>
          <w:rFonts w:ascii="Palatino Linotype" w:hAnsi="Palatino Linotype"/>
          <w:b/>
          <w:bCs/>
        </w:rPr>
        <w:t xml:space="preserve">ANEXOS FOLIO 00119 (2).pdf”: </w:t>
      </w:r>
      <w:r w:rsidR="003C1C74" w:rsidRPr="00F97C81">
        <w:rPr>
          <w:rFonts w:ascii="Palatino Linotype" w:hAnsi="Palatino Linotype" w:cs="Arial"/>
          <w:color w:val="000000"/>
          <w:lang w:val="es-ES_tradnl"/>
        </w:rPr>
        <w:t xml:space="preserve">Oficio número </w:t>
      </w:r>
      <w:r w:rsidR="003C1C74" w:rsidRPr="00F97C81">
        <w:rPr>
          <w:rFonts w:ascii="Palatino Linotype" w:hAnsi="Palatino Linotype" w:cs="Arial"/>
          <w:b/>
          <w:bCs/>
          <w:color w:val="000000"/>
          <w:lang w:val="es-ES_tradnl"/>
        </w:rPr>
        <w:t xml:space="preserve">PMC/TM/0188/2026 </w:t>
      </w:r>
      <w:r w:rsidR="003C1C74" w:rsidRPr="00F97C81">
        <w:rPr>
          <w:rFonts w:ascii="Palatino Linotype" w:hAnsi="Palatino Linotype" w:cs="Arial"/>
          <w:color w:val="000000"/>
          <w:lang w:val="es-ES_tradnl"/>
        </w:rPr>
        <w:t xml:space="preserve">remitido mediante respuesta primigenia. </w:t>
      </w:r>
    </w:p>
    <w:p w14:paraId="50DD28DB" w14:textId="166AE5AD" w:rsidR="00E4062D" w:rsidRPr="00F97C81" w:rsidRDefault="003C1C74" w:rsidP="00E4062D">
      <w:pPr>
        <w:pStyle w:val="Prrafodelista"/>
        <w:numPr>
          <w:ilvl w:val="0"/>
          <w:numId w:val="34"/>
        </w:numPr>
        <w:spacing w:before="240" w:line="360" w:lineRule="auto"/>
        <w:jc w:val="both"/>
        <w:rPr>
          <w:rFonts w:ascii="Palatino Linotype" w:hAnsi="Palatino Linotype"/>
          <w:b/>
          <w:bCs/>
        </w:rPr>
      </w:pPr>
      <w:r w:rsidRPr="00F97C81">
        <w:rPr>
          <w:rFonts w:ascii="Palatino Linotype" w:hAnsi="Palatino Linotype"/>
          <w:b/>
          <w:bCs/>
        </w:rPr>
        <w:lastRenderedPageBreak/>
        <w:t xml:space="preserve">“MANIFESTACIONES AL RR 06132-INFOEM-IP-RR-2026 ok.pdf”: </w:t>
      </w:r>
      <w:r w:rsidR="007E30ED" w:rsidRPr="00F97C81">
        <w:rPr>
          <w:rFonts w:ascii="Palatino Linotype" w:hAnsi="Palatino Linotype" w:cs="Arial"/>
          <w:noProof/>
        </w:rPr>
        <w:t xml:space="preserve"> </w:t>
      </w:r>
      <w:r w:rsidR="000B52E9" w:rsidRPr="00F97C81">
        <w:rPr>
          <w:rFonts w:ascii="Palatino Linotype" w:hAnsi="Palatino Linotype" w:cs="Arial"/>
          <w:noProof/>
        </w:rPr>
        <w:t xml:space="preserve">Informe justificado del recurso de revisión </w:t>
      </w:r>
      <w:r w:rsidR="000B52E9" w:rsidRPr="00F97C81">
        <w:rPr>
          <w:rFonts w:ascii="Palatino Linotype" w:hAnsi="Palatino Linotype" w:cs="Arial"/>
          <w:b/>
          <w:bCs/>
          <w:noProof/>
        </w:rPr>
        <w:t xml:space="preserve">06130/INFOEM/IP/RR/2026 </w:t>
      </w:r>
      <w:r w:rsidR="000B52E9" w:rsidRPr="00F97C81">
        <w:rPr>
          <w:rFonts w:ascii="Palatino Linotype" w:hAnsi="Palatino Linotype" w:cs="Arial"/>
          <w:noProof/>
        </w:rPr>
        <w:t xml:space="preserve">signado por el titular de la unidad de transparencia, dirigido al comisionado ponente, de fecha diecinueve de junio de dos mil veintiséis, ratifica la respuesta primigenia. </w:t>
      </w:r>
    </w:p>
    <w:p w14:paraId="3838AE84" w14:textId="11E6EB3B" w:rsidR="00DA58D6" w:rsidRPr="00F97C81" w:rsidRDefault="00DA58D6" w:rsidP="00DA58D6">
      <w:pPr>
        <w:spacing w:before="240" w:line="360" w:lineRule="auto"/>
        <w:jc w:val="both"/>
        <w:rPr>
          <w:rFonts w:ascii="Palatino Linotype" w:hAnsi="Palatino Linotype"/>
          <w:b/>
          <w:bCs/>
        </w:rPr>
      </w:pPr>
    </w:p>
    <w:p w14:paraId="68885162" w14:textId="2B3A8A57" w:rsidR="00DA58D6" w:rsidRPr="00F97C81" w:rsidRDefault="00DA58D6" w:rsidP="007E30ED">
      <w:pPr>
        <w:spacing w:before="240" w:line="360" w:lineRule="auto"/>
        <w:jc w:val="both"/>
        <w:rPr>
          <w:rFonts w:ascii="Palatino Linotype" w:hAnsi="Palatino Linotype"/>
          <w:sz w:val="24"/>
          <w:szCs w:val="24"/>
        </w:rPr>
      </w:pPr>
      <w:r w:rsidRPr="00F97C81">
        <w:rPr>
          <w:rFonts w:ascii="Palatino Linotype" w:hAnsi="Palatino Linotype"/>
          <w:sz w:val="24"/>
          <w:szCs w:val="24"/>
        </w:rPr>
        <w:t>De ahí que se arrib</w:t>
      </w:r>
      <w:r w:rsidR="00670EB4" w:rsidRPr="00F97C81">
        <w:rPr>
          <w:rFonts w:ascii="Palatino Linotype" w:hAnsi="Palatino Linotype"/>
          <w:sz w:val="24"/>
          <w:szCs w:val="24"/>
        </w:rPr>
        <w:t>a</w:t>
      </w:r>
      <w:r w:rsidRPr="00F97C81">
        <w:rPr>
          <w:rFonts w:ascii="Palatino Linotype" w:hAnsi="Palatino Linotype"/>
          <w:sz w:val="24"/>
          <w:szCs w:val="24"/>
        </w:rPr>
        <w:t xml:space="preserve"> </w:t>
      </w:r>
      <w:r w:rsidR="007E30ED" w:rsidRPr="00F97C81">
        <w:rPr>
          <w:rFonts w:ascii="Palatino Linotype" w:hAnsi="Palatino Linotype"/>
          <w:sz w:val="24"/>
          <w:szCs w:val="24"/>
        </w:rPr>
        <w:t>arribarse a la premisa de que al ratifica la respuesta primigenia no se subsanó la violación al derecho de acceso a la información pública, resultando procedente una búsqueda exhaustiva y razonable respecto de la siguiente información:</w:t>
      </w:r>
    </w:p>
    <w:p w14:paraId="35AB8F64" w14:textId="273D57D3" w:rsidR="000B52E9" w:rsidRPr="00F97C81" w:rsidRDefault="00E11735" w:rsidP="000B52E9">
      <w:pPr>
        <w:spacing w:before="240" w:line="360" w:lineRule="auto"/>
        <w:jc w:val="both"/>
        <w:rPr>
          <w:rFonts w:ascii="Palatino Linotype" w:hAnsi="Palatino Linotype"/>
          <w:b/>
          <w:bCs/>
          <w:sz w:val="24"/>
          <w:szCs w:val="24"/>
        </w:rPr>
      </w:pPr>
      <w:r w:rsidRPr="00F97C81">
        <w:rPr>
          <w:rFonts w:ascii="Palatino Linotype" w:hAnsi="Palatino Linotype"/>
          <w:b/>
          <w:bCs/>
          <w:sz w:val="24"/>
          <w:szCs w:val="24"/>
        </w:rPr>
        <w:t>Respecto de las obras referidas en respuesta e informe justificado</w:t>
      </w:r>
      <w:r w:rsidR="000B52E9" w:rsidRPr="00F97C81">
        <w:rPr>
          <w:rFonts w:ascii="Palatino Linotype" w:hAnsi="Palatino Linotype"/>
          <w:b/>
          <w:bCs/>
          <w:sz w:val="24"/>
          <w:szCs w:val="24"/>
        </w:rPr>
        <w:t xml:space="preserve">, en formato PDF o aquel en el que haya generado la información: </w:t>
      </w:r>
    </w:p>
    <w:p w14:paraId="1279B0F6" w14:textId="77777777" w:rsidR="000B52E9" w:rsidRPr="00F97C81" w:rsidRDefault="000B52E9" w:rsidP="000B52E9">
      <w:pPr>
        <w:pStyle w:val="Prrafodelista"/>
        <w:numPr>
          <w:ilvl w:val="0"/>
          <w:numId w:val="43"/>
        </w:numPr>
        <w:autoSpaceDE w:val="0"/>
        <w:autoSpaceDN w:val="0"/>
        <w:adjustRightInd w:val="0"/>
        <w:spacing w:before="240" w:after="160" w:line="360" w:lineRule="auto"/>
        <w:jc w:val="both"/>
        <w:rPr>
          <w:rFonts w:ascii="Palatino Linotype" w:hAnsi="Palatino Linotype" w:cs="Arial"/>
          <w:lang w:val="es-MX"/>
        </w:rPr>
      </w:pPr>
      <w:r w:rsidRPr="00F97C81">
        <w:rPr>
          <w:rFonts w:ascii="Palatino Linotype" w:hAnsi="Palatino Linotype" w:cs="Arial"/>
        </w:rPr>
        <w:t>El o los documentos donde conste el expediente completo de cada obra que en su caso incluya proyecto ejecutivo, presupuesto de obra, catálogo de conceptos, números generadores, estimaciones de obra, bitácora de obra, reportes de supervisión, dictámenes técnicos</w:t>
      </w:r>
    </w:p>
    <w:p w14:paraId="618687F6" w14:textId="77777777" w:rsidR="000B52E9" w:rsidRPr="00F97C81" w:rsidRDefault="000B52E9" w:rsidP="000B52E9">
      <w:pPr>
        <w:pStyle w:val="Prrafodelista"/>
        <w:numPr>
          <w:ilvl w:val="0"/>
          <w:numId w:val="43"/>
        </w:numPr>
        <w:autoSpaceDE w:val="0"/>
        <w:autoSpaceDN w:val="0"/>
        <w:adjustRightInd w:val="0"/>
        <w:spacing w:before="240" w:after="160" w:line="360" w:lineRule="auto"/>
        <w:jc w:val="both"/>
        <w:rPr>
          <w:rFonts w:ascii="Palatino Linotype" w:hAnsi="Palatino Linotype" w:cs="Arial"/>
          <w:lang w:val="es-MX"/>
        </w:rPr>
      </w:pPr>
      <w:r w:rsidRPr="00F97C81">
        <w:rPr>
          <w:rFonts w:ascii="Palatino Linotype" w:hAnsi="Palatino Linotype" w:cs="Arial"/>
          <w:lang w:val="es-MX"/>
        </w:rPr>
        <w:t xml:space="preserve">El o los documentos contractuales: contrato de obra pública firmado, anexos (técnicos, financieros y administrativos), convenios modificatorios o ampliaciones de plazo y monto. </w:t>
      </w:r>
    </w:p>
    <w:p w14:paraId="011AC3DC" w14:textId="12ABBC14" w:rsidR="000B52E9" w:rsidRPr="00F97C81" w:rsidRDefault="000B52E9" w:rsidP="000B52E9">
      <w:pPr>
        <w:pStyle w:val="Prrafodelista"/>
        <w:numPr>
          <w:ilvl w:val="0"/>
          <w:numId w:val="43"/>
        </w:numPr>
        <w:autoSpaceDE w:val="0"/>
        <w:autoSpaceDN w:val="0"/>
        <w:adjustRightInd w:val="0"/>
        <w:spacing w:before="240" w:after="160" w:line="360" w:lineRule="auto"/>
        <w:jc w:val="both"/>
        <w:rPr>
          <w:rFonts w:ascii="Palatino Linotype" w:hAnsi="Palatino Linotype" w:cs="Arial"/>
          <w:lang w:val="es-MX"/>
        </w:rPr>
      </w:pPr>
      <w:r w:rsidRPr="00F97C81">
        <w:rPr>
          <w:rFonts w:ascii="Palatino Linotype" w:hAnsi="Palatino Linotype" w:cs="Arial"/>
          <w:lang w:val="es-MX"/>
        </w:rPr>
        <w:t xml:space="preserve">El o los documentos de comprobación y cierre de obra: </w:t>
      </w:r>
      <w:r w:rsidRPr="00F97C81">
        <w:rPr>
          <w:rFonts w:ascii="Palatino Linotype" w:hAnsi="Palatino Linotype" w:cs="Arial"/>
        </w:rPr>
        <w:t>Acta de entrega-recepción, finiquito de obra, facturas o comprobantes de pago, pólizas contables relacionadas.</w:t>
      </w:r>
    </w:p>
    <w:p w14:paraId="696F82DD" w14:textId="77777777" w:rsidR="00DA58D6" w:rsidRPr="00F97C81" w:rsidRDefault="00DA58D6" w:rsidP="00E4062D">
      <w:pPr>
        <w:pStyle w:val="Prrafodelista"/>
        <w:spacing w:before="240" w:line="360" w:lineRule="auto"/>
        <w:ind w:left="720"/>
        <w:jc w:val="both"/>
        <w:rPr>
          <w:rFonts w:ascii="Palatino Linotype" w:hAnsi="Palatino Linotype"/>
        </w:rPr>
      </w:pPr>
    </w:p>
    <w:p w14:paraId="1E6B41AC" w14:textId="77777777" w:rsidR="00E748AE" w:rsidRPr="00F97C81" w:rsidRDefault="00E748AE" w:rsidP="00E748AE">
      <w:pPr>
        <w:spacing w:before="240" w:after="240" w:line="360" w:lineRule="auto"/>
        <w:jc w:val="both"/>
        <w:rPr>
          <w:rFonts w:ascii="Palatino Linotype" w:hAnsi="Palatino Linotype"/>
          <w:b/>
          <w:sz w:val="28"/>
          <w:szCs w:val="28"/>
        </w:rPr>
      </w:pPr>
      <w:r w:rsidRPr="00F97C81">
        <w:rPr>
          <w:rFonts w:ascii="Palatino Linotype" w:hAnsi="Palatino Linotype"/>
          <w:b/>
          <w:bCs/>
          <w:sz w:val="28"/>
          <w:szCs w:val="28"/>
        </w:rPr>
        <w:lastRenderedPageBreak/>
        <w:t>DE LA</w:t>
      </w:r>
      <w:r w:rsidRPr="00F97C81">
        <w:rPr>
          <w:rFonts w:ascii="Palatino Linotype" w:hAnsi="Palatino Linotype"/>
          <w:bCs/>
          <w:sz w:val="24"/>
          <w:szCs w:val="24"/>
        </w:rPr>
        <w:t xml:space="preserve"> </w:t>
      </w:r>
      <w:r w:rsidRPr="00F97C81">
        <w:rPr>
          <w:rFonts w:ascii="Palatino Linotype" w:hAnsi="Palatino Linotype"/>
          <w:b/>
          <w:sz w:val="28"/>
          <w:szCs w:val="28"/>
        </w:rPr>
        <w:t xml:space="preserve">VERSIÓN PÚBLICA </w:t>
      </w:r>
    </w:p>
    <w:p w14:paraId="13C32CFE" w14:textId="77777777" w:rsidR="00E748AE" w:rsidRPr="00F97C81" w:rsidRDefault="00E748AE" w:rsidP="00E748AE">
      <w:pPr>
        <w:tabs>
          <w:tab w:val="left" w:pos="7938"/>
        </w:tabs>
        <w:spacing w:before="240" w:after="240" w:line="360" w:lineRule="auto"/>
        <w:jc w:val="both"/>
        <w:rPr>
          <w:rFonts w:ascii="Palatino Linotype" w:eastAsia="Arial Unicode MS" w:hAnsi="Palatino Linotype" w:cs="Arial"/>
          <w:sz w:val="24"/>
          <w:szCs w:val="24"/>
        </w:rPr>
      </w:pPr>
      <w:r w:rsidRPr="00F97C81">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41A1C704" w14:textId="77777777" w:rsidR="00E748AE" w:rsidRPr="00F97C81" w:rsidRDefault="00E748AE" w:rsidP="00E748AE">
      <w:pPr>
        <w:spacing w:before="240" w:line="360" w:lineRule="auto"/>
        <w:ind w:left="851" w:right="851"/>
        <w:jc w:val="both"/>
        <w:rPr>
          <w:rFonts w:ascii="Palatino Linotype" w:hAnsi="Palatino Linotype" w:cs="Arial"/>
          <w:i/>
        </w:rPr>
      </w:pPr>
      <w:r w:rsidRPr="00F97C81">
        <w:rPr>
          <w:rFonts w:ascii="Palatino Linotype" w:hAnsi="Palatino Linotype" w:cs="Arial"/>
          <w:i/>
        </w:rPr>
        <w:t>“Artículo 3. Para los efectos de la presente Ley se entenderá por:</w:t>
      </w:r>
    </w:p>
    <w:p w14:paraId="765CCDE0" w14:textId="77777777" w:rsidR="00E748AE" w:rsidRPr="00F97C81" w:rsidRDefault="00E748AE" w:rsidP="00E748AE">
      <w:pPr>
        <w:spacing w:before="240" w:line="360" w:lineRule="auto"/>
        <w:ind w:left="851" w:right="851"/>
        <w:jc w:val="both"/>
        <w:rPr>
          <w:rFonts w:ascii="Palatino Linotype" w:hAnsi="Palatino Linotype" w:cs="Arial"/>
          <w:i/>
        </w:rPr>
      </w:pPr>
      <w:r w:rsidRPr="00F97C81">
        <w:rPr>
          <w:rFonts w:ascii="Palatino Linotype" w:hAnsi="Palatino Linotype" w:cs="Arial"/>
          <w:i/>
        </w:rPr>
        <w:t>(…)</w:t>
      </w:r>
    </w:p>
    <w:p w14:paraId="6152FA04" w14:textId="77777777" w:rsidR="00E748AE" w:rsidRPr="00F97C81" w:rsidRDefault="00E748AE" w:rsidP="00E748AE">
      <w:pPr>
        <w:spacing w:before="240" w:line="360" w:lineRule="auto"/>
        <w:ind w:left="851" w:right="851"/>
        <w:jc w:val="both"/>
        <w:rPr>
          <w:rFonts w:ascii="Palatino Linotype" w:hAnsi="Palatino Linotype" w:cs="Arial"/>
          <w:b/>
          <w:i/>
        </w:rPr>
      </w:pPr>
      <w:r w:rsidRPr="00F97C81">
        <w:rPr>
          <w:rFonts w:ascii="Palatino Linotype" w:hAnsi="Palatino Linotype" w:cs="Arial"/>
          <w:b/>
          <w:i/>
          <w:u w:val="single"/>
        </w:rPr>
        <w:t>IX. Datos personales:</w:t>
      </w:r>
      <w:r w:rsidRPr="00F97C81">
        <w:rPr>
          <w:rFonts w:ascii="Palatino Linotype" w:hAnsi="Palatino Linotype" w:cs="Arial"/>
          <w:b/>
          <w:i/>
        </w:rPr>
        <w:t xml:space="preserve"> </w:t>
      </w:r>
      <w:r w:rsidRPr="00F97C81">
        <w:rPr>
          <w:rFonts w:ascii="Palatino Linotype" w:hAnsi="Palatino Linotype" w:cs="Arial"/>
          <w:i/>
        </w:rPr>
        <w:t>La información concerniente a una persona, identificada o identificable según lo dispuesto por la Ley de Protección de Datos Personales del Estado de México;</w:t>
      </w:r>
    </w:p>
    <w:p w14:paraId="474E5E2B" w14:textId="77777777" w:rsidR="00E748AE" w:rsidRPr="00F97C81" w:rsidRDefault="00E748AE" w:rsidP="00E748AE">
      <w:pPr>
        <w:spacing w:before="240" w:line="360" w:lineRule="auto"/>
        <w:ind w:left="851" w:right="851"/>
        <w:jc w:val="both"/>
        <w:rPr>
          <w:rFonts w:ascii="Palatino Linotype" w:hAnsi="Palatino Linotype" w:cs="Arial"/>
          <w:b/>
          <w:i/>
        </w:rPr>
      </w:pPr>
      <w:r w:rsidRPr="00F97C81">
        <w:rPr>
          <w:rFonts w:ascii="Palatino Linotype" w:hAnsi="Palatino Linotype" w:cs="Arial"/>
          <w:b/>
          <w:i/>
        </w:rPr>
        <w:t>(…)</w:t>
      </w:r>
    </w:p>
    <w:p w14:paraId="247F74FC" w14:textId="77777777" w:rsidR="00E748AE" w:rsidRPr="00F97C81" w:rsidRDefault="00E748AE" w:rsidP="00E748AE">
      <w:pPr>
        <w:spacing w:before="240" w:line="360" w:lineRule="auto"/>
        <w:ind w:left="851" w:right="851"/>
        <w:jc w:val="both"/>
        <w:rPr>
          <w:rFonts w:ascii="Palatino Linotype" w:hAnsi="Palatino Linotype" w:cs="Arial"/>
          <w:b/>
          <w:i/>
        </w:rPr>
      </w:pPr>
      <w:r w:rsidRPr="00F97C81">
        <w:rPr>
          <w:rFonts w:ascii="Palatino Linotype" w:hAnsi="Palatino Linotype" w:cs="Arial"/>
          <w:b/>
          <w:i/>
          <w:u w:val="single"/>
        </w:rPr>
        <w:t>XLV. Versión pública:</w:t>
      </w:r>
      <w:r w:rsidRPr="00F97C81">
        <w:rPr>
          <w:rFonts w:ascii="Palatino Linotype" w:hAnsi="Palatino Linotype" w:cs="Arial"/>
          <w:b/>
          <w:i/>
        </w:rPr>
        <w:t xml:space="preserve"> </w:t>
      </w:r>
      <w:r w:rsidRPr="00F97C81">
        <w:rPr>
          <w:rFonts w:ascii="Palatino Linotype" w:hAnsi="Palatino Linotype" w:cs="Arial"/>
          <w:i/>
        </w:rPr>
        <w:t>Documento en el que se elimine, suprime o borra la información clasificada como reservada o confidencial para permitir su acceso.</w:t>
      </w:r>
    </w:p>
    <w:p w14:paraId="48B7A776" w14:textId="77777777" w:rsidR="00E748AE" w:rsidRPr="00F97C81" w:rsidRDefault="00E748AE" w:rsidP="00E748AE">
      <w:pPr>
        <w:spacing w:before="240" w:line="360" w:lineRule="auto"/>
        <w:ind w:left="851" w:right="851"/>
        <w:jc w:val="both"/>
        <w:rPr>
          <w:rFonts w:ascii="Palatino Linotype" w:hAnsi="Palatino Linotype" w:cs="Arial"/>
          <w:b/>
          <w:i/>
        </w:rPr>
      </w:pPr>
      <w:r w:rsidRPr="00F97C81">
        <w:rPr>
          <w:rFonts w:ascii="Palatino Linotype" w:hAnsi="Palatino Linotype" w:cs="Arial"/>
          <w:i/>
        </w:rPr>
        <w:t xml:space="preserve">Artículo 122. </w:t>
      </w:r>
      <w:r w:rsidRPr="00F97C81">
        <w:rPr>
          <w:rFonts w:ascii="Palatino Linotype" w:hAnsi="Palatino Linotype" w:cs="Arial"/>
          <w:b/>
          <w:i/>
          <w:u w:val="single"/>
        </w:rPr>
        <w:t xml:space="preserve">La clasificación es el proceso mediante el cual el sujeto obligado determina que la información en su poder </w:t>
      </w:r>
      <w:proofErr w:type="spellStart"/>
      <w:r w:rsidRPr="00F97C81">
        <w:rPr>
          <w:rFonts w:ascii="Palatino Linotype" w:hAnsi="Palatino Linotype" w:cs="Arial"/>
          <w:b/>
          <w:i/>
          <w:u w:val="single"/>
        </w:rPr>
        <w:t>actualiza</w:t>
      </w:r>
      <w:proofErr w:type="spellEnd"/>
      <w:r w:rsidRPr="00F97C81">
        <w:rPr>
          <w:rFonts w:ascii="Palatino Linotype" w:hAnsi="Palatino Linotype" w:cs="Arial"/>
          <w:b/>
          <w:i/>
          <w:u w:val="single"/>
        </w:rPr>
        <w:t xml:space="preserve"> alguno de los supuestos </w:t>
      </w:r>
      <w:r w:rsidRPr="00F97C81">
        <w:rPr>
          <w:rFonts w:ascii="Palatino Linotype" w:hAnsi="Palatino Linotype" w:cs="Arial"/>
          <w:b/>
          <w:i/>
          <w:u w:val="single"/>
        </w:rPr>
        <w:lastRenderedPageBreak/>
        <w:t>de reserva o confidencialidad, de conformidad con lo dispuesto en el presente título.</w:t>
      </w:r>
    </w:p>
    <w:p w14:paraId="48A03162" w14:textId="77777777" w:rsidR="00E748AE" w:rsidRPr="00F97C81" w:rsidRDefault="00E748AE" w:rsidP="00E748AE">
      <w:pPr>
        <w:spacing w:before="240" w:line="360" w:lineRule="auto"/>
        <w:ind w:left="851" w:right="851"/>
        <w:jc w:val="both"/>
        <w:rPr>
          <w:rFonts w:ascii="Palatino Linotype" w:hAnsi="Palatino Linotype" w:cs="Arial"/>
          <w:i/>
        </w:rPr>
      </w:pPr>
      <w:r w:rsidRPr="00F97C81">
        <w:rPr>
          <w:rFonts w:ascii="Palatino Linotype" w:hAnsi="Palatino Linotype" w:cs="Arial"/>
          <w:i/>
        </w:rPr>
        <w:t>[…]</w:t>
      </w:r>
    </w:p>
    <w:p w14:paraId="44935C6F" w14:textId="77777777" w:rsidR="00E748AE" w:rsidRPr="00F97C81" w:rsidRDefault="00E748AE" w:rsidP="00E748AE">
      <w:pPr>
        <w:spacing w:before="240" w:line="360" w:lineRule="auto"/>
        <w:ind w:left="851" w:right="851"/>
        <w:jc w:val="both"/>
        <w:rPr>
          <w:rFonts w:ascii="Palatino Linotype" w:hAnsi="Palatino Linotype" w:cs="Arial"/>
          <w:i/>
        </w:rPr>
      </w:pPr>
      <w:r w:rsidRPr="00F97C81">
        <w:rPr>
          <w:rFonts w:ascii="Palatino Linotype" w:hAnsi="Palatino Linotype" w:cs="Arial"/>
          <w:i/>
        </w:rPr>
        <w:t>Artículo 132. La clasificación de la información se llevará a cabo en el momento en que:</w:t>
      </w:r>
    </w:p>
    <w:p w14:paraId="644DF460" w14:textId="77777777" w:rsidR="00E748AE" w:rsidRPr="00F97C81" w:rsidRDefault="00E748AE" w:rsidP="00E748AE">
      <w:pPr>
        <w:spacing w:before="240" w:line="360" w:lineRule="auto"/>
        <w:ind w:left="851" w:right="851"/>
        <w:jc w:val="both"/>
        <w:rPr>
          <w:rFonts w:ascii="Palatino Linotype" w:hAnsi="Palatino Linotype" w:cs="Arial"/>
          <w:i/>
        </w:rPr>
      </w:pPr>
      <w:r w:rsidRPr="00F97C81">
        <w:rPr>
          <w:rFonts w:ascii="Palatino Linotype" w:hAnsi="Palatino Linotype" w:cs="Arial"/>
          <w:i/>
        </w:rPr>
        <w:t>[…]</w:t>
      </w:r>
    </w:p>
    <w:p w14:paraId="1DA4EFDA" w14:textId="77777777" w:rsidR="00E748AE" w:rsidRPr="00F97C81" w:rsidRDefault="00E748AE" w:rsidP="00E748AE">
      <w:pPr>
        <w:spacing w:before="240" w:line="360" w:lineRule="auto"/>
        <w:ind w:left="851" w:right="851"/>
        <w:jc w:val="both"/>
        <w:rPr>
          <w:rFonts w:ascii="Palatino Linotype" w:hAnsi="Palatino Linotype" w:cs="Arial"/>
          <w:b/>
          <w:i/>
          <w:u w:val="single"/>
        </w:rPr>
      </w:pPr>
      <w:r w:rsidRPr="00F97C81">
        <w:rPr>
          <w:rFonts w:ascii="Palatino Linotype" w:hAnsi="Palatino Linotype" w:cs="Arial"/>
          <w:b/>
          <w:i/>
          <w:u w:val="single"/>
        </w:rPr>
        <w:t>II. Se determine mediante resolución de autoridad competente; o</w:t>
      </w:r>
    </w:p>
    <w:p w14:paraId="5B924407" w14:textId="77777777" w:rsidR="00E748AE" w:rsidRPr="00F97C81" w:rsidRDefault="00E748AE" w:rsidP="00E748AE">
      <w:pPr>
        <w:spacing w:before="240" w:line="360" w:lineRule="auto"/>
        <w:ind w:left="851" w:right="851"/>
        <w:jc w:val="both"/>
        <w:rPr>
          <w:rFonts w:ascii="Palatino Linotype" w:hAnsi="Palatino Linotype" w:cs="Arial"/>
          <w:b/>
          <w:i/>
        </w:rPr>
      </w:pPr>
      <w:r w:rsidRPr="00F97C81">
        <w:rPr>
          <w:rFonts w:ascii="Palatino Linotype" w:hAnsi="Palatino Linotype" w:cs="Arial"/>
          <w:b/>
          <w:i/>
        </w:rPr>
        <w:t>(…)</w:t>
      </w:r>
    </w:p>
    <w:p w14:paraId="1548A579" w14:textId="77777777" w:rsidR="00E748AE" w:rsidRPr="00F97C81" w:rsidRDefault="00E748AE" w:rsidP="00E748AE">
      <w:pPr>
        <w:spacing w:before="240" w:line="360" w:lineRule="auto"/>
        <w:ind w:left="851" w:right="851"/>
        <w:jc w:val="both"/>
        <w:rPr>
          <w:rFonts w:ascii="Palatino Linotype" w:hAnsi="Palatino Linotype" w:cs="Arial"/>
          <w:b/>
          <w:i/>
        </w:rPr>
      </w:pPr>
      <w:r w:rsidRPr="00F97C81">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F97C81">
        <w:rPr>
          <w:rFonts w:ascii="Palatino Linotype" w:hAnsi="Palatino Linotype" w:cs="Arial"/>
          <w:b/>
          <w:i/>
        </w:rPr>
        <w:t xml:space="preserve"> </w:t>
      </w:r>
      <w:r w:rsidRPr="00F97C81">
        <w:rPr>
          <w:rFonts w:ascii="Palatino Linotype" w:hAnsi="Palatino Linotype" w:cs="Arial"/>
          <w:b/>
          <w:i/>
          <w:u w:val="single"/>
        </w:rPr>
        <w:t xml:space="preserve">de manera genérica y fundando y motivando su clasificación.” </w:t>
      </w:r>
      <w:r w:rsidRPr="00F97C81">
        <w:rPr>
          <w:rFonts w:ascii="Palatino Linotype" w:hAnsi="Palatino Linotype" w:cs="Arial"/>
          <w:b/>
          <w:i/>
        </w:rPr>
        <w:t>[Sic]</w:t>
      </w:r>
    </w:p>
    <w:p w14:paraId="1F00E023" w14:textId="77777777" w:rsidR="00E748AE" w:rsidRPr="00F97C81" w:rsidRDefault="00E748AE" w:rsidP="00E748AE">
      <w:pPr>
        <w:spacing w:after="0" w:line="360" w:lineRule="auto"/>
        <w:ind w:right="51"/>
        <w:jc w:val="both"/>
        <w:rPr>
          <w:rFonts w:ascii="Palatino Linotype" w:eastAsia="Arial Unicode MS" w:hAnsi="Palatino Linotype" w:cs="Arial"/>
          <w:sz w:val="24"/>
          <w:szCs w:val="24"/>
        </w:rPr>
      </w:pPr>
    </w:p>
    <w:p w14:paraId="7FA355A2" w14:textId="77777777" w:rsidR="00E748AE" w:rsidRPr="00F97C81" w:rsidRDefault="00E748AE" w:rsidP="00E748AE">
      <w:pPr>
        <w:spacing w:after="0" w:line="360" w:lineRule="auto"/>
        <w:ind w:right="51"/>
        <w:jc w:val="both"/>
        <w:rPr>
          <w:rFonts w:ascii="Palatino Linotype" w:hAnsi="Palatino Linotype" w:cs="Arial"/>
          <w:sz w:val="24"/>
          <w:szCs w:val="24"/>
        </w:rPr>
      </w:pPr>
      <w:r w:rsidRPr="00F97C81">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F97C81">
        <w:rPr>
          <w:rFonts w:ascii="Palatino Linotype" w:hAnsi="Palatino Linotype" w:cs="Arial"/>
          <w:sz w:val="24"/>
          <w:szCs w:val="24"/>
        </w:rPr>
        <w:t xml:space="preserve">el Registro Federal de Contribuyentes </w:t>
      </w:r>
      <w:r w:rsidRPr="00F97C81">
        <w:rPr>
          <w:rFonts w:ascii="Palatino Linotype" w:hAnsi="Palatino Linotype" w:cs="Arial"/>
          <w:b/>
          <w:bCs/>
          <w:sz w:val="24"/>
          <w:szCs w:val="24"/>
          <w:u w:val="single"/>
        </w:rPr>
        <w:t>(RFC) que no sean de proveedores,</w:t>
      </w:r>
      <w:r w:rsidRPr="00F97C81">
        <w:rPr>
          <w:rFonts w:ascii="Palatino Linotype" w:hAnsi="Palatino Linotype" w:cs="Arial"/>
          <w:sz w:val="24"/>
          <w:szCs w:val="24"/>
        </w:rPr>
        <w:t xml:space="preserve">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38192D86" w14:textId="77777777" w:rsidR="00E748AE" w:rsidRPr="00F97C81" w:rsidRDefault="00E748AE" w:rsidP="00E748AE">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F97C81">
        <w:rPr>
          <w:rFonts w:ascii="Palatino Linotype" w:eastAsia="Times New Roman" w:hAnsi="Palatino Linotype" w:cs="Arial"/>
          <w:sz w:val="24"/>
          <w:szCs w:val="24"/>
          <w:lang w:eastAsia="es-MX"/>
        </w:rPr>
        <w:lastRenderedPageBreak/>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38F44951" w14:textId="77777777" w:rsidR="00E748AE" w:rsidRPr="00F97C81" w:rsidRDefault="00E748AE" w:rsidP="00E748AE">
      <w:pPr>
        <w:spacing w:before="240" w:after="240" w:line="360" w:lineRule="auto"/>
        <w:ind w:right="-91"/>
        <w:jc w:val="both"/>
        <w:rPr>
          <w:rFonts w:ascii="Palatino Linotype" w:eastAsia="Times New Roman" w:hAnsi="Palatino Linotype" w:cs="Arial"/>
          <w:sz w:val="24"/>
          <w:szCs w:val="24"/>
          <w:lang w:eastAsia="es-MX"/>
        </w:rPr>
      </w:pPr>
      <w:r w:rsidRPr="00F97C81">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0EAD87E3" w14:textId="77777777" w:rsidR="00E748AE" w:rsidRPr="00F97C81" w:rsidRDefault="00E748AE" w:rsidP="00E748AE">
      <w:pPr>
        <w:spacing w:before="240" w:after="240" w:line="360" w:lineRule="auto"/>
        <w:ind w:right="-91"/>
        <w:jc w:val="both"/>
        <w:rPr>
          <w:rFonts w:ascii="Palatino Linotype" w:eastAsia="Times New Roman" w:hAnsi="Palatino Linotype" w:cs="Arial"/>
          <w:sz w:val="24"/>
          <w:szCs w:val="24"/>
          <w:lang w:eastAsia="es-MX"/>
        </w:rPr>
      </w:pPr>
      <w:r w:rsidRPr="00F97C81">
        <w:rPr>
          <w:rFonts w:ascii="Palatino Linotype" w:eastAsia="Times New Roman" w:hAnsi="Palatino Linotype" w:cs="Arial"/>
          <w:sz w:val="24"/>
          <w:szCs w:val="24"/>
          <w:lang w:eastAsia="es-MX"/>
        </w:rPr>
        <w:t xml:space="preserve">Lo anterior es compartido por el ahora </w:t>
      </w:r>
      <w:r w:rsidRPr="00F97C81">
        <w:rPr>
          <w:rFonts w:ascii="Palatino Linotype" w:eastAsia="Times New Roman" w:hAnsi="Palatino Linotype" w:cs="Arial"/>
          <w:b/>
          <w:bCs/>
          <w:sz w:val="24"/>
          <w:szCs w:val="24"/>
          <w:lang w:eastAsia="es-MX"/>
        </w:rPr>
        <w:t>Instituto Nacional de Transparencia, Acceso a la Información y Protección de Datos Personales</w:t>
      </w:r>
      <w:r w:rsidRPr="00F97C81">
        <w:rPr>
          <w:rFonts w:ascii="Palatino Linotype" w:eastAsia="Times New Roman" w:hAnsi="Palatino Linotype" w:cs="Arial"/>
          <w:sz w:val="24"/>
          <w:szCs w:val="24"/>
          <w:lang w:eastAsia="es-MX"/>
        </w:rPr>
        <w:t xml:space="preserve"> (INAI), conforme al criterio </w:t>
      </w:r>
      <w:r w:rsidRPr="00F97C81">
        <w:rPr>
          <w:rFonts w:ascii="Palatino Linotype" w:eastAsia="Times New Roman" w:hAnsi="Palatino Linotype" w:cs="Arial"/>
          <w:b/>
          <w:sz w:val="24"/>
          <w:szCs w:val="24"/>
          <w:lang w:eastAsia="es-MX"/>
        </w:rPr>
        <w:t>19/17,</w:t>
      </w:r>
      <w:r w:rsidRPr="00F97C81">
        <w:rPr>
          <w:rFonts w:ascii="Palatino Linotype" w:eastAsia="Times New Roman" w:hAnsi="Palatino Linotype" w:cs="Arial"/>
          <w:sz w:val="24"/>
          <w:szCs w:val="24"/>
          <w:lang w:eastAsia="es-MX"/>
        </w:rPr>
        <w:t xml:space="preserve"> el cual es del tenor literal siguiente:</w:t>
      </w:r>
    </w:p>
    <w:p w14:paraId="3242D2AD" w14:textId="77777777" w:rsidR="00E748AE" w:rsidRPr="00F97C81" w:rsidRDefault="00E748AE" w:rsidP="00E748AE">
      <w:pPr>
        <w:autoSpaceDE w:val="0"/>
        <w:autoSpaceDN w:val="0"/>
        <w:adjustRightInd w:val="0"/>
        <w:spacing w:before="240" w:line="360" w:lineRule="auto"/>
        <w:ind w:left="851" w:right="851"/>
        <w:jc w:val="center"/>
        <w:rPr>
          <w:rFonts w:ascii="Palatino Linotype" w:eastAsia="Times New Roman" w:hAnsi="Palatino Linotype" w:cs="Arial"/>
          <w:b/>
          <w:bCs/>
          <w:i/>
        </w:rPr>
      </w:pPr>
      <w:r w:rsidRPr="00F97C81">
        <w:rPr>
          <w:rFonts w:ascii="Palatino Linotype" w:eastAsia="Times New Roman" w:hAnsi="Palatino Linotype" w:cs="Arial"/>
          <w:bCs/>
          <w:i/>
        </w:rPr>
        <w:t>“</w:t>
      </w:r>
      <w:r w:rsidRPr="00F97C81">
        <w:rPr>
          <w:rFonts w:ascii="Palatino Linotype" w:eastAsia="Times New Roman" w:hAnsi="Palatino Linotype" w:cs="Arial"/>
          <w:b/>
          <w:bCs/>
          <w:i/>
        </w:rPr>
        <w:t>REGISTRO FEDERAL DE CONTRIBUYENTES (RFC) DE PERSONAS FÍSICAS.</w:t>
      </w:r>
    </w:p>
    <w:p w14:paraId="48990E10" w14:textId="77777777" w:rsidR="00E748AE" w:rsidRPr="00F97C81"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Cs/>
          <w:i/>
        </w:rPr>
      </w:pPr>
      <w:r w:rsidRPr="00F97C81">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32BD6623" w14:textId="77777777" w:rsidR="00E748AE" w:rsidRPr="00F97C81"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
          <w:i/>
        </w:rPr>
      </w:pPr>
      <w:r w:rsidRPr="00F97C81">
        <w:rPr>
          <w:rFonts w:ascii="Palatino Linotype" w:eastAsia="Times New Roman" w:hAnsi="Palatino Linotype" w:cs="Arial"/>
          <w:b/>
          <w:i/>
        </w:rPr>
        <w:t>Resoluciones:</w:t>
      </w:r>
    </w:p>
    <w:p w14:paraId="27041CE4" w14:textId="77777777" w:rsidR="00E748AE" w:rsidRPr="00F97C81" w:rsidRDefault="00E748AE" w:rsidP="00E748AE">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F97C81">
        <w:rPr>
          <w:rFonts w:ascii="Palatino Linotype" w:eastAsia="Times New Roman" w:hAnsi="Palatino Linotype" w:cs="Arial"/>
          <w:b/>
          <w:i/>
        </w:rPr>
        <w:t xml:space="preserve">RRA </w:t>
      </w:r>
      <w:r w:rsidRPr="00F97C81">
        <w:rPr>
          <w:rFonts w:ascii="Palatino Linotype" w:eastAsia="Times New Roman" w:hAnsi="Palatino Linotype" w:cs="Arial"/>
          <w:b/>
          <w:i/>
          <w:lang w:val="es-ES"/>
        </w:rPr>
        <w:t xml:space="preserve">0189/17. </w:t>
      </w:r>
      <w:r w:rsidRPr="00F97C81">
        <w:rPr>
          <w:rFonts w:ascii="Palatino Linotype" w:eastAsia="Times New Roman" w:hAnsi="Palatino Linotype" w:cs="Arial"/>
          <w:i/>
          <w:lang w:val="es-ES"/>
        </w:rPr>
        <w:t xml:space="preserve">Morena. 08 de febrero de 2017. Por unanimidad. Comisionado Ponente </w:t>
      </w:r>
      <w:r w:rsidRPr="00F97C81">
        <w:rPr>
          <w:rFonts w:ascii="Palatino Linotype" w:eastAsia="Times New Roman" w:hAnsi="Palatino Linotype" w:cs="Arial"/>
          <w:i/>
        </w:rPr>
        <w:t>Joel Salas Suárez.</w:t>
      </w:r>
    </w:p>
    <w:p w14:paraId="63D517F0" w14:textId="77777777" w:rsidR="00E748AE" w:rsidRPr="00F97C81" w:rsidRDefault="00E748AE" w:rsidP="00E748AE">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F97C81">
        <w:rPr>
          <w:rFonts w:ascii="Palatino Linotype" w:eastAsia="Times New Roman" w:hAnsi="Palatino Linotype" w:cs="Arial"/>
          <w:b/>
          <w:i/>
        </w:rPr>
        <w:t xml:space="preserve">RRA </w:t>
      </w:r>
      <w:r w:rsidRPr="00F97C81">
        <w:rPr>
          <w:rFonts w:ascii="Palatino Linotype" w:eastAsia="Times New Roman" w:hAnsi="Palatino Linotype" w:cs="Arial"/>
          <w:b/>
          <w:bCs/>
          <w:i/>
        </w:rPr>
        <w:t>0677</w:t>
      </w:r>
      <w:r w:rsidRPr="00F97C81">
        <w:rPr>
          <w:rFonts w:ascii="Palatino Linotype" w:eastAsia="Times New Roman" w:hAnsi="Palatino Linotype" w:cs="Arial"/>
          <w:b/>
          <w:i/>
        </w:rPr>
        <w:t xml:space="preserve">/17. </w:t>
      </w:r>
      <w:r w:rsidRPr="00F97C81">
        <w:rPr>
          <w:rFonts w:ascii="Palatino Linotype" w:eastAsia="Times New Roman" w:hAnsi="Palatino Linotype" w:cs="Arial"/>
          <w:i/>
          <w:lang w:val="es-ES"/>
        </w:rPr>
        <w:t xml:space="preserve">Universidad Nacional Autónoma de México. 08 de marzo de 2017. Por unanimidad. Comisionado Ponente </w:t>
      </w:r>
      <w:proofErr w:type="spellStart"/>
      <w:r w:rsidRPr="00F97C81">
        <w:rPr>
          <w:rFonts w:ascii="Palatino Linotype" w:eastAsia="Times New Roman" w:hAnsi="Palatino Linotype" w:cs="Arial"/>
          <w:i/>
          <w:lang w:val="es-ES"/>
        </w:rPr>
        <w:t>Rosendoevgueni</w:t>
      </w:r>
      <w:proofErr w:type="spellEnd"/>
      <w:r w:rsidRPr="00F97C81">
        <w:rPr>
          <w:rFonts w:ascii="Palatino Linotype" w:eastAsia="Times New Roman" w:hAnsi="Palatino Linotype" w:cs="Arial"/>
          <w:i/>
          <w:lang w:val="es-ES"/>
        </w:rPr>
        <w:t xml:space="preserve"> Monterrey </w:t>
      </w:r>
      <w:proofErr w:type="spellStart"/>
      <w:r w:rsidRPr="00F97C81">
        <w:rPr>
          <w:rFonts w:ascii="Palatino Linotype" w:eastAsia="Times New Roman" w:hAnsi="Palatino Linotype" w:cs="Arial"/>
          <w:i/>
          <w:lang w:val="es-ES"/>
        </w:rPr>
        <w:t>Chepov</w:t>
      </w:r>
      <w:proofErr w:type="spellEnd"/>
      <w:r w:rsidRPr="00F97C81">
        <w:rPr>
          <w:rFonts w:ascii="Palatino Linotype" w:eastAsia="Times New Roman" w:hAnsi="Palatino Linotype" w:cs="Arial"/>
          <w:i/>
        </w:rPr>
        <w:t>.</w:t>
      </w:r>
      <w:r w:rsidRPr="00F97C81">
        <w:rPr>
          <w:rFonts w:ascii="Palatino Linotype" w:eastAsia="Times New Roman" w:hAnsi="Palatino Linotype" w:cs="Arial"/>
          <w:b/>
          <w:i/>
        </w:rPr>
        <w:t xml:space="preserve"> </w:t>
      </w:r>
    </w:p>
    <w:p w14:paraId="01044C7A" w14:textId="77777777" w:rsidR="00E748AE" w:rsidRPr="00F97C81"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F97C81">
        <w:rPr>
          <w:rFonts w:ascii="Palatino Linotype" w:eastAsia="Times New Roman" w:hAnsi="Palatino Linotype" w:cs="Arial"/>
          <w:b/>
          <w:i/>
        </w:rPr>
        <w:lastRenderedPageBreak/>
        <w:t>RRA</w:t>
      </w:r>
      <w:r w:rsidRPr="00F97C81">
        <w:rPr>
          <w:rFonts w:ascii="Palatino Linotype" w:eastAsia="Times New Roman" w:hAnsi="Palatino Linotype" w:cs="Arial"/>
          <w:i/>
          <w:lang w:val="es-ES"/>
        </w:rPr>
        <w:t xml:space="preserve"> </w:t>
      </w:r>
      <w:r w:rsidRPr="00F97C81">
        <w:rPr>
          <w:rFonts w:ascii="Palatino Linotype" w:eastAsia="Times New Roman" w:hAnsi="Palatino Linotype" w:cs="Arial"/>
          <w:b/>
          <w:i/>
        </w:rPr>
        <w:t xml:space="preserve">1564/17. </w:t>
      </w:r>
      <w:r w:rsidRPr="00F97C81">
        <w:rPr>
          <w:rFonts w:ascii="Palatino Linotype" w:eastAsia="Times New Roman" w:hAnsi="Palatino Linotype" w:cs="Arial"/>
          <w:i/>
          <w:lang w:val="es-ES"/>
        </w:rPr>
        <w:t>Tribunal Electoral del Poder Judicial de la Federación</w:t>
      </w:r>
      <w:r w:rsidRPr="00F97C81">
        <w:rPr>
          <w:rFonts w:ascii="Palatino Linotype" w:eastAsia="Times New Roman" w:hAnsi="Palatino Linotype" w:cs="Arial"/>
          <w:i/>
        </w:rPr>
        <w:t xml:space="preserve">. 26 de abril de 2017. Por unanimidad. Comisionado Ponente Oscar Mauricio Guerra Ford.” </w:t>
      </w:r>
      <w:r w:rsidRPr="00F97C81">
        <w:rPr>
          <w:rFonts w:ascii="Palatino Linotype" w:eastAsia="Times New Roman" w:hAnsi="Palatino Linotype" w:cs="Arial"/>
          <w:b/>
          <w:i/>
        </w:rPr>
        <w:t>[Sic]</w:t>
      </w:r>
    </w:p>
    <w:p w14:paraId="1CF68238" w14:textId="77777777" w:rsidR="00E748AE" w:rsidRPr="00F97C81" w:rsidRDefault="00E748AE" w:rsidP="00E748AE">
      <w:pPr>
        <w:autoSpaceDE w:val="0"/>
        <w:autoSpaceDN w:val="0"/>
        <w:adjustRightInd w:val="0"/>
        <w:spacing w:before="120" w:after="120"/>
        <w:ind w:left="567" w:right="850"/>
        <w:jc w:val="both"/>
        <w:rPr>
          <w:rFonts w:ascii="Palatino Linotype" w:eastAsia="Times New Roman" w:hAnsi="Palatino Linotype" w:cs="Arial"/>
          <w:i/>
        </w:rPr>
      </w:pPr>
    </w:p>
    <w:p w14:paraId="37EE6407" w14:textId="77777777" w:rsidR="00E748AE" w:rsidRPr="00F97C81" w:rsidRDefault="00E748AE" w:rsidP="00E748AE">
      <w:pPr>
        <w:spacing w:before="240" w:after="240" w:line="360" w:lineRule="auto"/>
        <w:jc w:val="both"/>
        <w:rPr>
          <w:rFonts w:ascii="Palatino Linotype" w:hAnsi="Palatino Linotype" w:cs="Arial"/>
          <w:sz w:val="24"/>
          <w:szCs w:val="24"/>
          <w:lang w:eastAsia="es-MX"/>
        </w:rPr>
      </w:pPr>
      <w:r w:rsidRPr="00F97C81">
        <w:rPr>
          <w:rFonts w:ascii="Palatino Linotype" w:hAnsi="Palatino Linotype" w:cs="Arial"/>
          <w:sz w:val="24"/>
          <w:szCs w:val="24"/>
          <w:lang w:eastAsia="es-MX"/>
        </w:rPr>
        <w:t xml:space="preserve">Así, el RFC se vincula al nombre de su titular, permite identificar la edad de la persona, su fecha de nacimiento, así como su </w:t>
      </w:r>
      <w:proofErr w:type="spellStart"/>
      <w:r w:rsidRPr="00F97C81">
        <w:rPr>
          <w:rFonts w:ascii="Palatino Linotype" w:hAnsi="Palatino Linotype" w:cs="Arial"/>
          <w:sz w:val="24"/>
          <w:szCs w:val="24"/>
          <w:lang w:eastAsia="es-MX"/>
        </w:rPr>
        <w:t>homoclave</w:t>
      </w:r>
      <w:proofErr w:type="spellEnd"/>
      <w:r w:rsidRPr="00F97C81">
        <w:rPr>
          <w:rFonts w:ascii="Palatino Linotype" w:hAnsi="Palatino Linotype" w:cs="Arial"/>
          <w:sz w:val="24"/>
          <w:szCs w:val="24"/>
          <w:lang w:eastAsia="es-MX"/>
        </w:rPr>
        <w:t>, la cual es única e irrepetible y determina justamente la identificación de dicha persona para efectos fiscales, por lo éste constituye un dato personal que concierne a una persona física identificada e identificable.</w:t>
      </w:r>
    </w:p>
    <w:p w14:paraId="4F804309" w14:textId="77777777" w:rsidR="00E748AE" w:rsidRPr="00F97C81" w:rsidRDefault="00E748AE" w:rsidP="00E748AE">
      <w:pPr>
        <w:spacing w:before="240" w:after="240" w:line="360" w:lineRule="auto"/>
        <w:jc w:val="both"/>
        <w:rPr>
          <w:rFonts w:ascii="Palatino Linotype" w:hAnsi="Palatino Linotype" w:cs="Arial"/>
          <w:sz w:val="24"/>
          <w:szCs w:val="24"/>
          <w:lang w:eastAsia="es-MX"/>
        </w:rPr>
      </w:pPr>
      <w:r w:rsidRPr="00F97C81">
        <w:rPr>
          <w:rFonts w:ascii="Palatino Linotype" w:hAnsi="Palatino Linotype" w:cs="Arial"/>
          <w:sz w:val="24"/>
          <w:szCs w:val="24"/>
          <w:lang w:eastAsia="es-MX"/>
        </w:rPr>
        <w:t xml:space="preserve">No obstante lo anterior, como fue advertido con antelación el Registro Federal de Contribuyentes tratándose de proveedores o contratistas encuadra dentro de las fronteras conceptuales del interés general y el alcance público, al tratarse de un elemento que, en el caso en particular abona a la transparencia y rendición de cuentas. </w:t>
      </w:r>
    </w:p>
    <w:p w14:paraId="06989461" w14:textId="77777777" w:rsidR="00E748AE" w:rsidRPr="00F97C81" w:rsidRDefault="00E748AE" w:rsidP="00E748AE">
      <w:pPr>
        <w:spacing w:before="240" w:after="240" w:line="360" w:lineRule="auto"/>
        <w:jc w:val="both"/>
        <w:rPr>
          <w:rFonts w:ascii="Palatino Linotype" w:hAnsi="Palatino Linotype" w:cs="Arial"/>
          <w:sz w:val="24"/>
          <w:szCs w:val="24"/>
          <w:lang w:eastAsia="es-MX"/>
        </w:rPr>
      </w:pPr>
      <w:r w:rsidRPr="00F97C81">
        <w:rPr>
          <w:rFonts w:ascii="Palatino Linotype" w:hAnsi="Palatino Linotype" w:cs="Arial"/>
          <w:sz w:val="24"/>
          <w:szCs w:val="24"/>
          <w:lang w:eastAsia="es-MX"/>
        </w:rPr>
        <w:t xml:space="preserve">Robustece lo anterior, el criterio </w:t>
      </w:r>
      <w:r w:rsidRPr="00F97C81">
        <w:rPr>
          <w:rFonts w:ascii="Palatino Linotype" w:hAnsi="Palatino Linotype" w:cs="Arial"/>
          <w:b/>
          <w:bCs/>
          <w:sz w:val="24"/>
          <w:szCs w:val="24"/>
          <w:lang w:eastAsia="es-MX"/>
        </w:rPr>
        <w:t xml:space="preserve">04/21 </w:t>
      </w:r>
      <w:r w:rsidRPr="00F97C81">
        <w:rPr>
          <w:rFonts w:ascii="Palatino Linotype" w:hAnsi="Palatino Linotype" w:cs="Arial"/>
          <w:sz w:val="24"/>
          <w:szCs w:val="24"/>
          <w:lang w:eastAsia="es-MX"/>
        </w:rPr>
        <w:t xml:space="preserve">emitido por el Órgano Garante Nacional, cuyo rubro y texto disponen a la literalidad lo siguiente: </w:t>
      </w:r>
    </w:p>
    <w:p w14:paraId="2680F421" w14:textId="77777777" w:rsidR="00E748AE" w:rsidRPr="00F97C81" w:rsidRDefault="00E748AE" w:rsidP="00E748AE">
      <w:pPr>
        <w:pStyle w:val="Citas"/>
        <w:rPr>
          <w:b/>
          <w:sz w:val="24"/>
          <w:szCs w:val="24"/>
        </w:rPr>
      </w:pPr>
      <w:r w:rsidRPr="00F97C81">
        <w:rPr>
          <w:b/>
          <w:sz w:val="24"/>
          <w:szCs w:val="24"/>
        </w:rPr>
        <w:t xml:space="preserve">“REGISTRO FEDERAL DE CONTRIBUYENTES (RFC) DE PERSONAS FÍSICAS PROVEEDORES O CONTRATISTAS. </w:t>
      </w:r>
    </w:p>
    <w:p w14:paraId="3C2253E1" w14:textId="77777777" w:rsidR="00E748AE" w:rsidRPr="00F97C81" w:rsidRDefault="00E748AE" w:rsidP="00E748AE">
      <w:pPr>
        <w:pStyle w:val="Citas"/>
        <w:rPr>
          <w:color w:val="000000"/>
        </w:rPr>
      </w:pPr>
      <w:r w:rsidRPr="00F97C81">
        <w:t xml:space="preserve">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14:paraId="0BF8B9EE" w14:textId="77777777" w:rsidR="00E748AE" w:rsidRPr="00F97C81" w:rsidRDefault="00E748AE" w:rsidP="00E748AE">
      <w:pPr>
        <w:pStyle w:val="Citas"/>
        <w:rPr>
          <w:b/>
        </w:rPr>
      </w:pPr>
      <w:r w:rsidRPr="00F97C81">
        <w:rPr>
          <w:b/>
        </w:rPr>
        <w:t>Precedentes:</w:t>
      </w:r>
    </w:p>
    <w:p w14:paraId="6001951C" w14:textId="77777777" w:rsidR="00E748AE" w:rsidRPr="00F97C81" w:rsidRDefault="00E748AE" w:rsidP="00E748AE">
      <w:pPr>
        <w:pStyle w:val="Citas"/>
        <w:numPr>
          <w:ilvl w:val="0"/>
          <w:numId w:val="27"/>
        </w:numPr>
      </w:pPr>
      <w:r w:rsidRPr="00F97C81">
        <w:lastRenderedPageBreak/>
        <w:t>Acceso a la información Pública. RRA 3639/19.</w:t>
      </w:r>
      <w:r w:rsidRPr="00F97C81">
        <w:rPr>
          <w:b/>
        </w:rPr>
        <w:t xml:space="preserve"> </w:t>
      </w:r>
      <w:r w:rsidRPr="00F97C81">
        <w:t>Sesión del 10 de julio de 2019. Votación por mayoría. Con voto disidente del Comisionado Joel Salas Suárez. Instituto para la Protección del Ahorro Bancario. Comisionada Ponente María Patricia Kurczyn Villalobos.</w:t>
      </w:r>
    </w:p>
    <w:p w14:paraId="37C22F1C" w14:textId="77777777" w:rsidR="00E748AE" w:rsidRPr="00F97C81" w:rsidRDefault="00E748AE" w:rsidP="00E748AE">
      <w:pPr>
        <w:pStyle w:val="Citas"/>
        <w:numPr>
          <w:ilvl w:val="0"/>
          <w:numId w:val="27"/>
        </w:numPr>
        <w:rPr>
          <w:b/>
        </w:rPr>
      </w:pPr>
      <w:r w:rsidRPr="00F97C81">
        <w:t>Acceso a la información Pública. RRA 7709/19.</w:t>
      </w:r>
      <w:r w:rsidRPr="00F97C81">
        <w:rPr>
          <w:b/>
        </w:rPr>
        <w:t xml:space="preserve"> </w:t>
      </w:r>
      <w:r w:rsidRPr="00F97C81">
        <w:t>Sesión del 13 de agosto de 2019. Votación por unanimidad. Con voto particular de la Comisionada Josefina Román Vergara. Suprema Corte de Justicia de la Nación. Comisionada Ponente Josefina Román Vergara.</w:t>
      </w:r>
    </w:p>
    <w:p w14:paraId="2F961A24" w14:textId="77777777" w:rsidR="00E748AE" w:rsidRPr="00F97C81" w:rsidRDefault="00E748AE" w:rsidP="00E748AE">
      <w:pPr>
        <w:pStyle w:val="Citas"/>
        <w:numPr>
          <w:ilvl w:val="0"/>
          <w:numId w:val="27"/>
        </w:numPr>
        <w:rPr>
          <w:color w:val="000000"/>
        </w:rPr>
      </w:pPr>
      <w:r w:rsidRPr="00F97C81">
        <w:t>Acceso a la información Pública. RRA 5774/19.</w:t>
      </w:r>
      <w:r w:rsidRPr="00F97C81">
        <w:rPr>
          <w:b/>
        </w:rPr>
        <w:t xml:space="preserve"> </w:t>
      </w:r>
      <w:r w:rsidRPr="00F97C81">
        <w:t xml:space="preserve">Sesión del 21 de agosto de 2019. Votación por mayoría. Con voto disidente del Comisionado Joel Salas Suárez. Secretaría de Marina. Comisionada Ponente Blanca Lilia Ibarra Cadena.” </w:t>
      </w:r>
      <w:r w:rsidRPr="00F97C81">
        <w:rPr>
          <w:b/>
          <w:bCs/>
        </w:rPr>
        <w:t>(Sic)</w:t>
      </w:r>
    </w:p>
    <w:p w14:paraId="4301B011" w14:textId="77777777" w:rsidR="000416AA" w:rsidRPr="00F97C81" w:rsidRDefault="000416AA" w:rsidP="00E748AE">
      <w:pPr>
        <w:spacing w:before="240" w:after="240" w:line="360" w:lineRule="auto"/>
        <w:jc w:val="both"/>
        <w:rPr>
          <w:rFonts w:ascii="Palatino Linotype" w:hAnsi="Palatino Linotype" w:cs="Arial"/>
          <w:sz w:val="24"/>
          <w:szCs w:val="24"/>
          <w:lang w:eastAsia="es-MX"/>
        </w:rPr>
      </w:pPr>
    </w:p>
    <w:p w14:paraId="2C75B02B" w14:textId="7309334B" w:rsidR="00E748AE" w:rsidRPr="00F97C81" w:rsidRDefault="00E748AE" w:rsidP="00E748AE">
      <w:pPr>
        <w:spacing w:before="240" w:after="240" w:line="360" w:lineRule="auto"/>
        <w:jc w:val="both"/>
        <w:rPr>
          <w:rFonts w:ascii="Palatino Linotype" w:eastAsia="Calibri" w:hAnsi="Palatino Linotype" w:cs="Arial"/>
          <w:sz w:val="24"/>
          <w:szCs w:val="24"/>
          <w:lang w:eastAsia="es-MX"/>
        </w:rPr>
      </w:pPr>
      <w:r w:rsidRPr="00F97C81">
        <w:rPr>
          <w:rFonts w:ascii="Palatino Linotype" w:hAnsi="Palatino Linotype" w:cs="Arial"/>
          <w:sz w:val="24"/>
          <w:szCs w:val="24"/>
          <w:lang w:eastAsia="es-MX"/>
        </w:rPr>
        <w:t xml:space="preserve">En cuanto a la </w:t>
      </w:r>
      <w:r w:rsidRPr="00F97C81">
        <w:rPr>
          <w:rFonts w:ascii="Palatino Linotype" w:hAnsi="Palatino Linotype" w:cs="Arial"/>
          <w:sz w:val="24"/>
          <w:szCs w:val="24"/>
        </w:rPr>
        <w:t xml:space="preserve">Clave Única de Registro de Población (CURP) en virtud de que éste se </w:t>
      </w:r>
      <w:r w:rsidRPr="00F97C81">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39F43A56" w14:textId="77777777" w:rsidR="00E748AE" w:rsidRPr="00F97C81" w:rsidRDefault="00E748AE" w:rsidP="00E748AE">
      <w:pPr>
        <w:spacing w:before="240" w:after="240" w:line="360" w:lineRule="auto"/>
        <w:ind w:right="-91"/>
        <w:jc w:val="both"/>
        <w:rPr>
          <w:rFonts w:ascii="Palatino Linotype" w:eastAsia="Times New Roman" w:hAnsi="Palatino Linotype" w:cs="Arial"/>
          <w:sz w:val="24"/>
          <w:szCs w:val="24"/>
        </w:rPr>
      </w:pPr>
      <w:r w:rsidRPr="00F97C81">
        <w:rPr>
          <w:rFonts w:ascii="Palatino Linotype" w:hAnsi="Palatino Linotype" w:cs="Arial"/>
          <w:sz w:val="24"/>
          <w:szCs w:val="24"/>
        </w:rPr>
        <w:t xml:space="preserve">Argumento que es compartido por el </w:t>
      </w:r>
      <w:r w:rsidRPr="00F97C81">
        <w:rPr>
          <w:rStyle w:val="Textoennegrita"/>
          <w:rFonts w:ascii="Palatino Linotype" w:hAnsi="Palatino Linotype" w:cs="Arial"/>
          <w:sz w:val="24"/>
          <w:szCs w:val="24"/>
        </w:rPr>
        <w:t xml:space="preserve">Instituto Nacional de Transparencia, Acceso a la Información y Protección de Datos Personales, conforme al </w:t>
      </w:r>
      <w:r w:rsidRPr="00F97C81">
        <w:rPr>
          <w:rFonts w:ascii="Palatino Linotype" w:eastAsia="Times New Roman" w:hAnsi="Palatino Linotype" w:cs="Arial"/>
          <w:sz w:val="24"/>
          <w:szCs w:val="24"/>
        </w:rPr>
        <w:t xml:space="preserve">criterio número 18/17 el cual refiere: </w:t>
      </w:r>
    </w:p>
    <w:p w14:paraId="696ED17A" w14:textId="77777777" w:rsidR="00E748AE" w:rsidRPr="00F97C81" w:rsidRDefault="00E748AE" w:rsidP="00E748AE">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F97C81">
        <w:rPr>
          <w:rFonts w:ascii="Palatino Linotype" w:eastAsia="Times New Roman" w:hAnsi="Palatino Linotype" w:cs="Arial"/>
          <w:bCs/>
          <w:i/>
          <w:lang w:eastAsia="es-MX"/>
        </w:rPr>
        <w:t>“</w:t>
      </w:r>
      <w:r w:rsidRPr="00F97C81">
        <w:rPr>
          <w:rFonts w:ascii="Palatino Linotype" w:eastAsia="Times New Roman" w:hAnsi="Palatino Linotype" w:cs="Arial"/>
          <w:b/>
          <w:bCs/>
          <w:i/>
          <w:lang w:eastAsia="es-MX"/>
        </w:rPr>
        <w:t>CLAVE ÚNICA DE REGISTRO DE POBLACIÓN (CURP).</w:t>
      </w:r>
    </w:p>
    <w:p w14:paraId="5B672629" w14:textId="77777777" w:rsidR="00E748AE" w:rsidRPr="00F97C81"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F97C81">
        <w:rPr>
          <w:rFonts w:ascii="Palatino Linotype" w:eastAsia="Times New Roman" w:hAnsi="Palatino Linotype" w:cs="Arial"/>
          <w:bCs/>
          <w:i/>
          <w:lang w:eastAsia="es-MX"/>
        </w:rPr>
        <w:lastRenderedPageBreak/>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1F2FE1DE" w14:textId="77777777" w:rsidR="00E748AE" w:rsidRPr="00F97C81"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F97C81">
        <w:rPr>
          <w:rFonts w:ascii="Palatino Linotype" w:eastAsia="Times New Roman" w:hAnsi="Palatino Linotype" w:cs="Arial"/>
          <w:i/>
          <w:lang w:eastAsia="es-MX"/>
        </w:rPr>
        <w:t xml:space="preserve"> </w:t>
      </w:r>
      <w:r w:rsidRPr="00F97C81">
        <w:rPr>
          <w:rFonts w:ascii="Palatino Linotype" w:eastAsia="Times New Roman" w:hAnsi="Palatino Linotype" w:cs="Arial"/>
          <w:b/>
          <w:i/>
          <w:lang w:eastAsia="es-MX"/>
        </w:rPr>
        <w:t>Resoluciones:</w:t>
      </w:r>
    </w:p>
    <w:p w14:paraId="0AF8B581" w14:textId="77777777" w:rsidR="00E748AE" w:rsidRPr="00F97C81"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F97C81">
        <w:rPr>
          <w:rFonts w:ascii="Palatino Linotype" w:eastAsia="Times New Roman" w:hAnsi="Palatino Linotype" w:cs="Arial"/>
          <w:b/>
          <w:i/>
          <w:lang w:eastAsia="es-MX"/>
        </w:rPr>
        <w:t xml:space="preserve">RRA 3995/16. </w:t>
      </w:r>
      <w:r w:rsidRPr="00F97C81">
        <w:rPr>
          <w:rFonts w:ascii="Palatino Linotype" w:eastAsia="Times New Roman" w:hAnsi="Palatino Linotype" w:cs="Arial"/>
          <w:i/>
          <w:lang w:eastAsia="es-MX"/>
        </w:rPr>
        <w:t xml:space="preserve">Secretaría de la Defensa Nacional. 1 de febrero de 2017. Por unanimidad. Comisionado Ponente </w:t>
      </w:r>
      <w:proofErr w:type="spellStart"/>
      <w:r w:rsidRPr="00F97C81">
        <w:rPr>
          <w:rFonts w:ascii="Palatino Linotype" w:eastAsia="Times New Roman" w:hAnsi="Palatino Linotype" w:cs="Arial"/>
          <w:i/>
          <w:lang w:eastAsia="es-MX"/>
        </w:rPr>
        <w:t>Rosendoevgueni</w:t>
      </w:r>
      <w:proofErr w:type="spellEnd"/>
      <w:r w:rsidRPr="00F97C81">
        <w:rPr>
          <w:rFonts w:ascii="Palatino Linotype" w:eastAsia="Times New Roman" w:hAnsi="Palatino Linotype" w:cs="Arial"/>
          <w:i/>
          <w:lang w:eastAsia="es-MX"/>
        </w:rPr>
        <w:t xml:space="preserve"> Monterrey </w:t>
      </w:r>
      <w:proofErr w:type="spellStart"/>
      <w:r w:rsidRPr="00F97C81">
        <w:rPr>
          <w:rFonts w:ascii="Palatino Linotype" w:eastAsia="Times New Roman" w:hAnsi="Palatino Linotype" w:cs="Arial"/>
          <w:i/>
          <w:lang w:eastAsia="es-MX"/>
        </w:rPr>
        <w:t>Chepov</w:t>
      </w:r>
      <w:proofErr w:type="spellEnd"/>
      <w:r w:rsidRPr="00F97C81">
        <w:rPr>
          <w:rFonts w:ascii="Palatino Linotype" w:eastAsia="Times New Roman" w:hAnsi="Palatino Linotype" w:cs="Arial"/>
          <w:i/>
          <w:lang w:eastAsia="es-MX"/>
        </w:rPr>
        <w:t>.</w:t>
      </w:r>
    </w:p>
    <w:p w14:paraId="0257BDA8" w14:textId="77777777" w:rsidR="00E748AE" w:rsidRPr="00F97C81"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F97C81">
        <w:rPr>
          <w:rFonts w:ascii="Palatino Linotype" w:eastAsia="Times New Roman" w:hAnsi="Palatino Linotype" w:cs="Arial"/>
          <w:b/>
          <w:i/>
          <w:lang w:eastAsia="es-MX"/>
        </w:rPr>
        <w:t xml:space="preserve">RRA </w:t>
      </w:r>
      <w:r w:rsidRPr="00F97C81">
        <w:rPr>
          <w:rFonts w:ascii="Palatino Linotype" w:eastAsia="Times New Roman" w:hAnsi="Palatino Linotype" w:cs="Arial"/>
          <w:b/>
          <w:bCs/>
          <w:i/>
          <w:lang w:eastAsia="es-MX"/>
        </w:rPr>
        <w:t xml:space="preserve">0937/17. </w:t>
      </w:r>
      <w:r w:rsidRPr="00F97C81">
        <w:rPr>
          <w:rFonts w:ascii="Palatino Linotype" w:eastAsia="Times New Roman" w:hAnsi="Palatino Linotype" w:cs="Arial"/>
          <w:bCs/>
          <w:i/>
          <w:lang w:eastAsia="es-MX"/>
        </w:rPr>
        <w:t xml:space="preserve">Senado de la República. </w:t>
      </w:r>
      <w:r w:rsidRPr="00F97C81">
        <w:rPr>
          <w:rFonts w:ascii="Palatino Linotype" w:eastAsia="Times New Roman" w:hAnsi="Palatino Linotype" w:cs="Arial"/>
          <w:bCs/>
          <w:i/>
          <w:lang w:val="es-ES_tradnl" w:eastAsia="es-MX"/>
        </w:rPr>
        <w:t xml:space="preserve">15 de marzo de 2017. Por unanimidad. Comisionada Ponente Ximena Puente de la Mora. </w:t>
      </w:r>
    </w:p>
    <w:p w14:paraId="7B137473" w14:textId="77777777" w:rsidR="00E748AE" w:rsidRPr="00F97C81"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F97C81">
        <w:rPr>
          <w:rFonts w:ascii="Palatino Linotype" w:eastAsia="Times New Roman" w:hAnsi="Palatino Linotype" w:cs="Arial"/>
          <w:b/>
          <w:i/>
          <w:lang w:eastAsia="es-MX"/>
        </w:rPr>
        <w:t xml:space="preserve">RRA 0478/17. </w:t>
      </w:r>
      <w:r w:rsidRPr="00F97C81">
        <w:rPr>
          <w:rFonts w:ascii="Palatino Linotype" w:eastAsia="Times New Roman" w:hAnsi="Palatino Linotype" w:cs="Arial"/>
          <w:i/>
          <w:lang w:eastAsia="es-MX"/>
        </w:rPr>
        <w:t xml:space="preserve">Secretaría de Relaciones Exteriores. 26 de abril de 2017. Por unanimidad. Comisionada Ponente Areli Cano Guadiana.” </w:t>
      </w:r>
      <w:r w:rsidRPr="00F97C81">
        <w:rPr>
          <w:rFonts w:ascii="Palatino Linotype" w:eastAsia="Times New Roman" w:hAnsi="Palatino Linotype" w:cs="Arial"/>
          <w:b/>
          <w:i/>
          <w:lang w:eastAsia="es-MX"/>
        </w:rPr>
        <w:t>[Sic]</w:t>
      </w:r>
    </w:p>
    <w:p w14:paraId="47D5BAD6" w14:textId="77777777" w:rsidR="000B52E9" w:rsidRPr="00F97C81" w:rsidRDefault="000B52E9" w:rsidP="00E748AE">
      <w:pPr>
        <w:spacing w:after="0" w:line="360" w:lineRule="auto"/>
        <w:ind w:right="51"/>
        <w:jc w:val="both"/>
        <w:rPr>
          <w:rFonts w:ascii="Palatino Linotype" w:hAnsi="Palatino Linotype" w:cs="Arial"/>
          <w:sz w:val="24"/>
          <w:szCs w:val="24"/>
        </w:rPr>
      </w:pPr>
    </w:p>
    <w:p w14:paraId="3467563E" w14:textId="0523C1FD" w:rsidR="00E748AE" w:rsidRPr="00F97C81" w:rsidRDefault="00E748AE" w:rsidP="00E748AE">
      <w:pPr>
        <w:spacing w:after="0" w:line="360" w:lineRule="auto"/>
        <w:ind w:right="51"/>
        <w:jc w:val="both"/>
        <w:rPr>
          <w:rFonts w:ascii="Palatino Linotype" w:hAnsi="Palatino Linotype" w:cs="Arial"/>
          <w:sz w:val="24"/>
          <w:szCs w:val="24"/>
        </w:rPr>
      </w:pPr>
      <w:r w:rsidRPr="00F97C81">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F97C81">
        <w:rPr>
          <w:rFonts w:ascii="Palatino Linotype" w:hAnsi="Palatino Linotype" w:cs="Arial"/>
          <w:b/>
          <w:sz w:val="24"/>
          <w:szCs w:val="24"/>
        </w:rPr>
        <w:t>LINEAMIENTOS GENERALES EN MATERIA DE CLASIFICACIÓN Y DESCLASIFICACIÓN DE LA INFORMACIÓN, ASÍ COMO PARA LA ELABORACIÓN DE VERSIONES PÚBLICAS,</w:t>
      </w:r>
      <w:r w:rsidRPr="00F97C81">
        <w:rPr>
          <w:rFonts w:ascii="Palatino Linotype" w:hAnsi="Palatino Linotype" w:cs="Arial"/>
          <w:sz w:val="24"/>
          <w:szCs w:val="24"/>
        </w:rPr>
        <w:t xml:space="preserve"> publicados en el Diario Oficial de la Federación en fecha quince de abril </w:t>
      </w:r>
      <w:r w:rsidRPr="00F97C81">
        <w:rPr>
          <w:rFonts w:ascii="Palatino Linotype" w:hAnsi="Palatino Linotype" w:cs="Arial"/>
          <w:sz w:val="24"/>
          <w:szCs w:val="24"/>
        </w:rPr>
        <w:lastRenderedPageBreak/>
        <w:t xml:space="preserve">de dos mil dieciséis, mediante Acuerdo del Consejo Nacional del Sistema Nacional de Transparencia, Acceso a la Información Pública y Protección de Datos Personales. </w:t>
      </w:r>
    </w:p>
    <w:p w14:paraId="1BC276F3" w14:textId="60596A69" w:rsidR="000B52E9" w:rsidRPr="00F97C81" w:rsidRDefault="0033238F" w:rsidP="0033238F">
      <w:pPr>
        <w:tabs>
          <w:tab w:val="left" w:pos="709"/>
        </w:tabs>
        <w:spacing w:before="240" w:line="360" w:lineRule="auto"/>
        <w:ind w:right="51"/>
        <w:jc w:val="both"/>
        <w:rPr>
          <w:rFonts w:ascii="Palatino Linotype" w:hAnsi="Palatino Linotype"/>
          <w:sz w:val="24"/>
          <w:szCs w:val="24"/>
        </w:rPr>
      </w:pPr>
      <w:r w:rsidRPr="00F97C81">
        <w:rPr>
          <w:rFonts w:ascii="Palatino Linotype" w:hAnsi="Palatino Linotype"/>
          <w:iCs/>
          <w:sz w:val="24"/>
          <w:szCs w:val="24"/>
        </w:rPr>
        <w:t xml:space="preserve">En mérito de lo expuesto </w:t>
      </w:r>
      <w:r w:rsidRPr="00F97C81">
        <w:rPr>
          <w:rFonts w:ascii="Palatino Linotype" w:hAnsi="Palatino Linotype"/>
          <w:sz w:val="24"/>
          <w:szCs w:val="24"/>
        </w:rPr>
        <w:t xml:space="preserve">en líneas anteriores, resultan parcialmente fundados los motivos de inconformidad vertidos por </w:t>
      </w:r>
      <w:r w:rsidRPr="00F97C81">
        <w:rPr>
          <w:rFonts w:ascii="Palatino Linotype" w:hAnsi="Palatino Linotype"/>
          <w:b/>
          <w:sz w:val="24"/>
          <w:szCs w:val="24"/>
        </w:rPr>
        <w:t xml:space="preserve">El Recurrente, </w:t>
      </w:r>
      <w:r w:rsidRPr="00F97C81">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F97C81">
        <w:rPr>
          <w:rFonts w:ascii="Palatino Linotype" w:hAnsi="Palatino Linotype"/>
          <w:b/>
          <w:sz w:val="24"/>
          <w:szCs w:val="24"/>
        </w:rPr>
        <w:t xml:space="preserve">MODIFICA </w:t>
      </w:r>
      <w:r w:rsidRPr="00F97C81">
        <w:rPr>
          <w:rFonts w:ascii="Palatino Linotype" w:hAnsi="Palatino Linotype"/>
          <w:sz w:val="24"/>
          <w:szCs w:val="24"/>
        </w:rPr>
        <w:t xml:space="preserve">la respuesta a la solicitud de información </w:t>
      </w:r>
      <w:r w:rsidR="000B52E9" w:rsidRPr="00F97C81">
        <w:rPr>
          <w:rFonts w:ascii="Palatino Linotype" w:hAnsi="Palatino Linotype"/>
          <w:b/>
          <w:bCs/>
          <w:sz w:val="24"/>
          <w:szCs w:val="24"/>
        </w:rPr>
        <w:t xml:space="preserve">00119/CALIMAYA/IP/2026, </w:t>
      </w:r>
      <w:r w:rsidR="000B52E9" w:rsidRPr="00F97C81">
        <w:rPr>
          <w:rFonts w:ascii="Palatino Linotype" w:hAnsi="Palatino Linotype"/>
          <w:sz w:val="24"/>
          <w:szCs w:val="24"/>
        </w:rPr>
        <w:t xml:space="preserve">que ha sido materia del presente fallo. </w:t>
      </w:r>
    </w:p>
    <w:p w14:paraId="3AD06BE1" w14:textId="77777777" w:rsidR="0033238F" w:rsidRPr="00F97C81" w:rsidRDefault="0033238F" w:rsidP="0033238F">
      <w:pPr>
        <w:pStyle w:val="Prrafodelista"/>
        <w:spacing w:before="240" w:after="240" w:line="360" w:lineRule="auto"/>
        <w:ind w:left="0"/>
        <w:jc w:val="both"/>
        <w:rPr>
          <w:rFonts w:ascii="Palatino Linotype" w:hAnsi="Palatino Linotype"/>
        </w:rPr>
      </w:pPr>
      <w:r w:rsidRPr="00F97C81">
        <w:rPr>
          <w:rFonts w:ascii="Palatino Linotype" w:hAnsi="Palatino Linotype"/>
        </w:rPr>
        <w:t xml:space="preserve">Por lo antes expuesto y fundado es de resolverse y, </w:t>
      </w:r>
    </w:p>
    <w:p w14:paraId="451A1C3E" w14:textId="77777777" w:rsidR="0033238F" w:rsidRPr="00F97C81" w:rsidRDefault="0033238F" w:rsidP="0033238F">
      <w:pPr>
        <w:spacing w:before="240" w:line="360" w:lineRule="auto"/>
        <w:jc w:val="center"/>
        <w:rPr>
          <w:rFonts w:ascii="Palatino Linotype" w:eastAsia="Times New Roman" w:hAnsi="Palatino Linotype"/>
          <w:b/>
          <w:bCs/>
          <w:spacing w:val="60"/>
          <w:sz w:val="24"/>
          <w:szCs w:val="24"/>
          <w:lang w:val="es-ES_tradnl"/>
        </w:rPr>
      </w:pPr>
    </w:p>
    <w:p w14:paraId="15BA41E7" w14:textId="77777777" w:rsidR="0033238F" w:rsidRPr="00F97C81" w:rsidRDefault="0033238F" w:rsidP="0033238F">
      <w:pPr>
        <w:spacing w:before="240" w:line="360" w:lineRule="auto"/>
        <w:jc w:val="center"/>
        <w:rPr>
          <w:rFonts w:ascii="Palatino Linotype" w:eastAsia="Times New Roman" w:hAnsi="Palatino Linotype"/>
          <w:b/>
          <w:bCs/>
          <w:spacing w:val="60"/>
          <w:sz w:val="24"/>
          <w:szCs w:val="24"/>
          <w:lang w:val="es-ES_tradnl"/>
        </w:rPr>
      </w:pPr>
      <w:r w:rsidRPr="00F97C81">
        <w:rPr>
          <w:rFonts w:ascii="Palatino Linotype" w:eastAsia="Times New Roman" w:hAnsi="Palatino Linotype"/>
          <w:b/>
          <w:bCs/>
          <w:spacing w:val="60"/>
          <w:sz w:val="24"/>
          <w:szCs w:val="24"/>
          <w:lang w:val="es-ES_tradnl"/>
        </w:rPr>
        <w:t>SE    RESUELVE</w:t>
      </w:r>
    </w:p>
    <w:p w14:paraId="257F0A6B" w14:textId="0EE0F58E" w:rsidR="0033238F" w:rsidRPr="00F97C81" w:rsidRDefault="0033238F" w:rsidP="0033238F">
      <w:pPr>
        <w:spacing w:before="240" w:line="360" w:lineRule="auto"/>
        <w:jc w:val="both"/>
        <w:rPr>
          <w:rFonts w:ascii="Palatino Linotype" w:hAnsi="Palatino Linotype" w:cs="Arial"/>
          <w:sz w:val="24"/>
        </w:rPr>
      </w:pPr>
      <w:r w:rsidRPr="00F97C81">
        <w:rPr>
          <w:rFonts w:ascii="Palatino Linotype" w:hAnsi="Palatino Linotype" w:cs="Arial"/>
          <w:b/>
          <w:sz w:val="24"/>
          <w:szCs w:val="24"/>
          <w:lang w:val="es-ES_tradnl"/>
        </w:rPr>
        <w:t>PRIMERO.</w:t>
      </w:r>
      <w:r w:rsidRPr="00F97C81">
        <w:rPr>
          <w:rFonts w:ascii="Palatino Linotype" w:hAnsi="Palatino Linotype" w:cs="Arial"/>
          <w:sz w:val="24"/>
          <w:szCs w:val="24"/>
          <w:lang w:val="es-ES_tradnl"/>
        </w:rPr>
        <w:t xml:space="preserve"> </w:t>
      </w:r>
      <w:r w:rsidRPr="00F97C81">
        <w:rPr>
          <w:rFonts w:ascii="Palatino Linotype" w:hAnsi="Palatino Linotype" w:cs="Arial"/>
          <w:sz w:val="24"/>
          <w:szCs w:val="24"/>
        </w:rPr>
        <w:t xml:space="preserve">Se </w:t>
      </w:r>
      <w:r w:rsidRPr="00F97C81">
        <w:rPr>
          <w:rFonts w:ascii="Palatino Linotype" w:hAnsi="Palatino Linotype" w:cs="Arial"/>
          <w:b/>
          <w:sz w:val="24"/>
          <w:szCs w:val="24"/>
        </w:rPr>
        <w:t xml:space="preserve">MODIFICA </w:t>
      </w:r>
      <w:r w:rsidRPr="00F97C81">
        <w:rPr>
          <w:rFonts w:ascii="Palatino Linotype" w:hAnsi="Palatino Linotype" w:cs="Arial"/>
          <w:sz w:val="24"/>
          <w:szCs w:val="24"/>
        </w:rPr>
        <w:t xml:space="preserve">la respuesta entregada por </w:t>
      </w:r>
      <w:r w:rsidRPr="00F97C81">
        <w:rPr>
          <w:rFonts w:ascii="Palatino Linotype" w:hAnsi="Palatino Linotype" w:cs="Arial"/>
          <w:b/>
          <w:sz w:val="24"/>
          <w:szCs w:val="24"/>
        </w:rPr>
        <w:t xml:space="preserve">EL SUJETO OBLIGADO, </w:t>
      </w:r>
      <w:r w:rsidRPr="00F97C81">
        <w:rPr>
          <w:rFonts w:ascii="Palatino Linotype" w:hAnsi="Palatino Linotype" w:cs="Arial"/>
          <w:sz w:val="24"/>
          <w:szCs w:val="24"/>
        </w:rPr>
        <w:t xml:space="preserve">a la solicitud de información número </w:t>
      </w:r>
      <w:r w:rsidR="000B52E9" w:rsidRPr="00F97C81">
        <w:rPr>
          <w:rFonts w:ascii="Palatino Linotype" w:hAnsi="Palatino Linotype"/>
          <w:b/>
          <w:bCs/>
          <w:sz w:val="24"/>
          <w:szCs w:val="24"/>
        </w:rPr>
        <w:t xml:space="preserve">00119/CALIMAYA/IP/2026, </w:t>
      </w:r>
      <w:r w:rsidRPr="00F97C81">
        <w:rPr>
          <w:rFonts w:ascii="Palatino Linotype" w:hAnsi="Palatino Linotype" w:cs="Arial"/>
          <w:sz w:val="24"/>
        </w:rPr>
        <w:t xml:space="preserve">por resultar parcialmente fundados los motivos de inconformidad que arguye </w:t>
      </w:r>
      <w:r w:rsidRPr="00F97C81">
        <w:rPr>
          <w:rFonts w:ascii="Palatino Linotype" w:hAnsi="Palatino Linotype" w:cs="Arial"/>
          <w:b/>
          <w:sz w:val="24"/>
        </w:rPr>
        <w:t xml:space="preserve">EL RECURRENTE, </w:t>
      </w:r>
      <w:r w:rsidRPr="00F97C81">
        <w:rPr>
          <w:rFonts w:ascii="Palatino Linotype" w:hAnsi="Palatino Linotype" w:cs="Arial"/>
          <w:sz w:val="24"/>
        </w:rPr>
        <w:t xml:space="preserve">en términos del </w:t>
      </w:r>
      <w:r w:rsidRPr="00F97C81">
        <w:rPr>
          <w:rFonts w:ascii="Palatino Linotype" w:hAnsi="Palatino Linotype" w:cs="Arial"/>
          <w:b/>
          <w:sz w:val="24"/>
        </w:rPr>
        <w:t xml:space="preserve">Considerando CUARTO </w:t>
      </w:r>
      <w:r w:rsidRPr="00F97C81">
        <w:rPr>
          <w:rFonts w:ascii="Palatino Linotype" w:hAnsi="Palatino Linotype" w:cs="Arial"/>
          <w:sz w:val="24"/>
        </w:rPr>
        <w:t xml:space="preserve">de la presente resolución. </w:t>
      </w:r>
    </w:p>
    <w:p w14:paraId="15BF7A00" w14:textId="77777777" w:rsidR="0033238F" w:rsidRPr="00F97C81" w:rsidRDefault="0033238F" w:rsidP="0033238F">
      <w:pPr>
        <w:autoSpaceDE w:val="0"/>
        <w:autoSpaceDN w:val="0"/>
        <w:adjustRightInd w:val="0"/>
        <w:spacing w:before="240" w:line="360" w:lineRule="auto"/>
        <w:ind w:right="49"/>
        <w:jc w:val="both"/>
        <w:rPr>
          <w:rFonts w:ascii="Palatino Linotype" w:hAnsi="Palatino Linotype" w:cs="Arial"/>
          <w:b/>
          <w:sz w:val="24"/>
          <w:szCs w:val="24"/>
          <w:lang w:val="es-ES_tradnl"/>
        </w:rPr>
      </w:pPr>
    </w:p>
    <w:p w14:paraId="6DB7FE48" w14:textId="77777777" w:rsidR="0033238F" w:rsidRPr="00F97C81" w:rsidRDefault="0033238F" w:rsidP="0033238F">
      <w:pPr>
        <w:autoSpaceDE w:val="0"/>
        <w:autoSpaceDN w:val="0"/>
        <w:adjustRightInd w:val="0"/>
        <w:spacing w:before="240" w:line="360" w:lineRule="auto"/>
        <w:ind w:right="49"/>
        <w:jc w:val="both"/>
        <w:rPr>
          <w:rFonts w:ascii="Palatino Linotype" w:hAnsi="Palatino Linotype" w:cs="Arial"/>
          <w:sz w:val="24"/>
          <w:szCs w:val="24"/>
        </w:rPr>
      </w:pPr>
      <w:r w:rsidRPr="00F97C81">
        <w:rPr>
          <w:rFonts w:ascii="Palatino Linotype" w:hAnsi="Palatino Linotype" w:cs="Arial"/>
          <w:b/>
          <w:sz w:val="24"/>
          <w:szCs w:val="24"/>
        </w:rPr>
        <w:t>SEGUNDO.</w:t>
      </w:r>
      <w:r w:rsidRPr="00F97C81">
        <w:rPr>
          <w:rFonts w:ascii="Palatino Linotype" w:hAnsi="Palatino Linotype" w:cs="Arial"/>
          <w:sz w:val="24"/>
          <w:szCs w:val="24"/>
        </w:rPr>
        <w:t xml:space="preserve"> Se </w:t>
      </w:r>
      <w:r w:rsidRPr="00F97C81">
        <w:rPr>
          <w:rFonts w:ascii="Palatino Linotype" w:hAnsi="Palatino Linotype" w:cs="Arial"/>
          <w:b/>
          <w:sz w:val="24"/>
          <w:szCs w:val="24"/>
        </w:rPr>
        <w:t>ORDENA</w:t>
      </w:r>
      <w:r w:rsidRPr="00F97C81">
        <w:rPr>
          <w:rFonts w:ascii="Palatino Linotype" w:hAnsi="Palatino Linotype" w:cs="Arial"/>
          <w:sz w:val="24"/>
          <w:szCs w:val="24"/>
        </w:rPr>
        <w:t xml:space="preserve"> al </w:t>
      </w:r>
      <w:r w:rsidRPr="00F97C81">
        <w:rPr>
          <w:rFonts w:ascii="Palatino Linotype" w:hAnsi="Palatino Linotype" w:cs="Arial"/>
          <w:b/>
          <w:sz w:val="24"/>
          <w:szCs w:val="24"/>
        </w:rPr>
        <w:t>SUJETO OBLIGADO</w:t>
      </w:r>
      <w:r w:rsidRPr="00F97C81">
        <w:rPr>
          <w:rFonts w:ascii="Palatino Linotype" w:hAnsi="Palatino Linotype" w:cs="Arial"/>
          <w:sz w:val="24"/>
          <w:szCs w:val="24"/>
        </w:rPr>
        <w:t xml:space="preserve"> realizar una búsqueda exhaustiva y razonable, a efecto de que haga entrega al </w:t>
      </w:r>
      <w:r w:rsidRPr="00F97C81">
        <w:rPr>
          <w:rFonts w:ascii="Palatino Linotype" w:hAnsi="Palatino Linotype" w:cs="Arial"/>
          <w:b/>
          <w:bCs/>
          <w:sz w:val="24"/>
          <w:szCs w:val="24"/>
        </w:rPr>
        <w:t xml:space="preserve">RECURRENTE, </w:t>
      </w:r>
      <w:r w:rsidRPr="00F97C81">
        <w:rPr>
          <w:rFonts w:ascii="Palatino Linotype" w:eastAsia="Times New Roman" w:hAnsi="Palatino Linotype" w:cs="Arial"/>
          <w:bCs/>
          <w:sz w:val="24"/>
          <w:szCs w:val="24"/>
          <w:lang w:eastAsia="es-ES"/>
        </w:rPr>
        <w:t>vía</w:t>
      </w:r>
      <w:r w:rsidRPr="00F97C81">
        <w:rPr>
          <w:rFonts w:ascii="Palatino Linotype" w:eastAsia="Times New Roman" w:hAnsi="Palatino Linotype" w:cs="Arial"/>
          <w:b/>
          <w:sz w:val="24"/>
          <w:szCs w:val="24"/>
          <w:lang w:eastAsia="es-ES"/>
        </w:rPr>
        <w:t xml:space="preserve"> </w:t>
      </w:r>
      <w:r w:rsidRPr="00F97C81">
        <w:rPr>
          <w:rFonts w:ascii="Palatino Linotype" w:hAnsi="Palatino Linotype" w:cs="Arial"/>
          <w:sz w:val="24"/>
          <w:szCs w:val="24"/>
        </w:rPr>
        <w:t xml:space="preserve">Sistema de Acceso a la Información Mexiquense </w:t>
      </w:r>
      <w:r w:rsidRPr="00F97C81">
        <w:rPr>
          <w:rFonts w:ascii="Palatino Linotype" w:hAnsi="Palatino Linotype" w:cs="Arial"/>
          <w:b/>
          <w:sz w:val="24"/>
          <w:szCs w:val="24"/>
        </w:rPr>
        <w:t>(SAIMEX),</w:t>
      </w:r>
      <w:r w:rsidRPr="00F97C81">
        <w:rPr>
          <w:rFonts w:ascii="Palatino Linotype" w:hAnsi="Palatino Linotype" w:cs="Arial"/>
          <w:b/>
          <w:bCs/>
          <w:sz w:val="24"/>
          <w:szCs w:val="24"/>
        </w:rPr>
        <w:t xml:space="preserve"> </w:t>
      </w:r>
      <w:r w:rsidRPr="00F97C81">
        <w:rPr>
          <w:rFonts w:ascii="Palatino Linotype" w:hAnsi="Palatino Linotype" w:cs="Arial"/>
          <w:sz w:val="24"/>
          <w:szCs w:val="24"/>
        </w:rPr>
        <w:t xml:space="preserve">en versión pública de ser procedente, en términos del Considerando </w:t>
      </w:r>
      <w:r w:rsidRPr="00F97C81">
        <w:rPr>
          <w:rFonts w:ascii="Palatino Linotype" w:hAnsi="Palatino Linotype" w:cs="Arial"/>
          <w:b/>
          <w:sz w:val="24"/>
          <w:szCs w:val="24"/>
        </w:rPr>
        <w:t xml:space="preserve">CUARTO </w:t>
      </w:r>
      <w:r w:rsidRPr="00F97C81">
        <w:rPr>
          <w:rFonts w:ascii="Palatino Linotype" w:hAnsi="Palatino Linotype" w:cs="Arial"/>
          <w:sz w:val="24"/>
          <w:szCs w:val="24"/>
        </w:rPr>
        <w:t>de esta resolución</w:t>
      </w:r>
      <w:r w:rsidRPr="00F97C81">
        <w:rPr>
          <w:rFonts w:ascii="Palatino Linotype" w:hAnsi="Palatino Linotype" w:cs="Arial"/>
          <w:b/>
          <w:sz w:val="24"/>
          <w:szCs w:val="24"/>
        </w:rPr>
        <w:t xml:space="preserve">, </w:t>
      </w:r>
      <w:r w:rsidRPr="00F97C81">
        <w:rPr>
          <w:rFonts w:ascii="Palatino Linotype" w:hAnsi="Palatino Linotype" w:cs="Arial"/>
          <w:sz w:val="24"/>
          <w:szCs w:val="24"/>
        </w:rPr>
        <w:t>de lo siguiente:</w:t>
      </w:r>
    </w:p>
    <w:p w14:paraId="395C49C3" w14:textId="77777777" w:rsidR="00E11735" w:rsidRPr="00F97C81" w:rsidRDefault="00E11735" w:rsidP="00E11735">
      <w:pPr>
        <w:spacing w:before="240" w:line="360" w:lineRule="auto"/>
        <w:jc w:val="both"/>
        <w:rPr>
          <w:rFonts w:ascii="Palatino Linotype" w:hAnsi="Palatino Linotype"/>
          <w:b/>
          <w:bCs/>
          <w:i/>
          <w:iCs/>
          <w:sz w:val="24"/>
          <w:szCs w:val="24"/>
        </w:rPr>
      </w:pPr>
      <w:r w:rsidRPr="00F97C81">
        <w:rPr>
          <w:rFonts w:ascii="Palatino Linotype" w:hAnsi="Palatino Linotype"/>
          <w:b/>
          <w:bCs/>
          <w:i/>
          <w:iCs/>
          <w:sz w:val="24"/>
          <w:szCs w:val="24"/>
        </w:rPr>
        <w:lastRenderedPageBreak/>
        <w:t xml:space="preserve">Respecto de las obras referidas en respuesta e informe justificado, en formato PDF o aquel en el que haya generado la información: </w:t>
      </w:r>
    </w:p>
    <w:p w14:paraId="30338177" w14:textId="77777777" w:rsidR="000B52E9" w:rsidRPr="00F97C81" w:rsidRDefault="000B52E9" w:rsidP="000B52E9">
      <w:pPr>
        <w:pStyle w:val="Prrafodelista"/>
        <w:numPr>
          <w:ilvl w:val="0"/>
          <w:numId w:val="38"/>
        </w:numPr>
        <w:autoSpaceDE w:val="0"/>
        <w:autoSpaceDN w:val="0"/>
        <w:adjustRightInd w:val="0"/>
        <w:spacing w:before="240" w:after="160" w:line="360" w:lineRule="auto"/>
        <w:jc w:val="both"/>
        <w:rPr>
          <w:rFonts w:ascii="Palatino Linotype" w:hAnsi="Palatino Linotype" w:cs="Arial"/>
          <w:i/>
          <w:iCs/>
          <w:lang w:val="es-MX"/>
        </w:rPr>
      </w:pPr>
      <w:r w:rsidRPr="00F97C81">
        <w:rPr>
          <w:rFonts w:ascii="Palatino Linotype" w:hAnsi="Palatino Linotype" w:cs="Arial"/>
          <w:i/>
          <w:iCs/>
        </w:rPr>
        <w:t>El o los documentos donde conste el expediente completo de cada obra que en su caso incluya proyecto ejecutivo, presupuesto de obra, catálogo de conceptos, números generadores, estimaciones de obra, bitácora de obra, reportes de supervisión, dictámenes técnicos</w:t>
      </w:r>
    </w:p>
    <w:p w14:paraId="42FA7BF6" w14:textId="77777777" w:rsidR="000B52E9" w:rsidRPr="00F97C81" w:rsidRDefault="000B52E9" w:rsidP="000B52E9">
      <w:pPr>
        <w:pStyle w:val="Prrafodelista"/>
        <w:numPr>
          <w:ilvl w:val="0"/>
          <w:numId w:val="38"/>
        </w:numPr>
        <w:autoSpaceDE w:val="0"/>
        <w:autoSpaceDN w:val="0"/>
        <w:adjustRightInd w:val="0"/>
        <w:spacing w:before="240" w:after="160" w:line="360" w:lineRule="auto"/>
        <w:jc w:val="both"/>
        <w:rPr>
          <w:rFonts w:ascii="Palatino Linotype" w:hAnsi="Palatino Linotype" w:cs="Arial"/>
          <w:i/>
          <w:iCs/>
          <w:lang w:val="es-MX"/>
        </w:rPr>
      </w:pPr>
      <w:r w:rsidRPr="00F97C81">
        <w:rPr>
          <w:rFonts w:ascii="Palatino Linotype" w:hAnsi="Palatino Linotype" w:cs="Arial"/>
          <w:i/>
          <w:iCs/>
          <w:lang w:val="es-MX"/>
        </w:rPr>
        <w:t xml:space="preserve">El o los documentos contractuales: contrato de obra pública firmado, anexos (técnicos, financieros y administrativos), convenios modificatorios o ampliaciones de plazo y monto. </w:t>
      </w:r>
    </w:p>
    <w:p w14:paraId="1E725C05" w14:textId="77777777" w:rsidR="000B52E9" w:rsidRPr="00F97C81" w:rsidRDefault="000B52E9" w:rsidP="000B52E9">
      <w:pPr>
        <w:pStyle w:val="Prrafodelista"/>
        <w:numPr>
          <w:ilvl w:val="0"/>
          <w:numId w:val="38"/>
        </w:numPr>
        <w:autoSpaceDE w:val="0"/>
        <w:autoSpaceDN w:val="0"/>
        <w:adjustRightInd w:val="0"/>
        <w:spacing w:before="240" w:after="160" w:line="360" w:lineRule="auto"/>
        <w:jc w:val="both"/>
        <w:rPr>
          <w:rFonts w:ascii="Palatino Linotype" w:hAnsi="Palatino Linotype" w:cs="Arial"/>
          <w:i/>
          <w:iCs/>
          <w:lang w:val="es-MX"/>
        </w:rPr>
      </w:pPr>
      <w:r w:rsidRPr="00F97C81">
        <w:rPr>
          <w:rFonts w:ascii="Palatino Linotype" w:hAnsi="Palatino Linotype" w:cs="Arial"/>
          <w:i/>
          <w:iCs/>
          <w:lang w:val="es-MX"/>
        </w:rPr>
        <w:t xml:space="preserve">El o los documentos de comprobación y cierre de obra: </w:t>
      </w:r>
      <w:r w:rsidRPr="00F97C81">
        <w:rPr>
          <w:rFonts w:ascii="Palatino Linotype" w:hAnsi="Palatino Linotype" w:cs="Arial"/>
          <w:i/>
          <w:iCs/>
        </w:rPr>
        <w:t>Acta de entrega-recepción, finiquito de obra, facturas o comprobantes de pago, pólizas contables relacionadas.</w:t>
      </w:r>
    </w:p>
    <w:p w14:paraId="74FA364E" w14:textId="77777777" w:rsidR="0033238F" w:rsidRPr="00F97C81" w:rsidRDefault="0033238F" w:rsidP="0033238F">
      <w:pPr>
        <w:pStyle w:val="Prrafodelista"/>
        <w:spacing w:before="240" w:line="360" w:lineRule="auto"/>
        <w:ind w:left="720"/>
        <w:jc w:val="both"/>
        <w:rPr>
          <w:rFonts w:ascii="Palatino Linotype" w:hAnsi="Palatino Linotype" w:cs="Arial"/>
          <w:i/>
        </w:rPr>
      </w:pPr>
      <w:r w:rsidRPr="00F97C81">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7A40EDCE" w14:textId="77777777" w:rsidR="0033238F" w:rsidRPr="00F97C81" w:rsidRDefault="0033238F" w:rsidP="0033238F">
      <w:pPr>
        <w:pStyle w:val="Prrafodelista"/>
        <w:spacing w:before="240" w:line="360" w:lineRule="auto"/>
        <w:ind w:left="720"/>
        <w:jc w:val="both"/>
        <w:rPr>
          <w:rFonts w:ascii="Palatino Linotype" w:hAnsi="Palatino Linotype" w:cs="Arial"/>
          <w:i/>
          <w:lang w:val="es-MX"/>
        </w:rPr>
      </w:pPr>
    </w:p>
    <w:p w14:paraId="27EFE815" w14:textId="77777777" w:rsidR="0033238F" w:rsidRPr="00F97C81" w:rsidRDefault="0033238F" w:rsidP="0033238F">
      <w:pPr>
        <w:autoSpaceDE w:val="0"/>
        <w:autoSpaceDN w:val="0"/>
        <w:adjustRightInd w:val="0"/>
        <w:spacing w:before="240" w:line="360" w:lineRule="auto"/>
        <w:jc w:val="both"/>
        <w:rPr>
          <w:rFonts w:ascii="Palatino Linotype" w:hAnsi="Palatino Linotype" w:cs="Arial"/>
          <w:sz w:val="24"/>
          <w:szCs w:val="24"/>
        </w:rPr>
      </w:pPr>
      <w:r w:rsidRPr="00F97C81">
        <w:rPr>
          <w:rFonts w:ascii="Palatino Linotype" w:hAnsi="Palatino Linotype" w:cs="Arial"/>
          <w:b/>
          <w:sz w:val="28"/>
          <w:szCs w:val="28"/>
        </w:rPr>
        <w:t>TERCERO.</w:t>
      </w:r>
      <w:r w:rsidRPr="00F97C81">
        <w:rPr>
          <w:rFonts w:ascii="Palatino Linotype" w:hAnsi="Palatino Linotype" w:cs="Arial"/>
          <w:b/>
          <w:sz w:val="24"/>
          <w:szCs w:val="24"/>
        </w:rPr>
        <w:t xml:space="preserve"> Notifíquese</w:t>
      </w:r>
      <w:r w:rsidRPr="00F97C81">
        <w:rPr>
          <w:rFonts w:ascii="Palatino Linotype" w:hAnsi="Palatino Linotype" w:cs="Arial"/>
          <w:b/>
          <w:i/>
          <w:sz w:val="24"/>
          <w:szCs w:val="24"/>
        </w:rPr>
        <w:t xml:space="preserve"> </w:t>
      </w:r>
      <w:r w:rsidRPr="00F97C81">
        <w:rPr>
          <w:rFonts w:ascii="Palatino Linotype" w:hAnsi="Palatino Linotype" w:cs="Arial"/>
          <w:sz w:val="24"/>
          <w:szCs w:val="24"/>
        </w:rPr>
        <w:t>al Titular de la Unidad de Transparencia del</w:t>
      </w:r>
      <w:r w:rsidRPr="00F97C81">
        <w:rPr>
          <w:rFonts w:ascii="Palatino Linotype" w:hAnsi="Palatino Linotype" w:cs="Arial"/>
          <w:b/>
          <w:sz w:val="24"/>
          <w:szCs w:val="24"/>
        </w:rPr>
        <w:t xml:space="preserve"> SUJETO OBLIGADO</w:t>
      </w:r>
      <w:r w:rsidRPr="00F97C81">
        <w:rPr>
          <w:rFonts w:ascii="Palatino Linotype" w:hAnsi="Palatino Linotype" w:cs="Arial"/>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w:t>
      </w:r>
      <w:r w:rsidRPr="00F97C81">
        <w:rPr>
          <w:rFonts w:ascii="Palatino Linotype" w:hAnsi="Palatino Linotype" w:cs="Arial"/>
          <w:sz w:val="24"/>
          <w:szCs w:val="24"/>
        </w:rPr>
        <w:lastRenderedPageBreak/>
        <w:t>hábiles, debiendo informar a este Instituto en un plazo de tres días hábiles siguientes sobre el cumplimiento dado a la presente resolución.</w:t>
      </w:r>
    </w:p>
    <w:p w14:paraId="39A72500" w14:textId="77777777" w:rsidR="0033238F" w:rsidRPr="00F97C81" w:rsidRDefault="0033238F" w:rsidP="0033238F">
      <w:pPr>
        <w:autoSpaceDE w:val="0"/>
        <w:autoSpaceDN w:val="0"/>
        <w:adjustRightInd w:val="0"/>
        <w:spacing w:before="240" w:line="360" w:lineRule="auto"/>
        <w:jc w:val="both"/>
        <w:rPr>
          <w:rFonts w:ascii="Palatino Linotype" w:hAnsi="Palatino Linotype" w:cs="Arial"/>
          <w:sz w:val="2"/>
          <w:szCs w:val="24"/>
        </w:rPr>
      </w:pPr>
    </w:p>
    <w:p w14:paraId="5C4353C1" w14:textId="77777777" w:rsidR="0033238F" w:rsidRPr="00F97C81" w:rsidRDefault="0033238F" w:rsidP="0033238F">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F97C81">
        <w:rPr>
          <w:rFonts w:ascii="Palatino Linotype" w:eastAsia="Times New Roman" w:hAnsi="Palatino Linotype" w:cs="Arial"/>
          <w:b/>
          <w:sz w:val="26"/>
          <w:szCs w:val="26"/>
          <w:lang w:eastAsia="es-ES"/>
        </w:rPr>
        <w:t>CUARTO.</w:t>
      </w:r>
      <w:r w:rsidRPr="00F97C81">
        <w:rPr>
          <w:rFonts w:ascii="Palatino Linotype" w:eastAsia="Times New Roman" w:hAnsi="Palatino Linotype" w:cs="Arial"/>
          <w:b/>
          <w:sz w:val="24"/>
          <w:szCs w:val="24"/>
          <w:lang w:eastAsia="es-ES"/>
        </w:rPr>
        <w:t xml:space="preserve"> </w:t>
      </w:r>
      <w:r w:rsidRPr="00F97C81">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DF0FC64" w14:textId="77777777" w:rsidR="0033238F" w:rsidRPr="00F97C81" w:rsidRDefault="0033238F" w:rsidP="0033238F">
      <w:pPr>
        <w:autoSpaceDE w:val="0"/>
        <w:autoSpaceDN w:val="0"/>
        <w:adjustRightInd w:val="0"/>
        <w:spacing w:after="0" w:line="360" w:lineRule="auto"/>
        <w:jc w:val="both"/>
        <w:rPr>
          <w:rFonts w:ascii="Palatino Linotype" w:eastAsia="Times New Roman" w:hAnsi="Palatino Linotype" w:cs="Arial"/>
          <w:sz w:val="12"/>
          <w:szCs w:val="24"/>
          <w:lang w:eastAsia="es-ES"/>
        </w:rPr>
      </w:pPr>
    </w:p>
    <w:p w14:paraId="410F43AC" w14:textId="77777777" w:rsidR="0033238F" w:rsidRPr="00F97C81" w:rsidRDefault="0033238F" w:rsidP="0033238F">
      <w:pPr>
        <w:spacing w:after="0" w:line="360" w:lineRule="auto"/>
        <w:jc w:val="both"/>
        <w:rPr>
          <w:rFonts w:ascii="Palatino Linotype" w:eastAsia="Times New Roman" w:hAnsi="Palatino Linotype" w:cs="Arial"/>
          <w:b/>
          <w:sz w:val="18"/>
          <w:szCs w:val="24"/>
          <w:lang w:eastAsia="es-ES"/>
        </w:rPr>
      </w:pPr>
    </w:p>
    <w:p w14:paraId="01A3F1EF" w14:textId="77777777" w:rsidR="0033238F" w:rsidRPr="00F97C81" w:rsidRDefault="0033238F" w:rsidP="0033238F">
      <w:pPr>
        <w:spacing w:after="0" w:line="360" w:lineRule="auto"/>
        <w:jc w:val="both"/>
        <w:rPr>
          <w:rFonts w:ascii="Palatino Linotype" w:eastAsia="Times New Roman" w:hAnsi="Palatino Linotype" w:cs="Times New Roman"/>
          <w:color w:val="222222"/>
          <w:sz w:val="24"/>
          <w:szCs w:val="24"/>
          <w:shd w:val="clear" w:color="auto" w:fill="FFFFFF"/>
          <w:lang w:eastAsia="es-ES"/>
        </w:rPr>
      </w:pPr>
      <w:r w:rsidRPr="00F97C81">
        <w:rPr>
          <w:rFonts w:ascii="Palatino Linotype" w:eastAsia="Times New Roman" w:hAnsi="Palatino Linotype" w:cs="Arial"/>
          <w:b/>
          <w:sz w:val="24"/>
          <w:szCs w:val="24"/>
          <w:lang w:eastAsia="es-ES"/>
        </w:rPr>
        <w:t xml:space="preserve">QUINTO. NOTIFÍQUESE </w:t>
      </w:r>
      <w:r w:rsidRPr="00F97C81">
        <w:rPr>
          <w:rFonts w:ascii="Palatino Linotype" w:eastAsia="Times New Roman" w:hAnsi="Palatino Linotype" w:cs="Arial"/>
          <w:sz w:val="24"/>
          <w:szCs w:val="24"/>
          <w:lang w:eastAsia="es-ES"/>
        </w:rPr>
        <w:t xml:space="preserve">la presente resolución al </w:t>
      </w:r>
      <w:r w:rsidRPr="00F97C81">
        <w:rPr>
          <w:rFonts w:ascii="Palatino Linotype" w:eastAsia="Times New Roman" w:hAnsi="Palatino Linotype" w:cs="Arial"/>
          <w:b/>
          <w:sz w:val="24"/>
          <w:szCs w:val="24"/>
          <w:lang w:eastAsia="es-ES"/>
        </w:rPr>
        <w:t xml:space="preserve">RECURRENTE vía </w:t>
      </w:r>
      <w:r w:rsidRPr="00F97C81">
        <w:rPr>
          <w:rFonts w:ascii="Palatino Linotype" w:hAnsi="Palatino Linotype" w:cs="Arial"/>
          <w:sz w:val="24"/>
          <w:szCs w:val="24"/>
        </w:rPr>
        <w:t xml:space="preserve">Sistema de Acceso a la Información Mexiquense </w:t>
      </w:r>
      <w:r w:rsidRPr="00F97C81">
        <w:rPr>
          <w:rFonts w:ascii="Palatino Linotype" w:hAnsi="Palatino Linotype" w:cs="Arial"/>
          <w:b/>
          <w:sz w:val="24"/>
          <w:szCs w:val="24"/>
        </w:rPr>
        <w:t xml:space="preserve">(SAIMEX) </w:t>
      </w:r>
      <w:r w:rsidRPr="00F97C81">
        <w:rPr>
          <w:rFonts w:ascii="Palatino Linotype" w:eastAsia="Times New Roman" w:hAnsi="Palatino Linotype" w:cs="Arial"/>
          <w:sz w:val="24"/>
          <w:szCs w:val="24"/>
          <w:lang w:eastAsia="es-ES"/>
        </w:rPr>
        <w:t xml:space="preserve">y hágase de su conocimiento que, </w:t>
      </w:r>
      <w:r w:rsidRPr="00F97C81">
        <w:rPr>
          <w:rFonts w:ascii="Palatino Linotype" w:eastAsia="Times New Roman" w:hAnsi="Palatino Linotype" w:cs="Times New Roman"/>
          <w:color w:val="222222"/>
          <w:sz w:val="24"/>
          <w:szCs w:val="24"/>
          <w:shd w:val="clear" w:color="auto" w:fill="FFFFFF"/>
          <w:lang w:eastAsia="es-ES"/>
        </w:rPr>
        <w:t xml:space="preserve">de conformidad con lo </w:t>
      </w:r>
      <w:r w:rsidRPr="00F97C81">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F97C81">
        <w:rPr>
          <w:rFonts w:ascii="Palatino Linotype" w:eastAsia="Times New Roman" w:hAnsi="Palatino Linotype" w:cs="Times New Roman"/>
          <w:color w:val="222222"/>
          <w:sz w:val="24"/>
          <w:szCs w:val="24"/>
          <w:shd w:val="clear" w:color="auto" w:fill="FFFFFF"/>
          <w:lang w:eastAsia="es-ES"/>
        </w:rPr>
        <w:t>leyes aplicables.</w:t>
      </w:r>
    </w:p>
    <w:p w14:paraId="70104800" w14:textId="693E1EB7" w:rsidR="0033238F" w:rsidRPr="00F97C81" w:rsidRDefault="0033238F" w:rsidP="0033238F">
      <w:pPr>
        <w:pStyle w:val="Prrafodelista"/>
        <w:autoSpaceDE w:val="0"/>
        <w:autoSpaceDN w:val="0"/>
        <w:adjustRightInd w:val="0"/>
        <w:spacing w:before="240" w:after="160" w:line="360" w:lineRule="auto"/>
        <w:ind w:left="0"/>
        <w:jc w:val="both"/>
        <w:rPr>
          <w:rFonts w:ascii="Palatino Linotype" w:hAnsi="Palatino Linotype" w:cs="Arial"/>
          <w:sz w:val="10"/>
          <w:szCs w:val="23"/>
          <w:lang w:val="es-MX"/>
        </w:rPr>
      </w:pPr>
    </w:p>
    <w:p w14:paraId="091D8709" w14:textId="05EA9B2D" w:rsidR="00F07297" w:rsidRPr="00F97C81" w:rsidRDefault="00F97C81" w:rsidP="00F07297">
      <w:pPr>
        <w:pStyle w:val="Prrafodelista"/>
        <w:autoSpaceDE w:val="0"/>
        <w:autoSpaceDN w:val="0"/>
        <w:adjustRightInd w:val="0"/>
        <w:spacing w:before="240" w:after="160" w:line="360" w:lineRule="auto"/>
        <w:ind w:left="0"/>
        <w:jc w:val="both"/>
        <w:rPr>
          <w:rFonts w:ascii="Palatino Linotype" w:hAnsi="Palatino Linotype" w:cs="Arial"/>
          <w:sz w:val="23"/>
          <w:szCs w:val="23"/>
        </w:rPr>
      </w:pPr>
      <w:r w:rsidRPr="00F97C81">
        <w:rPr>
          <w:rFonts w:ascii="Palatino Linotype" w:hAnsi="Palatino Linotype" w:cs="Arial"/>
          <w:sz w:val="23"/>
          <w:szCs w:val="23"/>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(AUSENCIA JUSTIFICADA); SHARON CRISTINA MORALES MARTÍNEZ; LUIS GUSTAVO PARRA NORIEGA Y GUADALUPE RAMÍREZ PEÑA; EN LA VIGÉSIMA SEXTA SESIÓN ORDINARIA, CELEBRADA EL QUINCE DE JULIO DE DOS MIL VEINTISÉIS, ANTE EL SECRETARIO TÉCNICO DEL PLENO, ALEXIS TAPIA RAMÍREZ</w:t>
      </w:r>
      <w:r w:rsidR="00F07297" w:rsidRPr="00F97C81">
        <w:rPr>
          <w:rFonts w:ascii="Palatino Linotype" w:hAnsi="Palatino Linotype" w:cs="Arial"/>
          <w:sz w:val="23"/>
          <w:szCs w:val="23"/>
        </w:rPr>
        <w:t xml:space="preserve">. </w:t>
      </w:r>
    </w:p>
    <w:p w14:paraId="4CD20709" w14:textId="77777777" w:rsidR="00F07297" w:rsidRDefault="00F07297" w:rsidP="00F07297">
      <w:pPr>
        <w:spacing w:line="360" w:lineRule="auto"/>
        <w:jc w:val="both"/>
        <w:rPr>
          <w:rFonts w:ascii="Palatino Linotype" w:hAnsi="Palatino Linotype"/>
          <w:bCs/>
          <w:sz w:val="24"/>
          <w:szCs w:val="24"/>
        </w:rPr>
      </w:pPr>
      <w:r w:rsidRPr="00F97C81">
        <w:rPr>
          <w:rFonts w:ascii="Palatino Linotype" w:hAnsi="Palatino Linotype"/>
          <w:bCs/>
          <w:sz w:val="18"/>
          <w:szCs w:val="18"/>
        </w:rPr>
        <w:t>CCR/JCMA</w:t>
      </w:r>
    </w:p>
    <w:p w14:paraId="3B8C2022" w14:textId="144FAF4B" w:rsidR="00F07297" w:rsidRPr="00F07297" w:rsidRDefault="00F07297" w:rsidP="0033238F">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p>
    <w:p w14:paraId="2170A6B1" w14:textId="77777777" w:rsidR="0033238F" w:rsidRDefault="0033238F" w:rsidP="00E748AE">
      <w:pPr>
        <w:spacing w:after="0" w:line="360" w:lineRule="auto"/>
        <w:jc w:val="both"/>
        <w:rPr>
          <w:rFonts w:ascii="Palatino Linotype" w:eastAsia="Times New Roman" w:hAnsi="Palatino Linotype" w:cs="Times New Roman"/>
          <w:sz w:val="24"/>
          <w:szCs w:val="24"/>
          <w:lang w:eastAsia="es-ES"/>
        </w:rPr>
      </w:pPr>
    </w:p>
    <w:p w14:paraId="14058AC2" w14:textId="77777777" w:rsidR="0033238F" w:rsidRDefault="0033238F" w:rsidP="00E748AE">
      <w:pPr>
        <w:spacing w:after="0" w:line="360" w:lineRule="auto"/>
        <w:jc w:val="both"/>
        <w:rPr>
          <w:rFonts w:ascii="Palatino Linotype" w:eastAsia="Times New Roman" w:hAnsi="Palatino Linotype" w:cs="Times New Roman"/>
          <w:sz w:val="24"/>
          <w:szCs w:val="24"/>
          <w:lang w:eastAsia="es-ES"/>
        </w:rPr>
      </w:pPr>
    </w:p>
    <w:p w14:paraId="7158D300" w14:textId="77777777" w:rsidR="0033238F" w:rsidRDefault="0033238F" w:rsidP="00E748AE">
      <w:pPr>
        <w:spacing w:after="0" w:line="360" w:lineRule="auto"/>
        <w:jc w:val="both"/>
        <w:rPr>
          <w:rFonts w:ascii="Palatino Linotype" w:eastAsia="Times New Roman" w:hAnsi="Palatino Linotype" w:cs="Times New Roman"/>
          <w:sz w:val="24"/>
          <w:szCs w:val="24"/>
          <w:lang w:eastAsia="es-ES"/>
        </w:rPr>
      </w:pPr>
    </w:p>
    <w:p w14:paraId="5AAE9A85" w14:textId="77777777" w:rsidR="0033238F" w:rsidRDefault="0033238F" w:rsidP="00E748AE">
      <w:pPr>
        <w:spacing w:after="0" w:line="360" w:lineRule="auto"/>
        <w:jc w:val="both"/>
        <w:rPr>
          <w:rFonts w:ascii="Palatino Linotype" w:eastAsia="Times New Roman" w:hAnsi="Palatino Linotype" w:cs="Times New Roman"/>
          <w:sz w:val="24"/>
          <w:szCs w:val="24"/>
          <w:lang w:eastAsia="es-ES"/>
        </w:rPr>
      </w:pPr>
    </w:p>
    <w:p w14:paraId="539FABC6" w14:textId="77777777" w:rsidR="0033238F" w:rsidRDefault="0033238F" w:rsidP="00E748AE">
      <w:pPr>
        <w:spacing w:after="0" w:line="360" w:lineRule="auto"/>
        <w:jc w:val="both"/>
        <w:rPr>
          <w:rFonts w:ascii="Palatino Linotype" w:eastAsia="Times New Roman" w:hAnsi="Palatino Linotype" w:cs="Times New Roman"/>
          <w:sz w:val="24"/>
          <w:szCs w:val="24"/>
          <w:lang w:eastAsia="es-ES"/>
        </w:rPr>
      </w:pPr>
    </w:p>
    <w:p w14:paraId="679AEF60" w14:textId="77777777" w:rsidR="0033238F" w:rsidRDefault="0033238F" w:rsidP="00E748AE">
      <w:pPr>
        <w:spacing w:after="0" w:line="360" w:lineRule="auto"/>
        <w:jc w:val="both"/>
        <w:rPr>
          <w:rFonts w:ascii="Palatino Linotype" w:eastAsia="Times New Roman" w:hAnsi="Palatino Linotype" w:cs="Times New Roman"/>
          <w:sz w:val="24"/>
          <w:szCs w:val="24"/>
          <w:lang w:val="es-ES" w:eastAsia="es-ES"/>
        </w:rPr>
      </w:pPr>
    </w:p>
    <w:p w14:paraId="72485429" w14:textId="77777777" w:rsidR="0033238F" w:rsidRPr="0033238F" w:rsidRDefault="0033238F" w:rsidP="00E748AE">
      <w:pPr>
        <w:spacing w:after="0" w:line="360" w:lineRule="auto"/>
        <w:jc w:val="both"/>
        <w:rPr>
          <w:rFonts w:ascii="Palatino Linotype" w:eastAsia="Times New Roman" w:hAnsi="Palatino Linotype" w:cs="Times New Roman"/>
          <w:sz w:val="24"/>
          <w:szCs w:val="24"/>
          <w:lang w:val="es-ES" w:eastAsia="es-ES"/>
        </w:rPr>
      </w:pPr>
    </w:p>
    <w:sectPr w:rsidR="0033238F" w:rsidRPr="0033238F" w:rsidSect="00FB4AAD">
      <w:headerReference w:type="default" r:id="rId13"/>
      <w:footerReference w:type="default" r:id="rId14"/>
      <w:headerReference w:type="first" r:id="rId15"/>
      <w:footerReference w:type="first" r:id="rId16"/>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3CE23" w14:textId="77777777" w:rsidR="00445798" w:rsidRDefault="00445798" w:rsidP="006168E4">
      <w:pPr>
        <w:spacing w:after="0" w:line="240" w:lineRule="auto"/>
      </w:pPr>
      <w:r>
        <w:separator/>
      </w:r>
    </w:p>
  </w:endnote>
  <w:endnote w:type="continuationSeparator" w:id="0">
    <w:p w14:paraId="054329B3" w14:textId="77777777" w:rsidR="00445798" w:rsidRDefault="00445798"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55B0A">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55B0A">
      <w:rPr>
        <w:rFonts w:ascii="Palatino Linotype" w:hAnsi="Palatino Linotype"/>
        <w:bCs/>
        <w:noProof/>
        <w:sz w:val="20"/>
      </w:rPr>
      <w:t>55</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55B0A">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55B0A">
      <w:rPr>
        <w:rFonts w:ascii="Palatino Linotype" w:hAnsi="Palatino Linotype"/>
        <w:bCs/>
        <w:noProof/>
        <w:sz w:val="20"/>
      </w:rPr>
      <w:t>55</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D4E98" w14:textId="77777777" w:rsidR="00445798" w:rsidRDefault="00445798" w:rsidP="006168E4">
      <w:pPr>
        <w:spacing w:after="0" w:line="240" w:lineRule="auto"/>
      </w:pPr>
      <w:r>
        <w:separator/>
      </w:r>
    </w:p>
  </w:footnote>
  <w:footnote w:type="continuationSeparator" w:id="0">
    <w:p w14:paraId="78BD061D" w14:textId="77777777" w:rsidR="00445798" w:rsidRDefault="00445798"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14:paraId="1EC9A00A" w14:textId="77777777" w:rsidTr="009B28E9">
      <w:trPr>
        <w:trHeight w:val="227"/>
      </w:trPr>
      <w:tc>
        <w:tcPr>
          <w:tcW w:w="5529" w:type="dxa"/>
          <w:hideMark/>
        </w:tcPr>
        <w:p w14:paraId="54E20D87"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F2DE57B" w14:textId="195E385F" w:rsidR="00C70B4A" w:rsidRPr="00B4142F" w:rsidRDefault="00515163"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06130</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55FEBD54" w14:textId="77777777" w:rsidTr="009B28E9">
      <w:trPr>
        <w:trHeight w:val="242"/>
      </w:trPr>
      <w:tc>
        <w:tcPr>
          <w:tcW w:w="5529" w:type="dxa"/>
          <w:hideMark/>
        </w:tcPr>
        <w:p w14:paraId="380D58F4"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1A60C1" w14:textId="7692CE97" w:rsidR="00C70B4A" w:rsidRPr="00F06FED" w:rsidRDefault="008F5877" w:rsidP="00C01E1C">
          <w:pPr>
            <w:spacing w:after="120" w:line="256" w:lineRule="auto"/>
            <w:ind w:left="639" w:right="214"/>
            <w:jc w:val="both"/>
            <w:rPr>
              <w:rFonts w:ascii="Palatino Linotype" w:hAnsi="Palatino Linotype" w:cs="Arial"/>
            </w:rPr>
          </w:pPr>
          <w:r>
            <w:rPr>
              <w:rFonts w:ascii="Palatino Linotype" w:hAnsi="Palatino Linotype" w:cs="Arial"/>
            </w:rPr>
            <w:t xml:space="preserve">Ayuntamiento de </w:t>
          </w:r>
          <w:r w:rsidR="00515163">
            <w:rPr>
              <w:rFonts w:ascii="Palatino Linotype" w:hAnsi="Palatino Linotype" w:cs="Arial"/>
            </w:rPr>
            <w:t>Calimaya</w:t>
          </w:r>
        </w:p>
      </w:tc>
    </w:tr>
    <w:tr w:rsidR="00C70B4A" w14:paraId="21314286" w14:textId="77777777" w:rsidTr="009B28E9">
      <w:trPr>
        <w:trHeight w:val="342"/>
      </w:trPr>
      <w:tc>
        <w:tcPr>
          <w:tcW w:w="5529" w:type="dxa"/>
          <w:hideMark/>
        </w:tcPr>
        <w:p w14:paraId="28B22B0A" w14:textId="77777777" w:rsidR="00C70B4A" w:rsidRDefault="00C70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629EB35" w14:textId="77777777" w:rsidR="00C70B4A" w:rsidRDefault="00C70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79D1C23A" w14:textId="77777777" w:rsidR="00C70B4A" w:rsidRDefault="00C70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14:paraId="42D97161" w14:textId="77777777" w:rsidTr="009B28E9">
      <w:trPr>
        <w:trHeight w:val="227"/>
      </w:trPr>
      <w:tc>
        <w:tcPr>
          <w:tcW w:w="5529" w:type="dxa"/>
          <w:hideMark/>
        </w:tcPr>
        <w:p w14:paraId="079C0A7D"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084B110A" w14:textId="5E76EF07" w:rsidR="00C70B4A" w:rsidRPr="00B4142F" w:rsidRDefault="00515163"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06130</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36CDA2D2" w14:textId="77777777" w:rsidTr="009B28E9">
      <w:trPr>
        <w:trHeight w:val="196"/>
      </w:trPr>
      <w:tc>
        <w:tcPr>
          <w:tcW w:w="5529" w:type="dxa"/>
          <w:hideMark/>
        </w:tcPr>
        <w:p w14:paraId="2ADF7609"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59C006B1" w14:textId="7A2961DD" w:rsidR="00C70B4A" w:rsidRPr="00F06FED" w:rsidRDefault="00D55B0A" w:rsidP="00870B18">
          <w:pPr>
            <w:spacing w:after="120" w:line="256" w:lineRule="auto"/>
            <w:ind w:left="637" w:right="214"/>
            <w:jc w:val="both"/>
            <w:rPr>
              <w:rFonts w:ascii="Palatino Linotype" w:hAnsi="Palatino Linotype" w:cs="Arial"/>
            </w:rPr>
          </w:pPr>
          <w:r>
            <w:rPr>
              <w:rFonts w:ascii="Palatino Linotype" w:hAnsi="Palatino Linotype" w:cs="Arial"/>
            </w:rPr>
            <w:t>XXXX</w:t>
          </w:r>
        </w:p>
      </w:tc>
    </w:tr>
    <w:tr w:rsidR="00C70B4A" w14:paraId="652F9A44" w14:textId="77777777" w:rsidTr="009B28E9">
      <w:trPr>
        <w:trHeight w:val="242"/>
      </w:trPr>
      <w:tc>
        <w:tcPr>
          <w:tcW w:w="5529" w:type="dxa"/>
          <w:hideMark/>
        </w:tcPr>
        <w:p w14:paraId="09EC290F"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3EFE4F6" w14:textId="5EA4BD37" w:rsidR="00C70B4A" w:rsidRDefault="008F5877"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w:t>
          </w:r>
          <w:r w:rsidR="00515163">
            <w:rPr>
              <w:rFonts w:ascii="Palatino Linotype" w:hAnsi="Palatino Linotype" w:cs="Arial"/>
              <w:szCs w:val="20"/>
            </w:rPr>
            <w:t>Calimaya</w:t>
          </w:r>
        </w:p>
      </w:tc>
    </w:tr>
    <w:tr w:rsidR="00C70B4A" w14:paraId="4476548B" w14:textId="77777777" w:rsidTr="009B28E9">
      <w:trPr>
        <w:trHeight w:val="342"/>
      </w:trPr>
      <w:tc>
        <w:tcPr>
          <w:tcW w:w="5529" w:type="dxa"/>
          <w:hideMark/>
        </w:tcPr>
        <w:p w14:paraId="6E3E07EE" w14:textId="77777777" w:rsidR="00C70B4A" w:rsidRDefault="00C70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CC31E82" w14:textId="77777777" w:rsidR="00C70B4A" w:rsidRDefault="00C70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A9620E1"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48D4"/>
    <w:multiLevelType w:val="hybridMultilevel"/>
    <w:tmpl w:val="C55C03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6D0983"/>
    <w:multiLevelType w:val="hybridMultilevel"/>
    <w:tmpl w:val="1A14C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4F6271"/>
    <w:multiLevelType w:val="hybridMultilevel"/>
    <w:tmpl w:val="890646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7A0216"/>
    <w:multiLevelType w:val="hybridMultilevel"/>
    <w:tmpl w:val="F23437BA"/>
    <w:lvl w:ilvl="0" w:tplc="9B36DD7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520FD6"/>
    <w:multiLevelType w:val="hybridMultilevel"/>
    <w:tmpl w:val="53206A0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1651516D"/>
    <w:multiLevelType w:val="hybridMultilevel"/>
    <w:tmpl w:val="05AC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1FDE4F93"/>
    <w:multiLevelType w:val="hybridMultilevel"/>
    <w:tmpl w:val="E7D8C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3C4379"/>
    <w:multiLevelType w:val="hybridMultilevel"/>
    <w:tmpl w:val="726AB99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2F53A5"/>
    <w:multiLevelType w:val="hybridMultilevel"/>
    <w:tmpl w:val="726AB9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0B7FEA"/>
    <w:multiLevelType w:val="hybridMultilevel"/>
    <w:tmpl w:val="CBB68338"/>
    <w:lvl w:ilvl="0" w:tplc="63C88266">
      <w:start w:val="1"/>
      <w:numFmt w:val="decimal"/>
      <w:lvlText w:val="%1."/>
      <w:lvlJc w:val="left"/>
      <w:pPr>
        <w:ind w:left="720" w:hanging="360"/>
      </w:pPr>
      <w:rPr>
        <w:b w:val="0"/>
        <w:b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2"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3" w15:restartNumberingAfterBreak="0">
    <w:nsid w:val="36522275"/>
    <w:multiLevelType w:val="hybridMultilevel"/>
    <w:tmpl w:val="451CB2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7DE7809"/>
    <w:multiLevelType w:val="hybridMultilevel"/>
    <w:tmpl w:val="61FA48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9C621CF"/>
    <w:multiLevelType w:val="hybridMultilevel"/>
    <w:tmpl w:val="CBB68338"/>
    <w:lvl w:ilvl="0" w:tplc="FFFFFFFF">
      <w:start w:val="1"/>
      <w:numFmt w:val="decimal"/>
      <w:lvlText w:val="%1."/>
      <w:lvlJc w:val="left"/>
      <w:pPr>
        <w:ind w:left="720" w:hanging="360"/>
      </w:pPr>
      <w:rPr>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433B74"/>
    <w:multiLevelType w:val="hybridMultilevel"/>
    <w:tmpl w:val="3B2A24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369B9"/>
    <w:multiLevelType w:val="hybridMultilevel"/>
    <w:tmpl w:val="6956A034"/>
    <w:lvl w:ilvl="0" w:tplc="080A0013">
      <w:start w:val="1"/>
      <w:numFmt w:val="upperRoman"/>
      <w:lvlText w:val="%1."/>
      <w:lvlJc w:val="righ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9" w15:restartNumberingAfterBreak="0">
    <w:nsid w:val="442620DD"/>
    <w:multiLevelType w:val="hybridMultilevel"/>
    <w:tmpl w:val="DB40C750"/>
    <w:lvl w:ilvl="0" w:tplc="1DF4A00E">
      <w:start w:val="1"/>
      <w:numFmt w:val="decimal"/>
      <w:lvlText w:val="%1)"/>
      <w:lvlJc w:val="left"/>
      <w:pPr>
        <w:ind w:left="720" w:hanging="360"/>
      </w:pPr>
      <w:rPr>
        <w:rFonts w:hint="default"/>
        <w:b w:val="0"/>
        <w:b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6655A6F"/>
    <w:multiLevelType w:val="hybridMultilevel"/>
    <w:tmpl w:val="17D460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2" w15:restartNumberingAfterBreak="0">
    <w:nsid w:val="51502B7E"/>
    <w:multiLevelType w:val="hybridMultilevel"/>
    <w:tmpl w:val="001452B2"/>
    <w:lvl w:ilvl="0" w:tplc="E2569148">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547550F3"/>
    <w:multiLevelType w:val="hybridMultilevel"/>
    <w:tmpl w:val="A79ED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013DFC"/>
    <w:multiLevelType w:val="hybridMultilevel"/>
    <w:tmpl w:val="45BEEA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6" w15:restartNumberingAfterBreak="0">
    <w:nsid w:val="5AFA69DF"/>
    <w:multiLevelType w:val="hybridMultilevel"/>
    <w:tmpl w:val="7262A6E4"/>
    <w:lvl w:ilvl="0" w:tplc="A4F2545A">
      <w:start w:val="7"/>
      <w:numFmt w:val="bullet"/>
      <w:lvlText w:val="-"/>
      <w:lvlJc w:val="left"/>
      <w:pPr>
        <w:ind w:left="1440" w:hanging="360"/>
      </w:pPr>
      <w:rPr>
        <w:rFonts w:ascii="Palatino Linotype" w:eastAsia="Times New Roman" w:hAnsi="Palatino Linotype" w:cs="Aria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7" w15:restartNumberingAfterBreak="0">
    <w:nsid w:val="5C9B6767"/>
    <w:multiLevelType w:val="hybridMultilevel"/>
    <w:tmpl w:val="9042C7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B95BC2"/>
    <w:multiLevelType w:val="hybridMultilevel"/>
    <w:tmpl w:val="D97CF2E4"/>
    <w:lvl w:ilvl="0" w:tplc="080A0001">
      <w:start w:val="1"/>
      <w:numFmt w:val="bullet"/>
      <w:lvlText w:val=""/>
      <w:lvlJc w:val="left"/>
      <w:pPr>
        <w:ind w:left="720" w:hanging="360"/>
      </w:pPr>
      <w:rPr>
        <w:rFonts w:ascii="Symbol" w:hAnsi="Symbol"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3993393"/>
    <w:multiLevelType w:val="hybridMultilevel"/>
    <w:tmpl w:val="08108BAE"/>
    <w:lvl w:ilvl="0" w:tplc="1DF4A00E">
      <w:start w:val="1"/>
      <w:numFmt w:val="decimal"/>
      <w:lvlText w:val="%1)"/>
      <w:lvlJc w:val="left"/>
      <w:pPr>
        <w:ind w:left="720" w:hanging="360"/>
      </w:pPr>
      <w:rPr>
        <w:rFonts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410C6F"/>
    <w:multiLevelType w:val="hybridMultilevel"/>
    <w:tmpl w:val="618A40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1" w15:restartNumberingAfterBreak="0">
    <w:nsid w:val="6B403C8A"/>
    <w:multiLevelType w:val="hybridMultilevel"/>
    <w:tmpl w:val="818C597C"/>
    <w:lvl w:ilvl="0" w:tplc="080A0013">
      <w:start w:val="1"/>
      <w:numFmt w:val="upperRoman"/>
      <w:lvlText w:val="%1."/>
      <w:lvlJc w:val="righ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2" w15:restartNumberingAfterBreak="0">
    <w:nsid w:val="6E685CC4"/>
    <w:multiLevelType w:val="hybridMultilevel"/>
    <w:tmpl w:val="0C86B8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02169A9"/>
    <w:multiLevelType w:val="hybridMultilevel"/>
    <w:tmpl w:val="8392EC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1703776"/>
    <w:multiLevelType w:val="hybridMultilevel"/>
    <w:tmpl w:val="D11221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23A59A2"/>
    <w:multiLevelType w:val="hybridMultilevel"/>
    <w:tmpl w:val="DA600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86340"/>
    <w:multiLevelType w:val="hybridMultilevel"/>
    <w:tmpl w:val="8A901A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4957BE"/>
    <w:multiLevelType w:val="hybridMultilevel"/>
    <w:tmpl w:val="D01A362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9713176"/>
    <w:multiLevelType w:val="hybridMultilevel"/>
    <w:tmpl w:val="62A00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BF001A"/>
    <w:multiLevelType w:val="hybridMultilevel"/>
    <w:tmpl w:val="282EE0E6"/>
    <w:lvl w:ilvl="0" w:tplc="080A0001">
      <w:start w:val="1"/>
      <w:numFmt w:val="bullet"/>
      <w:lvlText w:val=""/>
      <w:lvlJc w:val="left"/>
      <w:pPr>
        <w:ind w:left="1080" w:hanging="360"/>
      </w:pPr>
      <w:rPr>
        <w:rFonts w:ascii="Symbol" w:hAnsi="Symbol" w:hint="default"/>
        <w:b/>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1"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EA101E"/>
    <w:multiLevelType w:val="hybridMultilevel"/>
    <w:tmpl w:val="EF9A7C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0"/>
  </w:num>
  <w:num w:numId="2">
    <w:abstractNumId w:val="39"/>
  </w:num>
  <w:num w:numId="3">
    <w:abstractNumId w:val="7"/>
  </w:num>
  <w:num w:numId="4">
    <w:abstractNumId w:val="27"/>
  </w:num>
  <w:num w:numId="5">
    <w:abstractNumId w:val="37"/>
  </w:num>
  <w:num w:numId="6">
    <w:abstractNumId w:val="23"/>
  </w:num>
  <w:num w:numId="7">
    <w:abstractNumId w:val="41"/>
  </w:num>
  <w:num w:numId="8">
    <w:abstractNumId w:val="12"/>
  </w:num>
  <w:num w:numId="9">
    <w:abstractNumId w:val="31"/>
  </w:num>
  <w:num w:numId="10">
    <w:abstractNumId w:val="18"/>
  </w:num>
  <w:num w:numId="11">
    <w:abstractNumId w:val="6"/>
  </w:num>
  <w:num w:numId="12">
    <w:abstractNumId w:val="24"/>
  </w:num>
  <w:num w:numId="13">
    <w:abstractNumId w:val="36"/>
  </w:num>
  <w:num w:numId="14">
    <w:abstractNumId w:val="2"/>
  </w:num>
  <w:num w:numId="15">
    <w:abstractNumId w:val="35"/>
  </w:num>
  <w:num w:numId="16">
    <w:abstractNumId w:val="33"/>
  </w:num>
  <w:num w:numId="17">
    <w:abstractNumId w:val="14"/>
  </w:num>
  <w:num w:numId="18">
    <w:abstractNumId w:val="25"/>
  </w:num>
  <w:num w:numId="19">
    <w:abstractNumId w:val="17"/>
  </w:num>
  <w:num w:numId="20">
    <w:abstractNumId w:val="34"/>
  </w:num>
  <w:num w:numId="21">
    <w:abstractNumId w:val="10"/>
  </w:num>
  <w:num w:numId="22">
    <w:abstractNumId w:val="11"/>
  </w:num>
  <w:num w:numId="23">
    <w:abstractNumId w:val="21"/>
  </w:num>
  <w:num w:numId="24">
    <w:abstractNumId w:val="5"/>
  </w:num>
  <w:num w:numId="25">
    <w:abstractNumId w:val="38"/>
  </w:num>
  <w:num w:numId="26">
    <w:abstractNumId w:val="32"/>
  </w:num>
  <w:num w:numId="27">
    <w:abstractNumId w:val="4"/>
  </w:num>
  <w:num w:numId="28">
    <w:abstractNumId w:val="29"/>
  </w:num>
  <w:num w:numId="29">
    <w:abstractNumId w:val="20"/>
  </w:num>
  <w:num w:numId="30">
    <w:abstractNumId w:val="40"/>
  </w:num>
  <w:num w:numId="31">
    <w:abstractNumId w:val="26"/>
  </w:num>
  <w:num w:numId="32">
    <w:abstractNumId w:val="15"/>
  </w:num>
  <w:num w:numId="33">
    <w:abstractNumId w:val="19"/>
  </w:num>
  <w:num w:numId="34">
    <w:abstractNumId w:val="3"/>
  </w:num>
  <w:num w:numId="35">
    <w:abstractNumId w:val="8"/>
  </w:num>
  <w:num w:numId="36">
    <w:abstractNumId w:val="9"/>
  </w:num>
  <w:num w:numId="37">
    <w:abstractNumId w:val="1"/>
  </w:num>
  <w:num w:numId="38">
    <w:abstractNumId w:val="42"/>
  </w:num>
  <w:num w:numId="39">
    <w:abstractNumId w:val="0"/>
  </w:num>
  <w:num w:numId="40">
    <w:abstractNumId w:val="22"/>
  </w:num>
  <w:num w:numId="41">
    <w:abstractNumId w:val="16"/>
  </w:num>
  <w:num w:numId="42">
    <w:abstractNumId w:val="13"/>
  </w:num>
  <w:num w:numId="43">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DDF"/>
    <w:rsid w:val="000037E2"/>
    <w:rsid w:val="0000573A"/>
    <w:rsid w:val="000061F8"/>
    <w:rsid w:val="00007BD9"/>
    <w:rsid w:val="00010F2B"/>
    <w:rsid w:val="00011230"/>
    <w:rsid w:val="0001225E"/>
    <w:rsid w:val="00013759"/>
    <w:rsid w:val="00014564"/>
    <w:rsid w:val="000170DF"/>
    <w:rsid w:val="00020A70"/>
    <w:rsid w:val="00021CBD"/>
    <w:rsid w:val="00022604"/>
    <w:rsid w:val="000236FA"/>
    <w:rsid w:val="0002450B"/>
    <w:rsid w:val="00025509"/>
    <w:rsid w:val="0002766F"/>
    <w:rsid w:val="000306A7"/>
    <w:rsid w:val="00031C92"/>
    <w:rsid w:val="000363A2"/>
    <w:rsid w:val="000416AA"/>
    <w:rsid w:val="0004199A"/>
    <w:rsid w:val="00045379"/>
    <w:rsid w:val="000461DF"/>
    <w:rsid w:val="0004653A"/>
    <w:rsid w:val="00046AD8"/>
    <w:rsid w:val="00054BC2"/>
    <w:rsid w:val="00054DD0"/>
    <w:rsid w:val="00055224"/>
    <w:rsid w:val="0005543E"/>
    <w:rsid w:val="0005622A"/>
    <w:rsid w:val="0006076C"/>
    <w:rsid w:val="00060C0C"/>
    <w:rsid w:val="00060FB3"/>
    <w:rsid w:val="00061821"/>
    <w:rsid w:val="000623F9"/>
    <w:rsid w:val="00062482"/>
    <w:rsid w:val="00062D5C"/>
    <w:rsid w:val="00063A10"/>
    <w:rsid w:val="00063EFB"/>
    <w:rsid w:val="00063F93"/>
    <w:rsid w:val="000662F8"/>
    <w:rsid w:val="00073E78"/>
    <w:rsid w:val="000758EF"/>
    <w:rsid w:val="00081988"/>
    <w:rsid w:val="000819E1"/>
    <w:rsid w:val="0008582E"/>
    <w:rsid w:val="00090AFC"/>
    <w:rsid w:val="00091552"/>
    <w:rsid w:val="00091C3A"/>
    <w:rsid w:val="000A2D37"/>
    <w:rsid w:val="000A3486"/>
    <w:rsid w:val="000A44C7"/>
    <w:rsid w:val="000A4DD1"/>
    <w:rsid w:val="000A70F8"/>
    <w:rsid w:val="000A71F4"/>
    <w:rsid w:val="000A733E"/>
    <w:rsid w:val="000A79DA"/>
    <w:rsid w:val="000B0B8F"/>
    <w:rsid w:val="000B1702"/>
    <w:rsid w:val="000B4B51"/>
    <w:rsid w:val="000B52E9"/>
    <w:rsid w:val="000B7158"/>
    <w:rsid w:val="000C1477"/>
    <w:rsid w:val="000C1E76"/>
    <w:rsid w:val="000C309C"/>
    <w:rsid w:val="000C5B8B"/>
    <w:rsid w:val="000C7E6E"/>
    <w:rsid w:val="000D0BC5"/>
    <w:rsid w:val="000D1B55"/>
    <w:rsid w:val="000D3C75"/>
    <w:rsid w:val="000D6116"/>
    <w:rsid w:val="000D7A3D"/>
    <w:rsid w:val="000D7B04"/>
    <w:rsid w:val="000E0557"/>
    <w:rsid w:val="000E0655"/>
    <w:rsid w:val="000E0A71"/>
    <w:rsid w:val="000E686B"/>
    <w:rsid w:val="000F08F0"/>
    <w:rsid w:val="000F3EE7"/>
    <w:rsid w:val="000F68B1"/>
    <w:rsid w:val="000F6F19"/>
    <w:rsid w:val="000F7AC2"/>
    <w:rsid w:val="00100E19"/>
    <w:rsid w:val="001015C3"/>
    <w:rsid w:val="00102D69"/>
    <w:rsid w:val="00110EDB"/>
    <w:rsid w:val="00111DCD"/>
    <w:rsid w:val="00114CF9"/>
    <w:rsid w:val="0011564C"/>
    <w:rsid w:val="001167AA"/>
    <w:rsid w:val="00117157"/>
    <w:rsid w:val="00123898"/>
    <w:rsid w:val="00124855"/>
    <w:rsid w:val="00124EC6"/>
    <w:rsid w:val="001254F5"/>
    <w:rsid w:val="001336D3"/>
    <w:rsid w:val="001364AA"/>
    <w:rsid w:val="00136FAD"/>
    <w:rsid w:val="00143D5F"/>
    <w:rsid w:val="00144B4A"/>
    <w:rsid w:val="00146F0A"/>
    <w:rsid w:val="00147B36"/>
    <w:rsid w:val="00150D1D"/>
    <w:rsid w:val="00152124"/>
    <w:rsid w:val="00152C2B"/>
    <w:rsid w:val="001542FC"/>
    <w:rsid w:val="00154C5F"/>
    <w:rsid w:val="001646D0"/>
    <w:rsid w:val="0016514C"/>
    <w:rsid w:val="001657E6"/>
    <w:rsid w:val="00170066"/>
    <w:rsid w:val="00172661"/>
    <w:rsid w:val="001742A5"/>
    <w:rsid w:val="00174495"/>
    <w:rsid w:val="00174EE4"/>
    <w:rsid w:val="00175279"/>
    <w:rsid w:val="00175320"/>
    <w:rsid w:val="00175897"/>
    <w:rsid w:val="00175C56"/>
    <w:rsid w:val="00177D2C"/>
    <w:rsid w:val="001804C3"/>
    <w:rsid w:val="00180B9F"/>
    <w:rsid w:val="00181CC5"/>
    <w:rsid w:val="00191926"/>
    <w:rsid w:val="00193784"/>
    <w:rsid w:val="00193FB6"/>
    <w:rsid w:val="001942EE"/>
    <w:rsid w:val="001A02EC"/>
    <w:rsid w:val="001A0906"/>
    <w:rsid w:val="001A22D7"/>
    <w:rsid w:val="001A32F0"/>
    <w:rsid w:val="001A577E"/>
    <w:rsid w:val="001A58DE"/>
    <w:rsid w:val="001A7C9B"/>
    <w:rsid w:val="001B05B9"/>
    <w:rsid w:val="001B1519"/>
    <w:rsid w:val="001B1F55"/>
    <w:rsid w:val="001B7B88"/>
    <w:rsid w:val="001C0BAD"/>
    <w:rsid w:val="001C7319"/>
    <w:rsid w:val="001C7A9E"/>
    <w:rsid w:val="001C7D87"/>
    <w:rsid w:val="001D0113"/>
    <w:rsid w:val="001D299A"/>
    <w:rsid w:val="001D3E87"/>
    <w:rsid w:val="001D5F16"/>
    <w:rsid w:val="001D6FAB"/>
    <w:rsid w:val="001D794F"/>
    <w:rsid w:val="001E1D18"/>
    <w:rsid w:val="001E2C0F"/>
    <w:rsid w:val="001E332A"/>
    <w:rsid w:val="001E668A"/>
    <w:rsid w:val="001F0A4F"/>
    <w:rsid w:val="001F2A14"/>
    <w:rsid w:val="001F3F0E"/>
    <w:rsid w:val="001F4ADC"/>
    <w:rsid w:val="001F5597"/>
    <w:rsid w:val="001F71ED"/>
    <w:rsid w:val="00203D3A"/>
    <w:rsid w:val="00203FF3"/>
    <w:rsid w:val="002044B4"/>
    <w:rsid w:val="00207086"/>
    <w:rsid w:val="00211D60"/>
    <w:rsid w:val="0021501E"/>
    <w:rsid w:val="0021572A"/>
    <w:rsid w:val="002205C0"/>
    <w:rsid w:val="0022494A"/>
    <w:rsid w:val="00225507"/>
    <w:rsid w:val="0023373D"/>
    <w:rsid w:val="00233D7E"/>
    <w:rsid w:val="00233EF7"/>
    <w:rsid w:val="0023423C"/>
    <w:rsid w:val="00237F4F"/>
    <w:rsid w:val="0024112D"/>
    <w:rsid w:val="002428BA"/>
    <w:rsid w:val="00244177"/>
    <w:rsid w:val="00254477"/>
    <w:rsid w:val="00257337"/>
    <w:rsid w:val="002577FE"/>
    <w:rsid w:val="0025780C"/>
    <w:rsid w:val="002609D8"/>
    <w:rsid w:val="00262CBE"/>
    <w:rsid w:val="002642D3"/>
    <w:rsid w:val="002646EF"/>
    <w:rsid w:val="00266AE6"/>
    <w:rsid w:val="00267C18"/>
    <w:rsid w:val="00273D0E"/>
    <w:rsid w:val="002764D6"/>
    <w:rsid w:val="00280B8B"/>
    <w:rsid w:val="00282235"/>
    <w:rsid w:val="00292350"/>
    <w:rsid w:val="00292DC0"/>
    <w:rsid w:val="00293C29"/>
    <w:rsid w:val="00297EF9"/>
    <w:rsid w:val="002A2034"/>
    <w:rsid w:val="002A24F4"/>
    <w:rsid w:val="002A38BF"/>
    <w:rsid w:val="002A429A"/>
    <w:rsid w:val="002A597E"/>
    <w:rsid w:val="002B0FB9"/>
    <w:rsid w:val="002B4382"/>
    <w:rsid w:val="002B5DBD"/>
    <w:rsid w:val="002B72F9"/>
    <w:rsid w:val="002B7D92"/>
    <w:rsid w:val="002C498D"/>
    <w:rsid w:val="002C4AC3"/>
    <w:rsid w:val="002C4FE1"/>
    <w:rsid w:val="002C72D2"/>
    <w:rsid w:val="002D1B28"/>
    <w:rsid w:val="002D2F00"/>
    <w:rsid w:val="002D79E2"/>
    <w:rsid w:val="002D7A5D"/>
    <w:rsid w:val="002E0A4A"/>
    <w:rsid w:val="002E0BC4"/>
    <w:rsid w:val="002E21B4"/>
    <w:rsid w:val="002E2D7B"/>
    <w:rsid w:val="002E4B23"/>
    <w:rsid w:val="002E5A4A"/>
    <w:rsid w:val="002E5E6A"/>
    <w:rsid w:val="002E6FBB"/>
    <w:rsid w:val="002F22FA"/>
    <w:rsid w:val="002F37BE"/>
    <w:rsid w:val="002F41CA"/>
    <w:rsid w:val="002F4C6A"/>
    <w:rsid w:val="002F527C"/>
    <w:rsid w:val="002F70F6"/>
    <w:rsid w:val="00300D0B"/>
    <w:rsid w:val="003043BE"/>
    <w:rsid w:val="00305181"/>
    <w:rsid w:val="00306096"/>
    <w:rsid w:val="00306974"/>
    <w:rsid w:val="00306B80"/>
    <w:rsid w:val="00307014"/>
    <w:rsid w:val="00307CAC"/>
    <w:rsid w:val="00313A1F"/>
    <w:rsid w:val="00314F93"/>
    <w:rsid w:val="0031645D"/>
    <w:rsid w:val="00320A67"/>
    <w:rsid w:val="00324AC9"/>
    <w:rsid w:val="003272FB"/>
    <w:rsid w:val="00330669"/>
    <w:rsid w:val="00330857"/>
    <w:rsid w:val="00331499"/>
    <w:rsid w:val="0033238F"/>
    <w:rsid w:val="0033580E"/>
    <w:rsid w:val="00337F09"/>
    <w:rsid w:val="00343D1E"/>
    <w:rsid w:val="0035054D"/>
    <w:rsid w:val="00354258"/>
    <w:rsid w:val="00355593"/>
    <w:rsid w:val="00357E0E"/>
    <w:rsid w:val="00361B9C"/>
    <w:rsid w:val="00361D89"/>
    <w:rsid w:val="003672FB"/>
    <w:rsid w:val="00370588"/>
    <w:rsid w:val="00370797"/>
    <w:rsid w:val="003707FE"/>
    <w:rsid w:val="00370C79"/>
    <w:rsid w:val="003712F3"/>
    <w:rsid w:val="00372D3E"/>
    <w:rsid w:val="003746C6"/>
    <w:rsid w:val="00375763"/>
    <w:rsid w:val="00375BEA"/>
    <w:rsid w:val="00376CEC"/>
    <w:rsid w:val="00380758"/>
    <w:rsid w:val="003810B1"/>
    <w:rsid w:val="003815E5"/>
    <w:rsid w:val="00381E2B"/>
    <w:rsid w:val="003821A1"/>
    <w:rsid w:val="003838B4"/>
    <w:rsid w:val="00384029"/>
    <w:rsid w:val="00385BBD"/>
    <w:rsid w:val="003877EC"/>
    <w:rsid w:val="00387929"/>
    <w:rsid w:val="00390988"/>
    <w:rsid w:val="0039347E"/>
    <w:rsid w:val="00393D5B"/>
    <w:rsid w:val="0039460D"/>
    <w:rsid w:val="00394873"/>
    <w:rsid w:val="00394A1E"/>
    <w:rsid w:val="003968C7"/>
    <w:rsid w:val="003A2246"/>
    <w:rsid w:val="003A2658"/>
    <w:rsid w:val="003A4CF6"/>
    <w:rsid w:val="003A61F9"/>
    <w:rsid w:val="003A6975"/>
    <w:rsid w:val="003B0793"/>
    <w:rsid w:val="003B0D66"/>
    <w:rsid w:val="003B1E88"/>
    <w:rsid w:val="003B5E96"/>
    <w:rsid w:val="003C1C74"/>
    <w:rsid w:val="003C3F7B"/>
    <w:rsid w:val="003C5243"/>
    <w:rsid w:val="003C53ED"/>
    <w:rsid w:val="003D047A"/>
    <w:rsid w:val="003D0B7E"/>
    <w:rsid w:val="003D23DF"/>
    <w:rsid w:val="003D311E"/>
    <w:rsid w:val="003D4E0F"/>
    <w:rsid w:val="003D55A8"/>
    <w:rsid w:val="003D5C0A"/>
    <w:rsid w:val="003E16E1"/>
    <w:rsid w:val="003E1871"/>
    <w:rsid w:val="003E504D"/>
    <w:rsid w:val="003E656A"/>
    <w:rsid w:val="003E78B7"/>
    <w:rsid w:val="003F0230"/>
    <w:rsid w:val="003F3016"/>
    <w:rsid w:val="003F38EB"/>
    <w:rsid w:val="003F76E5"/>
    <w:rsid w:val="003F7952"/>
    <w:rsid w:val="004012CF"/>
    <w:rsid w:val="004015EE"/>
    <w:rsid w:val="00402FF3"/>
    <w:rsid w:val="0040673A"/>
    <w:rsid w:val="004069EB"/>
    <w:rsid w:val="00410ACB"/>
    <w:rsid w:val="00411E6F"/>
    <w:rsid w:val="00412600"/>
    <w:rsid w:val="004150FE"/>
    <w:rsid w:val="00415460"/>
    <w:rsid w:val="00421885"/>
    <w:rsid w:val="00421D09"/>
    <w:rsid w:val="00422ED2"/>
    <w:rsid w:val="00423213"/>
    <w:rsid w:val="0042416D"/>
    <w:rsid w:val="00424487"/>
    <w:rsid w:val="00424EA1"/>
    <w:rsid w:val="00435290"/>
    <w:rsid w:val="00436802"/>
    <w:rsid w:val="00437E68"/>
    <w:rsid w:val="00442E45"/>
    <w:rsid w:val="00443AD4"/>
    <w:rsid w:val="0044438E"/>
    <w:rsid w:val="00445414"/>
    <w:rsid w:val="00445798"/>
    <w:rsid w:val="00445C0F"/>
    <w:rsid w:val="00451448"/>
    <w:rsid w:val="004516EB"/>
    <w:rsid w:val="004529B6"/>
    <w:rsid w:val="00453DBD"/>
    <w:rsid w:val="00454CE6"/>
    <w:rsid w:val="00455463"/>
    <w:rsid w:val="00455AD9"/>
    <w:rsid w:val="00457305"/>
    <w:rsid w:val="00457955"/>
    <w:rsid w:val="0046061D"/>
    <w:rsid w:val="00462881"/>
    <w:rsid w:val="004640F2"/>
    <w:rsid w:val="00467337"/>
    <w:rsid w:val="00467C17"/>
    <w:rsid w:val="00471D57"/>
    <w:rsid w:val="00475345"/>
    <w:rsid w:val="00475F48"/>
    <w:rsid w:val="00476790"/>
    <w:rsid w:val="00477CC2"/>
    <w:rsid w:val="00477D47"/>
    <w:rsid w:val="00480C32"/>
    <w:rsid w:val="004814EA"/>
    <w:rsid w:val="0048180A"/>
    <w:rsid w:val="00481C7A"/>
    <w:rsid w:val="00487DB5"/>
    <w:rsid w:val="004905E2"/>
    <w:rsid w:val="004906C8"/>
    <w:rsid w:val="00491877"/>
    <w:rsid w:val="00492BC7"/>
    <w:rsid w:val="004938E6"/>
    <w:rsid w:val="0049549B"/>
    <w:rsid w:val="004967E2"/>
    <w:rsid w:val="004975A8"/>
    <w:rsid w:val="004A114B"/>
    <w:rsid w:val="004A2363"/>
    <w:rsid w:val="004A290F"/>
    <w:rsid w:val="004A55D8"/>
    <w:rsid w:val="004A5FFD"/>
    <w:rsid w:val="004A7CE2"/>
    <w:rsid w:val="004B031A"/>
    <w:rsid w:val="004B1236"/>
    <w:rsid w:val="004B1ACE"/>
    <w:rsid w:val="004B234F"/>
    <w:rsid w:val="004B353F"/>
    <w:rsid w:val="004B59BB"/>
    <w:rsid w:val="004B5CCC"/>
    <w:rsid w:val="004C117E"/>
    <w:rsid w:val="004C2845"/>
    <w:rsid w:val="004C3081"/>
    <w:rsid w:val="004C7961"/>
    <w:rsid w:val="004D0658"/>
    <w:rsid w:val="004D08EB"/>
    <w:rsid w:val="004D3B15"/>
    <w:rsid w:val="004D54E3"/>
    <w:rsid w:val="004D6459"/>
    <w:rsid w:val="004D761E"/>
    <w:rsid w:val="004E1A3D"/>
    <w:rsid w:val="004E1A71"/>
    <w:rsid w:val="004E2371"/>
    <w:rsid w:val="004E6BE9"/>
    <w:rsid w:val="004E754F"/>
    <w:rsid w:val="004E7A84"/>
    <w:rsid w:val="004F0538"/>
    <w:rsid w:val="004F17D6"/>
    <w:rsid w:val="004F2337"/>
    <w:rsid w:val="004F3024"/>
    <w:rsid w:val="004F33EA"/>
    <w:rsid w:val="004F4F45"/>
    <w:rsid w:val="005001FE"/>
    <w:rsid w:val="005020E9"/>
    <w:rsid w:val="00503655"/>
    <w:rsid w:val="00504967"/>
    <w:rsid w:val="00504BE3"/>
    <w:rsid w:val="00506F7D"/>
    <w:rsid w:val="00507065"/>
    <w:rsid w:val="005106F9"/>
    <w:rsid w:val="00510D77"/>
    <w:rsid w:val="005128DD"/>
    <w:rsid w:val="00513F18"/>
    <w:rsid w:val="00514207"/>
    <w:rsid w:val="005149BE"/>
    <w:rsid w:val="00515090"/>
    <w:rsid w:val="00515163"/>
    <w:rsid w:val="005179E4"/>
    <w:rsid w:val="00521E57"/>
    <w:rsid w:val="00525093"/>
    <w:rsid w:val="005305EA"/>
    <w:rsid w:val="0053652A"/>
    <w:rsid w:val="00536D71"/>
    <w:rsid w:val="005371E7"/>
    <w:rsid w:val="00537E4B"/>
    <w:rsid w:val="00540538"/>
    <w:rsid w:val="00542664"/>
    <w:rsid w:val="00543933"/>
    <w:rsid w:val="00544216"/>
    <w:rsid w:val="00544CF2"/>
    <w:rsid w:val="0054731A"/>
    <w:rsid w:val="00547B78"/>
    <w:rsid w:val="00551E8B"/>
    <w:rsid w:val="005520FE"/>
    <w:rsid w:val="0055263C"/>
    <w:rsid w:val="005528B9"/>
    <w:rsid w:val="0055472B"/>
    <w:rsid w:val="00555D9A"/>
    <w:rsid w:val="00556513"/>
    <w:rsid w:val="00557F13"/>
    <w:rsid w:val="005602DB"/>
    <w:rsid w:val="00560950"/>
    <w:rsid w:val="00561ABC"/>
    <w:rsid w:val="00562653"/>
    <w:rsid w:val="00563CE8"/>
    <w:rsid w:val="00564AD9"/>
    <w:rsid w:val="00564B64"/>
    <w:rsid w:val="005662E2"/>
    <w:rsid w:val="00566D97"/>
    <w:rsid w:val="00571389"/>
    <w:rsid w:val="005733EB"/>
    <w:rsid w:val="005734C5"/>
    <w:rsid w:val="0057453A"/>
    <w:rsid w:val="00575268"/>
    <w:rsid w:val="00576D51"/>
    <w:rsid w:val="0057792B"/>
    <w:rsid w:val="00580802"/>
    <w:rsid w:val="00581A22"/>
    <w:rsid w:val="00585EC8"/>
    <w:rsid w:val="005860CB"/>
    <w:rsid w:val="005918F3"/>
    <w:rsid w:val="00593E91"/>
    <w:rsid w:val="0059442D"/>
    <w:rsid w:val="00594D38"/>
    <w:rsid w:val="0059753D"/>
    <w:rsid w:val="005A0B05"/>
    <w:rsid w:val="005A0B49"/>
    <w:rsid w:val="005A1108"/>
    <w:rsid w:val="005A1286"/>
    <w:rsid w:val="005A27AD"/>
    <w:rsid w:val="005A34EE"/>
    <w:rsid w:val="005A353A"/>
    <w:rsid w:val="005A4EBE"/>
    <w:rsid w:val="005A5C79"/>
    <w:rsid w:val="005A6D57"/>
    <w:rsid w:val="005A71FD"/>
    <w:rsid w:val="005A7D4F"/>
    <w:rsid w:val="005B1F52"/>
    <w:rsid w:val="005B5840"/>
    <w:rsid w:val="005B5B70"/>
    <w:rsid w:val="005B5F05"/>
    <w:rsid w:val="005C06AA"/>
    <w:rsid w:val="005C17BF"/>
    <w:rsid w:val="005C57BA"/>
    <w:rsid w:val="005C6982"/>
    <w:rsid w:val="005C6B74"/>
    <w:rsid w:val="005C7AEA"/>
    <w:rsid w:val="005D125D"/>
    <w:rsid w:val="005D29BF"/>
    <w:rsid w:val="005D2B59"/>
    <w:rsid w:val="005D362F"/>
    <w:rsid w:val="005D370F"/>
    <w:rsid w:val="005D3E85"/>
    <w:rsid w:val="005D44D1"/>
    <w:rsid w:val="005D53D6"/>
    <w:rsid w:val="005E1B06"/>
    <w:rsid w:val="005E2312"/>
    <w:rsid w:val="005E265D"/>
    <w:rsid w:val="005E3D7D"/>
    <w:rsid w:val="005E4C1F"/>
    <w:rsid w:val="005E4D7C"/>
    <w:rsid w:val="005E5F6A"/>
    <w:rsid w:val="005F048E"/>
    <w:rsid w:val="005F2047"/>
    <w:rsid w:val="005F2C76"/>
    <w:rsid w:val="005F57F0"/>
    <w:rsid w:val="00601010"/>
    <w:rsid w:val="006028C9"/>
    <w:rsid w:val="0060676C"/>
    <w:rsid w:val="00606B79"/>
    <w:rsid w:val="0060721D"/>
    <w:rsid w:val="0061042F"/>
    <w:rsid w:val="006168E4"/>
    <w:rsid w:val="00621F47"/>
    <w:rsid w:val="00622359"/>
    <w:rsid w:val="0062497C"/>
    <w:rsid w:val="00625200"/>
    <w:rsid w:val="006255AA"/>
    <w:rsid w:val="00630846"/>
    <w:rsid w:val="00631806"/>
    <w:rsid w:val="00636DEE"/>
    <w:rsid w:val="00636FD7"/>
    <w:rsid w:val="00637512"/>
    <w:rsid w:val="00640EE4"/>
    <w:rsid w:val="006456FA"/>
    <w:rsid w:val="006466F5"/>
    <w:rsid w:val="00646C24"/>
    <w:rsid w:val="0065040D"/>
    <w:rsid w:val="006523EB"/>
    <w:rsid w:val="00652BC5"/>
    <w:rsid w:val="00656060"/>
    <w:rsid w:val="00661753"/>
    <w:rsid w:val="0066216F"/>
    <w:rsid w:val="00663C3F"/>
    <w:rsid w:val="00664B05"/>
    <w:rsid w:val="0066500E"/>
    <w:rsid w:val="006654F6"/>
    <w:rsid w:val="00666CAF"/>
    <w:rsid w:val="00670EB4"/>
    <w:rsid w:val="00675390"/>
    <w:rsid w:val="00676CAA"/>
    <w:rsid w:val="006802CF"/>
    <w:rsid w:val="006827AB"/>
    <w:rsid w:val="006831E4"/>
    <w:rsid w:val="00683B62"/>
    <w:rsid w:val="006848B7"/>
    <w:rsid w:val="006868A7"/>
    <w:rsid w:val="00690791"/>
    <w:rsid w:val="006915EA"/>
    <w:rsid w:val="00694828"/>
    <w:rsid w:val="006A016F"/>
    <w:rsid w:val="006A3810"/>
    <w:rsid w:val="006A65EE"/>
    <w:rsid w:val="006A68B8"/>
    <w:rsid w:val="006A6B72"/>
    <w:rsid w:val="006A7CEB"/>
    <w:rsid w:val="006B1953"/>
    <w:rsid w:val="006B1BF1"/>
    <w:rsid w:val="006B20F0"/>
    <w:rsid w:val="006B26E3"/>
    <w:rsid w:val="006B3085"/>
    <w:rsid w:val="006B69CF"/>
    <w:rsid w:val="006B7444"/>
    <w:rsid w:val="006C00DA"/>
    <w:rsid w:val="006C1157"/>
    <w:rsid w:val="006C17FD"/>
    <w:rsid w:val="006C1884"/>
    <w:rsid w:val="006C28CA"/>
    <w:rsid w:val="006C350D"/>
    <w:rsid w:val="006C5E56"/>
    <w:rsid w:val="006C66E4"/>
    <w:rsid w:val="006D23FC"/>
    <w:rsid w:val="006D643D"/>
    <w:rsid w:val="006E063C"/>
    <w:rsid w:val="006E3851"/>
    <w:rsid w:val="006E53FF"/>
    <w:rsid w:val="006E7EEE"/>
    <w:rsid w:val="006F1167"/>
    <w:rsid w:val="006F3546"/>
    <w:rsid w:val="006F4044"/>
    <w:rsid w:val="006F46DC"/>
    <w:rsid w:val="006F4CC6"/>
    <w:rsid w:val="00701033"/>
    <w:rsid w:val="00701A3F"/>
    <w:rsid w:val="00702A03"/>
    <w:rsid w:val="00704BD8"/>
    <w:rsid w:val="00704EFD"/>
    <w:rsid w:val="007051A0"/>
    <w:rsid w:val="00705B96"/>
    <w:rsid w:val="007065D4"/>
    <w:rsid w:val="007078C8"/>
    <w:rsid w:val="00712E3A"/>
    <w:rsid w:val="00713CE6"/>
    <w:rsid w:val="007169EF"/>
    <w:rsid w:val="00721506"/>
    <w:rsid w:val="007216DB"/>
    <w:rsid w:val="0072323D"/>
    <w:rsid w:val="007246D3"/>
    <w:rsid w:val="00725F5A"/>
    <w:rsid w:val="007274EC"/>
    <w:rsid w:val="00737175"/>
    <w:rsid w:val="00737605"/>
    <w:rsid w:val="007404D5"/>
    <w:rsid w:val="00740BDD"/>
    <w:rsid w:val="007417C8"/>
    <w:rsid w:val="00744287"/>
    <w:rsid w:val="00744EEF"/>
    <w:rsid w:val="00745D76"/>
    <w:rsid w:val="00747109"/>
    <w:rsid w:val="00747487"/>
    <w:rsid w:val="007505EB"/>
    <w:rsid w:val="00751B4B"/>
    <w:rsid w:val="00752A9A"/>
    <w:rsid w:val="00753B42"/>
    <w:rsid w:val="00754CAE"/>
    <w:rsid w:val="00760D70"/>
    <w:rsid w:val="00763EE7"/>
    <w:rsid w:val="00764DB2"/>
    <w:rsid w:val="0076623B"/>
    <w:rsid w:val="00766EFD"/>
    <w:rsid w:val="00767286"/>
    <w:rsid w:val="00767E4B"/>
    <w:rsid w:val="007718AD"/>
    <w:rsid w:val="007742A7"/>
    <w:rsid w:val="00777034"/>
    <w:rsid w:val="00781073"/>
    <w:rsid w:val="007851D5"/>
    <w:rsid w:val="0078766F"/>
    <w:rsid w:val="00793CFD"/>
    <w:rsid w:val="00794589"/>
    <w:rsid w:val="0079486A"/>
    <w:rsid w:val="00794F80"/>
    <w:rsid w:val="007A00E9"/>
    <w:rsid w:val="007A0454"/>
    <w:rsid w:val="007A0E44"/>
    <w:rsid w:val="007A1C9E"/>
    <w:rsid w:val="007A4CA1"/>
    <w:rsid w:val="007A5DFD"/>
    <w:rsid w:val="007B0398"/>
    <w:rsid w:val="007B2C77"/>
    <w:rsid w:val="007B2E78"/>
    <w:rsid w:val="007B5E84"/>
    <w:rsid w:val="007B6549"/>
    <w:rsid w:val="007C3F2F"/>
    <w:rsid w:val="007D10BD"/>
    <w:rsid w:val="007D1A27"/>
    <w:rsid w:val="007D1B24"/>
    <w:rsid w:val="007D1F15"/>
    <w:rsid w:val="007D25B1"/>
    <w:rsid w:val="007D2878"/>
    <w:rsid w:val="007D4B03"/>
    <w:rsid w:val="007D6FC3"/>
    <w:rsid w:val="007D703A"/>
    <w:rsid w:val="007E30ED"/>
    <w:rsid w:val="007E319E"/>
    <w:rsid w:val="007E4FA1"/>
    <w:rsid w:val="007E7B07"/>
    <w:rsid w:val="007E7BAB"/>
    <w:rsid w:val="007E7DCE"/>
    <w:rsid w:val="007E7FA9"/>
    <w:rsid w:val="007F20AC"/>
    <w:rsid w:val="007F6623"/>
    <w:rsid w:val="00802C56"/>
    <w:rsid w:val="008053CE"/>
    <w:rsid w:val="008056BC"/>
    <w:rsid w:val="00806EE9"/>
    <w:rsid w:val="00807750"/>
    <w:rsid w:val="00807E35"/>
    <w:rsid w:val="00811205"/>
    <w:rsid w:val="00812C48"/>
    <w:rsid w:val="00814097"/>
    <w:rsid w:val="008146F9"/>
    <w:rsid w:val="00814D7C"/>
    <w:rsid w:val="00820555"/>
    <w:rsid w:val="00821413"/>
    <w:rsid w:val="008218CD"/>
    <w:rsid w:val="00821AEB"/>
    <w:rsid w:val="00821E26"/>
    <w:rsid w:val="00824DCD"/>
    <w:rsid w:val="00827964"/>
    <w:rsid w:val="008311A6"/>
    <w:rsid w:val="008327EA"/>
    <w:rsid w:val="00833E8A"/>
    <w:rsid w:val="00834D2F"/>
    <w:rsid w:val="008357C0"/>
    <w:rsid w:val="00836987"/>
    <w:rsid w:val="00844009"/>
    <w:rsid w:val="00844569"/>
    <w:rsid w:val="00844CDE"/>
    <w:rsid w:val="00845083"/>
    <w:rsid w:val="00847CAF"/>
    <w:rsid w:val="00847D23"/>
    <w:rsid w:val="008556FF"/>
    <w:rsid w:val="00857106"/>
    <w:rsid w:val="00857765"/>
    <w:rsid w:val="00861770"/>
    <w:rsid w:val="00863327"/>
    <w:rsid w:val="00863A40"/>
    <w:rsid w:val="00864412"/>
    <w:rsid w:val="0086704E"/>
    <w:rsid w:val="00867B0E"/>
    <w:rsid w:val="00867F7E"/>
    <w:rsid w:val="00870B18"/>
    <w:rsid w:val="00870F44"/>
    <w:rsid w:val="00872ECB"/>
    <w:rsid w:val="0087456A"/>
    <w:rsid w:val="008763E4"/>
    <w:rsid w:val="00877C8E"/>
    <w:rsid w:val="00884054"/>
    <w:rsid w:val="00890B7A"/>
    <w:rsid w:val="00890C62"/>
    <w:rsid w:val="0089173B"/>
    <w:rsid w:val="0089437B"/>
    <w:rsid w:val="008945F5"/>
    <w:rsid w:val="00895089"/>
    <w:rsid w:val="008951ED"/>
    <w:rsid w:val="0089761E"/>
    <w:rsid w:val="008977EE"/>
    <w:rsid w:val="008A0693"/>
    <w:rsid w:val="008A25E6"/>
    <w:rsid w:val="008A5928"/>
    <w:rsid w:val="008A75BE"/>
    <w:rsid w:val="008B0D6E"/>
    <w:rsid w:val="008B1AD9"/>
    <w:rsid w:val="008B1D2E"/>
    <w:rsid w:val="008B4DF4"/>
    <w:rsid w:val="008B5971"/>
    <w:rsid w:val="008B6C58"/>
    <w:rsid w:val="008B70DC"/>
    <w:rsid w:val="008C08BE"/>
    <w:rsid w:val="008C229F"/>
    <w:rsid w:val="008C32A8"/>
    <w:rsid w:val="008C3445"/>
    <w:rsid w:val="008C366D"/>
    <w:rsid w:val="008C4E94"/>
    <w:rsid w:val="008C5595"/>
    <w:rsid w:val="008C55A3"/>
    <w:rsid w:val="008C7368"/>
    <w:rsid w:val="008C7611"/>
    <w:rsid w:val="008D32F0"/>
    <w:rsid w:val="008D595F"/>
    <w:rsid w:val="008E012F"/>
    <w:rsid w:val="008E6375"/>
    <w:rsid w:val="008E66B9"/>
    <w:rsid w:val="008F17A1"/>
    <w:rsid w:val="008F2158"/>
    <w:rsid w:val="008F3D79"/>
    <w:rsid w:val="008F4670"/>
    <w:rsid w:val="008F4C65"/>
    <w:rsid w:val="008F5877"/>
    <w:rsid w:val="008F5D20"/>
    <w:rsid w:val="008F7579"/>
    <w:rsid w:val="0090019F"/>
    <w:rsid w:val="00902944"/>
    <w:rsid w:val="009041AF"/>
    <w:rsid w:val="00905422"/>
    <w:rsid w:val="009067B3"/>
    <w:rsid w:val="00906BD5"/>
    <w:rsid w:val="0090759E"/>
    <w:rsid w:val="009104D1"/>
    <w:rsid w:val="00911863"/>
    <w:rsid w:val="00913133"/>
    <w:rsid w:val="009131C3"/>
    <w:rsid w:val="0091475B"/>
    <w:rsid w:val="00914DC8"/>
    <w:rsid w:val="0092120C"/>
    <w:rsid w:val="00921AC3"/>
    <w:rsid w:val="00921DB9"/>
    <w:rsid w:val="0092403D"/>
    <w:rsid w:val="00924E40"/>
    <w:rsid w:val="0092524A"/>
    <w:rsid w:val="00925E60"/>
    <w:rsid w:val="00926C36"/>
    <w:rsid w:val="00933BEE"/>
    <w:rsid w:val="00934304"/>
    <w:rsid w:val="00934415"/>
    <w:rsid w:val="009402DB"/>
    <w:rsid w:val="00942E41"/>
    <w:rsid w:val="009440D8"/>
    <w:rsid w:val="009449B8"/>
    <w:rsid w:val="00944DC9"/>
    <w:rsid w:val="00944F1C"/>
    <w:rsid w:val="00945203"/>
    <w:rsid w:val="009454E7"/>
    <w:rsid w:val="0094603F"/>
    <w:rsid w:val="009478D8"/>
    <w:rsid w:val="00951F85"/>
    <w:rsid w:val="00952850"/>
    <w:rsid w:val="00955048"/>
    <w:rsid w:val="009555DC"/>
    <w:rsid w:val="009611E0"/>
    <w:rsid w:val="00961302"/>
    <w:rsid w:val="00962383"/>
    <w:rsid w:val="00963120"/>
    <w:rsid w:val="009645F8"/>
    <w:rsid w:val="0096478F"/>
    <w:rsid w:val="00965FEE"/>
    <w:rsid w:val="0096643B"/>
    <w:rsid w:val="00966B7A"/>
    <w:rsid w:val="00967852"/>
    <w:rsid w:val="009706B5"/>
    <w:rsid w:val="009726B9"/>
    <w:rsid w:val="00972BDF"/>
    <w:rsid w:val="00972CF8"/>
    <w:rsid w:val="009732F5"/>
    <w:rsid w:val="00973AFB"/>
    <w:rsid w:val="00973F49"/>
    <w:rsid w:val="009745CB"/>
    <w:rsid w:val="00981203"/>
    <w:rsid w:val="0098182D"/>
    <w:rsid w:val="00982A98"/>
    <w:rsid w:val="009855E2"/>
    <w:rsid w:val="00987C03"/>
    <w:rsid w:val="00990E3D"/>
    <w:rsid w:val="00992977"/>
    <w:rsid w:val="00992B07"/>
    <w:rsid w:val="0099557F"/>
    <w:rsid w:val="009A3511"/>
    <w:rsid w:val="009A3BF9"/>
    <w:rsid w:val="009A686F"/>
    <w:rsid w:val="009A7912"/>
    <w:rsid w:val="009B0094"/>
    <w:rsid w:val="009B28E9"/>
    <w:rsid w:val="009B33A8"/>
    <w:rsid w:val="009B3487"/>
    <w:rsid w:val="009B390A"/>
    <w:rsid w:val="009B7C61"/>
    <w:rsid w:val="009C22B1"/>
    <w:rsid w:val="009C3793"/>
    <w:rsid w:val="009C62BD"/>
    <w:rsid w:val="009C68AC"/>
    <w:rsid w:val="009C6F7B"/>
    <w:rsid w:val="009D26AD"/>
    <w:rsid w:val="009D341C"/>
    <w:rsid w:val="009D3C55"/>
    <w:rsid w:val="009D45BD"/>
    <w:rsid w:val="009D5261"/>
    <w:rsid w:val="009D76A3"/>
    <w:rsid w:val="009E1411"/>
    <w:rsid w:val="009E19FC"/>
    <w:rsid w:val="009E52F2"/>
    <w:rsid w:val="009F1118"/>
    <w:rsid w:val="009F1287"/>
    <w:rsid w:val="009F25EB"/>
    <w:rsid w:val="009F2A10"/>
    <w:rsid w:val="009F3C1F"/>
    <w:rsid w:val="009F5079"/>
    <w:rsid w:val="009F614E"/>
    <w:rsid w:val="009F657D"/>
    <w:rsid w:val="009F762B"/>
    <w:rsid w:val="009F76BA"/>
    <w:rsid w:val="009F7E09"/>
    <w:rsid w:val="00A00604"/>
    <w:rsid w:val="00A02047"/>
    <w:rsid w:val="00A02B9D"/>
    <w:rsid w:val="00A035C0"/>
    <w:rsid w:val="00A036BE"/>
    <w:rsid w:val="00A0575E"/>
    <w:rsid w:val="00A068CE"/>
    <w:rsid w:val="00A06A16"/>
    <w:rsid w:val="00A10F77"/>
    <w:rsid w:val="00A12205"/>
    <w:rsid w:val="00A139AF"/>
    <w:rsid w:val="00A20113"/>
    <w:rsid w:val="00A237B4"/>
    <w:rsid w:val="00A24B74"/>
    <w:rsid w:val="00A303EA"/>
    <w:rsid w:val="00A3248C"/>
    <w:rsid w:val="00A339E6"/>
    <w:rsid w:val="00A33EF8"/>
    <w:rsid w:val="00A34362"/>
    <w:rsid w:val="00A358E6"/>
    <w:rsid w:val="00A37C0F"/>
    <w:rsid w:val="00A409B6"/>
    <w:rsid w:val="00A422B7"/>
    <w:rsid w:val="00A424E5"/>
    <w:rsid w:val="00A44291"/>
    <w:rsid w:val="00A453DC"/>
    <w:rsid w:val="00A46457"/>
    <w:rsid w:val="00A47E33"/>
    <w:rsid w:val="00A50182"/>
    <w:rsid w:val="00A50B14"/>
    <w:rsid w:val="00A51024"/>
    <w:rsid w:val="00A51109"/>
    <w:rsid w:val="00A51F37"/>
    <w:rsid w:val="00A544DC"/>
    <w:rsid w:val="00A55818"/>
    <w:rsid w:val="00A56556"/>
    <w:rsid w:val="00A5790A"/>
    <w:rsid w:val="00A625E2"/>
    <w:rsid w:val="00A63DC7"/>
    <w:rsid w:val="00A65B7E"/>
    <w:rsid w:val="00A70289"/>
    <w:rsid w:val="00A72105"/>
    <w:rsid w:val="00A72465"/>
    <w:rsid w:val="00A80C92"/>
    <w:rsid w:val="00A82461"/>
    <w:rsid w:val="00A82CDF"/>
    <w:rsid w:val="00A84417"/>
    <w:rsid w:val="00A851D8"/>
    <w:rsid w:val="00A866EE"/>
    <w:rsid w:val="00A870C4"/>
    <w:rsid w:val="00A87326"/>
    <w:rsid w:val="00A94568"/>
    <w:rsid w:val="00A953BA"/>
    <w:rsid w:val="00A96F9F"/>
    <w:rsid w:val="00A977B0"/>
    <w:rsid w:val="00AA0848"/>
    <w:rsid w:val="00AA0AAF"/>
    <w:rsid w:val="00AA2C55"/>
    <w:rsid w:val="00AA3C06"/>
    <w:rsid w:val="00AA56F6"/>
    <w:rsid w:val="00AA5D62"/>
    <w:rsid w:val="00AB0571"/>
    <w:rsid w:val="00AB1E84"/>
    <w:rsid w:val="00AB2BF2"/>
    <w:rsid w:val="00AB3710"/>
    <w:rsid w:val="00AB4B0F"/>
    <w:rsid w:val="00AB6C3B"/>
    <w:rsid w:val="00AB7F4A"/>
    <w:rsid w:val="00AC226E"/>
    <w:rsid w:val="00AC722C"/>
    <w:rsid w:val="00AC75C1"/>
    <w:rsid w:val="00AC7906"/>
    <w:rsid w:val="00AD1291"/>
    <w:rsid w:val="00AD134F"/>
    <w:rsid w:val="00AD1F40"/>
    <w:rsid w:val="00AD3428"/>
    <w:rsid w:val="00AD3604"/>
    <w:rsid w:val="00AD3AA2"/>
    <w:rsid w:val="00AD43B8"/>
    <w:rsid w:val="00AD4B1A"/>
    <w:rsid w:val="00AD5295"/>
    <w:rsid w:val="00AE008F"/>
    <w:rsid w:val="00AE71D8"/>
    <w:rsid w:val="00AF0161"/>
    <w:rsid w:val="00AF2A1F"/>
    <w:rsid w:val="00AF2D9B"/>
    <w:rsid w:val="00B00628"/>
    <w:rsid w:val="00B06373"/>
    <w:rsid w:val="00B0749B"/>
    <w:rsid w:val="00B10050"/>
    <w:rsid w:val="00B10A1E"/>
    <w:rsid w:val="00B11E08"/>
    <w:rsid w:val="00B12FF9"/>
    <w:rsid w:val="00B14039"/>
    <w:rsid w:val="00B149FA"/>
    <w:rsid w:val="00B177F4"/>
    <w:rsid w:val="00B21762"/>
    <w:rsid w:val="00B21F2C"/>
    <w:rsid w:val="00B22242"/>
    <w:rsid w:val="00B2232C"/>
    <w:rsid w:val="00B2330D"/>
    <w:rsid w:val="00B23384"/>
    <w:rsid w:val="00B32CD3"/>
    <w:rsid w:val="00B34CED"/>
    <w:rsid w:val="00B35A93"/>
    <w:rsid w:val="00B3672D"/>
    <w:rsid w:val="00B37E9B"/>
    <w:rsid w:val="00B433C9"/>
    <w:rsid w:val="00B436EA"/>
    <w:rsid w:val="00B437D8"/>
    <w:rsid w:val="00B44ADE"/>
    <w:rsid w:val="00B46B42"/>
    <w:rsid w:val="00B4745C"/>
    <w:rsid w:val="00B52D3E"/>
    <w:rsid w:val="00B52E55"/>
    <w:rsid w:val="00B534F0"/>
    <w:rsid w:val="00B54C62"/>
    <w:rsid w:val="00B55B57"/>
    <w:rsid w:val="00B56CAC"/>
    <w:rsid w:val="00B57980"/>
    <w:rsid w:val="00B601D4"/>
    <w:rsid w:val="00B60DA2"/>
    <w:rsid w:val="00B6166B"/>
    <w:rsid w:val="00B61955"/>
    <w:rsid w:val="00B61C39"/>
    <w:rsid w:val="00B622EF"/>
    <w:rsid w:val="00B63BC9"/>
    <w:rsid w:val="00B653BB"/>
    <w:rsid w:val="00B66E86"/>
    <w:rsid w:val="00B67A20"/>
    <w:rsid w:val="00B710FE"/>
    <w:rsid w:val="00B724E8"/>
    <w:rsid w:val="00B73FE9"/>
    <w:rsid w:val="00B87D50"/>
    <w:rsid w:val="00B91BCB"/>
    <w:rsid w:val="00B9223B"/>
    <w:rsid w:val="00B953BD"/>
    <w:rsid w:val="00B95905"/>
    <w:rsid w:val="00B95E96"/>
    <w:rsid w:val="00B97421"/>
    <w:rsid w:val="00BA2A94"/>
    <w:rsid w:val="00BA4D1F"/>
    <w:rsid w:val="00BA5339"/>
    <w:rsid w:val="00BA6226"/>
    <w:rsid w:val="00BA7AD1"/>
    <w:rsid w:val="00BB2250"/>
    <w:rsid w:val="00BB3132"/>
    <w:rsid w:val="00BB5448"/>
    <w:rsid w:val="00BB68CA"/>
    <w:rsid w:val="00BB721B"/>
    <w:rsid w:val="00BC0FDD"/>
    <w:rsid w:val="00BC130D"/>
    <w:rsid w:val="00BC22E0"/>
    <w:rsid w:val="00BC2A46"/>
    <w:rsid w:val="00BC3E8F"/>
    <w:rsid w:val="00BC3FA4"/>
    <w:rsid w:val="00BC44EF"/>
    <w:rsid w:val="00BD004A"/>
    <w:rsid w:val="00BD26EE"/>
    <w:rsid w:val="00BD352C"/>
    <w:rsid w:val="00BD5023"/>
    <w:rsid w:val="00BD5133"/>
    <w:rsid w:val="00BD58AB"/>
    <w:rsid w:val="00BE28ED"/>
    <w:rsid w:val="00BE3339"/>
    <w:rsid w:val="00BF1D3A"/>
    <w:rsid w:val="00C008B2"/>
    <w:rsid w:val="00C00CF6"/>
    <w:rsid w:val="00C0130E"/>
    <w:rsid w:val="00C01ABC"/>
    <w:rsid w:val="00C01E1C"/>
    <w:rsid w:val="00C01F6B"/>
    <w:rsid w:val="00C02A84"/>
    <w:rsid w:val="00C07B2D"/>
    <w:rsid w:val="00C12209"/>
    <w:rsid w:val="00C135B2"/>
    <w:rsid w:val="00C14CD6"/>
    <w:rsid w:val="00C16927"/>
    <w:rsid w:val="00C2082E"/>
    <w:rsid w:val="00C20835"/>
    <w:rsid w:val="00C24A09"/>
    <w:rsid w:val="00C25084"/>
    <w:rsid w:val="00C274BE"/>
    <w:rsid w:val="00C274C6"/>
    <w:rsid w:val="00C310B6"/>
    <w:rsid w:val="00C31785"/>
    <w:rsid w:val="00C321D9"/>
    <w:rsid w:val="00C3330D"/>
    <w:rsid w:val="00C335C0"/>
    <w:rsid w:val="00C34654"/>
    <w:rsid w:val="00C347FE"/>
    <w:rsid w:val="00C357BE"/>
    <w:rsid w:val="00C4006D"/>
    <w:rsid w:val="00C4530E"/>
    <w:rsid w:val="00C45C21"/>
    <w:rsid w:val="00C53F93"/>
    <w:rsid w:val="00C56C44"/>
    <w:rsid w:val="00C57028"/>
    <w:rsid w:val="00C572BB"/>
    <w:rsid w:val="00C604B3"/>
    <w:rsid w:val="00C6332C"/>
    <w:rsid w:val="00C6721D"/>
    <w:rsid w:val="00C677A9"/>
    <w:rsid w:val="00C678B3"/>
    <w:rsid w:val="00C70B4A"/>
    <w:rsid w:val="00C71CD1"/>
    <w:rsid w:val="00C721DC"/>
    <w:rsid w:val="00C73143"/>
    <w:rsid w:val="00C76A59"/>
    <w:rsid w:val="00C77685"/>
    <w:rsid w:val="00C77815"/>
    <w:rsid w:val="00C77977"/>
    <w:rsid w:val="00C77ABA"/>
    <w:rsid w:val="00C8085F"/>
    <w:rsid w:val="00C821B6"/>
    <w:rsid w:val="00C8471E"/>
    <w:rsid w:val="00C850CE"/>
    <w:rsid w:val="00C85378"/>
    <w:rsid w:val="00C90BE5"/>
    <w:rsid w:val="00C91B10"/>
    <w:rsid w:val="00C925E0"/>
    <w:rsid w:val="00C9271F"/>
    <w:rsid w:val="00C9297C"/>
    <w:rsid w:val="00C976C0"/>
    <w:rsid w:val="00CA5334"/>
    <w:rsid w:val="00CA6A85"/>
    <w:rsid w:val="00CA6FDA"/>
    <w:rsid w:val="00CB0886"/>
    <w:rsid w:val="00CB2CC0"/>
    <w:rsid w:val="00CB3B6F"/>
    <w:rsid w:val="00CB5099"/>
    <w:rsid w:val="00CC0C5F"/>
    <w:rsid w:val="00CC2F3D"/>
    <w:rsid w:val="00CC4CF6"/>
    <w:rsid w:val="00CC51A7"/>
    <w:rsid w:val="00CC5933"/>
    <w:rsid w:val="00CC5FF3"/>
    <w:rsid w:val="00CC6072"/>
    <w:rsid w:val="00CC68C4"/>
    <w:rsid w:val="00CD1612"/>
    <w:rsid w:val="00CD262A"/>
    <w:rsid w:val="00CD365B"/>
    <w:rsid w:val="00CD4BFA"/>
    <w:rsid w:val="00CE0E72"/>
    <w:rsid w:val="00CE2ADF"/>
    <w:rsid w:val="00CE367D"/>
    <w:rsid w:val="00CE6D6A"/>
    <w:rsid w:val="00CF1C84"/>
    <w:rsid w:val="00CF1D7D"/>
    <w:rsid w:val="00CF45D3"/>
    <w:rsid w:val="00CF51F9"/>
    <w:rsid w:val="00CF6B6C"/>
    <w:rsid w:val="00CF7EA2"/>
    <w:rsid w:val="00D0159B"/>
    <w:rsid w:val="00D04204"/>
    <w:rsid w:val="00D042BB"/>
    <w:rsid w:val="00D05FAE"/>
    <w:rsid w:val="00D06CA0"/>
    <w:rsid w:val="00D0731B"/>
    <w:rsid w:val="00D115BB"/>
    <w:rsid w:val="00D11797"/>
    <w:rsid w:val="00D12C68"/>
    <w:rsid w:val="00D134FB"/>
    <w:rsid w:val="00D14FEC"/>
    <w:rsid w:val="00D15546"/>
    <w:rsid w:val="00D16C97"/>
    <w:rsid w:val="00D17789"/>
    <w:rsid w:val="00D21565"/>
    <w:rsid w:val="00D2277C"/>
    <w:rsid w:val="00D22F7D"/>
    <w:rsid w:val="00D257C6"/>
    <w:rsid w:val="00D25BEE"/>
    <w:rsid w:val="00D27079"/>
    <w:rsid w:val="00D2737E"/>
    <w:rsid w:val="00D274A9"/>
    <w:rsid w:val="00D302CF"/>
    <w:rsid w:val="00D32644"/>
    <w:rsid w:val="00D33619"/>
    <w:rsid w:val="00D400F4"/>
    <w:rsid w:val="00D43CF1"/>
    <w:rsid w:val="00D449AE"/>
    <w:rsid w:val="00D477C3"/>
    <w:rsid w:val="00D508EB"/>
    <w:rsid w:val="00D51B89"/>
    <w:rsid w:val="00D52AC7"/>
    <w:rsid w:val="00D54CA9"/>
    <w:rsid w:val="00D54D64"/>
    <w:rsid w:val="00D55B0A"/>
    <w:rsid w:val="00D55FBE"/>
    <w:rsid w:val="00D604FD"/>
    <w:rsid w:val="00D6340F"/>
    <w:rsid w:val="00D6535E"/>
    <w:rsid w:val="00D654EC"/>
    <w:rsid w:val="00D6681B"/>
    <w:rsid w:val="00D66C0C"/>
    <w:rsid w:val="00D720DC"/>
    <w:rsid w:val="00D72D16"/>
    <w:rsid w:val="00D742B9"/>
    <w:rsid w:val="00D7492C"/>
    <w:rsid w:val="00D766CC"/>
    <w:rsid w:val="00D81029"/>
    <w:rsid w:val="00D8195B"/>
    <w:rsid w:val="00D821F8"/>
    <w:rsid w:val="00D832FA"/>
    <w:rsid w:val="00D848F9"/>
    <w:rsid w:val="00D84DDC"/>
    <w:rsid w:val="00D85695"/>
    <w:rsid w:val="00D857BA"/>
    <w:rsid w:val="00D8619F"/>
    <w:rsid w:val="00D86764"/>
    <w:rsid w:val="00D870AC"/>
    <w:rsid w:val="00D90B92"/>
    <w:rsid w:val="00D95611"/>
    <w:rsid w:val="00DA0DF2"/>
    <w:rsid w:val="00DA1152"/>
    <w:rsid w:val="00DA41D7"/>
    <w:rsid w:val="00DA494B"/>
    <w:rsid w:val="00DA58D6"/>
    <w:rsid w:val="00DA5B72"/>
    <w:rsid w:val="00DB5C0A"/>
    <w:rsid w:val="00DC0220"/>
    <w:rsid w:val="00DC0A85"/>
    <w:rsid w:val="00DC6FF8"/>
    <w:rsid w:val="00DD01FC"/>
    <w:rsid w:val="00DD13E2"/>
    <w:rsid w:val="00DD435C"/>
    <w:rsid w:val="00DE47A1"/>
    <w:rsid w:val="00DE7DCC"/>
    <w:rsid w:val="00DF003C"/>
    <w:rsid w:val="00DF0E8B"/>
    <w:rsid w:val="00DF0F8A"/>
    <w:rsid w:val="00DF137F"/>
    <w:rsid w:val="00DF4501"/>
    <w:rsid w:val="00DF5C75"/>
    <w:rsid w:val="00DF65E5"/>
    <w:rsid w:val="00DF6971"/>
    <w:rsid w:val="00DF78AE"/>
    <w:rsid w:val="00DF799D"/>
    <w:rsid w:val="00E00E78"/>
    <w:rsid w:val="00E0759A"/>
    <w:rsid w:val="00E076C1"/>
    <w:rsid w:val="00E11735"/>
    <w:rsid w:val="00E11E2E"/>
    <w:rsid w:val="00E1235F"/>
    <w:rsid w:val="00E13C83"/>
    <w:rsid w:val="00E15555"/>
    <w:rsid w:val="00E15B7D"/>
    <w:rsid w:val="00E231B8"/>
    <w:rsid w:val="00E23477"/>
    <w:rsid w:val="00E2408E"/>
    <w:rsid w:val="00E27CDB"/>
    <w:rsid w:val="00E371EC"/>
    <w:rsid w:val="00E4062D"/>
    <w:rsid w:val="00E43116"/>
    <w:rsid w:val="00E444DA"/>
    <w:rsid w:val="00E470D2"/>
    <w:rsid w:val="00E51A48"/>
    <w:rsid w:val="00E550AA"/>
    <w:rsid w:val="00E571F8"/>
    <w:rsid w:val="00E57E5A"/>
    <w:rsid w:val="00E63C1D"/>
    <w:rsid w:val="00E64F0A"/>
    <w:rsid w:val="00E67668"/>
    <w:rsid w:val="00E70AEE"/>
    <w:rsid w:val="00E7107E"/>
    <w:rsid w:val="00E71C93"/>
    <w:rsid w:val="00E725D5"/>
    <w:rsid w:val="00E72AE3"/>
    <w:rsid w:val="00E73B51"/>
    <w:rsid w:val="00E748AE"/>
    <w:rsid w:val="00E76B98"/>
    <w:rsid w:val="00E812E4"/>
    <w:rsid w:val="00E8151C"/>
    <w:rsid w:val="00E81A88"/>
    <w:rsid w:val="00E81E9C"/>
    <w:rsid w:val="00E82E15"/>
    <w:rsid w:val="00E83FE9"/>
    <w:rsid w:val="00E84151"/>
    <w:rsid w:val="00E86FA6"/>
    <w:rsid w:val="00E91409"/>
    <w:rsid w:val="00E91D17"/>
    <w:rsid w:val="00E936FF"/>
    <w:rsid w:val="00E939C8"/>
    <w:rsid w:val="00E93A33"/>
    <w:rsid w:val="00E93B6B"/>
    <w:rsid w:val="00E96C74"/>
    <w:rsid w:val="00EA1F89"/>
    <w:rsid w:val="00EA2512"/>
    <w:rsid w:val="00EA5177"/>
    <w:rsid w:val="00EA7FEF"/>
    <w:rsid w:val="00EB117B"/>
    <w:rsid w:val="00EB1B16"/>
    <w:rsid w:val="00EB2BEB"/>
    <w:rsid w:val="00EB40D6"/>
    <w:rsid w:val="00EB4222"/>
    <w:rsid w:val="00EB5F75"/>
    <w:rsid w:val="00EB79CD"/>
    <w:rsid w:val="00EC52A5"/>
    <w:rsid w:val="00ED4C91"/>
    <w:rsid w:val="00ED5985"/>
    <w:rsid w:val="00EE0648"/>
    <w:rsid w:val="00EE0F2E"/>
    <w:rsid w:val="00EE1868"/>
    <w:rsid w:val="00EE2610"/>
    <w:rsid w:val="00EE2A41"/>
    <w:rsid w:val="00EE354B"/>
    <w:rsid w:val="00EE3C1D"/>
    <w:rsid w:val="00EE6EC2"/>
    <w:rsid w:val="00EF0144"/>
    <w:rsid w:val="00EF09FB"/>
    <w:rsid w:val="00EF102E"/>
    <w:rsid w:val="00EF1925"/>
    <w:rsid w:val="00EF2489"/>
    <w:rsid w:val="00EF697A"/>
    <w:rsid w:val="00F02923"/>
    <w:rsid w:val="00F0351B"/>
    <w:rsid w:val="00F06472"/>
    <w:rsid w:val="00F07297"/>
    <w:rsid w:val="00F10D6B"/>
    <w:rsid w:val="00F123C0"/>
    <w:rsid w:val="00F13254"/>
    <w:rsid w:val="00F1465C"/>
    <w:rsid w:val="00F177B1"/>
    <w:rsid w:val="00F22566"/>
    <w:rsid w:val="00F226B2"/>
    <w:rsid w:val="00F226DB"/>
    <w:rsid w:val="00F22963"/>
    <w:rsid w:val="00F22BA4"/>
    <w:rsid w:val="00F232C2"/>
    <w:rsid w:val="00F24599"/>
    <w:rsid w:val="00F278FA"/>
    <w:rsid w:val="00F30F82"/>
    <w:rsid w:val="00F342B2"/>
    <w:rsid w:val="00F367F2"/>
    <w:rsid w:val="00F370A2"/>
    <w:rsid w:val="00F403EA"/>
    <w:rsid w:val="00F42452"/>
    <w:rsid w:val="00F42753"/>
    <w:rsid w:val="00F42E10"/>
    <w:rsid w:val="00F440D8"/>
    <w:rsid w:val="00F448E7"/>
    <w:rsid w:val="00F44A7B"/>
    <w:rsid w:val="00F44FFA"/>
    <w:rsid w:val="00F45B6F"/>
    <w:rsid w:val="00F46B54"/>
    <w:rsid w:val="00F510DB"/>
    <w:rsid w:val="00F516E3"/>
    <w:rsid w:val="00F5627B"/>
    <w:rsid w:val="00F567CC"/>
    <w:rsid w:val="00F5724D"/>
    <w:rsid w:val="00F6021E"/>
    <w:rsid w:val="00F60AB3"/>
    <w:rsid w:val="00F62329"/>
    <w:rsid w:val="00F635AC"/>
    <w:rsid w:val="00F63ABB"/>
    <w:rsid w:val="00F65A74"/>
    <w:rsid w:val="00F727B0"/>
    <w:rsid w:val="00F72A12"/>
    <w:rsid w:val="00F76A74"/>
    <w:rsid w:val="00F81124"/>
    <w:rsid w:val="00F816C6"/>
    <w:rsid w:val="00F817C5"/>
    <w:rsid w:val="00F841CB"/>
    <w:rsid w:val="00F858D5"/>
    <w:rsid w:val="00F909A9"/>
    <w:rsid w:val="00F91AEE"/>
    <w:rsid w:val="00F97C07"/>
    <w:rsid w:val="00F97C81"/>
    <w:rsid w:val="00FA047C"/>
    <w:rsid w:val="00FA19D2"/>
    <w:rsid w:val="00FA2545"/>
    <w:rsid w:val="00FA2625"/>
    <w:rsid w:val="00FA7EF6"/>
    <w:rsid w:val="00FB2524"/>
    <w:rsid w:val="00FB4AAD"/>
    <w:rsid w:val="00FB4E3D"/>
    <w:rsid w:val="00FB5F2A"/>
    <w:rsid w:val="00FB6CF8"/>
    <w:rsid w:val="00FC16E9"/>
    <w:rsid w:val="00FC279C"/>
    <w:rsid w:val="00FC45DE"/>
    <w:rsid w:val="00FC48CB"/>
    <w:rsid w:val="00FC4F9B"/>
    <w:rsid w:val="00FC59F0"/>
    <w:rsid w:val="00FD0B6D"/>
    <w:rsid w:val="00FD118E"/>
    <w:rsid w:val="00FD2DEC"/>
    <w:rsid w:val="00FD40CE"/>
    <w:rsid w:val="00FD4599"/>
    <w:rsid w:val="00FD4784"/>
    <w:rsid w:val="00FD51A0"/>
    <w:rsid w:val="00FD65FE"/>
    <w:rsid w:val="00FD74EB"/>
    <w:rsid w:val="00FE009C"/>
    <w:rsid w:val="00FE01E5"/>
    <w:rsid w:val="00FE214F"/>
    <w:rsid w:val="00FE34D2"/>
    <w:rsid w:val="00FE3DA3"/>
    <w:rsid w:val="00FE4094"/>
    <w:rsid w:val="00FE6BC1"/>
    <w:rsid w:val="00FE73F0"/>
    <w:rsid w:val="00FF1082"/>
    <w:rsid w:val="00FF3652"/>
    <w:rsid w:val="00FF465F"/>
    <w:rsid w:val="00FF76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Fundamentos"/>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Fundamentos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33D7E"/>
    <w:rPr>
      <w:color w:val="605E5C"/>
      <w:shd w:val="clear" w:color="auto" w:fill="E1DFDD"/>
    </w:rPr>
  </w:style>
  <w:style w:type="character" w:styleId="Hipervnculovisitado">
    <w:name w:val="FollowedHyperlink"/>
    <w:basedOn w:val="Fuentedeprrafopredeter"/>
    <w:uiPriority w:val="99"/>
    <w:semiHidden/>
    <w:unhideWhenUsed/>
    <w:rsid w:val="000C7E6E"/>
    <w:rPr>
      <w:color w:val="954F72" w:themeColor="followedHyperlink"/>
      <w:u w:val="single"/>
    </w:rPr>
  </w:style>
  <w:style w:type="paragraph" w:customStyle="1" w:styleId="infoem0">
    <w:name w:val="infoem"/>
    <w:basedOn w:val="Sinespaciado"/>
    <w:qFormat/>
    <w:rsid w:val="00870B18"/>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545">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8084699">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6895545">
      <w:bodyDiv w:val="1"/>
      <w:marLeft w:val="0"/>
      <w:marRight w:val="0"/>
      <w:marTop w:val="0"/>
      <w:marBottom w:val="0"/>
      <w:divBdr>
        <w:top w:val="none" w:sz="0" w:space="0" w:color="auto"/>
        <w:left w:val="none" w:sz="0" w:space="0" w:color="auto"/>
        <w:bottom w:val="none" w:sz="0" w:space="0" w:color="auto"/>
        <w:right w:val="none" w:sz="0" w:space="0" w:color="auto"/>
      </w:divBdr>
    </w:div>
    <w:div w:id="550575885">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37214639">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01336326">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ultas.ifai.org.mx/descargar.php?r=./pdf/resoluciones/2019/&amp;a=RRA%2014270.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s.ifai.org.mx/descargar.php?r=./pdf/resoluciones/2018/&amp;a=RRA%205097.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consultas.ifai.org.mx/descargar.php?r=./pdf/resoluciones/2018/&amp;a=RRA%204548.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166C4-A71C-4306-9903-0CC377747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55</Pages>
  <Words>11087</Words>
  <Characters>60983</Characters>
  <Application>Microsoft Office Word</Application>
  <DocSecurity>0</DocSecurity>
  <Lines>508</Lines>
  <Paragraphs>143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31</cp:revision>
  <cp:lastPrinted>2026-07-17T16:40:00Z</cp:lastPrinted>
  <dcterms:created xsi:type="dcterms:W3CDTF">2026-02-23T22:22:00Z</dcterms:created>
  <dcterms:modified xsi:type="dcterms:W3CDTF">2026-08-04T18:08:00Z</dcterms:modified>
</cp:coreProperties>
</file>