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7FE8" w:rsidRPr="00026AC4" w:rsidRDefault="00151F9A">
      <w:pPr>
        <w:tabs>
          <w:tab w:val="left" w:pos="3465"/>
        </w:tabs>
        <w:spacing w:line="360" w:lineRule="auto"/>
        <w:jc w:val="both"/>
        <w:rPr>
          <w:rFonts w:ascii="Palatino Linotype" w:eastAsia="Palatino Linotype" w:hAnsi="Palatino Linotype" w:cs="Palatino Linotype"/>
          <w:b/>
        </w:rPr>
      </w:pPr>
      <w:bookmarkStart w:id="0" w:name="_GoBack"/>
      <w:bookmarkEnd w:id="0"/>
      <w:r w:rsidRPr="00026AC4">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Pr="00026AC4">
        <w:rPr>
          <w:rFonts w:ascii="Palatino Linotype" w:eastAsia="Palatino Linotype" w:hAnsi="Palatino Linotype" w:cs="Palatino Linotype"/>
          <w:b/>
        </w:rPr>
        <w:t>de fecha once</w:t>
      </w:r>
      <w:r w:rsidR="00026AC4" w:rsidRPr="00026AC4">
        <w:rPr>
          <w:rFonts w:ascii="Palatino Linotype" w:eastAsia="Palatino Linotype" w:hAnsi="Palatino Linotype" w:cs="Palatino Linotype"/>
          <w:b/>
        </w:rPr>
        <w:t xml:space="preserve"> (11)</w:t>
      </w:r>
      <w:r w:rsidRPr="00026AC4">
        <w:rPr>
          <w:rFonts w:ascii="Palatino Linotype" w:eastAsia="Palatino Linotype" w:hAnsi="Palatino Linotype" w:cs="Palatino Linotype"/>
          <w:b/>
        </w:rPr>
        <w:t xml:space="preserve"> de marzo de dos mil veintiséis.</w:t>
      </w:r>
    </w:p>
    <w:p w:rsidR="00087FE8" w:rsidRPr="00026AC4" w:rsidRDefault="00087FE8">
      <w:pPr>
        <w:tabs>
          <w:tab w:val="left" w:pos="3465"/>
        </w:tabs>
        <w:spacing w:line="360" w:lineRule="auto"/>
        <w:jc w:val="both"/>
        <w:rPr>
          <w:rFonts w:ascii="Palatino Linotype" w:eastAsia="Palatino Linotype" w:hAnsi="Palatino Linotype" w:cs="Palatino Linotype"/>
        </w:rPr>
      </w:pPr>
    </w:p>
    <w:p w:rsidR="00087FE8" w:rsidRPr="00026AC4" w:rsidRDefault="00151F9A">
      <w:pPr>
        <w:spacing w:line="360" w:lineRule="auto"/>
        <w:jc w:val="both"/>
        <w:rPr>
          <w:rFonts w:ascii="Palatino Linotype" w:eastAsia="Palatino Linotype" w:hAnsi="Palatino Linotype" w:cs="Palatino Linotype"/>
        </w:rPr>
      </w:pPr>
      <w:r w:rsidRPr="00026AC4">
        <w:rPr>
          <w:rFonts w:ascii="Palatino Linotype" w:eastAsia="Palatino Linotype" w:hAnsi="Palatino Linotype" w:cs="Palatino Linotype"/>
          <w:b/>
          <w:bCs/>
        </w:rPr>
        <w:t>VISTO</w:t>
      </w:r>
      <w:r w:rsidRPr="00026AC4">
        <w:rPr>
          <w:rFonts w:ascii="Palatino Linotype" w:eastAsia="Palatino Linotype" w:hAnsi="Palatino Linotype" w:cs="Palatino Linotype"/>
        </w:rPr>
        <w:t xml:space="preserve"> el expediente electrónico formado con motivo del Recurso de Revisión </w:t>
      </w:r>
      <w:r w:rsidRPr="00026AC4">
        <w:rPr>
          <w:rFonts w:ascii="Palatino Linotype" w:eastAsia="Palatino Linotype" w:hAnsi="Palatino Linotype" w:cs="Palatino Linotype"/>
          <w:b/>
          <w:bCs/>
        </w:rPr>
        <w:t xml:space="preserve">11233/INFOEM/IP/RR/2025, </w:t>
      </w:r>
      <w:r w:rsidRPr="00026AC4">
        <w:rPr>
          <w:rFonts w:ascii="Palatino Linotype" w:eastAsia="Palatino Linotype" w:hAnsi="Palatino Linotype" w:cs="Palatino Linotype"/>
        </w:rPr>
        <w:t>promovido por</w:t>
      </w:r>
      <w:r w:rsidRPr="00026AC4">
        <w:rPr>
          <w:rFonts w:ascii="Palatino Linotype" w:eastAsia="Palatino Linotype" w:hAnsi="Palatino Linotype" w:cs="Palatino Linotype"/>
          <w:b/>
          <w:bCs/>
        </w:rPr>
        <w:t xml:space="preserve"> </w:t>
      </w:r>
      <w:r w:rsidRPr="00026AC4">
        <w:rPr>
          <w:rFonts w:ascii="Palatino Linotype" w:eastAsia="Palatino Linotype" w:hAnsi="Palatino Linotype" w:cs="Palatino Linotype"/>
          <w:b/>
        </w:rPr>
        <w:t>una persona que no proporcionó datos de identificación</w:t>
      </w:r>
      <w:r w:rsidRPr="00026AC4">
        <w:rPr>
          <w:rFonts w:ascii="Palatino Linotype" w:eastAsia="Palatino Linotype" w:hAnsi="Palatino Linotype" w:cs="Palatino Linotype"/>
        </w:rPr>
        <w:t xml:space="preserve">, a quien en lo sucesivo se le identificará como </w:t>
      </w:r>
      <w:r w:rsidRPr="00026AC4">
        <w:rPr>
          <w:rFonts w:ascii="Palatino Linotype" w:eastAsia="Palatino Linotype" w:hAnsi="Palatino Linotype" w:cs="Palatino Linotype"/>
          <w:b/>
          <w:bCs/>
        </w:rPr>
        <w:t>EL RECURRENTE</w:t>
      </w:r>
      <w:r w:rsidRPr="00026AC4">
        <w:rPr>
          <w:rFonts w:ascii="Palatino Linotype" w:eastAsia="Palatino Linotype" w:hAnsi="Palatino Linotype" w:cs="Palatino Linotype"/>
        </w:rPr>
        <w:t xml:space="preserve">, en contra de la respuesta del </w:t>
      </w:r>
      <w:r w:rsidRPr="00026AC4">
        <w:rPr>
          <w:rFonts w:ascii="Palatino Linotype" w:eastAsia="Palatino Linotype" w:hAnsi="Palatino Linotype" w:cs="Palatino Linotype"/>
          <w:b/>
          <w:bCs/>
        </w:rPr>
        <w:t xml:space="preserve">Ayuntamiento de Toluca, </w:t>
      </w:r>
      <w:r w:rsidRPr="00026AC4">
        <w:rPr>
          <w:rFonts w:ascii="Palatino Linotype" w:eastAsia="Palatino Linotype" w:hAnsi="Palatino Linotype" w:cs="Palatino Linotype"/>
        </w:rPr>
        <w:t>en adelante el</w:t>
      </w:r>
      <w:r w:rsidRPr="00026AC4">
        <w:rPr>
          <w:rFonts w:ascii="Palatino Linotype" w:eastAsia="Palatino Linotype" w:hAnsi="Palatino Linotype" w:cs="Palatino Linotype"/>
          <w:b/>
          <w:bCs/>
        </w:rPr>
        <w:t xml:space="preserve"> SUJETO OBLIGADO</w:t>
      </w:r>
      <w:r w:rsidRPr="00026AC4">
        <w:rPr>
          <w:rFonts w:ascii="Palatino Linotype" w:eastAsia="Palatino Linotype" w:hAnsi="Palatino Linotype" w:cs="Palatino Linotype"/>
        </w:rPr>
        <w:t>, se procede a dictar la presente Resolución, con base en los siguientes:</w:t>
      </w:r>
    </w:p>
    <w:p w:rsidR="00087FE8" w:rsidRPr="00026AC4" w:rsidRDefault="00087FE8">
      <w:pPr>
        <w:spacing w:line="360" w:lineRule="auto"/>
        <w:jc w:val="both"/>
        <w:rPr>
          <w:rFonts w:ascii="Palatino Linotype" w:eastAsia="Palatino Linotype" w:hAnsi="Palatino Linotype" w:cs="Palatino Linotype"/>
          <w:b/>
          <w:bCs/>
        </w:rPr>
      </w:pPr>
    </w:p>
    <w:p w:rsidR="00087FE8" w:rsidRPr="00026AC4" w:rsidRDefault="00151F9A">
      <w:pPr>
        <w:pStyle w:val="Ttulo1"/>
        <w:spacing w:before="0" w:line="360" w:lineRule="auto"/>
        <w:jc w:val="center"/>
        <w:rPr>
          <w:rFonts w:ascii="Palatino Linotype" w:eastAsia="Palatino Linotype" w:hAnsi="Palatino Linotype" w:cs="Palatino Linotype"/>
          <w:b/>
          <w:bCs/>
          <w:color w:val="000000"/>
          <w:sz w:val="24"/>
          <w:szCs w:val="24"/>
        </w:rPr>
      </w:pPr>
      <w:bookmarkStart w:id="1" w:name="_heading=h.gjdgxs" w:colFirst="0" w:colLast="0"/>
      <w:bookmarkEnd w:id="1"/>
      <w:r w:rsidRPr="00026AC4">
        <w:rPr>
          <w:rFonts w:ascii="Palatino Linotype" w:eastAsia="Palatino Linotype" w:hAnsi="Palatino Linotype" w:cs="Palatino Linotype"/>
          <w:b/>
          <w:bCs/>
          <w:color w:val="000000"/>
          <w:sz w:val="24"/>
          <w:szCs w:val="24"/>
        </w:rPr>
        <w:t>A N T E C E D E N T E S</w:t>
      </w:r>
    </w:p>
    <w:p w:rsidR="00087FE8" w:rsidRPr="00026AC4" w:rsidRDefault="00087FE8">
      <w:pPr>
        <w:spacing w:line="360" w:lineRule="auto"/>
        <w:rPr>
          <w:rFonts w:ascii="Palatino Linotype" w:eastAsia="Palatino Linotype" w:hAnsi="Palatino Linotype" w:cs="Palatino Linotype"/>
        </w:rPr>
      </w:pPr>
    </w:p>
    <w:p w:rsidR="00087FE8" w:rsidRPr="00026AC4" w:rsidRDefault="00151F9A">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El día</w:t>
      </w:r>
      <w:r w:rsidRPr="00026AC4">
        <w:rPr>
          <w:rFonts w:ascii="Palatino Linotype" w:eastAsia="Palatino Linotype" w:hAnsi="Palatino Linotype" w:cs="Palatino Linotype"/>
          <w:b/>
          <w:bCs/>
          <w:color w:val="000000"/>
        </w:rPr>
        <w:t xml:space="preserve"> diecinueve de agosto dos mil veinticinco, </w:t>
      </w:r>
      <w:r w:rsidRPr="00026AC4">
        <w:rPr>
          <w:rFonts w:ascii="Palatino Linotype" w:eastAsia="Palatino Linotype" w:hAnsi="Palatino Linotype" w:cs="Palatino Linotype"/>
          <w:color w:val="000000"/>
        </w:rPr>
        <w:t xml:space="preserve">se presentó ante el </w:t>
      </w:r>
      <w:r w:rsidRPr="00026AC4">
        <w:rPr>
          <w:rFonts w:ascii="Palatino Linotype" w:eastAsia="Palatino Linotype" w:hAnsi="Palatino Linotype" w:cs="Palatino Linotype"/>
          <w:b/>
          <w:bCs/>
          <w:color w:val="000000"/>
        </w:rPr>
        <w:t>SUJETO OBLIGADO</w:t>
      </w:r>
      <w:r w:rsidRPr="00026AC4">
        <w:rPr>
          <w:rFonts w:ascii="Palatino Linotype" w:eastAsia="Palatino Linotype" w:hAnsi="Palatino Linotype" w:cs="Palatino Linotype"/>
          <w:color w:val="000000"/>
        </w:rPr>
        <w:t xml:space="preserve"> vía Sistema de Acceso a la Información Mexiquense (SAIMEX), la Solicitud de Información Pública registrada con el número</w:t>
      </w:r>
      <w:r w:rsidRPr="00026AC4">
        <w:rPr>
          <w:rFonts w:ascii="Palatino Linotype" w:eastAsia="Palatino Linotype" w:hAnsi="Palatino Linotype" w:cs="Palatino Linotype"/>
          <w:b/>
          <w:bCs/>
          <w:color w:val="000000"/>
        </w:rPr>
        <w:t xml:space="preserve">  04274/TOLUCA/IP/2025; </w:t>
      </w:r>
      <w:r w:rsidRPr="00026AC4">
        <w:rPr>
          <w:rFonts w:ascii="Palatino Linotype" w:eastAsia="Palatino Linotype" w:hAnsi="Palatino Linotype" w:cs="Palatino Linotype"/>
        </w:rPr>
        <w:t xml:space="preserve">en la que </w:t>
      </w:r>
      <w:r w:rsidRPr="00026AC4">
        <w:rPr>
          <w:rFonts w:ascii="Palatino Linotype" w:eastAsia="Palatino Linotype" w:hAnsi="Palatino Linotype" w:cs="Palatino Linotype"/>
          <w:color w:val="000000"/>
        </w:rPr>
        <w:t>se solicitó la siguiente información:</w:t>
      </w:r>
    </w:p>
    <w:p w:rsidR="00087FE8" w:rsidRPr="00026AC4" w:rsidRDefault="00087FE8">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rsidR="00087FE8" w:rsidRPr="00026AC4" w:rsidRDefault="00151F9A">
      <w:pPr>
        <w:pBdr>
          <w:top w:val="nil"/>
          <w:left w:val="nil"/>
          <w:bottom w:val="nil"/>
          <w:right w:val="nil"/>
          <w:between w:val="nil"/>
        </w:pBdr>
        <w:spacing w:line="360" w:lineRule="auto"/>
        <w:ind w:left="426" w:right="476"/>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i/>
          <w:iCs/>
          <w:color w:val="000000"/>
        </w:rPr>
        <w:t>“SE SOLICITA LAS ACTAS Y LOS INFORMES DE MEJORA REGULATORIA DEL AÑO 2025 CON EVIDENCIA DE LAS SESIONES Y LA CITACIONES DE CADA SESIÓN FIRMADAS”</w:t>
      </w:r>
    </w:p>
    <w:p w:rsidR="00087FE8" w:rsidRPr="00026AC4" w:rsidRDefault="00087FE8">
      <w:pPr>
        <w:pBdr>
          <w:top w:val="nil"/>
          <w:left w:val="nil"/>
          <w:bottom w:val="nil"/>
          <w:right w:val="nil"/>
          <w:between w:val="nil"/>
        </w:pBdr>
        <w:spacing w:line="360" w:lineRule="auto"/>
        <w:ind w:left="426" w:right="476"/>
        <w:jc w:val="both"/>
        <w:rPr>
          <w:rFonts w:ascii="Palatino Linotype" w:eastAsia="Palatino Linotype" w:hAnsi="Palatino Linotype" w:cs="Palatino Linotype"/>
          <w:i/>
          <w:iCs/>
          <w:color w:val="000000"/>
        </w:rPr>
      </w:pPr>
    </w:p>
    <w:p w:rsidR="00087FE8" w:rsidRPr="00026AC4" w:rsidRDefault="00151F9A" w:rsidP="00026AC4">
      <w:pPr>
        <w:numPr>
          <w:ilvl w:val="0"/>
          <w:numId w:val="4"/>
        </w:numPr>
        <w:pBdr>
          <w:top w:val="nil"/>
          <w:left w:val="nil"/>
          <w:bottom w:val="nil"/>
          <w:right w:val="nil"/>
          <w:between w:val="nil"/>
        </w:pBdr>
        <w:spacing w:line="360" w:lineRule="auto"/>
        <w:ind w:left="0" w:right="34" w:firstLine="0"/>
        <w:jc w:val="both"/>
        <w:rPr>
          <w:rFonts w:ascii="Palatino Linotype" w:eastAsia="Palatino Linotype" w:hAnsi="Palatino Linotype" w:cs="Palatino Linotype"/>
          <w:b/>
          <w:bCs/>
          <w:color w:val="000000"/>
        </w:rPr>
      </w:pPr>
      <w:r w:rsidRPr="00026AC4">
        <w:rPr>
          <w:rFonts w:ascii="Palatino Linotype" w:eastAsia="Palatino Linotype" w:hAnsi="Palatino Linotype" w:cs="Palatino Linotype"/>
          <w:color w:val="000000"/>
        </w:rPr>
        <w:t xml:space="preserve">Se eligió como modalidad de entrega: </w:t>
      </w:r>
      <w:r w:rsidRPr="00026AC4">
        <w:rPr>
          <w:rFonts w:ascii="Palatino Linotype" w:eastAsia="Palatino Linotype" w:hAnsi="Palatino Linotype" w:cs="Palatino Linotype"/>
          <w:b/>
          <w:bCs/>
          <w:color w:val="000000"/>
        </w:rPr>
        <w:t>SAIMEX</w:t>
      </w:r>
    </w:p>
    <w:p w:rsidR="00087FE8" w:rsidRPr="00026AC4" w:rsidRDefault="00087FE8">
      <w:pPr>
        <w:pBdr>
          <w:top w:val="nil"/>
          <w:left w:val="nil"/>
          <w:bottom w:val="nil"/>
          <w:right w:val="nil"/>
          <w:between w:val="nil"/>
        </w:pBdr>
        <w:tabs>
          <w:tab w:val="left" w:pos="0"/>
        </w:tabs>
        <w:spacing w:line="360" w:lineRule="auto"/>
        <w:ind w:left="360" w:right="51"/>
        <w:jc w:val="both"/>
        <w:rPr>
          <w:rFonts w:ascii="Palatino Linotype" w:eastAsia="Palatino Linotype" w:hAnsi="Palatino Linotype" w:cs="Palatino Linotype"/>
          <w:color w:val="000000"/>
        </w:rPr>
      </w:pPr>
    </w:p>
    <w:p w:rsidR="00087FE8" w:rsidRPr="00026AC4" w:rsidRDefault="00151F9A">
      <w:pPr>
        <w:numPr>
          <w:ilvl w:val="0"/>
          <w:numId w:val="3"/>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lastRenderedPageBreak/>
        <w:t xml:space="preserve">El </w:t>
      </w:r>
      <w:r w:rsidRPr="00026AC4">
        <w:rPr>
          <w:rFonts w:ascii="Palatino Linotype" w:eastAsia="Palatino Linotype" w:hAnsi="Palatino Linotype" w:cs="Palatino Linotype"/>
          <w:b/>
          <w:bCs/>
          <w:color w:val="000000"/>
        </w:rPr>
        <w:t>nueve de septiembre de dos mil veinticinco</w:t>
      </w:r>
      <w:r w:rsidRPr="00026AC4">
        <w:rPr>
          <w:rFonts w:ascii="Palatino Linotype" w:eastAsia="Palatino Linotype" w:hAnsi="Palatino Linotype" w:cs="Palatino Linotype"/>
          <w:color w:val="000000"/>
        </w:rPr>
        <w:t xml:space="preserve">, el </w:t>
      </w:r>
      <w:r w:rsidRPr="00026AC4">
        <w:rPr>
          <w:rFonts w:ascii="Palatino Linotype" w:eastAsia="Palatino Linotype" w:hAnsi="Palatino Linotype" w:cs="Palatino Linotype"/>
          <w:b/>
          <w:bCs/>
          <w:color w:val="000000"/>
        </w:rPr>
        <w:t>SUJETO OBLIGADO</w:t>
      </w:r>
      <w:r w:rsidRPr="00026AC4">
        <w:rPr>
          <w:rFonts w:ascii="Palatino Linotype" w:eastAsia="Palatino Linotype" w:hAnsi="Palatino Linotype" w:cs="Palatino Linotype"/>
          <w:color w:val="000000"/>
        </w:rPr>
        <w:t xml:space="preserve"> dio respuesta a través de un archivo denominado </w:t>
      </w:r>
      <w:r w:rsidRPr="00026AC4">
        <w:rPr>
          <w:rFonts w:ascii="Palatino Linotype" w:eastAsia="Palatino Linotype" w:hAnsi="Palatino Linotype" w:cs="Palatino Linotype"/>
          <w:b/>
          <w:bCs/>
          <w:i/>
          <w:iCs/>
          <w:color w:val="000000"/>
        </w:rPr>
        <w:t xml:space="preserve">Agenda Regulatoria Nov Toluca (1).pdf, Acta 1a Sesión Ord CMMR 29 marz 22.pdf, Acta Constitutiva CMMR 15 may 19.pdf, PAMMR 2025 Toluca con firmas.pdf, convocatorias </w:t>
      </w:r>
      <w:r w:rsidRPr="00026AC4">
        <w:rPr>
          <w:rFonts w:ascii="Palatino Linotype" w:eastAsia="Palatino Linotype" w:hAnsi="Palatino Linotype" w:cs="Palatino Linotype"/>
          <w:b/>
          <w:bCs/>
          <w:i/>
          <w:iCs/>
        </w:rPr>
        <w:t>sesión</w:t>
      </w:r>
      <w:r w:rsidRPr="00026AC4">
        <w:rPr>
          <w:rFonts w:ascii="Palatino Linotype" w:eastAsia="Palatino Linotype" w:hAnsi="Palatino Linotype" w:cs="Palatino Linotype"/>
          <w:b/>
          <w:bCs/>
          <w:i/>
          <w:iCs/>
          <w:color w:val="000000"/>
        </w:rPr>
        <w:t xml:space="preserve"> 2025.pdf y, Saimex 4274 (1).pdf</w:t>
      </w:r>
      <w:r w:rsidRPr="00026AC4">
        <w:rPr>
          <w:rFonts w:ascii="Palatino Linotype" w:eastAsia="Palatino Linotype" w:hAnsi="Palatino Linotype" w:cs="Palatino Linotype"/>
          <w:color w:val="000000"/>
        </w:rPr>
        <w:t>, cuyo contenido corresponde de manera general al Acta de la Sesión de Instalación y Primera Sesión Ordinaria de la Comisión Municipal de Mejora Regulatoria del Municipio de Toluca; Acta de la Segunda Sesión Ordinaria de la Comisión Municipal de Mejora Regulatoria del Municipio de Toluca; las Convocatorias a las sesiones de la Comisión Municipal de Mejora Regulatoria 2025 - 2027 del Municipio de Toluca, signadas por el Presidente Municipal y dirigidas a sus integrantes; Agenda Regulatoria del mes de noviembre de 2024 y, el Acta Constitutiva de la Comisión Municipal de Mejora Regulatoria del Municipio de Toluca 2019 – 2022.</w:t>
      </w:r>
    </w:p>
    <w:p w:rsidR="00087FE8" w:rsidRPr="00026AC4" w:rsidRDefault="00087FE8">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rsidR="00087FE8" w:rsidRPr="00026AC4" w:rsidRDefault="00151F9A">
      <w:pPr>
        <w:numPr>
          <w:ilvl w:val="0"/>
          <w:numId w:val="3"/>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 xml:space="preserve">Inconforme con la respuesta el </w:t>
      </w:r>
      <w:r w:rsidRPr="00026AC4">
        <w:rPr>
          <w:rFonts w:ascii="Palatino Linotype" w:eastAsia="Palatino Linotype" w:hAnsi="Palatino Linotype" w:cs="Palatino Linotype"/>
          <w:b/>
          <w:bCs/>
          <w:color w:val="000000"/>
        </w:rPr>
        <w:t>uno de octubre de dos mil veinticinco</w:t>
      </w:r>
      <w:r w:rsidRPr="00026AC4">
        <w:rPr>
          <w:rFonts w:ascii="Palatino Linotype" w:eastAsia="Palatino Linotype" w:hAnsi="Palatino Linotype" w:cs="Palatino Linotype"/>
          <w:color w:val="000000"/>
        </w:rPr>
        <w:t>, se interpuso el recurso de revisión en contra de la respuesta, manifestando las siguientes razones o motivos de inconformidad:</w:t>
      </w:r>
    </w:p>
    <w:p w:rsidR="00087FE8" w:rsidRPr="00026AC4" w:rsidRDefault="00087FE8">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rsidR="00087FE8" w:rsidRPr="00026AC4" w:rsidRDefault="00026AC4">
      <w:pPr>
        <w:numPr>
          <w:ilvl w:val="0"/>
          <w:numId w:val="4"/>
        </w:numPr>
        <w:pBdr>
          <w:top w:val="nil"/>
          <w:left w:val="nil"/>
          <w:bottom w:val="nil"/>
          <w:right w:val="nil"/>
          <w:between w:val="nil"/>
        </w:pBdr>
        <w:spacing w:line="360" w:lineRule="auto"/>
        <w:ind w:left="1080" w:right="426"/>
        <w:jc w:val="both"/>
        <w:rPr>
          <w:rFonts w:ascii="Palatino Linotype" w:eastAsia="Palatino Linotype" w:hAnsi="Palatino Linotype" w:cs="Palatino Linotype"/>
          <w:i/>
          <w:iCs/>
          <w:color w:val="000000"/>
        </w:rPr>
      </w:pPr>
      <w:bookmarkStart w:id="2" w:name="_heading=h.30j0zll" w:colFirst="0" w:colLast="0"/>
      <w:bookmarkEnd w:id="2"/>
      <w:r w:rsidRPr="00026AC4">
        <w:rPr>
          <w:rFonts w:ascii="Palatino Linotype" w:eastAsia="Palatino Linotype" w:hAnsi="Palatino Linotype" w:cs="Palatino Linotype"/>
          <w:b/>
          <w:bCs/>
          <w:color w:val="000000"/>
        </w:rPr>
        <w:t xml:space="preserve">ACTO IMPUGNADO: </w:t>
      </w:r>
      <w:r w:rsidR="00151F9A" w:rsidRPr="00026AC4">
        <w:rPr>
          <w:rFonts w:ascii="Palatino Linotype" w:eastAsia="Palatino Linotype" w:hAnsi="Palatino Linotype" w:cs="Palatino Linotype"/>
          <w:i/>
          <w:iCs/>
          <w:color w:val="000000"/>
        </w:rPr>
        <w:t>“La negativa de la información”</w:t>
      </w:r>
    </w:p>
    <w:p w:rsidR="00087FE8" w:rsidRPr="00026AC4" w:rsidRDefault="00087FE8">
      <w:pPr>
        <w:pBdr>
          <w:top w:val="nil"/>
          <w:left w:val="nil"/>
          <w:bottom w:val="nil"/>
          <w:right w:val="nil"/>
          <w:between w:val="nil"/>
        </w:pBdr>
        <w:spacing w:line="360" w:lineRule="auto"/>
        <w:ind w:right="426"/>
        <w:jc w:val="both"/>
        <w:rPr>
          <w:rFonts w:ascii="Palatino Linotype" w:eastAsia="Palatino Linotype" w:hAnsi="Palatino Linotype" w:cs="Palatino Linotype"/>
          <w:i/>
          <w:iCs/>
          <w:color w:val="000000"/>
        </w:rPr>
      </w:pPr>
    </w:p>
    <w:p w:rsidR="00087FE8" w:rsidRPr="00026AC4" w:rsidRDefault="00026AC4">
      <w:pPr>
        <w:numPr>
          <w:ilvl w:val="0"/>
          <w:numId w:val="4"/>
        </w:numPr>
        <w:pBdr>
          <w:top w:val="nil"/>
          <w:left w:val="nil"/>
          <w:bottom w:val="nil"/>
          <w:right w:val="nil"/>
          <w:between w:val="nil"/>
        </w:pBdr>
        <w:spacing w:line="360" w:lineRule="auto"/>
        <w:ind w:left="1080" w:right="426"/>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b/>
          <w:bCs/>
          <w:color w:val="000000"/>
        </w:rPr>
        <w:t>RAZONES O MOTIVOS DE INCONFORMIDAD</w:t>
      </w:r>
      <w:r w:rsidR="00151F9A" w:rsidRPr="00026AC4">
        <w:rPr>
          <w:rFonts w:ascii="Palatino Linotype" w:eastAsia="Palatino Linotype" w:hAnsi="Palatino Linotype" w:cs="Palatino Linotype"/>
          <w:b/>
          <w:bCs/>
          <w:color w:val="000000"/>
        </w:rPr>
        <w:t>:</w:t>
      </w:r>
      <w:r w:rsidR="00151F9A" w:rsidRPr="00026AC4">
        <w:rPr>
          <w:rFonts w:ascii="Palatino Linotype" w:eastAsia="Palatino Linotype" w:hAnsi="Palatino Linotype" w:cs="Palatino Linotype"/>
          <w:i/>
          <w:iCs/>
          <w:color w:val="000000"/>
        </w:rPr>
        <w:t xml:space="preserve"> “La negativa de la información” </w:t>
      </w:r>
    </w:p>
    <w:p w:rsidR="00087FE8" w:rsidRPr="00026AC4" w:rsidRDefault="00087FE8">
      <w:pPr>
        <w:pBdr>
          <w:top w:val="nil"/>
          <w:left w:val="nil"/>
          <w:bottom w:val="nil"/>
          <w:right w:val="nil"/>
          <w:between w:val="nil"/>
        </w:pBdr>
        <w:spacing w:line="360" w:lineRule="auto"/>
        <w:ind w:left="720"/>
        <w:rPr>
          <w:rFonts w:ascii="Palatino Linotype" w:eastAsia="Palatino Linotype" w:hAnsi="Palatino Linotype" w:cs="Palatino Linotype"/>
          <w:i/>
          <w:iCs/>
          <w:color w:val="000000"/>
        </w:rPr>
      </w:pPr>
    </w:p>
    <w:p w:rsidR="00087FE8" w:rsidRPr="00026AC4" w:rsidRDefault="00026AC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La Comisionada p</w:t>
      </w:r>
      <w:r w:rsidR="00151F9A" w:rsidRPr="00026AC4">
        <w:rPr>
          <w:rFonts w:ascii="Palatino Linotype" w:eastAsia="Palatino Linotype" w:hAnsi="Palatino Linotype" w:cs="Palatino Linotype"/>
          <w:color w:val="000000"/>
        </w:rPr>
        <w:t xml:space="preserve">onente con fundamento en lo dispuesto por el artículo 185 fracción II de la ley de la materia, a través del acuerdo de admisión de fecha </w:t>
      </w:r>
      <w:r w:rsidR="00151F9A" w:rsidRPr="00026AC4">
        <w:rPr>
          <w:rFonts w:ascii="Palatino Linotype" w:eastAsia="Palatino Linotype" w:hAnsi="Palatino Linotype" w:cs="Palatino Linotype"/>
          <w:b/>
          <w:bCs/>
          <w:color w:val="000000"/>
        </w:rPr>
        <w:t>dos de octubre de dos mil veinticinco</w:t>
      </w:r>
      <w:r w:rsidR="00151F9A" w:rsidRPr="00026AC4">
        <w:rPr>
          <w:rFonts w:ascii="Palatino Linotype" w:eastAsia="Palatino Linotype" w:hAnsi="Palatino Linotype" w:cs="Palatino Linotype"/>
          <w:color w:val="000000"/>
        </w:rPr>
        <w:t xml:space="preserve">, puso a disposición de las partes el expediente electrónico vía </w:t>
      </w:r>
      <w:r w:rsidR="00151F9A" w:rsidRPr="00026AC4">
        <w:rPr>
          <w:rFonts w:ascii="Palatino Linotype" w:eastAsia="Palatino Linotype" w:hAnsi="Palatino Linotype" w:cs="Palatino Linotype"/>
          <w:b/>
          <w:bCs/>
          <w:color w:val="000000"/>
        </w:rPr>
        <w:t xml:space="preserve">SAIMEX </w:t>
      </w:r>
      <w:r w:rsidR="00151F9A" w:rsidRPr="00026AC4">
        <w:rPr>
          <w:rFonts w:ascii="Palatino Linotype" w:eastAsia="Palatino Linotype" w:hAnsi="Palatino Linotype" w:cs="Palatino Linotype"/>
          <w:color w:val="000000"/>
        </w:rPr>
        <w:t xml:space="preserve">a efecto de que en un plazo máximo de siete días </w:t>
      </w:r>
      <w:r w:rsidR="00151F9A" w:rsidRPr="00026AC4">
        <w:rPr>
          <w:rFonts w:ascii="Palatino Linotype" w:eastAsia="Palatino Linotype" w:hAnsi="Palatino Linotype" w:cs="Palatino Linotype"/>
        </w:rPr>
        <w:t>manifestara</w:t>
      </w:r>
      <w:r w:rsidR="00151F9A" w:rsidRPr="00026AC4">
        <w:rPr>
          <w:rFonts w:ascii="Palatino Linotype" w:eastAsia="Palatino Linotype" w:hAnsi="Palatino Linotype" w:cs="Palatino Linotype"/>
          <w:color w:val="000000"/>
        </w:rPr>
        <w:t xml:space="preserve"> lo que a su derecho conviniera, </w:t>
      </w:r>
      <w:r w:rsidR="00151F9A" w:rsidRPr="00026AC4">
        <w:rPr>
          <w:rFonts w:ascii="Palatino Linotype" w:eastAsia="Palatino Linotype" w:hAnsi="Palatino Linotype" w:cs="Palatino Linotype"/>
        </w:rPr>
        <w:t>ofreciera</w:t>
      </w:r>
      <w:r w:rsidR="00151F9A" w:rsidRPr="00026AC4">
        <w:rPr>
          <w:rFonts w:ascii="Palatino Linotype" w:eastAsia="Palatino Linotype" w:hAnsi="Palatino Linotype" w:cs="Palatino Linotype"/>
          <w:color w:val="000000"/>
        </w:rPr>
        <w:t xml:space="preserve"> pruebas y alegatos según corresponda a los casos concretos, y el </w:t>
      </w:r>
      <w:r w:rsidR="00151F9A" w:rsidRPr="00026AC4">
        <w:rPr>
          <w:rFonts w:ascii="Palatino Linotype" w:eastAsia="Palatino Linotype" w:hAnsi="Palatino Linotype" w:cs="Palatino Linotype"/>
          <w:b/>
          <w:bCs/>
          <w:color w:val="000000"/>
        </w:rPr>
        <w:t>SUJETO OBLIGADO</w:t>
      </w:r>
      <w:r w:rsidR="00151F9A" w:rsidRPr="00026AC4">
        <w:rPr>
          <w:rFonts w:ascii="Palatino Linotype" w:eastAsia="Palatino Linotype" w:hAnsi="Palatino Linotype" w:cs="Palatino Linotype"/>
          <w:color w:val="000000"/>
        </w:rPr>
        <w:t xml:space="preserve"> presentará el Informe Justificado procedente.</w:t>
      </w:r>
    </w:p>
    <w:p w:rsidR="00087FE8" w:rsidRPr="00026AC4" w:rsidRDefault="00087FE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087FE8" w:rsidRPr="00026AC4" w:rsidRDefault="00151F9A">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color w:val="000000"/>
        </w:rPr>
        <w:t>De lo anterior, el RECURRENTE</w:t>
      </w:r>
      <w:r w:rsidRPr="00026AC4">
        <w:rPr>
          <w:rFonts w:ascii="Palatino Linotype" w:eastAsia="Palatino Linotype" w:hAnsi="Palatino Linotype" w:cs="Palatino Linotype"/>
          <w:b/>
          <w:bCs/>
          <w:color w:val="000000"/>
        </w:rPr>
        <w:t xml:space="preserve"> </w:t>
      </w:r>
      <w:r w:rsidRPr="00026AC4">
        <w:rPr>
          <w:rFonts w:ascii="Palatino Linotype" w:eastAsia="Palatino Linotype" w:hAnsi="Palatino Linotype" w:cs="Palatino Linotype"/>
          <w:color w:val="000000"/>
        </w:rPr>
        <w:t xml:space="preserve">fue omiso en realizar manifestaciones que a su derecho conviniera y asistiera. Por su parte el </w:t>
      </w:r>
      <w:r w:rsidRPr="00026AC4">
        <w:rPr>
          <w:rFonts w:ascii="Palatino Linotype" w:eastAsia="Palatino Linotype" w:hAnsi="Palatino Linotype" w:cs="Palatino Linotype"/>
          <w:b/>
          <w:bCs/>
          <w:color w:val="000000"/>
        </w:rPr>
        <w:t>SUJETO OBLIGADO</w:t>
      </w:r>
      <w:r w:rsidRPr="00026AC4">
        <w:rPr>
          <w:rFonts w:ascii="Palatino Linotype" w:eastAsia="Palatino Linotype" w:hAnsi="Palatino Linotype" w:cs="Palatino Linotype"/>
          <w:color w:val="000000"/>
        </w:rPr>
        <w:t xml:space="preserve"> en fecha </w:t>
      </w:r>
      <w:r w:rsidRPr="00026AC4">
        <w:rPr>
          <w:rFonts w:ascii="Palatino Linotype" w:eastAsia="Palatino Linotype" w:hAnsi="Palatino Linotype" w:cs="Palatino Linotype"/>
          <w:b/>
          <w:bCs/>
          <w:color w:val="000000"/>
        </w:rPr>
        <w:t>veintiuno de mayo del año en curso</w:t>
      </w:r>
      <w:r w:rsidRPr="00026AC4">
        <w:rPr>
          <w:rFonts w:ascii="Palatino Linotype" w:eastAsia="Palatino Linotype" w:hAnsi="Palatino Linotype" w:cs="Palatino Linotype"/>
          <w:color w:val="000000"/>
        </w:rPr>
        <w:t xml:space="preserve">, rindió informe justificado a través del archivo denominado Ratificación 11233.pdf, cuyo contenido grosso modo corresponde a un escrito suscrito por el Titular de la Unidad de Transparencia en el que manifiesta lo siguiente: </w:t>
      </w:r>
      <w:r w:rsidRPr="00026AC4">
        <w:rPr>
          <w:rFonts w:ascii="Palatino Linotype" w:eastAsia="Palatino Linotype" w:hAnsi="Palatino Linotype" w:cs="Palatino Linotype"/>
          <w:i/>
          <w:iCs/>
          <w:color w:val="000000"/>
        </w:rPr>
        <w:t>"...por ello, esta unidad no puede verificar que la información proporcionada cumpla con las características de ser veraz, confiable, oportuna, congruente, integral, actualizada, accesible, completa, comprensible y verificable, aunque así lo solicite.</w:t>
      </w:r>
    </w:p>
    <w:p w:rsidR="00087FE8" w:rsidRPr="00026AC4" w:rsidRDefault="00151F9A">
      <w:p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i/>
          <w:iCs/>
          <w:color w:val="000000"/>
        </w:rPr>
        <w:t>Aunado a que las áreas encargadas de proporcionar la información serán las responsables del cumplimiento de las obligaciones, procesos, procedimientos y responsabilidades establecidas en las leyes de transparencia estatal o general, en los términos que las mismas determinen, como lo establece el artículo 25 de la ley local.”</w:t>
      </w:r>
    </w:p>
    <w:p w:rsidR="00087FE8" w:rsidRPr="00026AC4" w:rsidRDefault="00087FE8">
      <w:pPr>
        <w:spacing w:line="360" w:lineRule="auto"/>
        <w:jc w:val="center"/>
        <w:rPr>
          <w:rFonts w:ascii="Palatino Linotype" w:eastAsia="Palatino Linotype" w:hAnsi="Palatino Linotype" w:cs="Palatino Linotype"/>
          <w:color w:val="000000"/>
        </w:rPr>
      </w:pPr>
    </w:p>
    <w:p w:rsidR="00087FE8" w:rsidRPr="00026AC4" w:rsidRDefault="00151F9A">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bookmarkStart w:id="3" w:name="_heading=h.1fob9te" w:colFirst="0" w:colLast="0"/>
      <w:bookmarkEnd w:id="3"/>
      <w:r w:rsidRPr="00026AC4">
        <w:rPr>
          <w:rFonts w:ascii="Palatino Linotype" w:eastAsia="Palatino Linotype" w:hAnsi="Palatino Linotype" w:cs="Palatino Linotype"/>
          <w:color w:val="000000"/>
        </w:rPr>
        <w:t xml:space="preserve">Seguidamente, mediante Acuerdo de fecha </w:t>
      </w:r>
      <w:r w:rsidRPr="00026AC4">
        <w:rPr>
          <w:rFonts w:ascii="Palatino Linotype" w:eastAsia="Palatino Linotype" w:hAnsi="Palatino Linotype" w:cs="Palatino Linotype"/>
          <w:b/>
          <w:bCs/>
          <w:color w:val="000000"/>
        </w:rPr>
        <w:t xml:space="preserve">veintisiete de febrero de dos mil veintiséis, </w:t>
      </w:r>
      <w:r w:rsidRPr="00026AC4">
        <w:rPr>
          <w:rFonts w:ascii="Palatino Linotype" w:eastAsia="Palatino Linotype" w:hAnsi="Palatino Linotype" w:cs="Palatino Linotype"/>
          <w:color w:val="000000"/>
        </w:rPr>
        <w:t xml:space="preserve">se amplió el termino para resolver, consecutivamente se decretó el cierre de instrucción mediante Acuerdo </w:t>
      </w:r>
      <w:r w:rsidRPr="00026AC4">
        <w:rPr>
          <w:rFonts w:ascii="Palatino Linotype" w:eastAsia="Palatino Linotype" w:hAnsi="Palatino Linotype" w:cs="Palatino Linotype"/>
        </w:rPr>
        <w:t>del día</w:t>
      </w:r>
      <w:r w:rsidRPr="00026AC4">
        <w:rPr>
          <w:rFonts w:ascii="Palatino Linotype" w:eastAsia="Palatino Linotype" w:hAnsi="Palatino Linotype" w:cs="Palatino Linotype"/>
          <w:color w:val="000000"/>
        </w:rPr>
        <w:t xml:space="preserve"> seis de marzo del año en curso , por lo que no habiendo más que hacer constar, y--------------------------------------------------------------</w:t>
      </w:r>
      <w:r w:rsidR="00026AC4">
        <w:rPr>
          <w:rFonts w:ascii="Palatino Linotype" w:eastAsia="Palatino Linotype" w:hAnsi="Palatino Linotype" w:cs="Palatino Linotype"/>
          <w:color w:val="000000"/>
        </w:rPr>
        <w:t>----------------------------</w:t>
      </w:r>
    </w:p>
    <w:p w:rsidR="00087FE8" w:rsidRPr="00026AC4" w:rsidRDefault="00151F9A">
      <w:pPr>
        <w:pBdr>
          <w:top w:val="nil"/>
          <w:left w:val="nil"/>
          <w:bottom w:val="nil"/>
          <w:right w:val="nil"/>
          <w:between w:val="nil"/>
        </w:pBdr>
        <w:spacing w:line="360" w:lineRule="auto"/>
        <w:jc w:val="center"/>
        <w:rPr>
          <w:rFonts w:ascii="Palatino Linotype" w:eastAsia="Palatino Linotype" w:hAnsi="Palatino Linotype" w:cs="Palatino Linotype"/>
          <w:b/>
          <w:bCs/>
          <w:color w:val="000000"/>
        </w:rPr>
      </w:pPr>
      <w:r w:rsidRPr="00026AC4">
        <w:rPr>
          <w:rFonts w:ascii="Palatino Linotype" w:eastAsia="Palatino Linotype" w:hAnsi="Palatino Linotype" w:cs="Palatino Linotype"/>
          <w:b/>
          <w:bCs/>
          <w:color w:val="000000"/>
        </w:rPr>
        <w:lastRenderedPageBreak/>
        <w:t>C O N S I D E R A N D O</w:t>
      </w:r>
    </w:p>
    <w:p w:rsidR="00087FE8" w:rsidRPr="00026AC4" w:rsidRDefault="00087FE8">
      <w:pPr>
        <w:pBdr>
          <w:top w:val="nil"/>
          <w:left w:val="nil"/>
          <w:bottom w:val="nil"/>
          <w:right w:val="nil"/>
          <w:between w:val="nil"/>
        </w:pBdr>
        <w:spacing w:line="360" w:lineRule="auto"/>
        <w:jc w:val="center"/>
        <w:rPr>
          <w:rFonts w:ascii="Palatino Linotype" w:eastAsia="Palatino Linotype" w:hAnsi="Palatino Linotype" w:cs="Palatino Linotype"/>
          <w:b/>
          <w:bCs/>
          <w:color w:val="000000"/>
        </w:rPr>
      </w:pPr>
    </w:p>
    <w:p w:rsidR="00087FE8" w:rsidRPr="00026AC4" w:rsidRDefault="00151F9A">
      <w:pPr>
        <w:pStyle w:val="Ttulo2"/>
        <w:spacing w:before="0" w:line="360" w:lineRule="auto"/>
        <w:rPr>
          <w:rFonts w:ascii="Palatino Linotype" w:eastAsia="Palatino Linotype" w:hAnsi="Palatino Linotype" w:cs="Palatino Linotype"/>
          <w:b/>
          <w:bCs/>
          <w:color w:val="000000"/>
          <w:sz w:val="24"/>
          <w:szCs w:val="24"/>
        </w:rPr>
      </w:pPr>
      <w:bookmarkStart w:id="4" w:name="_heading=h.3znysh7" w:colFirst="0" w:colLast="0"/>
      <w:bookmarkEnd w:id="4"/>
      <w:r w:rsidRPr="00026AC4">
        <w:rPr>
          <w:rFonts w:ascii="Palatino Linotype" w:eastAsia="Palatino Linotype" w:hAnsi="Palatino Linotype" w:cs="Palatino Linotype"/>
          <w:b/>
          <w:bCs/>
          <w:color w:val="000000"/>
          <w:sz w:val="24"/>
          <w:szCs w:val="24"/>
        </w:rPr>
        <w:t>PRIMERO. De la competencia</w:t>
      </w:r>
    </w:p>
    <w:p w:rsidR="00087FE8" w:rsidRPr="00026AC4" w:rsidRDefault="00151F9A">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el presente Recurso de Revisión, conforme a lo dispuesto en el artículo 5, pá</w:t>
      </w:r>
      <w:r w:rsidRPr="00026AC4">
        <w:rPr>
          <w:rFonts w:ascii="Palatino Linotype" w:eastAsia="Palatino Linotype" w:hAnsi="Palatino Linotype" w:cs="Palatino Linotype"/>
        </w:rPr>
        <w:t>r</w:t>
      </w:r>
      <w:r w:rsidRPr="00026AC4">
        <w:rPr>
          <w:rFonts w:ascii="Palatino Linotype" w:eastAsia="Palatino Linotype" w:hAnsi="Palatino Linotype" w:cs="Palatino Linotype"/>
          <w:color w:val="000000"/>
        </w:rPr>
        <w:t>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087FE8" w:rsidRPr="00026AC4" w:rsidRDefault="00087FE8">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p>
    <w:p w:rsidR="00087FE8" w:rsidRPr="00026AC4" w:rsidRDefault="00151F9A">
      <w:pPr>
        <w:pStyle w:val="Ttulo2"/>
        <w:spacing w:before="0" w:line="360" w:lineRule="auto"/>
        <w:rPr>
          <w:rFonts w:ascii="Palatino Linotype" w:eastAsia="Palatino Linotype" w:hAnsi="Palatino Linotype" w:cs="Palatino Linotype"/>
          <w:b/>
          <w:bCs/>
          <w:color w:val="000000"/>
          <w:sz w:val="24"/>
          <w:szCs w:val="24"/>
        </w:rPr>
      </w:pPr>
      <w:bookmarkStart w:id="5" w:name="_heading=h.2et92p0" w:colFirst="0" w:colLast="0"/>
      <w:bookmarkEnd w:id="5"/>
      <w:r w:rsidRPr="00026AC4">
        <w:rPr>
          <w:rFonts w:ascii="Palatino Linotype" w:eastAsia="Palatino Linotype" w:hAnsi="Palatino Linotype" w:cs="Palatino Linotype"/>
          <w:b/>
          <w:bCs/>
          <w:color w:val="000000"/>
          <w:sz w:val="24"/>
          <w:szCs w:val="24"/>
        </w:rPr>
        <w:t>SEGUNDO. De la oportunidad y procedencia.</w:t>
      </w:r>
    </w:p>
    <w:p w:rsidR="00087FE8" w:rsidRPr="00026AC4" w:rsidRDefault="00151F9A">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026AC4">
        <w:rPr>
          <w:rFonts w:ascii="Palatino Linotype" w:eastAsia="Palatino Linotype" w:hAnsi="Palatino Linotype" w:cs="Palatino Linotype"/>
        </w:rPr>
        <w:t xml:space="preserve">Este Órgano Garante considera que el medio de impugnación reúne los requisitos de procedencia </w:t>
      </w:r>
      <w:r w:rsidRPr="00026AC4">
        <w:rPr>
          <w:rFonts w:ascii="Palatino Linotype" w:eastAsia="Palatino Linotype" w:hAnsi="Palatino Linotype" w:cs="Palatino Linotype"/>
          <w:color w:val="000000"/>
        </w:rPr>
        <w:t>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rsidR="00087FE8" w:rsidRPr="00026AC4" w:rsidRDefault="00087FE8">
      <w:pPr>
        <w:pBdr>
          <w:top w:val="nil"/>
          <w:left w:val="nil"/>
          <w:bottom w:val="nil"/>
          <w:right w:val="nil"/>
          <w:between w:val="nil"/>
        </w:pBdr>
        <w:spacing w:line="360" w:lineRule="auto"/>
        <w:jc w:val="both"/>
        <w:rPr>
          <w:rFonts w:ascii="Palatino Linotype" w:eastAsia="Palatino Linotype" w:hAnsi="Palatino Linotype" w:cs="Palatino Linotype"/>
        </w:rPr>
      </w:pPr>
    </w:p>
    <w:p w:rsidR="00087FE8" w:rsidRPr="00026AC4" w:rsidRDefault="00151F9A">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026AC4">
        <w:rPr>
          <w:rFonts w:ascii="Palatino Linotype" w:eastAsia="Palatino Linotype" w:hAnsi="Palatino Linotype" w:cs="Palatino Linotype"/>
        </w:rPr>
        <w:t xml:space="preserve">Por otro lado, es de suma importancia señalar que la parte recurrente no proporciona un nombre o datos de </w:t>
      </w:r>
      <w:r w:rsidRPr="00026AC4">
        <w:rPr>
          <w:rFonts w:ascii="Palatino Linotype" w:eastAsia="Palatino Linotype" w:hAnsi="Palatino Linotype" w:cs="Palatino Linotype"/>
          <w:color w:val="000000"/>
        </w:rPr>
        <w:t>identificación</w:t>
      </w:r>
      <w:r w:rsidRPr="00026AC4">
        <w:rPr>
          <w:rFonts w:ascii="Palatino Linotype" w:eastAsia="Palatino Linotype" w:hAnsi="Palatino Linotype" w:cs="Palatino Linotype"/>
        </w:rPr>
        <w:t xml:space="preserve"> como se advierte en el detalle de seguimiento del SAIMEX, no obstante lo anterior, no proporcionar el nombre completo no es motivo para archivar la solicitud de acceso a la información pública como concluida, conforme a lo </w:t>
      </w:r>
      <w:r w:rsidRPr="00026AC4">
        <w:rPr>
          <w:rFonts w:ascii="Palatino Linotype" w:eastAsia="Palatino Linotype" w:hAnsi="Palatino Linotype" w:cs="Palatino Linotype"/>
        </w:rPr>
        <w:lastRenderedPageBreak/>
        <w:t>previsto en el artículo 155, penúltimo párrafo de la Ley de Transparencia y Acceso a la Información Pública del Estado de México y Municipios que establece lo siguiente:</w:t>
      </w:r>
    </w:p>
    <w:p w:rsidR="00087FE8" w:rsidRPr="00026AC4" w:rsidRDefault="00151F9A">
      <w:pPr>
        <w:spacing w:line="360" w:lineRule="auto"/>
        <w:ind w:left="567" w:right="426"/>
        <w:jc w:val="both"/>
        <w:rPr>
          <w:rFonts w:ascii="Palatino Linotype" w:eastAsia="Palatino Linotype" w:hAnsi="Palatino Linotype" w:cs="Palatino Linotype"/>
          <w:i/>
          <w:iCs/>
        </w:rPr>
      </w:pPr>
      <w:r w:rsidRPr="00026AC4">
        <w:rPr>
          <w:rFonts w:ascii="Palatino Linotype" w:eastAsia="Palatino Linotype" w:hAnsi="Palatino Linotype" w:cs="Palatino Linotype"/>
          <w:i/>
          <w:iCs/>
        </w:rPr>
        <w:t>"</w:t>
      </w:r>
      <w:r w:rsidRPr="00026AC4">
        <w:rPr>
          <w:rFonts w:ascii="Palatino Linotype" w:eastAsia="Palatino Linotype" w:hAnsi="Palatino Linotype" w:cs="Palatino Linotype"/>
          <w:b/>
          <w:bCs/>
          <w:i/>
          <w:iCs/>
        </w:rPr>
        <w:t>Las solicitudes anónimas</w:t>
      </w:r>
      <w:r w:rsidRPr="00026AC4">
        <w:rPr>
          <w:rFonts w:ascii="Palatino Linotype" w:eastAsia="Palatino Linotype" w:hAnsi="Palatino Linotype" w:cs="Palatino Linotype"/>
          <w:i/>
          <w:iCs/>
        </w:rPr>
        <w:t xml:space="preserve">, con nombre incompleto o seudónimo </w:t>
      </w:r>
      <w:r w:rsidRPr="00026AC4">
        <w:rPr>
          <w:rFonts w:ascii="Palatino Linotype" w:eastAsia="Palatino Linotype" w:hAnsi="Palatino Linotype" w:cs="Palatino Linotype"/>
          <w:b/>
          <w:bCs/>
          <w:i/>
          <w:iCs/>
        </w:rPr>
        <w:t>serán procedentes para su trámite por parte del sujeto obligado ante quien se presente</w:t>
      </w:r>
      <w:r w:rsidRPr="00026AC4">
        <w:rPr>
          <w:rFonts w:ascii="Palatino Linotype" w:eastAsia="Palatino Linotype" w:hAnsi="Palatino Linotype" w:cs="Palatino Linotype"/>
          <w:i/>
          <w:iCs/>
        </w:rPr>
        <w:t>. No podrá requerirse información adicional con motivo del nombre proporcionado por el solicitante."</w:t>
      </w:r>
    </w:p>
    <w:p w:rsidR="00087FE8" w:rsidRPr="00026AC4" w:rsidRDefault="00087FE8">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087FE8" w:rsidRDefault="00151F9A">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 xml:space="preserve">Consecuencia de lo anterior, este Órgano Garante advierte que el escrito contiene las </w:t>
      </w:r>
      <w:r w:rsidRPr="00026AC4">
        <w:rPr>
          <w:rFonts w:ascii="Palatino Linotype" w:eastAsia="Palatino Linotype" w:hAnsi="Palatino Linotype" w:cs="Palatino Linotype"/>
        </w:rPr>
        <w:t>formalidades</w:t>
      </w:r>
      <w:r w:rsidRPr="00026AC4">
        <w:rPr>
          <w:rFonts w:ascii="Palatino Linotype" w:eastAsia="Palatino Linotype" w:hAnsi="Palatino Linotype" w:cs="Palatino Linotype"/>
          <w:color w:val="000000"/>
        </w:rPr>
        <w:t xml:space="preserve"> previstas por el artículo 180 último párrafo de la Ley de </w:t>
      </w:r>
      <w:r w:rsidRPr="00026AC4">
        <w:rPr>
          <w:rFonts w:ascii="Palatino Linotype" w:eastAsia="Palatino Linotype" w:hAnsi="Palatino Linotype" w:cs="Palatino Linotype"/>
        </w:rPr>
        <w:t>Transparencia</w:t>
      </w:r>
      <w:r w:rsidRPr="00026AC4">
        <w:rPr>
          <w:rFonts w:ascii="Palatino Linotype" w:eastAsia="Palatino Linotype" w:hAnsi="Palatino Linotype" w:cs="Palatino Linotype"/>
          <w:color w:val="000000"/>
        </w:rPr>
        <w:t xml:space="preserve"> y Acceso a la </w:t>
      </w:r>
      <w:r w:rsidRPr="00026AC4">
        <w:rPr>
          <w:rFonts w:ascii="Palatino Linotype" w:eastAsia="Palatino Linotype" w:hAnsi="Palatino Linotype" w:cs="Palatino Linotype"/>
        </w:rPr>
        <w:t>Información</w:t>
      </w:r>
      <w:r w:rsidRPr="00026AC4">
        <w:rPr>
          <w:rFonts w:ascii="Palatino Linotype" w:eastAsia="Palatino Linotype" w:hAnsi="Palatino Linotype" w:cs="Palatino Linotype"/>
          <w:color w:val="000000"/>
        </w:rPr>
        <w:t xml:space="preserve"> Pública del Estado de México y Municipios, por lo que es procedente que este Instituto de Transparencia, Acceso a la Información Pública y Protección de Datos Personales del Estado de México y Municipios, conozca y resuelva el presente recurso.</w:t>
      </w:r>
    </w:p>
    <w:p w:rsidR="00026AC4" w:rsidRPr="00026AC4" w:rsidRDefault="00026AC4" w:rsidP="00026AC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087FE8" w:rsidRPr="00026AC4" w:rsidRDefault="00151F9A">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026AC4">
        <w:rPr>
          <w:rFonts w:ascii="Palatino Linotype" w:eastAsia="Palatino Linotype" w:hAnsi="Palatino Linotype" w:cs="Palatino Linotype"/>
        </w:rPr>
        <w:t>Finalmente, el escrito contiene las formalidades previstas por el artículo 180 último párrafo de la citada Ley de la materia, por lo que es procedente que este Instituto conozca y resuelva el presente recurso.</w:t>
      </w:r>
    </w:p>
    <w:p w:rsidR="00087FE8" w:rsidRPr="00026AC4" w:rsidRDefault="00087FE8">
      <w:pPr>
        <w:spacing w:line="360" w:lineRule="auto"/>
        <w:rPr>
          <w:rFonts w:ascii="Palatino Linotype" w:eastAsia="Palatino Linotype" w:hAnsi="Palatino Linotype" w:cs="Palatino Linotype"/>
        </w:rPr>
      </w:pPr>
    </w:p>
    <w:p w:rsidR="00087FE8" w:rsidRPr="00026AC4" w:rsidRDefault="00151F9A">
      <w:pPr>
        <w:pStyle w:val="Ttulo1"/>
        <w:spacing w:before="0" w:line="360" w:lineRule="auto"/>
        <w:rPr>
          <w:rFonts w:ascii="Palatino Linotype" w:eastAsia="Palatino Linotype" w:hAnsi="Palatino Linotype" w:cs="Palatino Linotype"/>
          <w:b/>
          <w:bCs/>
          <w:color w:val="000000"/>
          <w:sz w:val="24"/>
          <w:szCs w:val="24"/>
        </w:rPr>
      </w:pPr>
      <w:bookmarkStart w:id="6" w:name="_heading=h.tyjcwt" w:colFirst="0" w:colLast="0"/>
      <w:bookmarkEnd w:id="6"/>
      <w:r w:rsidRPr="00026AC4">
        <w:rPr>
          <w:rFonts w:ascii="Palatino Linotype" w:eastAsia="Palatino Linotype" w:hAnsi="Palatino Linotype" w:cs="Palatino Linotype"/>
          <w:b/>
          <w:bCs/>
          <w:color w:val="000000"/>
          <w:sz w:val="24"/>
          <w:szCs w:val="24"/>
        </w:rPr>
        <w:t xml:space="preserve">TERCERO. Del planteamiento de la </w:t>
      </w:r>
      <w:r w:rsidRPr="00026AC4">
        <w:rPr>
          <w:rFonts w:ascii="Palatino Linotype" w:eastAsia="Palatino Linotype" w:hAnsi="Palatino Linotype" w:cs="Palatino Linotype"/>
          <w:b/>
          <w:bCs/>
          <w:i/>
          <w:iCs/>
          <w:color w:val="000000"/>
          <w:sz w:val="24"/>
          <w:szCs w:val="24"/>
        </w:rPr>
        <w:t>Litis</w:t>
      </w:r>
    </w:p>
    <w:p w:rsidR="00087FE8" w:rsidRPr="00026AC4" w:rsidRDefault="00151F9A">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Se solicitó tener acceso, a la información que a continuación se desagrega:</w:t>
      </w:r>
    </w:p>
    <w:p w:rsidR="00087FE8" w:rsidRPr="00026AC4" w:rsidRDefault="00151F9A">
      <w:pPr>
        <w:pBdr>
          <w:top w:val="nil"/>
          <w:left w:val="nil"/>
          <w:bottom w:val="nil"/>
          <w:right w:val="nil"/>
          <w:between w:val="nil"/>
        </w:pBdr>
        <w:spacing w:line="360" w:lineRule="auto"/>
        <w:ind w:left="709" w:right="709"/>
        <w:jc w:val="both"/>
        <w:rPr>
          <w:rFonts w:ascii="Palatino Linotype" w:eastAsia="Palatino Linotype" w:hAnsi="Palatino Linotype" w:cs="Palatino Linotype"/>
          <w:b/>
          <w:bCs/>
          <w:color w:val="000000"/>
        </w:rPr>
      </w:pPr>
      <w:r w:rsidRPr="00026AC4">
        <w:rPr>
          <w:rFonts w:ascii="Palatino Linotype" w:eastAsia="Palatino Linotype" w:hAnsi="Palatino Linotype" w:cs="Palatino Linotype"/>
          <w:b/>
          <w:bCs/>
          <w:color w:val="000000"/>
        </w:rPr>
        <w:t>De la Comisión Municipal de Mejora Regulatoria del Ayuntamiento de Toluca, en el año 2025, lo siguiente:</w:t>
      </w:r>
    </w:p>
    <w:p w:rsidR="00087FE8" w:rsidRPr="00026AC4" w:rsidRDefault="00151F9A">
      <w:pPr>
        <w:numPr>
          <w:ilvl w:val="0"/>
          <w:numId w:val="5"/>
        </w:numPr>
        <w:pBdr>
          <w:top w:val="nil"/>
          <w:left w:val="nil"/>
          <w:bottom w:val="nil"/>
          <w:right w:val="nil"/>
          <w:between w:val="nil"/>
        </w:pBdr>
        <w:spacing w:line="360" w:lineRule="auto"/>
        <w:ind w:left="709" w:right="709"/>
        <w:jc w:val="both"/>
        <w:rPr>
          <w:rFonts w:ascii="Palatino Linotype" w:eastAsia="Palatino Linotype" w:hAnsi="Palatino Linotype" w:cs="Palatino Linotype"/>
          <w:b/>
          <w:bCs/>
          <w:color w:val="000000"/>
        </w:rPr>
      </w:pPr>
      <w:r w:rsidRPr="00026AC4">
        <w:rPr>
          <w:rFonts w:ascii="Palatino Linotype" w:eastAsia="Palatino Linotype" w:hAnsi="Palatino Linotype" w:cs="Palatino Linotype"/>
          <w:color w:val="000000"/>
        </w:rPr>
        <w:t>Actas de sesiones;</w:t>
      </w:r>
    </w:p>
    <w:p w:rsidR="00087FE8" w:rsidRPr="00026AC4" w:rsidRDefault="00151F9A">
      <w:pPr>
        <w:numPr>
          <w:ilvl w:val="0"/>
          <w:numId w:val="5"/>
        </w:numPr>
        <w:pBdr>
          <w:top w:val="nil"/>
          <w:left w:val="nil"/>
          <w:bottom w:val="nil"/>
          <w:right w:val="nil"/>
          <w:between w:val="nil"/>
        </w:pBdr>
        <w:spacing w:line="360" w:lineRule="auto"/>
        <w:ind w:left="709" w:right="709"/>
        <w:jc w:val="both"/>
        <w:rPr>
          <w:rFonts w:ascii="Palatino Linotype" w:eastAsia="Palatino Linotype" w:hAnsi="Palatino Linotype" w:cs="Palatino Linotype"/>
          <w:b/>
          <w:bCs/>
          <w:color w:val="000000"/>
        </w:rPr>
      </w:pPr>
      <w:r w:rsidRPr="00026AC4">
        <w:rPr>
          <w:rFonts w:ascii="Palatino Linotype" w:eastAsia="Palatino Linotype" w:hAnsi="Palatino Linotype" w:cs="Palatino Linotype"/>
          <w:color w:val="000000"/>
        </w:rPr>
        <w:t>Informes de mejora regulatoria;</w:t>
      </w:r>
    </w:p>
    <w:p w:rsidR="00087FE8" w:rsidRPr="00026AC4" w:rsidRDefault="00151F9A">
      <w:pPr>
        <w:numPr>
          <w:ilvl w:val="0"/>
          <w:numId w:val="5"/>
        </w:numPr>
        <w:pBdr>
          <w:top w:val="nil"/>
          <w:left w:val="nil"/>
          <w:bottom w:val="nil"/>
          <w:right w:val="nil"/>
          <w:between w:val="nil"/>
        </w:pBdr>
        <w:spacing w:line="360" w:lineRule="auto"/>
        <w:ind w:left="709" w:right="709"/>
        <w:jc w:val="both"/>
        <w:rPr>
          <w:rFonts w:ascii="Palatino Linotype" w:eastAsia="Palatino Linotype" w:hAnsi="Palatino Linotype" w:cs="Palatino Linotype"/>
          <w:b/>
          <w:bCs/>
          <w:color w:val="000000"/>
        </w:rPr>
      </w:pPr>
      <w:r w:rsidRPr="00026AC4">
        <w:rPr>
          <w:rFonts w:ascii="Palatino Linotype" w:eastAsia="Palatino Linotype" w:hAnsi="Palatino Linotype" w:cs="Palatino Linotype"/>
          <w:color w:val="000000"/>
        </w:rPr>
        <w:t>Evidencia de las sesiones; y</w:t>
      </w:r>
    </w:p>
    <w:p w:rsidR="00087FE8" w:rsidRPr="00026AC4" w:rsidRDefault="00151F9A">
      <w:pPr>
        <w:numPr>
          <w:ilvl w:val="0"/>
          <w:numId w:val="5"/>
        </w:numPr>
        <w:pBdr>
          <w:top w:val="nil"/>
          <w:left w:val="nil"/>
          <w:bottom w:val="nil"/>
          <w:right w:val="nil"/>
          <w:between w:val="nil"/>
        </w:pBdr>
        <w:spacing w:line="360" w:lineRule="auto"/>
        <w:ind w:left="709" w:right="709"/>
        <w:jc w:val="both"/>
        <w:rPr>
          <w:rFonts w:ascii="Palatino Linotype" w:eastAsia="Palatino Linotype" w:hAnsi="Palatino Linotype" w:cs="Palatino Linotype"/>
          <w:b/>
          <w:bCs/>
          <w:color w:val="000000"/>
        </w:rPr>
      </w:pPr>
      <w:r w:rsidRPr="00026AC4">
        <w:rPr>
          <w:rFonts w:ascii="Palatino Linotype" w:eastAsia="Palatino Linotype" w:hAnsi="Palatino Linotype" w:cs="Palatino Linotype"/>
          <w:color w:val="000000"/>
        </w:rPr>
        <w:lastRenderedPageBreak/>
        <w:t>Las citaciones de cada sesión firmadas.</w:t>
      </w:r>
    </w:p>
    <w:p w:rsidR="00087FE8" w:rsidRPr="00026AC4" w:rsidRDefault="00087FE8">
      <w:pPr>
        <w:spacing w:line="360" w:lineRule="auto"/>
        <w:jc w:val="both"/>
        <w:rPr>
          <w:rFonts w:ascii="Palatino Linotype" w:eastAsia="Palatino Linotype" w:hAnsi="Palatino Linotype" w:cs="Palatino Linotype"/>
          <w:color w:val="000000"/>
        </w:rPr>
      </w:pPr>
    </w:p>
    <w:p w:rsidR="00087FE8" w:rsidRPr="00026AC4" w:rsidRDefault="00151F9A">
      <w:pPr>
        <w:numPr>
          <w:ilvl w:val="0"/>
          <w:numId w:val="3"/>
        </w:numP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rPr>
        <w:t xml:space="preserve">En respuesta, el </w:t>
      </w:r>
      <w:r w:rsidRPr="00026AC4">
        <w:rPr>
          <w:rFonts w:ascii="Palatino Linotype" w:eastAsia="Palatino Linotype" w:hAnsi="Palatino Linotype" w:cs="Palatino Linotype"/>
          <w:b/>
          <w:bCs/>
        </w:rPr>
        <w:t xml:space="preserve">SUJETO OBLIGADO </w:t>
      </w:r>
      <w:r w:rsidRPr="00026AC4">
        <w:rPr>
          <w:rFonts w:ascii="Palatino Linotype" w:eastAsia="Palatino Linotype" w:hAnsi="Palatino Linotype" w:cs="Palatino Linotype"/>
        </w:rPr>
        <w:t>remitió la información ya descrita en el párrafo 2. Inconforme con la misma, se interpuso recurso de revisión en contra de la negativa a la entrega de la información.</w:t>
      </w:r>
    </w:p>
    <w:p w:rsidR="00087FE8" w:rsidRPr="00026AC4" w:rsidRDefault="00087FE8">
      <w:pPr>
        <w:tabs>
          <w:tab w:val="left" w:pos="933"/>
        </w:tabs>
        <w:spacing w:line="360" w:lineRule="auto"/>
        <w:jc w:val="both"/>
        <w:rPr>
          <w:rFonts w:ascii="Palatino Linotype" w:eastAsia="Palatino Linotype" w:hAnsi="Palatino Linotype" w:cs="Palatino Linotype"/>
        </w:rPr>
      </w:pPr>
    </w:p>
    <w:p w:rsidR="00087FE8" w:rsidRPr="00026AC4" w:rsidRDefault="00151F9A">
      <w:pPr>
        <w:numPr>
          <w:ilvl w:val="0"/>
          <w:numId w:val="3"/>
        </w:numPr>
        <w:spacing w:line="360" w:lineRule="auto"/>
        <w:ind w:left="0" w:firstLine="0"/>
        <w:jc w:val="both"/>
        <w:rPr>
          <w:rFonts w:ascii="Palatino Linotype" w:eastAsia="Palatino Linotype" w:hAnsi="Palatino Linotype" w:cs="Palatino Linotype"/>
        </w:rPr>
      </w:pPr>
      <w:r w:rsidRPr="00026AC4">
        <w:rPr>
          <w:rFonts w:ascii="Palatino Linotype" w:eastAsia="Palatino Linotype" w:hAnsi="Palatino Linotype" w:cs="Palatino Linotype"/>
        </w:rPr>
        <w:t xml:space="preserve">En dichas condiciones la </w:t>
      </w:r>
      <w:r w:rsidRPr="00026AC4">
        <w:rPr>
          <w:rFonts w:ascii="Palatino Linotype" w:eastAsia="Palatino Linotype" w:hAnsi="Palatino Linotype" w:cs="Palatino Linotype"/>
          <w:i/>
          <w:iCs/>
        </w:rPr>
        <w:t>Litis</w:t>
      </w:r>
      <w:r w:rsidRPr="00026AC4">
        <w:rPr>
          <w:rFonts w:ascii="Palatino Linotype" w:eastAsia="Palatino Linotype" w:hAnsi="Palatino Linotype" w:cs="Palatino Linotype"/>
        </w:rPr>
        <w:t xml:space="preserve"> a resolver en este recurso se circunscribe a determinar si se actualiza la causal de procedencia prevista en el artículo 179, </w:t>
      </w:r>
      <w:r w:rsidRPr="00026AC4">
        <w:rPr>
          <w:rFonts w:ascii="Palatino Linotype" w:eastAsia="Palatino Linotype" w:hAnsi="Palatino Linotype" w:cs="Palatino Linotype"/>
          <w:b/>
          <w:bCs/>
        </w:rPr>
        <w:t xml:space="preserve">fracción I </w:t>
      </w:r>
      <w:r w:rsidRPr="00026AC4">
        <w:rPr>
          <w:rFonts w:ascii="Palatino Linotype" w:eastAsia="Palatino Linotype" w:hAnsi="Palatino Linotype" w:cs="Palatino Linotype"/>
        </w:rPr>
        <w:t xml:space="preserve">de la </w:t>
      </w:r>
      <w:r w:rsidRPr="00026AC4">
        <w:rPr>
          <w:rFonts w:ascii="Palatino Linotype" w:eastAsia="Palatino Linotype" w:hAnsi="Palatino Linotype" w:cs="Palatino Linotype"/>
          <w:b/>
          <w:bCs/>
        </w:rPr>
        <w:t>Ley de Transparencia y Acceso a la Información Pública del Estado de México y Municipios</w:t>
      </w:r>
      <w:r w:rsidRPr="00026AC4">
        <w:rPr>
          <w:rFonts w:ascii="Palatino Linotype" w:eastAsia="Palatino Linotype" w:hAnsi="Palatino Linotype" w:cs="Palatino Linotype"/>
          <w:color w:val="000000"/>
        </w:rPr>
        <w:t>;</w:t>
      </w:r>
      <w:r w:rsidRPr="00026AC4">
        <w:rPr>
          <w:rFonts w:ascii="Palatino Linotype" w:eastAsia="Palatino Linotype" w:hAnsi="Palatino Linotype" w:cs="Palatino Linotype"/>
        </w:rPr>
        <w:t xml:space="preserve"> fracción que determina la hipótesis jurídica relativa a la entrega de la información incompleta; contexto del cual se dolió </w:t>
      </w:r>
      <w:r w:rsidRPr="00026AC4">
        <w:rPr>
          <w:rFonts w:ascii="Palatino Linotype" w:eastAsia="Palatino Linotype" w:hAnsi="Palatino Linotype" w:cs="Palatino Linotype"/>
          <w:b/>
          <w:bCs/>
        </w:rPr>
        <w:t xml:space="preserve">EL RECURRENTE </w:t>
      </w:r>
      <w:r w:rsidRPr="00026AC4">
        <w:rPr>
          <w:rFonts w:ascii="Palatino Linotype" w:eastAsia="Palatino Linotype" w:hAnsi="Palatino Linotype" w:cs="Palatino Linotype"/>
        </w:rPr>
        <w:t>al momento de interponer su inconformidad.</w:t>
      </w:r>
    </w:p>
    <w:p w:rsidR="00087FE8" w:rsidRPr="00026AC4" w:rsidRDefault="00087FE8">
      <w:pPr>
        <w:spacing w:line="360" w:lineRule="auto"/>
        <w:rPr>
          <w:rFonts w:ascii="Palatino Linotype" w:eastAsia="Palatino Linotype" w:hAnsi="Palatino Linotype" w:cs="Palatino Linotype"/>
        </w:rPr>
      </w:pPr>
    </w:p>
    <w:p w:rsidR="00087FE8" w:rsidRPr="00026AC4" w:rsidRDefault="00151F9A">
      <w:pPr>
        <w:numPr>
          <w:ilvl w:val="0"/>
          <w:numId w:val="3"/>
        </w:numPr>
        <w:spacing w:line="360" w:lineRule="auto"/>
        <w:ind w:left="0" w:firstLine="0"/>
        <w:jc w:val="both"/>
        <w:rPr>
          <w:rFonts w:ascii="Palatino Linotype" w:eastAsia="Palatino Linotype" w:hAnsi="Palatino Linotype" w:cs="Palatino Linotype"/>
        </w:rPr>
      </w:pPr>
      <w:r w:rsidRPr="00026AC4">
        <w:rPr>
          <w:rFonts w:ascii="Palatino Linotype" w:eastAsia="Palatino Linotype" w:hAnsi="Palatino Linotype" w:cs="Palatino Linotype"/>
          <w:color w:val="000000"/>
        </w:rPr>
        <w:t xml:space="preserve">De modo tal que el presente Recurso de Revisión se </w:t>
      </w:r>
      <w:r w:rsidRPr="00026AC4">
        <w:rPr>
          <w:rFonts w:ascii="Palatino Linotype" w:eastAsia="Palatino Linotype" w:hAnsi="Palatino Linotype" w:cs="Palatino Linotype"/>
        </w:rPr>
        <w:t>abocará</w:t>
      </w:r>
      <w:r w:rsidRPr="00026AC4">
        <w:rPr>
          <w:rFonts w:ascii="Palatino Linotype" w:eastAsia="Palatino Linotype" w:hAnsi="Palatino Linotype" w:cs="Palatino Linotype"/>
          <w:color w:val="000000"/>
        </w:rPr>
        <w:t xml:space="preserve"> en determinar si el </w:t>
      </w:r>
      <w:r w:rsidRPr="00026AC4">
        <w:rPr>
          <w:rFonts w:ascii="Palatino Linotype" w:eastAsia="Palatino Linotype" w:hAnsi="Palatino Linotype" w:cs="Palatino Linotype"/>
          <w:b/>
          <w:bCs/>
          <w:color w:val="000000"/>
        </w:rPr>
        <w:t>SUJETO</w:t>
      </w:r>
      <w:r w:rsidRPr="00026AC4">
        <w:rPr>
          <w:rFonts w:ascii="Palatino Linotype" w:eastAsia="Palatino Linotype" w:hAnsi="Palatino Linotype" w:cs="Palatino Linotype"/>
          <w:color w:val="000000"/>
        </w:rPr>
        <w:t xml:space="preserve"> </w:t>
      </w:r>
      <w:r w:rsidRPr="00026AC4">
        <w:rPr>
          <w:rFonts w:ascii="Palatino Linotype" w:eastAsia="Palatino Linotype" w:hAnsi="Palatino Linotype" w:cs="Palatino Linotype"/>
          <w:b/>
          <w:bCs/>
          <w:color w:val="000000"/>
        </w:rPr>
        <w:t>OBLIGADO</w:t>
      </w:r>
      <w:r w:rsidRPr="00026AC4">
        <w:rPr>
          <w:rFonts w:ascii="Palatino Linotype" w:eastAsia="Palatino Linotype" w:hAnsi="Palatino Linotype" w:cs="Palatino Linotype"/>
          <w:color w:val="000000"/>
        </w:rPr>
        <w:t xml:space="preserve"> con su respuesta ciertamente actualiza la causal de procedencia</w:t>
      </w:r>
      <w:r w:rsidRPr="00026AC4">
        <w:rPr>
          <w:rFonts w:ascii="Palatino Linotype" w:eastAsia="Palatino Linotype" w:hAnsi="Palatino Linotype" w:cs="Palatino Linotype"/>
          <w:b/>
          <w:bCs/>
          <w:color w:val="000000"/>
        </w:rPr>
        <w:t xml:space="preserve"> </w:t>
      </w:r>
      <w:r w:rsidRPr="00026AC4">
        <w:rPr>
          <w:rFonts w:ascii="Palatino Linotype" w:eastAsia="Palatino Linotype" w:hAnsi="Palatino Linotype" w:cs="Palatino Linotype"/>
          <w:color w:val="000000"/>
        </w:rPr>
        <w:t xml:space="preserve">antes señalada. </w:t>
      </w:r>
    </w:p>
    <w:p w:rsidR="00087FE8" w:rsidRPr="00026AC4" w:rsidRDefault="00087FE8">
      <w:pPr>
        <w:spacing w:line="360" w:lineRule="auto"/>
        <w:rPr>
          <w:rFonts w:ascii="Palatino Linotype" w:eastAsia="Palatino Linotype" w:hAnsi="Palatino Linotype" w:cs="Palatino Linotype"/>
        </w:rPr>
      </w:pPr>
    </w:p>
    <w:p w:rsidR="00087FE8" w:rsidRPr="00026AC4" w:rsidRDefault="00151F9A">
      <w:pPr>
        <w:pStyle w:val="Ttulo2"/>
        <w:spacing w:before="0" w:line="360" w:lineRule="auto"/>
        <w:rPr>
          <w:rFonts w:ascii="Palatino Linotype" w:eastAsia="Palatino Linotype" w:hAnsi="Palatino Linotype" w:cs="Palatino Linotype"/>
          <w:b/>
          <w:bCs/>
          <w:color w:val="000000"/>
          <w:sz w:val="24"/>
          <w:szCs w:val="24"/>
        </w:rPr>
      </w:pPr>
      <w:bookmarkStart w:id="7" w:name="_heading=h.3dy6vkm" w:colFirst="0" w:colLast="0"/>
      <w:bookmarkEnd w:id="7"/>
      <w:r w:rsidRPr="00026AC4">
        <w:rPr>
          <w:rFonts w:ascii="Palatino Linotype" w:eastAsia="Palatino Linotype" w:hAnsi="Palatino Linotype" w:cs="Palatino Linotype"/>
          <w:b/>
          <w:bCs/>
          <w:color w:val="000000"/>
          <w:sz w:val="24"/>
          <w:szCs w:val="24"/>
        </w:rPr>
        <w:t>CUARTO. Del estudio y resolución del asunto.</w:t>
      </w:r>
    </w:p>
    <w:p w:rsidR="00087FE8" w:rsidRPr="00026AC4" w:rsidRDefault="00151F9A">
      <w:pPr>
        <w:numPr>
          <w:ilvl w:val="0"/>
          <w:numId w:val="3"/>
        </w:numPr>
        <w:spacing w:line="360" w:lineRule="auto"/>
        <w:ind w:left="0" w:firstLine="0"/>
        <w:jc w:val="both"/>
        <w:rPr>
          <w:rFonts w:ascii="Palatino Linotype" w:eastAsia="Palatino Linotype" w:hAnsi="Palatino Linotype" w:cs="Palatino Linotype"/>
        </w:rPr>
      </w:pPr>
      <w:r w:rsidRPr="00026AC4">
        <w:rPr>
          <w:rFonts w:ascii="Palatino Linotype" w:eastAsia="Palatino Linotype" w:hAnsi="Palatino Linotype" w:cs="Palatino Linotype"/>
        </w:rPr>
        <w:t xml:space="preserve">Determinado lo anterior; revisaremos la atención otorgada por el Sujeto Obligado a la solicitud que dio origen a este recurso, considerando imprescindible establecer lo que la regulación </w:t>
      </w:r>
      <w:r w:rsidRPr="00026AC4">
        <w:rPr>
          <w:rFonts w:ascii="Palatino Linotype" w:eastAsia="Palatino Linotype" w:hAnsi="Palatino Linotype" w:cs="Palatino Linotype"/>
          <w:color w:val="000000"/>
        </w:rPr>
        <w:t>determina</w:t>
      </w:r>
      <w:r w:rsidRPr="00026AC4">
        <w:rPr>
          <w:rFonts w:ascii="Palatino Linotype" w:eastAsia="Palatino Linotype" w:hAnsi="Palatino Linotype" w:cs="Palatino Linotype"/>
        </w:rPr>
        <w:t xml:space="preserve">,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w:t>
      </w:r>
      <w:r w:rsidRPr="00026AC4">
        <w:rPr>
          <w:rFonts w:ascii="Palatino Linotype" w:eastAsia="Palatino Linotype" w:hAnsi="Palatino Linotype" w:cs="Palatino Linotype"/>
        </w:rPr>
        <w:lastRenderedPageBreak/>
        <w:t>deberán documentar todo acto que derive del ejercicio de sus facultades, competencias o funciones desde su origen la eventual publicidad y reutilización de la información que generen.</w:t>
      </w:r>
    </w:p>
    <w:p w:rsidR="00087FE8" w:rsidRPr="00026AC4" w:rsidRDefault="00087FE8">
      <w:pPr>
        <w:spacing w:line="360" w:lineRule="auto"/>
        <w:ind w:right="-929"/>
        <w:jc w:val="both"/>
        <w:rPr>
          <w:rFonts w:ascii="Palatino Linotype" w:eastAsia="Palatino Linotype" w:hAnsi="Palatino Linotype" w:cs="Palatino Linotype"/>
        </w:rPr>
      </w:pPr>
    </w:p>
    <w:p w:rsidR="00087FE8" w:rsidRPr="00026AC4" w:rsidRDefault="00151F9A">
      <w:pPr>
        <w:numPr>
          <w:ilvl w:val="0"/>
          <w:numId w:val="3"/>
        </w:numPr>
        <w:spacing w:line="360" w:lineRule="auto"/>
        <w:ind w:left="0" w:firstLine="0"/>
        <w:jc w:val="both"/>
        <w:rPr>
          <w:rFonts w:ascii="Palatino Linotype" w:eastAsia="Palatino Linotype" w:hAnsi="Palatino Linotype" w:cs="Palatino Linotype"/>
        </w:rPr>
      </w:pPr>
      <w:r w:rsidRPr="00026AC4">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087FE8" w:rsidRPr="00026AC4" w:rsidRDefault="00087FE8">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087FE8" w:rsidRPr="00026AC4" w:rsidRDefault="00151F9A">
      <w:pPr>
        <w:numPr>
          <w:ilvl w:val="0"/>
          <w:numId w:val="3"/>
        </w:numPr>
        <w:spacing w:line="360" w:lineRule="auto"/>
        <w:ind w:left="0" w:firstLine="0"/>
        <w:jc w:val="both"/>
        <w:rPr>
          <w:rFonts w:ascii="Palatino Linotype" w:eastAsia="Palatino Linotype" w:hAnsi="Palatino Linotype" w:cs="Palatino Linotype"/>
        </w:rPr>
      </w:pPr>
      <w:r w:rsidRPr="00026AC4">
        <w:rPr>
          <w:rFonts w:ascii="Palatino Linotype" w:eastAsia="Palatino Linotype" w:hAnsi="Palatino Linotype" w:cs="Palatino Linotype"/>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087FE8" w:rsidRPr="00026AC4" w:rsidRDefault="00087FE8">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087FE8" w:rsidRPr="00026AC4" w:rsidRDefault="00151F9A">
      <w:pPr>
        <w:numPr>
          <w:ilvl w:val="0"/>
          <w:numId w:val="3"/>
        </w:numP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rPr>
        <w:t xml:space="preserve">Una vez sentado lo anterior, resulta oportuno traer a contexto los motivos de inconformidad, en virtud que estos son tendientes a impugnar una negativa general de la información; sin embargo, como se desprende de los Antecedentes del presente proveído, si </w:t>
      </w:r>
      <w:r w:rsidRPr="00026AC4">
        <w:rPr>
          <w:rFonts w:ascii="Palatino Linotype" w:eastAsia="Palatino Linotype" w:hAnsi="Palatino Linotype" w:cs="Palatino Linotype"/>
        </w:rPr>
        <w:lastRenderedPageBreak/>
        <w:t>se entregó información relacionada con la requerida inicialmente; en todo caso. No obstante se procede al análisis de los rubros que integran la solicitud de información a efecto de determinar si en todo caso la entrega de la información fue incompleta.</w:t>
      </w:r>
    </w:p>
    <w:p w:rsidR="00087FE8" w:rsidRPr="00026AC4" w:rsidRDefault="00087FE8">
      <w:pPr>
        <w:pBdr>
          <w:top w:val="nil"/>
          <w:left w:val="nil"/>
          <w:bottom w:val="nil"/>
          <w:right w:val="nil"/>
          <w:between w:val="nil"/>
        </w:pBdr>
        <w:ind w:left="720"/>
        <w:rPr>
          <w:rFonts w:ascii="Palatino Linotype" w:eastAsia="Palatino Linotype" w:hAnsi="Palatino Linotype" w:cs="Palatino Linotype"/>
          <w:color w:val="000000"/>
        </w:rPr>
      </w:pPr>
    </w:p>
    <w:p w:rsidR="00087FE8" w:rsidRPr="00026AC4" w:rsidRDefault="00151F9A">
      <w:pPr>
        <w:numPr>
          <w:ilvl w:val="0"/>
          <w:numId w:val="3"/>
        </w:numP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Luego entonces por cuanto hace al rubro de las Actas, se remitieron tres, a saber:</w:t>
      </w:r>
      <w:r w:rsidRPr="00026AC4">
        <w:rPr>
          <w:rFonts w:ascii="Palatino Linotype" w:eastAsia="Palatino Linotype" w:hAnsi="Palatino Linotype" w:cs="Palatino Linotype"/>
        </w:rPr>
        <w:t xml:space="preserve"> </w:t>
      </w:r>
      <w:r w:rsidRPr="00026AC4">
        <w:rPr>
          <w:rFonts w:ascii="Palatino Linotype" w:eastAsia="Palatino Linotype" w:hAnsi="Palatino Linotype" w:cs="Palatino Linotype"/>
          <w:color w:val="000000"/>
        </w:rPr>
        <w:t xml:space="preserve">Acta de la Sesión de Instalación y Primera Sesión Ordinaria de la Comisión </w:t>
      </w:r>
      <w:r w:rsidRPr="00026AC4">
        <w:rPr>
          <w:rFonts w:ascii="Palatino Linotype" w:eastAsia="Palatino Linotype" w:hAnsi="Palatino Linotype" w:cs="Palatino Linotype"/>
        </w:rPr>
        <w:t>Municipal</w:t>
      </w:r>
      <w:r w:rsidRPr="00026AC4">
        <w:rPr>
          <w:rFonts w:ascii="Palatino Linotype" w:eastAsia="Palatino Linotype" w:hAnsi="Palatino Linotype" w:cs="Palatino Linotype"/>
          <w:color w:val="000000"/>
        </w:rPr>
        <w:t xml:space="preserve"> de Mejora Regulatoria del Municipio de Toluca; Acta de la Segunda Sesión Ordinaria de la Comisión Municipal de Mejora Regulatoria del Municipio de Toluca y, el Acta Constitutiva de la Comisión Municipal de Mejora Regulatoria del Municipio de Toluca 2019 – 2022.</w:t>
      </w:r>
    </w:p>
    <w:p w:rsidR="00087FE8" w:rsidRPr="00026AC4" w:rsidRDefault="00087FE8">
      <w:pPr>
        <w:pBdr>
          <w:top w:val="nil"/>
          <w:left w:val="nil"/>
          <w:bottom w:val="nil"/>
          <w:right w:val="nil"/>
          <w:between w:val="nil"/>
        </w:pBdr>
        <w:ind w:left="720"/>
        <w:rPr>
          <w:rFonts w:ascii="Palatino Linotype" w:eastAsia="Palatino Linotype" w:hAnsi="Palatino Linotype" w:cs="Palatino Linotype"/>
          <w:color w:val="000000"/>
        </w:rPr>
      </w:pPr>
    </w:p>
    <w:p w:rsidR="00087FE8" w:rsidRPr="00026AC4" w:rsidRDefault="00151F9A">
      <w:pPr>
        <w:numPr>
          <w:ilvl w:val="0"/>
          <w:numId w:val="3"/>
        </w:numP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De esta última, no se tendrá consideración, toda vez que el lapso temporal de la cual se prende la información corresponde al año 2025; es decir del 1 de enero al 19 de agosto de 2025, fecha en que se interpuso la solicitud de información.</w:t>
      </w:r>
    </w:p>
    <w:p w:rsidR="00087FE8" w:rsidRPr="00026AC4" w:rsidRDefault="00087FE8">
      <w:pPr>
        <w:pBdr>
          <w:top w:val="nil"/>
          <w:left w:val="nil"/>
          <w:bottom w:val="nil"/>
          <w:right w:val="nil"/>
          <w:between w:val="nil"/>
        </w:pBdr>
        <w:ind w:left="720"/>
        <w:rPr>
          <w:rFonts w:ascii="Palatino Linotype" w:eastAsia="Palatino Linotype" w:hAnsi="Palatino Linotype" w:cs="Palatino Linotype"/>
          <w:color w:val="000000"/>
        </w:rPr>
      </w:pPr>
    </w:p>
    <w:p w:rsidR="00087FE8" w:rsidRPr="00026AC4" w:rsidRDefault="00151F9A">
      <w:pPr>
        <w:numPr>
          <w:ilvl w:val="0"/>
          <w:numId w:val="3"/>
        </w:numP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 xml:space="preserve">Ahora bien, de las Actas remitidas, el </w:t>
      </w:r>
      <w:r w:rsidRPr="00026AC4">
        <w:rPr>
          <w:rFonts w:ascii="Palatino Linotype" w:eastAsia="Palatino Linotype" w:hAnsi="Palatino Linotype" w:cs="Palatino Linotype"/>
          <w:b/>
          <w:bCs/>
          <w:color w:val="000000"/>
        </w:rPr>
        <w:t>SUJETO OBLIGADO</w:t>
      </w:r>
      <w:r w:rsidRPr="00026AC4">
        <w:rPr>
          <w:rFonts w:ascii="Palatino Linotype" w:eastAsia="Palatino Linotype" w:hAnsi="Palatino Linotype" w:cs="Palatino Linotype"/>
          <w:color w:val="000000"/>
        </w:rPr>
        <w:t xml:space="preserve"> refiere que son las generadas poseídas o administradas; por tanto es dable traer a contexto primeramente la Ley Para la Mejora Regulatoria del Estado de México y sus Municipios, en su siguiente articulado:</w:t>
      </w:r>
    </w:p>
    <w:p w:rsidR="00087FE8" w:rsidRPr="00026AC4" w:rsidRDefault="00151F9A">
      <w:pPr>
        <w:spacing w:line="360" w:lineRule="auto"/>
        <w:ind w:left="426" w:right="426"/>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i/>
          <w:iCs/>
          <w:color w:val="000000"/>
        </w:rPr>
        <w:t xml:space="preserve">“Artículo 23.- Las comisiones Municipales tendrán, en su ámbito de competencia, las facultades y responsabilidades siguientes: </w:t>
      </w:r>
    </w:p>
    <w:p w:rsidR="00087FE8" w:rsidRPr="00026AC4" w:rsidRDefault="00151F9A">
      <w:pPr>
        <w:spacing w:line="360" w:lineRule="auto"/>
        <w:ind w:left="426" w:right="426"/>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i/>
          <w:iCs/>
          <w:color w:val="000000"/>
        </w:rPr>
        <w:t xml:space="preserve">I. Revisar el marco regulatorio municipal y coadyuvar en la elaboración y actualización de los anteproyectos de reglamentos, bandos, acuerdos y demás regulaciones o reformas a éstas, y realizar los diagnósticos de procesos para mejorar la regulación de actividades económicas específicas; </w:t>
      </w:r>
    </w:p>
    <w:p w:rsidR="00087FE8" w:rsidRPr="00026AC4" w:rsidRDefault="00151F9A">
      <w:pPr>
        <w:spacing w:line="360" w:lineRule="auto"/>
        <w:ind w:left="426" w:right="426"/>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i/>
          <w:iCs/>
          <w:color w:val="000000"/>
        </w:rPr>
        <w:t xml:space="preserve">II. Aprobar el Programa Anual de Mejora Regulatoria Municipal, así como las propuestas de creación de regulaciones o de reforma específica y el Análisis de Impacto Regulatorio que le </w:t>
      </w:r>
      <w:r w:rsidRPr="00026AC4">
        <w:rPr>
          <w:rFonts w:ascii="Palatino Linotype" w:eastAsia="Palatino Linotype" w:hAnsi="Palatino Linotype" w:cs="Palatino Linotype"/>
          <w:i/>
          <w:iCs/>
          <w:color w:val="000000"/>
        </w:rPr>
        <w:lastRenderedPageBreak/>
        <w:t xml:space="preserve">presente el Secretario Técnico, para su envío a la Comisión, para los efectos de que ésta emita su opinión; </w:t>
      </w:r>
    </w:p>
    <w:p w:rsidR="00087FE8" w:rsidRPr="00026AC4" w:rsidRDefault="00151F9A">
      <w:pPr>
        <w:spacing w:line="360" w:lineRule="auto"/>
        <w:ind w:left="426" w:right="426"/>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i/>
          <w:iCs/>
          <w:color w:val="000000"/>
        </w:rPr>
        <w:t xml:space="preserve">III. Recibir, analizar y observar el informe anual del avance programático de Mejora Regulatoria y la evaluación de los resultados, que le presente el Secretario Técnico, e informar sobre el particular a la Comisión para los efectos legales correspondientes; </w:t>
      </w:r>
    </w:p>
    <w:p w:rsidR="00087FE8" w:rsidRPr="00026AC4" w:rsidRDefault="00151F9A">
      <w:pPr>
        <w:spacing w:line="360" w:lineRule="auto"/>
        <w:ind w:left="426" w:right="426"/>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i/>
          <w:iCs/>
          <w:color w:val="000000"/>
        </w:rPr>
        <w:t xml:space="preserve">IV. Informar al Cabildo del avance programático de mejora regulatoria y de la evaluación de los resultados; </w:t>
      </w:r>
    </w:p>
    <w:p w:rsidR="00087FE8" w:rsidRPr="00026AC4" w:rsidRDefault="00151F9A">
      <w:pPr>
        <w:spacing w:line="360" w:lineRule="auto"/>
        <w:ind w:left="426" w:right="426"/>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i/>
          <w:iCs/>
          <w:color w:val="000000"/>
        </w:rPr>
        <w:t xml:space="preserve">V. Aprobar la suscripción de convenios interinstitucionales de coordinación y cooperación con dependencias federales y/o estatales, y con otros municipios; </w:t>
      </w:r>
    </w:p>
    <w:p w:rsidR="00087FE8" w:rsidRPr="00026AC4" w:rsidRDefault="00151F9A">
      <w:pPr>
        <w:spacing w:line="360" w:lineRule="auto"/>
        <w:ind w:left="426" w:right="426"/>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i/>
          <w:iCs/>
          <w:color w:val="000000"/>
        </w:rPr>
        <w:t xml:space="preserve">VI. Proponer las acciones necesarias para optimizar el proceso de mejora regulatoria en las dependencias municipales; </w:t>
      </w:r>
    </w:p>
    <w:p w:rsidR="00087FE8" w:rsidRPr="00026AC4" w:rsidRDefault="00151F9A">
      <w:pPr>
        <w:spacing w:line="360" w:lineRule="auto"/>
        <w:ind w:left="426" w:right="426"/>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i/>
          <w:iCs/>
          <w:color w:val="000000"/>
        </w:rPr>
        <w:t xml:space="preserve">VII. Integrar, actualizar y administrar el Registro Municipal; y </w:t>
      </w:r>
    </w:p>
    <w:p w:rsidR="00087FE8" w:rsidRPr="00026AC4" w:rsidRDefault="00151F9A">
      <w:pPr>
        <w:spacing w:line="360" w:lineRule="auto"/>
        <w:ind w:left="426" w:right="426"/>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i/>
          <w:iCs/>
          <w:color w:val="000000"/>
        </w:rPr>
        <w:t>VIII. Las demás que le confiera esta Ley y demás disposiciones jurídicas aplicables. A la Comisión Municipal podrán concurrir como invitados permanentes, los representantes de las Dependencias que determine su Presidente, quien, asimismo, podrá invitar a las personas u organizaciones que considere pertinente cuando deban discutirse asuntos determinados, los que tendrán derecho a voz.”</w:t>
      </w:r>
    </w:p>
    <w:p w:rsidR="00087FE8" w:rsidRPr="00026AC4" w:rsidRDefault="00087FE8">
      <w:pPr>
        <w:spacing w:line="360" w:lineRule="auto"/>
        <w:ind w:left="426" w:right="426"/>
        <w:jc w:val="both"/>
        <w:rPr>
          <w:rFonts w:ascii="Palatino Linotype" w:eastAsia="Palatino Linotype" w:hAnsi="Palatino Linotype" w:cs="Palatino Linotype"/>
          <w:i/>
          <w:iCs/>
          <w:color w:val="000000"/>
        </w:rPr>
      </w:pPr>
    </w:p>
    <w:p w:rsidR="00087FE8" w:rsidRPr="00026AC4" w:rsidRDefault="00151F9A">
      <w:pPr>
        <w:spacing w:line="360" w:lineRule="auto"/>
        <w:ind w:left="426" w:right="426"/>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i/>
          <w:iCs/>
          <w:color w:val="000000"/>
        </w:rPr>
        <w:t xml:space="preserve">“Artículo 26.- Los Reglamentos Municipales de Mejora Regulatoria establecerán los términos en que funcionarán las respectivas Comisiones Municipales, </w:t>
      </w:r>
      <w:r w:rsidRPr="00026AC4">
        <w:rPr>
          <w:rFonts w:ascii="Palatino Linotype" w:eastAsia="Palatino Linotype" w:hAnsi="Palatino Linotype" w:cs="Palatino Linotype"/>
          <w:b/>
          <w:bCs/>
          <w:i/>
          <w:iCs/>
          <w:color w:val="000000"/>
        </w:rPr>
        <w:t>las cuales sesionarán de manera ordinaria por lo menos cuatro veces al año, dentro de las dos semanas previas al inicio del trimestre respectivo</w:t>
      </w:r>
      <w:r w:rsidRPr="00026AC4">
        <w:rPr>
          <w:rFonts w:ascii="Palatino Linotype" w:eastAsia="Palatino Linotype" w:hAnsi="Palatino Linotype" w:cs="Palatino Linotype"/>
          <w:i/>
          <w:iCs/>
          <w:color w:val="000000"/>
        </w:rPr>
        <w:t xml:space="preserve">.” </w:t>
      </w:r>
      <w:r w:rsidRPr="00026AC4">
        <w:rPr>
          <w:rFonts w:ascii="Palatino Linotype" w:eastAsia="Palatino Linotype" w:hAnsi="Palatino Linotype" w:cs="Palatino Linotype"/>
          <w:color w:val="000000"/>
        </w:rPr>
        <w:t>Énfasis añadido</w:t>
      </w:r>
    </w:p>
    <w:p w:rsidR="00087FE8" w:rsidRPr="00026AC4" w:rsidRDefault="00087FE8">
      <w:pPr>
        <w:pBdr>
          <w:top w:val="nil"/>
          <w:left w:val="nil"/>
          <w:bottom w:val="nil"/>
          <w:right w:val="nil"/>
          <w:between w:val="nil"/>
        </w:pBdr>
        <w:ind w:left="720"/>
        <w:rPr>
          <w:rFonts w:ascii="Palatino Linotype" w:eastAsia="Palatino Linotype" w:hAnsi="Palatino Linotype" w:cs="Palatino Linotype"/>
          <w:color w:val="000000"/>
        </w:rPr>
      </w:pPr>
    </w:p>
    <w:p w:rsidR="00087FE8" w:rsidRPr="00026AC4" w:rsidRDefault="00151F9A">
      <w:pPr>
        <w:numPr>
          <w:ilvl w:val="0"/>
          <w:numId w:val="3"/>
        </w:numP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lastRenderedPageBreak/>
        <w:t>En esa tesitura el Reglamento de la Comisión Municipal de Mejora Regulatoria del Municipio de Toluca, establece lo siguiente:</w:t>
      </w:r>
    </w:p>
    <w:p w:rsidR="00087FE8" w:rsidRPr="00026AC4" w:rsidRDefault="00151F9A">
      <w:pPr>
        <w:spacing w:line="360" w:lineRule="auto"/>
        <w:ind w:left="426" w:right="426"/>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i/>
          <w:iCs/>
          <w:color w:val="000000"/>
        </w:rPr>
        <w:t>“Artículo 5.96. L</w:t>
      </w:r>
      <w:r w:rsidRPr="00026AC4">
        <w:rPr>
          <w:rFonts w:ascii="Palatino Linotype" w:eastAsia="Palatino Linotype" w:hAnsi="Palatino Linotype" w:cs="Palatino Linotype"/>
          <w:b/>
          <w:bCs/>
          <w:i/>
          <w:iCs/>
          <w:color w:val="000000"/>
        </w:rPr>
        <w:t>as sesiones de la Comisión Municipal serán ordinarias y extraordinarias</w:t>
      </w:r>
      <w:r w:rsidRPr="00026AC4">
        <w:rPr>
          <w:rFonts w:ascii="Palatino Linotype" w:eastAsia="Palatino Linotype" w:hAnsi="Palatino Linotype" w:cs="Palatino Linotype"/>
          <w:i/>
          <w:iCs/>
          <w:color w:val="000000"/>
        </w:rPr>
        <w:t xml:space="preserve">. Las primeras tendrán lugar </w:t>
      </w:r>
      <w:r w:rsidRPr="00026AC4">
        <w:rPr>
          <w:rFonts w:ascii="Palatino Linotype" w:eastAsia="Palatino Linotype" w:hAnsi="Palatino Linotype" w:cs="Palatino Linotype"/>
          <w:b/>
          <w:bCs/>
          <w:i/>
          <w:iCs/>
          <w:color w:val="000000"/>
        </w:rPr>
        <w:t>por lo menos cuatro veces al año</w:t>
      </w:r>
      <w:r w:rsidRPr="00026AC4">
        <w:rPr>
          <w:rFonts w:ascii="Palatino Linotype" w:eastAsia="Palatino Linotype" w:hAnsi="Palatino Linotype" w:cs="Palatino Linotype"/>
          <w:i/>
          <w:iCs/>
          <w:color w:val="000000"/>
        </w:rPr>
        <w:t>, dentro de las dos semanas previas al inicio del trimestre respectivo y las extraordinarias cuando así lo determine el Presidente de la Comisión Municipal. Considerando como excepción la celebración de la sesión correspondiente al primer trimestre; cuando se presente el cambio de Administración Municipal.“ Énfasis</w:t>
      </w:r>
      <w:r w:rsidRPr="00026AC4">
        <w:rPr>
          <w:rFonts w:ascii="Palatino Linotype" w:eastAsia="Palatino Linotype" w:hAnsi="Palatino Linotype" w:cs="Palatino Linotype"/>
          <w:color w:val="000000"/>
        </w:rPr>
        <w:t xml:space="preserve"> añadido</w:t>
      </w:r>
    </w:p>
    <w:p w:rsidR="00087FE8" w:rsidRPr="00026AC4" w:rsidRDefault="00087FE8">
      <w:pPr>
        <w:spacing w:line="360" w:lineRule="auto"/>
        <w:ind w:left="426" w:right="426"/>
        <w:jc w:val="both"/>
        <w:rPr>
          <w:rFonts w:ascii="Palatino Linotype" w:eastAsia="Palatino Linotype" w:hAnsi="Palatino Linotype" w:cs="Palatino Linotype"/>
          <w:i/>
          <w:iCs/>
          <w:color w:val="000000"/>
        </w:rPr>
      </w:pPr>
    </w:p>
    <w:p w:rsidR="00087FE8" w:rsidRPr="00026AC4" w:rsidRDefault="00151F9A">
      <w:pPr>
        <w:spacing w:line="360" w:lineRule="auto"/>
        <w:ind w:left="426" w:right="426"/>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i/>
          <w:iCs/>
          <w:color w:val="000000"/>
        </w:rPr>
        <w:t>“Artículo 5.97. Para celebrar sesión ordinaria, el Presidente de la Comisión Municipal enviará la convocatoria respectiva, con al menos cinco días hábiles de anticipación a cada integrante.”</w:t>
      </w:r>
    </w:p>
    <w:p w:rsidR="00087FE8" w:rsidRPr="00026AC4" w:rsidRDefault="00087FE8">
      <w:pPr>
        <w:pBdr>
          <w:top w:val="nil"/>
          <w:left w:val="nil"/>
          <w:bottom w:val="nil"/>
          <w:right w:val="nil"/>
          <w:between w:val="nil"/>
        </w:pBdr>
        <w:ind w:left="720"/>
        <w:rPr>
          <w:rFonts w:ascii="Palatino Linotype" w:eastAsia="Palatino Linotype" w:hAnsi="Palatino Linotype" w:cs="Palatino Linotype"/>
          <w:color w:val="000000"/>
        </w:rPr>
      </w:pPr>
    </w:p>
    <w:p w:rsidR="00087FE8" w:rsidRPr="00026AC4" w:rsidRDefault="00151F9A">
      <w:pPr>
        <w:numPr>
          <w:ilvl w:val="0"/>
          <w:numId w:val="3"/>
        </w:numP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Luego entonces, el régimen local establece que la frecuencia de las reuniones de la Comisión de referencia se encuentra predeterminada por una ley estatal con un mínimo de cuatro veces; asimismo que es cada Ayuntamiento, a través de su Reglamento Orgánico o un Manual, quien decide cada cuánto se reúnen sus comisiones de forma ordinaria, que en el caso concreto es un periodo coincidente.</w:t>
      </w:r>
    </w:p>
    <w:p w:rsidR="00087FE8" w:rsidRPr="00026AC4" w:rsidRDefault="00087FE8">
      <w:pPr>
        <w:spacing w:line="360" w:lineRule="auto"/>
        <w:jc w:val="both"/>
        <w:rPr>
          <w:rFonts w:ascii="Palatino Linotype" w:eastAsia="Palatino Linotype" w:hAnsi="Palatino Linotype" w:cs="Palatino Linotype"/>
          <w:color w:val="000000"/>
        </w:rPr>
      </w:pPr>
    </w:p>
    <w:p w:rsidR="00087FE8" w:rsidRPr="00026AC4" w:rsidRDefault="00151F9A">
      <w:pPr>
        <w:numPr>
          <w:ilvl w:val="0"/>
          <w:numId w:val="3"/>
        </w:numP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 xml:space="preserve">Por tanto, si bien se requiere </w:t>
      </w:r>
      <w:r w:rsidRPr="00026AC4">
        <w:rPr>
          <w:rFonts w:ascii="Palatino Linotype" w:eastAsia="Palatino Linotype" w:hAnsi="Palatino Linotype" w:cs="Palatino Linotype"/>
        </w:rPr>
        <w:t>la información</w:t>
      </w:r>
      <w:r w:rsidRPr="00026AC4">
        <w:rPr>
          <w:rFonts w:ascii="Palatino Linotype" w:eastAsia="Palatino Linotype" w:hAnsi="Palatino Linotype" w:cs="Palatino Linotype"/>
          <w:color w:val="000000"/>
        </w:rPr>
        <w:t xml:space="preserve"> del año 2025; también lo es que tomando en consideración la fecha de la solicitud de información -19 de agosto de 2025-, </w:t>
      </w:r>
      <w:r w:rsidRPr="00026AC4">
        <w:rPr>
          <w:rFonts w:ascii="Palatino Linotype" w:eastAsia="Palatino Linotype" w:hAnsi="Palatino Linotype" w:cs="Palatino Linotype"/>
        </w:rPr>
        <w:t>aún</w:t>
      </w:r>
      <w:r w:rsidRPr="00026AC4">
        <w:rPr>
          <w:rFonts w:ascii="Palatino Linotype" w:eastAsia="Palatino Linotype" w:hAnsi="Palatino Linotype" w:cs="Palatino Linotype"/>
          <w:color w:val="000000"/>
        </w:rPr>
        <w:t xml:space="preserve"> no concluía el Ejercicio Fiscal, por tanto existe posibilidad que solo se hayan celebrado esas Sesiones, siendo la segunda de fecha </w:t>
      </w:r>
      <w:r w:rsidRPr="00026AC4">
        <w:rPr>
          <w:rFonts w:ascii="Palatino Linotype" w:eastAsia="Palatino Linotype" w:hAnsi="Palatino Linotype" w:cs="Palatino Linotype"/>
          <w:b/>
          <w:bCs/>
          <w:color w:val="000000"/>
        </w:rPr>
        <w:t>26 de junio de 2025</w:t>
      </w:r>
      <w:r w:rsidRPr="00026AC4">
        <w:rPr>
          <w:rFonts w:ascii="Palatino Linotype" w:eastAsia="Palatino Linotype" w:hAnsi="Palatino Linotype" w:cs="Palatino Linotype"/>
          <w:color w:val="000000"/>
        </w:rPr>
        <w:t>, lo anterior se refuerza con las publicaciones del Ayuntamiento, a saber:</w:t>
      </w:r>
    </w:p>
    <w:p w:rsidR="00087FE8" w:rsidRPr="00026AC4" w:rsidRDefault="00087FE8">
      <w:pPr>
        <w:pBdr>
          <w:top w:val="nil"/>
          <w:left w:val="nil"/>
          <w:bottom w:val="nil"/>
          <w:right w:val="nil"/>
          <w:between w:val="nil"/>
        </w:pBdr>
        <w:ind w:left="720"/>
        <w:rPr>
          <w:rFonts w:ascii="Palatino Linotype" w:eastAsia="Palatino Linotype" w:hAnsi="Palatino Linotype" w:cs="Palatino Linotype"/>
          <w:color w:val="000000"/>
        </w:rPr>
      </w:pPr>
    </w:p>
    <w:p w:rsidR="00087FE8" w:rsidRPr="00026AC4" w:rsidRDefault="00151F9A" w:rsidP="00026AC4">
      <w:pPr>
        <w:spacing w:line="360" w:lineRule="auto"/>
        <w:jc w:val="center"/>
        <w:rPr>
          <w:rFonts w:ascii="Palatino Linotype" w:eastAsia="Palatino Linotype" w:hAnsi="Palatino Linotype" w:cs="Palatino Linotype"/>
          <w:color w:val="000000"/>
        </w:rPr>
      </w:pPr>
      <w:r w:rsidRPr="00026AC4">
        <w:rPr>
          <w:rFonts w:ascii="Palatino Linotype" w:eastAsia="Palatino Linotype" w:hAnsi="Palatino Linotype" w:cs="Palatino Linotype"/>
          <w:noProof/>
          <w:color w:val="000000"/>
          <w:lang w:val="es-MX"/>
        </w:rPr>
        <w:lastRenderedPageBreak/>
        <w:drawing>
          <wp:inline distT="0" distB="0" distL="0" distR="0">
            <wp:extent cx="5671185" cy="225679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71185" cy="2256790"/>
                    </a:xfrm>
                    <a:prstGeom prst="rect">
                      <a:avLst/>
                    </a:prstGeom>
                    <a:ln/>
                  </pic:spPr>
                </pic:pic>
              </a:graphicData>
            </a:graphic>
          </wp:inline>
        </w:drawing>
      </w:r>
    </w:p>
    <w:p w:rsidR="00087FE8" w:rsidRPr="00026AC4" w:rsidRDefault="00087FE8">
      <w:pPr>
        <w:spacing w:line="360" w:lineRule="auto"/>
        <w:jc w:val="both"/>
        <w:rPr>
          <w:rFonts w:ascii="Palatino Linotype" w:eastAsia="Palatino Linotype" w:hAnsi="Palatino Linotype" w:cs="Palatino Linotype"/>
          <w:color w:val="000000"/>
        </w:rPr>
      </w:pPr>
    </w:p>
    <w:p w:rsidR="00087FE8" w:rsidRPr="00026AC4" w:rsidRDefault="00151F9A">
      <w:pPr>
        <w:numPr>
          <w:ilvl w:val="0"/>
          <w:numId w:val="3"/>
        </w:numPr>
        <w:spacing w:line="360" w:lineRule="auto"/>
        <w:ind w:left="0" w:firstLine="0"/>
        <w:jc w:val="both"/>
        <w:rPr>
          <w:rFonts w:ascii="Palatino Linotype" w:eastAsia="Palatino Linotype" w:hAnsi="Palatino Linotype" w:cs="Palatino Linotype"/>
        </w:rPr>
      </w:pPr>
      <w:r w:rsidRPr="00026AC4">
        <w:rPr>
          <w:rFonts w:ascii="Palatino Linotype" w:eastAsia="Palatino Linotype" w:hAnsi="Palatino Linotype" w:cs="Palatino Linotype"/>
          <w:color w:val="000000"/>
        </w:rPr>
        <w:t xml:space="preserve">Luego entonces es que se tiene por colmado el rubro de referencia, ya que sumado a lo anterior es de explorado derecho que </w:t>
      </w:r>
      <w:r w:rsidRPr="00026AC4">
        <w:rPr>
          <w:rFonts w:ascii="Palatino Linotype" w:eastAsia="Palatino Linotype" w:hAnsi="Palatino Linotype" w:cs="Palatino Linotype"/>
        </w:rPr>
        <w:t xml:space="preserve"> este</w:t>
      </w:r>
      <w:r w:rsidRPr="00026AC4">
        <w:rPr>
          <w:rFonts w:ascii="Palatino Linotype" w:eastAsia="Palatino Linotype" w:hAnsi="Palatino Linotype" w:cs="Palatino Linotype"/>
          <w:color w:val="000000"/>
        </w:rPr>
        <w:t xml:space="preserve"> Instituto no se encuentra facultado para dudar de la veracidad de los pronunciamientos del </w:t>
      </w:r>
      <w:r w:rsidRPr="00026AC4">
        <w:rPr>
          <w:rFonts w:ascii="Palatino Linotype" w:eastAsia="Palatino Linotype" w:hAnsi="Palatino Linotype" w:cs="Palatino Linotype"/>
          <w:b/>
          <w:bCs/>
          <w:color w:val="000000"/>
        </w:rPr>
        <w:t>SUJETO OBLIGADO</w:t>
      </w:r>
      <w:r w:rsidRPr="00026AC4">
        <w:rPr>
          <w:rFonts w:ascii="Palatino Linotype" w:eastAsia="Palatino Linotype" w:hAnsi="Palatino Linotype" w:cs="Palatino Linotype"/>
          <w:color w:val="000000"/>
        </w:rPr>
        <w:t xml:space="preserve">, ni de las respuestas, ni de las documentales que ponen a disposición de los solicitantes los sujetos obligados, </w:t>
      </w:r>
      <w:r w:rsidRPr="00026AC4">
        <w:rPr>
          <w:rFonts w:ascii="Palatino Linotype" w:eastAsia="Palatino Linotype" w:hAnsi="Palatino Linotype" w:cs="Palatino Linotype"/>
        </w:rPr>
        <w:t xml:space="preserve">situación que se aleja de las atribuciones de este Instituto </w:t>
      </w:r>
      <w:r w:rsidRPr="00026AC4">
        <w:rPr>
          <w:rFonts w:ascii="Palatino Linotype" w:eastAsia="Palatino Linotype" w:hAnsi="Palatino Linotype" w:cs="Palatino Linotype"/>
          <w:i/>
          <w:iCs/>
          <w:color w:val="000000"/>
        </w:rPr>
        <w:t>máxime</w:t>
      </w:r>
      <w:r w:rsidRPr="00026AC4">
        <w:rPr>
          <w:rFonts w:ascii="Palatino Linotype" w:eastAsia="Palatino Linotype" w:hAnsi="Palatino Linotype" w:cs="Palatino Linotype"/>
          <w:color w:val="000000"/>
        </w:rPr>
        <w:t xml:space="preserve"> que al momento que ponen a disposición ésta, la misma tiene el carácter oficial y se presume veraz, tan es así que la misma queda registrada en el Sistema de Acceso a la Información Mexiquense (SAIMEX).</w:t>
      </w:r>
    </w:p>
    <w:p w:rsidR="00087FE8" w:rsidRPr="00026AC4" w:rsidRDefault="00087FE8">
      <w:pPr>
        <w:pBdr>
          <w:top w:val="nil"/>
          <w:left w:val="nil"/>
          <w:bottom w:val="nil"/>
          <w:right w:val="nil"/>
          <w:between w:val="nil"/>
        </w:pBdr>
        <w:ind w:left="720"/>
        <w:rPr>
          <w:rFonts w:ascii="Palatino Linotype" w:eastAsia="Palatino Linotype" w:hAnsi="Palatino Linotype" w:cs="Palatino Linotype"/>
          <w:color w:val="000000"/>
        </w:rPr>
      </w:pPr>
    </w:p>
    <w:p w:rsidR="00087FE8" w:rsidRPr="00026AC4" w:rsidRDefault="00151F9A">
      <w:pPr>
        <w:numPr>
          <w:ilvl w:val="0"/>
          <w:numId w:val="3"/>
        </w:numPr>
        <w:spacing w:line="360" w:lineRule="auto"/>
        <w:ind w:left="0" w:firstLine="0"/>
        <w:jc w:val="both"/>
        <w:rPr>
          <w:rFonts w:ascii="Palatino Linotype" w:eastAsia="Palatino Linotype" w:hAnsi="Palatino Linotype" w:cs="Palatino Linotype"/>
        </w:rPr>
      </w:pPr>
      <w:r w:rsidRPr="00026AC4">
        <w:rPr>
          <w:rFonts w:ascii="Palatino Linotype" w:eastAsia="Palatino Linotype" w:hAnsi="Palatino Linotype" w:cs="Palatino Linotype"/>
        </w:rPr>
        <w:t xml:space="preserve">Sirviendo de apoyo a lo anterior por analogía, el criterio 31-10 emitido por el ahora Instituto </w:t>
      </w:r>
      <w:r w:rsidRPr="00026AC4">
        <w:rPr>
          <w:rFonts w:ascii="Palatino Linotype" w:eastAsia="Palatino Linotype" w:hAnsi="Palatino Linotype" w:cs="Palatino Linotype"/>
          <w:color w:val="000000"/>
        </w:rPr>
        <w:t>Nacional</w:t>
      </w:r>
      <w:r w:rsidRPr="00026AC4">
        <w:rPr>
          <w:rFonts w:ascii="Palatino Linotype" w:eastAsia="Palatino Linotype" w:hAnsi="Palatino Linotype" w:cs="Palatino Linotype"/>
        </w:rPr>
        <w:t xml:space="preserve"> de Transparencia, Acceso a la Información y Protección de Datos Personales, que a la letra dice:</w:t>
      </w:r>
    </w:p>
    <w:p w:rsidR="00087FE8" w:rsidRPr="00026AC4" w:rsidRDefault="00151F9A">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i/>
          <w:iCs/>
          <w:color w:val="000000"/>
        </w:rPr>
        <w:t xml:space="preserve">“El Instituto Federal de Acceso a la Información y Protección de Datos </w:t>
      </w:r>
      <w:r w:rsidRPr="00026AC4">
        <w:rPr>
          <w:rFonts w:ascii="Palatino Linotype" w:eastAsia="Palatino Linotype" w:hAnsi="Palatino Linotype" w:cs="Palatino Linotype"/>
          <w:b/>
          <w:bCs/>
          <w:i/>
          <w:iCs/>
          <w:color w:val="000000"/>
        </w:rPr>
        <w:t>no cuenta con facultades para pronunciarse respecto de la veracidad de los documentos proporcionados por los sujetos obligados.</w:t>
      </w:r>
      <w:r w:rsidRPr="00026AC4">
        <w:rPr>
          <w:rFonts w:ascii="Palatino Linotype" w:eastAsia="Palatino Linotype" w:hAnsi="Palatino Linotype" w:cs="Palatino Linotype"/>
          <w:i/>
          <w:iCs/>
          <w:color w:val="000000"/>
        </w:rPr>
        <w:t xml:space="preserve"> El Instituto Federal de Acceso a la Información y Protección de Datos es un órgano de la Administración Pública Federal con </w:t>
      </w:r>
      <w:r w:rsidRPr="00026AC4">
        <w:rPr>
          <w:rFonts w:ascii="Palatino Linotype" w:eastAsia="Palatino Linotype" w:hAnsi="Palatino Linotype" w:cs="Palatino Linotype"/>
          <w:i/>
          <w:iCs/>
          <w:color w:val="000000"/>
        </w:rPr>
        <w:lastRenderedPageBreak/>
        <w:t>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87FE8" w:rsidRPr="00026AC4" w:rsidRDefault="00087FE8">
      <w:pPr>
        <w:pBdr>
          <w:top w:val="nil"/>
          <w:left w:val="nil"/>
          <w:bottom w:val="nil"/>
          <w:right w:val="nil"/>
          <w:between w:val="nil"/>
        </w:pBdr>
        <w:spacing w:line="360" w:lineRule="auto"/>
        <w:ind w:left="851" w:right="850"/>
        <w:jc w:val="both"/>
        <w:rPr>
          <w:rFonts w:ascii="Palatino Linotype" w:eastAsia="Palatino Linotype" w:hAnsi="Palatino Linotype" w:cs="Palatino Linotype"/>
          <w:i/>
          <w:iCs/>
          <w:color w:val="000000"/>
        </w:rPr>
      </w:pPr>
    </w:p>
    <w:p w:rsidR="00087FE8" w:rsidRPr="00026AC4" w:rsidRDefault="00151F9A">
      <w:pPr>
        <w:numPr>
          <w:ilvl w:val="0"/>
          <w:numId w:val="3"/>
        </w:numPr>
        <w:spacing w:line="360" w:lineRule="auto"/>
        <w:ind w:left="0" w:firstLine="0"/>
        <w:jc w:val="both"/>
        <w:rPr>
          <w:rFonts w:ascii="Palatino Linotype" w:eastAsia="Palatino Linotype" w:hAnsi="Palatino Linotype" w:cs="Palatino Linotype"/>
          <w:i/>
          <w:iCs/>
        </w:rPr>
      </w:pPr>
      <w:r w:rsidRPr="00026AC4">
        <w:rPr>
          <w:rFonts w:ascii="Palatino Linotype" w:eastAsia="Palatino Linotype" w:hAnsi="Palatino Linotype" w:cs="Palatino Linotype"/>
        </w:rPr>
        <w:t xml:space="preserve">Así como lo dispuesto por la </w:t>
      </w:r>
      <w:r w:rsidRPr="00026AC4">
        <w:rPr>
          <w:rFonts w:ascii="Palatino Linotype" w:eastAsia="Palatino Linotype" w:hAnsi="Palatino Linotype" w:cs="Palatino Linotype"/>
          <w:b/>
          <w:bCs/>
        </w:rPr>
        <w:t xml:space="preserve">Ley de Transparencia y Acceso a la Información Pública del </w:t>
      </w:r>
      <w:r w:rsidRPr="00026AC4">
        <w:rPr>
          <w:rFonts w:ascii="Palatino Linotype" w:eastAsia="Palatino Linotype" w:hAnsi="Palatino Linotype" w:cs="Palatino Linotype"/>
          <w:color w:val="000000"/>
        </w:rPr>
        <w:t>Estado</w:t>
      </w:r>
      <w:r w:rsidRPr="00026AC4">
        <w:rPr>
          <w:rFonts w:ascii="Palatino Linotype" w:eastAsia="Palatino Linotype" w:hAnsi="Palatino Linotype" w:cs="Palatino Linotype"/>
          <w:b/>
          <w:bCs/>
        </w:rPr>
        <w:t xml:space="preserve"> de México y Municipios</w:t>
      </w:r>
      <w:r w:rsidRPr="00026AC4">
        <w:rPr>
          <w:rFonts w:ascii="Palatino Linotype" w:eastAsia="Palatino Linotype" w:hAnsi="Palatino Linotype" w:cs="Palatino Linotype"/>
        </w:rPr>
        <w:t xml:space="preserve"> en su artículo 3, el cual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087FE8" w:rsidRPr="00026AC4" w:rsidRDefault="00151F9A">
      <w:pPr>
        <w:pBdr>
          <w:top w:val="nil"/>
          <w:left w:val="nil"/>
          <w:bottom w:val="nil"/>
          <w:right w:val="nil"/>
          <w:between w:val="nil"/>
        </w:pBdr>
        <w:spacing w:line="360" w:lineRule="auto"/>
        <w:ind w:left="567" w:right="680"/>
        <w:jc w:val="both"/>
        <w:rPr>
          <w:rFonts w:ascii="Palatino Linotype" w:eastAsia="Palatino Linotype" w:hAnsi="Palatino Linotype" w:cs="Palatino Linotype"/>
          <w:b/>
          <w:bCs/>
          <w:i/>
          <w:iCs/>
          <w:color w:val="000000"/>
        </w:rPr>
      </w:pPr>
      <w:r w:rsidRPr="00026AC4">
        <w:rPr>
          <w:rFonts w:ascii="Palatino Linotype" w:eastAsia="Palatino Linotype" w:hAnsi="Palatino Linotype" w:cs="Palatino Linotype"/>
          <w:i/>
          <w:iCs/>
          <w:color w:val="000000"/>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026AC4">
        <w:rPr>
          <w:rFonts w:ascii="Palatino Linotype" w:eastAsia="Palatino Linotype" w:hAnsi="Palatino Linotype" w:cs="Palatino Linotype"/>
          <w:b/>
          <w:bCs/>
          <w:i/>
          <w:iCs/>
          <w:color w:val="000000"/>
        </w:rPr>
        <w:t>Los Sujetos Obligados deben poner en práctica, políticas y programas de acceso a la información que se apeguen a criterios de publicidad, veracidad, oportunidad, precisión y suficiencia en beneficio de los solicitantes.</w:t>
      </w:r>
    </w:p>
    <w:p w:rsidR="00087FE8" w:rsidRPr="00026AC4" w:rsidRDefault="00087FE8">
      <w:pPr>
        <w:pBdr>
          <w:top w:val="nil"/>
          <w:left w:val="nil"/>
          <w:bottom w:val="nil"/>
          <w:right w:val="nil"/>
          <w:between w:val="nil"/>
        </w:pBdr>
        <w:spacing w:line="360" w:lineRule="auto"/>
        <w:ind w:left="567" w:right="680"/>
        <w:jc w:val="both"/>
        <w:rPr>
          <w:rFonts w:ascii="Palatino Linotype" w:eastAsia="Palatino Linotype" w:hAnsi="Palatino Linotype" w:cs="Palatino Linotype"/>
          <w:b/>
          <w:bCs/>
          <w:i/>
          <w:iCs/>
          <w:color w:val="000000"/>
        </w:rPr>
      </w:pPr>
    </w:p>
    <w:p w:rsidR="00087FE8" w:rsidRPr="00026AC4" w:rsidRDefault="00151F9A">
      <w:pPr>
        <w:numPr>
          <w:ilvl w:val="0"/>
          <w:numId w:val="3"/>
        </w:numP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rPr>
        <w:lastRenderedPageBreak/>
        <w:t xml:space="preserve">Numerales que compelen al </w:t>
      </w:r>
      <w:r w:rsidRPr="00026AC4">
        <w:rPr>
          <w:rFonts w:ascii="Palatino Linotype" w:eastAsia="Palatino Linotype" w:hAnsi="Palatino Linotype" w:cs="Palatino Linotype"/>
          <w:b/>
          <w:bCs/>
        </w:rPr>
        <w:t>SUJETO OBLIGADO</w:t>
      </w:r>
      <w:r w:rsidRPr="00026AC4">
        <w:rPr>
          <w:rFonts w:ascii="Palatino Linotype" w:eastAsia="Palatino Linotype" w:hAnsi="Palatino Linotype" w:cs="Palatino Linotype"/>
        </w:rPr>
        <w:t xml:space="preserve"> apegarse en todo momento a los criterios ya expuestos, impidiendo a este Órgano Colegiado cuestionar la veracidad de la información.</w:t>
      </w:r>
    </w:p>
    <w:p w:rsidR="00087FE8" w:rsidRPr="00026AC4" w:rsidRDefault="00087FE8">
      <w:pPr>
        <w:pBdr>
          <w:top w:val="nil"/>
          <w:left w:val="nil"/>
          <w:bottom w:val="nil"/>
          <w:right w:val="nil"/>
          <w:between w:val="nil"/>
        </w:pBdr>
        <w:tabs>
          <w:tab w:val="left" w:pos="0"/>
          <w:tab w:val="left" w:pos="142"/>
        </w:tabs>
        <w:spacing w:line="360" w:lineRule="auto"/>
        <w:jc w:val="both"/>
        <w:rPr>
          <w:rFonts w:ascii="Palatino Linotype" w:eastAsia="Palatino Linotype" w:hAnsi="Palatino Linotype" w:cs="Palatino Linotype"/>
          <w:color w:val="000000"/>
        </w:rPr>
      </w:pPr>
    </w:p>
    <w:p w:rsidR="00026AC4" w:rsidRDefault="00151F9A">
      <w:pPr>
        <w:numPr>
          <w:ilvl w:val="0"/>
          <w:numId w:val="3"/>
        </w:numP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 xml:space="preserve">A colación de lo anterior, es necesario traer a contexto el rubro de las evidencias; toda vez que se </w:t>
      </w:r>
      <w:r w:rsidRPr="00026AC4">
        <w:rPr>
          <w:rFonts w:ascii="Palatino Linotype" w:eastAsia="Palatino Linotype" w:hAnsi="Palatino Linotype" w:cs="Palatino Linotype"/>
        </w:rPr>
        <w:t>deduce</w:t>
      </w:r>
      <w:r w:rsidRPr="00026AC4">
        <w:rPr>
          <w:rFonts w:ascii="Palatino Linotype" w:eastAsia="Palatino Linotype" w:hAnsi="Palatino Linotype" w:cs="Palatino Linotype"/>
          <w:color w:val="000000"/>
        </w:rPr>
        <w:t xml:space="preserve"> que son las propias Actas, la documental por excelencia que da cuenta de la evidencia de haberse celebrado un acto, jurídico, administrativo o de </w:t>
      </w:r>
      <w:r w:rsidRPr="00026AC4">
        <w:rPr>
          <w:rFonts w:ascii="Palatino Linotype" w:eastAsia="Palatino Linotype" w:hAnsi="Palatino Linotype" w:cs="Palatino Linotype"/>
        </w:rPr>
        <w:t>las</w:t>
      </w:r>
      <w:r w:rsidRPr="00026AC4">
        <w:rPr>
          <w:rFonts w:ascii="Palatino Linotype" w:eastAsia="Palatino Linotype" w:hAnsi="Palatino Linotype" w:cs="Palatino Linotype"/>
          <w:color w:val="000000"/>
        </w:rPr>
        <w:t xml:space="preserve"> funciones y atribuciones de derecho público que cuenta en el caso concreto la Comisión Municipal de Mejora Regulatoria. Entendiendo como </w:t>
      </w:r>
      <w:r w:rsidRPr="00026AC4">
        <w:rPr>
          <w:rFonts w:ascii="Palatino Linotype" w:eastAsia="Palatino Linotype" w:hAnsi="Palatino Linotype" w:cs="Palatino Linotype"/>
          <w:i/>
          <w:iCs/>
          <w:color w:val="000000"/>
        </w:rPr>
        <w:t>evidencia</w:t>
      </w:r>
      <w:r w:rsidRPr="00026AC4">
        <w:rPr>
          <w:rFonts w:ascii="Palatino Linotype" w:eastAsia="Palatino Linotype" w:hAnsi="Palatino Linotype" w:cs="Palatino Linotype"/>
          <w:color w:val="000000"/>
        </w:rPr>
        <w:t xml:space="preserve"> de acuerdo con el Diccionario de la lengua española: f. Prueba determinante en un proceso.</w:t>
      </w:r>
    </w:p>
    <w:p w:rsidR="00087FE8" w:rsidRPr="00026AC4" w:rsidRDefault="00151F9A" w:rsidP="00026AC4">
      <w:pPr>
        <w:spacing w:line="360" w:lineRule="auto"/>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 xml:space="preserve"> </w:t>
      </w:r>
    </w:p>
    <w:p w:rsidR="00087FE8" w:rsidRPr="00026AC4" w:rsidRDefault="00151F9A">
      <w:pPr>
        <w:numPr>
          <w:ilvl w:val="0"/>
          <w:numId w:val="3"/>
        </w:numP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Por tanto –se insiste– las documentales remitidas dan cuenta del proceso que se llevó a cabo siendo la documental que por excelencia da cuenta de la evidencia de las sesiones llevadas a cabo y, sumado a que no se requirió algún tipo de evidencia en concreto como lo pudieran ser las audio-visuales, es que se tiene por atendido el rubro en comento.</w:t>
      </w:r>
    </w:p>
    <w:p w:rsidR="00087FE8" w:rsidRPr="00026AC4" w:rsidRDefault="00087FE8">
      <w:pPr>
        <w:pBdr>
          <w:top w:val="nil"/>
          <w:left w:val="nil"/>
          <w:bottom w:val="nil"/>
          <w:right w:val="nil"/>
          <w:between w:val="nil"/>
        </w:pBdr>
        <w:ind w:left="720"/>
        <w:rPr>
          <w:rFonts w:ascii="Palatino Linotype" w:eastAsia="Palatino Linotype" w:hAnsi="Palatino Linotype" w:cs="Palatino Linotype"/>
          <w:color w:val="000000"/>
        </w:rPr>
      </w:pPr>
    </w:p>
    <w:p w:rsidR="00087FE8" w:rsidRPr="00026AC4" w:rsidRDefault="00151F9A">
      <w:pPr>
        <w:numPr>
          <w:ilvl w:val="0"/>
          <w:numId w:val="3"/>
        </w:numP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 xml:space="preserve">Por otro lado, una vez determinado que solo se llevaron a cabo las Sesiones Ordinarias </w:t>
      </w:r>
      <w:r w:rsidRPr="00026AC4">
        <w:rPr>
          <w:rFonts w:ascii="Palatino Linotype" w:eastAsia="Palatino Linotype" w:hAnsi="Palatino Linotype" w:cs="Palatino Linotype"/>
        </w:rPr>
        <w:t>señaladas</w:t>
      </w:r>
      <w:r w:rsidRPr="00026AC4">
        <w:rPr>
          <w:rFonts w:ascii="Palatino Linotype" w:eastAsia="Palatino Linotype" w:hAnsi="Palatino Linotype" w:cs="Palatino Linotype"/>
          <w:color w:val="000000"/>
        </w:rPr>
        <w:t xml:space="preserve"> en la respuesta, es necesario traer a contexto el rubro de las </w:t>
      </w:r>
      <w:r w:rsidRPr="00026AC4">
        <w:rPr>
          <w:rFonts w:ascii="Palatino Linotype" w:eastAsia="Palatino Linotype" w:hAnsi="Palatino Linotype" w:cs="Palatino Linotype"/>
          <w:i/>
          <w:iCs/>
          <w:color w:val="000000"/>
        </w:rPr>
        <w:t>citaciones</w:t>
      </w:r>
      <w:r w:rsidRPr="00026AC4">
        <w:rPr>
          <w:rFonts w:ascii="Palatino Linotype" w:eastAsia="Palatino Linotype" w:hAnsi="Palatino Linotype" w:cs="Palatino Linotype"/>
          <w:color w:val="000000"/>
        </w:rPr>
        <w:t xml:space="preserve"> a efecto de determinar si guardan congruencia con las Sesiones celebradas.</w:t>
      </w:r>
    </w:p>
    <w:p w:rsidR="00087FE8" w:rsidRPr="00026AC4" w:rsidRDefault="00087FE8">
      <w:pPr>
        <w:pBdr>
          <w:top w:val="nil"/>
          <w:left w:val="nil"/>
          <w:bottom w:val="nil"/>
          <w:right w:val="nil"/>
          <w:between w:val="nil"/>
        </w:pBdr>
        <w:ind w:left="720"/>
        <w:rPr>
          <w:rFonts w:ascii="Palatino Linotype" w:eastAsia="Palatino Linotype" w:hAnsi="Palatino Linotype" w:cs="Palatino Linotype"/>
          <w:color w:val="000000"/>
        </w:rPr>
      </w:pPr>
    </w:p>
    <w:p w:rsidR="00087FE8" w:rsidRPr="00026AC4" w:rsidRDefault="00151F9A">
      <w:pPr>
        <w:numPr>
          <w:ilvl w:val="0"/>
          <w:numId w:val="3"/>
        </w:numPr>
        <w:spacing w:line="360" w:lineRule="auto"/>
        <w:ind w:left="0" w:firstLine="0"/>
        <w:jc w:val="both"/>
        <w:rPr>
          <w:rFonts w:ascii="Palatino Linotype" w:eastAsia="Palatino Linotype" w:hAnsi="Palatino Linotype" w:cs="Palatino Linotype"/>
          <w:b/>
          <w:bCs/>
          <w:i/>
          <w:iCs/>
          <w:color w:val="000000"/>
        </w:rPr>
      </w:pPr>
      <w:r w:rsidRPr="00026AC4">
        <w:rPr>
          <w:rFonts w:ascii="Palatino Linotype" w:eastAsia="Palatino Linotype" w:hAnsi="Palatino Linotype" w:cs="Palatino Linotype"/>
          <w:color w:val="000000"/>
        </w:rPr>
        <w:t xml:space="preserve">En ese sentido a través del archivo electrónico denominado </w:t>
      </w:r>
      <w:r w:rsidRPr="00026AC4">
        <w:rPr>
          <w:rFonts w:ascii="Palatino Linotype" w:eastAsia="Palatino Linotype" w:hAnsi="Palatino Linotype" w:cs="Palatino Linotype"/>
          <w:b/>
          <w:bCs/>
          <w:i/>
          <w:iCs/>
          <w:color w:val="000000"/>
        </w:rPr>
        <w:t>convocatorias sesion 2025.pdf</w:t>
      </w:r>
      <w:r w:rsidRPr="00026AC4">
        <w:rPr>
          <w:rFonts w:ascii="Palatino Linotype" w:eastAsia="Palatino Linotype" w:hAnsi="Palatino Linotype" w:cs="Palatino Linotype"/>
          <w:color w:val="000000"/>
        </w:rPr>
        <w:t xml:space="preserve">, cuyo contenido corresponde a un archivo compuesto de 29 fojas, de las que se desprenden las Convocatorias suscritas por el Presidente Municipal a la Primera Sesión Ordinaria de la Comisión Municipal de Mejora Regulatoria 2025 – 2027. Luego entonces </w:t>
      </w:r>
      <w:r w:rsidRPr="00026AC4">
        <w:rPr>
          <w:rFonts w:ascii="Palatino Linotype" w:eastAsia="Palatino Linotype" w:hAnsi="Palatino Linotype" w:cs="Palatino Linotype"/>
          <w:color w:val="000000"/>
        </w:rPr>
        <w:lastRenderedPageBreak/>
        <w:t>resulta que el punto de mérito fue atendido de manera parcial, al no haberse remitido las Convocatorias correspondiente a la Segunda Sesión Ordinaria; mismas que debieron elaborarse a efecto de convocar conforme a lo dispuesto en lo Ley Para la Mejora Regulatoria del Estado del México y sus Municipios, en el artículo 24 fracción V, a saber:</w:t>
      </w:r>
    </w:p>
    <w:p w:rsidR="00087FE8" w:rsidRPr="00026AC4" w:rsidRDefault="00151F9A">
      <w:pPr>
        <w:spacing w:line="360" w:lineRule="auto"/>
        <w:ind w:left="567" w:right="426"/>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i/>
          <w:iCs/>
          <w:color w:val="000000"/>
        </w:rPr>
        <w:t xml:space="preserve">“Artículo 24.- El Secretario Técnico de la Comisión Municipal tendrá, en su ámbito de competencia, las siguientes funciones: </w:t>
      </w:r>
    </w:p>
    <w:p w:rsidR="00087FE8" w:rsidRPr="00026AC4" w:rsidRDefault="00151F9A">
      <w:pPr>
        <w:spacing w:line="360" w:lineRule="auto"/>
        <w:ind w:left="567" w:right="426"/>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i/>
          <w:iCs/>
          <w:color w:val="000000"/>
        </w:rPr>
        <w:t>…</w:t>
      </w:r>
    </w:p>
    <w:p w:rsidR="00087FE8" w:rsidRPr="00026AC4" w:rsidRDefault="00151F9A">
      <w:pPr>
        <w:spacing w:line="360" w:lineRule="auto"/>
        <w:ind w:left="567" w:right="426"/>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i/>
          <w:iCs/>
          <w:color w:val="000000"/>
        </w:rPr>
        <w:t xml:space="preserve">V. Convocar a sesiones ordinarias de la Comisión Municipal y a sesiones extraordinarias cuando así lo instruya el Presidente de la misma; </w:t>
      </w:r>
    </w:p>
    <w:p w:rsidR="00087FE8" w:rsidRPr="00026AC4" w:rsidRDefault="00151F9A">
      <w:pPr>
        <w:spacing w:line="360" w:lineRule="auto"/>
        <w:ind w:left="567" w:right="426"/>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i/>
          <w:iCs/>
          <w:color w:val="000000"/>
        </w:rPr>
        <w:t>...”</w:t>
      </w:r>
    </w:p>
    <w:p w:rsidR="00087FE8" w:rsidRPr="00026AC4" w:rsidRDefault="00087FE8">
      <w:pPr>
        <w:spacing w:line="360" w:lineRule="auto"/>
        <w:jc w:val="both"/>
        <w:rPr>
          <w:rFonts w:ascii="Palatino Linotype" w:eastAsia="Palatino Linotype" w:hAnsi="Palatino Linotype" w:cs="Palatino Linotype"/>
          <w:color w:val="000000"/>
        </w:rPr>
      </w:pPr>
    </w:p>
    <w:p w:rsidR="00087FE8" w:rsidRPr="00026AC4" w:rsidRDefault="00151F9A">
      <w:pPr>
        <w:numPr>
          <w:ilvl w:val="0"/>
          <w:numId w:val="3"/>
        </w:numP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En concordancia con lo anterior, el Reglamento de la Comisión Municipal de Mejora Regulatoria del Municipio de Toluca, dispone lo siguiente:</w:t>
      </w:r>
    </w:p>
    <w:p w:rsidR="00087FE8" w:rsidRPr="00026AC4" w:rsidRDefault="00151F9A">
      <w:pPr>
        <w:spacing w:line="360" w:lineRule="auto"/>
        <w:ind w:left="426" w:right="426"/>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i/>
          <w:iCs/>
          <w:color w:val="000000"/>
        </w:rPr>
        <w:t xml:space="preserve">“Artículo 5.97. </w:t>
      </w:r>
      <w:r w:rsidRPr="00026AC4">
        <w:rPr>
          <w:rFonts w:ascii="Palatino Linotype" w:eastAsia="Palatino Linotype" w:hAnsi="Palatino Linotype" w:cs="Palatino Linotype"/>
          <w:b/>
          <w:bCs/>
          <w:i/>
          <w:iCs/>
          <w:color w:val="000000"/>
        </w:rPr>
        <w:t>Para celebrar sesión ordinaria, el Presidente de la Comisión Municipal enviará la convocatoria respectiva</w:t>
      </w:r>
      <w:r w:rsidRPr="00026AC4">
        <w:rPr>
          <w:rFonts w:ascii="Palatino Linotype" w:eastAsia="Palatino Linotype" w:hAnsi="Palatino Linotype" w:cs="Palatino Linotype"/>
          <w:i/>
          <w:iCs/>
          <w:color w:val="000000"/>
        </w:rPr>
        <w:t>, con al menos cinco días hábiles de anticipación a cada integrante.”</w:t>
      </w:r>
    </w:p>
    <w:p w:rsidR="00087FE8" w:rsidRPr="00026AC4" w:rsidRDefault="00087FE8">
      <w:pPr>
        <w:spacing w:line="360" w:lineRule="auto"/>
        <w:ind w:left="426" w:right="426"/>
        <w:jc w:val="both"/>
        <w:rPr>
          <w:rFonts w:ascii="Palatino Linotype" w:eastAsia="Palatino Linotype" w:hAnsi="Palatino Linotype" w:cs="Palatino Linotype"/>
          <w:i/>
          <w:iCs/>
          <w:color w:val="000000"/>
        </w:rPr>
      </w:pPr>
    </w:p>
    <w:p w:rsidR="00087FE8" w:rsidRPr="00026AC4" w:rsidRDefault="00151F9A">
      <w:pPr>
        <w:spacing w:line="360" w:lineRule="auto"/>
        <w:ind w:left="426" w:right="426"/>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i/>
          <w:iCs/>
          <w:color w:val="000000"/>
        </w:rPr>
        <w:t xml:space="preserve">“Artículo 5.98. El Presidente de la Comisión Municipal hará llegar la convocatoria a los especialistas o representantes de organizaciones cuya participación y opiniones considere pertinentes y oportunas, de acuerdo con los temas a analizar, con al menos ocho días hábiles antes de aquél en que se celebre la sesión respectiva.”   </w:t>
      </w:r>
    </w:p>
    <w:p w:rsidR="00087FE8" w:rsidRPr="00026AC4" w:rsidRDefault="00087FE8">
      <w:pPr>
        <w:spacing w:line="360" w:lineRule="auto"/>
        <w:ind w:left="426" w:right="426"/>
        <w:jc w:val="both"/>
        <w:rPr>
          <w:rFonts w:ascii="Palatino Linotype" w:eastAsia="Palatino Linotype" w:hAnsi="Palatino Linotype" w:cs="Palatino Linotype"/>
          <w:i/>
          <w:iCs/>
          <w:color w:val="000000"/>
        </w:rPr>
      </w:pPr>
    </w:p>
    <w:p w:rsidR="00087FE8" w:rsidRPr="00026AC4" w:rsidRDefault="00151F9A">
      <w:pPr>
        <w:spacing w:line="360" w:lineRule="auto"/>
        <w:ind w:left="426" w:right="426"/>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i/>
          <w:iCs/>
          <w:color w:val="000000"/>
        </w:rPr>
        <w:lastRenderedPageBreak/>
        <w:t xml:space="preserve">“Artículo 5.99. La convocatoria para celebrar sesiones de la Comisión Municipal deberá señalar el tipo de sesión que se convoca, la fecha, hora y lugar de reunión, e incluir el orden del día, con el señalamiento de los asuntos que ésta conocerá.   </w:t>
      </w:r>
    </w:p>
    <w:p w:rsidR="00087FE8" w:rsidRPr="00026AC4" w:rsidRDefault="00151F9A">
      <w:pPr>
        <w:spacing w:line="360" w:lineRule="auto"/>
        <w:ind w:left="426" w:right="426"/>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i/>
          <w:iCs/>
          <w:color w:val="000000"/>
        </w:rPr>
        <w:t xml:space="preserve">La convocatoria será válida cuando en la sesión se encuentren reunidos la mayoría de los integrantes de la Comisión Municipal.   </w:t>
      </w:r>
    </w:p>
    <w:p w:rsidR="00087FE8" w:rsidRPr="00026AC4" w:rsidRDefault="00151F9A">
      <w:pPr>
        <w:spacing w:line="360" w:lineRule="auto"/>
        <w:ind w:left="426" w:right="426"/>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i/>
          <w:iCs/>
          <w:color w:val="000000"/>
        </w:rPr>
        <w:t xml:space="preserve">La convocatoria enviada en los términos del párrafo anterior, tendrá efectos de segunda convocatoria cuando sea el caso de que no exista el quórum legal para que la sesión sea válida, y tendrá lugar quince minutos después con los integrantes que se encuentren presentes. </w:t>
      </w:r>
    </w:p>
    <w:p w:rsidR="00087FE8" w:rsidRPr="00026AC4" w:rsidRDefault="00087FE8">
      <w:pPr>
        <w:spacing w:line="360" w:lineRule="auto"/>
        <w:ind w:left="426" w:right="426"/>
        <w:jc w:val="both"/>
        <w:rPr>
          <w:rFonts w:ascii="Palatino Linotype" w:eastAsia="Palatino Linotype" w:hAnsi="Palatino Linotype" w:cs="Palatino Linotype"/>
          <w:i/>
          <w:iCs/>
          <w:color w:val="000000"/>
        </w:rPr>
      </w:pPr>
    </w:p>
    <w:p w:rsidR="00087FE8" w:rsidRPr="00026AC4" w:rsidRDefault="00151F9A">
      <w:pPr>
        <w:spacing w:line="360" w:lineRule="auto"/>
        <w:ind w:left="426" w:right="426"/>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i/>
          <w:iCs/>
          <w:color w:val="000000"/>
        </w:rPr>
        <w:t xml:space="preserve">“Artículo 5.100. </w:t>
      </w:r>
      <w:r w:rsidRPr="00026AC4">
        <w:rPr>
          <w:rFonts w:ascii="Palatino Linotype" w:eastAsia="Palatino Linotype" w:hAnsi="Palatino Linotype" w:cs="Palatino Linotype"/>
          <w:b/>
          <w:bCs/>
          <w:i/>
          <w:iCs/>
          <w:color w:val="000000"/>
        </w:rPr>
        <w:t>La convocatoria para celebrar las sesiones de la Comisión Municipal deberá estar firmada por el Presidente y/o por el Secretario Técnico</w:t>
      </w:r>
      <w:r w:rsidRPr="00026AC4">
        <w:rPr>
          <w:rFonts w:ascii="Palatino Linotype" w:eastAsia="Palatino Linotype" w:hAnsi="Palatino Linotype" w:cs="Palatino Linotype"/>
          <w:i/>
          <w:iCs/>
          <w:color w:val="000000"/>
        </w:rPr>
        <w:t xml:space="preserve">, y deberá enviarse por cualquier otro medio idóneo e indubitable.   En el caso de los miembros de la Comisión Municipal, se enviará al domicilio o correo electrónico oficial; a los invitados se les enviará al domicilio o correo electrónico que éstos hubieren proporcionado para tal efecto.“ </w:t>
      </w:r>
      <w:r w:rsidRPr="00026AC4">
        <w:rPr>
          <w:rFonts w:ascii="Palatino Linotype" w:eastAsia="Palatino Linotype" w:hAnsi="Palatino Linotype" w:cs="Palatino Linotype"/>
          <w:color w:val="000000"/>
        </w:rPr>
        <w:t>Énfasis añadido</w:t>
      </w:r>
    </w:p>
    <w:p w:rsidR="00087FE8" w:rsidRPr="00026AC4" w:rsidRDefault="00087FE8">
      <w:pPr>
        <w:spacing w:line="360" w:lineRule="auto"/>
        <w:jc w:val="both"/>
        <w:rPr>
          <w:rFonts w:ascii="Palatino Linotype" w:eastAsia="Palatino Linotype" w:hAnsi="Palatino Linotype" w:cs="Palatino Linotype"/>
          <w:color w:val="000000"/>
        </w:rPr>
      </w:pPr>
    </w:p>
    <w:p w:rsidR="00087FE8" w:rsidRPr="00026AC4" w:rsidRDefault="00151F9A">
      <w:pPr>
        <w:numPr>
          <w:ilvl w:val="0"/>
          <w:numId w:val="3"/>
        </w:numP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 xml:space="preserve">De lo anterior, se desprende el Presidente Municipal es el responsable de dirigir los trabajos y, por lo tanto, de emitir las convocatorias para las sesiones, ya sean ordinarias (con la periodicidad que establezca el reglamento, como las cuatro veces al año que mencionaste en tu consulta anterior) o extraordinarias, mismas que ciertamente deberán estar firmadas como ambiciona el ahora </w:t>
      </w:r>
      <w:r w:rsidRPr="00026AC4">
        <w:rPr>
          <w:rFonts w:ascii="Palatino Linotype" w:eastAsia="Palatino Linotype" w:hAnsi="Palatino Linotype" w:cs="Palatino Linotype"/>
          <w:b/>
          <w:bCs/>
          <w:color w:val="000000"/>
        </w:rPr>
        <w:t>RECURRENTE</w:t>
      </w:r>
      <w:r w:rsidRPr="00026AC4">
        <w:rPr>
          <w:rFonts w:ascii="Palatino Linotype" w:eastAsia="Palatino Linotype" w:hAnsi="Palatino Linotype" w:cs="Palatino Linotype"/>
          <w:color w:val="000000"/>
        </w:rPr>
        <w:t xml:space="preserve"> en su escrito inicial de solicitud de acceso a la información pública. Por lo que en relatadas circunstancias, resulta procedente ordenar las </w:t>
      </w:r>
      <w:r w:rsidRPr="00026AC4">
        <w:rPr>
          <w:rFonts w:ascii="Palatino Linotype" w:eastAsia="Palatino Linotype" w:hAnsi="Palatino Linotype" w:cs="Palatino Linotype"/>
          <w:b/>
          <w:bCs/>
          <w:color w:val="000000"/>
        </w:rPr>
        <w:t>Convocatorias para la Segunda</w:t>
      </w:r>
      <w:r w:rsidRPr="00026AC4">
        <w:rPr>
          <w:rFonts w:ascii="Palatino Linotype" w:eastAsia="Palatino Linotype" w:hAnsi="Palatino Linotype" w:cs="Palatino Linotype"/>
          <w:b/>
          <w:bCs/>
        </w:rPr>
        <w:t xml:space="preserve"> </w:t>
      </w:r>
      <w:r w:rsidRPr="00026AC4">
        <w:rPr>
          <w:rFonts w:ascii="Palatino Linotype" w:eastAsia="Palatino Linotype" w:hAnsi="Palatino Linotype" w:cs="Palatino Linotype"/>
          <w:b/>
          <w:bCs/>
          <w:color w:val="000000"/>
        </w:rPr>
        <w:t>Sesión Ordinaria de la Comisión Municipal de Mejora Regulatoria del Municipio de Toluca, celebrada el 26 de junio de 2025</w:t>
      </w:r>
      <w:r w:rsidRPr="00026AC4">
        <w:rPr>
          <w:rFonts w:ascii="Palatino Linotype" w:eastAsia="Palatino Linotype" w:hAnsi="Palatino Linotype" w:cs="Palatino Linotype"/>
          <w:color w:val="000000"/>
        </w:rPr>
        <w:t xml:space="preserve">. </w:t>
      </w:r>
    </w:p>
    <w:p w:rsidR="00087FE8" w:rsidRPr="00026AC4" w:rsidRDefault="00151F9A">
      <w:pPr>
        <w:numPr>
          <w:ilvl w:val="0"/>
          <w:numId w:val="3"/>
        </w:numP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lastRenderedPageBreak/>
        <w:t xml:space="preserve">Finalmente respecto de los Informes de mejora regulatoria, corresponde a un rubro del cual no existe pronunciamiento del </w:t>
      </w:r>
      <w:r w:rsidRPr="00026AC4">
        <w:rPr>
          <w:rFonts w:ascii="Palatino Linotype" w:eastAsia="Palatino Linotype" w:hAnsi="Palatino Linotype" w:cs="Palatino Linotype"/>
          <w:b/>
          <w:bCs/>
          <w:color w:val="000000"/>
        </w:rPr>
        <w:t>SUJETO OBLIGADO</w:t>
      </w:r>
      <w:r w:rsidRPr="00026AC4">
        <w:rPr>
          <w:rFonts w:ascii="Palatino Linotype" w:eastAsia="Palatino Linotype" w:hAnsi="Palatino Linotype" w:cs="Palatino Linotype"/>
          <w:color w:val="000000"/>
        </w:rPr>
        <w:t xml:space="preserve"> de acuerdo a las constancias que obran en el expediente electrónico en que se actúa.</w:t>
      </w:r>
    </w:p>
    <w:p w:rsidR="00087FE8" w:rsidRPr="00026AC4" w:rsidRDefault="00087FE8">
      <w:pPr>
        <w:spacing w:line="360" w:lineRule="auto"/>
        <w:ind w:left="502"/>
        <w:jc w:val="both"/>
        <w:rPr>
          <w:rFonts w:ascii="Palatino Linotype" w:eastAsia="Palatino Linotype" w:hAnsi="Palatino Linotype" w:cs="Palatino Linotype"/>
        </w:rPr>
      </w:pPr>
    </w:p>
    <w:p w:rsidR="00087FE8" w:rsidRPr="00026AC4" w:rsidRDefault="00151F9A">
      <w:pPr>
        <w:numPr>
          <w:ilvl w:val="0"/>
          <w:numId w:val="3"/>
        </w:numPr>
        <w:spacing w:line="360" w:lineRule="auto"/>
        <w:ind w:left="0" w:firstLine="0"/>
        <w:jc w:val="both"/>
        <w:rPr>
          <w:rFonts w:ascii="Palatino Linotype" w:eastAsia="Palatino Linotype" w:hAnsi="Palatino Linotype" w:cs="Palatino Linotype"/>
          <w:b/>
          <w:bCs/>
          <w:i/>
          <w:iCs/>
          <w:color w:val="000000"/>
        </w:rPr>
      </w:pPr>
      <w:r w:rsidRPr="00026AC4">
        <w:rPr>
          <w:rFonts w:ascii="Palatino Linotype" w:eastAsia="Palatino Linotype" w:hAnsi="Palatino Linotype" w:cs="Palatino Linotype"/>
          <w:color w:val="000000"/>
        </w:rPr>
        <w:t xml:space="preserve">Al respecto, la multicitada Ley </w:t>
      </w:r>
      <w:r w:rsidRPr="00026AC4">
        <w:rPr>
          <w:rFonts w:ascii="Palatino Linotype" w:eastAsia="Palatino Linotype" w:hAnsi="Palatino Linotype" w:cs="Palatino Linotype"/>
        </w:rPr>
        <w:t>p</w:t>
      </w:r>
      <w:r w:rsidRPr="00026AC4">
        <w:rPr>
          <w:rFonts w:ascii="Palatino Linotype" w:eastAsia="Palatino Linotype" w:hAnsi="Palatino Linotype" w:cs="Palatino Linotype"/>
          <w:color w:val="000000"/>
        </w:rPr>
        <w:t xml:space="preserve">ara la Mejora Regulatoria del Estado </w:t>
      </w:r>
      <w:r w:rsidRPr="00026AC4">
        <w:rPr>
          <w:rFonts w:ascii="Palatino Linotype" w:eastAsia="Palatino Linotype" w:hAnsi="Palatino Linotype" w:cs="Palatino Linotype"/>
        </w:rPr>
        <w:t>de</w:t>
      </w:r>
      <w:r w:rsidRPr="00026AC4">
        <w:rPr>
          <w:rFonts w:ascii="Palatino Linotype" w:eastAsia="Palatino Linotype" w:hAnsi="Palatino Linotype" w:cs="Palatino Linotype"/>
          <w:color w:val="000000"/>
        </w:rPr>
        <w:t xml:space="preserve"> México y sus Municipios, en el artículo 24 fracción V, prevé lo siguiente:</w:t>
      </w:r>
    </w:p>
    <w:p w:rsidR="00087FE8" w:rsidRPr="00026AC4" w:rsidRDefault="00151F9A">
      <w:pPr>
        <w:spacing w:line="360" w:lineRule="auto"/>
        <w:ind w:left="567" w:right="426"/>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i/>
          <w:iCs/>
          <w:color w:val="000000"/>
        </w:rPr>
        <w:t xml:space="preserve">“Artículo 25.- Para cumplir con el objeto de la ley y con los objetivos de Mejora Regulatoria que apruebe el Consejo, las dependencias municipales tendrán, en su ámbito de competencia, las responsabilidades siguientes: </w:t>
      </w:r>
    </w:p>
    <w:p w:rsidR="00087FE8" w:rsidRPr="00026AC4" w:rsidRDefault="00151F9A">
      <w:pPr>
        <w:spacing w:line="360" w:lineRule="auto"/>
        <w:ind w:left="567" w:right="426"/>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i/>
          <w:iCs/>
          <w:color w:val="000000"/>
        </w:rPr>
        <w:t>…</w:t>
      </w:r>
    </w:p>
    <w:p w:rsidR="00087FE8" w:rsidRPr="00026AC4" w:rsidRDefault="00151F9A">
      <w:pPr>
        <w:spacing w:line="360" w:lineRule="auto"/>
        <w:ind w:left="567" w:right="426"/>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i/>
          <w:iCs/>
          <w:color w:val="000000"/>
        </w:rPr>
        <w:t xml:space="preserve">II. </w:t>
      </w:r>
      <w:r w:rsidRPr="00026AC4">
        <w:rPr>
          <w:rFonts w:ascii="Palatino Linotype" w:eastAsia="Palatino Linotype" w:hAnsi="Palatino Linotype" w:cs="Palatino Linotype"/>
          <w:b/>
          <w:bCs/>
          <w:i/>
          <w:iCs/>
          <w:color w:val="000000"/>
        </w:rPr>
        <w:t>Elaborar su informe anual</w:t>
      </w:r>
      <w:r w:rsidRPr="00026AC4">
        <w:rPr>
          <w:rFonts w:ascii="Palatino Linotype" w:eastAsia="Palatino Linotype" w:hAnsi="Palatino Linotype" w:cs="Palatino Linotype"/>
          <w:i/>
          <w:iCs/>
          <w:color w:val="000000"/>
        </w:rPr>
        <w:t xml:space="preserve"> del avance programático de mejora regulatoria, que deberá incluir una evaluación de los resultados obtenidos y enviarlo al Secretario Técnico para los efectos legales correspondientes; </w:t>
      </w:r>
    </w:p>
    <w:p w:rsidR="00087FE8" w:rsidRPr="00026AC4" w:rsidRDefault="00151F9A">
      <w:pPr>
        <w:spacing w:line="360" w:lineRule="auto"/>
        <w:ind w:left="567" w:right="426"/>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i/>
          <w:iCs/>
          <w:color w:val="000000"/>
        </w:rPr>
        <w:t xml:space="preserve">…” </w:t>
      </w:r>
      <w:r w:rsidRPr="00026AC4">
        <w:rPr>
          <w:rFonts w:ascii="Palatino Linotype" w:eastAsia="Palatino Linotype" w:hAnsi="Palatino Linotype" w:cs="Palatino Linotype"/>
          <w:color w:val="000000"/>
        </w:rPr>
        <w:t>Énfasis añadido</w:t>
      </w:r>
    </w:p>
    <w:p w:rsidR="00087FE8" w:rsidRPr="00026AC4" w:rsidRDefault="00087FE8">
      <w:pPr>
        <w:spacing w:line="360" w:lineRule="auto"/>
        <w:jc w:val="both"/>
        <w:rPr>
          <w:rFonts w:ascii="Palatino Linotype" w:eastAsia="Palatino Linotype" w:hAnsi="Palatino Linotype" w:cs="Palatino Linotype"/>
          <w:color w:val="000000"/>
        </w:rPr>
      </w:pPr>
    </w:p>
    <w:p w:rsidR="00087FE8" w:rsidRPr="00026AC4" w:rsidRDefault="00151F9A">
      <w:pPr>
        <w:numPr>
          <w:ilvl w:val="0"/>
          <w:numId w:val="3"/>
        </w:numP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En correlación con lo anterior, el Reglamento de la Comisión Municipal de Mejora Regulatoria del Municipio de Toluca, establece lo siguiente:</w:t>
      </w:r>
    </w:p>
    <w:p w:rsidR="00087FE8" w:rsidRPr="00026AC4" w:rsidRDefault="00151F9A">
      <w:pPr>
        <w:spacing w:line="360" w:lineRule="auto"/>
        <w:ind w:left="567" w:right="567"/>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i/>
          <w:iCs/>
          <w:color w:val="000000"/>
        </w:rPr>
        <w:t xml:space="preserve">“Artículo 5.89. Para los efectos del presente ordenamiento se entenderá por:   </w:t>
      </w:r>
    </w:p>
    <w:p w:rsidR="00087FE8" w:rsidRPr="00026AC4" w:rsidRDefault="00151F9A">
      <w:pPr>
        <w:spacing w:line="360" w:lineRule="auto"/>
        <w:ind w:left="567" w:right="567"/>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i/>
          <w:iCs/>
          <w:color w:val="000000"/>
        </w:rPr>
        <w:t>…</w:t>
      </w:r>
    </w:p>
    <w:p w:rsidR="00087FE8" w:rsidRPr="00026AC4" w:rsidRDefault="00151F9A">
      <w:pPr>
        <w:spacing w:line="360" w:lineRule="auto"/>
        <w:ind w:left="567" w:right="567"/>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i/>
          <w:iCs/>
          <w:color w:val="000000"/>
        </w:rPr>
        <w:t xml:space="preserve">XIV. </w:t>
      </w:r>
      <w:r w:rsidRPr="00026AC4">
        <w:rPr>
          <w:rFonts w:ascii="Palatino Linotype" w:eastAsia="Palatino Linotype" w:hAnsi="Palatino Linotype" w:cs="Palatino Linotype"/>
          <w:b/>
          <w:bCs/>
          <w:i/>
          <w:iCs/>
          <w:color w:val="000000"/>
        </w:rPr>
        <w:t>Informe anual de avance programático</w:t>
      </w:r>
      <w:r w:rsidRPr="00026AC4">
        <w:rPr>
          <w:rFonts w:ascii="Palatino Linotype" w:eastAsia="Palatino Linotype" w:hAnsi="Palatino Linotype" w:cs="Palatino Linotype"/>
          <w:i/>
          <w:iCs/>
          <w:color w:val="000000"/>
        </w:rPr>
        <w:t xml:space="preserve">: </w:t>
      </w:r>
      <w:r w:rsidRPr="00026AC4">
        <w:rPr>
          <w:rFonts w:ascii="Palatino Linotype" w:eastAsia="Palatino Linotype" w:hAnsi="Palatino Linotype" w:cs="Palatino Linotype"/>
          <w:b/>
          <w:bCs/>
          <w:i/>
          <w:iCs/>
          <w:color w:val="000000"/>
        </w:rPr>
        <w:t xml:space="preserve">Reporte que elabora la Comisión Municipal de Mejora Regulatoria </w:t>
      </w:r>
      <w:r w:rsidRPr="00026AC4">
        <w:rPr>
          <w:rFonts w:ascii="Palatino Linotype" w:eastAsia="Palatino Linotype" w:hAnsi="Palatino Linotype" w:cs="Palatino Linotype"/>
          <w:i/>
          <w:iCs/>
          <w:color w:val="000000"/>
        </w:rPr>
        <w:t xml:space="preserve">con base en los Programas y de acuerdo con la evaluación de resultados sobre los informes de Avance de las dependencias; </w:t>
      </w:r>
    </w:p>
    <w:p w:rsidR="00087FE8" w:rsidRPr="00026AC4" w:rsidRDefault="00151F9A">
      <w:pPr>
        <w:spacing w:line="360" w:lineRule="auto"/>
        <w:ind w:left="567" w:right="567"/>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i/>
          <w:iCs/>
          <w:color w:val="000000"/>
        </w:rPr>
        <w:t>...”</w:t>
      </w:r>
    </w:p>
    <w:p w:rsidR="00087FE8" w:rsidRPr="00026AC4" w:rsidRDefault="00087FE8">
      <w:pPr>
        <w:spacing w:line="360" w:lineRule="auto"/>
        <w:ind w:left="567" w:right="567"/>
        <w:jc w:val="both"/>
        <w:rPr>
          <w:rFonts w:ascii="Palatino Linotype" w:eastAsia="Palatino Linotype" w:hAnsi="Palatino Linotype" w:cs="Palatino Linotype"/>
          <w:i/>
          <w:iCs/>
          <w:color w:val="000000"/>
        </w:rPr>
      </w:pPr>
    </w:p>
    <w:p w:rsidR="00087FE8" w:rsidRPr="00026AC4" w:rsidRDefault="00151F9A">
      <w:pPr>
        <w:spacing w:line="360" w:lineRule="auto"/>
        <w:ind w:left="567" w:right="567"/>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i/>
          <w:iCs/>
          <w:color w:val="000000"/>
        </w:rPr>
        <w:lastRenderedPageBreak/>
        <w:t xml:space="preserve">“Artículo 5.104. El Coordinador General Municipal tendrá en su ámbito de competencia, las funciones siguientes:  </w:t>
      </w:r>
    </w:p>
    <w:p w:rsidR="00087FE8" w:rsidRPr="00026AC4" w:rsidRDefault="00151F9A">
      <w:pPr>
        <w:spacing w:line="360" w:lineRule="auto"/>
        <w:ind w:left="567" w:right="567"/>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i/>
          <w:iCs/>
          <w:color w:val="000000"/>
        </w:rPr>
        <w:t>…</w:t>
      </w:r>
    </w:p>
    <w:p w:rsidR="00087FE8" w:rsidRPr="00026AC4" w:rsidRDefault="00151F9A">
      <w:pPr>
        <w:spacing w:line="360" w:lineRule="auto"/>
        <w:ind w:left="567" w:right="567"/>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i/>
          <w:iCs/>
          <w:color w:val="000000"/>
        </w:rPr>
        <w:t xml:space="preserve">VII. </w:t>
      </w:r>
      <w:r w:rsidRPr="00026AC4">
        <w:rPr>
          <w:rFonts w:ascii="Palatino Linotype" w:eastAsia="Palatino Linotype" w:hAnsi="Palatino Linotype" w:cs="Palatino Linotype"/>
          <w:b/>
          <w:bCs/>
          <w:i/>
          <w:iCs/>
          <w:color w:val="000000"/>
        </w:rPr>
        <w:t>Elaborar el informe anual</w:t>
      </w:r>
      <w:r w:rsidRPr="00026AC4">
        <w:rPr>
          <w:rFonts w:ascii="Palatino Linotype" w:eastAsia="Palatino Linotype" w:hAnsi="Palatino Linotype" w:cs="Palatino Linotype"/>
          <w:i/>
          <w:iCs/>
          <w:color w:val="000000"/>
        </w:rPr>
        <w:t xml:space="preserve"> de avance programático de mejora regulatoria que se hubiere implementado, que deberá incluir una evaluación de los resultados obtenidos y enviarlo a la Comisión Estatal para los efectos legales correspondientes;  </w:t>
      </w:r>
    </w:p>
    <w:p w:rsidR="00087FE8" w:rsidRPr="00026AC4" w:rsidRDefault="00151F9A">
      <w:pPr>
        <w:spacing w:line="360" w:lineRule="auto"/>
        <w:ind w:left="567" w:right="567"/>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i/>
          <w:iCs/>
          <w:color w:val="000000"/>
        </w:rPr>
        <w:t>…”</w:t>
      </w:r>
    </w:p>
    <w:p w:rsidR="00087FE8" w:rsidRPr="00026AC4" w:rsidRDefault="00087FE8">
      <w:pPr>
        <w:spacing w:line="360" w:lineRule="auto"/>
        <w:ind w:left="567" w:right="567"/>
        <w:jc w:val="both"/>
        <w:rPr>
          <w:rFonts w:ascii="Palatino Linotype" w:eastAsia="Palatino Linotype" w:hAnsi="Palatino Linotype" w:cs="Palatino Linotype"/>
          <w:i/>
          <w:iCs/>
          <w:color w:val="000000"/>
        </w:rPr>
      </w:pPr>
    </w:p>
    <w:p w:rsidR="00087FE8" w:rsidRPr="00026AC4" w:rsidRDefault="00151F9A">
      <w:pPr>
        <w:spacing w:line="360" w:lineRule="auto"/>
        <w:ind w:left="567" w:right="567"/>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i/>
          <w:iCs/>
          <w:color w:val="000000"/>
        </w:rPr>
        <w:t xml:space="preserve">“Artículo 5.105. Además de las previstas en la Ley, el Secretario Técnico tendrá, en su ámbito de competencia, las siguientes funciones:   </w:t>
      </w:r>
    </w:p>
    <w:p w:rsidR="00087FE8" w:rsidRPr="00026AC4" w:rsidRDefault="00151F9A">
      <w:pPr>
        <w:spacing w:line="360" w:lineRule="auto"/>
        <w:ind w:left="567" w:right="567"/>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i/>
          <w:iCs/>
          <w:color w:val="000000"/>
        </w:rPr>
        <w:t>…</w:t>
      </w:r>
    </w:p>
    <w:p w:rsidR="00087FE8" w:rsidRPr="00026AC4" w:rsidRDefault="00151F9A">
      <w:pPr>
        <w:spacing w:line="360" w:lineRule="auto"/>
        <w:ind w:left="567" w:right="567"/>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i/>
          <w:iCs/>
          <w:color w:val="000000"/>
        </w:rPr>
        <w:t xml:space="preserve">VI. Integrar el concentrado de los reportes de avance programático y </w:t>
      </w:r>
      <w:r w:rsidRPr="00026AC4">
        <w:rPr>
          <w:rFonts w:ascii="Palatino Linotype" w:eastAsia="Palatino Linotype" w:hAnsi="Palatino Linotype" w:cs="Palatino Linotype"/>
          <w:b/>
          <w:bCs/>
          <w:i/>
          <w:iCs/>
          <w:color w:val="000000"/>
        </w:rPr>
        <w:t>elaborar los informes</w:t>
      </w:r>
      <w:r w:rsidRPr="00026AC4">
        <w:rPr>
          <w:rFonts w:ascii="Palatino Linotype" w:eastAsia="Palatino Linotype" w:hAnsi="Palatino Linotype" w:cs="Palatino Linotype"/>
          <w:i/>
          <w:iCs/>
          <w:color w:val="000000"/>
        </w:rPr>
        <w:t xml:space="preserve">; </w:t>
      </w:r>
    </w:p>
    <w:p w:rsidR="00087FE8" w:rsidRPr="00026AC4" w:rsidRDefault="00151F9A">
      <w:pPr>
        <w:spacing w:line="360" w:lineRule="auto"/>
        <w:ind w:left="567" w:right="567"/>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i/>
          <w:iCs/>
          <w:color w:val="000000"/>
        </w:rPr>
        <w:t>…”</w:t>
      </w:r>
    </w:p>
    <w:p w:rsidR="00087FE8" w:rsidRPr="00026AC4" w:rsidRDefault="00087FE8">
      <w:pPr>
        <w:spacing w:line="360" w:lineRule="auto"/>
        <w:jc w:val="both"/>
        <w:rPr>
          <w:rFonts w:ascii="Palatino Linotype" w:eastAsia="Palatino Linotype" w:hAnsi="Palatino Linotype" w:cs="Palatino Linotype"/>
          <w:color w:val="000000"/>
        </w:rPr>
      </w:pPr>
    </w:p>
    <w:p w:rsidR="00087FE8" w:rsidRPr="00026AC4" w:rsidRDefault="00151F9A">
      <w:pPr>
        <w:numPr>
          <w:ilvl w:val="0"/>
          <w:numId w:val="3"/>
        </w:numP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 xml:space="preserve">Como se advierte del anterior marco de atribuciones, ciertamente la Comisión debe generar informes; sin embargo como se aprecia, estos son de carácter anual; luego entonces es necesario recordar que la solicitud de información, ingreso en fecha diecinueve de agosto de dos mil veinticinco, por tanto se colige que al no haber concluido aún dicha anualidad, existe la posibilidad que el </w:t>
      </w:r>
      <w:r w:rsidRPr="00026AC4">
        <w:rPr>
          <w:rFonts w:ascii="Palatino Linotype" w:eastAsia="Palatino Linotype" w:hAnsi="Palatino Linotype" w:cs="Palatino Linotype"/>
          <w:b/>
          <w:bCs/>
          <w:color w:val="000000"/>
        </w:rPr>
        <w:t>SUJETO OBLIGADO</w:t>
      </w:r>
      <w:r w:rsidRPr="00026AC4">
        <w:rPr>
          <w:rFonts w:ascii="Palatino Linotype" w:eastAsia="Palatino Linotype" w:hAnsi="Palatino Linotype" w:cs="Palatino Linotype"/>
          <w:color w:val="000000"/>
        </w:rPr>
        <w:t xml:space="preserve"> a un no hubiera generado, poseído o administrado el informe que </w:t>
      </w:r>
      <w:r w:rsidRPr="00026AC4">
        <w:rPr>
          <w:rFonts w:ascii="Palatino Linotype" w:eastAsia="Palatino Linotype" w:hAnsi="Palatino Linotype" w:cs="Palatino Linotype"/>
        </w:rPr>
        <w:t>está</w:t>
      </w:r>
      <w:r w:rsidRPr="00026AC4">
        <w:rPr>
          <w:rFonts w:ascii="Palatino Linotype" w:eastAsia="Palatino Linotype" w:hAnsi="Palatino Linotype" w:cs="Palatino Linotype"/>
          <w:color w:val="000000"/>
        </w:rPr>
        <w:t xml:space="preserve"> compelido a elaborar de manera anual; sin embargo al no existir pronunciamiento al respecto en la respuesta inicial, resulta procedente ordenar una nueva búsqueda exhaustiva y razonable del soporte documental de referencia y para el caso de no localizar información al respecto, </w:t>
      </w:r>
      <w:r w:rsidRPr="00026AC4">
        <w:rPr>
          <w:rFonts w:ascii="Palatino Linotype" w:eastAsia="Palatino Linotype" w:hAnsi="Palatino Linotype" w:cs="Palatino Linotype"/>
        </w:rPr>
        <w:t>bastará</w:t>
      </w:r>
      <w:r w:rsidRPr="00026AC4">
        <w:rPr>
          <w:rFonts w:ascii="Palatino Linotype" w:eastAsia="Palatino Linotype" w:hAnsi="Palatino Linotype" w:cs="Palatino Linotype"/>
          <w:color w:val="000000"/>
        </w:rPr>
        <w:t xml:space="preserve"> que lo haga del conocimiento del Solicitante </w:t>
      </w:r>
      <w:r w:rsidRPr="00026AC4">
        <w:rPr>
          <w:rFonts w:ascii="Palatino Linotype" w:eastAsia="Palatino Linotype" w:hAnsi="Palatino Linotype" w:cs="Palatino Linotype"/>
          <w:color w:val="000000"/>
        </w:rPr>
        <w:lastRenderedPageBreak/>
        <w:t>al momento de dar cumplimiento a la presente Resolución en términos del artículo 19 de la ley de transparencia local.</w:t>
      </w:r>
    </w:p>
    <w:p w:rsidR="00087FE8" w:rsidRPr="00026AC4" w:rsidRDefault="00087FE8">
      <w:pPr>
        <w:pBdr>
          <w:top w:val="nil"/>
          <w:left w:val="nil"/>
          <w:bottom w:val="nil"/>
          <w:right w:val="nil"/>
          <w:between w:val="nil"/>
        </w:pBdr>
        <w:ind w:left="720"/>
        <w:rPr>
          <w:rFonts w:ascii="Palatino Linotype" w:eastAsia="Palatino Linotype" w:hAnsi="Palatino Linotype" w:cs="Palatino Linotype"/>
          <w:color w:val="000000"/>
          <w:highlight w:val="red"/>
        </w:rPr>
      </w:pPr>
    </w:p>
    <w:p w:rsidR="00087FE8" w:rsidRPr="00026AC4" w:rsidRDefault="00151F9A">
      <w:pPr>
        <w:numPr>
          <w:ilvl w:val="0"/>
          <w:numId w:val="3"/>
        </w:numP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 xml:space="preserve">Con la determinación anterior quedará por colmado el derecho de acceso a la información del ahora Recurrente; toda vez que el Derecho que tutela este Órgano Garante </w:t>
      </w:r>
      <w:r w:rsidRPr="00026AC4">
        <w:rPr>
          <w:rFonts w:ascii="Palatino Linotype" w:eastAsia="Palatino Linotype" w:hAnsi="Palatino Linotype" w:cs="Palatino Linotype"/>
        </w:rPr>
        <w:t>corresponde</w:t>
      </w:r>
      <w:r w:rsidRPr="00026AC4">
        <w:rPr>
          <w:rFonts w:ascii="Palatino Linotype" w:eastAsia="Palatino Linotype" w:hAnsi="Palatino Linotype" w:cs="Palatino Linotype"/>
          <w:color w:val="000000"/>
        </w:rPr>
        <w:t xml:space="preserve"> a la  </w:t>
      </w:r>
      <w:r w:rsidRPr="00026AC4">
        <w:rPr>
          <w:rFonts w:ascii="Palatino Linotype" w:eastAsia="Palatino Linotype" w:hAnsi="Palatino Linotype" w:cs="Palatino Linotype"/>
          <w:i/>
          <w:iCs/>
          <w:color w:val="000000"/>
        </w:rPr>
        <w:t>igualdad de oportunidades para recibir, buscar e impartir información</w:t>
      </w:r>
      <w:r w:rsidRPr="00026AC4">
        <w:rPr>
          <w:rFonts w:ascii="Palatino Linotype" w:eastAsia="Palatino Linotype" w:hAnsi="Palatino Linotype" w:cs="Palatino Linotype"/>
          <w:i/>
          <w:iCs/>
          <w:color w:val="000000"/>
          <w:vertAlign w:val="superscript"/>
        </w:rPr>
        <w:footnoteReference w:id="1"/>
      </w:r>
      <w:r w:rsidRPr="00026AC4">
        <w:rPr>
          <w:rFonts w:ascii="Palatino Linotype" w:eastAsia="Palatino Linotype" w:hAnsi="Palatino Linotype" w:cs="Palatino Linotype"/>
          <w:i/>
          <w:iCs/>
          <w:color w:val="000000"/>
        </w:rPr>
        <w:t xml:space="preserve"> en posesión de cualquier autoridad, entidad, órgano y organismo de los </w:t>
      </w:r>
      <w:r w:rsidRPr="00026AC4">
        <w:rPr>
          <w:rFonts w:ascii="Palatino Linotype" w:eastAsia="Palatino Linotype" w:hAnsi="Palatino Linotype" w:cs="Palatino Linotype"/>
          <w:color w:val="000000"/>
        </w:rPr>
        <w:t>poderes</w:t>
      </w:r>
      <w:r w:rsidRPr="00026AC4">
        <w:rPr>
          <w:rFonts w:ascii="Palatino Linotype" w:eastAsia="Palatino Linotype" w:hAnsi="Palatino Linotype" w:cs="Palatino Linotype"/>
          <w:i/>
          <w:iCs/>
          <w:color w:val="000000"/>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26AC4">
        <w:rPr>
          <w:rFonts w:ascii="Palatino Linotype" w:eastAsia="Palatino Linotype" w:hAnsi="Palatino Linotype" w:cs="Palatino Linotype"/>
          <w:color w:val="000000"/>
          <w:vertAlign w:val="superscript"/>
        </w:rPr>
        <w:footnoteReference w:id="2"/>
      </w:r>
      <w:r w:rsidRPr="00026AC4">
        <w:rPr>
          <w:rFonts w:ascii="Palatino Linotype" w:eastAsia="Palatino Linotype" w:hAnsi="Palatino Linotype" w:cs="Palatino Linotype"/>
          <w:i/>
          <w:iCs/>
          <w:color w:val="000000"/>
        </w:rPr>
        <w:t xml:space="preserve"> </w:t>
      </w:r>
      <w:r w:rsidRPr="00026AC4">
        <w:rPr>
          <w:rFonts w:ascii="Palatino Linotype" w:eastAsia="Palatino Linotype" w:hAnsi="Palatino Linotype" w:cs="Palatino Linotype"/>
          <w:color w:val="000000"/>
        </w:rPr>
        <w:t xml:space="preserve">que se constituye como una herramienta fundamental para </w:t>
      </w:r>
      <w:r w:rsidRPr="00026AC4">
        <w:rPr>
          <w:rFonts w:ascii="Palatino Linotype" w:eastAsia="Palatino Linotype" w:hAnsi="Palatino Linotype" w:cs="Palatino Linotype"/>
          <w:i/>
          <w:iCs/>
          <w:color w:val="000000"/>
        </w:rPr>
        <w:t>ejercer control democrático de las gestiones estatales, de forma tal que puedan cuestionar, indagar y considerar si se está dando un adecuado cumplimiento de las funciones públicas,</w:t>
      </w:r>
      <w:r w:rsidRPr="00026AC4">
        <w:rPr>
          <w:rFonts w:ascii="Palatino Linotype" w:eastAsia="Palatino Linotype" w:hAnsi="Palatino Linotype" w:cs="Palatino Linotype"/>
          <w:i/>
          <w:iCs/>
          <w:color w:val="000000"/>
          <w:vertAlign w:val="superscript"/>
        </w:rPr>
        <w:footnoteReference w:id="3"/>
      </w:r>
      <w:r w:rsidRPr="00026AC4">
        <w:rPr>
          <w:rFonts w:ascii="Palatino Linotype" w:eastAsia="Palatino Linotype" w:hAnsi="Palatino Linotype" w:cs="Palatino Linotype"/>
          <w:color w:val="000000"/>
        </w:rPr>
        <w:t>fomentando</w:t>
      </w:r>
      <w:r w:rsidRPr="00026AC4">
        <w:rPr>
          <w:rFonts w:ascii="Palatino Linotype" w:eastAsia="Palatino Linotype" w:hAnsi="Palatino Linotype" w:cs="Palatino Linotype"/>
          <w:i/>
          <w:iCs/>
          <w:color w:val="000000"/>
        </w:rPr>
        <w:t xml:space="preserve"> la transparencia de las actividades estatales y</w:t>
      </w:r>
      <w:r w:rsidRPr="00026AC4">
        <w:rPr>
          <w:rFonts w:ascii="Palatino Linotype" w:eastAsia="Palatino Linotype" w:hAnsi="Palatino Linotype" w:cs="Palatino Linotype"/>
          <w:color w:val="000000"/>
        </w:rPr>
        <w:t xml:space="preserve"> promoviendo</w:t>
      </w:r>
      <w:r w:rsidRPr="00026AC4">
        <w:rPr>
          <w:rFonts w:ascii="Palatino Linotype" w:eastAsia="Palatino Linotype" w:hAnsi="Palatino Linotype" w:cs="Palatino Linotype"/>
          <w:i/>
          <w:iCs/>
          <w:color w:val="000000"/>
        </w:rPr>
        <w:t xml:space="preserve"> la responsabilidad de los funcionarios sobre su gestión pública</w:t>
      </w:r>
      <w:r w:rsidRPr="00026AC4">
        <w:rPr>
          <w:rFonts w:ascii="Palatino Linotype" w:eastAsia="Palatino Linotype" w:hAnsi="Palatino Linotype" w:cs="Palatino Linotype"/>
          <w:i/>
          <w:iCs/>
          <w:color w:val="000000"/>
          <w:vertAlign w:val="superscript"/>
        </w:rPr>
        <w:footnoteReference w:id="4"/>
      </w:r>
      <w:r w:rsidRPr="00026AC4">
        <w:rPr>
          <w:rFonts w:ascii="Palatino Linotype" w:eastAsia="Palatino Linotype" w:hAnsi="Palatino Linotype" w:cs="Palatino Linotype"/>
          <w:i/>
          <w:iCs/>
          <w:color w:val="000000"/>
        </w:rPr>
        <w:t xml:space="preserve"> </w:t>
      </w:r>
      <w:r w:rsidRPr="00026AC4">
        <w:rPr>
          <w:rFonts w:ascii="Palatino Linotype" w:eastAsia="Palatino Linotype" w:hAnsi="Palatino Linotype" w:cs="Palatino Linotype"/>
          <w:color w:val="000000"/>
        </w:rPr>
        <w:t>que permite</w:t>
      </w:r>
      <w:r w:rsidRPr="00026AC4">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r w:rsidRPr="00026AC4">
        <w:rPr>
          <w:rFonts w:ascii="Palatino Linotype" w:eastAsia="Palatino Linotype" w:hAnsi="Palatino Linotype" w:cs="Palatino Linotype"/>
          <w:i/>
          <w:iCs/>
          <w:color w:val="000000"/>
          <w:vertAlign w:val="superscript"/>
        </w:rPr>
        <w:footnoteReference w:id="5"/>
      </w:r>
      <w:r w:rsidRPr="00026AC4">
        <w:rPr>
          <w:rFonts w:ascii="Palatino Linotype" w:eastAsia="Palatino Linotype" w:hAnsi="Palatino Linotype" w:cs="Palatino Linotype"/>
          <w:color w:val="000000"/>
        </w:rPr>
        <w:t xml:space="preserve"> ”</w:t>
      </w:r>
    </w:p>
    <w:p w:rsidR="00087FE8" w:rsidRPr="00026AC4" w:rsidRDefault="00087FE8">
      <w:pPr>
        <w:spacing w:line="360" w:lineRule="auto"/>
        <w:jc w:val="both"/>
        <w:rPr>
          <w:rFonts w:ascii="Palatino Linotype" w:eastAsia="Palatino Linotype" w:hAnsi="Palatino Linotype" w:cs="Palatino Linotype"/>
          <w:color w:val="000000"/>
        </w:rPr>
      </w:pPr>
    </w:p>
    <w:p w:rsidR="00087FE8" w:rsidRPr="00026AC4" w:rsidRDefault="00151F9A">
      <w:pPr>
        <w:numPr>
          <w:ilvl w:val="0"/>
          <w:numId w:val="3"/>
        </w:numPr>
        <w:spacing w:line="360" w:lineRule="auto"/>
        <w:ind w:left="0" w:firstLine="0"/>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color w:val="000000"/>
        </w:rPr>
        <w:t xml:space="preserve">Para entender los alcances de la información pública se considera importante citar el criterio de interpretación en el orden administrativo número 0002-11, emitido por Acuerdo </w:t>
      </w:r>
      <w:r w:rsidRPr="00026AC4">
        <w:rPr>
          <w:rFonts w:ascii="Palatino Linotype" w:eastAsia="Palatino Linotype" w:hAnsi="Palatino Linotype" w:cs="Palatino Linotype"/>
          <w:color w:val="000000"/>
        </w:rPr>
        <w:lastRenderedPageBreak/>
        <w:t>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087FE8" w:rsidRPr="00026AC4" w:rsidRDefault="00151F9A">
      <w:pPr>
        <w:spacing w:line="360" w:lineRule="auto"/>
        <w:ind w:left="426" w:right="474"/>
        <w:jc w:val="both"/>
        <w:rPr>
          <w:rFonts w:ascii="Palatino Linotype" w:eastAsia="Palatino Linotype" w:hAnsi="Palatino Linotype" w:cs="Palatino Linotype"/>
          <w:b/>
          <w:bCs/>
          <w:i/>
          <w:iCs/>
          <w:color w:val="000000"/>
        </w:rPr>
      </w:pPr>
      <w:r w:rsidRPr="00026AC4">
        <w:rPr>
          <w:rFonts w:ascii="Palatino Linotype" w:eastAsia="Palatino Linotype" w:hAnsi="Palatino Linotype" w:cs="Palatino Linotype"/>
          <w:b/>
          <w:bCs/>
          <w:i/>
          <w:iCs/>
          <w:color w:val="000000"/>
        </w:rPr>
        <w:t>“CRITERIO 0002-11</w:t>
      </w:r>
    </w:p>
    <w:p w:rsidR="00087FE8" w:rsidRPr="00026AC4" w:rsidRDefault="00151F9A">
      <w:pPr>
        <w:spacing w:line="360" w:lineRule="auto"/>
        <w:ind w:left="426" w:right="474"/>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b/>
          <w:bCs/>
          <w:i/>
          <w:iCs/>
          <w:color w:val="000000"/>
        </w:rPr>
        <w:t>INFORMACIÓN PÚBLICA, CONCEPTO DE, EN MATERIA DE TRANSPARENCIA. INTERPRETACIÓN TEMÁTICA DE LOS ARTÍCULOS 2, FRACCIÓN V, XV, Y XVI, 3, 4,11 Y 41.</w:t>
      </w:r>
      <w:r w:rsidRPr="00026AC4">
        <w:rPr>
          <w:rFonts w:ascii="Palatino Linotype" w:eastAsia="Palatino Linotype" w:hAnsi="Palatino Linotype" w:cs="Palatino Linotype"/>
          <w:i/>
          <w:iCs/>
          <w:color w:val="00000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87FE8" w:rsidRPr="00026AC4" w:rsidRDefault="00151F9A">
      <w:pPr>
        <w:spacing w:line="360" w:lineRule="auto"/>
        <w:ind w:left="426" w:right="474"/>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i/>
          <w:iCs/>
          <w:color w:val="000000"/>
        </w:rPr>
        <w:t>En consecuencia el acceso a la información se refiere a que se cumplan cualquiera de los siguientes tres supuestos:</w:t>
      </w:r>
    </w:p>
    <w:p w:rsidR="00087FE8" w:rsidRPr="00026AC4" w:rsidRDefault="00151F9A">
      <w:pPr>
        <w:spacing w:line="360" w:lineRule="auto"/>
        <w:ind w:left="426" w:right="474"/>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i/>
          <w:iCs/>
          <w:color w:val="000000"/>
        </w:rPr>
        <w:t>Que se trate de información registrada en cualquier soporte documental, que en ejercicio de las atribuciones conferidas, sea generada por los Sujetos Obligados;</w:t>
      </w:r>
    </w:p>
    <w:p w:rsidR="00087FE8" w:rsidRPr="00026AC4" w:rsidRDefault="00151F9A">
      <w:pPr>
        <w:spacing w:line="360" w:lineRule="auto"/>
        <w:ind w:left="426" w:right="474"/>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i/>
          <w:iCs/>
          <w:color w:val="000000"/>
        </w:rPr>
        <w:t>Que se trate de información registrada en cualquier soporte documental, que en ejercicio de las atribuciones conferidas, sea administrada por los Sujetos Obligados, y</w:t>
      </w:r>
    </w:p>
    <w:p w:rsidR="00087FE8" w:rsidRPr="00026AC4" w:rsidRDefault="00151F9A">
      <w:pPr>
        <w:spacing w:line="360" w:lineRule="auto"/>
        <w:ind w:left="426" w:right="474"/>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i/>
          <w:iCs/>
          <w:color w:val="000000"/>
        </w:rPr>
        <w:t>Que se trate de información registrada en cualquier soporte documental, que en ejercicio de las atribuciones conferidas, se encuentre en posesión de los Sujetos Obligados.”</w:t>
      </w:r>
    </w:p>
    <w:p w:rsidR="00087FE8" w:rsidRPr="00026AC4" w:rsidRDefault="00087FE8">
      <w:pPr>
        <w:spacing w:line="360" w:lineRule="auto"/>
        <w:ind w:left="567" w:right="567"/>
        <w:jc w:val="both"/>
        <w:rPr>
          <w:rFonts w:ascii="Palatino Linotype" w:eastAsia="Palatino Linotype" w:hAnsi="Palatino Linotype" w:cs="Palatino Linotype"/>
          <w:i/>
          <w:iCs/>
          <w:color w:val="000000"/>
        </w:rPr>
      </w:pPr>
    </w:p>
    <w:p w:rsidR="00087FE8" w:rsidRPr="00026AC4" w:rsidRDefault="00151F9A">
      <w:pPr>
        <w:numPr>
          <w:ilvl w:val="0"/>
          <w:numId w:val="3"/>
        </w:numP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El derecho de acceso a la información encuentra su materia elemental en los documentos, y la Ley de Transparencia local  nos brinda el siguiente concepto, para darnos un mejor panorama:</w:t>
      </w:r>
    </w:p>
    <w:p w:rsidR="00087FE8" w:rsidRPr="00026AC4" w:rsidRDefault="00151F9A">
      <w:pPr>
        <w:spacing w:line="360" w:lineRule="auto"/>
        <w:ind w:left="426" w:right="474"/>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b/>
          <w:bCs/>
          <w:i/>
          <w:iCs/>
          <w:color w:val="000000"/>
        </w:rPr>
        <w:lastRenderedPageBreak/>
        <w:t xml:space="preserve">I. Documento: </w:t>
      </w:r>
      <w:r w:rsidRPr="00026AC4">
        <w:rPr>
          <w:rFonts w:ascii="Palatino Linotype" w:eastAsia="Palatino Linotype" w:hAnsi="Palatino Linotype" w:cs="Palatino Linotype"/>
          <w:i/>
          <w:iCs/>
          <w:color w:val="000000"/>
        </w:rPr>
        <w:t xml:space="preserve">Los expedientes, reportes, estudios, actas, resoluciones, oficios, correspondencia, acuerdos, directivas, directrices, circulares, contratos, convenios, instructivos, notas, memorandos, estadísticas o bien, </w:t>
      </w:r>
      <w:r w:rsidRPr="00026AC4">
        <w:rPr>
          <w:rFonts w:ascii="Palatino Linotype" w:eastAsia="Palatino Linotype" w:hAnsi="Palatino Linotype" w:cs="Palatino Linotype"/>
          <w:b/>
          <w:bCs/>
          <w:i/>
          <w:iCs/>
          <w:color w:val="000000"/>
        </w:rPr>
        <w:t>cualquier otro registro</w:t>
      </w:r>
      <w:r w:rsidRPr="00026AC4">
        <w:rPr>
          <w:rFonts w:ascii="Palatino Linotype" w:eastAsia="Palatino Linotype" w:hAnsi="Palatino Linotype" w:cs="Palatino Linotype"/>
          <w:i/>
          <w:iCs/>
          <w:color w:val="000000"/>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087FE8" w:rsidRPr="00026AC4" w:rsidRDefault="00087FE8">
      <w:pPr>
        <w:spacing w:line="360" w:lineRule="auto"/>
        <w:ind w:left="567" w:right="567"/>
        <w:jc w:val="both"/>
        <w:rPr>
          <w:rFonts w:ascii="Palatino Linotype" w:eastAsia="Palatino Linotype" w:hAnsi="Palatino Linotype" w:cs="Palatino Linotype"/>
          <w:i/>
          <w:iCs/>
          <w:color w:val="000000"/>
        </w:rPr>
      </w:pPr>
    </w:p>
    <w:p w:rsidR="00087FE8" w:rsidRPr="00026AC4" w:rsidRDefault="00151F9A">
      <w:pPr>
        <w:numPr>
          <w:ilvl w:val="0"/>
          <w:numId w:val="3"/>
        </w:numP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 xml:space="preserve">Es así que, todos los actos de autoridad que realicen los Sujetos Obligados </w:t>
      </w:r>
      <w:r w:rsidRPr="00026AC4">
        <w:rPr>
          <w:rFonts w:ascii="Palatino Linotype" w:eastAsia="Palatino Linotype" w:hAnsi="Palatino Linotype" w:cs="Palatino Linotype"/>
          <w:b/>
          <w:bCs/>
          <w:color w:val="000000"/>
        </w:rPr>
        <w:t xml:space="preserve">deben estar </w:t>
      </w:r>
      <w:r w:rsidRPr="00026AC4">
        <w:rPr>
          <w:rFonts w:ascii="Palatino Linotype" w:eastAsia="Palatino Linotype" w:hAnsi="Palatino Linotype" w:cs="Palatino Linotype"/>
          <w:color w:val="000000"/>
        </w:rPr>
        <w:t>documentados y, bajo el más alto estándar de transparencia deberán poner toda la información que se encuentre en su posesión, a disposición de los particulares que la soliciten.</w:t>
      </w:r>
    </w:p>
    <w:p w:rsidR="00087FE8" w:rsidRPr="00026AC4" w:rsidRDefault="00087FE8">
      <w:pPr>
        <w:pBdr>
          <w:top w:val="nil"/>
          <w:left w:val="nil"/>
          <w:bottom w:val="nil"/>
          <w:right w:val="nil"/>
          <w:between w:val="nil"/>
        </w:pBdr>
        <w:tabs>
          <w:tab w:val="left" w:pos="284"/>
        </w:tabs>
        <w:spacing w:line="360" w:lineRule="auto"/>
        <w:ind w:right="51"/>
        <w:jc w:val="both"/>
        <w:rPr>
          <w:rFonts w:ascii="Palatino Linotype" w:eastAsia="Palatino Linotype" w:hAnsi="Palatino Linotype" w:cs="Palatino Linotype"/>
          <w:color w:val="000000"/>
        </w:rPr>
      </w:pPr>
    </w:p>
    <w:p w:rsidR="00087FE8" w:rsidRPr="00026AC4" w:rsidRDefault="00151F9A">
      <w:pPr>
        <w:numPr>
          <w:ilvl w:val="0"/>
          <w:numId w:val="3"/>
        </w:numP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Además, debemos tomar en cuenta los artículos 4 y 12 (antes transcrito), de la Ley de Transparencia y Acceso a la Información Pública del Estado de México y Municipios, los cuales establecen lo siguiente:</w:t>
      </w:r>
    </w:p>
    <w:p w:rsidR="00087FE8" w:rsidRPr="00026AC4" w:rsidRDefault="00151F9A">
      <w:pPr>
        <w:spacing w:line="360" w:lineRule="auto"/>
        <w:ind w:left="426" w:right="567"/>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b/>
          <w:bCs/>
          <w:i/>
          <w:iCs/>
          <w:color w:val="000000"/>
        </w:rPr>
        <w:t xml:space="preserve">“Artículo 4. </w:t>
      </w:r>
      <w:r w:rsidRPr="00026AC4">
        <w:rPr>
          <w:rFonts w:ascii="Palatino Linotype" w:eastAsia="Palatino Linotype" w:hAnsi="Palatino Linotype" w:cs="Palatino Linotype"/>
          <w:i/>
          <w:iCs/>
          <w:color w:val="000000"/>
        </w:rPr>
        <w:t>El derecho humano de acceso a la información pública es la prerrogativa de las personas para buscar, difundir, investigar, recabar, recibir y solicitar información pública, sin necesidad de acreditar personalidad ni interés jurídico.</w:t>
      </w:r>
    </w:p>
    <w:p w:rsidR="00087FE8" w:rsidRPr="00026AC4" w:rsidRDefault="00151F9A">
      <w:pPr>
        <w:spacing w:line="360" w:lineRule="auto"/>
        <w:ind w:left="426" w:right="567"/>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b/>
          <w:bCs/>
          <w:i/>
          <w:iCs/>
          <w:color w:val="000000"/>
        </w:rPr>
        <w:t>Toda la información</w:t>
      </w:r>
      <w:r w:rsidRPr="00026AC4">
        <w:rPr>
          <w:rFonts w:ascii="Palatino Linotype" w:eastAsia="Palatino Linotype" w:hAnsi="Palatino Linotype" w:cs="Palatino Linotype"/>
          <w:i/>
          <w:iCs/>
          <w:color w:val="000000"/>
        </w:rPr>
        <w:t xml:space="preserve"> generada, obtenida, adquirida, transformada, administrada o </w:t>
      </w:r>
      <w:r w:rsidRPr="00026AC4">
        <w:rPr>
          <w:rFonts w:ascii="Palatino Linotype" w:eastAsia="Palatino Linotype" w:hAnsi="Palatino Linotype" w:cs="Palatino Linotype"/>
          <w:b/>
          <w:bCs/>
          <w:i/>
          <w:iCs/>
          <w:color w:val="000000"/>
        </w:rPr>
        <w:t>en posesión de los sujetos obligados es pública</w:t>
      </w:r>
      <w:r w:rsidRPr="00026AC4">
        <w:rPr>
          <w:rFonts w:ascii="Palatino Linotype" w:eastAsia="Palatino Linotype" w:hAnsi="Palatino Linotype" w:cs="Palatino Linotype"/>
          <w:i/>
          <w:iCs/>
          <w:color w:val="000000"/>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w:t>
      </w:r>
      <w:r w:rsidRPr="00026AC4">
        <w:rPr>
          <w:rFonts w:ascii="Palatino Linotype" w:eastAsia="Palatino Linotype" w:hAnsi="Palatino Linotype" w:cs="Palatino Linotype"/>
          <w:i/>
          <w:iCs/>
          <w:color w:val="000000"/>
        </w:rPr>
        <w:lastRenderedPageBreak/>
        <w:t>razones de interés público, en los términos de las causas legítimas y estrictamente necesarias previstas por esta Ley.</w:t>
      </w:r>
    </w:p>
    <w:p w:rsidR="00087FE8" w:rsidRPr="00026AC4" w:rsidRDefault="00151F9A">
      <w:pPr>
        <w:spacing w:line="360" w:lineRule="auto"/>
        <w:ind w:left="426" w:right="567"/>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i/>
          <w:iCs/>
          <w:color w:val="000000"/>
        </w:rPr>
        <w:t>Los sujetos obligados deben poner en práctica, políticas y programas de acceso a la información que se apeguen a criterios de publicidad, veracidad, oportunidad, precisión y suficiencia en beneficio de los solicitantes.”</w:t>
      </w:r>
    </w:p>
    <w:p w:rsidR="00087FE8" w:rsidRPr="00026AC4" w:rsidRDefault="00087FE8">
      <w:pPr>
        <w:spacing w:line="360" w:lineRule="auto"/>
        <w:ind w:left="567" w:right="567"/>
        <w:jc w:val="both"/>
        <w:rPr>
          <w:rFonts w:ascii="Palatino Linotype" w:eastAsia="Palatino Linotype" w:hAnsi="Palatino Linotype" w:cs="Palatino Linotype"/>
          <w:i/>
          <w:iCs/>
          <w:color w:val="000000"/>
        </w:rPr>
      </w:pPr>
    </w:p>
    <w:p w:rsidR="00087FE8" w:rsidRPr="00026AC4" w:rsidRDefault="00151F9A">
      <w:pPr>
        <w:numPr>
          <w:ilvl w:val="0"/>
          <w:numId w:val="3"/>
        </w:numP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026AC4">
        <w:rPr>
          <w:rFonts w:ascii="Palatino Linotype" w:eastAsia="Palatino Linotype" w:hAnsi="Palatino Linotype" w:cs="Palatino Linotype"/>
          <w:color w:val="000000"/>
          <w:vertAlign w:val="superscript"/>
        </w:rPr>
        <w:footnoteReference w:id="6"/>
      </w:r>
      <w:r w:rsidRPr="00026AC4">
        <w:rPr>
          <w:rFonts w:ascii="Palatino Linotype" w:eastAsia="Palatino Linotype" w:hAnsi="Palatino Linotype" w:cs="Palatino Linotype"/>
          <w:color w:val="000000"/>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087FE8" w:rsidRPr="00026AC4" w:rsidRDefault="00087FE8">
      <w:pPr>
        <w:spacing w:line="360" w:lineRule="auto"/>
        <w:jc w:val="both"/>
        <w:rPr>
          <w:rFonts w:ascii="Palatino Linotype" w:eastAsia="Palatino Linotype" w:hAnsi="Palatino Linotype" w:cs="Palatino Linotype"/>
          <w:color w:val="000000"/>
        </w:rPr>
      </w:pPr>
    </w:p>
    <w:p w:rsidR="00087FE8" w:rsidRPr="00026AC4" w:rsidRDefault="00151F9A">
      <w:pPr>
        <w:numPr>
          <w:ilvl w:val="0"/>
          <w:numId w:val="3"/>
        </w:numP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087FE8" w:rsidRPr="00026AC4" w:rsidRDefault="00151F9A">
      <w:pPr>
        <w:pBdr>
          <w:top w:val="nil"/>
          <w:left w:val="nil"/>
          <w:bottom w:val="nil"/>
          <w:right w:val="nil"/>
          <w:between w:val="nil"/>
        </w:pBdr>
        <w:tabs>
          <w:tab w:val="left" w:pos="851"/>
        </w:tabs>
        <w:spacing w:line="360" w:lineRule="auto"/>
        <w:ind w:left="425" w:right="476"/>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b/>
          <w:bCs/>
          <w:i/>
          <w:iCs/>
          <w:color w:val="000000"/>
        </w:rPr>
        <w:t>ACCESO A LA INFORMACIÓN. IMPLICACIÓN DEL PRINCIPIO DE MÁXIMA PUBLICIDAD EN EL DERECHO FUNDAMENTAL RELATIVO.</w:t>
      </w:r>
      <w:r w:rsidRPr="00026AC4">
        <w:rPr>
          <w:rFonts w:ascii="Palatino Linotype" w:eastAsia="Palatino Linotype" w:hAnsi="Palatino Linotype" w:cs="Palatino Linotype"/>
          <w:i/>
          <w:iCs/>
          <w:color w:val="000000"/>
        </w:rPr>
        <w:t xml:space="preserve"> Del artículo 6o. de la Constitución Política de los Estados Unidos Mexicanos se advierte que el Estado Mexicano está constreñido a publicitar sus actos, pues se reconoce el derecho fundamental de los </w:t>
      </w:r>
      <w:r w:rsidRPr="00026AC4">
        <w:rPr>
          <w:rFonts w:ascii="Palatino Linotype" w:eastAsia="Palatino Linotype" w:hAnsi="Palatino Linotype" w:cs="Palatino Linotype"/>
          <w:i/>
          <w:iCs/>
          <w:color w:val="000000"/>
        </w:rPr>
        <w:lastRenderedPageBreak/>
        <w:t>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087FE8" w:rsidRPr="00026AC4" w:rsidRDefault="00087FE8">
      <w:pPr>
        <w:pBdr>
          <w:top w:val="nil"/>
          <w:left w:val="nil"/>
          <w:bottom w:val="nil"/>
          <w:right w:val="nil"/>
          <w:between w:val="nil"/>
        </w:pBdr>
        <w:tabs>
          <w:tab w:val="left" w:pos="851"/>
        </w:tabs>
        <w:spacing w:line="360" w:lineRule="auto"/>
        <w:ind w:right="476"/>
        <w:jc w:val="both"/>
        <w:rPr>
          <w:rFonts w:ascii="Palatino Linotype" w:eastAsia="Palatino Linotype" w:hAnsi="Palatino Linotype" w:cs="Palatino Linotype"/>
          <w:color w:val="000000"/>
        </w:rPr>
      </w:pPr>
    </w:p>
    <w:p w:rsidR="00087FE8" w:rsidRPr="00026AC4" w:rsidRDefault="00151F9A">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b/>
          <w:bCs/>
          <w:color w:val="000000"/>
        </w:rPr>
      </w:pPr>
      <w:r w:rsidRPr="00026AC4">
        <w:rPr>
          <w:rFonts w:ascii="Palatino Linotype" w:eastAsia="Palatino Linotype" w:hAnsi="Palatino Linotype" w:cs="Palatino Linotype"/>
          <w:b/>
          <w:bCs/>
          <w:color w:val="000000"/>
        </w:rPr>
        <w:t>QUINTO. De la versión pública.</w:t>
      </w:r>
    </w:p>
    <w:p w:rsidR="00087FE8" w:rsidRPr="00026AC4" w:rsidRDefault="00151F9A" w:rsidP="00026AC4">
      <w:pPr>
        <w:pStyle w:val="Prrafodelista"/>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 xml:space="preserve">Finalmente, debe señalarse que dada la propia y especial naturaleza de lo solicitado, eventualmente pudiera contener datos personales de particulares, pues dentro de las convocatorias, pueden existir datos de personas que no cuenten con el carácter de servidores públicos, al existir la posibilidad de convocar a personas especialistas o representantes de </w:t>
      </w:r>
      <w:r w:rsidRPr="00026AC4">
        <w:rPr>
          <w:rFonts w:ascii="Palatino Linotype" w:eastAsia="Palatino Linotype" w:hAnsi="Palatino Linotype" w:cs="Palatino Linotype"/>
          <w:color w:val="000000"/>
        </w:rPr>
        <w:lastRenderedPageBreak/>
        <w:t>organizaciones, como se desprende del artículo 5.98 del Reglamento de la Comisión Municipal de Mejora Regulatoria del Municipio de Toluca, a saber:</w:t>
      </w:r>
    </w:p>
    <w:p w:rsidR="00087FE8" w:rsidRPr="00026AC4" w:rsidRDefault="00151F9A">
      <w:pPr>
        <w:pBdr>
          <w:top w:val="nil"/>
          <w:left w:val="nil"/>
          <w:bottom w:val="nil"/>
          <w:right w:val="nil"/>
          <w:between w:val="nil"/>
        </w:pBdr>
        <w:spacing w:line="360" w:lineRule="auto"/>
        <w:ind w:left="426" w:right="426"/>
        <w:jc w:val="both"/>
        <w:rPr>
          <w:rFonts w:ascii="Palatino Linotype" w:eastAsia="Palatino Linotype" w:hAnsi="Palatino Linotype" w:cs="Palatino Linotype"/>
          <w:i/>
          <w:iCs/>
          <w:color w:val="000000"/>
        </w:rPr>
      </w:pPr>
      <w:r w:rsidRPr="00026AC4">
        <w:rPr>
          <w:rFonts w:ascii="Palatino Linotype" w:eastAsia="Palatino Linotype" w:hAnsi="Palatino Linotype" w:cs="Palatino Linotype"/>
          <w:i/>
          <w:iCs/>
          <w:color w:val="000000"/>
        </w:rPr>
        <w:t xml:space="preserve">“Artículo 5.98. El Presidente de la Comisión Municipal hará llegar la convocatoria a los especialistas </w:t>
      </w:r>
      <w:r w:rsidRPr="00026AC4">
        <w:rPr>
          <w:rFonts w:ascii="Palatino Linotype" w:eastAsia="Palatino Linotype" w:hAnsi="Palatino Linotype" w:cs="Palatino Linotype"/>
          <w:b/>
          <w:bCs/>
          <w:i/>
          <w:iCs/>
          <w:color w:val="000000"/>
        </w:rPr>
        <w:t>o representantes de organizaciones cuya participación y opiniones considere pertinentes y oportunas</w:t>
      </w:r>
      <w:r w:rsidRPr="00026AC4">
        <w:rPr>
          <w:rFonts w:ascii="Palatino Linotype" w:eastAsia="Palatino Linotype" w:hAnsi="Palatino Linotype" w:cs="Palatino Linotype"/>
          <w:i/>
          <w:iCs/>
          <w:color w:val="000000"/>
        </w:rPr>
        <w:t>, de acuerdo con los temas a analizar, con al menos ocho días hábiles antes de aquél en que se celebre la sesión respectiva.”</w:t>
      </w:r>
    </w:p>
    <w:p w:rsidR="00087FE8" w:rsidRPr="00026AC4" w:rsidRDefault="00087FE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087FE8" w:rsidRPr="00026AC4" w:rsidRDefault="00151F9A" w:rsidP="00026AC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 xml:space="preserve">Luego entonces, para dar cumplimiento a la presente resolución, contengan datos que deban ser clasificados, el </w:t>
      </w:r>
      <w:r w:rsidRPr="00026AC4">
        <w:rPr>
          <w:rFonts w:ascii="Palatino Linotype" w:eastAsia="Palatino Linotype" w:hAnsi="Palatino Linotype" w:cs="Palatino Linotype"/>
          <w:b/>
          <w:bCs/>
          <w:color w:val="000000"/>
        </w:rPr>
        <w:t>SUJETO OBLIGADO</w:t>
      </w:r>
      <w:r w:rsidRPr="00026AC4">
        <w:rPr>
          <w:rFonts w:ascii="Palatino Linotype" w:eastAsia="Palatino Linotype" w:hAnsi="Palatino Linotype" w:cs="Palatino Linotype"/>
          <w:color w:val="000000"/>
        </w:rPr>
        <w:t xml:space="preserve"> deberá hacer la elaboración de la versión pública de tales documentos a fin de satisfacer el derecho de acceso a la información pública del recurrente sin menoscabo al derecho a la protección de los datos personales de terceros.</w:t>
      </w:r>
    </w:p>
    <w:p w:rsidR="00087FE8" w:rsidRPr="00026AC4" w:rsidRDefault="00087FE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087FE8" w:rsidRPr="00026AC4" w:rsidRDefault="00151F9A" w:rsidP="00026AC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rsidR="00087FE8" w:rsidRPr="00026AC4" w:rsidRDefault="00151F9A">
      <w:pPr>
        <w:spacing w:line="360" w:lineRule="auto"/>
        <w:ind w:left="993" w:right="1041"/>
        <w:jc w:val="both"/>
        <w:rPr>
          <w:rFonts w:ascii="Palatino Linotype" w:eastAsia="Palatino Linotype" w:hAnsi="Palatino Linotype" w:cs="Palatino Linotype"/>
          <w:b/>
          <w:bCs/>
          <w:i/>
          <w:iCs/>
        </w:rPr>
      </w:pPr>
      <w:r w:rsidRPr="00026AC4">
        <w:rPr>
          <w:rFonts w:ascii="Palatino Linotype" w:eastAsia="Palatino Linotype" w:hAnsi="Palatino Linotype" w:cs="Palatino Linotype"/>
          <w:b/>
          <w:bCs/>
          <w:i/>
          <w:iCs/>
        </w:rPr>
        <w:t xml:space="preserve"> “Artículo 3. Para los efectos de la presente Ley se entenderá por:</w:t>
      </w:r>
    </w:p>
    <w:p w:rsidR="00087FE8" w:rsidRPr="00026AC4" w:rsidRDefault="00151F9A">
      <w:pPr>
        <w:spacing w:line="360" w:lineRule="auto"/>
        <w:ind w:left="993" w:right="1041"/>
        <w:jc w:val="both"/>
        <w:rPr>
          <w:rFonts w:ascii="Palatino Linotype" w:eastAsia="Palatino Linotype" w:hAnsi="Palatino Linotype" w:cs="Palatino Linotype"/>
          <w:i/>
          <w:iCs/>
        </w:rPr>
      </w:pPr>
      <w:r w:rsidRPr="00026AC4">
        <w:rPr>
          <w:rFonts w:ascii="Palatino Linotype" w:eastAsia="Palatino Linotype" w:hAnsi="Palatino Linotype" w:cs="Palatino Linotype"/>
          <w:b/>
          <w:bCs/>
          <w:i/>
          <w:iCs/>
        </w:rPr>
        <w:t>IX. Datos personales:</w:t>
      </w:r>
      <w:r w:rsidRPr="00026AC4">
        <w:rPr>
          <w:rFonts w:ascii="Palatino Linotype" w:eastAsia="Palatino Linotype" w:hAnsi="Palatino Linotype" w:cs="Palatino Linotype"/>
          <w:i/>
          <w:iCs/>
        </w:rPr>
        <w:t xml:space="preserve"> </w:t>
      </w:r>
      <w:r w:rsidRPr="00026AC4">
        <w:rPr>
          <w:rFonts w:ascii="Palatino Linotype" w:eastAsia="Palatino Linotype" w:hAnsi="Palatino Linotype" w:cs="Palatino Linotype"/>
          <w:b/>
          <w:bCs/>
          <w:i/>
          <w:iCs/>
        </w:rPr>
        <w:t>La información concerniente a una persona, identificada o identificable</w:t>
      </w:r>
      <w:r w:rsidRPr="00026AC4">
        <w:rPr>
          <w:rFonts w:ascii="Palatino Linotype" w:eastAsia="Palatino Linotype" w:hAnsi="Palatino Linotype" w:cs="Palatino Linotype"/>
          <w:i/>
          <w:iCs/>
        </w:rPr>
        <w:t xml:space="preserve"> según lo dispuesto por la Ley de Protección de Datos Personales del Estado de México;</w:t>
      </w:r>
    </w:p>
    <w:p w:rsidR="00087FE8" w:rsidRPr="00026AC4" w:rsidRDefault="00151F9A">
      <w:pPr>
        <w:spacing w:line="360" w:lineRule="auto"/>
        <w:ind w:left="993" w:right="1041"/>
        <w:jc w:val="both"/>
        <w:rPr>
          <w:rFonts w:ascii="Palatino Linotype" w:eastAsia="Palatino Linotype" w:hAnsi="Palatino Linotype" w:cs="Palatino Linotype"/>
          <w:i/>
          <w:iCs/>
        </w:rPr>
      </w:pPr>
      <w:r w:rsidRPr="00026AC4">
        <w:rPr>
          <w:rFonts w:ascii="Palatino Linotype" w:eastAsia="Palatino Linotype" w:hAnsi="Palatino Linotype" w:cs="Palatino Linotype"/>
          <w:b/>
          <w:bCs/>
          <w:i/>
          <w:iCs/>
        </w:rPr>
        <w:t>XX. Información clasificada:</w:t>
      </w:r>
      <w:r w:rsidRPr="00026AC4">
        <w:rPr>
          <w:rFonts w:ascii="Palatino Linotype" w:eastAsia="Palatino Linotype" w:hAnsi="Palatino Linotype" w:cs="Palatino Linotype"/>
          <w:i/>
          <w:iCs/>
        </w:rPr>
        <w:t xml:space="preserve"> Aquella considerada por la presente Ley como reservada o confidencial;</w:t>
      </w:r>
    </w:p>
    <w:p w:rsidR="00087FE8" w:rsidRPr="00026AC4" w:rsidRDefault="00151F9A">
      <w:pPr>
        <w:spacing w:line="360" w:lineRule="auto"/>
        <w:ind w:left="993" w:right="1041"/>
        <w:jc w:val="both"/>
        <w:rPr>
          <w:rFonts w:ascii="Palatino Linotype" w:eastAsia="Palatino Linotype" w:hAnsi="Palatino Linotype" w:cs="Palatino Linotype"/>
          <w:i/>
          <w:iCs/>
        </w:rPr>
      </w:pPr>
      <w:r w:rsidRPr="00026AC4">
        <w:rPr>
          <w:rFonts w:ascii="Palatino Linotype" w:eastAsia="Palatino Linotype" w:hAnsi="Palatino Linotype" w:cs="Palatino Linotype"/>
          <w:b/>
          <w:bCs/>
          <w:i/>
          <w:iCs/>
        </w:rPr>
        <w:lastRenderedPageBreak/>
        <w:t>XXXII. Protección de Datos Personales:</w:t>
      </w:r>
      <w:r w:rsidRPr="00026AC4">
        <w:rPr>
          <w:rFonts w:ascii="Palatino Linotype" w:eastAsia="Palatino Linotype" w:hAnsi="Palatino Linotype" w:cs="Palatino Linotype"/>
          <w:i/>
          <w:iCs/>
        </w:rPr>
        <w:t xml:space="preserve"> Derecho humano que tutela la privacidad de datos personales en poder de los sujetos obligados y sujetos particulares;</w:t>
      </w:r>
    </w:p>
    <w:p w:rsidR="00087FE8" w:rsidRPr="00026AC4" w:rsidRDefault="00151F9A">
      <w:pPr>
        <w:spacing w:line="360" w:lineRule="auto"/>
        <w:ind w:left="993" w:right="1041"/>
        <w:jc w:val="both"/>
        <w:rPr>
          <w:rFonts w:ascii="Palatino Linotype" w:eastAsia="Palatino Linotype" w:hAnsi="Palatino Linotype" w:cs="Palatino Linotype"/>
          <w:i/>
          <w:iCs/>
        </w:rPr>
      </w:pPr>
      <w:r w:rsidRPr="00026AC4">
        <w:rPr>
          <w:rFonts w:ascii="Palatino Linotype" w:eastAsia="Palatino Linotype" w:hAnsi="Palatino Linotype" w:cs="Palatino Linotype"/>
          <w:b/>
          <w:bCs/>
          <w:i/>
          <w:iCs/>
        </w:rPr>
        <w:t>XLV. Versión pública</w:t>
      </w:r>
      <w:r w:rsidRPr="00026AC4">
        <w:rPr>
          <w:rFonts w:ascii="Palatino Linotype" w:eastAsia="Palatino Linotype" w:hAnsi="Palatino Linotype" w:cs="Palatino Linotype"/>
          <w:i/>
          <w:iCs/>
        </w:rPr>
        <w:t>: Documento en el que se elimine, suprime o borra la información clasificada como reservada o confidencial para permitir su acceso.”</w:t>
      </w:r>
    </w:p>
    <w:p w:rsidR="00087FE8" w:rsidRPr="00026AC4" w:rsidRDefault="00087FE8">
      <w:pPr>
        <w:spacing w:line="360" w:lineRule="auto"/>
        <w:ind w:left="993" w:right="1041"/>
        <w:jc w:val="both"/>
        <w:rPr>
          <w:rFonts w:ascii="Palatino Linotype" w:eastAsia="Palatino Linotype" w:hAnsi="Palatino Linotype" w:cs="Palatino Linotype"/>
          <w:i/>
          <w:iCs/>
        </w:rPr>
      </w:pPr>
    </w:p>
    <w:p w:rsidR="00087FE8" w:rsidRPr="00026AC4" w:rsidRDefault="00151F9A">
      <w:pPr>
        <w:spacing w:line="360" w:lineRule="auto"/>
        <w:ind w:left="993" w:right="1041"/>
        <w:jc w:val="both"/>
        <w:rPr>
          <w:rFonts w:ascii="Palatino Linotype" w:eastAsia="Palatino Linotype" w:hAnsi="Palatino Linotype" w:cs="Palatino Linotype"/>
          <w:i/>
          <w:iCs/>
        </w:rPr>
      </w:pPr>
      <w:r w:rsidRPr="00026AC4">
        <w:rPr>
          <w:rFonts w:ascii="Palatino Linotype" w:eastAsia="Palatino Linotype" w:hAnsi="Palatino Linotype" w:cs="Palatino Linotype"/>
          <w:b/>
          <w:bCs/>
          <w:i/>
          <w:iCs/>
        </w:rPr>
        <w:t>“Artículo 6.</w:t>
      </w:r>
      <w:r w:rsidRPr="00026AC4">
        <w:rPr>
          <w:rFonts w:ascii="Palatino Linotype" w:eastAsia="Palatino Linotype" w:hAnsi="Palatino Linotype" w:cs="Palatino Linotype"/>
          <w:i/>
          <w:iCs/>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087FE8" w:rsidRPr="00026AC4" w:rsidRDefault="00087FE8">
      <w:pPr>
        <w:spacing w:line="360" w:lineRule="auto"/>
        <w:ind w:left="993" w:right="1041"/>
        <w:jc w:val="both"/>
        <w:rPr>
          <w:rFonts w:ascii="Palatino Linotype" w:eastAsia="Palatino Linotype" w:hAnsi="Palatino Linotype" w:cs="Palatino Linotype"/>
          <w:i/>
          <w:iCs/>
        </w:rPr>
      </w:pPr>
    </w:p>
    <w:p w:rsidR="00087FE8" w:rsidRPr="00026AC4" w:rsidRDefault="00151F9A">
      <w:pPr>
        <w:spacing w:line="360" w:lineRule="auto"/>
        <w:ind w:left="993" w:right="1041"/>
        <w:jc w:val="both"/>
        <w:rPr>
          <w:rFonts w:ascii="Palatino Linotype" w:eastAsia="Palatino Linotype" w:hAnsi="Palatino Linotype" w:cs="Palatino Linotype"/>
          <w:i/>
          <w:iCs/>
        </w:rPr>
      </w:pPr>
      <w:r w:rsidRPr="00026AC4">
        <w:rPr>
          <w:rFonts w:ascii="Palatino Linotype" w:eastAsia="Palatino Linotype" w:hAnsi="Palatino Linotype" w:cs="Palatino Linotype"/>
          <w:i/>
          <w:iCs/>
        </w:rPr>
        <w:t> </w:t>
      </w:r>
      <w:r w:rsidRPr="00026AC4">
        <w:rPr>
          <w:rFonts w:ascii="Palatino Linotype" w:eastAsia="Palatino Linotype" w:hAnsi="Palatino Linotype" w:cs="Palatino Linotype"/>
          <w:b/>
          <w:bCs/>
          <w:i/>
          <w:iCs/>
        </w:rPr>
        <w:t>Artículo 49.</w:t>
      </w:r>
      <w:r w:rsidRPr="00026AC4">
        <w:rPr>
          <w:rFonts w:ascii="Palatino Linotype" w:eastAsia="Palatino Linotype" w:hAnsi="Palatino Linotype" w:cs="Palatino Linotype"/>
          <w:i/>
          <w:iCs/>
        </w:rPr>
        <w:t> Los Comités de Transparencia tendrán las siguientes atribuciones:</w:t>
      </w:r>
    </w:p>
    <w:p w:rsidR="00087FE8" w:rsidRPr="00026AC4" w:rsidRDefault="00151F9A">
      <w:pPr>
        <w:spacing w:line="360" w:lineRule="auto"/>
        <w:ind w:left="993" w:right="1041"/>
        <w:jc w:val="both"/>
        <w:rPr>
          <w:rFonts w:ascii="Palatino Linotype" w:eastAsia="Palatino Linotype" w:hAnsi="Palatino Linotype" w:cs="Palatino Linotype"/>
          <w:i/>
          <w:iCs/>
        </w:rPr>
      </w:pPr>
      <w:r w:rsidRPr="00026AC4">
        <w:rPr>
          <w:rFonts w:ascii="Palatino Linotype" w:eastAsia="Palatino Linotype" w:hAnsi="Palatino Linotype" w:cs="Palatino Linotype"/>
          <w:i/>
          <w:iCs/>
        </w:rPr>
        <w:t>(…)</w:t>
      </w:r>
    </w:p>
    <w:p w:rsidR="00087FE8" w:rsidRPr="00026AC4" w:rsidRDefault="00151F9A">
      <w:pPr>
        <w:spacing w:line="360" w:lineRule="auto"/>
        <w:ind w:left="993" w:right="1041"/>
        <w:jc w:val="both"/>
        <w:rPr>
          <w:rFonts w:ascii="Palatino Linotype" w:eastAsia="Palatino Linotype" w:hAnsi="Palatino Linotype" w:cs="Palatino Linotype"/>
          <w:i/>
          <w:iCs/>
        </w:rPr>
      </w:pPr>
      <w:r w:rsidRPr="00026AC4">
        <w:rPr>
          <w:rFonts w:ascii="Palatino Linotype" w:eastAsia="Palatino Linotype" w:hAnsi="Palatino Linotype" w:cs="Palatino Linotype"/>
          <w:b/>
          <w:bCs/>
          <w:i/>
          <w:iCs/>
        </w:rPr>
        <w:t>VIII</w:t>
      </w:r>
      <w:r w:rsidRPr="00026AC4">
        <w:rPr>
          <w:rFonts w:ascii="Palatino Linotype" w:eastAsia="Palatino Linotype" w:hAnsi="Palatino Linotype" w:cs="Palatino Linotype"/>
          <w:i/>
          <w:iCs/>
        </w:rPr>
        <w:t>. Aprobar, modificar o revocar la clasificación de la información;</w:t>
      </w:r>
    </w:p>
    <w:p w:rsidR="00087FE8" w:rsidRPr="00026AC4" w:rsidRDefault="00151F9A">
      <w:pPr>
        <w:spacing w:line="360" w:lineRule="auto"/>
        <w:ind w:left="993" w:right="1041"/>
        <w:jc w:val="both"/>
        <w:rPr>
          <w:rFonts w:ascii="Palatino Linotype" w:eastAsia="Palatino Linotype" w:hAnsi="Palatino Linotype" w:cs="Palatino Linotype"/>
          <w:i/>
          <w:iCs/>
        </w:rPr>
      </w:pPr>
      <w:r w:rsidRPr="00026AC4">
        <w:rPr>
          <w:rFonts w:ascii="Palatino Linotype" w:eastAsia="Palatino Linotype" w:hAnsi="Palatino Linotype" w:cs="Palatino Linotype"/>
          <w:i/>
          <w:iCs/>
        </w:rPr>
        <w:t>(…)</w:t>
      </w:r>
    </w:p>
    <w:p w:rsidR="00087FE8" w:rsidRPr="00026AC4" w:rsidRDefault="00151F9A">
      <w:pPr>
        <w:spacing w:line="360" w:lineRule="auto"/>
        <w:ind w:left="993" w:right="1041"/>
        <w:jc w:val="both"/>
        <w:rPr>
          <w:rFonts w:ascii="Palatino Linotype" w:eastAsia="Palatino Linotype" w:hAnsi="Palatino Linotype" w:cs="Palatino Linotype"/>
          <w:i/>
          <w:iCs/>
        </w:rPr>
      </w:pPr>
      <w:r w:rsidRPr="00026AC4">
        <w:rPr>
          <w:rFonts w:ascii="Palatino Linotype" w:eastAsia="Palatino Linotype" w:hAnsi="Palatino Linotype" w:cs="Palatino Linotype"/>
          <w:b/>
          <w:bCs/>
          <w:i/>
          <w:iCs/>
        </w:rPr>
        <w:t xml:space="preserve">Artículo 91. </w:t>
      </w:r>
      <w:r w:rsidRPr="00026AC4">
        <w:rPr>
          <w:rFonts w:ascii="Palatino Linotype" w:eastAsia="Palatino Linotype" w:hAnsi="Palatino Linotype" w:cs="Palatino Linotype"/>
          <w:i/>
          <w:iCs/>
        </w:rPr>
        <w:t>El acceso a la información pública será restringido excepcionalmente, cuando ésta sea clasificada como reservada o confidencial.</w:t>
      </w:r>
    </w:p>
    <w:p w:rsidR="00087FE8" w:rsidRPr="00026AC4" w:rsidRDefault="00087FE8">
      <w:pPr>
        <w:spacing w:line="360" w:lineRule="auto"/>
        <w:ind w:left="993" w:right="1041"/>
        <w:jc w:val="both"/>
        <w:rPr>
          <w:rFonts w:ascii="Palatino Linotype" w:eastAsia="Palatino Linotype" w:hAnsi="Palatino Linotype" w:cs="Palatino Linotype"/>
          <w:i/>
          <w:iCs/>
        </w:rPr>
      </w:pPr>
    </w:p>
    <w:p w:rsidR="00087FE8" w:rsidRPr="00026AC4" w:rsidRDefault="00151F9A">
      <w:pPr>
        <w:spacing w:line="360" w:lineRule="auto"/>
        <w:ind w:left="993" w:right="1041"/>
        <w:jc w:val="both"/>
        <w:rPr>
          <w:rFonts w:ascii="Palatino Linotype" w:eastAsia="Palatino Linotype" w:hAnsi="Palatino Linotype" w:cs="Palatino Linotype"/>
          <w:b/>
          <w:bCs/>
          <w:i/>
          <w:iCs/>
        </w:rPr>
      </w:pPr>
      <w:r w:rsidRPr="00026AC4">
        <w:rPr>
          <w:rFonts w:ascii="Palatino Linotype" w:eastAsia="Palatino Linotype" w:hAnsi="Palatino Linotype" w:cs="Palatino Linotype"/>
          <w:b/>
          <w:bCs/>
          <w:i/>
          <w:iCs/>
        </w:rPr>
        <w:t>“Artículo 137.</w:t>
      </w:r>
      <w:r w:rsidRPr="00026AC4">
        <w:rPr>
          <w:rFonts w:ascii="Palatino Linotype" w:eastAsia="Palatino Linotype" w:hAnsi="Palatino Linotype" w:cs="Palatino Linotype"/>
          <w:i/>
          <w:iCs/>
        </w:rPr>
        <w:t xml:space="preserve"> Cuando un mismo medio, impreso o electrónico, contenga información pública y reservada o confidencial, la Unidad de Transparencia para efectos de atender una solicitud de información, deberán elaborar una versión </w:t>
      </w:r>
      <w:r w:rsidRPr="00026AC4">
        <w:rPr>
          <w:rFonts w:ascii="Palatino Linotype" w:eastAsia="Palatino Linotype" w:hAnsi="Palatino Linotype" w:cs="Palatino Linotype"/>
          <w:i/>
          <w:iCs/>
        </w:rPr>
        <w:lastRenderedPageBreak/>
        <w:t>pública en la que se testen las partes o secciones clasificadas, indicando su contenido de manera genérica y fundando y motivando su clasificación.”</w:t>
      </w:r>
    </w:p>
    <w:p w:rsidR="00087FE8" w:rsidRPr="00026AC4" w:rsidRDefault="00087FE8">
      <w:pPr>
        <w:spacing w:line="360" w:lineRule="auto"/>
        <w:ind w:left="993" w:right="1041"/>
        <w:jc w:val="both"/>
        <w:rPr>
          <w:rFonts w:ascii="Palatino Linotype" w:eastAsia="Palatino Linotype" w:hAnsi="Palatino Linotype" w:cs="Palatino Linotype"/>
          <w:b/>
          <w:bCs/>
          <w:i/>
          <w:iCs/>
        </w:rPr>
      </w:pPr>
    </w:p>
    <w:p w:rsidR="00087FE8" w:rsidRPr="00026AC4" w:rsidRDefault="00151F9A">
      <w:pPr>
        <w:spacing w:line="360" w:lineRule="auto"/>
        <w:ind w:left="993" w:right="1041"/>
        <w:jc w:val="both"/>
        <w:rPr>
          <w:rFonts w:ascii="Palatino Linotype" w:eastAsia="Palatino Linotype" w:hAnsi="Palatino Linotype" w:cs="Palatino Linotype"/>
          <w:i/>
          <w:iCs/>
        </w:rPr>
      </w:pPr>
      <w:r w:rsidRPr="00026AC4">
        <w:rPr>
          <w:rFonts w:ascii="Palatino Linotype" w:eastAsia="Palatino Linotype" w:hAnsi="Palatino Linotype" w:cs="Palatino Linotype"/>
          <w:b/>
          <w:bCs/>
          <w:i/>
          <w:iCs/>
        </w:rPr>
        <w:t>“Artículo 143</w:t>
      </w:r>
      <w:r w:rsidRPr="00026AC4">
        <w:rPr>
          <w:rFonts w:ascii="Palatino Linotype" w:eastAsia="Palatino Linotype" w:hAnsi="Palatino Linotype" w:cs="Palatino Linotype"/>
          <w:i/>
          <w:iCs/>
        </w:rPr>
        <w:t>. Para los efectos de esta Ley se considera información confidencial, la clasificada como tal, de manera permanente, por su naturaleza, cuando:</w:t>
      </w:r>
    </w:p>
    <w:p w:rsidR="00087FE8" w:rsidRPr="00026AC4" w:rsidRDefault="00151F9A">
      <w:pPr>
        <w:spacing w:line="360" w:lineRule="auto"/>
        <w:ind w:left="993" w:right="1041"/>
        <w:jc w:val="both"/>
        <w:rPr>
          <w:rFonts w:ascii="Palatino Linotype" w:eastAsia="Palatino Linotype" w:hAnsi="Palatino Linotype" w:cs="Palatino Linotype"/>
          <w:i/>
          <w:iCs/>
        </w:rPr>
      </w:pPr>
      <w:r w:rsidRPr="00026AC4">
        <w:rPr>
          <w:rFonts w:ascii="Palatino Linotype" w:eastAsia="Palatino Linotype" w:hAnsi="Palatino Linotype" w:cs="Palatino Linotype"/>
          <w:b/>
          <w:bCs/>
          <w:i/>
          <w:iCs/>
        </w:rPr>
        <w:t>I.</w:t>
      </w:r>
      <w:r w:rsidRPr="00026AC4">
        <w:rPr>
          <w:rFonts w:ascii="Palatino Linotype" w:eastAsia="Palatino Linotype" w:hAnsi="Palatino Linotype" w:cs="Palatino Linotype"/>
          <w:i/>
          <w:iCs/>
        </w:rPr>
        <w:t xml:space="preserve"> Se refiera a la información privada y los datos personales concernientes a una persona física o jurídica colectiva identificada o identificable;</w:t>
      </w:r>
    </w:p>
    <w:p w:rsidR="00087FE8" w:rsidRPr="00026AC4" w:rsidRDefault="00151F9A">
      <w:pPr>
        <w:spacing w:line="360" w:lineRule="auto"/>
        <w:ind w:left="993" w:right="1041"/>
        <w:jc w:val="both"/>
        <w:rPr>
          <w:rFonts w:ascii="Palatino Linotype" w:eastAsia="Palatino Linotype" w:hAnsi="Palatino Linotype" w:cs="Palatino Linotype"/>
          <w:i/>
          <w:iCs/>
        </w:rPr>
      </w:pPr>
      <w:r w:rsidRPr="00026AC4">
        <w:rPr>
          <w:rFonts w:ascii="Palatino Linotype" w:eastAsia="Palatino Linotype" w:hAnsi="Palatino Linotype" w:cs="Palatino Linotype"/>
          <w:i/>
          <w:iCs/>
        </w:rPr>
        <w:t>II. Los secretos bancario, fiduciario, industrial, comercial, fiscal, bursátil y postal, cuya titularidad corresponda a particulares, sujetos de derecho internacional o a sujetos obligados cuando no involucren el ejercicio de recursos públicos; y</w:t>
      </w:r>
    </w:p>
    <w:p w:rsidR="00087FE8" w:rsidRPr="00026AC4" w:rsidRDefault="00151F9A">
      <w:pPr>
        <w:spacing w:line="360" w:lineRule="auto"/>
        <w:ind w:left="993" w:right="1041"/>
        <w:jc w:val="both"/>
        <w:rPr>
          <w:rFonts w:ascii="Palatino Linotype" w:eastAsia="Palatino Linotype" w:hAnsi="Palatino Linotype" w:cs="Palatino Linotype"/>
          <w:i/>
          <w:iCs/>
        </w:rPr>
      </w:pPr>
      <w:r w:rsidRPr="00026AC4">
        <w:rPr>
          <w:rFonts w:ascii="Palatino Linotype" w:eastAsia="Palatino Linotype" w:hAnsi="Palatino Linotype" w:cs="Palatino Linotype"/>
          <w:i/>
          <w:iCs/>
        </w:rPr>
        <w:t xml:space="preserve">III. La que presenten los particulares a los sujetos obligados, de conformidad con lo dispuesto por las leyes o los tratados internacionales.” </w:t>
      </w:r>
    </w:p>
    <w:p w:rsidR="00087FE8" w:rsidRPr="00026AC4" w:rsidRDefault="00087FE8">
      <w:pPr>
        <w:spacing w:line="360" w:lineRule="auto"/>
        <w:ind w:left="993" w:right="1041"/>
        <w:jc w:val="both"/>
        <w:rPr>
          <w:rFonts w:ascii="Palatino Linotype" w:eastAsia="Palatino Linotype" w:hAnsi="Palatino Linotype" w:cs="Palatino Linotype"/>
          <w:i/>
          <w:iCs/>
        </w:rPr>
      </w:pPr>
    </w:p>
    <w:p w:rsidR="00087FE8" w:rsidRPr="00026AC4" w:rsidRDefault="00151F9A" w:rsidP="00026AC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087FE8" w:rsidRPr="00026AC4" w:rsidRDefault="00151F9A" w:rsidP="00026AC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lastRenderedPageBreak/>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087FE8" w:rsidRPr="00026AC4" w:rsidRDefault="00087FE8">
      <w:pPr>
        <w:spacing w:line="360" w:lineRule="auto"/>
        <w:ind w:right="50"/>
        <w:jc w:val="both"/>
        <w:rPr>
          <w:rFonts w:ascii="Palatino Linotype" w:eastAsia="Palatino Linotype" w:hAnsi="Palatino Linotype" w:cs="Palatino Linotype"/>
        </w:rPr>
      </w:pPr>
    </w:p>
    <w:p w:rsidR="00087FE8" w:rsidRPr="00026AC4" w:rsidRDefault="00151F9A" w:rsidP="00026AC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087FE8" w:rsidRPr="00026AC4" w:rsidRDefault="00151F9A">
      <w:pPr>
        <w:spacing w:line="360" w:lineRule="auto"/>
        <w:ind w:left="851" w:right="1043"/>
        <w:jc w:val="both"/>
        <w:rPr>
          <w:rFonts w:ascii="Palatino Linotype" w:eastAsia="Palatino Linotype" w:hAnsi="Palatino Linotype" w:cs="Palatino Linotype"/>
          <w:i/>
          <w:iCs/>
        </w:rPr>
      </w:pPr>
      <w:r w:rsidRPr="00026AC4">
        <w:rPr>
          <w:rFonts w:ascii="Palatino Linotype" w:eastAsia="Palatino Linotype" w:hAnsi="Palatino Linotype" w:cs="Palatino Linotype"/>
          <w:b/>
          <w:bCs/>
          <w:i/>
          <w:iCs/>
        </w:rPr>
        <w:t>“Artículo 49.</w:t>
      </w:r>
      <w:r w:rsidRPr="00026AC4">
        <w:rPr>
          <w:rFonts w:ascii="Palatino Linotype" w:eastAsia="Palatino Linotype" w:hAnsi="Palatino Linotype" w:cs="Palatino Linotype"/>
          <w:i/>
          <w:iCs/>
        </w:rPr>
        <w:t xml:space="preserve"> </w:t>
      </w:r>
      <w:r w:rsidRPr="00026AC4">
        <w:rPr>
          <w:rFonts w:ascii="Palatino Linotype" w:eastAsia="Palatino Linotype" w:hAnsi="Palatino Linotype" w:cs="Palatino Linotype"/>
          <w:b/>
          <w:bCs/>
          <w:i/>
          <w:iCs/>
        </w:rPr>
        <w:t>Los Comités de Transparencia</w:t>
      </w:r>
      <w:r w:rsidRPr="00026AC4">
        <w:rPr>
          <w:rFonts w:ascii="Palatino Linotype" w:eastAsia="Palatino Linotype" w:hAnsi="Palatino Linotype" w:cs="Palatino Linotype"/>
          <w:i/>
          <w:iCs/>
        </w:rPr>
        <w:t xml:space="preserve"> tendrán las siguientes atribuciones:</w:t>
      </w:r>
    </w:p>
    <w:p w:rsidR="00087FE8" w:rsidRPr="00026AC4" w:rsidRDefault="00151F9A">
      <w:pPr>
        <w:spacing w:line="360" w:lineRule="auto"/>
        <w:ind w:left="851" w:right="1043"/>
        <w:jc w:val="both"/>
        <w:rPr>
          <w:rFonts w:ascii="Palatino Linotype" w:eastAsia="Palatino Linotype" w:hAnsi="Palatino Linotype" w:cs="Palatino Linotype"/>
          <w:i/>
          <w:iCs/>
        </w:rPr>
      </w:pPr>
      <w:r w:rsidRPr="00026AC4">
        <w:rPr>
          <w:rFonts w:ascii="Palatino Linotype" w:eastAsia="Palatino Linotype" w:hAnsi="Palatino Linotype" w:cs="Palatino Linotype"/>
          <w:b/>
          <w:bCs/>
          <w:i/>
          <w:iCs/>
        </w:rPr>
        <w:t>VIII. Aprobar, modificar o revocar la clasificación de la información</w:t>
      </w:r>
      <w:r w:rsidRPr="00026AC4">
        <w:rPr>
          <w:rFonts w:ascii="Palatino Linotype" w:eastAsia="Palatino Linotype" w:hAnsi="Palatino Linotype" w:cs="Palatino Linotype"/>
          <w:i/>
          <w:iCs/>
        </w:rPr>
        <w:t>…”</w:t>
      </w:r>
    </w:p>
    <w:p w:rsidR="00087FE8" w:rsidRPr="00026AC4" w:rsidRDefault="00151F9A">
      <w:pPr>
        <w:spacing w:line="360" w:lineRule="auto"/>
        <w:ind w:left="851" w:right="1043"/>
        <w:jc w:val="both"/>
        <w:rPr>
          <w:rFonts w:ascii="Palatino Linotype" w:eastAsia="Palatino Linotype" w:hAnsi="Palatino Linotype" w:cs="Palatino Linotype"/>
          <w:i/>
          <w:iCs/>
        </w:rPr>
      </w:pPr>
      <w:r w:rsidRPr="00026AC4">
        <w:rPr>
          <w:rFonts w:ascii="Palatino Linotype" w:eastAsia="Palatino Linotype" w:hAnsi="Palatino Linotype" w:cs="Palatino Linotype"/>
          <w:i/>
          <w:iCs/>
        </w:rPr>
        <w:t>“</w:t>
      </w:r>
      <w:r w:rsidRPr="00026AC4">
        <w:rPr>
          <w:rFonts w:ascii="Palatino Linotype" w:eastAsia="Palatino Linotype" w:hAnsi="Palatino Linotype" w:cs="Palatino Linotype"/>
          <w:b/>
          <w:bCs/>
          <w:i/>
          <w:iCs/>
        </w:rPr>
        <w:t>Artículo 53.</w:t>
      </w:r>
      <w:r w:rsidRPr="00026AC4">
        <w:rPr>
          <w:rFonts w:ascii="Palatino Linotype" w:eastAsia="Palatino Linotype" w:hAnsi="Palatino Linotype" w:cs="Palatino Linotype"/>
          <w:i/>
          <w:iCs/>
        </w:rPr>
        <w:t xml:space="preserve"> Las </w:t>
      </w:r>
      <w:r w:rsidRPr="00026AC4">
        <w:rPr>
          <w:rFonts w:ascii="Palatino Linotype" w:eastAsia="Palatino Linotype" w:hAnsi="Palatino Linotype" w:cs="Palatino Linotype"/>
          <w:b/>
          <w:bCs/>
          <w:i/>
          <w:iCs/>
        </w:rPr>
        <w:t>Unidades de Transparencia</w:t>
      </w:r>
      <w:r w:rsidRPr="00026AC4">
        <w:rPr>
          <w:rFonts w:ascii="Palatino Linotype" w:eastAsia="Palatino Linotype" w:hAnsi="Palatino Linotype" w:cs="Palatino Linotype"/>
          <w:i/>
          <w:iCs/>
        </w:rPr>
        <w:t xml:space="preserve"> tendrán las siguientes </w:t>
      </w:r>
      <w:r w:rsidRPr="00026AC4">
        <w:rPr>
          <w:rFonts w:ascii="Palatino Linotype" w:eastAsia="Palatino Linotype" w:hAnsi="Palatino Linotype" w:cs="Palatino Linotype"/>
          <w:b/>
          <w:bCs/>
          <w:i/>
          <w:iCs/>
        </w:rPr>
        <w:t>funciones</w:t>
      </w:r>
      <w:r w:rsidRPr="00026AC4">
        <w:rPr>
          <w:rFonts w:ascii="Palatino Linotype" w:eastAsia="Palatino Linotype" w:hAnsi="Palatino Linotype" w:cs="Palatino Linotype"/>
          <w:i/>
          <w:iCs/>
        </w:rPr>
        <w:t>:</w:t>
      </w:r>
    </w:p>
    <w:p w:rsidR="00087FE8" w:rsidRPr="00026AC4" w:rsidRDefault="00151F9A">
      <w:pPr>
        <w:spacing w:line="360" w:lineRule="auto"/>
        <w:ind w:left="851" w:right="1043"/>
        <w:jc w:val="both"/>
        <w:rPr>
          <w:rFonts w:ascii="Palatino Linotype" w:eastAsia="Palatino Linotype" w:hAnsi="Palatino Linotype" w:cs="Palatino Linotype"/>
          <w:i/>
          <w:iCs/>
        </w:rPr>
      </w:pPr>
      <w:r w:rsidRPr="00026AC4">
        <w:rPr>
          <w:rFonts w:ascii="Palatino Linotype" w:eastAsia="Palatino Linotype" w:hAnsi="Palatino Linotype" w:cs="Palatino Linotype"/>
          <w:b/>
          <w:bCs/>
          <w:i/>
          <w:iCs/>
        </w:rPr>
        <w:t>X. Presentar ante el Comité, el proyecto de clasificación de información</w:t>
      </w:r>
      <w:r w:rsidRPr="00026AC4">
        <w:rPr>
          <w:rFonts w:ascii="Palatino Linotype" w:eastAsia="Palatino Linotype" w:hAnsi="Palatino Linotype" w:cs="Palatino Linotype"/>
          <w:i/>
          <w:iCs/>
        </w:rPr>
        <w:t xml:space="preserve">…” </w:t>
      </w:r>
    </w:p>
    <w:p w:rsidR="00087FE8" w:rsidRPr="00026AC4" w:rsidRDefault="00151F9A">
      <w:pPr>
        <w:spacing w:line="360" w:lineRule="auto"/>
        <w:ind w:left="851" w:right="1043"/>
        <w:jc w:val="both"/>
        <w:rPr>
          <w:rFonts w:ascii="Palatino Linotype" w:eastAsia="Palatino Linotype" w:hAnsi="Palatino Linotype" w:cs="Palatino Linotype"/>
          <w:i/>
          <w:iCs/>
        </w:rPr>
      </w:pPr>
      <w:r w:rsidRPr="00026AC4">
        <w:rPr>
          <w:rFonts w:ascii="Palatino Linotype" w:eastAsia="Palatino Linotype" w:hAnsi="Palatino Linotype" w:cs="Palatino Linotype"/>
          <w:b/>
          <w:bCs/>
          <w:i/>
          <w:iCs/>
        </w:rPr>
        <w:t>“Artículo 59.</w:t>
      </w:r>
      <w:r w:rsidRPr="00026AC4">
        <w:rPr>
          <w:rFonts w:ascii="Palatino Linotype" w:eastAsia="Palatino Linotype" w:hAnsi="Palatino Linotype" w:cs="Palatino Linotype"/>
          <w:i/>
          <w:iCs/>
        </w:rPr>
        <w:t xml:space="preserve"> Los </w:t>
      </w:r>
      <w:r w:rsidRPr="00026AC4">
        <w:rPr>
          <w:rFonts w:ascii="Palatino Linotype" w:eastAsia="Palatino Linotype" w:hAnsi="Palatino Linotype" w:cs="Palatino Linotype"/>
          <w:b/>
          <w:bCs/>
          <w:i/>
          <w:iCs/>
        </w:rPr>
        <w:t>servidores públicos habilitados</w:t>
      </w:r>
      <w:r w:rsidRPr="00026AC4">
        <w:rPr>
          <w:rFonts w:ascii="Palatino Linotype" w:eastAsia="Palatino Linotype" w:hAnsi="Palatino Linotype" w:cs="Palatino Linotype"/>
          <w:i/>
          <w:iCs/>
        </w:rPr>
        <w:t xml:space="preserve"> tendrán las </w:t>
      </w:r>
      <w:r w:rsidRPr="00026AC4">
        <w:rPr>
          <w:rFonts w:ascii="Palatino Linotype" w:eastAsia="Palatino Linotype" w:hAnsi="Palatino Linotype" w:cs="Palatino Linotype"/>
          <w:b/>
          <w:bCs/>
          <w:i/>
          <w:iCs/>
        </w:rPr>
        <w:t>funciones</w:t>
      </w:r>
      <w:r w:rsidRPr="00026AC4">
        <w:rPr>
          <w:rFonts w:ascii="Palatino Linotype" w:eastAsia="Palatino Linotype" w:hAnsi="Palatino Linotype" w:cs="Palatino Linotype"/>
          <w:i/>
          <w:iCs/>
        </w:rPr>
        <w:t xml:space="preserve"> siguientes:</w:t>
      </w:r>
    </w:p>
    <w:p w:rsidR="00087FE8" w:rsidRPr="00026AC4" w:rsidRDefault="00151F9A">
      <w:pPr>
        <w:spacing w:line="360" w:lineRule="auto"/>
        <w:ind w:left="851" w:right="1043"/>
        <w:jc w:val="both"/>
        <w:rPr>
          <w:rFonts w:ascii="Palatino Linotype" w:eastAsia="Palatino Linotype" w:hAnsi="Palatino Linotype" w:cs="Palatino Linotype"/>
          <w:i/>
          <w:iCs/>
        </w:rPr>
      </w:pPr>
      <w:r w:rsidRPr="00026AC4">
        <w:rPr>
          <w:rFonts w:ascii="Palatino Linotype" w:eastAsia="Palatino Linotype" w:hAnsi="Palatino Linotype" w:cs="Palatino Linotype"/>
          <w:b/>
          <w:bCs/>
          <w:i/>
          <w:iCs/>
        </w:rPr>
        <w:t>V. Integrar y presentar al responsable de la Unidad de Transparencia la propuesta de clasificación de información</w:t>
      </w:r>
      <w:r w:rsidRPr="00026AC4">
        <w:rPr>
          <w:rFonts w:ascii="Palatino Linotype" w:eastAsia="Palatino Linotype" w:hAnsi="Palatino Linotype" w:cs="Palatino Linotype"/>
          <w:i/>
          <w:iCs/>
        </w:rPr>
        <w:t>, la cual tendrá los fundamentos y argumentos en que se basa dicha propuesta…”</w:t>
      </w:r>
    </w:p>
    <w:p w:rsidR="00087FE8" w:rsidRPr="00026AC4" w:rsidRDefault="00087FE8">
      <w:pPr>
        <w:spacing w:line="360" w:lineRule="auto"/>
        <w:ind w:left="851" w:right="1043"/>
        <w:jc w:val="both"/>
        <w:rPr>
          <w:rFonts w:ascii="Palatino Linotype" w:eastAsia="Palatino Linotype" w:hAnsi="Palatino Linotype" w:cs="Palatino Linotype"/>
          <w:i/>
          <w:iCs/>
        </w:rPr>
      </w:pPr>
    </w:p>
    <w:p w:rsidR="00087FE8" w:rsidRPr="00026AC4" w:rsidRDefault="00151F9A" w:rsidP="00026AC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lastRenderedPageBreak/>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87FE8" w:rsidRPr="00026AC4" w:rsidRDefault="00087FE8">
      <w:pPr>
        <w:spacing w:line="360" w:lineRule="auto"/>
        <w:jc w:val="both"/>
        <w:rPr>
          <w:rFonts w:ascii="Palatino Linotype" w:eastAsia="Palatino Linotype" w:hAnsi="Palatino Linotype" w:cs="Palatino Linotype"/>
        </w:rPr>
      </w:pPr>
    </w:p>
    <w:p w:rsidR="00087FE8" w:rsidRPr="00026AC4" w:rsidRDefault="00151F9A" w:rsidP="00026AC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Para lo cual, a su vez en el caso de información de carácter confidencial, se debe atender a lo que señala el artículo 149 de la Ley de Transparencia Local vigente, que se lee como sigue:</w:t>
      </w:r>
    </w:p>
    <w:p w:rsidR="00087FE8" w:rsidRPr="00026AC4" w:rsidRDefault="00151F9A">
      <w:pPr>
        <w:spacing w:line="360" w:lineRule="auto"/>
        <w:ind w:left="993" w:right="1041"/>
        <w:jc w:val="both"/>
        <w:rPr>
          <w:rFonts w:ascii="Palatino Linotype" w:eastAsia="Palatino Linotype" w:hAnsi="Palatino Linotype" w:cs="Palatino Linotype"/>
          <w:i/>
          <w:iCs/>
        </w:rPr>
      </w:pPr>
      <w:r w:rsidRPr="00026AC4">
        <w:rPr>
          <w:rFonts w:ascii="Palatino Linotype" w:eastAsia="Palatino Linotype" w:hAnsi="Palatino Linotype" w:cs="Palatino Linotype"/>
          <w:i/>
          <w:iCs/>
        </w:rPr>
        <w:t>“</w:t>
      </w:r>
      <w:r w:rsidRPr="00026AC4">
        <w:rPr>
          <w:rFonts w:ascii="Palatino Linotype" w:eastAsia="Palatino Linotype" w:hAnsi="Palatino Linotype" w:cs="Palatino Linotype"/>
          <w:b/>
          <w:bCs/>
          <w:i/>
          <w:iCs/>
        </w:rPr>
        <w:t>Artículo 149.</w:t>
      </w:r>
      <w:r w:rsidRPr="00026AC4">
        <w:rPr>
          <w:rFonts w:ascii="Palatino Linotype" w:eastAsia="Palatino Linotype" w:hAnsi="Palatino Linotype" w:cs="Palatino Linotype"/>
          <w:i/>
          <w:iCs/>
        </w:rPr>
        <w:t xml:space="preserve"> El </w:t>
      </w:r>
      <w:r w:rsidRPr="00026AC4">
        <w:rPr>
          <w:rFonts w:ascii="Palatino Linotype" w:eastAsia="Palatino Linotype" w:hAnsi="Palatino Linotype" w:cs="Palatino Linotype"/>
          <w:b/>
          <w:bCs/>
          <w:i/>
          <w:iCs/>
        </w:rPr>
        <w:t>acuerdo que clasifique la información como confidencial</w:t>
      </w:r>
      <w:r w:rsidRPr="00026AC4">
        <w:rPr>
          <w:rFonts w:ascii="Palatino Linotype" w:eastAsia="Palatino Linotype" w:hAnsi="Palatino Linotype" w:cs="Palatino Linotype"/>
          <w:i/>
          <w:iCs/>
        </w:rPr>
        <w:t xml:space="preserve"> deberá contener un razonamiento lógico en el que demuestre que la información se encuentra en alguna o algunas de las hipótesis previstas en la presente Ley.”</w:t>
      </w:r>
    </w:p>
    <w:p w:rsidR="00087FE8" w:rsidRPr="00026AC4" w:rsidRDefault="00087FE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087FE8" w:rsidRPr="00026AC4" w:rsidRDefault="00151F9A" w:rsidP="00026AC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087FE8" w:rsidRPr="00026AC4" w:rsidRDefault="00087FE8">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color w:val="000000"/>
        </w:rPr>
      </w:pPr>
    </w:p>
    <w:p w:rsidR="00087FE8" w:rsidRPr="00026AC4" w:rsidRDefault="00151F9A" w:rsidP="00026AC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lastRenderedPageBreak/>
        <w:t xml:space="preserve">Derivado de lo anterior, la ley establece claramente cuáles son esos descuentos o gravámenes que directamente se relacionan con las obligaciones adquiridas como servidores públicos y aquéllos que </w:t>
      </w:r>
      <w:r w:rsidRPr="00026AC4">
        <w:rPr>
          <w:rFonts w:ascii="Palatino Linotype" w:eastAsia="Palatino Linotype" w:hAnsi="Palatino Linotype" w:cs="Palatino Linotype"/>
          <w:b/>
          <w:bCs/>
          <w:color w:val="000000"/>
        </w:rPr>
        <w:t>únicamente inciden en su vida privada</w:t>
      </w:r>
      <w:r w:rsidRPr="00026AC4">
        <w:rPr>
          <w:rFonts w:ascii="Palatino Linotype" w:eastAsia="Palatino Linotype" w:hAnsi="Palatino Linotype" w:cs="Palatino Linotype"/>
          <w:color w:val="000000"/>
        </w:rPr>
        <w:t>. De este modo, descuentos por pensiones alimenticias o créditos adquiridos con instituciones privadas o públicas pero que fueron contraídas en forma individual, son información que debe clasificarse como confidencial</w:t>
      </w:r>
    </w:p>
    <w:p w:rsidR="00087FE8" w:rsidRPr="00026AC4" w:rsidRDefault="00087FE8">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color w:val="000000"/>
        </w:rPr>
      </w:pPr>
    </w:p>
    <w:p w:rsidR="00087FE8" w:rsidRPr="00026AC4" w:rsidRDefault="00151F9A" w:rsidP="00026AC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rsidR="00087FE8" w:rsidRPr="00026AC4" w:rsidRDefault="00087FE8">
      <w:pPr>
        <w:pBdr>
          <w:top w:val="nil"/>
          <w:left w:val="nil"/>
          <w:bottom w:val="nil"/>
          <w:right w:val="nil"/>
          <w:between w:val="nil"/>
        </w:pBdr>
        <w:spacing w:line="360" w:lineRule="auto"/>
        <w:ind w:left="720"/>
        <w:jc w:val="both"/>
        <w:rPr>
          <w:rFonts w:ascii="Palatino Linotype" w:eastAsia="Palatino Linotype" w:hAnsi="Palatino Linotype" w:cs="Palatino Linotype"/>
        </w:rPr>
      </w:pPr>
    </w:p>
    <w:p w:rsidR="00087FE8" w:rsidRPr="00026AC4" w:rsidRDefault="00151F9A" w:rsidP="00026AC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 xml:space="preserve">Sirven de sustento a lo anterior, las tesis jurisprudenciales </w:t>
      </w:r>
      <w:r w:rsidRPr="00026AC4">
        <w:rPr>
          <w:rFonts w:ascii="Palatino Linotype" w:eastAsia="Palatino Linotype" w:hAnsi="Palatino Linotype" w:cs="Palatino Linotype"/>
          <w:i/>
          <w:iCs/>
          <w:color w:val="000000"/>
        </w:rPr>
        <w:t xml:space="preserve">P. LX/2000 </w:t>
      </w:r>
      <w:r w:rsidRPr="00026AC4">
        <w:rPr>
          <w:rFonts w:ascii="Palatino Linotype" w:eastAsia="Palatino Linotype" w:hAnsi="Palatino Linotype" w:cs="Palatino Linotype"/>
          <w:color w:val="000000"/>
        </w:rPr>
        <w:t xml:space="preserve">y </w:t>
      </w:r>
      <w:r w:rsidRPr="00026AC4">
        <w:rPr>
          <w:rFonts w:ascii="Palatino Linotype" w:eastAsia="Palatino Linotype" w:hAnsi="Palatino Linotype" w:cs="Palatino Linotype"/>
          <w:i/>
          <w:iCs/>
          <w:color w:val="000000"/>
        </w:rPr>
        <w:t>2a. XLIII/2008</w:t>
      </w:r>
      <w:r w:rsidRPr="00026AC4">
        <w:rPr>
          <w:rFonts w:ascii="Palatino Linotype" w:eastAsia="Palatino Linotype" w:hAnsi="Palatino Linotype" w:cs="Palatino Linotype"/>
          <w:b/>
          <w:bCs/>
          <w:color w:val="000000"/>
        </w:rPr>
        <w:t xml:space="preserve"> </w:t>
      </w:r>
      <w:r w:rsidRPr="00026AC4">
        <w:rPr>
          <w:rFonts w:ascii="Palatino Linotype" w:eastAsia="Palatino Linotype" w:hAnsi="Palatino Linotype" w:cs="Palatino Linotype"/>
          <w:color w:val="000000"/>
        </w:rPr>
        <w:t>emitidas por el Peno y la Segunda Sala de la Suprema Corte de Justicia de la Nación, respectivamente, que son del tenor literal siguiente:</w:t>
      </w:r>
    </w:p>
    <w:p w:rsidR="00087FE8" w:rsidRPr="00026AC4" w:rsidRDefault="00151F9A">
      <w:pPr>
        <w:spacing w:line="360" w:lineRule="auto"/>
        <w:ind w:left="851" w:right="851"/>
        <w:jc w:val="both"/>
        <w:rPr>
          <w:rFonts w:ascii="Palatino Linotype" w:eastAsia="Palatino Linotype" w:hAnsi="Palatino Linotype" w:cs="Palatino Linotype"/>
          <w:i/>
          <w:iCs/>
        </w:rPr>
      </w:pPr>
      <w:r w:rsidRPr="00026AC4">
        <w:rPr>
          <w:rFonts w:ascii="Palatino Linotype" w:eastAsia="Palatino Linotype" w:hAnsi="Palatino Linotype" w:cs="Palatino Linotype"/>
          <w:b/>
          <w:bCs/>
          <w:i/>
          <w:iCs/>
        </w:rPr>
        <w:t xml:space="preserve">“DERECHO A LA INFORMACIÓN. SU EJERCICIO SE ENCUENTRA LIMITADO TANTO POR LOS INTERESES NACIONALES Y DE LA SOCIEDAD, COMO POR LOS DERECHOS DE TERCEROS. </w:t>
      </w:r>
      <w:r w:rsidRPr="00026AC4">
        <w:rPr>
          <w:rFonts w:ascii="Palatino Linotype" w:eastAsia="Palatino Linotype" w:hAnsi="Palatino Linotype" w:cs="Palatino Linotype"/>
          <w:i/>
          <w:iCs/>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w:t>
      </w:r>
      <w:r w:rsidRPr="00026AC4">
        <w:rPr>
          <w:rFonts w:ascii="Palatino Linotype" w:eastAsia="Palatino Linotype" w:hAnsi="Palatino Linotype" w:cs="Palatino Linotype"/>
          <w:i/>
          <w:iCs/>
        </w:rPr>
        <w:lastRenderedPageBreak/>
        <w:t xml:space="preserve">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026AC4">
        <w:rPr>
          <w:rFonts w:ascii="Palatino Linotype" w:eastAsia="Palatino Linotype" w:hAnsi="Palatino Linotype" w:cs="Palatino Linotype"/>
          <w:b/>
          <w:bCs/>
          <w:i/>
          <w:iCs/>
        </w:rPr>
        <w:t>restringen el acceso a la información en esta materia, en razón de que su conocimiento público puede generar daños a los intereses nacionales y, por el otro, sancionan la inobservancia de esa reserva</w:t>
      </w:r>
      <w:r w:rsidRPr="00026AC4">
        <w:rPr>
          <w:rFonts w:ascii="Palatino Linotype" w:eastAsia="Palatino Linotype" w:hAnsi="Palatino Linotype" w:cs="Palatino Linotype"/>
          <w:i/>
          <w:iCs/>
        </w:rPr>
        <w:t xml:space="preserve">; por lo que hace al interés social, se cuenta con normas que tienden a proteger la averiguación de los delitos, la salud y la moral públicas, </w:t>
      </w:r>
      <w:r w:rsidRPr="00026AC4">
        <w:rPr>
          <w:rFonts w:ascii="Palatino Linotype" w:eastAsia="Palatino Linotype" w:hAnsi="Palatino Linotype" w:cs="Palatino Linotype"/>
          <w:b/>
          <w:bCs/>
          <w:i/>
          <w:iCs/>
        </w:rPr>
        <w:t>mientras que por lo que respecta a la protección de la persona existen normas que protegen el derecho a la vida o a la privacidad de los gobernados</w:t>
      </w:r>
      <w:r w:rsidRPr="00026AC4">
        <w:rPr>
          <w:rFonts w:ascii="Palatino Linotype" w:eastAsia="Palatino Linotype" w:hAnsi="Palatino Linotype" w:cs="Palatino Linotype"/>
          <w:i/>
          <w:iCs/>
        </w:rPr>
        <w:t>.”</w:t>
      </w:r>
    </w:p>
    <w:p w:rsidR="00087FE8" w:rsidRPr="00026AC4" w:rsidRDefault="00087FE8">
      <w:pPr>
        <w:spacing w:line="360" w:lineRule="auto"/>
        <w:ind w:left="851" w:right="851"/>
        <w:jc w:val="both"/>
        <w:rPr>
          <w:rFonts w:ascii="Palatino Linotype" w:eastAsia="Palatino Linotype" w:hAnsi="Palatino Linotype" w:cs="Palatino Linotype"/>
          <w:i/>
          <w:iCs/>
        </w:rPr>
      </w:pPr>
    </w:p>
    <w:p w:rsidR="00087FE8" w:rsidRPr="00026AC4" w:rsidRDefault="00151F9A">
      <w:pPr>
        <w:spacing w:line="360" w:lineRule="auto"/>
        <w:ind w:left="851" w:right="851"/>
        <w:jc w:val="both"/>
        <w:rPr>
          <w:rFonts w:ascii="Palatino Linotype" w:eastAsia="Palatino Linotype" w:hAnsi="Palatino Linotype" w:cs="Palatino Linotype"/>
          <w:i/>
          <w:iCs/>
        </w:rPr>
      </w:pPr>
      <w:r w:rsidRPr="00026AC4">
        <w:rPr>
          <w:rFonts w:ascii="Palatino Linotype" w:eastAsia="Palatino Linotype" w:hAnsi="Palatino Linotype" w:cs="Palatino Linotype"/>
          <w:b/>
          <w:bCs/>
          <w:i/>
          <w:iCs/>
        </w:rPr>
        <w:t xml:space="preserve">“TRANSPARENCIA Y ACCESO A LA INFORMACIÓN PÚBLICA GUBERNAMENTAL. EL ARTÍCULO 14, FRACCIÓN I, DE LA LEY FEDERAL RELATIVA, NO VIOLA LA GARANTÍA DE ACCESO A LA INFORMACIÓN. </w:t>
      </w:r>
      <w:r w:rsidRPr="00026AC4">
        <w:rPr>
          <w:rFonts w:ascii="Palatino Linotype" w:eastAsia="Palatino Linotype" w:hAnsi="Palatino Linotype" w:cs="Palatino Linotype"/>
          <w:i/>
          <w:iCs/>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w:t>
      </w:r>
      <w:r w:rsidRPr="00026AC4">
        <w:rPr>
          <w:rFonts w:ascii="Palatino Linotype" w:eastAsia="Palatino Linotype" w:hAnsi="Palatino Linotype" w:cs="Palatino Linotype"/>
          <w:i/>
          <w:iCs/>
        </w:rPr>
        <w:lastRenderedPageBreak/>
        <w:t xml:space="preserve">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026AC4">
        <w:rPr>
          <w:rFonts w:ascii="Palatino Linotype" w:eastAsia="Palatino Linotype" w:hAnsi="Palatino Linotype" w:cs="Palatino Linotype"/>
          <w:b/>
          <w:bCs/>
          <w:i/>
          <w:iCs/>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026AC4">
        <w:rPr>
          <w:rFonts w:ascii="Palatino Linotype" w:eastAsia="Palatino Linotype" w:hAnsi="Palatino Linotype" w:cs="Palatino Linotype"/>
          <w:i/>
          <w:iCs/>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087FE8" w:rsidRPr="00026AC4" w:rsidRDefault="00087FE8">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color w:val="000000"/>
          <w:highlight w:val="white"/>
        </w:rPr>
      </w:pPr>
    </w:p>
    <w:p w:rsidR="00087FE8" w:rsidRPr="00026AC4" w:rsidRDefault="00151F9A" w:rsidP="00026AC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Efectivamente, cuando se clasifica información como confidencial o reservada es importante someterlo al Comité de Transparencia, quien debe confirmar, modificar o revocar la clasificación.</w:t>
      </w:r>
    </w:p>
    <w:p w:rsidR="00087FE8" w:rsidRPr="00026AC4" w:rsidRDefault="00087FE8">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087FE8" w:rsidRPr="00026AC4" w:rsidRDefault="00151F9A" w:rsidP="00026AC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 xml:space="preserve">Por lo tanto, la entrega de documentos en su versión pública debe acompañarse necesariamente del Acuerdo del Comité de Transparencia que la sustente, en el que se </w:t>
      </w:r>
      <w:r w:rsidRPr="00026AC4">
        <w:rPr>
          <w:rFonts w:ascii="Palatino Linotype" w:eastAsia="Palatino Linotype" w:hAnsi="Palatino Linotype" w:cs="Palatino Linotype"/>
          <w:color w:val="000000"/>
        </w:rPr>
        <w:lastRenderedPageBreak/>
        <w:t>expongan los fundamentos y razonamientos que llevaron al </w:t>
      </w:r>
      <w:r w:rsidRPr="00026AC4">
        <w:rPr>
          <w:rFonts w:ascii="Palatino Linotype" w:eastAsia="Palatino Linotype" w:hAnsi="Palatino Linotype" w:cs="Palatino Linotype"/>
          <w:b/>
          <w:bCs/>
          <w:color w:val="000000"/>
        </w:rPr>
        <w:t>SUJETO OBLIGADO</w:t>
      </w:r>
      <w:r w:rsidRPr="00026AC4">
        <w:rPr>
          <w:rFonts w:ascii="Palatino Linotype" w:eastAsia="Palatino Linotype" w:hAnsi="Palatino Linotype" w:cs="Palatino Linotype"/>
          <w:color w:val="000000"/>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026AC4">
        <w:rPr>
          <w:rFonts w:ascii="Palatino Linotype" w:eastAsia="Palatino Linotype" w:hAnsi="Palatino Linotype" w:cs="Palatino Linotype"/>
          <w:b/>
          <w:bCs/>
          <w:color w:val="000000"/>
        </w:rPr>
        <w:t>RECURRENTE.</w:t>
      </w:r>
    </w:p>
    <w:p w:rsidR="00087FE8" w:rsidRPr="00026AC4" w:rsidRDefault="00087FE8">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087FE8" w:rsidRPr="00026AC4" w:rsidRDefault="00151F9A" w:rsidP="00026AC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rsidR="00087FE8" w:rsidRPr="00026AC4" w:rsidRDefault="00087FE8">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087FE8" w:rsidRPr="00026AC4" w:rsidRDefault="00151F9A" w:rsidP="00026AC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87FE8" w:rsidRPr="00026AC4" w:rsidRDefault="00151F9A" w:rsidP="00026AC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lastRenderedPageBreak/>
        <w:t>Entorno a lo que aquí nos interesa, los Lineamientos Quincuagésimo sexto, Quincuagésimo séptimo y Quincuagésimo octavo, establecen lo siguiente:</w:t>
      </w:r>
    </w:p>
    <w:p w:rsidR="00087FE8" w:rsidRPr="00026AC4" w:rsidRDefault="00151F9A">
      <w:pPr>
        <w:spacing w:line="360" w:lineRule="auto"/>
        <w:ind w:left="851" w:right="902"/>
        <w:jc w:val="both"/>
        <w:rPr>
          <w:rFonts w:ascii="Palatino Linotype" w:eastAsia="Palatino Linotype" w:hAnsi="Palatino Linotype" w:cs="Palatino Linotype"/>
          <w:i/>
          <w:iCs/>
        </w:rPr>
      </w:pPr>
      <w:r w:rsidRPr="00026AC4">
        <w:rPr>
          <w:rFonts w:ascii="Palatino Linotype" w:eastAsia="Palatino Linotype" w:hAnsi="Palatino Linotype" w:cs="Palatino Linotype"/>
          <w:i/>
          <w:iCs/>
        </w:rPr>
        <w:t>“Quincuagésimo sexto</w:t>
      </w:r>
      <w:r w:rsidRPr="00026AC4">
        <w:rPr>
          <w:rFonts w:ascii="Palatino Linotype" w:eastAsia="Palatino Linotype" w:hAnsi="Palatino Linotype" w:cs="Palatino Linotype"/>
          <w:b/>
          <w:bCs/>
          <w:i/>
          <w:iCs/>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087FE8" w:rsidRPr="00026AC4" w:rsidRDefault="00151F9A">
      <w:pPr>
        <w:spacing w:line="360" w:lineRule="auto"/>
        <w:ind w:left="851" w:right="902"/>
        <w:jc w:val="both"/>
        <w:rPr>
          <w:rFonts w:ascii="Palatino Linotype" w:eastAsia="Palatino Linotype" w:hAnsi="Palatino Linotype" w:cs="Palatino Linotype"/>
          <w:i/>
          <w:iCs/>
        </w:rPr>
      </w:pPr>
      <w:r w:rsidRPr="00026AC4">
        <w:rPr>
          <w:rFonts w:ascii="Palatino Linotype" w:eastAsia="Palatino Linotype" w:hAnsi="Palatino Linotype" w:cs="Palatino Linotype"/>
          <w:i/>
          <w:iCs/>
        </w:rPr>
        <w:t xml:space="preserve">Quincuagésimo séptimo. Se considera, en principio, como información pública y no podrá omitirse de las versiones públicas la siguiente: </w:t>
      </w:r>
    </w:p>
    <w:p w:rsidR="00087FE8" w:rsidRPr="00026AC4" w:rsidRDefault="00151F9A">
      <w:pPr>
        <w:spacing w:line="360" w:lineRule="auto"/>
        <w:ind w:left="851" w:right="902"/>
        <w:jc w:val="both"/>
        <w:rPr>
          <w:rFonts w:ascii="Palatino Linotype" w:eastAsia="Palatino Linotype" w:hAnsi="Palatino Linotype" w:cs="Palatino Linotype"/>
          <w:i/>
          <w:iCs/>
        </w:rPr>
      </w:pPr>
      <w:r w:rsidRPr="00026AC4">
        <w:rPr>
          <w:rFonts w:ascii="Palatino Linotype" w:eastAsia="Palatino Linotype" w:hAnsi="Palatino Linotype" w:cs="Palatino Linotype"/>
          <w:i/>
          <w:iCs/>
        </w:rPr>
        <w:t xml:space="preserve">I. La relativa a las Obligaciones de Transparencia que contempla el Título V de la Ley General y las demás disposiciones legales aplicables; </w:t>
      </w:r>
    </w:p>
    <w:p w:rsidR="00087FE8" w:rsidRPr="00026AC4" w:rsidRDefault="00151F9A">
      <w:pPr>
        <w:spacing w:line="360" w:lineRule="auto"/>
        <w:ind w:left="851" w:right="902"/>
        <w:jc w:val="both"/>
        <w:rPr>
          <w:rFonts w:ascii="Palatino Linotype" w:eastAsia="Palatino Linotype" w:hAnsi="Palatino Linotype" w:cs="Palatino Linotype"/>
          <w:i/>
          <w:iCs/>
        </w:rPr>
      </w:pPr>
      <w:r w:rsidRPr="00026AC4">
        <w:rPr>
          <w:rFonts w:ascii="Palatino Linotype" w:eastAsia="Palatino Linotype" w:hAnsi="Palatino Linotype" w:cs="Palatino Linotype"/>
          <w:i/>
          <w:iCs/>
        </w:rPr>
        <w:t xml:space="preserve">II. El nombre de los servidores públicos en los documentos, y sus firmas autógrafas, cuando sean utilizados en el ejercicio de las facultades conferidas para el desempeño del servicio público, y </w:t>
      </w:r>
    </w:p>
    <w:p w:rsidR="00087FE8" w:rsidRPr="00026AC4" w:rsidRDefault="00151F9A">
      <w:pPr>
        <w:spacing w:line="360" w:lineRule="auto"/>
        <w:ind w:left="851" w:right="902"/>
        <w:jc w:val="both"/>
        <w:rPr>
          <w:rFonts w:ascii="Palatino Linotype" w:eastAsia="Palatino Linotype" w:hAnsi="Palatino Linotype" w:cs="Palatino Linotype"/>
          <w:i/>
          <w:iCs/>
        </w:rPr>
      </w:pPr>
      <w:r w:rsidRPr="00026AC4">
        <w:rPr>
          <w:rFonts w:ascii="Palatino Linotype" w:eastAsia="Palatino Linotype" w:hAnsi="Palatino Linotype" w:cs="Palatino Linotype"/>
          <w:i/>
          <w:iCs/>
        </w:rPr>
        <w:t>III. La información que documente decisiones y los actos de autoridad concluidos de los sujetos obligados, así como el ejercicio de las facultades o actividades de los servidores públicos, de manera que se pueda valorar el desempeño de los mismos.</w:t>
      </w:r>
    </w:p>
    <w:p w:rsidR="00087FE8" w:rsidRPr="00026AC4" w:rsidRDefault="00151F9A">
      <w:pPr>
        <w:spacing w:line="360" w:lineRule="auto"/>
        <w:ind w:left="851" w:right="902"/>
        <w:jc w:val="both"/>
        <w:rPr>
          <w:rFonts w:ascii="Palatino Linotype" w:eastAsia="Palatino Linotype" w:hAnsi="Palatino Linotype" w:cs="Palatino Linotype"/>
          <w:i/>
          <w:iCs/>
        </w:rPr>
      </w:pPr>
      <w:r w:rsidRPr="00026AC4">
        <w:rPr>
          <w:rFonts w:ascii="Palatino Linotype" w:eastAsia="Palatino Linotype" w:hAnsi="Palatino Linotype" w:cs="Palatino Linotype"/>
          <w:i/>
          <w:iCs/>
        </w:rPr>
        <w:t xml:space="preserve">Lo anterior, siempre y cuando no se acredite alguna causal de clasificación, prevista en las leyes o en los tratados internaciones suscritos por el Estado mexicano. </w:t>
      </w:r>
    </w:p>
    <w:p w:rsidR="00087FE8" w:rsidRPr="00026AC4" w:rsidRDefault="00151F9A">
      <w:pPr>
        <w:spacing w:line="360" w:lineRule="auto"/>
        <w:ind w:left="851" w:right="902"/>
        <w:jc w:val="both"/>
        <w:rPr>
          <w:rFonts w:ascii="Palatino Linotype" w:eastAsia="Palatino Linotype" w:hAnsi="Palatino Linotype" w:cs="Palatino Linotype"/>
          <w:i/>
          <w:iCs/>
        </w:rPr>
      </w:pPr>
      <w:r w:rsidRPr="00026AC4">
        <w:rPr>
          <w:rFonts w:ascii="Palatino Linotype" w:eastAsia="Palatino Linotype" w:hAnsi="Palatino Linotype" w:cs="Palatino Linotype"/>
          <w:i/>
          <w:iCs/>
        </w:rPr>
        <w:t>Quincuagésimo octavo. Los sujetos obligados garantizarán que los sistemas o medios empleados para eliminar la información en las versiones públicas no permitan la recuperación o visualización de la misma.”</w:t>
      </w:r>
    </w:p>
    <w:p w:rsidR="00087FE8" w:rsidRPr="00026AC4" w:rsidRDefault="00087FE8">
      <w:pPr>
        <w:spacing w:line="360" w:lineRule="auto"/>
        <w:ind w:left="851" w:right="902"/>
        <w:jc w:val="both"/>
        <w:rPr>
          <w:rFonts w:ascii="Palatino Linotype" w:eastAsia="Palatino Linotype" w:hAnsi="Palatino Linotype" w:cs="Palatino Linotype"/>
          <w:i/>
          <w:iCs/>
        </w:rPr>
      </w:pPr>
    </w:p>
    <w:p w:rsidR="00087FE8" w:rsidRPr="00026AC4" w:rsidRDefault="00151F9A" w:rsidP="00026AC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 xml:space="preserve">Por lo tanto, </w:t>
      </w:r>
      <w:r w:rsidRPr="00026AC4">
        <w:rPr>
          <w:rFonts w:ascii="Palatino Linotype" w:eastAsia="Palatino Linotype" w:hAnsi="Palatino Linotype" w:cs="Palatino Linotype"/>
          <w:b/>
          <w:bCs/>
          <w:color w:val="000000"/>
        </w:rPr>
        <w:t xml:space="preserve">la entrega de documentos en su versión pública debe </w:t>
      </w:r>
      <w:r w:rsidRPr="00026AC4">
        <w:rPr>
          <w:rFonts w:ascii="Palatino Linotype" w:eastAsia="Palatino Linotype" w:hAnsi="Palatino Linotype" w:cs="Palatino Linotype"/>
          <w:color w:val="000000"/>
        </w:rPr>
        <w:t>acompañarse</w:t>
      </w:r>
      <w:r w:rsidRPr="00026AC4">
        <w:rPr>
          <w:rFonts w:ascii="Palatino Linotype" w:eastAsia="Palatino Linotype" w:hAnsi="Palatino Linotype" w:cs="Palatino Linotype"/>
          <w:b/>
          <w:bCs/>
          <w:color w:val="000000"/>
        </w:rPr>
        <w:t xml:space="preserve"> </w:t>
      </w:r>
      <w:r w:rsidRPr="00026AC4">
        <w:rPr>
          <w:rFonts w:ascii="Palatino Linotype" w:eastAsia="Palatino Linotype" w:hAnsi="Palatino Linotype" w:cs="Palatino Linotype"/>
          <w:color w:val="000000"/>
        </w:rPr>
        <w:t>necesariamente</w:t>
      </w:r>
      <w:r w:rsidRPr="00026AC4">
        <w:rPr>
          <w:rFonts w:ascii="Palatino Linotype" w:eastAsia="Palatino Linotype" w:hAnsi="Palatino Linotype" w:cs="Palatino Linotype"/>
          <w:b/>
          <w:bCs/>
          <w:color w:val="000000"/>
        </w:rPr>
        <w:t xml:space="preserve"> del Acuerdo del Comité de Transparencia que la sustente el cual debe estar </w:t>
      </w:r>
      <w:r w:rsidRPr="00026AC4">
        <w:rPr>
          <w:rFonts w:ascii="Palatino Linotype" w:eastAsia="Palatino Linotype" w:hAnsi="Palatino Linotype" w:cs="Palatino Linotype"/>
          <w:b/>
          <w:bCs/>
          <w:color w:val="000000"/>
        </w:rPr>
        <w:lastRenderedPageBreak/>
        <w:t>debidamente fundado y motivado, en el que se expongan los fundamentos y razonamientos que llevaron al Sujeto Obligado a testar, suprimir o eliminar datos de dicho soporte documental</w:t>
      </w:r>
      <w:r w:rsidRPr="00026AC4">
        <w:rPr>
          <w:rFonts w:ascii="Palatino Linotype" w:eastAsia="Palatino Linotype" w:hAnsi="Palatino Linotype" w:cs="Palatino Linotype"/>
          <w:color w:val="000000"/>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87FE8" w:rsidRPr="00026AC4" w:rsidRDefault="00087FE8">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color w:val="000000"/>
        </w:rPr>
      </w:pPr>
    </w:p>
    <w:p w:rsidR="00087FE8" w:rsidRPr="00026AC4" w:rsidRDefault="00151F9A" w:rsidP="00026AC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Los sujetos obligados</w:t>
      </w:r>
      <w:r w:rsidRPr="00026AC4">
        <w:rPr>
          <w:rFonts w:ascii="Palatino Linotype" w:eastAsia="Palatino Linotype" w:hAnsi="Palatino Linotype" w:cs="Palatino Linotype"/>
          <w:b/>
          <w:bCs/>
          <w:color w:val="000000"/>
        </w:rPr>
        <w:t xml:space="preserve"> </w:t>
      </w:r>
      <w:r w:rsidRPr="00026AC4">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087FE8" w:rsidRPr="00026AC4" w:rsidRDefault="00087FE8">
      <w:pPr>
        <w:tabs>
          <w:tab w:val="left" w:pos="284"/>
        </w:tabs>
        <w:spacing w:line="360" w:lineRule="auto"/>
        <w:ind w:right="49"/>
        <w:jc w:val="both"/>
        <w:rPr>
          <w:rFonts w:ascii="Palatino Linotype" w:eastAsia="Palatino Linotype" w:hAnsi="Palatino Linotype" w:cs="Palatino Linotype"/>
          <w:color w:val="000000"/>
        </w:rPr>
      </w:pPr>
    </w:p>
    <w:tbl>
      <w:tblPr>
        <w:tblStyle w:val="a2"/>
        <w:tblW w:w="991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7229"/>
      </w:tblGrid>
      <w:tr w:rsidR="00087FE8" w:rsidRPr="00026AC4" w:rsidTr="009E46C9">
        <w:tc>
          <w:tcPr>
            <w:tcW w:w="2689" w:type="dxa"/>
          </w:tcPr>
          <w:p w:rsidR="00087FE8" w:rsidRPr="00026AC4" w:rsidRDefault="00151F9A">
            <w:pPr>
              <w:tabs>
                <w:tab w:val="left" w:pos="284"/>
              </w:tabs>
              <w:rPr>
                <w:rFonts w:ascii="Palatino Linotype" w:eastAsia="Palatino Linotype" w:hAnsi="Palatino Linotype" w:cs="Palatino Linotype"/>
              </w:rPr>
            </w:pPr>
            <w:r w:rsidRPr="00026AC4">
              <w:rPr>
                <w:rFonts w:ascii="Palatino Linotype" w:eastAsia="Palatino Linotype" w:hAnsi="Palatino Linotype" w:cs="Palatino Linotype"/>
              </w:rPr>
              <w:t>a) Requisitos previos.</w:t>
            </w:r>
          </w:p>
        </w:tc>
        <w:tc>
          <w:tcPr>
            <w:tcW w:w="7229" w:type="dxa"/>
          </w:tcPr>
          <w:p w:rsidR="00087FE8" w:rsidRPr="00026AC4" w:rsidRDefault="00151F9A">
            <w:pPr>
              <w:tabs>
                <w:tab w:val="left" w:pos="284"/>
              </w:tabs>
              <w:ind w:right="49"/>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087FE8" w:rsidRPr="00026AC4" w:rsidRDefault="00151F9A">
            <w:pPr>
              <w:tabs>
                <w:tab w:val="left" w:pos="284"/>
              </w:tabs>
              <w:ind w:right="49"/>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Al hacerlo tienen que precisar de qué información se trata, señalando el supuesto de clasificación (confidencialidad o reserva).</w:t>
            </w:r>
          </w:p>
          <w:p w:rsidR="00087FE8" w:rsidRPr="00026AC4" w:rsidRDefault="00151F9A">
            <w:pPr>
              <w:tabs>
                <w:tab w:val="left" w:pos="284"/>
              </w:tabs>
              <w:ind w:right="49"/>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rsidR="00087FE8" w:rsidRPr="00026AC4" w:rsidRDefault="00151F9A">
            <w:pPr>
              <w:tabs>
                <w:tab w:val="left" w:pos="284"/>
              </w:tabs>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026AC4">
              <w:rPr>
                <w:rFonts w:ascii="Palatino Linotype" w:eastAsia="Palatino Linotype" w:hAnsi="Palatino Linotype" w:cs="Palatino Linotype"/>
                <w:color w:val="000000"/>
                <w:u w:val="single"/>
              </w:rPr>
              <w:t xml:space="preserve">no se </w:t>
            </w:r>
            <w:r w:rsidRPr="00026AC4">
              <w:rPr>
                <w:rFonts w:ascii="Palatino Linotype" w:eastAsia="Palatino Linotype" w:hAnsi="Palatino Linotype" w:cs="Palatino Linotype"/>
                <w:color w:val="000000"/>
                <w:u w:val="single"/>
              </w:rPr>
              <w:lastRenderedPageBreak/>
              <w:t>puede hacer un acuerdo para clasificar de manera general todos los documentos de un expediente o área, sin</w:t>
            </w:r>
            <w:r w:rsidRPr="00026AC4">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p w:rsidR="00087FE8" w:rsidRPr="00026AC4" w:rsidRDefault="00087FE8">
            <w:pPr>
              <w:tabs>
                <w:tab w:val="left" w:pos="284"/>
              </w:tabs>
              <w:jc w:val="both"/>
              <w:rPr>
                <w:rFonts w:ascii="Palatino Linotype" w:eastAsia="Palatino Linotype" w:hAnsi="Palatino Linotype" w:cs="Palatino Linotype"/>
              </w:rPr>
            </w:pPr>
          </w:p>
        </w:tc>
      </w:tr>
      <w:tr w:rsidR="00087FE8" w:rsidRPr="00026AC4" w:rsidTr="009E46C9">
        <w:tc>
          <w:tcPr>
            <w:tcW w:w="2689" w:type="dxa"/>
          </w:tcPr>
          <w:p w:rsidR="00087FE8" w:rsidRPr="00026AC4" w:rsidRDefault="00151F9A">
            <w:pPr>
              <w:tabs>
                <w:tab w:val="left" w:pos="284"/>
              </w:tabs>
              <w:rPr>
                <w:rFonts w:ascii="Palatino Linotype" w:eastAsia="Palatino Linotype" w:hAnsi="Palatino Linotype" w:cs="Palatino Linotype"/>
              </w:rPr>
            </w:pPr>
            <w:r w:rsidRPr="00026AC4">
              <w:rPr>
                <w:rFonts w:ascii="Palatino Linotype" w:eastAsia="Palatino Linotype" w:hAnsi="Palatino Linotype" w:cs="Palatino Linotype"/>
              </w:rPr>
              <w:lastRenderedPageBreak/>
              <w:t>b) Supuestos de clasificación.</w:t>
            </w:r>
          </w:p>
        </w:tc>
        <w:tc>
          <w:tcPr>
            <w:tcW w:w="7229" w:type="dxa"/>
          </w:tcPr>
          <w:p w:rsidR="00087FE8" w:rsidRPr="00026AC4" w:rsidRDefault="00151F9A">
            <w:pPr>
              <w:tabs>
                <w:tab w:val="left" w:pos="284"/>
              </w:tabs>
              <w:ind w:right="49"/>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087FE8" w:rsidRPr="00026AC4" w:rsidRDefault="00151F9A">
            <w:pPr>
              <w:tabs>
                <w:tab w:val="left" w:pos="284"/>
              </w:tabs>
              <w:ind w:right="49"/>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087FE8" w:rsidRPr="00026AC4" w:rsidRDefault="00151F9A">
            <w:pPr>
              <w:tabs>
                <w:tab w:val="left" w:pos="284"/>
              </w:tabs>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 xml:space="preserve">El </w:t>
            </w:r>
            <w:r w:rsidRPr="00026AC4">
              <w:rPr>
                <w:rFonts w:ascii="Palatino Linotype" w:eastAsia="Palatino Linotype" w:hAnsi="Palatino Linotype" w:cs="Palatino Linotype"/>
                <w:b/>
                <w:bCs/>
                <w:color w:val="000000"/>
              </w:rPr>
              <w:t>Sujeto Obligado</w:t>
            </w:r>
            <w:r w:rsidRPr="00026AC4">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rsidR="00087FE8" w:rsidRPr="00026AC4" w:rsidRDefault="00087FE8">
            <w:pPr>
              <w:tabs>
                <w:tab w:val="left" w:pos="284"/>
              </w:tabs>
              <w:jc w:val="both"/>
              <w:rPr>
                <w:rFonts w:ascii="Palatino Linotype" w:eastAsia="Palatino Linotype" w:hAnsi="Palatino Linotype" w:cs="Palatino Linotype"/>
              </w:rPr>
            </w:pPr>
          </w:p>
        </w:tc>
      </w:tr>
      <w:tr w:rsidR="00087FE8" w:rsidRPr="00026AC4" w:rsidTr="009E46C9">
        <w:tc>
          <w:tcPr>
            <w:tcW w:w="2689" w:type="dxa"/>
          </w:tcPr>
          <w:p w:rsidR="00087FE8" w:rsidRPr="00026AC4" w:rsidRDefault="00151F9A">
            <w:pPr>
              <w:tabs>
                <w:tab w:val="left" w:pos="284"/>
              </w:tabs>
              <w:rPr>
                <w:rFonts w:ascii="Palatino Linotype" w:eastAsia="Palatino Linotype" w:hAnsi="Palatino Linotype" w:cs="Palatino Linotype"/>
              </w:rPr>
            </w:pPr>
            <w:r w:rsidRPr="00026AC4">
              <w:rPr>
                <w:rFonts w:ascii="Palatino Linotype" w:eastAsia="Palatino Linotype" w:hAnsi="Palatino Linotype" w:cs="Palatino Linotype"/>
              </w:rPr>
              <w:t>c) Formalidades para emitir el acuerdo de clasificación.</w:t>
            </w:r>
          </w:p>
        </w:tc>
        <w:tc>
          <w:tcPr>
            <w:tcW w:w="7229" w:type="dxa"/>
          </w:tcPr>
          <w:p w:rsidR="00087FE8" w:rsidRPr="00026AC4" w:rsidRDefault="00151F9A">
            <w:pPr>
              <w:tabs>
                <w:tab w:val="left" w:pos="284"/>
              </w:tabs>
              <w:ind w:right="49"/>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087FE8" w:rsidRPr="00026AC4" w:rsidRDefault="00151F9A">
            <w:pPr>
              <w:tabs>
                <w:tab w:val="left" w:pos="284"/>
              </w:tabs>
              <w:ind w:right="49"/>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 xml:space="preserve">Es necesario que </w:t>
            </w:r>
            <w:r w:rsidRPr="00026AC4">
              <w:rPr>
                <w:rFonts w:ascii="Palatino Linotype" w:eastAsia="Palatino Linotype" w:hAnsi="Palatino Linotype" w:cs="Palatino Linotype"/>
                <w:b/>
                <w:bCs/>
                <w:color w:val="000000"/>
                <w:u w:val="single"/>
              </w:rPr>
              <w:t>el acto reúna con los requisitos elementales</w:t>
            </w:r>
            <w:r w:rsidRPr="00026AC4">
              <w:rPr>
                <w:rFonts w:ascii="Palatino Linotype" w:eastAsia="Palatino Linotype" w:hAnsi="Palatino Linotype" w:cs="Palatino Linotype"/>
                <w:color w:val="000000"/>
              </w:rPr>
              <w:t>, entre ellos, que la autoridad que va a emitir el acto de autoridad sea la legalmente facultada para ello.</w:t>
            </w:r>
          </w:p>
          <w:p w:rsidR="00087FE8" w:rsidRPr="00026AC4" w:rsidRDefault="00151F9A">
            <w:pPr>
              <w:tabs>
                <w:tab w:val="left" w:pos="284"/>
              </w:tabs>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w:t>
            </w:r>
            <w:r w:rsidRPr="00026AC4">
              <w:rPr>
                <w:rFonts w:ascii="Palatino Linotype" w:eastAsia="Palatino Linotype" w:hAnsi="Palatino Linotype" w:cs="Palatino Linotype"/>
                <w:color w:val="000000"/>
              </w:rPr>
              <w:lastRenderedPageBreak/>
              <w:t>cuyo análisis debe integrarse en la agenda de los asuntos a tratar en las sesiones, se insiste, a partir de las decisiones adoptadas previamente por los titulares de áreas y que son sujetas a control, en primera instancia, por el Comité de Transparencia.</w:t>
            </w:r>
          </w:p>
          <w:p w:rsidR="00087FE8" w:rsidRPr="00026AC4" w:rsidRDefault="00087FE8">
            <w:pPr>
              <w:tabs>
                <w:tab w:val="left" w:pos="284"/>
              </w:tabs>
              <w:jc w:val="both"/>
              <w:rPr>
                <w:rFonts w:ascii="Palatino Linotype" w:eastAsia="Palatino Linotype" w:hAnsi="Palatino Linotype" w:cs="Palatino Linotype"/>
              </w:rPr>
            </w:pPr>
          </w:p>
        </w:tc>
      </w:tr>
      <w:tr w:rsidR="00087FE8" w:rsidRPr="00026AC4" w:rsidTr="009E46C9">
        <w:tc>
          <w:tcPr>
            <w:tcW w:w="2689" w:type="dxa"/>
          </w:tcPr>
          <w:p w:rsidR="00087FE8" w:rsidRPr="00026AC4" w:rsidRDefault="00087FE8">
            <w:pPr>
              <w:tabs>
                <w:tab w:val="left" w:pos="284"/>
              </w:tabs>
              <w:rPr>
                <w:rFonts w:ascii="Palatino Linotype" w:eastAsia="Palatino Linotype" w:hAnsi="Palatino Linotype" w:cs="Palatino Linotype"/>
              </w:rPr>
            </w:pPr>
          </w:p>
          <w:p w:rsidR="00087FE8" w:rsidRPr="00026AC4" w:rsidRDefault="00151F9A">
            <w:pPr>
              <w:tabs>
                <w:tab w:val="left" w:pos="284"/>
              </w:tabs>
              <w:jc w:val="both"/>
              <w:rPr>
                <w:rFonts w:ascii="Palatino Linotype" w:eastAsia="Palatino Linotype" w:hAnsi="Palatino Linotype" w:cs="Palatino Linotype"/>
              </w:rPr>
            </w:pPr>
            <w:r w:rsidRPr="00026AC4">
              <w:rPr>
                <w:rFonts w:ascii="Palatino Linotype" w:eastAsia="Palatino Linotype" w:hAnsi="Palatino Linotype" w:cs="Palatino Linotype"/>
                <w:color w:val="000000"/>
              </w:rPr>
              <w:t xml:space="preserve">d) Requisitos de fondo del acuerdo de clasificación. </w:t>
            </w:r>
          </w:p>
        </w:tc>
        <w:tc>
          <w:tcPr>
            <w:tcW w:w="7229" w:type="dxa"/>
          </w:tcPr>
          <w:p w:rsidR="00087FE8" w:rsidRPr="00026AC4" w:rsidRDefault="00151F9A">
            <w:pPr>
              <w:tabs>
                <w:tab w:val="left" w:pos="284"/>
              </w:tabs>
              <w:ind w:right="49"/>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026AC4">
              <w:rPr>
                <w:rFonts w:ascii="Palatino Linotype" w:eastAsia="Palatino Linotype" w:hAnsi="Palatino Linotype" w:cs="Palatino Linotype"/>
                <w:b/>
                <w:bCs/>
                <w:color w:val="000000"/>
              </w:rPr>
              <w:t>Sujetos Obligados</w:t>
            </w:r>
            <w:r w:rsidRPr="00026AC4">
              <w:rPr>
                <w:rFonts w:ascii="Palatino Linotype" w:eastAsia="Palatino Linotype" w:hAnsi="Palatino Linotype" w:cs="Palatino Linotype"/>
                <w:color w:val="000000"/>
              </w:rPr>
              <w:t xml:space="preserve">, por lo que deberán fundar y motivar debidamente la clasificación. </w:t>
            </w:r>
          </w:p>
          <w:p w:rsidR="00087FE8" w:rsidRPr="00026AC4" w:rsidRDefault="00151F9A">
            <w:pPr>
              <w:tabs>
                <w:tab w:val="left" w:pos="284"/>
              </w:tabs>
              <w:ind w:right="49"/>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 xml:space="preserve">De lo anterior, se desprende que para una correcta </w:t>
            </w:r>
            <w:r w:rsidRPr="00026AC4">
              <w:rPr>
                <w:rFonts w:ascii="Palatino Linotype" w:eastAsia="Palatino Linotype" w:hAnsi="Palatino Linotype" w:cs="Palatino Linotype"/>
                <w:b/>
                <w:bCs/>
                <w:color w:val="000000"/>
              </w:rPr>
              <w:t>clasificación total o parcial</w:t>
            </w:r>
            <w:r w:rsidRPr="00026AC4">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087FE8" w:rsidRPr="00026AC4" w:rsidRDefault="00151F9A">
            <w:pPr>
              <w:tabs>
                <w:tab w:val="left" w:pos="284"/>
              </w:tabs>
              <w:ind w:right="49"/>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087FE8" w:rsidRPr="00026AC4" w:rsidRDefault="00151F9A">
            <w:pPr>
              <w:tabs>
                <w:tab w:val="left" w:pos="284"/>
              </w:tabs>
              <w:ind w:right="49"/>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087FE8" w:rsidRPr="00026AC4" w:rsidRDefault="00151F9A">
            <w:pPr>
              <w:tabs>
                <w:tab w:val="left" w:pos="284"/>
              </w:tabs>
              <w:ind w:right="49"/>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 xml:space="preserve">Ahora bien, </w:t>
            </w:r>
            <w:r w:rsidRPr="00026AC4">
              <w:rPr>
                <w:rFonts w:ascii="Palatino Linotype" w:eastAsia="Palatino Linotype" w:hAnsi="Palatino Linotype" w:cs="Palatino Linotype"/>
                <w:b/>
                <w:bCs/>
                <w:color w:val="000000"/>
                <w:u w:val="single"/>
              </w:rPr>
              <w:t>para cada caso además de fundar y motivar</w:t>
            </w:r>
            <w:r w:rsidRPr="00026AC4">
              <w:rPr>
                <w:rFonts w:ascii="Palatino Linotype" w:eastAsia="Palatino Linotype" w:hAnsi="Palatino Linotype" w:cs="Palatino Linotype"/>
                <w:color w:val="000000"/>
              </w:rPr>
              <w:t xml:space="preserve">, se debe identificar con claridad que datos contenidos en las documentales que son susceptibles de suprimirse, por ejemplo; Clave Única de Registro de Población (CURP), Registro Federal de </w:t>
            </w:r>
            <w:r w:rsidRPr="00026AC4">
              <w:rPr>
                <w:rFonts w:ascii="Palatino Linotype" w:eastAsia="Palatino Linotype" w:hAnsi="Palatino Linotype" w:cs="Palatino Linotype"/>
                <w:color w:val="000000"/>
              </w:rPr>
              <w:lastRenderedPageBreak/>
              <w:t>Contribuyentes (R.F.C.), claves de seguros, préstamos o descuentos personales, secretos bancario, fiduciario, industrial, comercial, fiscal, bursátil y postal, cuya titularidad corresponda a particulares, entre otros.</w:t>
            </w:r>
          </w:p>
          <w:p w:rsidR="00087FE8" w:rsidRPr="00026AC4" w:rsidRDefault="00087FE8">
            <w:pPr>
              <w:tabs>
                <w:tab w:val="left" w:pos="284"/>
              </w:tabs>
              <w:ind w:right="49"/>
              <w:jc w:val="both"/>
              <w:rPr>
                <w:rFonts w:ascii="Palatino Linotype" w:eastAsia="Palatino Linotype" w:hAnsi="Palatino Linotype" w:cs="Palatino Linotype"/>
                <w:color w:val="000000"/>
              </w:rPr>
            </w:pPr>
          </w:p>
        </w:tc>
      </w:tr>
      <w:tr w:rsidR="00087FE8" w:rsidRPr="00026AC4" w:rsidTr="009E46C9">
        <w:tc>
          <w:tcPr>
            <w:tcW w:w="2689" w:type="dxa"/>
          </w:tcPr>
          <w:p w:rsidR="00087FE8" w:rsidRPr="00026AC4" w:rsidRDefault="00151F9A">
            <w:pPr>
              <w:tabs>
                <w:tab w:val="left" w:pos="284"/>
              </w:tabs>
              <w:ind w:right="49"/>
              <w:jc w:val="both"/>
              <w:rPr>
                <w:rFonts w:ascii="Palatino Linotype" w:eastAsia="Palatino Linotype" w:hAnsi="Palatino Linotype" w:cs="Palatino Linotype"/>
              </w:rPr>
            </w:pPr>
            <w:r w:rsidRPr="00026AC4">
              <w:rPr>
                <w:rFonts w:ascii="Palatino Linotype" w:eastAsia="Palatino Linotype" w:hAnsi="Palatino Linotype" w:cs="Palatino Linotype"/>
              </w:rPr>
              <w:lastRenderedPageBreak/>
              <w:t xml:space="preserve">e) Condiciones especiales de la clasificación de la información como confidencial. </w:t>
            </w:r>
          </w:p>
        </w:tc>
        <w:tc>
          <w:tcPr>
            <w:tcW w:w="7229" w:type="dxa"/>
          </w:tcPr>
          <w:p w:rsidR="00087FE8" w:rsidRPr="00026AC4" w:rsidRDefault="00151F9A">
            <w:pPr>
              <w:tabs>
                <w:tab w:val="left" w:pos="284"/>
              </w:tabs>
              <w:ind w:right="49"/>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rsidR="00087FE8" w:rsidRPr="00026AC4" w:rsidRDefault="00151F9A">
            <w:pPr>
              <w:tabs>
                <w:tab w:val="left" w:pos="284"/>
              </w:tabs>
              <w:ind w:right="49"/>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087FE8" w:rsidRPr="00026AC4" w:rsidRDefault="00151F9A">
            <w:pPr>
              <w:tabs>
                <w:tab w:val="left" w:pos="284"/>
              </w:tabs>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p w:rsidR="00087FE8" w:rsidRPr="00026AC4" w:rsidRDefault="00087FE8">
            <w:pPr>
              <w:tabs>
                <w:tab w:val="left" w:pos="284"/>
              </w:tabs>
              <w:rPr>
                <w:rFonts w:ascii="Palatino Linotype" w:eastAsia="Palatino Linotype" w:hAnsi="Palatino Linotype" w:cs="Palatino Linotype"/>
              </w:rPr>
            </w:pPr>
          </w:p>
        </w:tc>
      </w:tr>
    </w:tbl>
    <w:p w:rsidR="00087FE8" w:rsidRPr="00026AC4" w:rsidRDefault="00087FE8">
      <w:pPr>
        <w:tabs>
          <w:tab w:val="left" w:pos="284"/>
        </w:tabs>
        <w:spacing w:line="360" w:lineRule="auto"/>
        <w:rPr>
          <w:rFonts w:ascii="Palatino Linotype" w:eastAsia="Palatino Linotype" w:hAnsi="Palatino Linotype" w:cs="Palatino Linotype"/>
          <w:color w:val="000000"/>
        </w:rPr>
      </w:pPr>
    </w:p>
    <w:p w:rsidR="00087FE8" w:rsidRPr="00026AC4" w:rsidRDefault="00151F9A" w:rsidP="00026AC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26AC4">
        <w:rPr>
          <w:rFonts w:ascii="Palatino Linotype" w:eastAsia="Palatino Linotype" w:hAnsi="Palatino Linotype" w:cs="Palatino Linotype"/>
          <w:color w:val="000000"/>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087FE8" w:rsidRPr="00026AC4" w:rsidRDefault="00087FE8">
      <w:pPr>
        <w:pBdr>
          <w:top w:val="nil"/>
          <w:left w:val="nil"/>
          <w:bottom w:val="nil"/>
          <w:right w:val="nil"/>
          <w:between w:val="nil"/>
        </w:pBdr>
        <w:tabs>
          <w:tab w:val="left" w:pos="851"/>
        </w:tabs>
        <w:spacing w:line="360" w:lineRule="auto"/>
        <w:ind w:right="476"/>
        <w:jc w:val="both"/>
        <w:rPr>
          <w:rFonts w:ascii="Palatino Linotype" w:eastAsia="Palatino Linotype" w:hAnsi="Palatino Linotype" w:cs="Palatino Linotype"/>
          <w:i/>
          <w:iCs/>
          <w:color w:val="000000"/>
        </w:rPr>
      </w:pPr>
    </w:p>
    <w:p w:rsidR="00087FE8" w:rsidRPr="009E46C9" w:rsidRDefault="00151F9A">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026AC4">
        <w:rPr>
          <w:rFonts w:ascii="Palatino Linotype" w:eastAsia="Palatino Linotype" w:hAnsi="Palatino Linotype" w:cs="Palatino Linotype"/>
          <w:color w:val="222222"/>
        </w:rPr>
        <w:t xml:space="preserve">Por lo </w:t>
      </w:r>
      <w:r w:rsidRPr="00026AC4">
        <w:rPr>
          <w:rFonts w:ascii="Palatino Linotype" w:eastAsia="Palatino Linotype" w:hAnsi="Palatino Linotype" w:cs="Palatino Linotype"/>
        </w:rPr>
        <w:t>anteriormente</w:t>
      </w:r>
      <w:r w:rsidRPr="00026AC4">
        <w:rPr>
          <w:rFonts w:ascii="Palatino Linotype" w:eastAsia="Palatino Linotype" w:hAnsi="Palatino Linotype" w:cs="Palatino Linotype"/>
          <w:color w:val="222222"/>
        </w:rPr>
        <w:t xml:space="preserve"> expuesto y fundado, este </w:t>
      </w:r>
      <w:r w:rsidRPr="00026AC4">
        <w:rPr>
          <w:rFonts w:ascii="Palatino Linotype" w:eastAsia="Palatino Linotype" w:hAnsi="Palatino Linotype" w:cs="Palatino Linotype"/>
          <w:b/>
          <w:bCs/>
          <w:color w:val="222222"/>
        </w:rPr>
        <w:t>ÓRGANO GARANTE</w:t>
      </w:r>
      <w:r w:rsidRPr="00026AC4">
        <w:rPr>
          <w:rFonts w:ascii="Palatino Linotype" w:eastAsia="Palatino Linotype" w:hAnsi="Palatino Linotype" w:cs="Palatino Linotype"/>
          <w:color w:val="222222"/>
        </w:rPr>
        <w:t xml:space="preserve"> emite los </w:t>
      </w:r>
      <w:r w:rsidRPr="00026AC4">
        <w:rPr>
          <w:rFonts w:ascii="Palatino Linotype" w:eastAsia="Palatino Linotype" w:hAnsi="Palatino Linotype" w:cs="Palatino Linotype"/>
        </w:rPr>
        <w:t>siguientes</w:t>
      </w:r>
      <w:r w:rsidRPr="00026AC4">
        <w:rPr>
          <w:rFonts w:ascii="Palatino Linotype" w:eastAsia="Palatino Linotype" w:hAnsi="Palatino Linotype" w:cs="Palatino Linotype"/>
          <w:color w:val="222222"/>
        </w:rPr>
        <w:t>:</w:t>
      </w:r>
      <w:r w:rsidR="009E46C9">
        <w:rPr>
          <w:rFonts w:ascii="Palatino Linotype" w:eastAsia="Palatino Linotype" w:hAnsi="Palatino Linotype" w:cs="Palatino Linotype"/>
          <w:color w:val="222222"/>
        </w:rPr>
        <w:t xml:space="preserve"> -----------------------------------------------------------------------------------------------------------</w:t>
      </w:r>
    </w:p>
    <w:p w:rsidR="009E46C9" w:rsidRDefault="009E46C9" w:rsidP="009E46C9">
      <w:pPr>
        <w:pStyle w:val="Prrafodelista"/>
        <w:rPr>
          <w:rFonts w:ascii="Palatino Linotype" w:eastAsia="Palatino Linotype" w:hAnsi="Palatino Linotype" w:cs="Palatino Linotype"/>
        </w:rPr>
      </w:pPr>
    </w:p>
    <w:p w:rsidR="009E46C9" w:rsidRPr="00026AC4" w:rsidRDefault="009E46C9" w:rsidP="009E46C9">
      <w:pPr>
        <w:pBdr>
          <w:top w:val="nil"/>
          <w:left w:val="nil"/>
          <w:bottom w:val="nil"/>
          <w:right w:val="nil"/>
          <w:between w:val="nil"/>
        </w:pBdr>
        <w:spacing w:line="360" w:lineRule="auto"/>
        <w:jc w:val="both"/>
        <w:rPr>
          <w:rFonts w:ascii="Palatino Linotype" w:eastAsia="Palatino Linotype" w:hAnsi="Palatino Linotype" w:cs="Palatino Linotype"/>
        </w:rPr>
      </w:pPr>
    </w:p>
    <w:p w:rsidR="00087FE8" w:rsidRPr="00026AC4" w:rsidRDefault="00151F9A">
      <w:pPr>
        <w:keepNext/>
        <w:keepLines/>
        <w:spacing w:line="360" w:lineRule="auto"/>
        <w:jc w:val="center"/>
        <w:rPr>
          <w:rFonts w:ascii="Palatino Linotype" w:eastAsia="Palatino Linotype" w:hAnsi="Palatino Linotype" w:cs="Palatino Linotype"/>
          <w:b/>
          <w:bCs/>
          <w:color w:val="000000"/>
        </w:rPr>
      </w:pPr>
      <w:r w:rsidRPr="00026AC4">
        <w:rPr>
          <w:rFonts w:ascii="Palatino Linotype" w:eastAsia="Palatino Linotype" w:hAnsi="Palatino Linotype" w:cs="Palatino Linotype"/>
          <w:b/>
          <w:bCs/>
          <w:color w:val="000000"/>
        </w:rPr>
        <w:lastRenderedPageBreak/>
        <w:t>R E S O L U T I V O S</w:t>
      </w:r>
    </w:p>
    <w:p w:rsidR="00087FE8" w:rsidRPr="00026AC4" w:rsidRDefault="00151F9A">
      <w:pPr>
        <w:spacing w:line="360" w:lineRule="auto"/>
        <w:ind w:right="-929"/>
        <w:jc w:val="both"/>
        <w:rPr>
          <w:rFonts w:ascii="Palatino Linotype" w:eastAsia="Palatino Linotype" w:hAnsi="Palatino Linotype" w:cs="Palatino Linotype"/>
          <w:b/>
          <w:bCs/>
        </w:rPr>
      </w:pPr>
      <w:r w:rsidRPr="00026AC4">
        <w:rPr>
          <w:rFonts w:ascii="Palatino Linotype" w:eastAsia="Palatino Linotype" w:hAnsi="Palatino Linotype" w:cs="Palatino Linotype"/>
          <w:b/>
          <w:bCs/>
        </w:rPr>
        <w:tab/>
      </w:r>
    </w:p>
    <w:p w:rsidR="00087FE8" w:rsidRPr="00026AC4" w:rsidRDefault="00151F9A">
      <w:pPr>
        <w:spacing w:line="360" w:lineRule="auto"/>
        <w:jc w:val="both"/>
        <w:rPr>
          <w:rFonts w:ascii="Palatino Linotype" w:eastAsia="Palatino Linotype" w:hAnsi="Palatino Linotype" w:cs="Palatino Linotype"/>
        </w:rPr>
      </w:pPr>
      <w:r w:rsidRPr="00026AC4">
        <w:rPr>
          <w:rFonts w:ascii="Palatino Linotype" w:eastAsia="Palatino Linotype" w:hAnsi="Palatino Linotype" w:cs="Palatino Linotype"/>
          <w:b/>
          <w:bCs/>
        </w:rPr>
        <w:t>PRIMERO</w:t>
      </w:r>
      <w:r w:rsidRPr="00026AC4">
        <w:rPr>
          <w:rFonts w:ascii="Palatino Linotype" w:eastAsia="Palatino Linotype" w:hAnsi="Palatino Linotype" w:cs="Palatino Linotype"/>
        </w:rPr>
        <w:t xml:space="preserve">. Resultan parcialmente fundadas las razones o motivos de inconformidad hechos valer en el Recurso de Revisión </w:t>
      </w:r>
      <w:r w:rsidRPr="00026AC4">
        <w:rPr>
          <w:rFonts w:ascii="Palatino Linotype" w:eastAsia="Palatino Linotype" w:hAnsi="Palatino Linotype" w:cs="Palatino Linotype"/>
          <w:b/>
          <w:bCs/>
        </w:rPr>
        <w:t xml:space="preserve">11233/INFOEM/IP/RR/2025, </w:t>
      </w:r>
      <w:r w:rsidRPr="00026AC4">
        <w:rPr>
          <w:rFonts w:ascii="Palatino Linotype" w:eastAsia="Palatino Linotype" w:hAnsi="Palatino Linotype" w:cs="Palatino Linotype"/>
        </w:rPr>
        <w:t xml:space="preserve">en términos de los </w:t>
      </w:r>
      <w:r w:rsidRPr="00026AC4">
        <w:rPr>
          <w:rFonts w:ascii="Palatino Linotype" w:eastAsia="Palatino Linotype" w:hAnsi="Palatino Linotype" w:cs="Palatino Linotype"/>
          <w:b/>
          <w:bCs/>
        </w:rPr>
        <w:t>Considerandos</w:t>
      </w:r>
      <w:r w:rsidRPr="00026AC4">
        <w:rPr>
          <w:rFonts w:ascii="Palatino Linotype" w:eastAsia="Palatino Linotype" w:hAnsi="Palatino Linotype" w:cs="Palatino Linotype"/>
        </w:rPr>
        <w:t xml:space="preserve"> </w:t>
      </w:r>
      <w:r w:rsidRPr="00026AC4">
        <w:rPr>
          <w:rFonts w:ascii="Palatino Linotype" w:eastAsia="Palatino Linotype" w:hAnsi="Palatino Linotype" w:cs="Palatino Linotype"/>
          <w:b/>
          <w:bCs/>
        </w:rPr>
        <w:t xml:space="preserve">Cuarto y Quinto </w:t>
      </w:r>
      <w:r w:rsidRPr="00026AC4">
        <w:rPr>
          <w:rFonts w:ascii="Palatino Linotype" w:eastAsia="Palatino Linotype" w:hAnsi="Palatino Linotype" w:cs="Palatino Linotype"/>
        </w:rPr>
        <w:t>de la presente Resolución.</w:t>
      </w:r>
    </w:p>
    <w:p w:rsidR="00087FE8" w:rsidRPr="00026AC4" w:rsidRDefault="00087FE8">
      <w:pPr>
        <w:spacing w:line="360" w:lineRule="auto"/>
        <w:jc w:val="both"/>
        <w:rPr>
          <w:rFonts w:ascii="Palatino Linotype" w:eastAsia="Palatino Linotype" w:hAnsi="Palatino Linotype" w:cs="Palatino Linotype"/>
        </w:rPr>
      </w:pPr>
    </w:p>
    <w:p w:rsidR="00087FE8" w:rsidRPr="00026AC4" w:rsidRDefault="00151F9A">
      <w:pPr>
        <w:spacing w:line="360" w:lineRule="auto"/>
        <w:jc w:val="both"/>
        <w:rPr>
          <w:rFonts w:ascii="Palatino Linotype" w:eastAsia="Palatino Linotype" w:hAnsi="Palatino Linotype" w:cs="Palatino Linotype"/>
        </w:rPr>
      </w:pPr>
      <w:r w:rsidRPr="00026AC4">
        <w:rPr>
          <w:rFonts w:ascii="Palatino Linotype" w:eastAsia="Palatino Linotype" w:hAnsi="Palatino Linotype" w:cs="Palatino Linotype"/>
          <w:b/>
          <w:bCs/>
        </w:rPr>
        <w:t xml:space="preserve">SEGUNDO. </w:t>
      </w:r>
      <w:r w:rsidRPr="00026AC4">
        <w:rPr>
          <w:rFonts w:ascii="Palatino Linotype" w:eastAsia="Palatino Linotype" w:hAnsi="Palatino Linotype" w:cs="Palatino Linotype"/>
          <w:color w:val="000000"/>
        </w:rPr>
        <w:t xml:space="preserve">Se </w:t>
      </w:r>
      <w:r w:rsidRPr="00026AC4">
        <w:rPr>
          <w:rFonts w:ascii="Palatino Linotype" w:eastAsia="Palatino Linotype" w:hAnsi="Palatino Linotype" w:cs="Palatino Linotype"/>
          <w:b/>
          <w:bCs/>
          <w:color w:val="000000"/>
        </w:rPr>
        <w:t xml:space="preserve">MODIFICA </w:t>
      </w:r>
      <w:r w:rsidRPr="00026AC4">
        <w:rPr>
          <w:rFonts w:ascii="Palatino Linotype" w:eastAsia="Palatino Linotype" w:hAnsi="Palatino Linotype" w:cs="Palatino Linotype"/>
          <w:color w:val="000000"/>
        </w:rPr>
        <w:t xml:space="preserve">la respuesta emitida por el </w:t>
      </w:r>
      <w:r w:rsidRPr="00026AC4">
        <w:rPr>
          <w:rFonts w:ascii="Palatino Linotype" w:eastAsia="Palatino Linotype" w:hAnsi="Palatino Linotype" w:cs="Palatino Linotype"/>
          <w:b/>
          <w:bCs/>
          <w:color w:val="000000"/>
        </w:rPr>
        <w:t>Ayuntamiento de Toluca</w:t>
      </w:r>
      <w:r w:rsidRPr="00026AC4">
        <w:rPr>
          <w:rFonts w:ascii="Palatino Linotype" w:eastAsia="Palatino Linotype" w:hAnsi="Palatino Linotype" w:cs="Palatino Linotype"/>
          <w:b/>
          <w:bCs/>
        </w:rPr>
        <w:t>;</w:t>
      </w:r>
      <w:r w:rsidRPr="00026AC4">
        <w:rPr>
          <w:rFonts w:ascii="Palatino Linotype" w:eastAsia="Palatino Linotype" w:hAnsi="Palatino Linotype" w:cs="Palatino Linotype"/>
        </w:rPr>
        <w:t xml:space="preserve"> por lo que</w:t>
      </w:r>
      <w:r w:rsidRPr="00026AC4">
        <w:rPr>
          <w:rFonts w:ascii="Palatino Linotype" w:eastAsia="Palatino Linotype" w:hAnsi="Palatino Linotype" w:cs="Palatino Linotype"/>
          <w:color w:val="000000"/>
        </w:rPr>
        <w:t xml:space="preserve"> se </w:t>
      </w:r>
      <w:r w:rsidRPr="00026AC4">
        <w:rPr>
          <w:rFonts w:ascii="Palatino Linotype" w:eastAsia="Palatino Linotype" w:hAnsi="Palatino Linotype" w:cs="Palatino Linotype"/>
          <w:b/>
          <w:bCs/>
          <w:color w:val="000000"/>
        </w:rPr>
        <w:t>ORDENA</w:t>
      </w:r>
      <w:r w:rsidRPr="00026AC4">
        <w:rPr>
          <w:rFonts w:ascii="Palatino Linotype" w:eastAsia="Palatino Linotype" w:hAnsi="Palatino Linotype" w:cs="Palatino Linotype"/>
          <w:color w:val="000000"/>
        </w:rPr>
        <w:t xml:space="preserve"> entregar vía Sistema de Acceso a la Información Mexiquense (</w:t>
      </w:r>
      <w:r w:rsidRPr="00026AC4">
        <w:rPr>
          <w:rFonts w:ascii="Palatino Linotype" w:eastAsia="Palatino Linotype" w:hAnsi="Palatino Linotype" w:cs="Palatino Linotype"/>
          <w:b/>
          <w:bCs/>
          <w:color w:val="000000"/>
        </w:rPr>
        <w:t>SAIMEX</w:t>
      </w:r>
      <w:r w:rsidRPr="00026AC4">
        <w:rPr>
          <w:rFonts w:ascii="Palatino Linotype" w:eastAsia="Palatino Linotype" w:hAnsi="Palatino Linotype" w:cs="Palatino Linotype"/>
          <w:color w:val="000000"/>
        </w:rPr>
        <w:t>) previa búsqueda exhaustiva y razonable, la siguiente información, de ser el caso en versión pública</w:t>
      </w:r>
      <w:r w:rsidRPr="00026AC4">
        <w:rPr>
          <w:rFonts w:ascii="Palatino Linotype" w:eastAsia="Palatino Linotype" w:hAnsi="Palatino Linotype" w:cs="Palatino Linotype"/>
        </w:rPr>
        <w:t>:</w:t>
      </w:r>
    </w:p>
    <w:p w:rsidR="00087FE8" w:rsidRPr="00026AC4" w:rsidRDefault="00087FE8">
      <w:pPr>
        <w:spacing w:line="360" w:lineRule="auto"/>
        <w:jc w:val="both"/>
        <w:rPr>
          <w:rFonts w:ascii="Palatino Linotype" w:eastAsia="Palatino Linotype" w:hAnsi="Palatino Linotype" w:cs="Palatino Linotype"/>
        </w:rPr>
      </w:pPr>
    </w:p>
    <w:p w:rsidR="00087FE8" w:rsidRPr="00026AC4" w:rsidRDefault="00151F9A">
      <w:pPr>
        <w:numPr>
          <w:ilvl w:val="0"/>
          <w:numId w:val="1"/>
        </w:numPr>
        <w:pBdr>
          <w:top w:val="nil"/>
          <w:left w:val="nil"/>
          <w:bottom w:val="nil"/>
          <w:right w:val="nil"/>
          <w:between w:val="nil"/>
        </w:pBdr>
        <w:spacing w:line="360" w:lineRule="auto"/>
        <w:ind w:right="709"/>
        <w:jc w:val="both"/>
        <w:rPr>
          <w:rFonts w:ascii="Palatino Linotype" w:eastAsia="Palatino Linotype" w:hAnsi="Palatino Linotype" w:cs="Palatino Linotype"/>
          <w:b/>
          <w:bCs/>
          <w:color w:val="000000"/>
        </w:rPr>
      </w:pPr>
      <w:r w:rsidRPr="00026AC4">
        <w:rPr>
          <w:rFonts w:ascii="Palatino Linotype" w:eastAsia="Palatino Linotype" w:hAnsi="Palatino Linotype" w:cs="Palatino Linotype"/>
          <w:b/>
          <w:bCs/>
          <w:color w:val="000000"/>
        </w:rPr>
        <w:t>Las Convocatorias para la Segunda Sesión Ordinaria de la Comisión Municipal de Mejora Regulatoria del Municipio de Toluca, celebrada el 26 de junio de 2025; y</w:t>
      </w:r>
    </w:p>
    <w:p w:rsidR="00087FE8" w:rsidRPr="00026AC4" w:rsidRDefault="00087FE8">
      <w:pPr>
        <w:pBdr>
          <w:top w:val="nil"/>
          <w:left w:val="nil"/>
          <w:bottom w:val="nil"/>
          <w:right w:val="nil"/>
          <w:between w:val="nil"/>
        </w:pBdr>
        <w:spacing w:line="360" w:lineRule="auto"/>
        <w:ind w:left="778" w:right="709"/>
        <w:jc w:val="both"/>
        <w:rPr>
          <w:rFonts w:ascii="Palatino Linotype" w:eastAsia="Palatino Linotype" w:hAnsi="Palatino Linotype" w:cs="Palatino Linotype"/>
          <w:b/>
          <w:bCs/>
          <w:color w:val="000000"/>
        </w:rPr>
      </w:pPr>
    </w:p>
    <w:p w:rsidR="00087FE8" w:rsidRPr="00026AC4" w:rsidRDefault="00151F9A">
      <w:pPr>
        <w:numPr>
          <w:ilvl w:val="0"/>
          <w:numId w:val="1"/>
        </w:numPr>
        <w:pBdr>
          <w:top w:val="nil"/>
          <w:left w:val="nil"/>
          <w:bottom w:val="nil"/>
          <w:right w:val="nil"/>
          <w:between w:val="nil"/>
        </w:pBdr>
        <w:spacing w:line="360" w:lineRule="auto"/>
        <w:ind w:right="709"/>
        <w:jc w:val="both"/>
        <w:rPr>
          <w:rFonts w:ascii="Palatino Linotype" w:eastAsia="Palatino Linotype" w:hAnsi="Palatino Linotype" w:cs="Palatino Linotype"/>
          <w:b/>
          <w:bCs/>
          <w:color w:val="000000"/>
        </w:rPr>
      </w:pPr>
      <w:r w:rsidRPr="00026AC4">
        <w:rPr>
          <w:rFonts w:ascii="Palatino Linotype" w:eastAsia="Palatino Linotype" w:hAnsi="Palatino Linotype" w:cs="Palatino Linotype"/>
          <w:b/>
          <w:bCs/>
          <w:color w:val="000000"/>
        </w:rPr>
        <w:t>El informe anual del avance programático de mejora regulatoria del Ejercicio Fiscal 2025, generado al 19 de agosto de 2025.</w:t>
      </w:r>
    </w:p>
    <w:p w:rsidR="00087FE8" w:rsidRPr="00026AC4" w:rsidRDefault="00087FE8">
      <w:pPr>
        <w:pBdr>
          <w:top w:val="nil"/>
          <w:left w:val="nil"/>
          <w:bottom w:val="nil"/>
          <w:right w:val="nil"/>
          <w:between w:val="nil"/>
        </w:pBdr>
        <w:spacing w:line="360" w:lineRule="auto"/>
        <w:ind w:left="778" w:right="709"/>
        <w:jc w:val="both"/>
        <w:rPr>
          <w:rFonts w:ascii="Palatino Linotype" w:eastAsia="Palatino Linotype" w:hAnsi="Palatino Linotype" w:cs="Palatino Linotype"/>
          <w:b/>
          <w:bCs/>
          <w:color w:val="000000"/>
        </w:rPr>
      </w:pPr>
    </w:p>
    <w:p w:rsidR="00087FE8" w:rsidRPr="00026AC4" w:rsidRDefault="00151F9A">
      <w:pPr>
        <w:spacing w:line="360" w:lineRule="auto"/>
        <w:jc w:val="both"/>
        <w:rPr>
          <w:rFonts w:ascii="Palatino Linotype" w:eastAsia="Palatino Linotype" w:hAnsi="Palatino Linotype" w:cs="Palatino Linotype"/>
          <w:b/>
          <w:bCs/>
          <w:color w:val="000000"/>
        </w:rPr>
      </w:pPr>
      <w:bookmarkStart w:id="8" w:name="_heading=h.g2r0wx81vfn5" w:colFirst="0" w:colLast="0"/>
      <w:bookmarkEnd w:id="8"/>
      <w:r w:rsidRPr="00026AC4">
        <w:rPr>
          <w:rFonts w:ascii="Palatino Linotype" w:eastAsia="Palatino Linotype" w:hAnsi="Palatino Linotype" w:cs="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rsidR="00087FE8" w:rsidRPr="00026AC4" w:rsidRDefault="00087FE8">
      <w:pPr>
        <w:spacing w:line="360" w:lineRule="auto"/>
        <w:jc w:val="both"/>
        <w:rPr>
          <w:rFonts w:ascii="Palatino Linotype" w:eastAsia="Palatino Linotype" w:hAnsi="Palatino Linotype" w:cs="Palatino Linotype"/>
          <w:color w:val="000000"/>
        </w:rPr>
      </w:pPr>
    </w:p>
    <w:p w:rsidR="00087FE8" w:rsidRPr="00026AC4" w:rsidRDefault="00151F9A">
      <w:pPr>
        <w:spacing w:line="360" w:lineRule="auto"/>
        <w:jc w:val="both"/>
        <w:rPr>
          <w:rFonts w:ascii="Palatino Linotype" w:eastAsia="Palatino Linotype" w:hAnsi="Palatino Linotype" w:cs="Palatino Linotype"/>
        </w:rPr>
      </w:pPr>
      <w:r w:rsidRPr="00026AC4">
        <w:rPr>
          <w:rFonts w:ascii="Palatino Linotype" w:eastAsia="Palatino Linotype" w:hAnsi="Palatino Linotype" w:cs="Palatino Linotype"/>
          <w:color w:val="000000"/>
        </w:rPr>
        <w:lastRenderedPageBreak/>
        <w:t xml:space="preserve">Para el caso de no contar con lo ordenado en el </w:t>
      </w:r>
      <w:r w:rsidRPr="00026AC4">
        <w:rPr>
          <w:rFonts w:ascii="Palatino Linotype" w:eastAsia="Palatino Linotype" w:hAnsi="Palatino Linotype" w:cs="Palatino Linotype"/>
          <w:b/>
          <w:bCs/>
          <w:color w:val="000000"/>
        </w:rPr>
        <w:t xml:space="preserve">inciso b) </w:t>
      </w:r>
      <w:r w:rsidRPr="00026AC4">
        <w:rPr>
          <w:rFonts w:ascii="Palatino Linotype" w:eastAsia="Palatino Linotype" w:hAnsi="Palatino Linotype" w:cs="Palatino Linotype"/>
          <w:color w:val="000000"/>
        </w:rPr>
        <w:t xml:space="preserve">bastará que el </w:t>
      </w:r>
      <w:r w:rsidRPr="00026AC4">
        <w:rPr>
          <w:rFonts w:ascii="Palatino Linotype" w:eastAsia="Palatino Linotype" w:hAnsi="Palatino Linotype" w:cs="Palatino Linotype"/>
          <w:b/>
          <w:bCs/>
          <w:color w:val="000000"/>
        </w:rPr>
        <w:t>SUJETO OBLIGADO</w:t>
      </w:r>
      <w:r w:rsidRPr="00026AC4">
        <w:rPr>
          <w:rFonts w:ascii="Palatino Linotype" w:eastAsia="Palatino Linotype" w:hAnsi="Palatino Linotype" w:cs="Palatino Linotype"/>
          <w:color w:val="000000"/>
        </w:rPr>
        <w:t xml:space="preserve"> lo haga del conocimiento de la parte </w:t>
      </w:r>
      <w:r w:rsidRPr="00026AC4">
        <w:rPr>
          <w:rFonts w:ascii="Palatino Linotype" w:eastAsia="Palatino Linotype" w:hAnsi="Palatino Linotype" w:cs="Palatino Linotype"/>
          <w:b/>
          <w:bCs/>
          <w:color w:val="000000"/>
        </w:rPr>
        <w:t>RECURRENTE</w:t>
      </w:r>
      <w:r w:rsidRPr="00026AC4">
        <w:rPr>
          <w:rFonts w:ascii="Palatino Linotype" w:eastAsia="Palatino Linotype" w:hAnsi="Palatino Linotype" w:cs="Palatino Linotype"/>
          <w:color w:val="000000"/>
        </w:rPr>
        <w:t xml:space="preserve"> al momento de dar cumplimiento a la presente Resolución en términos del artículo 19 párrafo segundo de la</w:t>
      </w:r>
      <w:r w:rsidRPr="00026AC4">
        <w:rPr>
          <w:rFonts w:ascii="Palatino Linotype" w:eastAsia="Palatino Linotype" w:hAnsi="Palatino Linotype" w:cs="Palatino Linotype"/>
        </w:rPr>
        <w:t xml:space="preserve"> Ley de Transparencia y Acceso a la Información Pública del Estado de México y Municipios.</w:t>
      </w:r>
    </w:p>
    <w:p w:rsidR="00087FE8" w:rsidRPr="00026AC4" w:rsidRDefault="00087FE8">
      <w:pPr>
        <w:spacing w:line="360" w:lineRule="auto"/>
        <w:jc w:val="both"/>
        <w:rPr>
          <w:rFonts w:ascii="Palatino Linotype" w:eastAsia="Palatino Linotype" w:hAnsi="Palatino Linotype" w:cs="Palatino Linotype"/>
        </w:rPr>
      </w:pPr>
    </w:p>
    <w:p w:rsidR="00087FE8" w:rsidRPr="00026AC4" w:rsidRDefault="00151F9A">
      <w:pPr>
        <w:spacing w:line="360" w:lineRule="auto"/>
        <w:ind w:right="51"/>
        <w:jc w:val="both"/>
        <w:rPr>
          <w:rFonts w:ascii="Palatino Linotype" w:eastAsia="Palatino Linotype" w:hAnsi="Palatino Linotype" w:cs="Palatino Linotype"/>
        </w:rPr>
      </w:pPr>
      <w:r w:rsidRPr="00026AC4">
        <w:rPr>
          <w:rFonts w:ascii="Palatino Linotype" w:eastAsia="Palatino Linotype" w:hAnsi="Palatino Linotype" w:cs="Palatino Linotype"/>
          <w:b/>
          <w:bCs/>
        </w:rPr>
        <w:t xml:space="preserve">TERCERO. Notifíquese </w:t>
      </w:r>
      <w:r w:rsidRPr="00026AC4">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026AC4">
        <w:rPr>
          <w:rFonts w:ascii="Palatino Linotype" w:eastAsia="Palatino Linotype" w:hAnsi="Palatino Linotype" w:cs="Palatino Linotype"/>
          <w:b/>
          <w:bCs/>
        </w:rPr>
        <w:t>dé cumplimiento a lo ordenado dentro del plazo de diez días hábiles,</w:t>
      </w:r>
      <w:r w:rsidRPr="00026AC4">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87FE8" w:rsidRPr="00026AC4" w:rsidRDefault="00087FE8">
      <w:pPr>
        <w:spacing w:line="360" w:lineRule="auto"/>
        <w:ind w:right="51"/>
        <w:jc w:val="both"/>
        <w:rPr>
          <w:rFonts w:ascii="Palatino Linotype" w:eastAsia="Palatino Linotype" w:hAnsi="Palatino Linotype" w:cs="Palatino Linotype"/>
        </w:rPr>
      </w:pPr>
    </w:p>
    <w:p w:rsidR="00087FE8" w:rsidRPr="00026AC4" w:rsidRDefault="00151F9A">
      <w:pPr>
        <w:spacing w:line="360" w:lineRule="auto"/>
        <w:ind w:right="51"/>
        <w:jc w:val="both"/>
        <w:rPr>
          <w:rFonts w:ascii="Palatino Linotype" w:eastAsia="Palatino Linotype" w:hAnsi="Palatino Linotype" w:cs="Palatino Linotype"/>
        </w:rPr>
      </w:pPr>
      <w:r w:rsidRPr="00026AC4">
        <w:rPr>
          <w:rFonts w:ascii="Palatino Linotype" w:eastAsia="Palatino Linotype" w:hAnsi="Palatino Linotype" w:cs="Palatino Linotype"/>
          <w:b/>
          <w:bCs/>
        </w:rPr>
        <w:t xml:space="preserve">CUARTO. </w:t>
      </w:r>
      <w:r w:rsidRPr="00026AC4">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026AC4">
        <w:rPr>
          <w:rFonts w:ascii="Palatino Linotype" w:eastAsia="Palatino Linotype" w:hAnsi="Palatino Linotype" w:cs="Palatino Linotype"/>
          <w:b/>
          <w:bCs/>
        </w:rPr>
        <w:t>SUJETO OBLIGADO</w:t>
      </w:r>
      <w:r w:rsidRPr="00026AC4">
        <w:rPr>
          <w:rFonts w:ascii="Palatino Linotype" w:eastAsia="Palatino Linotype" w:hAnsi="Palatino Linotype" w:cs="Palatino Linotype"/>
        </w:rPr>
        <w:t xml:space="preserve"> de manera fundada y motivada, podrá solicitar una ampliación de plazo para el cumplimiento de la presente Resolución.</w:t>
      </w:r>
    </w:p>
    <w:p w:rsidR="00087FE8" w:rsidRPr="00026AC4" w:rsidRDefault="00087FE8">
      <w:pPr>
        <w:spacing w:line="360" w:lineRule="auto"/>
        <w:ind w:right="51"/>
        <w:jc w:val="both"/>
        <w:rPr>
          <w:rFonts w:ascii="Palatino Linotype" w:eastAsia="Palatino Linotype" w:hAnsi="Palatino Linotype" w:cs="Palatino Linotype"/>
        </w:rPr>
      </w:pPr>
    </w:p>
    <w:p w:rsidR="00087FE8" w:rsidRPr="00026AC4" w:rsidRDefault="00151F9A">
      <w:pPr>
        <w:tabs>
          <w:tab w:val="left" w:pos="8080"/>
        </w:tabs>
        <w:spacing w:line="360" w:lineRule="auto"/>
        <w:ind w:right="51"/>
        <w:jc w:val="both"/>
        <w:rPr>
          <w:rFonts w:ascii="Palatino Linotype" w:eastAsia="Palatino Linotype" w:hAnsi="Palatino Linotype" w:cs="Palatino Linotype"/>
        </w:rPr>
      </w:pPr>
      <w:bookmarkStart w:id="9" w:name="_heading=h.lnxbz9" w:colFirst="0" w:colLast="0"/>
      <w:bookmarkEnd w:id="9"/>
      <w:r w:rsidRPr="00026AC4">
        <w:rPr>
          <w:rFonts w:ascii="Palatino Linotype" w:eastAsia="Palatino Linotype" w:hAnsi="Palatino Linotype" w:cs="Palatino Linotype"/>
          <w:b/>
          <w:bCs/>
        </w:rPr>
        <w:t xml:space="preserve">QUINTO. </w:t>
      </w:r>
      <w:r w:rsidRPr="00026AC4">
        <w:rPr>
          <w:rFonts w:ascii="Palatino Linotype" w:eastAsia="Palatino Linotype" w:hAnsi="Palatino Linotype" w:cs="Palatino Linotype"/>
        </w:rPr>
        <w:t xml:space="preserve">Notifíquese al </w:t>
      </w:r>
      <w:r w:rsidRPr="00026AC4">
        <w:rPr>
          <w:rFonts w:ascii="Palatino Linotype" w:eastAsia="Palatino Linotype" w:hAnsi="Palatino Linotype" w:cs="Palatino Linotype"/>
          <w:b/>
          <w:bCs/>
        </w:rPr>
        <w:t>RECURRENTE</w:t>
      </w:r>
      <w:r w:rsidRPr="00026AC4">
        <w:rPr>
          <w:rFonts w:ascii="Palatino Linotype" w:eastAsia="Palatino Linotype" w:hAnsi="Palatino Linotype" w:cs="Palatino Linotype"/>
        </w:rPr>
        <w:t xml:space="preserve"> la presente Resolución, vía </w:t>
      </w:r>
      <w:r w:rsidRPr="00026AC4">
        <w:rPr>
          <w:rFonts w:ascii="Palatino Linotype" w:eastAsia="Palatino Linotype" w:hAnsi="Palatino Linotype" w:cs="Palatino Linotype"/>
          <w:b/>
          <w:bCs/>
        </w:rPr>
        <w:t>SAIMEX</w:t>
      </w:r>
      <w:r w:rsidRPr="00026AC4">
        <w:rPr>
          <w:rFonts w:ascii="Palatino Linotype" w:eastAsia="Palatino Linotype" w:hAnsi="Palatino Linotype" w:cs="Palatino Linotype"/>
        </w:rPr>
        <w:t>.</w:t>
      </w:r>
    </w:p>
    <w:p w:rsidR="00087FE8" w:rsidRPr="00026AC4" w:rsidRDefault="00087FE8">
      <w:pPr>
        <w:tabs>
          <w:tab w:val="left" w:pos="8080"/>
        </w:tabs>
        <w:spacing w:line="360" w:lineRule="auto"/>
        <w:ind w:right="51"/>
        <w:jc w:val="both"/>
        <w:rPr>
          <w:rFonts w:ascii="Palatino Linotype" w:eastAsia="Palatino Linotype" w:hAnsi="Palatino Linotype" w:cs="Palatino Linotype"/>
        </w:rPr>
      </w:pPr>
    </w:p>
    <w:p w:rsidR="00087FE8" w:rsidRPr="00026AC4" w:rsidRDefault="00151F9A">
      <w:pPr>
        <w:shd w:val="clear" w:color="auto" w:fill="FFFFFF"/>
        <w:spacing w:line="360" w:lineRule="auto"/>
        <w:ind w:right="51"/>
        <w:jc w:val="both"/>
        <w:rPr>
          <w:rFonts w:ascii="Palatino Linotype" w:eastAsia="Palatino Linotype" w:hAnsi="Palatino Linotype" w:cs="Palatino Linotype"/>
        </w:rPr>
      </w:pPr>
      <w:r w:rsidRPr="00026AC4">
        <w:rPr>
          <w:rFonts w:ascii="Palatino Linotype" w:eastAsia="Palatino Linotype" w:hAnsi="Palatino Linotype" w:cs="Palatino Linotype"/>
          <w:b/>
          <w:bCs/>
        </w:rPr>
        <w:t xml:space="preserve">SEXTO. </w:t>
      </w:r>
      <w:r w:rsidRPr="00026AC4">
        <w:rPr>
          <w:rFonts w:ascii="Palatino Linotype" w:eastAsia="Palatino Linotype" w:hAnsi="Palatino Linotype" w:cs="Palatino Linotype"/>
        </w:rPr>
        <w:t>Se hace del conocimiento del</w:t>
      </w:r>
      <w:r w:rsidRPr="00026AC4">
        <w:rPr>
          <w:rFonts w:ascii="Palatino Linotype" w:eastAsia="Palatino Linotype" w:hAnsi="Palatino Linotype" w:cs="Palatino Linotype"/>
          <w:b/>
          <w:bCs/>
        </w:rPr>
        <w:t xml:space="preserve"> RECURRENTE </w:t>
      </w:r>
      <w:r w:rsidRPr="00026AC4">
        <w:rPr>
          <w:rFonts w:ascii="Palatino Linotype" w:eastAsia="Palatino Linotype" w:hAnsi="Palatino Linotype" w:cs="Palatino Linotype"/>
        </w:rPr>
        <w:t xml:space="preserve">que, de conformidad con lo establecido en el artículo 196 de la Ley de Transparencia y Acceso a la Información Pública </w:t>
      </w:r>
      <w:r w:rsidRPr="00026AC4">
        <w:rPr>
          <w:rFonts w:ascii="Palatino Linotype" w:eastAsia="Palatino Linotype" w:hAnsi="Palatino Linotype" w:cs="Palatino Linotype"/>
        </w:rPr>
        <w:lastRenderedPageBreak/>
        <w:t>del Estado de México y Municipios, en caso de que considere que la Resolución le cause algún perjuicio podrá impugnar vía juicio de amparo en los términos de las leyes aplicables.</w:t>
      </w:r>
    </w:p>
    <w:p w:rsidR="00087FE8" w:rsidRPr="00026AC4" w:rsidRDefault="00087FE8">
      <w:pPr>
        <w:spacing w:line="360" w:lineRule="auto"/>
        <w:jc w:val="both"/>
        <w:rPr>
          <w:rFonts w:ascii="Palatino Linotype" w:eastAsia="Palatino Linotype" w:hAnsi="Palatino Linotype" w:cs="Palatino Linotype"/>
          <w:color w:val="000000"/>
        </w:rPr>
      </w:pPr>
    </w:p>
    <w:p w:rsidR="00760EDC" w:rsidRPr="00026AC4" w:rsidRDefault="00760EDC" w:rsidP="00760EDC">
      <w:pPr>
        <w:spacing w:before="240" w:after="240" w:line="360" w:lineRule="auto"/>
        <w:ind w:firstLine="1"/>
        <w:jc w:val="both"/>
        <w:rPr>
          <w:rFonts w:ascii="Palatino Linotype" w:hAnsi="Palatino Linotype"/>
        </w:rPr>
      </w:pPr>
      <w:bookmarkStart w:id="10" w:name="_Hlk99014733"/>
      <w:r w:rsidRPr="00026AC4">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NOVENA SESIÓN ORDINARIA, CELEBRADA EL ONCE (11) DE MARZO DE DOS MIL VEINTISÉIS, ANTE EL SECRETARIO TÉCNICO DEL PLENO </w:t>
      </w:r>
      <w:r w:rsidRPr="00026AC4">
        <w:rPr>
          <w:rFonts w:ascii="Palatino Linotype" w:hAnsi="Palatino Linotype" w:cs="Palatino Linotype"/>
          <w:color w:val="000000" w:themeColor="text1"/>
        </w:rPr>
        <w:t>ALEXIS TAPIA RAMÍREZ.</w:t>
      </w:r>
    </w:p>
    <w:bookmarkEnd w:id="10"/>
    <w:p w:rsidR="00087FE8" w:rsidRPr="00026AC4" w:rsidRDefault="00087FE8">
      <w:pPr>
        <w:spacing w:line="360" w:lineRule="auto"/>
        <w:jc w:val="both"/>
        <w:rPr>
          <w:rFonts w:ascii="Palatino Linotype" w:eastAsia="Palatino Linotype" w:hAnsi="Palatino Linotype" w:cs="Palatino Linotype"/>
        </w:rPr>
      </w:pPr>
    </w:p>
    <w:p w:rsidR="00087FE8" w:rsidRPr="00026AC4" w:rsidRDefault="00087FE8">
      <w:pPr>
        <w:spacing w:line="360" w:lineRule="auto"/>
        <w:jc w:val="both"/>
        <w:rPr>
          <w:rFonts w:ascii="Palatino Linotype" w:eastAsia="Palatino Linotype" w:hAnsi="Palatino Linotype" w:cs="Palatino Linotype"/>
        </w:rPr>
      </w:pPr>
    </w:p>
    <w:p w:rsidR="00087FE8" w:rsidRPr="00026AC4" w:rsidRDefault="00087FE8">
      <w:pPr>
        <w:spacing w:line="360" w:lineRule="auto"/>
        <w:jc w:val="both"/>
        <w:rPr>
          <w:rFonts w:ascii="Palatino Linotype" w:eastAsia="Palatino Linotype" w:hAnsi="Palatino Linotype" w:cs="Palatino Linotype"/>
        </w:rPr>
      </w:pPr>
    </w:p>
    <w:p w:rsidR="00087FE8" w:rsidRPr="00026AC4" w:rsidRDefault="00087FE8">
      <w:pPr>
        <w:spacing w:line="360" w:lineRule="auto"/>
        <w:jc w:val="both"/>
        <w:rPr>
          <w:rFonts w:ascii="Palatino Linotype" w:eastAsia="Palatino Linotype" w:hAnsi="Palatino Linotype" w:cs="Palatino Linotype"/>
        </w:rPr>
      </w:pPr>
    </w:p>
    <w:p w:rsidR="00087FE8" w:rsidRPr="00026AC4" w:rsidRDefault="00087FE8">
      <w:pPr>
        <w:spacing w:line="360" w:lineRule="auto"/>
        <w:jc w:val="both"/>
        <w:rPr>
          <w:rFonts w:ascii="Palatino Linotype" w:eastAsia="Palatino Linotype" w:hAnsi="Palatino Linotype" w:cs="Palatino Linotype"/>
        </w:rPr>
      </w:pPr>
    </w:p>
    <w:p w:rsidR="00087FE8" w:rsidRPr="00026AC4" w:rsidRDefault="00087FE8">
      <w:pPr>
        <w:spacing w:line="360" w:lineRule="auto"/>
        <w:jc w:val="both"/>
        <w:rPr>
          <w:rFonts w:ascii="Palatino Linotype" w:eastAsia="Palatino Linotype" w:hAnsi="Palatino Linotype" w:cs="Palatino Linotype"/>
        </w:rPr>
      </w:pPr>
    </w:p>
    <w:p w:rsidR="00087FE8" w:rsidRPr="00026AC4" w:rsidRDefault="00087FE8">
      <w:pPr>
        <w:spacing w:line="360" w:lineRule="auto"/>
        <w:jc w:val="both"/>
        <w:rPr>
          <w:rFonts w:ascii="Palatino Linotype" w:eastAsia="Palatino Linotype" w:hAnsi="Palatino Linotype" w:cs="Palatino Linotype"/>
        </w:rPr>
      </w:pPr>
    </w:p>
    <w:p w:rsidR="00087FE8" w:rsidRPr="00026AC4" w:rsidRDefault="00087FE8">
      <w:pPr>
        <w:spacing w:line="360" w:lineRule="auto"/>
        <w:jc w:val="both"/>
        <w:rPr>
          <w:rFonts w:ascii="Palatino Linotype" w:eastAsia="Palatino Linotype" w:hAnsi="Palatino Linotype" w:cs="Palatino Linotype"/>
        </w:rPr>
      </w:pPr>
    </w:p>
    <w:p w:rsidR="00087FE8" w:rsidRPr="00026AC4" w:rsidRDefault="00087FE8">
      <w:pPr>
        <w:spacing w:line="360" w:lineRule="auto"/>
        <w:rPr>
          <w:rFonts w:ascii="Palatino Linotype" w:eastAsia="Palatino Linotype" w:hAnsi="Palatino Linotype" w:cs="Palatino Linotype"/>
        </w:rPr>
      </w:pPr>
    </w:p>
    <w:p w:rsidR="00087FE8" w:rsidRPr="00026AC4" w:rsidRDefault="00087FE8">
      <w:pPr>
        <w:spacing w:line="360" w:lineRule="auto"/>
        <w:rPr>
          <w:rFonts w:ascii="Palatino Linotype" w:eastAsia="Palatino Linotype" w:hAnsi="Palatino Linotype" w:cs="Palatino Linotype"/>
        </w:rPr>
      </w:pPr>
    </w:p>
    <w:p w:rsidR="00087FE8" w:rsidRPr="00026AC4" w:rsidRDefault="00087FE8">
      <w:pPr>
        <w:spacing w:line="360" w:lineRule="auto"/>
        <w:rPr>
          <w:rFonts w:ascii="Palatino Linotype" w:eastAsia="Palatino Linotype" w:hAnsi="Palatino Linotype" w:cs="Palatino Linotype"/>
        </w:rPr>
      </w:pPr>
    </w:p>
    <w:p w:rsidR="00087FE8" w:rsidRPr="00026AC4" w:rsidRDefault="00087FE8">
      <w:pPr>
        <w:spacing w:line="360" w:lineRule="auto"/>
        <w:rPr>
          <w:rFonts w:ascii="Palatino Linotype" w:eastAsia="Palatino Linotype" w:hAnsi="Palatino Linotype" w:cs="Palatino Linotype"/>
        </w:rPr>
      </w:pPr>
    </w:p>
    <w:p w:rsidR="00087FE8" w:rsidRPr="00026AC4" w:rsidRDefault="00087FE8">
      <w:pPr>
        <w:spacing w:line="360" w:lineRule="auto"/>
        <w:rPr>
          <w:rFonts w:ascii="Palatino Linotype" w:eastAsia="Palatino Linotype" w:hAnsi="Palatino Linotype" w:cs="Palatino Linotype"/>
        </w:rPr>
      </w:pPr>
    </w:p>
    <w:p w:rsidR="00087FE8" w:rsidRPr="00026AC4" w:rsidRDefault="00087FE8">
      <w:pPr>
        <w:spacing w:line="360" w:lineRule="auto"/>
        <w:rPr>
          <w:rFonts w:ascii="Palatino Linotype" w:eastAsia="Palatino Linotype" w:hAnsi="Palatino Linotype" w:cs="Palatino Linotype"/>
        </w:rPr>
      </w:pPr>
    </w:p>
    <w:p w:rsidR="00087FE8" w:rsidRPr="00026AC4" w:rsidRDefault="00087FE8">
      <w:pPr>
        <w:spacing w:line="360" w:lineRule="auto"/>
        <w:rPr>
          <w:rFonts w:ascii="Palatino Linotype" w:eastAsia="Palatino Linotype" w:hAnsi="Palatino Linotype" w:cs="Palatino Linotype"/>
        </w:rPr>
      </w:pPr>
    </w:p>
    <w:p w:rsidR="00087FE8" w:rsidRPr="00026AC4" w:rsidRDefault="00151F9A">
      <w:pPr>
        <w:tabs>
          <w:tab w:val="left" w:pos="3374"/>
        </w:tabs>
        <w:spacing w:line="360" w:lineRule="auto"/>
        <w:rPr>
          <w:rFonts w:ascii="Palatino Linotype" w:eastAsia="Palatino Linotype" w:hAnsi="Palatino Linotype" w:cs="Palatino Linotype"/>
        </w:rPr>
      </w:pPr>
      <w:r w:rsidRPr="00026AC4">
        <w:rPr>
          <w:rFonts w:ascii="Palatino Linotype" w:eastAsia="Palatino Linotype" w:hAnsi="Palatino Linotype" w:cs="Palatino Linotype"/>
        </w:rPr>
        <w:tab/>
      </w:r>
    </w:p>
    <w:p w:rsidR="00087FE8" w:rsidRPr="00026AC4" w:rsidRDefault="00087FE8">
      <w:pPr>
        <w:tabs>
          <w:tab w:val="left" w:pos="3374"/>
        </w:tabs>
        <w:spacing w:line="360" w:lineRule="auto"/>
        <w:rPr>
          <w:rFonts w:ascii="Palatino Linotype" w:eastAsia="Palatino Linotype" w:hAnsi="Palatino Linotype" w:cs="Palatino Linotype"/>
        </w:rPr>
      </w:pPr>
    </w:p>
    <w:p w:rsidR="00087FE8" w:rsidRPr="00026AC4" w:rsidRDefault="00087FE8">
      <w:pPr>
        <w:tabs>
          <w:tab w:val="left" w:pos="3374"/>
        </w:tabs>
        <w:spacing w:line="360" w:lineRule="auto"/>
        <w:rPr>
          <w:rFonts w:ascii="Palatino Linotype" w:eastAsia="Palatino Linotype" w:hAnsi="Palatino Linotype" w:cs="Palatino Linotype"/>
        </w:rPr>
      </w:pPr>
    </w:p>
    <w:p w:rsidR="00087FE8" w:rsidRPr="00026AC4" w:rsidRDefault="00087FE8">
      <w:pPr>
        <w:tabs>
          <w:tab w:val="left" w:pos="3374"/>
        </w:tabs>
        <w:spacing w:line="360" w:lineRule="auto"/>
        <w:rPr>
          <w:rFonts w:ascii="Palatino Linotype" w:eastAsia="Palatino Linotype" w:hAnsi="Palatino Linotype" w:cs="Palatino Linotype"/>
        </w:rPr>
      </w:pPr>
    </w:p>
    <w:p w:rsidR="00087FE8" w:rsidRPr="00026AC4" w:rsidRDefault="00087FE8">
      <w:pPr>
        <w:tabs>
          <w:tab w:val="left" w:pos="3374"/>
        </w:tabs>
        <w:spacing w:line="360" w:lineRule="auto"/>
        <w:rPr>
          <w:rFonts w:ascii="Palatino Linotype" w:eastAsia="Palatino Linotype" w:hAnsi="Palatino Linotype" w:cs="Palatino Linotype"/>
        </w:rPr>
      </w:pPr>
    </w:p>
    <w:p w:rsidR="00087FE8" w:rsidRPr="00026AC4" w:rsidRDefault="00087FE8">
      <w:pPr>
        <w:tabs>
          <w:tab w:val="left" w:pos="3374"/>
        </w:tabs>
        <w:spacing w:line="360" w:lineRule="auto"/>
        <w:rPr>
          <w:rFonts w:ascii="Palatino Linotype" w:eastAsia="Palatino Linotype" w:hAnsi="Palatino Linotype" w:cs="Palatino Linotype"/>
        </w:rPr>
      </w:pPr>
    </w:p>
    <w:p w:rsidR="00087FE8" w:rsidRPr="00026AC4" w:rsidRDefault="00087FE8">
      <w:pPr>
        <w:tabs>
          <w:tab w:val="left" w:pos="3374"/>
        </w:tabs>
        <w:spacing w:line="360" w:lineRule="auto"/>
        <w:rPr>
          <w:rFonts w:ascii="Palatino Linotype" w:eastAsia="Palatino Linotype" w:hAnsi="Palatino Linotype" w:cs="Palatino Linotype"/>
        </w:rPr>
      </w:pPr>
    </w:p>
    <w:p w:rsidR="00087FE8" w:rsidRPr="00026AC4" w:rsidRDefault="00087FE8">
      <w:pPr>
        <w:tabs>
          <w:tab w:val="left" w:pos="3374"/>
        </w:tabs>
        <w:spacing w:line="360" w:lineRule="auto"/>
        <w:rPr>
          <w:rFonts w:ascii="Palatino Linotype" w:eastAsia="Palatino Linotype" w:hAnsi="Palatino Linotype" w:cs="Palatino Linotype"/>
        </w:rPr>
      </w:pPr>
    </w:p>
    <w:p w:rsidR="00087FE8" w:rsidRPr="00026AC4" w:rsidRDefault="00087FE8">
      <w:pPr>
        <w:tabs>
          <w:tab w:val="left" w:pos="3374"/>
        </w:tabs>
        <w:spacing w:line="360" w:lineRule="auto"/>
        <w:rPr>
          <w:rFonts w:ascii="Palatino Linotype" w:eastAsia="Palatino Linotype" w:hAnsi="Palatino Linotype" w:cs="Palatino Linotype"/>
        </w:rPr>
      </w:pPr>
    </w:p>
    <w:p w:rsidR="00087FE8" w:rsidRPr="00026AC4" w:rsidRDefault="00087FE8">
      <w:pPr>
        <w:tabs>
          <w:tab w:val="left" w:pos="3374"/>
        </w:tabs>
        <w:spacing w:line="360" w:lineRule="auto"/>
        <w:rPr>
          <w:rFonts w:ascii="Palatino Linotype" w:eastAsia="Palatino Linotype" w:hAnsi="Palatino Linotype" w:cs="Palatino Linotype"/>
        </w:rPr>
      </w:pPr>
    </w:p>
    <w:p w:rsidR="00087FE8" w:rsidRPr="00026AC4" w:rsidRDefault="00087FE8">
      <w:pPr>
        <w:tabs>
          <w:tab w:val="left" w:pos="3374"/>
        </w:tabs>
        <w:spacing w:line="360" w:lineRule="auto"/>
        <w:rPr>
          <w:rFonts w:ascii="Palatino Linotype" w:eastAsia="Palatino Linotype" w:hAnsi="Palatino Linotype" w:cs="Palatino Linotype"/>
        </w:rPr>
      </w:pPr>
    </w:p>
    <w:p w:rsidR="00087FE8" w:rsidRPr="00026AC4" w:rsidRDefault="00087FE8">
      <w:pPr>
        <w:tabs>
          <w:tab w:val="left" w:pos="3374"/>
        </w:tabs>
        <w:spacing w:line="360" w:lineRule="auto"/>
        <w:rPr>
          <w:rFonts w:ascii="Palatino Linotype" w:eastAsia="Palatino Linotype" w:hAnsi="Palatino Linotype" w:cs="Palatino Linotype"/>
        </w:rPr>
      </w:pPr>
    </w:p>
    <w:p w:rsidR="00087FE8" w:rsidRPr="00026AC4" w:rsidRDefault="00087FE8">
      <w:pPr>
        <w:tabs>
          <w:tab w:val="left" w:pos="3374"/>
        </w:tabs>
        <w:spacing w:line="360" w:lineRule="auto"/>
        <w:rPr>
          <w:rFonts w:ascii="Palatino Linotype" w:eastAsia="Palatino Linotype" w:hAnsi="Palatino Linotype" w:cs="Palatino Linotype"/>
        </w:rPr>
      </w:pPr>
    </w:p>
    <w:p w:rsidR="00087FE8" w:rsidRPr="00026AC4" w:rsidRDefault="00087FE8">
      <w:pPr>
        <w:tabs>
          <w:tab w:val="left" w:pos="3374"/>
        </w:tabs>
        <w:spacing w:line="360" w:lineRule="auto"/>
        <w:rPr>
          <w:rFonts w:ascii="Palatino Linotype" w:eastAsia="Palatino Linotype" w:hAnsi="Palatino Linotype" w:cs="Palatino Linotype"/>
        </w:rPr>
      </w:pPr>
    </w:p>
    <w:p w:rsidR="00087FE8" w:rsidRPr="00026AC4" w:rsidRDefault="00087FE8">
      <w:pPr>
        <w:tabs>
          <w:tab w:val="left" w:pos="3374"/>
        </w:tabs>
        <w:spacing w:line="360" w:lineRule="auto"/>
        <w:rPr>
          <w:rFonts w:ascii="Palatino Linotype" w:eastAsia="Palatino Linotype" w:hAnsi="Palatino Linotype" w:cs="Palatino Linotype"/>
        </w:rPr>
      </w:pPr>
    </w:p>
    <w:p w:rsidR="00087FE8" w:rsidRPr="00026AC4" w:rsidRDefault="00087FE8">
      <w:pPr>
        <w:tabs>
          <w:tab w:val="left" w:pos="3374"/>
        </w:tabs>
        <w:spacing w:line="360" w:lineRule="auto"/>
        <w:rPr>
          <w:rFonts w:ascii="Palatino Linotype" w:eastAsia="Palatino Linotype" w:hAnsi="Palatino Linotype" w:cs="Palatino Linotype"/>
        </w:rPr>
      </w:pPr>
    </w:p>
    <w:p w:rsidR="00087FE8" w:rsidRPr="00026AC4" w:rsidRDefault="00087FE8">
      <w:pPr>
        <w:spacing w:line="360" w:lineRule="auto"/>
        <w:rPr>
          <w:rFonts w:ascii="Palatino Linotype" w:eastAsia="Palatino Linotype" w:hAnsi="Palatino Linotype" w:cs="Palatino Linotype"/>
        </w:rPr>
      </w:pPr>
    </w:p>
    <w:sectPr w:rsidR="00087FE8" w:rsidRPr="00026AC4" w:rsidSect="00026AC4">
      <w:headerReference w:type="even" r:id="rId9"/>
      <w:headerReference w:type="default" r:id="rId10"/>
      <w:footerReference w:type="default" r:id="rId11"/>
      <w:headerReference w:type="first" r:id="rId12"/>
      <w:footerReference w:type="first" r:id="rId13"/>
      <w:pgSz w:w="12240" w:h="15840"/>
      <w:pgMar w:top="2268" w:right="758"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866" w:rsidRDefault="00404866">
      <w:r>
        <w:separator/>
      </w:r>
    </w:p>
  </w:endnote>
  <w:endnote w:type="continuationSeparator" w:id="0">
    <w:p w:rsidR="00404866" w:rsidRDefault="00404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9E1F7979-C39A-4DB1-A819-2E0B5FF84C31}"/>
  </w:font>
  <w:font w:name="Courier New">
    <w:panose1 w:val="02070309020205020404"/>
    <w:charset w:val="00"/>
    <w:family w:val="modern"/>
    <w:pitch w:val="fixed"/>
    <w:sig w:usb0="E0002EFF" w:usb1="C0007843"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embedRegular r:id="rId2" w:fontKey="{C5EA9757-2FD8-476A-97C3-99DF65E75AF1}"/>
    <w:embedBold r:id="rId3" w:fontKey="{CB9D8389-0162-4ED3-9C7F-5C009F6FDC3C}"/>
    <w:embedItalic r:id="rId4" w:fontKey="{B253885F-BC26-414F-9F29-2D5F57A1A23B}"/>
    <w:embedBoldItalic r:id="rId5" w:fontKey="{9B162639-830C-414E-B871-FF014DAE1AC8}"/>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639F2BD6-498C-47A2-866A-86A7AF23099C}"/>
    <w:embedBold r:id="rId7" w:fontKey="{2C996940-B687-4A04-B06B-E955C2529B24}"/>
  </w:font>
  <w:font w:name="Calibri Light">
    <w:panose1 w:val="020F0302020204030204"/>
    <w:charset w:val="00"/>
    <w:family w:val="swiss"/>
    <w:pitch w:val="variable"/>
    <w:sig w:usb0="E4002EFF" w:usb1="C200247B" w:usb2="00000009" w:usb3="00000000" w:csb0="000001FF" w:csb1="00000000"/>
    <w:embedRegular r:id="rId8" w:fontKey="{E3D3DFFF-001F-4B56-AB3F-3B846CA5F11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9" w:fontKey="{33C2F420-79A5-456B-87B7-2E957440FF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FE8" w:rsidRPr="00026AC4" w:rsidRDefault="00151F9A">
    <w:pPr>
      <w:pBdr>
        <w:top w:val="nil"/>
        <w:left w:val="nil"/>
        <w:bottom w:val="nil"/>
        <w:right w:val="nil"/>
        <w:between w:val="nil"/>
      </w:pBdr>
      <w:tabs>
        <w:tab w:val="center" w:pos="4419"/>
        <w:tab w:val="right" w:pos="8838"/>
      </w:tabs>
      <w:jc w:val="right"/>
      <w:rPr>
        <w:rFonts w:ascii="Palatino Linotype" w:eastAsia="Palatino Linotype" w:hAnsi="Palatino Linotype" w:cs="Palatino Linotype"/>
        <w:b/>
        <w:color w:val="000000"/>
        <w:sz w:val="22"/>
        <w:szCs w:val="20"/>
      </w:rPr>
    </w:pPr>
    <w:r w:rsidRPr="00026AC4">
      <w:rPr>
        <w:rFonts w:ascii="Palatino Linotype" w:eastAsia="Palatino Linotype" w:hAnsi="Palatino Linotype" w:cs="Palatino Linotype"/>
        <w:b/>
        <w:color w:val="000000"/>
        <w:sz w:val="22"/>
        <w:szCs w:val="20"/>
      </w:rPr>
      <w:t xml:space="preserve">Página </w:t>
    </w:r>
    <w:r w:rsidRPr="00026AC4">
      <w:rPr>
        <w:rFonts w:ascii="Palatino Linotype" w:eastAsia="Palatino Linotype" w:hAnsi="Palatino Linotype" w:cs="Palatino Linotype"/>
        <w:b/>
        <w:color w:val="000000"/>
        <w:sz w:val="22"/>
        <w:szCs w:val="20"/>
      </w:rPr>
      <w:fldChar w:fldCharType="begin"/>
    </w:r>
    <w:r w:rsidRPr="00026AC4">
      <w:rPr>
        <w:rFonts w:ascii="Palatino Linotype" w:eastAsia="Palatino Linotype" w:hAnsi="Palatino Linotype" w:cs="Palatino Linotype"/>
        <w:b/>
        <w:color w:val="000000"/>
        <w:sz w:val="22"/>
        <w:szCs w:val="20"/>
      </w:rPr>
      <w:instrText>PAGE</w:instrText>
    </w:r>
    <w:r w:rsidRPr="00026AC4">
      <w:rPr>
        <w:rFonts w:ascii="Palatino Linotype" w:eastAsia="Palatino Linotype" w:hAnsi="Palatino Linotype" w:cs="Palatino Linotype"/>
        <w:b/>
        <w:color w:val="000000"/>
        <w:sz w:val="22"/>
        <w:szCs w:val="20"/>
      </w:rPr>
      <w:fldChar w:fldCharType="separate"/>
    </w:r>
    <w:r w:rsidR="009E46C9">
      <w:rPr>
        <w:rFonts w:ascii="Palatino Linotype" w:eastAsia="Palatino Linotype" w:hAnsi="Palatino Linotype" w:cs="Palatino Linotype"/>
        <w:b/>
        <w:noProof/>
        <w:color w:val="000000"/>
        <w:sz w:val="22"/>
        <w:szCs w:val="20"/>
      </w:rPr>
      <w:t>21</w:t>
    </w:r>
    <w:r w:rsidRPr="00026AC4">
      <w:rPr>
        <w:rFonts w:ascii="Palatino Linotype" w:eastAsia="Palatino Linotype" w:hAnsi="Palatino Linotype" w:cs="Palatino Linotype"/>
        <w:b/>
        <w:color w:val="000000"/>
        <w:sz w:val="22"/>
        <w:szCs w:val="20"/>
      </w:rPr>
      <w:fldChar w:fldCharType="end"/>
    </w:r>
    <w:r w:rsidRPr="00026AC4">
      <w:rPr>
        <w:rFonts w:ascii="Palatino Linotype" w:eastAsia="Palatino Linotype" w:hAnsi="Palatino Linotype" w:cs="Palatino Linotype"/>
        <w:b/>
        <w:color w:val="000000"/>
        <w:sz w:val="22"/>
        <w:szCs w:val="20"/>
      </w:rPr>
      <w:t xml:space="preserve"> de </w:t>
    </w:r>
    <w:r w:rsidRPr="00026AC4">
      <w:rPr>
        <w:rFonts w:ascii="Palatino Linotype" w:eastAsia="Palatino Linotype" w:hAnsi="Palatino Linotype" w:cs="Palatino Linotype"/>
        <w:b/>
        <w:color w:val="000000"/>
        <w:sz w:val="22"/>
        <w:szCs w:val="20"/>
      </w:rPr>
      <w:fldChar w:fldCharType="begin"/>
    </w:r>
    <w:r w:rsidRPr="00026AC4">
      <w:rPr>
        <w:rFonts w:ascii="Palatino Linotype" w:eastAsia="Palatino Linotype" w:hAnsi="Palatino Linotype" w:cs="Palatino Linotype"/>
        <w:b/>
        <w:color w:val="000000"/>
        <w:sz w:val="22"/>
        <w:szCs w:val="20"/>
      </w:rPr>
      <w:instrText>NUMPAGES</w:instrText>
    </w:r>
    <w:r w:rsidRPr="00026AC4">
      <w:rPr>
        <w:rFonts w:ascii="Palatino Linotype" w:eastAsia="Palatino Linotype" w:hAnsi="Palatino Linotype" w:cs="Palatino Linotype"/>
        <w:b/>
        <w:color w:val="000000"/>
        <w:sz w:val="22"/>
        <w:szCs w:val="20"/>
      </w:rPr>
      <w:fldChar w:fldCharType="separate"/>
    </w:r>
    <w:r w:rsidR="009E46C9">
      <w:rPr>
        <w:rFonts w:ascii="Palatino Linotype" w:eastAsia="Palatino Linotype" w:hAnsi="Palatino Linotype" w:cs="Palatino Linotype"/>
        <w:b/>
        <w:noProof/>
        <w:color w:val="000000"/>
        <w:sz w:val="22"/>
        <w:szCs w:val="20"/>
      </w:rPr>
      <w:t>40</w:t>
    </w:r>
    <w:r w:rsidRPr="00026AC4">
      <w:rPr>
        <w:rFonts w:ascii="Palatino Linotype" w:eastAsia="Palatino Linotype" w:hAnsi="Palatino Linotype" w:cs="Palatino Linotype"/>
        <w:b/>
        <w:color w:val="000000"/>
        <w:sz w:val="22"/>
        <w:szCs w:val="20"/>
      </w:rPr>
      <w:fldChar w:fldCharType="end"/>
    </w:r>
  </w:p>
  <w:p w:rsidR="00087FE8" w:rsidRDefault="00087FE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FE8" w:rsidRPr="00026AC4" w:rsidRDefault="00151F9A">
    <w:pPr>
      <w:pBdr>
        <w:top w:val="nil"/>
        <w:left w:val="nil"/>
        <w:bottom w:val="nil"/>
        <w:right w:val="nil"/>
        <w:between w:val="nil"/>
      </w:pBdr>
      <w:tabs>
        <w:tab w:val="center" w:pos="4419"/>
        <w:tab w:val="right" w:pos="8838"/>
      </w:tabs>
      <w:jc w:val="right"/>
      <w:rPr>
        <w:rFonts w:ascii="Palatino Linotype" w:eastAsia="Palatino Linotype" w:hAnsi="Palatino Linotype" w:cs="Palatino Linotype"/>
        <w:b/>
        <w:color w:val="000000"/>
        <w:sz w:val="22"/>
        <w:szCs w:val="20"/>
      </w:rPr>
    </w:pPr>
    <w:r w:rsidRPr="00026AC4">
      <w:rPr>
        <w:rFonts w:ascii="Palatino Linotype" w:eastAsia="Palatino Linotype" w:hAnsi="Palatino Linotype" w:cs="Palatino Linotype"/>
        <w:b/>
        <w:color w:val="000000"/>
        <w:sz w:val="22"/>
        <w:szCs w:val="20"/>
      </w:rPr>
      <w:t xml:space="preserve">Página </w:t>
    </w:r>
    <w:r w:rsidRPr="00026AC4">
      <w:rPr>
        <w:rFonts w:ascii="Palatino Linotype" w:eastAsia="Palatino Linotype" w:hAnsi="Palatino Linotype" w:cs="Palatino Linotype"/>
        <w:b/>
        <w:color w:val="000000"/>
        <w:sz w:val="22"/>
        <w:szCs w:val="20"/>
      </w:rPr>
      <w:fldChar w:fldCharType="begin"/>
    </w:r>
    <w:r w:rsidRPr="00026AC4">
      <w:rPr>
        <w:rFonts w:ascii="Palatino Linotype" w:eastAsia="Palatino Linotype" w:hAnsi="Palatino Linotype" w:cs="Palatino Linotype"/>
        <w:b/>
        <w:color w:val="000000"/>
        <w:sz w:val="22"/>
        <w:szCs w:val="20"/>
      </w:rPr>
      <w:instrText>PAGE</w:instrText>
    </w:r>
    <w:r w:rsidRPr="00026AC4">
      <w:rPr>
        <w:rFonts w:ascii="Palatino Linotype" w:eastAsia="Palatino Linotype" w:hAnsi="Palatino Linotype" w:cs="Palatino Linotype"/>
        <w:b/>
        <w:color w:val="000000"/>
        <w:sz w:val="22"/>
        <w:szCs w:val="20"/>
      </w:rPr>
      <w:fldChar w:fldCharType="separate"/>
    </w:r>
    <w:r w:rsidR="009E46C9">
      <w:rPr>
        <w:rFonts w:ascii="Palatino Linotype" w:eastAsia="Palatino Linotype" w:hAnsi="Palatino Linotype" w:cs="Palatino Linotype"/>
        <w:b/>
        <w:noProof/>
        <w:color w:val="000000"/>
        <w:sz w:val="22"/>
        <w:szCs w:val="20"/>
      </w:rPr>
      <w:t>1</w:t>
    </w:r>
    <w:r w:rsidRPr="00026AC4">
      <w:rPr>
        <w:rFonts w:ascii="Palatino Linotype" w:eastAsia="Palatino Linotype" w:hAnsi="Palatino Linotype" w:cs="Palatino Linotype"/>
        <w:b/>
        <w:color w:val="000000"/>
        <w:sz w:val="22"/>
        <w:szCs w:val="20"/>
      </w:rPr>
      <w:fldChar w:fldCharType="end"/>
    </w:r>
    <w:r w:rsidRPr="00026AC4">
      <w:rPr>
        <w:rFonts w:ascii="Palatino Linotype" w:eastAsia="Palatino Linotype" w:hAnsi="Palatino Linotype" w:cs="Palatino Linotype"/>
        <w:b/>
        <w:color w:val="000000"/>
        <w:sz w:val="22"/>
        <w:szCs w:val="20"/>
      </w:rPr>
      <w:t xml:space="preserve"> de </w:t>
    </w:r>
    <w:r w:rsidRPr="00026AC4">
      <w:rPr>
        <w:rFonts w:ascii="Palatino Linotype" w:eastAsia="Palatino Linotype" w:hAnsi="Palatino Linotype" w:cs="Palatino Linotype"/>
        <w:b/>
        <w:color w:val="000000"/>
        <w:sz w:val="22"/>
        <w:szCs w:val="20"/>
      </w:rPr>
      <w:fldChar w:fldCharType="begin"/>
    </w:r>
    <w:r w:rsidRPr="00026AC4">
      <w:rPr>
        <w:rFonts w:ascii="Palatino Linotype" w:eastAsia="Palatino Linotype" w:hAnsi="Palatino Linotype" w:cs="Palatino Linotype"/>
        <w:b/>
        <w:color w:val="000000"/>
        <w:sz w:val="22"/>
        <w:szCs w:val="20"/>
      </w:rPr>
      <w:instrText>NUMPAGES</w:instrText>
    </w:r>
    <w:r w:rsidRPr="00026AC4">
      <w:rPr>
        <w:rFonts w:ascii="Palatino Linotype" w:eastAsia="Palatino Linotype" w:hAnsi="Palatino Linotype" w:cs="Palatino Linotype"/>
        <w:b/>
        <w:color w:val="000000"/>
        <w:sz w:val="22"/>
        <w:szCs w:val="20"/>
      </w:rPr>
      <w:fldChar w:fldCharType="separate"/>
    </w:r>
    <w:r w:rsidR="009E46C9">
      <w:rPr>
        <w:rFonts w:ascii="Palatino Linotype" w:eastAsia="Palatino Linotype" w:hAnsi="Palatino Linotype" w:cs="Palatino Linotype"/>
        <w:b/>
        <w:noProof/>
        <w:color w:val="000000"/>
        <w:sz w:val="22"/>
        <w:szCs w:val="20"/>
      </w:rPr>
      <w:t>40</w:t>
    </w:r>
    <w:r w:rsidRPr="00026AC4">
      <w:rPr>
        <w:rFonts w:ascii="Palatino Linotype" w:eastAsia="Palatino Linotype" w:hAnsi="Palatino Linotype" w:cs="Palatino Linotype"/>
        <w:b/>
        <w:color w:val="000000"/>
        <w:sz w:val="22"/>
        <w:szCs w:val="20"/>
      </w:rPr>
      <w:fldChar w:fldCharType="end"/>
    </w:r>
  </w:p>
  <w:p w:rsidR="00087FE8" w:rsidRDefault="00087FE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866" w:rsidRDefault="00404866">
      <w:r>
        <w:separator/>
      </w:r>
    </w:p>
  </w:footnote>
  <w:footnote w:type="continuationSeparator" w:id="0">
    <w:p w:rsidR="00404866" w:rsidRDefault="00404866">
      <w:r>
        <w:continuationSeparator/>
      </w:r>
    </w:p>
  </w:footnote>
  <w:footnote w:id="1">
    <w:p w:rsidR="00087FE8" w:rsidRDefault="00151F9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087FE8" w:rsidRDefault="00151F9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087FE8" w:rsidRDefault="00151F9A">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4">
    <w:p w:rsidR="00087FE8" w:rsidRDefault="00151F9A">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Ibídem. Párr. 87.</w:t>
      </w:r>
    </w:p>
  </w:footnote>
  <w:footnote w:id="5">
    <w:p w:rsidR="00087FE8" w:rsidRDefault="00151F9A">
      <w:pPr>
        <w:pBdr>
          <w:top w:val="nil"/>
          <w:left w:val="nil"/>
          <w:bottom w:val="nil"/>
          <w:right w:val="nil"/>
          <w:between w:val="nil"/>
        </w:pBdr>
        <w:rPr>
          <w:color w:val="000000"/>
          <w:sz w:val="20"/>
          <w:szCs w:val="20"/>
        </w:rPr>
      </w:pPr>
      <w:r>
        <w:rPr>
          <w:vertAlign w:val="superscript"/>
        </w:rPr>
        <w:footnoteRef/>
      </w:r>
      <w:r>
        <w:rPr>
          <w:rFonts w:ascii="Palatino Linotype" w:eastAsia="Palatino Linotype" w:hAnsi="Palatino Linotype" w:cs="Palatino Linotype"/>
          <w:color w:val="000000"/>
          <w:sz w:val="18"/>
          <w:szCs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r>
          <w:rPr>
            <w:rFonts w:ascii="Palatino Linotype" w:eastAsia="Palatino Linotype" w:hAnsi="Palatino Linotype" w:cs="Palatino Linotype"/>
            <w:color w:val="0000FF"/>
            <w:sz w:val="18"/>
            <w:szCs w:val="18"/>
            <w:u w:val="single"/>
          </w:rPr>
          <w:t>http://www.oas.org/es/cidh/expresion/documentos_basicos/declaraciones.asp</w:t>
        </w:r>
      </w:hyperlink>
      <w:r>
        <w:rPr>
          <w:rFonts w:ascii="Palatino Linotype" w:eastAsia="Palatino Linotype" w:hAnsi="Palatino Linotype" w:cs="Palatino Linotype"/>
          <w:color w:val="000000"/>
          <w:sz w:val="18"/>
          <w:szCs w:val="18"/>
        </w:rPr>
        <w:t>.</w:t>
      </w:r>
    </w:p>
  </w:footnote>
  <w:footnote w:id="6">
    <w:p w:rsidR="00087FE8" w:rsidRDefault="00151F9A">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Ley de Transparencia y Acceso a la Información Pública del Estado de México y Municipios. Artículo 9. …</w:t>
      </w:r>
    </w:p>
    <w:p w:rsidR="00087FE8" w:rsidRDefault="00151F9A">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rsidR="00087FE8" w:rsidRDefault="00151F9A">
      <w:pPr>
        <w:pBdr>
          <w:top w:val="nil"/>
          <w:left w:val="nil"/>
          <w:bottom w:val="nil"/>
          <w:right w:val="nil"/>
          <w:between w:val="nil"/>
        </w:pBdr>
        <w:rPr>
          <w:color w:val="000000"/>
          <w:sz w:val="20"/>
          <w:szCs w:val="20"/>
        </w:rPr>
      </w:pPr>
      <w:r>
        <w:rPr>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FE8" w:rsidRDefault="00404866">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6519" w:type="dxa"/>
      <w:tblInd w:w="3402" w:type="dxa"/>
      <w:tblLayout w:type="fixed"/>
      <w:tblLook w:val="0400" w:firstRow="0" w:lastRow="0" w:firstColumn="0" w:lastColumn="0" w:noHBand="0" w:noVBand="1"/>
    </w:tblPr>
    <w:tblGrid>
      <w:gridCol w:w="2976"/>
      <w:gridCol w:w="3543"/>
    </w:tblGrid>
    <w:tr w:rsidR="00087FE8" w:rsidTr="00026AC4">
      <w:trPr>
        <w:trHeight w:val="227"/>
      </w:trPr>
      <w:tc>
        <w:tcPr>
          <w:tcW w:w="2976" w:type="dxa"/>
          <w:vAlign w:val="center"/>
        </w:tcPr>
        <w:p w:rsidR="00087FE8" w:rsidRPr="00026AC4" w:rsidRDefault="00151F9A">
          <w:pPr>
            <w:ind w:right="34"/>
            <w:jc w:val="right"/>
            <w:rPr>
              <w:rFonts w:ascii="Palatino Linotype" w:eastAsia="Palatino Linotype" w:hAnsi="Palatino Linotype" w:cs="Palatino Linotype"/>
              <w:b/>
              <w:bCs/>
              <w:szCs w:val="22"/>
            </w:rPr>
          </w:pPr>
          <w:r w:rsidRPr="00026AC4">
            <w:rPr>
              <w:rFonts w:ascii="Palatino Linotype" w:eastAsia="Palatino Linotype" w:hAnsi="Palatino Linotype" w:cs="Palatino Linotype"/>
              <w:b/>
              <w:bCs/>
              <w:szCs w:val="22"/>
            </w:rPr>
            <w:t>Recurso de Revisión:</w:t>
          </w:r>
        </w:p>
      </w:tc>
      <w:tc>
        <w:tcPr>
          <w:tcW w:w="3543" w:type="dxa"/>
          <w:vAlign w:val="center"/>
        </w:tcPr>
        <w:p w:rsidR="00087FE8" w:rsidRPr="00026AC4" w:rsidRDefault="00151F9A">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026AC4">
            <w:rPr>
              <w:rFonts w:ascii="Palatino Linotype" w:eastAsia="Palatino Linotype" w:hAnsi="Palatino Linotype" w:cs="Palatino Linotype"/>
              <w:color w:val="000000"/>
              <w:szCs w:val="22"/>
            </w:rPr>
            <w:t>11233/INFOEM/IP/RR/2025</w:t>
          </w:r>
        </w:p>
      </w:tc>
    </w:tr>
    <w:tr w:rsidR="00087FE8" w:rsidTr="00026AC4">
      <w:trPr>
        <w:trHeight w:val="242"/>
      </w:trPr>
      <w:tc>
        <w:tcPr>
          <w:tcW w:w="2976" w:type="dxa"/>
          <w:vAlign w:val="center"/>
        </w:tcPr>
        <w:p w:rsidR="00087FE8" w:rsidRPr="00026AC4" w:rsidRDefault="00151F9A">
          <w:pPr>
            <w:ind w:right="34"/>
            <w:jc w:val="right"/>
            <w:rPr>
              <w:rFonts w:ascii="Palatino Linotype" w:eastAsia="Palatino Linotype" w:hAnsi="Palatino Linotype" w:cs="Palatino Linotype"/>
              <w:b/>
              <w:bCs/>
              <w:szCs w:val="22"/>
            </w:rPr>
          </w:pPr>
          <w:r w:rsidRPr="00026AC4">
            <w:rPr>
              <w:rFonts w:ascii="Palatino Linotype" w:eastAsia="Palatino Linotype" w:hAnsi="Palatino Linotype" w:cs="Palatino Linotype"/>
              <w:b/>
              <w:bCs/>
              <w:szCs w:val="22"/>
            </w:rPr>
            <w:t>Sujeto Obligado:</w:t>
          </w:r>
        </w:p>
      </w:tc>
      <w:tc>
        <w:tcPr>
          <w:tcW w:w="3543" w:type="dxa"/>
          <w:vAlign w:val="center"/>
        </w:tcPr>
        <w:p w:rsidR="00087FE8" w:rsidRPr="00026AC4" w:rsidRDefault="00151F9A">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Cs w:val="22"/>
              <w:highlight w:val="green"/>
            </w:rPr>
          </w:pPr>
          <w:r w:rsidRPr="00026AC4">
            <w:rPr>
              <w:rFonts w:ascii="Palatino Linotype" w:eastAsia="Palatino Linotype" w:hAnsi="Palatino Linotype" w:cs="Palatino Linotype"/>
              <w:color w:val="000000"/>
              <w:szCs w:val="22"/>
            </w:rPr>
            <w:t>Ayuntamiento de Toluca</w:t>
          </w:r>
        </w:p>
      </w:tc>
    </w:tr>
    <w:tr w:rsidR="00087FE8" w:rsidTr="00026AC4">
      <w:trPr>
        <w:trHeight w:val="342"/>
      </w:trPr>
      <w:tc>
        <w:tcPr>
          <w:tcW w:w="2976" w:type="dxa"/>
          <w:vAlign w:val="center"/>
        </w:tcPr>
        <w:p w:rsidR="00087FE8" w:rsidRPr="00026AC4" w:rsidRDefault="00151F9A">
          <w:pPr>
            <w:ind w:right="34"/>
            <w:jc w:val="right"/>
            <w:rPr>
              <w:rFonts w:ascii="Palatino Linotype" w:eastAsia="Palatino Linotype" w:hAnsi="Palatino Linotype" w:cs="Palatino Linotype"/>
              <w:b/>
              <w:bCs/>
              <w:szCs w:val="22"/>
            </w:rPr>
          </w:pPr>
          <w:r w:rsidRPr="00026AC4">
            <w:rPr>
              <w:rFonts w:ascii="Palatino Linotype" w:eastAsia="Palatino Linotype" w:hAnsi="Palatino Linotype" w:cs="Palatino Linotype"/>
              <w:b/>
              <w:bCs/>
              <w:szCs w:val="22"/>
            </w:rPr>
            <w:t>Comisionada Ponente:</w:t>
          </w:r>
        </w:p>
      </w:tc>
      <w:tc>
        <w:tcPr>
          <w:tcW w:w="3543" w:type="dxa"/>
          <w:vAlign w:val="center"/>
        </w:tcPr>
        <w:p w:rsidR="00087FE8" w:rsidRPr="00026AC4" w:rsidRDefault="00151F9A">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rPr>
          </w:pPr>
          <w:r w:rsidRPr="00026AC4">
            <w:rPr>
              <w:rFonts w:ascii="Palatino Linotype" w:eastAsia="Palatino Linotype" w:hAnsi="Palatino Linotype" w:cs="Palatino Linotype"/>
              <w:color w:val="000000"/>
              <w:szCs w:val="22"/>
            </w:rPr>
            <w:t>María del Rosario Mejía Ayala</w:t>
          </w:r>
        </w:p>
      </w:tc>
    </w:tr>
  </w:tbl>
  <w:p w:rsidR="00087FE8" w:rsidRDefault="00026AC4">
    <w:pPr>
      <w:pBdr>
        <w:top w:val="nil"/>
        <w:left w:val="nil"/>
        <w:bottom w:val="nil"/>
        <w:right w:val="nil"/>
        <w:between w:val="nil"/>
      </w:pBdr>
      <w:tabs>
        <w:tab w:val="center" w:pos="4419"/>
        <w:tab w:val="right" w:pos="8838"/>
        <w:tab w:val="left" w:pos="6005"/>
      </w:tabs>
      <w:rPr>
        <w:color w:val="000000"/>
        <w:sz w:val="14"/>
        <w:szCs w:val="14"/>
      </w:rPr>
    </w:pPr>
    <w:r w:rsidRPr="00026AC4">
      <w:rPr>
        <w:color w:val="000000"/>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45.85pt;margin-top:-121.45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4"/>
      <w:tblW w:w="6660" w:type="dxa"/>
      <w:tblInd w:w="3261" w:type="dxa"/>
      <w:tblLayout w:type="fixed"/>
      <w:tblLook w:val="0400" w:firstRow="0" w:lastRow="0" w:firstColumn="0" w:lastColumn="0" w:noHBand="0" w:noVBand="1"/>
    </w:tblPr>
    <w:tblGrid>
      <w:gridCol w:w="2977"/>
      <w:gridCol w:w="3683"/>
    </w:tblGrid>
    <w:tr w:rsidR="00087FE8" w:rsidTr="00026AC4">
      <w:trPr>
        <w:trHeight w:val="227"/>
      </w:trPr>
      <w:tc>
        <w:tcPr>
          <w:tcW w:w="2977" w:type="dxa"/>
          <w:vAlign w:val="center"/>
        </w:tcPr>
        <w:p w:rsidR="00087FE8" w:rsidRPr="00026AC4" w:rsidRDefault="00151F9A">
          <w:pPr>
            <w:jc w:val="right"/>
            <w:rPr>
              <w:rFonts w:ascii="Palatino Linotype" w:eastAsia="Palatino Linotype" w:hAnsi="Palatino Linotype" w:cs="Palatino Linotype"/>
              <w:b/>
              <w:bCs/>
              <w:szCs w:val="22"/>
            </w:rPr>
          </w:pPr>
          <w:r w:rsidRPr="00026AC4">
            <w:rPr>
              <w:rFonts w:ascii="Palatino Linotype" w:eastAsia="Palatino Linotype" w:hAnsi="Palatino Linotype" w:cs="Palatino Linotype"/>
              <w:b/>
              <w:bCs/>
              <w:szCs w:val="22"/>
            </w:rPr>
            <w:t>Recurso de Revisión:</w:t>
          </w:r>
        </w:p>
      </w:tc>
      <w:tc>
        <w:tcPr>
          <w:tcW w:w="3683" w:type="dxa"/>
          <w:vAlign w:val="center"/>
        </w:tcPr>
        <w:p w:rsidR="00087FE8" w:rsidRPr="00026AC4" w:rsidRDefault="00151F9A">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026AC4">
            <w:rPr>
              <w:rFonts w:ascii="Palatino Linotype" w:eastAsia="Palatino Linotype" w:hAnsi="Palatino Linotype" w:cs="Palatino Linotype"/>
              <w:color w:val="000000"/>
              <w:szCs w:val="22"/>
            </w:rPr>
            <w:t>11233/INFOEM/IP/RR/2025</w:t>
          </w:r>
        </w:p>
      </w:tc>
    </w:tr>
    <w:tr w:rsidR="00087FE8" w:rsidTr="00026AC4">
      <w:trPr>
        <w:trHeight w:val="242"/>
      </w:trPr>
      <w:tc>
        <w:tcPr>
          <w:tcW w:w="2977" w:type="dxa"/>
          <w:vAlign w:val="center"/>
        </w:tcPr>
        <w:p w:rsidR="00087FE8" w:rsidRPr="00026AC4" w:rsidRDefault="00151F9A">
          <w:pPr>
            <w:jc w:val="right"/>
            <w:rPr>
              <w:rFonts w:ascii="Palatino Linotype" w:eastAsia="Palatino Linotype" w:hAnsi="Palatino Linotype" w:cs="Palatino Linotype"/>
              <w:b/>
              <w:bCs/>
              <w:szCs w:val="22"/>
            </w:rPr>
          </w:pPr>
          <w:r w:rsidRPr="00026AC4">
            <w:rPr>
              <w:rFonts w:ascii="Palatino Linotype" w:eastAsia="Palatino Linotype" w:hAnsi="Palatino Linotype" w:cs="Palatino Linotype"/>
              <w:b/>
              <w:bCs/>
              <w:szCs w:val="22"/>
            </w:rPr>
            <w:t>Recurrente:</w:t>
          </w:r>
        </w:p>
      </w:tc>
      <w:tc>
        <w:tcPr>
          <w:tcW w:w="3683" w:type="dxa"/>
        </w:tcPr>
        <w:p w:rsidR="00087FE8" w:rsidRPr="00026AC4" w:rsidRDefault="00087FE8">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szCs w:val="22"/>
              <w:highlight w:val="green"/>
            </w:rPr>
          </w:pPr>
        </w:p>
      </w:tc>
    </w:tr>
    <w:tr w:rsidR="00087FE8" w:rsidTr="00026AC4">
      <w:trPr>
        <w:trHeight w:val="342"/>
      </w:trPr>
      <w:tc>
        <w:tcPr>
          <w:tcW w:w="2977" w:type="dxa"/>
          <w:vAlign w:val="center"/>
        </w:tcPr>
        <w:p w:rsidR="00087FE8" w:rsidRPr="00026AC4" w:rsidRDefault="00151F9A">
          <w:pPr>
            <w:jc w:val="right"/>
            <w:rPr>
              <w:rFonts w:ascii="Palatino Linotype" w:eastAsia="Palatino Linotype" w:hAnsi="Palatino Linotype" w:cs="Palatino Linotype"/>
              <w:b/>
              <w:bCs/>
              <w:szCs w:val="22"/>
            </w:rPr>
          </w:pPr>
          <w:r w:rsidRPr="00026AC4">
            <w:rPr>
              <w:rFonts w:ascii="Palatino Linotype" w:eastAsia="Palatino Linotype" w:hAnsi="Palatino Linotype" w:cs="Palatino Linotype"/>
              <w:b/>
              <w:bCs/>
              <w:szCs w:val="22"/>
            </w:rPr>
            <w:t>Sujeto Obligado:</w:t>
          </w:r>
        </w:p>
      </w:tc>
      <w:tc>
        <w:tcPr>
          <w:tcW w:w="3683" w:type="dxa"/>
          <w:vAlign w:val="center"/>
        </w:tcPr>
        <w:p w:rsidR="00087FE8" w:rsidRPr="00026AC4" w:rsidRDefault="00151F9A">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Cs w:val="22"/>
              <w:highlight w:val="green"/>
            </w:rPr>
          </w:pPr>
          <w:r w:rsidRPr="00026AC4">
            <w:rPr>
              <w:rFonts w:ascii="Palatino Linotype" w:eastAsia="Palatino Linotype" w:hAnsi="Palatino Linotype" w:cs="Palatino Linotype"/>
              <w:color w:val="000000"/>
              <w:szCs w:val="22"/>
            </w:rPr>
            <w:t>Ayuntamiento de Toluca</w:t>
          </w:r>
        </w:p>
      </w:tc>
    </w:tr>
    <w:tr w:rsidR="00087FE8" w:rsidTr="00026AC4">
      <w:trPr>
        <w:trHeight w:val="342"/>
      </w:trPr>
      <w:tc>
        <w:tcPr>
          <w:tcW w:w="2977" w:type="dxa"/>
          <w:vAlign w:val="center"/>
        </w:tcPr>
        <w:p w:rsidR="00087FE8" w:rsidRPr="00026AC4" w:rsidRDefault="00151F9A">
          <w:pPr>
            <w:jc w:val="right"/>
            <w:rPr>
              <w:rFonts w:ascii="Palatino Linotype" w:eastAsia="Palatino Linotype" w:hAnsi="Palatino Linotype" w:cs="Palatino Linotype"/>
              <w:b/>
              <w:bCs/>
              <w:szCs w:val="22"/>
            </w:rPr>
          </w:pPr>
          <w:r w:rsidRPr="00026AC4">
            <w:rPr>
              <w:rFonts w:ascii="Palatino Linotype" w:eastAsia="Palatino Linotype" w:hAnsi="Palatino Linotype" w:cs="Palatino Linotype"/>
              <w:b/>
              <w:bCs/>
              <w:szCs w:val="22"/>
            </w:rPr>
            <w:t>Comisionada Ponente:</w:t>
          </w:r>
        </w:p>
      </w:tc>
      <w:tc>
        <w:tcPr>
          <w:tcW w:w="3683" w:type="dxa"/>
          <w:vAlign w:val="center"/>
        </w:tcPr>
        <w:p w:rsidR="00087FE8" w:rsidRPr="00026AC4" w:rsidRDefault="00151F9A">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rPr>
          </w:pPr>
          <w:r w:rsidRPr="00026AC4">
            <w:rPr>
              <w:rFonts w:ascii="Palatino Linotype" w:eastAsia="Palatino Linotype" w:hAnsi="Palatino Linotype" w:cs="Palatino Linotype"/>
              <w:color w:val="000000"/>
              <w:szCs w:val="22"/>
            </w:rPr>
            <w:t>María del Rosario Mejía Ayala</w:t>
          </w:r>
        </w:p>
      </w:tc>
    </w:tr>
  </w:tbl>
  <w:p w:rsidR="00087FE8" w:rsidRDefault="00026AC4">
    <w:pPr>
      <w:pBdr>
        <w:top w:val="nil"/>
        <w:left w:val="nil"/>
        <w:bottom w:val="nil"/>
        <w:right w:val="nil"/>
        <w:between w:val="nil"/>
      </w:pBdr>
      <w:tabs>
        <w:tab w:val="center" w:pos="4419"/>
        <w:tab w:val="right" w:pos="8838"/>
      </w:tabs>
      <w:rPr>
        <w:color w:val="000000"/>
        <w:sz w:val="16"/>
        <w:szCs w:val="16"/>
      </w:rPr>
    </w:pPr>
    <w:r w:rsidRPr="00026AC4">
      <w:rPr>
        <w:color w:val="000000"/>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52.45pt;margin-top:-113.55pt;width:609.4pt;height:793.75pt;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CB5CC4"/>
    <w:multiLevelType w:val="multilevel"/>
    <w:tmpl w:val="3CAE6E0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2774370B"/>
    <w:multiLevelType w:val="multilevel"/>
    <w:tmpl w:val="A06CCFDA"/>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A8D6B81"/>
    <w:multiLevelType w:val="multilevel"/>
    <w:tmpl w:val="FBAC8BC4"/>
    <w:lvl w:ilvl="0">
      <w:start w:val="1"/>
      <w:numFmt w:val="lowerLetter"/>
      <w:lvlText w:val="%1)"/>
      <w:lvlJc w:val="left"/>
      <w:pPr>
        <w:ind w:left="778"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BC7755B"/>
    <w:multiLevelType w:val="multilevel"/>
    <w:tmpl w:val="C68EE38E"/>
    <w:lvl w:ilvl="0">
      <w:start w:val="24"/>
      <w:numFmt w:val="decimal"/>
      <w:lvlText w:val="%1."/>
      <w:lvlJc w:val="left"/>
      <w:pPr>
        <w:ind w:left="720" w:hanging="360"/>
      </w:pPr>
      <w:rPr>
        <w:rFonts w:ascii="Palatino Linotype" w:eastAsia="Palatino Linotype" w:hAnsi="Palatino Linotype" w:cs="Palatino Linotype"/>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2AD1FAD"/>
    <w:multiLevelType w:val="multilevel"/>
    <w:tmpl w:val="AA806A7A"/>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5" w15:restartNumberingAfterBreak="0">
    <w:nsid w:val="5F016DE8"/>
    <w:multiLevelType w:val="multilevel"/>
    <w:tmpl w:val="38347DE8"/>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3"/>
  </w:num>
  <w:num w:numId="3">
    <w:abstractNumId w:val="1"/>
  </w:num>
  <w:num w:numId="4">
    <w:abstractNumId w:val="4"/>
  </w:num>
  <w:num w:numId="5">
    <w:abstractNumId w:val="0"/>
  </w:num>
  <w:num w:numId="6">
    <w:abstractNumId w:val="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FE8"/>
    <w:rsid w:val="00026AC4"/>
    <w:rsid w:val="00087FE8"/>
    <w:rsid w:val="00151F9A"/>
    <w:rsid w:val="00404866"/>
    <w:rsid w:val="00760EDC"/>
    <w:rsid w:val="008E4DBA"/>
    <w:rsid w:val="009E46C9"/>
    <w:rsid w:val="00C065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691F70C6-52D1-4866-B905-CA2F1C6E4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nhideWhenUsed/>
    <w:rsid w:val="004C20DC"/>
    <w:pPr>
      <w:spacing w:before="120" w:after="120"/>
      <w:ind w:left="283"/>
      <w:jc w:val="center"/>
    </w:pPr>
    <w:rPr>
      <w:rFonts w:cs="Times New Roman"/>
      <w:sz w:val="22"/>
      <w:szCs w:val="22"/>
      <w:lang w:val="x-none" w:eastAsia="en-US"/>
    </w:rPr>
  </w:style>
  <w:style w:type="character" w:customStyle="1" w:styleId="SangradetextonormalCar">
    <w:name w:val="Sangría de texto normal Car"/>
    <w:basedOn w:val="Fuentedeprrafopredeter"/>
    <w:link w:val="Sangradetextonormal"/>
    <w:rsid w:val="004C20DC"/>
    <w:rPr>
      <w:rFonts w:ascii="Calibri" w:eastAsia="Calibri" w:hAnsi="Calibri" w:cs="Times New Roman"/>
      <w:lang w:val="x-none"/>
    </w:rPr>
  </w:style>
  <w:style w:type="table" w:customStyle="1" w:styleId="a">
    <w:basedOn w:val="TableNormal0"/>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paragraph" w:customStyle="1" w:styleId="Default">
    <w:name w:val="Default"/>
    <w:qFormat/>
    <w:rsid w:val="00D1478B"/>
    <w:pPr>
      <w:autoSpaceDE w:val="0"/>
      <w:autoSpaceDN w:val="0"/>
      <w:adjustRightInd w:val="0"/>
    </w:pPr>
    <w:rPr>
      <w:rFonts w:ascii="Arial" w:eastAsiaTheme="minorHAnsi" w:hAnsi="Arial" w:cs="Arial"/>
      <w:color w:val="000000"/>
      <w:lang w:val="es-MX" w:eastAsia="en-US"/>
    </w:rPr>
  </w:style>
  <w:style w:type="paragraph" w:styleId="Sinespaciado">
    <w:name w:val="No Spacing"/>
    <w:aliases w:val="Francesa,INAI"/>
    <w:link w:val="SinespaciadoCar"/>
    <w:uiPriority w:val="1"/>
    <w:qFormat/>
    <w:rsid w:val="00293D4F"/>
    <w:rPr>
      <w:rFonts w:asciiTheme="minorHAnsi" w:eastAsiaTheme="minorHAnsi" w:hAnsiTheme="minorHAnsi" w:cstheme="minorBidi"/>
      <w:sz w:val="22"/>
      <w:szCs w:val="22"/>
      <w:lang w:val="es-MX" w:eastAsia="en-US"/>
    </w:rPr>
  </w:style>
  <w:style w:type="character" w:customStyle="1" w:styleId="SinespaciadoCar">
    <w:name w:val="Sin espaciado Car"/>
    <w:aliases w:val="Francesa Car,INAI Car"/>
    <w:link w:val="Sinespaciado"/>
    <w:uiPriority w:val="1"/>
    <w:qFormat/>
    <w:locked/>
    <w:rsid w:val="00293D4F"/>
    <w:rPr>
      <w:rFonts w:asciiTheme="minorHAnsi" w:eastAsiaTheme="minorHAnsi" w:hAnsiTheme="minorHAnsi" w:cstheme="minorBidi"/>
      <w:sz w:val="22"/>
      <w:szCs w:val="22"/>
      <w:lang w:val="es-MX" w:eastAsia="en-US"/>
    </w:rPr>
  </w:style>
  <w:style w:type="paragraph" w:styleId="NormalWeb">
    <w:name w:val="Normal (Web)"/>
    <w:basedOn w:val="Normal"/>
    <w:uiPriority w:val="99"/>
    <w:unhideWhenUsed/>
    <w:rsid w:val="00012B2E"/>
    <w:pPr>
      <w:spacing w:before="100" w:beforeAutospacing="1" w:after="100" w:afterAutospacing="1"/>
    </w:pPr>
    <w:rPr>
      <w:rFonts w:ascii="Times New Roman" w:eastAsia="Times New Roman" w:hAnsi="Times New Roman" w:cs="Times New Roman"/>
      <w:lang w:val="es-MX"/>
    </w:rPr>
  </w:style>
  <w:style w:type="paragraph" w:customStyle="1" w:styleId="m5907675151158779931gmail-msolistparagraph">
    <w:name w:val="m_5907675151158779931gmail-msolistparagraph"/>
    <w:basedOn w:val="Normal"/>
    <w:rsid w:val="00BF46D9"/>
    <w:pPr>
      <w:spacing w:before="100" w:beforeAutospacing="1" w:after="100" w:afterAutospacing="1"/>
    </w:pPr>
    <w:rPr>
      <w:rFonts w:ascii="Times New Roman" w:eastAsia="Times New Roman" w:hAnsi="Times New Roman" w:cs="Times New Roman"/>
      <w:lang w:val="es-MX"/>
    </w:rPr>
  </w:style>
  <w:style w:type="paragraph" w:styleId="Listaconvietas2">
    <w:name w:val="List Bullet 2"/>
    <w:basedOn w:val="Normal"/>
    <w:uiPriority w:val="99"/>
    <w:unhideWhenUsed/>
    <w:rsid w:val="00C45B65"/>
    <w:pPr>
      <w:numPr>
        <w:numId w:val="6"/>
      </w:numPr>
      <w:contextualSpacing/>
    </w:pPr>
    <w:rPr>
      <w:rFonts w:ascii="Times New Roman" w:eastAsia="Times New Roman" w:hAnsi="Times New Roman" w:cs="Times New Roman"/>
      <w:sz w:val="20"/>
      <w:szCs w:val="20"/>
      <w:lang w:val="es-MX"/>
    </w:rPr>
  </w:style>
  <w:style w:type="numbering" w:customStyle="1" w:styleId="Estiloimportado22">
    <w:name w:val="Estilo importado 22"/>
    <w:rsid w:val="003C3C97"/>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D5iK5rkNdVuT0yuVMpZwIeLAEw==">CgMxLjAyCGguZ2pkZ3hzMgloLjMwajB6bGwyCWguMWZvYjl0ZTIJaC4zem55c2g3MgloLjJldDkycDAyCGgudHlqY3d0MgloLjNkeTZ2a20yDmguZzJyMHd4ODF2Zm41MghoLmxueGJ6OTgAciExOUNVY21oXzNNVk03RnBfYVVtY1NqbnVTY3kxaDZsSnI=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40</Pages>
  <Words>9454</Words>
  <Characters>52001</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61333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5</cp:revision>
  <cp:lastPrinted>2026-03-12T23:19:00Z</cp:lastPrinted>
  <dcterms:created xsi:type="dcterms:W3CDTF">2026-02-27T20:18:00Z</dcterms:created>
  <dcterms:modified xsi:type="dcterms:W3CDTF">2026-03-20T00:05:00Z</dcterms:modified>
</cp:coreProperties>
</file>