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5FE6" w:rsidRPr="001C5725" w:rsidRDefault="00201FB8">
      <w:pPr>
        <w:spacing w:line="360" w:lineRule="auto"/>
        <w:ind w:right="-876"/>
        <w:jc w:val="both"/>
        <w:rPr>
          <w:rFonts w:ascii="Palatino Linotype" w:eastAsia="Palatino Linotype" w:hAnsi="Palatino Linotype" w:cs="Palatino Linotype"/>
          <w:b/>
          <w:bCs/>
        </w:rPr>
      </w:pPr>
      <w:bookmarkStart w:id="0" w:name="_GoBack"/>
      <w:bookmarkEnd w:id="0"/>
      <w:r w:rsidRPr="001C5725">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1C5725">
        <w:rPr>
          <w:rFonts w:ascii="Palatino Linotype" w:eastAsia="Palatino Linotype" w:hAnsi="Palatino Linotype" w:cs="Palatino Linotype"/>
          <w:b/>
          <w:bCs/>
        </w:rPr>
        <w:t>de fecha veinte (20) de mayo de dos mil veintiséis.</w:t>
      </w:r>
    </w:p>
    <w:p w:rsidR="006C5FE6" w:rsidRPr="001C5725" w:rsidRDefault="006C5FE6">
      <w:pPr>
        <w:spacing w:line="360" w:lineRule="auto"/>
        <w:ind w:right="-876"/>
        <w:jc w:val="both"/>
        <w:rPr>
          <w:rFonts w:ascii="Palatino Linotype" w:eastAsia="Palatino Linotype" w:hAnsi="Palatino Linotype" w:cs="Palatino Linotype"/>
        </w:rPr>
      </w:pPr>
    </w:p>
    <w:p w:rsidR="006C5FE6" w:rsidRPr="001C5725" w:rsidRDefault="00201FB8">
      <w:pPr>
        <w:spacing w:line="360" w:lineRule="auto"/>
        <w:ind w:right="-876"/>
        <w:jc w:val="both"/>
        <w:rPr>
          <w:rFonts w:ascii="Palatino Linotype" w:eastAsia="Palatino Linotype" w:hAnsi="Palatino Linotype" w:cs="Palatino Linotype"/>
        </w:rPr>
      </w:pPr>
      <w:r w:rsidRPr="001C5725">
        <w:rPr>
          <w:rFonts w:ascii="Palatino Linotype" w:eastAsia="Palatino Linotype" w:hAnsi="Palatino Linotype" w:cs="Palatino Linotype"/>
          <w:b/>
          <w:bCs/>
        </w:rPr>
        <w:t>VISTO</w:t>
      </w:r>
      <w:r w:rsidRPr="001C5725">
        <w:rPr>
          <w:rFonts w:ascii="Palatino Linotype" w:eastAsia="Palatino Linotype" w:hAnsi="Palatino Linotype" w:cs="Palatino Linotype"/>
        </w:rPr>
        <w:t xml:space="preserve"> el expediente electrónico formado con motivo del recurso de revisión </w:t>
      </w:r>
      <w:r w:rsidRPr="001C5725">
        <w:rPr>
          <w:rFonts w:ascii="Palatino Linotype" w:eastAsia="Palatino Linotype" w:hAnsi="Palatino Linotype" w:cs="Palatino Linotype"/>
          <w:b/>
          <w:bCs/>
        </w:rPr>
        <w:t xml:space="preserve">10478/INFOEM/IP/RR/2025, </w:t>
      </w:r>
      <w:r w:rsidRPr="001C5725">
        <w:rPr>
          <w:rFonts w:ascii="Palatino Linotype" w:eastAsia="Palatino Linotype" w:hAnsi="Palatino Linotype" w:cs="Palatino Linotype"/>
        </w:rPr>
        <w:t xml:space="preserve">promovido por </w:t>
      </w:r>
      <w:r w:rsidRPr="001C5725">
        <w:rPr>
          <w:rFonts w:ascii="Palatino Linotype" w:eastAsia="Palatino Linotype" w:hAnsi="Palatino Linotype" w:cs="Palatino Linotype"/>
          <w:b/>
        </w:rPr>
        <w:t>un usuario que no proporcionó nombre</w:t>
      </w:r>
      <w:r w:rsidRPr="001C5725">
        <w:rPr>
          <w:rFonts w:ascii="Palatino Linotype" w:eastAsia="Palatino Linotype" w:hAnsi="Palatino Linotype" w:cs="Palatino Linotype"/>
          <w:b/>
          <w:bCs/>
        </w:rPr>
        <w:t>,</w:t>
      </w:r>
      <w:r w:rsidRPr="001C5725">
        <w:rPr>
          <w:rFonts w:ascii="Palatino Linotype" w:eastAsia="Palatino Linotype" w:hAnsi="Palatino Linotype" w:cs="Palatino Linotype"/>
        </w:rPr>
        <w:t xml:space="preserve"> a quien en lo sucesivo se identificará como </w:t>
      </w:r>
      <w:r w:rsidRPr="001C5725">
        <w:rPr>
          <w:rFonts w:ascii="Palatino Linotype" w:eastAsia="Palatino Linotype" w:hAnsi="Palatino Linotype" w:cs="Palatino Linotype"/>
          <w:b/>
          <w:bCs/>
        </w:rPr>
        <w:t>EL RECURRENTE</w:t>
      </w:r>
      <w:r w:rsidRPr="001C5725">
        <w:rPr>
          <w:rFonts w:ascii="Palatino Linotype" w:eastAsia="Palatino Linotype" w:hAnsi="Palatino Linotype" w:cs="Palatino Linotype"/>
        </w:rPr>
        <w:t xml:space="preserve">, en contra de la respuesta del </w:t>
      </w:r>
      <w:r w:rsidRPr="001C5725">
        <w:rPr>
          <w:rFonts w:ascii="Palatino Linotype" w:eastAsia="Palatino Linotype" w:hAnsi="Palatino Linotype" w:cs="Palatino Linotype"/>
          <w:b/>
          <w:bCs/>
        </w:rPr>
        <w:t xml:space="preserve">Organismo Público Descentralizado para la Prestación de Los Servicios de Agua Potable Alcantarillado y Saneamiento de Tenango del Valle Estado de México, </w:t>
      </w:r>
      <w:r w:rsidRPr="001C5725">
        <w:rPr>
          <w:rFonts w:ascii="Palatino Linotype" w:eastAsia="Palatino Linotype" w:hAnsi="Palatino Linotype" w:cs="Palatino Linotype"/>
        </w:rPr>
        <w:t>en adelante el</w:t>
      </w:r>
      <w:r w:rsidRPr="001C5725">
        <w:rPr>
          <w:rFonts w:ascii="Palatino Linotype" w:eastAsia="Palatino Linotype" w:hAnsi="Palatino Linotype" w:cs="Palatino Linotype"/>
          <w:b/>
          <w:bCs/>
        </w:rPr>
        <w:t xml:space="preserve"> SUJETO OBLIGADO</w:t>
      </w:r>
      <w:r w:rsidRPr="001C5725">
        <w:rPr>
          <w:rFonts w:ascii="Palatino Linotype" w:eastAsia="Palatino Linotype" w:hAnsi="Palatino Linotype" w:cs="Palatino Linotype"/>
        </w:rPr>
        <w:t xml:space="preserve">, por lo que se procede a dictar la presente resolución, con base en los siguientes: </w:t>
      </w:r>
    </w:p>
    <w:p w:rsidR="006C5FE6" w:rsidRPr="001C5725" w:rsidRDefault="006C5FE6">
      <w:pPr>
        <w:spacing w:line="360" w:lineRule="auto"/>
        <w:ind w:right="-876"/>
        <w:jc w:val="both"/>
        <w:rPr>
          <w:rFonts w:ascii="Palatino Linotype" w:eastAsia="Palatino Linotype" w:hAnsi="Palatino Linotype" w:cs="Palatino Linotype"/>
          <w:b/>
          <w:bCs/>
        </w:rPr>
      </w:pPr>
    </w:p>
    <w:p w:rsidR="006C5FE6" w:rsidRPr="001C5725" w:rsidRDefault="00201FB8">
      <w:pPr>
        <w:keepNext/>
        <w:keepLines/>
        <w:spacing w:line="360" w:lineRule="auto"/>
        <w:ind w:right="-876"/>
        <w:jc w:val="center"/>
        <w:rPr>
          <w:rFonts w:ascii="Palatino Linotype" w:eastAsia="Palatino Linotype" w:hAnsi="Palatino Linotype" w:cs="Palatino Linotype"/>
          <w:b/>
          <w:bCs/>
        </w:rPr>
      </w:pPr>
      <w:bookmarkStart w:id="1" w:name="_heading=h.gjdgxs" w:colFirst="0" w:colLast="0"/>
      <w:bookmarkEnd w:id="1"/>
      <w:r w:rsidRPr="001C5725">
        <w:rPr>
          <w:rFonts w:ascii="Palatino Linotype" w:eastAsia="Palatino Linotype" w:hAnsi="Palatino Linotype" w:cs="Palatino Linotype"/>
          <w:b/>
          <w:bCs/>
        </w:rPr>
        <w:t>A N T E C E D E N T E S</w:t>
      </w:r>
    </w:p>
    <w:p w:rsidR="006C5FE6" w:rsidRPr="001C5725" w:rsidRDefault="006C5FE6">
      <w:pPr>
        <w:spacing w:line="360" w:lineRule="auto"/>
        <w:ind w:right="-876"/>
        <w:rPr>
          <w:rFonts w:ascii="Palatino Linotype" w:eastAsia="Palatino Linotype" w:hAnsi="Palatino Linotype" w:cs="Palatino Linotype"/>
        </w:rPr>
      </w:pPr>
    </w:p>
    <w:p w:rsidR="006C5FE6" w:rsidRPr="001C5725" w:rsidRDefault="00201FB8">
      <w:pPr>
        <w:numPr>
          <w:ilvl w:val="0"/>
          <w:numId w:val="5"/>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color w:val="000000"/>
        </w:rPr>
        <w:t xml:space="preserve">El </w:t>
      </w:r>
      <w:r w:rsidRPr="001C5725">
        <w:rPr>
          <w:rFonts w:ascii="Palatino Linotype" w:eastAsia="Palatino Linotype" w:hAnsi="Palatino Linotype" w:cs="Palatino Linotype"/>
          <w:b/>
          <w:bCs/>
          <w:color w:val="000000"/>
        </w:rPr>
        <w:t>quince de agosto de dos mil veinticinco</w:t>
      </w:r>
      <w:r w:rsidRPr="001C5725">
        <w:rPr>
          <w:rFonts w:ascii="Palatino Linotype" w:eastAsia="Palatino Linotype" w:hAnsi="Palatino Linotype" w:cs="Palatino Linotype"/>
          <w:color w:val="000000"/>
        </w:rPr>
        <w:t xml:space="preserve">, </w:t>
      </w:r>
      <w:r w:rsidRPr="001C5725">
        <w:rPr>
          <w:rFonts w:ascii="Palatino Linotype" w:eastAsia="Palatino Linotype" w:hAnsi="Palatino Linotype" w:cs="Palatino Linotype"/>
          <w:b/>
          <w:bCs/>
          <w:color w:val="000000"/>
        </w:rPr>
        <w:t>EL RECURRENTE,</w:t>
      </w:r>
      <w:r w:rsidRPr="001C5725">
        <w:rPr>
          <w:rFonts w:ascii="Palatino Linotype" w:eastAsia="Palatino Linotype" w:hAnsi="Palatino Linotype" w:cs="Palatino Linotype"/>
          <w:color w:val="000000"/>
        </w:rPr>
        <w:t xml:space="preserve"> ante el </w:t>
      </w:r>
      <w:r w:rsidRPr="001C5725">
        <w:rPr>
          <w:rFonts w:ascii="Palatino Linotype" w:eastAsia="Palatino Linotype" w:hAnsi="Palatino Linotype" w:cs="Palatino Linotype"/>
          <w:b/>
          <w:bCs/>
          <w:color w:val="000000"/>
        </w:rPr>
        <w:t>SUJETO OBLIGADO</w:t>
      </w:r>
      <w:r w:rsidRPr="001C5725">
        <w:rPr>
          <w:rFonts w:ascii="Palatino Linotype" w:eastAsia="Palatino Linotype" w:hAnsi="Palatino Linotype" w:cs="Palatino Linotype"/>
          <w:color w:val="000000"/>
        </w:rPr>
        <w:t xml:space="preserve"> a través del Sistema de Acceso a la Información Mexiquense (SAIMEX), presentó una solicitud de información registrada con el número </w:t>
      </w:r>
      <w:r w:rsidRPr="001C5725">
        <w:rPr>
          <w:rFonts w:ascii="Palatino Linotype" w:eastAsia="Palatino Linotype" w:hAnsi="Palatino Linotype" w:cs="Palatino Linotype"/>
          <w:b/>
          <w:bCs/>
          <w:color w:val="000000"/>
        </w:rPr>
        <w:t xml:space="preserve">00012/OASTENANGO/IP/2025, </w:t>
      </w:r>
      <w:r w:rsidRPr="001C5725">
        <w:rPr>
          <w:rFonts w:ascii="Palatino Linotype" w:eastAsia="Palatino Linotype" w:hAnsi="Palatino Linotype" w:cs="Palatino Linotype"/>
        </w:rPr>
        <w:t>en la que se</w:t>
      </w:r>
      <w:r w:rsidRPr="001C5725">
        <w:rPr>
          <w:rFonts w:ascii="Palatino Linotype" w:eastAsia="Palatino Linotype" w:hAnsi="Palatino Linotype" w:cs="Palatino Linotype"/>
          <w:color w:val="000000"/>
        </w:rPr>
        <w:t xml:space="preserve"> solicitó lo siguiente:</w:t>
      </w:r>
    </w:p>
    <w:p w:rsidR="006C5FE6" w:rsidRPr="001C5725" w:rsidRDefault="006C5FE6">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6C5FE6" w:rsidRPr="001C5725" w:rsidRDefault="00201FB8">
      <w:pPr>
        <w:pBdr>
          <w:top w:val="nil"/>
          <w:left w:val="nil"/>
          <w:bottom w:val="nil"/>
          <w:right w:val="nil"/>
          <w:between w:val="nil"/>
        </w:pBdr>
        <w:spacing w:line="360" w:lineRule="auto"/>
        <w:ind w:left="720" w:right="-876"/>
        <w:jc w:val="both"/>
        <w:rPr>
          <w:rFonts w:ascii="Palatino Linotype" w:eastAsia="Palatino Linotype" w:hAnsi="Palatino Linotype" w:cs="Palatino Linotype"/>
          <w:i/>
          <w:iCs/>
          <w:color w:val="000000"/>
        </w:rPr>
      </w:pPr>
      <w:r w:rsidRPr="001C5725">
        <w:rPr>
          <w:rFonts w:ascii="Palatino Linotype" w:eastAsia="Palatino Linotype" w:hAnsi="Palatino Linotype" w:cs="Palatino Linotype"/>
          <w:i/>
          <w:iCs/>
          <w:color w:val="000000"/>
        </w:rPr>
        <w:t xml:space="preserve">“REQUIERO ME PROPORCIONE LAS BITACORAS DE SUMINISTRO DE DISEL Y GASOLINA A LOS VEHICULOS OFICIALES O VEHICULO(S) PARTICUARES EN COMODATO(S) CORRESPONDIENTE(S) DE LAS DIFERENTES AREAS O UNIDADES ADMINISTRATIVAS, DE LOS SERVIDORES PÚBLICOS Y DE LA </w:t>
      </w:r>
      <w:r w:rsidRPr="001C5725">
        <w:rPr>
          <w:rFonts w:ascii="Palatino Linotype" w:eastAsia="Palatino Linotype" w:hAnsi="Palatino Linotype" w:cs="Palatino Linotype"/>
          <w:i/>
          <w:iCs/>
          <w:color w:val="000000"/>
        </w:rPr>
        <w:lastRenderedPageBreak/>
        <w:t xml:space="preserve">DIRECCIÓN DEL OPDAPAS DE TENANGO DEL VALLE, ASI COMO SUS COMPROBANTES QUE JUSTIFIQUEN EL SUMINISTRO (OFICIOS DE COMISION) QUE COMPRUEBEN EL SUMINISTRO DE COMBUSTIBLE Y GASTO CON CARGO AL ERARIO PUBLICO, TODA LA INFORMACIÓN DEL MES DE JUNIO, JULIO Y AGOSTO DE 2025” (Sic) </w:t>
      </w:r>
    </w:p>
    <w:p w:rsidR="006C5FE6" w:rsidRPr="001C5725" w:rsidRDefault="006C5FE6">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6C5FE6" w:rsidRPr="001C5725" w:rsidRDefault="00201FB8">
      <w:pPr>
        <w:numPr>
          <w:ilvl w:val="0"/>
          <w:numId w:val="5"/>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color w:val="000000"/>
        </w:rPr>
        <w:t>Se señaló como modalidad de entrega a través de SAIMEX.</w:t>
      </w:r>
    </w:p>
    <w:p w:rsidR="006C5FE6" w:rsidRPr="001C5725" w:rsidRDefault="006C5FE6">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6C5FE6" w:rsidRPr="001C5725" w:rsidRDefault="00201FB8">
      <w:pPr>
        <w:numPr>
          <w:ilvl w:val="0"/>
          <w:numId w:val="5"/>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color w:val="000000"/>
        </w:rPr>
        <w:t xml:space="preserve">El </w:t>
      </w:r>
      <w:r w:rsidRPr="001C5725">
        <w:rPr>
          <w:rFonts w:ascii="Palatino Linotype" w:eastAsia="Palatino Linotype" w:hAnsi="Palatino Linotype" w:cs="Palatino Linotype"/>
          <w:b/>
          <w:bCs/>
          <w:color w:val="000000"/>
        </w:rPr>
        <w:t>dieciocho de agosto de dos mil veinticinco</w:t>
      </w:r>
      <w:r w:rsidRPr="001C5725">
        <w:rPr>
          <w:rFonts w:ascii="Palatino Linotype" w:eastAsia="Palatino Linotype" w:hAnsi="Palatino Linotype" w:cs="Palatino Linotype"/>
          <w:color w:val="000000"/>
        </w:rPr>
        <w:t xml:space="preserve">, se realizó un requerimiento al servidor público habilitado. </w:t>
      </w:r>
    </w:p>
    <w:p w:rsidR="006C5FE6" w:rsidRPr="001C5725" w:rsidRDefault="006C5FE6">
      <w:pPr>
        <w:pBdr>
          <w:top w:val="nil"/>
          <w:left w:val="nil"/>
          <w:bottom w:val="nil"/>
          <w:right w:val="nil"/>
          <w:between w:val="nil"/>
        </w:pBdr>
        <w:ind w:left="720" w:right="-876"/>
        <w:rPr>
          <w:rFonts w:ascii="Palatino Linotype" w:eastAsia="Palatino Linotype" w:hAnsi="Palatino Linotype" w:cs="Palatino Linotype"/>
          <w:color w:val="000000"/>
        </w:rPr>
      </w:pPr>
    </w:p>
    <w:p w:rsidR="006C5FE6" w:rsidRPr="001C5725" w:rsidRDefault="00201FB8">
      <w:pPr>
        <w:numPr>
          <w:ilvl w:val="0"/>
          <w:numId w:val="5"/>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color w:val="000000"/>
        </w:rPr>
        <w:t xml:space="preserve">El </w:t>
      </w:r>
      <w:r w:rsidRPr="001C5725">
        <w:rPr>
          <w:rFonts w:ascii="Palatino Linotype" w:eastAsia="Palatino Linotype" w:hAnsi="Palatino Linotype" w:cs="Palatino Linotype"/>
          <w:b/>
          <w:bCs/>
          <w:color w:val="000000"/>
        </w:rPr>
        <w:t>cuatro de septiembre de dos mil veinticinco</w:t>
      </w:r>
      <w:r w:rsidRPr="001C5725">
        <w:rPr>
          <w:rFonts w:ascii="Palatino Linotype" w:eastAsia="Palatino Linotype" w:hAnsi="Palatino Linotype" w:cs="Palatino Linotype"/>
          <w:color w:val="000000"/>
        </w:rPr>
        <w:t>, el Sujeto Obligado dio respuesta a la solicitud de información en los siguientes términos:</w:t>
      </w:r>
    </w:p>
    <w:tbl>
      <w:tblPr>
        <w:tblStyle w:val="a"/>
        <w:tblW w:w="8220" w:type="dxa"/>
        <w:jc w:val="center"/>
        <w:tblInd w:w="0" w:type="dxa"/>
        <w:tblLayout w:type="fixed"/>
        <w:tblLook w:val="0400" w:firstRow="0" w:lastRow="0" w:firstColumn="0" w:lastColumn="0" w:noHBand="0" w:noVBand="1"/>
      </w:tblPr>
      <w:tblGrid>
        <w:gridCol w:w="8220"/>
      </w:tblGrid>
      <w:tr w:rsidR="006C5FE6" w:rsidRPr="001C5725">
        <w:trPr>
          <w:trHeight w:val="331"/>
          <w:jc w:val="center"/>
        </w:trPr>
        <w:tc>
          <w:tcPr>
            <w:tcW w:w="8220" w:type="dxa"/>
            <w:vAlign w:val="center"/>
          </w:tcPr>
          <w:p w:rsidR="006C5FE6" w:rsidRPr="001C5725" w:rsidRDefault="006C5FE6">
            <w:pPr>
              <w:ind w:right="-876"/>
              <w:rPr>
                <w:rFonts w:ascii="Palatino Linotype" w:eastAsia="Palatino Linotype" w:hAnsi="Palatino Linotype" w:cs="Palatino Linotype"/>
                <w:i/>
                <w:iCs/>
              </w:rPr>
            </w:pPr>
          </w:p>
        </w:tc>
      </w:tr>
      <w:tr w:rsidR="006C5FE6" w:rsidRPr="001C5725">
        <w:trPr>
          <w:trHeight w:val="663"/>
          <w:jc w:val="center"/>
        </w:trPr>
        <w:tc>
          <w:tcPr>
            <w:tcW w:w="8220" w:type="dxa"/>
            <w:vAlign w:val="center"/>
          </w:tcPr>
          <w:p w:rsidR="006C5FE6" w:rsidRPr="001C5725" w:rsidRDefault="00201FB8">
            <w:pPr>
              <w:ind w:right="141"/>
              <w:jc w:val="right"/>
              <w:rPr>
                <w:rFonts w:ascii="Palatino Linotype" w:eastAsia="Palatino Linotype" w:hAnsi="Palatino Linotype" w:cs="Palatino Linotype"/>
                <w:i/>
                <w:iCs/>
              </w:rPr>
            </w:pPr>
            <w:r w:rsidRPr="001C5725">
              <w:rPr>
                <w:rFonts w:ascii="Palatino Linotype" w:eastAsia="Palatino Linotype" w:hAnsi="Palatino Linotype" w:cs="Palatino Linotype"/>
                <w:i/>
                <w:iCs/>
              </w:rPr>
              <w:t>“o Descentralizado para la Prestación de Los Servicios de Agua Potable Alcantarillado y Saneamiento de Tenango del Valle Estado de México, México a 04 de Septiembre de 2025</w:t>
            </w:r>
          </w:p>
        </w:tc>
      </w:tr>
      <w:tr w:rsidR="006C5FE6" w:rsidRPr="001C5725">
        <w:trPr>
          <w:trHeight w:val="663"/>
          <w:jc w:val="center"/>
        </w:trPr>
        <w:tc>
          <w:tcPr>
            <w:tcW w:w="8220" w:type="dxa"/>
            <w:vAlign w:val="center"/>
          </w:tcPr>
          <w:p w:rsidR="006C5FE6" w:rsidRPr="001C5725" w:rsidRDefault="00201FB8">
            <w:pPr>
              <w:ind w:right="141"/>
              <w:jc w:val="right"/>
              <w:rPr>
                <w:rFonts w:ascii="Palatino Linotype" w:eastAsia="Palatino Linotype" w:hAnsi="Palatino Linotype" w:cs="Palatino Linotype"/>
                <w:i/>
                <w:iCs/>
              </w:rPr>
            </w:pPr>
            <w:r w:rsidRPr="001C5725">
              <w:rPr>
                <w:rFonts w:ascii="Palatino Linotype" w:eastAsia="Palatino Linotype" w:hAnsi="Palatino Linotype" w:cs="Palatino Linotype"/>
                <w:i/>
                <w:iCs/>
              </w:rPr>
              <w:t>Nombre del solicitante: C. Solicitante</w:t>
            </w:r>
          </w:p>
        </w:tc>
      </w:tr>
      <w:tr w:rsidR="006C5FE6" w:rsidRPr="001C5725">
        <w:trPr>
          <w:trHeight w:val="663"/>
          <w:jc w:val="center"/>
        </w:trPr>
        <w:tc>
          <w:tcPr>
            <w:tcW w:w="8220" w:type="dxa"/>
            <w:vAlign w:val="center"/>
          </w:tcPr>
          <w:p w:rsidR="006C5FE6" w:rsidRPr="001C5725" w:rsidRDefault="00201FB8">
            <w:pPr>
              <w:ind w:right="141"/>
              <w:jc w:val="right"/>
              <w:rPr>
                <w:rFonts w:ascii="Palatino Linotype" w:eastAsia="Palatino Linotype" w:hAnsi="Palatino Linotype" w:cs="Palatino Linotype"/>
                <w:i/>
                <w:iCs/>
              </w:rPr>
            </w:pPr>
            <w:r w:rsidRPr="001C5725">
              <w:rPr>
                <w:rFonts w:ascii="Palatino Linotype" w:eastAsia="Palatino Linotype" w:hAnsi="Palatino Linotype" w:cs="Palatino Linotype"/>
                <w:i/>
                <w:iCs/>
              </w:rPr>
              <w:t>Folio de la solicitud: 00012/OASTENANGO/IP/2025</w:t>
            </w:r>
          </w:p>
        </w:tc>
      </w:tr>
      <w:tr w:rsidR="006C5FE6" w:rsidRPr="001C5725">
        <w:trPr>
          <w:trHeight w:val="331"/>
          <w:jc w:val="center"/>
        </w:trPr>
        <w:tc>
          <w:tcPr>
            <w:tcW w:w="8220" w:type="dxa"/>
            <w:vAlign w:val="center"/>
          </w:tcPr>
          <w:p w:rsidR="006C5FE6" w:rsidRPr="001C5725" w:rsidRDefault="00201FB8">
            <w:pPr>
              <w:ind w:right="141"/>
              <w:rPr>
                <w:rFonts w:ascii="Palatino Linotype" w:eastAsia="Palatino Linotype" w:hAnsi="Palatino Linotype" w:cs="Palatino Linotype"/>
                <w:i/>
                <w:iCs/>
              </w:rPr>
            </w:pPr>
            <w:r w:rsidRPr="001C5725">
              <w:rPr>
                <w:rFonts w:ascii="Palatino Linotype" w:eastAsia="Palatino Linotype" w:hAnsi="Palatino Linotype" w:cs="Palatino Linotype"/>
                <w:i/>
                <w:iCs/>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6C5FE6" w:rsidRPr="001C5725">
        <w:trPr>
          <w:trHeight w:val="331"/>
          <w:jc w:val="center"/>
        </w:trPr>
        <w:tc>
          <w:tcPr>
            <w:tcW w:w="8220" w:type="dxa"/>
            <w:vAlign w:val="center"/>
          </w:tcPr>
          <w:p w:rsidR="006C5FE6" w:rsidRPr="001C5725" w:rsidRDefault="006C5FE6">
            <w:pPr>
              <w:ind w:right="141"/>
              <w:rPr>
                <w:rFonts w:ascii="Palatino Linotype" w:eastAsia="Palatino Linotype" w:hAnsi="Palatino Linotype" w:cs="Palatino Linotype"/>
                <w:i/>
                <w:iCs/>
              </w:rPr>
            </w:pPr>
          </w:p>
          <w:p w:rsidR="006C5FE6" w:rsidRPr="001C5725" w:rsidRDefault="00201FB8">
            <w:pPr>
              <w:ind w:right="141"/>
              <w:rPr>
                <w:rFonts w:ascii="Palatino Linotype" w:eastAsia="Palatino Linotype" w:hAnsi="Palatino Linotype" w:cs="Palatino Linotype"/>
                <w:i/>
                <w:iCs/>
              </w:rPr>
            </w:pPr>
            <w:r w:rsidRPr="001C5725">
              <w:rPr>
                <w:rFonts w:ascii="Palatino Linotype" w:eastAsia="Palatino Linotype" w:hAnsi="Palatino Linotype" w:cs="Palatino Linotype"/>
                <w:i/>
                <w:iCs/>
              </w:rPr>
              <w:t>Se remite respuesta a solicitud de información.</w:t>
            </w:r>
          </w:p>
        </w:tc>
      </w:tr>
      <w:tr w:rsidR="006C5FE6" w:rsidRPr="001C5725">
        <w:trPr>
          <w:trHeight w:val="331"/>
          <w:jc w:val="center"/>
        </w:trPr>
        <w:tc>
          <w:tcPr>
            <w:tcW w:w="8220" w:type="dxa"/>
            <w:vAlign w:val="center"/>
          </w:tcPr>
          <w:p w:rsidR="006C5FE6" w:rsidRPr="001C5725" w:rsidRDefault="006C5FE6">
            <w:pPr>
              <w:ind w:right="141"/>
              <w:rPr>
                <w:rFonts w:ascii="Palatino Linotype" w:eastAsia="Palatino Linotype" w:hAnsi="Palatino Linotype" w:cs="Palatino Linotype"/>
                <w:i/>
                <w:iCs/>
              </w:rPr>
            </w:pPr>
          </w:p>
        </w:tc>
      </w:tr>
      <w:tr w:rsidR="006C5FE6" w:rsidRPr="001C5725">
        <w:trPr>
          <w:trHeight w:val="331"/>
          <w:jc w:val="center"/>
        </w:trPr>
        <w:tc>
          <w:tcPr>
            <w:tcW w:w="8220" w:type="dxa"/>
            <w:vAlign w:val="center"/>
          </w:tcPr>
          <w:p w:rsidR="006C5FE6" w:rsidRPr="001C5725" w:rsidRDefault="00201FB8">
            <w:pPr>
              <w:ind w:right="141"/>
              <w:rPr>
                <w:rFonts w:ascii="Palatino Linotype" w:eastAsia="Palatino Linotype" w:hAnsi="Palatino Linotype" w:cs="Palatino Linotype"/>
                <w:i/>
                <w:iCs/>
              </w:rPr>
            </w:pPr>
            <w:r w:rsidRPr="001C5725">
              <w:rPr>
                <w:rFonts w:ascii="Palatino Linotype" w:eastAsia="Palatino Linotype" w:hAnsi="Palatino Linotype" w:cs="Palatino Linotype"/>
                <w:i/>
                <w:iCs/>
              </w:rPr>
              <w:lastRenderedPageBreak/>
              <w:t>ATENTAMENTE</w:t>
            </w:r>
          </w:p>
        </w:tc>
      </w:tr>
      <w:tr w:rsidR="006C5FE6" w:rsidRPr="001C5725">
        <w:trPr>
          <w:trHeight w:val="331"/>
          <w:jc w:val="center"/>
        </w:trPr>
        <w:tc>
          <w:tcPr>
            <w:tcW w:w="8220" w:type="dxa"/>
            <w:vAlign w:val="center"/>
          </w:tcPr>
          <w:p w:rsidR="006C5FE6" w:rsidRPr="001C5725" w:rsidRDefault="00201FB8">
            <w:pPr>
              <w:ind w:right="141"/>
              <w:rPr>
                <w:rFonts w:ascii="Palatino Linotype" w:eastAsia="Palatino Linotype" w:hAnsi="Palatino Linotype" w:cs="Palatino Linotype"/>
                <w:i/>
                <w:iCs/>
              </w:rPr>
            </w:pPr>
            <w:r w:rsidRPr="001C5725">
              <w:rPr>
                <w:rFonts w:ascii="Palatino Linotype" w:eastAsia="Palatino Linotype" w:hAnsi="Palatino Linotype" w:cs="Palatino Linotype"/>
                <w:i/>
                <w:iCs/>
              </w:rPr>
              <w:t>C. ALBERTO GARCIA TALAVERA”</w:t>
            </w:r>
          </w:p>
        </w:tc>
      </w:tr>
    </w:tbl>
    <w:p w:rsidR="006C5FE6" w:rsidRPr="001C5725" w:rsidRDefault="006C5FE6">
      <w:pPr>
        <w:spacing w:line="360" w:lineRule="auto"/>
        <w:ind w:right="-876"/>
        <w:jc w:val="both"/>
        <w:rPr>
          <w:rFonts w:ascii="Palatino Linotype" w:eastAsia="Palatino Linotype" w:hAnsi="Palatino Linotype" w:cs="Palatino Linotype"/>
        </w:rPr>
      </w:pPr>
    </w:p>
    <w:p w:rsidR="006C5FE6" w:rsidRPr="001C5725" w:rsidRDefault="00201FB8">
      <w:pPr>
        <w:numPr>
          <w:ilvl w:val="0"/>
          <w:numId w:val="6"/>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color w:val="000000"/>
        </w:rPr>
        <w:t>A la respuesta, el Sujeto Obligado adjuntó los archivos que se describen enseguida:</w:t>
      </w:r>
    </w:p>
    <w:p w:rsidR="006C5FE6" w:rsidRPr="001C5725" w:rsidRDefault="00794DED">
      <w:pPr>
        <w:numPr>
          <w:ilvl w:val="0"/>
          <w:numId w:val="8"/>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hyperlink r:id="rId8">
        <w:r w:rsidR="00201FB8" w:rsidRPr="001C5725">
          <w:rPr>
            <w:rFonts w:ascii="Palatino Linotype" w:eastAsia="Palatino Linotype" w:hAnsi="Palatino Linotype" w:cs="Palatino Linotype"/>
            <w:b/>
            <w:bCs/>
            <w:color w:val="000000"/>
            <w:u w:val="single"/>
          </w:rPr>
          <w:t>bitacoras de gasolina jun-ags 2025.zip</w:t>
        </w:r>
      </w:hyperlink>
      <w:r w:rsidR="00201FB8" w:rsidRPr="001C5725">
        <w:rPr>
          <w:rFonts w:ascii="Palatino Linotype" w:eastAsia="Palatino Linotype" w:hAnsi="Palatino Linotype" w:cs="Palatino Linotype"/>
          <w:color w:val="000000"/>
        </w:rPr>
        <w:t>, consta de tres carpetas con la siguiente información:</w:t>
      </w:r>
    </w:p>
    <w:p w:rsidR="006C5FE6" w:rsidRPr="001C5725" w:rsidRDefault="00201FB8">
      <w:pPr>
        <w:numPr>
          <w:ilvl w:val="0"/>
          <w:numId w:val="9"/>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b/>
          <w:bCs/>
          <w:color w:val="000000"/>
        </w:rPr>
        <w:t>al 15 de agosto 2025</w:t>
      </w:r>
      <w:r w:rsidRPr="001C5725">
        <w:rPr>
          <w:rFonts w:ascii="Palatino Linotype" w:eastAsia="Palatino Linotype" w:hAnsi="Palatino Linotype" w:cs="Palatino Linotype"/>
          <w:color w:val="000000"/>
        </w:rPr>
        <w:t xml:space="preserve">: </w:t>
      </w:r>
    </w:p>
    <w:p w:rsidR="006C5FE6" w:rsidRPr="001C5725" w:rsidRDefault="00201FB8">
      <w:pPr>
        <w:numPr>
          <w:ilvl w:val="0"/>
          <w:numId w:val="2"/>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b/>
          <w:bCs/>
          <w:color w:val="000000"/>
        </w:rPr>
        <w:t xml:space="preserve">bitácoras del 28 de julio al 03 de agosto 2025.pdf y bitácoras del 28 de julio al 03 de agosto 2025r.pdf: </w:t>
      </w:r>
      <w:r w:rsidRPr="001C5725">
        <w:rPr>
          <w:rFonts w:ascii="Palatino Linotype" w:eastAsia="Palatino Linotype" w:hAnsi="Palatino Linotype" w:cs="Palatino Linotype"/>
          <w:color w:val="000000"/>
        </w:rPr>
        <w:t>consta de 11 hojas con las bitácoras del periodo del 28 de julio al tres de agosto de dos mil veinticinco.</w:t>
      </w:r>
      <w:r w:rsidRPr="001C5725">
        <w:rPr>
          <w:rFonts w:ascii="Palatino Linotype" w:eastAsia="Palatino Linotype" w:hAnsi="Palatino Linotype" w:cs="Palatino Linotype"/>
          <w:b/>
          <w:bCs/>
          <w:color w:val="000000"/>
        </w:rPr>
        <w:t xml:space="preserve"> </w:t>
      </w:r>
    </w:p>
    <w:p w:rsidR="006C5FE6" w:rsidRPr="001C5725" w:rsidRDefault="00201FB8">
      <w:pPr>
        <w:numPr>
          <w:ilvl w:val="0"/>
          <w:numId w:val="9"/>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b/>
          <w:bCs/>
          <w:color w:val="000000"/>
        </w:rPr>
        <w:t>del 01 al 29 de junio</w:t>
      </w:r>
      <w:r w:rsidRPr="001C5725">
        <w:rPr>
          <w:rFonts w:ascii="Palatino Linotype" w:eastAsia="Palatino Linotype" w:hAnsi="Palatino Linotype" w:cs="Palatino Linotype"/>
          <w:color w:val="000000"/>
        </w:rPr>
        <w:t xml:space="preserve">: </w:t>
      </w:r>
    </w:p>
    <w:p w:rsidR="006C5FE6" w:rsidRPr="001C5725" w:rsidRDefault="00201FB8">
      <w:pPr>
        <w:numPr>
          <w:ilvl w:val="0"/>
          <w:numId w:val="2"/>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b/>
          <w:bCs/>
          <w:color w:val="000000"/>
        </w:rPr>
        <w:t>del 02 al 08 de junio.pdf</w:t>
      </w:r>
      <w:r w:rsidRPr="001C5725">
        <w:rPr>
          <w:rFonts w:ascii="Palatino Linotype" w:eastAsia="Palatino Linotype" w:hAnsi="Palatino Linotype" w:cs="Palatino Linotype"/>
          <w:color w:val="000000"/>
        </w:rPr>
        <w:t xml:space="preserve">: consta de nueve hojas con las bitácoras del 26 de mayo al 01 de junio de 2025 y del 02 al 08 de junio de 2025. </w:t>
      </w:r>
    </w:p>
    <w:p w:rsidR="006C5FE6" w:rsidRPr="001C5725" w:rsidRDefault="00201FB8">
      <w:pPr>
        <w:numPr>
          <w:ilvl w:val="0"/>
          <w:numId w:val="2"/>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b/>
          <w:bCs/>
          <w:color w:val="000000"/>
        </w:rPr>
        <w:t>del 09 al 15 de junio.pdf</w:t>
      </w:r>
      <w:r w:rsidRPr="001C5725">
        <w:rPr>
          <w:rFonts w:ascii="Palatino Linotype" w:eastAsia="Palatino Linotype" w:hAnsi="Palatino Linotype" w:cs="Palatino Linotype"/>
          <w:color w:val="000000"/>
        </w:rPr>
        <w:t xml:space="preserve">: consta de ocho hojas con las bitácoras del 09 al 15 de junio de 2025. </w:t>
      </w:r>
    </w:p>
    <w:p w:rsidR="006C5FE6" w:rsidRPr="001C5725" w:rsidRDefault="00201FB8">
      <w:pPr>
        <w:numPr>
          <w:ilvl w:val="0"/>
          <w:numId w:val="2"/>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b/>
          <w:bCs/>
          <w:color w:val="000000"/>
        </w:rPr>
        <w:t>del 16 al 22 de junio.pdf</w:t>
      </w:r>
      <w:r w:rsidRPr="001C5725">
        <w:rPr>
          <w:rFonts w:ascii="Palatino Linotype" w:eastAsia="Palatino Linotype" w:hAnsi="Palatino Linotype" w:cs="Palatino Linotype"/>
          <w:color w:val="000000"/>
        </w:rPr>
        <w:t xml:space="preserve">: consta de diez hojas con las bitácoras del 16 al 22 de julio de 2025. </w:t>
      </w:r>
    </w:p>
    <w:p w:rsidR="006C5FE6" w:rsidRPr="001C5725" w:rsidRDefault="00201FB8">
      <w:pPr>
        <w:numPr>
          <w:ilvl w:val="0"/>
          <w:numId w:val="2"/>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b/>
          <w:bCs/>
          <w:color w:val="000000"/>
        </w:rPr>
        <w:t>del 23 al 29 de junio.pdf</w:t>
      </w:r>
      <w:r w:rsidRPr="001C5725">
        <w:rPr>
          <w:rFonts w:ascii="Palatino Linotype" w:eastAsia="Palatino Linotype" w:hAnsi="Palatino Linotype" w:cs="Palatino Linotype"/>
          <w:color w:val="000000"/>
        </w:rPr>
        <w:t xml:space="preserve">: consta de siete hojas con las bitácoras del 23 al 29 de junio de 2025. </w:t>
      </w:r>
    </w:p>
    <w:p w:rsidR="006C5FE6" w:rsidRPr="001C5725" w:rsidRDefault="00201FB8">
      <w:pPr>
        <w:numPr>
          <w:ilvl w:val="0"/>
          <w:numId w:val="2"/>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b/>
          <w:bCs/>
          <w:color w:val="000000"/>
        </w:rPr>
        <w:t>del 26 de mayo al 01 de junio.pdf</w:t>
      </w:r>
      <w:r w:rsidRPr="001C5725">
        <w:rPr>
          <w:rFonts w:ascii="Palatino Linotype" w:eastAsia="Palatino Linotype" w:hAnsi="Palatino Linotype" w:cs="Palatino Linotype"/>
          <w:color w:val="000000"/>
        </w:rPr>
        <w:t xml:space="preserve">: consta de diez hojas con las bitácoras del 26 de mayo al 01 de junio de 2025. </w:t>
      </w:r>
    </w:p>
    <w:p w:rsidR="006C5FE6" w:rsidRPr="001C5725" w:rsidRDefault="006C5FE6">
      <w:pPr>
        <w:pBdr>
          <w:top w:val="nil"/>
          <w:left w:val="nil"/>
          <w:bottom w:val="nil"/>
          <w:right w:val="nil"/>
          <w:between w:val="nil"/>
        </w:pBdr>
        <w:spacing w:line="360" w:lineRule="auto"/>
        <w:ind w:left="2880" w:right="-876"/>
        <w:jc w:val="both"/>
        <w:rPr>
          <w:rFonts w:ascii="Palatino Linotype" w:eastAsia="Palatino Linotype" w:hAnsi="Palatino Linotype" w:cs="Palatino Linotype"/>
          <w:color w:val="000000"/>
        </w:rPr>
      </w:pPr>
    </w:p>
    <w:p w:rsidR="006C5FE6" w:rsidRPr="001C5725" w:rsidRDefault="00201FB8">
      <w:pPr>
        <w:numPr>
          <w:ilvl w:val="0"/>
          <w:numId w:val="9"/>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b/>
          <w:bCs/>
          <w:color w:val="000000"/>
        </w:rPr>
        <w:lastRenderedPageBreak/>
        <w:t>del 30 de junio al 28 de julio 2025</w:t>
      </w:r>
      <w:r w:rsidRPr="001C5725">
        <w:rPr>
          <w:rFonts w:ascii="Palatino Linotype" w:eastAsia="Palatino Linotype" w:hAnsi="Palatino Linotype" w:cs="Palatino Linotype"/>
          <w:color w:val="000000"/>
        </w:rPr>
        <w:t xml:space="preserve">: </w:t>
      </w:r>
    </w:p>
    <w:p w:rsidR="006C5FE6" w:rsidRPr="001C5725" w:rsidRDefault="00201FB8">
      <w:pPr>
        <w:numPr>
          <w:ilvl w:val="0"/>
          <w:numId w:val="3"/>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b/>
          <w:bCs/>
          <w:color w:val="000000"/>
        </w:rPr>
        <w:t>BITACORA_7 JULIO AL 14 DE JULIO_PE15_0001.pdf</w:t>
      </w:r>
      <w:r w:rsidRPr="001C5725">
        <w:rPr>
          <w:rFonts w:ascii="Palatino Linotype" w:eastAsia="Palatino Linotype" w:hAnsi="Palatino Linotype" w:cs="Palatino Linotype"/>
          <w:color w:val="000000"/>
        </w:rPr>
        <w:t xml:space="preserve">: consta de siete hojas con las bitácoras del 07 al 14 de julio de 2025. </w:t>
      </w:r>
    </w:p>
    <w:p w:rsidR="006C5FE6" w:rsidRPr="001C5725" w:rsidRDefault="00201FB8">
      <w:pPr>
        <w:numPr>
          <w:ilvl w:val="0"/>
          <w:numId w:val="3"/>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b/>
          <w:bCs/>
          <w:color w:val="000000"/>
        </w:rPr>
        <w:t>BITACORA_14 DE JULIO AL 20 DE JULIO_PE20_0001.pdf</w:t>
      </w:r>
      <w:r w:rsidRPr="001C5725">
        <w:rPr>
          <w:rFonts w:ascii="Palatino Linotype" w:eastAsia="Palatino Linotype" w:hAnsi="Palatino Linotype" w:cs="Palatino Linotype"/>
          <w:color w:val="000000"/>
        </w:rPr>
        <w:t>: consta de siete hojas con las bitácoras del 14 al 20 de julio de 2025.</w:t>
      </w:r>
    </w:p>
    <w:p w:rsidR="006C5FE6" w:rsidRPr="001C5725" w:rsidRDefault="00201FB8">
      <w:pPr>
        <w:numPr>
          <w:ilvl w:val="0"/>
          <w:numId w:val="3"/>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b/>
          <w:bCs/>
          <w:color w:val="000000"/>
        </w:rPr>
        <w:t>BITACORA_21 JULIO AL 27 DE JULIO_PE35_0001.pdf</w:t>
      </w:r>
      <w:r w:rsidRPr="001C5725">
        <w:rPr>
          <w:rFonts w:ascii="Palatino Linotype" w:eastAsia="Palatino Linotype" w:hAnsi="Palatino Linotype" w:cs="Palatino Linotype"/>
          <w:color w:val="000000"/>
        </w:rPr>
        <w:t>: consta de siete hojas con las bitácoras del 21 al 27 de julio de 2025.</w:t>
      </w:r>
    </w:p>
    <w:p w:rsidR="006C5FE6" w:rsidRPr="001C5725" w:rsidRDefault="00201FB8">
      <w:pPr>
        <w:numPr>
          <w:ilvl w:val="0"/>
          <w:numId w:val="3"/>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b/>
          <w:bCs/>
          <w:color w:val="000000"/>
        </w:rPr>
        <w:t>BITACORA_30JUNIO AL 7 DE JULIO_PE5_0001.pdf</w:t>
      </w:r>
      <w:r w:rsidRPr="001C5725">
        <w:rPr>
          <w:rFonts w:ascii="Palatino Linotype" w:eastAsia="Palatino Linotype" w:hAnsi="Palatino Linotype" w:cs="Palatino Linotype"/>
          <w:color w:val="000000"/>
        </w:rPr>
        <w:t xml:space="preserve">: consta de nueve hojas con las bitácoras del 30 de junio al 07 de julio de 2025. </w:t>
      </w:r>
    </w:p>
    <w:p w:rsidR="006C5FE6" w:rsidRPr="001C5725" w:rsidRDefault="006C5FE6">
      <w:pPr>
        <w:pBdr>
          <w:top w:val="nil"/>
          <w:left w:val="nil"/>
          <w:bottom w:val="nil"/>
          <w:right w:val="nil"/>
          <w:between w:val="nil"/>
        </w:pBdr>
        <w:spacing w:line="360" w:lineRule="auto"/>
        <w:ind w:left="2160" w:right="-876"/>
        <w:jc w:val="both"/>
        <w:rPr>
          <w:rFonts w:ascii="Palatino Linotype" w:eastAsia="Palatino Linotype" w:hAnsi="Palatino Linotype" w:cs="Palatino Linotype"/>
          <w:color w:val="000000"/>
        </w:rPr>
      </w:pPr>
    </w:p>
    <w:p w:rsidR="006C5FE6" w:rsidRPr="001C5725" w:rsidRDefault="00794DED">
      <w:pPr>
        <w:numPr>
          <w:ilvl w:val="0"/>
          <w:numId w:val="8"/>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hyperlink r:id="rId9">
        <w:r w:rsidR="00201FB8" w:rsidRPr="001C5725">
          <w:rPr>
            <w:rFonts w:ascii="Palatino Linotype" w:eastAsia="Palatino Linotype" w:hAnsi="Palatino Linotype" w:cs="Palatino Linotype"/>
            <w:b/>
            <w:bCs/>
            <w:color w:val="000000"/>
            <w:u w:val="single"/>
          </w:rPr>
          <w:t>respuesta_012_sdayf.pdf</w:t>
        </w:r>
      </w:hyperlink>
      <w:r w:rsidR="00201FB8" w:rsidRPr="001C5725">
        <w:rPr>
          <w:rFonts w:ascii="Palatino Linotype" w:eastAsia="Palatino Linotype" w:hAnsi="Palatino Linotype" w:cs="Palatino Linotype"/>
          <w:color w:val="000000"/>
        </w:rPr>
        <w:t>: oficio número OPDAPASTV/SAyF/066/2025 de fecha cuatro de septiembre de dos mil veinticinco, suscrito por La Subdirectora de Administración y Finanzas quien señaló que se remite de forma física y digital la información solicitada.</w:t>
      </w:r>
    </w:p>
    <w:p w:rsidR="006C5FE6" w:rsidRPr="001C5725" w:rsidRDefault="006C5FE6">
      <w:pPr>
        <w:pBdr>
          <w:top w:val="nil"/>
          <w:left w:val="nil"/>
          <w:bottom w:val="nil"/>
          <w:right w:val="nil"/>
          <w:between w:val="nil"/>
        </w:pBdr>
        <w:spacing w:line="360" w:lineRule="auto"/>
        <w:ind w:right="-876"/>
        <w:jc w:val="both"/>
        <w:rPr>
          <w:rFonts w:ascii="Palatino Linotype" w:eastAsia="Palatino Linotype" w:hAnsi="Palatino Linotype" w:cs="Palatino Linotype"/>
        </w:rPr>
      </w:pPr>
    </w:p>
    <w:p w:rsidR="006C5FE6" w:rsidRPr="001C5725" w:rsidRDefault="00794DED">
      <w:pPr>
        <w:numPr>
          <w:ilvl w:val="0"/>
          <w:numId w:val="8"/>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hyperlink r:id="rId10">
        <w:r w:rsidR="00201FB8" w:rsidRPr="001C5725">
          <w:rPr>
            <w:rFonts w:ascii="Palatino Linotype" w:eastAsia="Palatino Linotype" w:hAnsi="Palatino Linotype" w:cs="Palatino Linotype"/>
            <w:b/>
            <w:bCs/>
            <w:color w:val="000000"/>
            <w:u w:val="single"/>
          </w:rPr>
          <w:t>respuesta_012_ut.pdf</w:t>
        </w:r>
      </w:hyperlink>
      <w:r w:rsidR="00201FB8" w:rsidRPr="001C5725">
        <w:rPr>
          <w:rFonts w:ascii="Palatino Linotype" w:eastAsia="Palatino Linotype" w:hAnsi="Palatino Linotype" w:cs="Palatino Linotype"/>
          <w:color w:val="000000"/>
        </w:rPr>
        <w:t xml:space="preserve"> y </w:t>
      </w:r>
      <w:hyperlink r:id="rId11">
        <w:r w:rsidR="00201FB8" w:rsidRPr="001C5725">
          <w:rPr>
            <w:rFonts w:ascii="Palatino Linotype" w:eastAsia="Palatino Linotype" w:hAnsi="Palatino Linotype" w:cs="Palatino Linotype"/>
            <w:b/>
            <w:bCs/>
            <w:color w:val="000000"/>
            <w:u w:val="single"/>
          </w:rPr>
          <w:t>respuesta_012_ut.txt</w:t>
        </w:r>
      </w:hyperlink>
      <w:r w:rsidR="00201FB8" w:rsidRPr="001C5725">
        <w:rPr>
          <w:rFonts w:ascii="Palatino Linotype" w:eastAsia="Palatino Linotype" w:hAnsi="Palatino Linotype" w:cs="Palatino Linotype"/>
          <w:color w:val="000000"/>
        </w:rPr>
        <w:t xml:space="preserve">: oficio número OPDAPASTV/UT/082/2025 de fecha cuatro de septiembre de dos mil veinticinco, suscrito por el Titular de la Unidad de Transparencia, quien señaló que se remite respuesta del servidor público habilitado de la Subdirección de Administración y Finanzas. </w:t>
      </w:r>
    </w:p>
    <w:p w:rsidR="006C5FE6" w:rsidRPr="001C5725" w:rsidRDefault="006C5FE6">
      <w:pPr>
        <w:pBdr>
          <w:top w:val="nil"/>
          <w:left w:val="nil"/>
          <w:bottom w:val="nil"/>
          <w:right w:val="nil"/>
          <w:between w:val="nil"/>
        </w:pBdr>
        <w:spacing w:line="360" w:lineRule="auto"/>
        <w:ind w:left="720" w:right="-876"/>
        <w:jc w:val="both"/>
        <w:rPr>
          <w:rFonts w:ascii="Palatino Linotype" w:eastAsia="Palatino Linotype" w:hAnsi="Palatino Linotype" w:cs="Palatino Linotype"/>
          <w:color w:val="000000"/>
        </w:rPr>
      </w:pPr>
    </w:p>
    <w:p w:rsidR="006C5FE6" w:rsidRPr="001C5725" w:rsidRDefault="00201FB8">
      <w:pPr>
        <w:numPr>
          <w:ilvl w:val="0"/>
          <w:numId w:val="5"/>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color w:val="000000"/>
        </w:rPr>
        <w:t xml:space="preserve">El </w:t>
      </w:r>
      <w:r w:rsidRPr="001C5725">
        <w:rPr>
          <w:rFonts w:ascii="Palatino Linotype" w:eastAsia="Palatino Linotype" w:hAnsi="Palatino Linotype" w:cs="Palatino Linotype"/>
          <w:b/>
          <w:bCs/>
          <w:color w:val="000000"/>
        </w:rPr>
        <w:t>cinco de septiembre de dos mil veinticinco</w:t>
      </w:r>
      <w:r w:rsidRPr="001C5725">
        <w:rPr>
          <w:rFonts w:ascii="Palatino Linotype" w:eastAsia="Palatino Linotype" w:hAnsi="Palatino Linotype" w:cs="Palatino Linotype"/>
          <w:color w:val="000000"/>
        </w:rPr>
        <w:t xml:space="preserve">, </w:t>
      </w:r>
      <w:r w:rsidRPr="001C5725">
        <w:rPr>
          <w:rFonts w:ascii="Palatino Linotype" w:eastAsia="Palatino Linotype" w:hAnsi="Palatino Linotype" w:cs="Palatino Linotype"/>
          <w:b/>
          <w:bCs/>
          <w:color w:val="000000"/>
        </w:rPr>
        <w:t>EL RECURRENTE</w:t>
      </w:r>
      <w:r w:rsidRPr="001C5725">
        <w:rPr>
          <w:rFonts w:ascii="Palatino Linotype" w:eastAsia="Palatino Linotype" w:hAnsi="Palatino Linotype" w:cs="Palatino Linotype"/>
          <w:color w:val="000000"/>
        </w:rPr>
        <w:t xml:space="preserve"> interpuso el recurso de revisión, en contra de la respuesta, señalando como:</w:t>
      </w:r>
    </w:p>
    <w:p w:rsidR="006C5FE6" w:rsidRPr="001C5725" w:rsidRDefault="00201FB8">
      <w:pPr>
        <w:numPr>
          <w:ilvl w:val="0"/>
          <w:numId w:val="1"/>
        </w:numPr>
        <w:spacing w:line="360" w:lineRule="auto"/>
        <w:ind w:left="851" w:right="-876" w:firstLine="0"/>
        <w:jc w:val="both"/>
      </w:pPr>
      <w:r w:rsidRPr="001C5725">
        <w:rPr>
          <w:rFonts w:ascii="Palatino Linotype" w:eastAsia="Palatino Linotype" w:hAnsi="Palatino Linotype" w:cs="Palatino Linotype"/>
          <w:b/>
          <w:bCs/>
        </w:rPr>
        <w:lastRenderedPageBreak/>
        <w:t>Acto impugnado</w:t>
      </w:r>
      <w:r w:rsidRPr="001C5725">
        <w:rPr>
          <w:rFonts w:ascii="Palatino Linotype" w:eastAsia="Palatino Linotype" w:hAnsi="Palatino Linotype" w:cs="Palatino Linotype"/>
          <w:b/>
          <w:bCs/>
          <w:i/>
          <w:iCs/>
        </w:rPr>
        <w:t>:</w:t>
      </w:r>
      <w:r w:rsidRPr="001C5725">
        <w:rPr>
          <w:rFonts w:ascii="Palatino Linotype" w:eastAsia="Palatino Linotype" w:hAnsi="Palatino Linotype" w:cs="Palatino Linotype"/>
          <w:i/>
          <w:iCs/>
          <w:color w:val="000000"/>
        </w:rPr>
        <w:t xml:space="preserve"> “RESPUESTA ENTREGADA POR OPDAPAS DE TENANGO DEL VALLE " (Sic)</w:t>
      </w:r>
    </w:p>
    <w:p w:rsidR="006C5FE6" w:rsidRPr="001C5725" w:rsidRDefault="006C5FE6">
      <w:pPr>
        <w:spacing w:line="360" w:lineRule="auto"/>
        <w:ind w:left="851" w:right="-876"/>
        <w:jc w:val="both"/>
      </w:pPr>
    </w:p>
    <w:p w:rsidR="006C5FE6" w:rsidRPr="001C5725" w:rsidRDefault="00201FB8">
      <w:pPr>
        <w:numPr>
          <w:ilvl w:val="0"/>
          <w:numId w:val="1"/>
        </w:numPr>
        <w:spacing w:line="360" w:lineRule="auto"/>
        <w:ind w:left="851" w:right="-876" w:firstLine="0"/>
        <w:jc w:val="both"/>
        <w:rPr>
          <w:rFonts w:ascii="Palatino Linotype" w:eastAsia="Palatino Linotype" w:hAnsi="Palatino Linotype" w:cs="Palatino Linotype"/>
        </w:rPr>
      </w:pPr>
      <w:r w:rsidRPr="001C5725">
        <w:rPr>
          <w:rFonts w:ascii="Palatino Linotype" w:eastAsia="Palatino Linotype" w:hAnsi="Palatino Linotype" w:cs="Palatino Linotype"/>
          <w:b/>
          <w:bCs/>
        </w:rPr>
        <w:t xml:space="preserve">Razones o Motivos de inconformidad: </w:t>
      </w:r>
      <w:r w:rsidRPr="001C5725">
        <w:rPr>
          <w:rFonts w:ascii="Palatino Linotype" w:eastAsia="Palatino Linotype" w:hAnsi="Palatino Linotype" w:cs="Palatino Linotype"/>
          <w:i/>
          <w:iCs/>
        </w:rPr>
        <w:t>"</w:t>
      </w:r>
      <w:r w:rsidRPr="001C5725">
        <w:rPr>
          <w:rFonts w:ascii="Verdana" w:eastAsia="Verdana" w:hAnsi="Verdana" w:cs="Verdana"/>
          <w:color w:val="000000"/>
        </w:rPr>
        <w:t xml:space="preserve"> </w:t>
      </w:r>
      <w:r w:rsidRPr="001C5725">
        <w:rPr>
          <w:rFonts w:ascii="Palatino Linotype" w:eastAsia="Palatino Linotype" w:hAnsi="Palatino Linotype" w:cs="Palatino Linotype"/>
          <w:i/>
          <w:iCs/>
        </w:rPr>
        <w:t xml:space="preserve">NO PROPORCIONA LOS COMPROBANTES QUE JUSTIFIQUEN EL SUMINISTRO (OFICIOS DE COMISION) QUE COMPRUEBEN EL SUMINISTRO DE COMBUSTIBLE Y GASTO CON CARGO AL ERARIO PUBLICO DEL OPDAPAS DE TENANGO DEL VALLE. FALTA INFORMACIÓN DEL 02 AL 08 DE JUNIO DE 2025 PORQUE EL ARCHIVO PDF LLAMADO “DEL 02 AL 08 DE JUNIO” QUE ENTREGA CONTIENE INFORMACIÓN PERO DEL PERIODO 26 DE MAYO AL 1 DE JUNIO DE 2025INCLUSO DIFERENTE A LA QUE CONTIENE EL PDF LLAMADO “DEL 26 DE MAYO AL 01 DE JUNIO” FALTA INFORMACIÓN EN TODAS LAS BITÁCORAS PROPORCIONADAS SOBRE EL KILOMETRAJE RECORRIDO Y ACUMULADO DE CADA UNIDAD, PORQUE HAY DOS UNIDADES A LAS QUE EL OPDAPAS DE TENANGO DEL VALLE DOTA DE EXCESIVA CANTIDAD DE COMBUSTIBLE DE UN DÍA PARA OTRO, EJEMPLO LA UNIDAD: RIO, PLACAS: NYJ6119, MARCA: KIA, COLOR: ROJO, MODELO: 2021 EN UN SOLO DÍA (04/06/2025) OPDAPAS DE TENANGO DEL VALLE SE LE SUMINISTRÓ 162.829 LITROS DE COMBUSTIBLE; EL 23 DE JUNIO DE 2025 LE SUMINISTRÓ 45.177 LITROS DE COMBUSTIBLE Y AL DÍA SIGUIENTE 24 DE JUNIO DE 2025 LE SUMINISTRÓ 40.011 LITROS DE COMBUSTIBLE; LUEGO EN CUATRO DÍAS SEGUIDOS (DEL 07 AL 10 DE JULIO DE 2025) LE SUMINISTRÓ 151.187 LITROS DE COMBUSTIBLE Y CUATRO DÍAS DESPUÉS LE SUMINISTRAN OTROS 47.015 UNIDAD: RIO PLACAS: NYJ6119 MARCA: KIA COLOR: ROJO MODELO: 2021 A LA </w:t>
      </w:r>
      <w:r w:rsidRPr="001C5725">
        <w:rPr>
          <w:rFonts w:ascii="Palatino Linotype" w:eastAsia="Palatino Linotype" w:hAnsi="Palatino Linotype" w:cs="Palatino Linotype"/>
          <w:i/>
          <w:iCs/>
        </w:rPr>
        <w:lastRenderedPageBreak/>
        <w:t xml:space="preserve">CUAL EL OPDAPAS DE TENANGO DEL VALLE DOTÓ LA SIGUIENTE CANTIDAD DE COMBUSTILE: EL 28/05/2025 46.18 LITROS SEGÚN LA BITÁCORA DEL PERIODO 26 DE MAYO AL 1 DE JUNIO DE 2025 PROPORCIONADA COMO RESPUESTA A OTRA SOLICITUD EL 04/06/2025 30 LITROS SEGÚN OTRA BITÁCORA TAMBIÉN DEL PERIODO 26 DE MAYO AL 1 DE JUNIO DE 2025 PROPORCIONADA COMO RESPUESTA A OTRA SOLICITUD EL 04/06/2025 43.459 LITROS SEGÚN OTRA BITÁCORA TAMBIÉN DEL PERIODO 26 DE MAYO AL 1 DE JUNIO DE 2025 PROPORCIONADA COMO RESPUESTA A OTRA SOLICITUD EL 04/06/2025 45.911 LITROS SEGÚN OTRA BITÁCORA TAMBIÉN DEL PERIODO 26 DE MAYO AL 1 DE JUNIO DE 2025 PROPORCIONADA COMO RESPUESTA A OTRA SOLICITUD EL 07/06/2025 40.004 LITROS LA BITÁCORA DEL PERIODO 9 DE JUNIO DE 2025 AL 15 DE JUNIO DE 2025 PROPORCIONADA COMO RESPUESTA A OTRA SOLICITUD EL 04/06/2025 43.459 LITROS SEGÚN OTRA BITÁCORA DEL PERIODO 9 DE JUNIO DE 2025 AL 15 DE JUNIO DE 2025 COMO RESPUESTA A OTRA SOLICITUD EL 23/06/2025 45.177 LITROS SEGÚN LA BITÁCORA DEL PERIODO 23 DE JUNIO DE 2025 AL 29 DE JUNIO DE 2025 PROPORCIONADA COMO RESPUESTA A OTRA SOLICITUD EL 24/06/2025 40.011 LITROS SEGÚN LA BITÁCORA DEL PERIODO 23 DE JUNIO DE 2025 AL 29 DE JUNIO DE 2025 PROPORCIONADA COMO RESPUESTA A OTRA SOLICITUD EL 07/07/2025 36.33 LITROS SEGÚN LA BITÁCORA DEL PERIODO 7 DE JULIO AL 14 DE JULIO DE 2025 PROPORCIONADA COMO RESPUESTA A OTRA SOLICITUD EL 07/07/2025 30 LITROS SEGÚN LA BITÁCORA DEL PERIODO 7 DE JULIO AL 14 DE JULIO DE 2025 PROPORCIONADA COMO RESPUESTA A OTRA SOLICITUD EL 08/07/2025 20 </w:t>
      </w:r>
      <w:r w:rsidRPr="001C5725">
        <w:rPr>
          <w:rFonts w:ascii="Palatino Linotype" w:eastAsia="Palatino Linotype" w:hAnsi="Palatino Linotype" w:cs="Palatino Linotype"/>
          <w:i/>
          <w:iCs/>
        </w:rPr>
        <w:lastRenderedPageBreak/>
        <w:t xml:space="preserve">LITROS SEGÚN LA BITÁCORA DEL PERIODO 7 DE JULIO AL 14 DE JULIO DE 2025 PROPORCIONADA COMO RESPUESTA A OTRA SOLICITUD EL 09/07/2025 30 LITROS SEGÚN LA BITÁCORA DEL PERIODO 7 DE JULIO AL 14 DE JULIO DE 2025 PROPORCIONADA COMO RESPUESTA A OTRA SOLICITUD EL 10/07/2025 34.857 LITROS SEGÚN LA BITÁCORA DEL PERIODO 7 DE JULIO AL 14 DE JULIO DE 2025 PROPORCIONADA COMO RESPUESTA A OTRA SOLICITUD EL 14/07/2025 47.015 LITROS SEGÚN LA BITÁCORA DEL PERIODO 14 DE JULIO AL 20 DE JULIO DE 2025 PROPORCIONADA COMO RESPUESTA A OTRA SOLICITUD EL 24/07/2025 41.336 LITROS SEGÚN LA BITÁCORA DEL PERIODO 21 DE JULIO DEL 2025 AL 27 DE JULIO DE 2025 PROPORCIONADA COMO RESPUESTA A OTRA SOLICITUD EL 26/07/2025 32.484 LITROS SEGÚN LA BITÁCORA DEL PERIODO 21 DE JULIO DEL 2025 AL 27 DE JULIO DE 2025 PROPORCIONADA COMO RESPUESTA A OTRA SOLICITUD EL 31/07/2025 30 LITROS SEGÚN LA BITÁCORA DEL PERIODO 28 DE JULIO DE 2025 AL 03 DE AGOSTO DE 2025 PROPORCIONADA COMO RESPUESTA A OTRA SOLICITUD EL 02/08/2025 44.115LITROS SEGÚN LA BITÁCORA DEL PERIODO 28 DE JULIO DE 2025 AL 03 DE AGOSTO DE 2025 PROPORCIONADA COMO RESPUESTA A OTRA SOLICITUD UNIDAD: MUSTANG V6 COUPE PLACAS: MPE257B MARCA: FORD COLOR: GRIS MODELO: 2016 A LA CUAL EL OPDAPAS DE TENANGO DEL VALLE DOTÓ LA SIGUIENTE CANTIDAD DE COMBUSTILE: EL 30/05/2025 35 LITROS SEGÚN LA BITÁCORA DEL PERIODO 26 DE MAYO AL 1 DE JUNIO DE 2025 PROPORCIONADA COMO RESPUESTA A OTRA SOLICITUD EL 06/06/2025 20 LITROS SEGÚN OTRA BITÁCORA TAMBIÉN DEL PERIODO 26 DE MAYO AL 1 DE JUNIO DE 2025 PROPORCIONADA COMO RESPUESTA A OTRA </w:t>
      </w:r>
      <w:r w:rsidRPr="001C5725">
        <w:rPr>
          <w:rFonts w:ascii="Palatino Linotype" w:eastAsia="Palatino Linotype" w:hAnsi="Palatino Linotype" w:cs="Palatino Linotype"/>
          <w:i/>
          <w:iCs/>
        </w:rPr>
        <w:lastRenderedPageBreak/>
        <w:t>SOLICITUD EL 06/06/2025 35 LITROS SEGÚN LA BITÁCORA DEL PERIODO 9 DE JUNIO DE 2025 AL 15 DE JUNIO DE 2025 PROPORCIONADA COMO RESPUESTA A OTRA SOLICITUD EL 19/06/2025 35 LITROS SEGÚN LA BITÁCORA DEL PERIODO 16 DE JULIO DE 2025 AL 22 DE JULIO DE 2025 PROPORCIONADA COMO RESPUESTA A OTRA SOLICITUD EL 23/06/2025 20 LITROS SEGÚN LA BITÁCORA DEL PERIODO 23 DE JUNIO DE 2025 AL 29 DE JUNIO DE 2025 PROPORCIONADA COMO RESPUESTA A OTRA SOLICITUD EL 27/06/2025 35 LITROS SEGÚN LA BITÁCORA DEL PERIODO 23 DE JUNIO DE 2025 AL 29 DE JUNIO DE 2025 PROPORCIONADA COMO RESPUESTA A OTRA SOLICITUD EL 03/07/2025 35 LITROS SEGÚN LA BITÁCORA DEL PERIODO 30 DE JUNIO AL 7 DE JULIO DE 2025 PROPORCIONADA COMO RESPUESTA A OTRA SOLICITUD EL 15/07/2025 35 LITROS SEGÚN LA BITÁCORA DEL PERIODO 14 DE JULIO AL 20 DE JULIO DE 2025 PROPORCIONADA COMO RESPUESTA A OTRA SOLICITUD EL 29/07/2025 35 LITROS SEGÚN LA BITÁCORA DEL PERIODO 28 DE JULIO DE 2025 AL 03 DE AGOSTO DE 2025 PROPORCIONADA COMO RESPUESTA A OTRA SOLICITUD " (Sic)</w:t>
      </w:r>
    </w:p>
    <w:p w:rsidR="006C5FE6" w:rsidRPr="001C5725" w:rsidRDefault="00201FB8">
      <w:pPr>
        <w:numPr>
          <w:ilvl w:val="0"/>
          <w:numId w:val="5"/>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color w:val="000000"/>
        </w:rPr>
        <w:t xml:space="preserve">Se registró el recurso de revisión bajo el número de expediente al rubro indicado, asimismo con fundamento en lo dispuesto por el artículo 185 fracción I de la </w:t>
      </w:r>
      <w:r w:rsidRPr="001C5725">
        <w:rPr>
          <w:rFonts w:ascii="Palatino Linotype" w:eastAsia="Palatino Linotype" w:hAnsi="Palatino Linotype" w:cs="Palatino Linotype"/>
          <w:b/>
          <w:bCs/>
          <w:color w:val="000000"/>
        </w:rPr>
        <w:t xml:space="preserve">Ley de Transparencia y Acceso a la Información Pública del Estado de México y Municipios </w:t>
      </w:r>
      <w:r w:rsidRPr="001C5725">
        <w:rPr>
          <w:rFonts w:ascii="Palatino Linotype" w:eastAsia="Palatino Linotype" w:hAnsi="Palatino Linotype" w:cs="Palatino Linotype"/>
          <w:color w:val="000000"/>
        </w:rPr>
        <w:t xml:space="preserve">se </w:t>
      </w:r>
      <w:r w:rsidRPr="001C5725">
        <w:rPr>
          <w:rFonts w:ascii="Palatino Linotype" w:eastAsia="Palatino Linotype" w:hAnsi="Palatino Linotype" w:cs="Palatino Linotype"/>
        </w:rPr>
        <w:t>turna</w:t>
      </w:r>
      <w:r w:rsidRPr="001C5725">
        <w:rPr>
          <w:rFonts w:ascii="Palatino Linotype" w:eastAsia="Palatino Linotype" w:hAnsi="Palatino Linotype" w:cs="Palatino Linotype"/>
          <w:color w:val="000000"/>
        </w:rPr>
        <w:t xml:space="preserve"> a la </w:t>
      </w:r>
      <w:r w:rsidRPr="001C5725">
        <w:rPr>
          <w:rFonts w:ascii="Palatino Linotype" w:eastAsia="Palatino Linotype" w:hAnsi="Palatino Linotype" w:cs="Palatino Linotype"/>
          <w:b/>
          <w:bCs/>
          <w:color w:val="000000"/>
        </w:rPr>
        <w:t xml:space="preserve">Comisionada María del Rosario Mejía Ayala, </w:t>
      </w:r>
      <w:r w:rsidRPr="001C5725">
        <w:rPr>
          <w:rFonts w:ascii="Palatino Linotype" w:eastAsia="Palatino Linotype" w:hAnsi="Palatino Linotype" w:cs="Palatino Linotype"/>
        </w:rPr>
        <w:t xml:space="preserve">para </w:t>
      </w:r>
      <w:r w:rsidRPr="001C5725">
        <w:rPr>
          <w:rFonts w:ascii="Palatino Linotype" w:eastAsia="Palatino Linotype" w:hAnsi="Palatino Linotype" w:cs="Palatino Linotype"/>
          <w:color w:val="000000"/>
        </w:rPr>
        <w:t xml:space="preserve">su análisis. </w:t>
      </w:r>
    </w:p>
    <w:p w:rsidR="006C5FE6" w:rsidRPr="001C5725" w:rsidRDefault="006C5FE6">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6C5FE6" w:rsidRPr="001C5725" w:rsidRDefault="00201FB8">
      <w:pPr>
        <w:numPr>
          <w:ilvl w:val="0"/>
          <w:numId w:val="5"/>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rPr>
        <w:t>La</w:t>
      </w:r>
      <w:r w:rsidRPr="001C5725">
        <w:rPr>
          <w:rFonts w:ascii="Palatino Linotype" w:eastAsia="Palatino Linotype" w:hAnsi="Palatino Linotype" w:cs="Palatino Linotype"/>
          <w:color w:val="000000"/>
        </w:rPr>
        <w:t xml:space="preserve"> Comisionad</w:t>
      </w:r>
      <w:r w:rsidRPr="001C5725">
        <w:rPr>
          <w:rFonts w:ascii="Palatino Linotype" w:eastAsia="Palatino Linotype" w:hAnsi="Palatino Linotype" w:cs="Palatino Linotype"/>
        </w:rPr>
        <w:t>a</w:t>
      </w:r>
      <w:r w:rsidRPr="001C5725">
        <w:rPr>
          <w:rFonts w:ascii="Palatino Linotype" w:eastAsia="Palatino Linotype" w:hAnsi="Palatino Linotype" w:cs="Palatino Linotype"/>
          <w:color w:val="000000"/>
        </w:rPr>
        <w:t xml:space="preserve"> Ponente con fundamento en lo dispuesto por el artículo 185 fracción II de la ley de la materia, a través del acuerdo de admisión del </w:t>
      </w:r>
      <w:r w:rsidRPr="001C5725">
        <w:rPr>
          <w:rFonts w:ascii="Palatino Linotype" w:eastAsia="Palatino Linotype" w:hAnsi="Palatino Linotype" w:cs="Palatino Linotype"/>
          <w:b/>
          <w:bCs/>
          <w:color w:val="000000"/>
        </w:rPr>
        <w:t xml:space="preserve">ocho de septiembre de dos mil </w:t>
      </w:r>
      <w:r w:rsidRPr="001C5725">
        <w:rPr>
          <w:rFonts w:ascii="Palatino Linotype" w:eastAsia="Palatino Linotype" w:hAnsi="Palatino Linotype" w:cs="Palatino Linotype"/>
          <w:b/>
          <w:bCs/>
          <w:color w:val="000000"/>
        </w:rPr>
        <w:lastRenderedPageBreak/>
        <w:t>veinticinco</w:t>
      </w:r>
      <w:r w:rsidRPr="001C5725">
        <w:rPr>
          <w:rFonts w:ascii="Palatino Linotype" w:eastAsia="Palatino Linotype" w:hAnsi="Palatino Linotype" w:cs="Palatino Linotype"/>
          <w:color w:val="000000"/>
        </w:rPr>
        <w:t xml:space="preserve">, puso a disposición de las partes el expediente electrónico vía </w:t>
      </w:r>
      <w:r w:rsidRPr="001C5725">
        <w:rPr>
          <w:rFonts w:ascii="Palatino Linotype" w:eastAsia="Palatino Linotype" w:hAnsi="Palatino Linotype" w:cs="Palatino Linotype"/>
          <w:b/>
          <w:bCs/>
          <w:color w:val="000000"/>
        </w:rPr>
        <w:t xml:space="preserve">SAIMEX </w:t>
      </w:r>
      <w:r w:rsidRPr="001C5725">
        <w:rPr>
          <w:rFonts w:ascii="Palatino Linotype" w:eastAsia="Palatino Linotype" w:hAnsi="Palatino Linotype" w:cs="Palatino Linotype"/>
          <w:color w:val="000000"/>
        </w:rPr>
        <w:t xml:space="preserve">a efecto de que en un plazo máximo de siete días </w:t>
      </w:r>
      <w:r w:rsidRPr="001C5725">
        <w:rPr>
          <w:rFonts w:ascii="Palatino Linotype" w:eastAsia="Palatino Linotype" w:hAnsi="Palatino Linotype" w:cs="Palatino Linotype"/>
        </w:rPr>
        <w:t>manifestara</w:t>
      </w:r>
      <w:r w:rsidRPr="001C5725">
        <w:rPr>
          <w:rFonts w:ascii="Palatino Linotype" w:eastAsia="Palatino Linotype" w:hAnsi="Palatino Linotype" w:cs="Palatino Linotype"/>
          <w:color w:val="000000"/>
        </w:rPr>
        <w:t xml:space="preserve"> lo que a derecho </w:t>
      </w:r>
      <w:r w:rsidRPr="001C5725">
        <w:rPr>
          <w:rFonts w:ascii="Palatino Linotype" w:eastAsia="Palatino Linotype" w:hAnsi="Palatino Linotype" w:cs="Palatino Linotype"/>
        </w:rPr>
        <w:t>conviniera</w:t>
      </w:r>
      <w:r w:rsidRPr="001C5725">
        <w:rPr>
          <w:rFonts w:ascii="Palatino Linotype" w:eastAsia="Palatino Linotype" w:hAnsi="Palatino Linotype" w:cs="Palatino Linotype"/>
          <w:color w:val="000000"/>
        </w:rPr>
        <w:t xml:space="preserve">, </w:t>
      </w:r>
      <w:r w:rsidRPr="001C5725">
        <w:rPr>
          <w:rFonts w:ascii="Palatino Linotype" w:eastAsia="Palatino Linotype" w:hAnsi="Palatino Linotype" w:cs="Palatino Linotype"/>
        </w:rPr>
        <w:t>ofreciera</w:t>
      </w:r>
      <w:r w:rsidRPr="001C5725">
        <w:rPr>
          <w:rFonts w:ascii="Palatino Linotype" w:eastAsia="Palatino Linotype" w:hAnsi="Palatino Linotype" w:cs="Palatino Linotype"/>
          <w:color w:val="000000"/>
        </w:rPr>
        <w:t xml:space="preserve"> pruebas y alegatos según corresponda al caso concreto, de esta forma para que el </w:t>
      </w:r>
      <w:r w:rsidRPr="001C5725">
        <w:rPr>
          <w:rFonts w:ascii="Palatino Linotype" w:eastAsia="Palatino Linotype" w:hAnsi="Palatino Linotype" w:cs="Palatino Linotype"/>
          <w:b/>
          <w:bCs/>
          <w:color w:val="000000"/>
        </w:rPr>
        <w:t>SUJETO OBLIGADO</w:t>
      </w:r>
      <w:r w:rsidRPr="001C5725">
        <w:rPr>
          <w:rFonts w:ascii="Palatino Linotype" w:eastAsia="Palatino Linotype" w:hAnsi="Palatino Linotype" w:cs="Palatino Linotype"/>
          <w:color w:val="000000"/>
        </w:rPr>
        <w:t xml:space="preserve"> </w:t>
      </w:r>
      <w:r w:rsidRPr="001C5725">
        <w:rPr>
          <w:rFonts w:ascii="Palatino Linotype" w:eastAsia="Palatino Linotype" w:hAnsi="Palatino Linotype" w:cs="Palatino Linotype"/>
        </w:rPr>
        <w:t>presentará</w:t>
      </w:r>
      <w:r w:rsidRPr="001C5725">
        <w:rPr>
          <w:rFonts w:ascii="Palatino Linotype" w:eastAsia="Palatino Linotype" w:hAnsi="Palatino Linotype" w:cs="Palatino Linotype"/>
          <w:color w:val="000000"/>
        </w:rPr>
        <w:t xml:space="preserve"> el informe justificado procedente. </w:t>
      </w:r>
    </w:p>
    <w:p w:rsidR="006C5FE6" w:rsidRPr="001C5725" w:rsidRDefault="006C5FE6">
      <w:pPr>
        <w:pBdr>
          <w:top w:val="nil"/>
          <w:left w:val="nil"/>
          <w:bottom w:val="nil"/>
          <w:right w:val="nil"/>
          <w:between w:val="nil"/>
        </w:pBdr>
        <w:ind w:left="720" w:right="-876"/>
        <w:rPr>
          <w:rFonts w:ascii="Palatino Linotype" w:eastAsia="Palatino Linotype" w:hAnsi="Palatino Linotype" w:cs="Palatino Linotype"/>
          <w:color w:val="000000"/>
        </w:rPr>
      </w:pPr>
    </w:p>
    <w:p w:rsidR="006C5FE6" w:rsidRPr="001C5725" w:rsidRDefault="00201FB8">
      <w:pPr>
        <w:numPr>
          <w:ilvl w:val="0"/>
          <w:numId w:val="5"/>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color w:val="000000"/>
        </w:rPr>
        <w:t xml:space="preserve">De las constancias del expediente electrónico SAIMEX se advierte que el Recurrente no realizó manifestaciones que a su derecho </w:t>
      </w:r>
      <w:r w:rsidRPr="001C5725">
        <w:rPr>
          <w:rFonts w:ascii="Palatino Linotype" w:eastAsia="Palatino Linotype" w:hAnsi="Palatino Linotype" w:cs="Palatino Linotype"/>
        </w:rPr>
        <w:t>conviniera</w:t>
      </w:r>
      <w:r w:rsidRPr="001C5725">
        <w:rPr>
          <w:rFonts w:ascii="Palatino Linotype" w:eastAsia="Palatino Linotype" w:hAnsi="Palatino Linotype" w:cs="Palatino Linotype"/>
          <w:color w:val="000000"/>
        </w:rPr>
        <w:t>; por su parte, el Sujeto Obligado no entregó informe justificado.</w:t>
      </w:r>
    </w:p>
    <w:p w:rsidR="006C5FE6" w:rsidRPr="001C5725" w:rsidRDefault="006C5FE6">
      <w:pPr>
        <w:pBdr>
          <w:top w:val="nil"/>
          <w:left w:val="nil"/>
          <w:bottom w:val="nil"/>
          <w:right w:val="nil"/>
          <w:between w:val="nil"/>
        </w:pBdr>
        <w:ind w:left="720" w:right="-876"/>
        <w:rPr>
          <w:rFonts w:ascii="Palatino Linotype" w:eastAsia="Palatino Linotype" w:hAnsi="Palatino Linotype" w:cs="Palatino Linotype"/>
          <w:color w:val="000000"/>
        </w:rPr>
      </w:pPr>
    </w:p>
    <w:p w:rsidR="006C5FE6" w:rsidRPr="001C5725" w:rsidRDefault="006C5FE6">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6C5FE6" w:rsidRPr="001C5725" w:rsidRDefault="00201FB8">
      <w:pPr>
        <w:numPr>
          <w:ilvl w:val="0"/>
          <w:numId w:val="5"/>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color w:val="000000"/>
        </w:rPr>
        <w:t xml:space="preserve">El </w:t>
      </w:r>
      <w:r w:rsidRPr="001C5725">
        <w:rPr>
          <w:rFonts w:ascii="Palatino Linotype" w:eastAsia="Palatino Linotype" w:hAnsi="Palatino Linotype" w:cs="Palatino Linotype"/>
          <w:b/>
          <w:bCs/>
          <w:color w:val="000000"/>
        </w:rPr>
        <w:t>veintiséis de enero de dos mil veintiséis</w:t>
      </w:r>
      <w:r w:rsidRPr="001C5725">
        <w:rPr>
          <w:rFonts w:ascii="Palatino Linotype" w:eastAsia="Palatino Linotype" w:hAnsi="Palatino Linotype" w:cs="Palatino Linotype"/>
          <w:color w:val="000000"/>
        </w:rPr>
        <w:t xml:space="preserve">, se notificó el acuerdo mediante el cual se aprobó la ampliación de plazo para emitir resolución. </w:t>
      </w:r>
    </w:p>
    <w:p w:rsidR="006C5FE6" w:rsidRPr="001C5725" w:rsidRDefault="006C5FE6">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6C5FE6" w:rsidRPr="001C5725" w:rsidRDefault="00201FB8">
      <w:pPr>
        <w:numPr>
          <w:ilvl w:val="0"/>
          <w:numId w:val="5"/>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color w:val="000000"/>
        </w:rPr>
        <w:t xml:space="preserve">La Comisionada Ponente decretó el cierre de instrucción mediante el acuerdo del </w:t>
      </w:r>
      <w:r w:rsidRPr="001C5725">
        <w:rPr>
          <w:rFonts w:ascii="Palatino Linotype" w:eastAsia="Palatino Linotype" w:hAnsi="Palatino Linotype" w:cs="Palatino Linotype"/>
          <w:b/>
          <w:bCs/>
          <w:color w:val="000000"/>
        </w:rPr>
        <w:t>doce de mayo de dos mil veintiséis.</w:t>
      </w:r>
    </w:p>
    <w:p w:rsidR="006C5FE6" w:rsidRPr="001C5725" w:rsidRDefault="006C5FE6">
      <w:pPr>
        <w:spacing w:line="360" w:lineRule="auto"/>
        <w:ind w:right="-876"/>
        <w:rPr>
          <w:rFonts w:ascii="Palatino Linotype" w:eastAsia="Palatino Linotype" w:hAnsi="Palatino Linotype" w:cs="Palatino Linotype"/>
        </w:rPr>
      </w:pPr>
    </w:p>
    <w:p w:rsidR="006C5FE6" w:rsidRPr="001C5725" w:rsidRDefault="00201FB8">
      <w:pPr>
        <w:spacing w:line="360" w:lineRule="auto"/>
        <w:ind w:right="-876"/>
        <w:jc w:val="center"/>
        <w:rPr>
          <w:rFonts w:ascii="Palatino Linotype" w:eastAsia="Palatino Linotype" w:hAnsi="Palatino Linotype" w:cs="Palatino Linotype"/>
        </w:rPr>
      </w:pPr>
      <w:bookmarkStart w:id="2" w:name="_heading=h.1fob9te" w:colFirst="0" w:colLast="0"/>
      <w:bookmarkEnd w:id="2"/>
      <w:r w:rsidRPr="001C5725">
        <w:rPr>
          <w:rFonts w:ascii="Palatino Linotype" w:eastAsia="Palatino Linotype" w:hAnsi="Palatino Linotype" w:cs="Palatino Linotype"/>
          <w:b/>
          <w:bCs/>
        </w:rPr>
        <w:t>C O N S I D E R A N D O</w:t>
      </w:r>
    </w:p>
    <w:p w:rsidR="006C5FE6" w:rsidRPr="001C5725" w:rsidRDefault="006C5FE6">
      <w:pPr>
        <w:spacing w:line="360" w:lineRule="auto"/>
        <w:ind w:right="-876"/>
        <w:jc w:val="center"/>
        <w:rPr>
          <w:rFonts w:ascii="Palatino Linotype" w:eastAsia="Palatino Linotype" w:hAnsi="Palatino Linotype" w:cs="Palatino Linotype"/>
        </w:rPr>
      </w:pPr>
    </w:p>
    <w:p w:rsidR="006C5FE6" w:rsidRPr="001C5725" w:rsidRDefault="00201FB8">
      <w:pPr>
        <w:spacing w:line="360" w:lineRule="auto"/>
        <w:ind w:right="-876"/>
        <w:jc w:val="both"/>
        <w:rPr>
          <w:rFonts w:ascii="Palatino Linotype" w:eastAsia="Palatino Linotype" w:hAnsi="Palatino Linotype" w:cs="Palatino Linotype"/>
          <w:b/>
          <w:bCs/>
        </w:rPr>
      </w:pPr>
      <w:bookmarkStart w:id="3" w:name="_heading=h.3znysh7" w:colFirst="0" w:colLast="0"/>
      <w:bookmarkEnd w:id="3"/>
      <w:r w:rsidRPr="001C5725">
        <w:rPr>
          <w:rFonts w:ascii="Palatino Linotype" w:eastAsia="Palatino Linotype" w:hAnsi="Palatino Linotype" w:cs="Palatino Linotype"/>
          <w:b/>
          <w:bCs/>
        </w:rPr>
        <w:t>PRIMERO. De la competencia</w:t>
      </w:r>
    </w:p>
    <w:p w:rsidR="006C5FE6" w:rsidRPr="001C5725" w:rsidRDefault="00201FB8">
      <w:pPr>
        <w:numPr>
          <w:ilvl w:val="0"/>
          <w:numId w:val="5"/>
        </w:numPr>
        <w:pBdr>
          <w:top w:val="nil"/>
          <w:left w:val="nil"/>
          <w:bottom w:val="nil"/>
          <w:right w:val="nil"/>
          <w:between w:val="nil"/>
        </w:pBdr>
        <w:spacing w:before="240" w:line="360" w:lineRule="auto"/>
        <w:ind w:left="0" w:right="-876" w:firstLine="0"/>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noveno, cuadragésimo y </w:t>
      </w:r>
      <w:r w:rsidRPr="001C5725">
        <w:rPr>
          <w:rFonts w:ascii="Palatino Linotype" w:eastAsia="Palatino Linotype" w:hAnsi="Palatino Linotype" w:cs="Palatino Linotype"/>
          <w:color w:val="000000"/>
        </w:rPr>
        <w:lastRenderedPageBreak/>
        <w:t xml:space="preserve">cuadragésimo primero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 </w:t>
      </w:r>
    </w:p>
    <w:p w:rsidR="006C5FE6" w:rsidRPr="001C5725" w:rsidRDefault="006C5FE6">
      <w:pPr>
        <w:pBdr>
          <w:top w:val="nil"/>
          <w:left w:val="nil"/>
          <w:bottom w:val="nil"/>
          <w:right w:val="nil"/>
          <w:between w:val="nil"/>
        </w:pBdr>
        <w:spacing w:before="240" w:line="360" w:lineRule="auto"/>
        <w:ind w:right="-876"/>
        <w:jc w:val="both"/>
        <w:rPr>
          <w:rFonts w:ascii="Palatino Linotype" w:eastAsia="Palatino Linotype" w:hAnsi="Palatino Linotype" w:cs="Palatino Linotype"/>
          <w:color w:val="000000"/>
        </w:rPr>
      </w:pPr>
    </w:p>
    <w:p w:rsidR="006C5FE6" w:rsidRPr="001C5725" w:rsidRDefault="00201FB8">
      <w:pPr>
        <w:keepNext/>
        <w:keepLines/>
        <w:spacing w:line="360" w:lineRule="auto"/>
        <w:ind w:right="-876"/>
        <w:rPr>
          <w:rFonts w:ascii="Palatino Linotype" w:eastAsia="Palatino Linotype" w:hAnsi="Palatino Linotype" w:cs="Palatino Linotype"/>
          <w:b/>
          <w:bCs/>
        </w:rPr>
      </w:pPr>
      <w:bookmarkStart w:id="4" w:name="_heading=h.2et92p0" w:colFirst="0" w:colLast="0"/>
      <w:bookmarkEnd w:id="4"/>
      <w:r w:rsidRPr="001C5725">
        <w:rPr>
          <w:rFonts w:ascii="Palatino Linotype" w:eastAsia="Palatino Linotype" w:hAnsi="Palatino Linotype" w:cs="Palatino Linotype"/>
          <w:b/>
          <w:bCs/>
        </w:rPr>
        <w:t>SEGUNDO. De la oportunidad y procedencia.</w:t>
      </w:r>
    </w:p>
    <w:p w:rsidR="006C5FE6" w:rsidRPr="001C5725" w:rsidRDefault="00201FB8">
      <w:pPr>
        <w:numPr>
          <w:ilvl w:val="0"/>
          <w:numId w:val="5"/>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color w:val="000000"/>
        </w:rPr>
        <w:t xml:space="preserve">El medio de impugnación fue presentado a través del </w:t>
      </w:r>
      <w:r w:rsidRPr="001C5725">
        <w:rPr>
          <w:rFonts w:ascii="Palatino Linotype" w:eastAsia="Palatino Linotype" w:hAnsi="Palatino Linotype" w:cs="Palatino Linotype"/>
          <w:b/>
          <w:bCs/>
          <w:color w:val="000000"/>
        </w:rPr>
        <w:t>SAIMEX,</w:t>
      </w:r>
      <w:r w:rsidRPr="001C5725">
        <w:rPr>
          <w:rFonts w:ascii="Palatino Linotype" w:eastAsia="Palatino Linotype" w:hAnsi="Palatino Linotype" w:cs="Palatino Linotype"/>
          <w:color w:val="000000"/>
        </w:rPr>
        <w:t xml:space="preserve"> en el formato previamente aprobado para tal efecto y dentro del plazo legal de quince días hábiles otorgados; siendo así que el </w:t>
      </w:r>
      <w:r w:rsidRPr="001C5725">
        <w:rPr>
          <w:rFonts w:ascii="Palatino Linotype" w:eastAsia="Palatino Linotype" w:hAnsi="Palatino Linotype" w:cs="Palatino Linotype"/>
          <w:b/>
          <w:bCs/>
          <w:color w:val="000000"/>
        </w:rPr>
        <w:t>SUJETO OBLIGADO</w:t>
      </w:r>
      <w:r w:rsidRPr="001C5725">
        <w:rPr>
          <w:rFonts w:ascii="Palatino Linotype" w:eastAsia="Palatino Linotype" w:hAnsi="Palatino Linotype" w:cs="Palatino Linotype"/>
          <w:color w:val="000000"/>
        </w:rPr>
        <w:t xml:space="preserve"> entregó respuesta a la solicitud el día </w:t>
      </w:r>
      <w:r w:rsidRPr="001C5725">
        <w:rPr>
          <w:rFonts w:ascii="Palatino Linotype" w:eastAsia="Palatino Linotype" w:hAnsi="Palatino Linotype" w:cs="Palatino Linotype"/>
          <w:b/>
          <w:bCs/>
          <w:color w:val="000000"/>
        </w:rPr>
        <w:t xml:space="preserve"> cuatro de septiembre de dos mil veinticinco</w:t>
      </w:r>
      <w:r w:rsidRPr="001C5725">
        <w:rPr>
          <w:rFonts w:ascii="Palatino Linotype" w:eastAsia="Palatino Linotype" w:hAnsi="Palatino Linotype" w:cs="Palatino Linotype"/>
          <w:color w:val="000000"/>
        </w:rPr>
        <w:t>, de tal forma que el plazo para interponer el recurso de revisión transcurrió del</w:t>
      </w:r>
      <w:r w:rsidRPr="001C5725">
        <w:rPr>
          <w:rFonts w:ascii="Palatino Linotype" w:eastAsia="Palatino Linotype" w:hAnsi="Palatino Linotype" w:cs="Palatino Linotype"/>
          <w:b/>
          <w:bCs/>
          <w:color w:val="000000"/>
        </w:rPr>
        <w:t xml:space="preserve"> cinco al veintiséis de septiembre de dos mil veinticinco</w:t>
      </w:r>
      <w:r w:rsidRPr="001C5725">
        <w:rPr>
          <w:rFonts w:ascii="Palatino Linotype" w:eastAsia="Palatino Linotype" w:hAnsi="Palatino Linotype" w:cs="Palatino Linotype"/>
          <w:color w:val="000000"/>
        </w:rPr>
        <w:t xml:space="preserve">; en consecuencia, presentó su inconformidad el día </w:t>
      </w:r>
      <w:r w:rsidRPr="001C5725">
        <w:rPr>
          <w:rFonts w:ascii="Palatino Linotype" w:eastAsia="Palatino Linotype" w:hAnsi="Palatino Linotype" w:cs="Palatino Linotype"/>
          <w:b/>
          <w:bCs/>
          <w:color w:val="000000"/>
        </w:rPr>
        <w:t>cinco de septiembre de dos mil veinticinco</w:t>
      </w:r>
      <w:r w:rsidRPr="001C5725">
        <w:rPr>
          <w:rFonts w:ascii="Palatino Linotype" w:eastAsia="Palatino Linotype" w:hAnsi="Palatino Linotype" w:cs="Palatino Linotype"/>
          <w:color w:val="000000"/>
        </w:rPr>
        <w:t xml:space="preserve">, por lo que se encuentra dentro de los márgenes temporales previstos en el artículo 178 de la </w:t>
      </w:r>
      <w:r w:rsidRPr="001C5725">
        <w:rPr>
          <w:rFonts w:ascii="Palatino Linotype" w:eastAsia="Palatino Linotype" w:hAnsi="Palatino Linotype" w:cs="Palatino Linotype"/>
          <w:b/>
          <w:bCs/>
          <w:color w:val="000000"/>
        </w:rPr>
        <w:t xml:space="preserve">Ley de Transparencia y Acceso a la Información Pública del Estado de México y Municipios </w:t>
      </w:r>
      <w:r w:rsidRPr="001C5725">
        <w:rPr>
          <w:rFonts w:ascii="Palatino Linotype" w:eastAsia="Palatino Linotype" w:hAnsi="Palatino Linotype" w:cs="Palatino Linotype"/>
          <w:color w:val="000000"/>
        </w:rPr>
        <w:t>vigente.</w:t>
      </w:r>
    </w:p>
    <w:p w:rsidR="006C5FE6" w:rsidRPr="001C5725" w:rsidRDefault="006C5FE6">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6C5FE6" w:rsidRPr="001C5725" w:rsidRDefault="00201FB8">
      <w:pPr>
        <w:numPr>
          <w:ilvl w:val="0"/>
          <w:numId w:val="5"/>
        </w:numPr>
        <w:spacing w:line="360" w:lineRule="auto"/>
        <w:ind w:left="0" w:right="-876" w:firstLine="0"/>
        <w:jc w:val="both"/>
        <w:rPr>
          <w:rFonts w:ascii="Palatino Linotype" w:eastAsia="Palatino Linotype" w:hAnsi="Palatino Linotype" w:cs="Palatino Linotype"/>
        </w:rPr>
      </w:pPr>
      <w:r w:rsidRPr="001C5725">
        <w:rPr>
          <w:rFonts w:ascii="Palatino Linotype" w:eastAsia="Palatino Linotype" w:hAnsi="Palatino Linotype" w:cs="Palatino Linotype"/>
        </w:rPr>
        <w:t xml:space="preserve">Por otra parte, de la revisión al expediente electrónico del </w:t>
      </w:r>
      <w:r w:rsidRPr="001C5725">
        <w:rPr>
          <w:rFonts w:ascii="Palatino Linotype" w:eastAsia="Palatino Linotype" w:hAnsi="Palatino Linotype" w:cs="Palatino Linotype"/>
          <w:b/>
          <w:bCs/>
        </w:rPr>
        <w:t>SAIMEX</w:t>
      </w:r>
      <w:r w:rsidRPr="001C5725">
        <w:rPr>
          <w:rFonts w:ascii="Palatino Linotype" w:eastAsia="Palatino Linotype" w:hAnsi="Palatino Linotype" w:cs="Palatino Linotype"/>
        </w:rPr>
        <w:t xml:space="preserve"> se desprende que la parte solicitante en ejercicio de su derecho de acceso a la información pública en el expediente que se revisa, tanto en la solicitud de información como en el recurso de revisión no proporciona su nombre para que sea identificado, ni se tiene la certeza sobre su identidad; </w:t>
      </w:r>
      <w:r w:rsidRPr="001C5725">
        <w:rPr>
          <w:rFonts w:ascii="Palatino Linotype" w:eastAsia="Palatino Linotype" w:hAnsi="Palatino Linotype" w:cs="Palatino Linotype"/>
        </w:rPr>
        <w:lastRenderedPageBreak/>
        <w:t>sin embargo, es importante señalar también que el nombre de los solicitantes y recurrentes no es requisito indispensable para la tramitación del acto procesal específico en materia de acceso a la información, ello en estricto apego al numeral 155 párrafo tercero de la Ley de la materia, en concatenación con el 180 del mismo ordenamiento.</w:t>
      </w:r>
    </w:p>
    <w:p w:rsidR="006C5FE6" w:rsidRPr="001C5725" w:rsidRDefault="006C5FE6">
      <w:pPr>
        <w:pBdr>
          <w:top w:val="nil"/>
          <w:left w:val="nil"/>
          <w:bottom w:val="nil"/>
          <w:right w:val="nil"/>
          <w:between w:val="nil"/>
        </w:pBdr>
        <w:ind w:right="-876"/>
        <w:rPr>
          <w:rFonts w:ascii="Palatino Linotype" w:eastAsia="Palatino Linotype" w:hAnsi="Palatino Linotype" w:cs="Palatino Linotype"/>
          <w:color w:val="000000"/>
        </w:rPr>
      </w:pPr>
    </w:p>
    <w:p w:rsidR="006C5FE6" w:rsidRPr="001C5725" w:rsidRDefault="00201FB8">
      <w:pPr>
        <w:numPr>
          <w:ilvl w:val="0"/>
          <w:numId w:val="5"/>
        </w:numPr>
        <w:spacing w:line="360" w:lineRule="auto"/>
        <w:ind w:left="0" w:right="-876" w:firstLine="0"/>
        <w:jc w:val="both"/>
        <w:rPr>
          <w:rFonts w:ascii="Palatino Linotype" w:eastAsia="Palatino Linotype" w:hAnsi="Palatino Linotype" w:cs="Palatino Linotype"/>
        </w:rPr>
      </w:pPr>
      <w:r w:rsidRPr="001C5725">
        <w:rPr>
          <w:rFonts w:ascii="Palatino Linotype" w:eastAsia="Palatino Linotype" w:hAnsi="Palatino Linotype" w:cs="Palatino Linotype"/>
        </w:rPr>
        <w:t>Esto es así, ya que de conformidad con los artículos 6, Apartado A, fracciones III y IV de la Constitución Política de los Estados Unidos Mexicanos y 5, párrafos vigésimo, vigésimo primero y vigésimo segundo fracciones IV y V de la Constitución Política del Estado Libre y Soberano de México, se establece que toda persona, sin necesidad de acreditar interés alguno o justificar su utilización, tendrá acceso gratuito a la información pública, a sus datos personales o a la rectificación de éstos, además de que se establecerán mecanismos de acceso a la información y procedimientos de revisión expeditos que se sustanciarán ante los organismos autónomos especializados e imparciales que establece la Constitución Federal y local.</w:t>
      </w:r>
    </w:p>
    <w:p w:rsidR="006C5FE6" w:rsidRPr="001C5725" w:rsidRDefault="006C5FE6">
      <w:pPr>
        <w:pBdr>
          <w:top w:val="nil"/>
          <w:left w:val="nil"/>
          <w:bottom w:val="nil"/>
          <w:right w:val="nil"/>
          <w:between w:val="nil"/>
        </w:pBdr>
        <w:ind w:right="-876"/>
        <w:rPr>
          <w:rFonts w:ascii="Palatino Linotype" w:eastAsia="Palatino Linotype" w:hAnsi="Palatino Linotype" w:cs="Palatino Linotype"/>
          <w:color w:val="000000"/>
        </w:rPr>
      </w:pPr>
    </w:p>
    <w:p w:rsidR="006C5FE6" w:rsidRPr="001C5725" w:rsidRDefault="00201FB8">
      <w:pPr>
        <w:numPr>
          <w:ilvl w:val="0"/>
          <w:numId w:val="5"/>
        </w:numPr>
        <w:spacing w:line="360" w:lineRule="auto"/>
        <w:ind w:left="0" w:right="-876" w:firstLine="0"/>
        <w:jc w:val="both"/>
        <w:rPr>
          <w:rFonts w:ascii="Palatino Linotype" w:eastAsia="Palatino Linotype" w:hAnsi="Palatino Linotype" w:cs="Palatino Linotype"/>
        </w:rPr>
      </w:pPr>
      <w:r w:rsidRPr="001C5725">
        <w:rPr>
          <w:rFonts w:ascii="Palatino Linotype" w:eastAsia="Palatino Linotype" w:hAnsi="Palatino Linotype" w:cs="Palatino Linotype"/>
        </w:rPr>
        <w:t>Por lo cual, de una interpretación sistemática, armónica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rsidR="006C5FE6" w:rsidRPr="001C5725" w:rsidRDefault="006C5FE6">
      <w:pPr>
        <w:pBdr>
          <w:top w:val="nil"/>
          <w:left w:val="nil"/>
          <w:bottom w:val="nil"/>
          <w:right w:val="nil"/>
          <w:between w:val="nil"/>
        </w:pBdr>
        <w:ind w:right="-876"/>
        <w:rPr>
          <w:rFonts w:ascii="Palatino Linotype" w:eastAsia="Palatino Linotype" w:hAnsi="Palatino Linotype" w:cs="Palatino Linotype"/>
          <w:color w:val="000000"/>
        </w:rPr>
      </w:pPr>
    </w:p>
    <w:p w:rsidR="006C5FE6" w:rsidRPr="001C5725" w:rsidRDefault="00201FB8">
      <w:pPr>
        <w:numPr>
          <w:ilvl w:val="0"/>
          <w:numId w:val="5"/>
        </w:numPr>
        <w:spacing w:line="360" w:lineRule="auto"/>
        <w:ind w:left="0" w:right="-876" w:firstLine="0"/>
        <w:jc w:val="both"/>
        <w:rPr>
          <w:rFonts w:ascii="Palatino Linotype" w:eastAsia="Palatino Linotype" w:hAnsi="Palatino Linotype" w:cs="Palatino Linotype"/>
        </w:rPr>
      </w:pPr>
      <w:r w:rsidRPr="001C5725">
        <w:rPr>
          <w:rFonts w:ascii="Palatino Linotype" w:eastAsia="Palatino Linotype" w:hAnsi="Palatino Linotype" w:cs="Palatino Linotype"/>
        </w:rPr>
        <w:lastRenderedPageBreak/>
        <w:t>En ese entendido, se omite un análisis más profundo en torno a los conceptos de interés jurídico y legitimación, debido a que se estima que a ningún efecto práctico conduciría, puesto que la propia estructura del derecho fundamental bajo análisis no lo exige.</w:t>
      </w:r>
    </w:p>
    <w:p w:rsidR="006C5FE6" w:rsidRPr="001C5725" w:rsidRDefault="006C5FE6">
      <w:pPr>
        <w:pBdr>
          <w:top w:val="nil"/>
          <w:left w:val="nil"/>
          <w:bottom w:val="nil"/>
          <w:right w:val="nil"/>
          <w:between w:val="nil"/>
        </w:pBdr>
        <w:ind w:right="-876"/>
        <w:rPr>
          <w:rFonts w:ascii="Palatino Linotype" w:eastAsia="Palatino Linotype" w:hAnsi="Palatino Linotype" w:cs="Palatino Linotype"/>
          <w:color w:val="000000"/>
        </w:rPr>
      </w:pPr>
    </w:p>
    <w:p w:rsidR="006C5FE6" w:rsidRPr="001C5725" w:rsidRDefault="00201FB8">
      <w:pPr>
        <w:numPr>
          <w:ilvl w:val="0"/>
          <w:numId w:val="5"/>
        </w:numPr>
        <w:spacing w:line="360" w:lineRule="auto"/>
        <w:ind w:left="0" w:right="-876" w:firstLine="0"/>
        <w:jc w:val="both"/>
        <w:rPr>
          <w:rFonts w:ascii="Palatino Linotype" w:eastAsia="Palatino Linotype" w:hAnsi="Palatino Linotype" w:cs="Palatino Linotype"/>
        </w:rPr>
      </w:pPr>
      <w:r w:rsidRPr="001C5725">
        <w:rPr>
          <w:rFonts w:ascii="Palatino Linotype" w:eastAsia="Palatino Linotype" w:hAnsi="Palatino Linotype" w:cs="Palatino Linotype"/>
        </w:rPr>
        <w:t>Por lo que el nombre del solicitante y recurrente no puede ser considerado un requisito indispensable de procedibilidad del recurso de revisión que nos ocupa, ya que el acceso a la información no está condicionado a acreditar algún interés ya sea jurídico o legítimo, máxime que es un elemento subsanable por este Órgano Resolutor.</w:t>
      </w:r>
    </w:p>
    <w:p w:rsidR="006C5FE6" w:rsidRPr="001C5725" w:rsidRDefault="006C5FE6">
      <w:pPr>
        <w:ind w:right="-876"/>
        <w:rPr>
          <w:rFonts w:ascii="Palatino Linotype" w:eastAsia="Palatino Linotype" w:hAnsi="Palatino Linotype" w:cs="Palatino Linotype"/>
          <w:color w:val="000000"/>
        </w:rPr>
      </w:pPr>
    </w:p>
    <w:p w:rsidR="006C5FE6" w:rsidRPr="001C5725" w:rsidRDefault="00201FB8">
      <w:pPr>
        <w:numPr>
          <w:ilvl w:val="0"/>
          <w:numId w:val="5"/>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color w:val="000000"/>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6C5FE6" w:rsidRPr="001C5725" w:rsidRDefault="00201FB8">
      <w:pPr>
        <w:pStyle w:val="Ttulo1"/>
        <w:spacing w:line="360" w:lineRule="auto"/>
        <w:ind w:right="-876"/>
        <w:rPr>
          <w:rFonts w:ascii="Palatino Linotype" w:eastAsia="Palatino Linotype" w:hAnsi="Palatino Linotype" w:cs="Palatino Linotype"/>
          <w:b/>
          <w:bCs/>
          <w:i/>
          <w:iCs/>
          <w:color w:val="000000"/>
          <w:sz w:val="24"/>
          <w:szCs w:val="24"/>
        </w:rPr>
      </w:pPr>
      <w:r w:rsidRPr="001C5725">
        <w:rPr>
          <w:rFonts w:ascii="Palatino Linotype" w:eastAsia="Palatino Linotype" w:hAnsi="Palatino Linotype" w:cs="Palatino Linotype"/>
          <w:b/>
          <w:bCs/>
          <w:color w:val="000000"/>
          <w:sz w:val="24"/>
          <w:szCs w:val="24"/>
        </w:rPr>
        <w:t>TERCERO. Del planteamiento de la Litis</w:t>
      </w:r>
    </w:p>
    <w:p w:rsidR="006C5FE6" w:rsidRPr="001C5725" w:rsidRDefault="00201FB8">
      <w:pPr>
        <w:numPr>
          <w:ilvl w:val="0"/>
          <w:numId w:val="5"/>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color w:val="000000"/>
        </w:rPr>
        <w:t xml:space="preserve">El particular solicitó las bitácoras de suministro de Diésel y gasolina a los vehículos oficiales o vehículos particulares en comodato de las áreas administrativas del Sujeto Obligado, los comprobantes que justifiquen el suministro (oficios de comisión) del mes de junio y julio y agosto de dos mil veinticinco. </w:t>
      </w:r>
    </w:p>
    <w:p w:rsidR="006C5FE6" w:rsidRPr="001C5725" w:rsidRDefault="006C5FE6">
      <w:pPr>
        <w:pBdr>
          <w:top w:val="nil"/>
          <w:left w:val="nil"/>
          <w:bottom w:val="nil"/>
          <w:right w:val="nil"/>
          <w:between w:val="nil"/>
        </w:pBdr>
        <w:spacing w:line="360" w:lineRule="auto"/>
        <w:ind w:right="-876"/>
        <w:jc w:val="both"/>
        <w:rPr>
          <w:rFonts w:ascii="Palatino Linotype" w:eastAsia="Palatino Linotype" w:hAnsi="Palatino Linotype" w:cs="Palatino Linotype"/>
          <w:i/>
          <w:iCs/>
          <w:color w:val="000000"/>
        </w:rPr>
      </w:pPr>
    </w:p>
    <w:p w:rsidR="006C5FE6" w:rsidRPr="001C5725" w:rsidRDefault="00201FB8">
      <w:pPr>
        <w:numPr>
          <w:ilvl w:val="0"/>
          <w:numId w:val="5"/>
        </w:numPr>
        <w:spacing w:line="360" w:lineRule="auto"/>
        <w:ind w:left="0" w:right="-876" w:firstLine="0"/>
        <w:jc w:val="both"/>
        <w:rPr>
          <w:rFonts w:ascii="Palatino Linotype" w:eastAsia="Palatino Linotype" w:hAnsi="Palatino Linotype" w:cs="Palatino Linotype"/>
        </w:rPr>
      </w:pPr>
      <w:r w:rsidRPr="001C5725">
        <w:rPr>
          <w:rFonts w:ascii="Palatino Linotype" w:eastAsia="Palatino Linotype" w:hAnsi="Palatino Linotype" w:cs="Palatino Linotype"/>
        </w:rPr>
        <w:t xml:space="preserve">En respuesta, el Sujeto Obligado adjuntó diversas bitácoras de combustible; posteriormente, el Recurrente se inconforma por la falta de los comprobantes que justifican el suministro de combustible, por la falta de las bitácoras del periodo del 02 al 08 de junio de </w:t>
      </w:r>
      <w:r w:rsidRPr="001C5725">
        <w:rPr>
          <w:rFonts w:ascii="Palatino Linotype" w:eastAsia="Palatino Linotype" w:hAnsi="Palatino Linotype" w:cs="Palatino Linotype"/>
        </w:rPr>
        <w:lastRenderedPageBreak/>
        <w:t xml:space="preserve">2025, por la falta del kilometraje en las bitácoras y por la excesiva cantidad de combustible dotada a ciertas unidades. </w:t>
      </w:r>
    </w:p>
    <w:p w:rsidR="006C5FE6" w:rsidRPr="001C5725" w:rsidRDefault="006C5FE6">
      <w:pPr>
        <w:spacing w:line="360" w:lineRule="auto"/>
        <w:ind w:right="-876"/>
        <w:jc w:val="both"/>
        <w:rPr>
          <w:rFonts w:ascii="Palatino Linotype" w:eastAsia="Palatino Linotype" w:hAnsi="Palatino Linotype" w:cs="Palatino Linotype"/>
        </w:rPr>
      </w:pPr>
    </w:p>
    <w:p w:rsidR="006C5FE6" w:rsidRPr="001C5725" w:rsidRDefault="00201FB8">
      <w:pPr>
        <w:numPr>
          <w:ilvl w:val="0"/>
          <w:numId w:val="5"/>
        </w:numPr>
        <w:spacing w:line="360" w:lineRule="auto"/>
        <w:ind w:left="0" w:right="-876" w:firstLine="0"/>
        <w:jc w:val="both"/>
        <w:rPr>
          <w:rFonts w:ascii="Palatino Linotype" w:eastAsia="Palatino Linotype" w:hAnsi="Palatino Linotype" w:cs="Palatino Linotype"/>
        </w:rPr>
      </w:pPr>
      <w:r w:rsidRPr="001C5725">
        <w:rPr>
          <w:rFonts w:ascii="Palatino Linotype" w:eastAsia="Palatino Linotype" w:hAnsi="Palatino Linotype" w:cs="Palatino Linotype"/>
        </w:rPr>
        <w:t xml:space="preserve">En consecuencia, la Litis a resolver en este recurso, se circunscribe a determinar si la respuesta colma con lo solicitado o si se actualiza la causal de procedencia prevista en el artículo 179, fracción V de la Ley de Transparencia y Acceso a la Información Pública del Estado de México y Municipios; que establece la entrega de información incompleta.  </w:t>
      </w:r>
    </w:p>
    <w:p w:rsidR="006C5FE6" w:rsidRPr="001C5725" w:rsidRDefault="00201FB8">
      <w:pPr>
        <w:pStyle w:val="Ttulo1"/>
        <w:spacing w:line="360" w:lineRule="auto"/>
        <w:ind w:right="-876"/>
        <w:rPr>
          <w:rFonts w:ascii="Palatino Linotype" w:eastAsia="Palatino Linotype" w:hAnsi="Palatino Linotype" w:cs="Palatino Linotype"/>
          <w:b/>
          <w:bCs/>
          <w:color w:val="000000"/>
          <w:sz w:val="24"/>
          <w:szCs w:val="24"/>
        </w:rPr>
      </w:pPr>
      <w:bookmarkStart w:id="5" w:name="_heading=h.3dy6vkm" w:colFirst="0" w:colLast="0"/>
      <w:bookmarkEnd w:id="5"/>
      <w:r w:rsidRPr="001C5725">
        <w:rPr>
          <w:rFonts w:ascii="Palatino Linotype" w:eastAsia="Palatino Linotype" w:hAnsi="Palatino Linotype" w:cs="Palatino Linotype"/>
          <w:b/>
          <w:bCs/>
          <w:color w:val="000000"/>
          <w:sz w:val="24"/>
          <w:szCs w:val="24"/>
        </w:rPr>
        <w:t xml:space="preserve">CUARTO. Estudio y resolución del recurso de revisión. </w:t>
      </w:r>
    </w:p>
    <w:p w:rsidR="006C5FE6" w:rsidRPr="001C5725" w:rsidRDefault="00201FB8">
      <w:pPr>
        <w:numPr>
          <w:ilvl w:val="0"/>
          <w:numId w:val="5"/>
        </w:numPr>
        <w:pBdr>
          <w:top w:val="nil"/>
          <w:left w:val="nil"/>
          <w:bottom w:val="nil"/>
          <w:right w:val="nil"/>
          <w:between w:val="nil"/>
        </w:pBdr>
        <w:tabs>
          <w:tab w:val="left" w:pos="567"/>
        </w:tabs>
        <w:spacing w:line="360" w:lineRule="auto"/>
        <w:ind w:left="0" w:right="-876" w:firstLine="0"/>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color w:val="000000"/>
        </w:rPr>
        <w:t xml:space="preserve">Consecuentemente y derivado del Planteamiento de la Litis, se procede analizar el contenido íntegro de las actuaciones que obran en el expediente electrónico, y así este Órgano Garante dicte la resolución correspondiente, tomando en consideración los elementos aportados por las partes y apegándose en todo momento al principio de máxima publicidad de acuerdo con lo establecido en el artículo 8 de la </w:t>
      </w:r>
      <w:r w:rsidRPr="001C5725">
        <w:rPr>
          <w:rFonts w:ascii="Palatino Linotype" w:eastAsia="Palatino Linotype" w:hAnsi="Palatino Linotype" w:cs="Palatino Linotype"/>
          <w:b/>
          <w:bCs/>
          <w:color w:val="000000"/>
        </w:rPr>
        <w:t>Ley de Transparencia y Acceso a la Información Pública del Estado de México y Municipios</w:t>
      </w:r>
      <w:r w:rsidRPr="001C5725">
        <w:rPr>
          <w:rFonts w:ascii="Palatino Linotype" w:eastAsia="Palatino Linotype" w:hAnsi="Palatino Linotype" w:cs="Palatino Linotype"/>
          <w:color w:val="000000"/>
        </w:rPr>
        <w:t>.</w:t>
      </w:r>
    </w:p>
    <w:p w:rsidR="006C5FE6" w:rsidRPr="001C5725" w:rsidRDefault="006C5FE6">
      <w:pPr>
        <w:spacing w:line="360" w:lineRule="auto"/>
        <w:ind w:right="-876"/>
        <w:jc w:val="both"/>
        <w:rPr>
          <w:rFonts w:ascii="Palatino Linotype" w:eastAsia="Palatino Linotype" w:hAnsi="Palatino Linotype" w:cs="Palatino Linotype"/>
        </w:rPr>
      </w:pPr>
      <w:bookmarkStart w:id="6" w:name="_heading=h.4d34og8" w:colFirst="0" w:colLast="0"/>
      <w:bookmarkEnd w:id="6"/>
    </w:p>
    <w:p w:rsidR="006C5FE6" w:rsidRPr="001C5725" w:rsidRDefault="00201FB8">
      <w:pPr>
        <w:numPr>
          <w:ilvl w:val="0"/>
          <w:numId w:val="5"/>
        </w:numPr>
        <w:tabs>
          <w:tab w:val="left" w:pos="0"/>
          <w:tab w:val="left" w:pos="567"/>
        </w:tabs>
        <w:spacing w:after="240" w:line="360" w:lineRule="auto"/>
        <w:ind w:left="0" w:right="-876" w:firstLine="0"/>
        <w:jc w:val="both"/>
        <w:rPr>
          <w:rFonts w:ascii="Palatino Linotype" w:eastAsia="Palatino Linotype" w:hAnsi="Palatino Linotype" w:cs="Palatino Linotype"/>
        </w:rPr>
      </w:pPr>
      <w:r w:rsidRPr="001C5725">
        <w:rPr>
          <w:rFonts w:ascii="Palatino Linotype" w:eastAsia="Palatino Linotype" w:hAnsi="Palatino Linotype" w:cs="Palatino Linotype"/>
          <w:color w:val="000000"/>
        </w:rPr>
        <w:t xml:space="preserve">Así, este Instituto de Transparencia, de conformidad con los principios de eficacia y profesionalismo, procederá a verificar la información remitida por el </w:t>
      </w:r>
      <w:r w:rsidRPr="001C5725">
        <w:rPr>
          <w:rFonts w:ascii="Palatino Linotype" w:eastAsia="Palatino Linotype" w:hAnsi="Palatino Linotype" w:cs="Palatino Linotype"/>
          <w:b/>
          <w:bCs/>
          <w:color w:val="000000"/>
        </w:rPr>
        <w:t>SUJETO OBLIGADO y</w:t>
      </w:r>
      <w:r w:rsidRPr="001C5725">
        <w:rPr>
          <w:rFonts w:ascii="Palatino Linotype" w:eastAsia="Palatino Linotype" w:hAnsi="Palatino Linotype" w:cs="Palatino Linotype"/>
          <w:color w:val="000000"/>
        </w:rPr>
        <w:t xml:space="preserve"> las manifestaciones realizadas por el </w:t>
      </w:r>
      <w:r w:rsidRPr="001C5725">
        <w:rPr>
          <w:rFonts w:ascii="Palatino Linotype" w:eastAsia="Palatino Linotype" w:hAnsi="Palatino Linotype" w:cs="Palatino Linotype"/>
          <w:b/>
          <w:bCs/>
        </w:rPr>
        <w:t>SOLICITANTE</w:t>
      </w:r>
      <w:r w:rsidRPr="001C5725">
        <w:rPr>
          <w:rFonts w:ascii="Palatino Linotype" w:eastAsia="Palatino Linotype" w:hAnsi="Palatino Linotype" w:cs="Palatino Linotype"/>
          <w:b/>
          <w:bCs/>
          <w:color w:val="000000"/>
        </w:rPr>
        <w:t xml:space="preserve"> </w:t>
      </w:r>
      <w:r w:rsidRPr="001C5725">
        <w:rPr>
          <w:rFonts w:ascii="Palatino Linotype" w:eastAsia="Palatino Linotype" w:hAnsi="Palatino Linotype" w:cs="Palatino Linotype"/>
          <w:color w:val="000000"/>
        </w:rPr>
        <w:t xml:space="preserve">a efecto de determinar si la información remitida se encuentra apegada a lo que establece la Ley en materia de Transparencia. </w:t>
      </w:r>
    </w:p>
    <w:p w:rsidR="006C5FE6" w:rsidRPr="001C5725" w:rsidRDefault="006C5FE6">
      <w:pPr>
        <w:pBdr>
          <w:top w:val="nil"/>
          <w:left w:val="nil"/>
          <w:bottom w:val="nil"/>
          <w:right w:val="nil"/>
          <w:between w:val="nil"/>
        </w:pBdr>
        <w:ind w:left="720" w:right="-876"/>
        <w:rPr>
          <w:rFonts w:ascii="Palatino Linotype" w:eastAsia="Palatino Linotype" w:hAnsi="Palatino Linotype" w:cs="Palatino Linotype"/>
          <w:color w:val="000000"/>
        </w:rPr>
      </w:pPr>
    </w:p>
    <w:p w:rsidR="006C5FE6" w:rsidRPr="001C5725" w:rsidRDefault="00201FB8">
      <w:pPr>
        <w:numPr>
          <w:ilvl w:val="0"/>
          <w:numId w:val="5"/>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rPr>
        <w:t xml:space="preserve">Ahora bien, para efectos de estudio se agrega el siguiente cuadro en el que se advierte la solicitud del Recurrente, la respuesta del Sujeto Obligado y las observaciones sobre el </w:t>
      </w:r>
      <w:r w:rsidRPr="001C5725">
        <w:rPr>
          <w:rFonts w:ascii="Palatino Linotype" w:eastAsia="Palatino Linotype" w:hAnsi="Palatino Linotype" w:cs="Palatino Linotype"/>
        </w:rPr>
        <w:lastRenderedPageBreak/>
        <w:t xml:space="preserve">cumplimiento, considerando que el motivo de inconformidad es la negativa de la información y que el Sujeto Obligado ratificó su respuesta en informe justificado:  </w:t>
      </w:r>
    </w:p>
    <w:p w:rsidR="006C5FE6" w:rsidRPr="001C5725" w:rsidRDefault="006C5FE6">
      <w:pPr>
        <w:pBdr>
          <w:top w:val="nil"/>
          <w:left w:val="nil"/>
          <w:bottom w:val="nil"/>
          <w:right w:val="nil"/>
          <w:between w:val="nil"/>
        </w:pBdr>
        <w:tabs>
          <w:tab w:val="left" w:pos="851"/>
        </w:tabs>
        <w:spacing w:line="360" w:lineRule="auto"/>
        <w:ind w:right="-876"/>
        <w:jc w:val="both"/>
        <w:rPr>
          <w:rFonts w:ascii="Palatino Linotype" w:eastAsia="Palatino Linotype" w:hAnsi="Palatino Linotype" w:cs="Palatino Linotype"/>
          <w:color w:val="000000"/>
        </w:rPr>
      </w:pPr>
    </w:p>
    <w:p w:rsidR="006C5FE6" w:rsidRPr="001C5725" w:rsidRDefault="00201FB8">
      <w:pPr>
        <w:numPr>
          <w:ilvl w:val="0"/>
          <w:numId w:val="5"/>
        </w:numPr>
        <w:spacing w:line="360" w:lineRule="auto"/>
        <w:ind w:left="0" w:right="-876" w:firstLine="0"/>
        <w:jc w:val="both"/>
        <w:rPr>
          <w:rFonts w:ascii="Palatino Linotype" w:eastAsia="Palatino Linotype" w:hAnsi="Palatino Linotype" w:cs="Palatino Linotype"/>
        </w:rPr>
      </w:pPr>
      <w:r w:rsidRPr="001C5725">
        <w:rPr>
          <w:rFonts w:ascii="Palatino Linotype" w:eastAsia="Palatino Linotype" w:hAnsi="Palatino Linotype" w:cs="Palatino Linotype"/>
        </w:rPr>
        <w:t xml:space="preserve">En ese sentido, recordemos que el Recurrente solicitó </w:t>
      </w:r>
      <w:r w:rsidRPr="001C5725">
        <w:rPr>
          <w:rFonts w:ascii="Palatino Linotype" w:eastAsia="Palatino Linotype" w:hAnsi="Palatino Linotype" w:cs="Palatino Linotype"/>
          <w:color w:val="000000"/>
        </w:rPr>
        <w:t xml:space="preserve">las bitácoras de suministro de Diésel y gasolina a los vehículos oficiales o vehículos particulares en comodato de las áreas administrativas del Sujeto Obligado, los comprobantes que justifiquen el suministro (oficios de comisión) del mes de junio y julio y agosto de dos mil veinticinco. </w:t>
      </w:r>
      <w:r w:rsidRPr="001C5725">
        <w:rPr>
          <w:rFonts w:ascii="Palatino Linotype" w:eastAsia="Palatino Linotype" w:hAnsi="Palatino Linotype" w:cs="Palatino Linotype"/>
        </w:rPr>
        <w:t xml:space="preserve">En respuesta, el Sujeto Obligado adjuntó diversas bitácoras de combustible; posteriormente, el Recurrente se inconforma, de forma medular, por la falta de los comprobantes que justifican el suministro de combustible, por la falta de las bitácoras del periodo del 02 al 08 de junio de 2025, por la falta del kilometraje en las bitácoras y por la excesiva cantidad de combustible dotada a ciertas unidades. </w:t>
      </w:r>
    </w:p>
    <w:p w:rsidR="006C5FE6" w:rsidRPr="001C5725" w:rsidRDefault="006C5FE6">
      <w:pPr>
        <w:pBdr>
          <w:top w:val="nil"/>
          <w:left w:val="nil"/>
          <w:bottom w:val="nil"/>
          <w:right w:val="nil"/>
          <w:between w:val="nil"/>
        </w:pBdr>
        <w:ind w:left="720" w:right="-876"/>
        <w:rPr>
          <w:rFonts w:ascii="Palatino Linotype" w:eastAsia="Palatino Linotype" w:hAnsi="Palatino Linotype" w:cs="Palatino Linotype"/>
          <w:color w:val="000000"/>
        </w:rPr>
      </w:pPr>
    </w:p>
    <w:p w:rsidR="006C5FE6" w:rsidRPr="001C5725" w:rsidRDefault="00201FB8">
      <w:pPr>
        <w:numPr>
          <w:ilvl w:val="0"/>
          <w:numId w:val="5"/>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color w:val="000000"/>
        </w:rPr>
        <w:t xml:space="preserve">Ahora bien, la inconformidad del RECURRENTE es de forma particular por la temporalidad de la información del 02 al 08 de junio, es decir, no se inconformó por toda la temporalidad requerida, aunado a ello, se inconformó por la falta de comprobantes que justifican el suministro de combustible, por la falta del kilometraje en las bitácoras y por la excesiva cantidad de combustible dotada a ciertas unidades; en este caso, la parte de la respuesta que no fue impugnada debe declararse consentida, toda vez que al no realizar manifestaciones de inconformidad respecto de la respuesta proporcionada, no pueden producirse efectos jurídicos tendentes a revocar, confirmar o modificar el acto reclamado, ya que no realizó manifestación alguna al respecto. </w:t>
      </w:r>
    </w:p>
    <w:p w:rsidR="006C5FE6" w:rsidRPr="001C5725" w:rsidRDefault="006C5FE6">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6C5FE6" w:rsidRPr="001C5725" w:rsidRDefault="00201FB8">
      <w:pPr>
        <w:numPr>
          <w:ilvl w:val="0"/>
          <w:numId w:val="5"/>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color w:val="000000"/>
        </w:rPr>
        <w:lastRenderedPageBreak/>
        <w:t>Sirve de sustento, la tesis jurisprudencial número VI.3o.C. J/60, publicada en el Semanario Judicial de la Federación y su Gaceta bajo el número de registro 176,608 que a la letra dice:</w:t>
      </w:r>
    </w:p>
    <w:p w:rsidR="006C5FE6" w:rsidRPr="001C5725" w:rsidRDefault="00201FB8">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rPr>
      </w:pPr>
      <w:r w:rsidRPr="001C5725">
        <w:rPr>
          <w:rFonts w:ascii="Palatino Linotype" w:eastAsia="Palatino Linotype" w:hAnsi="Palatino Linotype" w:cs="Palatino Linotype"/>
          <w:i/>
          <w:iCs/>
          <w:color w:val="000000"/>
        </w:rPr>
        <w:t>“ACTOS CONSENTIDOS. SON LOS QUE NO SE IMPUGNAN MEDIANTE EL RECURSO IDÓNEO. 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6C5FE6" w:rsidRPr="001C5725" w:rsidRDefault="006C5FE6">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rPr>
      </w:pPr>
    </w:p>
    <w:p w:rsidR="006C5FE6" w:rsidRPr="001C5725" w:rsidRDefault="00201FB8">
      <w:pPr>
        <w:numPr>
          <w:ilvl w:val="0"/>
          <w:numId w:val="5"/>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color w:val="000000"/>
        </w:rPr>
        <w:t xml:space="preserve">Lo anterior es así, debido a que cuando el particular impugnó la respuesta del SUJETO OBLIGADO, y no expresó razón o motivo de inconformidad en contra de lo que se le hizo entrega, por tanto, estos deben declararse atendidos, pues se entiende que EL RECURRENTE está conforme con la respuesta proporcionada por EL SUJETO OBLIGADO, al no contravenir la misma. </w:t>
      </w:r>
    </w:p>
    <w:p w:rsidR="006C5FE6" w:rsidRPr="001C5725" w:rsidRDefault="006C5FE6">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6C5FE6" w:rsidRPr="001C5725" w:rsidRDefault="00201FB8">
      <w:pPr>
        <w:numPr>
          <w:ilvl w:val="0"/>
          <w:numId w:val="5"/>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color w:val="000000"/>
        </w:rPr>
        <w:t>Atento a ello, es importante traer a contexto la Tesis Jurisprudencial Número 3ª./J.7/91, Publicada en el Semanario Judicial de la Federación y su Gaceta bajo el número de registro 174,177, que establece lo siguiente:</w:t>
      </w:r>
    </w:p>
    <w:p w:rsidR="006C5FE6" w:rsidRPr="001C5725" w:rsidRDefault="00201FB8">
      <w:pPr>
        <w:pBdr>
          <w:top w:val="nil"/>
          <w:left w:val="nil"/>
          <w:bottom w:val="nil"/>
          <w:right w:val="nil"/>
          <w:between w:val="nil"/>
        </w:pBdr>
        <w:spacing w:after="240" w:line="360" w:lineRule="auto"/>
        <w:ind w:left="851" w:right="-876"/>
        <w:jc w:val="both"/>
        <w:rPr>
          <w:rFonts w:ascii="Palatino Linotype" w:eastAsia="Palatino Linotype" w:hAnsi="Palatino Linotype" w:cs="Palatino Linotype"/>
          <w:i/>
          <w:iCs/>
          <w:color w:val="000000"/>
        </w:rPr>
      </w:pPr>
      <w:r w:rsidRPr="001C5725">
        <w:rPr>
          <w:rFonts w:ascii="Palatino Linotype" w:eastAsia="Palatino Linotype" w:hAnsi="Palatino Linotype" w:cs="Palatino Linotype"/>
          <w:i/>
          <w:iCs/>
          <w:color w:val="000000"/>
        </w:rPr>
        <w:t xml:space="preserve">“REVISIÓN EN AMPARO. LOS RESOLUTIVOS NO COMBATIDOS DEBEN DECLARARSE FIRMES. Cuando algún resolutivo de la sentencia impugnada afecta a la recurrente, y ésta no expresa agravio en contra de las consideraciones que le sirven de base, dicho resolutivo debe declararse firme. Esto es, en el caso referido, no obstante que la materia de </w:t>
      </w:r>
      <w:r w:rsidRPr="001C5725">
        <w:rPr>
          <w:rFonts w:ascii="Palatino Linotype" w:eastAsia="Palatino Linotype" w:hAnsi="Palatino Linotype" w:cs="Palatino Linotype"/>
          <w:i/>
          <w:iCs/>
          <w:color w:val="000000"/>
        </w:rPr>
        <w:lastRenderedPageBreak/>
        <w:t>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rsidR="006C5FE6" w:rsidRPr="001C5725" w:rsidRDefault="00201FB8">
      <w:pPr>
        <w:numPr>
          <w:ilvl w:val="0"/>
          <w:numId w:val="5"/>
        </w:numPr>
        <w:spacing w:line="360" w:lineRule="auto"/>
        <w:ind w:left="0" w:right="-876" w:firstLine="0"/>
        <w:jc w:val="both"/>
        <w:rPr>
          <w:rFonts w:ascii="Palatino Linotype" w:eastAsia="Palatino Linotype" w:hAnsi="Palatino Linotype" w:cs="Palatino Linotype"/>
        </w:rPr>
      </w:pPr>
      <w:r w:rsidRPr="001C5725">
        <w:rPr>
          <w:rFonts w:ascii="Palatino Linotype" w:eastAsia="Palatino Linotype" w:hAnsi="Palatino Linotype" w:cs="Palatino Linotype"/>
        </w:rPr>
        <w:t xml:space="preserve">Conforme al Criterio establecido, es improcedente entrar al análisis de las partes de la respuesta del Sujeto Obligado que no fueron impugnadas por el Recurrente; por lo que, en el presente caso, se tiene por consentida parte de la información proporcionada por el Ente Recurrido, en respuesta. </w:t>
      </w:r>
    </w:p>
    <w:p w:rsidR="006C5FE6" w:rsidRPr="001C5725" w:rsidRDefault="006C5FE6">
      <w:pPr>
        <w:spacing w:line="360" w:lineRule="auto"/>
        <w:ind w:right="-876"/>
        <w:jc w:val="both"/>
        <w:rPr>
          <w:rFonts w:ascii="Palatino Linotype" w:eastAsia="Palatino Linotype" w:hAnsi="Palatino Linotype" w:cs="Palatino Linotype"/>
        </w:rPr>
      </w:pPr>
    </w:p>
    <w:p w:rsidR="006C5FE6" w:rsidRDefault="00201FB8">
      <w:pPr>
        <w:numPr>
          <w:ilvl w:val="0"/>
          <w:numId w:val="5"/>
        </w:numPr>
        <w:spacing w:line="360" w:lineRule="auto"/>
        <w:ind w:left="0" w:right="-876" w:firstLine="0"/>
        <w:jc w:val="both"/>
        <w:rPr>
          <w:rFonts w:ascii="Palatino Linotype" w:eastAsia="Palatino Linotype" w:hAnsi="Palatino Linotype" w:cs="Palatino Linotype"/>
        </w:rPr>
      </w:pPr>
      <w:r w:rsidRPr="001C5725">
        <w:rPr>
          <w:rFonts w:ascii="Palatino Linotype" w:eastAsia="Palatino Linotype" w:hAnsi="Palatino Linotype" w:cs="Palatino Linotype"/>
        </w:rPr>
        <w:t xml:space="preserve">En este contexto, se hará pronunciamiento, únicamente por la falta de bitácoras del 02 al 08 de junio de 2025, de la falta de comprobantes que justifican el suministro de combustible, por la falta del kilometraje en las bitácoras y por la excesiva cantidad de combustible dotada a ciertas unidades. </w:t>
      </w:r>
    </w:p>
    <w:p w:rsidR="001C5725" w:rsidRPr="001C5725" w:rsidRDefault="001C5725" w:rsidP="001C5725">
      <w:pPr>
        <w:spacing w:line="360" w:lineRule="auto"/>
        <w:ind w:right="-876"/>
        <w:jc w:val="both"/>
        <w:rPr>
          <w:rFonts w:ascii="Palatino Linotype" w:eastAsia="Palatino Linotype" w:hAnsi="Palatino Linotype" w:cs="Palatino Linotype"/>
        </w:rPr>
      </w:pPr>
    </w:p>
    <w:p w:rsidR="006C5FE6" w:rsidRPr="001C5725" w:rsidRDefault="00201FB8">
      <w:pPr>
        <w:numPr>
          <w:ilvl w:val="0"/>
          <w:numId w:val="5"/>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color w:val="000000"/>
        </w:rPr>
        <w:t>Sobre la bitácoras del 02 al 08 de junio de 2025, estas se encuentran en el archivo “</w:t>
      </w:r>
      <w:r w:rsidRPr="001C5725">
        <w:rPr>
          <w:rFonts w:ascii="Palatino Linotype" w:eastAsia="Palatino Linotype" w:hAnsi="Palatino Linotype" w:cs="Palatino Linotype"/>
          <w:b/>
          <w:bCs/>
          <w:color w:val="000000"/>
        </w:rPr>
        <w:t xml:space="preserve">del 02 al 08 de junio.pdf”, </w:t>
      </w:r>
      <w:r w:rsidRPr="001C5725">
        <w:rPr>
          <w:rFonts w:ascii="Palatino Linotype" w:eastAsia="Palatino Linotype" w:hAnsi="Palatino Linotype" w:cs="Palatino Linotype"/>
          <w:color w:val="000000"/>
        </w:rPr>
        <w:t>en el que si bien, se localizan algunas</w:t>
      </w:r>
      <w:r w:rsidRPr="001C5725">
        <w:rPr>
          <w:rFonts w:ascii="Palatino Linotype" w:eastAsia="Palatino Linotype" w:hAnsi="Palatino Linotype" w:cs="Palatino Linotype"/>
          <w:b/>
          <w:bCs/>
          <w:color w:val="000000"/>
        </w:rPr>
        <w:t xml:space="preserve"> </w:t>
      </w:r>
      <w:r w:rsidRPr="001C5725">
        <w:rPr>
          <w:rFonts w:ascii="Palatino Linotype" w:eastAsia="Palatino Linotype" w:hAnsi="Palatino Linotype" w:cs="Palatino Linotype"/>
          <w:color w:val="000000"/>
        </w:rPr>
        <w:t>del 26 de mayo al 01 de junio de 2025, también se localizan las del 02 al 08 de junio de 2025, en la página 4 y 5, por lo tanto, se puede tener por atendido el requerimiento del Recurrente.</w:t>
      </w:r>
      <w:r w:rsidRPr="001C5725">
        <w:rPr>
          <w:rFonts w:ascii="Palatino Linotype" w:eastAsia="Palatino Linotype" w:hAnsi="Palatino Linotype" w:cs="Palatino Linotype"/>
          <w:b/>
          <w:bCs/>
          <w:color w:val="000000"/>
        </w:rPr>
        <w:t xml:space="preserve"> </w:t>
      </w:r>
    </w:p>
    <w:p w:rsidR="006C5FE6" w:rsidRPr="001C5725" w:rsidRDefault="006C5FE6">
      <w:pPr>
        <w:pBdr>
          <w:top w:val="nil"/>
          <w:left w:val="nil"/>
          <w:bottom w:val="nil"/>
          <w:right w:val="nil"/>
          <w:between w:val="nil"/>
        </w:pBdr>
        <w:ind w:left="720" w:right="-876"/>
        <w:rPr>
          <w:rFonts w:ascii="Palatino Linotype" w:eastAsia="Palatino Linotype" w:hAnsi="Palatino Linotype" w:cs="Palatino Linotype"/>
          <w:color w:val="000000"/>
        </w:rPr>
      </w:pPr>
    </w:p>
    <w:p w:rsidR="006C5FE6" w:rsidRPr="001C5725" w:rsidRDefault="00201FB8">
      <w:pPr>
        <w:numPr>
          <w:ilvl w:val="0"/>
          <w:numId w:val="5"/>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color w:val="000000"/>
        </w:rPr>
        <w:t xml:space="preserve">Ahora bien, el Sujeto Obligado no se pronunció respecto a </w:t>
      </w:r>
      <w:r w:rsidRPr="001C5725">
        <w:rPr>
          <w:rFonts w:ascii="Palatino Linotype" w:eastAsia="Palatino Linotype" w:hAnsi="Palatino Linotype" w:cs="Palatino Linotype"/>
        </w:rPr>
        <w:t xml:space="preserve">la falta de comprobantes que justifican el suministro de combustible; al respecto, es aplicable el Criterio 02/2017 emitido por el Instituto Nacional de Transparencia, Acceso a la Información  y Protección de Datos Personales se establece que: </w:t>
      </w:r>
    </w:p>
    <w:p w:rsidR="006C5FE6" w:rsidRPr="001C5725" w:rsidRDefault="00201FB8">
      <w:pPr>
        <w:pBdr>
          <w:top w:val="nil"/>
          <w:left w:val="nil"/>
          <w:bottom w:val="nil"/>
          <w:right w:val="nil"/>
          <w:between w:val="nil"/>
        </w:pBdr>
        <w:spacing w:line="276" w:lineRule="auto"/>
        <w:ind w:left="851" w:right="-876"/>
        <w:jc w:val="both"/>
        <w:rPr>
          <w:rFonts w:ascii="Palatino Linotype" w:eastAsia="Palatino Linotype" w:hAnsi="Palatino Linotype" w:cs="Palatino Linotype"/>
          <w:i/>
          <w:iCs/>
          <w:color w:val="000000"/>
        </w:rPr>
      </w:pPr>
      <w:r w:rsidRPr="001C5725">
        <w:rPr>
          <w:rFonts w:ascii="Palatino Linotype" w:eastAsia="Palatino Linotype" w:hAnsi="Palatino Linotype" w:cs="Palatino Linotype"/>
          <w:b/>
          <w:bCs/>
          <w:i/>
          <w:iCs/>
          <w:color w:val="000000"/>
          <w:highlight w:val="white"/>
        </w:rPr>
        <w:lastRenderedPageBreak/>
        <w:t xml:space="preserve">Congruencia y exhaustividad. Sus alcances para garantizar el derecho de acceso a la información. </w:t>
      </w:r>
      <w:r w:rsidRPr="001C5725">
        <w:rPr>
          <w:rFonts w:ascii="Palatino Linotype" w:eastAsia="Palatino Linotype" w:hAnsi="Palatino Linotype" w:cs="Palatino Linotype"/>
          <w:i/>
          <w:iCs/>
          <w:color w:val="000000"/>
          <w:highlight w:val="white"/>
        </w:rPr>
        <w:t>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la congruencia implica que exista concordancia entre el requerimiento formulado por el particular y la respuesta proporcionada por el sujeto obligado; mientras que la exhaustividad significa que dicha respuesta se refiera expresamente a cada uno de los puntos solicitados. Por lo anterior, los sujetos obligados cumplirán con los principios de congruencia y exhaustividad, cuando las respuestas que emitan guarden una relación lógica con lo solicitado y atiendan de manera puntual y expresa, cada uno de los contenidos de información.</w:t>
      </w:r>
    </w:p>
    <w:p w:rsidR="006C5FE6" w:rsidRPr="001C5725" w:rsidRDefault="006C5FE6">
      <w:pPr>
        <w:pBdr>
          <w:top w:val="nil"/>
          <w:left w:val="nil"/>
          <w:bottom w:val="nil"/>
          <w:right w:val="nil"/>
          <w:between w:val="nil"/>
        </w:pBdr>
        <w:spacing w:line="360" w:lineRule="auto"/>
        <w:ind w:left="644" w:right="-876"/>
        <w:jc w:val="both"/>
        <w:rPr>
          <w:rFonts w:ascii="Palatino Linotype" w:eastAsia="Palatino Linotype" w:hAnsi="Palatino Linotype" w:cs="Palatino Linotype"/>
          <w:color w:val="000000"/>
        </w:rPr>
      </w:pPr>
    </w:p>
    <w:p w:rsidR="006C5FE6" w:rsidRPr="001C5725" w:rsidRDefault="00201FB8">
      <w:pPr>
        <w:numPr>
          <w:ilvl w:val="0"/>
          <w:numId w:val="5"/>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color w:val="000000"/>
        </w:rPr>
        <w:t xml:space="preserve">Es así, que los sujetos obligados para garantizar el derecho de acceso a la Información, deberán cumplir con los principios de exhaustividad y congruencia, esto es, que la congruencia implica que exista concordancia entre el requerimiento formulado por el particular y la respuesta proporcionada por el sujeto obligado, mientras que </w:t>
      </w:r>
      <w:r w:rsidRPr="001C5725">
        <w:rPr>
          <w:rFonts w:ascii="Palatino Linotype" w:eastAsia="Palatino Linotype" w:hAnsi="Palatino Linotype" w:cs="Palatino Linotype"/>
          <w:b/>
          <w:bCs/>
          <w:color w:val="000000"/>
          <w:u w:val="single"/>
        </w:rPr>
        <w:t>la exhaustividad</w:t>
      </w:r>
      <w:r w:rsidRPr="001C5725">
        <w:rPr>
          <w:rFonts w:ascii="Palatino Linotype" w:eastAsia="Palatino Linotype" w:hAnsi="Palatino Linotype" w:cs="Palatino Linotype"/>
          <w:color w:val="000000"/>
          <w:u w:val="single"/>
        </w:rPr>
        <w:t xml:space="preserve"> establece que </w:t>
      </w:r>
      <w:r w:rsidRPr="001C5725">
        <w:rPr>
          <w:rFonts w:ascii="Palatino Linotype" w:eastAsia="Palatino Linotype" w:hAnsi="Palatino Linotype" w:cs="Palatino Linotype"/>
          <w:b/>
          <w:bCs/>
          <w:color w:val="000000"/>
          <w:u w:val="single"/>
        </w:rPr>
        <w:t>el sujeto obligado deberá atender de manera expresa cada uno de los puntos solicitados, situación que en el presente caso no aconteció</w:t>
      </w:r>
      <w:r w:rsidRPr="001C5725">
        <w:rPr>
          <w:rFonts w:ascii="Palatino Linotype" w:eastAsia="Palatino Linotype" w:hAnsi="Palatino Linotype" w:cs="Palatino Linotype"/>
          <w:color w:val="000000"/>
          <w:u w:val="single"/>
        </w:rPr>
        <w:t xml:space="preserve">, </w:t>
      </w:r>
      <w:r w:rsidRPr="001C5725">
        <w:rPr>
          <w:rFonts w:ascii="Palatino Linotype" w:eastAsia="Palatino Linotype" w:hAnsi="Palatino Linotype" w:cs="Palatino Linotype"/>
          <w:color w:val="000000"/>
        </w:rPr>
        <w:t>por lo que es procedente ordenar la entrega de los comprobantes que justifiquen el suministro de combustible de los meses de junio, julio y del primero al quince de agosto de dos mil veinticinco.</w:t>
      </w:r>
      <w:r w:rsidRPr="001C5725">
        <w:rPr>
          <w:rFonts w:ascii="Palatino Linotype" w:eastAsia="Palatino Linotype" w:hAnsi="Palatino Linotype" w:cs="Palatino Linotype"/>
          <w:color w:val="000000"/>
          <w:u w:val="single"/>
        </w:rPr>
        <w:t xml:space="preserve"> </w:t>
      </w:r>
    </w:p>
    <w:p w:rsidR="006C5FE6" w:rsidRPr="001C5725" w:rsidRDefault="006C5FE6">
      <w:pPr>
        <w:pBdr>
          <w:top w:val="nil"/>
          <w:left w:val="nil"/>
          <w:bottom w:val="nil"/>
          <w:right w:val="nil"/>
          <w:between w:val="nil"/>
        </w:pBdr>
        <w:ind w:left="720" w:right="-876"/>
        <w:rPr>
          <w:rFonts w:ascii="Palatino Linotype" w:eastAsia="Palatino Linotype" w:hAnsi="Palatino Linotype" w:cs="Palatino Linotype"/>
          <w:color w:val="000000"/>
        </w:rPr>
      </w:pPr>
    </w:p>
    <w:p w:rsidR="006C5FE6" w:rsidRPr="001C5725" w:rsidRDefault="00201FB8">
      <w:pPr>
        <w:numPr>
          <w:ilvl w:val="0"/>
          <w:numId w:val="5"/>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color w:val="000000"/>
        </w:rPr>
        <w:t xml:space="preserve">Por otra parte, sobre la falta de kilometraje en las bitácoras de gasolina, resulta necesario referir que, el </w:t>
      </w:r>
      <w:r w:rsidRPr="001C5725">
        <w:rPr>
          <w:rFonts w:ascii="Palatino Linotype" w:eastAsia="Palatino Linotype" w:hAnsi="Palatino Linotype" w:cs="Palatino Linotype"/>
        </w:rPr>
        <w:t xml:space="preserve">artículo 6° apartado A fracción I, de la Constitución Política de los Estados Unidos Mexicanos, artículo 5 fracción I de la Constitución Política del Estado Libre y Soberano de México y el artículo 18 de la Ley de Transparencia y Acceso a la Información Pública del Estado de México y Municipios, guardan una estrecha relación, puesto que los ordenamientos </w:t>
      </w:r>
      <w:r w:rsidRPr="001C5725">
        <w:rPr>
          <w:rFonts w:ascii="Palatino Linotype" w:eastAsia="Palatino Linotype" w:hAnsi="Palatino Linotype" w:cs="Palatino Linotype"/>
        </w:rPr>
        <w:lastRenderedPageBreak/>
        <w:t xml:space="preserve">citados concurren refiriendo que </w:t>
      </w:r>
      <w:r w:rsidRPr="001C5725">
        <w:rPr>
          <w:rFonts w:ascii="Palatino Linotype" w:eastAsia="Palatino Linotype" w:hAnsi="Palatino Linotype" w:cs="Palatino Linotype"/>
          <w:b/>
          <w:bCs/>
        </w:rPr>
        <w:t>los Sujetos Obligados deberán documentar todo acto que se derive del ejercicio de sus facultades, competencias o funciones,</w:t>
      </w:r>
      <w:r w:rsidRPr="001C5725">
        <w:rPr>
          <w:rFonts w:ascii="Palatino Linotype" w:eastAsia="Palatino Linotype" w:hAnsi="Palatino Linotype" w:cs="Palatino Linotype"/>
        </w:rPr>
        <w:t xml:space="preserve"> considerando desde su origen la eventual publicidad y reutilización de la información que generen, posean o administren.</w:t>
      </w:r>
    </w:p>
    <w:p w:rsidR="006C5FE6" w:rsidRPr="001C5725" w:rsidRDefault="006C5FE6">
      <w:pPr>
        <w:pBdr>
          <w:top w:val="nil"/>
          <w:left w:val="nil"/>
          <w:bottom w:val="nil"/>
          <w:right w:val="nil"/>
          <w:between w:val="nil"/>
        </w:pBdr>
        <w:spacing w:line="360" w:lineRule="auto"/>
        <w:ind w:left="720" w:right="-876"/>
        <w:rPr>
          <w:rFonts w:ascii="Palatino Linotype" w:eastAsia="Palatino Linotype" w:hAnsi="Palatino Linotype" w:cs="Palatino Linotype"/>
          <w:i/>
          <w:iCs/>
          <w:color w:val="000000"/>
        </w:rPr>
      </w:pPr>
    </w:p>
    <w:p w:rsidR="006C5FE6" w:rsidRPr="001C5725" w:rsidRDefault="00201FB8">
      <w:pPr>
        <w:numPr>
          <w:ilvl w:val="0"/>
          <w:numId w:val="5"/>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color w:val="000000"/>
        </w:rPr>
        <w:t>Además, debemos tomar en cuenta los artículos 4 y 12, de la Ley de Transparencia y Acceso a la Información Pública del Estado de México y Municipios, los cuales establecen lo siguiente:</w:t>
      </w:r>
    </w:p>
    <w:p w:rsidR="006C5FE6" w:rsidRPr="001C5725" w:rsidRDefault="00201FB8">
      <w:pPr>
        <w:spacing w:line="276" w:lineRule="auto"/>
        <w:ind w:left="851" w:right="-876"/>
        <w:jc w:val="both"/>
        <w:rPr>
          <w:rFonts w:ascii="Palatino Linotype" w:eastAsia="Palatino Linotype" w:hAnsi="Palatino Linotype" w:cs="Palatino Linotype"/>
          <w:i/>
          <w:iCs/>
        </w:rPr>
      </w:pPr>
      <w:r w:rsidRPr="001C5725">
        <w:rPr>
          <w:rFonts w:ascii="Palatino Linotype" w:eastAsia="Palatino Linotype" w:hAnsi="Palatino Linotype" w:cs="Palatino Linotype"/>
          <w:b/>
          <w:bCs/>
          <w:i/>
          <w:iCs/>
        </w:rPr>
        <w:t xml:space="preserve">Artículo 4. </w:t>
      </w:r>
      <w:r w:rsidRPr="001C5725">
        <w:rPr>
          <w:rFonts w:ascii="Palatino Linotype" w:eastAsia="Palatino Linotype" w:hAnsi="Palatino Linotype" w:cs="Palatino Linotype"/>
          <w:i/>
          <w:iCs/>
        </w:rPr>
        <w:t>El derecho humano de acceso a la información pública es la prerrogativa de las personas para buscar, difundir, investigar, recabar, recibir y solicitar información pública, sin necesidad de acreditar personalidad ni interés jurídico.</w:t>
      </w:r>
    </w:p>
    <w:p w:rsidR="006C5FE6" w:rsidRPr="001C5725" w:rsidRDefault="006C5FE6">
      <w:pPr>
        <w:spacing w:line="276" w:lineRule="auto"/>
        <w:ind w:left="851" w:right="-876"/>
        <w:jc w:val="both"/>
        <w:rPr>
          <w:rFonts w:ascii="Palatino Linotype" w:eastAsia="Palatino Linotype" w:hAnsi="Palatino Linotype" w:cs="Palatino Linotype"/>
          <w:i/>
          <w:iCs/>
        </w:rPr>
      </w:pPr>
    </w:p>
    <w:p w:rsidR="006C5FE6" w:rsidRPr="001C5725" w:rsidRDefault="00201FB8">
      <w:pPr>
        <w:spacing w:line="276" w:lineRule="auto"/>
        <w:ind w:left="851" w:right="-876"/>
        <w:jc w:val="both"/>
        <w:rPr>
          <w:rFonts w:ascii="Palatino Linotype" w:eastAsia="Palatino Linotype" w:hAnsi="Palatino Linotype" w:cs="Palatino Linotype"/>
          <w:i/>
          <w:iCs/>
        </w:rPr>
      </w:pPr>
      <w:r w:rsidRPr="001C5725">
        <w:rPr>
          <w:rFonts w:ascii="Palatino Linotype" w:eastAsia="Palatino Linotype" w:hAnsi="Palatino Linotype" w:cs="Palatino Linotype"/>
          <w:i/>
          <w:iC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6C5FE6" w:rsidRPr="001C5725" w:rsidRDefault="006C5FE6">
      <w:pPr>
        <w:spacing w:line="276" w:lineRule="auto"/>
        <w:ind w:left="851" w:right="-876"/>
        <w:jc w:val="both"/>
        <w:rPr>
          <w:rFonts w:ascii="Palatino Linotype" w:eastAsia="Palatino Linotype" w:hAnsi="Palatino Linotype" w:cs="Palatino Linotype"/>
          <w:i/>
          <w:iCs/>
        </w:rPr>
      </w:pPr>
    </w:p>
    <w:p w:rsidR="006C5FE6" w:rsidRPr="001C5725" w:rsidRDefault="00201FB8">
      <w:pPr>
        <w:spacing w:line="276" w:lineRule="auto"/>
        <w:ind w:left="851" w:right="-876"/>
        <w:jc w:val="both"/>
        <w:rPr>
          <w:rFonts w:ascii="Palatino Linotype" w:eastAsia="Palatino Linotype" w:hAnsi="Palatino Linotype" w:cs="Palatino Linotype"/>
          <w:i/>
          <w:iCs/>
        </w:rPr>
      </w:pPr>
      <w:r w:rsidRPr="001C5725">
        <w:rPr>
          <w:rFonts w:ascii="Palatino Linotype" w:eastAsia="Palatino Linotype" w:hAnsi="Palatino Linotype" w:cs="Palatino Linotype"/>
          <w:i/>
          <w:iCs/>
        </w:rPr>
        <w:t>Los sujetos obligados deben poner en práctica, políticas y programas de acceso a la información que se apeguen a criterios de publicidad, veracidad, oportunidad, precisión y suficiencia en beneficio de los solicitantes.</w:t>
      </w:r>
    </w:p>
    <w:p w:rsidR="006C5FE6" w:rsidRPr="001C5725" w:rsidRDefault="006C5FE6">
      <w:pPr>
        <w:spacing w:line="276" w:lineRule="auto"/>
        <w:ind w:left="851" w:right="-876"/>
        <w:jc w:val="both"/>
        <w:rPr>
          <w:rFonts w:ascii="Palatino Linotype" w:eastAsia="Palatino Linotype" w:hAnsi="Palatino Linotype" w:cs="Palatino Linotype"/>
          <w:i/>
          <w:iCs/>
          <w:color w:val="000000"/>
        </w:rPr>
      </w:pPr>
    </w:p>
    <w:p w:rsidR="006C5FE6" w:rsidRPr="001C5725" w:rsidRDefault="00201FB8">
      <w:pPr>
        <w:spacing w:line="276" w:lineRule="auto"/>
        <w:ind w:left="851" w:right="-876"/>
        <w:jc w:val="both"/>
        <w:rPr>
          <w:rFonts w:ascii="Palatino Linotype" w:eastAsia="Palatino Linotype" w:hAnsi="Palatino Linotype" w:cs="Palatino Linotype"/>
          <w:i/>
          <w:iCs/>
        </w:rPr>
      </w:pPr>
      <w:r w:rsidRPr="001C5725">
        <w:rPr>
          <w:rFonts w:ascii="Palatino Linotype" w:eastAsia="Palatino Linotype" w:hAnsi="Palatino Linotype" w:cs="Palatino Linotype"/>
          <w:b/>
          <w:bCs/>
          <w:i/>
          <w:iCs/>
        </w:rPr>
        <w:t xml:space="preserve">Artículo 12. </w:t>
      </w:r>
      <w:r w:rsidRPr="001C5725">
        <w:rPr>
          <w:rFonts w:ascii="Palatino Linotype" w:eastAsia="Palatino Linotype" w:hAnsi="Palatino Linotype" w:cs="Palatino Linotype"/>
          <w:i/>
          <w:iCs/>
        </w:rPr>
        <w:t xml:space="preserve">Quienes generen, recopilen, administren, manejen, procesen, archiven o conserven información pública serán responsables de la misma en los términos de las disposiciones jurídicas aplicables. </w:t>
      </w:r>
    </w:p>
    <w:p w:rsidR="006C5FE6" w:rsidRPr="001C5725" w:rsidRDefault="006C5FE6">
      <w:pPr>
        <w:spacing w:line="276" w:lineRule="auto"/>
        <w:ind w:left="851" w:right="-876"/>
        <w:jc w:val="both"/>
        <w:rPr>
          <w:rFonts w:ascii="Palatino Linotype" w:eastAsia="Palatino Linotype" w:hAnsi="Palatino Linotype" w:cs="Palatino Linotype"/>
          <w:i/>
          <w:iCs/>
        </w:rPr>
      </w:pPr>
    </w:p>
    <w:p w:rsidR="006C5FE6" w:rsidRPr="001C5725" w:rsidRDefault="00201FB8">
      <w:pPr>
        <w:spacing w:line="276" w:lineRule="auto"/>
        <w:ind w:left="851" w:right="-876"/>
        <w:jc w:val="both"/>
        <w:rPr>
          <w:rFonts w:ascii="Palatino Linotype" w:eastAsia="Palatino Linotype" w:hAnsi="Palatino Linotype" w:cs="Palatino Linotype"/>
          <w:i/>
          <w:iCs/>
        </w:rPr>
      </w:pPr>
      <w:r w:rsidRPr="001C5725">
        <w:rPr>
          <w:rFonts w:ascii="Palatino Linotype" w:eastAsia="Palatino Linotype" w:hAnsi="Palatino Linotype" w:cs="Palatino Linotype"/>
          <w:i/>
          <w:iCs/>
        </w:rPr>
        <w:t xml:space="preserve">Los sujetos obligados sólo proporcionarán la información pública que se les requiera y </w:t>
      </w:r>
      <w:r w:rsidRPr="001C5725">
        <w:rPr>
          <w:rFonts w:ascii="Palatino Linotype" w:eastAsia="Palatino Linotype" w:hAnsi="Palatino Linotype" w:cs="Palatino Linotype"/>
          <w:b/>
          <w:bCs/>
          <w:i/>
          <w:iCs/>
          <w:u w:val="single"/>
        </w:rPr>
        <w:t>que obre en sus archivos y en el estado en que ésta se encuentre.</w:t>
      </w:r>
      <w:r w:rsidRPr="001C5725">
        <w:rPr>
          <w:rFonts w:ascii="Palatino Linotype" w:eastAsia="Palatino Linotype" w:hAnsi="Palatino Linotype" w:cs="Palatino Linotype"/>
          <w:i/>
          <w:iCs/>
        </w:rPr>
        <w:t xml:space="preserve"> </w:t>
      </w:r>
      <w:r w:rsidRPr="001C5725">
        <w:rPr>
          <w:rFonts w:ascii="Palatino Linotype" w:eastAsia="Palatino Linotype" w:hAnsi="Palatino Linotype" w:cs="Palatino Linotype"/>
          <w:b/>
          <w:bCs/>
          <w:i/>
          <w:iCs/>
        </w:rPr>
        <w:t>La obligación de proporcionar información no comprende el procesamiento de la misma, ni el presentarla conforme al interés del solicitante; no estarán obligados a generarla, resumirla, efectuar cálculos o practicar investigaciones.</w:t>
      </w:r>
    </w:p>
    <w:p w:rsidR="006C5FE6" w:rsidRPr="001C5725" w:rsidRDefault="006C5FE6">
      <w:pPr>
        <w:spacing w:line="360" w:lineRule="auto"/>
        <w:ind w:left="567" w:right="-876"/>
        <w:jc w:val="both"/>
        <w:rPr>
          <w:rFonts w:ascii="Palatino Linotype" w:eastAsia="Palatino Linotype" w:hAnsi="Palatino Linotype" w:cs="Palatino Linotype"/>
          <w:i/>
          <w:iCs/>
          <w:color w:val="000000"/>
        </w:rPr>
      </w:pPr>
    </w:p>
    <w:p w:rsidR="006C5FE6" w:rsidRPr="001C5725" w:rsidRDefault="00201FB8">
      <w:pPr>
        <w:numPr>
          <w:ilvl w:val="0"/>
          <w:numId w:val="5"/>
        </w:numPr>
        <w:pBdr>
          <w:top w:val="nil"/>
          <w:left w:val="nil"/>
          <w:bottom w:val="nil"/>
          <w:right w:val="nil"/>
          <w:between w:val="nil"/>
        </w:pBdr>
        <w:tabs>
          <w:tab w:val="left" w:pos="851"/>
        </w:tabs>
        <w:spacing w:line="360" w:lineRule="auto"/>
        <w:ind w:left="0" w:right="-876" w:firstLine="0"/>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color w:val="000000"/>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1C5725">
        <w:rPr>
          <w:rFonts w:ascii="Palatino Linotype" w:eastAsia="Palatino Linotype" w:hAnsi="Palatino Linotype" w:cs="Palatino Linotype"/>
          <w:color w:val="000000"/>
          <w:vertAlign w:val="superscript"/>
        </w:rPr>
        <w:footnoteReference w:id="1"/>
      </w:r>
      <w:r w:rsidRPr="001C5725">
        <w:rPr>
          <w:rFonts w:ascii="Palatino Linotype" w:eastAsia="Palatino Linotype" w:hAnsi="Palatino Linotype" w:cs="Palatino Linotype"/>
          <w:color w:val="000000"/>
        </w:rPr>
        <w:t xml:space="preserve"> y máxima publicidad, y debe ser entregada tal cual obre en sus archivos y en el estado en que se encuentre, sin necesidad de entregarla conforme al interés del solicitante. En este caso, las bitácoras entregadas por el Sujeto Obligado en respuesta, no contienen el kilometraje, sin embargo, el Sujeto Obligado las entregó tal cual obran en sus archivos, por lo que este Órgano Garante determina que con la entrega de la información se puede dar por atendido el requerimiento.</w:t>
      </w:r>
    </w:p>
    <w:p w:rsidR="006C5FE6" w:rsidRPr="001C5725" w:rsidRDefault="006C5FE6">
      <w:pPr>
        <w:pBdr>
          <w:top w:val="nil"/>
          <w:left w:val="nil"/>
          <w:bottom w:val="nil"/>
          <w:right w:val="nil"/>
          <w:between w:val="nil"/>
        </w:pBdr>
        <w:tabs>
          <w:tab w:val="left" w:pos="851"/>
        </w:tabs>
        <w:spacing w:line="360" w:lineRule="auto"/>
        <w:ind w:right="-876"/>
        <w:jc w:val="both"/>
        <w:rPr>
          <w:rFonts w:ascii="Palatino Linotype" w:eastAsia="Palatino Linotype" w:hAnsi="Palatino Linotype" w:cs="Palatino Linotype"/>
          <w:color w:val="000000"/>
        </w:rPr>
      </w:pPr>
    </w:p>
    <w:p w:rsidR="006C5FE6" w:rsidRPr="001C5725" w:rsidRDefault="00201FB8">
      <w:pPr>
        <w:numPr>
          <w:ilvl w:val="0"/>
          <w:numId w:val="5"/>
        </w:numPr>
        <w:pBdr>
          <w:top w:val="nil"/>
          <w:left w:val="nil"/>
          <w:bottom w:val="nil"/>
          <w:right w:val="nil"/>
          <w:between w:val="nil"/>
        </w:pBdr>
        <w:tabs>
          <w:tab w:val="left" w:pos="567"/>
        </w:tabs>
        <w:spacing w:line="360" w:lineRule="auto"/>
        <w:ind w:left="0" w:right="-876" w:firstLine="0"/>
        <w:jc w:val="both"/>
        <w:rPr>
          <w:rFonts w:ascii="Palatino Linotype" w:eastAsia="Palatino Linotype" w:hAnsi="Palatino Linotype" w:cs="Palatino Linotype"/>
        </w:rPr>
      </w:pPr>
      <w:r w:rsidRPr="001C5725">
        <w:rPr>
          <w:rFonts w:ascii="Palatino Linotype" w:eastAsia="Palatino Linotype" w:hAnsi="Palatino Linotype" w:cs="Palatino Linotype"/>
        </w:rPr>
        <w:t xml:space="preserve">Por otra parte, respecto a la inconformidad del Recurrente sobre la excesiva cantidad de combustible dotada a ciertas unidades y en la que señaló: </w:t>
      </w:r>
      <w:r w:rsidRPr="001C5725">
        <w:rPr>
          <w:rFonts w:ascii="Palatino Linotype" w:eastAsia="Palatino Linotype" w:hAnsi="Palatino Linotype" w:cs="Palatino Linotype"/>
          <w:i/>
          <w:iCs/>
        </w:rPr>
        <w:t xml:space="preserve">“PORQUE HAY DOS UNIDADES A LAS QUE EL OPDAPAS DE TENANGO DEL VALLE DOTA DE EXCESIVA CANTIDAD DE COMBUSTIBLE DE UN DÍA PARA OTRO, EJEMPLO LA UNIDAD: RIO, PLACAS: NYJ6119, MARCA: KIA, COLOR: ROJO, MODELO: 2021 EN UN SOLO DÍA (04/06/2025) OPDAPAS DE </w:t>
      </w:r>
      <w:r w:rsidRPr="001C5725">
        <w:rPr>
          <w:rFonts w:ascii="Palatino Linotype" w:eastAsia="Palatino Linotype" w:hAnsi="Palatino Linotype" w:cs="Palatino Linotype"/>
          <w:i/>
          <w:iCs/>
        </w:rPr>
        <w:lastRenderedPageBreak/>
        <w:t xml:space="preserve">TENANGO DEL VALLE SE LE SUMINISTRÓ 162.829 LITROS DE COMBUSTIBLE; EL 23 DE JUNIO DE 2025 LE SUMINISTRÓ 45.177 LITROS DE COMBUSTIBLE Y AL DÍA SIGUIENTE 24 DE JUNIO DE 2025 LE SUMINISTRÓ 40.011 LITROS DE COMBUSTIBLE; LUEGO EN CUATRO DÍAS SEGUIDOS (DEL 07 AL 10 DE JULIO DE 2025) LE SUMINISTRÓ 151.187 LITROS DE COMBUSTIBLE Y CUATRO DÍAS DESPUÉS LE SUMINISTRAN OTROS 47.015 UNIDAD: RIO PLACAS: NYJ6119 MARCA: KIA COLOR: ROJO MODELO: 2021 A LA CUAL EL OPDAPAS DE TENANGO DEL VALLE DOTÓ LA SIGUIENTE CANTIDAD DE COMBUSTILE: EL 28/05/2025 46.18 LITROS SEGÚN LA BITÁCORA DEL PERIODO 26 DE MAYO AL 1 DE JUNIO DE 2025 PROPORCIONADA COMO RESPUESTA A OTRA SOLICITUD EL 04/06/2025 30 LITROS SEGÚN OTRA BITÁCORA TAMBIÉN DEL PERIODO 26 DE MAYO AL 1 DE JUNIO DE 2025 PROPORCIONADA COMO RESPUESTA A OTRA SOLICITUD EL 04/06/2025 43.459 LITROS SEGÚN OTRA BITÁCORA TAMBIÉN DEL PERIODO 26 DE MAYO AL 1 DE JUNIO DE 2025 PROPORCIONADA COMO RESPUESTA A OTRA SOLICITUD EL 04/06/2025 45.911 LITROS SEGÚN OTRA BITÁCORA TAMBIÉN DEL PERIODO 26 DE MAYO AL 1 DE JUNIO DE 2025 PROPORCIONADA COMO RESPUESTA A OTRA SOLICITUD EL 07/06/2025 40.004 LITROS LA BITÁCORA DEL PERIODO 9 DE JUNIO DE 2025 AL 15 DE JUNIO DE 2025 PROPORCIONADA COMO RESPUESTA A OTRA SOLICITUD EL 04/06/2025 43.459 LITROS SEGÚN OTRA BITÁCORA DEL PERIODO 9 DE JUNIO DE 2025 AL 15 DE JUNIO DE 2025 COMO RESPUESTA A OTRA SOLICITUD EL 23/06/2025 45.177 LITROS SEGÚN LA BITÁCORA DEL PERIODO 23 DE JUNIO DE 2025 AL 29 DE JUNIO DE 2025 PROPORCIONADA COMO RESPUESTA A OTRA SOLICITUD EL 24/06/2025 40.011 LITROS SEGÚN LA BITÁCORA DEL PERIODO 23 DE JUNIO DE 2025 AL 29 DE JUNIO DE 2025 PROPORCIONADA COMO RESPUESTA A OTRA SOLICITUD EL </w:t>
      </w:r>
      <w:r w:rsidRPr="001C5725">
        <w:rPr>
          <w:rFonts w:ascii="Palatino Linotype" w:eastAsia="Palatino Linotype" w:hAnsi="Palatino Linotype" w:cs="Palatino Linotype"/>
          <w:i/>
          <w:iCs/>
        </w:rPr>
        <w:lastRenderedPageBreak/>
        <w:t xml:space="preserve">07/07/2025 36.33 LITROS SEGÚN LA BITÁCORA DEL PERIODO 7 DE JULIO AL 14 DE JULIO DE 2025 PROPORCIONADA COMO RESPUESTA A OTRA SOLICITUD EL 07/07/2025 30 LITROS SEGÚN LA BITÁCORA DEL PERIODO 7 DE JULIO AL 14 DE JULIO DE 2025 PROPORCIONADA COMO RESPUESTA A OTRA SOLICITUD EL 08/07/2025 20 LITROS SEGÚN LA BITÁCORA DEL PERIODO 7 DE JULIO AL 14 DE JULIO DE 2025 PROPORCIONADA COMO RESPUESTA A OTRA SOLICITUD EL 09/07/2025 30 LITROS SEGÚN LA BITÁCORA DEL PERIODO 7 DE JULIO AL 14 DE JULIO DE 2025 PROPORCIONADA COMO RESPUESTA A OTRA SOLICITUD EL 10/07/2025 34.857 LITROS SEGÚN LA BITÁCORA DEL PERIODO 7 DE JULIO AL 14 DE JULIO DE 2025 PROPORCIONADA COMO RESPUESTA A OTRA SOLICITUD EL 14/07/2025 47.015 LITROS SEGÚN LA BITÁCORA DEL PERIODO 14 DE JULIO AL 20 DE JULIO DE 2025 PROPORCIONADA COMO RESPUESTA A OTRA SOLICITUD EL 24/07/2025 41.336 LITROS SEGÚN LA BITÁCORA DEL PERIODO 21 DE JULIO DEL 2025 AL 27 DE JULIO DE 2025 PROPORCIONADA COMO RESPUESTA A OTRA SOLICITUD EL 26/07/2025 32.484 LITROS SEGÚN LA BITÁCORA DEL PERIODO 21 DE JULIO DEL 2025 AL 27 DE JULIO DE 2025 PROPORCIONADA COMO RESPUESTA A OTRA SOLICITUD EL 31/07/2025 30 LITROS SEGÚN LA BITÁCORA DEL PERIODO 28 DE JULIO DE 2025 AL 03 DE AGOSTO DE 2025 PROPORCIONADA COMO RESPUESTA A OTRA SOLICITUD EL 02/08/2025 44.115LITROS SEGÚN LA BITÁCORA DEL PERIODO 28 DE JULIO DE 2025 AL 03 DE AGOSTO DE 2025 PROPORCIONADA COMO RESPUESTA A OTRA SOLICITUD UNIDAD: MUSTANG V6 COUPE PLACAS: MPE257B MARCA: FORD COLOR: GRIS MODELO: 2016 A LA CUAL EL OPDAPAS DE TENANGO DEL VALLE DOTÓ LA SIGUIENTE CANTIDAD DE COMBUSTILE: EL 30/05/2025 35 LITROS SEGÚN LA BITÁCORA DEL PERIODO 26 DE MAYO AL 1 DE JUNIO </w:t>
      </w:r>
      <w:r w:rsidRPr="001C5725">
        <w:rPr>
          <w:rFonts w:ascii="Palatino Linotype" w:eastAsia="Palatino Linotype" w:hAnsi="Palatino Linotype" w:cs="Palatino Linotype"/>
          <w:i/>
          <w:iCs/>
        </w:rPr>
        <w:lastRenderedPageBreak/>
        <w:t>DE 2025 PROPORCIONADA COMO RESPUESTA A OTRA SOLICITUD EL 06/06/2025 20 LITROS SEGÚN OTRA BITÁCORA TAMBIÉN DEL PERIODO 26 DE MAYO AL 1 DE JUNIO DE 2025 PROPORCIONADA COMO RESPUESTA A OTRA SOLICITUD EL 06/06/2025 35 LITROS SEGÚN LA BITÁCORA DEL PERIODO 9 DE JUNIO DE 2025 AL 15 DE JUNIO DE 2025 PROPORCIONADA COMO RESPUESTA A OTRA SOLICITUD EL 19/06/2025 35 LITROS SEGÚN LA BITÁCORA DEL PERIODO 16 DE JULIO DE 2025 AL 22 DE JULIO DE 2025 PROPORCIONADA COMO RESPUESTA A OTRA SOLICITUD EL 23/06/2025 20 LITROS SEGÚN LA BITÁCORA DEL PERIODO 23 DE JUNIO DE 2025 AL 29 DE JUNIO DE 2025 PROPORCIONADA COMO RESPUESTA A OTRA SOLICITUD EL 27/06/2025 35 LITROS SEGÚN LA BITÁCORA DEL PERIODO 23 DE JUNIO DE 2025 AL 29 DE JUNIO DE 2025 PROPORCIONADA COMO RESPUESTA A OTRA SOLICITUD EL 03/07/2025 35 LITROS SEGÚN LA BITÁCORA DEL PERIODO 30 DE JUNIO AL 7 DE JULIO DE 2025 PROPORCIONADA COMO RESPUESTA A OTRA SOLICITUD EL 15/07/2025 35 LITROS SEGÚN LA BITÁCORA DEL PERIODO 14 DE JULIO AL 20 DE JULIO DE 2025 PROPORCIONADA COMO RESPUESTA A OTRA SOLICITUD EL 29/07/2025 35 LITROS SEGÚN LA BITÁCORA DEL PERIODO 28 DE JULIO DE 2025 AL 03 DE AGOSTO DE 2025 PROPORCIONADA COMO RESPUESTA A OTRA SOLICITUD "</w:t>
      </w:r>
      <w:r w:rsidRPr="001C5725">
        <w:rPr>
          <w:rFonts w:ascii="Palatino Linotype" w:eastAsia="Palatino Linotype" w:hAnsi="Palatino Linotype" w:cs="Palatino Linotype"/>
        </w:rPr>
        <w:t xml:space="preserve">, se trata de manifestaciones subjetivas que no se satisfacen mediante el derecho de acceso a la información. </w:t>
      </w:r>
    </w:p>
    <w:p w:rsidR="006C5FE6" w:rsidRPr="001C5725" w:rsidRDefault="006C5FE6">
      <w:pPr>
        <w:pBdr>
          <w:top w:val="nil"/>
          <w:left w:val="nil"/>
          <w:bottom w:val="nil"/>
          <w:right w:val="nil"/>
          <w:between w:val="nil"/>
        </w:pBdr>
        <w:tabs>
          <w:tab w:val="left" w:pos="567"/>
        </w:tabs>
        <w:spacing w:line="360" w:lineRule="auto"/>
        <w:ind w:right="-876"/>
        <w:jc w:val="both"/>
        <w:rPr>
          <w:rFonts w:ascii="Palatino Linotype" w:eastAsia="Palatino Linotype" w:hAnsi="Palatino Linotype" w:cs="Palatino Linotype"/>
        </w:rPr>
      </w:pPr>
    </w:p>
    <w:p w:rsidR="006C5FE6" w:rsidRPr="001C5725" w:rsidRDefault="00201FB8">
      <w:pPr>
        <w:numPr>
          <w:ilvl w:val="0"/>
          <w:numId w:val="5"/>
        </w:numPr>
        <w:pBdr>
          <w:top w:val="nil"/>
          <w:left w:val="nil"/>
          <w:bottom w:val="nil"/>
          <w:right w:val="nil"/>
          <w:between w:val="nil"/>
        </w:pBdr>
        <w:tabs>
          <w:tab w:val="left" w:pos="567"/>
        </w:tabs>
        <w:spacing w:line="360" w:lineRule="auto"/>
        <w:ind w:left="0" w:right="-876" w:firstLine="0"/>
        <w:jc w:val="both"/>
        <w:rPr>
          <w:rFonts w:ascii="Palatino Linotype" w:eastAsia="Palatino Linotype" w:hAnsi="Palatino Linotype" w:cs="Palatino Linotype"/>
        </w:rPr>
      </w:pPr>
      <w:r w:rsidRPr="001C5725">
        <w:rPr>
          <w:rFonts w:ascii="Palatino Linotype" w:eastAsia="Palatino Linotype" w:hAnsi="Palatino Linotype" w:cs="Palatino Linotype"/>
        </w:rPr>
        <w:t xml:space="preserve">Dicha solicitud no constituye un derecho de acceso a la información pública, sino más bien un derecho de petición, debido a que se tratan de manifestaciones subjetivas vertidas por el entonces solicitante, interrogantes y declaraciones que no se colman con la entrega de </w:t>
      </w:r>
      <w:r w:rsidRPr="001C5725">
        <w:rPr>
          <w:rFonts w:ascii="Palatino Linotype" w:eastAsia="Palatino Linotype" w:hAnsi="Palatino Linotype" w:cs="Palatino Linotype"/>
        </w:rPr>
        <w:lastRenderedPageBreak/>
        <w:t xml:space="preserve">documentos, situación que conlleva a afirmar que se está en presencia del ejercicio del derecho enunciado. </w:t>
      </w:r>
    </w:p>
    <w:p w:rsidR="006C5FE6" w:rsidRPr="001C5725" w:rsidRDefault="006C5FE6">
      <w:pPr>
        <w:pBdr>
          <w:top w:val="nil"/>
          <w:left w:val="nil"/>
          <w:bottom w:val="nil"/>
          <w:right w:val="nil"/>
          <w:between w:val="nil"/>
        </w:pBdr>
        <w:tabs>
          <w:tab w:val="left" w:pos="567"/>
        </w:tabs>
        <w:spacing w:line="360" w:lineRule="auto"/>
        <w:ind w:right="-876"/>
        <w:jc w:val="both"/>
        <w:rPr>
          <w:rFonts w:ascii="Palatino Linotype" w:eastAsia="Palatino Linotype" w:hAnsi="Palatino Linotype" w:cs="Palatino Linotype"/>
        </w:rPr>
      </w:pPr>
    </w:p>
    <w:p w:rsidR="006C5FE6" w:rsidRPr="001C5725" w:rsidRDefault="00201FB8">
      <w:pPr>
        <w:numPr>
          <w:ilvl w:val="0"/>
          <w:numId w:val="5"/>
        </w:numPr>
        <w:pBdr>
          <w:top w:val="nil"/>
          <w:left w:val="nil"/>
          <w:bottom w:val="nil"/>
          <w:right w:val="nil"/>
          <w:between w:val="nil"/>
        </w:pBdr>
        <w:tabs>
          <w:tab w:val="left" w:pos="567"/>
        </w:tabs>
        <w:spacing w:line="360" w:lineRule="auto"/>
        <w:ind w:left="0" w:right="-876" w:firstLine="0"/>
        <w:jc w:val="both"/>
        <w:rPr>
          <w:rFonts w:ascii="Palatino Linotype" w:eastAsia="Palatino Linotype" w:hAnsi="Palatino Linotype" w:cs="Palatino Linotype"/>
        </w:rPr>
      </w:pPr>
      <w:r w:rsidRPr="001C5725">
        <w:rPr>
          <w:rFonts w:ascii="Palatino Linotype" w:eastAsia="Palatino Linotype" w:hAnsi="Palatino Linotype" w:cs="Palatino Linotype"/>
        </w:rPr>
        <w:t xml:space="preserve">Bajo ese contexto, es importante dejar en claro lo que debe entenderse por derecho de petición y por derecho de acceso a la información pública. Por lo que respecta a la definición de Derecho de Petición, el Maestro Ignacio Burgoa Orihuela refiere: </w:t>
      </w:r>
    </w:p>
    <w:p w:rsidR="006C5FE6" w:rsidRPr="001C5725" w:rsidRDefault="00201FB8">
      <w:pPr>
        <w:spacing w:line="360" w:lineRule="auto"/>
        <w:ind w:left="851" w:right="-876"/>
        <w:jc w:val="both"/>
        <w:rPr>
          <w:rFonts w:ascii="Palatino Linotype" w:eastAsia="Palatino Linotype" w:hAnsi="Palatino Linotype" w:cs="Palatino Linotype"/>
          <w:i/>
          <w:iCs/>
        </w:rPr>
      </w:pPr>
      <w:r w:rsidRPr="001C5725">
        <w:rPr>
          <w:rFonts w:ascii="Palatino Linotype" w:eastAsia="Palatino Linotype" w:hAnsi="Palatino Linotype" w:cs="Palatino Linotype"/>
          <w:b/>
          <w:bCs/>
        </w:rPr>
        <w:t>“</w:t>
      </w:r>
      <w:r w:rsidRPr="001C5725">
        <w:rPr>
          <w:rFonts w:ascii="Palatino Linotype" w:eastAsia="Palatino Linotype" w:hAnsi="Palatino Linotype" w:cs="Palatino Linotype"/>
        </w:rPr>
        <w:t>…</w:t>
      </w:r>
      <w:r w:rsidRPr="001C5725">
        <w:rPr>
          <w:rFonts w:ascii="Palatino Linotype" w:eastAsia="Palatino Linotype" w:hAnsi="Palatino Linotype" w:cs="Palatino Linotype"/>
          <w:i/>
          <w:iCs/>
        </w:rPr>
        <w:t>es un Derecho Público subjetivo individual de la Garantía Respectiva Consagrada en el Artículo 8 de la Ley Fundamental. En tal virtud, la persona tiene la facultad de acudir a cualquier autoridad, formulando una solicitud o instancia escrito de cualquier índole, la cual adopta, específicamente, el carácter de simple petición administrativa, acción o recurso, etc.</w:t>
      </w:r>
      <w:r w:rsidRPr="001C5725">
        <w:rPr>
          <w:rFonts w:ascii="Palatino Linotype" w:eastAsia="Palatino Linotype" w:hAnsi="Palatino Linotype" w:cs="Palatino Linotype"/>
          <w:b/>
          <w:bCs/>
          <w:i/>
          <w:iCs/>
        </w:rPr>
        <w:t>“</w:t>
      </w:r>
      <w:r w:rsidRPr="001C5725">
        <w:rPr>
          <w:rFonts w:ascii="Palatino Linotype" w:eastAsia="Palatino Linotype" w:hAnsi="Palatino Linotype" w:cs="Palatino Linotype"/>
          <w:i/>
          <w:iCs/>
        </w:rPr>
        <w:t xml:space="preserve"> (sic)</w:t>
      </w:r>
    </w:p>
    <w:p w:rsidR="006C5FE6" w:rsidRPr="001C5725" w:rsidRDefault="006C5FE6">
      <w:pPr>
        <w:spacing w:line="360" w:lineRule="auto"/>
        <w:ind w:left="720" w:right="-876"/>
        <w:jc w:val="both"/>
        <w:rPr>
          <w:rFonts w:ascii="Palatino Linotype" w:eastAsia="Palatino Linotype" w:hAnsi="Palatino Linotype" w:cs="Palatino Linotype"/>
          <w:i/>
          <w:iCs/>
        </w:rPr>
      </w:pPr>
    </w:p>
    <w:p w:rsidR="006C5FE6" w:rsidRPr="001C5725" w:rsidRDefault="00201FB8">
      <w:pPr>
        <w:numPr>
          <w:ilvl w:val="0"/>
          <w:numId w:val="5"/>
        </w:numPr>
        <w:spacing w:line="360" w:lineRule="auto"/>
        <w:ind w:left="0" w:right="-876" w:firstLine="0"/>
        <w:jc w:val="both"/>
        <w:rPr>
          <w:rFonts w:ascii="Palatino Linotype" w:eastAsia="Palatino Linotype" w:hAnsi="Palatino Linotype" w:cs="Palatino Linotype"/>
        </w:rPr>
      </w:pPr>
      <w:r w:rsidRPr="001C5725">
        <w:rPr>
          <w:rFonts w:ascii="Palatino Linotype" w:eastAsia="Palatino Linotype" w:hAnsi="Palatino Linotype" w:cs="Palatino Linotype"/>
        </w:rPr>
        <w:t xml:space="preserve">Por su parte, David Cienfuegos Salgado, concibe al derecho de petición como: </w:t>
      </w:r>
    </w:p>
    <w:p w:rsidR="006C5FE6" w:rsidRPr="001C5725" w:rsidRDefault="00201FB8">
      <w:pPr>
        <w:spacing w:line="276" w:lineRule="auto"/>
        <w:ind w:left="720" w:right="-876"/>
        <w:jc w:val="both"/>
        <w:rPr>
          <w:rFonts w:ascii="Palatino Linotype" w:eastAsia="Palatino Linotype" w:hAnsi="Palatino Linotype" w:cs="Palatino Linotype"/>
          <w:i/>
          <w:iCs/>
        </w:rPr>
      </w:pPr>
      <w:r w:rsidRPr="001C5725">
        <w:rPr>
          <w:rFonts w:ascii="Palatino Linotype" w:eastAsia="Palatino Linotype" w:hAnsi="Palatino Linotype" w:cs="Palatino Linotype"/>
          <w:b/>
          <w:bCs/>
          <w:i/>
          <w:iCs/>
        </w:rPr>
        <w:t>“</w:t>
      </w:r>
      <w:r w:rsidRPr="001C5725">
        <w:rPr>
          <w:rFonts w:ascii="Palatino Linotype" w:eastAsia="Palatino Linotype" w:hAnsi="Palatino Linotype" w:cs="Palatino Linotype"/>
          <w:i/>
          <w:iCs/>
        </w:rPr>
        <w:t>el derecho de toda persona a ser escuchado por quienes ejercen el poder público.</w:t>
      </w:r>
      <w:r w:rsidRPr="001C5725">
        <w:rPr>
          <w:rFonts w:ascii="Palatino Linotype" w:eastAsia="Palatino Linotype" w:hAnsi="Palatino Linotype" w:cs="Palatino Linotype"/>
          <w:b/>
          <w:bCs/>
          <w:i/>
          <w:iCs/>
        </w:rPr>
        <w:t>”</w:t>
      </w:r>
      <w:r w:rsidRPr="001C5725">
        <w:rPr>
          <w:rFonts w:ascii="Palatino Linotype" w:eastAsia="Palatino Linotype" w:hAnsi="Palatino Linotype" w:cs="Palatino Linotype"/>
          <w:i/>
          <w:iCs/>
        </w:rPr>
        <w:t xml:space="preserve"> (sic) </w:t>
      </w:r>
    </w:p>
    <w:p w:rsidR="006C5FE6" w:rsidRPr="001C5725" w:rsidRDefault="006C5FE6">
      <w:pPr>
        <w:spacing w:line="276" w:lineRule="auto"/>
        <w:ind w:right="-876"/>
        <w:jc w:val="both"/>
        <w:rPr>
          <w:rFonts w:ascii="Palatino Linotype" w:eastAsia="Palatino Linotype" w:hAnsi="Palatino Linotype" w:cs="Palatino Linotype"/>
          <w:i/>
          <w:iCs/>
        </w:rPr>
      </w:pPr>
    </w:p>
    <w:p w:rsidR="006C5FE6" w:rsidRPr="001C5725" w:rsidRDefault="00201FB8">
      <w:pPr>
        <w:numPr>
          <w:ilvl w:val="0"/>
          <w:numId w:val="5"/>
        </w:numPr>
        <w:spacing w:line="360" w:lineRule="auto"/>
        <w:ind w:left="0" w:right="-876" w:firstLine="0"/>
        <w:jc w:val="both"/>
        <w:rPr>
          <w:rFonts w:ascii="Palatino Linotype" w:eastAsia="Palatino Linotype" w:hAnsi="Palatino Linotype" w:cs="Palatino Linotype"/>
        </w:rPr>
      </w:pPr>
      <w:r w:rsidRPr="001C5725">
        <w:rPr>
          <w:rFonts w:ascii="Palatino Linotype" w:eastAsia="Palatino Linotype" w:hAnsi="Palatino Linotype" w:cs="Palatino Linotype"/>
        </w:rPr>
        <w:t xml:space="preserve"> A este respecto, para diferenciar el derecho de petición al derecho de acceso a la información, resulta conducente señalar que José Guadalupe Robles, conceptualiza el derecho a la información como: </w:t>
      </w:r>
    </w:p>
    <w:p w:rsidR="006C5FE6" w:rsidRPr="001C5725" w:rsidRDefault="00201FB8">
      <w:pPr>
        <w:spacing w:line="360" w:lineRule="auto"/>
        <w:ind w:left="851" w:right="-876"/>
        <w:jc w:val="both"/>
        <w:rPr>
          <w:rFonts w:ascii="Palatino Linotype" w:eastAsia="Palatino Linotype" w:hAnsi="Palatino Linotype" w:cs="Palatino Linotype"/>
          <w:i/>
          <w:iCs/>
        </w:rPr>
      </w:pPr>
      <w:r w:rsidRPr="001C5725">
        <w:rPr>
          <w:rFonts w:ascii="Palatino Linotype" w:eastAsia="Palatino Linotype" w:hAnsi="Palatino Linotype" w:cs="Palatino Linotype"/>
          <w:b/>
          <w:bCs/>
          <w:i/>
          <w:iCs/>
        </w:rPr>
        <w:t>“</w:t>
      </w:r>
      <w:r w:rsidRPr="001C5725">
        <w:rPr>
          <w:rFonts w:ascii="Palatino Linotype" w:eastAsia="Palatino Linotype" w:hAnsi="Palatino Linotype" w:cs="Palatino Linotype"/>
          <w:i/>
          <w:iCs/>
        </w:rPr>
        <w:t>un derecho fundamental tanto de carácter individual como colectivo, cuyas limitaciones deben estar establecidas en la ley, así como una garantía de que la información sea transmitida con claridad y objetividad, por cuanto a que es un bien jurídico que coadyuva al desarrollo de las personas y a la formación de opinión pública de calidad para poder participar y luego influir en la vida pública.</w:t>
      </w:r>
      <w:r w:rsidRPr="001C5725">
        <w:rPr>
          <w:rFonts w:ascii="Palatino Linotype" w:eastAsia="Palatino Linotype" w:hAnsi="Palatino Linotype" w:cs="Palatino Linotype"/>
          <w:b/>
          <w:bCs/>
          <w:i/>
          <w:iCs/>
        </w:rPr>
        <w:t>”</w:t>
      </w:r>
      <w:r w:rsidRPr="001C5725">
        <w:rPr>
          <w:rFonts w:ascii="Palatino Linotype" w:eastAsia="Palatino Linotype" w:hAnsi="Palatino Linotype" w:cs="Palatino Linotype"/>
          <w:i/>
          <w:iCs/>
        </w:rPr>
        <w:t xml:space="preserve"> (sic) </w:t>
      </w:r>
    </w:p>
    <w:p w:rsidR="006C5FE6" w:rsidRPr="001C5725" w:rsidRDefault="00201FB8">
      <w:pPr>
        <w:numPr>
          <w:ilvl w:val="0"/>
          <w:numId w:val="5"/>
        </w:numPr>
        <w:spacing w:line="360" w:lineRule="auto"/>
        <w:ind w:left="0" w:right="-876" w:firstLine="0"/>
        <w:jc w:val="both"/>
        <w:rPr>
          <w:rFonts w:ascii="Palatino Linotype" w:eastAsia="Palatino Linotype" w:hAnsi="Palatino Linotype" w:cs="Palatino Linotype"/>
        </w:rPr>
      </w:pPr>
      <w:r w:rsidRPr="001C5725">
        <w:rPr>
          <w:rFonts w:ascii="Palatino Linotype" w:eastAsia="Palatino Linotype" w:hAnsi="Palatino Linotype" w:cs="Palatino Linotype"/>
        </w:rPr>
        <w:lastRenderedPageBreak/>
        <w:t xml:space="preserve">Ahora bien, el derecho de acceso a la información pública por disposición del artículo 4 de la Ley de Transparencia y Acceso a la Información Pública del Estado de México y Municipios es la prerrogativa de las personas para buscar, difundir, investigar, recabar, recibir y solicitar información pública.  </w:t>
      </w:r>
    </w:p>
    <w:p w:rsidR="006C5FE6" w:rsidRPr="001C5725" w:rsidRDefault="006C5FE6">
      <w:pPr>
        <w:spacing w:line="360" w:lineRule="auto"/>
        <w:ind w:right="-876"/>
        <w:jc w:val="both"/>
        <w:rPr>
          <w:rFonts w:ascii="Palatino Linotype" w:eastAsia="Palatino Linotype" w:hAnsi="Palatino Linotype" w:cs="Palatino Linotype"/>
        </w:rPr>
      </w:pPr>
    </w:p>
    <w:p w:rsidR="006C5FE6" w:rsidRPr="001C5725" w:rsidRDefault="00201FB8">
      <w:pPr>
        <w:numPr>
          <w:ilvl w:val="0"/>
          <w:numId w:val="5"/>
        </w:numPr>
        <w:spacing w:line="360" w:lineRule="auto"/>
        <w:ind w:left="0" w:right="-876" w:firstLine="0"/>
        <w:jc w:val="both"/>
        <w:rPr>
          <w:rFonts w:ascii="Palatino Linotype" w:eastAsia="Palatino Linotype" w:hAnsi="Palatino Linotype" w:cs="Palatino Linotype"/>
        </w:rPr>
      </w:pPr>
      <w:r w:rsidRPr="001C5725">
        <w:rPr>
          <w:rFonts w:ascii="Palatino Linotype" w:eastAsia="Palatino Linotype" w:hAnsi="Palatino Linotype" w:cs="Palatino Linotype"/>
        </w:rPr>
        <w:t xml:space="preserve">Es por ello que, el derecho de acceso a la información pública, implica el conocimiento de los particulares de la información contenida en los documentos que posean los órganos del estado; incluso se impone la obligación a las autoridades de preservar sus documentos en archivos administrativos actualizados.  </w:t>
      </w:r>
    </w:p>
    <w:p w:rsidR="006C5FE6" w:rsidRPr="001C5725" w:rsidRDefault="006C5FE6">
      <w:pPr>
        <w:spacing w:line="360" w:lineRule="auto"/>
        <w:ind w:right="-876"/>
        <w:jc w:val="both"/>
        <w:rPr>
          <w:rFonts w:ascii="Palatino Linotype" w:eastAsia="Palatino Linotype" w:hAnsi="Palatino Linotype" w:cs="Palatino Linotype"/>
        </w:rPr>
      </w:pPr>
    </w:p>
    <w:p w:rsidR="006C5FE6" w:rsidRPr="001C5725" w:rsidRDefault="00201FB8">
      <w:pPr>
        <w:numPr>
          <w:ilvl w:val="0"/>
          <w:numId w:val="5"/>
        </w:numPr>
        <w:spacing w:line="360" w:lineRule="auto"/>
        <w:ind w:left="0" w:right="-876" w:firstLine="0"/>
        <w:jc w:val="both"/>
        <w:rPr>
          <w:rFonts w:ascii="Palatino Linotype" w:eastAsia="Palatino Linotype" w:hAnsi="Palatino Linotype" w:cs="Palatino Linotype"/>
        </w:rPr>
      </w:pPr>
      <w:r w:rsidRPr="001C5725">
        <w:rPr>
          <w:rFonts w:ascii="Palatino Linotype" w:eastAsia="Palatino Linotype" w:hAnsi="Palatino Linotype" w:cs="Palatino Linotype"/>
        </w:rPr>
        <w:t xml:space="preserve">Por tanto, para que los Sujetos Obligados hagan efectivo este derecho deben poner a disposición de los particulares los documentos en los que conste el ejercicio de sus atribuciones legales o que por cualquier circunstancia obre en sus archivos, en virtud de que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Ley de Transparencia vigente en nuestra entidad y demás disposiciones de la materia, privilegiando el principio de máxima publicidad de la información. </w:t>
      </w:r>
    </w:p>
    <w:p w:rsidR="006C5FE6" w:rsidRPr="001C5725" w:rsidRDefault="006C5FE6">
      <w:pPr>
        <w:spacing w:line="360" w:lineRule="auto"/>
        <w:ind w:right="-876"/>
        <w:jc w:val="both"/>
        <w:rPr>
          <w:rFonts w:ascii="Palatino Linotype" w:eastAsia="Palatino Linotype" w:hAnsi="Palatino Linotype" w:cs="Palatino Linotype"/>
        </w:rPr>
      </w:pPr>
    </w:p>
    <w:p w:rsidR="006C5FE6" w:rsidRPr="001C5725" w:rsidRDefault="00201FB8">
      <w:pPr>
        <w:numPr>
          <w:ilvl w:val="0"/>
          <w:numId w:val="5"/>
        </w:numPr>
        <w:spacing w:line="360" w:lineRule="auto"/>
        <w:ind w:left="0" w:right="-876" w:firstLine="0"/>
        <w:jc w:val="both"/>
        <w:rPr>
          <w:rFonts w:ascii="Palatino Linotype" w:eastAsia="Palatino Linotype" w:hAnsi="Palatino Linotype" w:cs="Palatino Linotype"/>
        </w:rPr>
      </w:pPr>
      <w:r w:rsidRPr="001C5725">
        <w:rPr>
          <w:rFonts w:ascii="Palatino Linotype" w:eastAsia="Palatino Linotype" w:hAnsi="Palatino Linotype" w:cs="Palatino Linotype"/>
        </w:rPr>
        <w:t xml:space="preserve">En esa tesitura, los Sujetos Obligados deberán poner en práctica, políticas y programas de acceso a la información que se apeguen a criterios de publicidad, veracidad, oportunidad, precisión y suficiencia en beneficio de los solicitantes, conforme a los artículos 3 fracciones XI </w:t>
      </w:r>
      <w:r w:rsidRPr="001C5725">
        <w:rPr>
          <w:rFonts w:ascii="Palatino Linotype" w:eastAsia="Palatino Linotype" w:hAnsi="Palatino Linotype" w:cs="Palatino Linotype"/>
        </w:rPr>
        <w:lastRenderedPageBreak/>
        <w:t>y XXII; 4; 11 y 41 de la Ley de Transparencia y Acceso a la Información Pública del Estado de México y Municipios; de los cuales se deduce que el ejercicio del derecho de acceso a la información pública se centra en la potestad de los particulares para conocer el contenido de los documentos que obren en los archivos de los Sujetos Obligados, ya sea porque los generen en el uso de sus atribuciones, los administren o simplemente los posean.</w:t>
      </w:r>
    </w:p>
    <w:p w:rsidR="006C5FE6" w:rsidRPr="001C5725" w:rsidRDefault="006C5FE6">
      <w:pPr>
        <w:spacing w:line="360" w:lineRule="auto"/>
        <w:ind w:right="-876"/>
        <w:jc w:val="both"/>
        <w:rPr>
          <w:rFonts w:ascii="Palatino Linotype" w:eastAsia="Palatino Linotype" w:hAnsi="Palatino Linotype" w:cs="Palatino Linotype"/>
        </w:rPr>
      </w:pPr>
    </w:p>
    <w:p w:rsidR="006C5FE6" w:rsidRDefault="00201FB8">
      <w:pPr>
        <w:numPr>
          <w:ilvl w:val="0"/>
          <w:numId w:val="5"/>
        </w:numPr>
        <w:spacing w:line="360" w:lineRule="auto"/>
        <w:ind w:left="0" w:right="-876" w:firstLine="0"/>
        <w:jc w:val="both"/>
        <w:rPr>
          <w:rFonts w:ascii="Palatino Linotype" w:eastAsia="Palatino Linotype" w:hAnsi="Palatino Linotype" w:cs="Palatino Linotype"/>
        </w:rPr>
      </w:pPr>
      <w:r w:rsidRPr="001C5725">
        <w:rPr>
          <w:rFonts w:ascii="Palatino Linotype" w:eastAsia="Palatino Linotype" w:hAnsi="Palatino Linotype" w:cs="Palatino Linotype"/>
        </w:rPr>
        <w:t>Para ello, la Ley de la materia otorga la calidad de documento a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1C5725" w:rsidRPr="001C5725" w:rsidRDefault="001C5725" w:rsidP="001C5725">
      <w:pPr>
        <w:spacing w:line="360" w:lineRule="auto"/>
        <w:ind w:right="-876"/>
        <w:jc w:val="both"/>
        <w:rPr>
          <w:rFonts w:ascii="Palatino Linotype" w:eastAsia="Palatino Linotype" w:hAnsi="Palatino Linotype" w:cs="Palatino Linotype"/>
        </w:rPr>
      </w:pPr>
    </w:p>
    <w:p w:rsidR="006C5FE6" w:rsidRPr="001C5725" w:rsidRDefault="00201FB8">
      <w:pPr>
        <w:numPr>
          <w:ilvl w:val="0"/>
          <w:numId w:val="5"/>
        </w:numPr>
        <w:spacing w:line="360" w:lineRule="auto"/>
        <w:ind w:left="0" w:right="-876" w:firstLine="0"/>
        <w:jc w:val="both"/>
        <w:rPr>
          <w:rFonts w:ascii="Palatino Linotype" w:eastAsia="Palatino Linotype" w:hAnsi="Palatino Linotype" w:cs="Palatino Linotype"/>
        </w:rPr>
      </w:pPr>
      <w:r w:rsidRPr="001C5725">
        <w:rPr>
          <w:rFonts w:ascii="Palatino Linotype" w:eastAsia="Palatino Linotype" w:hAnsi="Palatino Linotype" w:cs="Palatino Linotype"/>
        </w:rPr>
        <w:t>Por otro lado, así como la Constitución y la Ley de la materia otorgan a los particulares el derecho de acceder a los documentos generados o en posesión de las autoridades; también lo es que la obligación de proporcionar información no comprende el procesamiento de la misma, ni el presentarla conforme al interés del solicitante ya que no están constreñidos a generarla, resumir, efectuar cálculos o practicar investigaciones.</w:t>
      </w:r>
    </w:p>
    <w:p w:rsidR="006C5FE6" w:rsidRPr="001C5725" w:rsidRDefault="006C5FE6">
      <w:pPr>
        <w:spacing w:line="360" w:lineRule="auto"/>
        <w:ind w:right="-876"/>
        <w:jc w:val="both"/>
        <w:rPr>
          <w:rFonts w:ascii="Palatino Linotype" w:eastAsia="Palatino Linotype" w:hAnsi="Palatino Linotype" w:cs="Palatino Linotype"/>
        </w:rPr>
      </w:pPr>
    </w:p>
    <w:p w:rsidR="006C5FE6" w:rsidRPr="001C5725" w:rsidRDefault="00201FB8">
      <w:pPr>
        <w:numPr>
          <w:ilvl w:val="0"/>
          <w:numId w:val="5"/>
        </w:numPr>
        <w:spacing w:line="360" w:lineRule="auto"/>
        <w:ind w:left="0" w:right="-876" w:firstLine="0"/>
        <w:jc w:val="both"/>
        <w:rPr>
          <w:rFonts w:ascii="Palatino Linotype" w:eastAsia="Palatino Linotype" w:hAnsi="Palatino Linotype" w:cs="Palatino Linotype"/>
        </w:rPr>
      </w:pPr>
      <w:r w:rsidRPr="001C5725">
        <w:rPr>
          <w:rFonts w:ascii="Palatino Linotype" w:eastAsia="Palatino Linotype" w:hAnsi="Palatino Linotype" w:cs="Palatino Linotype"/>
        </w:rPr>
        <w:t xml:space="preserve">Corolario a lo anterior, el doctrinario Ernesto Villanueva Villanueva define al derecho de acceso a la información como: </w:t>
      </w:r>
    </w:p>
    <w:p w:rsidR="006C5FE6" w:rsidRPr="001C5725" w:rsidRDefault="00201FB8">
      <w:pPr>
        <w:spacing w:line="276" w:lineRule="auto"/>
        <w:ind w:left="720" w:right="-876"/>
        <w:jc w:val="both"/>
        <w:rPr>
          <w:rFonts w:ascii="Palatino Linotype" w:eastAsia="Palatino Linotype" w:hAnsi="Palatino Linotype" w:cs="Palatino Linotype"/>
          <w:i/>
          <w:iCs/>
        </w:rPr>
      </w:pPr>
      <w:r w:rsidRPr="001C5725">
        <w:rPr>
          <w:rFonts w:ascii="Palatino Linotype" w:eastAsia="Palatino Linotype" w:hAnsi="Palatino Linotype" w:cs="Palatino Linotype"/>
          <w:b/>
          <w:bCs/>
          <w:i/>
          <w:iCs/>
        </w:rPr>
        <w:lastRenderedPageBreak/>
        <w:t>“</w:t>
      </w:r>
      <w:r w:rsidRPr="001C5725">
        <w:rPr>
          <w:rFonts w:ascii="Palatino Linotype" w:eastAsia="Palatino Linotype" w:hAnsi="Palatino Linotype" w:cs="Palatino Linotype"/>
          <w:i/>
          <w:iCs/>
        </w:rPr>
        <w:t>la prerrogativa de la persona para acceder a datos, registros y todo tipo de informaciones en poder de entidades públicas y empresas privadas que ejercen gasto público o cumplen funciones de autoridad, con las excepciones taxativas que establezca la ley en una sociedad democrática.</w:t>
      </w:r>
      <w:r w:rsidRPr="001C5725">
        <w:rPr>
          <w:rFonts w:ascii="Palatino Linotype" w:eastAsia="Palatino Linotype" w:hAnsi="Palatino Linotype" w:cs="Palatino Linotype"/>
          <w:b/>
          <w:bCs/>
          <w:i/>
          <w:iCs/>
        </w:rPr>
        <w:t>”</w:t>
      </w:r>
      <w:r w:rsidRPr="001C5725">
        <w:rPr>
          <w:rFonts w:ascii="Palatino Linotype" w:eastAsia="Palatino Linotype" w:hAnsi="Palatino Linotype" w:cs="Palatino Linotype"/>
          <w:i/>
          <w:iCs/>
          <w:vertAlign w:val="superscript"/>
        </w:rPr>
        <w:t xml:space="preserve"> </w:t>
      </w:r>
      <w:r w:rsidRPr="001C5725">
        <w:rPr>
          <w:rFonts w:ascii="Palatino Linotype" w:eastAsia="Palatino Linotype" w:hAnsi="Palatino Linotype" w:cs="Palatino Linotype"/>
          <w:i/>
          <w:iCs/>
        </w:rPr>
        <w:t xml:space="preserve">(sic) </w:t>
      </w:r>
    </w:p>
    <w:p w:rsidR="006C5FE6" w:rsidRPr="001C5725" w:rsidRDefault="006C5FE6">
      <w:pPr>
        <w:spacing w:line="360" w:lineRule="auto"/>
        <w:ind w:left="720" w:right="-876"/>
        <w:jc w:val="both"/>
        <w:rPr>
          <w:rFonts w:ascii="Palatino Linotype" w:eastAsia="Palatino Linotype" w:hAnsi="Palatino Linotype" w:cs="Palatino Linotype"/>
          <w:i/>
          <w:iCs/>
        </w:rPr>
      </w:pPr>
    </w:p>
    <w:p w:rsidR="006C5FE6" w:rsidRPr="001C5725" w:rsidRDefault="00201FB8">
      <w:pPr>
        <w:numPr>
          <w:ilvl w:val="0"/>
          <w:numId w:val="5"/>
        </w:numPr>
        <w:spacing w:line="360" w:lineRule="auto"/>
        <w:ind w:left="0" w:right="-876" w:firstLine="0"/>
        <w:jc w:val="both"/>
        <w:rPr>
          <w:rFonts w:ascii="Palatino Linotype" w:eastAsia="Palatino Linotype" w:hAnsi="Palatino Linotype" w:cs="Palatino Linotype"/>
          <w:b/>
          <w:bCs/>
        </w:rPr>
      </w:pPr>
      <w:r w:rsidRPr="001C5725">
        <w:rPr>
          <w:rFonts w:ascii="Palatino Linotype" w:eastAsia="Palatino Linotype" w:hAnsi="Palatino Linotype" w:cs="Palatino Linotype"/>
        </w:rPr>
        <w:t xml:space="preserve">De lo anterior, se puede concluir que la distinción entre el derecho de petición y el derecho de acceso a la información estriba principalmente en que en el primero de ellos, </w:t>
      </w:r>
      <w:r w:rsidRPr="001C5725">
        <w:rPr>
          <w:rFonts w:ascii="Palatino Linotype" w:eastAsia="Palatino Linotype" w:hAnsi="Palatino Linotype" w:cs="Palatino Linotype"/>
          <w:color w:val="000000"/>
        </w:rPr>
        <w:t xml:space="preserve">la pretensión del peticionario consiste generalmente en obligar a la autoridad responsable a que actúe en el sentido de contestar lo solicitado, mientras que en el </w:t>
      </w:r>
      <w:r w:rsidRPr="001C5725">
        <w:rPr>
          <w:rFonts w:ascii="Palatino Linotype" w:eastAsia="Palatino Linotype" w:hAnsi="Palatino Linotype" w:cs="Palatino Linotype"/>
        </w:rPr>
        <w:t xml:space="preserve">segundo supuesto </w:t>
      </w:r>
      <w:r w:rsidRPr="001C5725">
        <w:rPr>
          <w:rFonts w:ascii="Palatino Linotype" w:eastAsia="Palatino Linotype" w:hAnsi="Palatino Linotype" w:cs="Palatino Linotype"/>
          <w:b/>
          <w:bCs/>
          <w:u w:val="single"/>
        </w:rPr>
        <w:t xml:space="preserve">la solicitud de acceso a la información pública se encamina primordialmente a permitir el acceso a datos, registros y todo tipo de información pública que consten en documentos, sea generada o se encuentre en posesión de la autoridad. </w:t>
      </w:r>
    </w:p>
    <w:p w:rsidR="006C5FE6" w:rsidRPr="001C5725" w:rsidRDefault="006C5FE6">
      <w:pPr>
        <w:spacing w:line="360" w:lineRule="auto"/>
        <w:ind w:right="-876"/>
        <w:jc w:val="both"/>
        <w:rPr>
          <w:rFonts w:ascii="Palatino Linotype" w:eastAsia="Palatino Linotype" w:hAnsi="Palatino Linotype" w:cs="Palatino Linotype"/>
          <w:b/>
          <w:bCs/>
          <w:u w:val="single"/>
        </w:rPr>
      </w:pPr>
    </w:p>
    <w:p w:rsidR="006C5FE6" w:rsidRPr="001C5725" w:rsidRDefault="00201FB8">
      <w:pPr>
        <w:numPr>
          <w:ilvl w:val="0"/>
          <w:numId w:val="5"/>
        </w:numPr>
        <w:spacing w:line="360" w:lineRule="auto"/>
        <w:ind w:left="0" w:right="-876" w:firstLine="0"/>
        <w:jc w:val="both"/>
        <w:rPr>
          <w:rFonts w:ascii="Palatino Linotype" w:eastAsia="Palatino Linotype" w:hAnsi="Palatino Linotype" w:cs="Palatino Linotype"/>
        </w:rPr>
      </w:pPr>
      <w:r w:rsidRPr="001C5725">
        <w:rPr>
          <w:rFonts w:ascii="Palatino Linotype" w:eastAsia="Palatino Linotype" w:hAnsi="Palatino Linotype" w:cs="Palatino Linotype"/>
        </w:rPr>
        <w:t xml:space="preserve">Por lo que la entrega de una razón o un razonamiento por parte de </w:t>
      </w:r>
      <w:r w:rsidRPr="001C5725">
        <w:rPr>
          <w:rFonts w:ascii="Palatino Linotype" w:eastAsia="Palatino Linotype" w:hAnsi="Palatino Linotype" w:cs="Palatino Linotype"/>
          <w:b/>
          <w:bCs/>
        </w:rPr>
        <w:t>EL SUJETO OBLIGADO</w:t>
      </w:r>
      <w:r w:rsidRPr="001C5725">
        <w:rPr>
          <w:rFonts w:ascii="Palatino Linotype" w:eastAsia="Palatino Linotype" w:hAnsi="Palatino Linotype" w:cs="Palatino Linotype"/>
        </w:rPr>
        <w:t xml:space="preserve"> no es algo que la ley establezca como atribución, derecho, o facultad; pues ello implicaría un juicio de valor referente a un cuestionamiento realizado, los cuales, al constituir interrogantes, inquietudes y manifestaciones se satisfacen vía derecho de petición. </w:t>
      </w:r>
    </w:p>
    <w:p w:rsidR="006C5FE6" w:rsidRPr="001C5725" w:rsidRDefault="006C5FE6">
      <w:pPr>
        <w:spacing w:line="360" w:lineRule="auto"/>
        <w:ind w:left="360" w:right="-876"/>
        <w:jc w:val="both"/>
        <w:rPr>
          <w:rFonts w:ascii="Palatino Linotype" w:eastAsia="Palatino Linotype" w:hAnsi="Palatino Linotype" w:cs="Palatino Linotype"/>
        </w:rPr>
      </w:pPr>
    </w:p>
    <w:p w:rsidR="006C5FE6" w:rsidRPr="001C5725" w:rsidRDefault="00201FB8">
      <w:pPr>
        <w:numPr>
          <w:ilvl w:val="0"/>
          <w:numId w:val="5"/>
        </w:numPr>
        <w:pBdr>
          <w:top w:val="nil"/>
          <w:left w:val="nil"/>
          <w:bottom w:val="nil"/>
          <w:right w:val="nil"/>
          <w:between w:val="nil"/>
        </w:pBdr>
        <w:tabs>
          <w:tab w:val="left" w:pos="567"/>
        </w:tabs>
        <w:spacing w:line="360" w:lineRule="auto"/>
        <w:ind w:left="0" w:right="-876" w:firstLine="0"/>
        <w:jc w:val="both"/>
        <w:rPr>
          <w:rFonts w:ascii="Palatino Linotype" w:eastAsia="Palatino Linotype" w:hAnsi="Palatino Linotype" w:cs="Palatino Linotype"/>
        </w:rPr>
      </w:pPr>
      <w:r w:rsidRPr="001C5725">
        <w:rPr>
          <w:rFonts w:ascii="Palatino Linotype" w:eastAsia="Palatino Linotype" w:hAnsi="Palatino Linotype" w:cs="Palatino Linotype"/>
          <w:color w:val="000000"/>
        </w:rPr>
        <w:t xml:space="preserve">Por lo tanto, en consecuencia y en mérito de lo expuesto en líneas anteriores, resultan parcialmente, fundadas las razones o motivos de inconformidad hechos valer por el </w:t>
      </w:r>
      <w:r w:rsidRPr="001C5725">
        <w:rPr>
          <w:rFonts w:ascii="Palatino Linotype" w:eastAsia="Palatino Linotype" w:hAnsi="Palatino Linotype" w:cs="Palatino Linotype"/>
          <w:b/>
          <w:bCs/>
          <w:color w:val="000000"/>
        </w:rPr>
        <w:t>RECURRENTE</w:t>
      </w:r>
      <w:r w:rsidRPr="001C5725">
        <w:rPr>
          <w:rFonts w:ascii="Palatino Linotype" w:eastAsia="Palatino Linotype" w:hAnsi="Palatino Linotype" w:cs="Palatino Linotype"/>
          <w:color w:val="000000"/>
        </w:rPr>
        <w:t xml:space="preserve"> dentro del recurso de revisión </w:t>
      </w:r>
      <w:r w:rsidRPr="001C5725">
        <w:rPr>
          <w:rFonts w:ascii="Palatino Linotype" w:eastAsia="Palatino Linotype" w:hAnsi="Palatino Linotype" w:cs="Palatino Linotype"/>
          <w:b/>
          <w:bCs/>
          <w:color w:val="000000"/>
        </w:rPr>
        <w:t>10478/INFOEM/IP/RR/2025</w:t>
      </w:r>
      <w:r w:rsidRPr="001C5725">
        <w:rPr>
          <w:rFonts w:ascii="Palatino Linotype" w:eastAsia="Palatino Linotype" w:hAnsi="Palatino Linotype" w:cs="Palatino Linotype"/>
          <w:color w:val="000000"/>
        </w:rPr>
        <w:t xml:space="preserve">; por ello, y con fundamento en la fracción III del numeral 186 de la Ley de Transparencia y Acceso a la Información Pública del Estado de México y Municipios, se </w:t>
      </w:r>
      <w:r w:rsidRPr="001C5725">
        <w:rPr>
          <w:rFonts w:ascii="Palatino Linotype" w:eastAsia="Palatino Linotype" w:hAnsi="Palatino Linotype" w:cs="Palatino Linotype"/>
          <w:b/>
          <w:bCs/>
          <w:color w:val="000000"/>
        </w:rPr>
        <w:t>MODIFICA</w:t>
      </w:r>
      <w:r w:rsidRPr="001C5725">
        <w:rPr>
          <w:rFonts w:ascii="Palatino Linotype" w:eastAsia="Palatino Linotype" w:hAnsi="Palatino Linotype" w:cs="Palatino Linotype"/>
          <w:color w:val="000000"/>
        </w:rPr>
        <w:t xml:space="preserve"> la respuesta a la solicitud de información número </w:t>
      </w:r>
      <w:r w:rsidRPr="001C5725">
        <w:rPr>
          <w:rFonts w:ascii="Palatino Linotype" w:eastAsia="Palatino Linotype" w:hAnsi="Palatino Linotype" w:cs="Palatino Linotype"/>
          <w:b/>
          <w:bCs/>
          <w:color w:val="000000"/>
        </w:rPr>
        <w:t xml:space="preserve">00012/OASTENANGO/IP/2025 </w:t>
      </w:r>
      <w:r w:rsidRPr="001C5725">
        <w:rPr>
          <w:rFonts w:ascii="Palatino Linotype" w:eastAsia="Palatino Linotype" w:hAnsi="Palatino Linotype" w:cs="Palatino Linotype"/>
          <w:color w:val="000000"/>
        </w:rPr>
        <w:t xml:space="preserve">y se </w:t>
      </w:r>
      <w:r w:rsidRPr="001C5725">
        <w:rPr>
          <w:rFonts w:ascii="Palatino Linotype" w:eastAsia="Palatino Linotype" w:hAnsi="Palatino Linotype" w:cs="Palatino Linotype"/>
          <w:b/>
          <w:bCs/>
          <w:color w:val="000000"/>
        </w:rPr>
        <w:t xml:space="preserve">ORDENA </w:t>
      </w:r>
      <w:r w:rsidRPr="001C5725">
        <w:rPr>
          <w:rFonts w:ascii="Palatino Linotype" w:eastAsia="Palatino Linotype" w:hAnsi="Palatino Linotype" w:cs="Palatino Linotype"/>
          <w:color w:val="000000"/>
        </w:rPr>
        <w:t>entregar:</w:t>
      </w:r>
    </w:p>
    <w:p w:rsidR="006C5FE6" w:rsidRPr="001C5725" w:rsidRDefault="00201FB8">
      <w:pPr>
        <w:numPr>
          <w:ilvl w:val="0"/>
          <w:numId w:val="4"/>
        </w:numPr>
        <w:pBdr>
          <w:top w:val="nil"/>
          <w:left w:val="nil"/>
          <w:bottom w:val="nil"/>
          <w:right w:val="nil"/>
          <w:between w:val="nil"/>
        </w:pBdr>
        <w:spacing w:line="360" w:lineRule="auto"/>
        <w:ind w:right="-876"/>
        <w:jc w:val="both"/>
        <w:rPr>
          <w:rFonts w:ascii="Palatino Linotype" w:eastAsia="Palatino Linotype" w:hAnsi="Palatino Linotype" w:cs="Palatino Linotype"/>
          <w:b/>
          <w:bCs/>
          <w:color w:val="000000"/>
        </w:rPr>
      </w:pPr>
      <w:r w:rsidRPr="001C5725">
        <w:rPr>
          <w:rFonts w:ascii="Palatino Linotype" w:eastAsia="Palatino Linotype" w:hAnsi="Palatino Linotype" w:cs="Palatino Linotype"/>
          <w:b/>
          <w:bCs/>
          <w:color w:val="000000"/>
        </w:rPr>
        <w:lastRenderedPageBreak/>
        <w:t xml:space="preserve">Soporte documental que justifique el suministro de combustible a los vehículos de las diversas áreas que integran al Organismo Público Descentralizado para la Prestación de Los Servicios de Agua Potable Alcantarillado y Saneamiento de Tenango del Valle Estado de México, del mes de junio, julio y del primero al quince de agosto de dos mil veinticinco. </w:t>
      </w:r>
    </w:p>
    <w:p w:rsidR="006C5FE6" w:rsidRPr="001C5725" w:rsidRDefault="006C5FE6">
      <w:pPr>
        <w:pBdr>
          <w:top w:val="nil"/>
          <w:left w:val="nil"/>
          <w:bottom w:val="nil"/>
          <w:right w:val="nil"/>
          <w:between w:val="nil"/>
        </w:pBdr>
        <w:spacing w:line="360" w:lineRule="auto"/>
        <w:ind w:left="1440" w:right="-876"/>
        <w:jc w:val="both"/>
        <w:rPr>
          <w:rFonts w:ascii="Palatino Linotype" w:eastAsia="Palatino Linotype" w:hAnsi="Palatino Linotype" w:cs="Palatino Linotype"/>
          <w:color w:val="000000"/>
        </w:rPr>
      </w:pPr>
    </w:p>
    <w:p w:rsidR="006C5FE6" w:rsidRPr="001C5725" w:rsidRDefault="00201FB8">
      <w:pPr>
        <w:pBdr>
          <w:top w:val="nil"/>
          <w:left w:val="nil"/>
          <w:bottom w:val="nil"/>
          <w:right w:val="nil"/>
          <w:between w:val="nil"/>
        </w:pBdr>
        <w:tabs>
          <w:tab w:val="left" w:pos="426"/>
        </w:tabs>
        <w:spacing w:line="360" w:lineRule="auto"/>
        <w:ind w:right="-876"/>
        <w:jc w:val="both"/>
        <w:rPr>
          <w:rFonts w:ascii="Palatino Linotype" w:eastAsia="Palatino Linotype" w:hAnsi="Palatino Linotype" w:cs="Palatino Linotype"/>
          <w:b/>
          <w:bCs/>
          <w:color w:val="000000"/>
        </w:rPr>
      </w:pPr>
      <w:r w:rsidRPr="001C5725">
        <w:rPr>
          <w:rFonts w:ascii="Palatino Linotype" w:eastAsia="Palatino Linotype" w:hAnsi="Palatino Linotype" w:cs="Palatino Linotype"/>
          <w:b/>
          <w:bCs/>
          <w:color w:val="000000"/>
        </w:rPr>
        <w:t>QUINTO. De la versión pública.</w:t>
      </w:r>
    </w:p>
    <w:p w:rsidR="006C5FE6" w:rsidRPr="001C5725" w:rsidRDefault="00201FB8">
      <w:pPr>
        <w:numPr>
          <w:ilvl w:val="0"/>
          <w:numId w:val="5"/>
        </w:numPr>
        <w:pBdr>
          <w:top w:val="nil"/>
          <w:left w:val="nil"/>
          <w:bottom w:val="nil"/>
          <w:right w:val="nil"/>
          <w:between w:val="nil"/>
        </w:pBdr>
        <w:tabs>
          <w:tab w:val="left" w:pos="0"/>
        </w:tabs>
        <w:spacing w:line="360" w:lineRule="auto"/>
        <w:ind w:left="0" w:right="-876" w:firstLine="0"/>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color w:val="000000"/>
        </w:rPr>
        <w:t>Debe destacarse que, debido a la naturaleza de la información solicitada</w:t>
      </w:r>
      <w:r w:rsidRPr="001C5725">
        <w:rPr>
          <w:rFonts w:ascii="Palatino Linotype" w:eastAsia="Palatino Linotype" w:hAnsi="Palatino Linotype" w:cs="Palatino Linotype"/>
          <w:b/>
          <w:bCs/>
          <w:color w:val="000000"/>
        </w:rPr>
        <w:t xml:space="preserve"> </w:t>
      </w:r>
      <w:r w:rsidRPr="001C5725">
        <w:rPr>
          <w:rFonts w:ascii="Palatino Linotype" w:eastAsia="Palatino Linotype" w:hAnsi="Palatino Linotype" w:cs="Palatino Linotype"/>
          <w:color w:val="000000"/>
        </w:rPr>
        <w:t>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servidores públicos y en su caso generar la versión pública de los documentos por las consideraciones que se estimen pertinentes.</w:t>
      </w:r>
    </w:p>
    <w:p w:rsidR="006C5FE6" w:rsidRPr="001C5725" w:rsidRDefault="006C5FE6">
      <w:pPr>
        <w:pBdr>
          <w:top w:val="nil"/>
          <w:left w:val="nil"/>
          <w:bottom w:val="nil"/>
          <w:right w:val="nil"/>
          <w:between w:val="nil"/>
        </w:pBdr>
        <w:tabs>
          <w:tab w:val="left" w:pos="426"/>
        </w:tabs>
        <w:spacing w:line="360" w:lineRule="auto"/>
        <w:ind w:right="-876"/>
        <w:jc w:val="both"/>
        <w:rPr>
          <w:rFonts w:ascii="Palatino Linotype" w:eastAsia="Palatino Linotype" w:hAnsi="Palatino Linotype" w:cs="Palatino Linotype"/>
          <w:color w:val="000000"/>
        </w:rPr>
      </w:pPr>
    </w:p>
    <w:p w:rsidR="006C5FE6" w:rsidRPr="001C5725" w:rsidRDefault="00201FB8">
      <w:pPr>
        <w:numPr>
          <w:ilvl w:val="0"/>
          <w:numId w:val="5"/>
        </w:numPr>
        <w:pBdr>
          <w:top w:val="nil"/>
          <w:left w:val="nil"/>
          <w:bottom w:val="nil"/>
          <w:right w:val="nil"/>
          <w:between w:val="nil"/>
        </w:pBdr>
        <w:tabs>
          <w:tab w:val="left" w:pos="0"/>
        </w:tabs>
        <w:spacing w:line="360" w:lineRule="auto"/>
        <w:ind w:left="0" w:right="-876" w:firstLine="0"/>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color w:val="000000"/>
        </w:rPr>
        <w:t>La clasificación total o parcial de la información requerida, mediante solicitud de acceso a la información pública, constituye una restricción al derecho humano de acceso a la información, por lo que es menester reiterar los mismos:</w:t>
      </w:r>
    </w:p>
    <w:p w:rsidR="006C5FE6" w:rsidRPr="001C5725" w:rsidRDefault="006C5FE6">
      <w:pPr>
        <w:pBdr>
          <w:top w:val="nil"/>
          <w:left w:val="nil"/>
          <w:bottom w:val="nil"/>
          <w:right w:val="nil"/>
          <w:between w:val="nil"/>
        </w:pBdr>
        <w:tabs>
          <w:tab w:val="left" w:pos="426"/>
        </w:tabs>
        <w:spacing w:line="360" w:lineRule="auto"/>
        <w:ind w:right="-876"/>
        <w:jc w:val="both"/>
        <w:rPr>
          <w:rFonts w:ascii="Palatino Linotype" w:eastAsia="Palatino Linotype" w:hAnsi="Palatino Linotype" w:cs="Palatino Linotype"/>
          <w:color w:val="000000"/>
        </w:rPr>
      </w:pPr>
    </w:p>
    <w:tbl>
      <w:tblPr>
        <w:tblStyle w:val="a0"/>
        <w:tblW w:w="9840"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970"/>
        <w:gridCol w:w="6870"/>
      </w:tblGrid>
      <w:tr w:rsidR="006C5FE6" w:rsidRPr="001C5725">
        <w:tc>
          <w:tcPr>
            <w:tcW w:w="2970" w:type="dxa"/>
          </w:tcPr>
          <w:p w:rsidR="006C5FE6" w:rsidRPr="001C5725" w:rsidRDefault="00201FB8">
            <w:pPr>
              <w:spacing w:line="276" w:lineRule="auto"/>
              <w:ind w:right="20"/>
              <w:rPr>
                <w:rFonts w:ascii="Palatino Linotype" w:eastAsia="Palatino Linotype" w:hAnsi="Palatino Linotype" w:cs="Palatino Linotype"/>
              </w:rPr>
            </w:pPr>
            <w:r w:rsidRPr="001C5725">
              <w:rPr>
                <w:rFonts w:ascii="Palatino Linotype" w:eastAsia="Palatino Linotype" w:hAnsi="Palatino Linotype" w:cs="Palatino Linotype"/>
              </w:rPr>
              <w:t>a) Requisitos previos.</w:t>
            </w:r>
          </w:p>
        </w:tc>
        <w:tc>
          <w:tcPr>
            <w:tcW w:w="6870" w:type="dxa"/>
          </w:tcPr>
          <w:p w:rsidR="006C5FE6" w:rsidRPr="001C5725" w:rsidRDefault="00201FB8">
            <w:pPr>
              <w:spacing w:line="276" w:lineRule="auto"/>
              <w:ind w:right="20"/>
              <w:jc w:val="both"/>
              <w:rPr>
                <w:rFonts w:ascii="Palatino Linotype" w:eastAsia="Palatino Linotype" w:hAnsi="Palatino Linotype" w:cs="Palatino Linotype"/>
              </w:rPr>
            </w:pPr>
            <w:r w:rsidRPr="001C5725">
              <w:rPr>
                <w:rFonts w:ascii="Palatino Linotype" w:eastAsia="Palatino Linotype" w:hAnsi="Palatino Linotype" w:cs="Palatino Linotype"/>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6C5FE6" w:rsidRPr="001C5725" w:rsidRDefault="00201FB8">
            <w:pPr>
              <w:spacing w:line="276" w:lineRule="auto"/>
              <w:ind w:right="20"/>
              <w:jc w:val="both"/>
              <w:rPr>
                <w:rFonts w:ascii="Palatino Linotype" w:eastAsia="Palatino Linotype" w:hAnsi="Palatino Linotype" w:cs="Palatino Linotype"/>
              </w:rPr>
            </w:pPr>
            <w:r w:rsidRPr="001C5725">
              <w:rPr>
                <w:rFonts w:ascii="Palatino Linotype" w:eastAsia="Palatino Linotype" w:hAnsi="Palatino Linotype" w:cs="Palatino Linotype"/>
              </w:rPr>
              <w:lastRenderedPageBreak/>
              <w:t>Al hacerlo tienen que precisar de qué información se trata, señalando el supuesto de clasificación (confidencialidad o reserva).</w:t>
            </w:r>
          </w:p>
          <w:p w:rsidR="006C5FE6" w:rsidRPr="001C5725" w:rsidRDefault="00201FB8">
            <w:pPr>
              <w:spacing w:line="276" w:lineRule="auto"/>
              <w:ind w:right="20"/>
              <w:jc w:val="both"/>
              <w:rPr>
                <w:rFonts w:ascii="Palatino Linotype" w:eastAsia="Palatino Linotype" w:hAnsi="Palatino Linotype" w:cs="Palatino Linotype"/>
              </w:rPr>
            </w:pPr>
            <w:r w:rsidRPr="001C5725">
              <w:rPr>
                <w:rFonts w:ascii="Palatino Linotype" w:eastAsia="Palatino Linotype" w:hAnsi="Palatino Linotype" w:cs="Palatino Linotype"/>
              </w:rPr>
              <w:t>Además, se debe señalar el procedimiento, de los tres que establecen los artículos 132 y 106 de la Ley Estatal y General, respectivamente.</w:t>
            </w:r>
          </w:p>
          <w:p w:rsidR="006C5FE6" w:rsidRPr="001C5725" w:rsidRDefault="00201FB8">
            <w:pPr>
              <w:spacing w:line="276" w:lineRule="auto"/>
              <w:ind w:right="20"/>
              <w:jc w:val="both"/>
              <w:rPr>
                <w:rFonts w:ascii="Palatino Linotype" w:eastAsia="Palatino Linotype" w:hAnsi="Palatino Linotype" w:cs="Palatino Linotype"/>
              </w:rPr>
            </w:pPr>
            <w:r w:rsidRPr="001C5725">
              <w:rPr>
                <w:rFonts w:ascii="Palatino Linotype" w:eastAsia="Palatino Linotype" w:hAnsi="Palatino Linotype" w:cs="Palatino Linotype"/>
              </w:rPr>
              <w:t xml:space="preserve">El último de estos requisitos previos consiste en que no se pueden emitir acuerdos de carácter general ni particular, esto es, </w:t>
            </w:r>
            <w:r w:rsidRPr="001C5725">
              <w:rPr>
                <w:rFonts w:ascii="Palatino Linotype" w:eastAsia="Palatino Linotype" w:hAnsi="Palatino Linotype" w:cs="Palatino Linotype"/>
                <w:u w:val="single"/>
              </w:rPr>
              <w:t xml:space="preserve">no se puede hacer un acuerdo para clasificar de manera general todos los documentos de un expediente o área,  </w:t>
            </w:r>
            <w:r w:rsidRPr="001C5725">
              <w:rPr>
                <w:rFonts w:ascii="Palatino Linotype" w:eastAsia="Palatino Linotype" w:hAnsi="Palatino Linotype" w:cs="Palatino Linotype"/>
              </w:rPr>
              <w:t>sin individualizar su análisis y tampoco se puede hacer un acuerdo por cada dato que se vaya a clasificar dentro de un documento con diez datos, por ejemplo, susceptibles de ser clasificados.</w:t>
            </w:r>
          </w:p>
        </w:tc>
      </w:tr>
      <w:tr w:rsidR="006C5FE6" w:rsidRPr="001C5725">
        <w:tc>
          <w:tcPr>
            <w:tcW w:w="2970" w:type="dxa"/>
          </w:tcPr>
          <w:p w:rsidR="006C5FE6" w:rsidRPr="001C5725" w:rsidRDefault="00201FB8">
            <w:pPr>
              <w:spacing w:line="276" w:lineRule="auto"/>
              <w:ind w:right="20"/>
              <w:rPr>
                <w:rFonts w:ascii="Palatino Linotype" w:eastAsia="Palatino Linotype" w:hAnsi="Palatino Linotype" w:cs="Palatino Linotype"/>
              </w:rPr>
            </w:pPr>
            <w:r w:rsidRPr="001C5725">
              <w:rPr>
                <w:rFonts w:ascii="Palatino Linotype" w:eastAsia="Palatino Linotype" w:hAnsi="Palatino Linotype" w:cs="Palatino Linotype"/>
              </w:rPr>
              <w:lastRenderedPageBreak/>
              <w:t>b) Supuestos de clasificación.</w:t>
            </w:r>
          </w:p>
        </w:tc>
        <w:tc>
          <w:tcPr>
            <w:tcW w:w="6870" w:type="dxa"/>
          </w:tcPr>
          <w:p w:rsidR="006C5FE6" w:rsidRPr="001C5725" w:rsidRDefault="00201FB8">
            <w:pPr>
              <w:spacing w:line="276" w:lineRule="auto"/>
              <w:ind w:right="20"/>
              <w:jc w:val="both"/>
              <w:rPr>
                <w:rFonts w:ascii="Palatino Linotype" w:eastAsia="Palatino Linotype" w:hAnsi="Palatino Linotype" w:cs="Palatino Linotype"/>
              </w:rPr>
            </w:pPr>
            <w:r w:rsidRPr="001C5725">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rsidR="006C5FE6" w:rsidRPr="001C5725" w:rsidRDefault="00201FB8">
            <w:pPr>
              <w:spacing w:line="276" w:lineRule="auto"/>
              <w:ind w:right="20"/>
              <w:jc w:val="both"/>
              <w:rPr>
                <w:rFonts w:ascii="Palatino Linotype" w:eastAsia="Palatino Linotype" w:hAnsi="Palatino Linotype" w:cs="Palatino Linotype"/>
              </w:rPr>
            </w:pPr>
            <w:r w:rsidRPr="001C5725">
              <w:rPr>
                <w:rFonts w:ascii="Palatino Linotype" w:eastAsia="Palatino Linotype" w:hAnsi="Palatino Linotype" w:cs="Palatino Linotype"/>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6C5FE6" w:rsidRPr="001C5725" w:rsidRDefault="00201FB8">
            <w:pPr>
              <w:spacing w:line="276" w:lineRule="auto"/>
              <w:ind w:right="20"/>
              <w:jc w:val="both"/>
              <w:rPr>
                <w:rFonts w:ascii="Palatino Linotype" w:eastAsia="Palatino Linotype" w:hAnsi="Palatino Linotype" w:cs="Palatino Linotype"/>
              </w:rPr>
            </w:pPr>
            <w:r w:rsidRPr="001C5725">
              <w:rPr>
                <w:rFonts w:ascii="Palatino Linotype" w:eastAsia="Palatino Linotype" w:hAnsi="Palatino Linotype" w:cs="Palatino Linotype"/>
              </w:rPr>
              <w:t xml:space="preserve">El </w:t>
            </w:r>
            <w:r w:rsidRPr="001C5725">
              <w:rPr>
                <w:rFonts w:ascii="Palatino Linotype" w:eastAsia="Palatino Linotype" w:hAnsi="Palatino Linotype" w:cs="Palatino Linotype"/>
                <w:b/>
                <w:bCs/>
              </w:rPr>
              <w:t>SUJETO OBLIGADO</w:t>
            </w:r>
            <w:r w:rsidRPr="001C5725">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w:t>
            </w:r>
            <w:r w:rsidRPr="001C5725">
              <w:rPr>
                <w:rFonts w:ascii="Palatino Linotype" w:eastAsia="Palatino Linotype" w:hAnsi="Palatino Linotype" w:cs="Palatino Linotype"/>
              </w:rPr>
              <w:lastRenderedPageBreak/>
              <w:t>servidor público habilitado y el titular del área que administra la información.</w:t>
            </w:r>
          </w:p>
        </w:tc>
      </w:tr>
      <w:tr w:rsidR="006C5FE6" w:rsidRPr="001C5725">
        <w:tc>
          <w:tcPr>
            <w:tcW w:w="2970" w:type="dxa"/>
          </w:tcPr>
          <w:p w:rsidR="006C5FE6" w:rsidRPr="001C5725" w:rsidRDefault="00201FB8">
            <w:pPr>
              <w:spacing w:line="276" w:lineRule="auto"/>
              <w:ind w:right="20"/>
              <w:rPr>
                <w:rFonts w:ascii="Palatino Linotype" w:eastAsia="Palatino Linotype" w:hAnsi="Palatino Linotype" w:cs="Palatino Linotype"/>
              </w:rPr>
            </w:pPr>
            <w:r w:rsidRPr="001C5725">
              <w:rPr>
                <w:rFonts w:ascii="Palatino Linotype" w:eastAsia="Palatino Linotype" w:hAnsi="Palatino Linotype" w:cs="Palatino Linotype"/>
              </w:rPr>
              <w:t>c) Formalidades para emitir el acuerdo de clasificación.</w:t>
            </w:r>
          </w:p>
        </w:tc>
        <w:tc>
          <w:tcPr>
            <w:tcW w:w="6870" w:type="dxa"/>
          </w:tcPr>
          <w:p w:rsidR="006C5FE6" w:rsidRPr="001C5725" w:rsidRDefault="00201FB8">
            <w:pPr>
              <w:spacing w:line="276" w:lineRule="auto"/>
              <w:ind w:right="20"/>
              <w:jc w:val="both"/>
              <w:rPr>
                <w:rFonts w:ascii="Palatino Linotype" w:eastAsia="Palatino Linotype" w:hAnsi="Palatino Linotype" w:cs="Palatino Linotype"/>
              </w:rPr>
            </w:pPr>
            <w:r w:rsidRPr="001C5725">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rsidR="006C5FE6" w:rsidRPr="001C5725" w:rsidRDefault="00201FB8">
            <w:pPr>
              <w:spacing w:line="276" w:lineRule="auto"/>
              <w:ind w:right="20"/>
              <w:jc w:val="both"/>
              <w:rPr>
                <w:rFonts w:ascii="Palatino Linotype" w:eastAsia="Palatino Linotype" w:hAnsi="Palatino Linotype" w:cs="Palatino Linotype"/>
              </w:rPr>
            </w:pPr>
            <w:r w:rsidRPr="001C5725">
              <w:rPr>
                <w:rFonts w:ascii="Palatino Linotype" w:eastAsia="Palatino Linotype" w:hAnsi="Palatino Linotype" w:cs="Palatino Linotype"/>
              </w:rPr>
              <w:t xml:space="preserve">Es necesario que </w:t>
            </w:r>
            <w:r w:rsidRPr="001C5725">
              <w:rPr>
                <w:rFonts w:ascii="Palatino Linotype" w:eastAsia="Palatino Linotype" w:hAnsi="Palatino Linotype" w:cs="Palatino Linotype"/>
                <w:b/>
                <w:bCs/>
                <w:u w:val="single"/>
              </w:rPr>
              <w:t>el acto reúna con los requisitos elementales</w:t>
            </w:r>
            <w:r w:rsidRPr="001C5725">
              <w:rPr>
                <w:rFonts w:ascii="Palatino Linotype" w:eastAsia="Palatino Linotype" w:hAnsi="Palatino Linotype" w:cs="Palatino Linotype"/>
              </w:rPr>
              <w:t>, entre ellos, que la autoridad que va a emitir el acto de autoridad sea la legalmente facultada para ello.</w:t>
            </w:r>
          </w:p>
          <w:p w:rsidR="006C5FE6" w:rsidRPr="001C5725" w:rsidRDefault="00201FB8">
            <w:pPr>
              <w:spacing w:line="276" w:lineRule="auto"/>
              <w:ind w:right="20"/>
              <w:jc w:val="both"/>
              <w:rPr>
                <w:rFonts w:ascii="Palatino Linotype" w:eastAsia="Palatino Linotype" w:hAnsi="Palatino Linotype" w:cs="Palatino Linotype"/>
              </w:rPr>
            </w:pPr>
            <w:r w:rsidRPr="001C5725">
              <w:rPr>
                <w:rFonts w:ascii="Palatino Linotype" w:eastAsia="Palatino Linotype" w:hAnsi="Palatino Linotype" w:cs="Palatino Linotype"/>
              </w:rPr>
              <w:t>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6C5FE6" w:rsidRPr="001C5725">
        <w:tc>
          <w:tcPr>
            <w:tcW w:w="2970" w:type="dxa"/>
          </w:tcPr>
          <w:p w:rsidR="006C5FE6" w:rsidRPr="001C5725" w:rsidRDefault="006C5FE6">
            <w:pPr>
              <w:spacing w:line="276" w:lineRule="auto"/>
              <w:ind w:right="20"/>
              <w:rPr>
                <w:rFonts w:ascii="Palatino Linotype" w:eastAsia="Palatino Linotype" w:hAnsi="Palatino Linotype" w:cs="Palatino Linotype"/>
              </w:rPr>
            </w:pPr>
          </w:p>
          <w:p w:rsidR="006C5FE6" w:rsidRPr="001C5725" w:rsidRDefault="00201FB8">
            <w:pPr>
              <w:spacing w:line="276" w:lineRule="auto"/>
              <w:ind w:right="20"/>
              <w:jc w:val="both"/>
              <w:rPr>
                <w:rFonts w:ascii="Palatino Linotype" w:eastAsia="Palatino Linotype" w:hAnsi="Palatino Linotype" w:cs="Palatino Linotype"/>
              </w:rPr>
            </w:pPr>
            <w:r w:rsidRPr="001C5725">
              <w:rPr>
                <w:rFonts w:ascii="Palatino Linotype" w:eastAsia="Palatino Linotype" w:hAnsi="Palatino Linotype" w:cs="Palatino Linotype"/>
              </w:rPr>
              <w:t xml:space="preserve">d) Requisitos de fondo del acuerdo de clasificación. </w:t>
            </w:r>
          </w:p>
        </w:tc>
        <w:tc>
          <w:tcPr>
            <w:tcW w:w="6870" w:type="dxa"/>
          </w:tcPr>
          <w:p w:rsidR="006C5FE6" w:rsidRPr="001C5725" w:rsidRDefault="00201FB8">
            <w:pPr>
              <w:spacing w:line="276" w:lineRule="auto"/>
              <w:ind w:right="20"/>
              <w:jc w:val="both"/>
              <w:rPr>
                <w:rFonts w:ascii="Palatino Linotype" w:eastAsia="Palatino Linotype" w:hAnsi="Palatino Linotype" w:cs="Palatino Linotype"/>
              </w:rPr>
            </w:pPr>
            <w:r w:rsidRPr="001C5725">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1C5725">
              <w:rPr>
                <w:rFonts w:ascii="Palatino Linotype" w:eastAsia="Palatino Linotype" w:hAnsi="Palatino Linotype" w:cs="Palatino Linotype"/>
                <w:b/>
                <w:bCs/>
              </w:rPr>
              <w:t>Sujetos Obligados</w:t>
            </w:r>
            <w:r w:rsidRPr="001C5725">
              <w:rPr>
                <w:rFonts w:ascii="Palatino Linotype" w:eastAsia="Palatino Linotype" w:hAnsi="Palatino Linotype" w:cs="Palatino Linotype"/>
              </w:rPr>
              <w:t xml:space="preserve">, por lo que deberán fundar y motivar debidamente la clasificación. </w:t>
            </w:r>
          </w:p>
          <w:p w:rsidR="006C5FE6" w:rsidRPr="001C5725" w:rsidRDefault="00201FB8">
            <w:pPr>
              <w:spacing w:line="276" w:lineRule="auto"/>
              <w:ind w:right="20"/>
              <w:jc w:val="both"/>
              <w:rPr>
                <w:rFonts w:ascii="Palatino Linotype" w:eastAsia="Palatino Linotype" w:hAnsi="Palatino Linotype" w:cs="Palatino Linotype"/>
              </w:rPr>
            </w:pPr>
            <w:r w:rsidRPr="001C5725">
              <w:rPr>
                <w:rFonts w:ascii="Palatino Linotype" w:eastAsia="Palatino Linotype" w:hAnsi="Palatino Linotype" w:cs="Palatino Linotype"/>
              </w:rPr>
              <w:t xml:space="preserve">De lo anterior, se desprende que para una correcta </w:t>
            </w:r>
            <w:r w:rsidRPr="001C5725">
              <w:rPr>
                <w:rFonts w:ascii="Palatino Linotype" w:eastAsia="Palatino Linotype" w:hAnsi="Palatino Linotype" w:cs="Palatino Linotype"/>
                <w:b/>
                <w:bCs/>
              </w:rPr>
              <w:t>clasificación total o parcial</w:t>
            </w:r>
            <w:r w:rsidRPr="001C5725">
              <w:rPr>
                <w:rFonts w:ascii="Palatino Linotype" w:eastAsia="Palatino Linotype" w:hAnsi="Palatino Linotype" w:cs="Palatino Linotype"/>
              </w:rPr>
              <w:t xml:space="preserve">, esto es determinar los datos que se suprimen en las versiones públicas, es necesario fundar y motivar, de manera correcta, la clasificación; considerando que todo acto que la autoridad pronuncie en el ejercicio de sus </w:t>
            </w:r>
            <w:r w:rsidRPr="001C5725">
              <w:rPr>
                <w:rFonts w:ascii="Palatino Linotype" w:eastAsia="Palatino Linotype" w:hAnsi="Palatino Linotype" w:cs="Palatino Linotype"/>
              </w:rPr>
              <w:lastRenderedPageBreak/>
              <w:t>atribuciones, debe expresar los fundamentos legales que le dieron origen y las razones por las que se deben aplicar al caso concreto.</w:t>
            </w:r>
          </w:p>
          <w:p w:rsidR="006C5FE6" w:rsidRPr="001C5725" w:rsidRDefault="00201FB8">
            <w:pPr>
              <w:spacing w:line="276" w:lineRule="auto"/>
              <w:ind w:right="20"/>
              <w:jc w:val="both"/>
              <w:rPr>
                <w:rFonts w:ascii="Palatino Linotype" w:eastAsia="Palatino Linotype" w:hAnsi="Palatino Linotype" w:cs="Palatino Linotype"/>
              </w:rPr>
            </w:pPr>
            <w:r w:rsidRPr="001C5725">
              <w:rPr>
                <w:rFonts w:ascii="Palatino Linotype" w:eastAsia="Palatino Linotype" w:hAnsi="Palatino Linotype" w:cs="Palatino Linotype"/>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6C5FE6" w:rsidRPr="001C5725" w:rsidRDefault="00201FB8">
            <w:pPr>
              <w:spacing w:line="276" w:lineRule="auto"/>
              <w:ind w:right="20"/>
              <w:jc w:val="both"/>
              <w:rPr>
                <w:rFonts w:ascii="Palatino Linotype" w:eastAsia="Palatino Linotype" w:hAnsi="Palatino Linotype" w:cs="Palatino Linotype"/>
              </w:rPr>
            </w:pPr>
            <w:r w:rsidRPr="001C5725">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rsidR="006C5FE6" w:rsidRPr="001C5725" w:rsidRDefault="00201FB8">
            <w:pPr>
              <w:spacing w:line="276" w:lineRule="auto"/>
              <w:ind w:right="20"/>
              <w:jc w:val="both"/>
              <w:rPr>
                <w:rFonts w:ascii="Palatino Linotype" w:eastAsia="Palatino Linotype" w:hAnsi="Palatino Linotype" w:cs="Palatino Linotype"/>
              </w:rPr>
            </w:pPr>
            <w:r w:rsidRPr="001C5725">
              <w:rPr>
                <w:rFonts w:ascii="Palatino Linotype" w:eastAsia="Palatino Linotype" w:hAnsi="Palatino Linotype" w:cs="Palatino Linotype"/>
              </w:rPr>
              <w:t xml:space="preserve">Ahora bien, </w:t>
            </w:r>
            <w:r w:rsidRPr="001C5725">
              <w:rPr>
                <w:rFonts w:ascii="Palatino Linotype" w:eastAsia="Palatino Linotype" w:hAnsi="Palatino Linotype" w:cs="Palatino Linotype"/>
                <w:b/>
                <w:bCs/>
                <w:u w:val="single"/>
              </w:rPr>
              <w:t>para cada caso además de fundar y motivar</w:t>
            </w:r>
            <w:r w:rsidRPr="001C5725">
              <w:rPr>
                <w:rFonts w:ascii="Palatino Linotype" w:eastAsia="Palatino Linotype" w:hAnsi="Palatino Linotype" w:cs="Palatino Linotype"/>
              </w:rPr>
              <w:t>, se debe identificar con claridad qué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6C5FE6" w:rsidRPr="001C5725">
        <w:tc>
          <w:tcPr>
            <w:tcW w:w="2970" w:type="dxa"/>
          </w:tcPr>
          <w:p w:rsidR="006C5FE6" w:rsidRPr="001C5725" w:rsidRDefault="00201FB8">
            <w:pPr>
              <w:spacing w:line="276" w:lineRule="auto"/>
              <w:ind w:right="20"/>
              <w:jc w:val="both"/>
              <w:rPr>
                <w:rFonts w:ascii="Palatino Linotype" w:eastAsia="Palatino Linotype" w:hAnsi="Palatino Linotype" w:cs="Palatino Linotype"/>
              </w:rPr>
            </w:pPr>
            <w:r w:rsidRPr="001C5725">
              <w:rPr>
                <w:rFonts w:ascii="Palatino Linotype" w:eastAsia="Palatino Linotype" w:hAnsi="Palatino Linotype" w:cs="Palatino Linotype"/>
              </w:rPr>
              <w:t xml:space="preserve">e) Condiciones especiales de la clasificación de la información como confidencial. </w:t>
            </w:r>
          </w:p>
          <w:p w:rsidR="006C5FE6" w:rsidRPr="001C5725" w:rsidRDefault="006C5FE6">
            <w:pPr>
              <w:spacing w:line="276" w:lineRule="auto"/>
              <w:ind w:right="20"/>
              <w:rPr>
                <w:rFonts w:ascii="Palatino Linotype" w:eastAsia="Palatino Linotype" w:hAnsi="Palatino Linotype" w:cs="Palatino Linotype"/>
              </w:rPr>
            </w:pPr>
          </w:p>
        </w:tc>
        <w:tc>
          <w:tcPr>
            <w:tcW w:w="6870" w:type="dxa"/>
          </w:tcPr>
          <w:p w:rsidR="006C5FE6" w:rsidRPr="001C5725" w:rsidRDefault="00201FB8">
            <w:pPr>
              <w:spacing w:line="276" w:lineRule="auto"/>
              <w:ind w:right="20"/>
              <w:jc w:val="both"/>
              <w:rPr>
                <w:rFonts w:ascii="Palatino Linotype" w:eastAsia="Palatino Linotype" w:hAnsi="Palatino Linotype" w:cs="Palatino Linotype"/>
              </w:rPr>
            </w:pPr>
            <w:r w:rsidRPr="001C5725">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rsidR="006C5FE6" w:rsidRPr="001C5725" w:rsidRDefault="00201FB8">
            <w:pPr>
              <w:spacing w:line="276" w:lineRule="auto"/>
              <w:ind w:right="20"/>
              <w:jc w:val="both"/>
              <w:rPr>
                <w:rFonts w:ascii="Palatino Linotype" w:eastAsia="Palatino Linotype" w:hAnsi="Palatino Linotype" w:cs="Palatino Linotype"/>
              </w:rPr>
            </w:pPr>
            <w:r w:rsidRPr="001C5725">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w:t>
            </w:r>
            <w:r w:rsidRPr="001C5725">
              <w:rPr>
                <w:rFonts w:ascii="Palatino Linotype" w:eastAsia="Palatino Linotype" w:hAnsi="Palatino Linotype" w:cs="Palatino Linotype"/>
              </w:rPr>
              <w:lastRenderedPageBreak/>
              <w:t xml:space="preserve">Corte de Justicia de la Nación, los servidores públicos nos encontramos sujetos a un régimen menor de protección. </w:t>
            </w:r>
          </w:p>
          <w:p w:rsidR="006C5FE6" w:rsidRPr="001C5725" w:rsidRDefault="00201FB8">
            <w:pPr>
              <w:spacing w:line="276" w:lineRule="auto"/>
              <w:ind w:right="20"/>
              <w:rPr>
                <w:rFonts w:ascii="Palatino Linotype" w:eastAsia="Palatino Linotype" w:hAnsi="Palatino Linotype" w:cs="Palatino Linotype"/>
              </w:rPr>
            </w:pPr>
            <w:r w:rsidRPr="001C5725">
              <w:rPr>
                <w:rFonts w:ascii="Palatino Linotype" w:eastAsia="Palatino Linotype" w:hAnsi="Palatino Linotype" w:cs="Palatino Linotype"/>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6C5FE6" w:rsidRPr="001C5725" w:rsidRDefault="006C5FE6">
      <w:pPr>
        <w:spacing w:line="360" w:lineRule="auto"/>
        <w:ind w:right="-876"/>
        <w:jc w:val="both"/>
        <w:rPr>
          <w:rFonts w:ascii="Palatino Linotype" w:eastAsia="Palatino Linotype" w:hAnsi="Palatino Linotype" w:cs="Palatino Linotype"/>
        </w:rPr>
      </w:pPr>
    </w:p>
    <w:p w:rsidR="006C5FE6" w:rsidRPr="001C5725" w:rsidRDefault="00201FB8">
      <w:pPr>
        <w:numPr>
          <w:ilvl w:val="0"/>
          <w:numId w:val="5"/>
        </w:numPr>
        <w:spacing w:line="360" w:lineRule="auto"/>
        <w:ind w:left="0" w:right="-876" w:firstLine="0"/>
        <w:jc w:val="both"/>
        <w:rPr>
          <w:rFonts w:ascii="Palatino Linotype" w:eastAsia="Palatino Linotype" w:hAnsi="Palatino Linotype" w:cs="Palatino Linotype"/>
        </w:rPr>
      </w:pPr>
      <w:r w:rsidRPr="001C5725">
        <w:rPr>
          <w:rFonts w:ascii="Palatino Linotype" w:eastAsia="Palatino Linotype" w:hAnsi="Palatino Linotype" w:cs="Palatino Linotype"/>
          <w:color w:val="000000"/>
        </w:rPr>
        <w:t xml:space="preserve">Por lo anteriormente expuesto y fundado, este </w:t>
      </w:r>
      <w:r w:rsidRPr="001C5725">
        <w:rPr>
          <w:rFonts w:ascii="Palatino Linotype" w:eastAsia="Palatino Linotype" w:hAnsi="Palatino Linotype" w:cs="Palatino Linotype"/>
          <w:b/>
          <w:bCs/>
          <w:color w:val="000000"/>
        </w:rPr>
        <w:t>ÓRGANO GARANTE</w:t>
      </w:r>
      <w:r w:rsidRPr="001C5725">
        <w:rPr>
          <w:rFonts w:ascii="Palatino Linotype" w:eastAsia="Palatino Linotype" w:hAnsi="Palatino Linotype" w:cs="Palatino Linotype"/>
          <w:color w:val="000000"/>
        </w:rPr>
        <w:t xml:space="preserve"> emite los siguientes:</w:t>
      </w:r>
    </w:p>
    <w:p w:rsidR="006C5FE6" w:rsidRPr="001C5725" w:rsidRDefault="00201FB8">
      <w:pPr>
        <w:keepNext/>
        <w:keepLines/>
        <w:spacing w:before="240" w:line="360" w:lineRule="auto"/>
        <w:ind w:right="-876"/>
        <w:jc w:val="center"/>
        <w:rPr>
          <w:rFonts w:ascii="Palatino Linotype" w:eastAsia="Palatino Linotype" w:hAnsi="Palatino Linotype" w:cs="Palatino Linotype"/>
          <w:b/>
          <w:bCs/>
          <w:color w:val="000000"/>
        </w:rPr>
      </w:pPr>
      <w:r w:rsidRPr="001C5725">
        <w:rPr>
          <w:rFonts w:ascii="Palatino Linotype" w:eastAsia="Palatino Linotype" w:hAnsi="Palatino Linotype" w:cs="Palatino Linotype"/>
          <w:b/>
          <w:bCs/>
          <w:color w:val="000000"/>
        </w:rPr>
        <w:t>R E S O L U T I V O S</w:t>
      </w:r>
    </w:p>
    <w:p w:rsidR="006C5FE6" w:rsidRPr="001C5725" w:rsidRDefault="006C5FE6">
      <w:pPr>
        <w:keepNext/>
        <w:keepLines/>
        <w:spacing w:before="240" w:line="360" w:lineRule="auto"/>
        <w:ind w:right="-876"/>
        <w:jc w:val="center"/>
        <w:rPr>
          <w:rFonts w:ascii="Palatino Linotype" w:eastAsia="Palatino Linotype" w:hAnsi="Palatino Linotype" w:cs="Palatino Linotype"/>
          <w:b/>
          <w:bCs/>
          <w:color w:val="000000"/>
        </w:rPr>
      </w:pPr>
    </w:p>
    <w:p w:rsidR="006C5FE6" w:rsidRPr="001C5725" w:rsidRDefault="00201FB8">
      <w:pPr>
        <w:spacing w:line="360" w:lineRule="auto"/>
        <w:ind w:right="-876"/>
        <w:jc w:val="both"/>
        <w:rPr>
          <w:rFonts w:ascii="Palatino Linotype" w:eastAsia="Palatino Linotype" w:hAnsi="Palatino Linotype" w:cs="Palatino Linotype"/>
        </w:rPr>
      </w:pPr>
      <w:r w:rsidRPr="001C5725">
        <w:rPr>
          <w:rFonts w:ascii="Palatino Linotype" w:eastAsia="Palatino Linotype" w:hAnsi="Palatino Linotype" w:cs="Palatino Linotype"/>
          <w:b/>
          <w:bCs/>
        </w:rPr>
        <w:t xml:space="preserve">PRIMERO. </w:t>
      </w:r>
      <w:r w:rsidRPr="001C5725">
        <w:rPr>
          <w:rFonts w:ascii="Palatino Linotype" w:eastAsia="Palatino Linotype" w:hAnsi="Palatino Linotype" w:cs="Palatino Linotype"/>
        </w:rPr>
        <w:t>Resultan parcialmente fundadas las</w:t>
      </w:r>
      <w:r w:rsidRPr="001C5725">
        <w:rPr>
          <w:rFonts w:ascii="Palatino Linotype" w:eastAsia="Palatino Linotype" w:hAnsi="Palatino Linotype" w:cs="Palatino Linotype"/>
          <w:b/>
          <w:bCs/>
        </w:rPr>
        <w:t xml:space="preserve"> </w:t>
      </w:r>
      <w:r w:rsidRPr="001C5725">
        <w:rPr>
          <w:rFonts w:ascii="Palatino Linotype" w:eastAsia="Palatino Linotype" w:hAnsi="Palatino Linotype" w:cs="Palatino Linotype"/>
        </w:rPr>
        <w:t xml:space="preserve">razones o motivos de inconformidad hechos valer en el recurso de revisión </w:t>
      </w:r>
      <w:r w:rsidRPr="001C5725">
        <w:rPr>
          <w:rFonts w:ascii="Palatino Linotype" w:eastAsia="Palatino Linotype" w:hAnsi="Palatino Linotype" w:cs="Palatino Linotype"/>
          <w:b/>
          <w:bCs/>
        </w:rPr>
        <w:t xml:space="preserve">10478/INFOEM/IP/RR/2025 </w:t>
      </w:r>
      <w:r w:rsidRPr="001C5725">
        <w:rPr>
          <w:rFonts w:ascii="Palatino Linotype" w:eastAsia="Palatino Linotype" w:hAnsi="Palatino Linotype" w:cs="Palatino Linotype"/>
        </w:rPr>
        <w:t xml:space="preserve">en términos del </w:t>
      </w:r>
      <w:r w:rsidRPr="001C5725">
        <w:rPr>
          <w:rFonts w:ascii="Palatino Linotype" w:eastAsia="Palatino Linotype" w:hAnsi="Palatino Linotype" w:cs="Palatino Linotype"/>
          <w:b/>
          <w:bCs/>
        </w:rPr>
        <w:t>Considerando</w:t>
      </w:r>
      <w:r w:rsidRPr="001C5725">
        <w:rPr>
          <w:rFonts w:ascii="Palatino Linotype" w:eastAsia="Palatino Linotype" w:hAnsi="Palatino Linotype" w:cs="Palatino Linotype"/>
        </w:rPr>
        <w:t xml:space="preserve"> </w:t>
      </w:r>
      <w:r w:rsidRPr="001C5725">
        <w:rPr>
          <w:rFonts w:ascii="Palatino Linotype" w:eastAsia="Palatino Linotype" w:hAnsi="Palatino Linotype" w:cs="Palatino Linotype"/>
          <w:b/>
          <w:bCs/>
        </w:rPr>
        <w:t xml:space="preserve">CUARTO y QUINTO </w:t>
      </w:r>
      <w:r w:rsidRPr="001C5725">
        <w:rPr>
          <w:rFonts w:ascii="Palatino Linotype" w:eastAsia="Palatino Linotype" w:hAnsi="Palatino Linotype" w:cs="Palatino Linotype"/>
        </w:rPr>
        <w:t>de la presente resolución.</w:t>
      </w:r>
    </w:p>
    <w:p w:rsidR="006C5FE6" w:rsidRPr="001C5725" w:rsidRDefault="006C5FE6">
      <w:pPr>
        <w:spacing w:line="360" w:lineRule="auto"/>
        <w:ind w:right="-876"/>
        <w:jc w:val="both"/>
        <w:rPr>
          <w:rFonts w:ascii="Palatino Linotype" w:eastAsia="Palatino Linotype" w:hAnsi="Palatino Linotype" w:cs="Palatino Linotype"/>
        </w:rPr>
      </w:pPr>
    </w:p>
    <w:p w:rsidR="006C5FE6" w:rsidRPr="001C5725" w:rsidRDefault="00201FB8">
      <w:pPr>
        <w:spacing w:line="360" w:lineRule="auto"/>
        <w:ind w:right="-876"/>
        <w:jc w:val="both"/>
        <w:rPr>
          <w:rFonts w:ascii="Palatino Linotype" w:eastAsia="Palatino Linotype" w:hAnsi="Palatino Linotype" w:cs="Palatino Linotype"/>
        </w:rPr>
      </w:pPr>
      <w:bookmarkStart w:id="7" w:name="_heading=h.26in1rg" w:colFirst="0" w:colLast="0"/>
      <w:bookmarkEnd w:id="7"/>
      <w:r w:rsidRPr="001C5725">
        <w:rPr>
          <w:rFonts w:ascii="Palatino Linotype" w:eastAsia="Palatino Linotype" w:hAnsi="Palatino Linotype" w:cs="Palatino Linotype"/>
          <w:b/>
          <w:bCs/>
        </w:rPr>
        <w:t>SEGUNDO.</w:t>
      </w:r>
      <w:r w:rsidRPr="001C5725">
        <w:rPr>
          <w:rFonts w:ascii="Palatino Linotype" w:eastAsia="Palatino Linotype" w:hAnsi="Palatino Linotype" w:cs="Palatino Linotype"/>
          <w:color w:val="2F5496"/>
        </w:rPr>
        <w:t xml:space="preserve"> </w:t>
      </w:r>
      <w:r w:rsidRPr="001C5725">
        <w:rPr>
          <w:rFonts w:ascii="Palatino Linotype" w:eastAsia="Palatino Linotype" w:hAnsi="Palatino Linotype" w:cs="Palatino Linotype"/>
        </w:rPr>
        <w:t>Se</w:t>
      </w:r>
      <w:r w:rsidRPr="001C5725">
        <w:rPr>
          <w:rFonts w:ascii="Palatino Linotype" w:eastAsia="Palatino Linotype" w:hAnsi="Palatino Linotype" w:cs="Palatino Linotype"/>
          <w:b/>
          <w:bCs/>
        </w:rPr>
        <w:t xml:space="preserve"> MODIFICA </w:t>
      </w:r>
      <w:r w:rsidRPr="001C5725">
        <w:rPr>
          <w:rFonts w:ascii="Palatino Linotype" w:eastAsia="Palatino Linotype" w:hAnsi="Palatino Linotype" w:cs="Palatino Linotype"/>
        </w:rPr>
        <w:t xml:space="preserve">la respuesta emitida por el </w:t>
      </w:r>
      <w:r w:rsidRPr="001C5725">
        <w:rPr>
          <w:rFonts w:ascii="Palatino Linotype" w:eastAsia="Palatino Linotype" w:hAnsi="Palatino Linotype" w:cs="Palatino Linotype"/>
          <w:b/>
          <w:bCs/>
        </w:rPr>
        <w:t xml:space="preserve">Organismo Público Descentralizado para la Prestación de Los Servicios de Agua Potable Alcantarillado y Saneamiento de Tenango del Valle Estado de México </w:t>
      </w:r>
      <w:r w:rsidRPr="001C5725">
        <w:rPr>
          <w:rFonts w:ascii="Palatino Linotype" w:eastAsia="Palatino Linotype" w:hAnsi="Palatino Linotype" w:cs="Palatino Linotype"/>
        </w:rPr>
        <w:t xml:space="preserve">a la solicitud </w:t>
      </w:r>
      <w:r w:rsidRPr="001C5725">
        <w:rPr>
          <w:rFonts w:ascii="Palatino Linotype" w:eastAsia="Palatino Linotype" w:hAnsi="Palatino Linotype" w:cs="Palatino Linotype"/>
          <w:b/>
          <w:bCs/>
          <w:color w:val="000000"/>
        </w:rPr>
        <w:t>00012/OASTENANGO/IP/2025,</w:t>
      </w:r>
      <w:r w:rsidRPr="001C5725">
        <w:rPr>
          <w:rFonts w:ascii="Palatino Linotype" w:eastAsia="Palatino Linotype" w:hAnsi="Palatino Linotype" w:cs="Palatino Linotype"/>
        </w:rPr>
        <w:t xml:space="preserve"> y se </w:t>
      </w:r>
      <w:r w:rsidRPr="001C5725">
        <w:rPr>
          <w:rFonts w:ascii="Palatino Linotype" w:eastAsia="Palatino Linotype" w:hAnsi="Palatino Linotype" w:cs="Palatino Linotype"/>
          <w:b/>
          <w:bCs/>
        </w:rPr>
        <w:t>ORDENA</w:t>
      </w:r>
      <w:r w:rsidRPr="001C5725">
        <w:rPr>
          <w:rFonts w:ascii="Palatino Linotype" w:eastAsia="Palatino Linotype" w:hAnsi="Palatino Linotype" w:cs="Palatino Linotype"/>
        </w:rPr>
        <w:t xml:space="preserve"> la entrega, a través del Sistema de Acceso a la Información Mexiquense, la siguiente información:</w:t>
      </w:r>
    </w:p>
    <w:p w:rsidR="006C5FE6" w:rsidRPr="001C5725" w:rsidRDefault="006C5FE6">
      <w:pPr>
        <w:spacing w:line="360" w:lineRule="auto"/>
        <w:ind w:right="-876"/>
        <w:jc w:val="both"/>
        <w:rPr>
          <w:rFonts w:ascii="Palatino Linotype" w:eastAsia="Palatino Linotype" w:hAnsi="Palatino Linotype" w:cs="Palatino Linotype"/>
        </w:rPr>
      </w:pPr>
    </w:p>
    <w:p w:rsidR="006C5FE6" w:rsidRPr="001C5725" w:rsidRDefault="00201FB8">
      <w:pPr>
        <w:numPr>
          <w:ilvl w:val="0"/>
          <w:numId w:val="7"/>
        </w:numPr>
        <w:pBdr>
          <w:top w:val="nil"/>
          <w:left w:val="nil"/>
          <w:bottom w:val="nil"/>
          <w:right w:val="nil"/>
          <w:between w:val="nil"/>
        </w:pBdr>
        <w:spacing w:line="360" w:lineRule="auto"/>
        <w:ind w:left="851" w:right="-876" w:firstLine="0"/>
        <w:jc w:val="both"/>
        <w:rPr>
          <w:rFonts w:ascii="Palatino Linotype" w:eastAsia="Palatino Linotype" w:hAnsi="Palatino Linotype" w:cs="Palatino Linotype"/>
          <w:b/>
          <w:bCs/>
        </w:rPr>
      </w:pPr>
      <w:bookmarkStart w:id="8" w:name="_heading=h.6oxbj6l8i40c" w:colFirst="0" w:colLast="0"/>
      <w:bookmarkEnd w:id="8"/>
      <w:r w:rsidRPr="001C5725">
        <w:rPr>
          <w:rFonts w:ascii="Palatino Linotype" w:eastAsia="Palatino Linotype" w:hAnsi="Palatino Linotype" w:cs="Palatino Linotype"/>
          <w:b/>
          <w:bCs/>
          <w:color w:val="000000"/>
        </w:rPr>
        <w:lastRenderedPageBreak/>
        <w:t xml:space="preserve">Soporte documental que justifique el suministro de combustible a los vehículos de las diversas áreas que integran al Organismo Público Descentralizado para la Prestación de Los Servicios de Agua Potable Alcantarillado y Saneamiento de Tenango del Valle Estado de México, del mes de junio, julio y del primero al quince de agosto de dos mil veinticinco. </w:t>
      </w:r>
    </w:p>
    <w:p w:rsidR="006C5FE6" w:rsidRPr="001C5725" w:rsidRDefault="006C5FE6">
      <w:pPr>
        <w:pBdr>
          <w:top w:val="nil"/>
          <w:left w:val="nil"/>
          <w:bottom w:val="nil"/>
          <w:right w:val="nil"/>
          <w:between w:val="nil"/>
        </w:pBdr>
        <w:spacing w:line="360" w:lineRule="auto"/>
        <w:ind w:left="851" w:right="-876"/>
        <w:jc w:val="both"/>
        <w:rPr>
          <w:rFonts w:ascii="Palatino Linotype" w:eastAsia="Palatino Linotype" w:hAnsi="Palatino Linotype" w:cs="Palatino Linotype"/>
          <w:b/>
          <w:bCs/>
        </w:rPr>
      </w:pPr>
    </w:p>
    <w:p w:rsidR="006C5FE6" w:rsidRPr="001C5725" w:rsidRDefault="00201FB8">
      <w:pPr>
        <w:tabs>
          <w:tab w:val="left" w:pos="993"/>
        </w:tabs>
        <w:spacing w:line="360" w:lineRule="auto"/>
        <w:ind w:right="-876"/>
        <w:jc w:val="both"/>
        <w:rPr>
          <w:rFonts w:ascii="Palatino Linotype" w:eastAsia="Palatino Linotype" w:hAnsi="Palatino Linotype" w:cs="Palatino Linotype"/>
        </w:rPr>
      </w:pPr>
      <w:r w:rsidRPr="001C5725">
        <w:rPr>
          <w:rFonts w:ascii="Palatino Linotype" w:eastAsia="Palatino Linotype" w:hAnsi="Palatino Linotype" w:cs="Palatino Linotype"/>
          <w:color w:val="000000"/>
        </w:rPr>
        <w:t xml:space="preserve">Para </w:t>
      </w:r>
      <w:r w:rsidRPr="001C5725">
        <w:rPr>
          <w:rFonts w:ascii="Palatino Linotype" w:eastAsia="Palatino Linotype" w:hAnsi="Palatino Linotype" w:cs="Palatino Linotype"/>
        </w:rPr>
        <w:t xml:space="preserve">efectos de lo anterior, se deberá emitir el Acuerdo del Comité de Transparencia, en términos de los artículos 49, fracción VIII, y 132, fracción II, de la Ley de Transparencia y Acceso a la Información Pública del Estado de México y Municipios, en el que se funden y motiven las razones sobre los datos que se supriman o eliminen dentro del soporte documental respectivo objeto de las versiones públicas que se formulen, y se ponga a disposición del </w:t>
      </w:r>
      <w:r w:rsidRPr="001C5725">
        <w:rPr>
          <w:rFonts w:ascii="Palatino Linotype" w:eastAsia="Palatino Linotype" w:hAnsi="Palatino Linotype" w:cs="Palatino Linotype"/>
          <w:b/>
          <w:bCs/>
        </w:rPr>
        <w:t>RECURRENTE</w:t>
      </w:r>
      <w:r w:rsidRPr="001C5725">
        <w:rPr>
          <w:rFonts w:ascii="Palatino Linotype" w:eastAsia="Palatino Linotype" w:hAnsi="Palatino Linotype" w:cs="Palatino Linotype"/>
        </w:rPr>
        <w:t>.</w:t>
      </w:r>
    </w:p>
    <w:p w:rsidR="006C5FE6" w:rsidRPr="001C5725" w:rsidRDefault="006C5FE6">
      <w:pPr>
        <w:pBdr>
          <w:top w:val="nil"/>
          <w:left w:val="nil"/>
          <w:bottom w:val="nil"/>
          <w:right w:val="nil"/>
          <w:between w:val="nil"/>
        </w:pBdr>
        <w:spacing w:line="360" w:lineRule="auto"/>
        <w:ind w:right="-876"/>
        <w:jc w:val="both"/>
        <w:rPr>
          <w:rFonts w:ascii="Palatino Linotype" w:eastAsia="Palatino Linotype" w:hAnsi="Palatino Linotype" w:cs="Palatino Linotype"/>
          <w:b/>
          <w:bCs/>
        </w:rPr>
      </w:pPr>
    </w:p>
    <w:p w:rsidR="006C5FE6" w:rsidRPr="001C5725" w:rsidRDefault="00201FB8">
      <w:pPr>
        <w:shd w:val="clear" w:color="auto" w:fill="FFFFFF"/>
        <w:spacing w:line="360" w:lineRule="auto"/>
        <w:ind w:right="-876"/>
        <w:jc w:val="both"/>
        <w:rPr>
          <w:rFonts w:ascii="Palatino Linotype" w:eastAsia="Palatino Linotype" w:hAnsi="Palatino Linotype" w:cs="Palatino Linotype"/>
          <w:color w:val="222222"/>
        </w:rPr>
      </w:pPr>
      <w:r w:rsidRPr="001C5725">
        <w:rPr>
          <w:rFonts w:ascii="Palatino Linotype" w:eastAsia="Palatino Linotype" w:hAnsi="Palatino Linotype" w:cs="Palatino Linotype"/>
          <w:b/>
          <w:bCs/>
          <w:color w:val="222222"/>
        </w:rPr>
        <w:t xml:space="preserve">TERCERO. </w:t>
      </w:r>
      <w:r w:rsidRPr="001C5725">
        <w:rPr>
          <w:rFonts w:ascii="Palatino Linotype" w:eastAsia="Palatino Linotype" w:hAnsi="Palatino Linotype" w:cs="Palatino Linotype"/>
          <w:color w:val="222222"/>
        </w:rPr>
        <w:t xml:space="preserve">Notifíquese vía SAIMEX la presente resolución al Titular de la Unidad de Transparencia del Sujeto Obligado, para que conforme al artículo 186 último párrafo, 189 segundo párrafo y 194 de la Ley de Transparencia y Acceso a la Información Pública del Estado de México y Municipios </w:t>
      </w:r>
      <w:r w:rsidRPr="001C5725">
        <w:rPr>
          <w:rFonts w:ascii="Palatino Linotype" w:eastAsia="Palatino Linotype" w:hAnsi="Palatino Linotype" w:cs="Palatino Linotype"/>
          <w:b/>
          <w:bCs/>
          <w:color w:val="222222"/>
        </w:rPr>
        <w:t>dé cumplimiento a lo ordenado dentro del plazo de diez días hábiles,</w:t>
      </w:r>
      <w:r w:rsidRPr="001C5725">
        <w:rPr>
          <w:rFonts w:ascii="Palatino Linotype" w:eastAsia="Palatino Linotype" w:hAnsi="Palatino Linotype" w:cs="Palatino Linotype"/>
          <w:color w:val="222222"/>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6C5FE6" w:rsidRPr="001C5725" w:rsidRDefault="006C5FE6">
      <w:pPr>
        <w:shd w:val="clear" w:color="auto" w:fill="FFFFFF"/>
        <w:spacing w:line="360" w:lineRule="auto"/>
        <w:ind w:right="-876"/>
        <w:jc w:val="both"/>
        <w:rPr>
          <w:rFonts w:ascii="Palatino Linotype" w:eastAsia="Palatino Linotype" w:hAnsi="Palatino Linotype" w:cs="Palatino Linotype"/>
          <w:b/>
          <w:bCs/>
          <w:color w:val="222222"/>
        </w:rPr>
      </w:pPr>
    </w:p>
    <w:p w:rsidR="006C5FE6" w:rsidRPr="001C5725" w:rsidRDefault="00201FB8">
      <w:pPr>
        <w:shd w:val="clear" w:color="auto" w:fill="FFFFFF"/>
        <w:spacing w:line="360" w:lineRule="auto"/>
        <w:ind w:right="-876"/>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b/>
          <w:bCs/>
          <w:color w:val="000000"/>
        </w:rPr>
        <w:lastRenderedPageBreak/>
        <w:t>CUARTO.</w:t>
      </w:r>
      <w:r w:rsidRPr="001C5725">
        <w:rPr>
          <w:rFonts w:ascii="Palatino Linotype" w:eastAsia="Palatino Linotype" w:hAnsi="Palatino Linotype" w:cs="Palatino Linotype"/>
          <w:color w:val="000000"/>
        </w:rPr>
        <w:t xml:space="preserve"> De conformidad con el artículo 198 de la Ley de Transparencia y Acceso a la Información Pública del Estado de México y Municipios, de considerarlo procedente, el </w:t>
      </w:r>
      <w:r w:rsidRPr="001C5725">
        <w:rPr>
          <w:rFonts w:ascii="Palatino Linotype" w:eastAsia="Palatino Linotype" w:hAnsi="Palatino Linotype" w:cs="Palatino Linotype"/>
          <w:b/>
          <w:bCs/>
          <w:color w:val="000000"/>
        </w:rPr>
        <w:t>SUJETO OBLIGADO</w:t>
      </w:r>
      <w:r w:rsidRPr="001C5725">
        <w:rPr>
          <w:rFonts w:ascii="Palatino Linotype" w:eastAsia="Palatino Linotype" w:hAnsi="Palatino Linotype" w:cs="Palatino Linotype"/>
          <w:color w:val="000000"/>
        </w:rPr>
        <w:t xml:space="preserve"> podrá, de manera fundada y motivada, solicitar una ampliación de plazo para el cumplimiento de la presente resolución.</w:t>
      </w:r>
    </w:p>
    <w:p w:rsidR="006C5FE6" w:rsidRPr="001C5725" w:rsidRDefault="006C5FE6">
      <w:pPr>
        <w:spacing w:line="360" w:lineRule="auto"/>
        <w:ind w:right="-876"/>
        <w:rPr>
          <w:rFonts w:ascii="Palatino Linotype" w:eastAsia="Palatino Linotype" w:hAnsi="Palatino Linotype" w:cs="Palatino Linotype"/>
        </w:rPr>
      </w:pPr>
    </w:p>
    <w:p w:rsidR="006C5FE6" w:rsidRPr="001C5725" w:rsidRDefault="00201FB8">
      <w:pPr>
        <w:shd w:val="clear" w:color="auto" w:fill="FFFFFF"/>
        <w:spacing w:line="360" w:lineRule="auto"/>
        <w:ind w:right="-876"/>
        <w:jc w:val="both"/>
        <w:rPr>
          <w:rFonts w:ascii="Palatino Linotype" w:eastAsia="Palatino Linotype" w:hAnsi="Palatino Linotype" w:cs="Palatino Linotype"/>
          <w:color w:val="000000"/>
        </w:rPr>
      </w:pPr>
      <w:r w:rsidRPr="001C5725">
        <w:rPr>
          <w:rFonts w:ascii="Palatino Linotype" w:eastAsia="Palatino Linotype" w:hAnsi="Palatino Linotype" w:cs="Palatino Linotype"/>
          <w:b/>
          <w:bCs/>
        </w:rPr>
        <w:t xml:space="preserve">QUINTO. </w:t>
      </w:r>
      <w:r w:rsidRPr="001C5725">
        <w:rPr>
          <w:rFonts w:ascii="Palatino Linotype" w:eastAsia="Palatino Linotype" w:hAnsi="Palatino Linotype" w:cs="Palatino Linotype"/>
          <w:b/>
          <w:bCs/>
          <w:color w:val="222222"/>
        </w:rPr>
        <w:t xml:space="preserve">Notifíquese </w:t>
      </w:r>
      <w:r w:rsidRPr="001C5725">
        <w:rPr>
          <w:rFonts w:ascii="Palatino Linotype" w:eastAsia="Palatino Linotype" w:hAnsi="Palatino Linotype" w:cs="Palatino Linotype"/>
          <w:color w:val="222222"/>
        </w:rPr>
        <w:t xml:space="preserve">al </w:t>
      </w:r>
      <w:r w:rsidRPr="001C5725">
        <w:rPr>
          <w:rFonts w:ascii="Palatino Linotype" w:eastAsia="Palatino Linotype" w:hAnsi="Palatino Linotype" w:cs="Palatino Linotype"/>
          <w:b/>
          <w:bCs/>
          <w:color w:val="222222"/>
        </w:rPr>
        <w:t>RECURRENTE</w:t>
      </w:r>
      <w:r w:rsidRPr="001C5725">
        <w:rPr>
          <w:rFonts w:ascii="Palatino Linotype" w:eastAsia="Palatino Linotype" w:hAnsi="Palatino Linotype" w:cs="Palatino Linotype"/>
          <w:color w:val="222222"/>
        </w:rPr>
        <w:t xml:space="preserve"> </w:t>
      </w:r>
      <w:r w:rsidRPr="001C5725">
        <w:rPr>
          <w:rFonts w:ascii="Palatino Linotype" w:eastAsia="Palatino Linotype" w:hAnsi="Palatino Linotype" w:cs="Palatino Linotype"/>
        </w:rPr>
        <w:t>la presente resolución vía Sistema de Acceso a la Información Mexiquense (SAIMEX).</w:t>
      </w:r>
    </w:p>
    <w:p w:rsidR="006C5FE6" w:rsidRPr="001C5725" w:rsidRDefault="006C5FE6">
      <w:pPr>
        <w:shd w:val="clear" w:color="auto" w:fill="FFFFFF"/>
        <w:spacing w:line="360" w:lineRule="auto"/>
        <w:ind w:right="-876"/>
        <w:jc w:val="both"/>
        <w:rPr>
          <w:rFonts w:ascii="Palatino Linotype" w:eastAsia="Palatino Linotype" w:hAnsi="Palatino Linotype" w:cs="Palatino Linotype"/>
        </w:rPr>
      </w:pPr>
    </w:p>
    <w:p w:rsidR="006C5FE6" w:rsidRPr="001C5725" w:rsidRDefault="00201FB8">
      <w:pPr>
        <w:spacing w:line="360" w:lineRule="auto"/>
        <w:ind w:right="-876"/>
        <w:jc w:val="both"/>
        <w:rPr>
          <w:rFonts w:ascii="Palatino Linotype" w:eastAsia="Palatino Linotype" w:hAnsi="Palatino Linotype" w:cs="Palatino Linotype"/>
        </w:rPr>
      </w:pPr>
      <w:r w:rsidRPr="001C5725">
        <w:rPr>
          <w:rFonts w:ascii="Palatino Linotype" w:eastAsia="Palatino Linotype" w:hAnsi="Palatino Linotype" w:cs="Palatino Linotype"/>
          <w:b/>
          <w:bCs/>
        </w:rPr>
        <w:t>SEXTO.</w:t>
      </w:r>
      <w:r w:rsidRPr="001C5725">
        <w:rPr>
          <w:rFonts w:ascii="Palatino Linotype" w:eastAsia="Palatino Linotype" w:hAnsi="Palatino Linotype" w:cs="Palatino Linotype"/>
        </w:rPr>
        <w:t xml:space="preserve"> Se hace del conocimiento del </w:t>
      </w:r>
      <w:r w:rsidRPr="001C5725">
        <w:rPr>
          <w:rFonts w:ascii="Palatino Linotype" w:eastAsia="Palatino Linotype" w:hAnsi="Palatino Linotype" w:cs="Palatino Linotype"/>
          <w:b/>
          <w:bCs/>
        </w:rPr>
        <w:t>RECURRENTE</w:t>
      </w:r>
      <w:r w:rsidRPr="001C5725">
        <w:rPr>
          <w:rFonts w:ascii="Palatino Linotype" w:eastAsia="Palatino Linotype" w:hAnsi="Palatino Linotype" w:cs="Palatino Linotype"/>
          <w:color w:val="222222"/>
        </w:rPr>
        <w:t xml:space="preserve"> </w:t>
      </w:r>
      <w:r w:rsidRPr="001C5725">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6C5FE6" w:rsidRPr="001C5725" w:rsidRDefault="006C5FE6">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A74EDC" w:rsidRPr="001C5725" w:rsidRDefault="00A74EDC" w:rsidP="00A74EDC">
      <w:pPr>
        <w:spacing w:before="240" w:after="240" w:line="360" w:lineRule="auto"/>
        <w:ind w:right="-879" w:firstLine="1"/>
        <w:jc w:val="both"/>
        <w:rPr>
          <w:rFonts w:ascii="Palatino Linotype" w:hAnsi="Palatino Linotype"/>
        </w:rPr>
      </w:pPr>
      <w:bookmarkStart w:id="9" w:name="_Hlk99014733"/>
      <w:r w:rsidRPr="001C572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OCTAVA SESIÓN ORDINARIA, CELEBRADA EL VEINTE (20) DE MAYO DE DOS MIL VEINTISÉIS, ANTE EL SECRETARIO TÉCNICO DEL PLENO </w:t>
      </w:r>
      <w:r w:rsidRPr="001C5725">
        <w:rPr>
          <w:rFonts w:ascii="Palatino Linotype" w:hAnsi="Palatino Linotype" w:cs="Palatino Linotype"/>
          <w:color w:val="000000" w:themeColor="text1"/>
        </w:rPr>
        <w:t>ALEXIS TAPIA RAMÍREZ.</w:t>
      </w:r>
    </w:p>
    <w:bookmarkEnd w:id="9"/>
    <w:p w:rsidR="006C5FE6" w:rsidRPr="001C5725" w:rsidRDefault="006C5FE6" w:rsidP="00A74EDC">
      <w:pPr>
        <w:pBdr>
          <w:top w:val="nil"/>
          <w:left w:val="nil"/>
          <w:bottom w:val="nil"/>
          <w:right w:val="nil"/>
          <w:between w:val="nil"/>
        </w:pBdr>
        <w:tabs>
          <w:tab w:val="left" w:pos="284"/>
        </w:tabs>
        <w:spacing w:line="360" w:lineRule="auto"/>
        <w:ind w:right="-879"/>
        <w:jc w:val="both"/>
        <w:rPr>
          <w:rFonts w:ascii="Palatino Linotype" w:eastAsia="Palatino Linotype" w:hAnsi="Palatino Linotype" w:cs="Palatino Linotype"/>
        </w:rPr>
      </w:pPr>
    </w:p>
    <w:p w:rsidR="006C5FE6" w:rsidRPr="001C5725" w:rsidRDefault="006C5FE6">
      <w:pPr>
        <w:pBdr>
          <w:top w:val="nil"/>
          <w:left w:val="nil"/>
          <w:bottom w:val="nil"/>
          <w:right w:val="nil"/>
          <w:between w:val="nil"/>
        </w:pBdr>
        <w:tabs>
          <w:tab w:val="left" w:pos="284"/>
        </w:tabs>
        <w:spacing w:line="360" w:lineRule="auto"/>
        <w:ind w:right="-876"/>
        <w:jc w:val="both"/>
        <w:rPr>
          <w:rFonts w:ascii="Palatino Linotype" w:eastAsia="Palatino Linotype" w:hAnsi="Palatino Linotype" w:cs="Palatino Linotype"/>
        </w:rPr>
      </w:pPr>
    </w:p>
    <w:p w:rsidR="006C5FE6" w:rsidRPr="001C5725" w:rsidRDefault="006C5FE6">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6C5FE6" w:rsidRPr="001C5725" w:rsidRDefault="006C5FE6">
      <w:pPr>
        <w:pBdr>
          <w:top w:val="nil"/>
          <w:left w:val="nil"/>
          <w:bottom w:val="nil"/>
          <w:right w:val="nil"/>
          <w:between w:val="nil"/>
        </w:pBdr>
        <w:ind w:left="720" w:right="-876"/>
        <w:rPr>
          <w:rFonts w:ascii="Palatino Linotype" w:eastAsia="Palatino Linotype" w:hAnsi="Palatino Linotype" w:cs="Palatino Linotype"/>
          <w:color w:val="000000"/>
        </w:rPr>
      </w:pPr>
    </w:p>
    <w:p w:rsidR="006C5FE6" w:rsidRPr="001C5725" w:rsidRDefault="006C5FE6">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6C5FE6" w:rsidRPr="001C5725" w:rsidRDefault="006C5FE6">
      <w:pPr>
        <w:ind w:right="-876"/>
      </w:pPr>
    </w:p>
    <w:p w:rsidR="006C5FE6" w:rsidRPr="001C5725" w:rsidRDefault="006C5FE6">
      <w:pPr>
        <w:ind w:right="-876"/>
      </w:pPr>
    </w:p>
    <w:p w:rsidR="006C5FE6" w:rsidRPr="001C5725" w:rsidRDefault="006C5FE6">
      <w:pPr>
        <w:ind w:right="-876"/>
      </w:pPr>
    </w:p>
    <w:p w:rsidR="006C5FE6" w:rsidRPr="001C5725" w:rsidRDefault="006C5FE6">
      <w:pPr>
        <w:ind w:right="-876"/>
      </w:pPr>
    </w:p>
    <w:p w:rsidR="006C5FE6" w:rsidRPr="001C5725" w:rsidRDefault="006C5FE6">
      <w:pPr>
        <w:ind w:right="-876"/>
      </w:pPr>
    </w:p>
    <w:p w:rsidR="006C5FE6" w:rsidRPr="001C5725" w:rsidRDefault="006C5FE6">
      <w:pPr>
        <w:ind w:right="-876"/>
      </w:pPr>
    </w:p>
    <w:p w:rsidR="006C5FE6" w:rsidRPr="001C5725" w:rsidRDefault="006C5FE6">
      <w:pPr>
        <w:ind w:right="-876"/>
      </w:pPr>
    </w:p>
    <w:p w:rsidR="006C5FE6" w:rsidRPr="001C5725" w:rsidRDefault="006C5FE6">
      <w:pPr>
        <w:ind w:right="-876"/>
      </w:pPr>
    </w:p>
    <w:p w:rsidR="006C5FE6" w:rsidRPr="001C5725" w:rsidRDefault="006C5FE6">
      <w:pPr>
        <w:ind w:right="-876"/>
      </w:pPr>
    </w:p>
    <w:p w:rsidR="006C5FE6" w:rsidRPr="001C5725" w:rsidRDefault="006C5FE6">
      <w:pPr>
        <w:ind w:right="-876"/>
      </w:pPr>
    </w:p>
    <w:p w:rsidR="006C5FE6" w:rsidRPr="001C5725" w:rsidRDefault="006C5FE6">
      <w:pPr>
        <w:ind w:right="-876"/>
      </w:pPr>
    </w:p>
    <w:p w:rsidR="001B0826" w:rsidRPr="001C5725" w:rsidRDefault="001B0826">
      <w:pPr>
        <w:ind w:right="-876"/>
      </w:pPr>
    </w:p>
    <w:p w:rsidR="001B0826" w:rsidRPr="001C5725" w:rsidRDefault="001B0826">
      <w:pPr>
        <w:ind w:right="-876"/>
      </w:pPr>
    </w:p>
    <w:p w:rsidR="001B0826" w:rsidRPr="001C5725" w:rsidRDefault="001B0826">
      <w:pPr>
        <w:ind w:right="-876"/>
      </w:pPr>
    </w:p>
    <w:p w:rsidR="001B0826" w:rsidRPr="001C5725" w:rsidRDefault="001B0826">
      <w:pPr>
        <w:ind w:right="-876"/>
      </w:pPr>
    </w:p>
    <w:p w:rsidR="001B0826" w:rsidRPr="001C5725" w:rsidRDefault="001B0826">
      <w:pPr>
        <w:ind w:right="-876"/>
      </w:pPr>
    </w:p>
    <w:p w:rsidR="001B0826" w:rsidRPr="001C5725" w:rsidRDefault="001B0826">
      <w:pPr>
        <w:ind w:right="-876"/>
      </w:pPr>
    </w:p>
    <w:p w:rsidR="001B0826" w:rsidRPr="001C5725" w:rsidRDefault="001B0826">
      <w:pPr>
        <w:ind w:right="-876"/>
      </w:pPr>
    </w:p>
    <w:p w:rsidR="001B0826" w:rsidRPr="001C5725" w:rsidRDefault="001B0826">
      <w:pPr>
        <w:ind w:right="-876"/>
      </w:pPr>
    </w:p>
    <w:p w:rsidR="001B0826" w:rsidRPr="001C5725" w:rsidRDefault="001B0826">
      <w:pPr>
        <w:ind w:right="-876"/>
      </w:pPr>
    </w:p>
    <w:p w:rsidR="001B0826" w:rsidRPr="001C5725" w:rsidRDefault="001B0826">
      <w:pPr>
        <w:ind w:right="-876"/>
      </w:pPr>
    </w:p>
    <w:p w:rsidR="001B0826" w:rsidRPr="001C5725" w:rsidRDefault="001B0826">
      <w:pPr>
        <w:ind w:right="-876"/>
      </w:pPr>
    </w:p>
    <w:sectPr w:rsidR="001B0826" w:rsidRPr="001C5725">
      <w:headerReference w:type="even" r:id="rId12"/>
      <w:headerReference w:type="default" r:id="rId13"/>
      <w:footerReference w:type="default" r:id="rId14"/>
      <w:headerReference w:type="first" r:id="rId15"/>
      <w:footerReference w:type="first" r:id="rId16"/>
      <w:pgSz w:w="12240" w:h="15840"/>
      <w:pgMar w:top="80" w:right="160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4DED" w:rsidRDefault="00794DED">
      <w:r>
        <w:separator/>
      </w:r>
    </w:p>
  </w:endnote>
  <w:endnote w:type="continuationSeparator" w:id="0">
    <w:p w:rsidR="00794DED" w:rsidRDefault="00794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embedRegular r:id="rId1" w:fontKey="{8C242326-3EF1-4836-AEA1-A9B6B81270FB}"/>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3F1D1D66-9770-4653-BFE1-52DFA20962E2}"/>
    <w:embedBold r:id="rId3" w:fontKey="{613423FB-47AB-43CD-9016-F62A8CDD76A2}"/>
    <w:embedItalic r:id="rId4" w:fontKey="{C99C0329-3801-4B08-9155-52464845E228}"/>
    <w:embedBoldItalic r:id="rId5" w:fontKey="{84805EDA-2F52-45EA-A6CE-ADFF35BF57A8}"/>
  </w:font>
  <w:font w:name="Calibri">
    <w:panose1 w:val="020F0502020204030204"/>
    <w:charset w:val="00"/>
    <w:family w:val="swiss"/>
    <w:pitch w:val="variable"/>
    <w:sig w:usb0="E4002EFF" w:usb1="C200247B" w:usb2="00000009" w:usb3="00000000" w:csb0="000001FF" w:csb1="00000000"/>
    <w:embedRegular r:id="rId6" w:fontKey="{0461DE1D-3813-47A1-8B01-FE22DA4B4E3B}"/>
  </w:font>
  <w:font w:name="Georgia">
    <w:panose1 w:val="02040502050405020303"/>
    <w:charset w:val="00"/>
    <w:family w:val="roman"/>
    <w:pitch w:val="variable"/>
    <w:sig w:usb0="00000287" w:usb1="00000000" w:usb2="00000000" w:usb3="00000000" w:csb0="0000009F" w:csb1="00000000"/>
    <w:embedItalic r:id="rId7" w:fontKey="{4E29ED3B-0D4A-40E7-A25B-F700E2043B92}"/>
  </w:font>
  <w:font w:name="Verdana">
    <w:panose1 w:val="020B0604030504040204"/>
    <w:charset w:val="00"/>
    <w:family w:val="swiss"/>
    <w:pitch w:val="variable"/>
    <w:sig w:usb0="A00006FF" w:usb1="4000205B" w:usb2="00000010" w:usb3="00000000" w:csb0="0000019F" w:csb1="00000000"/>
    <w:embedRegular r:id="rId8" w:fontKey="{94162A11-85F5-4904-AC94-ADD36266B1EF}"/>
  </w:font>
  <w:font w:name="Garamond">
    <w:panose1 w:val="02020404030301010803"/>
    <w:charset w:val="00"/>
    <w:family w:val="roman"/>
    <w:pitch w:val="variable"/>
    <w:sig w:usb0="00000287" w:usb1="00000000" w:usb2="00000000" w:usb3="00000000" w:csb0="0000009F" w:csb1="00000000"/>
    <w:embedRegular r:id="rId9" w:fontKey="{D4963E62-F427-4CA1-AD9C-2764031BC603}"/>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0" w:fontKey="{409ACC43-5EDF-4785-B9D5-EFA584DBA6A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FE6" w:rsidRDefault="00201FB8">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1C5725">
      <w:rPr>
        <w:rFonts w:ascii="Palatino Linotype" w:eastAsia="Palatino Linotype" w:hAnsi="Palatino Linotype" w:cs="Palatino Linotype"/>
        <w:b/>
        <w:bCs/>
        <w:noProof/>
        <w:color w:val="000000"/>
        <w:sz w:val="22"/>
        <w:szCs w:val="22"/>
      </w:rPr>
      <w:t>21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1C5725">
      <w:rPr>
        <w:rFonts w:ascii="Palatino Linotype" w:eastAsia="Palatino Linotype" w:hAnsi="Palatino Linotype" w:cs="Palatino Linotype"/>
        <w:b/>
        <w:bCs/>
        <w:noProof/>
        <w:color w:val="000000"/>
        <w:sz w:val="22"/>
        <w:szCs w:val="22"/>
      </w:rPr>
      <w:t>34</w:t>
    </w:r>
    <w:r>
      <w:rPr>
        <w:rFonts w:ascii="Palatino Linotype" w:eastAsia="Palatino Linotype" w:hAnsi="Palatino Linotype" w:cs="Palatino Linotype"/>
        <w:b/>
        <w:bCs/>
        <w:color w:val="000000"/>
        <w:sz w:val="22"/>
        <w:szCs w:val="22"/>
      </w:rPr>
      <w:fldChar w:fldCharType="end"/>
    </w:r>
  </w:p>
  <w:p w:rsidR="006C5FE6" w:rsidRDefault="006C5FE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FE6" w:rsidRDefault="00201FB8">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1C5725">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1C5725">
      <w:rPr>
        <w:rFonts w:ascii="Palatino Linotype" w:eastAsia="Palatino Linotype" w:hAnsi="Palatino Linotype" w:cs="Palatino Linotype"/>
        <w:b/>
        <w:bCs/>
        <w:noProof/>
        <w:color w:val="000000"/>
        <w:sz w:val="22"/>
        <w:szCs w:val="22"/>
      </w:rPr>
      <w:t>34</w:t>
    </w:r>
    <w:r>
      <w:rPr>
        <w:rFonts w:ascii="Palatino Linotype" w:eastAsia="Palatino Linotype" w:hAnsi="Palatino Linotype" w:cs="Palatino Linotype"/>
        <w:b/>
        <w:bCs/>
        <w:color w:val="000000"/>
        <w:sz w:val="22"/>
        <w:szCs w:val="22"/>
      </w:rPr>
      <w:fldChar w:fldCharType="end"/>
    </w:r>
  </w:p>
  <w:p w:rsidR="006C5FE6" w:rsidRDefault="006C5FE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4DED" w:rsidRDefault="00794DED">
      <w:r>
        <w:separator/>
      </w:r>
    </w:p>
  </w:footnote>
  <w:footnote w:type="continuationSeparator" w:id="0">
    <w:p w:rsidR="00794DED" w:rsidRDefault="00794DED">
      <w:r>
        <w:continuationSeparator/>
      </w:r>
    </w:p>
  </w:footnote>
  <w:footnote w:id="1">
    <w:p w:rsidR="006C5FE6" w:rsidRDefault="00201FB8">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Ley de Transparencia y Acceso a la Información Pública del Estado de México y Municipios. Artículo 9. …</w:t>
      </w:r>
    </w:p>
    <w:p w:rsidR="006C5FE6" w:rsidRDefault="00201FB8">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II. Eficacia: Obligación del Instituto para tutelar, de manera efectiva, el derecho de acceso a la información;</w:t>
      </w:r>
    </w:p>
    <w:p w:rsidR="006C5FE6" w:rsidRDefault="00201FB8">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FE6" w:rsidRDefault="00794DED">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10490" w:type="dxa"/>
      <w:tblInd w:w="0" w:type="dxa"/>
      <w:tblLayout w:type="fixed"/>
      <w:tblLook w:val="0400" w:firstRow="0" w:lastRow="0" w:firstColumn="0" w:lastColumn="0" w:noHBand="0" w:noVBand="1"/>
    </w:tblPr>
    <w:tblGrid>
      <w:gridCol w:w="2268"/>
      <w:gridCol w:w="8222"/>
    </w:tblGrid>
    <w:tr w:rsidR="006C5FE6" w:rsidTr="001C5725">
      <w:trPr>
        <w:trHeight w:val="1435"/>
      </w:trPr>
      <w:tc>
        <w:tcPr>
          <w:tcW w:w="2268" w:type="dxa"/>
          <w:shd w:val="clear" w:color="auto" w:fill="auto"/>
        </w:tcPr>
        <w:p w:rsidR="006C5FE6" w:rsidRDefault="006C5FE6">
          <w:pPr>
            <w:tabs>
              <w:tab w:val="right" w:pos="4273"/>
            </w:tabs>
            <w:rPr>
              <w:rFonts w:ascii="Garamond" w:eastAsia="Garamond" w:hAnsi="Garamond" w:cs="Garamond"/>
              <w:sz w:val="16"/>
              <w:szCs w:val="16"/>
            </w:rPr>
          </w:pPr>
        </w:p>
      </w:tc>
      <w:tc>
        <w:tcPr>
          <w:tcW w:w="8222" w:type="dxa"/>
          <w:shd w:val="clear" w:color="auto" w:fill="auto"/>
        </w:tcPr>
        <w:tbl>
          <w:tblPr>
            <w:tblStyle w:val="a2"/>
            <w:tblW w:w="7783" w:type="dxa"/>
            <w:tblInd w:w="40" w:type="dxa"/>
            <w:tblLayout w:type="fixed"/>
            <w:tblLook w:val="0400" w:firstRow="0" w:lastRow="0" w:firstColumn="0" w:lastColumn="0" w:noHBand="0" w:noVBand="1"/>
          </w:tblPr>
          <w:tblGrid>
            <w:gridCol w:w="2942"/>
            <w:gridCol w:w="4841"/>
          </w:tblGrid>
          <w:tr w:rsidR="006C5FE6" w:rsidTr="001C5725">
            <w:trPr>
              <w:trHeight w:val="150"/>
            </w:trPr>
            <w:tc>
              <w:tcPr>
                <w:tcW w:w="2942" w:type="dxa"/>
                <w:shd w:val="clear" w:color="auto" w:fill="auto"/>
              </w:tcPr>
              <w:p w:rsidR="006C5FE6" w:rsidRDefault="00201FB8">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841" w:type="dxa"/>
                <w:shd w:val="clear" w:color="auto" w:fill="auto"/>
              </w:tcPr>
              <w:p w:rsidR="006C5FE6" w:rsidRDefault="00201FB8">
                <w:pPr>
                  <w:tabs>
                    <w:tab w:val="right" w:pos="8838"/>
                  </w:tabs>
                  <w:ind w:left="-108" w:right="-1090"/>
                  <w:jc w:val="both"/>
                  <w:rPr>
                    <w:rFonts w:ascii="Palatino Linotype" w:eastAsia="Palatino Linotype" w:hAnsi="Palatino Linotype" w:cs="Palatino Linotype"/>
                  </w:rPr>
                </w:pPr>
                <w:r>
                  <w:rPr>
                    <w:rFonts w:ascii="Palatino Linotype" w:eastAsia="Palatino Linotype" w:hAnsi="Palatino Linotype" w:cs="Palatino Linotype"/>
                  </w:rPr>
                  <w:t>10478/INFOEM/IP/RR/2025</w:t>
                </w:r>
                <w:r>
                  <w:rPr>
                    <w:rFonts w:ascii="Palatino Linotype" w:eastAsia="Palatino Linotype" w:hAnsi="Palatino Linotype" w:cs="Palatino Linotype"/>
                    <w:b/>
                    <w:bCs/>
                  </w:rPr>
                  <w:t xml:space="preserve"> </w:t>
                </w:r>
              </w:p>
            </w:tc>
          </w:tr>
          <w:tr w:rsidR="006C5FE6" w:rsidTr="001C5725">
            <w:trPr>
              <w:trHeight w:val="295"/>
            </w:trPr>
            <w:tc>
              <w:tcPr>
                <w:tcW w:w="2942" w:type="dxa"/>
                <w:shd w:val="clear" w:color="auto" w:fill="auto"/>
              </w:tcPr>
              <w:p w:rsidR="006C5FE6" w:rsidRDefault="00201FB8">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841" w:type="dxa"/>
                <w:shd w:val="clear" w:color="auto" w:fill="auto"/>
              </w:tcPr>
              <w:p w:rsidR="006C5FE6" w:rsidRDefault="00201FB8" w:rsidP="001C5725">
                <w:pPr>
                  <w:tabs>
                    <w:tab w:val="right" w:pos="8838"/>
                  </w:tabs>
                  <w:ind w:left="-108"/>
                  <w:jc w:val="both"/>
                  <w:rPr>
                    <w:rFonts w:ascii="Palatino Linotype" w:eastAsia="Palatino Linotype" w:hAnsi="Palatino Linotype" w:cs="Palatino Linotype"/>
                  </w:rPr>
                </w:pPr>
                <w:r>
                  <w:rPr>
                    <w:rFonts w:ascii="Palatino Linotype" w:eastAsia="Palatino Linotype" w:hAnsi="Palatino Linotype" w:cs="Palatino Linotype"/>
                  </w:rPr>
                  <w:t>Organismo Público Descentralizado para la Prestación de Los Servicios de Agua Potable Alcantarillado y Saneamiento de Tenango del Valle Estado de México</w:t>
                </w:r>
              </w:p>
            </w:tc>
          </w:tr>
          <w:tr w:rsidR="006C5FE6" w:rsidTr="001C5725">
            <w:trPr>
              <w:trHeight w:val="295"/>
            </w:trPr>
            <w:tc>
              <w:tcPr>
                <w:tcW w:w="2942" w:type="dxa"/>
                <w:shd w:val="clear" w:color="auto" w:fill="auto"/>
              </w:tcPr>
              <w:p w:rsidR="006C5FE6" w:rsidRDefault="00201FB8">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Comisionado ponente:</w:t>
                </w:r>
              </w:p>
            </w:tc>
            <w:tc>
              <w:tcPr>
                <w:tcW w:w="4841" w:type="dxa"/>
                <w:shd w:val="clear" w:color="auto" w:fill="auto"/>
              </w:tcPr>
              <w:p w:rsidR="006C5FE6" w:rsidRDefault="00201FB8">
                <w:pPr>
                  <w:tabs>
                    <w:tab w:val="right" w:pos="8838"/>
                  </w:tabs>
                  <w:ind w:left="-108" w:right="-1090"/>
                  <w:jc w:val="both"/>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rsidR="006C5FE6" w:rsidRDefault="006C5FE6">
                <w:pPr>
                  <w:tabs>
                    <w:tab w:val="right" w:pos="8838"/>
                  </w:tabs>
                  <w:ind w:left="-108" w:right="-1090"/>
                  <w:jc w:val="both"/>
                  <w:rPr>
                    <w:rFonts w:ascii="Palatino Linotype" w:eastAsia="Palatino Linotype" w:hAnsi="Palatino Linotype" w:cs="Palatino Linotype"/>
                    <w:b/>
                    <w:bCs/>
                  </w:rPr>
                </w:pPr>
              </w:p>
            </w:tc>
          </w:tr>
        </w:tbl>
        <w:p w:rsidR="006C5FE6" w:rsidRDefault="006C5FE6">
          <w:pPr>
            <w:tabs>
              <w:tab w:val="right" w:pos="8838"/>
            </w:tabs>
            <w:ind w:left="-28"/>
            <w:jc w:val="both"/>
            <w:rPr>
              <w:rFonts w:ascii="Arial" w:eastAsia="Arial" w:hAnsi="Arial" w:cs="Arial"/>
              <w:b/>
              <w:bCs/>
              <w:sz w:val="22"/>
              <w:szCs w:val="22"/>
            </w:rPr>
          </w:pPr>
        </w:p>
      </w:tc>
    </w:tr>
  </w:tbl>
  <w:p w:rsidR="006C5FE6" w:rsidRDefault="001C5725">
    <w:pPr>
      <w:pBdr>
        <w:top w:val="nil"/>
        <w:left w:val="nil"/>
        <w:bottom w:val="nil"/>
        <w:right w:val="nil"/>
        <w:between w:val="nil"/>
      </w:pBdr>
      <w:tabs>
        <w:tab w:val="center" w:pos="4419"/>
        <w:tab w:val="right" w:pos="8838"/>
      </w:tabs>
      <w:rPr>
        <w:color w:val="000000"/>
        <w:sz w:val="14"/>
        <w:szCs w:val="14"/>
      </w:rPr>
    </w:pPr>
    <w:r>
      <w:rPr>
        <w:rFonts w:ascii="Garamond" w:eastAsia="Garamond" w:hAnsi="Garamond" w:cs="Garamond"/>
        <w:noProof/>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alt="" style="position:absolute;margin-left:-69.55pt;margin-top:-153pt;width:589.8pt;height:768pt;z-index:-251656704;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10035" w:type="dxa"/>
      <w:tblInd w:w="0" w:type="dxa"/>
      <w:tblLayout w:type="fixed"/>
      <w:tblLook w:val="0400" w:firstRow="0" w:lastRow="0" w:firstColumn="0" w:lastColumn="0" w:noHBand="0" w:noVBand="1"/>
    </w:tblPr>
    <w:tblGrid>
      <w:gridCol w:w="2265"/>
      <w:gridCol w:w="7770"/>
    </w:tblGrid>
    <w:tr w:rsidR="006C5FE6">
      <w:trPr>
        <w:trHeight w:val="1435"/>
      </w:trPr>
      <w:tc>
        <w:tcPr>
          <w:tcW w:w="2265" w:type="dxa"/>
          <w:shd w:val="clear" w:color="auto" w:fill="auto"/>
        </w:tcPr>
        <w:p w:rsidR="006C5FE6" w:rsidRDefault="006C5FE6">
          <w:pPr>
            <w:tabs>
              <w:tab w:val="right" w:pos="4273"/>
            </w:tabs>
            <w:rPr>
              <w:rFonts w:ascii="Garamond" w:eastAsia="Garamond" w:hAnsi="Garamond" w:cs="Garamond"/>
              <w:sz w:val="22"/>
              <w:szCs w:val="22"/>
            </w:rPr>
          </w:pPr>
        </w:p>
      </w:tc>
      <w:tc>
        <w:tcPr>
          <w:tcW w:w="7770" w:type="dxa"/>
          <w:shd w:val="clear" w:color="auto" w:fill="auto"/>
        </w:tcPr>
        <w:tbl>
          <w:tblPr>
            <w:tblStyle w:val="a4"/>
            <w:tblW w:w="8212" w:type="dxa"/>
            <w:tblInd w:w="40" w:type="dxa"/>
            <w:tblLayout w:type="fixed"/>
            <w:tblLook w:val="0400" w:firstRow="0" w:lastRow="0" w:firstColumn="0" w:lastColumn="0" w:noHBand="0" w:noVBand="1"/>
          </w:tblPr>
          <w:tblGrid>
            <w:gridCol w:w="2790"/>
            <w:gridCol w:w="5280"/>
            <w:gridCol w:w="142"/>
          </w:tblGrid>
          <w:tr w:rsidR="006C5FE6" w:rsidTr="001C5725">
            <w:trPr>
              <w:gridAfter w:val="1"/>
              <w:wAfter w:w="142" w:type="dxa"/>
              <w:trHeight w:val="321"/>
            </w:trPr>
            <w:tc>
              <w:tcPr>
                <w:tcW w:w="2790" w:type="dxa"/>
                <w:shd w:val="clear" w:color="auto" w:fill="auto"/>
              </w:tcPr>
              <w:p w:rsidR="006C5FE6" w:rsidRDefault="00201FB8">
                <w:pPr>
                  <w:tabs>
                    <w:tab w:val="right" w:pos="8838"/>
                  </w:tabs>
                  <w:ind w:left="-264" w:right="-105" w:firstLine="19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5280" w:type="dxa"/>
                <w:shd w:val="clear" w:color="auto" w:fill="auto"/>
              </w:tcPr>
              <w:p w:rsidR="006C5FE6" w:rsidRDefault="00201FB8" w:rsidP="001C5725">
                <w:pPr>
                  <w:tabs>
                    <w:tab w:val="right" w:pos="8838"/>
                  </w:tabs>
                  <w:ind w:left="-74" w:right="452"/>
                  <w:rPr>
                    <w:rFonts w:ascii="Palatino Linotype" w:eastAsia="Palatino Linotype" w:hAnsi="Palatino Linotype" w:cs="Palatino Linotype"/>
                  </w:rPr>
                </w:pPr>
                <w:r>
                  <w:rPr>
                    <w:rFonts w:ascii="Palatino Linotype" w:eastAsia="Palatino Linotype" w:hAnsi="Palatino Linotype" w:cs="Palatino Linotype"/>
                  </w:rPr>
                  <w:t>10478/INFOEM/IP/RR/2025</w:t>
                </w:r>
              </w:p>
            </w:tc>
          </w:tr>
          <w:tr w:rsidR="006C5FE6" w:rsidTr="001C5725">
            <w:trPr>
              <w:gridAfter w:val="1"/>
              <w:wAfter w:w="142" w:type="dxa"/>
              <w:trHeight w:val="321"/>
            </w:trPr>
            <w:tc>
              <w:tcPr>
                <w:tcW w:w="2790" w:type="dxa"/>
                <w:shd w:val="clear" w:color="auto" w:fill="auto"/>
              </w:tcPr>
              <w:p w:rsidR="006C5FE6" w:rsidRDefault="00201FB8">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5280" w:type="dxa"/>
                <w:shd w:val="clear" w:color="auto" w:fill="auto"/>
              </w:tcPr>
              <w:p w:rsidR="006C5FE6" w:rsidRDefault="00201FB8" w:rsidP="001C5725">
                <w:pPr>
                  <w:tabs>
                    <w:tab w:val="left" w:pos="3122"/>
                    <w:tab w:val="right" w:pos="8838"/>
                  </w:tabs>
                  <w:ind w:left="-74" w:right="452"/>
                  <w:rPr>
                    <w:rFonts w:ascii="Palatino Linotype" w:eastAsia="Palatino Linotype" w:hAnsi="Palatino Linotype" w:cs="Palatino Linotype"/>
                  </w:rPr>
                </w:pPr>
                <w:r>
                  <w:rPr>
                    <w:rFonts w:ascii="Palatino Linotype" w:eastAsia="Palatino Linotype" w:hAnsi="Palatino Linotype" w:cs="Palatino Linotype"/>
                    <w:b/>
                    <w:bCs/>
                  </w:rPr>
                  <w:t> </w:t>
                </w:r>
              </w:p>
            </w:tc>
          </w:tr>
          <w:tr w:rsidR="006C5FE6" w:rsidTr="001C5725">
            <w:trPr>
              <w:trHeight w:val="1285"/>
            </w:trPr>
            <w:tc>
              <w:tcPr>
                <w:tcW w:w="2790" w:type="dxa"/>
                <w:shd w:val="clear" w:color="auto" w:fill="auto"/>
              </w:tcPr>
              <w:p w:rsidR="006C5FE6" w:rsidRDefault="00201FB8">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5422" w:type="dxa"/>
                <w:gridSpan w:val="2"/>
                <w:shd w:val="clear" w:color="auto" w:fill="auto"/>
              </w:tcPr>
              <w:p w:rsidR="006C5FE6" w:rsidRDefault="00201FB8" w:rsidP="001C5725">
                <w:pPr>
                  <w:ind w:left="-74" w:right="452"/>
                  <w:rPr>
                    <w:rFonts w:ascii="Palatino Linotype" w:eastAsia="Palatino Linotype" w:hAnsi="Palatino Linotype" w:cs="Palatino Linotype"/>
                  </w:rPr>
                </w:pPr>
                <w:r>
                  <w:rPr>
                    <w:rFonts w:ascii="Palatino Linotype" w:eastAsia="Palatino Linotype" w:hAnsi="Palatino Linotype" w:cs="Palatino Linotype"/>
                  </w:rPr>
                  <w:t xml:space="preserve">Organismo Público Descentralizado para la </w:t>
                </w:r>
              </w:p>
              <w:p w:rsidR="006C5FE6" w:rsidRDefault="00201FB8" w:rsidP="001C5725">
                <w:pPr>
                  <w:tabs>
                    <w:tab w:val="left" w:pos="2834"/>
                    <w:tab w:val="right" w:pos="8838"/>
                  </w:tabs>
                  <w:ind w:left="-74" w:right="452"/>
                  <w:rPr>
                    <w:rFonts w:ascii="Palatino Linotype" w:eastAsia="Palatino Linotype" w:hAnsi="Palatino Linotype" w:cs="Palatino Linotype"/>
                  </w:rPr>
                </w:pPr>
                <w:r>
                  <w:rPr>
                    <w:rFonts w:ascii="Palatino Linotype" w:eastAsia="Palatino Linotype" w:hAnsi="Palatino Linotype" w:cs="Palatino Linotype"/>
                  </w:rPr>
                  <w:t xml:space="preserve">Prestación de Los Servicios de Agua Potable </w:t>
                </w:r>
              </w:p>
              <w:p w:rsidR="006C5FE6" w:rsidRDefault="00201FB8" w:rsidP="001C5725">
                <w:pPr>
                  <w:tabs>
                    <w:tab w:val="left" w:pos="2834"/>
                    <w:tab w:val="right" w:pos="8838"/>
                  </w:tabs>
                  <w:ind w:left="-74" w:right="452"/>
                  <w:rPr>
                    <w:rFonts w:ascii="Palatino Linotype" w:eastAsia="Palatino Linotype" w:hAnsi="Palatino Linotype" w:cs="Palatino Linotype"/>
                  </w:rPr>
                </w:pPr>
                <w:r>
                  <w:rPr>
                    <w:rFonts w:ascii="Palatino Linotype" w:eastAsia="Palatino Linotype" w:hAnsi="Palatino Linotype" w:cs="Palatino Linotype"/>
                  </w:rPr>
                  <w:t>Alcantarillado y Saneamiento de Tenango del  Valle Estado de México</w:t>
                </w:r>
              </w:p>
            </w:tc>
          </w:tr>
          <w:tr w:rsidR="006C5FE6" w:rsidTr="001C5725">
            <w:trPr>
              <w:trHeight w:val="642"/>
            </w:trPr>
            <w:tc>
              <w:tcPr>
                <w:tcW w:w="2790" w:type="dxa"/>
                <w:shd w:val="clear" w:color="auto" w:fill="auto"/>
              </w:tcPr>
              <w:p w:rsidR="006C5FE6" w:rsidRDefault="00201FB8">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Comisionado ponente:</w:t>
                </w:r>
              </w:p>
            </w:tc>
            <w:tc>
              <w:tcPr>
                <w:tcW w:w="5422" w:type="dxa"/>
                <w:gridSpan w:val="2"/>
                <w:shd w:val="clear" w:color="auto" w:fill="auto"/>
              </w:tcPr>
              <w:p w:rsidR="006C5FE6" w:rsidRDefault="00201FB8" w:rsidP="001C5725">
                <w:pPr>
                  <w:tabs>
                    <w:tab w:val="right" w:pos="8838"/>
                  </w:tabs>
                  <w:ind w:left="-74" w:right="452"/>
                  <w:rPr>
                    <w:rFonts w:ascii="Palatino Linotype" w:eastAsia="Palatino Linotype" w:hAnsi="Palatino Linotype" w:cs="Palatino Linotype"/>
                    <w:b/>
                    <w:bCs/>
                  </w:rPr>
                </w:pPr>
                <w:r>
                  <w:rPr>
                    <w:rFonts w:ascii="Palatino Linotype" w:eastAsia="Palatino Linotype" w:hAnsi="Palatino Linotype" w:cs="Palatino Linotype"/>
                  </w:rPr>
                  <w:t>María del Rosario Mejía Ayala</w:t>
                </w:r>
              </w:p>
            </w:tc>
          </w:tr>
        </w:tbl>
        <w:p w:rsidR="006C5FE6" w:rsidRDefault="006C5FE6">
          <w:pPr>
            <w:tabs>
              <w:tab w:val="right" w:pos="8838"/>
            </w:tabs>
            <w:ind w:left="-28"/>
            <w:jc w:val="both"/>
            <w:rPr>
              <w:rFonts w:ascii="Arial" w:eastAsia="Arial" w:hAnsi="Arial" w:cs="Arial"/>
              <w:b/>
              <w:bCs/>
              <w:sz w:val="22"/>
              <w:szCs w:val="22"/>
            </w:rPr>
          </w:pPr>
        </w:p>
      </w:tc>
    </w:tr>
  </w:tbl>
  <w:p w:rsidR="006C5FE6" w:rsidRDefault="001C5725">
    <w:pPr>
      <w:pBdr>
        <w:top w:val="nil"/>
        <w:left w:val="nil"/>
        <w:bottom w:val="nil"/>
        <w:right w:val="nil"/>
        <w:between w:val="nil"/>
      </w:pBdr>
      <w:tabs>
        <w:tab w:val="center" w:pos="4419"/>
        <w:tab w:val="right" w:pos="8838"/>
      </w:tabs>
      <w:rPr>
        <w:color w:val="000000"/>
        <w:sz w:val="2"/>
        <w:szCs w:val="2"/>
      </w:rPr>
    </w:pPr>
    <w:r>
      <w:rPr>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70pt;margin-top:-146.85pt;width:589.8pt;height:768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4547F9"/>
    <w:multiLevelType w:val="multilevel"/>
    <w:tmpl w:val="B1FCB03A"/>
    <w:lvl w:ilvl="0">
      <w:start w:val="1"/>
      <w:numFmt w:val="bullet"/>
      <w:lvlText w:val="o"/>
      <w:lvlJc w:val="left"/>
      <w:pPr>
        <w:ind w:left="2880" w:hanging="360"/>
      </w:pPr>
      <w:rPr>
        <w:rFonts w:ascii="Courier New" w:eastAsia="Courier New" w:hAnsi="Courier New" w:cs="Courier New"/>
      </w:rPr>
    </w:lvl>
    <w:lvl w:ilvl="1">
      <w:start w:val="1"/>
      <w:numFmt w:val="bullet"/>
      <w:lvlText w:val="o"/>
      <w:lvlJc w:val="left"/>
      <w:pPr>
        <w:ind w:left="3600" w:hanging="360"/>
      </w:pPr>
      <w:rPr>
        <w:rFonts w:ascii="Courier New" w:eastAsia="Courier New" w:hAnsi="Courier New" w:cs="Courier New"/>
      </w:rPr>
    </w:lvl>
    <w:lvl w:ilvl="2">
      <w:start w:val="1"/>
      <w:numFmt w:val="bullet"/>
      <w:lvlText w:val="▪"/>
      <w:lvlJc w:val="left"/>
      <w:pPr>
        <w:ind w:left="4320" w:hanging="360"/>
      </w:pPr>
      <w:rPr>
        <w:rFonts w:ascii="Noto Sans Symbols" w:eastAsia="Noto Sans Symbols" w:hAnsi="Noto Sans Symbols" w:cs="Noto Sans Symbols"/>
      </w:rPr>
    </w:lvl>
    <w:lvl w:ilvl="3">
      <w:start w:val="1"/>
      <w:numFmt w:val="bullet"/>
      <w:lvlText w:val="●"/>
      <w:lvlJc w:val="left"/>
      <w:pPr>
        <w:ind w:left="5040" w:hanging="360"/>
      </w:pPr>
      <w:rPr>
        <w:rFonts w:ascii="Noto Sans Symbols" w:eastAsia="Noto Sans Symbols" w:hAnsi="Noto Sans Symbols" w:cs="Noto Sans Symbols"/>
      </w:rPr>
    </w:lvl>
    <w:lvl w:ilvl="4">
      <w:start w:val="1"/>
      <w:numFmt w:val="bullet"/>
      <w:lvlText w:val="o"/>
      <w:lvlJc w:val="left"/>
      <w:pPr>
        <w:ind w:left="5760" w:hanging="360"/>
      </w:pPr>
      <w:rPr>
        <w:rFonts w:ascii="Courier New" w:eastAsia="Courier New" w:hAnsi="Courier New" w:cs="Courier New"/>
      </w:rPr>
    </w:lvl>
    <w:lvl w:ilvl="5">
      <w:start w:val="1"/>
      <w:numFmt w:val="bullet"/>
      <w:lvlText w:val="▪"/>
      <w:lvlJc w:val="left"/>
      <w:pPr>
        <w:ind w:left="6480" w:hanging="360"/>
      </w:pPr>
      <w:rPr>
        <w:rFonts w:ascii="Noto Sans Symbols" w:eastAsia="Noto Sans Symbols" w:hAnsi="Noto Sans Symbols" w:cs="Noto Sans Symbols"/>
      </w:rPr>
    </w:lvl>
    <w:lvl w:ilvl="6">
      <w:start w:val="1"/>
      <w:numFmt w:val="bullet"/>
      <w:lvlText w:val="●"/>
      <w:lvlJc w:val="left"/>
      <w:pPr>
        <w:ind w:left="7200" w:hanging="360"/>
      </w:pPr>
      <w:rPr>
        <w:rFonts w:ascii="Noto Sans Symbols" w:eastAsia="Noto Sans Symbols" w:hAnsi="Noto Sans Symbols" w:cs="Noto Sans Symbols"/>
      </w:rPr>
    </w:lvl>
    <w:lvl w:ilvl="7">
      <w:start w:val="1"/>
      <w:numFmt w:val="bullet"/>
      <w:lvlText w:val="o"/>
      <w:lvlJc w:val="left"/>
      <w:pPr>
        <w:ind w:left="7920" w:hanging="360"/>
      </w:pPr>
      <w:rPr>
        <w:rFonts w:ascii="Courier New" w:eastAsia="Courier New" w:hAnsi="Courier New" w:cs="Courier New"/>
      </w:rPr>
    </w:lvl>
    <w:lvl w:ilvl="8">
      <w:start w:val="1"/>
      <w:numFmt w:val="bullet"/>
      <w:lvlText w:val="▪"/>
      <w:lvlJc w:val="left"/>
      <w:pPr>
        <w:ind w:left="8640" w:hanging="360"/>
      </w:pPr>
      <w:rPr>
        <w:rFonts w:ascii="Noto Sans Symbols" w:eastAsia="Noto Sans Symbols" w:hAnsi="Noto Sans Symbols" w:cs="Noto Sans Symbols"/>
      </w:rPr>
    </w:lvl>
  </w:abstractNum>
  <w:abstractNum w:abstractNumId="1" w15:restartNumberingAfterBreak="0">
    <w:nsid w:val="15B9008A"/>
    <w:multiLevelType w:val="multilevel"/>
    <w:tmpl w:val="CC50CC92"/>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C89644B"/>
    <w:multiLevelType w:val="multilevel"/>
    <w:tmpl w:val="AB043864"/>
    <w:lvl w:ilvl="0">
      <w:start w:val="1"/>
      <w:numFmt w:val="bullet"/>
      <w:lvlText w:val="o"/>
      <w:lvlJc w:val="left"/>
      <w:pPr>
        <w:ind w:left="2880" w:hanging="360"/>
      </w:pPr>
      <w:rPr>
        <w:rFonts w:ascii="Courier New" w:eastAsia="Courier New" w:hAnsi="Courier New" w:cs="Courier New"/>
      </w:rPr>
    </w:lvl>
    <w:lvl w:ilvl="1">
      <w:start w:val="1"/>
      <w:numFmt w:val="bullet"/>
      <w:lvlText w:val="o"/>
      <w:lvlJc w:val="left"/>
      <w:pPr>
        <w:ind w:left="3600" w:hanging="360"/>
      </w:pPr>
      <w:rPr>
        <w:rFonts w:ascii="Courier New" w:eastAsia="Courier New" w:hAnsi="Courier New" w:cs="Courier New"/>
      </w:rPr>
    </w:lvl>
    <w:lvl w:ilvl="2">
      <w:start w:val="1"/>
      <w:numFmt w:val="bullet"/>
      <w:lvlText w:val="▪"/>
      <w:lvlJc w:val="left"/>
      <w:pPr>
        <w:ind w:left="4320" w:hanging="360"/>
      </w:pPr>
      <w:rPr>
        <w:rFonts w:ascii="Noto Sans Symbols" w:eastAsia="Noto Sans Symbols" w:hAnsi="Noto Sans Symbols" w:cs="Noto Sans Symbols"/>
      </w:rPr>
    </w:lvl>
    <w:lvl w:ilvl="3">
      <w:start w:val="1"/>
      <w:numFmt w:val="bullet"/>
      <w:lvlText w:val="●"/>
      <w:lvlJc w:val="left"/>
      <w:pPr>
        <w:ind w:left="5040" w:hanging="360"/>
      </w:pPr>
      <w:rPr>
        <w:rFonts w:ascii="Noto Sans Symbols" w:eastAsia="Noto Sans Symbols" w:hAnsi="Noto Sans Symbols" w:cs="Noto Sans Symbols"/>
      </w:rPr>
    </w:lvl>
    <w:lvl w:ilvl="4">
      <w:start w:val="1"/>
      <w:numFmt w:val="bullet"/>
      <w:lvlText w:val="o"/>
      <w:lvlJc w:val="left"/>
      <w:pPr>
        <w:ind w:left="5760" w:hanging="360"/>
      </w:pPr>
      <w:rPr>
        <w:rFonts w:ascii="Courier New" w:eastAsia="Courier New" w:hAnsi="Courier New" w:cs="Courier New"/>
      </w:rPr>
    </w:lvl>
    <w:lvl w:ilvl="5">
      <w:start w:val="1"/>
      <w:numFmt w:val="bullet"/>
      <w:lvlText w:val="▪"/>
      <w:lvlJc w:val="left"/>
      <w:pPr>
        <w:ind w:left="6480" w:hanging="360"/>
      </w:pPr>
      <w:rPr>
        <w:rFonts w:ascii="Noto Sans Symbols" w:eastAsia="Noto Sans Symbols" w:hAnsi="Noto Sans Symbols" w:cs="Noto Sans Symbols"/>
      </w:rPr>
    </w:lvl>
    <w:lvl w:ilvl="6">
      <w:start w:val="1"/>
      <w:numFmt w:val="bullet"/>
      <w:lvlText w:val="●"/>
      <w:lvlJc w:val="left"/>
      <w:pPr>
        <w:ind w:left="7200" w:hanging="360"/>
      </w:pPr>
      <w:rPr>
        <w:rFonts w:ascii="Noto Sans Symbols" w:eastAsia="Noto Sans Symbols" w:hAnsi="Noto Sans Symbols" w:cs="Noto Sans Symbols"/>
      </w:rPr>
    </w:lvl>
    <w:lvl w:ilvl="7">
      <w:start w:val="1"/>
      <w:numFmt w:val="bullet"/>
      <w:lvlText w:val="o"/>
      <w:lvlJc w:val="left"/>
      <w:pPr>
        <w:ind w:left="7920" w:hanging="360"/>
      </w:pPr>
      <w:rPr>
        <w:rFonts w:ascii="Courier New" w:eastAsia="Courier New" w:hAnsi="Courier New" w:cs="Courier New"/>
      </w:rPr>
    </w:lvl>
    <w:lvl w:ilvl="8">
      <w:start w:val="1"/>
      <w:numFmt w:val="bullet"/>
      <w:lvlText w:val="▪"/>
      <w:lvlJc w:val="left"/>
      <w:pPr>
        <w:ind w:left="8640" w:hanging="360"/>
      </w:pPr>
      <w:rPr>
        <w:rFonts w:ascii="Noto Sans Symbols" w:eastAsia="Noto Sans Symbols" w:hAnsi="Noto Sans Symbols" w:cs="Noto Sans Symbols"/>
      </w:rPr>
    </w:lvl>
  </w:abstractNum>
  <w:abstractNum w:abstractNumId="3" w15:restartNumberingAfterBreak="0">
    <w:nsid w:val="36C84B31"/>
    <w:multiLevelType w:val="multilevel"/>
    <w:tmpl w:val="981CF0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27F4CE7"/>
    <w:multiLevelType w:val="multilevel"/>
    <w:tmpl w:val="1B2CBC5E"/>
    <w:lvl w:ilvl="0">
      <w:numFmt w:val="bullet"/>
      <w:lvlText w:val="-"/>
      <w:lvlJc w:val="left"/>
      <w:pPr>
        <w:ind w:left="1440" w:hanging="360"/>
      </w:pPr>
      <w:rPr>
        <w:rFonts w:ascii="Palatino Linotype" w:eastAsia="Palatino Linotype" w:hAnsi="Palatino Linotype" w:cs="Palatino Linotype"/>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51BA1E04"/>
    <w:multiLevelType w:val="multilevel"/>
    <w:tmpl w:val="8F5886C8"/>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B242D13"/>
    <w:multiLevelType w:val="multilevel"/>
    <w:tmpl w:val="E368AA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C13663B"/>
    <w:multiLevelType w:val="multilevel"/>
    <w:tmpl w:val="746E3102"/>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8" w15:restartNumberingAfterBreak="0">
    <w:nsid w:val="7CA9221C"/>
    <w:multiLevelType w:val="multilevel"/>
    <w:tmpl w:val="7F58CCBA"/>
    <w:lvl w:ilvl="0">
      <w:start w:val="1"/>
      <w:numFmt w:val="low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num w:numId="1">
    <w:abstractNumId w:val="3"/>
  </w:num>
  <w:num w:numId="2">
    <w:abstractNumId w:val="0"/>
  </w:num>
  <w:num w:numId="3">
    <w:abstractNumId w:val="2"/>
  </w:num>
  <w:num w:numId="4">
    <w:abstractNumId w:val="5"/>
  </w:num>
  <w:num w:numId="5">
    <w:abstractNumId w:val="1"/>
  </w:num>
  <w:num w:numId="6">
    <w:abstractNumId w:val="6"/>
  </w:num>
  <w:num w:numId="7">
    <w:abstractNumId w:val="8"/>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FE6"/>
    <w:rsid w:val="000B2F1B"/>
    <w:rsid w:val="001B0826"/>
    <w:rsid w:val="001C5725"/>
    <w:rsid w:val="00201FB8"/>
    <w:rsid w:val="00635BDD"/>
    <w:rsid w:val="006C5FE6"/>
    <w:rsid w:val="00794DED"/>
    <w:rsid w:val="00A342B5"/>
    <w:rsid w:val="00A74EDC"/>
    <w:rsid w:val="00B252EC"/>
    <w:rsid w:val="00BB376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F289C3C8-C98E-46B4-9679-C5D8304C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1C5725"/>
    <w:pPr>
      <w:tabs>
        <w:tab w:val="center" w:pos="4419"/>
        <w:tab w:val="right" w:pos="8838"/>
      </w:tabs>
    </w:pPr>
  </w:style>
  <w:style w:type="character" w:customStyle="1" w:styleId="PiedepginaCar">
    <w:name w:val="Pie de página Car"/>
    <w:basedOn w:val="Fuentedeprrafopredeter"/>
    <w:link w:val="Piedepgina"/>
    <w:uiPriority w:val="99"/>
    <w:rsid w:val="001C5725"/>
  </w:style>
  <w:style w:type="paragraph" w:styleId="Prrafodelista">
    <w:name w:val="List Paragraph"/>
    <w:basedOn w:val="Normal"/>
    <w:uiPriority w:val="34"/>
    <w:qFormat/>
    <w:rsid w:val="001C57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imex.org.mx/saimex/solicitud/downloadAttach/2553371.page"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imex.org.mx/saimex/solicitud/downloadAttach/2553646.page"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saimex.org.mx/saimex/solicitud/downloadAttach/2553645.page" TargetMode="External"/><Relationship Id="rId4" Type="http://schemas.openxmlformats.org/officeDocument/2006/relationships/settings" Target="settings.xml"/><Relationship Id="rId9" Type="http://schemas.openxmlformats.org/officeDocument/2006/relationships/hyperlink" Target="https://www.saimex.org.mx/saimex/solicitud/downloadAttach/2553372.page"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3Csy340irZAwP7xhQzMP0XTNcA==">CgMxLjAyCGguZ2pkZ3hzMgloLjFmb2I5dGUyCWguM3pueXNoNzIJaC4yZXQ5MnAwMgloLjNkeTZ2a20yCWguNGQzNG9nODIJaC4yNmluMXJnMg5oLjZveGJqNmw4aTQwYzgAciExbFRVVkw2NUlIaEtDOV9DbjlUVkxabXlxZ0ctMXduLVg=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34</Pages>
  <Words>7839</Words>
  <Characters>43117</Characters>
  <Application>Microsoft Office Word</Application>
  <DocSecurity>0</DocSecurity>
  <Lines>359</Lines>
  <Paragraphs>101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50855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7</cp:revision>
  <cp:lastPrinted>2026-05-21T23:19:00Z</cp:lastPrinted>
  <dcterms:created xsi:type="dcterms:W3CDTF">2026-05-18T18:12:00Z</dcterms:created>
  <dcterms:modified xsi:type="dcterms:W3CDTF">2026-05-26T19:46:00Z</dcterms:modified>
</cp:coreProperties>
</file>