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354" w:rsidRPr="00C91A94" w:rsidRDefault="00D4158B">
      <w:pPr>
        <w:tabs>
          <w:tab w:val="left" w:pos="3465"/>
        </w:tabs>
        <w:spacing w:line="360" w:lineRule="auto"/>
        <w:ind w:right="-787"/>
        <w:jc w:val="both"/>
        <w:rPr>
          <w:rFonts w:ascii="Palatino Linotype" w:eastAsia="Palatino Linotype" w:hAnsi="Palatino Linotype" w:cs="Palatino Linotype"/>
          <w:b/>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C91A94">
        <w:rPr>
          <w:rFonts w:ascii="Palatino Linotype" w:eastAsia="Palatino Linotype" w:hAnsi="Palatino Linotype" w:cs="Palatino Linotype"/>
          <w:b/>
        </w:rPr>
        <w:t>fecha veinte (20) de mayo de dos mil veintiséis.</w:t>
      </w:r>
    </w:p>
    <w:p w:rsidR="00D46354" w:rsidRDefault="00D46354">
      <w:pPr>
        <w:tabs>
          <w:tab w:val="left" w:pos="3465"/>
        </w:tabs>
        <w:spacing w:line="360" w:lineRule="auto"/>
        <w:ind w:right="-787"/>
        <w:jc w:val="both"/>
        <w:rPr>
          <w:rFonts w:ascii="Palatino Linotype" w:eastAsia="Palatino Linotype" w:hAnsi="Palatino Linotype" w:cs="Palatino Linotype"/>
        </w:rPr>
      </w:pPr>
    </w:p>
    <w:p w:rsidR="00D46354" w:rsidRDefault="00D4158B">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13328/INFOEM/IP/RR/2025</w:t>
      </w:r>
      <w:r>
        <w:rPr>
          <w:rFonts w:ascii="Palatino Linotype" w:eastAsia="Palatino Linotype" w:hAnsi="Palatino Linotype" w:cs="Palatino Linotype"/>
          <w:color w:val="000000"/>
        </w:rPr>
        <w:t xml:space="preserve">, promovido </w:t>
      </w:r>
      <w:r>
        <w:rPr>
          <w:rFonts w:ascii="Palatino Linotype" w:eastAsia="Palatino Linotype" w:hAnsi="Palatino Linotype" w:cs="Palatino Linotype"/>
        </w:rPr>
        <w:t xml:space="preserve">por </w:t>
      </w:r>
      <w:r w:rsidR="00B97B98">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a quien en lo sucesivo se denominará el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00062/PAPALO/IP/2025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Papalotla,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se emite la presente resolución con base en los siguientes:</w:t>
      </w:r>
      <w:bookmarkStart w:id="0" w:name="_GoBack"/>
      <w:bookmarkEnd w:id="0"/>
    </w:p>
    <w:p w:rsidR="00D46354" w:rsidRDefault="00D46354">
      <w:pPr>
        <w:spacing w:line="360" w:lineRule="auto"/>
        <w:ind w:right="-787"/>
        <w:jc w:val="both"/>
        <w:rPr>
          <w:rFonts w:ascii="Palatino Linotype" w:eastAsia="Palatino Linotype" w:hAnsi="Palatino Linotype" w:cs="Palatino Linotype"/>
        </w:rPr>
      </w:pPr>
    </w:p>
    <w:p w:rsidR="00D46354" w:rsidRDefault="00D4158B">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D46354" w:rsidRDefault="00D46354">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D46354" w:rsidRDefault="00D4158B">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veintiocho de octubre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a través del Sistema de Acceso a la Información Mexiquense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D46354" w:rsidRDefault="00D46354">
      <w:pPr>
        <w:pBdr>
          <w:top w:val="nil"/>
          <w:left w:val="nil"/>
          <w:bottom w:val="nil"/>
          <w:right w:val="nil"/>
          <w:between w:val="nil"/>
        </w:pBdr>
        <w:ind w:right="-787"/>
        <w:jc w:val="both"/>
        <w:rPr>
          <w:rFonts w:ascii="Palatino Linotype" w:eastAsia="Palatino Linotype" w:hAnsi="Palatino Linotype" w:cs="Palatino Linotype"/>
          <w:color w:val="000000"/>
        </w:rPr>
      </w:pPr>
    </w:p>
    <w:p w:rsidR="00D46354" w:rsidRDefault="00D4158B">
      <w:pPr>
        <w:pBdr>
          <w:top w:val="nil"/>
          <w:left w:val="nil"/>
          <w:bottom w:val="nil"/>
          <w:right w:val="nil"/>
          <w:between w:val="nil"/>
        </w:pBdr>
        <w:ind w:left="567"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“Un listado digital sobre el número y contenido de todas aquellas solicitudes de información que se hayan realizado a la administración pública y gobierno de Papalotla, a través de la Unidad de Transparencia y Acceso a la Información Pública del municipio (o similar), desde el primero de enero de 2025 a la fecha. Asimismo, el listado deberá indicar si las solicitudes fueron atendidas o rechazadas, señalando (en su caso) el motivo de la negación a cumplimentar las solicitudes requeridas. Todo lo anterior en versión pública.” (Sic)</w:t>
      </w:r>
    </w:p>
    <w:p w:rsidR="00D46354" w:rsidRDefault="00D46354">
      <w:pPr>
        <w:spacing w:line="360" w:lineRule="auto"/>
        <w:ind w:right="-787"/>
        <w:jc w:val="both"/>
        <w:rPr>
          <w:rFonts w:ascii="Palatino Linotype" w:eastAsia="Palatino Linotype" w:hAnsi="Palatino Linotype" w:cs="Palatino Linotype"/>
        </w:rPr>
      </w:pPr>
    </w:p>
    <w:p w:rsidR="00D46354" w:rsidRDefault="00D46354">
      <w:pPr>
        <w:spacing w:line="360" w:lineRule="auto"/>
        <w:ind w:right="-787"/>
        <w:jc w:val="both"/>
        <w:rPr>
          <w:rFonts w:ascii="Palatino Linotype" w:eastAsia="Palatino Linotype" w:hAnsi="Palatino Linotype" w:cs="Palatino Linotype"/>
        </w:rPr>
      </w:pPr>
    </w:p>
    <w:p w:rsidR="00D46354" w:rsidRDefault="00D4158B">
      <w:pPr>
        <w:numPr>
          <w:ilvl w:val="0"/>
          <w:numId w:val="9"/>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D46354" w:rsidRDefault="00D46354">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D46354" w:rsidRDefault="00D4158B">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dieciocho de noviembre de dos mil veinticinco</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 los archivos digitales siguientes:</w:t>
      </w:r>
    </w:p>
    <w:p w:rsidR="00D46354" w:rsidRDefault="00D46354">
      <w:pPr>
        <w:pBdr>
          <w:top w:val="nil"/>
          <w:left w:val="nil"/>
          <w:bottom w:val="nil"/>
          <w:right w:val="nil"/>
          <w:between w:val="nil"/>
        </w:pBdr>
        <w:tabs>
          <w:tab w:val="left" w:pos="0"/>
        </w:tabs>
        <w:spacing w:line="360" w:lineRule="auto"/>
        <w:ind w:right="-787"/>
        <w:jc w:val="both"/>
        <w:rPr>
          <w:color w:val="000000"/>
        </w:rPr>
      </w:pP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SOLICITUDES.pdf</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titulado “solicitudes de acceso a la información” en el que se puede apreciar una tabla con los rubros de número consecutivo, contenido, atendidas o rechazadas, motivo de la negación.</w:t>
      </w:r>
    </w:p>
    <w:p w:rsidR="00D46354" w:rsidRDefault="00D46354">
      <w:pPr>
        <w:pBdr>
          <w:top w:val="nil"/>
          <w:left w:val="nil"/>
          <w:bottom w:val="nil"/>
          <w:right w:val="nil"/>
          <w:between w:val="nil"/>
        </w:pBdr>
        <w:tabs>
          <w:tab w:val="left" w:pos="567"/>
        </w:tabs>
        <w:ind w:left="709" w:right="-220"/>
        <w:jc w:val="both"/>
        <w:rPr>
          <w:rFonts w:ascii="Palatino Linotype" w:eastAsia="Palatino Linotype" w:hAnsi="Palatino Linotype" w:cs="Palatino Linotype"/>
          <w:color w:val="000000"/>
        </w:rPr>
      </w:pP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R.SOLICITUD 62.pdf</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de fecha 18 de noviembre de 2025, suscrito por la Titular de la Unidad de Transparencia, a través del cual señala remitir respuesta.</w:t>
      </w:r>
    </w:p>
    <w:p w:rsidR="00D46354" w:rsidRDefault="00D46354">
      <w:pPr>
        <w:pBdr>
          <w:top w:val="nil"/>
          <w:left w:val="nil"/>
          <w:bottom w:val="nil"/>
          <w:right w:val="nil"/>
          <w:between w:val="nil"/>
        </w:pBdr>
        <w:tabs>
          <w:tab w:val="left" w:pos="567"/>
        </w:tabs>
        <w:ind w:right="-787"/>
        <w:jc w:val="both"/>
        <w:rPr>
          <w:rFonts w:ascii="Palatino Linotype" w:eastAsia="Palatino Linotype" w:hAnsi="Palatino Linotype" w:cs="Palatino Linotype"/>
          <w:color w:val="000000"/>
        </w:rPr>
      </w:pPr>
    </w:p>
    <w:p w:rsidR="00D46354" w:rsidRDefault="00D46354">
      <w:pPr>
        <w:pBdr>
          <w:top w:val="nil"/>
          <w:left w:val="nil"/>
          <w:bottom w:val="nil"/>
          <w:right w:val="nil"/>
          <w:between w:val="nil"/>
        </w:pBdr>
        <w:tabs>
          <w:tab w:val="left" w:pos="567"/>
        </w:tabs>
        <w:ind w:right="-787"/>
        <w:jc w:val="both"/>
        <w:rPr>
          <w:rFonts w:ascii="Palatino Linotype" w:eastAsia="Palatino Linotype" w:hAnsi="Palatino Linotype" w:cs="Palatino Linotype"/>
          <w:color w:val="000000"/>
        </w:rPr>
      </w:pPr>
    </w:p>
    <w:p w:rsidR="00D46354" w:rsidRDefault="00D4158B">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uno de diciembre de dos mil veinticinco</w:t>
      </w:r>
      <w:r>
        <w:rPr>
          <w:rFonts w:ascii="Palatino Linotype" w:eastAsia="Palatino Linotype" w:hAnsi="Palatino Linotype" w:cs="Palatino Linotype"/>
          <w:color w:val="000000"/>
        </w:rPr>
        <w:t xml:space="preserve">, el particular interpuso el </w:t>
      </w:r>
      <w:r>
        <w:rPr>
          <w:rFonts w:ascii="Palatino Linotype" w:eastAsia="Palatino Linotype" w:hAnsi="Palatino Linotype" w:cs="Palatino Linotype"/>
          <w:b/>
          <w:bCs/>
          <w:color w:val="000000"/>
        </w:rPr>
        <w:t xml:space="preserve">recurso de revisión </w:t>
      </w:r>
      <w:r>
        <w:rPr>
          <w:rFonts w:ascii="Palatino Linotype" w:eastAsia="Palatino Linotype" w:hAnsi="Palatino Linotype" w:cs="Palatino Linotype"/>
          <w:color w:val="000000"/>
        </w:rPr>
        <w:t>en contra de la respuesta otorgada por el Sujeto Obligado, realizando las siguientes manifestaciones:</w:t>
      </w:r>
    </w:p>
    <w:p w:rsidR="00D46354" w:rsidRDefault="00D46354">
      <w:pPr>
        <w:pBdr>
          <w:top w:val="nil"/>
          <w:left w:val="nil"/>
          <w:bottom w:val="nil"/>
          <w:right w:val="nil"/>
          <w:between w:val="nil"/>
        </w:pBdr>
        <w:tabs>
          <w:tab w:val="left" w:pos="0"/>
        </w:tabs>
        <w:spacing w:line="360" w:lineRule="auto"/>
        <w:ind w:right="-787"/>
        <w:jc w:val="both"/>
        <w:rPr>
          <w:color w:val="000000"/>
        </w:rPr>
      </w:pPr>
    </w:p>
    <w:p w:rsidR="00D46354" w:rsidRDefault="00D4158B">
      <w:pPr>
        <w:numPr>
          <w:ilvl w:val="0"/>
          <w:numId w:val="8"/>
        </w:numPr>
        <w:pBdr>
          <w:top w:val="nil"/>
          <w:left w:val="nil"/>
          <w:bottom w:val="nil"/>
          <w:right w:val="nil"/>
          <w:between w:val="nil"/>
        </w:pBdr>
        <w:ind w:left="850" w:right="-220"/>
        <w:jc w:val="both"/>
        <w:rPr>
          <w:rFonts w:ascii="Palatino Linotype" w:eastAsia="Palatino Linotype" w:hAnsi="Palatino Linotype" w:cs="Palatino Linotype"/>
          <w:i/>
          <w:iCs/>
          <w:color w:val="000000"/>
        </w:rPr>
      </w:pPr>
      <w:bookmarkStart w:id="2" w:name="_heading=h.30j0zll" w:colFirst="0" w:colLast="0"/>
      <w:bookmarkEnd w:id="2"/>
      <w:r>
        <w:rPr>
          <w:rFonts w:ascii="Palatino Linotype" w:eastAsia="Palatino Linotype" w:hAnsi="Palatino Linotype" w:cs="Palatino Linotype"/>
          <w:b/>
          <w:bCs/>
          <w:color w:val="000000"/>
        </w:rPr>
        <w:t xml:space="preserve">Acto impugnado: </w:t>
      </w:r>
    </w:p>
    <w:p w:rsidR="00D46354" w:rsidRDefault="00D4158B">
      <w:pPr>
        <w:pBdr>
          <w:top w:val="nil"/>
          <w:left w:val="nil"/>
          <w:bottom w:val="nil"/>
          <w:right w:val="nil"/>
          <w:between w:val="nil"/>
        </w:pBdr>
        <w:ind w:left="850" w:right="-220" w:hanging="36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“Véase documento anexo” (Sic)</w:t>
      </w:r>
    </w:p>
    <w:p w:rsidR="00D46354" w:rsidRDefault="00D46354">
      <w:pPr>
        <w:pBdr>
          <w:top w:val="nil"/>
          <w:left w:val="nil"/>
          <w:bottom w:val="nil"/>
          <w:right w:val="nil"/>
          <w:between w:val="nil"/>
        </w:pBdr>
        <w:ind w:left="850" w:right="-220" w:hanging="360"/>
        <w:jc w:val="both"/>
        <w:rPr>
          <w:rFonts w:ascii="Palatino Linotype" w:eastAsia="Palatino Linotype" w:hAnsi="Palatino Linotype" w:cs="Palatino Linotype"/>
          <w:i/>
          <w:iCs/>
          <w:color w:val="000000"/>
        </w:rPr>
      </w:pPr>
    </w:p>
    <w:p w:rsidR="00D46354" w:rsidRDefault="00D4158B">
      <w:pPr>
        <w:numPr>
          <w:ilvl w:val="0"/>
          <w:numId w:val="8"/>
        </w:numPr>
        <w:pBdr>
          <w:top w:val="nil"/>
          <w:left w:val="nil"/>
          <w:bottom w:val="nil"/>
          <w:right w:val="nil"/>
          <w:between w:val="nil"/>
        </w:pBdr>
        <w:ind w:left="850" w:right="-220"/>
        <w:jc w:val="both"/>
        <w:rPr>
          <w:rFonts w:ascii="Palatino Linotype" w:eastAsia="Palatino Linotype" w:hAnsi="Palatino Linotype" w:cs="Palatino Linotype"/>
          <w:i/>
          <w:iCs/>
          <w:color w:val="000000"/>
        </w:rPr>
      </w:pPr>
      <w:bookmarkStart w:id="3" w:name="_heading=h.1fob9te" w:colFirst="0" w:colLast="0"/>
      <w:bookmarkEnd w:id="3"/>
      <w:r>
        <w:rPr>
          <w:rFonts w:ascii="Palatino Linotype" w:eastAsia="Palatino Linotype" w:hAnsi="Palatino Linotype" w:cs="Palatino Linotype"/>
          <w:b/>
          <w:bCs/>
          <w:color w:val="000000"/>
        </w:rPr>
        <w:t>Razones o Motivos de inconformidad:</w:t>
      </w:r>
    </w:p>
    <w:p w:rsidR="00D46354" w:rsidRDefault="00D4158B">
      <w:pPr>
        <w:pBdr>
          <w:top w:val="nil"/>
          <w:left w:val="nil"/>
          <w:bottom w:val="nil"/>
          <w:right w:val="nil"/>
          <w:between w:val="nil"/>
        </w:pBdr>
        <w:ind w:left="850" w:right="-220" w:hanging="36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“Véase documento anexo” (Sic)</w:t>
      </w:r>
    </w:p>
    <w:p w:rsidR="00D46354" w:rsidRDefault="00D4635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D46354" w:rsidRDefault="00D4158B">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recurrente anexó el archivo digital </w:t>
      </w:r>
      <w:r>
        <w:rPr>
          <w:rFonts w:ascii="Palatino Linotype" w:eastAsia="Palatino Linotype" w:hAnsi="Palatino Linotype" w:cs="Palatino Linotype"/>
          <w:b/>
          <w:bCs/>
          <w:i/>
          <w:iCs/>
          <w:color w:val="000000"/>
        </w:rPr>
        <w:t>Recurso de revisión.pdf</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consistente en escrito libre en el que señala lo siguiente:</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 Acto que se recurre</w:t>
      </w:r>
      <w:r>
        <w:rPr>
          <w:rFonts w:ascii="Palatino Linotype" w:eastAsia="Palatino Linotype" w:hAnsi="Palatino Linotype" w:cs="Palatino Linotype"/>
          <w:i/>
          <w:iCs/>
          <w:color w:val="000000"/>
        </w:rPr>
        <w:t xml:space="preserve">. La respuesta que el SO generó a la solicitud de información citada más arriba. </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VI. Razones o motivos de inconformidad</w:t>
      </w:r>
      <w:r>
        <w:rPr>
          <w:rFonts w:ascii="Palatino Linotype" w:eastAsia="Palatino Linotype" w:hAnsi="Palatino Linotype" w:cs="Palatino Linotype"/>
          <w:i/>
          <w:iCs/>
          <w:color w:val="000000"/>
        </w:rPr>
        <w:t xml:space="preserve">. Las razones que dan pie al presente recurso se pueden esgrimir de la siguiente manera. </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De acuerdo con la respuesta que el SO me hiciera llegar, por medio del SAIMEX, el día 18 de noviembre de 2025, éste (el SO) anexa a su oficio de respuesta un documento en tres páginas intitulado «SOLICITUDES DE ACCESO A LA INFORMACIÓN PÚBLICA [sic.]» mediante el cual pretende dar respuesta a la solicitud de información en comento. Pues bien, resulta que la solicitud realizada consistió en «[…] Un listado digital sobre el número y contenido de todas aquellas solicitudes de información que se hayan realizado a la administración pública y gobierno de Papalotla, a través de la Unidad de Transparencia y Acceso a la Información Pública del municipio (o similar), desde el primero de enero de 2025 a la fecha. Asimismo, el listado deberá indicar si las solicitudes fueron atendidas o rechazadas, señalando (en su caso) el motivo de la negación a cumplimentar las solicitudes requeridas. </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Todo lo anterior en versión pública [sic.]» </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Si se revisa el listado proporcionado por el SO, se podrá observar que en las filas identificadas con los numerales 14, 15, 16, 20, 44 y 50 se menciona como contenido de la solicitud la frase «[…] Respuesta a la solicitud en pdf [sic.]» Es decir, no se especifica realmente cuál es el sentido de la petición por lo que la respuesta del SO se puede considerar como incompleta. </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mérito de lo anterior, resulta a todas luces evidente que el SO no cumplió a cabalidad lo que al respecto los diversos ordenamientos legales en la materia le mandatan. Debido a esta razón, es que </w:t>
      </w:r>
      <w:r>
        <w:rPr>
          <w:rFonts w:ascii="Palatino Linotype" w:eastAsia="Palatino Linotype" w:hAnsi="Palatino Linotype" w:cs="Palatino Linotype"/>
          <w:b/>
          <w:bCs/>
          <w:i/>
          <w:iCs/>
          <w:color w:val="000000"/>
        </w:rPr>
        <w:t>se solicita</w:t>
      </w:r>
      <w:r>
        <w:rPr>
          <w:rFonts w:ascii="Palatino Linotype" w:eastAsia="Palatino Linotype" w:hAnsi="Palatino Linotype" w:cs="Palatino Linotype"/>
          <w:i/>
          <w:iCs/>
          <w:color w:val="000000"/>
        </w:rPr>
        <w:t xml:space="preserve"> respetuosamente —y después de un análisis concienzudo sobre los argumentos esgrimidos hasta aquí— </w:t>
      </w:r>
      <w:r>
        <w:rPr>
          <w:rFonts w:ascii="Palatino Linotype" w:eastAsia="Palatino Linotype" w:hAnsi="Palatino Linotype" w:cs="Palatino Linotype"/>
          <w:b/>
          <w:bCs/>
          <w:i/>
          <w:iCs/>
          <w:color w:val="000000"/>
        </w:rPr>
        <w:t>se instruya al SO a completar la información proporcionada</w:t>
      </w:r>
      <w:r>
        <w:rPr>
          <w:rFonts w:ascii="Palatino Linotype" w:eastAsia="Palatino Linotype" w:hAnsi="Palatino Linotype" w:cs="Palatino Linotype"/>
          <w:i/>
          <w:iCs/>
          <w:color w:val="000000"/>
        </w:rPr>
        <w:t xml:space="preserve"> a quien suscribe.</w:t>
      </w:r>
    </w:p>
    <w:p w:rsidR="00D46354" w:rsidRDefault="00D4158B">
      <w:pPr>
        <w:pBdr>
          <w:top w:val="nil"/>
          <w:left w:val="nil"/>
          <w:bottom w:val="nil"/>
          <w:right w:val="nil"/>
          <w:between w:val="nil"/>
        </w:pBdr>
        <w:tabs>
          <w:tab w:val="left" w:pos="567"/>
        </w:tabs>
        <w:ind w:left="709"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“(Sic)</w:t>
      </w:r>
    </w:p>
    <w:p w:rsidR="00D46354" w:rsidRDefault="00D46354">
      <w:pPr>
        <w:pBdr>
          <w:top w:val="nil"/>
          <w:left w:val="nil"/>
          <w:bottom w:val="nil"/>
          <w:right w:val="nil"/>
          <w:between w:val="nil"/>
        </w:pBdr>
        <w:tabs>
          <w:tab w:val="left" w:pos="567"/>
        </w:tabs>
        <w:ind w:left="709" w:right="-220"/>
        <w:jc w:val="both"/>
        <w:rPr>
          <w:rFonts w:ascii="Palatino Linotype" w:eastAsia="Palatino Linotype" w:hAnsi="Palatino Linotype" w:cs="Palatino Linotype"/>
          <w:i/>
          <w:iCs/>
          <w:color w:val="000000"/>
        </w:rPr>
      </w:pPr>
    </w:p>
    <w:p w:rsidR="00D46354" w:rsidRDefault="00D4158B">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uno de diciembre de dos mil veinticinco,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D46354" w:rsidRDefault="00D4635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nueve de abril de dos mil veintiséis </w:t>
      </w:r>
      <w:r>
        <w:rPr>
          <w:rFonts w:ascii="Palatino Linotype" w:eastAsia="Palatino Linotype" w:hAnsi="Palatino Linotype" w:cs="Palatino Linotype"/>
          <w:color w:val="000000"/>
        </w:rPr>
        <w:t xml:space="preserve">presentó </w:t>
      </w:r>
      <w:r>
        <w:rPr>
          <w:rFonts w:ascii="Palatino Linotype" w:eastAsia="Palatino Linotype" w:hAnsi="Palatino Linotype" w:cs="Palatino Linotype"/>
          <w:b/>
          <w:bCs/>
          <w:color w:val="000000"/>
        </w:rPr>
        <w:t>informe justificado</w:t>
      </w:r>
      <w:r>
        <w:rPr>
          <w:rFonts w:ascii="Palatino Linotype" w:eastAsia="Palatino Linotype" w:hAnsi="Palatino Linotype" w:cs="Palatino Linotype"/>
          <w:color w:val="000000"/>
        </w:rPr>
        <w:t>, a través del siguiente archivo electrónico:</w:t>
      </w:r>
    </w:p>
    <w:p w:rsidR="00D46354" w:rsidRDefault="00D46354">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D46354" w:rsidRDefault="00D4158B">
      <w:pPr>
        <w:pBdr>
          <w:top w:val="nil"/>
          <w:left w:val="nil"/>
          <w:bottom w:val="nil"/>
          <w:right w:val="nil"/>
          <w:between w:val="nil"/>
        </w:pBd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INFORME JUSTIFICADO.pdf</w:t>
      </w:r>
    </w:p>
    <w:p w:rsidR="00D46354" w:rsidRDefault="00D4158B">
      <w:pPr>
        <w:pBdr>
          <w:top w:val="nil"/>
          <w:left w:val="nil"/>
          <w:bottom w:val="nil"/>
          <w:right w:val="nil"/>
          <w:between w:val="nil"/>
        </w:pBdr>
        <w:ind w:left="851" w:right="-22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de fecha 08 de abril de 2025, suscrito la Titular de la Unidad de Transparencia, a través del cual rinde informe justificado de manera toral en los siguientes términos:</w:t>
      </w:r>
    </w:p>
    <w:p w:rsidR="00D46354" w:rsidRDefault="00D46354">
      <w:pPr>
        <w:pBdr>
          <w:top w:val="nil"/>
          <w:left w:val="nil"/>
          <w:bottom w:val="nil"/>
          <w:right w:val="nil"/>
          <w:between w:val="nil"/>
        </w:pBdr>
        <w:ind w:left="851" w:right="-220"/>
        <w:jc w:val="both"/>
        <w:rPr>
          <w:rFonts w:ascii="Palatino Linotype" w:eastAsia="Palatino Linotype" w:hAnsi="Palatino Linotype" w:cs="Palatino Linotype"/>
          <w:color w:val="000000"/>
        </w:rPr>
      </w:pPr>
    </w:p>
    <w:p w:rsidR="00D46354" w:rsidRDefault="00D4158B">
      <w:pPr>
        <w:pBdr>
          <w:top w:val="nil"/>
          <w:left w:val="nil"/>
          <w:bottom w:val="nil"/>
          <w:right w:val="nil"/>
          <w:between w:val="nil"/>
        </w:pBdr>
        <w:ind w:left="851"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46354" w:rsidRDefault="00D4158B">
      <w:pPr>
        <w:pBdr>
          <w:top w:val="nil"/>
          <w:left w:val="nil"/>
          <w:bottom w:val="nil"/>
          <w:right w:val="nil"/>
          <w:between w:val="nil"/>
        </w:pBdr>
        <w:ind w:left="851"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46354" w:rsidRDefault="00D4158B">
      <w:pPr>
        <w:pBdr>
          <w:top w:val="nil"/>
          <w:left w:val="nil"/>
          <w:bottom w:val="nil"/>
          <w:right w:val="nil"/>
          <w:between w:val="nil"/>
        </w:pBdr>
        <w:ind w:left="851"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SEGUNDO</w:t>
      </w:r>
      <w:r>
        <w:rPr>
          <w:rFonts w:ascii="Palatino Linotype" w:eastAsia="Palatino Linotype" w:hAnsi="Palatino Linotype" w:cs="Palatino Linotype"/>
          <w:i/>
          <w:iCs/>
          <w:color w:val="000000"/>
        </w:rPr>
        <w:t xml:space="preserve">. La </w:t>
      </w:r>
      <w:r>
        <w:rPr>
          <w:rFonts w:ascii="Palatino Linotype" w:eastAsia="Palatino Linotype" w:hAnsi="Palatino Linotype" w:cs="Palatino Linotype"/>
          <w:b/>
          <w:bCs/>
          <w:i/>
          <w:iCs/>
          <w:color w:val="000000"/>
        </w:rPr>
        <w:t>respuesta inicialmente</w:t>
      </w:r>
      <w:r>
        <w:rPr>
          <w:rFonts w:ascii="Palatino Linotype" w:eastAsia="Palatino Linotype" w:hAnsi="Palatino Linotype" w:cs="Palatino Linotype"/>
          <w:i/>
          <w:iCs/>
          <w:color w:val="000000"/>
        </w:rPr>
        <w:t xml:space="preserve"> emitida tuvo como finalidad dar cumplimiento a la solicitud formulada, </w:t>
      </w:r>
      <w:r>
        <w:rPr>
          <w:rFonts w:ascii="Palatino Linotype" w:eastAsia="Palatino Linotype" w:hAnsi="Palatino Linotype" w:cs="Palatino Linotype"/>
          <w:b/>
          <w:bCs/>
          <w:i/>
          <w:iCs/>
          <w:color w:val="000000"/>
        </w:rPr>
        <w:t>proporcionando un listado digital de las solicitudes</w:t>
      </w:r>
      <w:r>
        <w:rPr>
          <w:rFonts w:ascii="Palatino Linotype" w:eastAsia="Palatino Linotype" w:hAnsi="Palatino Linotype" w:cs="Palatino Linotype"/>
          <w:i/>
          <w:iCs/>
          <w:color w:val="000000"/>
        </w:rPr>
        <w:t xml:space="preserve"> de acceso a la información recibidas por esta Unidad de Transparencia </w:t>
      </w:r>
      <w:r>
        <w:rPr>
          <w:rFonts w:ascii="Palatino Linotype" w:eastAsia="Palatino Linotype" w:hAnsi="Palatino Linotype" w:cs="Palatino Linotype"/>
          <w:b/>
          <w:bCs/>
          <w:i/>
          <w:iCs/>
          <w:color w:val="000000"/>
        </w:rPr>
        <w:t>durante el periodo requerido</w:t>
      </w:r>
      <w:r>
        <w:rPr>
          <w:rFonts w:ascii="Palatino Linotype" w:eastAsia="Palatino Linotype" w:hAnsi="Palatino Linotype" w:cs="Palatino Linotype"/>
          <w:i/>
          <w:iCs/>
          <w:color w:val="000000"/>
        </w:rPr>
        <w:t xml:space="preserve">, incluyendo información relativa a su contenido general y estatus de atención. </w:t>
      </w:r>
    </w:p>
    <w:p w:rsidR="00D46354" w:rsidRDefault="00D46354">
      <w:pPr>
        <w:pBdr>
          <w:top w:val="nil"/>
          <w:left w:val="nil"/>
          <w:bottom w:val="nil"/>
          <w:right w:val="nil"/>
          <w:between w:val="nil"/>
        </w:pBdr>
        <w:ind w:left="851" w:right="-220"/>
        <w:jc w:val="both"/>
        <w:rPr>
          <w:rFonts w:ascii="Palatino Linotype" w:eastAsia="Palatino Linotype" w:hAnsi="Palatino Linotype" w:cs="Palatino Linotype"/>
          <w:i/>
          <w:iCs/>
          <w:color w:val="000000"/>
        </w:rPr>
      </w:pPr>
    </w:p>
    <w:p w:rsidR="00D46354" w:rsidRDefault="00D4158B">
      <w:pPr>
        <w:pBdr>
          <w:top w:val="nil"/>
          <w:left w:val="nil"/>
          <w:bottom w:val="nil"/>
          <w:right w:val="nil"/>
          <w:between w:val="nil"/>
        </w:pBdr>
        <w:ind w:left="851"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TERCERO</w:t>
      </w:r>
      <w:r>
        <w:rPr>
          <w:rFonts w:ascii="Palatino Linotype" w:eastAsia="Palatino Linotype" w:hAnsi="Palatino Linotype" w:cs="Palatino Linotype"/>
          <w:i/>
          <w:iCs/>
          <w:color w:val="000000"/>
        </w:rPr>
        <w:t xml:space="preserve">. No obstante, lo anterior, y sin que implique reconocimiento de incumplimiento alguno, este Sujeto Obligado advierte que en </w:t>
      </w:r>
      <w:r>
        <w:rPr>
          <w:rFonts w:ascii="Palatino Linotype" w:eastAsia="Palatino Linotype" w:hAnsi="Palatino Linotype" w:cs="Palatino Linotype"/>
          <w:b/>
          <w:bCs/>
          <w:i/>
          <w:iCs/>
          <w:color w:val="000000"/>
        </w:rPr>
        <w:t>algunos registros la descripción del contenido pudo resultar genérica</w:t>
      </w:r>
      <w:r>
        <w:rPr>
          <w:rFonts w:ascii="Palatino Linotype" w:eastAsia="Palatino Linotype" w:hAnsi="Palatino Linotype" w:cs="Palatino Linotype"/>
          <w:i/>
          <w:iCs/>
          <w:color w:val="000000"/>
        </w:rPr>
        <w:t xml:space="preserve">, lo cual obedeció a la forma en que se integraron los concentrados de información en los archivos administrativos de esta Unidad. </w:t>
      </w:r>
    </w:p>
    <w:p w:rsidR="00D46354" w:rsidRDefault="00D46354">
      <w:pPr>
        <w:pBdr>
          <w:top w:val="nil"/>
          <w:left w:val="nil"/>
          <w:bottom w:val="nil"/>
          <w:right w:val="nil"/>
          <w:between w:val="nil"/>
        </w:pBdr>
        <w:ind w:left="851" w:right="-220"/>
        <w:jc w:val="both"/>
        <w:rPr>
          <w:rFonts w:ascii="Palatino Linotype" w:eastAsia="Palatino Linotype" w:hAnsi="Palatino Linotype" w:cs="Palatino Linotype"/>
          <w:i/>
          <w:iCs/>
          <w:color w:val="000000"/>
        </w:rPr>
      </w:pPr>
    </w:p>
    <w:p w:rsidR="00D46354" w:rsidRDefault="00D4158B">
      <w:pPr>
        <w:pBdr>
          <w:top w:val="nil"/>
          <w:left w:val="nil"/>
          <w:bottom w:val="nil"/>
          <w:right w:val="nil"/>
          <w:between w:val="nil"/>
        </w:pBdr>
        <w:ind w:left="851"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CUARTO</w:t>
      </w:r>
      <w:r>
        <w:rPr>
          <w:rFonts w:ascii="Palatino Linotype" w:eastAsia="Palatino Linotype" w:hAnsi="Palatino Linotype" w:cs="Palatino Linotype"/>
          <w:i/>
          <w:iCs/>
          <w:color w:val="000000"/>
        </w:rPr>
        <w:t xml:space="preserve">. En virtud de lo anterior, y con fundamento en el principio de máxima publicidad previsto en la legislación en la materia, así como con el objeto de garantizar plenamente el derecho de acceso a la información del recurrente, este Sujeto Obligado </w:t>
      </w:r>
      <w:r>
        <w:rPr>
          <w:rFonts w:ascii="Palatino Linotype" w:eastAsia="Palatino Linotype" w:hAnsi="Palatino Linotype" w:cs="Palatino Linotype"/>
          <w:b/>
          <w:bCs/>
          <w:i/>
          <w:iCs/>
          <w:color w:val="000000"/>
        </w:rPr>
        <w:t>remite</w:t>
      </w:r>
      <w:r>
        <w:rPr>
          <w:rFonts w:ascii="Palatino Linotype" w:eastAsia="Palatino Linotype" w:hAnsi="Palatino Linotype" w:cs="Palatino Linotype"/>
          <w:i/>
          <w:iCs/>
          <w:color w:val="000000"/>
        </w:rPr>
        <w:t xml:space="preserve"> en esta etapa procesal, </w:t>
      </w:r>
      <w:r>
        <w:rPr>
          <w:rFonts w:ascii="Palatino Linotype" w:eastAsia="Palatino Linotype" w:hAnsi="Palatino Linotype" w:cs="Palatino Linotype"/>
          <w:b/>
          <w:bCs/>
          <w:i/>
          <w:iCs/>
          <w:color w:val="000000"/>
        </w:rPr>
        <w:t>de manera complementaria, la totalidad de las solicitudes de acceso a la información pública correspondientes al periodo requerido, en formato PDF y en versión pública</w:t>
      </w:r>
      <w:r>
        <w:rPr>
          <w:rFonts w:ascii="Palatino Linotype" w:eastAsia="Palatino Linotype" w:hAnsi="Palatino Linotype" w:cs="Palatino Linotype"/>
          <w:i/>
          <w:iCs/>
          <w:color w:val="000000"/>
        </w:rPr>
        <w:t xml:space="preserve">. </w:t>
      </w:r>
    </w:p>
    <w:p w:rsidR="00D46354" w:rsidRDefault="00D46354">
      <w:pPr>
        <w:pBdr>
          <w:top w:val="nil"/>
          <w:left w:val="nil"/>
          <w:bottom w:val="nil"/>
          <w:right w:val="nil"/>
          <w:between w:val="nil"/>
        </w:pBdr>
        <w:ind w:left="851" w:right="-220"/>
        <w:jc w:val="both"/>
        <w:rPr>
          <w:rFonts w:ascii="Palatino Linotype" w:eastAsia="Palatino Linotype" w:hAnsi="Palatino Linotype" w:cs="Palatino Linotype"/>
          <w:i/>
          <w:iCs/>
          <w:color w:val="000000"/>
        </w:rPr>
      </w:pPr>
    </w:p>
    <w:p w:rsidR="00D46354" w:rsidRDefault="00D4158B">
      <w:pPr>
        <w:pBdr>
          <w:top w:val="nil"/>
          <w:left w:val="nil"/>
          <w:bottom w:val="nil"/>
          <w:right w:val="nil"/>
          <w:between w:val="nil"/>
        </w:pBdr>
        <w:ind w:left="851"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QUINTO</w:t>
      </w:r>
      <w:r>
        <w:rPr>
          <w:rFonts w:ascii="Palatino Linotype" w:eastAsia="Palatino Linotype" w:hAnsi="Palatino Linotype" w:cs="Palatino Linotype"/>
          <w:i/>
          <w:iCs/>
          <w:color w:val="000000"/>
        </w:rPr>
        <w:t xml:space="preserve">. </w:t>
      </w:r>
      <w:r>
        <w:rPr>
          <w:rFonts w:ascii="Palatino Linotype" w:eastAsia="Palatino Linotype" w:hAnsi="Palatino Linotype" w:cs="Palatino Linotype"/>
          <w:b/>
          <w:bCs/>
          <w:i/>
          <w:iCs/>
          <w:color w:val="000000"/>
        </w:rPr>
        <w:t>La información que se acompaña permite conocer de manera íntegra el contenido de cada una de las solicitudes</w:t>
      </w:r>
      <w:r>
        <w:rPr>
          <w:rFonts w:ascii="Palatino Linotype" w:eastAsia="Palatino Linotype" w:hAnsi="Palatino Linotype" w:cs="Palatino Linotype"/>
          <w:i/>
          <w:iCs/>
          <w:color w:val="000000"/>
        </w:rPr>
        <w:t xml:space="preserve"> presentadas ante esta Unidad de Transparencia, incluyendo aquellas respecto de las cuales en el listado original se </w:t>
      </w:r>
      <w:r>
        <w:rPr>
          <w:rFonts w:ascii="Palatino Linotype" w:eastAsia="Palatino Linotype" w:hAnsi="Palatino Linotype" w:cs="Palatino Linotype"/>
          <w:i/>
          <w:iCs/>
          <w:color w:val="000000"/>
        </w:rPr>
        <w:lastRenderedPageBreak/>
        <w:t>utilizó una descripción genérica, quedando con ello plenamente atendida la pretensión informativa del solicitante. …” (Sic)</w:t>
      </w:r>
    </w:p>
    <w:p w:rsidR="00D46354" w:rsidRDefault="00D46354">
      <w:pPr>
        <w:pBdr>
          <w:top w:val="nil"/>
          <w:left w:val="nil"/>
          <w:bottom w:val="nil"/>
          <w:right w:val="nil"/>
          <w:between w:val="nil"/>
        </w:pBdr>
        <w:ind w:right="-220"/>
        <w:jc w:val="both"/>
        <w:rPr>
          <w:rFonts w:ascii="Palatino Linotype" w:eastAsia="Palatino Linotype" w:hAnsi="Palatino Linotype" w:cs="Palatino Linotype"/>
          <w:color w:val="000000"/>
        </w:rPr>
      </w:pPr>
    </w:p>
    <w:p w:rsidR="00D46354" w:rsidRDefault="00D4158B">
      <w:pPr>
        <w:pBdr>
          <w:top w:val="nil"/>
          <w:left w:val="nil"/>
          <w:bottom w:val="nil"/>
          <w:right w:val="nil"/>
          <w:between w:val="nil"/>
        </w:pBdr>
        <w:ind w:left="567" w:right="-22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SOLICITUDES.rar</w:t>
      </w:r>
    </w:p>
    <w:p w:rsidR="00D46354" w:rsidRDefault="00D4158B">
      <w:pPr>
        <w:pBdr>
          <w:top w:val="nil"/>
          <w:left w:val="nil"/>
          <w:bottom w:val="nil"/>
          <w:right w:val="nil"/>
          <w:between w:val="nil"/>
        </w:pBdr>
        <w:ind w:left="567" w:right="-22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Carpeta que contiene 62 archivos con el nombre de número consecutivo, cada carpeta contiene el acuse de la solicitud de información y la respuesta proporcionada a dicha solicitud.</w:t>
      </w:r>
    </w:p>
    <w:p w:rsidR="00D46354" w:rsidRDefault="00D46354">
      <w:pPr>
        <w:pBdr>
          <w:top w:val="nil"/>
          <w:left w:val="nil"/>
          <w:bottom w:val="nil"/>
          <w:right w:val="nil"/>
          <w:between w:val="nil"/>
        </w:pBdr>
        <w:ind w:left="567" w:right="-220"/>
        <w:jc w:val="both"/>
        <w:rPr>
          <w:rFonts w:ascii="Palatino Linotype" w:eastAsia="Palatino Linotype" w:hAnsi="Palatino Linotype" w:cs="Palatino Linotype"/>
          <w:color w:val="000000"/>
        </w:rPr>
      </w:pPr>
    </w:p>
    <w:p w:rsidR="00D46354" w:rsidRDefault="00D4158B">
      <w:pPr>
        <w:pBdr>
          <w:top w:val="nil"/>
          <w:left w:val="nil"/>
          <w:bottom w:val="nil"/>
          <w:right w:val="nil"/>
          <w:between w:val="nil"/>
        </w:pBdr>
        <w:ind w:left="567" w:right="-22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Tal documento no se puso a la vista por contener datos de carácter personal.</w:t>
      </w:r>
    </w:p>
    <w:p w:rsidR="00D46354" w:rsidRDefault="00D46354">
      <w:pPr>
        <w:pBdr>
          <w:top w:val="nil"/>
          <w:left w:val="nil"/>
          <w:bottom w:val="nil"/>
          <w:right w:val="nil"/>
          <w:between w:val="nil"/>
        </w:pBdr>
        <w:spacing w:line="360" w:lineRule="auto"/>
        <w:ind w:right="-787"/>
        <w:jc w:val="both"/>
        <w:rPr>
          <w:color w:val="000000"/>
        </w:rPr>
      </w:pP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r0t3k3jgqo1b" w:colFirst="0" w:colLast="0"/>
      <w:bookmarkEnd w:id="4"/>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tres de febrero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D46354" w:rsidRDefault="00D46354">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dieciocho de mayo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D46354" w:rsidRDefault="00D4158B">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 </w:t>
      </w:r>
    </w:p>
    <w:p w:rsidR="00D46354" w:rsidRDefault="00D4158B">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D46354" w:rsidRDefault="00D46354">
      <w:pPr>
        <w:spacing w:line="360" w:lineRule="auto"/>
        <w:rPr>
          <w:rFonts w:ascii="Palatino Linotype" w:eastAsia="Palatino Linotype" w:hAnsi="Palatino Linotype" w:cs="Palatino Linotype"/>
        </w:rPr>
      </w:pPr>
    </w:p>
    <w:p w:rsidR="00D46354" w:rsidRDefault="00D4158B">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w:t>
      </w:r>
      <w:r>
        <w:rPr>
          <w:rFonts w:ascii="Palatino Linotype" w:eastAsia="Palatino Linotype" w:hAnsi="Palatino Linotype" w:cs="Palatino Linotype"/>
          <w:color w:val="000000"/>
        </w:rPr>
        <w:lastRenderedPageBreak/>
        <w:t>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D46354" w:rsidRDefault="00D46354">
      <w:pPr>
        <w:tabs>
          <w:tab w:val="left" w:pos="426"/>
        </w:tabs>
        <w:spacing w:line="360" w:lineRule="auto"/>
        <w:jc w:val="both"/>
        <w:rPr>
          <w:rFonts w:ascii="Palatino Linotype" w:eastAsia="Palatino Linotype" w:hAnsi="Palatino Linotype" w:cs="Palatino Linotype"/>
          <w:color w:val="000000"/>
        </w:rPr>
      </w:pPr>
    </w:p>
    <w:p w:rsidR="00D46354" w:rsidRDefault="00D4158B">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medio</w:t>
      </w:r>
      <w:r>
        <w:rPr>
          <w:rFonts w:ascii="Palatino Linotype" w:eastAsia="Palatino Linotype" w:hAnsi="Palatino Linotype" w:cs="Palatino Linotype"/>
        </w:rPr>
        <w:t xml:space="preserve">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dieciocho de noviembre de dos mil veinticinco</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diecinueve de noviembre al nueve de diciembre de dos mil veinticinco,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uno de diciembre de dos mil veinticinco</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D46354" w:rsidRDefault="00D46354">
      <w:pPr>
        <w:spacing w:line="360" w:lineRule="auto"/>
        <w:ind w:right="49"/>
        <w:jc w:val="both"/>
        <w:rPr>
          <w:rFonts w:ascii="Palatino Linotype" w:eastAsia="Palatino Linotype" w:hAnsi="Palatino Linotype" w:cs="Palatino Linotype"/>
        </w:rPr>
      </w:pPr>
      <w:bookmarkStart w:id="5" w:name="_heading=h.2et92p0" w:colFirst="0" w:colLast="0"/>
      <w:bookmarkEnd w:id="5"/>
    </w:p>
    <w:p w:rsidR="00D46354" w:rsidRDefault="00D4158B">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D46354" w:rsidRDefault="00D46354"/>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solicitó tener acceso, a la información que a continuación se simplifica:</w:t>
      </w:r>
    </w:p>
    <w:p w:rsidR="00D46354" w:rsidRDefault="00D4158B">
      <w:pPr>
        <w:numPr>
          <w:ilvl w:val="0"/>
          <w:numId w:val="2"/>
        </w:numPr>
        <w:pBdr>
          <w:top w:val="nil"/>
          <w:left w:val="nil"/>
          <w:bottom w:val="nil"/>
          <w:right w:val="nil"/>
          <w:between w:val="nil"/>
        </w:pBdr>
        <w:ind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Del 01 de enero al 28 de octubre de 2025:</w:t>
      </w:r>
    </w:p>
    <w:p w:rsidR="00D46354" w:rsidRDefault="00D4158B">
      <w:pPr>
        <w:numPr>
          <w:ilvl w:val="1"/>
          <w:numId w:val="2"/>
        </w:numPr>
        <w:pBdr>
          <w:top w:val="nil"/>
          <w:left w:val="nil"/>
          <w:bottom w:val="nil"/>
          <w:right w:val="nil"/>
          <w:between w:val="nil"/>
        </w:pBdr>
        <w:ind w:left="1276"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Listado con el número y contenido de las solicitudes de información, indicando si fueron atendidas o rechazadas, señalando (en su caso) el motivo de la negación.</w:t>
      </w:r>
    </w:p>
    <w:p w:rsidR="00D46354" w:rsidRDefault="00D46354">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En </w:t>
      </w:r>
      <w:r>
        <w:rPr>
          <w:rFonts w:ascii="Palatino Linotype" w:eastAsia="Palatino Linotype" w:hAnsi="Palatino Linotype" w:cs="Palatino Linotype"/>
          <w:color w:val="000000"/>
        </w:rPr>
        <w:t>respuesta</w:t>
      </w:r>
      <w:r>
        <w:rPr>
          <w:rFonts w:ascii="Palatino Linotype" w:eastAsia="Palatino Linotype" w:hAnsi="Palatino Linotype" w:cs="Palatino Linotype"/>
        </w:rPr>
        <w:t>,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los archivos ya descritos en el anterior párrafo 2, inconforme con la respuesta, se interpuso recurso de revisión argumentando sustancialmente la entrega de información incompleta.</w:t>
      </w:r>
    </w:p>
    <w:p w:rsidR="00D46354" w:rsidRDefault="00D46354">
      <w:pPr>
        <w:ind w:left="720" w:right="-788"/>
        <w:jc w:val="both"/>
        <w:rPr>
          <w:rFonts w:ascii="Palatino Linotype" w:eastAsia="Palatino Linotype" w:hAnsi="Palatino Linotype" w:cs="Palatino Linotype"/>
          <w:i/>
          <w:iCs/>
          <w:color w:val="000000"/>
        </w:rPr>
      </w:pP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En dichas condiciones, la controversia a resolver en el presente proveído, corresponde a determinar si se actualiza la causal de procedencia prevista en el artículo </w:t>
      </w:r>
      <w:r>
        <w:rPr>
          <w:rFonts w:ascii="Palatino Linotype" w:eastAsia="Palatino Linotype" w:hAnsi="Palatino Linotype" w:cs="Palatino Linotype"/>
          <w:b/>
          <w:bCs/>
        </w:rPr>
        <w:t>179, fracción V,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relativa a </w:t>
      </w:r>
      <w:r>
        <w:rPr>
          <w:rFonts w:ascii="Palatino Linotype" w:eastAsia="Palatino Linotype" w:hAnsi="Palatino Linotype" w:cs="Palatino Linotype"/>
          <w:b/>
          <w:bCs/>
          <w:color w:val="000000"/>
        </w:rPr>
        <w:t>la entrega de información incompleta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señalada.</w:t>
      </w:r>
    </w:p>
    <w:p w:rsidR="00D46354" w:rsidRDefault="00D46354">
      <w:pPr>
        <w:spacing w:line="360" w:lineRule="auto"/>
        <w:ind w:right="-787"/>
        <w:rPr>
          <w:rFonts w:ascii="Palatino Linotype" w:eastAsia="Palatino Linotype" w:hAnsi="Palatino Linotype" w:cs="Palatino Linotype"/>
        </w:rPr>
      </w:pPr>
    </w:p>
    <w:p w:rsidR="00D46354" w:rsidRDefault="00D4158B">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Pr>
          <w:rFonts w:ascii="Palatino Linotype" w:eastAsia="Palatino Linotype" w:hAnsi="Palatino Linotype" w:cs="Palatino Linotype"/>
          <w:b/>
          <w:bCs/>
          <w:color w:val="000000"/>
          <w:sz w:val="24"/>
          <w:szCs w:val="24"/>
        </w:rPr>
        <w:t>CUARTO. Del estudio y resolución del asunto.</w:t>
      </w: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Pr>
          <w:rFonts w:ascii="Palatino Linotype" w:eastAsia="Palatino Linotype" w:hAnsi="Palatino Linotype" w:cs="Palatino Linotype"/>
          <w:color w:val="000000"/>
        </w:rPr>
        <w:t>Transparencia</w:t>
      </w:r>
      <w:r>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D46354" w:rsidRDefault="00D46354">
      <w:pPr>
        <w:spacing w:line="360" w:lineRule="auto"/>
        <w:ind w:right="-787"/>
        <w:jc w:val="both"/>
        <w:rPr>
          <w:rFonts w:ascii="Palatino Linotype" w:eastAsia="Palatino Linotype" w:hAnsi="Palatino Linotype" w:cs="Palatino Linotype"/>
        </w:rPr>
      </w:pP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es relevante mencionar que el artículo 19, del ordenamiento local de la materia señala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D46354" w:rsidRDefault="00D46354">
      <w:pPr>
        <w:spacing w:line="360" w:lineRule="auto"/>
        <w:ind w:right="-787"/>
        <w:jc w:val="both"/>
        <w:rPr>
          <w:rFonts w:ascii="Palatino Linotype" w:eastAsia="Palatino Linotype" w:hAnsi="Palatino Linotype" w:cs="Palatino Linotype"/>
        </w:rPr>
      </w:pPr>
    </w:p>
    <w:p w:rsidR="00D46354" w:rsidRDefault="00D4158B">
      <w:pPr>
        <w:numPr>
          <w:ilvl w:val="0"/>
          <w:numId w:val="7"/>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D46354" w:rsidRDefault="00D4158B">
      <w:pPr>
        <w:numPr>
          <w:ilvl w:val="0"/>
          <w:numId w:val="1"/>
        </w:numPr>
        <w:spacing w:line="360" w:lineRule="auto"/>
        <w:ind w:left="0" w:right="-787" w:firstLine="0"/>
        <w:jc w:val="both"/>
      </w:pPr>
      <w:r>
        <w:rPr>
          <w:rFonts w:ascii="Palatino Linotype" w:eastAsia="Palatino Linotype" w:hAnsi="Palatino Linotype" w:cs="Palatino Linotype"/>
        </w:rPr>
        <w:t>La Ley de Transparencia y Acceso a la Información Pública del Estado de México y Municipios establece lo siguiente en relación a las Unidades de Transparencia:</w:t>
      </w:r>
    </w:p>
    <w:p w:rsidR="00D46354" w:rsidRDefault="00D4158B">
      <w:pPr>
        <w:ind w:left="566"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de Transparencia y Acceso a la Información Pública del Estado de México y Municipios</w:t>
      </w:r>
    </w:p>
    <w:p w:rsidR="00D46354" w:rsidRDefault="00D46354">
      <w:pPr>
        <w:ind w:left="566" w:right="-220"/>
        <w:jc w:val="center"/>
        <w:rPr>
          <w:rFonts w:ascii="Palatino Linotype" w:eastAsia="Palatino Linotype" w:hAnsi="Palatino Linotype" w:cs="Palatino Linotype"/>
          <w:b/>
          <w:bCs/>
          <w:i/>
          <w:iCs/>
        </w:rPr>
      </w:pP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50.</w:t>
      </w:r>
      <w:r>
        <w:rPr>
          <w:rFonts w:ascii="Palatino Linotype" w:eastAsia="Palatino Linotype" w:hAnsi="Palatino Linotype" w:cs="Palatino Linotype"/>
          <w:i/>
          <w:iCs/>
        </w:rPr>
        <w:t xml:space="preserve"> Los sujetos obligados contarán con un área responsable para la atención de las solicitudes de información, a la que se le denominará Unidad de Transparencia.</w:t>
      </w:r>
    </w:p>
    <w:p w:rsidR="00D46354" w:rsidRDefault="00D46354">
      <w:pPr>
        <w:ind w:left="566" w:right="-220"/>
        <w:jc w:val="both"/>
        <w:rPr>
          <w:rFonts w:ascii="Palatino Linotype" w:eastAsia="Palatino Linotype" w:hAnsi="Palatino Linotype" w:cs="Palatino Linotype"/>
          <w:i/>
          <w:iCs/>
        </w:rPr>
      </w:pP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51</w:t>
      </w:r>
      <w:r>
        <w:rPr>
          <w:rFonts w:ascii="Palatino Linotype" w:eastAsia="Palatino Linotype" w:hAnsi="Palatino Linotype" w:cs="Palatino Linotype"/>
          <w:i/>
          <w:iCs/>
        </w:rPr>
        <w:t>.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rsidR="00D46354" w:rsidRDefault="00D46354">
      <w:pPr>
        <w:ind w:left="566" w:right="-220"/>
        <w:jc w:val="both"/>
        <w:rPr>
          <w:rFonts w:ascii="Palatino Linotype" w:eastAsia="Palatino Linotype" w:hAnsi="Palatino Linotype" w:cs="Palatino Linotype"/>
          <w:i/>
          <w:iCs/>
        </w:rPr>
      </w:pP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52.</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Las solicitudes de acceso a la información y las respuestas que se les dé, incluyendo, en su caso, la información entregada, así como las resoluciones </w:t>
      </w:r>
      <w:r>
        <w:rPr>
          <w:rFonts w:ascii="Palatino Linotype" w:eastAsia="Palatino Linotype" w:hAnsi="Palatino Linotype" w:cs="Palatino Linotype"/>
          <w:b/>
          <w:bCs/>
          <w:i/>
          <w:iCs/>
        </w:rPr>
        <w:lastRenderedPageBreak/>
        <w:t>a los recursos que en su caso se promuevan serán públicas</w:t>
      </w:r>
      <w:r>
        <w:rPr>
          <w:rFonts w:ascii="Palatino Linotype" w:eastAsia="Palatino Linotype" w:hAnsi="Palatino Linotype" w:cs="Palatino Linotype"/>
          <w:i/>
          <w:iCs/>
        </w:rPr>
        <w:t>,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rsidR="00D46354" w:rsidRDefault="00D46354">
      <w:pPr>
        <w:ind w:left="566" w:right="-220"/>
        <w:jc w:val="both"/>
        <w:rPr>
          <w:rFonts w:ascii="Palatino Linotype" w:eastAsia="Palatino Linotype" w:hAnsi="Palatino Linotype" w:cs="Palatino Linotype"/>
          <w:i/>
          <w:iCs/>
        </w:rPr>
      </w:pPr>
    </w:p>
    <w:p w:rsidR="00D46354" w:rsidRDefault="00D4158B">
      <w:pPr>
        <w:ind w:left="566"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53</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Las Unidades de Transparencia tendrán las siguientes funciones: </w:t>
      </w:r>
    </w:p>
    <w:p w:rsidR="00D46354" w:rsidRDefault="00D46354">
      <w:pPr>
        <w:ind w:left="566" w:right="-220"/>
        <w:jc w:val="both"/>
        <w:rPr>
          <w:rFonts w:ascii="Palatino Linotype" w:eastAsia="Palatino Linotype" w:hAnsi="Palatino Linotype" w:cs="Palatino Linotype"/>
          <w:i/>
          <w:iCs/>
        </w:rPr>
      </w:pP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D46354" w:rsidRDefault="00D46354">
      <w:pPr>
        <w:ind w:left="566" w:right="-220"/>
        <w:jc w:val="both"/>
        <w:rPr>
          <w:rFonts w:ascii="Palatino Linotype" w:eastAsia="Palatino Linotype" w:hAnsi="Palatino Linotype" w:cs="Palatino Linotype"/>
          <w:i/>
          <w:iCs/>
        </w:rPr>
      </w:pP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II. Recibir, tramitar y dar respuesta a las solicitudes de acceso a la información;</w:t>
      </w: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IX. Llevar un registro de las solicitudes de acceso a la información</w:t>
      </w:r>
      <w:r>
        <w:rPr>
          <w:rFonts w:ascii="Palatino Linotype" w:eastAsia="Palatino Linotype" w:hAnsi="Palatino Linotype" w:cs="Palatino Linotype"/>
          <w:i/>
          <w:iCs/>
        </w:rPr>
        <w:t>, sus respuestas, resultados, costos de reproducción y envío, resolución a los recursos de revisión que se hayan emitido en contra de sus respuestas y del cumplimiento de las mismas;</w:t>
      </w: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D46354" w:rsidRDefault="00D46354">
      <w:pPr>
        <w:spacing w:line="360" w:lineRule="auto"/>
        <w:ind w:right="-787"/>
        <w:jc w:val="both"/>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estructura orgánica de la Administración Pública Municipal se encargará del despacho de los asuntos que le sean encomendados por la persona titular de la Presidencia Municipal, en el ejercicio de su facultad delegatoria y se conformará por una </w:t>
      </w:r>
      <w:r>
        <w:rPr>
          <w:rFonts w:ascii="Palatino Linotype" w:eastAsia="Palatino Linotype" w:hAnsi="Palatino Linotype" w:cs="Palatino Linotype"/>
          <w:b/>
          <w:bCs/>
        </w:rPr>
        <w:t>Unidad de Transparencia</w:t>
      </w:r>
      <w:r>
        <w:rPr>
          <w:rFonts w:ascii="Palatino Linotype" w:eastAsia="Palatino Linotype" w:hAnsi="Palatino Linotype" w:cs="Palatino Linotype"/>
        </w:rPr>
        <w:t>, unidad administrativa que garantiza el acceso a la información pública, promoviendo la rendición de cuentas y protegiendo los datos personales de los ciudadanos, de conformidad con lo establecido en el artículo 32, del Bando Municipal 2025.</w:t>
      </w:r>
    </w:p>
    <w:p w:rsidR="00C91A94" w:rsidRDefault="00C91A94" w:rsidP="00C91A94">
      <w:pPr>
        <w:spacing w:line="360" w:lineRule="auto"/>
        <w:ind w:right="-787"/>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Unidad de Transparencia</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 xml:space="preserve">siguió el procedimiento inmerso en la normatividad aplicable, ya que turnó el requerimiento de información a la unidad administrativa competente, vigilando lo establecido por el artículo </w:t>
      </w:r>
      <w:r>
        <w:rPr>
          <w:rFonts w:ascii="Palatino Linotype" w:eastAsia="Palatino Linotype" w:hAnsi="Palatino Linotype" w:cs="Palatino Linotype"/>
        </w:rPr>
        <w:lastRenderedPageBreak/>
        <w:t>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D46354" w:rsidRDefault="00D4158B">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D46354" w:rsidRDefault="00D46354">
      <w:pPr>
        <w:spacing w:line="360" w:lineRule="auto"/>
        <w:ind w:left="708" w:right="62"/>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D46354" w:rsidRDefault="00D4158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acuerdo a sus facultades, competencias y funciones, con el objeto de que realicen una búsqueda exhaustiva y razonable de la información solicitada.”</w:t>
      </w:r>
    </w:p>
    <w:p w:rsidR="00D46354" w:rsidRDefault="00D46354">
      <w:pPr>
        <w:spacing w:line="360" w:lineRule="auto"/>
        <w:ind w:right="-787"/>
        <w:jc w:val="both"/>
        <w:rPr>
          <w:rFonts w:ascii="Palatino Linotype" w:eastAsia="Palatino Linotype" w:hAnsi="Palatino Linotype" w:cs="Palatino Linotype"/>
          <w:color w:val="000000"/>
        </w:rPr>
      </w:pPr>
    </w:p>
    <w:p w:rsidR="00D46354" w:rsidRDefault="00D4158B">
      <w:pPr>
        <w:numPr>
          <w:ilvl w:val="0"/>
          <w:numId w:val="1"/>
        </w:numPr>
        <w:spacing w:line="360" w:lineRule="auto"/>
        <w:ind w:left="0" w:right="-787" w:firstLine="0"/>
        <w:jc w:val="both"/>
        <w:rPr>
          <w:color w:val="000000"/>
        </w:rPr>
      </w:pPr>
      <w:r>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D46354" w:rsidRDefault="00D4158B">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D46354" w:rsidRDefault="00D4158B">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46354" w:rsidRDefault="00D4158B">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D46354" w:rsidRDefault="00D4158B">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D46354" w:rsidRDefault="00D46354">
      <w:pPr>
        <w:ind w:right="-787"/>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46354" w:rsidRDefault="00D4158B">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D46354" w:rsidRDefault="00D4158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46354" w:rsidRDefault="00D4158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D46354" w:rsidRDefault="00D4158B">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D46354" w:rsidRDefault="00D4158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D46354" w:rsidRDefault="00D4158B">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3) Que se trate de información registrada en cualquier soporte documental, que en ejercicio de las atribuciones conferidas, se encuentre en posesión de los Sujetos Obligados.”</w:t>
      </w:r>
    </w:p>
    <w:p w:rsidR="00D46354" w:rsidRDefault="00D4158B">
      <w:pPr>
        <w:tabs>
          <w:tab w:val="left" w:pos="851"/>
        </w:tabs>
        <w:spacing w:line="360" w:lineRule="auto"/>
        <w:ind w:left="567"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D46354" w:rsidRDefault="00D46354">
      <w:pPr>
        <w:pBdr>
          <w:top w:val="nil"/>
          <w:left w:val="nil"/>
          <w:bottom w:val="nil"/>
          <w:right w:val="nil"/>
          <w:between w:val="nil"/>
        </w:pBdr>
        <w:ind w:right="-787"/>
        <w:jc w:val="both"/>
        <w:rPr>
          <w:rFonts w:ascii="Palatino Linotype" w:eastAsia="Palatino Linotype" w:hAnsi="Palatino Linotype" w:cs="Palatino Linotype"/>
          <w:color w:val="000000"/>
        </w:rPr>
      </w:pPr>
    </w:p>
    <w:p w:rsidR="00D46354" w:rsidRDefault="00D4158B">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D46354" w:rsidRDefault="00D46354">
      <w:pPr>
        <w:ind w:left="566" w:right="-220"/>
        <w:jc w:val="both"/>
        <w:rPr>
          <w:rFonts w:ascii="Palatino Linotype" w:eastAsia="Palatino Linotype" w:hAnsi="Palatino Linotype" w:cs="Palatino Linotype"/>
          <w:i/>
          <w:iCs/>
        </w:rPr>
      </w:pPr>
    </w:p>
    <w:p w:rsidR="00D46354" w:rsidRDefault="00D4158B">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D46354" w:rsidRDefault="00D46354">
      <w:pPr>
        <w:ind w:left="566" w:right="-220"/>
        <w:jc w:val="both"/>
        <w:rPr>
          <w:rFonts w:ascii="Palatino Linotype" w:eastAsia="Palatino Linotype" w:hAnsi="Palatino Linotype" w:cs="Palatino Linotype"/>
          <w:i/>
          <w:iCs/>
        </w:rPr>
      </w:pPr>
    </w:p>
    <w:p w:rsidR="00D46354" w:rsidRDefault="00D4158B">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D46354" w:rsidRDefault="00D4158B">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D46354" w:rsidRDefault="00D46354">
      <w:pPr>
        <w:ind w:right="-787"/>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D46354" w:rsidRDefault="00D46354">
      <w:pPr>
        <w:spacing w:line="360" w:lineRule="auto"/>
        <w:ind w:right="-787"/>
        <w:jc w:val="both"/>
      </w:pPr>
    </w:p>
    <w:p w:rsidR="00D46354" w:rsidRDefault="00D4158B">
      <w:pPr>
        <w:numPr>
          <w:ilvl w:val="0"/>
          <w:numId w:val="3"/>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De la naturaleza de la información solicitada. </w:t>
      </w: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w:t>
      </w:r>
      <w:r>
        <w:rPr>
          <w:rFonts w:ascii="Palatino Linotype" w:eastAsia="Palatino Linotype" w:hAnsi="Palatino Linotype" w:cs="Palatino Linotype"/>
          <w:color w:val="000000"/>
        </w:rPr>
        <w:t>precisa</w:t>
      </w:r>
      <w:r>
        <w:rPr>
          <w:rFonts w:ascii="Palatino Linotype" w:eastAsia="Palatino Linotype" w:hAnsi="Palatino Linotype" w:cs="Palatino Linotype"/>
        </w:rPr>
        <w:t xml:space="preserve">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generar, administrar o poseer la información solicitada, dado que éste </w:t>
      </w:r>
      <w:r>
        <w:rPr>
          <w:rFonts w:ascii="Palatino Linotype" w:eastAsia="Palatino Linotype" w:hAnsi="Palatino Linotype" w:cs="Palatino Linotype"/>
        </w:rPr>
        <w:lastRenderedPageBreak/>
        <w:t xml:space="preserve">ha asumido la </w:t>
      </w:r>
      <w:r>
        <w:rPr>
          <w:rFonts w:ascii="Palatino Linotype" w:eastAsia="Palatino Linotype" w:hAnsi="Palatino Linotype" w:cs="Palatino Linotype"/>
          <w:color w:val="000000"/>
        </w:rPr>
        <w:t>misma</w:t>
      </w:r>
      <w:r>
        <w:rPr>
          <w:rFonts w:ascii="Palatino Linotype" w:eastAsia="Palatino Linotype" w:hAnsi="Palatino Linotype" w:cs="Palatino Linotype"/>
        </w:rPr>
        <w:t>, en razón que otorgó respuesta admitiendo contar con dicha información, tan es así que se remitió un documento con la información requerida.</w:t>
      </w:r>
    </w:p>
    <w:p w:rsidR="00D46354" w:rsidRDefault="00D46354">
      <w:pPr>
        <w:spacing w:line="360" w:lineRule="auto"/>
        <w:ind w:right="-879"/>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pPr>
      <w:bookmarkStart w:id="7" w:name="_heading=h.2s8eyo1" w:colFirst="0" w:colLast="0"/>
      <w:bookmarkEnd w:id="7"/>
      <w:r>
        <w:rPr>
          <w:rFonts w:ascii="Palatino Linotype" w:eastAsia="Palatino Linotype" w:hAnsi="Palatino Linotype" w:cs="Palatino Linotype"/>
        </w:rPr>
        <w:t xml:space="preserve">En efecto, el hecho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D46354" w:rsidRDefault="00D4158B">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D46354" w:rsidRDefault="00D46354">
      <w:pPr>
        <w:tabs>
          <w:tab w:val="left" w:pos="8505"/>
        </w:tabs>
        <w:ind w:left="709" w:right="-858"/>
        <w:jc w:val="both"/>
        <w:rPr>
          <w:rFonts w:ascii="Palatino Linotype" w:eastAsia="Palatino Linotype" w:hAnsi="Palatino Linotype" w:cs="Palatino Linotype"/>
          <w:i/>
          <w:iCs/>
        </w:rPr>
      </w:pPr>
    </w:p>
    <w:p w:rsidR="00D46354" w:rsidRDefault="00D4158B">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D46354" w:rsidRDefault="00D46354">
      <w:pPr>
        <w:tabs>
          <w:tab w:val="left" w:pos="8505"/>
        </w:tabs>
        <w:ind w:left="709" w:right="-858"/>
        <w:jc w:val="both"/>
        <w:rPr>
          <w:rFonts w:ascii="Palatino Linotype" w:eastAsia="Palatino Linotype" w:hAnsi="Palatino Linotype" w:cs="Palatino Linotype"/>
          <w:i/>
          <w:iCs/>
        </w:rPr>
      </w:pPr>
    </w:p>
    <w:p w:rsidR="00D46354" w:rsidRDefault="00D46354">
      <w:pPr>
        <w:pBdr>
          <w:top w:val="nil"/>
          <w:left w:val="nil"/>
          <w:bottom w:val="nil"/>
          <w:right w:val="nil"/>
          <w:between w:val="nil"/>
        </w:pBdr>
        <w:ind w:left="-566" w:right="-787"/>
        <w:rPr>
          <w:rFonts w:ascii="Palatino Linotype" w:eastAsia="Palatino Linotype" w:hAnsi="Palatino Linotype" w:cs="Palatino Linotype"/>
          <w:color w:val="000000"/>
        </w:rPr>
      </w:pPr>
    </w:p>
    <w:p w:rsidR="00D46354" w:rsidRDefault="00D4158B">
      <w:pPr>
        <w:numPr>
          <w:ilvl w:val="0"/>
          <w:numId w:val="1"/>
        </w:numPr>
        <w:spacing w:line="360" w:lineRule="auto"/>
        <w:ind w:left="0" w:right="-787" w:firstLine="0"/>
        <w:jc w:val="both"/>
        <w:rPr>
          <w:color w:val="000000"/>
        </w:rPr>
      </w:pPr>
      <w:r>
        <w:rPr>
          <w:rFonts w:ascii="Palatino Linotype" w:eastAsia="Palatino Linotype" w:hAnsi="Palatino Linotype" w:cs="Palatino Linotype"/>
        </w:rPr>
        <w:t xml:space="preserve">Así, el estudio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D46354" w:rsidRDefault="00D46354">
      <w:pPr>
        <w:spacing w:line="360" w:lineRule="auto"/>
        <w:ind w:right="-787"/>
        <w:jc w:val="both"/>
        <w:rPr>
          <w:rFonts w:ascii="Palatino Linotype" w:eastAsia="Palatino Linotype" w:hAnsi="Palatino Linotype" w:cs="Palatino Linotype"/>
          <w:color w:val="000000"/>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Ahora bien, es de precisar que el particular requirió, </w:t>
      </w:r>
      <w:r>
        <w:rPr>
          <w:rFonts w:ascii="Palatino Linotype" w:eastAsia="Palatino Linotype" w:hAnsi="Palatino Linotype" w:cs="Palatino Linotype"/>
          <w:i/>
          <w:iCs/>
          <w:u w:val="single"/>
        </w:rPr>
        <w:t>Del 01 de enero al 28 de octubre de 2025: Listado con el número y contenido de las solicitudes de información, indicando si fueron atendidas o rechazadas, señalando (en su caso) el motivo de la negación</w:t>
      </w:r>
      <w:r>
        <w:rPr>
          <w:rFonts w:ascii="Palatino Linotype" w:eastAsia="Palatino Linotype" w:hAnsi="Palatino Linotype" w:cs="Palatino Linotype"/>
        </w:rPr>
        <w:t xml:space="preserve">, en respuesta el Sujeto Obligado remitió Documento titulado “solicitudes de acceso a la información” en el que se puede apreciar una tabla con los rubros de número consecutivo, contenido, atendidas o rechazadas, motivo de la negación, correspondiente a 61 solicitudes de información; en consecuencia el particular se dolió manifestando de manera total la entrega de información incompleta, posteriormente a través de informe justificado el Sujeto Obligado remite </w:t>
      </w:r>
      <w:r>
        <w:rPr>
          <w:rFonts w:ascii="Palatino Linotype" w:eastAsia="Palatino Linotype" w:hAnsi="Palatino Linotype" w:cs="Palatino Linotype"/>
          <w:b/>
          <w:bCs/>
          <w:i/>
          <w:iCs/>
        </w:rPr>
        <w:t>de manera complementaria, la totalidad de las solicitudes de acceso a la información pública correspondientes al periodo requerido, en formato PDF y en versión pública</w:t>
      </w:r>
      <w:r>
        <w:rPr>
          <w:rFonts w:ascii="Palatino Linotype" w:eastAsia="Palatino Linotype" w:hAnsi="Palatino Linotype" w:cs="Palatino Linotype"/>
        </w:rPr>
        <w:t>.</w:t>
      </w:r>
    </w:p>
    <w:p w:rsidR="00D46354" w:rsidRDefault="00D46354">
      <w:pPr>
        <w:spacing w:line="360" w:lineRule="auto"/>
        <w:ind w:right="-787"/>
        <w:jc w:val="both"/>
        <w:rPr>
          <w:rFonts w:ascii="Palatino Linotype" w:eastAsia="Palatino Linotype" w:hAnsi="Palatino Linotype" w:cs="Palatino Linotype"/>
          <w:i/>
          <w:iCs/>
          <w:u w:val="singl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En primer momento es de referir que, el particular se dolió considerando </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 xml:space="preserve">el listado proporcionado por el SO, se podrá observar que en las filas identificadas con los numerales 14, 15, 16, 20, 44 y 50 se menciona como contenido de la solicitud la frase «[…] Respuesta a la solicitud en pdf [sic.]» Es decir, no se especifica realmente cuál es el sentido de la petición por lo que la respuesta del SO se puede considerar como incompleta. </w:t>
      </w:r>
      <w:r>
        <w:rPr>
          <w:rFonts w:ascii="Palatino Linotype" w:eastAsia="Palatino Linotype" w:hAnsi="Palatino Linotype" w:cs="Palatino Linotype"/>
          <w:i/>
          <w:iCs/>
        </w:rPr>
        <w:t xml:space="preserve">… Debido a esta razón, es que </w:t>
      </w:r>
      <w:r>
        <w:rPr>
          <w:rFonts w:ascii="Palatino Linotype" w:eastAsia="Palatino Linotype" w:hAnsi="Palatino Linotype" w:cs="Palatino Linotype"/>
          <w:b/>
          <w:bCs/>
          <w:i/>
          <w:iCs/>
        </w:rPr>
        <w:t>se solicita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 instruya al SO a completar la información proporcionada…</w:t>
      </w:r>
      <w:r>
        <w:rPr>
          <w:rFonts w:ascii="Palatino Linotype" w:eastAsia="Palatino Linotype" w:hAnsi="Palatino Linotype" w:cs="Palatino Linotype"/>
          <w:i/>
          <w:iCs/>
          <w:color w:val="000000"/>
        </w:rPr>
        <w:t>” (Sic);</w:t>
      </w:r>
      <w:r>
        <w:rPr>
          <w:rFonts w:ascii="Palatino Linotype" w:eastAsia="Palatino Linotype" w:hAnsi="Palatino Linotype" w:cs="Palatino Linotype"/>
          <w:color w:val="000000"/>
        </w:rPr>
        <w:t xml:space="preserve"> por lo que, la parte de la solicitud que no fue combatida se debe tener como </w:t>
      </w:r>
      <w:r>
        <w:rPr>
          <w:rFonts w:ascii="Palatino Linotype" w:eastAsia="Palatino Linotype" w:hAnsi="Palatino Linotype" w:cs="Palatino Linotype"/>
          <w:b/>
          <w:bCs/>
          <w:color w:val="000000"/>
        </w:rPr>
        <w:t>actos consentidos</w:t>
      </w:r>
      <w:r>
        <w:rPr>
          <w:rFonts w:ascii="Palatino Linotype" w:eastAsia="Palatino Linotype" w:hAnsi="Palatino Linotype" w:cs="Palatino Linotype"/>
          <w:color w:val="000000"/>
        </w:rPr>
        <w:t>, por no haber pronunciamiento de impugnación.</w:t>
      </w:r>
    </w:p>
    <w:p w:rsidR="00D46354" w:rsidRDefault="00D46354">
      <w:pPr>
        <w:spacing w:line="360" w:lineRule="auto"/>
        <w:ind w:right="-787"/>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Luego entonces, al no existir inconformidad, la información se tiene por </w:t>
      </w:r>
      <w:r>
        <w:rPr>
          <w:rFonts w:ascii="Palatino Linotype" w:eastAsia="Palatino Linotype" w:hAnsi="Palatino Linotype" w:cs="Palatino Linotype"/>
          <w:color w:val="000000"/>
        </w:rPr>
        <w:t>consentida</w:t>
      </w:r>
      <w:r>
        <w:rPr>
          <w:rFonts w:ascii="Palatino Linotype" w:eastAsia="Palatino Linotype" w:hAnsi="Palatino Linotype" w:cs="Palatino Linotype"/>
        </w:rPr>
        <w:t>, ya</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que la falta de </w:t>
      </w:r>
      <w:r>
        <w:rPr>
          <w:rFonts w:ascii="Palatino Linotype" w:eastAsia="Palatino Linotype" w:hAnsi="Palatino Linotype" w:cs="Palatino Linotype"/>
          <w:color w:val="000000"/>
        </w:rPr>
        <w:t>impugnación</w:t>
      </w:r>
      <w:r>
        <w:rPr>
          <w:rFonts w:ascii="Palatino Linotype" w:eastAsia="Palatino Linotype" w:hAnsi="Palatino Linotype" w:cs="Palatino Linotype"/>
        </w:rPr>
        <w:t xml:space="preserve"> resp</w:t>
      </w:r>
      <w:r>
        <w:rPr>
          <w:rFonts w:ascii="Palatino Linotype" w:eastAsia="Palatino Linotype" w:hAnsi="Palatino Linotype" w:cs="Palatino Linotype"/>
          <w:color w:val="000000"/>
        </w:rPr>
        <w:t>e</w:t>
      </w:r>
      <w:r>
        <w:rPr>
          <w:rFonts w:ascii="Palatino Linotype" w:eastAsia="Palatino Linotype" w:hAnsi="Palatino Linotype" w:cs="Palatino Linotype"/>
        </w:rPr>
        <w:t xml:space="preserve">cto de los requerimientos que no fueron manifestados en el recurso de revisión, debe entenderse como </w:t>
      </w:r>
      <w:r>
        <w:rPr>
          <w:rFonts w:ascii="Palatino Linotype" w:eastAsia="Palatino Linotype" w:hAnsi="Palatino Linotype" w:cs="Palatino Linotype"/>
          <w:b/>
          <w:bCs/>
        </w:rPr>
        <w:t>actos consentidos</w:t>
      </w:r>
      <w:r>
        <w:rPr>
          <w:rFonts w:ascii="Palatino Linotype" w:eastAsia="Palatino Linotype" w:hAnsi="Palatino Linotype" w:cs="Palatino Linotype"/>
        </w:rPr>
        <w:t>.</w:t>
      </w:r>
    </w:p>
    <w:p w:rsidR="00D46354" w:rsidRDefault="00D46354">
      <w:pPr>
        <w:pBdr>
          <w:top w:val="nil"/>
          <w:left w:val="nil"/>
          <w:bottom w:val="nil"/>
          <w:right w:val="nil"/>
          <w:between w:val="nil"/>
        </w:pBdr>
        <w:spacing w:line="360" w:lineRule="auto"/>
        <w:rPr>
          <w:rFonts w:ascii="Palatino Linotype" w:eastAsia="Palatino Linotype" w:hAnsi="Palatino Linotype" w:cs="Palatino Linotype"/>
          <w:color w:val="000000"/>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Esto es así, </w:t>
      </w:r>
      <w:r>
        <w:rPr>
          <w:rFonts w:ascii="Palatino Linotype" w:eastAsia="Palatino Linotype" w:hAnsi="Palatino Linotype" w:cs="Palatino Linotype"/>
          <w:color w:val="000000"/>
        </w:rPr>
        <w:t>debido</w:t>
      </w:r>
      <w:r>
        <w:rPr>
          <w:rFonts w:ascii="Palatino Linotype" w:eastAsia="Palatino Linotype" w:hAnsi="Palatino Linotype" w:cs="Palatino Linotype"/>
        </w:rPr>
        <w:t xml:space="preserve"> a que cuando el recurrente impugna la respuesta del sujeto obligado y éste no expresa </w:t>
      </w:r>
      <w:r>
        <w:rPr>
          <w:rFonts w:ascii="Palatino Linotype" w:eastAsia="Palatino Linotype" w:hAnsi="Palatino Linotype" w:cs="Palatino Linotype"/>
          <w:color w:val="000000"/>
        </w:rPr>
        <w:t>razón</w:t>
      </w:r>
      <w:r>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D46354" w:rsidRDefault="00D4158B">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“REVISIÓN EN AMPARO. LOS RESOLUTIVOS NO COMBATIDOS DEBEN DECLARARSE FIRMES. </w:t>
      </w:r>
      <w:r>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Pr>
          <w:rFonts w:ascii="Palatino Linotype" w:eastAsia="Palatino Linotype" w:hAnsi="Palatino Linotype" w:cs="Palatino Linotype"/>
          <w:i/>
          <w:iCs/>
          <w:color w:val="000000"/>
        </w:rPr>
        <w:t>.”</w:t>
      </w:r>
    </w:p>
    <w:p w:rsidR="00D46354" w:rsidRDefault="00D46354">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Consecutivamente, </w:t>
      </w:r>
      <w:r>
        <w:rPr>
          <w:rFonts w:ascii="Palatino Linotype" w:eastAsia="Palatino Linotype" w:hAnsi="Palatino Linotype" w:cs="Palatino Linotype"/>
          <w:b/>
          <w:bCs/>
        </w:rPr>
        <w:t xml:space="preserve">la parte de la respuesta que no fue impugnada debe declararse consentida por el recurrente, toda vez que no realizó </w:t>
      </w:r>
      <w:r>
        <w:rPr>
          <w:rFonts w:ascii="Palatino Linotype" w:eastAsia="Palatino Linotype" w:hAnsi="Palatino Linotype" w:cs="Palatino Linotype"/>
        </w:rPr>
        <w:t>manifestaciones</w:t>
      </w:r>
      <w:r>
        <w:rPr>
          <w:rFonts w:ascii="Palatino Linotype" w:eastAsia="Palatino Linotype" w:hAnsi="Palatino Linotype" w:cs="Palatino Linotype"/>
          <w:b/>
          <w:bCs/>
        </w:rPr>
        <w:t xml:space="preserve"> </w:t>
      </w:r>
      <w:r>
        <w:rPr>
          <w:rFonts w:ascii="Palatino Linotype" w:eastAsia="Palatino Linotype" w:hAnsi="Palatino Linotype" w:cs="Palatino Linotype"/>
        </w:rPr>
        <w:t>de</w:t>
      </w:r>
      <w:r>
        <w:rPr>
          <w:rFonts w:ascii="Palatino Linotype" w:eastAsia="Palatino Linotype" w:hAnsi="Palatino Linotype" w:cs="Palatino Linotype"/>
          <w:b/>
          <w:bCs/>
        </w:rPr>
        <w:t xml:space="preserve"> inconformidad</w:t>
      </w:r>
      <w:r>
        <w:rPr>
          <w:rFonts w:ascii="Palatino Linotype" w:eastAsia="Palatino Linotype" w:hAnsi="Palatino Linotype" w:cs="Palatino Linotype"/>
        </w:rPr>
        <w:t xml:space="preserve">; por lo que, no pueden producirse efectos jurídicos tendentes a revocar, confirmar o modificar el acto reclamado ya que </w:t>
      </w:r>
      <w:r>
        <w:rPr>
          <w:rFonts w:ascii="Palatino Linotype" w:eastAsia="Palatino Linotype" w:hAnsi="Palatino Linotype" w:cs="Palatino Linotype"/>
          <w:b/>
          <w:bCs/>
        </w:rPr>
        <w:t>se infiere su consentimiento</w:t>
      </w:r>
      <w:r>
        <w:rPr>
          <w:rFonts w:ascii="Palatino Linotype" w:eastAsia="Palatino Linotype" w:hAnsi="Palatino Linotype" w:cs="Palatino Linotype"/>
        </w:rPr>
        <w:t xml:space="preserve"> </w:t>
      </w:r>
      <w:r>
        <w:rPr>
          <w:rFonts w:ascii="Palatino Linotype" w:eastAsia="Palatino Linotype" w:hAnsi="Palatino Linotype" w:cs="Palatino Linotype"/>
          <w:b/>
          <w:bCs/>
        </w:rPr>
        <w:t xml:space="preserve">ante la falta de impugnación </w:t>
      </w:r>
      <w:r>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D46354" w:rsidRDefault="00D4158B">
      <w:pPr>
        <w:pBdr>
          <w:top w:val="nil"/>
          <w:left w:val="nil"/>
          <w:bottom w:val="nil"/>
          <w:right w:val="nil"/>
          <w:between w:val="nil"/>
        </w:pBdr>
        <w:ind w:left="567" w:right="-716"/>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“ACTOS CONSENTIDOS. SON LOS QUE NO SE IMPUGNAN MEDIANTE EL RECURSO IDÓNEO. </w:t>
      </w:r>
      <w:r>
        <w:rPr>
          <w:rFonts w:ascii="Palatino Linotype" w:eastAsia="Palatino Linotype" w:hAnsi="Palatino Linotype" w:cs="Palatino Linotype"/>
          <w:i/>
          <w:iCs/>
          <w:color w:val="000000"/>
          <w:u w:val="single"/>
        </w:rPr>
        <w:t>Debe reputarse como consentido el acto que no se impugnó por el medio establecido por la ley</w:t>
      </w:r>
      <w:r>
        <w:rPr>
          <w:rFonts w:ascii="Palatino Linotype" w:eastAsia="Palatino Linotype" w:hAnsi="Palatino Linotype" w:cs="Palatino Linotype"/>
          <w:i/>
          <w:iCs/>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D46354" w:rsidRDefault="00D46354">
      <w:pPr>
        <w:spacing w:line="360" w:lineRule="auto"/>
        <w:ind w:right="-787"/>
        <w:jc w:val="both"/>
        <w:rPr>
          <w:rFonts w:ascii="Palatino Linotype" w:eastAsia="Palatino Linotype" w:hAnsi="Palatino Linotype" w:cs="Palatino Linotype"/>
          <w:color w:val="000000"/>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Continuando con el estudio, y respecto de los puntos de solicitud que subsisten corresponden a </w:t>
      </w:r>
      <w:r>
        <w:rPr>
          <w:rFonts w:ascii="Palatino Linotype" w:eastAsia="Palatino Linotype" w:hAnsi="Palatino Linotype" w:cs="Palatino Linotype"/>
          <w:i/>
          <w:iCs/>
          <w:u w:val="single"/>
        </w:rPr>
        <w:t>el contenido de las solicitudes de información marcadas con los numerales 14, 15, 16, 20, 44 y 50, de la información remitida en respuesta</w:t>
      </w:r>
      <w:r>
        <w:rPr>
          <w:rFonts w:ascii="Palatino Linotype" w:eastAsia="Palatino Linotype" w:hAnsi="Palatino Linotype" w:cs="Palatino Linotype"/>
        </w:rPr>
        <w:t xml:space="preserve">, por lo que es de recordar que a través de informe justificado el Sujeto Obligado refirió </w:t>
      </w:r>
      <w:r>
        <w:rPr>
          <w:rFonts w:ascii="Palatino Linotype" w:eastAsia="Palatino Linotype" w:hAnsi="Palatino Linotype" w:cs="Palatino Linotype"/>
          <w:b/>
          <w:bCs/>
          <w:i/>
          <w:iCs/>
        </w:rPr>
        <w:t>enviar</w:t>
      </w:r>
      <w:r>
        <w:rPr>
          <w:rFonts w:ascii="Palatino Linotype" w:eastAsia="Palatino Linotype" w:hAnsi="Palatino Linotype" w:cs="Palatino Linotype"/>
        </w:rPr>
        <w:t xml:space="preserve"> </w:t>
      </w:r>
      <w:r>
        <w:rPr>
          <w:rFonts w:ascii="Palatino Linotype" w:eastAsia="Palatino Linotype" w:hAnsi="Palatino Linotype" w:cs="Palatino Linotype"/>
          <w:b/>
          <w:bCs/>
          <w:i/>
          <w:iCs/>
        </w:rPr>
        <w:t>de manera complementaria, la totalidad de las solicitudes de acceso a la información pública correspondientes al periodo requerido, en formato PDF y en versión pública</w:t>
      </w:r>
      <w:r>
        <w:rPr>
          <w:rFonts w:ascii="Palatino Linotype" w:eastAsia="Palatino Linotype" w:hAnsi="Palatino Linotype" w:cs="Palatino Linotype"/>
        </w:rPr>
        <w:t>; en consecuencia al analizar los archivos remitidos en respuesta se pueden visualizar carpetas cuyo nombre corresponde a un número consecutivo del 1 al 62, cabe mencionar que la carpeta número 62 se encuentra vacía, del resto de las carpetas contienen el formato de acuse de la solicitud de información y los documentos con los que se otorgó respuesta, mismas que corresponden al número consecutivo de la carpeta; es decir, la carpeta 1 corresponde a la solicitud de información 00001/PAPALO/IP/2025, la carpeta 2, a la solicitud de información 00002/PAPALO/IP/2025 y así sucesivamente.</w:t>
      </w:r>
    </w:p>
    <w:p w:rsidR="00D46354" w:rsidRDefault="00D46354">
      <w:pPr>
        <w:spacing w:line="360" w:lineRule="auto"/>
        <w:ind w:right="-787"/>
        <w:jc w:val="both"/>
        <w:rPr>
          <w:rFonts w:ascii="Palatino Linotype" w:eastAsia="Palatino Linotype" w:hAnsi="Palatino Linotype" w:cs="Palatino Linotype"/>
          <w:i/>
          <w:iCs/>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Luego entonces al abrir la carpeta 14 de logra advertir el acuse de la solicitud  </w:t>
      </w:r>
      <w:r>
        <w:rPr>
          <w:rFonts w:ascii="Palatino Linotype" w:eastAsia="Palatino Linotype" w:hAnsi="Palatino Linotype" w:cs="Palatino Linotype"/>
          <w:b/>
          <w:bCs/>
        </w:rPr>
        <w:t xml:space="preserve">00014/PAPALO/IP/2025 </w:t>
      </w:r>
      <w:r>
        <w:rPr>
          <w:rFonts w:ascii="Palatino Linotype" w:eastAsia="Palatino Linotype" w:hAnsi="Palatino Linotype" w:cs="Palatino Linotype"/>
        </w:rPr>
        <w:t xml:space="preserve"> en la que se advierte el contenido de la misma, idéntica suerte corren las solicitudes de información marcadas con los numerales</w:t>
      </w:r>
      <w:r>
        <w:rPr>
          <w:rFonts w:ascii="Palatino Linotype" w:eastAsia="Palatino Linotype" w:hAnsi="Palatino Linotype" w:cs="Palatino Linotype"/>
          <w:i/>
          <w:iCs/>
        </w:rPr>
        <w:t xml:space="preserve"> 15, 16, 20, 44 y 50</w:t>
      </w:r>
      <w:r>
        <w:rPr>
          <w:rFonts w:ascii="Palatino Linotype" w:eastAsia="Palatino Linotype" w:hAnsi="Palatino Linotype" w:cs="Palatino Linotype"/>
        </w:rPr>
        <w:t>.</w:t>
      </w:r>
    </w:p>
    <w:p w:rsidR="00D46354" w:rsidRDefault="00D46354">
      <w:pPr>
        <w:spacing w:line="360" w:lineRule="auto"/>
        <w:ind w:right="-787"/>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Ahora bien, es de precisar que la información remitida en informe justificado no fue posible ponerla a la vista del particular, toda vez que contiene datos personales susceptibles de ser clasificados, tales como correo electrónico particular, nombre de particulares.</w:t>
      </w:r>
    </w:p>
    <w:p w:rsidR="00D46354" w:rsidRDefault="00D46354">
      <w:pPr>
        <w:spacing w:line="360" w:lineRule="auto"/>
        <w:ind w:right="-787"/>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Toda vez que el</w:t>
      </w:r>
      <w:r>
        <w:rPr>
          <w:rFonts w:ascii="Palatino Linotype" w:eastAsia="Palatino Linotype" w:hAnsi="Palatino Linotype" w:cs="Palatino Linotype"/>
        </w:rPr>
        <w:t xml:space="preserve"> artículo 6, Apartado A), fracción II, de la Constitución Política de los Estados Unidos Mexicanos, prevé que la información que se refiere a la vida privada y los </w:t>
      </w:r>
      <w:r>
        <w:rPr>
          <w:rFonts w:ascii="Palatino Linotype" w:eastAsia="Palatino Linotype" w:hAnsi="Palatino Linotype" w:cs="Palatino Linotype"/>
        </w:rPr>
        <w:lastRenderedPageBreak/>
        <w:t xml:space="preserve">datos personales, será protegida en los términos y con las excepciones que fijen las leyes. Igualmente, el segundo párrafo del artículo 16 de dicho ordenamiento,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la misma manera,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 </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concordancia con lo previo, el artículo 143, fracción I, de la Ley previamente citada, establece que la información privada y los datos personales, concernientes a una persona física o jurídica colectiva identificada o identificable son confidenciales. </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transmitan entre sujetos obligados en términos de los tratados y los acuerdos interinstitucionales. </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términos de lo expuesto, la documentación y aquellos datos que se consideren confidenciales, serán una limitante del derecho de acceso a la información, siempre y cuando: </w:t>
      </w:r>
    </w:p>
    <w:p w:rsidR="00D46354" w:rsidRDefault="00D4158B">
      <w:pPr>
        <w:spacing w:line="360" w:lineRule="auto"/>
        <w:ind w:left="993" w:right="900"/>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Se trate de datos personales o información privada; esto es, información concerniente a una persona física o jurídico colectiva y que esta sea identificada o identificable. </w:t>
      </w:r>
    </w:p>
    <w:p w:rsidR="00D46354" w:rsidRDefault="00D4158B">
      <w:pPr>
        <w:spacing w:line="360" w:lineRule="auto"/>
        <w:ind w:left="993" w:right="900"/>
        <w:jc w:val="both"/>
        <w:rPr>
          <w:rFonts w:ascii="Palatino Linotype" w:eastAsia="Palatino Linotype" w:hAnsi="Palatino Linotype" w:cs="Palatino Linotype"/>
          <w:i/>
          <w:iCs/>
        </w:rPr>
      </w:pPr>
      <w:r>
        <w:rPr>
          <w:rFonts w:ascii="Palatino Linotype" w:eastAsia="Palatino Linotype" w:hAnsi="Palatino Linotype" w:cs="Palatino Linotype"/>
          <w:i/>
          <w:iCs/>
        </w:rPr>
        <w:t>B. Para la difusión de los datos, se requiera el consentimiento del titular.</w:t>
      </w:r>
    </w:p>
    <w:p w:rsidR="00D46354" w:rsidRDefault="00D46354">
      <w:pPr>
        <w:spacing w:line="360" w:lineRule="auto"/>
        <w:ind w:right="900"/>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w:t>
      </w:r>
      <w:r>
        <w:rPr>
          <w:rFonts w:ascii="Palatino Linotype" w:eastAsia="Palatino Linotype" w:hAnsi="Palatino Linotype" w:cs="Palatino Linotype"/>
        </w:rPr>
        <w:lastRenderedPageBreak/>
        <w:t>de cualquier documento informativo físico o electrónico), establecida en cualquier formato o modalidad.</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 Además, en el artículo 5 de dicho ordenamiento jurídico, establece que es la Ley aplicable para todo tratamiento de datos personales.</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 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 </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este sentido, un dato personal es cualquier información que pueda hacer a una persona física o jurídica colectiva identificada e identificable. Asimismo, la doctrina desarrollada a nivel internacional, respecto del tema de datos personales, establece que también las preferencias, gustos, cualidades, opiniones y creencias, constituyen datos personales. En este sentido, cualquier información que por sí sola o relacionada con otra permita hacer identificable a una persona, es un dato personal, susceptible de ser clasificado. </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cual, la confidencialidad de los datos personales, tiene por objetivo establecer el límite del derecho de acceso a la información a partir del derecho a la intimidad y la vida </w:t>
      </w:r>
      <w:r>
        <w:rPr>
          <w:rFonts w:ascii="Palatino Linotype" w:eastAsia="Palatino Linotype" w:hAnsi="Palatino Linotype" w:cs="Palatino Linotype"/>
        </w:rPr>
        <w:lastRenderedPageBreak/>
        <w:t xml:space="preserve">privada de los individuos. Sobre el particular, el legislador realizó un análisis en donde se ponderaban dos derechos: el derecho a la intimidad y la protección de los datos personales versus el interés público de conocer el ejercicio de atribuciones y de recursos públicos de las instituciones y es a partir de ahí, en donde las instituciones públicas deben determinar la publicidad de su información. De tal suerte, las instituciones públicas tienen la doble responsabilidad, por un lado, de proteger los datos personales y por otro, darles publicidad cuando la relevancia de esos datos sea de interés público. </w:t>
      </w:r>
    </w:p>
    <w:p w:rsidR="00D46354" w:rsidRDefault="00D46354">
      <w:pPr>
        <w:spacing w:line="360" w:lineRule="auto"/>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Dada la complejidad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vida privada; tratándose de los datos personales que obran en los archivos de las instituciones públicas, la regla es clara, ya que los datos personales que permiten verificar el desempeño de los servidores públicos y el cumplimiento de obligaciones legales, transparentan la gestión pública y favorecen la rendición de cuentas, constituyen información de naturaleza pública, en razón de que el beneficio de su publicidad es mayor que el beneficio de su clasificación, </w:t>
      </w:r>
      <w:r w:rsidR="00C91A94">
        <w:rPr>
          <w:rFonts w:ascii="Palatino Linotype" w:eastAsia="Palatino Linotype" w:hAnsi="Palatino Linotype" w:cs="Palatino Linotype"/>
        </w:rPr>
        <w:t>aun</w:t>
      </w:r>
      <w:r>
        <w:rPr>
          <w:rFonts w:ascii="Palatino Linotype" w:eastAsia="Palatino Linotype" w:hAnsi="Palatino Linotype" w:cs="Palatino Linotype"/>
        </w:rPr>
        <w:t xml:space="preserve"> tratándose de información personal.</w:t>
      </w:r>
    </w:p>
    <w:p w:rsidR="00D46354" w:rsidRDefault="00D46354">
      <w:pPr>
        <w:spacing w:line="360" w:lineRule="auto"/>
        <w:ind w:right="-787"/>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 anterior obliga a un ejercicio de ponderación en donde únicamente se privilegie la publicidad de los datos esenciales para la transparencia y rendición de cuentas, sin afectar la vida privada de las personas. </w:t>
      </w:r>
    </w:p>
    <w:p w:rsidR="00D46354" w:rsidRDefault="00D46354">
      <w:pPr>
        <w:spacing w:line="360" w:lineRule="auto"/>
        <w:ind w:right="-787"/>
        <w:jc w:val="both"/>
        <w:rPr>
          <w:rFonts w:ascii="Palatino Linotype" w:eastAsia="Palatino Linotype" w:hAnsi="Palatino Linotype" w:cs="Palatino Linotype"/>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 xml:space="preserve">El lineamiento trigésimo octavo de los </w:t>
      </w:r>
      <w:r>
        <w:rPr>
          <w:rFonts w:ascii="Palatino Linotype" w:eastAsia="Palatino Linotype" w:hAnsi="Palatino Linotype" w:cs="Palatino Linotype"/>
          <w:color w:val="000000"/>
        </w:rPr>
        <w:t xml:space="preserve">Lineamientos Generales en Materia de </w:t>
      </w:r>
      <w:r>
        <w:rPr>
          <w:rFonts w:ascii="Palatino Linotype" w:eastAsia="Palatino Linotype" w:hAnsi="Palatino Linotype" w:cs="Palatino Linotype"/>
        </w:rPr>
        <w:t>Clasificación</w:t>
      </w:r>
      <w:r>
        <w:rPr>
          <w:rFonts w:ascii="Palatino Linotype" w:eastAsia="Palatino Linotype" w:hAnsi="Palatino Linotype" w:cs="Palatino Linotype"/>
          <w:color w:val="000000"/>
        </w:rPr>
        <w:t xml:space="preserve"> y Desclasificación de la Información, así como para la Elaboración de Versiones Públicas</w:t>
      </w:r>
      <w:r>
        <w:rPr>
          <w:rFonts w:ascii="Palatino Linotype" w:eastAsia="Palatino Linotype" w:hAnsi="Palatino Linotype" w:cs="Palatino Linotype"/>
        </w:rPr>
        <w:t xml:space="preserve">, reconocen justamente a los </w:t>
      </w:r>
      <w:r>
        <w:rPr>
          <w:rFonts w:ascii="Palatino Linotype" w:eastAsia="Palatino Linotype" w:hAnsi="Palatino Linotype" w:cs="Palatino Linotype"/>
          <w:b/>
          <w:bCs/>
        </w:rPr>
        <w:t>datos personales</w:t>
      </w:r>
      <w:r>
        <w:rPr>
          <w:rFonts w:ascii="Palatino Linotype" w:eastAsia="Palatino Linotype" w:hAnsi="Palatino Linotype" w:cs="Palatino Linotype"/>
        </w:rPr>
        <w:t xml:space="preserve">, entendidos como cualquier información concerniente a una </w:t>
      </w:r>
      <w:r>
        <w:rPr>
          <w:rFonts w:ascii="Palatino Linotype" w:eastAsia="Palatino Linotype" w:hAnsi="Palatino Linotype" w:cs="Palatino Linotype"/>
          <w:b/>
          <w:bCs/>
        </w:rPr>
        <w:t>persona física identificada o identificable</w:t>
      </w:r>
      <w:r>
        <w:rPr>
          <w:rFonts w:ascii="Palatino Linotype" w:eastAsia="Palatino Linotype" w:hAnsi="Palatino Linotype" w:cs="Palatino Linotype"/>
        </w:rPr>
        <w:t>, en términos de la norma aplicable que, de manera enunciativa más no limitativa, se pueden identificar de acuerdo a las siguientes categorías:</w:t>
      </w:r>
    </w:p>
    <w:p w:rsidR="00D46354" w:rsidRDefault="00D4158B">
      <w:pPr>
        <w:numPr>
          <w:ilvl w:val="1"/>
          <w:numId w:val="4"/>
        </w:numPr>
        <w:pBdr>
          <w:top w:val="nil"/>
          <w:left w:val="nil"/>
          <w:bottom w:val="nil"/>
          <w:right w:val="nil"/>
          <w:between w:val="nil"/>
        </w:pBdr>
        <w:tabs>
          <w:tab w:val="left" w:pos="426"/>
        </w:tabs>
        <w:spacing w:before="240"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identificativos:</w:t>
      </w:r>
      <w:r>
        <w:rPr>
          <w:rFonts w:ascii="Palatino Linotype" w:eastAsia="Palatino Linotype" w:hAnsi="Palatino Linotype" w:cs="Palatino Linotype"/>
          <w:color w:val="000000"/>
        </w:rPr>
        <w:t xml:space="preserve"> El nombre, alias, pseudónimo, domicilio, código postal, teléfono particular, sexo, estado civil, teléfono celular, firma, clave de Registro Federal de Contribuyentes (RFC), Clave Única de Registro de Población (CURP), Clave de Elector, Matrícula del Servicio Militar Nacional, número de pasaporte, lugar y fecha de nacimiento, nacionalidad, edad, fotografía, localidad y sección electoral, y análogos. </w:t>
      </w:r>
    </w:p>
    <w:p w:rsidR="00D46354" w:rsidRDefault="00D4158B">
      <w:pPr>
        <w:numPr>
          <w:ilvl w:val="1"/>
          <w:numId w:val="4"/>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de origen:</w:t>
      </w:r>
      <w:r>
        <w:rPr>
          <w:rFonts w:ascii="Palatino Linotype" w:eastAsia="Palatino Linotype" w:hAnsi="Palatino Linotype" w:cs="Palatino Linotype"/>
          <w:color w:val="000000"/>
        </w:rPr>
        <w:t xml:space="preserve"> Origen, etnia, raza, color de piel, color de ojos, color y tipo de cabello, estatura, complexión, y análogos. </w:t>
      </w:r>
    </w:p>
    <w:p w:rsidR="00D46354" w:rsidRDefault="00D4158B">
      <w:pPr>
        <w:numPr>
          <w:ilvl w:val="1"/>
          <w:numId w:val="4"/>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Datos ideológicos: </w:t>
      </w:r>
      <w:r>
        <w:rPr>
          <w:rFonts w:ascii="Palatino Linotype" w:eastAsia="Palatino Linotype" w:hAnsi="Palatino Linotype" w:cs="Palatino Linotype"/>
          <w:color w:val="000000"/>
        </w:rPr>
        <w:t xml:space="preserve">Ideologías, creencias, opinión política, afiliación política, opinión pública, afiliación sindical, religión, convicción filosófica y análoga. </w:t>
      </w:r>
    </w:p>
    <w:p w:rsidR="00D46354" w:rsidRDefault="00D4158B">
      <w:pPr>
        <w:numPr>
          <w:ilvl w:val="1"/>
          <w:numId w:val="4"/>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sobre la salud:</w:t>
      </w:r>
      <w:r>
        <w:rPr>
          <w:rFonts w:ascii="Palatino Linotype" w:eastAsia="Palatino Linotype" w:hAnsi="Palatino Linotype" w:cs="Palatino Linotype"/>
          <w:color w:val="000000"/>
        </w:rPr>
        <w:t xml:space="preserve"> El expediente clínico de cualquier atención médica, historial médico, referencias o descripción de sintomatologías, detección de enfermedades, incapacidades médicas, discapacidades, intervenciones quirúrgicas, vacunas, consumo de estupefacientes, uso de aparatos oftalmológicos, </w:t>
      </w:r>
      <w:r>
        <w:rPr>
          <w:rFonts w:ascii="Palatino Linotype" w:eastAsia="Palatino Linotype" w:hAnsi="Palatino Linotype" w:cs="Palatino Linotype"/>
          <w:color w:val="000000"/>
        </w:rPr>
        <w:lastRenderedPageBreak/>
        <w:t xml:space="preserve">ortopédicos, auditivos, prótesis, estado físico o mental de la persona, así como la información sobre la vida sexual, y análogos. </w:t>
      </w:r>
    </w:p>
    <w:p w:rsidR="00D46354" w:rsidRDefault="00D4158B">
      <w:pPr>
        <w:numPr>
          <w:ilvl w:val="1"/>
          <w:numId w:val="4"/>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Laborales:</w:t>
      </w:r>
      <w:r>
        <w:rPr>
          <w:rFonts w:ascii="Palatino Linotype" w:eastAsia="Palatino Linotype" w:hAnsi="Palatino Linotype" w:cs="Palatino Linotype"/>
          <w:color w:val="000000"/>
        </w:rPr>
        <w:t xml:space="preserve"> Número de seguridad social, documentos de reclutamiento o selección, nombramientos, incidencia, capacitación, actividades extracurriculares, referencias laborales, referencias personales, solicitud de empleo, hoja de servicio, y análogos. </w:t>
      </w:r>
    </w:p>
    <w:p w:rsidR="00D46354" w:rsidRDefault="00D4158B">
      <w:pPr>
        <w:numPr>
          <w:ilvl w:val="1"/>
          <w:numId w:val="4"/>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patrimoniales:</w:t>
      </w:r>
      <w:r>
        <w:rPr>
          <w:rFonts w:ascii="Palatino Linotype" w:eastAsia="Palatino Linotype" w:hAnsi="Palatino Linotype" w:cs="Palatino Linotype"/>
          <w:color w:val="000000"/>
        </w:rPr>
        <w:t xml:space="preserve"> Bienes muebles e inmuebles de su propiedad, información fiscal, historial crediticio, ingresos y egresos, número de cuenta bancaria y/o CLABE interbancaria de personas físicas y morales privadas, inversiones, seguros, fianzas, servicios contratados, referencias personales, beneficiarios, dependientes económicos, decisiones patrimoniales y análogos. </w:t>
      </w:r>
    </w:p>
    <w:p w:rsidR="00D46354" w:rsidRDefault="00D4158B">
      <w:pPr>
        <w:numPr>
          <w:ilvl w:val="1"/>
          <w:numId w:val="4"/>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sobre situación jurídica o legal:</w:t>
      </w:r>
      <w:r>
        <w:rPr>
          <w:rFonts w:ascii="Palatino Linotype" w:eastAsia="Palatino Linotype" w:hAnsi="Palatino Linotype" w:cs="Palatino Linotype"/>
          <w:color w:val="000000"/>
        </w:rPr>
        <w:t xml:space="preserve"> La información relativa a una persona que se encuentre o haya sido sujeta a un procedimiento administrativo seguido en forma de juicio o jurisdiccional en materia laboral, civil, penal, fiscal, administrativa o de cualquier otra rama del Derecho, y análogos. </w:t>
      </w:r>
    </w:p>
    <w:p w:rsidR="00D46354" w:rsidRDefault="00D4158B">
      <w:pPr>
        <w:numPr>
          <w:ilvl w:val="1"/>
          <w:numId w:val="4"/>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académicos:</w:t>
      </w:r>
      <w:r>
        <w:rPr>
          <w:rFonts w:ascii="Palatino Linotype" w:eastAsia="Palatino Linotype" w:hAnsi="Palatino Linotype" w:cs="Palatino Linotype"/>
          <w:color w:val="000000"/>
        </w:rPr>
        <w:t xml:space="preserve"> Trayectoria educativa, avances de créditos, tipos de exámenes, promedio, calificaciones, títulos, cédula profesional, certificados, reconocimientos y análogos. </w:t>
      </w:r>
    </w:p>
    <w:p w:rsidR="00D46354" w:rsidRDefault="00D4158B">
      <w:pPr>
        <w:numPr>
          <w:ilvl w:val="1"/>
          <w:numId w:val="4"/>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de tránsito y movimientos migratorios:</w:t>
      </w:r>
      <w:r>
        <w:rPr>
          <w:rFonts w:ascii="Palatino Linotype" w:eastAsia="Palatino Linotype" w:hAnsi="Palatino Linotype" w:cs="Palatino Linotype"/>
          <w:color w:val="000000"/>
        </w:rPr>
        <w:t xml:space="preserve"> Información relativa al tránsito de las personas dentro y fuera del país, así como información migratoria, cédula migratoria, visa, pasaporte. </w:t>
      </w:r>
    </w:p>
    <w:p w:rsidR="00D46354" w:rsidRDefault="00D4158B">
      <w:pPr>
        <w:numPr>
          <w:ilvl w:val="1"/>
          <w:numId w:val="4"/>
        </w:numPr>
        <w:pBdr>
          <w:top w:val="nil"/>
          <w:left w:val="nil"/>
          <w:bottom w:val="nil"/>
          <w:right w:val="nil"/>
          <w:between w:val="nil"/>
        </w:pBdr>
        <w:tabs>
          <w:tab w:val="left" w:pos="426"/>
        </w:tabs>
        <w:spacing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Datos electrónicos:</w:t>
      </w:r>
      <w:r>
        <w:rPr>
          <w:rFonts w:ascii="Palatino Linotype" w:eastAsia="Palatino Linotype" w:hAnsi="Palatino Linotype" w:cs="Palatino Linotype"/>
          <w:color w:val="000000"/>
        </w:rPr>
        <w:t xml:space="preserve"> Firma electrónica, dirección de correo electrónico, código QR; y</w:t>
      </w:r>
    </w:p>
    <w:p w:rsidR="00D46354" w:rsidRDefault="00D4158B">
      <w:pPr>
        <w:numPr>
          <w:ilvl w:val="1"/>
          <w:numId w:val="4"/>
        </w:numPr>
        <w:pBdr>
          <w:top w:val="nil"/>
          <w:left w:val="nil"/>
          <w:bottom w:val="nil"/>
          <w:right w:val="nil"/>
          <w:between w:val="nil"/>
        </w:pBdr>
        <w:tabs>
          <w:tab w:val="left" w:pos="426"/>
        </w:tabs>
        <w:spacing w:after="240" w:line="360" w:lineRule="auto"/>
        <w:ind w:left="993" w:right="616"/>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Datos biométricos:</w:t>
      </w:r>
      <w:r>
        <w:rPr>
          <w:rFonts w:ascii="Palatino Linotype" w:eastAsia="Palatino Linotype" w:hAnsi="Palatino Linotype" w:cs="Palatino Linotype"/>
          <w:color w:val="000000"/>
        </w:rPr>
        <w:t xml:space="preserve"> Huella dactilar, reconocimiento facial, reconocimiento de iris, reconocimiento de la geometría de la mano, reconocimiento vascular, reconocimiento de escritura, reconocimiento de voz, reconocimiento de escritura de teclado y análogos.</w:t>
      </w:r>
    </w:p>
    <w:p w:rsidR="00D46354" w:rsidRDefault="00D4158B">
      <w:pPr>
        <w:numPr>
          <w:ilvl w:val="0"/>
          <w:numId w:val="1"/>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Es así que cuando se trate de información reservada o clasificada, los Sujetos Obligados tienen la obligación de velar por la protección de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D46354" w:rsidRDefault="00D46354">
      <w:pPr>
        <w:spacing w:line="360" w:lineRule="auto"/>
        <w:ind w:right="-787"/>
        <w:jc w:val="both"/>
        <w:rPr>
          <w:rFonts w:ascii="Palatino Linotype" w:eastAsia="Palatino Linotype" w:hAnsi="Palatino Linotype" w:cs="Palatino Linotype"/>
          <w:color w:val="000000"/>
        </w:rPr>
      </w:pP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En este sentido es de precisar que el nombre de particulares y el correo electrónico son datos de carácter personal, por las siguientes consideraciones.</w:t>
      </w:r>
    </w:p>
    <w:p w:rsidR="00D46354" w:rsidRDefault="00D46354">
      <w:pPr>
        <w:spacing w:line="360" w:lineRule="auto"/>
        <w:ind w:right="-787"/>
        <w:jc w:val="both"/>
        <w:rPr>
          <w:rFonts w:ascii="Palatino Linotype" w:eastAsia="Palatino Linotype" w:hAnsi="Palatino Linotype" w:cs="Palatino Linotype"/>
        </w:rPr>
      </w:pPr>
    </w:p>
    <w:p w:rsidR="00D46354" w:rsidRDefault="00D4158B">
      <w:pPr>
        <w:spacing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Nombre de particulares</w:t>
      </w:r>
      <w:r>
        <w:rPr>
          <w:rFonts w:ascii="Palatino Linotype" w:eastAsia="Palatino Linotype" w:hAnsi="Palatino Linotype" w:cs="Palatino Linotype"/>
        </w:rPr>
        <w:t xml:space="preserve"> </w:t>
      </w: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nombre se integra con el sustantivo propio y el primer apellido de los padres, en el orden que, de común acuerdo determinen; asimismo es la manifestación principal del derecho subjetivo a la personalidad y atributo de ésta en términos del artículo 2.3 del Código Civil del Estado de México, de tal suerte, el nombre per se es un elemento que hace a una persona física identificada o identificable, por lo que, se considera un dato personal. Por lo que el nombre de personas físicas que no tienen nada que ver con el servicio público y que </w:t>
      </w:r>
      <w:r>
        <w:rPr>
          <w:rFonts w:ascii="Palatino Linotype" w:eastAsia="Palatino Linotype" w:hAnsi="Palatino Linotype" w:cs="Palatino Linotype"/>
        </w:rPr>
        <w:lastRenderedPageBreak/>
        <w:t xml:space="preserve">no realizan actos de autoridad o reciben recursos públicos, es un dato confidencial, en términos del artículo 143, fracción I de la Ley de Transparencia y Acceso a la Información. </w:t>
      </w:r>
    </w:p>
    <w:p w:rsidR="00D46354" w:rsidRDefault="00D46354">
      <w:pPr>
        <w:spacing w:line="360" w:lineRule="auto"/>
        <w:ind w:right="-787"/>
        <w:jc w:val="both"/>
        <w:rPr>
          <w:rFonts w:ascii="Palatino Linotype" w:eastAsia="Palatino Linotype" w:hAnsi="Palatino Linotype" w:cs="Palatino Linotype"/>
          <w:i/>
          <w:iCs/>
          <w:color w:val="000000"/>
        </w:rPr>
      </w:pPr>
    </w:p>
    <w:p w:rsidR="00D46354" w:rsidRDefault="00D4158B">
      <w:p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t>Correo electrónico particulares</w:t>
      </w:r>
    </w:p>
    <w:p w:rsidR="00D46354" w:rsidRDefault="00D4158B">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El correo electrónico, asignado a un  particular, permite localizar a una persona física identificada o identificable, ya sea a través de un dispositivo móvil o algún medio de comunicación digital; por lo que, la titularidad del mismo corresponde a la persona física en su calidad de particular. En tales consideraciones, dicho dato personal es susceptible de ser clasificado como confidencial, con fundamento en el artículo 143, fracción I de la Ley de Transparencia y Acceso a la Información Pública.</w:t>
      </w:r>
    </w:p>
    <w:p w:rsidR="00D46354" w:rsidRDefault="00D46354">
      <w:pPr>
        <w:pBdr>
          <w:top w:val="nil"/>
          <w:left w:val="nil"/>
          <w:bottom w:val="nil"/>
          <w:right w:val="nil"/>
          <w:between w:val="nil"/>
        </w:pBdr>
        <w:ind w:right="-787"/>
        <w:jc w:val="both"/>
        <w:rPr>
          <w:rFonts w:ascii="Palatino Linotype" w:eastAsia="Palatino Linotype" w:hAnsi="Palatino Linotype" w:cs="Palatino Linotype"/>
          <w:color w:val="000000"/>
        </w:rPr>
      </w:pPr>
    </w:p>
    <w:p w:rsidR="00D46354" w:rsidRDefault="00D4158B">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conclusión</w:t>
      </w:r>
      <w:r>
        <w:rPr>
          <w:rFonts w:ascii="Palatino Linotype" w:eastAsia="Palatino Linotype" w:hAnsi="Palatino Linotype" w:cs="Palatino Linotype"/>
          <w:color w:val="000000"/>
        </w:rPr>
        <w:t xml:space="preserve"> y derivado de lo ya argumentado, es dable </w:t>
      </w:r>
      <w:r>
        <w:rPr>
          <w:rFonts w:ascii="Palatino Linotype" w:eastAsia="Palatino Linotype" w:hAnsi="Palatino Linotype" w:cs="Palatino Linotype"/>
          <w:b/>
          <w:bCs/>
          <w:color w:val="000000"/>
        </w:rPr>
        <w:t>MODIFICAR</w:t>
      </w:r>
      <w:r>
        <w:rPr>
          <w:rFonts w:ascii="Palatino Linotype" w:eastAsia="Palatino Linotype" w:hAnsi="Palatino Linotype" w:cs="Palatino Linotype"/>
          <w:color w:val="000000"/>
        </w:rPr>
        <w:t xml:space="preserve"> la respuesta del Sujeto Obligado por resultar </w:t>
      </w:r>
      <w:r>
        <w:rPr>
          <w:rFonts w:ascii="Palatino Linotype" w:eastAsia="Palatino Linotype" w:hAnsi="Palatino Linotype" w:cs="Palatino Linotype"/>
          <w:b/>
          <w:bCs/>
          <w:color w:val="000000"/>
        </w:rPr>
        <w:t>FUNDADAS</w:t>
      </w:r>
      <w:r>
        <w:rPr>
          <w:rFonts w:ascii="Palatino Linotype" w:eastAsia="Palatino Linotype" w:hAnsi="Palatino Linotype" w:cs="Palatino Linotype"/>
          <w:color w:val="000000"/>
        </w:rPr>
        <w:t xml:space="preserve"> las razones o motivos de inconformidad planteados por el Recurrente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de ser procedente en versión pública, </w:t>
      </w:r>
      <w:r>
        <w:rPr>
          <w:rFonts w:ascii="Palatino Linotype" w:eastAsia="Palatino Linotype" w:hAnsi="Palatino Linotype" w:cs="Palatino Linotype"/>
          <w:b/>
          <w:bCs/>
          <w:color w:val="000000"/>
        </w:rPr>
        <w:t>el documento en el que conste o se advierta el contenido de las solicitudes de información marcadas con los numerales 14, 15, 16, 20, 44 y 50, de la información remitida en respuesta.</w:t>
      </w:r>
    </w:p>
    <w:p w:rsidR="00D46354" w:rsidRDefault="00D4158B">
      <w:pPr>
        <w:keepNext/>
        <w:keepLines/>
        <w:spacing w:after="160"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rPr>
        <w:t>QUINTO</w:t>
      </w:r>
      <w:r>
        <w:rPr>
          <w:rFonts w:ascii="Palatino Linotype" w:eastAsia="Palatino Linotype" w:hAnsi="Palatino Linotype" w:cs="Palatino Linotype"/>
          <w:b/>
          <w:bCs/>
          <w:color w:val="000000"/>
        </w:rPr>
        <w:t>. De la versión pública.</w:t>
      </w:r>
    </w:p>
    <w:p w:rsidR="00D46354" w:rsidRDefault="00D4158B">
      <w:pPr>
        <w:keepNext/>
        <w:keepLines/>
        <w:numPr>
          <w:ilvl w:val="0"/>
          <w:numId w:val="6"/>
        </w:numPr>
        <w:tabs>
          <w:tab w:val="left" w:pos="284"/>
        </w:tabs>
        <w:spacing w:after="160" w:line="360" w:lineRule="auto"/>
        <w:ind w:left="0" w:right="-787" w:firstLine="0"/>
        <w:rPr>
          <w:rFonts w:ascii="Palatino Linotype" w:eastAsia="Palatino Linotype" w:hAnsi="Palatino Linotype" w:cs="Palatino Linotype"/>
          <w:b/>
          <w:bCs/>
          <w:color w:val="000000"/>
        </w:rPr>
      </w:pPr>
      <w:bookmarkStart w:id="8" w:name="_heading=h.26in1rg" w:colFirst="0" w:colLast="0"/>
      <w:bookmarkEnd w:id="8"/>
      <w:r>
        <w:rPr>
          <w:rFonts w:ascii="Palatino Linotype" w:eastAsia="Palatino Linotype" w:hAnsi="Palatino Linotype" w:cs="Palatino Linotype"/>
          <w:b/>
          <w:bCs/>
          <w:color w:val="000000"/>
        </w:rPr>
        <w:t xml:space="preserve">Nociones generales. </w:t>
      </w:r>
    </w:p>
    <w:p w:rsidR="00D46354" w:rsidRDefault="00D4158B">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Debe destacarse, que debido a la información solicitada por 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color w:val="000000"/>
        </w:rPr>
        <w:t xml:space="preserve">obran datos personales susceptibles de protegerse, así como información susceptible de clasificarse como confidencial,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D46354" w:rsidRDefault="00D46354">
      <w:pPr>
        <w:tabs>
          <w:tab w:val="left" w:pos="0"/>
          <w:tab w:val="left" w:pos="284"/>
        </w:tabs>
        <w:spacing w:line="360" w:lineRule="auto"/>
        <w:ind w:right="-787"/>
        <w:jc w:val="both"/>
        <w:rPr>
          <w:rFonts w:ascii="Palatino Linotype" w:eastAsia="Palatino Linotype" w:hAnsi="Palatino Linotype" w:cs="Palatino Linotype"/>
          <w:highlight w:val="yellow"/>
        </w:rPr>
      </w:pPr>
    </w:p>
    <w:p w:rsidR="00D46354" w:rsidRDefault="00D4158B">
      <w:pPr>
        <w:numPr>
          <w:ilvl w:val="0"/>
          <w:numId w:val="1"/>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D46354" w:rsidRDefault="00D46354">
      <w:pPr>
        <w:tabs>
          <w:tab w:val="left" w:pos="284"/>
        </w:tabs>
        <w:spacing w:after="160" w:line="360" w:lineRule="auto"/>
        <w:ind w:right="-787"/>
        <w:jc w:val="both"/>
        <w:rPr>
          <w:rFonts w:ascii="Palatino Linotype" w:eastAsia="Palatino Linotype" w:hAnsi="Palatino Linotype" w:cs="Palatino Linotype"/>
          <w:color w:val="000000"/>
        </w:rPr>
      </w:pPr>
    </w:p>
    <w:tbl>
      <w:tblPr>
        <w:tblStyle w:val="a"/>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513"/>
      </w:tblGrid>
      <w:tr w:rsidR="00D46354">
        <w:tc>
          <w:tcPr>
            <w:tcW w:w="2263" w:type="dxa"/>
          </w:tcPr>
          <w:p w:rsidR="00D46354" w:rsidRDefault="00D4158B">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7513" w:type="dxa"/>
          </w:tcPr>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se debe señalar el procedimiento, de los tres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 xml:space="preserve"> el artículo 132 de la Ley Estatal.</w:t>
            </w:r>
          </w:p>
          <w:p w:rsidR="00D46354" w:rsidRDefault="00D4158B">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no se puede hacer un acuerdo para clasificar de manera 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D46354">
        <w:tc>
          <w:tcPr>
            <w:tcW w:w="2263" w:type="dxa"/>
            <w:shd w:val="clear" w:color="auto" w:fill="F2F2F2"/>
          </w:tcPr>
          <w:p w:rsidR="00D46354" w:rsidRDefault="00D4158B">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7513" w:type="dxa"/>
            <w:shd w:val="clear" w:color="auto" w:fill="F2F2F2"/>
          </w:tcPr>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143 de la Ley Estatal señala los supuestos para que la información pueda ser clasificada como confidencial. Mientras que el artículo 130 de la Ley Estatal señala que la aplicación de estos supuestos debe realizarse de manera restrictiva y limitada, por lo que </w:t>
            </w:r>
            <w:r>
              <w:rPr>
                <w:rFonts w:ascii="Palatino Linotype" w:eastAsia="Palatino Linotype" w:hAnsi="Palatino Linotype" w:cs="Palatino Linotype"/>
                <w:color w:val="000000"/>
              </w:rPr>
              <w:lastRenderedPageBreak/>
              <w:t>debe acreditarse que se cumple con esta condición y no se pueden ampliar las excepciones o supuestos de clasificación aduciendo analogía o mayoría de razón.</w:t>
            </w:r>
          </w:p>
          <w:p w:rsidR="00D46354" w:rsidRDefault="00D4158B">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D46354">
        <w:tc>
          <w:tcPr>
            <w:tcW w:w="2263" w:type="dxa"/>
          </w:tcPr>
          <w:p w:rsidR="00D46354" w:rsidRDefault="00D4158B">
            <w:pPr>
              <w:tabs>
                <w:tab w:val="left" w:pos="284"/>
              </w:tab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7513" w:type="dxa"/>
          </w:tcPr>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D46354" w:rsidRDefault="00D4158B">
            <w:pPr>
              <w:tabs>
                <w:tab w:val="left" w:pos="284"/>
              </w:tabs>
              <w:spacing w:line="276" w:lineRule="auto"/>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D46354">
        <w:tc>
          <w:tcPr>
            <w:tcW w:w="2263" w:type="dxa"/>
            <w:shd w:val="clear" w:color="auto" w:fill="F2F2F2"/>
          </w:tcPr>
          <w:p w:rsidR="00D46354" w:rsidRDefault="00D46354">
            <w:pPr>
              <w:tabs>
                <w:tab w:val="left" w:pos="284"/>
              </w:tabs>
              <w:spacing w:line="360" w:lineRule="auto"/>
              <w:rPr>
                <w:rFonts w:ascii="Palatino Linotype" w:eastAsia="Palatino Linotype" w:hAnsi="Palatino Linotype" w:cs="Palatino Linotype"/>
                <w:b/>
                <w:bCs/>
              </w:rPr>
            </w:pPr>
          </w:p>
          <w:p w:rsidR="00D46354" w:rsidRDefault="00D4158B">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513" w:type="dxa"/>
            <w:shd w:val="clear" w:color="auto" w:fill="F2F2F2"/>
          </w:tcPr>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xml:space="preserve">, esto es determinar los datos que se suprimen en las </w:t>
            </w:r>
            <w:r>
              <w:rPr>
                <w:rFonts w:ascii="Palatino Linotype" w:eastAsia="Palatino Linotype" w:hAnsi="Palatino Linotype" w:cs="Palatino Linotype"/>
                <w:color w:val="000000"/>
              </w:rPr>
              <w:lastRenderedPageBreak/>
              <w:t>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D46354">
        <w:tc>
          <w:tcPr>
            <w:tcW w:w="2263" w:type="dxa"/>
          </w:tcPr>
          <w:p w:rsidR="00D46354" w:rsidRDefault="00D4158B">
            <w:pPr>
              <w:tabs>
                <w:tab w:val="left" w:pos="284"/>
              </w:tabs>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7513" w:type="dxa"/>
          </w:tcPr>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D46354" w:rsidRDefault="00D4158B">
            <w:pPr>
              <w:tabs>
                <w:tab w:val="left" w:pos="284"/>
              </w:tabs>
              <w:spacing w:line="276"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D46354" w:rsidRDefault="00D4158B">
            <w:pPr>
              <w:tabs>
                <w:tab w:val="left" w:pos="284"/>
              </w:tabs>
              <w:spacing w:line="276" w:lineRule="auto"/>
              <w:rPr>
                <w:rFonts w:ascii="Palatino Linotype" w:eastAsia="Palatino Linotype" w:hAnsi="Palatino Linotype" w:cs="Palatino Linotype"/>
              </w:rPr>
            </w:pPr>
            <w:r>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D46354" w:rsidRDefault="00D46354">
      <w:pPr>
        <w:tabs>
          <w:tab w:val="left" w:pos="284"/>
        </w:tabs>
        <w:spacing w:line="360" w:lineRule="auto"/>
        <w:ind w:right="-787"/>
        <w:rPr>
          <w:rFonts w:ascii="Palatino Linotype" w:eastAsia="Palatino Linotype" w:hAnsi="Palatino Linotype" w:cs="Palatino Linotype"/>
          <w:color w:val="000000"/>
        </w:rPr>
      </w:pP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ese </w:t>
      </w:r>
      <w:r>
        <w:rPr>
          <w:rFonts w:ascii="Palatino Linotype" w:eastAsia="Palatino Linotype" w:hAnsi="Palatino Linotype" w:cs="Palatino Linotype"/>
          <w:color w:val="000000"/>
        </w:rPr>
        <w:t>sentido</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emitir el Acuerdo del Comité de Transparencia, </w:t>
      </w:r>
      <w:r>
        <w:rPr>
          <w:rFonts w:ascii="Palatino Linotype" w:eastAsia="Palatino Linotype" w:hAnsi="Palatino Linotype" w:cs="Palatino Linotype"/>
          <w:color w:val="000000"/>
        </w:rPr>
        <w:t>mediante</w:t>
      </w:r>
      <w:r>
        <w:rPr>
          <w:rFonts w:ascii="Palatino Linotype" w:eastAsia="Palatino Linotype" w:hAnsi="Palatino Linotype" w:cs="Palatino Linotype"/>
        </w:rPr>
        <w:t xml:space="preserve"> el cual de manera fundada y motivada establezca las razones que llevaron al Sujeto </w:t>
      </w:r>
      <w:r>
        <w:rPr>
          <w:rFonts w:ascii="Palatino Linotype" w:eastAsia="Palatino Linotype" w:hAnsi="Palatino Linotype" w:cs="Palatino Linotype"/>
          <w:color w:val="000000"/>
        </w:rPr>
        <w:t>Obligado</w:t>
      </w:r>
      <w:r>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w:t>
      </w:r>
      <w:r>
        <w:rPr>
          <w:rFonts w:ascii="Palatino Linotype" w:eastAsia="Palatino Linotype" w:hAnsi="Palatino Linotype" w:cs="Palatino Linotype"/>
          <w:color w:val="000000"/>
        </w:rPr>
        <w:t>comprender</w:t>
      </w:r>
      <w:r>
        <w:rPr>
          <w:rFonts w:ascii="Palatino Linotype" w:eastAsia="Palatino Linotype" w:hAnsi="Palatino Linotype" w:cs="Palatino Linotype"/>
        </w:rPr>
        <w:t xml:space="preserve"> porque no aparecen en la documentación respectiva.</w:t>
      </w:r>
    </w:p>
    <w:p w:rsidR="00D46354" w:rsidRDefault="00D46354">
      <w:pPr>
        <w:tabs>
          <w:tab w:val="left" w:pos="284"/>
        </w:tabs>
        <w:spacing w:line="360" w:lineRule="auto"/>
        <w:ind w:right="276"/>
        <w:jc w:val="both"/>
        <w:rPr>
          <w:rFonts w:ascii="Palatino Linotype" w:eastAsia="Palatino Linotype" w:hAnsi="Palatino Linotype" w:cs="Palatino Linotype"/>
          <w:color w:val="000000"/>
        </w:rPr>
      </w:pP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Derivado de lo </w:t>
      </w:r>
      <w:r>
        <w:rPr>
          <w:rFonts w:ascii="Palatino Linotype" w:eastAsia="Palatino Linotype" w:hAnsi="Palatino Linotype" w:cs="Palatino Linotype"/>
          <w:color w:val="000000"/>
        </w:rPr>
        <w:t>establecido</w:t>
      </w:r>
      <w:r>
        <w:rPr>
          <w:rFonts w:ascii="Palatino Linotype" w:eastAsia="Palatino Linotype" w:hAnsi="Palatino Linotype" w:cs="Palatino Linotype"/>
        </w:rPr>
        <w:t xml:space="preserve"> en párrafos anteriores,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incumple con estas formalidades y </w:t>
      </w:r>
      <w:r>
        <w:rPr>
          <w:rFonts w:ascii="Palatino Linotype" w:eastAsia="Palatino Linotype" w:hAnsi="Palatino Linotype" w:cs="Palatino Linotype"/>
          <w:color w:val="000000"/>
        </w:rPr>
        <w:t>entrega</w:t>
      </w:r>
      <w:r>
        <w:rPr>
          <w:rFonts w:ascii="Palatino Linotype" w:eastAsia="Palatino Linotype" w:hAnsi="Palatino Linotype" w:cs="Palatino Linotype"/>
        </w:rPr>
        <w:t xml:space="preserve"> la información sin proteger los datos personales o testando </w:t>
      </w:r>
      <w:r>
        <w:rPr>
          <w:rFonts w:ascii="Palatino Linotype" w:eastAsia="Palatino Linotype" w:hAnsi="Palatino Linotype" w:cs="Palatino Linotype"/>
          <w:color w:val="000000"/>
        </w:rPr>
        <w:t>datos</w:t>
      </w:r>
      <w:r>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D46354" w:rsidRDefault="00D46354">
      <w:pPr>
        <w:spacing w:line="360" w:lineRule="auto"/>
        <w:jc w:val="both"/>
        <w:rPr>
          <w:color w:val="000000"/>
        </w:rPr>
      </w:pPr>
    </w:p>
    <w:p w:rsidR="00D46354" w:rsidRDefault="00D4158B">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w:t>
      </w:r>
      <w:r>
        <w:rPr>
          <w:rFonts w:ascii="Palatino Linotype" w:eastAsia="Palatino Linotype" w:hAnsi="Palatino Linotype" w:cs="Palatino Linotype"/>
          <w:color w:val="000000"/>
        </w:rPr>
        <w:t>expuesto</w:t>
      </w:r>
      <w:r>
        <w:rPr>
          <w:rFonts w:ascii="Palatino Linotype" w:eastAsia="Palatino Linotype" w:hAnsi="Palatino Linotype" w:cs="Palatino Linotype"/>
        </w:rPr>
        <w:t xml:space="preserve">, y con </w:t>
      </w:r>
      <w:r>
        <w:rPr>
          <w:rFonts w:ascii="Palatino Linotype" w:eastAsia="Palatino Linotype" w:hAnsi="Palatino Linotype" w:cs="Palatino Linotype"/>
          <w:color w:val="000000"/>
        </w:rPr>
        <w:t>fundamento</w:t>
      </w:r>
      <w:r>
        <w:rPr>
          <w:rFonts w:ascii="Palatino Linotype" w:eastAsia="Palatino Linotype" w:hAnsi="Palatino Linotype" w:cs="Palatino Linotype"/>
        </w:rPr>
        <w:t xml:space="preserve"> en lo prescrito en los artículos </w:t>
      </w:r>
      <w:r>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Pr>
          <w:rFonts w:ascii="Palatino Linotype" w:eastAsia="Palatino Linotype" w:hAnsi="Palatino Linotype" w:cs="Palatino Linotype"/>
        </w:rPr>
        <w:t xml:space="preserve">; 2, fracción II; 29, 36 fracciones </w:t>
      </w:r>
      <w:r>
        <w:rPr>
          <w:rFonts w:ascii="Palatino Linotype" w:eastAsia="Palatino Linotype" w:hAnsi="Palatino Linotype" w:cs="Palatino Linotype"/>
        </w:rPr>
        <w:lastRenderedPageBreak/>
        <w:t>I y II; 176, 178, 179, 181 y 185 de la Ley de Transparencia y Acceso a la Información Pública del Estado de México y Municipios, este Pleno:</w:t>
      </w:r>
    </w:p>
    <w:p w:rsidR="00D46354" w:rsidRDefault="00D46354">
      <w:pPr>
        <w:ind w:right="278"/>
        <w:rPr>
          <w:rFonts w:ascii="Palatino Linotype" w:eastAsia="Palatino Linotype" w:hAnsi="Palatino Linotype" w:cs="Palatino Linotype"/>
        </w:rPr>
      </w:pPr>
    </w:p>
    <w:p w:rsidR="00D46354" w:rsidRDefault="00D4158B">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D46354" w:rsidRDefault="00D46354">
      <w:pPr>
        <w:spacing w:line="360" w:lineRule="auto"/>
        <w:ind w:right="-787"/>
        <w:jc w:val="center"/>
        <w:rPr>
          <w:rFonts w:ascii="Palatino Linotype" w:eastAsia="Palatino Linotype" w:hAnsi="Palatino Linotype" w:cs="Palatino Linotype"/>
          <w:b/>
          <w:bCs/>
        </w:rPr>
      </w:pPr>
    </w:p>
    <w:p w:rsidR="00D46354" w:rsidRDefault="00D4158B">
      <w:pPr>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hechos valer en el recurso de revisión </w:t>
      </w:r>
      <w:r>
        <w:rPr>
          <w:rFonts w:ascii="Palatino Linotype" w:eastAsia="Palatino Linotype" w:hAnsi="Palatino Linotype" w:cs="Palatino Linotype"/>
          <w:b/>
          <w:bCs/>
          <w:color w:val="000000"/>
        </w:rPr>
        <w:t>13328/INFOEM/IP/RR/2025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p>
    <w:p w:rsidR="00D46354" w:rsidRDefault="00D46354">
      <w:pPr>
        <w:spacing w:line="360" w:lineRule="auto"/>
        <w:ind w:right="276"/>
        <w:jc w:val="both"/>
        <w:rPr>
          <w:rFonts w:ascii="Palatino Linotype" w:eastAsia="Palatino Linotype" w:hAnsi="Palatino Linotype" w:cs="Palatino Linotype"/>
          <w:b/>
          <w:bCs/>
        </w:rPr>
      </w:pPr>
    </w:p>
    <w:p w:rsidR="00D46354" w:rsidRDefault="00D4158B">
      <w:pPr>
        <w:spacing w:line="360" w:lineRule="auto"/>
        <w:ind w:right="-787"/>
        <w:jc w:val="both"/>
        <w:rPr>
          <w:rFonts w:ascii="Palatino Linotype" w:eastAsia="Palatino Linotype" w:hAnsi="Palatino Linotype" w:cs="Palatino Linotype"/>
        </w:rPr>
      </w:pPr>
      <w:bookmarkStart w:id="9" w:name="_heading=h.1ksv4uv" w:colFirst="0" w:colLast="0"/>
      <w:bookmarkEnd w:id="9"/>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Ayuntamiento de Papalotla</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rPr>
        <w:t>, de ser procedente en versión pública, la siguiente información:</w:t>
      </w:r>
    </w:p>
    <w:p w:rsidR="00D46354" w:rsidRDefault="00D46354">
      <w:pPr>
        <w:spacing w:line="360" w:lineRule="auto"/>
        <w:ind w:right="-787"/>
        <w:jc w:val="both"/>
        <w:rPr>
          <w:rFonts w:ascii="Palatino Linotype" w:eastAsia="Palatino Linotype" w:hAnsi="Palatino Linotype" w:cs="Palatino Linotype"/>
        </w:rPr>
      </w:pPr>
    </w:p>
    <w:p w:rsidR="00D46354" w:rsidRDefault="00D4158B">
      <w:pPr>
        <w:numPr>
          <w:ilvl w:val="0"/>
          <w:numId w:val="5"/>
        </w:num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El documento en el que conste o se advierta el contenido de las solicitudes de información marcadas con los numerales 14, 15, 16, 20, 44 y 50, de la información remitida en respuesta.</w:t>
      </w:r>
    </w:p>
    <w:p w:rsidR="00D46354" w:rsidRDefault="00D46354">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p>
    <w:p w:rsidR="00D46354" w:rsidRDefault="00D4158B">
      <w:pPr>
        <w:pBdr>
          <w:top w:val="nil"/>
          <w:left w:val="nil"/>
          <w:bottom w:val="nil"/>
          <w:right w:val="nil"/>
          <w:between w:val="nil"/>
        </w:pBdr>
        <w:tabs>
          <w:tab w:val="left" w:pos="8080"/>
        </w:tabs>
        <w:spacing w:line="360" w:lineRule="auto"/>
        <w:ind w:left="851" w:right="-7"/>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p>
    <w:p w:rsidR="00D46354" w:rsidRDefault="00D46354">
      <w:pPr>
        <w:spacing w:line="360" w:lineRule="auto"/>
        <w:jc w:val="both"/>
        <w:rPr>
          <w:rFonts w:ascii="Palatino Linotype" w:eastAsia="Palatino Linotype" w:hAnsi="Palatino Linotype" w:cs="Palatino Linotype"/>
          <w:b/>
          <w:bCs/>
        </w:rPr>
      </w:pPr>
    </w:p>
    <w:p w:rsidR="00D46354" w:rsidRDefault="00D4158B">
      <w:pPr>
        <w:spacing w:line="360" w:lineRule="auto"/>
        <w:ind w:right="-787"/>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rPr>
        <w:lastRenderedPageBreak/>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w:t>
      </w:r>
      <w:r>
        <w:rPr>
          <w:rFonts w:ascii="Palatino Linotype" w:eastAsia="Palatino Linotype" w:hAnsi="Palatino Linotype" w:cs="Palatino Linotype"/>
        </w:rPr>
        <w:t>de</w:t>
      </w:r>
      <w:r>
        <w:rPr>
          <w:rFonts w:ascii="Palatino Linotype" w:eastAsia="Palatino Linotype" w:hAnsi="Palatino Linotype" w:cs="Palatino Linotype"/>
          <w:b/>
          <w:bCs/>
          <w:color w:val="222222"/>
        </w:rPr>
        <w:t xml:space="preserve"> diez días hábiles, </w:t>
      </w:r>
      <w:r>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46354" w:rsidRDefault="00D46354">
      <w:pPr>
        <w:spacing w:line="360" w:lineRule="auto"/>
        <w:jc w:val="both"/>
        <w:rPr>
          <w:rFonts w:ascii="Palatino Linotype" w:eastAsia="Palatino Linotype" w:hAnsi="Palatino Linotype" w:cs="Palatino Linotype"/>
        </w:rPr>
      </w:pPr>
    </w:p>
    <w:p w:rsidR="00D46354" w:rsidRDefault="00D4158B">
      <w:pPr>
        <w:spacing w:line="360" w:lineRule="auto"/>
        <w:ind w:right="-787"/>
        <w:jc w:val="both"/>
        <w:rPr>
          <w:rFonts w:ascii="Palatino Linotype" w:eastAsia="Palatino Linotype" w:hAnsi="Palatino Linotype" w:cs="Palatino Linotype"/>
        </w:rPr>
      </w:pPr>
      <w:bookmarkStart w:id="10" w:name="_heading=h.3rdcrjn" w:colFirst="0" w:colLast="0"/>
      <w:bookmarkEnd w:id="10"/>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D46354" w:rsidRDefault="00D46354">
      <w:pPr>
        <w:spacing w:line="360" w:lineRule="auto"/>
        <w:ind w:right="276"/>
        <w:jc w:val="both"/>
        <w:rPr>
          <w:rFonts w:ascii="Palatino Linotype" w:eastAsia="Palatino Linotype" w:hAnsi="Palatino Linotype" w:cs="Palatino Linotype"/>
        </w:rPr>
      </w:pPr>
    </w:p>
    <w:p w:rsidR="00D46354" w:rsidRDefault="00D4158B">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Notifíquese</w:t>
      </w:r>
      <w:r>
        <w:rPr>
          <w:rFonts w:ascii="Palatino Linotype" w:eastAsia="Palatino Linotype" w:hAnsi="Palatino Linotype" w:cs="Palatino Linotype"/>
          <w:b/>
          <w:bCs/>
          <w:color w:val="222222"/>
        </w:rPr>
        <w:t xml:space="preserve"> </w:t>
      </w:r>
      <w:r>
        <w:rPr>
          <w:rFonts w:ascii="Palatino Linotype" w:eastAsia="Palatino Linotype" w:hAnsi="Palatino Linotype" w:cs="Palatino Linotype"/>
          <w:color w:val="222222"/>
        </w:rPr>
        <w:t xml:space="preserve">a </w:t>
      </w:r>
      <w:r>
        <w:rPr>
          <w:rFonts w:ascii="Palatino Linotype" w:eastAsia="Palatino Linotype" w:hAnsi="Palatino Linotype" w:cs="Palatino Linotype"/>
          <w:b/>
          <w:bCs/>
          <w:color w:val="222222"/>
        </w:rPr>
        <w:t>EL RECURRENTE</w:t>
      </w:r>
      <w:r>
        <w:rPr>
          <w:rFonts w:ascii="Palatino Linotype" w:eastAsia="Palatino Linotype" w:hAnsi="Palatino Linotype" w:cs="Palatino Linotype"/>
          <w:color w:val="222222"/>
        </w:rPr>
        <w:t xml:space="preserve"> la presente resolución vía SAIMEX</w:t>
      </w:r>
      <w:r>
        <w:rPr>
          <w:rFonts w:ascii="Palatino Linotype" w:eastAsia="Palatino Linotype" w:hAnsi="Palatino Linotype" w:cs="Palatino Linotype"/>
        </w:rPr>
        <w:t>.</w:t>
      </w:r>
    </w:p>
    <w:p w:rsidR="00D46354" w:rsidRDefault="00D46354">
      <w:pPr>
        <w:tabs>
          <w:tab w:val="left" w:pos="8080"/>
        </w:tabs>
        <w:spacing w:line="360" w:lineRule="auto"/>
        <w:jc w:val="both"/>
        <w:rPr>
          <w:rFonts w:ascii="Palatino Linotype" w:eastAsia="Palatino Linotype" w:hAnsi="Palatino Linotype" w:cs="Palatino Linotype"/>
        </w:rPr>
      </w:pPr>
    </w:p>
    <w:p w:rsidR="00D46354" w:rsidRDefault="00D4158B">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color w:val="000000"/>
        </w:rPr>
        <w:t xml:space="preserve">Se hace del conocimiento de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color w:val="000000"/>
        </w:rPr>
        <w:t xml:space="preserve">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D46354" w:rsidRDefault="00D46354">
      <w:pPr>
        <w:shd w:val="clear" w:color="auto" w:fill="FFFFFF"/>
        <w:spacing w:line="360" w:lineRule="auto"/>
        <w:ind w:right="-787"/>
        <w:jc w:val="both"/>
        <w:rPr>
          <w:rFonts w:ascii="Palatino Linotype" w:eastAsia="Palatino Linotype" w:hAnsi="Palatino Linotype" w:cs="Palatino Linotype"/>
        </w:rPr>
      </w:pPr>
    </w:p>
    <w:p w:rsidR="007C2DFC" w:rsidRPr="003E2295" w:rsidRDefault="007C2DFC" w:rsidP="007C2DFC">
      <w:pPr>
        <w:spacing w:before="240" w:after="240" w:line="360" w:lineRule="auto"/>
        <w:ind w:right="-801" w:firstLine="1"/>
        <w:jc w:val="both"/>
        <w:rPr>
          <w:rFonts w:ascii="Palatino Linotype" w:hAnsi="Palatino Linotype"/>
        </w:rPr>
      </w:pPr>
      <w:bookmarkStart w:id="11" w:name="_Hlk99014733"/>
      <w:r w:rsidRPr="003E2295">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1"/>
    <w:p w:rsidR="00D46354" w:rsidRDefault="00D46354" w:rsidP="007C2DFC">
      <w:pPr>
        <w:spacing w:before="240" w:after="240" w:line="360" w:lineRule="auto"/>
        <w:ind w:right="-801"/>
        <w:jc w:val="both"/>
        <w:rPr>
          <w:rFonts w:ascii="Palatino Linotype" w:eastAsia="Palatino Linotype" w:hAnsi="Palatino Linotype" w:cs="Palatino Linotype"/>
        </w:rPr>
      </w:pPr>
    </w:p>
    <w:p w:rsidR="00D46354" w:rsidRDefault="00D46354" w:rsidP="007C2DFC">
      <w:pPr>
        <w:spacing w:before="240" w:after="240" w:line="360" w:lineRule="auto"/>
        <w:ind w:right="-801"/>
        <w:jc w:val="both"/>
        <w:rPr>
          <w:rFonts w:ascii="Palatino Linotype" w:eastAsia="Palatino Linotype" w:hAnsi="Palatino Linotype" w:cs="Palatino Linotype"/>
        </w:rPr>
      </w:pPr>
    </w:p>
    <w:p w:rsidR="00D46354" w:rsidRDefault="00D46354">
      <w:pPr>
        <w:spacing w:before="240" w:after="240" w:line="360" w:lineRule="auto"/>
        <w:ind w:right="-787"/>
        <w:jc w:val="both"/>
        <w:rPr>
          <w:rFonts w:ascii="Palatino Linotype" w:eastAsia="Palatino Linotype" w:hAnsi="Palatino Linotype" w:cs="Palatino Linotype"/>
        </w:rPr>
      </w:pPr>
    </w:p>
    <w:p w:rsidR="00D46354" w:rsidRDefault="00D46354">
      <w:pPr>
        <w:spacing w:before="240" w:after="240" w:line="360" w:lineRule="auto"/>
        <w:ind w:right="-787"/>
        <w:jc w:val="both"/>
        <w:rPr>
          <w:rFonts w:ascii="Palatino Linotype" w:eastAsia="Palatino Linotype" w:hAnsi="Palatino Linotype" w:cs="Palatino Linotype"/>
        </w:rPr>
      </w:pPr>
    </w:p>
    <w:p w:rsidR="00D46354" w:rsidRDefault="00D46354">
      <w:pPr>
        <w:spacing w:before="240" w:after="240" w:line="360" w:lineRule="auto"/>
        <w:ind w:right="-787"/>
        <w:jc w:val="both"/>
        <w:rPr>
          <w:rFonts w:ascii="Palatino Linotype" w:eastAsia="Palatino Linotype" w:hAnsi="Palatino Linotype" w:cs="Palatino Linotype"/>
        </w:rPr>
      </w:pPr>
    </w:p>
    <w:p w:rsidR="00D46354" w:rsidRDefault="00D4158B">
      <w:pPr>
        <w:tabs>
          <w:tab w:val="left" w:pos="3374"/>
        </w:tabs>
        <w:spacing w:line="360" w:lineRule="auto"/>
        <w:ind w:right="-787"/>
        <w:rPr>
          <w:rFonts w:ascii="Palatino Linotype" w:eastAsia="Palatino Linotype" w:hAnsi="Palatino Linotype" w:cs="Palatino Linotype"/>
        </w:rPr>
      </w:pPr>
      <w:r>
        <w:rPr>
          <w:rFonts w:ascii="Palatino Linotype" w:eastAsia="Palatino Linotype" w:hAnsi="Palatino Linotype" w:cs="Palatino Linotype"/>
        </w:rPr>
        <w:tab/>
      </w: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p w:rsidR="00B07DF3" w:rsidRDefault="00B07DF3">
      <w:pPr>
        <w:tabs>
          <w:tab w:val="left" w:pos="3374"/>
        </w:tabs>
        <w:spacing w:line="360" w:lineRule="auto"/>
        <w:ind w:right="-787"/>
        <w:rPr>
          <w:rFonts w:ascii="Palatino Linotype" w:eastAsia="Palatino Linotype" w:hAnsi="Palatino Linotype" w:cs="Palatino Linotype"/>
        </w:rPr>
      </w:pPr>
    </w:p>
    <w:sectPr w:rsidR="00B07DF3">
      <w:headerReference w:type="even" r:id="rId8"/>
      <w:headerReference w:type="default" r:id="rId9"/>
      <w:footerReference w:type="default" r:id="rId10"/>
      <w:headerReference w:type="first" r:id="rId11"/>
      <w:footerReference w:type="first" r:id="rId12"/>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54B" w:rsidRDefault="0015054B">
      <w:r>
        <w:separator/>
      </w:r>
    </w:p>
  </w:endnote>
  <w:endnote w:type="continuationSeparator" w:id="0">
    <w:p w:rsidR="0015054B" w:rsidRDefault="0015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C8AEFA33-0D3C-4D38-B6E4-B27C4FC77228}"/>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C88373DA-0984-461B-87EC-77D668F93DE9}"/>
    <w:embedBold r:id="rId3" w:fontKey="{271B2FD7-A2B4-4FBD-8A69-CCBF6C53136C}"/>
    <w:embedItalic r:id="rId4" w:fontKey="{F42237C2-AECE-47AD-98EF-E026F9729AE5}"/>
    <w:embedBoldItalic r:id="rId5" w:fontKey="{52F4771D-FB1C-4886-8137-A5CCD5FA3900}"/>
  </w:font>
  <w:font w:name="Calibri">
    <w:panose1 w:val="020F0502020204030204"/>
    <w:charset w:val="00"/>
    <w:family w:val="swiss"/>
    <w:pitch w:val="variable"/>
    <w:sig w:usb0="E4002EFF" w:usb1="C200247B" w:usb2="00000009" w:usb3="00000000" w:csb0="000001FF" w:csb1="00000000"/>
    <w:embedRegular r:id="rId6" w:fontKey="{ACE3E70F-E496-447D-8D96-7369785AAEFC}"/>
    <w:embedBold r:id="rId7" w:fontKey="{AD60856B-A456-48BD-9A94-BD1B12C70C5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0E2D4AF0-A231-416B-8CE4-0564C7D973FF}"/>
  </w:font>
  <w:font w:name="Cambria">
    <w:panose1 w:val="02040503050406030204"/>
    <w:charset w:val="00"/>
    <w:family w:val="roman"/>
    <w:pitch w:val="variable"/>
    <w:sig w:usb0="E00006FF" w:usb1="420024FF" w:usb2="02000000" w:usb3="00000000" w:csb0="0000019F" w:csb1="00000000"/>
    <w:embedRegular r:id="rId9" w:fontKey="{C3FE9E6A-D53F-4307-BB51-33AD448D04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354" w:rsidRDefault="00D4158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B97B98">
      <w:rPr>
        <w:rFonts w:ascii="Palatino Linotype" w:eastAsia="Palatino Linotype" w:hAnsi="Palatino Linotype" w:cs="Palatino Linotype"/>
        <w:noProof/>
        <w:color w:val="000000"/>
        <w:sz w:val="22"/>
        <w:szCs w:val="22"/>
      </w:rPr>
      <w:t>22</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B97B98">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rsidR="00D46354" w:rsidRDefault="00D4635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354" w:rsidRDefault="00D4158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B97B98">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B97B98">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rsidR="00D46354" w:rsidRDefault="00D4635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54B" w:rsidRDefault="0015054B">
      <w:r>
        <w:separator/>
      </w:r>
    </w:p>
  </w:footnote>
  <w:footnote w:type="continuationSeparator" w:id="0">
    <w:p w:rsidR="0015054B" w:rsidRDefault="001505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6354" w:rsidRDefault="0015054B">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890" w:type="dxa"/>
      <w:tblInd w:w="2410" w:type="dxa"/>
      <w:tblLayout w:type="fixed"/>
      <w:tblLook w:val="0400" w:firstRow="0" w:lastRow="0" w:firstColumn="0" w:lastColumn="0" w:noHBand="0" w:noVBand="1"/>
    </w:tblPr>
    <w:tblGrid>
      <w:gridCol w:w="3744"/>
      <w:gridCol w:w="4146"/>
    </w:tblGrid>
    <w:tr w:rsidR="00D46354" w:rsidTr="00C91A94">
      <w:trPr>
        <w:trHeight w:val="281"/>
      </w:trPr>
      <w:tc>
        <w:tcPr>
          <w:tcW w:w="3744" w:type="dxa"/>
          <w:vAlign w:val="center"/>
        </w:tcPr>
        <w:p w:rsidR="00D46354" w:rsidRDefault="00D4158B">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6" w:type="dxa"/>
          <w:vAlign w:val="center"/>
        </w:tcPr>
        <w:p w:rsidR="00D46354" w:rsidRDefault="00D4158B">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13328/INFOEM/IP/RR/2025</w:t>
          </w:r>
        </w:p>
      </w:tc>
    </w:tr>
    <w:tr w:rsidR="00D46354" w:rsidTr="00C91A94">
      <w:trPr>
        <w:trHeight w:val="342"/>
      </w:trPr>
      <w:tc>
        <w:tcPr>
          <w:tcW w:w="3744" w:type="dxa"/>
        </w:tcPr>
        <w:p w:rsidR="00D46354" w:rsidRDefault="00D4158B">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6" w:type="dxa"/>
          <w:vAlign w:val="center"/>
        </w:tcPr>
        <w:p w:rsidR="00D46354" w:rsidRDefault="00D4158B">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Papalotla</w:t>
          </w:r>
        </w:p>
      </w:tc>
    </w:tr>
    <w:tr w:rsidR="00D46354" w:rsidTr="00C91A94">
      <w:trPr>
        <w:trHeight w:val="342"/>
      </w:trPr>
      <w:tc>
        <w:tcPr>
          <w:tcW w:w="3744" w:type="dxa"/>
          <w:vAlign w:val="center"/>
        </w:tcPr>
        <w:p w:rsidR="00D46354" w:rsidRDefault="00D4158B">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6" w:type="dxa"/>
          <w:vAlign w:val="center"/>
        </w:tcPr>
        <w:p w:rsidR="00D46354" w:rsidRDefault="00D4158B">
          <w:pPr>
            <w:pBdr>
              <w:top w:val="nil"/>
              <w:left w:val="nil"/>
              <w:bottom w:val="nil"/>
              <w:right w:val="nil"/>
              <w:between w:val="nil"/>
            </w:pBdr>
            <w:tabs>
              <w:tab w:val="right" w:pos="8838"/>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D46354" w:rsidRDefault="0015054B">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0.9pt;margin-top:-123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890" w:type="dxa"/>
      <w:tblInd w:w="2127" w:type="dxa"/>
      <w:tblLayout w:type="fixed"/>
      <w:tblLook w:val="0400" w:firstRow="0" w:lastRow="0" w:firstColumn="0" w:lastColumn="0" w:noHBand="0" w:noVBand="1"/>
    </w:tblPr>
    <w:tblGrid>
      <w:gridCol w:w="3744"/>
      <w:gridCol w:w="4146"/>
    </w:tblGrid>
    <w:tr w:rsidR="00D46354" w:rsidTr="00C91A94">
      <w:trPr>
        <w:trHeight w:val="281"/>
      </w:trPr>
      <w:tc>
        <w:tcPr>
          <w:tcW w:w="3744" w:type="dxa"/>
          <w:vAlign w:val="center"/>
        </w:tcPr>
        <w:p w:rsidR="00D46354" w:rsidRDefault="00D4158B">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6" w:type="dxa"/>
          <w:vAlign w:val="center"/>
        </w:tcPr>
        <w:p w:rsidR="00D46354" w:rsidRDefault="00D4158B">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13328/INFOEM/IP/RR/2025</w:t>
          </w:r>
        </w:p>
      </w:tc>
    </w:tr>
    <w:tr w:rsidR="00D46354" w:rsidTr="00C91A94">
      <w:trPr>
        <w:trHeight w:val="242"/>
      </w:trPr>
      <w:tc>
        <w:tcPr>
          <w:tcW w:w="3744" w:type="dxa"/>
          <w:vAlign w:val="center"/>
        </w:tcPr>
        <w:p w:rsidR="00D46354" w:rsidRDefault="00D4158B">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146" w:type="dxa"/>
        </w:tcPr>
        <w:p w:rsidR="00D46354" w:rsidRDefault="00B97B98">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rPr>
          </w:pPr>
          <w:r>
            <w:rPr>
              <w:rFonts w:ascii="Palatino Linotype" w:eastAsia="Palatino Linotype" w:hAnsi="Palatino Linotype" w:cs="Palatino Linotype"/>
            </w:rPr>
            <w:t>XXXX</w:t>
          </w:r>
        </w:p>
      </w:tc>
    </w:tr>
    <w:tr w:rsidR="00D46354" w:rsidTr="00C91A94">
      <w:trPr>
        <w:trHeight w:val="342"/>
      </w:trPr>
      <w:tc>
        <w:tcPr>
          <w:tcW w:w="3744" w:type="dxa"/>
        </w:tcPr>
        <w:p w:rsidR="00D46354" w:rsidRDefault="00D4158B">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6" w:type="dxa"/>
          <w:vAlign w:val="center"/>
        </w:tcPr>
        <w:p w:rsidR="00D46354" w:rsidRDefault="00D4158B">
          <w:pPr>
            <w:pBdr>
              <w:top w:val="nil"/>
              <w:left w:val="nil"/>
              <w:bottom w:val="nil"/>
              <w:right w:val="nil"/>
              <w:between w:val="nil"/>
            </w:pBdr>
            <w:tabs>
              <w:tab w:val="right" w:pos="8838"/>
            </w:tabs>
            <w:ind w:right="-19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Papalotla</w:t>
          </w:r>
        </w:p>
      </w:tc>
    </w:tr>
    <w:tr w:rsidR="00D46354" w:rsidTr="00C91A94">
      <w:trPr>
        <w:trHeight w:val="342"/>
      </w:trPr>
      <w:tc>
        <w:tcPr>
          <w:tcW w:w="3744" w:type="dxa"/>
          <w:vAlign w:val="center"/>
        </w:tcPr>
        <w:p w:rsidR="00D46354" w:rsidRDefault="00D4158B">
          <w:pPr>
            <w:ind w:left="850"/>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6" w:type="dxa"/>
          <w:vAlign w:val="center"/>
        </w:tcPr>
        <w:p w:rsidR="00D46354" w:rsidRDefault="00D4158B">
          <w:pPr>
            <w:pBdr>
              <w:top w:val="nil"/>
              <w:left w:val="nil"/>
              <w:bottom w:val="nil"/>
              <w:right w:val="nil"/>
              <w:between w:val="nil"/>
            </w:pBdr>
            <w:tabs>
              <w:tab w:val="right" w:pos="8838"/>
            </w:tabs>
            <w:ind w:right="-19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D46354" w:rsidRDefault="0015054B">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4.7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6350D9"/>
    <w:multiLevelType w:val="multilevel"/>
    <w:tmpl w:val="DC30A138"/>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 w15:restartNumberingAfterBreak="0">
    <w:nsid w:val="3422336F"/>
    <w:multiLevelType w:val="multilevel"/>
    <w:tmpl w:val="E2102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48F0825"/>
    <w:multiLevelType w:val="multilevel"/>
    <w:tmpl w:val="247AC294"/>
    <w:lvl w:ilvl="0">
      <w:start w:val="1"/>
      <w:numFmt w:val="decimal"/>
      <w:lvlText w:val="%1."/>
      <w:lvlJc w:val="left"/>
      <w:pPr>
        <w:ind w:left="1070"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36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2A4344"/>
    <w:multiLevelType w:val="multilevel"/>
    <w:tmpl w:val="B52E177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4" w15:restartNumberingAfterBreak="0">
    <w:nsid w:val="36727660"/>
    <w:multiLevelType w:val="multilevel"/>
    <w:tmpl w:val="02C453C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5" w15:restartNumberingAfterBreak="0">
    <w:nsid w:val="41F51481"/>
    <w:multiLevelType w:val="multilevel"/>
    <w:tmpl w:val="9E361EE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59D5C7D"/>
    <w:multiLevelType w:val="multilevel"/>
    <w:tmpl w:val="DD46439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4C3003FE"/>
    <w:multiLevelType w:val="multilevel"/>
    <w:tmpl w:val="8D5ED676"/>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AB952CB"/>
    <w:multiLevelType w:val="multilevel"/>
    <w:tmpl w:val="16BA45F6"/>
    <w:lvl w:ilvl="0">
      <w:start w:val="1"/>
      <w:numFmt w:val="bullet"/>
      <w:lvlText w:val="●"/>
      <w:lvlJc w:val="left"/>
      <w:pPr>
        <w:ind w:left="1287" w:hanging="360"/>
      </w:pPr>
      <w:rPr>
        <w:rFonts w:ascii="Noto Sans Symbols" w:eastAsia="Noto Sans Symbols" w:hAnsi="Noto Sans Symbols" w:cs="Noto Sans Symbols"/>
      </w:rPr>
    </w:lvl>
    <w:lvl w:ilvl="1">
      <w:start w:val="1"/>
      <w:numFmt w:val="decimal"/>
      <w:lvlText w:val="%2)"/>
      <w:lvlJc w:val="left"/>
      <w:pPr>
        <w:ind w:left="2007" w:hanging="360"/>
      </w:p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7"/>
  </w:num>
  <w:num w:numId="2">
    <w:abstractNumId w:val="8"/>
  </w:num>
  <w:num w:numId="3">
    <w:abstractNumId w:val="1"/>
  </w:num>
  <w:num w:numId="4">
    <w:abstractNumId w:val="2"/>
  </w:num>
  <w:num w:numId="5">
    <w:abstractNumId w:val="0"/>
  </w:num>
  <w:num w:numId="6">
    <w:abstractNumId w:val="5"/>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354"/>
    <w:rsid w:val="0015054B"/>
    <w:rsid w:val="002E0BCF"/>
    <w:rsid w:val="002E7FF8"/>
    <w:rsid w:val="006371FA"/>
    <w:rsid w:val="007C2DFC"/>
    <w:rsid w:val="00B07DF3"/>
    <w:rsid w:val="00B76C23"/>
    <w:rsid w:val="00B97B98"/>
    <w:rsid w:val="00C91A94"/>
    <w:rsid w:val="00D4158B"/>
    <w:rsid w:val="00D463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D5AE1EDB-6454-41F7-B9F5-2DE30B28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C91A94"/>
    <w:pPr>
      <w:tabs>
        <w:tab w:val="center" w:pos="4419"/>
        <w:tab w:val="right" w:pos="8838"/>
      </w:tabs>
    </w:pPr>
  </w:style>
  <w:style w:type="character" w:customStyle="1" w:styleId="PiedepginaCar">
    <w:name w:val="Pie de página Car"/>
    <w:basedOn w:val="Fuentedeprrafopredeter"/>
    <w:link w:val="Piedepgina"/>
    <w:uiPriority w:val="99"/>
    <w:rsid w:val="00C91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0fgbHAbp5H2ZY3zq6dOgPThzrQ==">CgMxLjAyCGguZ2pkZ3hzMgloLjMwajB6bGwyCWguMWZvYjl0ZTIOaC5yMHQzazNqZ3FvMWIyCWguMmV0OTJwMDIJaC4xdDNoNXNmMgloLjJzOGV5bzEyCWguMjZpbjFyZzIJaC4xa3N2NHV2MgloLjNyZGNyam44AHIhMVdhQ2djVzRKbmFBX0hxbV9JQmgzN3Y0dEh4M1NGQW5q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7936</Words>
  <Characters>43654</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2026-05-21T23:23:00Z</cp:lastPrinted>
  <dcterms:created xsi:type="dcterms:W3CDTF">2026-05-20T22:59:00Z</dcterms:created>
  <dcterms:modified xsi:type="dcterms:W3CDTF">2026-05-29T00:03:00Z</dcterms:modified>
</cp:coreProperties>
</file>