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F8C0A" w14:textId="77777777" w:rsidR="00EE2E4D" w:rsidRDefault="00EE2E4D" w:rsidP="001A1400">
      <w:pPr>
        <w:widowControl w:val="0"/>
        <w:pBdr>
          <w:top w:val="nil"/>
          <w:left w:val="nil"/>
          <w:bottom w:val="nil"/>
          <w:right w:val="nil"/>
          <w:between w:val="nil"/>
        </w:pBdr>
        <w:spacing w:after="0" w:line="360" w:lineRule="auto"/>
        <w:jc w:val="left"/>
      </w:pPr>
    </w:p>
    <w:p w14:paraId="4A65E5AE" w14:textId="77777777" w:rsidR="00CE04C0" w:rsidRPr="00035B71" w:rsidRDefault="00CE04C0" w:rsidP="001A1400">
      <w:pPr>
        <w:widowControl w:val="0"/>
        <w:pBdr>
          <w:top w:val="nil"/>
          <w:left w:val="nil"/>
          <w:bottom w:val="nil"/>
          <w:right w:val="nil"/>
          <w:between w:val="nil"/>
        </w:pBdr>
        <w:spacing w:after="0" w:line="360" w:lineRule="auto"/>
        <w:jc w:val="left"/>
      </w:pPr>
    </w:p>
    <w:sdt>
      <w:sdtPr>
        <w:rPr>
          <w:lang w:val="es-ES"/>
        </w:rPr>
        <w:id w:val="2084632248"/>
        <w:docPartObj>
          <w:docPartGallery w:val="Table of Contents"/>
          <w:docPartUnique/>
        </w:docPartObj>
      </w:sdtPr>
      <w:sdtEndPr>
        <w:rPr>
          <w:b/>
          <w:bCs/>
        </w:rPr>
      </w:sdtEndPr>
      <w:sdtContent>
        <w:p w14:paraId="04038074" w14:textId="44DDF1CD" w:rsidR="0083110F" w:rsidRDefault="0083110F" w:rsidP="0083110F">
          <w:pPr>
            <w:tabs>
              <w:tab w:val="right" w:pos="8838"/>
            </w:tabs>
            <w:ind w:left="-111" w:right="-32"/>
            <w:jc w:val="center"/>
          </w:pPr>
          <w:r>
            <w:rPr>
              <w:lang w:val="es-ES"/>
            </w:rPr>
            <w:t xml:space="preserve">Resolución del Recurso de Revisión </w:t>
          </w:r>
          <w:r>
            <w:t>11861/INFOEM/IP/RR/2025</w:t>
          </w:r>
        </w:p>
        <w:p w14:paraId="157A1EA3" w14:textId="77777777" w:rsidR="00AF757C" w:rsidRDefault="0083110F">
          <w:pPr>
            <w:pStyle w:val="TDC7"/>
            <w:rPr>
              <w:rFonts w:asciiTheme="minorHAnsi" w:eastAsiaTheme="minorEastAsia" w:hAnsiTheme="minorHAnsi" w:cstheme="minorBidi"/>
              <w:noProof/>
            </w:rPr>
          </w:pPr>
          <w:r>
            <w:fldChar w:fldCharType="begin"/>
          </w:r>
          <w:r>
            <w:instrText xml:space="preserve"> TOC \o "1-8" \h \z \u </w:instrText>
          </w:r>
          <w:r>
            <w:fldChar w:fldCharType="separate"/>
          </w:r>
          <w:hyperlink w:anchor="_Toc224832389" w:history="1">
            <w:r w:rsidR="00AF757C" w:rsidRPr="006B4198">
              <w:rPr>
                <w:rStyle w:val="Hipervnculo"/>
                <w:noProof/>
              </w:rPr>
              <w:t>A N T E C E D E N T E S</w:t>
            </w:r>
            <w:r w:rsidR="00AF757C">
              <w:rPr>
                <w:noProof/>
                <w:webHidden/>
              </w:rPr>
              <w:tab/>
            </w:r>
            <w:r w:rsidR="00AF757C">
              <w:rPr>
                <w:noProof/>
                <w:webHidden/>
              </w:rPr>
              <w:fldChar w:fldCharType="begin"/>
            </w:r>
            <w:r w:rsidR="00AF757C">
              <w:rPr>
                <w:noProof/>
                <w:webHidden/>
              </w:rPr>
              <w:instrText xml:space="preserve"> PAGEREF _Toc224832389 \h </w:instrText>
            </w:r>
            <w:r w:rsidR="00AF757C">
              <w:rPr>
                <w:noProof/>
                <w:webHidden/>
              </w:rPr>
            </w:r>
            <w:r w:rsidR="00AF757C">
              <w:rPr>
                <w:noProof/>
                <w:webHidden/>
              </w:rPr>
              <w:fldChar w:fldCharType="separate"/>
            </w:r>
            <w:r w:rsidR="002A64A1">
              <w:rPr>
                <w:noProof/>
                <w:webHidden/>
              </w:rPr>
              <w:t>2</w:t>
            </w:r>
            <w:r w:rsidR="00AF757C">
              <w:rPr>
                <w:noProof/>
                <w:webHidden/>
              </w:rPr>
              <w:fldChar w:fldCharType="end"/>
            </w:r>
          </w:hyperlink>
        </w:p>
        <w:p w14:paraId="08F605F2" w14:textId="77777777" w:rsidR="00AF757C" w:rsidRDefault="00955757">
          <w:pPr>
            <w:pStyle w:val="TDC8"/>
            <w:rPr>
              <w:rFonts w:asciiTheme="minorHAnsi" w:eastAsiaTheme="minorEastAsia" w:hAnsiTheme="minorHAnsi" w:cstheme="minorBidi"/>
              <w:noProof/>
            </w:rPr>
          </w:pPr>
          <w:hyperlink w:anchor="_Toc224832390" w:history="1">
            <w:r w:rsidR="00AF757C" w:rsidRPr="006B4198">
              <w:rPr>
                <w:rStyle w:val="Hipervnculo"/>
                <w:noProof/>
              </w:rPr>
              <w:t>I. Presentación de la solicitud de información</w:t>
            </w:r>
            <w:r w:rsidR="00AF757C">
              <w:rPr>
                <w:noProof/>
                <w:webHidden/>
              </w:rPr>
              <w:tab/>
            </w:r>
            <w:r w:rsidR="00AF757C">
              <w:rPr>
                <w:noProof/>
                <w:webHidden/>
              </w:rPr>
              <w:fldChar w:fldCharType="begin"/>
            </w:r>
            <w:r w:rsidR="00AF757C">
              <w:rPr>
                <w:noProof/>
                <w:webHidden/>
              </w:rPr>
              <w:instrText xml:space="preserve"> PAGEREF _Toc224832390 \h </w:instrText>
            </w:r>
            <w:r w:rsidR="00AF757C">
              <w:rPr>
                <w:noProof/>
                <w:webHidden/>
              </w:rPr>
            </w:r>
            <w:r w:rsidR="00AF757C">
              <w:rPr>
                <w:noProof/>
                <w:webHidden/>
              </w:rPr>
              <w:fldChar w:fldCharType="separate"/>
            </w:r>
            <w:r w:rsidR="002A64A1">
              <w:rPr>
                <w:noProof/>
                <w:webHidden/>
              </w:rPr>
              <w:t>2</w:t>
            </w:r>
            <w:r w:rsidR="00AF757C">
              <w:rPr>
                <w:noProof/>
                <w:webHidden/>
              </w:rPr>
              <w:fldChar w:fldCharType="end"/>
            </w:r>
          </w:hyperlink>
        </w:p>
        <w:p w14:paraId="614EC744" w14:textId="77777777" w:rsidR="00AF757C" w:rsidRDefault="00955757">
          <w:pPr>
            <w:pStyle w:val="TDC8"/>
            <w:rPr>
              <w:rFonts w:asciiTheme="minorHAnsi" w:eastAsiaTheme="minorEastAsia" w:hAnsiTheme="minorHAnsi" w:cstheme="minorBidi"/>
              <w:noProof/>
            </w:rPr>
          </w:pPr>
          <w:hyperlink w:anchor="_Toc224832391" w:history="1">
            <w:r w:rsidR="00AF757C" w:rsidRPr="006B4198">
              <w:rPr>
                <w:rStyle w:val="Hipervnculo"/>
                <w:noProof/>
              </w:rPr>
              <w:t xml:space="preserve">II. </w:t>
            </w:r>
            <w:r w:rsidR="00AF757C" w:rsidRPr="006B4198">
              <w:rPr>
                <w:rStyle w:val="Hipervnculo"/>
                <w:noProof/>
                <w:lang w:eastAsia="en-US"/>
              </w:rPr>
              <w:t>Prórroga para atender la Solicitud de información</w:t>
            </w:r>
            <w:r w:rsidR="00AF757C">
              <w:rPr>
                <w:noProof/>
                <w:webHidden/>
              </w:rPr>
              <w:tab/>
            </w:r>
            <w:r w:rsidR="00AF757C">
              <w:rPr>
                <w:noProof/>
                <w:webHidden/>
              </w:rPr>
              <w:fldChar w:fldCharType="begin"/>
            </w:r>
            <w:r w:rsidR="00AF757C">
              <w:rPr>
                <w:noProof/>
                <w:webHidden/>
              </w:rPr>
              <w:instrText xml:space="preserve"> PAGEREF _Toc224832391 \h </w:instrText>
            </w:r>
            <w:r w:rsidR="00AF757C">
              <w:rPr>
                <w:noProof/>
                <w:webHidden/>
              </w:rPr>
            </w:r>
            <w:r w:rsidR="00AF757C">
              <w:rPr>
                <w:noProof/>
                <w:webHidden/>
              </w:rPr>
              <w:fldChar w:fldCharType="separate"/>
            </w:r>
            <w:r w:rsidR="002A64A1">
              <w:rPr>
                <w:noProof/>
                <w:webHidden/>
              </w:rPr>
              <w:t>2</w:t>
            </w:r>
            <w:r w:rsidR="00AF757C">
              <w:rPr>
                <w:noProof/>
                <w:webHidden/>
              </w:rPr>
              <w:fldChar w:fldCharType="end"/>
            </w:r>
          </w:hyperlink>
        </w:p>
        <w:p w14:paraId="263F57F1" w14:textId="77777777" w:rsidR="00AF757C" w:rsidRDefault="00955757">
          <w:pPr>
            <w:pStyle w:val="TDC8"/>
            <w:rPr>
              <w:rFonts w:asciiTheme="minorHAnsi" w:eastAsiaTheme="minorEastAsia" w:hAnsiTheme="minorHAnsi" w:cstheme="minorBidi"/>
              <w:noProof/>
            </w:rPr>
          </w:pPr>
          <w:hyperlink w:anchor="_Toc224832392" w:history="1">
            <w:r w:rsidR="00AF757C" w:rsidRPr="006B4198">
              <w:rPr>
                <w:rStyle w:val="Hipervnculo"/>
                <w:noProof/>
              </w:rPr>
              <w:t>III. Respuesta del Sujeto Obligado</w:t>
            </w:r>
            <w:r w:rsidR="00AF757C">
              <w:rPr>
                <w:noProof/>
                <w:webHidden/>
              </w:rPr>
              <w:tab/>
            </w:r>
            <w:r w:rsidR="00AF757C">
              <w:rPr>
                <w:noProof/>
                <w:webHidden/>
              </w:rPr>
              <w:fldChar w:fldCharType="begin"/>
            </w:r>
            <w:r w:rsidR="00AF757C">
              <w:rPr>
                <w:noProof/>
                <w:webHidden/>
              </w:rPr>
              <w:instrText xml:space="preserve"> PAGEREF _Toc224832392 \h </w:instrText>
            </w:r>
            <w:r w:rsidR="00AF757C">
              <w:rPr>
                <w:noProof/>
                <w:webHidden/>
              </w:rPr>
            </w:r>
            <w:r w:rsidR="00AF757C">
              <w:rPr>
                <w:noProof/>
                <w:webHidden/>
              </w:rPr>
              <w:fldChar w:fldCharType="separate"/>
            </w:r>
            <w:r w:rsidR="002A64A1">
              <w:rPr>
                <w:noProof/>
                <w:webHidden/>
              </w:rPr>
              <w:t>3</w:t>
            </w:r>
            <w:r w:rsidR="00AF757C">
              <w:rPr>
                <w:noProof/>
                <w:webHidden/>
              </w:rPr>
              <w:fldChar w:fldCharType="end"/>
            </w:r>
          </w:hyperlink>
        </w:p>
        <w:p w14:paraId="671D8307" w14:textId="77777777" w:rsidR="00AF757C" w:rsidRDefault="00955757">
          <w:pPr>
            <w:pStyle w:val="TDC8"/>
            <w:rPr>
              <w:rFonts w:asciiTheme="minorHAnsi" w:eastAsiaTheme="minorEastAsia" w:hAnsiTheme="minorHAnsi" w:cstheme="minorBidi"/>
              <w:noProof/>
            </w:rPr>
          </w:pPr>
          <w:hyperlink w:anchor="_Toc224832393" w:history="1">
            <w:r w:rsidR="00AF757C" w:rsidRPr="006B4198">
              <w:rPr>
                <w:rStyle w:val="Hipervnculo"/>
                <w:noProof/>
              </w:rPr>
              <w:t>IV. Interposición del Recurso de Revisión</w:t>
            </w:r>
            <w:r w:rsidR="00AF757C">
              <w:rPr>
                <w:noProof/>
                <w:webHidden/>
              </w:rPr>
              <w:tab/>
            </w:r>
            <w:r w:rsidR="00AF757C">
              <w:rPr>
                <w:noProof/>
                <w:webHidden/>
              </w:rPr>
              <w:fldChar w:fldCharType="begin"/>
            </w:r>
            <w:r w:rsidR="00AF757C">
              <w:rPr>
                <w:noProof/>
                <w:webHidden/>
              </w:rPr>
              <w:instrText xml:space="preserve"> PAGEREF _Toc224832393 \h </w:instrText>
            </w:r>
            <w:r w:rsidR="00AF757C">
              <w:rPr>
                <w:noProof/>
                <w:webHidden/>
              </w:rPr>
            </w:r>
            <w:r w:rsidR="00AF757C">
              <w:rPr>
                <w:noProof/>
                <w:webHidden/>
              </w:rPr>
              <w:fldChar w:fldCharType="separate"/>
            </w:r>
            <w:r w:rsidR="002A64A1">
              <w:rPr>
                <w:noProof/>
                <w:webHidden/>
              </w:rPr>
              <w:t>4</w:t>
            </w:r>
            <w:r w:rsidR="00AF757C">
              <w:rPr>
                <w:noProof/>
                <w:webHidden/>
              </w:rPr>
              <w:fldChar w:fldCharType="end"/>
            </w:r>
          </w:hyperlink>
        </w:p>
        <w:p w14:paraId="72389282" w14:textId="77777777" w:rsidR="00AF757C" w:rsidRDefault="00955757">
          <w:pPr>
            <w:pStyle w:val="TDC8"/>
            <w:rPr>
              <w:rFonts w:asciiTheme="minorHAnsi" w:eastAsiaTheme="minorEastAsia" w:hAnsiTheme="minorHAnsi" w:cstheme="minorBidi"/>
              <w:noProof/>
            </w:rPr>
          </w:pPr>
          <w:hyperlink w:anchor="_Toc224832394" w:history="1">
            <w:r w:rsidR="00AF757C" w:rsidRPr="006B4198">
              <w:rPr>
                <w:rStyle w:val="Hipervnculo"/>
                <w:noProof/>
              </w:rPr>
              <w:t>IV. Trámite del Recurso de Revisión ante este Instituto</w:t>
            </w:r>
            <w:r w:rsidR="00AF757C">
              <w:rPr>
                <w:noProof/>
                <w:webHidden/>
              </w:rPr>
              <w:tab/>
            </w:r>
            <w:r w:rsidR="00AF757C">
              <w:rPr>
                <w:noProof/>
                <w:webHidden/>
              </w:rPr>
              <w:fldChar w:fldCharType="begin"/>
            </w:r>
            <w:r w:rsidR="00AF757C">
              <w:rPr>
                <w:noProof/>
                <w:webHidden/>
              </w:rPr>
              <w:instrText xml:space="preserve"> PAGEREF _Toc224832394 \h </w:instrText>
            </w:r>
            <w:r w:rsidR="00AF757C">
              <w:rPr>
                <w:noProof/>
                <w:webHidden/>
              </w:rPr>
            </w:r>
            <w:r w:rsidR="00AF757C">
              <w:rPr>
                <w:noProof/>
                <w:webHidden/>
              </w:rPr>
              <w:fldChar w:fldCharType="separate"/>
            </w:r>
            <w:r w:rsidR="002A64A1">
              <w:rPr>
                <w:noProof/>
                <w:webHidden/>
              </w:rPr>
              <w:t>5</w:t>
            </w:r>
            <w:r w:rsidR="00AF757C">
              <w:rPr>
                <w:noProof/>
                <w:webHidden/>
              </w:rPr>
              <w:fldChar w:fldCharType="end"/>
            </w:r>
          </w:hyperlink>
        </w:p>
        <w:p w14:paraId="7F5985CD" w14:textId="77777777" w:rsidR="00AF757C" w:rsidRDefault="00955757">
          <w:pPr>
            <w:pStyle w:val="TDC7"/>
            <w:rPr>
              <w:rFonts w:asciiTheme="minorHAnsi" w:eastAsiaTheme="minorEastAsia" w:hAnsiTheme="minorHAnsi" w:cstheme="minorBidi"/>
              <w:noProof/>
            </w:rPr>
          </w:pPr>
          <w:hyperlink w:anchor="_Toc224832395" w:history="1">
            <w:r w:rsidR="00AF757C" w:rsidRPr="006B4198">
              <w:rPr>
                <w:rStyle w:val="Hipervnculo"/>
                <w:noProof/>
              </w:rPr>
              <w:t>C O N S I D E R A N D O S</w:t>
            </w:r>
            <w:r w:rsidR="00AF757C">
              <w:rPr>
                <w:noProof/>
                <w:webHidden/>
              </w:rPr>
              <w:tab/>
            </w:r>
            <w:r w:rsidR="00AF757C">
              <w:rPr>
                <w:noProof/>
                <w:webHidden/>
              </w:rPr>
              <w:fldChar w:fldCharType="begin"/>
            </w:r>
            <w:r w:rsidR="00AF757C">
              <w:rPr>
                <w:noProof/>
                <w:webHidden/>
              </w:rPr>
              <w:instrText xml:space="preserve"> PAGEREF _Toc224832395 \h </w:instrText>
            </w:r>
            <w:r w:rsidR="00AF757C">
              <w:rPr>
                <w:noProof/>
                <w:webHidden/>
              </w:rPr>
            </w:r>
            <w:r w:rsidR="00AF757C">
              <w:rPr>
                <w:noProof/>
                <w:webHidden/>
              </w:rPr>
              <w:fldChar w:fldCharType="separate"/>
            </w:r>
            <w:r w:rsidR="002A64A1">
              <w:rPr>
                <w:noProof/>
                <w:webHidden/>
              </w:rPr>
              <w:t>6</w:t>
            </w:r>
            <w:r w:rsidR="00AF757C">
              <w:rPr>
                <w:noProof/>
                <w:webHidden/>
              </w:rPr>
              <w:fldChar w:fldCharType="end"/>
            </w:r>
          </w:hyperlink>
        </w:p>
        <w:p w14:paraId="286EFDFD" w14:textId="77777777" w:rsidR="00AF757C" w:rsidRDefault="00955757">
          <w:pPr>
            <w:pStyle w:val="TDC8"/>
            <w:rPr>
              <w:rFonts w:asciiTheme="minorHAnsi" w:eastAsiaTheme="minorEastAsia" w:hAnsiTheme="minorHAnsi" w:cstheme="minorBidi"/>
              <w:noProof/>
            </w:rPr>
          </w:pPr>
          <w:hyperlink w:anchor="_Toc224832396" w:history="1">
            <w:r w:rsidR="00AF757C" w:rsidRPr="006B4198">
              <w:rPr>
                <w:rStyle w:val="Hipervnculo"/>
                <w:noProof/>
              </w:rPr>
              <w:t>PRIMERO. Competencia</w:t>
            </w:r>
            <w:r w:rsidR="00AF757C">
              <w:rPr>
                <w:noProof/>
                <w:webHidden/>
              </w:rPr>
              <w:tab/>
            </w:r>
            <w:r w:rsidR="00AF757C">
              <w:rPr>
                <w:noProof/>
                <w:webHidden/>
              </w:rPr>
              <w:fldChar w:fldCharType="begin"/>
            </w:r>
            <w:r w:rsidR="00AF757C">
              <w:rPr>
                <w:noProof/>
                <w:webHidden/>
              </w:rPr>
              <w:instrText xml:space="preserve"> PAGEREF _Toc224832396 \h </w:instrText>
            </w:r>
            <w:r w:rsidR="00AF757C">
              <w:rPr>
                <w:noProof/>
                <w:webHidden/>
              </w:rPr>
            </w:r>
            <w:r w:rsidR="00AF757C">
              <w:rPr>
                <w:noProof/>
                <w:webHidden/>
              </w:rPr>
              <w:fldChar w:fldCharType="separate"/>
            </w:r>
            <w:r w:rsidR="002A64A1">
              <w:rPr>
                <w:noProof/>
                <w:webHidden/>
              </w:rPr>
              <w:t>7</w:t>
            </w:r>
            <w:r w:rsidR="00AF757C">
              <w:rPr>
                <w:noProof/>
                <w:webHidden/>
              </w:rPr>
              <w:fldChar w:fldCharType="end"/>
            </w:r>
          </w:hyperlink>
        </w:p>
        <w:p w14:paraId="451297C5" w14:textId="77777777" w:rsidR="00AF757C" w:rsidRDefault="00955757">
          <w:pPr>
            <w:pStyle w:val="TDC8"/>
            <w:rPr>
              <w:rFonts w:asciiTheme="minorHAnsi" w:eastAsiaTheme="minorEastAsia" w:hAnsiTheme="minorHAnsi" w:cstheme="minorBidi"/>
              <w:noProof/>
            </w:rPr>
          </w:pPr>
          <w:hyperlink w:anchor="_Toc224832397" w:history="1">
            <w:r w:rsidR="00AF757C" w:rsidRPr="006B4198">
              <w:rPr>
                <w:rStyle w:val="Hipervnculo"/>
                <w:noProof/>
              </w:rPr>
              <w:t>SEGUNDO. Causales de improcedencia y sobreseimiento</w:t>
            </w:r>
            <w:r w:rsidR="00AF757C">
              <w:rPr>
                <w:noProof/>
                <w:webHidden/>
              </w:rPr>
              <w:tab/>
            </w:r>
            <w:r w:rsidR="00AF757C">
              <w:rPr>
                <w:noProof/>
                <w:webHidden/>
              </w:rPr>
              <w:fldChar w:fldCharType="begin"/>
            </w:r>
            <w:r w:rsidR="00AF757C">
              <w:rPr>
                <w:noProof/>
                <w:webHidden/>
              </w:rPr>
              <w:instrText xml:space="preserve"> PAGEREF _Toc224832397 \h </w:instrText>
            </w:r>
            <w:r w:rsidR="00AF757C">
              <w:rPr>
                <w:noProof/>
                <w:webHidden/>
              </w:rPr>
            </w:r>
            <w:r w:rsidR="00AF757C">
              <w:rPr>
                <w:noProof/>
                <w:webHidden/>
              </w:rPr>
              <w:fldChar w:fldCharType="separate"/>
            </w:r>
            <w:r w:rsidR="002A64A1">
              <w:rPr>
                <w:noProof/>
                <w:webHidden/>
              </w:rPr>
              <w:t>7</w:t>
            </w:r>
            <w:r w:rsidR="00AF757C">
              <w:rPr>
                <w:noProof/>
                <w:webHidden/>
              </w:rPr>
              <w:fldChar w:fldCharType="end"/>
            </w:r>
          </w:hyperlink>
        </w:p>
        <w:p w14:paraId="755537A1" w14:textId="77777777" w:rsidR="00AF757C" w:rsidRDefault="00955757">
          <w:pPr>
            <w:pStyle w:val="TDC8"/>
            <w:rPr>
              <w:rFonts w:asciiTheme="minorHAnsi" w:eastAsiaTheme="minorEastAsia" w:hAnsiTheme="minorHAnsi" w:cstheme="minorBidi"/>
              <w:noProof/>
            </w:rPr>
          </w:pPr>
          <w:hyperlink w:anchor="_Toc224832398" w:history="1">
            <w:r w:rsidR="00AF757C" w:rsidRPr="006B4198">
              <w:rPr>
                <w:rStyle w:val="Hipervnculo"/>
                <w:noProof/>
              </w:rPr>
              <w:t>TERCERO. Determinación de la Controversia</w:t>
            </w:r>
            <w:r w:rsidR="00AF757C">
              <w:rPr>
                <w:noProof/>
                <w:webHidden/>
              </w:rPr>
              <w:tab/>
            </w:r>
            <w:r w:rsidR="00AF757C">
              <w:rPr>
                <w:noProof/>
                <w:webHidden/>
              </w:rPr>
              <w:fldChar w:fldCharType="begin"/>
            </w:r>
            <w:r w:rsidR="00AF757C">
              <w:rPr>
                <w:noProof/>
                <w:webHidden/>
              </w:rPr>
              <w:instrText xml:space="preserve"> PAGEREF _Toc224832398 \h </w:instrText>
            </w:r>
            <w:r w:rsidR="00AF757C">
              <w:rPr>
                <w:noProof/>
                <w:webHidden/>
              </w:rPr>
            </w:r>
            <w:r w:rsidR="00AF757C">
              <w:rPr>
                <w:noProof/>
                <w:webHidden/>
              </w:rPr>
              <w:fldChar w:fldCharType="separate"/>
            </w:r>
            <w:r w:rsidR="002A64A1">
              <w:rPr>
                <w:noProof/>
                <w:webHidden/>
              </w:rPr>
              <w:t>9</w:t>
            </w:r>
            <w:r w:rsidR="00AF757C">
              <w:rPr>
                <w:noProof/>
                <w:webHidden/>
              </w:rPr>
              <w:fldChar w:fldCharType="end"/>
            </w:r>
          </w:hyperlink>
        </w:p>
        <w:p w14:paraId="61441E3D" w14:textId="77777777" w:rsidR="00AF757C" w:rsidRDefault="00955757">
          <w:pPr>
            <w:pStyle w:val="TDC8"/>
            <w:rPr>
              <w:rFonts w:asciiTheme="minorHAnsi" w:eastAsiaTheme="minorEastAsia" w:hAnsiTheme="minorHAnsi" w:cstheme="minorBidi"/>
              <w:noProof/>
            </w:rPr>
          </w:pPr>
          <w:hyperlink w:anchor="_Toc224832399" w:history="1">
            <w:r w:rsidR="00AF757C" w:rsidRPr="006B4198">
              <w:rPr>
                <w:rStyle w:val="Hipervnculo"/>
                <w:noProof/>
              </w:rPr>
              <w:t>CUARTO. Marco normativo aplicable en materia de transparencia y acceso a la información pública</w:t>
            </w:r>
            <w:r w:rsidR="00AF757C">
              <w:rPr>
                <w:noProof/>
                <w:webHidden/>
              </w:rPr>
              <w:tab/>
            </w:r>
            <w:r w:rsidR="00AF757C">
              <w:rPr>
                <w:noProof/>
                <w:webHidden/>
              </w:rPr>
              <w:fldChar w:fldCharType="begin"/>
            </w:r>
            <w:r w:rsidR="00AF757C">
              <w:rPr>
                <w:noProof/>
                <w:webHidden/>
              </w:rPr>
              <w:instrText xml:space="preserve"> PAGEREF _Toc224832399 \h </w:instrText>
            </w:r>
            <w:r w:rsidR="00AF757C">
              <w:rPr>
                <w:noProof/>
                <w:webHidden/>
              </w:rPr>
            </w:r>
            <w:r w:rsidR="00AF757C">
              <w:rPr>
                <w:noProof/>
                <w:webHidden/>
              </w:rPr>
              <w:fldChar w:fldCharType="separate"/>
            </w:r>
            <w:r w:rsidR="002A64A1">
              <w:rPr>
                <w:noProof/>
                <w:webHidden/>
              </w:rPr>
              <w:t>10</w:t>
            </w:r>
            <w:r w:rsidR="00AF757C">
              <w:rPr>
                <w:noProof/>
                <w:webHidden/>
              </w:rPr>
              <w:fldChar w:fldCharType="end"/>
            </w:r>
          </w:hyperlink>
        </w:p>
        <w:p w14:paraId="0D48E2A7" w14:textId="77777777" w:rsidR="00AF757C" w:rsidRDefault="00955757">
          <w:pPr>
            <w:pStyle w:val="TDC8"/>
            <w:rPr>
              <w:rFonts w:asciiTheme="minorHAnsi" w:eastAsiaTheme="minorEastAsia" w:hAnsiTheme="minorHAnsi" w:cstheme="minorBidi"/>
              <w:noProof/>
            </w:rPr>
          </w:pPr>
          <w:hyperlink w:anchor="_Toc224832400" w:history="1">
            <w:r w:rsidR="00AF757C" w:rsidRPr="006B4198">
              <w:rPr>
                <w:rStyle w:val="Hipervnculo"/>
                <w:noProof/>
              </w:rPr>
              <w:t>Quinto. Estudio de Fondo</w:t>
            </w:r>
            <w:r w:rsidR="00AF757C">
              <w:rPr>
                <w:noProof/>
                <w:webHidden/>
              </w:rPr>
              <w:tab/>
            </w:r>
            <w:r w:rsidR="00AF757C">
              <w:rPr>
                <w:noProof/>
                <w:webHidden/>
              </w:rPr>
              <w:fldChar w:fldCharType="begin"/>
            </w:r>
            <w:r w:rsidR="00AF757C">
              <w:rPr>
                <w:noProof/>
                <w:webHidden/>
              </w:rPr>
              <w:instrText xml:space="preserve"> PAGEREF _Toc224832400 \h </w:instrText>
            </w:r>
            <w:r w:rsidR="00AF757C">
              <w:rPr>
                <w:noProof/>
                <w:webHidden/>
              </w:rPr>
            </w:r>
            <w:r w:rsidR="00AF757C">
              <w:rPr>
                <w:noProof/>
                <w:webHidden/>
              </w:rPr>
              <w:fldChar w:fldCharType="separate"/>
            </w:r>
            <w:r w:rsidR="002A64A1">
              <w:rPr>
                <w:noProof/>
                <w:webHidden/>
              </w:rPr>
              <w:t>11</w:t>
            </w:r>
            <w:r w:rsidR="00AF757C">
              <w:rPr>
                <w:noProof/>
                <w:webHidden/>
              </w:rPr>
              <w:fldChar w:fldCharType="end"/>
            </w:r>
          </w:hyperlink>
        </w:p>
        <w:p w14:paraId="402BE800" w14:textId="77777777" w:rsidR="00AF757C" w:rsidRDefault="00955757">
          <w:pPr>
            <w:pStyle w:val="TDC8"/>
            <w:rPr>
              <w:rFonts w:asciiTheme="minorHAnsi" w:eastAsiaTheme="minorEastAsia" w:hAnsiTheme="minorHAnsi" w:cstheme="minorBidi"/>
              <w:noProof/>
            </w:rPr>
          </w:pPr>
          <w:hyperlink w:anchor="_Toc224832401" w:history="1">
            <w:r w:rsidR="00AF757C" w:rsidRPr="006B4198">
              <w:rPr>
                <w:rStyle w:val="Hipervnculo"/>
                <w:noProof/>
              </w:rPr>
              <w:t>SEXTO. Decisión</w:t>
            </w:r>
            <w:r w:rsidR="00AF757C">
              <w:rPr>
                <w:noProof/>
                <w:webHidden/>
              </w:rPr>
              <w:tab/>
            </w:r>
            <w:r w:rsidR="00AF757C">
              <w:rPr>
                <w:noProof/>
                <w:webHidden/>
              </w:rPr>
              <w:fldChar w:fldCharType="begin"/>
            </w:r>
            <w:r w:rsidR="00AF757C">
              <w:rPr>
                <w:noProof/>
                <w:webHidden/>
              </w:rPr>
              <w:instrText xml:space="preserve"> PAGEREF _Toc224832401 \h </w:instrText>
            </w:r>
            <w:r w:rsidR="00AF757C">
              <w:rPr>
                <w:noProof/>
                <w:webHidden/>
              </w:rPr>
            </w:r>
            <w:r w:rsidR="00AF757C">
              <w:rPr>
                <w:noProof/>
                <w:webHidden/>
              </w:rPr>
              <w:fldChar w:fldCharType="separate"/>
            </w:r>
            <w:r w:rsidR="002A64A1">
              <w:rPr>
                <w:noProof/>
                <w:webHidden/>
              </w:rPr>
              <w:t>25</w:t>
            </w:r>
            <w:r w:rsidR="00AF757C">
              <w:rPr>
                <w:noProof/>
                <w:webHidden/>
              </w:rPr>
              <w:fldChar w:fldCharType="end"/>
            </w:r>
          </w:hyperlink>
        </w:p>
        <w:p w14:paraId="6F701ED7" w14:textId="77777777" w:rsidR="00AF757C" w:rsidRDefault="00955757">
          <w:pPr>
            <w:pStyle w:val="TDC7"/>
            <w:rPr>
              <w:rFonts w:asciiTheme="minorHAnsi" w:eastAsiaTheme="minorEastAsia" w:hAnsiTheme="minorHAnsi" w:cstheme="minorBidi"/>
              <w:noProof/>
            </w:rPr>
          </w:pPr>
          <w:hyperlink w:anchor="_Toc224832402" w:history="1">
            <w:r w:rsidR="00AF757C" w:rsidRPr="006B4198">
              <w:rPr>
                <w:rStyle w:val="Hipervnculo"/>
                <w:noProof/>
              </w:rPr>
              <w:t>R E S U E L V E</w:t>
            </w:r>
            <w:r w:rsidR="00AF757C">
              <w:rPr>
                <w:noProof/>
                <w:webHidden/>
              </w:rPr>
              <w:tab/>
            </w:r>
            <w:r w:rsidR="00AF757C">
              <w:rPr>
                <w:noProof/>
                <w:webHidden/>
              </w:rPr>
              <w:fldChar w:fldCharType="begin"/>
            </w:r>
            <w:r w:rsidR="00AF757C">
              <w:rPr>
                <w:noProof/>
                <w:webHidden/>
              </w:rPr>
              <w:instrText xml:space="preserve"> PAGEREF _Toc224832402 \h </w:instrText>
            </w:r>
            <w:r w:rsidR="00AF757C">
              <w:rPr>
                <w:noProof/>
                <w:webHidden/>
              </w:rPr>
            </w:r>
            <w:r w:rsidR="00AF757C">
              <w:rPr>
                <w:noProof/>
                <w:webHidden/>
              </w:rPr>
              <w:fldChar w:fldCharType="separate"/>
            </w:r>
            <w:r w:rsidR="002A64A1">
              <w:rPr>
                <w:noProof/>
                <w:webHidden/>
              </w:rPr>
              <w:t>26</w:t>
            </w:r>
            <w:r w:rsidR="00AF757C">
              <w:rPr>
                <w:noProof/>
                <w:webHidden/>
              </w:rPr>
              <w:fldChar w:fldCharType="end"/>
            </w:r>
          </w:hyperlink>
        </w:p>
        <w:p w14:paraId="1563A3EE" w14:textId="2EA8DA10" w:rsidR="0083110F" w:rsidRDefault="0083110F">
          <w:r>
            <w:fldChar w:fldCharType="end"/>
          </w:r>
        </w:p>
      </w:sdtContent>
    </w:sdt>
    <w:p w14:paraId="6A3C35B2" w14:textId="6DFFCA25" w:rsidR="00EE2E4D" w:rsidRPr="0083110F" w:rsidRDefault="00035B71" w:rsidP="0083110F">
      <w:pPr>
        <w:pStyle w:val="Ttulo7"/>
      </w:pPr>
      <w:r w:rsidRPr="00035B71">
        <w:br w:type="column"/>
      </w:r>
    </w:p>
    <w:p w14:paraId="22E4D43E" w14:textId="618B5602" w:rsidR="00AD2507" w:rsidRPr="00035B71" w:rsidRDefault="00F10379" w:rsidP="001A1400">
      <w:pPr>
        <w:tabs>
          <w:tab w:val="left" w:pos="8931"/>
        </w:tabs>
        <w:spacing w:after="0" w:line="360" w:lineRule="auto"/>
      </w:pPr>
      <w:r w:rsidRPr="00035B71">
        <w:t xml:space="preserve">Resolución del Pleno del Instituto de Transparencia, Acceso a la Información Pública y Protección de Datos Personales del Estado de México y Municipios, con domicilio en Metepec, Estado de México, de fecha </w:t>
      </w:r>
      <w:r w:rsidR="005E0AB8">
        <w:t>diecinueve de marzo de dos mil veintiséis</w:t>
      </w:r>
      <w:r w:rsidRPr="00035B71">
        <w:t xml:space="preserve">. </w:t>
      </w:r>
    </w:p>
    <w:p w14:paraId="3FAF1B8D" w14:textId="77777777" w:rsidR="00AD2507" w:rsidRPr="00035B71" w:rsidRDefault="00AD2507" w:rsidP="001A1400">
      <w:pPr>
        <w:spacing w:after="0" w:line="360" w:lineRule="auto"/>
        <w:rPr>
          <w:b/>
        </w:rPr>
      </w:pPr>
    </w:p>
    <w:p w14:paraId="3BC0BF93" w14:textId="4CD14F27" w:rsidR="0062581E" w:rsidRPr="00035B71" w:rsidRDefault="00F10379" w:rsidP="001A1400">
      <w:pPr>
        <w:spacing w:after="0" w:line="360" w:lineRule="auto"/>
        <w:rPr>
          <w:color w:val="0D0D0D"/>
        </w:rPr>
      </w:pPr>
      <w:r w:rsidRPr="00035B71">
        <w:rPr>
          <w:b/>
        </w:rPr>
        <w:t xml:space="preserve">VISTO </w:t>
      </w:r>
      <w:r w:rsidRPr="00035B71">
        <w:t xml:space="preserve">el expediente electrónico conformado con motivo del Recurso de Revisión </w:t>
      </w:r>
      <w:r w:rsidR="005E0AB8" w:rsidRPr="00CE04C0">
        <w:rPr>
          <w:b/>
        </w:rPr>
        <w:t>11861</w:t>
      </w:r>
      <w:r w:rsidRPr="00CE04C0">
        <w:rPr>
          <w:b/>
        </w:rPr>
        <w:t>/</w:t>
      </w:r>
      <w:r w:rsidR="00234239" w:rsidRPr="00CE04C0">
        <w:rPr>
          <w:b/>
        </w:rPr>
        <w:t>INFOEM/IP/RR/2025,</w:t>
      </w:r>
      <w:r w:rsidR="00234239" w:rsidRPr="00035B71">
        <w:t xml:space="preserve"> interpuesto por </w:t>
      </w:r>
      <w:r w:rsidR="005E0AB8">
        <w:t>la persona</w:t>
      </w:r>
      <w:r w:rsidRPr="00035B71">
        <w:t xml:space="preserve"> </w:t>
      </w:r>
      <w:r w:rsidRPr="00035B71">
        <w:rPr>
          <w:color w:val="0D0D0D"/>
        </w:rPr>
        <w:t xml:space="preserve">Recurrente o Particular, en contra de la respuesta del Sujeto Obligado, </w:t>
      </w:r>
      <w:bookmarkStart w:id="0" w:name="_GoBack"/>
      <w:r w:rsidR="00234239" w:rsidRPr="00CE04C0">
        <w:rPr>
          <w:b/>
        </w:rPr>
        <w:t>Secretaría de Seguridad</w:t>
      </w:r>
      <w:bookmarkEnd w:id="0"/>
      <w:r w:rsidRPr="00035B71">
        <w:rPr>
          <w:color w:val="0D0D0D"/>
        </w:rPr>
        <w:t>, a la solicitud de acceso a la información pública</w:t>
      </w:r>
      <w:r w:rsidRPr="00035B71">
        <w:rPr>
          <w:rFonts w:eastAsia="Verdana" w:cs="Verdana"/>
          <w:b/>
          <w:color w:val="FF0000"/>
        </w:rPr>
        <w:t xml:space="preserve"> </w:t>
      </w:r>
      <w:r w:rsidR="00234239" w:rsidRPr="00035B71">
        <w:rPr>
          <w:color w:val="000000"/>
        </w:rPr>
        <w:t>0</w:t>
      </w:r>
      <w:r w:rsidR="005E0AB8">
        <w:rPr>
          <w:color w:val="000000"/>
        </w:rPr>
        <w:t>0450</w:t>
      </w:r>
      <w:r w:rsidR="00234239" w:rsidRPr="00035B71">
        <w:rPr>
          <w:color w:val="000000"/>
        </w:rPr>
        <w:t>/SSEM/IP/2025</w:t>
      </w:r>
      <w:r w:rsidRPr="00035B71">
        <w:rPr>
          <w:color w:val="000000"/>
        </w:rPr>
        <w:t xml:space="preserve">, </w:t>
      </w:r>
      <w:r w:rsidRPr="00035B71">
        <w:rPr>
          <w:color w:val="0D0D0D"/>
        </w:rPr>
        <w:t>se emite la presente Resolución, con base en los Antecedentes y Considerandos que se exponen a continuación:</w:t>
      </w:r>
    </w:p>
    <w:p w14:paraId="58CF1ABE" w14:textId="77777777" w:rsidR="00AD2507" w:rsidRPr="00035B71" w:rsidRDefault="00AD2507" w:rsidP="001A1400">
      <w:pPr>
        <w:spacing w:after="0" w:line="360" w:lineRule="auto"/>
        <w:rPr>
          <w:b/>
        </w:rPr>
      </w:pPr>
    </w:p>
    <w:p w14:paraId="1C41D19A" w14:textId="77777777" w:rsidR="00AD2507" w:rsidRPr="00035B71" w:rsidRDefault="00F10379" w:rsidP="0083110F">
      <w:pPr>
        <w:pStyle w:val="Ttulo7"/>
      </w:pPr>
      <w:bookmarkStart w:id="1" w:name="_Toc224832389"/>
      <w:r w:rsidRPr="00035B71">
        <w:t>A N T E C E D E N T E S</w:t>
      </w:r>
      <w:bookmarkEnd w:id="1"/>
    </w:p>
    <w:p w14:paraId="2412CDF9" w14:textId="77777777" w:rsidR="00AD2507" w:rsidRPr="00035B71" w:rsidRDefault="00AD2507" w:rsidP="001A1400">
      <w:pPr>
        <w:spacing w:after="0" w:line="360" w:lineRule="auto"/>
        <w:jc w:val="center"/>
        <w:rPr>
          <w:b/>
        </w:rPr>
      </w:pPr>
    </w:p>
    <w:p w14:paraId="007498CF" w14:textId="77777777" w:rsidR="00AD2507" w:rsidRPr="00035B71" w:rsidRDefault="00F10379" w:rsidP="0083110F">
      <w:pPr>
        <w:pStyle w:val="Ttulo8"/>
      </w:pPr>
      <w:bookmarkStart w:id="2" w:name="_Toc224832390"/>
      <w:r w:rsidRPr="00035B71">
        <w:t>I. Presentación de la solicitud de información</w:t>
      </w:r>
      <w:bookmarkEnd w:id="2"/>
    </w:p>
    <w:p w14:paraId="1416FE64" w14:textId="77777777" w:rsidR="00AD2507" w:rsidRPr="00035B71" w:rsidRDefault="00AD2507" w:rsidP="001A1400">
      <w:pPr>
        <w:spacing w:after="0" w:line="360" w:lineRule="auto"/>
        <w:rPr>
          <w:b/>
        </w:rPr>
      </w:pPr>
    </w:p>
    <w:p w14:paraId="5129F6DA" w14:textId="25E96EED" w:rsidR="00AD2507" w:rsidRPr="00035B71" w:rsidRDefault="00F10379" w:rsidP="001A1400">
      <w:pPr>
        <w:spacing w:after="0" w:line="360" w:lineRule="auto"/>
      </w:pPr>
      <w:r w:rsidRPr="00035B71">
        <w:t xml:space="preserve">Con fecha </w:t>
      </w:r>
      <w:r w:rsidR="00234239" w:rsidRPr="00035B71">
        <w:t>dos de septiembre</w:t>
      </w:r>
      <w:r w:rsidRPr="00035B71">
        <w:t xml:space="preserve"> de dos mil veinticinco, el Particular presentó una solicitud de acceso a la información </w:t>
      </w:r>
      <w:r w:rsidR="00935C16" w:rsidRPr="00035B71">
        <w:t>pública a</w:t>
      </w:r>
      <w:r w:rsidRPr="00035B71">
        <w:t xml:space="preserve"> través del Sistema de Acceso a la Información Mexiquense (SAIMEX), ante el Sujeto Obligado, en los siguientes términos: </w:t>
      </w:r>
    </w:p>
    <w:p w14:paraId="51EFFB33" w14:textId="77777777" w:rsidR="00AD2507" w:rsidRPr="00035B71" w:rsidRDefault="00AD2507" w:rsidP="001A1400">
      <w:pPr>
        <w:pBdr>
          <w:top w:val="nil"/>
          <w:left w:val="nil"/>
          <w:bottom w:val="nil"/>
          <w:right w:val="nil"/>
          <w:between w:val="nil"/>
        </w:pBdr>
        <w:tabs>
          <w:tab w:val="left" w:pos="567"/>
        </w:tabs>
        <w:spacing w:after="0" w:line="360" w:lineRule="auto"/>
        <w:rPr>
          <w:color w:val="000000"/>
        </w:rPr>
      </w:pPr>
    </w:p>
    <w:p w14:paraId="7E84A831" w14:textId="77777777" w:rsidR="00AD2507" w:rsidRPr="00035B71" w:rsidRDefault="00F10379" w:rsidP="001A1400">
      <w:pPr>
        <w:tabs>
          <w:tab w:val="left" w:pos="4667"/>
        </w:tabs>
        <w:spacing w:after="0" w:line="360" w:lineRule="auto"/>
        <w:ind w:left="567" w:right="567"/>
        <w:rPr>
          <w:b/>
          <w:i/>
          <w:sz w:val="20"/>
          <w:szCs w:val="20"/>
        </w:rPr>
      </w:pPr>
      <w:r w:rsidRPr="00035B71">
        <w:rPr>
          <w:b/>
          <w:i/>
          <w:sz w:val="20"/>
          <w:szCs w:val="20"/>
        </w:rPr>
        <w:t>“DESCRIPCIÓN CLARA Y PRECISA DE LA INFORMACIÓN SOLICITADA</w:t>
      </w:r>
    </w:p>
    <w:p w14:paraId="423569BE" w14:textId="2A3E2067" w:rsidR="00AD2507" w:rsidRPr="00035B71" w:rsidRDefault="005E0AB8" w:rsidP="001A1400">
      <w:pPr>
        <w:spacing w:after="0" w:line="360" w:lineRule="auto"/>
        <w:ind w:left="567" w:right="567"/>
        <w:rPr>
          <w:i/>
          <w:sz w:val="20"/>
          <w:szCs w:val="20"/>
        </w:rPr>
      </w:pPr>
      <w:proofErr w:type="gramStart"/>
      <w:r w:rsidRPr="005E0AB8">
        <w:rPr>
          <w:i/>
          <w:sz w:val="20"/>
          <w:szCs w:val="20"/>
        </w:rPr>
        <w:t>cuantas</w:t>
      </w:r>
      <w:proofErr w:type="gramEnd"/>
      <w:r w:rsidRPr="005E0AB8">
        <w:rPr>
          <w:i/>
          <w:sz w:val="20"/>
          <w:szCs w:val="20"/>
        </w:rPr>
        <w:t xml:space="preserve"> patrullas tienen en total?</w:t>
      </w:r>
      <w:r w:rsidR="00F10379" w:rsidRPr="00035B71">
        <w:rPr>
          <w:i/>
          <w:sz w:val="20"/>
          <w:szCs w:val="20"/>
        </w:rPr>
        <w:t>” (Sic)</w:t>
      </w:r>
    </w:p>
    <w:p w14:paraId="1626874D" w14:textId="77777777" w:rsidR="00AD2507" w:rsidRPr="00035B71" w:rsidRDefault="00AD2507" w:rsidP="001A1400">
      <w:pPr>
        <w:tabs>
          <w:tab w:val="left" w:pos="4667"/>
        </w:tabs>
        <w:spacing w:after="0" w:line="360" w:lineRule="auto"/>
        <w:ind w:right="567"/>
        <w:rPr>
          <w:i/>
          <w:sz w:val="20"/>
          <w:szCs w:val="20"/>
        </w:rPr>
      </w:pPr>
    </w:p>
    <w:p w14:paraId="5F215050" w14:textId="77777777" w:rsidR="00AD2507" w:rsidRPr="00035B71" w:rsidRDefault="00F10379" w:rsidP="001A1400">
      <w:pPr>
        <w:tabs>
          <w:tab w:val="left" w:pos="4667"/>
        </w:tabs>
        <w:spacing w:after="0" w:line="360" w:lineRule="auto"/>
        <w:ind w:left="567" w:right="567"/>
        <w:rPr>
          <w:b/>
          <w:i/>
          <w:sz w:val="20"/>
          <w:szCs w:val="20"/>
        </w:rPr>
      </w:pPr>
      <w:r w:rsidRPr="00035B71">
        <w:rPr>
          <w:b/>
          <w:i/>
          <w:sz w:val="20"/>
          <w:szCs w:val="20"/>
        </w:rPr>
        <w:t>“MODALIDAD DE ENTREGA</w:t>
      </w:r>
    </w:p>
    <w:p w14:paraId="1C1307DF" w14:textId="77777777" w:rsidR="00AD2507" w:rsidRPr="00035B71" w:rsidRDefault="00F10379" w:rsidP="001A1400">
      <w:pPr>
        <w:spacing w:after="0" w:line="360" w:lineRule="auto"/>
        <w:ind w:left="567" w:right="567"/>
        <w:rPr>
          <w:i/>
          <w:sz w:val="20"/>
          <w:szCs w:val="20"/>
        </w:rPr>
      </w:pPr>
      <w:r w:rsidRPr="00035B71">
        <w:rPr>
          <w:i/>
          <w:sz w:val="20"/>
          <w:szCs w:val="20"/>
        </w:rPr>
        <w:t>A través del SAIMEX”</w:t>
      </w:r>
    </w:p>
    <w:p w14:paraId="1E367C36" w14:textId="77777777" w:rsidR="00035B71" w:rsidRPr="00035B71" w:rsidRDefault="00035B71" w:rsidP="001A1400">
      <w:pPr>
        <w:tabs>
          <w:tab w:val="left" w:pos="4667"/>
        </w:tabs>
        <w:spacing w:after="0" w:line="360" w:lineRule="auto"/>
        <w:ind w:right="567"/>
        <w:rPr>
          <w:b/>
        </w:rPr>
      </w:pPr>
    </w:p>
    <w:p w14:paraId="3327EF6D" w14:textId="6D1E0809" w:rsidR="005E0AB8" w:rsidRPr="00C10D1E" w:rsidRDefault="00F10379" w:rsidP="0083110F">
      <w:pPr>
        <w:pStyle w:val="Ttulo8"/>
        <w:rPr>
          <w:szCs w:val="36"/>
          <w:lang w:eastAsia="en-US"/>
        </w:rPr>
      </w:pPr>
      <w:bookmarkStart w:id="3" w:name="_Toc224832391"/>
      <w:r w:rsidRPr="00035B71">
        <w:t xml:space="preserve">II. </w:t>
      </w:r>
      <w:r w:rsidR="005E0AB8" w:rsidRPr="00C10D1E">
        <w:rPr>
          <w:lang w:eastAsia="en-US"/>
        </w:rPr>
        <w:t>Prórroga para atender la</w:t>
      </w:r>
      <w:r w:rsidR="005E0AB8">
        <w:rPr>
          <w:lang w:eastAsia="en-US"/>
        </w:rPr>
        <w:t xml:space="preserve"> Solicitud de información</w:t>
      </w:r>
      <w:bookmarkEnd w:id="3"/>
    </w:p>
    <w:p w14:paraId="1E18F45A" w14:textId="77777777" w:rsidR="005E0AB8" w:rsidRPr="00C10D1E" w:rsidRDefault="005E0AB8" w:rsidP="001A1400">
      <w:pPr>
        <w:spacing w:after="0" w:line="360" w:lineRule="auto"/>
        <w:contextualSpacing/>
        <w:rPr>
          <w:rFonts w:eastAsia="Calibri" w:cs="Tahoma"/>
          <w:b/>
          <w:bCs/>
          <w:color w:val="000000"/>
          <w:lang w:eastAsia="en-US"/>
        </w:rPr>
      </w:pPr>
    </w:p>
    <w:p w14:paraId="3E62ECAC" w14:textId="0A28641E" w:rsidR="005E0AB8" w:rsidRPr="00C10D1E" w:rsidRDefault="005E0AB8" w:rsidP="001A1400">
      <w:pPr>
        <w:spacing w:after="0" w:line="360" w:lineRule="auto"/>
        <w:rPr>
          <w:rFonts w:cs="Arial"/>
          <w:bCs/>
          <w:color w:val="000000"/>
          <w:szCs w:val="24"/>
        </w:rPr>
      </w:pPr>
      <w:r w:rsidRPr="00C10D1E">
        <w:rPr>
          <w:rFonts w:eastAsia="Calibri" w:cs="Tahoma"/>
          <w:bCs/>
          <w:color w:val="000000"/>
          <w:lang w:eastAsia="en-US"/>
        </w:rPr>
        <w:lastRenderedPageBreak/>
        <w:t xml:space="preserve">El </w:t>
      </w:r>
      <w:r>
        <w:rPr>
          <w:rFonts w:eastAsia="Calibri" w:cs="Tahoma"/>
          <w:bCs/>
          <w:color w:val="000000"/>
          <w:lang w:eastAsia="en-US"/>
        </w:rPr>
        <w:t>veinticuatro de septiembre</w:t>
      </w:r>
      <w:r w:rsidRPr="00C10D1E">
        <w:rPr>
          <w:rFonts w:eastAsia="Calibri" w:cs="Tahoma"/>
          <w:bCs/>
          <w:color w:val="000000"/>
          <w:lang w:eastAsia="en-US"/>
        </w:rPr>
        <w:t xml:space="preserve"> de dos mil </w:t>
      </w:r>
      <w:r>
        <w:rPr>
          <w:rFonts w:eastAsia="Calibri" w:cs="Tahoma"/>
          <w:bCs/>
          <w:color w:val="000000"/>
          <w:lang w:eastAsia="en-US"/>
        </w:rPr>
        <w:t>veintiséis</w:t>
      </w:r>
      <w:r w:rsidRPr="00C10D1E">
        <w:rPr>
          <w:rFonts w:eastAsia="Calibri" w:cs="Tahoma"/>
          <w:color w:val="000000"/>
          <w:lang w:eastAsia="en-US"/>
        </w:rPr>
        <w:t>, el Sujeto Obligado, a través del Sistema de Acceso a la Información Mexiquense (SAIMEX), notificó una prórroga, mediante</w:t>
      </w:r>
      <w:r>
        <w:rPr>
          <w:rFonts w:eastAsia="Calibri" w:cs="Tahoma"/>
          <w:color w:val="000000"/>
          <w:lang w:eastAsia="en-US"/>
        </w:rPr>
        <w:t xml:space="preserve"> el Acuerdo </w:t>
      </w:r>
      <w:r>
        <w:t>SS/CT/EXT/XI/003/2025,</w:t>
      </w:r>
      <w:r>
        <w:rPr>
          <w:rFonts w:eastAsia="Calibri" w:cs="Tahoma"/>
          <w:color w:val="000000"/>
          <w:lang w:eastAsia="en-US"/>
        </w:rPr>
        <w:t xml:space="preserve"> por el cual se</w:t>
      </w:r>
      <w:r w:rsidRPr="00C10D1E">
        <w:rPr>
          <w:rFonts w:eastAsia="Calibri" w:cs="Tahoma"/>
          <w:color w:val="000000"/>
          <w:lang w:eastAsia="en-US"/>
        </w:rPr>
        <w:t xml:space="preserve"> aprueba la ampliación de término para atender la solicitud de información</w:t>
      </w:r>
      <w:r w:rsidRPr="00C10D1E">
        <w:rPr>
          <w:rFonts w:eastAsia="Calibri" w:cs="Tahoma"/>
          <w:bCs/>
          <w:color w:val="000000"/>
          <w:lang w:eastAsia="en-US"/>
        </w:rPr>
        <w:t>.</w:t>
      </w:r>
    </w:p>
    <w:p w14:paraId="2C352EE3" w14:textId="77777777" w:rsidR="005E0AB8" w:rsidRDefault="005E0AB8" w:rsidP="001A1400">
      <w:pPr>
        <w:tabs>
          <w:tab w:val="left" w:pos="4667"/>
        </w:tabs>
        <w:spacing w:after="0" w:line="360" w:lineRule="auto"/>
        <w:ind w:right="567"/>
        <w:rPr>
          <w:b/>
        </w:rPr>
      </w:pPr>
    </w:p>
    <w:p w14:paraId="767F0F53" w14:textId="0052EFC5" w:rsidR="00AD2507" w:rsidRPr="00035B71" w:rsidRDefault="005E0AB8" w:rsidP="0083110F">
      <w:pPr>
        <w:pStyle w:val="Ttulo8"/>
      </w:pPr>
      <w:bookmarkStart w:id="4" w:name="_Toc224832392"/>
      <w:r>
        <w:t xml:space="preserve">III. </w:t>
      </w:r>
      <w:r w:rsidR="00F10379" w:rsidRPr="00035B71">
        <w:t>Respuesta del Sujeto Obligado</w:t>
      </w:r>
      <w:bookmarkEnd w:id="4"/>
    </w:p>
    <w:p w14:paraId="037BECA6" w14:textId="77777777" w:rsidR="00AD2507" w:rsidRPr="00035B71" w:rsidRDefault="00AD2507" w:rsidP="001A1400">
      <w:pPr>
        <w:spacing w:after="0" w:line="360" w:lineRule="auto"/>
        <w:rPr>
          <w:b/>
        </w:rPr>
      </w:pPr>
    </w:p>
    <w:p w14:paraId="44325BC5" w14:textId="15BBEF22" w:rsidR="00AD2507" w:rsidRDefault="00F10379" w:rsidP="001A1400">
      <w:pPr>
        <w:spacing w:after="0" w:line="360" w:lineRule="auto"/>
      </w:pPr>
      <w:r w:rsidRPr="00035B71">
        <w:t xml:space="preserve">El </w:t>
      </w:r>
      <w:r w:rsidR="00234239" w:rsidRPr="00035B71">
        <w:t xml:space="preserve">tres de </w:t>
      </w:r>
      <w:r w:rsidR="005E0AB8">
        <w:t>octubre</w:t>
      </w:r>
      <w:r w:rsidRPr="00035B71">
        <w:t xml:space="preserve"> de dos mil veinticinco, </w:t>
      </w:r>
      <w:r w:rsidR="00600D07" w:rsidRPr="00035B71">
        <w:t>la Secretaría de Seguridad</w:t>
      </w:r>
      <w:r w:rsidRPr="00035B71">
        <w:t xml:space="preserve">, notificó la respuesta a la solicitud, a través del Sistema de Acceso a la Información Mexiquense (SAIMEX), por medio </w:t>
      </w:r>
      <w:r w:rsidR="005E0AB8">
        <w:t>de la digitalización de los siguientes documentos:</w:t>
      </w:r>
    </w:p>
    <w:p w14:paraId="35488261" w14:textId="77777777" w:rsidR="005E0AB8" w:rsidRDefault="005E0AB8" w:rsidP="001A1400">
      <w:pPr>
        <w:spacing w:after="0" w:line="360" w:lineRule="auto"/>
      </w:pPr>
    </w:p>
    <w:p w14:paraId="5EF92CD1" w14:textId="3CE3FF36" w:rsidR="005E0AB8" w:rsidRDefault="005E0AB8" w:rsidP="001A1400">
      <w:pPr>
        <w:spacing w:after="0" w:line="360" w:lineRule="auto"/>
      </w:pPr>
      <w:r>
        <w:t xml:space="preserve">i) Oficio sin número, del tres de octubre de dos mil veinticinco, suscrito por el Encargado de la Unidad </w:t>
      </w:r>
      <w:r w:rsidR="004952B2">
        <w:t xml:space="preserve">de Transparencia y dirigido al Solicitante, </w:t>
      </w:r>
      <w:r w:rsidR="009C263C">
        <w:t>por medio del cual informa que la información solicitada, se encontraba reservada, en términos del artículo 140, fracciones I y IV, de la Ley de Transparencia y Acceso a la Información Pública del Estado de México y Municipios, situación aprobada por el Comité de Transparencia, mediante acuerdo SS/CT/EXT/XII/002/2025, de la Décima Segunda Sesión Extraordinaria 2025.</w:t>
      </w:r>
    </w:p>
    <w:p w14:paraId="6DC3C0D5" w14:textId="77777777" w:rsidR="009C263C" w:rsidRDefault="009C263C" w:rsidP="001A1400">
      <w:pPr>
        <w:spacing w:after="0" w:line="360" w:lineRule="auto"/>
      </w:pPr>
    </w:p>
    <w:p w14:paraId="1780939F" w14:textId="6B462B51" w:rsidR="009C263C" w:rsidRDefault="009C263C" w:rsidP="001A1400">
      <w:pPr>
        <w:spacing w:after="0" w:line="360" w:lineRule="auto"/>
      </w:pPr>
      <w:r>
        <w:t>ii) Cuadro de Clasificación del número total de patrullas con las que contaba la Secretaría de Seguridad.</w:t>
      </w:r>
    </w:p>
    <w:p w14:paraId="46B20150" w14:textId="77777777" w:rsidR="009C263C" w:rsidRDefault="009C263C" w:rsidP="001A1400">
      <w:pPr>
        <w:spacing w:after="0" w:line="360" w:lineRule="auto"/>
      </w:pPr>
    </w:p>
    <w:p w14:paraId="4F47ED47" w14:textId="3973B5B1" w:rsidR="009C263C" w:rsidRPr="00035B71" w:rsidRDefault="009C263C" w:rsidP="001A1400">
      <w:pPr>
        <w:spacing w:after="0" w:line="360" w:lineRule="auto"/>
      </w:pPr>
      <w:r>
        <w:t xml:space="preserve">iii) Acta de la Décima Segunda Sesión Extraordinaria, del veinticuatro de septiembre de dos mil veinticinco, suscrita por el Comité de Transparencia y por medio del cual se aprobó el acuerdo número </w:t>
      </w:r>
      <w:r w:rsidRPr="009C263C">
        <w:t>SS/CT/EXT/XII/002/2025</w:t>
      </w:r>
      <w:r>
        <w:t>, tal como se muestra a continuación:</w:t>
      </w:r>
    </w:p>
    <w:p w14:paraId="5AF768A2" w14:textId="77777777" w:rsidR="00AD2507" w:rsidRPr="00035B71" w:rsidRDefault="00AD2507" w:rsidP="001A1400">
      <w:pPr>
        <w:spacing w:after="0" w:line="360" w:lineRule="auto"/>
      </w:pPr>
    </w:p>
    <w:p w14:paraId="2B072AF3" w14:textId="58780572" w:rsidR="00600D07" w:rsidRPr="00035B71" w:rsidRDefault="009C263C" w:rsidP="001A1400">
      <w:pPr>
        <w:pStyle w:val="Prrafodelista"/>
        <w:spacing w:line="360" w:lineRule="auto"/>
      </w:pPr>
      <w:r w:rsidRPr="009C263C">
        <w:rPr>
          <w:noProof/>
          <w:lang w:eastAsia="es-MX"/>
        </w:rPr>
        <w:lastRenderedPageBreak/>
        <w:drawing>
          <wp:inline distT="0" distB="0" distL="0" distR="0" wp14:anchorId="0F75DA55" wp14:editId="601D16D4">
            <wp:extent cx="4695825" cy="3171101"/>
            <wp:effectExtent l="0" t="0" r="0" b="0"/>
            <wp:docPr id="638877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77046" name=""/>
                    <pic:cNvPicPr/>
                  </pic:nvPicPr>
                  <pic:blipFill>
                    <a:blip r:embed="rId9"/>
                    <a:stretch>
                      <a:fillRect/>
                    </a:stretch>
                  </pic:blipFill>
                  <pic:spPr>
                    <a:xfrm>
                      <a:off x="0" y="0"/>
                      <a:ext cx="4701905" cy="3175207"/>
                    </a:xfrm>
                    <a:prstGeom prst="rect">
                      <a:avLst/>
                    </a:prstGeom>
                  </pic:spPr>
                </pic:pic>
              </a:graphicData>
            </a:graphic>
          </wp:inline>
        </w:drawing>
      </w:r>
    </w:p>
    <w:p w14:paraId="0F05D567" w14:textId="77777777" w:rsidR="00AD2507" w:rsidRPr="00035B71" w:rsidRDefault="00AD2507" w:rsidP="001A1400">
      <w:pPr>
        <w:spacing w:after="0" w:line="360" w:lineRule="auto"/>
      </w:pPr>
    </w:p>
    <w:p w14:paraId="6DD87CFF" w14:textId="1B66D68A" w:rsidR="00AD2507" w:rsidRPr="00035B71" w:rsidRDefault="00F10379" w:rsidP="0083110F">
      <w:pPr>
        <w:pStyle w:val="Ttulo8"/>
      </w:pPr>
      <w:bookmarkStart w:id="5" w:name="_Toc224832393"/>
      <w:r w:rsidRPr="00035B71">
        <w:t>I</w:t>
      </w:r>
      <w:r w:rsidR="009C263C">
        <w:t>V</w:t>
      </w:r>
      <w:r w:rsidRPr="00035B71">
        <w:t>. Interposición del Recurso de Revisión</w:t>
      </w:r>
      <w:bookmarkEnd w:id="5"/>
    </w:p>
    <w:p w14:paraId="254045C3" w14:textId="77777777" w:rsidR="00AD2507" w:rsidRPr="00035B71" w:rsidRDefault="00AD2507" w:rsidP="001A1400">
      <w:pPr>
        <w:spacing w:after="0" w:line="360" w:lineRule="auto"/>
      </w:pPr>
    </w:p>
    <w:p w14:paraId="2DC11EE3" w14:textId="41CEBD0B" w:rsidR="00AD2507" w:rsidRPr="00035B71" w:rsidRDefault="00F10379" w:rsidP="001A1400">
      <w:pPr>
        <w:widowControl w:val="0"/>
        <w:spacing w:after="0" w:line="360" w:lineRule="auto"/>
      </w:pPr>
      <w:r w:rsidRPr="00035B71">
        <w:t xml:space="preserve">El </w:t>
      </w:r>
      <w:r w:rsidR="009C263C">
        <w:t>trece de octubre</w:t>
      </w:r>
      <w:r w:rsidRPr="00035B71">
        <w:t xml:space="preserve"> de dos mil veinticinco, se recibió en este Instituto, a través del Sistema de Acceso a la Información Mexiquense (SAIMEX), el Recurso de Revisión interpuesto por la parte Recurrente, en contra de la respuesta del Sujeto Obligado, en los siguientes términos:</w:t>
      </w:r>
    </w:p>
    <w:p w14:paraId="64CAA428" w14:textId="77777777" w:rsidR="00AD2507" w:rsidRPr="00035B71" w:rsidRDefault="00AD2507" w:rsidP="001A1400">
      <w:pPr>
        <w:widowControl w:val="0"/>
        <w:spacing w:after="0" w:line="360" w:lineRule="auto"/>
      </w:pPr>
    </w:p>
    <w:p w14:paraId="4D088D7D" w14:textId="77777777" w:rsidR="00AD2507" w:rsidRPr="00035B71" w:rsidRDefault="00F10379" w:rsidP="001A1400">
      <w:pPr>
        <w:spacing w:after="0" w:line="360" w:lineRule="auto"/>
        <w:ind w:left="567" w:right="567"/>
        <w:rPr>
          <w:b/>
          <w:i/>
          <w:sz w:val="20"/>
          <w:szCs w:val="20"/>
        </w:rPr>
      </w:pPr>
      <w:r w:rsidRPr="00035B71">
        <w:rPr>
          <w:b/>
          <w:i/>
          <w:sz w:val="20"/>
          <w:szCs w:val="20"/>
        </w:rPr>
        <w:t>“ACTO IMPUGNADO</w:t>
      </w:r>
    </w:p>
    <w:p w14:paraId="5C28D105" w14:textId="11AD91C2" w:rsidR="00AD2507" w:rsidRPr="00035B71" w:rsidRDefault="009C263C" w:rsidP="001A1400">
      <w:pPr>
        <w:tabs>
          <w:tab w:val="left" w:pos="4667"/>
        </w:tabs>
        <w:spacing w:after="0" w:line="360" w:lineRule="auto"/>
        <w:ind w:left="567" w:right="567"/>
        <w:rPr>
          <w:i/>
          <w:sz w:val="20"/>
          <w:szCs w:val="20"/>
        </w:rPr>
      </w:pPr>
      <w:proofErr w:type="gramStart"/>
      <w:r w:rsidRPr="009C263C">
        <w:rPr>
          <w:i/>
          <w:color w:val="000000"/>
          <w:sz w:val="20"/>
          <w:szCs w:val="20"/>
        </w:rPr>
        <w:t>solicito</w:t>
      </w:r>
      <w:proofErr w:type="gramEnd"/>
      <w:r w:rsidRPr="009C263C">
        <w:rPr>
          <w:i/>
          <w:color w:val="000000"/>
          <w:sz w:val="20"/>
          <w:szCs w:val="20"/>
        </w:rPr>
        <w:t xml:space="preserve"> mi </w:t>
      </w:r>
      <w:proofErr w:type="spellStart"/>
      <w:r w:rsidRPr="009C263C">
        <w:rPr>
          <w:i/>
          <w:color w:val="000000"/>
          <w:sz w:val="20"/>
          <w:szCs w:val="20"/>
        </w:rPr>
        <w:t>garantia</w:t>
      </w:r>
      <w:proofErr w:type="spellEnd"/>
      <w:r w:rsidRPr="009C263C">
        <w:rPr>
          <w:i/>
          <w:color w:val="000000"/>
          <w:sz w:val="20"/>
          <w:szCs w:val="20"/>
        </w:rPr>
        <w:t xml:space="preserve"> secundaria, el recurso de </w:t>
      </w:r>
      <w:proofErr w:type="spellStart"/>
      <w:r w:rsidRPr="009C263C">
        <w:rPr>
          <w:i/>
          <w:color w:val="000000"/>
          <w:sz w:val="20"/>
          <w:szCs w:val="20"/>
        </w:rPr>
        <w:t>revision</w:t>
      </w:r>
      <w:proofErr w:type="spellEnd"/>
      <w:r w:rsidRPr="009C263C">
        <w:rPr>
          <w:i/>
          <w:color w:val="000000"/>
          <w:sz w:val="20"/>
          <w:szCs w:val="20"/>
        </w:rPr>
        <w:t xml:space="preserve">, la respuesta de la secretaria, no es transparente, omiten </w:t>
      </w:r>
      <w:proofErr w:type="spellStart"/>
      <w:r w:rsidRPr="009C263C">
        <w:rPr>
          <w:i/>
          <w:color w:val="000000"/>
          <w:sz w:val="20"/>
          <w:szCs w:val="20"/>
        </w:rPr>
        <w:t>informacion</w:t>
      </w:r>
      <w:proofErr w:type="spellEnd"/>
      <w:r w:rsidR="00F10379" w:rsidRPr="00035B71">
        <w:rPr>
          <w:i/>
          <w:sz w:val="20"/>
          <w:szCs w:val="20"/>
        </w:rPr>
        <w:t>” (Sic.)</w:t>
      </w:r>
    </w:p>
    <w:p w14:paraId="24E79A24" w14:textId="77777777" w:rsidR="00AD2507" w:rsidRPr="00035B71" w:rsidRDefault="00AD2507" w:rsidP="001A1400">
      <w:pPr>
        <w:tabs>
          <w:tab w:val="left" w:pos="4667"/>
        </w:tabs>
        <w:spacing w:after="0" w:line="360" w:lineRule="auto"/>
        <w:ind w:left="567" w:right="567"/>
        <w:rPr>
          <w:i/>
          <w:sz w:val="20"/>
          <w:szCs w:val="20"/>
        </w:rPr>
      </w:pPr>
    </w:p>
    <w:p w14:paraId="64110B14" w14:textId="77777777" w:rsidR="00AD2507" w:rsidRPr="00035B71" w:rsidRDefault="00F10379" w:rsidP="001A1400">
      <w:pPr>
        <w:spacing w:after="0" w:line="360" w:lineRule="auto"/>
        <w:ind w:left="567" w:right="567"/>
        <w:rPr>
          <w:b/>
          <w:i/>
          <w:sz w:val="20"/>
          <w:szCs w:val="20"/>
        </w:rPr>
      </w:pPr>
      <w:r w:rsidRPr="00035B71">
        <w:rPr>
          <w:b/>
          <w:i/>
          <w:sz w:val="20"/>
          <w:szCs w:val="20"/>
        </w:rPr>
        <w:t>“RAZONES O MOTIVOS DE LA INCONFORMIDAD”</w:t>
      </w:r>
    </w:p>
    <w:p w14:paraId="7CE2DA59" w14:textId="5C0A3D1E" w:rsidR="00AD2507" w:rsidRPr="00035B71" w:rsidRDefault="009C263C" w:rsidP="001A1400">
      <w:pPr>
        <w:tabs>
          <w:tab w:val="left" w:pos="4667"/>
        </w:tabs>
        <w:spacing w:after="0" w:line="360" w:lineRule="auto"/>
        <w:ind w:left="567" w:right="567"/>
        <w:rPr>
          <w:i/>
          <w:color w:val="000000"/>
          <w:sz w:val="20"/>
          <w:szCs w:val="20"/>
        </w:rPr>
      </w:pPr>
      <w:proofErr w:type="gramStart"/>
      <w:r w:rsidRPr="009C263C">
        <w:rPr>
          <w:i/>
          <w:color w:val="000000"/>
          <w:sz w:val="20"/>
          <w:szCs w:val="20"/>
        </w:rPr>
        <w:t>solicito</w:t>
      </w:r>
      <w:proofErr w:type="gramEnd"/>
      <w:r w:rsidRPr="009C263C">
        <w:rPr>
          <w:i/>
          <w:color w:val="000000"/>
          <w:sz w:val="20"/>
          <w:szCs w:val="20"/>
        </w:rPr>
        <w:t xml:space="preserve"> mi </w:t>
      </w:r>
      <w:proofErr w:type="spellStart"/>
      <w:r w:rsidRPr="009C263C">
        <w:rPr>
          <w:i/>
          <w:color w:val="000000"/>
          <w:sz w:val="20"/>
          <w:szCs w:val="20"/>
        </w:rPr>
        <w:t>garantia</w:t>
      </w:r>
      <w:proofErr w:type="spellEnd"/>
      <w:r w:rsidRPr="009C263C">
        <w:rPr>
          <w:i/>
          <w:color w:val="000000"/>
          <w:sz w:val="20"/>
          <w:szCs w:val="20"/>
        </w:rPr>
        <w:t xml:space="preserve"> secundaria, el recurso de </w:t>
      </w:r>
      <w:proofErr w:type="spellStart"/>
      <w:r w:rsidRPr="009C263C">
        <w:rPr>
          <w:i/>
          <w:color w:val="000000"/>
          <w:sz w:val="20"/>
          <w:szCs w:val="20"/>
        </w:rPr>
        <w:t>revision</w:t>
      </w:r>
      <w:proofErr w:type="spellEnd"/>
      <w:r w:rsidRPr="009C263C">
        <w:rPr>
          <w:i/>
          <w:color w:val="000000"/>
          <w:sz w:val="20"/>
          <w:szCs w:val="20"/>
        </w:rPr>
        <w:t xml:space="preserve">, la respuesta de la secretaria, no es transparente, omiten </w:t>
      </w:r>
      <w:proofErr w:type="spellStart"/>
      <w:r w:rsidRPr="009C263C">
        <w:rPr>
          <w:i/>
          <w:color w:val="000000"/>
          <w:sz w:val="20"/>
          <w:szCs w:val="20"/>
        </w:rPr>
        <w:t>informacion</w:t>
      </w:r>
      <w:proofErr w:type="spellEnd"/>
      <w:r w:rsidR="00F10379" w:rsidRPr="00035B71">
        <w:rPr>
          <w:i/>
          <w:sz w:val="20"/>
          <w:szCs w:val="20"/>
        </w:rPr>
        <w:t>” (Sic.)</w:t>
      </w:r>
    </w:p>
    <w:p w14:paraId="25DF919A" w14:textId="77777777" w:rsidR="00AD2507" w:rsidRPr="00035B71" w:rsidRDefault="00AD2507" w:rsidP="001A1400">
      <w:pPr>
        <w:spacing w:after="0" w:line="360" w:lineRule="auto"/>
        <w:rPr>
          <w:sz w:val="20"/>
          <w:szCs w:val="20"/>
        </w:rPr>
      </w:pPr>
    </w:p>
    <w:p w14:paraId="0CE191CC" w14:textId="77777777" w:rsidR="00AD2507" w:rsidRPr="00035B71" w:rsidRDefault="00AD2507" w:rsidP="001A1400">
      <w:pPr>
        <w:spacing w:after="0" w:line="360" w:lineRule="auto"/>
        <w:rPr>
          <w:sz w:val="20"/>
          <w:szCs w:val="20"/>
        </w:rPr>
      </w:pPr>
    </w:p>
    <w:p w14:paraId="44A2F236" w14:textId="77777777" w:rsidR="00AD2507" w:rsidRPr="00035B71" w:rsidRDefault="00F10379" w:rsidP="0083110F">
      <w:pPr>
        <w:pStyle w:val="Ttulo8"/>
      </w:pPr>
      <w:bookmarkStart w:id="6" w:name="_Toc224832394"/>
      <w:r w:rsidRPr="00035B71">
        <w:t>IV. Trámite del Recurso de Revisión ante este Instituto</w:t>
      </w:r>
      <w:bookmarkEnd w:id="6"/>
    </w:p>
    <w:p w14:paraId="3A32D6D0" w14:textId="77777777" w:rsidR="00AD2507" w:rsidRPr="00035B71" w:rsidRDefault="00AD2507" w:rsidP="001A1400">
      <w:pPr>
        <w:spacing w:after="0" w:line="360" w:lineRule="auto"/>
        <w:rPr>
          <w:b/>
          <w:color w:val="000000"/>
        </w:rPr>
      </w:pPr>
    </w:p>
    <w:p w14:paraId="4B67B132" w14:textId="499B5DE7" w:rsidR="00AD2507" w:rsidRPr="00035B71" w:rsidRDefault="00F10379" w:rsidP="001A1400">
      <w:pPr>
        <w:spacing w:after="0" w:line="360" w:lineRule="auto"/>
        <w:rPr>
          <w:b/>
          <w:color w:val="000000"/>
        </w:rPr>
      </w:pPr>
      <w:r w:rsidRPr="00035B71">
        <w:rPr>
          <w:b/>
          <w:color w:val="000000"/>
        </w:rPr>
        <w:t xml:space="preserve">a) Turno del Medio de Impugnación. </w:t>
      </w:r>
      <w:r w:rsidRPr="00035B71">
        <w:rPr>
          <w:color w:val="000000"/>
        </w:rPr>
        <w:t xml:space="preserve">El </w:t>
      </w:r>
      <w:r w:rsidR="009C263C">
        <w:rPr>
          <w:color w:val="000000"/>
        </w:rPr>
        <w:t>trece de octubre</w:t>
      </w:r>
      <w:r w:rsidRPr="00035B71">
        <w:rPr>
          <w:color w:val="000000"/>
        </w:rPr>
        <w:t xml:space="preserve"> de dos mil veinticinco el Sistema de Acceso a la Información Mexiquense (SAIMEX), </w:t>
      </w:r>
      <w:r w:rsidRPr="00035B71">
        <w:t xml:space="preserve">asignó el número de expediente </w:t>
      </w:r>
      <w:r w:rsidR="005E0AB8">
        <w:rPr>
          <w:b/>
        </w:rPr>
        <w:t>11861</w:t>
      </w:r>
      <w:r w:rsidRPr="00035B71">
        <w:rPr>
          <w:b/>
        </w:rPr>
        <w:t>/INFOEM/IP/RR/2025</w:t>
      </w:r>
      <w:r w:rsidRPr="00035B71">
        <w:rPr>
          <w:color w:val="000000"/>
        </w:rPr>
        <w:t xml:space="preserve">, al Medio de Impugnación que nos ocupa, con base en el sistema aprobado por el Pleno de este Órgano Garante y lo turnó al </w:t>
      </w:r>
      <w:r w:rsidRPr="00035B71">
        <w:rPr>
          <w:b/>
          <w:color w:val="000000"/>
        </w:rPr>
        <w:t>Comisionado Ponente Luis Gustavo Parra Noriega</w:t>
      </w:r>
      <w:r w:rsidRPr="00035B71">
        <w:rPr>
          <w:color w:val="000000"/>
        </w:rPr>
        <w:t>, para los efectos del artículo 185, fracción I de la Ley de Transparencia y Acceso a la Información Pública del Estado de México y Municipios.</w:t>
      </w:r>
    </w:p>
    <w:p w14:paraId="64059784" w14:textId="77777777" w:rsidR="00AD2507" w:rsidRPr="00035B71" w:rsidRDefault="00AD2507" w:rsidP="001A1400">
      <w:pPr>
        <w:spacing w:after="0" w:line="360" w:lineRule="auto"/>
        <w:rPr>
          <w:color w:val="000000"/>
        </w:rPr>
      </w:pPr>
    </w:p>
    <w:p w14:paraId="45928050" w14:textId="56325166" w:rsidR="00AD2507" w:rsidRPr="00035B71" w:rsidRDefault="00F10379" w:rsidP="001A1400">
      <w:pPr>
        <w:spacing w:after="0" w:line="360" w:lineRule="auto"/>
        <w:rPr>
          <w:b/>
        </w:rPr>
      </w:pPr>
      <w:r w:rsidRPr="00035B71">
        <w:rPr>
          <w:b/>
        </w:rPr>
        <w:t xml:space="preserve">b) Admisión del Recurso de Revisión. </w:t>
      </w:r>
      <w:r w:rsidRPr="00035B71">
        <w:t xml:space="preserve">El </w:t>
      </w:r>
      <w:r w:rsidR="009C263C">
        <w:t>diecisiete de octubre</w:t>
      </w:r>
      <w:r w:rsidRPr="00035B71">
        <w:t xml:space="preserv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0516358" w14:textId="77777777" w:rsidR="00AD2507" w:rsidRPr="00035B71" w:rsidRDefault="00AD2507" w:rsidP="001A1400">
      <w:pPr>
        <w:spacing w:after="0" w:line="360" w:lineRule="auto"/>
      </w:pPr>
    </w:p>
    <w:p w14:paraId="77241EA5" w14:textId="473D6034" w:rsidR="00AD2507" w:rsidRPr="00035B71" w:rsidRDefault="00F10379" w:rsidP="001A1400">
      <w:pPr>
        <w:spacing w:after="0" w:line="360" w:lineRule="auto"/>
        <w:rPr>
          <w:i/>
        </w:rPr>
      </w:pPr>
      <w:r w:rsidRPr="00035B71">
        <w:rPr>
          <w:b/>
        </w:rPr>
        <w:t xml:space="preserve">c) Informe Justificado. </w:t>
      </w:r>
      <w:r w:rsidRPr="00035B71">
        <w:t xml:space="preserve">El </w:t>
      </w:r>
      <w:r w:rsidR="009C263C">
        <w:t>veintiocho de octubre</w:t>
      </w:r>
      <w:r w:rsidRPr="00035B71">
        <w:t xml:space="preserve"> de dos mil veinticinco, se recibió, a través del Sistema de Acceso a la Información Mexiquense (SAIMEX), el Informe Justificado del Sujeto Obligado, por medio del oficio número </w:t>
      </w:r>
      <w:r w:rsidR="009C263C">
        <w:t>20600007000000S/UIPPE/1815/2025</w:t>
      </w:r>
      <w:r w:rsidRPr="00035B71">
        <w:t xml:space="preserve">, de la misma fecha de recepción, suscrito por </w:t>
      </w:r>
      <w:r w:rsidR="009C263C">
        <w:t>el Encargado</w:t>
      </w:r>
      <w:r w:rsidRPr="00035B71">
        <w:t xml:space="preserve"> de la Unidad de Transparencia y dirigido </w:t>
      </w:r>
      <w:r w:rsidR="009C263C">
        <w:t>al Comisionado Ponente</w:t>
      </w:r>
      <w:r w:rsidRPr="00035B71">
        <w:t xml:space="preserve">, por medio del cual </w:t>
      </w:r>
      <w:r w:rsidR="00BA73C4">
        <w:t>ratifica la respuesta y reitera que la información solicitada se encuentra reservada.</w:t>
      </w:r>
    </w:p>
    <w:p w14:paraId="2830D54F" w14:textId="77777777" w:rsidR="002469F9" w:rsidRPr="00035B71" w:rsidRDefault="002469F9" w:rsidP="001A1400">
      <w:pPr>
        <w:spacing w:after="0" w:line="360" w:lineRule="auto"/>
      </w:pPr>
    </w:p>
    <w:p w14:paraId="74741090" w14:textId="3FFBC532" w:rsidR="00AD2507" w:rsidRPr="00035B71" w:rsidRDefault="00F10379" w:rsidP="001A1400">
      <w:pPr>
        <w:spacing w:after="0" w:line="360" w:lineRule="auto"/>
      </w:pPr>
      <w:r w:rsidRPr="00035B71">
        <w:rPr>
          <w:b/>
        </w:rPr>
        <w:lastRenderedPageBreak/>
        <w:t xml:space="preserve">e) Vista del Informe Justificado. </w:t>
      </w:r>
      <w:r w:rsidRPr="00035B71">
        <w:t xml:space="preserve">El </w:t>
      </w:r>
      <w:r w:rsidR="00BA73C4">
        <w:t>once de marzo de dos mil veintiséis</w:t>
      </w:r>
      <w:r w:rsidRPr="00035B71">
        <w:t xml:space="preserve">, se dictó acuerdo, por medio del cual </w:t>
      </w:r>
      <w:r w:rsidRPr="00035B71">
        <w:rPr>
          <w:b/>
        </w:rPr>
        <w:t>se puso a la vista del Recurrente el Informe Justificado</w:t>
      </w:r>
      <w:r w:rsidRPr="00035B71">
        <w:t>, entregado por el Sujeto Obligado, a fin de que en un término no mayor a tres días hábiles manifestará lo que a derecho corresponda, acto que fue notificado mediante el Sistema de Acceso a la Información Mexiquense (SAIMEX).</w:t>
      </w:r>
    </w:p>
    <w:p w14:paraId="23AC4E7D" w14:textId="77777777" w:rsidR="00AD2507" w:rsidRPr="00035B71" w:rsidRDefault="00AD2507" w:rsidP="001A1400">
      <w:pPr>
        <w:spacing w:after="0" w:line="360" w:lineRule="auto"/>
      </w:pPr>
    </w:p>
    <w:p w14:paraId="0E661FA0" w14:textId="138B5FA7" w:rsidR="00BA73C4" w:rsidRDefault="00E80017" w:rsidP="001A1400">
      <w:pPr>
        <w:spacing w:after="0" w:line="360" w:lineRule="auto"/>
        <w:rPr>
          <w:b/>
        </w:rPr>
      </w:pPr>
      <w:r w:rsidRPr="00035B71">
        <w:rPr>
          <w:b/>
        </w:rPr>
        <w:t>f</w:t>
      </w:r>
      <w:r w:rsidR="00F10379" w:rsidRPr="00035B71">
        <w:rPr>
          <w:b/>
        </w:rPr>
        <w:t xml:space="preserve">) </w:t>
      </w:r>
      <w:r w:rsidR="00BA73C4">
        <w:rPr>
          <w:b/>
          <w:bCs/>
          <w:color w:val="000000"/>
        </w:rPr>
        <w:t>Ampliación de plazo para resolver</w:t>
      </w:r>
      <w:r w:rsidR="00BA73C4">
        <w:rPr>
          <w:color w:val="000000"/>
        </w:rPr>
        <w:t>. El once de marzo de dos mil veintiséis,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3DFF4C91" w14:textId="77777777" w:rsidR="00BA73C4" w:rsidRDefault="00BA73C4" w:rsidP="001A1400">
      <w:pPr>
        <w:spacing w:after="0" w:line="360" w:lineRule="auto"/>
        <w:rPr>
          <w:b/>
        </w:rPr>
      </w:pPr>
    </w:p>
    <w:p w14:paraId="244BD3B9" w14:textId="3A9F7AE1" w:rsidR="00AD2507" w:rsidRPr="00035B71" w:rsidRDefault="00BA73C4" w:rsidP="001A1400">
      <w:pPr>
        <w:spacing w:after="0" w:line="360" w:lineRule="auto"/>
      </w:pPr>
      <w:r>
        <w:rPr>
          <w:b/>
        </w:rPr>
        <w:t xml:space="preserve">g) </w:t>
      </w:r>
      <w:r w:rsidR="00F10379" w:rsidRPr="00035B71">
        <w:rPr>
          <w:b/>
        </w:rPr>
        <w:t>Cierre de instrucción.</w:t>
      </w:r>
      <w:r w:rsidR="00F10379" w:rsidRPr="00035B71">
        <w:t xml:space="preserve"> El </w:t>
      </w:r>
      <w:r w:rsidR="00F73569">
        <w:t>diecinueve</w:t>
      </w:r>
      <w:r>
        <w:t xml:space="preserve"> de marzo de dos mil veintiséis</w:t>
      </w:r>
      <w:r w:rsidR="00F10379" w:rsidRPr="00035B71">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0C063089" w14:textId="77777777" w:rsidR="00AD2507" w:rsidRPr="00035B71" w:rsidRDefault="00AD2507" w:rsidP="001A1400">
      <w:pPr>
        <w:spacing w:after="0" w:line="360" w:lineRule="auto"/>
        <w:ind w:right="-28"/>
      </w:pPr>
    </w:p>
    <w:p w14:paraId="6480A074" w14:textId="77777777" w:rsidR="00AD2507" w:rsidRPr="00035B71" w:rsidRDefault="00F10379" w:rsidP="001A1400">
      <w:pPr>
        <w:spacing w:after="0" w:line="360" w:lineRule="auto"/>
        <w:rPr>
          <w:color w:val="000000"/>
        </w:rPr>
      </w:pPr>
      <w:r w:rsidRPr="00035B71">
        <w:rPr>
          <w:color w:val="000000"/>
        </w:rPr>
        <w:t>En razón de que fue debidamente sustanciado e integrado el expediente electrónico y no existe diligencia pendiente de desahogo, se emite la resolución que conforme a Derecho proceda, de acuerdo a los siguientes:</w:t>
      </w:r>
    </w:p>
    <w:p w14:paraId="34ADF416" w14:textId="77777777" w:rsidR="00AD2507" w:rsidRPr="00035B71" w:rsidRDefault="00AD2507" w:rsidP="001A1400">
      <w:pPr>
        <w:spacing w:after="0" w:line="360" w:lineRule="auto"/>
        <w:rPr>
          <w:b/>
        </w:rPr>
      </w:pPr>
    </w:p>
    <w:p w14:paraId="1079AEA3" w14:textId="77777777" w:rsidR="00AD2507" w:rsidRPr="00035B71" w:rsidRDefault="00F10379" w:rsidP="0083110F">
      <w:pPr>
        <w:pStyle w:val="Ttulo7"/>
      </w:pPr>
      <w:bookmarkStart w:id="7" w:name="_Toc224832395"/>
      <w:r w:rsidRPr="00035B71">
        <w:t>C O N S I D E R A N D O S</w:t>
      </w:r>
      <w:bookmarkEnd w:id="7"/>
    </w:p>
    <w:p w14:paraId="272D50FF" w14:textId="77777777" w:rsidR="00AD2507" w:rsidRPr="00035B71" w:rsidRDefault="00AD2507" w:rsidP="001A1400">
      <w:pPr>
        <w:spacing w:after="0" w:line="360" w:lineRule="auto"/>
        <w:jc w:val="center"/>
        <w:rPr>
          <w:b/>
          <w:color w:val="000000"/>
        </w:rPr>
      </w:pPr>
    </w:p>
    <w:p w14:paraId="10891FCE" w14:textId="77777777" w:rsidR="00AD2507" w:rsidRPr="00035B71" w:rsidRDefault="00F10379" w:rsidP="0083110F">
      <w:pPr>
        <w:pStyle w:val="Ttulo8"/>
      </w:pPr>
      <w:bookmarkStart w:id="8" w:name="_Toc224832396"/>
      <w:r w:rsidRPr="00035B71">
        <w:lastRenderedPageBreak/>
        <w:t>PRIMERO. Competencia</w:t>
      </w:r>
      <w:bookmarkEnd w:id="8"/>
    </w:p>
    <w:p w14:paraId="7795DB27" w14:textId="77777777" w:rsidR="00AD2507" w:rsidRPr="00035B71" w:rsidRDefault="00AD2507" w:rsidP="001A1400">
      <w:pPr>
        <w:spacing w:after="0" w:line="360" w:lineRule="auto"/>
        <w:rPr>
          <w:b/>
          <w:color w:val="000000"/>
        </w:rPr>
      </w:pPr>
    </w:p>
    <w:p w14:paraId="2E1589C7" w14:textId="77777777" w:rsidR="00BA73C4" w:rsidRDefault="00BA73C4" w:rsidP="001A1400">
      <w:pPr>
        <w:spacing w:after="0" w:line="360" w:lineRule="auto"/>
        <w:rPr>
          <w:color w:val="000000"/>
        </w:rPr>
      </w:pPr>
      <w:bookmarkStart w:id="9" w:name="_heading=h.30j0zll" w:colFirst="0" w:colLast="0"/>
      <w:bookmarkEnd w:id="9"/>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9195C29" w14:textId="77777777" w:rsidR="00AD2507" w:rsidRPr="00035B71" w:rsidRDefault="00AD2507" w:rsidP="001A1400">
      <w:pPr>
        <w:spacing w:after="0" w:line="360" w:lineRule="auto"/>
        <w:rPr>
          <w:b/>
          <w:color w:val="000000"/>
        </w:rPr>
      </w:pPr>
    </w:p>
    <w:p w14:paraId="4CF155FA" w14:textId="77777777" w:rsidR="00AD2507" w:rsidRPr="00035B71" w:rsidRDefault="00F10379" w:rsidP="0083110F">
      <w:pPr>
        <w:pStyle w:val="Ttulo8"/>
      </w:pPr>
      <w:bookmarkStart w:id="10" w:name="_Toc224832397"/>
      <w:r w:rsidRPr="00035B71">
        <w:t>SEGUNDO. Causales de improcedencia y sobreseimiento</w:t>
      </w:r>
      <w:bookmarkEnd w:id="10"/>
    </w:p>
    <w:p w14:paraId="617C43CA" w14:textId="77777777" w:rsidR="00AD2507" w:rsidRPr="00035B71" w:rsidRDefault="00AD2507" w:rsidP="001A1400">
      <w:pPr>
        <w:spacing w:after="0" w:line="360" w:lineRule="auto"/>
        <w:rPr>
          <w:color w:val="000000"/>
        </w:rPr>
      </w:pPr>
    </w:p>
    <w:p w14:paraId="774192C4" w14:textId="77777777" w:rsidR="00AD2507" w:rsidRPr="00035B71" w:rsidRDefault="00F10379" w:rsidP="001A1400">
      <w:pPr>
        <w:spacing w:after="0" w:line="360" w:lineRule="auto"/>
        <w:rPr>
          <w:color w:val="000000"/>
        </w:rPr>
      </w:pPr>
      <w:r w:rsidRPr="00035B71">
        <w:rPr>
          <w:color w:val="000000"/>
        </w:rPr>
        <w:t xml:space="preserve">De las constancias que forma parte del Recurso de Revisión que se analiza, se advierte que previo al estudio del fondo de la </w:t>
      </w:r>
      <w:proofErr w:type="spellStart"/>
      <w:r w:rsidRPr="00035B71">
        <w:rPr>
          <w:i/>
          <w:color w:val="000000"/>
        </w:rPr>
        <w:t>litis</w:t>
      </w:r>
      <w:proofErr w:type="spellEnd"/>
      <w:r w:rsidRPr="00035B71">
        <w:rPr>
          <w:color w:val="000000"/>
        </w:rPr>
        <w:t>, es necesario estudiar las causales de improcedencia y sobreseimiento que se adviertan, para determinar lo que en Derecho proceda.</w:t>
      </w:r>
    </w:p>
    <w:p w14:paraId="29A8691B" w14:textId="77777777" w:rsidR="00AD2507" w:rsidRPr="00035B71" w:rsidRDefault="00AD2507" w:rsidP="001A1400">
      <w:pPr>
        <w:spacing w:after="0" w:line="360" w:lineRule="auto"/>
        <w:rPr>
          <w:b/>
        </w:rPr>
      </w:pPr>
    </w:p>
    <w:p w14:paraId="3CD50D0C" w14:textId="77777777" w:rsidR="00AD2507" w:rsidRPr="00035B71" w:rsidRDefault="00F10379" w:rsidP="001A1400">
      <w:pPr>
        <w:spacing w:after="0" w:line="360" w:lineRule="auto"/>
        <w:rPr>
          <w:b/>
        </w:rPr>
      </w:pPr>
      <w:r w:rsidRPr="00035B71">
        <w:rPr>
          <w:b/>
        </w:rPr>
        <w:t>Causales de improcedencia</w:t>
      </w:r>
    </w:p>
    <w:p w14:paraId="54624FD6" w14:textId="77777777" w:rsidR="00AD2507" w:rsidRPr="00035B71" w:rsidRDefault="00AD2507" w:rsidP="001A1400">
      <w:pPr>
        <w:spacing w:after="0" w:line="360" w:lineRule="auto"/>
      </w:pPr>
    </w:p>
    <w:p w14:paraId="5A9DB3B6" w14:textId="77777777" w:rsidR="00AD2507" w:rsidRPr="00035B71" w:rsidRDefault="00F10379" w:rsidP="001A1400">
      <w:pPr>
        <w:spacing w:after="0" w:line="360" w:lineRule="auto"/>
        <w:rPr>
          <w:color w:val="000000"/>
        </w:rPr>
      </w:pPr>
      <w:r w:rsidRPr="00035B71">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035B71">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F042754" w14:textId="77777777" w:rsidR="00AD2507" w:rsidRPr="00035B71" w:rsidRDefault="00AD2507" w:rsidP="001A1400">
      <w:pPr>
        <w:spacing w:after="0" w:line="360" w:lineRule="auto"/>
        <w:rPr>
          <w:color w:val="000000"/>
        </w:rPr>
      </w:pPr>
    </w:p>
    <w:p w14:paraId="0D65B608" w14:textId="77777777" w:rsidR="00AD2507" w:rsidRPr="00035B71" w:rsidRDefault="00F10379" w:rsidP="001A1400">
      <w:pPr>
        <w:spacing w:after="0" w:line="360" w:lineRule="auto"/>
        <w:rPr>
          <w:color w:val="000000"/>
        </w:rPr>
      </w:pPr>
      <w:r w:rsidRPr="00035B71">
        <w:rPr>
          <w:color w:val="000000"/>
        </w:rPr>
        <w:t>En el presente caso, </w:t>
      </w:r>
      <w:r w:rsidRPr="00035B71">
        <w:rPr>
          <w:b/>
          <w:color w:val="000000"/>
        </w:rPr>
        <w:t>no se actualiza ninguna de las causales de improcedencia</w:t>
      </w:r>
      <w:r w:rsidRPr="00035B71">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157258E" w14:textId="77777777" w:rsidR="00035B71" w:rsidRPr="00035B71" w:rsidRDefault="00035B71" w:rsidP="001A1400">
      <w:pPr>
        <w:spacing w:after="0" w:line="360" w:lineRule="auto"/>
        <w:rPr>
          <w:color w:val="000000"/>
        </w:rPr>
      </w:pPr>
    </w:p>
    <w:p w14:paraId="6820D745" w14:textId="18F6F289" w:rsidR="00AD2507" w:rsidRPr="00035B71" w:rsidRDefault="00F10379" w:rsidP="001A1400">
      <w:pPr>
        <w:spacing w:after="0" w:line="360" w:lineRule="auto"/>
      </w:pPr>
      <w:r w:rsidRPr="00035B71">
        <w:t xml:space="preserve">Por lo cual, se actualiza la causal de procedencia del Recurso de Revisión señalada en el artículo 179, fracción </w:t>
      </w:r>
      <w:r w:rsidR="00035B71" w:rsidRPr="00035B71">
        <w:t>I</w:t>
      </w:r>
      <w:r w:rsidR="00BA73C4">
        <w:t>I</w:t>
      </w:r>
      <w:r w:rsidRPr="00035B71">
        <w:t xml:space="preserve">, de la Ley en cita, pues la parte Recurrente se inconformó </w:t>
      </w:r>
      <w:r w:rsidR="00035B71" w:rsidRPr="00035B71">
        <w:t xml:space="preserve">de la </w:t>
      </w:r>
      <w:r w:rsidR="00BA73C4">
        <w:t>clasificación de la información</w:t>
      </w:r>
      <w:r w:rsidR="00035B71" w:rsidRPr="00035B71">
        <w:t>.</w:t>
      </w:r>
    </w:p>
    <w:p w14:paraId="4EEF4E74" w14:textId="77777777" w:rsidR="00AD2507" w:rsidRPr="00035B71" w:rsidRDefault="00AD2507" w:rsidP="001A1400">
      <w:pPr>
        <w:spacing w:after="0" w:line="360" w:lineRule="auto"/>
      </w:pPr>
    </w:p>
    <w:p w14:paraId="4DA1908E" w14:textId="77777777" w:rsidR="00AD2507" w:rsidRPr="00035B71" w:rsidRDefault="00F10379" w:rsidP="001A1400">
      <w:pPr>
        <w:spacing w:after="0" w:line="360" w:lineRule="auto"/>
        <w:rPr>
          <w:color w:val="0D0D0D"/>
        </w:rPr>
      </w:pPr>
      <w:r w:rsidRPr="00035B71">
        <w:rPr>
          <w:b/>
          <w:color w:val="0D0D0D"/>
        </w:rPr>
        <w:t>Causales de sobreseimiento</w:t>
      </w:r>
    </w:p>
    <w:p w14:paraId="4A337E50" w14:textId="77777777" w:rsidR="00AD2507" w:rsidRPr="00035B71" w:rsidRDefault="00AD2507" w:rsidP="001A1400">
      <w:pPr>
        <w:spacing w:after="0" w:line="360" w:lineRule="auto"/>
        <w:rPr>
          <w:color w:val="0D0D0D"/>
        </w:rPr>
      </w:pPr>
    </w:p>
    <w:p w14:paraId="34819E07" w14:textId="77777777" w:rsidR="00AD2507" w:rsidRPr="00035B71" w:rsidRDefault="00F10379" w:rsidP="001A1400">
      <w:pPr>
        <w:spacing w:after="0" w:line="360" w:lineRule="auto"/>
      </w:pPr>
      <w:r w:rsidRPr="00035B71">
        <w:t>Por ser de previo y especial pronunciamiento, este Instituto analiza si se actualiza alguna causal de sobreseimiento.</w:t>
      </w:r>
    </w:p>
    <w:p w14:paraId="6B9839A6" w14:textId="77777777" w:rsidR="00AD2507" w:rsidRPr="00035B71" w:rsidRDefault="00AD2507" w:rsidP="001A1400">
      <w:pPr>
        <w:spacing w:after="0" w:line="360" w:lineRule="auto"/>
      </w:pPr>
    </w:p>
    <w:p w14:paraId="49E87D9B" w14:textId="77777777" w:rsidR="00AD2507" w:rsidRPr="00035B71" w:rsidRDefault="00F10379" w:rsidP="001A1400">
      <w:pPr>
        <w:spacing w:after="0" w:line="360" w:lineRule="auto"/>
        <w:rPr>
          <w:color w:val="000000"/>
        </w:rPr>
      </w:pPr>
      <w:r w:rsidRPr="00035B71">
        <w:rPr>
          <w:color w:val="0D0D0D"/>
        </w:rPr>
        <w:t>Sobre el tema, e</w:t>
      </w:r>
      <w:r w:rsidRPr="00035B71">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w:t>
      </w:r>
      <w:r w:rsidRPr="00035B71">
        <w:rPr>
          <w:color w:val="000000"/>
        </w:rPr>
        <w:lastRenderedPageBreak/>
        <w:t>recurso, haya fallecido, sobreviniera alguna causal de improcedencia, que el Sujeto Obligado hubiese modificado o revocado el acto impugnado o bien, haya quedado sin materia.</w:t>
      </w:r>
    </w:p>
    <w:p w14:paraId="77277726" w14:textId="77777777" w:rsidR="00AD2507" w:rsidRPr="00035B71" w:rsidRDefault="00AD2507" w:rsidP="001A1400">
      <w:pPr>
        <w:spacing w:after="0" w:line="360" w:lineRule="auto"/>
        <w:rPr>
          <w:color w:val="000000"/>
        </w:rPr>
      </w:pPr>
    </w:p>
    <w:p w14:paraId="4012F6D3" w14:textId="77777777" w:rsidR="00AD2507" w:rsidRPr="00035B71" w:rsidRDefault="00F10379" w:rsidP="001A1400">
      <w:pPr>
        <w:spacing w:after="0" w:line="360" w:lineRule="auto"/>
        <w:rPr>
          <w:color w:val="0D0D0D"/>
        </w:rPr>
      </w:pPr>
      <w:r w:rsidRPr="00035B71">
        <w:rPr>
          <w:color w:val="0D0D0D"/>
        </w:rPr>
        <w:t xml:space="preserve">Por tales motivos, se considera procedente entrar al fondo del presente asunto. </w:t>
      </w:r>
    </w:p>
    <w:p w14:paraId="3293C69C" w14:textId="77777777" w:rsidR="00AD2507" w:rsidRPr="00035B71" w:rsidRDefault="00AD2507" w:rsidP="001A1400">
      <w:pPr>
        <w:spacing w:after="0" w:line="360" w:lineRule="auto"/>
        <w:rPr>
          <w:b/>
          <w:color w:val="000000"/>
        </w:rPr>
      </w:pPr>
    </w:p>
    <w:p w14:paraId="6A370CDC" w14:textId="77777777" w:rsidR="00AD2507" w:rsidRPr="00035B71" w:rsidRDefault="00F10379" w:rsidP="0083110F">
      <w:pPr>
        <w:pStyle w:val="Ttulo8"/>
      </w:pPr>
      <w:bookmarkStart w:id="11" w:name="_Toc224832398"/>
      <w:r w:rsidRPr="00035B71">
        <w:t>TERCERO. Determinación de la Controversia</w:t>
      </w:r>
      <w:bookmarkEnd w:id="11"/>
    </w:p>
    <w:p w14:paraId="5CF54AFB" w14:textId="77777777" w:rsidR="00AD2507" w:rsidRPr="00035B71" w:rsidRDefault="00AD2507" w:rsidP="001A1400">
      <w:pPr>
        <w:spacing w:after="0" w:line="360" w:lineRule="auto"/>
        <w:rPr>
          <w:color w:val="000000"/>
        </w:rPr>
      </w:pPr>
    </w:p>
    <w:p w14:paraId="494A7113" w14:textId="39F67044" w:rsidR="00AD2507" w:rsidRPr="00035B71" w:rsidRDefault="00F10379" w:rsidP="001A1400">
      <w:pPr>
        <w:spacing w:after="0" w:line="360" w:lineRule="auto"/>
        <w:rPr>
          <w:color w:val="0D0D0D"/>
        </w:rPr>
      </w:pPr>
      <w:r w:rsidRPr="00035B71">
        <w:rPr>
          <w:color w:val="000000"/>
        </w:rPr>
        <w:t>Una vez realizado el estudio de las constancias que integran el expediente en que se actúa, se desprende que el Particular requirió</w:t>
      </w:r>
      <w:r w:rsidR="00BA73C4">
        <w:rPr>
          <w:color w:val="000000"/>
        </w:rPr>
        <w:t xml:space="preserve"> el número total de patrullas con las que contaba la Secretaría de Seguridad.</w:t>
      </w:r>
    </w:p>
    <w:p w14:paraId="47E0C356" w14:textId="77777777" w:rsidR="00085331" w:rsidRPr="00035B71" w:rsidRDefault="00085331" w:rsidP="001A1400">
      <w:pPr>
        <w:spacing w:after="0" w:line="360" w:lineRule="auto"/>
        <w:rPr>
          <w:color w:val="000000"/>
        </w:rPr>
      </w:pPr>
    </w:p>
    <w:p w14:paraId="14B2A77E" w14:textId="5C9A4F7B" w:rsidR="00AD2507" w:rsidRPr="00035B71" w:rsidRDefault="00F10379" w:rsidP="001A1400">
      <w:pPr>
        <w:spacing w:after="0" w:line="360" w:lineRule="auto"/>
        <w:rPr>
          <w:color w:val="000000"/>
        </w:rPr>
      </w:pPr>
      <w:r w:rsidRPr="00035B71">
        <w:t>En respuesta, el Sujeto Obligado</w:t>
      </w:r>
      <w:r w:rsidR="00BA73C4">
        <w:t>, por medio del Comité de Transparencia señaló que la información era reservada, en términos del artículo 140, fracciones I y IV, de la Ley de la materia</w:t>
      </w:r>
      <w:r w:rsidRPr="00035B71">
        <w:t xml:space="preserve">; ante dicha circunstancia, la parte Recurrente se inconformó </w:t>
      </w:r>
      <w:r w:rsidR="00BA73C4">
        <w:t>de la clasificación, al señalar que no le entregaban lo solicitado</w:t>
      </w:r>
      <w:r w:rsidRPr="00035B71">
        <w:t>, lo cual actualiza el supuesto previsto en el artículo 179, fracción I</w:t>
      </w:r>
      <w:r w:rsidR="00BA73C4">
        <w:t>I</w:t>
      </w:r>
      <w:r w:rsidRPr="00035B71">
        <w:t>, de la Ley de Transparencia y Acceso a la Información Pública del Estado de México y Municipios. Así las cosas, una vez admitido y notificado el Recurso de Revisión a las partes, el Sujeto Obligado</w:t>
      </w:r>
      <w:r w:rsidR="00BA73C4">
        <w:t xml:space="preserve"> ratificó la respuesta inicial.</w:t>
      </w:r>
    </w:p>
    <w:p w14:paraId="24D039CF" w14:textId="77777777" w:rsidR="00AD2507" w:rsidRPr="00035B71" w:rsidRDefault="00AD2507" w:rsidP="001A1400">
      <w:pPr>
        <w:spacing w:after="0" w:line="360" w:lineRule="auto"/>
      </w:pPr>
    </w:p>
    <w:p w14:paraId="6346740B" w14:textId="266BB9D4" w:rsidR="00AD2507" w:rsidRPr="00035B71" w:rsidRDefault="00F10379" w:rsidP="001A1400">
      <w:pPr>
        <w:tabs>
          <w:tab w:val="left" w:pos="4962"/>
        </w:tabs>
        <w:spacing w:after="0" w:line="360" w:lineRule="auto"/>
      </w:pPr>
      <w:r w:rsidRPr="00035B71">
        <w:t xml:space="preserve">Lo anterior, se desprende de las documentales que obran en el expediente de referencia, materia de la presente resolución, consistente en: la solicitud de acceso a la </w:t>
      </w:r>
      <w:r w:rsidR="00BA73C4">
        <w:t>información; la respuesta entregada;</w:t>
      </w:r>
      <w:r w:rsidRPr="00035B71">
        <w:t xml:space="preserve"> el escrito </w:t>
      </w:r>
      <w:proofErr w:type="spellStart"/>
      <w:r w:rsidRPr="00035B71">
        <w:t>recursal</w:t>
      </w:r>
      <w:proofErr w:type="spellEnd"/>
      <w:r w:rsidRPr="00035B71">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0DEAC87" w14:textId="77777777" w:rsidR="00AD2507" w:rsidRDefault="00AD2507" w:rsidP="001A1400">
      <w:pPr>
        <w:spacing w:after="0" w:line="360" w:lineRule="auto"/>
        <w:rPr>
          <w:b/>
          <w:color w:val="000000"/>
        </w:rPr>
      </w:pPr>
    </w:p>
    <w:p w14:paraId="2EB7181F" w14:textId="77777777" w:rsidR="00F73569" w:rsidRPr="00035B71" w:rsidRDefault="00F73569" w:rsidP="001A1400">
      <w:pPr>
        <w:spacing w:after="0" w:line="360" w:lineRule="auto"/>
        <w:rPr>
          <w:b/>
          <w:color w:val="000000"/>
        </w:rPr>
      </w:pPr>
    </w:p>
    <w:p w14:paraId="198D8B6A" w14:textId="77777777" w:rsidR="00AD2507" w:rsidRPr="00035B71" w:rsidRDefault="00F10379" w:rsidP="0083110F">
      <w:pPr>
        <w:pStyle w:val="Ttulo8"/>
      </w:pPr>
      <w:bookmarkStart w:id="12" w:name="_Toc224832399"/>
      <w:r w:rsidRPr="00035B71">
        <w:t>CUARTO. Marco normativo aplicable en materia de transparencia y acceso a la información pública</w:t>
      </w:r>
      <w:bookmarkEnd w:id="12"/>
    </w:p>
    <w:p w14:paraId="662A2936" w14:textId="77777777" w:rsidR="00AD2507" w:rsidRPr="00035B71" w:rsidRDefault="00AD2507" w:rsidP="001A1400">
      <w:pPr>
        <w:spacing w:after="0" w:line="360" w:lineRule="auto"/>
        <w:rPr>
          <w:color w:val="000000"/>
        </w:rPr>
      </w:pPr>
    </w:p>
    <w:p w14:paraId="7A7BF64C" w14:textId="77777777" w:rsidR="00AD2507" w:rsidRPr="00035B71" w:rsidRDefault="00F10379" w:rsidP="001A1400">
      <w:pPr>
        <w:spacing w:after="0" w:line="360" w:lineRule="auto"/>
        <w:rPr>
          <w:color w:val="000000"/>
        </w:rPr>
      </w:pPr>
      <w:r w:rsidRPr="00035B7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0A4C137" w14:textId="77777777" w:rsidR="00AD2507" w:rsidRPr="00035B71" w:rsidRDefault="00AD2507" w:rsidP="001A1400">
      <w:pPr>
        <w:spacing w:after="0" w:line="360" w:lineRule="auto"/>
        <w:rPr>
          <w:color w:val="000000"/>
        </w:rPr>
      </w:pPr>
    </w:p>
    <w:p w14:paraId="63237865" w14:textId="77777777" w:rsidR="00AD2507" w:rsidRPr="00035B71" w:rsidRDefault="00F10379" w:rsidP="001A1400">
      <w:pPr>
        <w:spacing w:after="0" w:line="360" w:lineRule="auto"/>
        <w:rPr>
          <w:color w:val="000000"/>
        </w:rPr>
      </w:pPr>
      <w:r w:rsidRPr="00035B7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2CE9AF9" w14:textId="77777777" w:rsidR="00AD2507" w:rsidRPr="00035B71" w:rsidRDefault="00AD2507" w:rsidP="001A1400">
      <w:pPr>
        <w:spacing w:after="0" w:line="360" w:lineRule="auto"/>
        <w:rPr>
          <w:color w:val="000000"/>
        </w:rPr>
      </w:pPr>
    </w:p>
    <w:p w14:paraId="2B1C2BF5" w14:textId="77777777" w:rsidR="00AD2507" w:rsidRPr="00035B71" w:rsidRDefault="00F10379" w:rsidP="001A1400">
      <w:pPr>
        <w:spacing w:after="0" w:line="360" w:lineRule="auto"/>
        <w:rPr>
          <w:color w:val="000000"/>
        </w:rPr>
      </w:pPr>
      <w:r w:rsidRPr="00035B71">
        <w:rPr>
          <w:color w:val="000000"/>
        </w:rPr>
        <w:t>Por su parte, la Ley de Transparencia y Acceso a la Información Pública del Estado de México y Municipios (Reglamentaria del artículo 5° de la Constitución Local), establece lo siguiente:</w:t>
      </w:r>
    </w:p>
    <w:p w14:paraId="72CF2640" w14:textId="77777777" w:rsidR="00AD2507" w:rsidRPr="00035B71" w:rsidRDefault="00AD2507" w:rsidP="001A1400">
      <w:pPr>
        <w:spacing w:after="0" w:line="360" w:lineRule="auto"/>
        <w:rPr>
          <w:color w:val="000000"/>
        </w:rPr>
      </w:pPr>
    </w:p>
    <w:p w14:paraId="0FFB53B3" w14:textId="77777777" w:rsidR="00AD2507" w:rsidRPr="00035B71" w:rsidRDefault="00F10379" w:rsidP="001A1400">
      <w:pPr>
        <w:spacing w:after="0" w:line="360" w:lineRule="auto"/>
        <w:rPr>
          <w:color w:val="000000"/>
        </w:rPr>
      </w:pPr>
      <w:r w:rsidRPr="00035B71">
        <w:rPr>
          <w:color w:val="000000"/>
        </w:rPr>
        <w:t>El artículo 12, que, quienes generen, recopilen, administren, manejen, procesen, archiven o conserven información pública serán responsables de la misma.</w:t>
      </w:r>
    </w:p>
    <w:p w14:paraId="37C6A39D" w14:textId="77777777" w:rsidR="00AD2507" w:rsidRPr="00035B71" w:rsidRDefault="00AD2507" w:rsidP="001A1400">
      <w:pPr>
        <w:spacing w:after="0" w:line="360" w:lineRule="auto"/>
        <w:rPr>
          <w:color w:val="000000"/>
        </w:rPr>
      </w:pPr>
    </w:p>
    <w:p w14:paraId="5A7F909B" w14:textId="77777777" w:rsidR="00AD2507" w:rsidRPr="00035B71" w:rsidRDefault="00F10379" w:rsidP="001A1400">
      <w:pPr>
        <w:widowControl w:val="0"/>
        <w:spacing w:after="0" w:line="360" w:lineRule="auto"/>
        <w:rPr>
          <w:color w:val="000000"/>
        </w:rPr>
      </w:pPr>
      <w:r w:rsidRPr="00035B7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6ADB6A97" w14:textId="77777777" w:rsidR="00AD2507" w:rsidRPr="00035B71" w:rsidRDefault="00AD2507" w:rsidP="001A1400">
      <w:pPr>
        <w:spacing w:after="0" w:line="360" w:lineRule="auto"/>
        <w:rPr>
          <w:color w:val="000000"/>
        </w:rPr>
      </w:pPr>
    </w:p>
    <w:p w14:paraId="7E950C5A" w14:textId="77777777" w:rsidR="00AD2507" w:rsidRPr="00035B71" w:rsidRDefault="00F10379" w:rsidP="001A1400">
      <w:pPr>
        <w:spacing w:after="0" w:line="360" w:lineRule="auto"/>
        <w:rPr>
          <w:color w:val="000000"/>
        </w:rPr>
      </w:pPr>
      <w:r w:rsidRPr="00035B71">
        <w:rPr>
          <w:color w:val="000000"/>
        </w:rPr>
        <w:t xml:space="preserve">El artículo 19, que, se presume que la información debe existir si se refiere a las facultades, competencias y funciones que los ordenamientos jurídicos aplicables otorgan a los sujetos </w:t>
      </w:r>
      <w:r w:rsidRPr="00035B71">
        <w:rPr>
          <w:color w:val="000000"/>
        </w:rPr>
        <w:lastRenderedPageBreak/>
        <w:t>obligados y en caso de que dichas facultades no se hayan ejercido, se deberá motivar la respuesta en función de las causas que motivaron tal circunstancia.</w:t>
      </w:r>
    </w:p>
    <w:p w14:paraId="3707CF4F" w14:textId="77777777" w:rsidR="00AD2507" w:rsidRPr="00035B71" w:rsidRDefault="00AD2507" w:rsidP="001A1400">
      <w:pPr>
        <w:spacing w:after="0" w:line="360" w:lineRule="auto"/>
        <w:rPr>
          <w:color w:val="000000"/>
        </w:rPr>
      </w:pPr>
    </w:p>
    <w:p w14:paraId="41A8D1DB" w14:textId="2EC55932" w:rsidR="00AD2507" w:rsidRPr="00035B71" w:rsidRDefault="00AF757C" w:rsidP="0083110F">
      <w:pPr>
        <w:pStyle w:val="Ttulo8"/>
      </w:pPr>
      <w:bookmarkStart w:id="13" w:name="_Toc224832400"/>
      <w:r w:rsidRPr="00035B71">
        <w:t xml:space="preserve">QUINTO. </w:t>
      </w:r>
      <w:r w:rsidR="00F10379" w:rsidRPr="00035B71">
        <w:t>Estudio de Fondo</w:t>
      </w:r>
      <w:bookmarkEnd w:id="13"/>
    </w:p>
    <w:p w14:paraId="04879554" w14:textId="77777777" w:rsidR="00AD2507" w:rsidRDefault="00AD2507" w:rsidP="001A1400">
      <w:pPr>
        <w:spacing w:after="0" w:line="360" w:lineRule="auto"/>
        <w:rPr>
          <w:b/>
          <w:color w:val="000000"/>
        </w:rPr>
      </w:pPr>
    </w:p>
    <w:p w14:paraId="0D81A69C" w14:textId="77777777" w:rsidR="00BA73C4" w:rsidRDefault="00BA73C4" w:rsidP="001A1400">
      <w:pPr>
        <w:spacing w:after="0" w:line="360" w:lineRule="auto"/>
        <w:rPr>
          <w:rFonts w:eastAsia="Times New Roman" w:cs="Tahoma"/>
          <w:bCs/>
          <w:iCs/>
          <w:lang w:eastAsia="es-ES"/>
        </w:rPr>
      </w:pPr>
      <w:r w:rsidRPr="00FD7AA9">
        <w:t xml:space="preserve">Expuestas las posturas de las partes, se procede al análisis de los agravios hechos valer por la persona Recurrente, </w:t>
      </w:r>
      <w:r w:rsidRPr="00FD7AA9">
        <w:rPr>
          <w:rFonts w:eastAsia="Times New Roman" w:cs="Tahoma"/>
          <w:bCs/>
          <w:iCs/>
          <w:lang w:eastAsia="es-ES"/>
        </w:rPr>
        <w:t>por lo que, en principio es necesario contextualizar la solicitud de información.</w:t>
      </w:r>
    </w:p>
    <w:p w14:paraId="50120BFC" w14:textId="77777777" w:rsidR="00BA73C4" w:rsidRDefault="00BA73C4" w:rsidP="001A1400">
      <w:pPr>
        <w:spacing w:after="0" w:line="360" w:lineRule="auto"/>
        <w:rPr>
          <w:b/>
          <w:color w:val="000000"/>
        </w:rPr>
      </w:pPr>
    </w:p>
    <w:p w14:paraId="64A1738C" w14:textId="699639BC" w:rsidR="00BA73C4" w:rsidRPr="003460D1" w:rsidRDefault="003460D1" w:rsidP="001A1400">
      <w:pPr>
        <w:spacing w:after="0" w:line="360" w:lineRule="auto"/>
        <w:rPr>
          <w:bCs/>
          <w:color w:val="000000"/>
        </w:rPr>
      </w:pPr>
      <w:r>
        <w:rPr>
          <w:bCs/>
          <w:color w:val="000000"/>
        </w:rPr>
        <w:t>En ese contexto, es necesario precisar que conforma al Manual de Organización de la Secretaría de Seguridad, el Sujeto Obligado cuenta con el Departamento de Control Vehicular</w:t>
      </w:r>
      <w:r w:rsidR="00EE17C6">
        <w:rPr>
          <w:bCs/>
          <w:color w:val="000000"/>
        </w:rPr>
        <w:t xml:space="preserve"> adscrito a la Subdirección de Registro y Control de Activos, encargada de realizar las gestiones para realizar los mantenimientos preventivos y correctivos al parque vehicular de la Secretaría de Seguridad; de realizar las conciliaciones y actualizaciones mensuales del padrón vehicular; así como, de actualizar de manera permanente, los registros, bases de datos y archivos con el parque vehicular.</w:t>
      </w:r>
    </w:p>
    <w:p w14:paraId="653BB1F4" w14:textId="77777777" w:rsidR="00BA73C4" w:rsidRDefault="00BA73C4" w:rsidP="001A1400">
      <w:pPr>
        <w:spacing w:after="0" w:line="360" w:lineRule="auto"/>
        <w:rPr>
          <w:b/>
          <w:color w:val="000000"/>
        </w:rPr>
      </w:pPr>
    </w:p>
    <w:p w14:paraId="51342455" w14:textId="16289F57" w:rsidR="00B07394" w:rsidRPr="00B07394" w:rsidRDefault="00B07394" w:rsidP="001A1400">
      <w:pPr>
        <w:spacing w:after="0" w:line="360" w:lineRule="auto"/>
        <w:rPr>
          <w:bCs/>
          <w:color w:val="000000"/>
        </w:rPr>
      </w:pPr>
      <w:r>
        <w:rPr>
          <w:bCs/>
          <w:color w:val="000000"/>
        </w:rPr>
        <w:t xml:space="preserve">Lo cual toma relevancia, con el Acuerdo </w:t>
      </w:r>
      <w:r w:rsidR="0045117D">
        <w:rPr>
          <w:bCs/>
          <w:color w:val="000000"/>
        </w:rPr>
        <w:t>po</w:t>
      </w:r>
      <w:r>
        <w:rPr>
          <w:bCs/>
          <w:color w:val="000000"/>
        </w:rPr>
        <w:t>r el que se establecen las Políticas, Bases y Lineamientos, en materia de adquisiciones, enajenaciones, arrendamientos y servicios de las Dependencias, Organismos Auxiliares y Tribunales Administrativos del Poder Ejecutivo Estatal, que hacen alusión que las Dependencias para el ejercicio de sus funciones contarán con vehículos automotores; y para vehículos destinados a seguridad, se necesita el Dictamen técnico de la Secretaría de Seguridad.</w:t>
      </w:r>
    </w:p>
    <w:p w14:paraId="71C0B42B" w14:textId="77777777" w:rsidR="00BA73C4" w:rsidRPr="00035B71" w:rsidRDefault="00BA73C4" w:rsidP="001A1400">
      <w:pPr>
        <w:spacing w:after="0" w:line="360" w:lineRule="auto"/>
        <w:rPr>
          <w:b/>
          <w:color w:val="000000"/>
        </w:rPr>
      </w:pPr>
    </w:p>
    <w:p w14:paraId="67F21AB2" w14:textId="77777777" w:rsidR="00F552D8" w:rsidRDefault="00F552D8" w:rsidP="001A1400">
      <w:pPr>
        <w:spacing w:after="0" w:line="360" w:lineRule="auto"/>
      </w:pPr>
      <w:r>
        <w:t xml:space="preserve">En ese orden de ideas, el artículo 92, fracción LII, de la Ley de Transparencia y Acceso a la Información Pública del Estado de México y Municipios, precisa que es una obligación </w:t>
      </w:r>
      <w:r>
        <w:lastRenderedPageBreak/>
        <w:t>común de transparencia, poner a disposición del público, aquella información que con base a la información estadística generada, responda preguntas realizadas por la sociedad.</w:t>
      </w:r>
    </w:p>
    <w:p w14:paraId="4DF7082A" w14:textId="77777777" w:rsidR="00F552D8" w:rsidRDefault="00F552D8" w:rsidP="001A1400">
      <w:pPr>
        <w:spacing w:after="0" w:line="360" w:lineRule="auto"/>
        <w:rPr>
          <w:color w:val="FF0000"/>
        </w:rPr>
      </w:pPr>
    </w:p>
    <w:p w14:paraId="68D46166" w14:textId="7E2505BB" w:rsidR="006378B4" w:rsidRDefault="00F552D8" w:rsidP="001A1400">
      <w:pPr>
        <w:spacing w:after="0" w:line="360" w:lineRule="auto"/>
        <w:rPr>
          <w:rFonts w:eastAsia="Calibri" w:cs="Times New Roman"/>
          <w:lang w:eastAsia="en-US"/>
        </w:rPr>
      </w:pPr>
      <w:r>
        <w:rPr>
          <w:rFonts w:eastAsia="Calibri" w:cs="Times New Roman"/>
          <w:lang w:eastAsia="en-US"/>
        </w:rPr>
        <w:t>Situación que toma relevancia, con el Criterio Orientador, con clave de control SO/008/2023, emitido por el Instituto Nacional de Transparencia, Acceso a la Información y Protección de Datos Personales, el cual se encontraba vigente a la fecha de la solicitud y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27F30A3E" w14:textId="77777777" w:rsidR="00F552D8" w:rsidRDefault="00F552D8" w:rsidP="001A1400">
      <w:pPr>
        <w:spacing w:after="0" w:line="360" w:lineRule="auto"/>
        <w:rPr>
          <w:rFonts w:eastAsia="Calibri" w:cs="Times New Roman"/>
          <w:lang w:eastAsia="en-US"/>
        </w:rPr>
      </w:pPr>
    </w:p>
    <w:p w14:paraId="7C3180C9" w14:textId="4672CF4F" w:rsidR="00F552D8" w:rsidRDefault="00F552D8" w:rsidP="001A1400">
      <w:pPr>
        <w:spacing w:after="0" w:line="360" w:lineRule="auto"/>
        <w:rPr>
          <w:rFonts w:eastAsia="Calibri" w:cs="Times New Roman"/>
          <w:lang w:eastAsia="en-US"/>
        </w:rPr>
      </w:pPr>
      <w:r>
        <w:rPr>
          <w:rFonts w:eastAsia="Calibri" w:cs="Times New Roman"/>
          <w:lang w:eastAsia="en-US"/>
        </w:rPr>
        <w:t>Conforme a lo anterior, se logra vislumbrar que la pretensión de la persona Recurrente, es obtener el número total de patrullas con las que contaba la Secretaría de Seguridad al dos de septiembre de dos mil veintiséis</w:t>
      </w:r>
      <w:r w:rsidR="0045117D">
        <w:rPr>
          <w:rFonts w:eastAsia="Calibri" w:cs="Times New Roman"/>
          <w:lang w:eastAsia="en-US"/>
        </w:rPr>
        <w:t>; ahora bien, tanto en respuesta, como Informe Justificado, el Sujeto Obligado señaló que la información estaba reservada, en términos del artículo 140, fracciones I y IV, de la Ley de Transparencia y Acceso a la Información Pública del Estado de México y Municipios.</w:t>
      </w:r>
    </w:p>
    <w:p w14:paraId="20819EB2" w14:textId="77777777" w:rsidR="0045117D" w:rsidRDefault="0045117D" w:rsidP="001A1400">
      <w:pPr>
        <w:spacing w:after="0" w:line="360" w:lineRule="auto"/>
        <w:rPr>
          <w:rFonts w:eastAsia="Calibri" w:cs="Times New Roman"/>
          <w:lang w:eastAsia="en-US"/>
        </w:rPr>
      </w:pPr>
    </w:p>
    <w:p w14:paraId="7797E43E" w14:textId="77777777" w:rsidR="0045117D" w:rsidRPr="00E00804" w:rsidRDefault="0045117D" w:rsidP="001A1400">
      <w:pPr>
        <w:spacing w:after="0" w:line="360" w:lineRule="auto"/>
        <w:rPr>
          <w:color w:val="FF0000"/>
        </w:rPr>
      </w:pPr>
      <w:proofErr w:type="gramStart"/>
      <w:r>
        <w:t>sobre</w:t>
      </w:r>
      <w:proofErr w:type="gramEnd"/>
      <w:r>
        <w:t xml:space="preserve"> el tema</w:t>
      </w:r>
      <w:r w:rsidRPr="00E00804">
        <w:rPr>
          <w:color w:val="000000" w:themeColor="text1"/>
        </w:rPr>
        <w:t xml:space="preserve">, cabe precisar, que conforme al artículo 20 de la Ley de Transparencia y Acceso a la Información Pública del Estado de México y Municipios, </w:t>
      </w:r>
      <w:r w:rsidRPr="00E00804">
        <w:rPr>
          <w:b/>
          <w:color w:val="000000" w:themeColor="text1"/>
        </w:rPr>
        <w:t>ante la negativa de acceso a la información o su inexistencia, el sujeto obligado deberá demostrar que encuentra en alguna de las excepciones establecidas en la normatividad aplicable.</w:t>
      </w:r>
    </w:p>
    <w:p w14:paraId="191C1031" w14:textId="77777777" w:rsidR="0045117D" w:rsidRPr="00E00804" w:rsidRDefault="0045117D" w:rsidP="001A1400">
      <w:pPr>
        <w:spacing w:after="0" w:line="360" w:lineRule="auto"/>
        <w:rPr>
          <w:color w:val="FF0000"/>
        </w:rPr>
      </w:pPr>
    </w:p>
    <w:p w14:paraId="64A5F068" w14:textId="77777777" w:rsidR="0045117D" w:rsidRPr="00E00804" w:rsidRDefault="0045117D" w:rsidP="001A1400">
      <w:pPr>
        <w:spacing w:after="0" w:line="360" w:lineRule="auto"/>
        <w:rPr>
          <w:color w:val="000000" w:themeColor="text1"/>
        </w:rPr>
      </w:pPr>
      <w:r w:rsidRPr="00E00804">
        <w:rPr>
          <w:color w:val="000000" w:themeColor="text1"/>
        </w:rPr>
        <w:t xml:space="preserve">En ese sentido, según Trujillo, Humberto (2019), en el “Diccionario de Transparencia y Acceso a la Información Pública” (p. 201), </w:t>
      </w:r>
      <w:r w:rsidRPr="00E00804">
        <w:rPr>
          <w:b/>
          <w:color w:val="000000" w:themeColor="text1"/>
        </w:rPr>
        <w:t>la negativa de acceso a la información</w:t>
      </w:r>
      <w:r w:rsidRPr="00E00804">
        <w:rPr>
          <w:color w:val="000000" w:themeColor="text1"/>
        </w:rPr>
        <w:t xml:space="preserve"> ocurre </w:t>
      </w:r>
      <w:r w:rsidRPr="00E00804">
        <w:rPr>
          <w:color w:val="000000" w:themeColor="text1"/>
        </w:rPr>
        <w:lastRenderedPageBreak/>
        <w:t>cuando de manera fundada y motivada, una autoridad la niega o la limita, por alguna de las siguientes razones:</w:t>
      </w:r>
    </w:p>
    <w:p w14:paraId="4D049FFF" w14:textId="77777777" w:rsidR="0045117D" w:rsidRPr="00E00804" w:rsidRDefault="0045117D" w:rsidP="001A1400">
      <w:pPr>
        <w:spacing w:after="0" w:line="360" w:lineRule="auto"/>
        <w:rPr>
          <w:color w:val="000000" w:themeColor="text1"/>
        </w:rPr>
      </w:pPr>
    </w:p>
    <w:p w14:paraId="457AC7C9" w14:textId="77777777" w:rsidR="0045117D" w:rsidRPr="00E00804" w:rsidRDefault="0045117D" w:rsidP="001A1400">
      <w:pPr>
        <w:numPr>
          <w:ilvl w:val="0"/>
          <w:numId w:val="9"/>
        </w:numPr>
        <w:spacing w:after="0" w:line="360" w:lineRule="auto"/>
        <w:rPr>
          <w:color w:val="000000"/>
        </w:rPr>
      </w:pPr>
      <w:r w:rsidRPr="00E00804">
        <w:rPr>
          <w:b/>
          <w:color w:val="000000"/>
        </w:rPr>
        <w:t>La inexistencia de la información (p. 171):</w:t>
      </w:r>
      <w:r w:rsidRPr="00E00804">
        <w:rPr>
          <w:color w:val="000000"/>
        </w:rPr>
        <w:t xml:space="preserve"> Sucede cuando la información solicitada no se encuentra en los archivos públicos o clasificados, de los entes sujetos a las Leyes de Transparencia</w:t>
      </w:r>
    </w:p>
    <w:p w14:paraId="124F552C" w14:textId="77777777" w:rsidR="0045117D" w:rsidRPr="00E00804" w:rsidRDefault="0045117D" w:rsidP="001A1400">
      <w:pPr>
        <w:spacing w:after="0" w:line="360" w:lineRule="auto"/>
        <w:rPr>
          <w:color w:val="000000"/>
        </w:rPr>
      </w:pPr>
    </w:p>
    <w:p w14:paraId="088322B9" w14:textId="77777777" w:rsidR="0045117D" w:rsidRPr="00E00804" w:rsidRDefault="0045117D" w:rsidP="001A1400">
      <w:pPr>
        <w:numPr>
          <w:ilvl w:val="0"/>
          <w:numId w:val="9"/>
        </w:numPr>
        <w:spacing w:after="0" w:line="360" w:lineRule="auto"/>
        <w:rPr>
          <w:color w:val="000000"/>
        </w:rPr>
      </w:pPr>
      <w:r w:rsidRPr="00E00804">
        <w:rPr>
          <w:b/>
          <w:color w:val="000000"/>
        </w:rPr>
        <w:t>La incompetencia del Sujeto Obligado (p. 171):</w:t>
      </w:r>
      <w:r w:rsidRPr="00E00804">
        <w:rPr>
          <w:color w:val="000000"/>
        </w:rPr>
        <w:t xml:space="preserve"> Ocurre cuando el Sujeto Obligado carece de atribuciones para poseer la información peticionada.</w:t>
      </w:r>
    </w:p>
    <w:p w14:paraId="29D7CD5A" w14:textId="77777777" w:rsidR="0045117D" w:rsidRPr="00E00804" w:rsidRDefault="0045117D" w:rsidP="001A1400">
      <w:pPr>
        <w:spacing w:after="0" w:line="360" w:lineRule="auto"/>
        <w:rPr>
          <w:color w:val="000000"/>
        </w:rPr>
      </w:pPr>
    </w:p>
    <w:p w14:paraId="56EDCDBC" w14:textId="77777777" w:rsidR="0045117D" w:rsidRPr="00E00804" w:rsidRDefault="0045117D" w:rsidP="001A1400">
      <w:pPr>
        <w:numPr>
          <w:ilvl w:val="0"/>
          <w:numId w:val="9"/>
        </w:numPr>
        <w:spacing w:after="0" w:line="360" w:lineRule="auto"/>
        <w:rPr>
          <w:color w:val="000000"/>
        </w:rPr>
      </w:pPr>
      <w:r w:rsidRPr="00E00804">
        <w:rPr>
          <w:b/>
          <w:color w:val="000000"/>
        </w:rPr>
        <w:t>La clasificación de la información (p. 70):</w:t>
      </w:r>
      <w:r w:rsidRPr="00E00804">
        <w:rPr>
          <w:color w:val="000000"/>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BFA8F8B" w14:textId="77777777" w:rsidR="0045117D" w:rsidRPr="00E00804" w:rsidRDefault="0045117D" w:rsidP="001A1400">
      <w:pPr>
        <w:spacing w:after="0" w:line="360" w:lineRule="auto"/>
        <w:rPr>
          <w:color w:val="000000" w:themeColor="text1"/>
        </w:rPr>
      </w:pPr>
    </w:p>
    <w:p w14:paraId="5661B710" w14:textId="77777777" w:rsidR="0045117D" w:rsidRPr="00E00804" w:rsidRDefault="0045117D" w:rsidP="001A1400">
      <w:pPr>
        <w:spacing w:after="0" w:line="360" w:lineRule="auto"/>
        <w:rPr>
          <w:b/>
          <w:color w:val="000000" w:themeColor="text1"/>
        </w:rPr>
      </w:pPr>
      <w:r w:rsidRPr="00E00804">
        <w:rPr>
          <w:color w:val="000000" w:themeColor="text1"/>
        </w:rPr>
        <w:t xml:space="preserve">En ese orden de ideas y en atención a lo anterior, es de señalar que las excepciones al derecho de acceso a la información, consisten en que la documentación sea inexistente, se encuentre </w:t>
      </w:r>
      <w:r w:rsidRPr="00E00804">
        <w:rPr>
          <w:b/>
          <w:color w:val="000000" w:themeColor="text1"/>
        </w:rPr>
        <w:t>clasificada,</w:t>
      </w:r>
      <w:r w:rsidRPr="00E00804">
        <w:rPr>
          <w:color w:val="000000" w:themeColor="text1"/>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E00804">
        <w:rPr>
          <w:b/>
          <w:color w:val="000000" w:themeColor="text1"/>
        </w:rPr>
        <w:t>confidenciales o reservados.</w:t>
      </w:r>
    </w:p>
    <w:p w14:paraId="7DB8CC7B" w14:textId="77777777" w:rsidR="0045117D" w:rsidRPr="00E00804" w:rsidRDefault="0045117D" w:rsidP="001A1400">
      <w:pPr>
        <w:spacing w:after="0" w:line="360" w:lineRule="auto"/>
        <w:rPr>
          <w:b/>
          <w:color w:val="000000" w:themeColor="text1"/>
        </w:rPr>
      </w:pPr>
    </w:p>
    <w:p w14:paraId="35898B90" w14:textId="77777777" w:rsidR="0045117D" w:rsidRPr="00E00804" w:rsidRDefault="0045117D" w:rsidP="001A1400">
      <w:pPr>
        <w:spacing w:after="0" w:line="360" w:lineRule="auto"/>
        <w:rPr>
          <w:color w:val="000000" w:themeColor="text1"/>
        </w:rPr>
      </w:pPr>
      <w:r w:rsidRPr="00E00804">
        <w:rPr>
          <w:color w:val="000000" w:themeColor="text1"/>
        </w:rPr>
        <w:t xml:space="preserve">Así, en los artículos 122, 128 y 130 de la Ley Transparencia y Acceso a la Información Pública del Estado de México y Municipios, se prevé que </w:t>
      </w:r>
      <w:r w:rsidRPr="00E00804">
        <w:rPr>
          <w:b/>
          <w:color w:val="000000" w:themeColor="text1"/>
        </w:rPr>
        <w:t>la clasificación</w:t>
      </w:r>
      <w:r w:rsidRPr="00E00804">
        <w:rPr>
          <w:color w:val="000000" w:themeColor="text1"/>
        </w:rPr>
        <w:t xml:space="preserve"> es el proceso mediante el cual los sujetos obligados determinan que la información en su poder, actualiza alguno de los supuestos de reserva o confidencialidad. Además, que dichos entes deberán aplicar de </w:t>
      </w:r>
      <w:r w:rsidRPr="00E00804">
        <w:rPr>
          <w:color w:val="000000" w:themeColor="text1"/>
        </w:rPr>
        <w:lastRenderedPageBreak/>
        <w:t>manera restrictiva y limitada, las excepciones al derecho de acceso a la información, por lo que, tendrán que acreditar la procedencia.</w:t>
      </w:r>
    </w:p>
    <w:p w14:paraId="78BBD6F8" w14:textId="77777777" w:rsidR="0045117D" w:rsidRPr="00E00804" w:rsidRDefault="0045117D" w:rsidP="001A1400">
      <w:pPr>
        <w:spacing w:after="0" w:line="360" w:lineRule="auto"/>
        <w:rPr>
          <w:color w:val="000000" w:themeColor="text1"/>
        </w:rPr>
      </w:pPr>
    </w:p>
    <w:p w14:paraId="5932E91E" w14:textId="77777777" w:rsidR="0045117D" w:rsidRPr="00E00804" w:rsidRDefault="0045117D" w:rsidP="001A1400">
      <w:pPr>
        <w:spacing w:after="0" w:line="360" w:lineRule="auto"/>
        <w:rPr>
          <w:color w:val="000000" w:themeColor="text1"/>
        </w:rPr>
      </w:pPr>
      <w:r w:rsidRPr="00E00804">
        <w:rPr>
          <w:color w:val="000000" w:themeColor="text1"/>
        </w:rPr>
        <w:t xml:space="preserve">Por lo cual, en los casos en que se niegue el acceso a la información, por actualizarse alguno de los supuestos de clasificación, </w:t>
      </w:r>
      <w:r w:rsidRPr="00E00804">
        <w:rPr>
          <w:b/>
          <w:color w:val="000000" w:themeColor="text1"/>
        </w:rPr>
        <w:t>el Comité de Transparencia deberá confirmar, modificar o revocar la decisión;</w:t>
      </w:r>
      <w:r w:rsidRPr="00E00804">
        <w:rPr>
          <w:color w:val="000000" w:themeColor="text1"/>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1261C03" w14:textId="77777777" w:rsidR="0045117D" w:rsidRPr="00E00804" w:rsidRDefault="0045117D" w:rsidP="001A1400">
      <w:pPr>
        <w:spacing w:after="0" w:line="360" w:lineRule="auto"/>
        <w:rPr>
          <w:color w:val="000000" w:themeColor="text1"/>
        </w:rPr>
      </w:pPr>
    </w:p>
    <w:p w14:paraId="7E0D5915" w14:textId="77777777" w:rsidR="0045117D" w:rsidRPr="00E00804" w:rsidRDefault="0045117D" w:rsidP="001A1400">
      <w:pPr>
        <w:spacing w:after="0" w:line="360" w:lineRule="auto"/>
        <w:rPr>
          <w:color w:val="000000" w:themeColor="text1"/>
        </w:rPr>
      </w:pPr>
      <w:r w:rsidRPr="00E00804">
        <w:rPr>
          <w:color w:val="000000" w:themeColor="text1"/>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611F6B18" w14:textId="77777777" w:rsidR="0045117D" w:rsidRPr="00E00804" w:rsidRDefault="0045117D" w:rsidP="001A1400">
      <w:pPr>
        <w:spacing w:after="0" w:line="360" w:lineRule="auto"/>
        <w:rPr>
          <w:color w:val="000000" w:themeColor="text1"/>
        </w:rPr>
      </w:pPr>
    </w:p>
    <w:p w14:paraId="0D5C6A4A" w14:textId="77777777" w:rsidR="0045117D" w:rsidRPr="00E00804" w:rsidRDefault="0045117D" w:rsidP="001A1400">
      <w:pPr>
        <w:spacing w:after="0" w:line="360" w:lineRule="auto"/>
        <w:rPr>
          <w:color w:val="000000" w:themeColor="text1"/>
        </w:rPr>
      </w:pPr>
      <w:r w:rsidRPr="00E00804">
        <w:rPr>
          <w:color w:val="000000" w:themeColor="text1"/>
        </w:rPr>
        <w:t>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cuales se encontraban vigentes a la fecha de la solicitud, los sujetos obligados no podrán emitir acuerdos de carácter general que clasifiquen documentos o expedientes; por lo que, la clasificación de información se llevará a cabo mediante un análisis caso por caso.</w:t>
      </w:r>
    </w:p>
    <w:p w14:paraId="2D6641F2" w14:textId="77777777" w:rsidR="0045117D" w:rsidRPr="00E00804" w:rsidRDefault="0045117D" w:rsidP="001A1400">
      <w:pPr>
        <w:spacing w:after="0" w:line="360" w:lineRule="auto"/>
        <w:rPr>
          <w:color w:val="000000" w:themeColor="text1"/>
        </w:rPr>
      </w:pPr>
    </w:p>
    <w:p w14:paraId="46FCA912" w14:textId="77777777" w:rsidR="0045117D" w:rsidRPr="00E00804" w:rsidRDefault="0045117D" w:rsidP="001A1400">
      <w:pPr>
        <w:spacing w:after="0" w:line="360" w:lineRule="auto"/>
        <w:rPr>
          <w:color w:val="000000" w:themeColor="text1"/>
        </w:rPr>
      </w:pPr>
      <w:r w:rsidRPr="00E00804">
        <w:rPr>
          <w:color w:val="000000" w:themeColor="text1"/>
        </w:rPr>
        <w:t>Sobre lo anterior, el artículo 131 de la Ley referida, así como el Quinto de los Lineamientos Generales vigentes a la fecha de la solicitud, establecen que los sujetos obligados deberán fundar y motivar debidamente la clasificación de la información.</w:t>
      </w:r>
    </w:p>
    <w:p w14:paraId="1A390D37" w14:textId="77777777" w:rsidR="0045117D" w:rsidRPr="00E00804" w:rsidRDefault="0045117D" w:rsidP="001A1400">
      <w:pPr>
        <w:spacing w:after="0" w:line="360" w:lineRule="auto"/>
        <w:rPr>
          <w:color w:val="000000" w:themeColor="text1"/>
        </w:rPr>
      </w:pPr>
      <w:r w:rsidRPr="00E00804">
        <w:rPr>
          <w:color w:val="000000" w:themeColor="text1"/>
        </w:rPr>
        <w:lastRenderedPageBreak/>
        <w:t>Al respecto, el Octavo de los Lineamientos Generales en comento, precisa lo siguiente:</w:t>
      </w:r>
    </w:p>
    <w:p w14:paraId="19BCB985" w14:textId="77777777" w:rsidR="0045117D" w:rsidRPr="00E00804" w:rsidRDefault="0045117D" w:rsidP="001A1400">
      <w:pPr>
        <w:spacing w:after="0" w:line="360" w:lineRule="auto"/>
        <w:rPr>
          <w:color w:val="000000" w:themeColor="text1"/>
        </w:rPr>
      </w:pPr>
    </w:p>
    <w:p w14:paraId="7825E22E" w14:textId="77777777" w:rsidR="0045117D" w:rsidRPr="00E00804" w:rsidRDefault="0045117D" w:rsidP="001A1400">
      <w:pPr>
        <w:numPr>
          <w:ilvl w:val="0"/>
          <w:numId w:val="10"/>
        </w:numPr>
        <w:spacing w:after="0" w:line="360" w:lineRule="auto"/>
        <w:rPr>
          <w:color w:val="000000" w:themeColor="text1"/>
        </w:rPr>
      </w:pPr>
      <w:r w:rsidRPr="00E00804">
        <w:rPr>
          <w:b/>
          <w:color w:val="000000" w:themeColor="text1"/>
        </w:rPr>
        <w:t xml:space="preserve">Para fundar la clasificación </w:t>
      </w:r>
      <w:r w:rsidRPr="00E00804">
        <w:rPr>
          <w:color w:val="000000" w:themeColor="text1"/>
        </w:rPr>
        <w:t xml:space="preserve">de la información se deberán señalar el artículo, fracción, inciso, párrafo o numeral de la Ley aplicable; </w:t>
      </w:r>
    </w:p>
    <w:p w14:paraId="6062E7C2" w14:textId="77777777" w:rsidR="0045117D" w:rsidRPr="00E00804" w:rsidRDefault="0045117D" w:rsidP="001A1400">
      <w:pPr>
        <w:spacing w:after="0" w:line="360" w:lineRule="auto"/>
        <w:rPr>
          <w:color w:val="000000" w:themeColor="text1"/>
        </w:rPr>
      </w:pPr>
    </w:p>
    <w:p w14:paraId="4D61F0CA" w14:textId="77777777" w:rsidR="0045117D" w:rsidRPr="00E00804" w:rsidRDefault="0045117D" w:rsidP="001A1400">
      <w:pPr>
        <w:numPr>
          <w:ilvl w:val="0"/>
          <w:numId w:val="10"/>
        </w:numPr>
        <w:spacing w:after="0" w:line="360" w:lineRule="auto"/>
        <w:rPr>
          <w:color w:val="000000"/>
        </w:rPr>
      </w:pPr>
      <w:r w:rsidRPr="00E00804">
        <w:rPr>
          <w:b/>
          <w:color w:val="000000" w:themeColor="text1"/>
        </w:rPr>
        <w:t>Para motivar la clasificación</w:t>
      </w:r>
      <w:r w:rsidRPr="00E00804">
        <w:rPr>
          <w:color w:val="000000" w:themeColor="text1"/>
        </w:rPr>
        <w:t xml:space="preserve"> se deberán indicar las razones y circunstancias especiales que lo llevaron a concluir que el caso particular se ajusta al supuesto previsto por la norma legal invocada.</w:t>
      </w:r>
    </w:p>
    <w:p w14:paraId="415F6421" w14:textId="77777777" w:rsidR="0045117D" w:rsidRPr="00E00804" w:rsidRDefault="0045117D" w:rsidP="001A1400">
      <w:pPr>
        <w:spacing w:after="0" w:line="360" w:lineRule="auto"/>
        <w:rPr>
          <w:color w:val="FF0000"/>
        </w:rPr>
      </w:pPr>
    </w:p>
    <w:p w14:paraId="03910B4D" w14:textId="77777777" w:rsidR="0045117D" w:rsidRPr="00E00804" w:rsidRDefault="0045117D" w:rsidP="001A1400">
      <w:pPr>
        <w:spacing w:after="0" w:line="360" w:lineRule="auto"/>
        <w:rPr>
          <w:color w:val="000000" w:themeColor="text1"/>
        </w:rPr>
      </w:pPr>
      <w:r w:rsidRPr="00E00804">
        <w:rPr>
          <w:color w:val="000000" w:themeColor="text1"/>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E6B3D1F" w14:textId="77777777" w:rsidR="0045117D" w:rsidRPr="00E00804" w:rsidRDefault="0045117D" w:rsidP="001A1400">
      <w:pPr>
        <w:spacing w:after="0" w:line="360" w:lineRule="auto"/>
        <w:rPr>
          <w:color w:val="000000" w:themeColor="text1"/>
        </w:rPr>
      </w:pPr>
    </w:p>
    <w:p w14:paraId="2314B84A" w14:textId="77777777" w:rsidR="0045117D" w:rsidRPr="00E00804" w:rsidRDefault="0045117D" w:rsidP="001A1400">
      <w:pPr>
        <w:spacing w:after="0" w:line="360" w:lineRule="auto"/>
        <w:ind w:left="567" w:right="567"/>
        <w:rPr>
          <w:i/>
          <w:color w:val="000000"/>
          <w:sz w:val="20"/>
          <w:szCs w:val="20"/>
        </w:rPr>
      </w:pPr>
      <w:r w:rsidRPr="00E00804">
        <w:rPr>
          <w:b/>
          <w:i/>
          <w:color w:val="000000"/>
          <w:sz w:val="20"/>
          <w:szCs w:val="20"/>
        </w:rPr>
        <w:t>“FUNDAMENTACION Y MOTIVACION, CONCEPTO DE.</w:t>
      </w:r>
      <w:r w:rsidRPr="00E00804">
        <w:rPr>
          <w:i/>
          <w:color w:val="000000"/>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CEEA341" w14:textId="77777777" w:rsidR="0045117D" w:rsidRPr="00E00804" w:rsidRDefault="0045117D" w:rsidP="001A1400">
      <w:pPr>
        <w:spacing w:after="0" w:line="360" w:lineRule="auto"/>
        <w:rPr>
          <w:color w:val="000000" w:themeColor="text1"/>
        </w:rPr>
      </w:pPr>
    </w:p>
    <w:p w14:paraId="19F9F38B" w14:textId="77777777" w:rsidR="0045117D" w:rsidRPr="00E00804" w:rsidRDefault="0045117D" w:rsidP="001A1400">
      <w:pPr>
        <w:spacing w:after="0" w:line="360" w:lineRule="auto"/>
        <w:rPr>
          <w:color w:val="000000" w:themeColor="text1"/>
        </w:rPr>
      </w:pPr>
      <w:r w:rsidRPr="00E00804">
        <w:rPr>
          <w:color w:val="000000" w:themeColor="text1"/>
        </w:rPr>
        <w:t>Conforme a lo anterior, se advierte lo siguiente:</w:t>
      </w:r>
    </w:p>
    <w:p w14:paraId="2500E9F3" w14:textId="77777777" w:rsidR="0045117D" w:rsidRPr="00E00804" w:rsidRDefault="0045117D" w:rsidP="001A1400">
      <w:pPr>
        <w:spacing w:after="0" w:line="360" w:lineRule="auto"/>
        <w:rPr>
          <w:color w:val="000000" w:themeColor="text1"/>
        </w:rPr>
      </w:pPr>
    </w:p>
    <w:p w14:paraId="2F1BC993" w14:textId="77777777" w:rsidR="0045117D" w:rsidRPr="00E00804" w:rsidRDefault="0045117D" w:rsidP="001A1400">
      <w:pPr>
        <w:numPr>
          <w:ilvl w:val="0"/>
          <w:numId w:val="11"/>
        </w:numPr>
        <w:spacing w:after="0" w:line="360" w:lineRule="auto"/>
        <w:rPr>
          <w:color w:val="000000" w:themeColor="text1"/>
        </w:rPr>
      </w:pPr>
      <w:r w:rsidRPr="00E00804">
        <w:rPr>
          <w:b/>
          <w:color w:val="000000" w:themeColor="text1"/>
        </w:rPr>
        <w:lastRenderedPageBreak/>
        <w:t>Fundamentación:</w:t>
      </w:r>
      <w:r w:rsidRPr="00E00804">
        <w:rPr>
          <w:color w:val="000000" w:themeColor="text1"/>
        </w:rPr>
        <w:t xml:space="preserve"> Obligación de la autoridad que emite un acto, para citar los preceptos legales, sustantivos y adjetivos, en que se apoye para la determinación tomada.</w:t>
      </w:r>
    </w:p>
    <w:p w14:paraId="5810CC04" w14:textId="77777777" w:rsidR="0045117D" w:rsidRPr="00E00804" w:rsidRDefault="0045117D" w:rsidP="001A1400">
      <w:pPr>
        <w:spacing w:after="0" w:line="360" w:lineRule="auto"/>
        <w:rPr>
          <w:color w:val="000000" w:themeColor="text1"/>
        </w:rPr>
      </w:pPr>
    </w:p>
    <w:p w14:paraId="176F9776" w14:textId="77777777" w:rsidR="0045117D" w:rsidRPr="00E00804" w:rsidRDefault="0045117D" w:rsidP="001A1400">
      <w:pPr>
        <w:numPr>
          <w:ilvl w:val="0"/>
          <w:numId w:val="11"/>
        </w:numPr>
        <w:spacing w:after="0" w:line="360" w:lineRule="auto"/>
        <w:rPr>
          <w:color w:val="000000"/>
        </w:rPr>
      </w:pPr>
      <w:r w:rsidRPr="00E00804">
        <w:rPr>
          <w:b/>
          <w:color w:val="000000"/>
        </w:rPr>
        <w:t>Motivación:</w:t>
      </w:r>
      <w:r w:rsidRPr="00E00804">
        <w:rPr>
          <w:color w:val="000000"/>
        </w:rPr>
        <w:t xml:space="preserve"> Razonamientos lógico-jurídicos sobre porque se consideró en el caso en concreto, que se ajusta a la hipótesis normativa.</w:t>
      </w:r>
    </w:p>
    <w:p w14:paraId="2F1253D3" w14:textId="77777777" w:rsidR="0045117D" w:rsidRPr="00E00804" w:rsidRDefault="0045117D" w:rsidP="001A1400">
      <w:pPr>
        <w:spacing w:after="0" w:line="360" w:lineRule="auto"/>
        <w:rPr>
          <w:color w:val="FF0000"/>
        </w:rPr>
      </w:pPr>
    </w:p>
    <w:p w14:paraId="4FB6E85C" w14:textId="77777777" w:rsidR="006F4971" w:rsidRPr="006E4455" w:rsidRDefault="006F4971" w:rsidP="001A1400">
      <w:pPr>
        <w:spacing w:after="0" w:line="360" w:lineRule="auto"/>
        <w:rPr>
          <w:rFonts w:cs="Tahoma"/>
          <w:color w:val="0D0D0D" w:themeColor="text1" w:themeTint="F2"/>
          <w:lang w:val="es-ES"/>
        </w:rPr>
      </w:pPr>
      <w:r w:rsidRPr="006E4455">
        <w:rPr>
          <w:rFonts w:cs="Tahoma"/>
          <w:color w:val="0D0D0D" w:themeColor="text1" w:themeTint="F2"/>
          <w:lang w:val="es-ES"/>
        </w:rPr>
        <w:t>En ese orden de ideas, el Trigésimo tercero de los Lineamientos Generales, establece la forma en que se debe fundamentar y motivar la reserva de la información, es decir, a través de los siguientes pasos:</w:t>
      </w:r>
    </w:p>
    <w:p w14:paraId="36FCF89A" w14:textId="77777777" w:rsidR="006F4971" w:rsidRPr="006E4455" w:rsidRDefault="006F4971" w:rsidP="001A1400">
      <w:pPr>
        <w:spacing w:after="0" w:line="360" w:lineRule="auto"/>
        <w:rPr>
          <w:rFonts w:cs="Tahoma"/>
          <w:color w:val="0D0D0D" w:themeColor="text1" w:themeTint="F2"/>
          <w:lang w:val="es-ES_tradnl"/>
        </w:rPr>
      </w:pPr>
    </w:p>
    <w:p w14:paraId="21D9FAFF" w14:textId="77777777" w:rsidR="006F4971" w:rsidRPr="006E4455" w:rsidRDefault="006F4971" w:rsidP="001A1400">
      <w:pPr>
        <w:numPr>
          <w:ilvl w:val="0"/>
          <w:numId w:val="14"/>
        </w:numPr>
        <w:spacing w:after="0" w:line="360" w:lineRule="auto"/>
        <w:contextualSpacing/>
        <w:rPr>
          <w:rFonts w:cs="Tahoma"/>
          <w:color w:val="0D0D0D" w:themeColor="text1" w:themeTint="F2"/>
          <w:lang w:val="es-ES_tradnl"/>
        </w:rPr>
      </w:pPr>
      <w:r w:rsidRPr="006E4455">
        <w:rPr>
          <w:rFonts w:cs="Tahoma"/>
          <w:color w:val="0D0D0D" w:themeColor="text1" w:themeTint="F2"/>
          <w:lang w:val="es-ES_tradnl"/>
        </w:rPr>
        <w:t xml:space="preserve">Se deberá fundar la clasificación, al citar la fracción y, en su caso, la causal aplicable de la Ley de Transparencia y Acceso a la Información Pública del Estado de México y Municipios, vinculándola con el Lineamiento específico; </w:t>
      </w:r>
    </w:p>
    <w:p w14:paraId="427ED451" w14:textId="77777777" w:rsidR="006F4971" w:rsidRPr="006E4455" w:rsidRDefault="006F4971" w:rsidP="001A1400">
      <w:pPr>
        <w:spacing w:after="0" w:line="360" w:lineRule="auto"/>
        <w:ind w:left="720"/>
        <w:contextualSpacing/>
        <w:rPr>
          <w:rFonts w:cs="Tahoma"/>
          <w:color w:val="0D0D0D" w:themeColor="text1" w:themeTint="F2"/>
          <w:lang w:val="es-ES_tradnl"/>
        </w:rPr>
      </w:pPr>
    </w:p>
    <w:p w14:paraId="16A3EC70" w14:textId="77777777" w:rsidR="006F4971" w:rsidRPr="006E4455" w:rsidRDefault="006F4971" w:rsidP="001A1400">
      <w:pPr>
        <w:numPr>
          <w:ilvl w:val="0"/>
          <w:numId w:val="14"/>
        </w:numPr>
        <w:spacing w:after="0" w:line="360" w:lineRule="auto"/>
        <w:contextualSpacing/>
        <w:rPr>
          <w:rFonts w:cs="Tahoma"/>
          <w:color w:val="0D0D0D" w:themeColor="text1" w:themeTint="F2"/>
          <w:lang w:val="es-ES"/>
        </w:rPr>
      </w:pPr>
      <w:r w:rsidRPr="006E4455">
        <w:rPr>
          <w:rFonts w:cs="Tahoma"/>
          <w:color w:val="0D0D0D" w:themeColor="text1" w:themeTint="F2"/>
          <w:lang w:val="es-ES"/>
        </w:rPr>
        <w:t>Se deberá motivar la clasificación, al señalar las circunstancias de modo, tiempo y lugar del daño</w:t>
      </w:r>
      <w:r w:rsidRPr="006E4455">
        <w:rPr>
          <w:rFonts w:ascii="Century Gothic" w:hAnsi="Century Gothic"/>
          <w:szCs w:val="24"/>
          <w:lang w:val="es-ES_tradnl"/>
        </w:rPr>
        <w:t xml:space="preserve"> </w:t>
      </w:r>
      <w:r w:rsidRPr="006E4455">
        <w:rPr>
          <w:rFonts w:cs="Tahoma"/>
          <w:color w:val="0D0D0D" w:themeColor="text1" w:themeTint="F2"/>
          <w:lang w:val="es-ES"/>
        </w:rPr>
        <w:t>que acrediten el vínculo entre la difusión de la información y la afectación al interés público.</w:t>
      </w:r>
    </w:p>
    <w:p w14:paraId="29B24354" w14:textId="77777777" w:rsidR="006F4971" w:rsidRPr="006E4455" w:rsidRDefault="006F4971" w:rsidP="001A1400">
      <w:pPr>
        <w:spacing w:after="0" w:line="360" w:lineRule="auto"/>
        <w:ind w:left="720"/>
        <w:contextualSpacing/>
        <w:rPr>
          <w:rFonts w:cs="Tahoma"/>
          <w:color w:val="0D0D0D" w:themeColor="text1" w:themeTint="F2"/>
          <w:lang w:val="es-ES"/>
        </w:rPr>
      </w:pPr>
    </w:p>
    <w:p w14:paraId="36CDC1A9" w14:textId="77777777" w:rsidR="006F4971" w:rsidRPr="006E4455" w:rsidRDefault="006F4971" w:rsidP="001A1400">
      <w:pPr>
        <w:numPr>
          <w:ilvl w:val="0"/>
          <w:numId w:val="14"/>
        </w:numPr>
        <w:spacing w:after="0" w:line="360" w:lineRule="auto"/>
        <w:contextualSpacing/>
        <w:rPr>
          <w:rFonts w:cs="Tahoma"/>
          <w:color w:val="0D0D0D" w:themeColor="text1" w:themeTint="F2"/>
          <w:lang w:val="es-ES"/>
        </w:rPr>
      </w:pPr>
      <w:r w:rsidRPr="006E4455">
        <w:rPr>
          <w:rFonts w:cs="Tahoma"/>
          <w:color w:val="0D0D0D" w:themeColor="text1" w:themeTint="F2"/>
          <w:lang w:val="es-ES"/>
        </w:rPr>
        <w:t>Se tendrán que indicar las razones objetivas por las que la apertura de la información generaría una afectación, por medio del riesgo real, demostrable e identificable;</w:t>
      </w:r>
    </w:p>
    <w:p w14:paraId="0E8B4990" w14:textId="77777777" w:rsidR="006F4971" w:rsidRPr="006E4455" w:rsidRDefault="006F4971" w:rsidP="001A1400">
      <w:pPr>
        <w:spacing w:after="0" w:line="360" w:lineRule="auto"/>
        <w:ind w:left="720"/>
        <w:contextualSpacing/>
        <w:rPr>
          <w:rFonts w:cs="Tahoma"/>
          <w:color w:val="0D0D0D" w:themeColor="text1" w:themeTint="F2"/>
          <w:lang w:val="es-ES"/>
        </w:rPr>
      </w:pPr>
    </w:p>
    <w:p w14:paraId="1091D2A3" w14:textId="77777777" w:rsidR="006F4971" w:rsidRPr="006E4455" w:rsidRDefault="006F4971" w:rsidP="001A1400">
      <w:pPr>
        <w:numPr>
          <w:ilvl w:val="0"/>
          <w:numId w:val="14"/>
        </w:numPr>
        <w:spacing w:after="0" w:line="360" w:lineRule="auto"/>
        <w:contextualSpacing/>
        <w:rPr>
          <w:rFonts w:cs="Tahoma"/>
          <w:color w:val="0D0D0D" w:themeColor="text1" w:themeTint="F2"/>
          <w:lang w:val="es-ES"/>
        </w:rPr>
      </w:pPr>
      <w:r w:rsidRPr="006E4455">
        <w:rPr>
          <w:rFonts w:cs="Tahoma"/>
          <w:color w:val="0D0D0D" w:themeColor="text1" w:themeTint="F2"/>
          <w:lang w:val="es-ES"/>
        </w:rPr>
        <w:t>Mediante un ejercicio de ponderación, se tendrá que acreditar que la publicidad de la información generaría un riesgo de perjuicio que supera el interés público;</w:t>
      </w:r>
    </w:p>
    <w:p w14:paraId="454A68F8" w14:textId="77777777" w:rsidR="006F4971" w:rsidRPr="006E4455" w:rsidRDefault="006F4971" w:rsidP="001A1400">
      <w:pPr>
        <w:spacing w:after="0" w:line="360" w:lineRule="auto"/>
        <w:ind w:left="720"/>
        <w:contextualSpacing/>
        <w:rPr>
          <w:rFonts w:cs="Tahoma"/>
          <w:color w:val="0D0D0D" w:themeColor="text1" w:themeTint="F2"/>
          <w:lang w:val="es-ES"/>
        </w:rPr>
      </w:pPr>
    </w:p>
    <w:p w14:paraId="52A9BCF2" w14:textId="77777777" w:rsidR="006F4971" w:rsidRPr="006E4455" w:rsidRDefault="006F4971" w:rsidP="001A1400">
      <w:pPr>
        <w:numPr>
          <w:ilvl w:val="0"/>
          <w:numId w:val="14"/>
        </w:numPr>
        <w:spacing w:after="0" w:line="360" w:lineRule="auto"/>
        <w:contextualSpacing/>
        <w:rPr>
          <w:rFonts w:cs="Tahoma"/>
          <w:color w:val="0D0D0D" w:themeColor="text1" w:themeTint="F2"/>
          <w:lang w:val="es-ES"/>
        </w:rPr>
      </w:pPr>
      <w:r w:rsidRPr="006E4455">
        <w:rPr>
          <w:rFonts w:cs="Tahoma"/>
          <w:color w:val="0D0D0D" w:themeColor="text1" w:themeTint="F2"/>
          <w:lang w:val="es-ES"/>
        </w:rPr>
        <w:lastRenderedPageBreak/>
        <w:t>Se elegirá la opción de excepción al acceso a la información que menos restrinja, la cual será adecuada y proporcional para la protección del interés público, y</w:t>
      </w:r>
    </w:p>
    <w:p w14:paraId="54C27B5C" w14:textId="77777777" w:rsidR="006F4971" w:rsidRPr="006E4455" w:rsidRDefault="006F4971" w:rsidP="001A1400">
      <w:pPr>
        <w:spacing w:after="0" w:line="360" w:lineRule="auto"/>
        <w:ind w:left="720"/>
        <w:contextualSpacing/>
        <w:rPr>
          <w:rFonts w:cs="Tahoma"/>
          <w:color w:val="0D0D0D" w:themeColor="text1" w:themeTint="F2"/>
          <w:lang w:val="es-ES"/>
        </w:rPr>
      </w:pPr>
    </w:p>
    <w:p w14:paraId="44036465" w14:textId="77777777" w:rsidR="006F4971" w:rsidRPr="006E4455" w:rsidRDefault="006F4971" w:rsidP="001A1400">
      <w:pPr>
        <w:numPr>
          <w:ilvl w:val="0"/>
          <w:numId w:val="14"/>
        </w:numPr>
        <w:spacing w:after="0" w:line="360" w:lineRule="auto"/>
        <w:contextualSpacing/>
        <w:rPr>
          <w:rFonts w:cs="Tahoma"/>
          <w:color w:val="0D0D0D" w:themeColor="text1" w:themeTint="F2"/>
          <w:lang w:val="es-ES"/>
        </w:rPr>
      </w:pPr>
      <w:r w:rsidRPr="006E4455">
        <w:rPr>
          <w:rFonts w:cs="Tahoma"/>
          <w:color w:val="0D0D0D" w:themeColor="text1" w:themeTint="F2"/>
          <w:lang w:val="es-ES"/>
        </w:rPr>
        <w:t>Se deberá desarrollar la prueba de daño con la mayor claridad y precisión posible.</w:t>
      </w:r>
    </w:p>
    <w:p w14:paraId="14DDDC59" w14:textId="77777777" w:rsidR="006F4971" w:rsidRPr="006F4971" w:rsidRDefault="006F4971" w:rsidP="001A1400">
      <w:pPr>
        <w:spacing w:after="0" w:line="360" w:lineRule="auto"/>
        <w:rPr>
          <w:rFonts w:eastAsia="Calibri" w:cs="Times New Roman"/>
          <w:lang w:val="es-ES" w:eastAsia="en-US"/>
        </w:rPr>
      </w:pPr>
    </w:p>
    <w:p w14:paraId="0C35716E" w14:textId="77777777" w:rsidR="0045117D" w:rsidRPr="0048434B" w:rsidRDefault="0045117D" w:rsidP="001A1400">
      <w:pPr>
        <w:spacing w:after="0" w:line="360" w:lineRule="auto"/>
        <w:rPr>
          <w:rFonts w:eastAsia="Calibri" w:cs="Tahoma"/>
          <w:bCs/>
          <w:color w:val="0D0D0D"/>
          <w:lang w:val="es-ES_tradnl" w:eastAsia="en-US"/>
        </w:rPr>
      </w:pPr>
      <w:r w:rsidRPr="0048434B">
        <w:rPr>
          <w:rFonts w:eastAsia="Calibri" w:cs="Tahoma"/>
          <w:bCs/>
          <w:color w:val="0D0D0D"/>
          <w:lang w:val="es-ES_tradnl" w:eastAsia="en-US"/>
        </w:rPr>
        <w:t xml:space="preserve">Ahora bien, del análisis de </w:t>
      </w:r>
      <w:r>
        <w:rPr>
          <w:rFonts w:eastAsia="Calibri" w:cs="Tahoma"/>
          <w:bCs/>
          <w:color w:val="0D0D0D"/>
          <w:lang w:val="es-ES_tradnl" w:eastAsia="en-US"/>
        </w:rPr>
        <w:t>la prueba de daño</w:t>
      </w:r>
      <w:r w:rsidRPr="0048434B">
        <w:rPr>
          <w:rFonts w:eastAsia="Calibri" w:cs="Tahoma"/>
          <w:bCs/>
          <w:color w:val="0D0D0D"/>
          <w:lang w:val="es-ES_tradnl" w:eastAsia="en-US"/>
        </w:rPr>
        <w:t xml:space="preserve">, se logra vislumbrar que, no fundamentó, ni motivó la clasificación de la información, de manera correcta, en primera instancia, toda vez que resulta confusa la fundamentación y motivación utilizada por el Sujeto Obligado, pues la prueba de daño, es genérica y no establece parámetros específicos para acreditar la reserva, </w:t>
      </w:r>
      <w:r w:rsidRPr="0048434B">
        <w:rPr>
          <w:rFonts w:eastAsia="Calibri" w:cs="Tahoma"/>
          <w:bCs/>
          <w:color w:val="0D0D0D"/>
          <w:lang w:eastAsia="en-US"/>
        </w:rPr>
        <w:t>p</w:t>
      </w:r>
      <w:proofErr w:type="spellStart"/>
      <w:r w:rsidRPr="0048434B">
        <w:rPr>
          <w:rFonts w:eastAsia="Calibri" w:cs="Tahoma"/>
          <w:bCs/>
          <w:color w:val="0D0D0D"/>
          <w:lang w:val="x-none" w:eastAsia="en-US"/>
        </w:rPr>
        <w:t>or</w:t>
      </w:r>
      <w:proofErr w:type="spellEnd"/>
      <w:r w:rsidRPr="0048434B">
        <w:rPr>
          <w:rFonts w:eastAsia="Calibri" w:cs="Tahoma"/>
          <w:bCs/>
          <w:color w:val="0D0D0D"/>
          <w:lang w:val="x-none" w:eastAsia="en-US"/>
        </w:rPr>
        <w:t xml:space="preserve"> lo que, se considera lo siguiente:</w:t>
      </w:r>
    </w:p>
    <w:p w14:paraId="794D4427" w14:textId="77777777" w:rsidR="0045117D" w:rsidRPr="0048434B" w:rsidRDefault="0045117D" w:rsidP="001A1400">
      <w:pPr>
        <w:spacing w:after="0" w:line="360" w:lineRule="auto"/>
        <w:rPr>
          <w:rFonts w:eastAsia="Times New Roman" w:cs="Tahoma"/>
          <w:color w:val="0D0D0D"/>
          <w:lang w:val="es-ES" w:eastAsia="es-ES"/>
        </w:rPr>
      </w:pPr>
    </w:p>
    <w:p w14:paraId="243C790A" w14:textId="23BB5332" w:rsidR="0045117D" w:rsidRDefault="0045117D" w:rsidP="001A1400">
      <w:pPr>
        <w:numPr>
          <w:ilvl w:val="0"/>
          <w:numId w:val="13"/>
        </w:numPr>
        <w:spacing w:after="0" w:line="360" w:lineRule="auto"/>
        <w:jc w:val="left"/>
        <w:rPr>
          <w:rFonts w:eastAsia="Calibri" w:cs="Tahoma"/>
          <w:bCs/>
          <w:color w:val="0D0D0D"/>
          <w:lang w:val="es-ES_tradnl" w:eastAsia="en-US"/>
        </w:rPr>
      </w:pPr>
      <w:r w:rsidRPr="0048434B">
        <w:rPr>
          <w:rFonts w:eastAsia="Calibri" w:cs="Tahoma"/>
          <w:bCs/>
          <w:color w:val="0D0D0D"/>
          <w:lang w:val="es-ES_tradnl" w:eastAsia="en-US"/>
        </w:rPr>
        <w:t xml:space="preserve">No </w:t>
      </w:r>
      <w:r w:rsidR="006F4971">
        <w:rPr>
          <w:rFonts w:eastAsia="Calibri" w:cs="Tahoma"/>
          <w:bCs/>
          <w:color w:val="0D0D0D"/>
          <w:lang w:val="es-ES_tradnl" w:eastAsia="en-US"/>
        </w:rPr>
        <w:t>vinculó las causales de reserva, con su homólogo de los Lineamientos Generales;</w:t>
      </w:r>
    </w:p>
    <w:p w14:paraId="3AF67C67" w14:textId="77777777" w:rsidR="006F4971" w:rsidRPr="0048434B" w:rsidRDefault="006F4971" w:rsidP="001A1400">
      <w:pPr>
        <w:spacing w:after="0" w:line="360" w:lineRule="auto"/>
        <w:ind w:left="720"/>
        <w:jc w:val="left"/>
        <w:rPr>
          <w:rFonts w:eastAsia="Calibri" w:cs="Tahoma"/>
          <w:bCs/>
          <w:color w:val="0D0D0D"/>
          <w:lang w:val="es-ES_tradnl" w:eastAsia="en-US"/>
        </w:rPr>
      </w:pPr>
    </w:p>
    <w:p w14:paraId="3EFC4BA0" w14:textId="7B36378E" w:rsidR="0045117D" w:rsidRDefault="0045117D" w:rsidP="001A1400">
      <w:pPr>
        <w:numPr>
          <w:ilvl w:val="0"/>
          <w:numId w:val="13"/>
        </w:numPr>
        <w:spacing w:after="0" w:line="360" w:lineRule="auto"/>
        <w:rPr>
          <w:rFonts w:eastAsia="Calibri" w:cs="Tahoma"/>
          <w:bCs/>
          <w:color w:val="0D0D0D"/>
          <w:lang w:val="es-ES_tradnl" w:eastAsia="en-US"/>
        </w:rPr>
      </w:pPr>
      <w:r w:rsidRPr="0048434B">
        <w:rPr>
          <w:rFonts w:eastAsia="Calibri" w:cs="Tahoma"/>
          <w:bCs/>
          <w:color w:val="0D0D0D"/>
          <w:lang w:val="es-ES_tradnl" w:eastAsia="en-US"/>
        </w:rPr>
        <w:t>No precisó</w:t>
      </w:r>
      <w:r w:rsidR="006F4971">
        <w:rPr>
          <w:rFonts w:eastAsia="Calibri" w:cs="Tahoma"/>
          <w:bCs/>
          <w:color w:val="0D0D0D"/>
          <w:lang w:val="es-ES_tradnl" w:eastAsia="en-US"/>
        </w:rPr>
        <w:t xml:space="preserve"> para cada una de las causales de reserva aludidas, </w:t>
      </w:r>
      <w:r w:rsidRPr="0048434B">
        <w:rPr>
          <w:rFonts w:eastAsia="Calibri" w:cs="Tahoma"/>
          <w:bCs/>
          <w:color w:val="0D0D0D"/>
          <w:lang w:val="es-ES_tradnl" w:eastAsia="en-US"/>
        </w:rPr>
        <w:t xml:space="preserve">las razones objetivas, concretas y específicas por las cuales la apertura de la información generaría una afectación que rebase el interés público, pues, el Sujeto Obligado </w:t>
      </w:r>
      <w:r w:rsidR="006F4971">
        <w:rPr>
          <w:rFonts w:eastAsia="Calibri" w:cs="Tahoma"/>
          <w:bCs/>
          <w:color w:val="0D0D0D"/>
          <w:lang w:val="es-ES_tradnl" w:eastAsia="en-US"/>
        </w:rPr>
        <w:t>únicamente realizó una serie de manifestaciones generales y de los actos delictivos que podría generar dar a conocer la información;</w:t>
      </w:r>
    </w:p>
    <w:p w14:paraId="27DA26E2" w14:textId="77777777" w:rsidR="006F4971" w:rsidRDefault="006F4971" w:rsidP="001A1400">
      <w:pPr>
        <w:pStyle w:val="Prrafodelista"/>
        <w:spacing w:line="360" w:lineRule="auto"/>
        <w:rPr>
          <w:rFonts w:eastAsia="Calibri" w:cs="Tahoma"/>
          <w:bCs/>
          <w:color w:val="0D0D0D"/>
          <w:lang w:val="es-ES_tradnl" w:eastAsia="en-US"/>
        </w:rPr>
      </w:pPr>
    </w:p>
    <w:p w14:paraId="6FEE0E8A" w14:textId="4F2E4403" w:rsidR="0045117D" w:rsidRDefault="0045117D" w:rsidP="001A1400">
      <w:pPr>
        <w:numPr>
          <w:ilvl w:val="0"/>
          <w:numId w:val="13"/>
        </w:numPr>
        <w:spacing w:after="0" w:line="360" w:lineRule="auto"/>
        <w:rPr>
          <w:rFonts w:eastAsia="Times New Roman" w:cs="Tahoma"/>
          <w:color w:val="0D0D0D"/>
          <w:lang w:val="es-ES_tradnl" w:eastAsia="es-ES"/>
        </w:rPr>
      </w:pPr>
      <w:r w:rsidRPr="0048434B">
        <w:rPr>
          <w:rFonts w:eastAsia="Times New Roman" w:cs="Tahoma"/>
          <w:color w:val="0D0D0D"/>
          <w:lang w:val="es-ES_tradnl" w:eastAsia="es-ES"/>
        </w:rPr>
        <w:t xml:space="preserve">No acreditó el vínculo entre la información peticionada y la afectación que podría causar, pues </w:t>
      </w:r>
      <w:r w:rsidR="006F4971">
        <w:rPr>
          <w:rFonts w:eastAsia="Times New Roman" w:cs="Tahoma"/>
          <w:color w:val="0D0D0D"/>
          <w:lang w:val="es-ES_tradnl" w:eastAsia="es-ES"/>
        </w:rPr>
        <w:t>en el presente caso, se trata de información estadística, que no implica dar a conocer equipamiento especial, estrategias o planes de la Secretaría;</w:t>
      </w:r>
    </w:p>
    <w:p w14:paraId="36EF37D9" w14:textId="77777777" w:rsidR="006F4971" w:rsidRDefault="006F4971" w:rsidP="001A1400">
      <w:pPr>
        <w:pStyle w:val="Prrafodelista"/>
        <w:spacing w:line="360" w:lineRule="auto"/>
        <w:rPr>
          <w:rFonts w:cs="Tahoma"/>
          <w:color w:val="0D0D0D"/>
          <w:lang w:val="es-ES_tradnl"/>
        </w:rPr>
      </w:pPr>
    </w:p>
    <w:p w14:paraId="1AB0C709" w14:textId="127B7FA6" w:rsidR="0045117D" w:rsidRDefault="0045117D" w:rsidP="001A1400">
      <w:pPr>
        <w:numPr>
          <w:ilvl w:val="0"/>
          <w:numId w:val="13"/>
        </w:numPr>
        <w:spacing w:after="0" w:line="360" w:lineRule="auto"/>
        <w:jc w:val="left"/>
        <w:rPr>
          <w:rFonts w:eastAsia="Times New Roman" w:cs="Tahoma"/>
          <w:color w:val="0D0D0D"/>
          <w:lang w:val="es-ES_tradnl" w:eastAsia="es-ES"/>
        </w:rPr>
      </w:pPr>
      <w:r w:rsidRPr="0048434B">
        <w:rPr>
          <w:rFonts w:eastAsia="Calibri" w:cs="Tahoma"/>
          <w:bCs/>
          <w:color w:val="0D0D0D"/>
          <w:lang w:val="es-ES_tradnl" w:eastAsia="en-US"/>
        </w:rPr>
        <w:t>Omitió señalar, las circunstancias de tiempo, modo y lugar del daño que produciría entregar la información peticionada</w:t>
      </w:r>
      <w:r w:rsidR="006F4971">
        <w:rPr>
          <w:rFonts w:eastAsia="Times New Roman" w:cs="Tahoma"/>
          <w:color w:val="0D0D0D"/>
          <w:lang w:val="es-ES_tradnl" w:eastAsia="es-ES"/>
        </w:rPr>
        <w:t>, y</w:t>
      </w:r>
    </w:p>
    <w:p w14:paraId="7714C49E" w14:textId="77777777" w:rsidR="006F4971" w:rsidRDefault="006F4971" w:rsidP="001A1400">
      <w:pPr>
        <w:pStyle w:val="Prrafodelista"/>
        <w:spacing w:line="360" w:lineRule="auto"/>
        <w:rPr>
          <w:rFonts w:cs="Tahoma"/>
          <w:color w:val="0D0D0D"/>
          <w:lang w:val="es-ES_tradnl"/>
        </w:rPr>
      </w:pPr>
    </w:p>
    <w:p w14:paraId="0AD06456" w14:textId="1EE655F5" w:rsidR="0045117D" w:rsidRPr="0048434B" w:rsidRDefault="0045117D" w:rsidP="001A1400">
      <w:pPr>
        <w:numPr>
          <w:ilvl w:val="0"/>
          <w:numId w:val="13"/>
        </w:numPr>
        <w:spacing w:after="0" w:line="360" w:lineRule="auto"/>
        <w:rPr>
          <w:rFonts w:eastAsia="Calibri" w:cs="Tahoma"/>
          <w:bCs/>
          <w:color w:val="0D0D0D"/>
          <w:lang w:val="es-ES_tradnl" w:eastAsia="en-US"/>
        </w:rPr>
      </w:pPr>
      <w:r w:rsidRPr="0048434B">
        <w:rPr>
          <w:rFonts w:eastAsia="Calibri" w:cs="Tahoma"/>
          <w:bCs/>
          <w:color w:val="0D0D0D"/>
          <w:lang w:val="es-ES_tradnl" w:eastAsia="en-US"/>
        </w:rPr>
        <w:lastRenderedPageBreak/>
        <w:t>No se establecieron las razones, por las cuales la reserva era el medio menos restrictivo, para la protección del interés jurídico</w:t>
      </w:r>
      <w:r w:rsidR="006F4971">
        <w:rPr>
          <w:rFonts w:eastAsia="Calibri" w:cs="Tahoma"/>
          <w:bCs/>
          <w:color w:val="0D0D0D"/>
          <w:lang w:val="es-ES_tradnl" w:eastAsia="en-US"/>
        </w:rPr>
        <w:t>; pues cabe recordar que en el presente caso se solicitó únicamente información estadística.</w:t>
      </w:r>
    </w:p>
    <w:p w14:paraId="4943F1AA" w14:textId="77777777" w:rsidR="00B07394" w:rsidRPr="0045117D" w:rsidRDefault="00B07394" w:rsidP="001A1400">
      <w:pPr>
        <w:spacing w:after="0" w:line="360" w:lineRule="auto"/>
        <w:ind w:right="-28"/>
        <w:rPr>
          <w:lang w:val="es-ES_tradnl"/>
        </w:rPr>
      </w:pPr>
    </w:p>
    <w:p w14:paraId="0DE10E6B" w14:textId="36A2A643" w:rsidR="006F4971" w:rsidRDefault="006F4971" w:rsidP="001A1400">
      <w:pPr>
        <w:spacing w:after="0" w:line="360" w:lineRule="auto"/>
        <w:rPr>
          <w:rFonts w:eastAsiaTheme="minorHAnsi" w:cs="Tahoma"/>
          <w:lang w:val="es-ES" w:eastAsia="en-US"/>
        </w:rPr>
      </w:pPr>
      <w:r>
        <w:t xml:space="preserve">Así, se advierte que el Comité de Transparencia y la Secretaría de Seguridad, no fundamentaron y motivaron la reserva, pues no realizó la prueba de daño de manera correcta,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w:t>
      </w:r>
      <w:r w:rsidRPr="006E4455">
        <w:rPr>
          <w:rFonts w:eastAsiaTheme="minorHAnsi" w:cs="Tahoma"/>
          <w:bCs/>
          <w:lang w:val="es-ES" w:eastAsia="en-US"/>
        </w:rPr>
        <w:t xml:space="preserve">lo cual, da como resultado que el agravio sea </w:t>
      </w:r>
      <w:r>
        <w:rPr>
          <w:rFonts w:eastAsiaTheme="minorHAnsi" w:cs="Tahoma"/>
          <w:b/>
          <w:bCs/>
          <w:lang w:val="es-ES" w:eastAsia="en-US"/>
        </w:rPr>
        <w:t>FUNDADO;</w:t>
      </w:r>
      <w:r>
        <w:rPr>
          <w:rFonts w:eastAsiaTheme="minorHAnsi" w:cs="Tahoma"/>
          <w:lang w:val="es-ES" w:eastAsia="en-US"/>
        </w:rPr>
        <w:t xml:space="preserve"> no obstante, este Instituto procede analizar las dos causales aludidas.</w:t>
      </w:r>
    </w:p>
    <w:p w14:paraId="2C92FF7B" w14:textId="77777777" w:rsidR="006F4971" w:rsidRDefault="006F4971" w:rsidP="001A1400">
      <w:pPr>
        <w:spacing w:after="0" w:line="360" w:lineRule="auto"/>
        <w:rPr>
          <w:rFonts w:eastAsiaTheme="minorHAnsi" w:cs="Tahoma"/>
          <w:lang w:val="es-ES" w:eastAsia="en-US"/>
        </w:rPr>
      </w:pPr>
    </w:p>
    <w:p w14:paraId="4B2D9FF6" w14:textId="668A9EEA" w:rsidR="006F4971" w:rsidRPr="00E00804" w:rsidRDefault="004B0760" w:rsidP="001A1400">
      <w:pPr>
        <w:spacing w:after="0" w:line="360" w:lineRule="auto"/>
        <w:rPr>
          <w:color w:val="000000"/>
        </w:rPr>
      </w:pPr>
      <w:r>
        <w:rPr>
          <w:color w:val="000000"/>
        </w:rPr>
        <w:t xml:space="preserve">Para el primer supuesto, </w:t>
      </w:r>
      <w:r w:rsidR="006F4971">
        <w:rPr>
          <w:color w:val="000000"/>
        </w:rPr>
        <w:t>es</w:t>
      </w:r>
      <w:r w:rsidR="006F4971" w:rsidRPr="00E00804">
        <w:rPr>
          <w:color w:val="000000"/>
        </w:rPr>
        <w:t xml:space="preserve"> necesario traer a colación el</w:t>
      </w:r>
      <w:r w:rsidR="006F4971" w:rsidRPr="00E00804">
        <w:rPr>
          <w:b/>
          <w:color w:val="000000"/>
        </w:rPr>
        <w:t xml:space="preserve"> </w:t>
      </w:r>
      <w:r w:rsidR="006F4971" w:rsidRPr="00E00804">
        <w:rPr>
          <w:color w:val="000000"/>
        </w:rPr>
        <w:t>artículo 140, fracción I, de la Ley de Transparencia y Acceso a la Información Pública del Estado de México y Municipios, que prevé lo siguiente:</w:t>
      </w:r>
    </w:p>
    <w:p w14:paraId="305E8526" w14:textId="77777777" w:rsidR="006F4971" w:rsidRPr="00E00804" w:rsidRDefault="006F4971" w:rsidP="001A1400">
      <w:pPr>
        <w:tabs>
          <w:tab w:val="left" w:pos="4962"/>
        </w:tabs>
        <w:spacing w:after="0" w:line="360" w:lineRule="auto"/>
        <w:ind w:left="567" w:right="567"/>
        <w:rPr>
          <w:i/>
          <w:color w:val="000000"/>
          <w:sz w:val="20"/>
          <w:szCs w:val="20"/>
        </w:rPr>
      </w:pPr>
    </w:p>
    <w:p w14:paraId="3526C20C" w14:textId="77777777" w:rsidR="006F4971" w:rsidRPr="00E00804" w:rsidRDefault="006F4971" w:rsidP="001A1400">
      <w:pPr>
        <w:tabs>
          <w:tab w:val="left" w:pos="4962"/>
        </w:tabs>
        <w:spacing w:after="0" w:line="360" w:lineRule="auto"/>
        <w:ind w:left="567" w:right="567"/>
        <w:rPr>
          <w:i/>
          <w:color w:val="000000"/>
          <w:sz w:val="20"/>
          <w:szCs w:val="20"/>
        </w:rPr>
      </w:pPr>
      <w:r w:rsidRPr="00E00804">
        <w:rPr>
          <w:i/>
          <w:color w:val="000000"/>
          <w:sz w:val="20"/>
          <w:szCs w:val="20"/>
        </w:rPr>
        <w:t>“</w:t>
      </w:r>
      <w:r w:rsidRPr="00E00804">
        <w:rPr>
          <w:b/>
          <w:i/>
          <w:color w:val="000000"/>
          <w:sz w:val="20"/>
          <w:szCs w:val="20"/>
        </w:rPr>
        <w:t>Artículo 140.</w:t>
      </w:r>
      <w:r w:rsidRPr="00E00804">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2AEF0587" w14:textId="77777777" w:rsidR="006F4971" w:rsidRPr="00E00804" w:rsidRDefault="006F4971" w:rsidP="001A1400">
      <w:pPr>
        <w:tabs>
          <w:tab w:val="left" w:pos="4962"/>
        </w:tabs>
        <w:spacing w:after="0" w:line="360" w:lineRule="auto"/>
        <w:ind w:left="567" w:right="567"/>
        <w:rPr>
          <w:i/>
          <w:color w:val="000000"/>
          <w:sz w:val="20"/>
          <w:szCs w:val="20"/>
        </w:rPr>
      </w:pPr>
    </w:p>
    <w:p w14:paraId="2EB3C43E" w14:textId="77777777" w:rsidR="006F4971" w:rsidRPr="00E00804" w:rsidRDefault="006F4971" w:rsidP="001A1400">
      <w:pPr>
        <w:tabs>
          <w:tab w:val="left" w:pos="4962"/>
        </w:tabs>
        <w:spacing w:after="0" w:line="360" w:lineRule="auto"/>
        <w:ind w:left="567" w:right="567"/>
        <w:rPr>
          <w:i/>
          <w:color w:val="000000"/>
          <w:sz w:val="20"/>
          <w:szCs w:val="20"/>
        </w:rPr>
      </w:pPr>
      <w:r w:rsidRPr="00E00804">
        <w:rPr>
          <w:i/>
          <w:color w:val="000000"/>
          <w:sz w:val="20"/>
          <w:szCs w:val="20"/>
        </w:rPr>
        <w:t>I. Comprometa la seguridad pública y cuente con un propósito genuino y un efecto demostrable;</w:t>
      </w:r>
    </w:p>
    <w:p w14:paraId="417C3AD7" w14:textId="77777777" w:rsidR="006F4971" w:rsidRPr="00E00804" w:rsidRDefault="006F4971" w:rsidP="001A1400">
      <w:pPr>
        <w:tabs>
          <w:tab w:val="left" w:pos="4962"/>
        </w:tabs>
        <w:spacing w:after="0" w:line="360" w:lineRule="auto"/>
        <w:ind w:left="567" w:right="567"/>
        <w:rPr>
          <w:i/>
          <w:color w:val="000000"/>
          <w:sz w:val="20"/>
          <w:szCs w:val="20"/>
        </w:rPr>
      </w:pPr>
      <w:r w:rsidRPr="00E00804">
        <w:rPr>
          <w:i/>
          <w:color w:val="000000"/>
          <w:sz w:val="20"/>
          <w:szCs w:val="20"/>
        </w:rPr>
        <w:t xml:space="preserve">…” </w:t>
      </w:r>
    </w:p>
    <w:p w14:paraId="55EA2C69" w14:textId="77777777" w:rsidR="006F4971" w:rsidRPr="00E00804" w:rsidRDefault="006F4971" w:rsidP="001A1400">
      <w:pPr>
        <w:tabs>
          <w:tab w:val="left" w:pos="4962"/>
        </w:tabs>
        <w:spacing w:after="0" w:line="360" w:lineRule="auto"/>
        <w:ind w:left="567" w:right="567"/>
        <w:rPr>
          <w:color w:val="000000"/>
          <w:sz w:val="20"/>
          <w:szCs w:val="20"/>
        </w:rPr>
      </w:pPr>
    </w:p>
    <w:p w14:paraId="13B69DFA" w14:textId="77777777" w:rsidR="006F4971" w:rsidRPr="00E00804" w:rsidRDefault="006F4971" w:rsidP="001A1400">
      <w:pPr>
        <w:tabs>
          <w:tab w:val="left" w:pos="4962"/>
        </w:tabs>
        <w:spacing w:after="0" w:line="360" w:lineRule="auto"/>
        <w:rPr>
          <w:color w:val="000000"/>
        </w:rPr>
      </w:pPr>
      <w:r w:rsidRPr="00E00804">
        <w:rPr>
          <w:color w:val="000000"/>
        </w:rPr>
        <w:t xml:space="preserve">De dicho precepto normativo se desprende que podrá clasificarse como información reservada aquella cuya publicación comprometa la seguridad pública y cuente con un propósito genuino y un efecto demostrable; por lo que, los Lineamientos generales de </w:t>
      </w:r>
      <w:r w:rsidRPr="00E00804">
        <w:rPr>
          <w:color w:val="000000"/>
        </w:rPr>
        <w:lastRenderedPageBreak/>
        <w:t>clasificación y desclasificación de la información, así como para la elaboración de versiones públicas, multicitados, disponen:</w:t>
      </w:r>
    </w:p>
    <w:p w14:paraId="5FD72D86" w14:textId="77777777" w:rsidR="006F4971" w:rsidRPr="00E00804" w:rsidRDefault="006F4971" w:rsidP="001A1400">
      <w:pPr>
        <w:spacing w:after="0" w:line="360" w:lineRule="auto"/>
        <w:rPr>
          <w:color w:val="000000"/>
        </w:rPr>
      </w:pPr>
    </w:p>
    <w:p w14:paraId="5CFA663D" w14:textId="77777777" w:rsidR="006F4971" w:rsidRPr="00E00804" w:rsidRDefault="006F4971" w:rsidP="001A1400">
      <w:pPr>
        <w:tabs>
          <w:tab w:val="left" w:pos="4962"/>
        </w:tabs>
        <w:spacing w:after="0" w:line="360" w:lineRule="auto"/>
        <w:ind w:left="567" w:right="567"/>
        <w:rPr>
          <w:i/>
          <w:color w:val="000000"/>
          <w:sz w:val="20"/>
          <w:szCs w:val="20"/>
        </w:rPr>
      </w:pPr>
      <w:r w:rsidRPr="00E00804">
        <w:rPr>
          <w:b/>
          <w:color w:val="000000"/>
          <w:sz w:val="20"/>
          <w:szCs w:val="20"/>
        </w:rPr>
        <w:t>“</w:t>
      </w:r>
      <w:r w:rsidRPr="00E00804">
        <w:rPr>
          <w:b/>
          <w:i/>
          <w:color w:val="000000"/>
          <w:sz w:val="20"/>
          <w:szCs w:val="20"/>
        </w:rPr>
        <w:t>Décimo octavo.</w:t>
      </w:r>
      <w:r w:rsidRPr="00E00804">
        <w:rPr>
          <w:i/>
          <w:color w:val="000000"/>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0D3115F8" w14:textId="77777777" w:rsidR="006F4971" w:rsidRPr="00E00804" w:rsidRDefault="006F4971" w:rsidP="001A1400">
      <w:pPr>
        <w:tabs>
          <w:tab w:val="left" w:pos="4962"/>
        </w:tabs>
        <w:spacing w:after="0" w:line="360" w:lineRule="auto"/>
        <w:ind w:left="567" w:right="567"/>
        <w:rPr>
          <w:i/>
          <w:color w:val="000000"/>
          <w:sz w:val="20"/>
          <w:szCs w:val="20"/>
        </w:rPr>
      </w:pPr>
    </w:p>
    <w:p w14:paraId="2F247C79" w14:textId="77777777" w:rsidR="006F4971" w:rsidRPr="00E00804" w:rsidRDefault="006F4971" w:rsidP="001A1400">
      <w:pPr>
        <w:tabs>
          <w:tab w:val="left" w:pos="4962"/>
        </w:tabs>
        <w:spacing w:after="0" w:line="360" w:lineRule="auto"/>
        <w:ind w:left="567" w:right="567"/>
        <w:rPr>
          <w:i/>
          <w:color w:val="000000"/>
          <w:sz w:val="20"/>
          <w:szCs w:val="20"/>
        </w:rPr>
      </w:pPr>
      <w:r w:rsidRPr="00E00804">
        <w:rPr>
          <w:i/>
          <w:color w:val="000000"/>
          <w:sz w:val="20"/>
          <w:szCs w:val="20"/>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5C7FC55" w14:textId="77777777" w:rsidR="006F4971" w:rsidRPr="00E00804" w:rsidRDefault="006F4971" w:rsidP="001A1400">
      <w:pPr>
        <w:tabs>
          <w:tab w:val="left" w:pos="4962"/>
        </w:tabs>
        <w:spacing w:after="0" w:line="360" w:lineRule="auto"/>
        <w:ind w:left="567" w:right="567"/>
        <w:rPr>
          <w:i/>
          <w:color w:val="000000"/>
          <w:sz w:val="20"/>
          <w:szCs w:val="20"/>
        </w:rPr>
      </w:pPr>
    </w:p>
    <w:p w14:paraId="04282292" w14:textId="77777777" w:rsidR="006F4971" w:rsidRPr="00E00804" w:rsidRDefault="006F4971" w:rsidP="001A1400">
      <w:pPr>
        <w:tabs>
          <w:tab w:val="left" w:pos="4962"/>
        </w:tabs>
        <w:spacing w:after="0" w:line="360" w:lineRule="auto"/>
        <w:ind w:left="567" w:right="567"/>
        <w:rPr>
          <w:i/>
          <w:color w:val="000000"/>
          <w:sz w:val="20"/>
          <w:szCs w:val="20"/>
        </w:rPr>
      </w:pPr>
      <w:r w:rsidRPr="00E00804">
        <w:rPr>
          <w:i/>
          <w:color w:val="000000"/>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2C2FEC7" w14:textId="77777777" w:rsidR="006F4971" w:rsidRPr="00E00804" w:rsidRDefault="006F4971" w:rsidP="001A1400">
      <w:pPr>
        <w:tabs>
          <w:tab w:val="left" w:pos="4962"/>
        </w:tabs>
        <w:spacing w:after="0" w:line="360" w:lineRule="auto"/>
        <w:ind w:left="567" w:right="567"/>
        <w:rPr>
          <w:i/>
          <w:color w:val="000000"/>
          <w:sz w:val="20"/>
          <w:szCs w:val="20"/>
        </w:rPr>
      </w:pPr>
    </w:p>
    <w:p w14:paraId="5DB4D38F" w14:textId="77777777" w:rsidR="006F4971" w:rsidRPr="00E00804" w:rsidRDefault="006F4971" w:rsidP="001A1400">
      <w:pPr>
        <w:spacing w:after="0" w:line="360" w:lineRule="auto"/>
        <w:rPr>
          <w:color w:val="000000"/>
        </w:rPr>
      </w:pPr>
      <w:r w:rsidRPr="00E00804">
        <w:rPr>
          <w:color w:val="000000"/>
        </w:rPr>
        <w:t xml:space="preserve">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7D2508C9" w14:textId="77777777" w:rsidR="006F4971" w:rsidRPr="00E00804" w:rsidRDefault="006F4971" w:rsidP="001A1400">
      <w:pPr>
        <w:spacing w:after="0" w:line="360" w:lineRule="auto"/>
        <w:rPr>
          <w:color w:val="000000"/>
        </w:rPr>
      </w:pPr>
    </w:p>
    <w:p w14:paraId="10CF002F" w14:textId="77777777" w:rsidR="006F4971" w:rsidRPr="00E00804" w:rsidRDefault="006F4971" w:rsidP="001A1400">
      <w:pPr>
        <w:spacing w:after="0" w:line="360" w:lineRule="auto"/>
        <w:rPr>
          <w:color w:val="000000"/>
        </w:rPr>
      </w:pPr>
      <w:r w:rsidRPr="00E00804">
        <w:rPr>
          <w:color w:val="000000"/>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7046B39C" w14:textId="77777777" w:rsidR="006F4971" w:rsidRPr="00E00804" w:rsidRDefault="006F4971" w:rsidP="001A1400">
      <w:pPr>
        <w:spacing w:after="0" w:line="360" w:lineRule="auto"/>
        <w:rPr>
          <w:color w:val="000000"/>
        </w:rPr>
      </w:pPr>
    </w:p>
    <w:p w14:paraId="63654BC6" w14:textId="77777777" w:rsidR="006F4971" w:rsidRPr="00E00804" w:rsidRDefault="006F4971" w:rsidP="001A1400">
      <w:pPr>
        <w:spacing w:after="0" w:line="360" w:lineRule="auto"/>
        <w:rPr>
          <w:color w:val="000000"/>
        </w:rPr>
      </w:pPr>
      <w:r w:rsidRPr="00E00804">
        <w:rPr>
          <w:color w:val="000000"/>
        </w:rPr>
        <w:t>En ese orden de ideas, el artículo 81 de la Ley de Seguridad del Estado de México, que establece lo siguiente:</w:t>
      </w:r>
    </w:p>
    <w:p w14:paraId="4018DE8B" w14:textId="77777777" w:rsidR="006F4971" w:rsidRPr="00E00804" w:rsidRDefault="006F4971" w:rsidP="001A1400">
      <w:pPr>
        <w:spacing w:after="0" w:line="360" w:lineRule="auto"/>
        <w:rPr>
          <w:color w:val="000000"/>
        </w:rPr>
      </w:pPr>
    </w:p>
    <w:p w14:paraId="151E5EC1" w14:textId="77777777" w:rsidR="006F4971" w:rsidRPr="00E00804" w:rsidRDefault="006F4971" w:rsidP="001A1400">
      <w:pPr>
        <w:spacing w:after="0" w:line="360" w:lineRule="auto"/>
        <w:ind w:left="567" w:right="567"/>
        <w:rPr>
          <w:i/>
          <w:color w:val="000000"/>
          <w:sz w:val="20"/>
          <w:szCs w:val="20"/>
        </w:rPr>
      </w:pPr>
      <w:r w:rsidRPr="00E00804">
        <w:rPr>
          <w:b/>
          <w:i/>
          <w:color w:val="000000"/>
          <w:sz w:val="20"/>
          <w:szCs w:val="20"/>
        </w:rPr>
        <w:t>“Artículo 81.-</w:t>
      </w:r>
      <w:r w:rsidRPr="00E00804">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925C6F0" w14:textId="77777777" w:rsidR="006F4971" w:rsidRPr="00E00804" w:rsidRDefault="006F4971" w:rsidP="001A1400">
      <w:pPr>
        <w:spacing w:after="0" w:line="360" w:lineRule="auto"/>
        <w:ind w:left="567" w:right="567"/>
        <w:rPr>
          <w:i/>
          <w:color w:val="000000"/>
          <w:sz w:val="20"/>
          <w:szCs w:val="20"/>
        </w:rPr>
      </w:pPr>
    </w:p>
    <w:p w14:paraId="494DC133" w14:textId="77777777" w:rsidR="006F4971" w:rsidRPr="00E00804" w:rsidRDefault="006F4971" w:rsidP="001A1400">
      <w:pPr>
        <w:spacing w:after="0" w:line="360" w:lineRule="auto"/>
        <w:ind w:left="567" w:right="567"/>
        <w:rPr>
          <w:i/>
          <w:color w:val="000000"/>
          <w:sz w:val="20"/>
          <w:szCs w:val="20"/>
        </w:rPr>
      </w:pPr>
      <w:r w:rsidRPr="00E00804">
        <w:rPr>
          <w:b/>
          <w:i/>
          <w:color w:val="000000"/>
          <w:sz w:val="20"/>
          <w:szCs w:val="20"/>
        </w:rPr>
        <w:t>I.</w:t>
      </w:r>
      <w:r w:rsidRPr="00E00804">
        <w:rPr>
          <w:i/>
          <w:color w:val="000000"/>
          <w:sz w:val="20"/>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F99D77" w14:textId="77777777" w:rsidR="006F4971" w:rsidRPr="00E00804" w:rsidRDefault="006F4971" w:rsidP="001A1400">
      <w:pPr>
        <w:spacing w:after="0" w:line="360" w:lineRule="auto"/>
        <w:ind w:left="567" w:right="567"/>
        <w:rPr>
          <w:i/>
          <w:color w:val="000000"/>
          <w:sz w:val="20"/>
          <w:szCs w:val="20"/>
        </w:rPr>
      </w:pPr>
    </w:p>
    <w:p w14:paraId="711AB332" w14:textId="77777777" w:rsidR="006F4971" w:rsidRPr="00E00804" w:rsidRDefault="006F4971" w:rsidP="001A1400">
      <w:pPr>
        <w:spacing w:after="0" w:line="360" w:lineRule="auto"/>
        <w:ind w:left="567" w:right="567"/>
        <w:rPr>
          <w:i/>
          <w:color w:val="000000"/>
          <w:sz w:val="20"/>
          <w:szCs w:val="20"/>
        </w:rPr>
      </w:pPr>
      <w:r w:rsidRPr="00E00804">
        <w:rPr>
          <w:b/>
          <w:i/>
          <w:color w:val="000000"/>
          <w:sz w:val="20"/>
          <w:szCs w:val="20"/>
        </w:rPr>
        <w:t>II.</w:t>
      </w:r>
      <w:r w:rsidRPr="00E00804">
        <w:rPr>
          <w:i/>
          <w:color w:val="000000"/>
          <w:sz w:val="20"/>
          <w:szCs w:val="20"/>
        </w:rPr>
        <w:t xml:space="preserve"> Aquella cuya revelación pueda ser utilizada para actualizar o potenciar una amenaza a la seguridad pública o a las instituciones del Estado de México; </w:t>
      </w:r>
    </w:p>
    <w:p w14:paraId="2859849E" w14:textId="77777777" w:rsidR="006F4971" w:rsidRPr="00E00804" w:rsidRDefault="006F4971" w:rsidP="001A1400">
      <w:pPr>
        <w:spacing w:after="0" w:line="360" w:lineRule="auto"/>
        <w:ind w:left="567" w:right="567"/>
        <w:rPr>
          <w:i/>
          <w:color w:val="000000"/>
          <w:sz w:val="20"/>
          <w:szCs w:val="20"/>
        </w:rPr>
      </w:pPr>
      <w:r w:rsidRPr="00E00804">
        <w:rPr>
          <w:i/>
          <w:color w:val="000000"/>
          <w:sz w:val="20"/>
          <w:szCs w:val="20"/>
        </w:rPr>
        <w:t>…</w:t>
      </w:r>
    </w:p>
    <w:p w14:paraId="0D417A31" w14:textId="77777777" w:rsidR="006F4971" w:rsidRDefault="006F4971" w:rsidP="001A1400">
      <w:pPr>
        <w:spacing w:after="0" w:line="360" w:lineRule="auto"/>
        <w:ind w:left="567" w:right="567"/>
        <w:rPr>
          <w:i/>
          <w:color w:val="000000"/>
          <w:sz w:val="20"/>
          <w:szCs w:val="20"/>
        </w:rPr>
      </w:pPr>
      <w:r w:rsidRPr="00E00804">
        <w:rPr>
          <w:b/>
          <w:i/>
          <w:color w:val="000000"/>
          <w:sz w:val="20"/>
          <w:szCs w:val="20"/>
        </w:rPr>
        <w:t xml:space="preserve">IV. </w:t>
      </w:r>
      <w:r w:rsidRPr="00E00804">
        <w:rPr>
          <w:i/>
          <w:color w:val="000000"/>
          <w:sz w:val="20"/>
          <w:szCs w:val="20"/>
        </w:rPr>
        <w:t xml:space="preserve">La que sea producto de una intervención de comunicaciones privadas autorizadas conforme a la Constitución Federal y las disposiciones legales correspondientes; y </w:t>
      </w:r>
    </w:p>
    <w:p w14:paraId="57066163" w14:textId="77777777" w:rsidR="004B0760" w:rsidRPr="00E00804" w:rsidRDefault="004B0760" w:rsidP="001A1400">
      <w:pPr>
        <w:spacing w:after="0" w:line="360" w:lineRule="auto"/>
        <w:ind w:left="567" w:right="567"/>
        <w:rPr>
          <w:i/>
          <w:color w:val="000000"/>
          <w:sz w:val="20"/>
          <w:szCs w:val="20"/>
        </w:rPr>
      </w:pPr>
    </w:p>
    <w:p w14:paraId="23F966A5" w14:textId="77777777" w:rsidR="006F4971" w:rsidRPr="00E00804" w:rsidRDefault="006F4971" w:rsidP="001A1400">
      <w:pPr>
        <w:spacing w:after="0" w:line="360" w:lineRule="auto"/>
        <w:ind w:left="567" w:right="567"/>
        <w:rPr>
          <w:i/>
          <w:color w:val="000000"/>
          <w:sz w:val="20"/>
          <w:szCs w:val="20"/>
        </w:rPr>
      </w:pPr>
      <w:r w:rsidRPr="00E00804">
        <w:rPr>
          <w:b/>
          <w:i/>
          <w:color w:val="000000"/>
          <w:sz w:val="20"/>
          <w:szCs w:val="20"/>
        </w:rPr>
        <w:t>V.</w:t>
      </w:r>
      <w:r w:rsidRPr="00E00804">
        <w:rPr>
          <w:i/>
          <w:color w:val="000000"/>
          <w:sz w:val="20"/>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1E38E4D" w14:textId="77777777" w:rsidR="006F4971" w:rsidRPr="00E00804" w:rsidRDefault="006F4971" w:rsidP="001A1400">
      <w:pPr>
        <w:spacing w:after="0" w:line="360" w:lineRule="auto"/>
        <w:rPr>
          <w:color w:val="000000"/>
        </w:rPr>
      </w:pPr>
    </w:p>
    <w:p w14:paraId="01D6E8F5" w14:textId="77777777" w:rsidR="006F4971" w:rsidRPr="00E00804" w:rsidRDefault="006F4971" w:rsidP="001A1400">
      <w:pPr>
        <w:spacing w:after="0" w:line="360" w:lineRule="auto"/>
        <w:rPr>
          <w:color w:val="000000"/>
        </w:rPr>
      </w:pPr>
      <w:r w:rsidRPr="00E00804">
        <w:rPr>
          <w:color w:val="000000"/>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w:t>
      </w:r>
      <w:r w:rsidRPr="00E00804">
        <w:rPr>
          <w:color w:val="000000"/>
        </w:rPr>
        <w:lastRenderedPageBreak/>
        <w:t>la que sea producto de un intervención de comunicaciones privadas, o bien, la contenida en las averiguaciones previas, carpetas de investigación de los delitos y faltas administrativas.</w:t>
      </w:r>
    </w:p>
    <w:p w14:paraId="2CB3AF56" w14:textId="77777777" w:rsidR="006F4971" w:rsidRPr="00E00804" w:rsidRDefault="006F4971" w:rsidP="001A1400">
      <w:pPr>
        <w:spacing w:after="0" w:line="360" w:lineRule="auto"/>
        <w:rPr>
          <w:color w:val="000000"/>
        </w:rPr>
      </w:pPr>
    </w:p>
    <w:p w14:paraId="045A2FCB" w14:textId="59887C53" w:rsidR="006F4971" w:rsidRPr="00E00804" w:rsidRDefault="006F4971" w:rsidP="001A1400">
      <w:pPr>
        <w:spacing w:after="0" w:line="360" w:lineRule="auto"/>
        <w:rPr>
          <w:color w:val="000000"/>
        </w:rPr>
      </w:pPr>
      <w:r w:rsidRPr="00E00804">
        <w:rPr>
          <w:color w:val="000000"/>
        </w:rPr>
        <w:t xml:space="preserve">En ese orden de ideas, cabe precisar que si bien proporcionar </w:t>
      </w:r>
      <w:r>
        <w:rPr>
          <w:color w:val="000000"/>
        </w:rPr>
        <w:t xml:space="preserve">el número </w:t>
      </w:r>
      <w:r w:rsidR="004B0760">
        <w:rPr>
          <w:color w:val="000000"/>
        </w:rPr>
        <w:t xml:space="preserve">de </w:t>
      </w:r>
      <w:r>
        <w:rPr>
          <w:color w:val="000000"/>
        </w:rPr>
        <w:t>patrullas, daría cuenta de parte de la capacidad de reacción, lo cierto es que dichos datos:</w:t>
      </w:r>
    </w:p>
    <w:p w14:paraId="12E8360C" w14:textId="77777777" w:rsidR="006F4971" w:rsidRPr="00E00804" w:rsidRDefault="006F4971" w:rsidP="001A1400">
      <w:pPr>
        <w:spacing w:after="0" w:line="360" w:lineRule="auto"/>
        <w:rPr>
          <w:color w:val="000000"/>
        </w:rPr>
      </w:pPr>
    </w:p>
    <w:p w14:paraId="716E1FC8" w14:textId="3113A61E" w:rsidR="006F4971" w:rsidRPr="00E00804" w:rsidRDefault="006F4971" w:rsidP="001A1400">
      <w:pPr>
        <w:numPr>
          <w:ilvl w:val="0"/>
          <w:numId w:val="15"/>
        </w:numPr>
        <w:spacing w:after="0" w:line="360" w:lineRule="auto"/>
        <w:rPr>
          <w:color w:val="000000"/>
        </w:rPr>
      </w:pPr>
      <w:r w:rsidRPr="00E00804">
        <w:rPr>
          <w:color w:val="000000"/>
        </w:rPr>
        <w:t>No entorpece</w:t>
      </w:r>
      <w:r>
        <w:rPr>
          <w:color w:val="000000"/>
        </w:rPr>
        <w:t>n</w:t>
      </w:r>
      <w:r w:rsidRPr="00E00804">
        <w:rPr>
          <w:color w:val="000000"/>
        </w:rPr>
        <w:t xml:space="preserve"> los sistemas de coordinación interinstitucional en materia de seguridad pública, pues únicamente se establecería el número </w:t>
      </w:r>
      <w:r w:rsidR="004B0760">
        <w:rPr>
          <w:color w:val="000000"/>
        </w:rPr>
        <w:t>de automotores con</w:t>
      </w:r>
      <w:r w:rsidRPr="00E00804">
        <w:rPr>
          <w:color w:val="000000"/>
        </w:rPr>
        <w:t xml:space="preserve"> los que cuenta</w:t>
      </w:r>
      <w:r>
        <w:rPr>
          <w:color w:val="000000"/>
        </w:rPr>
        <w:t xml:space="preserve"> la institución policial.</w:t>
      </w:r>
    </w:p>
    <w:p w14:paraId="28C6290E" w14:textId="77777777" w:rsidR="006F4971" w:rsidRPr="00E00804" w:rsidRDefault="006F4971" w:rsidP="001A1400">
      <w:pPr>
        <w:spacing w:after="0" w:line="360" w:lineRule="auto"/>
        <w:ind w:left="720"/>
        <w:rPr>
          <w:color w:val="000000"/>
        </w:rPr>
      </w:pPr>
    </w:p>
    <w:p w14:paraId="5521B90E" w14:textId="514CF7BB" w:rsidR="006F4971" w:rsidRPr="00E00804" w:rsidRDefault="006F4971" w:rsidP="001A1400">
      <w:pPr>
        <w:numPr>
          <w:ilvl w:val="0"/>
          <w:numId w:val="15"/>
        </w:numPr>
        <w:spacing w:after="0" w:line="360" w:lineRule="auto"/>
        <w:rPr>
          <w:color w:val="000000"/>
        </w:rPr>
      </w:pPr>
      <w:r w:rsidRPr="00E00804">
        <w:rPr>
          <w:color w:val="000000"/>
        </w:rPr>
        <w:t xml:space="preserve">Tampoco dificulta o menoscaba las estrategias contra la evasión de reos o la capacidad de disuadir, prevenir disturbios sociales, o bien, </w:t>
      </w:r>
      <w:r w:rsidR="004B0760">
        <w:rPr>
          <w:color w:val="000000"/>
        </w:rPr>
        <w:t>los</w:t>
      </w:r>
      <w:r w:rsidRPr="00E00804">
        <w:rPr>
          <w:color w:val="000000"/>
        </w:rPr>
        <w:t xml:space="preserve"> planes, estrategias, tecnologías, información o sistemas de comunicaciones, pues no se está dando a conocer información concerniente a armamento, </w:t>
      </w:r>
      <w:r w:rsidR="004B0760">
        <w:rPr>
          <w:color w:val="000000"/>
        </w:rPr>
        <w:t>blindaje</w:t>
      </w:r>
      <w:r>
        <w:rPr>
          <w:color w:val="000000"/>
        </w:rPr>
        <w:t>, características especiales</w:t>
      </w:r>
      <w:r w:rsidR="004B0760">
        <w:rPr>
          <w:color w:val="000000"/>
        </w:rPr>
        <w:t xml:space="preserve"> o ubicación de las patrullas</w:t>
      </w:r>
      <w:r w:rsidRPr="00E00804">
        <w:rPr>
          <w:color w:val="000000"/>
        </w:rPr>
        <w:t xml:space="preserve">; sino únicamente </w:t>
      </w:r>
      <w:r>
        <w:rPr>
          <w:color w:val="000000"/>
        </w:rPr>
        <w:t>el número de vehículos para cumplir con sus funciones.</w:t>
      </w:r>
    </w:p>
    <w:p w14:paraId="09C5260E" w14:textId="77777777" w:rsidR="006F4971" w:rsidRPr="00E00804" w:rsidRDefault="006F4971" w:rsidP="001A1400">
      <w:pPr>
        <w:spacing w:after="0" w:line="360" w:lineRule="auto"/>
        <w:ind w:left="720"/>
        <w:jc w:val="left"/>
        <w:rPr>
          <w:color w:val="000000"/>
        </w:rPr>
      </w:pPr>
    </w:p>
    <w:p w14:paraId="6B51A400" w14:textId="77777777" w:rsidR="006F4971" w:rsidRPr="00E00804" w:rsidRDefault="006F4971" w:rsidP="001A1400">
      <w:pPr>
        <w:numPr>
          <w:ilvl w:val="0"/>
          <w:numId w:val="15"/>
        </w:numPr>
        <w:spacing w:after="0" w:line="360" w:lineRule="auto"/>
        <w:rPr>
          <w:color w:val="000000"/>
        </w:rPr>
      </w:pPr>
      <w:r w:rsidRPr="00E00804">
        <w:rPr>
          <w:color w:val="000000"/>
        </w:rPr>
        <w:t>La información requerida, no es producto de la intervención de comunicaciones privadas, ni se encuentra contenida en averiguaciones previas, carpetas de investigación, expedientes y archivos de investigación o prevención de delitos.</w:t>
      </w:r>
    </w:p>
    <w:p w14:paraId="360D87B1" w14:textId="77777777" w:rsidR="006F4971" w:rsidRPr="00E00804" w:rsidRDefault="006F4971" w:rsidP="001A1400">
      <w:pPr>
        <w:spacing w:after="0" w:line="360" w:lineRule="auto"/>
        <w:ind w:left="720"/>
        <w:jc w:val="left"/>
        <w:rPr>
          <w:color w:val="000000"/>
        </w:rPr>
      </w:pPr>
    </w:p>
    <w:p w14:paraId="401B5629" w14:textId="6FA76C77" w:rsidR="006F4971" w:rsidRPr="00E00804" w:rsidRDefault="004B0760" w:rsidP="001A1400">
      <w:pPr>
        <w:numPr>
          <w:ilvl w:val="0"/>
          <w:numId w:val="15"/>
        </w:numPr>
        <w:spacing w:after="0" w:line="360" w:lineRule="auto"/>
        <w:rPr>
          <w:color w:val="000000"/>
        </w:rPr>
      </w:pPr>
      <w:r>
        <w:rPr>
          <w:color w:val="000000"/>
        </w:rPr>
        <w:t>El dato solicitado,</w:t>
      </w:r>
      <w:r w:rsidR="006F4971" w:rsidRPr="00E00804">
        <w:rPr>
          <w:color w:val="000000"/>
        </w:rPr>
        <w:t xml:space="preserve"> de ninguna forma da</w:t>
      </w:r>
      <w:r w:rsidR="006F4971">
        <w:rPr>
          <w:color w:val="000000"/>
        </w:rPr>
        <w:t>n</w:t>
      </w:r>
      <w:r w:rsidR="006F4971" w:rsidRPr="00E00804">
        <w:rPr>
          <w:color w:val="000000"/>
        </w:rPr>
        <w:t xml:space="preserve"> cuenta, de normas, procedimientos, métodos, fuentes, especificaciones técnicas, sistemas, tecnologías o equipos útiles a la generación de inteligencia en materia de seguridad pública o en combate a la delincuencia, pues como se precisó solamente da a conocer el estado de fuerza y no </w:t>
      </w:r>
      <w:r w:rsidR="006F4971" w:rsidRPr="00E00804">
        <w:rPr>
          <w:color w:val="000000"/>
        </w:rPr>
        <w:lastRenderedPageBreak/>
        <w:t>la forma de actuación, estrategias y equipo</w:t>
      </w:r>
      <w:r w:rsidR="006F4971">
        <w:rPr>
          <w:color w:val="000000"/>
        </w:rPr>
        <w:t xml:space="preserve"> especial</w:t>
      </w:r>
      <w:r w:rsidR="006F4971" w:rsidRPr="00E00804">
        <w:rPr>
          <w:color w:val="000000"/>
        </w:rPr>
        <w:t xml:space="preserve"> con la que opera </w:t>
      </w:r>
      <w:r>
        <w:rPr>
          <w:color w:val="000000"/>
        </w:rPr>
        <w:t>la Secretaría</w:t>
      </w:r>
      <w:r w:rsidR="006F4971" w:rsidRPr="00E00804">
        <w:rPr>
          <w:color w:val="000000"/>
        </w:rPr>
        <w:t xml:space="preserve"> de Seguridad.</w:t>
      </w:r>
    </w:p>
    <w:p w14:paraId="73C539F5" w14:textId="77777777" w:rsidR="006F4971" w:rsidRPr="00E00804" w:rsidRDefault="006F4971" w:rsidP="001A1400">
      <w:pPr>
        <w:spacing w:after="0" w:line="360" w:lineRule="auto"/>
        <w:ind w:left="720"/>
        <w:jc w:val="left"/>
        <w:rPr>
          <w:color w:val="000000"/>
        </w:rPr>
      </w:pPr>
    </w:p>
    <w:p w14:paraId="704D6EC0" w14:textId="68BF2D79" w:rsidR="006F4971" w:rsidRPr="00E00804" w:rsidRDefault="006F4971" w:rsidP="001A1400">
      <w:pPr>
        <w:spacing w:after="0" w:line="360" w:lineRule="auto"/>
        <w:rPr>
          <w:b/>
          <w:color w:val="000000"/>
        </w:rPr>
      </w:pPr>
      <w:r w:rsidRPr="00E00804">
        <w:rPr>
          <w:color w:val="000000"/>
        </w:rPr>
        <w:t xml:space="preserve">Conforme a lo anterior, no advierte un riesgo real, demostrable e identificable que supere al interés público o bien perjudique la seguridad pública, proporcionar el </w:t>
      </w:r>
      <w:r w:rsidR="004B0760">
        <w:rPr>
          <w:color w:val="000000"/>
        </w:rPr>
        <w:t>número total de patrullas</w:t>
      </w:r>
      <w:r w:rsidRPr="00E00804">
        <w:rPr>
          <w:color w:val="000000"/>
        </w:rPr>
        <w:t xml:space="preserve">, pues como se precisó en párrafos anteriores, la información requerida </w:t>
      </w:r>
      <w:r w:rsidRPr="00E00804">
        <w:rPr>
          <w:b/>
          <w:color w:val="000000"/>
        </w:rPr>
        <w:t>no da cuenta de la forma de actuación, estrategias o equipo</w:t>
      </w:r>
      <w:r>
        <w:rPr>
          <w:b/>
          <w:color w:val="000000"/>
        </w:rPr>
        <w:t xml:space="preserve"> especial (armamento, sistemas de comunicación, entre otros)</w:t>
      </w:r>
      <w:r w:rsidR="004B0760">
        <w:rPr>
          <w:b/>
          <w:color w:val="000000"/>
        </w:rPr>
        <w:t>, blindaje</w:t>
      </w:r>
      <w:r w:rsidRPr="00E00804">
        <w:rPr>
          <w:b/>
          <w:color w:val="000000"/>
        </w:rPr>
        <w:t xml:space="preserve"> con el que cuenta el Área de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w:t>
      </w:r>
      <w:r w:rsidR="004B0760">
        <w:rPr>
          <w:b/>
          <w:color w:val="000000"/>
        </w:rPr>
        <w:t>la Secretaría</w:t>
      </w:r>
      <w:r w:rsidRPr="00E00804">
        <w:rPr>
          <w:b/>
          <w:color w:val="000000"/>
        </w:rPr>
        <w:t>.</w:t>
      </w:r>
    </w:p>
    <w:p w14:paraId="659EBA9A" w14:textId="77777777" w:rsidR="006F4971" w:rsidRPr="00E00804" w:rsidRDefault="006F4971" w:rsidP="001A1400">
      <w:pPr>
        <w:spacing w:after="0" w:line="360" w:lineRule="auto"/>
        <w:rPr>
          <w:b/>
          <w:color w:val="000000"/>
        </w:rPr>
      </w:pPr>
    </w:p>
    <w:p w14:paraId="156993B8" w14:textId="77777777" w:rsidR="006F4971" w:rsidRPr="00E00804" w:rsidRDefault="006F4971" w:rsidP="001A1400">
      <w:pPr>
        <w:tabs>
          <w:tab w:val="center" w:pos="4522"/>
        </w:tabs>
        <w:spacing w:after="0" w:line="360" w:lineRule="auto"/>
        <w:rPr>
          <w:color w:val="000000"/>
        </w:rPr>
      </w:pPr>
      <w:r w:rsidRPr="00E00804">
        <w:rPr>
          <w:color w:val="000000"/>
        </w:rPr>
        <w:t xml:space="preserve">Por tal circunstancia, en el presente caso, no se actualiza la causal de clasificación prevista en el artículo 140, fracción I, de la Ley de Transparencia y Acceso a la Información Pública del Estado de México y Municipios, </w:t>
      </w:r>
      <w:r>
        <w:rPr>
          <w:color w:val="000000"/>
        </w:rPr>
        <w:t>de los datos estadísticos solicitados.</w:t>
      </w:r>
    </w:p>
    <w:p w14:paraId="0E54B14B" w14:textId="77777777" w:rsidR="006F4971" w:rsidRDefault="006F4971" w:rsidP="001A1400">
      <w:pPr>
        <w:spacing w:after="0" w:line="360" w:lineRule="auto"/>
        <w:rPr>
          <w:sz w:val="20"/>
          <w:szCs w:val="20"/>
        </w:rPr>
      </w:pPr>
    </w:p>
    <w:p w14:paraId="62224D9B" w14:textId="77777777" w:rsidR="006F4971" w:rsidRDefault="006F4971" w:rsidP="001A1400">
      <w:pPr>
        <w:spacing w:after="0" w:line="360" w:lineRule="auto"/>
        <w:rPr>
          <w:color w:val="000000"/>
        </w:rPr>
      </w:pPr>
      <w:r>
        <w:rPr>
          <w:color w:val="000000"/>
        </w:rPr>
        <w:t>Ahora bien, por lo que hace a la otra causal de reserva,</w:t>
      </w:r>
      <w:r>
        <w:t xml:space="preserve"> el artículo 140, fracción IV, de la Ley de Transparencia y Acceso a la Información Pública del Estado de México y Municipios, prevé lo siguiente:</w:t>
      </w:r>
    </w:p>
    <w:p w14:paraId="59081876" w14:textId="77777777" w:rsidR="006F4971" w:rsidRDefault="006F4971" w:rsidP="001A1400">
      <w:pPr>
        <w:tabs>
          <w:tab w:val="left" w:pos="4962"/>
        </w:tabs>
        <w:spacing w:after="0" w:line="360" w:lineRule="auto"/>
        <w:ind w:left="567" w:right="567"/>
        <w:rPr>
          <w:i/>
          <w:sz w:val="20"/>
          <w:szCs w:val="20"/>
        </w:rPr>
      </w:pPr>
    </w:p>
    <w:p w14:paraId="269F48F3" w14:textId="77777777" w:rsidR="006F4971" w:rsidRDefault="006F4971" w:rsidP="001A1400">
      <w:pPr>
        <w:tabs>
          <w:tab w:val="left" w:pos="4962"/>
        </w:tabs>
        <w:spacing w:after="0" w:line="360" w:lineRule="auto"/>
        <w:ind w:left="567" w:right="567"/>
        <w:rPr>
          <w:i/>
          <w:sz w:val="20"/>
          <w:szCs w:val="20"/>
        </w:rPr>
      </w:pPr>
      <w:r>
        <w:rPr>
          <w:i/>
          <w:sz w:val="20"/>
          <w:szCs w:val="20"/>
        </w:rPr>
        <w:t xml:space="preserve"> “</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47BE6333" w14:textId="77777777" w:rsidR="006F4971" w:rsidRDefault="006F4971" w:rsidP="001A1400">
      <w:pPr>
        <w:tabs>
          <w:tab w:val="left" w:pos="4962"/>
        </w:tabs>
        <w:spacing w:after="0" w:line="360" w:lineRule="auto"/>
        <w:ind w:left="567" w:right="567"/>
        <w:rPr>
          <w:i/>
          <w:sz w:val="20"/>
          <w:szCs w:val="20"/>
        </w:rPr>
      </w:pPr>
      <w:r>
        <w:rPr>
          <w:i/>
          <w:sz w:val="20"/>
          <w:szCs w:val="20"/>
        </w:rPr>
        <w:t>…</w:t>
      </w:r>
    </w:p>
    <w:p w14:paraId="6DF07BF5" w14:textId="77777777" w:rsidR="006F4971" w:rsidRDefault="006F4971" w:rsidP="001A1400">
      <w:pPr>
        <w:tabs>
          <w:tab w:val="left" w:pos="4962"/>
        </w:tabs>
        <w:spacing w:after="0" w:line="360" w:lineRule="auto"/>
        <w:ind w:left="567" w:right="567"/>
        <w:rPr>
          <w:i/>
          <w:sz w:val="20"/>
          <w:szCs w:val="20"/>
        </w:rPr>
      </w:pPr>
      <w:r>
        <w:rPr>
          <w:i/>
          <w:sz w:val="20"/>
          <w:szCs w:val="20"/>
        </w:rPr>
        <w:t>IV. Ponga en riesgo la vida, la seguridad o la salud de una persona física;</w:t>
      </w:r>
    </w:p>
    <w:p w14:paraId="3DD05D71" w14:textId="77777777" w:rsidR="006F4971" w:rsidRDefault="006F4971" w:rsidP="001A1400">
      <w:pPr>
        <w:tabs>
          <w:tab w:val="left" w:pos="4962"/>
        </w:tabs>
        <w:spacing w:after="0" w:line="360" w:lineRule="auto"/>
        <w:ind w:left="567" w:right="567"/>
        <w:rPr>
          <w:i/>
          <w:sz w:val="20"/>
          <w:szCs w:val="20"/>
        </w:rPr>
      </w:pPr>
      <w:r>
        <w:rPr>
          <w:i/>
          <w:sz w:val="20"/>
          <w:szCs w:val="20"/>
        </w:rPr>
        <w:t xml:space="preserve">…” </w:t>
      </w:r>
    </w:p>
    <w:p w14:paraId="7D9D8034" w14:textId="77777777" w:rsidR="006F4971" w:rsidRDefault="006F4971" w:rsidP="001A1400">
      <w:pPr>
        <w:spacing w:after="0" w:line="360" w:lineRule="auto"/>
      </w:pPr>
    </w:p>
    <w:p w14:paraId="48363ADB" w14:textId="77777777" w:rsidR="00F73569" w:rsidRDefault="00F73569" w:rsidP="001A1400">
      <w:pPr>
        <w:spacing w:after="0" w:line="360" w:lineRule="auto"/>
      </w:pPr>
    </w:p>
    <w:p w14:paraId="1E4C4806" w14:textId="77777777" w:rsidR="006F4971" w:rsidRDefault="006F4971" w:rsidP="001A1400">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6F73CED7" w14:textId="77777777" w:rsidR="006F4971" w:rsidRDefault="006F4971" w:rsidP="001A1400">
      <w:pPr>
        <w:spacing w:after="0" w:line="360" w:lineRule="auto"/>
      </w:pPr>
    </w:p>
    <w:p w14:paraId="48D304F1" w14:textId="77777777" w:rsidR="006F4971" w:rsidRDefault="006F4971" w:rsidP="001A1400">
      <w:pPr>
        <w:spacing w:after="0" w:line="360" w:lineRule="auto"/>
        <w:ind w:left="567" w:right="567"/>
        <w:rPr>
          <w:i/>
          <w:sz w:val="20"/>
          <w:szCs w:val="20"/>
        </w:rPr>
      </w:pPr>
      <w:r>
        <w:rPr>
          <w:b/>
          <w:i/>
          <w:sz w:val="20"/>
          <w:szCs w:val="20"/>
        </w:rPr>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62716EAF" w14:textId="77777777" w:rsidR="006F4971" w:rsidRDefault="006F4971" w:rsidP="001A1400">
      <w:pPr>
        <w:spacing w:after="0" w:line="360" w:lineRule="auto"/>
        <w:ind w:left="567" w:right="567"/>
        <w:rPr>
          <w:i/>
          <w:sz w:val="20"/>
          <w:szCs w:val="20"/>
        </w:rPr>
      </w:pPr>
    </w:p>
    <w:p w14:paraId="34B02750" w14:textId="77777777" w:rsidR="006F4971" w:rsidRDefault="006F4971" w:rsidP="001A1400">
      <w:pPr>
        <w:spacing w:after="0" w:line="360" w:lineRule="auto"/>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6354E70" w14:textId="77777777" w:rsidR="004B0760" w:rsidRDefault="004B0760" w:rsidP="001A1400">
      <w:pPr>
        <w:spacing w:after="0" w:line="360" w:lineRule="auto"/>
        <w:rPr>
          <w:b/>
        </w:rPr>
      </w:pPr>
    </w:p>
    <w:p w14:paraId="64E0E594" w14:textId="79230BDD" w:rsidR="006F4971" w:rsidRDefault="006F4971" w:rsidP="001A1400">
      <w:pPr>
        <w:spacing w:after="0" w:line="360" w:lineRule="auto"/>
      </w:pPr>
      <w:r>
        <w:t xml:space="preserve">En ese contexto,  este instituto considera que el total de patrullas no implica información, que permita generar un vínculo entre una persona física y que ponga en riesgo su vida, seguridad o salud, dado que se trata de información global, que no se encuentra individualizada y no permite a identificación de alguna persona, dado que no se pidió </w:t>
      </w:r>
      <w:r w:rsidR="004B0760">
        <w:t>esta</w:t>
      </w:r>
      <w:r>
        <w:t xml:space="preserve">, sino únicamente un número total, por tanto, </w:t>
      </w:r>
      <w:r>
        <w:rPr>
          <w:b/>
        </w:rPr>
        <w:t xml:space="preserve">no se actualiza el supuesto previsto en el </w:t>
      </w:r>
      <w:r>
        <w:rPr>
          <w:b/>
          <w:color w:val="000000"/>
        </w:rPr>
        <w:t>artículo 140, fracción IV de la Ley de Transparencia y Acceso a la Información Pública del Estado de México y Municipios</w:t>
      </w:r>
    </w:p>
    <w:p w14:paraId="22D43D7A" w14:textId="77777777" w:rsidR="006F4971" w:rsidRDefault="006F4971" w:rsidP="001A1400">
      <w:pPr>
        <w:spacing w:after="0" w:line="360" w:lineRule="auto"/>
      </w:pPr>
    </w:p>
    <w:p w14:paraId="43473B93" w14:textId="6A7268E3" w:rsidR="006F4971" w:rsidRDefault="006F4971" w:rsidP="001A1400">
      <w:pPr>
        <w:spacing w:after="0" w:line="360" w:lineRule="auto"/>
      </w:pPr>
      <w:r>
        <w:t xml:space="preserve">En atención a lo anterior, no </w:t>
      </w:r>
      <w:r w:rsidR="004B0760">
        <w:t>existen</w:t>
      </w:r>
      <w:r>
        <w:t xml:space="preserve"> elementos suficientes para considerar que la información en análisis pueda actualizar algún supuesto de reserva, dado que no individualiza la información, ni permite identificar a cada persona servidora pública o bien, dé cuenta de </w:t>
      </w:r>
      <w:r>
        <w:lastRenderedPageBreak/>
        <w:t>especificaciones técnicas que puedan poner en riesgo la persecución de delitos o la capacidad de respuesta del Ayuntamiento, por tanto, no es procedente su clasificación como información reservada.</w:t>
      </w:r>
    </w:p>
    <w:p w14:paraId="5C7757EB" w14:textId="77777777" w:rsidR="006F4971" w:rsidRDefault="006F4971" w:rsidP="001A1400">
      <w:pPr>
        <w:spacing w:after="0" w:line="360" w:lineRule="auto"/>
      </w:pPr>
    </w:p>
    <w:p w14:paraId="17D074E9" w14:textId="434AECEF" w:rsidR="004B0760" w:rsidRDefault="004B0760" w:rsidP="001A1400">
      <w:pPr>
        <w:spacing w:after="0" w:line="360" w:lineRule="auto"/>
      </w:pPr>
      <w:r>
        <w:t>Lo anterior, toma relevancia</w:t>
      </w:r>
      <w:r w:rsidR="001A1400">
        <w:t xml:space="preserve"> pues se localizó el Segundo Informe de Gobierno del Estado de México 2024-2025, en el cual se dio a conocer información estadística de patrullas, lo cual demuestra que su divulgación individualizada no afecta, ni actualiza alguna causal de reserva:</w:t>
      </w:r>
    </w:p>
    <w:p w14:paraId="6CDAB38D" w14:textId="77777777" w:rsidR="001A1400" w:rsidRDefault="001A1400" w:rsidP="001A1400">
      <w:pPr>
        <w:spacing w:after="0" w:line="360" w:lineRule="auto"/>
      </w:pPr>
    </w:p>
    <w:p w14:paraId="007AC40A" w14:textId="663F533D" w:rsidR="001A1400" w:rsidRDefault="001A1400" w:rsidP="001A1400">
      <w:pPr>
        <w:spacing w:after="0" w:line="360" w:lineRule="auto"/>
        <w:jc w:val="center"/>
      </w:pPr>
      <w:r w:rsidRPr="001A1400">
        <w:rPr>
          <w:noProof/>
        </w:rPr>
        <w:drawing>
          <wp:inline distT="0" distB="0" distL="0" distR="0" wp14:anchorId="2669272D" wp14:editId="6CC14894">
            <wp:extent cx="3947163" cy="1295400"/>
            <wp:effectExtent l="0" t="0" r="0" b="0"/>
            <wp:docPr id="736944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44988" name=""/>
                    <pic:cNvPicPr/>
                  </pic:nvPicPr>
                  <pic:blipFill>
                    <a:blip r:embed="rId10"/>
                    <a:stretch>
                      <a:fillRect/>
                    </a:stretch>
                  </pic:blipFill>
                  <pic:spPr>
                    <a:xfrm>
                      <a:off x="0" y="0"/>
                      <a:ext cx="3959160" cy="1299337"/>
                    </a:xfrm>
                    <a:prstGeom prst="rect">
                      <a:avLst/>
                    </a:prstGeom>
                  </pic:spPr>
                </pic:pic>
              </a:graphicData>
            </a:graphic>
          </wp:inline>
        </w:drawing>
      </w:r>
    </w:p>
    <w:p w14:paraId="275CC416" w14:textId="77777777" w:rsidR="004B0760" w:rsidRPr="006F4971" w:rsidRDefault="004B0760" w:rsidP="001A1400">
      <w:pPr>
        <w:spacing w:after="0" w:line="360" w:lineRule="auto"/>
      </w:pPr>
    </w:p>
    <w:p w14:paraId="1DA07C78" w14:textId="01B69D58" w:rsidR="001A1400" w:rsidRPr="00FC5C4B" w:rsidRDefault="001A1400" w:rsidP="001A1400">
      <w:pPr>
        <w:tabs>
          <w:tab w:val="left" w:pos="4962"/>
        </w:tabs>
        <w:spacing w:after="0" w:line="360" w:lineRule="auto"/>
        <w:contextualSpacing/>
        <w:rPr>
          <w:rFonts w:eastAsia="Calibri" w:cs="Tahoma"/>
          <w:color w:val="000000"/>
        </w:rPr>
      </w:pPr>
      <w:r w:rsidRPr="00FC5C4B">
        <w:rPr>
          <w:rFonts w:eastAsia="Calibri" w:cs="Tahoma"/>
          <w:color w:val="000000"/>
        </w:rPr>
        <w:t xml:space="preserve">Así, resulta procedente ordenar la entrega </w:t>
      </w:r>
      <w:r>
        <w:rPr>
          <w:rFonts w:eastAsia="Calibri" w:cs="Tahoma"/>
          <w:color w:val="000000"/>
        </w:rPr>
        <w:t>del número total de patrullas con las que contaba la Secretaría de Seguridad a la fecha de la solicitud</w:t>
      </w:r>
      <w:r w:rsidRPr="00FC5C4B">
        <w:rPr>
          <w:rFonts w:eastAsia="Calibri" w:cs="Tahoma"/>
          <w:color w:val="000000"/>
        </w:rPr>
        <w:t>; 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0D3D91E" w14:textId="77777777" w:rsidR="001A1400" w:rsidRPr="00FC5C4B" w:rsidRDefault="001A1400" w:rsidP="001A1400">
      <w:pPr>
        <w:tabs>
          <w:tab w:val="left" w:pos="4962"/>
        </w:tabs>
        <w:spacing w:after="0" w:line="360" w:lineRule="auto"/>
        <w:contextualSpacing/>
        <w:rPr>
          <w:rFonts w:eastAsia="Calibri" w:cs="Tahoma"/>
          <w:color w:val="000000"/>
        </w:rPr>
      </w:pPr>
    </w:p>
    <w:p w14:paraId="4A3D1F5A" w14:textId="77777777" w:rsidR="001A1400" w:rsidRPr="00FC5C4B" w:rsidRDefault="001A1400" w:rsidP="001A1400">
      <w:pPr>
        <w:tabs>
          <w:tab w:val="left" w:pos="4962"/>
        </w:tabs>
        <w:spacing w:after="0" w:line="360" w:lineRule="auto"/>
        <w:contextualSpacing/>
        <w:rPr>
          <w:rFonts w:eastAsia="Calibri" w:cs="Tahoma"/>
          <w:color w:val="000000"/>
        </w:rPr>
      </w:pPr>
      <w:r w:rsidRPr="00FC5C4B">
        <w:rPr>
          <w:rFonts w:eastAsia="Calibri" w:cs="Tahoma"/>
          <w:color w:val="000000"/>
        </w:rPr>
        <w:t xml:space="preserve">De esta manera, el derecho de acceso a la información pública se satisface en aquellos casos en que se entregue el soporte documental en el que conste la información solicitada, sin necesidad de elaborar documentos </w:t>
      </w:r>
      <w:r w:rsidRPr="00FC5C4B">
        <w:rPr>
          <w:rFonts w:eastAsia="Calibri" w:cs="Tahoma"/>
          <w:i/>
          <w:iCs/>
          <w:color w:val="000000"/>
        </w:rPr>
        <w:t>ad hoc</w:t>
      </w:r>
      <w:r w:rsidRPr="00FC5C4B">
        <w:rPr>
          <w:rFonts w:eastAsia="Calibri" w:cs="Tahoma"/>
          <w:color w:val="000000"/>
        </w:rPr>
        <w:t xml:space="preserve">; lo cual, toma sustento en el artículo 160 de la Ley </w:t>
      </w:r>
      <w:r w:rsidRPr="00FC5C4B">
        <w:rPr>
          <w:rFonts w:eastAsia="Calibri" w:cs="Tahoma"/>
          <w:color w:val="000000"/>
        </w:rPr>
        <w:lastRenderedPageBreak/>
        <w:t>de Transparencia y Acceso a la Información Pública del Estado de México y Municipios,</w:t>
      </w:r>
      <w:r w:rsidRPr="00FC5C4B">
        <w:rPr>
          <w:color w:val="000000"/>
        </w:rPr>
        <w:t xml:space="preserve"> </w:t>
      </w:r>
      <w:r w:rsidRPr="00FC5C4B">
        <w:rPr>
          <w:rFonts w:eastAsia="Calibri" w:cs="Tahoma"/>
          <w:color w:val="000000"/>
        </w:rPr>
        <w:t>el cual refiere que los sujetos obligados deberán entregar la información que obre en sus archivos.</w:t>
      </w:r>
    </w:p>
    <w:p w14:paraId="25E8962A" w14:textId="77777777" w:rsidR="001A1400" w:rsidRPr="00FC5C4B" w:rsidRDefault="001A1400" w:rsidP="001A1400">
      <w:pPr>
        <w:tabs>
          <w:tab w:val="left" w:pos="4962"/>
        </w:tabs>
        <w:spacing w:after="0" w:line="360" w:lineRule="auto"/>
        <w:contextualSpacing/>
        <w:rPr>
          <w:rFonts w:eastAsia="Calibri" w:cs="Tahoma"/>
          <w:color w:val="000000"/>
        </w:rPr>
      </w:pPr>
    </w:p>
    <w:p w14:paraId="29112373" w14:textId="033D9636" w:rsidR="00B07394" w:rsidRPr="006F4971" w:rsidRDefault="001A1400" w:rsidP="001A1400">
      <w:pPr>
        <w:spacing w:after="0" w:line="360" w:lineRule="auto"/>
        <w:ind w:right="-28"/>
        <w:rPr>
          <w:lang w:val="es-ES"/>
        </w:rPr>
      </w:pPr>
      <w:r w:rsidRPr="00FC5C4B">
        <w:rPr>
          <w:rFonts w:eastAsia="Calibri" w:cs="Tahoma"/>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w:t>
      </w:r>
      <w:r>
        <w:rPr>
          <w:rFonts w:eastAsia="Calibri" w:cs="Tahoma"/>
          <w:color w:val="000000"/>
        </w:rPr>
        <w:t>la información estadística solicitada; además, toda vez que únicamente debe de contener cantidades, se advierte que no contendría datos confidenciales y por lo tanto, resulta procedente su entrega en versión íntegra.</w:t>
      </w:r>
    </w:p>
    <w:p w14:paraId="6DDD822E" w14:textId="77777777" w:rsidR="00B07394" w:rsidRPr="00035B71" w:rsidRDefault="00B07394" w:rsidP="001A1400">
      <w:pPr>
        <w:spacing w:after="0" w:line="360" w:lineRule="auto"/>
        <w:ind w:right="-28"/>
      </w:pPr>
    </w:p>
    <w:p w14:paraId="36A96630" w14:textId="77777777" w:rsidR="00AD2507" w:rsidRPr="00035B71" w:rsidRDefault="00F10379" w:rsidP="0083110F">
      <w:pPr>
        <w:pStyle w:val="Ttulo8"/>
      </w:pPr>
      <w:bookmarkStart w:id="14" w:name="_Toc224832401"/>
      <w:r w:rsidRPr="00035B71">
        <w:t>SEXTO. Decisión</w:t>
      </w:r>
      <w:bookmarkEnd w:id="14"/>
    </w:p>
    <w:p w14:paraId="1BC21B01" w14:textId="77777777" w:rsidR="00AD2507" w:rsidRPr="00035B71" w:rsidRDefault="00AD2507" w:rsidP="001A1400">
      <w:pPr>
        <w:spacing w:after="0" w:line="360" w:lineRule="auto"/>
        <w:rPr>
          <w:b/>
        </w:rPr>
      </w:pPr>
    </w:p>
    <w:p w14:paraId="1530541C" w14:textId="52377E95" w:rsidR="00AD2507" w:rsidRDefault="001A1400" w:rsidP="001A1400">
      <w:pPr>
        <w:spacing w:after="0" w:line="360" w:lineRule="auto"/>
        <w:rPr>
          <w:color w:val="000000"/>
        </w:rPr>
      </w:pPr>
      <w:r>
        <w:t xml:space="preserve">Con fundamento en el artículo 186, fracción III, de la Ley de Transparencia y Acceso a la Información Pública del Estado de México y Municipios, este Instituto considera procedente </w:t>
      </w:r>
      <w:r>
        <w:rPr>
          <w:b/>
          <w:bCs/>
        </w:rPr>
        <w:t xml:space="preserve">REVOCAR </w:t>
      </w:r>
      <w:r>
        <w:t xml:space="preserve">la respuesta otorgada por el Sujeto Obligado a la solicitud de información, a </w:t>
      </w:r>
      <w:r w:rsidRPr="001A1400">
        <w:rPr>
          <w:color w:val="000000"/>
        </w:rPr>
        <w:t xml:space="preserve">efecto de que previa búsqueda exhaustiva y razonable en los archivos de las áreas competentes, entregue el documento donde conste la información </w:t>
      </w:r>
      <w:r>
        <w:rPr>
          <w:color w:val="000000"/>
        </w:rPr>
        <w:t>estadística requerida.</w:t>
      </w:r>
    </w:p>
    <w:p w14:paraId="16581B16" w14:textId="77777777" w:rsidR="001A1400" w:rsidRPr="001A1400" w:rsidRDefault="001A1400" w:rsidP="001A1400">
      <w:pPr>
        <w:spacing w:after="0" w:line="360" w:lineRule="auto"/>
        <w:rPr>
          <w:color w:val="000000"/>
        </w:rPr>
      </w:pPr>
    </w:p>
    <w:p w14:paraId="7A1766A6" w14:textId="496DCDEE" w:rsidR="00AD2507" w:rsidRPr="00035B71" w:rsidRDefault="00F10379" w:rsidP="001A1400">
      <w:pPr>
        <w:spacing w:after="0" w:line="360" w:lineRule="auto"/>
        <w:rPr>
          <w:b/>
        </w:rPr>
      </w:pPr>
      <w:r w:rsidRPr="00035B71">
        <w:rPr>
          <w:b/>
        </w:rPr>
        <w:t>Términos de la Resolución p</w:t>
      </w:r>
      <w:r w:rsidR="00AF757C">
        <w:rPr>
          <w:b/>
        </w:rPr>
        <w:t>ara conocimiento del Particular</w:t>
      </w:r>
    </w:p>
    <w:p w14:paraId="6EC9E7A6" w14:textId="77777777" w:rsidR="00AD2507" w:rsidRPr="00035B71" w:rsidRDefault="00AD2507" w:rsidP="00B65D43">
      <w:pPr>
        <w:spacing w:after="0" w:line="360" w:lineRule="auto"/>
        <w:rPr>
          <w:b/>
        </w:rPr>
      </w:pPr>
    </w:p>
    <w:p w14:paraId="0D43537E" w14:textId="7DC5BBD6" w:rsidR="001A1400" w:rsidRDefault="001A1400" w:rsidP="00B65D43">
      <w:pPr>
        <w:spacing w:after="0" w:line="360" w:lineRule="auto"/>
        <w:rPr>
          <w:color w:val="000000"/>
        </w:rPr>
      </w:pPr>
      <w:r>
        <w:rPr>
          <w:color w:val="000000"/>
        </w:rPr>
        <w:t xml:space="preserve">Se le hace del conocimiento a la persona Recurrente que, en el presente asunto, se le da la razón, pues el Sujeto Obligado no proporcionó información de naturaleza pública, pues como ya se mencionó, el número total de patrullas, es meramente información estadística. </w:t>
      </w:r>
    </w:p>
    <w:p w14:paraId="1C5E3C29" w14:textId="77777777" w:rsidR="00B65D43" w:rsidRDefault="00B65D43" w:rsidP="00B65D43">
      <w:pPr>
        <w:spacing w:after="0" w:line="360" w:lineRule="auto"/>
        <w:rPr>
          <w:color w:val="000000"/>
        </w:rPr>
      </w:pPr>
    </w:p>
    <w:p w14:paraId="71F307D6" w14:textId="77777777" w:rsidR="00B65D43" w:rsidRPr="00F9344F" w:rsidRDefault="00B65D43" w:rsidP="00B65D43">
      <w:pPr>
        <w:spacing w:after="0" w:line="360" w:lineRule="auto"/>
        <w:ind w:right="-28"/>
        <w:rPr>
          <w:rFonts w:eastAsia="Calibri" w:cs="Tahoma"/>
        </w:rPr>
      </w:pPr>
      <w:r w:rsidRPr="00F9344F">
        <w:rPr>
          <w:rFonts w:eastAsia="Calibri" w:cs="Tahoma"/>
          <w:bCs/>
          <w:iC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4D5EC8F" w14:textId="77777777" w:rsidR="006378B4" w:rsidRPr="00035B71" w:rsidRDefault="006378B4" w:rsidP="001A1400">
      <w:pPr>
        <w:spacing w:after="0" w:line="360" w:lineRule="auto"/>
        <w:rPr>
          <w:rFonts w:eastAsia="Calibri" w:cs="Tahoma"/>
          <w:iCs/>
          <w:lang w:eastAsia="es-ES_tradnl"/>
        </w:rPr>
      </w:pPr>
      <w:r w:rsidRPr="00035B71">
        <w:rPr>
          <w:rFonts w:eastAsia="Calibri" w:cs="Tahoma"/>
          <w:iCs/>
          <w:lang w:eastAsia="es-ES_tradnl"/>
        </w:rPr>
        <w:t xml:space="preserve"> </w:t>
      </w:r>
    </w:p>
    <w:p w14:paraId="7DE10D4D" w14:textId="77777777" w:rsidR="00AD2507" w:rsidRDefault="006378B4" w:rsidP="001A1400">
      <w:pPr>
        <w:spacing w:after="0" w:line="360" w:lineRule="auto"/>
        <w:rPr>
          <w:rFonts w:eastAsia="Calibri" w:cs="Tahoma"/>
          <w:iCs/>
          <w:lang w:eastAsia="es-ES_tradnl"/>
        </w:rPr>
      </w:pPr>
      <w:r w:rsidRPr="00035B71">
        <w:rPr>
          <w:rFonts w:eastAsia="Calibri" w:cs="Tahoma"/>
          <w:iCs/>
          <w:lang w:eastAsia="es-ES_tradnl"/>
        </w:rPr>
        <w:t>Por lo expuesto y fundado, este Pleno:</w:t>
      </w:r>
    </w:p>
    <w:p w14:paraId="2C89D14C" w14:textId="77777777" w:rsidR="0083110F" w:rsidRPr="00035B71" w:rsidRDefault="0083110F" w:rsidP="001A1400">
      <w:pPr>
        <w:spacing w:after="0" w:line="360" w:lineRule="auto"/>
        <w:rPr>
          <w:rFonts w:eastAsia="Calibri" w:cs="Tahoma"/>
          <w:iCs/>
          <w:lang w:eastAsia="es-ES_tradnl"/>
        </w:rPr>
      </w:pPr>
    </w:p>
    <w:p w14:paraId="70C85055" w14:textId="77777777" w:rsidR="00AD2507" w:rsidRPr="00035B71" w:rsidRDefault="00F10379" w:rsidP="0083110F">
      <w:pPr>
        <w:pStyle w:val="Ttulo7"/>
      </w:pPr>
      <w:bookmarkStart w:id="15" w:name="_Toc224832402"/>
      <w:r w:rsidRPr="00035B71">
        <w:t>R E S U E L V E</w:t>
      </w:r>
      <w:bookmarkEnd w:id="15"/>
    </w:p>
    <w:p w14:paraId="4FBEB21B" w14:textId="77777777" w:rsidR="00AD2507" w:rsidRPr="00035B71" w:rsidRDefault="00AD2507" w:rsidP="001A1400">
      <w:pPr>
        <w:spacing w:after="0" w:line="360" w:lineRule="auto"/>
      </w:pPr>
    </w:p>
    <w:p w14:paraId="12DC2D7B" w14:textId="063F6801" w:rsidR="001A1400" w:rsidRPr="00F73569" w:rsidRDefault="001A1400" w:rsidP="001A1400">
      <w:pPr>
        <w:spacing w:line="360" w:lineRule="auto"/>
        <w:contextualSpacing/>
        <w:rPr>
          <w:bCs/>
          <w:color w:val="000000" w:themeColor="text1"/>
        </w:rPr>
      </w:pPr>
      <w:r w:rsidRPr="00F73569">
        <w:rPr>
          <w:rFonts w:cs="Tahoma"/>
          <w:b/>
          <w:bCs/>
          <w:color w:val="000000" w:themeColor="text1"/>
        </w:rPr>
        <w:t xml:space="preserve">PRIMERO. </w:t>
      </w:r>
      <w:r w:rsidRPr="00F73569">
        <w:rPr>
          <w:rFonts w:cs="Tahoma"/>
          <w:bCs/>
          <w:color w:val="000000" w:themeColor="text1"/>
        </w:rPr>
        <w:t xml:space="preserve">Se </w:t>
      </w:r>
      <w:r w:rsidR="00935C16" w:rsidRPr="00F73569">
        <w:rPr>
          <w:rFonts w:cs="Tahoma"/>
          <w:b/>
          <w:bCs/>
          <w:color w:val="000000" w:themeColor="text1"/>
        </w:rPr>
        <w:t>REVO</w:t>
      </w:r>
      <w:r w:rsidRPr="00F73569">
        <w:rPr>
          <w:rFonts w:cs="Tahoma"/>
          <w:b/>
          <w:bCs/>
          <w:color w:val="000000" w:themeColor="text1"/>
        </w:rPr>
        <w:t xml:space="preserve">CA </w:t>
      </w:r>
      <w:r w:rsidRPr="00F73569">
        <w:rPr>
          <w:rFonts w:cs="Tahoma"/>
          <w:bCs/>
          <w:color w:val="000000" w:themeColor="text1"/>
        </w:rPr>
        <w:t xml:space="preserve">la respuesta entregada por la </w:t>
      </w:r>
      <w:r w:rsidRPr="00F73569">
        <w:rPr>
          <w:color w:val="000000" w:themeColor="text1"/>
        </w:rPr>
        <w:t>Secretaría de Seguridad</w:t>
      </w:r>
      <w:r w:rsidRPr="00F73569">
        <w:rPr>
          <w:rFonts w:cs="Tahoma"/>
          <w:bCs/>
          <w:color w:val="000000" w:themeColor="text1"/>
        </w:rPr>
        <w:t>, a la solicitud de información</w:t>
      </w:r>
      <w:r w:rsidRPr="00F73569">
        <w:rPr>
          <w:color w:val="000000" w:themeColor="text1"/>
        </w:rPr>
        <w:t xml:space="preserve"> </w:t>
      </w:r>
      <w:r w:rsidRPr="00F73569">
        <w:rPr>
          <w:color w:val="000000"/>
        </w:rPr>
        <w:t>00450/SSEM/IP/2025</w:t>
      </w:r>
      <w:r w:rsidRPr="00F73569">
        <w:rPr>
          <w:bCs/>
          <w:color w:val="000000" w:themeColor="text1"/>
        </w:rPr>
        <w:t xml:space="preserve">, por resultar </w:t>
      </w:r>
      <w:r w:rsidRPr="00F73569">
        <w:rPr>
          <w:b/>
          <w:bCs/>
          <w:color w:val="000000" w:themeColor="text1"/>
        </w:rPr>
        <w:t>FUNDADAS</w:t>
      </w:r>
      <w:r w:rsidRPr="00F73569">
        <w:rPr>
          <w:rFonts w:cs="Tahoma"/>
          <w:b/>
          <w:bCs/>
          <w:color w:val="000000" w:themeColor="text1"/>
        </w:rPr>
        <w:t xml:space="preserve"> </w:t>
      </w:r>
      <w:r w:rsidRPr="00F73569">
        <w:rPr>
          <w:rFonts w:eastAsia="Calibri" w:cs="Tahoma"/>
          <w:bCs/>
          <w:color w:val="000000" w:themeColor="text1"/>
        </w:rPr>
        <w:t>las razones o motivos de inconformidad hechos valer por el Recurrente</w:t>
      </w:r>
      <w:r w:rsidRPr="00F73569">
        <w:rPr>
          <w:rFonts w:cs="Tahoma"/>
          <w:bCs/>
          <w:color w:val="000000" w:themeColor="text1"/>
        </w:rPr>
        <w:t xml:space="preserve">, </w:t>
      </w:r>
      <w:r w:rsidRPr="00F73569">
        <w:rPr>
          <w:rFonts w:eastAsia="Calibri" w:cs="Tahoma"/>
          <w:bCs/>
          <w:color w:val="000000" w:themeColor="text1"/>
        </w:rPr>
        <w:t>en términos de los considerandos QUINTO y SEXTO de la presente Resolución.</w:t>
      </w:r>
    </w:p>
    <w:p w14:paraId="23C974CB" w14:textId="77777777" w:rsidR="001A1400" w:rsidRPr="00F73569" w:rsidRDefault="001A1400" w:rsidP="001A1400">
      <w:pPr>
        <w:spacing w:line="360" w:lineRule="auto"/>
        <w:contextualSpacing/>
        <w:rPr>
          <w:rFonts w:eastAsia="Times New Roman" w:cs="Tahoma"/>
          <w:bCs/>
          <w:color w:val="000000" w:themeColor="text1"/>
          <w:lang w:eastAsia="es-ES"/>
        </w:rPr>
      </w:pPr>
    </w:p>
    <w:p w14:paraId="02925090" w14:textId="5B72AFC4" w:rsidR="001A1400" w:rsidRPr="00F73569" w:rsidRDefault="001A1400" w:rsidP="001A1400">
      <w:pPr>
        <w:spacing w:after="0" w:line="360" w:lineRule="auto"/>
        <w:rPr>
          <w:rFonts w:cs="Tahoma"/>
          <w:color w:val="000000" w:themeColor="text1"/>
        </w:rPr>
      </w:pPr>
      <w:r w:rsidRPr="00F73569">
        <w:rPr>
          <w:rFonts w:cs="Tahoma"/>
          <w:b/>
          <w:bCs/>
          <w:color w:val="000000" w:themeColor="text1"/>
        </w:rPr>
        <w:t xml:space="preserve">SEGUNDO. </w:t>
      </w:r>
      <w:r w:rsidRPr="00F73569">
        <w:rPr>
          <w:color w:val="000000" w:themeColor="text1"/>
        </w:rPr>
        <w:t xml:space="preserve">Se </w:t>
      </w:r>
      <w:r w:rsidRPr="00F73569">
        <w:rPr>
          <w:b/>
          <w:color w:val="000000" w:themeColor="text1"/>
        </w:rPr>
        <w:t>ORDENA</w:t>
      </w:r>
      <w:r w:rsidRPr="00F73569">
        <w:rPr>
          <w:color w:val="000000" w:themeColor="text1"/>
        </w:rPr>
        <w:t xml:space="preserve"> al Ente Recurrido</w:t>
      </w:r>
      <w:r w:rsidRPr="00F73569">
        <w:rPr>
          <w:b/>
          <w:color w:val="000000" w:themeColor="text1"/>
        </w:rPr>
        <w:t xml:space="preserve">, </w:t>
      </w:r>
      <w:r w:rsidRPr="00F73569">
        <w:rPr>
          <w:color w:val="000000" w:themeColor="text1"/>
        </w:rPr>
        <w:t xml:space="preserve">a efecto de que previa búsqueda exhaustiva entregue, a través del Sistema de Acceso a la Información Mexiquense (SAIMEX), en versión </w:t>
      </w:r>
      <w:r w:rsidR="00B65D43" w:rsidRPr="00F73569">
        <w:rPr>
          <w:color w:val="000000" w:themeColor="text1"/>
        </w:rPr>
        <w:t xml:space="preserve">íntegra </w:t>
      </w:r>
      <w:r w:rsidRPr="00F73569">
        <w:rPr>
          <w:color w:val="000000" w:themeColor="text1"/>
        </w:rPr>
        <w:t xml:space="preserve">el documento donde conste </w:t>
      </w:r>
      <w:r w:rsidRPr="00F73569">
        <w:rPr>
          <w:rFonts w:cs="Tahoma"/>
          <w:color w:val="000000" w:themeColor="text1"/>
        </w:rPr>
        <w:t>lo siguiente:</w:t>
      </w:r>
    </w:p>
    <w:p w14:paraId="42295C5C" w14:textId="77777777" w:rsidR="001A1400" w:rsidRPr="00F73569" w:rsidRDefault="001A1400" w:rsidP="001A1400">
      <w:pPr>
        <w:spacing w:after="0" w:line="360" w:lineRule="auto"/>
        <w:rPr>
          <w:rFonts w:cs="Tahoma"/>
          <w:color w:val="000000" w:themeColor="text1"/>
        </w:rPr>
      </w:pPr>
    </w:p>
    <w:p w14:paraId="79583BE0" w14:textId="51464FDC" w:rsidR="001A1400" w:rsidRPr="00F73569" w:rsidRDefault="00B65D43" w:rsidP="001A1400">
      <w:pPr>
        <w:pStyle w:val="Prrafodelista"/>
        <w:numPr>
          <w:ilvl w:val="0"/>
          <w:numId w:val="17"/>
        </w:numPr>
        <w:spacing w:line="360" w:lineRule="auto"/>
        <w:rPr>
          <w:rFonts w:cs="Tahoma"/>
          <w:bCs/>
          <w:iCs/>
        </w:rPr>
      </w:pPr>
      <w:r w:rsidRPr="00F73569">
        <w:rPr>
          <w:rFonts w:cs="Tahoma"/>
          <w:bCs/>
          <w:iCs/>
        </w:rPr>
        <w:t xml:space="preserve">El número total de patrullas con las que contaba la Secretaría de Seguridad, al </w:t>
      </w:r>
      <w:r w:rsidR="00935C16" w:rsidRPr="00F73569">
        <w:rPr>
          <w:rFonts w:cs="Tahoma"/>
          <w:bCs/>
          <w:iCs/>
        </w:rPr>
        <w:t>dos de septiembre de</w:t>
      </w:r>
      <w:r w:rsidRPr="00F73569">
        <w:rPr>
          <w:rFonts w:cs="Tahoma"/>
          <w:bCs/>
          <w:iCs/>
        </w:rPr>
        <w:t xml:space="preserve"> </w:t>
      </w:r>
      <w:r w:rsidR="00935C16" w:rsidRPr="00F73569">
        <w:rPr>
          <w:rFonts w:cs="Tahoma"/>
          <w:bCs/>
          <w:iCs/>
        </w:rPr>
        <w:t>dos mil veinticinco</w:t>
      </w:r>
      <w:r w:rsidRPr="00F73569">
        <w:rPr>
          <w:rFonts w:cs="Tahoma"/>
          <w:bCs/>
          <w:iCs/>
        </w:rPr>
        <w:t xml:space="preserve">. </w:t>
      </w:r>
    </w:p>
    <w:p w14:paraId="52E1E584" w14:textId="77777777" w:rsidR="001A1400" w:rsidRDefault="001A1400" w:rsidP="001A1400">
      <w:pPr>
        <w:spacing w:after="0" w:line="360" w:lineRule="auto"/>
        <w:rPr>
          <w:rFonts w:cs="Tahoma"/>
          <w:bCs/>
          <w:iCs/>
          <w:color w:val="000000" w:themeColor="text1"/>
        </w:rPr>
      </w:pPr>
    </w:p>
    <w:p w14:paraId="781382DD" w14:textId="77777777" w:rsidR="00B65D43" w:rsidRDefault="001A1400" w:rsidP="001A1400">
      <w:pPr>
        <w:spacing w:after="0" w:line="360" w:lineRule="auto"/>
        <w:ind w:right="-28"/>
        <w:contextualSpacing/>
        <w:rPr>
          <w:rFonts w:cs="Tahoma"/>
          <w:bCs/>
          <w:iCs/>
          <w:color w:val="000000" w:themeColor="text1"/>
        </w:rPr>
      </w:pPr>
      <w:r w:rsidRPr="001A1400">
        <w:rPr>
          <w:rFonts w:eastAsia="Calibri" w:cs="Tahoma"/>
          <w:b/>
          <w:bCs/>
          <w:color w:val="000000" w:themeColor="text1"/>
        </w:rPr>
        <w:t xml:space="preserve">TERCERO. </w:t>
      </w:r>
      <w:r w:rsidRPr="001A1400">
        <w:rPr>
          <w:rFonts w:cs="Tahoma"/>
          <w:b/>
          <w:bCs/>
          <w:iCs/>
          <w:color w:val="000000" w:themeColor="text1"/>
        </w:rPr>
        <w:t xml:space="preserve">NOTIFÍQUESE POR SAIMEX </w:t>
      </w:r>
      <w:r w:rsidRPr="001A1400">
        <w:rPr>
          <w:rFonts w:cs="Tahoma"/>
          <w:bCs/>
          <w:iCs/>
          <w:color w:val="000000" w:themeColor="text1"/>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1A1400">
        <w:rPr>
          <w:rFonts w:cs="Tahoma"/>
          <w:bCs/>
          <w:iCs/>
          <w:color w:val="000000" w:themeColor="text1"/>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E12D700" w14:textId="77777777" w:rsidR="00B65D43" w:rsidRDefault="00B65D43" w:rsidP="001A1400">
      <w:pPr>
        <w:spacing w:after="0" w:line="360" w:lineRule="auto"/>
        <w:ind w:right="-28"/>
        <w:contextualSpacing/>
        <w:rPr>
          <w:rFonts w:cs="Tahoma"/>
          <w:bCs/>
          <w:iCs/>
          <w:color w:val="000000" w:themeColor="text1"/>
        </w:rPr>
      </w:pPr>
    </w:p>
    <w:p w14:paraId="2448B28E" w14:textId="41ADE2D2" w:rsidR="001A1400" w:rsidRPr="001A1400" w:rsidRDefault="001A1400" w:rsidP="001A1400">
      <w:pPr>
        <w:spacing w:after="0" w:line="360" w:lineRule="auto"/>
        <w:ind w:right="-28"/>
        <w:contextualSpacing/>
        <w:rPr>
          <w:rFonts w:cs="Tahoma"/>
          <w:bCs/>
          <w:iCs/>
          <w:color w:val="000000" w:themeColor="text1"/>
        </w:rPr>
      </w:pPr>
      <w:r w:rsidRPr="001A1400">
        <w:rPr>
          <w:rFonts w:eastAsia="Calibri" w:cs="Tahoma"/>
          <w:iCs/>
          <w:color w:val="000000"/>
        </w:rPr>
        <w:t xml:space="preserve">De conformidad con el artículo 198 de la </w:t>
      </w:r>
      <w:r w:rsidR="00F73569" w:rsidRPr="001A1400">
        <w:rPr>
          <w:rFonts w:cs="Tahoma"/>
          <w:bCs/>
          <w:iCs/>
          <w:color w:val="000000" w:themeColor="text1"/>
        </w:rPr>
        <w:t>Ley de Transparencia y Acceso a la Información Pública del Estado de México y Municipios</w:t>
      </w:r>
      <w:r w:rsidRPr="001A1400">
        <w:rPr>
          <w:rFonts w:eastAsia="Calibri" w:cs="Tahoma"/>
          <w:iCs/>
          <w:color w:val="000000"/>
        </w:rPr>
        <w:t>, de considerarlo procedente, el Sujeto Obligado de manera fundada y motivada, podrá solicitar una ampliación de plazo para el cumplimiento de la presente resolución.</w:t>
      </w:r>
    </w:p>
    <w:p w14:paraId="13F6CAAE" w14:textId="77777777" w:rsidR="001A1400" w:rsidRPr="001A1400" w:rsidRDefault="001A1400" w:rsidP="001A1400">
      <w:pPr>
        <w:spacing w:line="360" w:lineRule="auto"/>
        <w:contextualSpacing/>
        <w:rPr>
          <w:rFonts w:eastAsia="Calibri" w:cs="Tahoma"/>
          <w:color w:val="000000"/>
          <w:lang w:val="es-ES"/>
        </w:rPr>
      </w:pPr>
    </w:p>
    <w:p w14:paraId="7DCA278F" w14:textId="77777777" w:rsidR="001A1400" w:rsidRPr="001A1400" w:rsidRDefault="001A1400" w:rsidP="001A1400">
      <w:pPr>
        <w:spacing w:line="360" w:lineRule="auto"/>
        <w:contextualSpacing/>
        <w:rPr>
          <w:rFonts w:cs="Tahoma"/>
          <w:color w:val="000000" w:themeColor="text1"/>
        </w:rPr>
      </w:pPr>
      <w:r w:rsidRPr="001A1400">
        <w:rPr>
          <w:rFonts w:eastAsia="Calibri" w:cs="Tahoma"/>
          <w:b/>
          <w:color w:val="000000" w:themeColor="text1"/>
        </w:rPr>
        <w:t>CUARTO</w:t>
      </w:r>
      <w:r w:rsidRPr="001A1400">
        <w:rPr>
          <w:rFonts w:eastAsia="Calibri" w:cs="Tahoma"/>
          <w:b/>
          <w:bCs/>
          <w:color w:val="000000" w:themeColor="text1"/>
        </w:rPr>
        <w:t xml:space="preserve">. </w:t>
      </w:r>
      <w:r w:rsidRPr="001A1400">
        <w:rPr>
          <w:rFonts w:cs="Tahoma"/>
          <w:b/>
          <w:color w:val="000000" w:themeColor="text1"/>
        </w:rPr>
        <w:t>NOTIFÍQUESE POR SAIMEX</w:t>
      </w:r>
      <w:r w:rsidRPr="001A1400">
        <w:rPr>
          <w:rFonts w:cs="Tahoma"/>
          <w:color w:val="000000" w:themeColor="text1"/>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372A98" w14:textId="77777777" w:rsidR="00AD2507" w:rsidRPr="00035B71" w:rsidRDefault="00AD2507" w:rsidP="001A1400">
      <w:pPr>
        <w:spacing w:after="0" w:line="360" w:lineRule="auto"/>
        <w:rPr>
          <w:b/>
        </w:rPr>
      </w:pPr>
    </w:p>
    <w:p w14:paraId="1A6A0EF8" w14:textId="4EF51419" w:rsidR="00AD2507" w:rsidRPr="00035B71" w:rsidRDefault="00F10379" w:rsidP="001A1400">
      <w:pPr>
        <w:spacing w:after="0" w:line="360" w:lineRule="auto"/>
        <w:rPr>
          <w:b/>
        </w:rPr>
      </w:pPr>
      <w:r w:rsidRPr="00035B71">
        <w:t>ASÍ LO RESUELVE, POR </w:t>
      </w:r>
      <w:r w:rsidRPr="00035B71">
        <w:rPr>
          <w:b/>
        </w:rPr>
        <w:t>UNANIMIDAD</w:t>
      </w:r>
      <w:r w:rsidRPr="00035B71">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65D43">
        <w:t>DÉCIMA</w:t>
      </w:r>
      <w:r w:rsidR="00F73569">
        <w:t xml:space="preserve"> </w:t>
      </w:r>
      <w:r w:rsidRPr="00035B71">
        <w:t xml:space="preserve">SESIÓN ORDINARIA, CELEBRADA EL </w:t>
      </w:r>
      <w:r w:rsidR="00B65D43">
        <w:t>DIECINUEVE DE MARZO DE DOS MIL VEINTISÉIS</w:t>
      </w:r>
      <w:r w:rsidRPr="00035B71">
        <w:t>, ANTE EL SECRETARIO TÉCNICO DEL PLENO, ALEXIS TAPIA RAMÍREZ.</w:t>
      </w:r>
    </w:p>
    <w:p w14:paraId="71CCFC69" w14:textId="77777777" w:rsidR="00AD2507" w:rsidRPr="00035B71" w:rsidRDefault="00AD2507" w:rsidP="001A1400">
      <w:pPr>
        <w:spacing w:after="0" w:line="360" w:lineRule="auto"/>
      </w:pPr>
    </w:p>
    <w:p w14:paraId="5FFC2A73" w14:textId="77777777" w:rsidR="00AD2507" w:rsidRPr="00035B71" w:rsidRDefault="00AD2507" w:rsidP="001A1400">
      <w:pPr>
        <w:spacing w:after="0" w:line="360" w:lineRule="auto"/>
      </w:pPr>
    </w:p>
    <w:p w14:paraId="67F5639A" w14:textId="77777777" w:rsidR="00AD2507" w:rsidRPr="00035B71" w:rsidRDefault="00AD2507" w:rsidP="001A1400">
      <w:pPr>
        <w:spacing w:after="0" w:line="360" w:lineRule="auto"/>
      </w:pPr>
    </w:p>
    <w:p w14:paraId="4BFB0561" w14:textId="77777777" w:rsidR="00AD2507" w:rsidRPr="00035B71" w:rsidRDefault="00AD2507" w:rsidP="001A1400">
      <w:pPr>
        <w:spacing w:after="0" w:line="360" w:lineRule="auto"/>
      </w:pPr>
    </w:p>
    <w:p w14:paraId="780A2C6E" w14:textId="77777777" w:rsidR="00AD2507" w:rsidRPr="00035B71" w:rsidRDefault="00AD2507" w:rsidP="001A1400">
      <w:pPr>
        <w:spacing w:after="0" w:line="360" w:lineRule="auto"/>
      </w:pPr>
    </w:p>
    <w:p w14:paraId="39578221" w14:textId="77777777" w:rsidR="00AD2507" w:rsidRPr="00035B71" w:rsidRDefault="00AD2507" w:rsidP="001A1400">
      <w:pPr>
        <w:spacing w:after="0" w:line="360" w:lineRule="auto"/>
      </w:pPr>
    </w:p>
    <w:p w14:paraId="6D2803BA" w14:textId="77777777" w:rsidR="00AD2507" w:rsidRPr="00035B71" w:rsidRDefault="00AD2507" w:rsidP="001A1400">
      <w:pPr>
        <w:spacing w:after="0" w:line="360" w:lineRule="auto"/>
      </w:pPr>
    </w:p>
    <w:p w14:paraId="3323EB4F" w14:textId="77777777" w:rsidR="00AD2507" w:rsidRPr="00035B71" w:rsidRDefault="00AD2507" w:rsidP="001A1400">
      <w:pPr>
        <w:spacing w:after="0" w:line="360" w:lineRule="auto"/>
      </w:pPr>
    </w:p>
    <w:p w14:paraId="04070F8B" w14:textId="77777777" w:rsidR="00AD2507" w:rsidRPr="00035B71" w:rsidRDefault="00AD2507" w:rsidP="001A1400">
      <w:pPr>
        <w:spacing w:after="0" w:line="360" w:lineRule="auto"/>
      </w:pPr>
    </w:p>
    <w:p w14:paraId="1DEBF2CF" w14:textId="77777777" w:rsidR="00AD2507" w:rsidRPr="00035B71" w:rsidRDefault="00AD2507" w:rsidP="001A1400">
      <w:pPr>
        <w:spacing w:after="0" w:line="360" w:lineRule="auto"/>
      </w:pPr>
    </w:p>
    <w:p w14:paraId="7FCEA239" w14:textId="77777777" w:rsidR="00AD2507" w:rsidRPr="00035B71" w:rsidRDefault="00AD2507" w:rsidP="001A1400">
      <w:pPr>
        <w:spacing w:after="0" w:line="360" w:lineRule="auto"/>
      </w:pPr>
    </w:p>
    <w:p w14:paraId="3532594C" w14:textId="77777777" w:rsidR="00AD2507" w:rsidRPr="00035B71" w:rsidRDefault="00AD2507" w:rsidP="001A1400">
      <w:pPr>
        <w:spacing w:after="0" w:line="360" w:lineRule="auto"/>
      </w:pPr>
    </w:p>
    <w:p w14:paraId="6798845C" w14:textId="77777777" w:rsidR="00AD2507" w:rsidRPr="00035B71" w:rsidRDefault="00AD2507" w:rsidP="001A1400">
      <w:pPr>
        <w:spacing w:after="0" w:line="360" w:lineRule="auto"/>
      </w:pPr>
    </w:p>
    <w:p w14:paraId="611AAFC3" w14:textId="77777777" w:rsidR="00AD2507" w:rsidRPr="00035B71" w:rsidRDefault="00AD2507" w:rsidP="001A1400">
      <w:pPr>
        <w:spacing w:after="0" w:line="360" w:lineRule="auto"/>
      </w:pPr>
    </w:p>
    <w:p w14:paraId="57D5ACB9" w14:textId="77777777" w:rsidR="00AD2507" w:rsidRPr="00035B71" w:rsidRDefault="00AD2507" w:rsidP="001A1400">
      <w:pPr>
        <w:spacing w:after="0" w:line="360" w:lineRule="auto"/>
      </w:pPr>
    </w:p>
    <w:p w14:paraId="3B5009BA" w14:textId="77777777" w:rsidR="00AD2507" w:rsidRPr="00035B71" w:rsidRDefault="00AD2507" w:rsidP="001A1400">
      <w:pPr>
        <w:spacing w:after="0" w:line="360" w:lineRule="auto"/>
      </w:pPr>
    </w:p>
    <w:p w14:paraId="0891FA38" w14:textId="77777777" w:rsidR="00AD2507" w:rsidRPr="00035B71" w:rsidRDefault="00AD2507" w:rsidP="001A1400">
      <w:pPr>
        <w:spacing w:after="0" w:line="360" w:lineRule="auto"/>
      </w:pPr>
    </w:p>
    <w:p w14:paraId="6338DB0F" w14:textId="77777777" w:rsidR="00AD2507" w:rsidRPr="00035B71" w:rsidRDefault="00AD2507" w:rsidP="001A1400">
      <w:pPr>
        <w:spacing w:after="0" w:line="360" w:lineRule="auto"/>
      </w:pPr>
    </w:p>
    <w:p w14:paraId="1738A871" w14:textId="77777777" w:rsidR="00AD2507" w:rsidRPr="00035B71" w:rsidRDefault="00AD2507" w:rsidP="001A1400">
      <w:pPr>
        <w:spacing w:after="0" w:line="360" w:lineRule="auto"/>
      </w:pPr>
    </w:p>
    <w:p w14:paraId="73A2B04B" w14:textId="77777777" w:rsidR="00AD2507" w:rsidRPr="00035B71" w:rsidRDefault="00AD2507" w:rsidP="001A1400">
      <w:pPr>
        <w:spacing w:after="0" w:line="360" w:lineRule="auto"/>
      </w:pPr>
    </w:p>
    <w:p w14:paraId="435224C2" w14:textId="77777777" w:rsidR="00AD2507" w:rsidRPr="00035B71" w:rsidRDefault="00AD2507" w:rsidP="001A1400">
      <w:pPr>
        <w:spacing w:after="0" w:line="360" w:lineRule="auto"/>
      </w:pPr>
    </w:p>
    <w:sectPr w:rsidR="00AD2507" w:rsidRPr="00035B71">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74BFC" w14:textId="77777777" w:rsidR="00955757" w:rsidRDefault="00955757">
      <w:pPr>
        <w:spacing w:after="0" w:line="240" w:lineRule="auto"/>
      </w:pPr>
      <w:r>
        <w:separator/>
      </w:r>
    </w:p>
  </w:endnote>
  <w:endnote w:type="continuationSeparator" w:id="0">
    <w:p w14:paraId="743E1223" w14:textId="77777777" w:rsidR="00955757" w:rsidRDefault="0095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78DAA" w14:textId="77777777" w:rsidR="00F13243" w:rsidRDefault="00F1324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A64A1">
      <w:rPr>
        <w:b/>
        <w:color w:val="000000"/>
        <w:sz w:val="24"/>
        <w:szCs w:val="24"/>
      </w:rPr>
      <w:fldChar w:fldCharType="separate"/>
    </w:r>
    <w:r w:rsidR="002A64A1">
      <w:rPr>
        <w:b/>
        <w:noProof/>
        <w:color w:val="000000"/>
        <w:sz w:val="24"/>
        <w:szCs w:val="24"/>
      </w:rPr>
      <w:t>28</w:t>
    </w:r>
    <w:r>
      <w:rPr>
        <w:b/>
        <w:color w:val="000000"/>
        <w:sz w:val="24"/>
        <w:szCs w:val="24"/>
      </w:rPr>
      <w:fldChar w:fldCharType="end"/>
    </w:r>
  </w:p>
  <w:p w14:paraId="1C0279CB" w14:textId="77777777" w:rsidR="00F13243" w:rsidRDefault="00F1324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1371" w14:textId="77777777" w:rsidR="00F13243" w:rsidRDefault="00F1324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64A1">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64A1">
      <w:rPr>
        <w:b/>
        <w:noProof/>
        <w:color w:val="000000"/>
        <w:sz w:val="24"/>
        <w:szCs w:val="24"/>
      </w:rPr>
      <w:t>28</w:t>
    </w:r>
    <w:r>
      <w:rPr>
        <w:b/>
        <w:color w:val="000000"/>
        <w:sz w:val="24"/>
        <w:szCs w:val="24"/>
      </w:rPr>
      <w:fldChar w:fldCharType="end"/>
    </w:r>
  </w:p>
  <w:p w14:paraId="3259DFB2" w14:textId="77777777" w:rsidR="00F13243" w:rsidRDefault="00F1324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BE8D3" w14:textId="77777777" w:rsidR="00F13243" w:rsidRDefault="00F1324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64A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64A1">
      <w:rPr>
        <w:b/>
        <w:noProof/>
        <w:color w:val="000000"/>
        <w:sz w:val="24"/>
        <w:szCs w:val="24"/>
      </w:rPr>
      <w:t>28</w:t>
    </w:r>
    <w:r>
      <w:rPr>
        <w:b/>
        <w:color w:val="000000"/>
        <w:sz w:val="24"/>
        <w:szCs w:val="24"/>
      </w:rPr>
      <w:fldChar w:fldCharType="end"/>
    </w:r>
  </w:p>
  <w:p w14:paraId="1D9F9BB4" w14:textId="77777777" w:rsidR="00F13243" w:rsidRDefault="00F1324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329C" w14:textId="77777777" w:rsidR="00955757" w:rsidRDefault="00955757">
      <w:pPr>
        <w:spacing w:after="0" w:line="240" w:lineRule="auto"/>
      </w:pPr>
      <w:r>
        <w:separator/>
      </w:r>
    </w:p>
  </w:footnote>
  <w:footnote w:type="continuationSeparator" w:id="0">
    <w:p w14:paraId="6B1D0793" w14:textId="77777777" w:rsidR="00955757" w:rsidRDefault="00955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B8FC5" w14:textId="77777777" w:rsidR="00F13243" w:rsidRDefault="00F13243">
    <w:pPr>
      <w:widowControl w:val="0"/>
      <w:pBdr>
        <w:top w:val="nil"/>
        <w:left w:val="nil"/>
        <w:bottom w:val="nil"/>
        <w:right w:val="nil"/>
        <w:between w:val="nil"/>
      </w:pBdr>
      <w:spacing w:after="0" w:line="276" w:lineRule="auto"/>
      <w:jc w:val="left"/>
      <w:rPr>
        <w:color w:val="000000"/>
      </w:rPr>
    </w:pPr>
  </w:p>
  <w:tbl>
    <w:tblPr>
      <w:tblStyle w:val="a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13243" w14:paraId="7D5F5A0C" w14:textId="77777777">
      <w:trPr>
        <w:trHeight w:val="132"/>
      </w:trPr>
      <w:tc>
        <w:tcPr>
          <w:tcW w:w="2691" w:type="dxa"/>
        </w:tcPr>
        <w:p w14:paraId="2FA73E2D" w14:textId="77777777" w:rsidR="00F13243" w:rsidRDefault="00F13243">
          <w:pPr>
            <w:tabs>
              <w:tab w:val="right" w:pos="8838"/>
            </w:tabs>
            <w:ind w:right="-105"/>
            <w:rPr>
              <w:b/>
            </w:rPr>
          </w:pPr>
          <w:r>
            <w:rPr>
              <w:b/>
            </w:rPr>
            <w:t>Recurso de Revisión:</w:t>
          </w:r>
        </w:p>
      </w:tc>
      <w:tc>
        <w:tcPr>
          <w:tcW w:w="3405" w:type="dxa"/>
        </w:tcPr>
        <w:p w14:paraId="3E09145F" w14:textId="77777777" w:rsidR="00F13243" w:rsidRDefault="00F13243">
          <w:pPr>
            <w:tabs>
              <w:tab w:val="right" w:pos="8838"/>
            </w:tabs>
            <w:ind w:left="-28" w:right="-32"/>
          </w:pPr>
          <w:r>
            <w:t>03846/INFOEM/IP/RR/2020</w:t>
          </w:r>
        </w:p>
      </w:tc>
    </w:tr>
    <w:tr w:rsidR="00F13243" w14:paraId="6AA2CE49" w14:textId="77777777">
      <w:trPr>
        <w:trHeight w:val="261"/>
      </w:trPr>
      <w:tc>
        <w:tcPr>
          <w:tcW w:w="2691" w:type="dxa"/>
        </w:tcPr>
        <w:p w14:paraId="4E0E80E2" w14:textId="77777777" w:rsidR="00F13243" w:rsidRDefault="00F13243">
          <w:pPr>
            <w:tabs>
              <w:tab w:val="right" w:pos="8838"/>
            </w:tabs>
            <w:ind w:right="-105"/>
            <w:rPr>
              <w:b/>
            </w:rPr>
          </w:pPr>
          <w:r>
            <w:rPr>
              <w:b/>
            </w:rPr>
            <w:t>Sujeto Obligado:</w:t>
          </w:r>
        </w:p>
      </w:tc>
      <w:tc>
        <w:tcPr>
          <w:tcW w:w="3405" w:type="dxa"/>
        </w:tcPr>
        <w:p w14:paraId="1D734821" w14:textId="77777777" w:rsidR="00F13243" w:rsidRDefault="00F13243">
          <w:pPr>
            <w:tabs>
              <w:tab w:val="right" w:pos="8838"/>
            </w:tabs>
            <w:ind w:right="-32"/>
          </w:pPr>
          <w:r>
            <w:t xml:space="preserve">Ayuntamiento de </w:t>
          </w:r>
          <w:proofErr w:type="spellStart"/>
          <w:r>
            <w:t>Temascalcingo</w:t>
          </w:r>
          <w:proofErr w:type="spellEnd"/>
        </w:p>
      </w:tc>
    </w:tr>
    <w:tr w:rsidR="00F13243" w14:paraId="2D3CA929" w14:textId="77777777">
      <w:trPr>
        <w:trHeight w:val="261"/>
      </w:trPr>
      <w:tc>
        <w:tcPr>
          <w:tcW w:w="2691" w:type="dxa"/>
        </w:tcPr>
        <w:p w14:paraId="02D0BE7C" w14:textId="77777777" w:rsidR="00F13243" w:rsidRDefault="00F13243">
          <w:pPr>
            <w:tabs>
              <w:tab w:val="right" w:pos="8838"/>
            </w:tabs>
            <w:ind w:right="-105"/>
            <w:rPr>
              <w:b/>
            </w:rPr>
          </w:pPr>
          <w:r>
            <w:rPr>
              <w:b/>
            </w:rPr>
            <w:t>Comisionado Ponente:</w:t>
          </w:r>
        </w:p>
      </w:tc>
      <w:tc>
        <w:tcPr>
          <w:tcW w:w="3405" w:type="dxa"/>
        </w:tcPr>
        <w:p w14:paraId="1D28471B" w14:textId="77777777" w:rsidR="00F13243" w:rsidRDefault="00F13243">
          <w:pPr>
            <w:tabs>
              <w:tab w:val="right" w:pos="8838"/>
            </w:tabs>
            <w:ind w:right="-32"/>
            <w:rPr>
              <w:b/>
            </w:rPr>
          </w:pPr>
          <w:r>
            <w:t>Luis Gustavo Parra Noriega</w:t>
          </w:r>
        </w:p>
      </w:tc>
    </w:tr>
  </w:tbl>
  <w:p w14:paraId="0B3245EA" w14:textId="77777777" w:rsidR="00F13243" w:rsidRDefault="00955757">
    <w:pPr>
      <w:pBdr>
        <w:top w:val="nil"/>
        <w:left w:val="nil"/>
        <w:bottom w:val="nil"/>
        <w:right w:val="nil"/>
        <w:between w:val="nil"/>
      </w:pBdr>
      <w:tabs>
        <w:tab w:val="center" w:pos="4419"/>
        <w:tab w:val="right" w:pos="8838"/>
      </w:tabs>
      <w:spacing w:after="0" w:line="240" w:lineRule="auto"/>
      <w:rPr>
        <w:color w:val="000000"/>
      </w:rPr>
    </w:pPr>
    <w:r>
      <w:rPr>
        <w:color w:val="000000"/>
      </w:rPr>
      <w:pict w14:anchorId="752A9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06FF" w14:textId="77777777" w:rsidR="00F13243" w:rsidRDefault="00F13243">
    <w:pPr>
      <w:widowControl w:val="0"/>
      <w:pBdr>
        <w:top w:val="nil"/>
        <w:left w:val="nil"/>
        <w:bottom w:val="nil"/>
        <w:right w:val="nil"/>
        <w:between w:val="nil"/>
      </w:pBdr>
      <w:spacing w:after="0" w:line="276" w:lineRule="auto"/>
      <w:jc w:val="left"/>
    </w:pPr>
  </w:p>
  <w:tbl>
    <w:tblPr>
      <w:tblStyle w:val="a4"/>
      <w:tblW w:w="6363"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551"/>
      <w:gridCol w:w="3812"/>
    </w:tblGrid>
    <w:tr w:rsidR="00F13243" w14:paraId="33121508" w14:textId="77777777" w:rsidTr="005E0AB8">
      <w:trPr>
        <w:trHeight w:val="138"/>
      </w:trPr>
      <w:tc>
        <w:tcPr>
          <w:tcW w:w="2551" w:type="dxa"/>
          <w:vAlign w:val="center"/>
        </w:tcPr>
        <w:p w14:paraId="4F635D92" w14:textId="77777777" w:rsidR="00F13243" w:rsidRDefault="00F13243">
          <w:pPr>
            <w:tabs>
              <w:tab w:val="right" w:pos="8838"/>
            </w:tabs>
            <w:ind w:right="-105"/>
            <w:jc w:val="left"/>
            <w:rPr>
              <w:b/>
            </w:rPr>
          </w:pPr>
          <w:r>
            <w:rPr>
              <w:b/>
            </w:rPr>
            <w:t>Recurso de Revisión:</w:t>
          </w:r>
        </w:p>
      </w:tc>
      <w:tc>
        <w:tcPr>
          <w:tcW w:w="3812" w:type="dxa"/>
        </w:tcPr>
        <w:p w14:paraId="32098A79" w14:textId="1BFCA897" w:rsidR="00F13243" w:rsidRDefault="005E0AB8">
          <w:pPr>
            <w:tabs>
              <w:tab w:val="right" w:pos="8838"/>
            </w:tabs>
            <w:ind w:left="-113" w:right="57"/>
          </w:pPr>
          <w:r>
            <w:t>11861</w:t>
          </w:r>
          <w:r w:rsidR="00F13243">
            <w:t>/INFOEM/IP/RR/2025</w:t>
          </w:r>
        </w:p>
      </w:tc>
    </w:tr>
    <w:tr w:rsidR="00F13243" w14:paraId="1A1288DD" w14:textId="77777777" w:rsidTr="005E0AB8">
      <w:trPr>
        <w:trHeight w:val="273"/>
      </w:trPr>
      <w:tc>
        <w:tcPr>
          <w:tcW w:w="2551" w:type="dxa"/>
        </w:tcPr>
        <w:p w14:paraId="57BD9BE9" w14:textId="77777777" w:rsidR="00F13243" w:rsidRDefault="00F13243">
          <w:pPr>
            <w:tabs>
              <w:tab w:val="right" w:pos="8838"/>
            </w:tabs>
            <w:ind w:right="-105"/>
            <w:rPr>
              <w:b/>
            </w:rPr>
          </w:pPr>
          <w:r>
            <w:rPr>
              <w:b/>
            </w:rPr>
            <w:t>Sujeto Obligado:</w:t>
          </w:r>
        </w:p>
      </w:tc>
      <w:tc>
        <w:tcPr>
          <w:tcW w:w="3812" w:type="dxa"/>
        </w:tcPr>
        <w:p w14:paraId="201328D7" w14:textId="77777777" w:rsidR="00F13243" w:rsidRDefault="00F13243">
          <w:pPr>
            <w:tabs>
              <w:tab w:val="right" w:pos="8838"/>
            </w:tabs>
            <w:ind w:left="-113" w:right="-170"/>
          </w:pPr>
          <w:r w:rsidRPr="00234239">
            <w:t>Secretaría de Seguridad</w:t>
          </w:r>
        </w:p>
      </w:tc>
    </w:tr>
    <w:tr w:rsidR="00F13243" w14:paraId="2B4DDF19" w14:textId="77777777" w:rsidTr="005E0AB8">
      <w:trPr>
        <w:trHeight w:val="273"/>
      </w:trPr>
      <w:tc>
        <w:tcPr>
          <w:tcW w:w="2551" w:type="dxa"/>
        </w:tcPr>
        <w:p w14:paraId="54194812" w14:textId="77777777" w:rsidR="00F13243" w:rsidRDefault="00F13243">
          <w:pPr>
            <w:tabs>
              <w:tab w:val="right" w:pos="8838"/>
            </w:tabs>
            <w:ind w:right="-105"/>
            <w:rPr>
              <w:b/>
            </w:rPr>
          </w:pPr>
          <w:r>
            <w:rPr>
              <w:b/>
            </w:rPr>
            <w:t>Comisionado Ponente:</w:t>
          </w:r>
        </w:p>
      </w:tc>
      <w:tc>
        <w:tcPr>
          <w:tcW w:w="3812" w:type="dxa"/>
        </w:tcPr>
        <w:p w14:paraId="68EEC6CF" w14:textId="77777777" w:rsidR="00F13243" w:rsidRDefault="00F13243">
          <w:pPr>
            <w:tabs>
              <w:tab w:val="right" w:pos="8838"/>
            </w:tabs>
            <w:ind w:left="-113" w:right="-170"/>
            <w:rPr>
              <w:b/>
            </w:rPr>
          </w:pPr>
          <w:r>
            <w:t>Luis Gustavo Parra Noriega</w:t>
          </w:r>
        </w:p>
      </w:tc>
    </w:tr>
  </w:tbl>
  <w:p w14:paraId="65748B23" w14:textId="77777777" w:rsidR="00F13243" w:rsidRDefault="00955757">
    <w:pPr>
      <w:pBdr>
        <w:top w:val="nil"/>
        <w:left w:val="nil"/>
        <w:bottom w:val="nil"/>
        <w:right w:val="nil"/>
        <w:between w:val="nil"/>
      </w:pBdr>
      <w:tabs>
        <w:tab w:val="center" w:pos="4419"/>
        <w:tab w:val="right" w:pos="8838"/>
      </w:tabs>
      <w:spacing w:after="0" w:line="240" w:lineRule="auto"/>
      <w:rPr>
        <w:color w:val="000000"/>
      </w:rPr>
    </w:pPr>
    <w:r>
      <w:rPr>
        <w:color w:val="000000"/>
      </w:rPr>
      <w:pict w14:anchorId="7E761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C102" w14:textId="77777777" w:rsidR="00F13243" w:rsidRDefault="00F13243">
    <w:pPr>
      <w:widowControl w:val="0"/>
      <w:pBdr>
        <w:top w:val="nil"/>
        <w:left w:val="nil"/>
        <w:bottom w:val="nil"/>
        <w:right w:val="nil"/>
        <w:between w:val="nil"/>
      </w:pBdr>
      <w:spacing w:after="0" w:line="276" w:lineRule="auto"/>
      <w:jc w:val="left"/>
      <w:rPr>
        <w:color w:val="000000"/>
      </w:rPr>
    </w:pPr>
  </w:p>
  <w:tbl>
    <w:tblPr>
      <w:tblStyle w:val="a5"/>
      <w:tblW w:w="6804"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13243" w14:paraId="3E02D0C3" w14:textId="77777777" w:rsidTr="005E0AB8">
      <w:trPr>
        <w:trHeight w:val="132"/>
      </w:trPr>
      <w:tc>
        <w:tcPr>
          <w:tcW w:w="2551" w:type="dxa"/>
        </w:tcPr>
        <w:p w14:paraId="32BA164F" w14:textId="77777777" w:rsidR="00F13243" w:rsidRDefault="00F13243">
          <w:pPr>
            <w:tabs>
              <w:tab w:val="right" w:pos="8838"/>
            </w:tabs>
            <w:ind w:right="-105"/>
            <w:rPr>
              <w:b/>
            </w:rPr>
          </w:pPr>
          <w:r>
            <w:rPr>
              <w:b/>
            </w:rPr>
            <w:t>Recurso de Revisión:</w:t>
          </w:r>
        </w:p>
      </w:tc>
      <w:tc>
        <w:tcPr>
          <w:tcW w:w="4253" w:type="dxa"/>
        </w:tcPr>
        <w:p w14:paraId="27F6B176" w14:textId="121654CA" w:rsidR="00F13243" w:rsidRDefault="005E0AB8" w:rsidP="00234239">
          <w:pPr>
            <w:tabs>
              <w:tab w:val="right" w:pos="8838"/>
            </w:tabs>
            <w:ind w:left="-111" w:right="-32"/>
          </w:pPr>
          <w:r>
            <w:t>11861</w:t>
          </w:r>
          <w:r w:rsidR="00F13243">
            <w:t>/INFOEM/IP/RR/2025</w:t>
          </w:r>
        </w:p>
      </w:tc>
    </w:tr>
    <w:tr w:rsidR="00F13243" w14:paraId="09B322C2" w14:textId="77777777" w:rsidTr="005E0AB8">
      <w:trPr>
        <w:trHeight w:val="132"/>
      </w:trPr>
      <w:tc>
        <w:tcPr>
          <w:tcW w:w="2551" w:type="dxa"/>
          <w:shd w:val="clear" w:color="auto" w:fill="auto"/>
        </w:tcPr>
        <w:p w14:paraId="0D0F9AF7" w14:textId="77777777" w:rsidR="00F13243" w:rsidRDefault="00F13243">
          <w:pPr>
            <w:tabs>
              <w:tab w:val="left" w:pos="1875"/>
            </w:tabs>
            <w:ind w:right="-105"/>
            <w:rPr>
              <w:b/>
            </w:rPr>
          </w:pPr>
          <w:r>
            <w:rPr>
              <w:b/>
            </w:rPr>
            <w:t>Recurrente:</w:t>
          </w:r>
          <w:r>
            <w:rPr>
              <w:b/>
            </w:rPr>
            <w:tab/>
          </w:r>
        </w:p>
      </w:tc>
      <w:tc>
        <w:tcPr>
          <w:tcW w:w="4253" w:type="dxa"/>
          <w:shd w:val="clear" w:color="auto" w:fill="auto"/>
        </w:tcPr>
        <w:p w14:paraId="2AB8AC34" w14:textId="396F7161" w:rsidR="00F13243" w:rsidRDefault="00F13243" w:rsidP="00234239">
          <w:pPr>
            <w:tabs>
              <w:tab w:val="left" w:pos="675"/>
              <w:tab w:val="left" w:pos="1425"/>
            </w:tabs>
          </w:pPr>
          <w:r>
            <w:tab/>
          </w:r>
        </w:p>
      </w:tc>
    </w:tr>
    <w:tr w:rsidR="00F13243" w14:paraId="0F6C6CBB" w14:textId="77777777" w:rsidTr="005E0AB8">
      <w:trPr>
        <w:trHeight w:val="261"/>
      </w:trPr>
      <w:tc>
        <w:tcPr>
          <w:tcW w:w="2551" w:type="dxa"/>
        </w:tcPr>
        <w:p w14:paraId="3849141D" w14:textId="77777777" w:rsidR="00F13243" w:rsidRDefault="00F13243">
          <w:pPr>
            <w:tabs>
              <w:tab w:val="right" w:pos="8838"/>
            </w:tabs>
            <w:ind w:right="-105"/>
            <w:rPr>
              <w:b/>
            </w:rPr>
          </w:pPr>
          <w:r>
            <w:rPr>
              <w:b/>
            </w:rPr>
            <w:t>Sujeto Obligado:</w:t>
          </w:r>
        </w:p>
      </w:tc>
      <w:tc>
        <w:tcPr>
          <w:tcW w:w="4253" w:type="dxa"/>
        </w:tcPr>
        <w:p w14:paraId="669579BE" w14:textId="77777777" w:rsidR="00F13243" w:rsidRDefault="00F13243">
          <w:pPr>
            <w:tabs>
              <w:tab w:val="right" w:pos="8838"/>
            </w:tabs>
            <w:ind w:left="-111" w:right="-32"/>
          </w:pPr>
          <w:r w:rsidRPr="00234239">
            <w:t>Secretaría de Seguridad</w:t>
          </w:r>
        </w:p>
      </w:tc>
    </w:tr>
    <w:tr w:rsidR="00F13243" w14:paraId="29406EAE" w14:textId="77777777" w:rsidTr="005E0AB8">
      <w:trPr>
        <w:trHeight w:val="261"/>
      </w:trPr>
      <w:tc>
        <w:tcPr>
          <w:tcW w:w="2551" w:type="dxa"/>
        </w:tcPr>
        <w:p w14:paraId="4D93FB54" w14:textId="77777777" w:rsidR="00F13243" w:rsidRDefault="00F13243">
          <w:pPr>
            <w:tabs>
              <w:tab w:val="right" w:pos="8838"/>
            </w:tabs>
            <w:ind w:right="-105"/>
            <w:rPr>
              <w:b/>
            </w:rPr>
          </w:pPr>
          <w:r>
            <w:rPr>
              <w:b/>
            </w:rPr>
            <w:t>Comisionado Ponente:</w:t>
          </w:r>
        </w:p>
      </w:tc>
      <w:tc>
        <w:tcPr>
          <w:tcW w:w="4253" w:type="dxa"/>
        </w:tcPr>
        <w:p w14:paraId="411DA49A" w14:textId="77777777" w:rsidR="00F13243" w:rsidRDefault="00F13243">
          <w:pPr>
            <w:tabs>
              <w:tab w:val="right" w:pos="8838"/>
            </w:tabs>
            <w:ind w:left="-111" w:right="-32"/>
          </w:pPr>
          <w:r>
            <w:t>Luis Gustavo Parra Noriega</w:t>
          </w:r>
        </w:p>
      </w:tc>
    </w:tr>
  </w:tbl>
  <w:p w14:paraId="27E2CEAC" w14:textId="77777777" w:rsidR="00F13243" w:rsidRDefault="0095575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31F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F4086"/>
    <w:multiLevelType w:val="hybridMultilevel"/>
    <w:tmpl w:val="4CD86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5A7209"/>
    <w:multiLevelType w:val="multilevel"/>
    <w:tmpl w:val="296C6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F44E14"/>
    <w:multiLevelType w:val="hybridMultilevel"/>
    <w:tmpl w:val="3620F3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D85832"/>
    <w:multiLevelType w:val="multilevel"/>
    <w:tmpl w:val="FFFFFFFF"/>
    <w:lvl w:ilvl="0">
      <w:start w:val="1"/>
      <w:numFmt w:val="bullet"/>
      <w:lvlText w:val="●"/>
      <w:lvlJc w:val="left"/>
      <w:pPr>
        <w:ind w:left="780" w:hanging="360"/>
      </w:pPr>
      <w:rPr>
        <w:rFonts w:ascii="Noto Sans Symbols" w:eastAsia="Times New Roman" w:hAnsi="Noto Sans Symbols"/>
      </w:rPr>
    </w:lvl>
    <w:lvl w:ilvl="1">
      <w:start w:val="1"/>
      <w:numFmt w:val="bullet"/>
      <w:lvlText w:val="o"/>
      <w:lvlJc w:val="left"/>
      <w:pPr>
        <w:ind w:left="1500" w:hanging="360"/>
      </w:pPr>
      <w:rPr>
        <w:rFonts w:ascii="Courier New" w:eastAsia="Times New Roman" w:hAnsi="Courier New"/>
      </w:rPr>
    </w:lvl>
    <w:lvl w:ilvl="2">
      <w:start w:val="1"/>
      <w:numFmt w:val="bullet"/>
      <w:lvlText w:val="▪"/>
      <w:lvlJc w:val="left"/>
      <w:pPr>
        <w:ind w:left="2220" w:hanging="360"/>
      </w:pPr>
      <w:rPr>
        <w:rFonts w:ascii="Noto Sans Symbols" w:eastAsia="Times New Roman" w:hAnsi="Noto Sans Symbols"/>
      </w:rPr>
    </w:lvl>
    <w:lvl w:ilvl="3">
      <w:start w:val="1"/>
      <w:numFmt w:val="bullet"/>
      <w:lvlText w:val="●"/>
      <w:lvlJc w:val="left"/>
      <w:pPr>
        <w:ind w:left="2940" w:hanging="360"/>
      </w:pPr>
      <w:rPr>
        <w:rFonts w:ascii="Noto Sans Symbols" w:eastAsia="Times New Roman" w:hAnsi="Noto Sans Symbols"/>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Noto Sans Symbols" w:eastAsia="Times New Roman" w:hAnsi="Noto Sans Symbols"/>
      </w:rPr>
    </w:lvl>
    <w:lvl w:ilvl="6">
      <w:start w:val="1"/>
      <w:numFmt w:val="bullet"/>
      <w:lvlText w:val="●"/>
      <w:lvlJc w:val="left"/>
      <w:pPr>
        <w:ind w:left="5100" w:hanging="360"/>
      </w:pPr>
      <w:rPr>
        <w:rFonts w:ascii="Noto Sans Symbols" w:eastAsia="Times New Roman" w:hAnsi="Noto Sans Symbols"/>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Noto Sans Symbols" w:eastAsia="Times New Roman" w:hAnsi="Noto Sans Symbols"/>
      </w:rPr>
    </w:lvl>
  </w:abstractNum>
  <w:abstractNum w:abstractNumId="4"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DFB0596"/>
    <w:multiLevelType w:val="multilevel"/>
    <w:tmpl w:val="EFAE7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DB9663E"/>
    <w:multiLevelType w:val="multilevel"/>
    <w:tmpl w:val="3F04D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7F10A3"/>
    <w:multiLevelType w:val="multilevel"/>
    <w:tmpl w:val="BF72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376BAA"/>
    <w:multiLevelType w:val="multilevel"/>
    <w:tmpl w:val="63869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B73011"/>
    <w:multiLevelType w:val="hybridMultilevel"/>
    <w:tmpl w:val="64769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E19201F"/>
    <w:multiLevelType w:val="multilevel"/>
    <w:tmpl w:val="05421C6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E1F23DC"/>
    <w:multiLevelType w:val="hybridMultilevel"/>
    <w:tmpl w:val="467428BC"/>
    <w:lvl w:ilvl="0" w:tplc="20B642BA">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5E29FE"/>
    <w:multiLevelType w:val="multilevel"/>
    <w:tmpl w:val="55B6C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AA47DB"/>
    <w:multiLevelType w:val="multilevel"/>
    <w:tmpl w:val="D03E9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505DB5"/>
    <w:multiLevelType w:val="multilevel"/>
    <w:tmpl w:val="8672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5"/>
  </w:num>
  <w:num w:numId="4">
    <w:abstractNumId w:val="9"/>
  </w:num>
  <w:num w:numId="5">
    <w:abstractNumId w:val="10"/>
  </w:num>
  <w:num w:numId="6">
    <w:abstractNumId w:val="13"/>
  </w:num>
  <w:num w:numId="7">
    <w:abstractNumId w:val="3"/>
  </w:num>
  <w:num w:numId="8">
    <w:abstractNumId w:val="2"/>
  </w:num>
  <w:num w:numId="9">
    <w:abstractNumId w:val="8"/>
  </w:num>
  <w:num w:numId="10">
    <w:abstractNumId w:val="1"/>
  </w:num>
  <w:num w:numId="11">
    <w:abstractNumId w:val="7"/>
  </w:num>
  <w:num w:numId="12">
    <w:abstractNumId w:val="15"/>
  </w:num>
  <w:num w:numId="13">
    <w:abstractNumId w:val="4"/>
  </w:num>
  <w:num w:numId="14">
    <w:abstractNumId w:val="6"/>
  </w:num>
  <w:num w:numId="15">
    <w:abstractNumId w:val="16"/>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07"/>
    <w:rsid w:val="00032985"/>
    <w:rsid w:val="00035B71"/>
    <w:rsid w:val="00085331"/>
    <w:rsid w:val="000977A7"/>
    <w:rsid w:val="000E64D2"/>
    <w:rsid w:val="0010043F"/>
    <w:rsid w:val="00104D4E"/>
    <w:rsid w:val="001A1400"/>
    <w:rsid w:val="00234239"/>
    <w:rsid w:val="002469F9"/>
    <w:rsid w:val="002A64A1"/>
    <w:rsid w:val="002F290F"/>
    <w:rsid w:val="00335A1C"/>
    <w:rsid w:val="0034212E"/>
    <w:rsid w:val="003460D1"/>
    <w:rsid w:val="00361185"/>
    <w:rsid w:val="0045117D"/>
    <w:rsid w:val="004952B2"/>
    <w:rsid w:val="004B0760"/>
    <w:rsid w:val="004B54DE"/>
    <w:rsid w:val="005E0AB8"/>
    <w:rsid w:val="00600D07"/>
    <w:rsid w:val="0062581E"/>
    <w:rsid w:val="006378B4"/>
    <w:rsid w:val="00685ECA"/>
    <w:rsid w:val="00687621"/>
    <w:rsid w:val="006E6AF0"/>
    <w:rsid w:val="006F4971"/>
    <w:rsid w:val="00705A6F"/>
    <w:rsid w:val="0083110F"/>
    <w:rsid w:val="008C2E5E"/>
    <w:rsid w:val="00935C16"/>
    <w:rsid w:val="00955757"/>
    <w:rsid w:val="009C263C"/>
    <w:rsid w:val="00AA061C"/>
    <w:rsid w:val="00AC4978"/>
    <w:rsid w:val="00AD2507"/>
    <w:rsid w:val="00AF757C"/>
    <w:rsid w:val="00B04BA6"/>
    <w:rsid w:val="00B07394"/>
    <w:rsid w:val="00B65D43"/>
    <w:rsid w:val="00B95D09"/>
    <w:rsid w:val="00BA73C4"/>
    <w:rsid w:val="00CE04C0"/>
    <w:rsid w:val="00CF7DEA"/>
    <w:rsid w:val="00D86FC5"/>
    <w:rsid w:val="00E3035D"/>
    <w:rsid w:val="00E34D18"/>
    <w:rsid w:val="00E80017"/>
    <w:rsid w:val="00EE17C6"/>
    <w:rsid w:val="00EE2E4D"/>
    <w:rsid w:val="00F10379"/>
    <w:rsid w:val="00F13243"/>
    <w:rsid w:val="00F552D8"/>
    <w:rsid w:val="00F73569"/>
    <w:rsid w:val="00FF4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64105F"/>
  <w15:docId w15:val="{7448FCF4-1B02-4A14-B799-1E86DBCC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Ttulo1"/>
    <w:next w:val="Normal"/>
    <w:link w:val="Ttulo7Car"/>
    <w:uiPriority w:val="9"/>
    <w:unhideWhenUsed/>
    <w:qFormat/>
    <w:rsid w:val="0083110F"/>
    <w:pPr>
      <w:spacing w:before="0" w:after="0" w:line="360" w:lineRule="auto"/>
      <w:jc w:val="center"/>
      <w:outlineLvl w:val="6"/>
    </w:pPr>
    <w:rPr>
      <w:rFonts w:eastAsiaTheme="majorEastAsia" w:cstheme="majorBidi"/>
      <w:iCs/>
      <w:color w:val="243F60" w:themeColor="accent1" w:themeShade="7F"/>
      <w:sz w:val="22"/>
    </w:rPr>
  </w:style>
  <w:style w:type="paragraph" w:styleId="Ttulo8">
    <w:name w:val="heading 8"/>
    <w:basedOn w:val="Normal"/>
    <w:next w:val="Normal"/>
    <w:link w:val="Ttulo8Car"/>
    <w:uiPriority w:val="9"/>
    <w:unhideWhenUsed/>
    <w:qFormat/>
    <w:rsid w:val="0083110F"/>
    <w:pPr>
      <w:keepNext/>
      <w:keepLines/>
      <w:spacing w:after="0" w:line="360" w:lineRule="auto"/>
      <w:outlineLvl w:val="7"/>
    </w:pPr>
    <w:rPr>
      <w:rFonts w:eastAsiaTheme="majorEastAsia" w:cstheme="majorBidi"/>
      <w:b/>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5425CB"/>
    <w:rPr>
      <w:color w:val="605E5C"/>
      <w:shd w:val="clear" w:color="auto" w:fill="E1DFDD"/>
    </w:rPr>
  </w:style>
  <w:style w:type="character" w:customStyle="1" w:styleId="TtuloCar">
    <w:name w:val="Título Car"/>
    <w:basedOn w:val="Fuentedeprrafopredeter"/>
    <w:uiPriority w:val="10"/>
    <w:rsid w:val="00220B70"/>
    <w:rPr>
      <w:b/>
      <w:sz w:val="72"/>
      <w:szCs w:val="72"/>
    </w:rPr>
  </w:style>
  <w:style w:type="paragraph" w:styleId="Revisin">
    <w:name w:val="Revision"/>
    <w:hidden/>
    <w:uiPriority w:val="99"/>
    <w:semiHidden/>
    <w:rsid w:val="00421C8C"/>
    <w:pPr>
      <w:spacing w:after="0" w:line="240" w:lineRule="auto"/>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104D4E"/>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semiHidden/>
    <w:unhideWhenUsed/>
    <w:rsid w:val="0062581E"/>
    <w:pPr>
      <w:spacing w:after="100"/>
      <w:ind w:left="220"/>
    </w:pPr>
  </w:style>
  <w:style w:type="paragraph" w:styleId="TDC1">
    <w:name w:val="toc 1"/>
    <w:basedOn w:val="Normal"/>
    <w:next w:val="Normal"/>
    <w:autoRedefine/>
    <w:uiPriority w:val="39"/>
    <w:unhideWhenUsed/>
    <w:rsid w:val="0062581E"/>
    <w:pPr>
      <w:spacing w:after="100"/>
    </w:pPr>
  </w:style>
  <w:style w:type="character" w:customStyle="1" w:styleId="Ttulo7Car">
    <w:name w:val="Título 7 Car"/>
    <w:basedOn w:val="Fuentedeprrafopredeter"/>
    <w:link w:val="Ttulo7"/>
    <w:uiPriority w:val="9"/>
    <w:rsid w:val="0083110F"/>
    <w:rPr>
      <w:rFonts w:eastAsiaTheme="majorEastAsia" w:cstheme="majorBidi"/>
      <w:b/>
      <w:iCs/>
      <w:color w:val="243F60" w:themeColor="accent1" w:themeShade="7F"/>
      <w:szCs w:val="48"/>
    </w:rPr>
  </w:style>
  <w:style w:type="character" w:customStyle="1" w:styleId="Ttulo8Car">
    <w:name w:val="Título 8 Car"/>
    <w:basedOn w:val="Fuentedeprrafopredeter"/>
    <w:link w:val="Ttulo8"/>
    <w:uiPriority w:val="9"/>
    <w:rsid w:val="0083110F"/>
    <w:rPr>
      <w:rFonts w:eastAsiaTheme="majorEastAsia" w:cstheme="majorBidi"/>
      <w:b/>
      <w:color w:val="272727" w:themeColor="text1" w:themeTint="D8"/>
      <w:szCs w:val="21"/>
    </w:rPr>
  </w:style>
  <w:style w:type="paragraph" w:styleId="Sinespaciado">
    <w:name w:val="No Spacing"/>
    <w:uiPriority w:val="1"/>
    <w:qFormat/>
    <w:rsid w:val="0083110F"/>
    <w:pPr>
      <w:spacing w:after="0" w:line="240" w:lineRule="auto"/>
    </w:pPr>
  </w:style>
  <w:style w:type="character" w:styleId="nfasisintenso">
    <w:name w:val="Intense Emphasis"/>
    <w:basedOn w:val="Fuentedeprrafopredeter"/>
    <w:uiPriority w:val="21"/>
    <w:qFormat/>
    <w:rsid w:val="0083110F"/>
    <w:rPr>
      <w:i/>
      <w:iCs/>
      <w:color w:val="4F81BD" w:themeColor="accent1"/>
    </w:rPr>
  </w:style>
  <w:style w:type="paragraph" w:styleId="TDC7">
    <w:name w:val="toc 7"/>
    <w:basedOn w:val="Normal"/>
    <w:next w:val="Normal"/>
    <w:autoRedefine/>
    <w:uiPriority w:val="39"/>
    <w:unhideWhenUsed/>
    <w:rsid w:val="0083110F"/>
    <w:pPr>
      <w:tabs>
        <w:tab w:val="right" w:leader="dot" w:pos="8921"/>
      </w:tabs>
      <w:spacing w:after="100"/>
      <w:ind w:left="709"/>
    </w:pPr>
  </w:style>
  <w:style w:type="paragraph" w:styleId="TDC8">
    <w:name w:val="toc 8"/>
    <w:basedOn w:val="Normal"/>
    <w:next w:val="Normal"/>
    <w:autoRedefine/>
    <w:uiPriority w:val="39"/>
    <w:unhideWhenUsed/>
    <w:rsid w:val="0083110F"/>
    <w:pPr>
      <w:tabs>
        <w:tab w:val="right" w:leader="dot" w:pos="8921"/>
      </w:tabs>
      <w:spacing w:after="10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44">
      <w:bodyDiv w:val="1"/>
      <w:marLeft w:val="0"/>
      <w:marRight w:val="0"/>
      <w:marTop w:val="0"/>
      <w:marBottom w:val="0"/>
      <w:divBdr>
        <w:top w:val="none" w:sz="0" w:space="0" w:color="auto"/>
        <w:left w:val="none" w:sz="0" w:space="0" w:color="auto"/>
        <w:bottom w:val="none" w:sz="0" w:space="0" w:color="auto"/>
        <w:right w:val="none" w:sz="0" w:space="0" w:color="auto"/>
      </w:divBdr>
    </w:div>
    <w:div w:id="119106884">
      <w:bodyDiv w:val="1"/>
      <w:marLeft w:val="0"/>
      <w:marRight w:val="0"/>
      <w:marTop w:val="0"/>
      <w:marBottom w:val="0"/>
      <w:divBdr>
        <w:top w:val="none" w:sz="0" w:space="0" w:color="auto"/>
        <w:left w:val="none" w:sz="0" w:space="0" w:color="auto"/>
        <w:bottom w:val="none" w:sz="0" w:space="0" w:color="auto"/>
        <w:right w:val="none" w:sz="0" w:space="0" w:color="auto"/>
      </w:divBdr>
    </w:div>
    <w:div w:id="826440926">
      <w:bodyDiv w:val="1"/>
      <w:marLeft w:val="0"/>
      <w:marRight w:val="0"/>
      <w:marTop w:val="0"/>
      <w:marBottom w:val="0"/>
      <w:divBdr>
        <w:top w:val="none" w:sz="0" w:space="0" w:color="auto"/>
        <w:left w:val="none" w:sz="0" w:space="0" w:color="auto"/>
        <w:bottom w:val="none" w:sz="0" w:space="0" w:color="auto"/>
        <w:right w:val="none" w:sz="0" w:space="0" w:color="auto"/>
      </w:divBdr>
    </w:div>
    <w:div w:id="909190398">
      <w:bodyDiv w:val="1"/>
      <w:marLeft w:val="0"/>
      <w:marRight w:val="0"/>
      <w:marTop w:val="0"/>
      <w:marBottom w:val="0"/>
      <w:divBdr>
        <w:top w:val="none" w:sz="0" w:space="0" w:color="auto"/>
        <w:left w:val="none" w:sz="0" w:space="0" w:color="auto"/>
        <w:bottom w:val="none" w:sz="0" w:space="0" w:color="auto"/>
        <w:right w:val="none" w:sz="0" w:space="0" w:color="auto"/>
      </w:divBdr>
    </w:div>
    <w:div w:id="1147471965">
      <w:bodyDiv w:val="1"/>
      <w:marLeft w:val="0"/>
      <w:marRight w:val="0"/>
      <w:marTop w:val="0"/>
      <w:marBottom w:val="0"/>
      <w:divBdr>
        <w:top w:val="none" w:sz="0" w:space="0" w:color="auto"/>
        <w:left w:val="none" w:sz="0" w:space="0" w:color="auto"/>
        <w:bottom w:val="none" w:sz="0" w:space="0" w:color="auto"/>
        <w:right w:val="none" w:sz="0" w:space="0" w:color="auto"/>
      </w:divBdr>
    </w:div>
    <w:div w:id="1445266309">
      <w:bodyDiv w:val="1"/>
      <w:marLeft w:val="0"/>
      <w:marRight w:val="0"/>
      <w:marTop w:val="0"/>
      <w:marBottom w:val="0"/>
      <w:divBdr>
        <w:top w:val="none" w:sz="0" w:space="0" w:color="auto"/>
        <w:left w:val="none" w:sz="0" w:space="0" w:color="auto"/>
        <w:bottom w:val="none" w:sz="0" w:space="0" w:color="auto"/>
        <w:right w:val="none" w:sz="0" w:space="0" w:color="auto"/>
      </w:divBdr>
    </w:div>
    <w:div w:id="1654214695">
      <w:bodyDiv w:val="1"/>
      <w:marLeft w:val="0"/>
      <w:marRight w:val="0"/>
      <w:marTop w:val="0"/>
      <w:marBottom w:val="0"/>
      <w:divBdr>
        <w:top w:val="none" w:sz="0" w:space="0" w:color="auto"/>
        <w:left w:val="none" w:sz="0" w:space="0" w:color="auto"/>
        <w:bottom w:val="none" w:sz="0" w:space="0" w:color="auto"/>
        <w:right w:val="none" w:sz="0" w:space="0" w:color="auto"/>
      </w:divBdr>
    </w:div>
    <w:div w:id="1729457313">
      <w:bodyDiv w:val="1"/>
      <w:marLeft w:val="0"/>
      <w:marRight w:val="0"/>
      <w:marTop w:val="0"/>
      <w:marBottom w:val="0"/>
      <w:divBdr>
        <w:top w:val="none" w:sz="0" w:space="0" w:color="auto"/>
        <w:left w:val="none" w:sz="0" w:space="0" w:color="auto"/>
        <w:bottom w:val="none" w:sz="0" w:space="0" w:color="auto"/>
        <w:right w:val="none" w:sz="0" w:space="0" w:color="auto"/>
      </w:divBdr>
    </w:div>
    <w:div w:id="182643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f0AKO2rQpcPJz5xmyfFKooHJQ==">CgMxLjAyCWguMzBqMHpsbDgAciExbE9HQjQweFlIZzU5cG5BS0d4SEdtclhxV296NjZ0Y3Y=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DD68C3-94BE-4964-8596-1BF49C78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6444</Words>
  <Characters>35444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2026-03-20T20:16:00Z</cp:lastPrinted>
  <dcterms:created xsi:type="dcterms:W3CDTF">2026-03-20T20:16:00Z</dcterms:created>
  <dcterms:modified xsi:type="dcterms:W3CDTF">2026-03-20T20:16:00Z</dcterms:modified>
</cp:coreProperties>
</file>