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Pr>
          <w:rFonts w:ascii="Palatino Linotype" w:eastAsia="Palatino Linotype" w:hAnsi="Palatino Linotype" w:cs="Palatino Linotype"/>
          <w:b/>
          <w:bCs/>
        </w:rPr>
        <w:t xml:space="preserve"> tres (03) de junio de dos mil veintiséis.</w:t>
      </w:r>
    </w:p>
    <w:p w:rsidR="009C6806" w:rsidRDefault="009C6806">
      <w:pPr>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13178/INFOEM/IP/RR/2025, </w:t>
      </w:r>
      <w:r>
        <w:rPr>
          <w:rFonts w:ascii="Palatino Linotype" w:eastAsia="Palatino Linotype" w:hAnsi="Palatino Linotype" w:cs="Palatino Linotype"/>
        </w:rPr>
        <w:t xml:space="preserve">promovido por </w:t>
      </w:r>
      <w:r w:rsidR="00526EE7">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en lo sucesivo</w:t>
      </w:r>
      <w:r>
        <w:rPr>
          <w:rFonts w:ascii="Palatino Linotype" w:eastAsia="Palatino Linotype" w:hAnsi="Palatino Linotype" w:cs="Palatino Linotype"/>
          <w:b/>
          <w:bCs/>
        </w:rPr>
        <w:t xml:space="preserve"> 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Partido Acción Nacional,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9C6806" w:rsidRDefault="009C6806">
      <w:pPr>
        <w:ind w:right="-591"/>
        <w:jc w:val="both"/>
        <w:rPr>
          <w:rFonts w:ascii="Palatino Linotype" w:eastAsia="Palatino Linotype" w:hAnsi="Palatino Linotype" w:cs="Palatino Linotype"/>
        </w:rPr>
      </w:pPr>
    </w:p>
    <w:p w:rsidR="009C6806" w:rsidRDefault="009C6806">
      <w:pPr>
        <w:ind w:right="-591"/>
        <w:jc w:val="both"/>
        <w:rPr>
          <w:rFonts w:ascii="Palatino Linotype" w:eastAsia="Palatino Linotype" w:hAnsi="Palatino Linotype" w:cs="Palatino Linotype"/>
        </w:rPr>
      </w:pPr>
    </w:p>
    <w:p w:rsidR="009C6806" w:rsidRDefault="00E67821">
      <w:pPr>
        <w:keepNext/>
        <w:keepLines/>
        <w:spacing w:line="360" w:lineRule="auto"/>
        <w:ind w:right="-591"/>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9C6806" w:rsidRDefault="009C6806">
      <w:pPr>
        <w:ind w:right="-591"/>
        <w:rPr>
          <w:rFonts w:ascii="Palatino Linotype" w:eastAsia="Palatino Linotype" w:hAnsi="Palatino Linotype" w:cs="Palatino Linotype"/>
        </w:rPr>
      </w:pPr>
      <w:bookmarkStart w:id="0" w:name="_heading=h.m7y90db77ctk" w:colFirst="0" w:colLast="0"/>
      <w:bookmarkEnd w:id="0"/>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bookmarkStart w:id="1" w:name="_heading=h.qn6jjtok8s7g" w:colFirst="0" w:colLast="0"/>
      <w:bookmarkEnd w:id="1"/>
      <w:r>
        <w:rPr>
          <w:rFonts w:ascii="Palatino Linotype" w:eastAsia="Palatino Linotype" w:hAnsi="Palatino Linotype" w:cs="Palatino Linotype"/>
        </w:rPr>
        <w:t>El veintisiete de octubre de dos mil veinticinco,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 </w:t>
      </w:r>
      <w:r>
        <w:rPr>
          <w:rFonts w:ascii="Palatino Linotype" w:eastAsia="Palatino Linotype" w:hAnsi="Palatino Linotype" w:cs="Palatino Linotype"/>
          <w:b/>
          <w:bCs/>
        </w:rPr>
        <w:t>00061/PAN/IP/2025</w:t>
      </w:r>
      <w:r>
        <w:rPr>
          <w:rFonts w:ascii="Palatino Linotype" w:eastAsia="Palatino Linotype" w:hAnsi="Palatino Linotype" w:cs="Palatino Linotype"/>
        </w:rPr>
        <w:t>, en la que solicitó:</w:t>
      </w:r>
    </w:p>
    <w:p w:rsidR="009C6806" w:rsidRDefault="009C6806">
      <w:pPr>
        <w:ind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“Solicito conocer los resultados obtenidos de la votación en la asamblea para la elección de Consejeros Estatales y Nacionales, En la asamblea Estatal en el Estado de México celebrada el día 12 de Octubre de 2025 Requiero saber</w:t>
      </w:r>
      <w:bookmarkStart w:id="2" w:name="_GoBack"/>
      <w:bookmarkEnd w:id="2"/>
      <w:r>
        <w:rPr>
          <w:rFonts w:ascii="Palatino Linotype" w:eastAsia="Palatino Linotype" w:hAnsi="Palatino Linotype" w:cs="Palatino Linotype"/>
          <w:i/>
          <w:iCs/>
          <w:color w:val="000000"/>
        </w:rPr>
        <w:t xml:space="preserve"> la votación (número de votos) que obtuvo cada uno de los participantes tanto al consejo Estatal y al consejo Nacional Desde el primer lugar al último lugar, tanto en hombres como en mujeres” (Sic) </w:t>
      </w:r>
    </w:p>
    <w:p w:rsidR="009C6806" w:rsidRDefault="009C6806">
      <w:pPr>
        <w:pBdr>
          <w:top w:val="nil"/>
          <w:left w:val="nil"/>
          <w:bottom w:val="nil"/>
          <w:right w:val="nil"/>
          <w:between w:val="nil"/>
        </w:pBdr>
        <w:ind w:right="-591"/>
        <w:jc w:val="both"/>
        <w:rPr>
          <w:rFonts w:ascii="Palatino Linotype" w:eastAsia="Palatino Linotype" w:hAnsi="Palatino Linotype" w:cs="Palatino Linotype"/>
        </w:rPr>
      </w:pPr>
    </w:p>
    <w:p w:rsidR="009C6806" w:rsidRDefault="009C6806">
      <w:pPr>
        <w:pBdr>
          <w:top w:val="nil"/>
          <w:left w:val="nil"/>
          <w:bottom w:val="nil"/>
          <w:right w:val="nil"/>
          <w:between w:val="nil"/>
        </w:pBdr>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hace constar que se señaló como modalidad de entrega de la información a través del </w:t>
      </w:r>
      <w:r>
        <w:rPr>
          <w:rFonts w:ascii="Palatino Linotype" w:eastAsia="Palatino Linotype" w:hAnsi="Palatino Linotype" w:cs="Palatino Linotype"/>
          <w:b/>
          <w:bCs/>
        </w:rPr>
        <w:t>SAIMEX.</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highlight w:val="white"/>
        </w:rPr>
      </w:pPr>
      <w:r>
        <w:rPr>
          <w:rFonts w:ascii="Palatino Linotype" w:eastAsia="Palatino Linotype" w:hAnsi="Palatino Linotype" w:cs="Palatino Linotype"/>
          <w:highlight w:val="white"/>
        </w:rPr>
        <w:t xml:space="preserve">El diecinueve de noviembre de dos mil veinticinco, el </w:t>
      </w:r>
      <w:r>
        <w:rPr>
          <w:rFonts w:ascii="Palatino Linotype" w:eastAsia="Palatino Linotype" w:hAnsi="Palatino Linotype" w:cs="Palatino Linotype"/>
          <w:b/>
          <w:bCs/>
          <w:highlight w:val="white"/>
        </w:rPr>
        <w:t>SUJETO OBLIGADO</w:t>
      </w:r>
      <w:r>
        <w:rPr>
          <w:rFonts w:ascii="Palatino Linotype" w:eastAsia="Palatino Linotype" w:hAnsi="Palatino Linotype" w:cs="Palatino Linotype"/>
          <w:b/>
          <w:bCs/>
          <w:i/>
          <w:iCs/>
          <w:highlight w:val="white"/>
        </w:rPr>
        <w:t xml:space="preserve"> </w:t>
      </w:r>
      <w:r>
        <w:rPr>
          <w:rFonts w:ascii="Palatino Linotype" w:eastAsia="Palatino Linotype" w:hAnsi="Palatino Linotype" w:cs="Palatino Linotype"/>
          <w:highlight w:val="white"/>
        </w:rPr>
        <w:t>dio respuesta a la solicitud de información, en los siguientes términos:</w:t>
      </w:r>
    </w:p>
    <w:p w:rsidR="009C6806" w:rsidRDefault="00E67821">
      <w:pPr>
        <w:ind w:left="567" w:right="-591"/>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highlight w:val="white"/>
        </w:rPr>
        <w:lastRenderedPageBreak/>
        <w:t>“</w:t>
      </w:r>
      <w:r>
        <w:rPr>
          <w:rFonts w:ascii="Palatino Linotype" w:eastAsia="Palatino Linotype" w:hAnsi="Palatino Linotype" w:cs="Palatino Linotype"/>
          <w:i/>
          <w:iCs/>
          <w:color w:val="000000"/>
        </w:rPr>
        <w:t>Por medio del presente reciba un cordial saludo. En calidad de Servidor Público Habilitado de la Unidad de Transparencia y Protección de Datos Personales del del Partido Acción Nacional en el Estado de México (PAN), se adjunta la contestación por parte de la Tesorería del Partido Acción Nacional, mediante Sistema de Acceso de la Información Mexiquense (SAIMEX) a la solicitud de información pública con número de folio: 00061/PAN/IP/2025. Y hacemos de su conocimiento los artículos 177 y 178 primer párrafo de la Ley de Transparencia y Acceso a la Información Pública del Estado de México y Municipios para su consulta y garantía secundaria.</w:t>
      </w:r>
      <w:r>
        <w:rPr>
          <w:rFonts w:ascii="Palatino Linotype" w:eastAsia="Palatino Linotype" w:hAnsi="Palatino Linotype" w:cs="Palatino Linotype"/>
          <w:i/>
          <w:iCs/>
          <w:color w:val="000000"/>
          <w:highlight w:val="white"/>
        </w:rPr>
        <w:t>” (Sic)</w:t>
      </w:r>
    </w:p>
    <w:p w:rsidR="009C6806" w:rsidRDefault="009C6806">
      <w:pPr>
        <w:ind w:right="-591"/>
        <w:jc w:val="both"/>
        <w:rPr>
          <w:rFonts w:ascii="Palatino Linotype" w:eastAsia="Palatino Linotype" w:hAnsi="Palatino Linotype" w:cs="Palatino Linotype"/>
          <w:i/>
          <w:iCs/>
          <w:color w:val="000000"/>
          <w:highlight w:val="white"/>
        </w:rPr>
      </w:pPr>
    </w:p>
    <w:p w:rsidR="009C6806" w:rsidRDefault="00E67821">
      <w:pPr>
        <w:ind w:right="-591"/>
        <w:jc w:val="both"/>
        <w:rPr>
          <w:rFonts w:ascii="Palatino Linotype" w:eastAsia="Palatino Linotype" w:hAnsi="Palatino Linotype" w:cs="Palatino Linotype"/>
          <w:b/>
          <w:bCs/>
          <w:highlight w:val="white"/>
        </w:rPr>
      </w:pPr>
      <w:r>
        <w:rPr>
          <w:rFonts w:ascii="Palatino Linotype" w:eastAsia="Palatino Linotype" w:hAnsi="Palatino Linotype" w:cs="Palatino Linotype"/>
          <w:b/>
          <w:bCs/>
          <w:highlight w:val="white"/>
        </w:rPr>
        <w:t>Archivos electrónicos adjuntos:</w:t>
      </w:r>
      <w:r>
        <w:rPr>
          <w:rFonts w:ascii="Palatino Linotype" w:eastAsia="Palatino Linotype" w:hAnsi="Palatino Linotype" w:cs="Palatino Linotype"/>
          <w:highlight w:val="white"/>
        </w:rPr>
        <w:t xml:space="preserve"> </w:t>
      </w:r>
    </w:p>
    <w:p w:rsidR="009C6806" w:rsidRDefault="009C6806">
      <w:pPr>
        <w:ind w:right="-591"/>
        <w:jc w:val="both"/>
        <w:rPr>
          <w:rFonts w:ascii="Palatino Linotype" w:eastAsia="Palatino Linotype" w:hAnsi="Palatino Linotype" w:cs="Palatino Linotype"/>
          <w:b/>
          <w:bCs/>
          <w:highlight w:val="white"/>
        </w:rPr>
      </w:pPr>
    </w:p>
    <w:p w:rsidR="009C6806" w:rsidRDefault="00D612DA">
      <w:pPr>
        <w:ind w:left="851" w:right="-591"/>
        <w:jc w:val="both"/>
        <w:rPr>
          <w:rFonts w:ascii="Palatino Linotype" w:eastAsia="Palatino Linotype" w:hAnsi="Palatino Linotype" w:cs="Palatino Linotype"/>
          <w:b/>
          <w:bCs/>
          <w:color w:val="000000"/>
        </w:rPr>
      </w:pPr>
      <w:hyperlink r:id="rId8">
        <w:r w:rsidR="00E67821">
          <w:rPr>
            <w:rFonts w:ascii="Palatino Linotype" w:eastAsia="Palatino Linotype" w:hAnsi="Palatino Linotype" w:cs="Palatino Linotype"/>
            <w:b/>
            <w:bCs/>
            <w:color w:val="000000"/>
          </w:rPr>
          <w:t>SOLICITUDAD</w:t>
        </w:r>
      </w:hyperlink>
      <w:hyperlink r:id="rId9">
        <w:r w:rsidR="00E67821">
          <w:rPr>
            <w:rFonts w:ascii="Palatino Linotype" w:eastAsia="Palatino Linotype" w:hAnsi="Palatino Linotype" w:cs="Palatino Linotype"/>
            <w:b/>
            <w:bCs/>
            <w:color w:val="000000"/>
          </w:rPr>
          <w:t xml:space="preserve"> DE </w:t>
        </w:r>
      </w:hyperlink>
      <w:hyperlink r:id="rId10">
        <w:r w:rsidR="00E67821">
          <w:rPr>
            <w:rFonts w:ascii="Palatino Linotype" w:eastAsia="Palatino Linotype" w:hAnsi="Palatino Linotype" w:cs="Palatino Linotype"/>
            <w:b/>
            <w:bCs/>
            <w:color w:val="000000"/>
          </w:rPr>
          <w:t>INFORMACION</w:t>
        </w:r>
      </w:hyperlink>
      <w:hyperlink r:id="rId11">
        <w:r w:rsidR="00E67821">
          <w:rPr>
            <w:rFonts w:ascii="Palatino Linotype" w:eastAsia="Palatino Linotype" w:hAnsi="Palatino Linotype" w:cs="Palatino Linotype"/>
            <w:b/>
            <w:bCs/>
            <w:color w:val="000000"/>
          </w:rPr>
          <w:t xml:space="preserve"> </w:t>
        </w:r>
      </w:hyperlink>
      <w:hyperlink r:id="rId12">
        <w:r w:rsidR="00E67821">
          <w:rPr>
            <w:rFonts w:ascii="Palatino Linotype" w:eastAsia="Palatino Linotype" w:hAnsi="Palatino Linotype" w:cs="Palatino Linotype"/>
            <w:b/>
            <w:bCs/>
            <w:color w:val="000000"/>
          </w:rPr>
          <w:t>TRASPARENCIA.pdf</w:t>
        </w:r>
      </w:hyperlink>
      <w:r w:rsidR="00E67821">
        <w:rPr>
          <w:rFonts w:ascii="Palatino Linotype" w:eastAsia="Palatino Linotype" w:hAnsi="Palatino Linotype" w:cs="Palatino Linotype"/>
        </w:rPr>
        <w:t>: Oficio suscrito por la Secretaria General del Partido Acción Nacional, mediante el cual, requirió una prórroga para atender la solicitud de información, derivado de la versión pública a realizar en las documentales requeridas.</w:t>
      </w:r>
    </w:p>
    <w:p w:rsidR="009C6806" w:rsidRDefault="009C6806">
      <w:pPr>
        <w:ind w:right="-591"/>
        <w:jc w:val="both"/>
        <w:rPr>
          <w:rFonts w:ascii="Palatino Linotype" w:eastAsia="Palatino Linotype" w:hAnsi="Palatino Linotype" w:cs="Palatino Linotype"/>
          <w:b/>
          <w:bCs/>
          <w:highlight w:val="yellow"/>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highlight w:val="white"/>
        </w:rPr>
        <w:t>El veinticuatro de noviembre de dos mil veinticinco,</w:t>
      </w:r>
      <w:r>
        <w:rPr>
          <w:rFonts w:ascii="Palatino Linotype" w:eastAsia="Palatino Linotype" w:hAnsi="Palatino Linotype" w:cs="Palatino Linotype"/>
          <w:b/>
          <w:bCs/>
          <w:highlight w:val="white"/>
        </w:rPr>
        <w:t xml:space="preserve"> </w:t>
      </w:r>
      <w:r>
        <w:rPr>
          <w:rFonts w:ascii="Palatino Linotype" w:eastAsia="Palatino Linotype" w:hAnsi="Palatino Linotype" w:cs="Palatino Linotype"/>
          <w:highlight w:val="white"/>
        </w:rPr>
        <w:t xml:space="preserve">el </w:t>
      </w:r>
      <w:r>
        <w:rPr>
          <w:rFonts w:ascii="Palatino Linotype" w:eastAsia="Palatino Linotype" w:hAnsi="Palatino Linotype" w:cs="Palatino Linotype"/>
          <w:b/>
          <w:bCs/>
          <w:highlight w:val="white"/>
        </w:rPr>
        <w:t>RECU</w:t>
      </w:r>
      <w:r>
        <w:rPr>
          <w:rFonts w:ascii="Palatino Linotype" w:eastAsia="Palatino Linotype" w:hAnsi="Palatino Linotype" w:cs="Palatino Linotype"/>
          <w:b/>
          <w:bCs/>
        </w:rPr>
        <w:t>RRENTE</w:t>
      </w:r>
      <w:r>
        <w:rPr>
          <w:rFonts w:ascii="Palatino Linotype" w:eastAsia="Palatino Linotype" w:hAnsi="Palatino Linotype" w:cs="Palatino Linotype"/>
        </w:rPr>
        <w:t xml:space="preserve"> interpuso el recurso de revisión en contra de la respuesta, señalando como:</w:t>
      </w:r>
    </w:p>
    <w:p w:rsidR="009C6806" w:rsidRDefault="009C6806">
      <w:pPr>
        <w:ind w:right="-591"/>
        <w:jc w:val="both"/>
        <w:rPr>
          <w:rFonts w:ascii="Palatino Linotype" w:eastAsia="Palatino Linotype" w:hAnsi="Palatino Linotype" w:cs="Palatino Linotype"/>
        </w:rPr>
      </w:pPr>
    </w:p>
    <w:p w:rsidR="009C6806" w:rsidRDefault="00E67821">
      <w:pPr>
        <w:numPr>
          <w:ilvl w:val="0"/>
          <w:numId w:val="1"/>
        </w:numPr>
        <w:ind w:right="-591"/>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"La respuesta que dio el Partido Acción Nacional a la solicitud de información 00061/PAN/IP/2025 “Solicito conocer los resultados obtenidos de la votación en la asamblea para la elección de Consejeros Estatales y Nacionales, En la asamblea Estatal en el Estado de México celebrada el día 12 de Octubre de 2025 Requiero saber la votación (número de votos) que obtuvo cada uno de los participantes tanto al consejo Estatal y al consejo Nacional Desde el primer lugar al último lugar, tanto en hombres como en mujeres”” (Sic)</w:t>
      </w:r>
    </w:p>
    <w:p w:rsidR="009C6806" w:rsidRDefault="009C6806">
      <w:pPr>
        <w:ind w:left="567" w:right="-591"/>
        <w:jc w:val="both"/>
        <w:rPr>
          <w:rFonts w:ascii="Palatino Linotype" w:eastAsia="Palatino Linotype" w:hAnsi="Palatino Linotype" w:cs="Palatino Linotype"/>
        </w:rPr>
      </w:pPr>
    </w:p>
    <w:p w:rsidR="009C6806" w:rsidRDefault="00E67821">
      <w:pPr>
        <w:numPr>
          <w:ilvl w:val="0"/>
          <w:numId w:val="6"/>
        </w:numPr>
        <w:ind w:right="-591"/>
        <w:jc w:val="both"/>
        <w:rPr>
          <w:rFonts w:ascii="Palatino Linotype" w:eastAsia="Palatino Linotype" w:hAnsi="Palatino Linotype" w:cs="Palatino Linotype"/>
        </w:rPr>
      </w:pPr>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color w:val="000000"/>
        </w:rPr>
        <w:t>“El Partido Acción nacional actuando de una manera alevosa y ventajosa, carga al sistema en forma de respuesta un oficio de la Secretaria General donde le pide al servidor habilitado lic en Derecho Juan Carlos Jandette Delgado para que tenga a bien convocar a sesión el comité de transparencia para la ampliación de plazo, prórroga, en incumplimiento no lo hace el servidor habilitado Y pretende dar respuesta a mi solicitud diciendo que me adjunta la Contestación de “La tesoreria” cuando me está remitiendo un oficio de la Secretaria General del Partido Acción Nacional del Estado de México de folio CDE/SG/102/2025 Entre sus incongruencias el Partido Acción Naciinal y el servidor público habilitado, Me están negando la información y violentando mi derecho a conocer la información pública que solicité Le daré seguimiento para que no Violen Derechos y se limiten hacer su trabajo y entreguen la información Pública solicitada” (Sic)</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9C6806" w:rsidRDefault="009C6806">
      <w:pPr>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dos de diciembre de dos mil veinticinco,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9C6806" w:rsidRDefault="009C6806">
      <w:pPr>
        <w:shd w:val="clear" w:color="auto" w:fill="FFFFFF"/>
        <w:ind w:right="-591"/>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El</w:t>
      </w:r>
      <w:r>
        <w:rPr>
          <w:rFonts w:ascii="Palatino Linotype" w:eastAsia="Palatino Linotype" w:hAnsi="Palatino Linotype" w:cs="Palatino Linotype"/>
          <w:highlight w:val="white"/>
        </w:rPr>
        <w:t xml:space="preserve"> </w:t>
      </w:r>
      <w:r>
        <w:rPr>
          <w:rFonts w:ascii="Palatino Linotype" w:eastAsia="Palatino Linotype" w:hAnsi="Palatino Linotype" w:cs="Palatino Linotype"/>
          <w:b/>
          <w:bCs/>
          <w:highlight w:val="white"/>
        </w:rPr>
        <w:t>SUJETO OBLIGADO</w:t>
      </w:r>
      <w:r>
        <w:rPr>
          <w:rFonts w:ascii="Palatino Linotype" w:eastAsia="Palatino Linotype" w:hAnsi="Palatino Linotype" w:cs="Palatino Linotype"/>
          <w:highlight w:val="white"/>
        </w:rPr>
        <w:t xml:space="preserve"> omitió rendir el informe justificado correspondiente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por su parte,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no presentó pruebas o alegatos que a su derecho conviniera.</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El veintisiete de mayo de dos mil veintiséis, se notificó el acuerdo mediante el cual se amplió el plazo para emitir resolución por un término de 15 días adicionales.</w:t>
      </w:r>
    </w:p>
    <w:p w:rsidR="009C6806" w:rsidRDefault="009C6806">
      <w:pPr>
        <w:spacing w:line="360" w:lineRule="auto"/>
        <w:ind w:right="-591"/>
        <w:jc w:val="both"/>
        <w:rPr>
          <w:rFonts w:ascii="Palatino Linotype" w:eastAsia="Palatino Linotype" w:hAnsi="Palatino Linotype" w:cs="Palatino Linotype"/>
        </w:rPr>
      </w:pPr>
    </w:p>
    <w:p w:rsidR="009C6806" w:rsidRPr="001107D4"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Ponente decretó el cierre de instrucción mediante el acuerdo del veintisiete de mayo de dos mil veintiséis.  —----------------------------------------------------------------</w:t>
      </w:r>
      <w:r w:rsidR="001107D4">
        <w:rPr>
          <w:rFonts w:ascii="Palatino Linotype" w:eastAsia="Palatino Linotype" w:hAnsi="Palatino Linotype" w:cs="Palatino Linotype"/>
        </w:rPr>
        <w:t>-</w:t>
      </w:r>
    </w:p>
    <w:p w:rsidR="001107D4" w:rsidRDefault="001107D4" w:rsidP="001107D4">
      <w:pPr>
        <w:pStyle w:val="Prrafodelista"/>
        <w:rPr>
          <w:rFonts w:ascii="Palatino Linotype" w:eastAsia="Palatino Linotype" w:hAnsi="Palatino Linotype" w:cs="Palatino Linotype"/>
          <w:b/>
          <w:bCs/>
        </w:rPr>
      </w:pPr>
    </w:p>
    <w:p w:rsidR="001107D4" w:rsidRDefault="001107D4" w:rsidP="001107D4">
      <w:pPr>
        <w:spacing w:line="360" w:lineRule="auto"/>
        <w:ind w:right="-591"/>
        <w:jc w:val="both"/>
        <w:rPr>
          <w:rFonts w:ascii="Palatino Linotype" w:eastAsia="Palatino Linotype" w:hAnsi="Palatino Linotype" w:cs="Palatino Linotype"/>
          <w:b/>
          <w:bCs/>
        </w:rPr>
      </w:pPr>
    </w:p>
    <w:p w:rsidR="009C6806" w:rsidRDefault="00E67821">
      <w:pPr>
        <w:keepNext/>
        <w:keepLines/>
        <w:spacing w:line="360" w:lineRule="auto"/>
        <w:ind w:right="-591"/>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9C6806" w:rsidRDefault="009C6806">
      <w:pPr>
        <w:keepNext/>
        <w:keepLines/>
        <w:ind w:right="-591"/>
        <w:rPr>
          <w:rFonts w:ascii="Palatino Linotype" w:eastAsia="Palatino Linotype" w:hAnsi="Palatino Linotype" w:cs="Palatino Linotype"/>
        </w:rPr>
      </w:pPr>
    </w:p>
    <w:p w:rsidR="009C6806" w:rsidRDefault="00E67821">
      <w:pPr>
        <w:keepNext/>
        <w:keepLines/>
        <w:spacing w:line="360" w:lineRule="auto"/>
        <w:ind w:right="-591"/>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bookmarkStart w:id="3" w:name="_heading=h.3znysh7" w:colFirst="0" w:colLast="0"/>
      <w:bookmarkEnd w:id="3"/>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keepNext/>
        <w:keepLines/>
        <w:spacing w:line="360" w:lineRule="auto"/>
        <w:ind w:right="-591"/>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bookmarkStart w:id="4" w:name="_heading=h.3dy6vkm"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doce de noviembre de dos mil veinticinco, de tal forma que el plazo para interponer el recurso de revisión transcurrió del trece de noviembre al cuatro de diciembre de dos mil veinticinco; en consecuencia, presentó su inconformidad el diecinueve de noviembre de dos mil veinticinco,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9C6806" w:rsidRDefault="009C6806">
      <w:pPr>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bookmarkStart w:id="5" w:name="_heading=h.57w9cmg752eu" w:colFirst="0" w:colLast="0"/>
      <w:bookmarkEnd w:id="5"/>
      <w:r>
        <w:rPr>
          <w:rFonts w:ascii="Palatino Linotype" w:eastAsia="Palatino Linotype" w:hAnsi="Palatino Linotype" w:cs="Palatino Linotype"/>
          <w:b/>
          <w:bCs/>
        </w:rPr>
        <w:t>TERCERO. Del Planteamiento de la Litis.</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solicitó conocer los resultados obtenidos de la votación en la Asamblea celebrada el 12 de octubre de 2025 para la elección de Consejeros Estatales y Nacionales, número de votos que obtuvo cada participante (hombres y mujeres), del primer al último lugar.</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 xml:space="preserve">emitió respuesta en términos del </w:t>
      </w:r>
      <w:r>
        <w:rPr>
          <w:rFonts w:ascii="Palatino Linotype" w:eastAsia="Palatino Linotype" w:hAnsi="Palatino Linotype" w:cs="Palatino Linotype"/>
          <w:b/>
          <w:bCs/>
        </w:rPr>
        <w:t>párrafo 3</w:t>
      </w:r>
      <w:r>
        <w:rPr>
          <w:rFonts w:ascii="Palatino Linotype" w:eastAsia="Palatino Linotype" w:hAnsi="Palatino Linotype" w:cs="Palatino Linotype"/>
        </w:rPr>
        <w:t xml:space="preserve"> de la presente resolución.</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En consecuencia,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se inconformó</w:t>
      </w:r>
      <w:r>
        <w:rPr>
          <w:rFonts w:ascii="Palatino Linotype" w:eastAsia="Palatino Linotype" w:hAnsi="Palatino Linotype" w:cs="Palatino Linotype"/>
          <w:b/>
          <w:bCs/>
        </w:rPr>
        <w:t xml:space="preserve"> </w:t>
      </w:r>
      <w:r>
        <w:rPr>
          <w:rFonts w:ascii="Palatino Linotype" w:eastAsia="Palatino Linotype" w:hAnsi="Palatino Linotype" w:cs="Palatino Linotype"/>
        </w:rPr>
        <w:t>por la</w:t>
      </w:r>
      <w:r>
        <w:rPr>
          <w:rFonts w:ascii="Palatino Linotype" w:eastAsia="Palatino Linotype" w:hAnsi="Palatino Linotype" w:cs="Palatino Linotype"/>
          <w:b/>
          <w:bCs/>
        </w:rPr>
        <w:t xml:space="preserve"> negativa de la información solicitada.</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Pr>
          <w:rFonts w:ascii="Palatino Linotype" w:eastAsia="Palatino Linotype" w:hAnsi="Palatino Linotype" w:cs="Palatino Linotype"/>
          <w:b/>
          <w:bCs/>
        </w:rPr>
        <w:t xml:space="preserve">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pStyle w:val="Ttulo2"/>
        <w:spacing w:before="0" w:line="360" w:lineRule="auto"/>
        <w:ind w:right="-59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CUARTA. Estudio y resolución del asunto.</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Pr>
          <w:rFonts w:ascii="Palatino Linotype" w:eastAsia="Palatino Linotype" w:hAnsi="Palatino Linotype" w:cs="Palatino Linotype"/>
        </w:rPr>
        <w:t>Particular</w:t>
      </w:r>
      <w:r>
        <w:rPr>
          <w:rFonts w:ascii="Palatino Linotype" w:eastAsia="Palatino Linotype" w:hAnsi="Palatino Linotype" w:cs="Palatino Linotype"/>
          <w:color w:val="000000"/>
        </w:rPr>
        <w:t xml:space="preserve"> del Estado de México.</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Definiendo </w:t>
      </w:r>
      <w:r>
        <w:rPr>
          <w:rFonts w:ascii="Palatino Linotype" w:eastAsia="Palatino Linotype" w:hAnsi="Palatino Linotype" w:cs="Palatino Linotype"/>
        </w:rPr>
        <w:t xml:space="preserve">el Derecho de Acceso a la Información Pública como: </w:t>
      </w:r>
      <w:r>
        <w:rPr>
          <w:rFonts w:ascii="Palatino Linotype" w:eastAsia="Palatino Linotype" w:hAnsi="Palatino Linotype" w:cs="Palatino Linotype"/>
          <w:i/>
          <w:iCs/>
          <w:color w:val="000000"/>
        </w:rPr>
        <w:t xml:space="preserve">La igualdad de </w:t>
      </w:r>
      <w:r>
        <w:rPr>
          <w:rFonts w:ascii="Palatino Linotype" w:eastAsia="Palatino Linotype" w:hAnsi="Palatino Linotype" w:cs="Palatino Linotype"/>
        </w:rPr>
        <w:t>oportunidades</w:t>
      </w:r>
      <w:r>
        <w:rPr>
          <w:rFonts w:ascii="Palatino Linotype" w:eastAsia="Palatino Linotype" w:hAnsi="Palatino Linotype" w:cs="Palatino Linotype"/>
          <w:i/>
          <w:iCs/>
          <w:color w:val="000000"/>
        </w:rPr>
        <w:t xml:space="preserve"> para recibir, buscar e impartir información</w:t>
      </w:r>
      <w:r>
        <w:rPr>
          <w:rFonts w:ascii="Palatino Linotype" w:eastAsia="Palatino Linotype" w:hAnsi="Palatino Linotype" w:cs="Palatino Linotype"/>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9C6806" w:rsidRDefault="009C6806">
      <w:pPr>
        <w:ind w:right="-591"/>
        <w:jc w:val="both"/>
        <w:rPr>
          <w:rFonts w:ascii="Palatino Linotype" w:eastAsia="Palatino Linotype" w:hAnsi="Palatino Linotype" w:cs="Palatino Linotype"/>
          <w:b/>
          <w:bCs/>
        </w:rPr>
      </w:pPr>
    </w:p>
    <w:p w:rsidR="009C6806" w:rsidRDefault="00E67821">
      <w:pPr>
        <w:numPr>
          <w:ilvl w:val="0"/>
          <w:numId w:val="2"/>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9C6806" w:rsidRDefault="009C6806">
      <w:pPr>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9C6806" w:rsidRDefault="009C6806">
      <w:pPr>
        <w:tabs>
          <w:tab w:val="left" w:pos="426"/>
          <w:tab w:val="left" w:pos="567"/>
        </w:tabs>
        <w:ind w:left="567" w:right="-591"/>
        <w:jc w:val="both"/>
        <w:rPr>
          <w:rFonts w:ascii="Palatino Linotype" w:eastAsia="Palatino Linotype" w:hAnsi="Palatino Linotype" w:cs="Palatino Linotype"/>
          <w:color w:val="000000"/>
        </w:rPr>
      </w:pP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1107D4" w:rsidRDefault="001107D4">
      <w:pPr>
        <w:ind w:left="567"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Según </w:t>
      </w:r>
      <w:r>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 xml:space="preserve">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9C6806" w:rsidRDefault="009C6806">
      <w:pPr>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w:t>
      </w:r>
      <w:r>
        <w:rPr>
          <w:rFonts w:ascii="Palatino Linotype" w:eastAsia="Palatino Linotype" w:hAnsi="Palatino Linotype" w:cs="Palatino Linotype"/>
          <w:highlight w:val="white"/>
        </w:rPr>
        <w:t xml:space="preserve"> la Ley de Transparencia y Acceso a la Información Pública del </w:t>
      </w:r>
      <w:r>
        <w:rPr>
          <w:rFonts w:ascii="Palatino Linotype" w:eastAsia="Palatino Linotype" w:hAnsi="Palatino Linotype" w:cs="Palatino Linotype"/>
          <w:highlight w:val="white"/>
        </w:rPr>
        <w:lastRenderedPageBreak/>
        <w:t>Estado de México y Municipios y en segundo término si cumplió con su deber de respetar y garantizar el derecho, entregando la información solicitada.</w:t>
      </w:r>
    </w:p>
    <w:p w:rsidR="009C6806" w:rsidRDefault="009C6806">
      <w:pPr>
        <w:ind w:right="-591"/>
        <w:rPr>
          <w:rFonts w:ascii="Palatino Linotype" w:eastAsia="Palatino Linotype" w:hAnsi="Palatino Linotype" w:cs="Palatino Linotype"/>
          <w:b/>
          <w:bCs/>
          <w:highlight w:val="white"/>
        </w:rPr>
      </w:pPr>
    </w:p>
    <w:p w:rsidR="009C6806" w:rsidRDefault="00E67821">
      <w:pPr>
        <w:keepNext/>
        <w:keepLines/>
        <w:numPr>
          <w:ilvl w:val="1"/>
          <w:numId w:val="3"/>
        </w:numPr>
        <w:spacing w:line="360" w:lineRule="auto"/>
        <w:ind w:left="567" w:right="-591"/>
        <w:jc w:val="both"/>
        <w:rPr>
          <w:rFonts w:ascii="Palatino Linotype" w:eastAsia="Palatino Linotype" w:hAnsi="Palatino Linotype" w:cs="Palatino Linotype"/>
          <w:b/>
          <w:bCs/>
          <w:highlight w:val="white"/>
        </w:rPr>
      </w:pPr>
      <w:r>
        <w:rPr>
          <w:rFonts w:ascii="Palatino Linotype" w:eastAsia="Palatino Linotype" w:hAnsi="Palatino Linotype" w:cs="Palatino Linotype"/>
          <w:b/>
          <w:bCs/>
          <w:highlight w:val="white"/>
        </w:rPr>
        <w:t>De la información solicitada y la respuesta del SUJETO OBLIGADO.</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bookmarkStart w:id="6" w:name="_heading=h.30j0zll" w:colFirst="0" w:colLast="0"/>
      <w:bookmarkEnd w:id="6"/>
      <w:r>
        <w:rPr>
          <w:rFonts w:ascii="Palatino Linotype" w:eastAsia="Palatino Linotype" w:hAnsi="Palatino Linotype" w:cs="Palatino Linotype"/>
          <w:highlight w:val="white"/>
        </w:rPr>
        <w:t>Derivado del Planteamiento de la Litis, se procede a a</w:t>
      </w:r>
      <w:r>
        <w:rPr>
          <w:rFonts w:ascii="Palatino Linotype" w:eastAsia="Palatino Linotype" w:hAnsi="Palatino Linotype" w:cs="Palatino Linotype"/>
        </w:rPr>
        <w:t>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9C6806" w:rsidRDefault="009C6806">
      <w:pPr>
        <w:spacing w:line="360" w:lineRule="auto"/>
        <w:ind w:left="357" w:right="-591"/>
        <w:jc w:val="both"/>
        <w:rPr>
          <w:rFonts w:ascii="Palatino Linotype" w:eastAsia="Palatino Linotype" w:hAnsi="Palatino Linotype" w:cs="Palatino Linotype"/>
        </w:rPr>
      </w:pPr>
      <w:bookmarkStart w:id="7" w:name="_heading=h.dpn8pbedmrn7" w:colFirst="0" w:colLast="0"/>
      <w:bookmarkEnd w:id="7"/>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Así, resulta conveniente reiterar la información solicitada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así como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mediante el siguiente cuadro descriptivo:</w:t>
      </w:r>
    </w:p>
    <w:p w:rsidR="009C6806" w:rsidRDefault="009C6806">
      <w:pPr>
        <w:spacing w:line="360" w:lineRule="auto"/>
        <w:ind w:right="-591"/>
        <w:jc w:val="both"/>
        <w:rPr>
          <w:rFonts w:ascii="Palatino Linotype" w:eastAsia="Palatino Linotype" w:hAnsi="Palatino Linotype" w:cs="Palatino Linotype"/>
        </w:rPr>
      </w:pPr>
    </w:p>
    <w:tbl>
      <w:tblPr>
        <w:tblStyle w:val="a"/>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4125"/>
        <w:gridCol w:w="2311"/>
      </w:tblGrid>
      <w:tr w:rsidR="009C6806" w:rsidTr="001107D4">
        <w:trPr>
          <w:jc w:val="center"/>
        </w:trPr>
        <w:tc>
          <w:tcPr>
            <w:tcW w:w="3765" w:type="dxa"/>
            <w:shd w:val="clear" w:color="auto" w:fill="D9D9D9"/>
          </w:tcPr>
          <w:p w:rsidR="009C6806" w:rsidRDefault="00E67821">
            <w:pPr>
              <w:ind w:right="45"/>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4125" w:type="dxa"/>
            <w:tcBorders>
              <w:right w:val="single" w:sz="4" w:space="0" w:color="000000"/>
            </w:tcBorders>
            <w:shd w:val="clear" w:color="auto" w:fill="D9D9D9"/>
          </w:tcPr>
          <w:p w:rsidR="009C6806" w:rsidRDefault="00E67821">
            <w:pPr>
              <w:ind w:right="45"/>
              <w:jc w:val="center"/>
              <w:rPr>
                <w:rFonts w:ascii="Palatino Linotype" w:eastAsia="Palatino Linotype" w:hAnsi="Palatino Linotype" w:cs="Palatino Linotype"/>
                <w:b/>
                <w:bCs/>
              </w:rPr>
            </w:pPr>
            <w:r>
              <w:rPr>
                <w:rFonts w:ascii="Palatino Linotype" w:eastAsia="Palatino Linotype" w:hAnsi="Palatino Linotype" w:cs="Palatino Linotype"/>
                <w:b/>
                <w:bCs/>
              </w:rPr>
              <w:t>Respuesta</w:t>
            </w:r>
          </w:p>
        </w:tc>
        <w:tc>
          <w:tcPr>
            <w:tcW w:w="2311" w:type="dxa"/>
            <w:tcBorders>
              <w:left w:val="single" w:sz="4" w:space="0" w:color="000000"/>
              <w:right w:val="single" w:sz="4" w:space="0" w:color="000000"/>
            </w:tcBorders>
            <w:shd w:val="clear" w:color="auto" w:fill="D9D9D9"/>
          </w:tcPr>
          <w:p w:rsidR="009C6806" w:rsidRDefault="00E67821">
            <w:pPr>
              <w:ind w:right="45"/>
              <w:jc w:val="center"/>
              <w:rPr>
                <w:rFonts w:ascii="Palatino Linotype" w:eastAsia="Palatino Linotype" w:hAnsi="Palatino Linotype" w:cs="Palatino Linotype"/>
                <w:b/>
                <w:bCs/>
              </w:rPr>
            </w:pPr>
            <w:r>
              <w:rPr>
                <w:rFonts w:ascii="Palatino Linotype" w:eastAsia="Palatino Linotype" w:hAnsi="Palatino Linotype" w:cs="Palatino Linotype"/>
                <w:b/>
                <w:bCs/>
              </w:rPr>
              <w:t>Comentario</w:t>
            </w:r>
          </w:p>
        </w:tc>
      </w:tr>
      <w:tr w:rsidR="009C6806" w:rsidTr="001107D4">
        <w:trPr>
          <w:trHeight w:val="1928"/>
          <w:jc w:val="center"/>
        </w:trPr>
        <w:tc>
          <w:tcPr>
            <w:tcW w:w="3765" w:type="dxa"/>
          </w:tcPr>
          <w:p w:rsidR="009C6806" w:rsidRDefault="00E67821">
            <w:pPr>
              <w:ind w:right="45"/>
              <w:jc w:val="both"/>
              <w:rPr>
                <w:rFonts w:ascii="Palatino Linotype" w:eastAsia="Palatino Linotype" w:hAnsi="Palatino Linotype" w:cs="Palatino Linotype"/>
              </w:rPr>
            </w:pPr>
            <w:bookmarkStart w:id="8" w:name="_heading=h.sg69pjfuscz6" w:colFirst="0" w:colLast="0"/>
            <w:bookmarkEnd w:id="8"/>
            <w:r>
              <w:rPr>
                <w:rFonts w:ascii="Palatino Linotype" w:eastAsia="Palatino Linotype" w:hAnsi="Palatino Linotype" w:cs="Palatino Linotype"/>
              </w:rPr>
              <w:t>Resultados obtenidos de la votación en la Asamblea celebrada el 12 de octubre de 2025 para la elección de Consejeros Estatales y Nacionales, número de votos que obtuvo cada participante (hombres y mujeres), del primer al último lugar.</w:t>
            </w:r>
          </w:p>
        </w:tc>
        <w:tc>
          <w:tcPr>
            <w:tcW w:w="4125" w:type="dxa"/>
            <w:tcBorders>
              <w:right w:val="single" w:sz="4" w:space="0" w:color="000000"/>
            </w:tcBorders>
          </w:tcPr>
          <w:p w:rsidR="009C6806" w:rsidRDefault="00E67821">
            <w:pPr>
              <w:ind w:right="45"/>
              <w:jc w:val="both"/>
              <w:rPr>
                <w:rFonts w:ascii="Palatino Linotype" w:eastAsia="Palatino Linotype" w:hAnsi="Palatino Linotype" w:cs="Palatino Linotype"/>
                <w:b/>
                <w:bCs/>
                <w:color w:val="000000"/>
              </w:rPr>
            </w:pPr>
            <w:r>
              <w:rPr>
                <w:rFonts w:ascii="Palatino Linotype" w:eastAsia="Palatino Linotype" w:hAnsi="Palatino Linotype" w:cs="Palatino Linotype"/>
              </w:rPr>
              <w:t>La Secretaria General del Partido Acción Nacional, requirió una prórroga para atender la solicitud de información, derivado de la versión pública a realizar en las documentales requeridas.</w:t>
            </w:r>
          </w:p>
          <w:p w:rsidR="009C6806" w:rsidRDefault="009C6806">
            <w:pPr>
              <w:ind w:right="45"/>
              <w:jc w:val="both"/>
              <w:rPr>
                <w:rFonts w:ascii="Palatino Linotype" w:eastAsia="Palatino Linotype" w:hAnsi="Palatino Linotype" w:cs="Palatino Linotype"/>
                <w:highlight w:val="white"/>
              </w:rPr>
            </w:pPr>
          </w:p>
        </w:tc>
        <w:tc>
          <w:tcPr>
            <w:tcW w:w="2311" w:type="dxa"/>
            <w:tcBorders>
              <w:left w:val="single" w:sz="4" w:space="0" w:color="000000"/>
              <w:right w:val="single" w:sz="4" w:space="0" w:color="000000"/>
            </w:tcBorders>
          </w:tcPr>
          <w:p w:rsidR="009C6806" w:rsidRDefault="00E67821">
            <w:pPr>
              <w:ind w:right="45"/>
              <w:jc w:val="both"/>
              <w:rPr>
                <w:rFonts w:ascii="Palatino Linotype" w:eastAsia="Palatino Linotype" w:hAnsi="Palatino Linotype" w:cs="Palatino Linotype"/>
                <w:highlight w:val="white"/>
              </w:rPr>
            </w:pPr>
            <w:r>
              <w:rPr>
                <w:rFonts w:ascii="Palatino Linotype" w:eastAsia="Palatino Linotype" w:hAnsi="Palatino Linotype" w:cs="Palatino Linotype"/>
                <w:highlight w:val="white"/>
              </w:rPr>
              <w:t>El requerimiento no fue atendido, no se proporcionaron las documentales solicitadas.</w:t>
            </w:r>
          </w:p>
        </w:tc>
      </w:tr>
    </w:tbl>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t>Inconforme con la respuesta,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manifestó </w:t>
      </w:r>
      <w:r>
        <w:rPr>
          <w:rFonts w:ascii="Palatino Linotype" w:eastAsia="Palatino Linotype" w:hAnsi="Palatino Linotype" w:cs="Palatino Linotype"/>
          <w:b/>
          <w:bCs/>
        </w:rPr>
        <w:t>la negativa de la información solicitada.</w:t>
      </w:r>
    </w:p>
    <w:p w:rsidR="009C6806" w:rsidRDefault="00E67821">
      <w:pPr>
        <w:numPr>
          <w:ilvl w:val="0"/>
          <w:numId w:val="2"/>
        </w:numPr>
        <w:spacing w:line="360" w:lineRule="auto"/>
        <w:ind w:left="0" w:right="-591"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Ahora bien, en atención a lo expuesto en el cuadro descriptivo, es necesario señalar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misma, </w:t>
      </w:r>
      <w:r>
        <w:rPr>
          <w:rFonts w:ascii="Palatino Linotype" w:eastAsia="Palatino Linotype" w:hAnsi="Palatino Linotype" w:cs="Palatino Linotype"/>
          <w:b/>
          <w:bCs/>
        </w:rPr>
        <w:t>tan es así que requirió una prórroga para atender la solicitud de información, derivado de la versión pública a realizar en las documentales requeridas, sin embargo, omitió proporcionar las mismas.</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29.</w:t>
      </w:r>
      <w:r>
        <w:rPr>
          <w:rFonts w:ascii="Palatino Linotype" w:eastAsia="Palatino Linotype" w:hAnsi="Palatino Linotype" w:cs="Palatino Linotype"/>
        </w:rPr>
        <w:t xml:space="preserve"> Ahora bien, el hecho 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12. </w:t>
      </w:r>
      <w:r>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9C6806" w:rsidRDefault="009C6806">
      <w:pPr>
        <w:ind w:left="566" w:right="-591"/>
        <w:jc w:val="both"/>
        <w:rPr>
          <w:rFonts w:ascii="Palatino Linotype" w:eastAsia="Palatino Linotype" w:hAnsi="Palatino Linotype" w:cs="Palatino Linotype"/>
          <w:i/>
          <w:iCs/>
        </w:rPr>
      </w:pP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t>30.</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Precisado lo anterior,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31. </w:t>
      </w:r>
      <w:r>
        <w:rPr>
          <w:rFonts w:ascii="Palatino Linotype" w:eastAsia="Palatino Linotype" w:hAnsi="Palatino Linotype" w:cs="Palatino Linotype"/>
          <w:color w:val="000000"/>
        </w:rPr>
        <w:t>En este sentido, para atender las solicitudes de información, los Sujetos Obligados contarán con un área denominada Unidad de Transparencia 5,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p>
    <w:p w:rsidR="009C6806" w:rsidRDefault="009C6806">
      <w:pPr>
        <w:ind w:right="-591"/>
        <w:rPr>
          <w:rFonts w:ascii="Palatino Linotype" w:eastAsia="Palatino Linotype" w:hAnsi="Palatino Linotype" w:cs="Palatino Linotype"/>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32. </w:t>
      </w: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Recibir, tramitar y dar respuesta a las solicitudes de acceso a la información;</w:t>
      </w:r>
    </w:p>
    <w:p w:rsidR="009C6806" w:rsidRDefault="00E67821" w:rsidP="001107D4">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Realizar, con efectividad, los trámites internos necesarios para la atención de las</w:t>
      </w:r>
      <w:r w:rsidR="001107D4">
        <w:rPr>
          <w:rFonts w:ascii="Palatino Linotype" w:eastAsia="Palatino Linotype" w:hAnsi="Palatino Linotype" w:cs="Palatino Linotype"/>
        </w:rPr>
        <w:t xml:space="preserve"> s</w:t>
      </w:r>
      <w:r>
        <w:rPr>
          <w:rFonts w:ascii="Palatino Linotype" w:eastAsia="Palatino Linotype" w:hAnsi="Palatino Linotype" w:cs="Palatino Linotype"/>
        </w:rPr>
        <w:t>olicitudes de acceso a la información;</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Entregar, en su caso, a los particulares la información solicitada; y</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Efectuar las notificaciones a los solicitantes.</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33.</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propuesta del responsable de la Unidad de Transparencia 7 y tendrán, entre sus atribuciones, las siguientes:</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Localizar la información que le solicite la Unidad de Transparencia; y</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 Proporcionar la información que obre en los archivos y que le sea solicitada por la</w:t>
      </w:r>
    </w:p>
    <w:p w:rsidR="009C6806" w:rsidRDefault="00E67821">
      <w:pPr>
        <w:ind w:left="566" w:right="-591"/>
        <w:jc w:val="both"/>
        <w:rPr>
          <w:rFonts w:ascii="Palatino Linotype" w:eastAsia="Palatino Linotype" w:hAnsi="Palatino Linotype" w:cs="Palatino Linotype"/>
        </w:rPr>
      </w:pPr>
      <w:r>
        <w:rPr>
          <w:rFonts w:ascii="Palatino Linotype" w:eastAsia="Palatino Linotype" w:hAnsi="Palatino Linotype" w:cs="Palatino Linotype"/>
        </w:rPr>
        <w:t>Unidad de Transparencia.</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34.</w:t>
      </w:r>
      <w:r>
        <w:rPr>
          <w:rFonts w:ascii="Palatino Linotype" w:eastAsia="Palatino Linotype" w:hAnsi="Palatino Linotype" w:cs="Palatino Linotype"/>
        </w:rPr>
        <w:t xml:space="preserve"> De tal manera que cada una de las áreas administrativas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contar con un servidor público habilitado, quien será, a su vez, el enlace entre la Unidad de </w:t>
      </w:r>
      <w:r>
        <w:rPr>
          <w:rFonts w:ascii="Palatino Linotype" w:eastAsia="Palatino Linotype" w:hAnsi="Palatino Linotype" w:cs="Palatino Linotype"/>
        </w:rPr>
        <w:lastRenderedPageBreak/>
        <w:t>Transparencia y el área administrativa, y se encargará de buscar, localizar y proporcionar la información que se requiera a través de las solicitudes de acceso a la información.</w:t>
      </w:r>
    </w:p>
    <w:p w:rsidR="001107D4" w:rsidRDefault="001107D4">
      <w:pPr>
        <w:spacing w:line="360" w:lineRule="auto"/>
        <w:ind w:right="-591"/>
        <w:jc w:val="both"/>
        <w:rPr>
          <w:rFonts w:ascii="Palatino Linotype" w:eastAsia="Palatino Linotype" w:hAnsi="Palatino Linotype" w:cs="Palatino Linotype"/>
          <w:b/>
          <w:bCs/>
        </w:rPr>
      </w:pPr>
    </w:p>
    <w:p w:rsidR="009C6806" w:rsidRPr="001107D4"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35.</w:t>
      </w:r>
      <w:r>
        <w:rPr>
          <w:rFonts w:ascii="Palatino Linotype" w:eastAsia="Palatino Linotype" w:hAnsi="Palatino Linotype" w:cs="Palatino Linotype"/>
        </w:rPr>
        <w:t xml:space="preserve"> Aunado a lo anterior, la Ley de Transparencia y Acceso a la Información Pública del</w:t>
      </w:r>
      <w:r w:rsidR="001107D4">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Estado de México y Municipios, en su artículo 53, establece </w:t>
      </w:r>
      <w:r w:rsidR="001107D4">
        <w:rPr>
          <w:rFonts w:ascii="Palatino Linotype" w:eastAsia="Palatino Linotype" w:hAnsi="Palatino Linotype" w:cs="Palatino Linotype"/>
        </w:rPr>
        <w:t>las funciones correspondientes ésta</w:t>
      </w:r>
      <w:r>
        <w:rPr>
          <w:rFonts w:ascii="Palatino Linotype" w:eastAsia="Palatino Linotype" w:hAnsi="Palatino Linotype" w:cs="Palatino Linotype"/>
        </w:rPr>
        <w:t xml:space="preserve"> Unidad; mismas que se inserta a continuación:</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II. Recibir, tramitar y dar respuesta a las solicitudes de acceso a la información;</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III. Auxiliar a los particulares en la elaboración de solicitudes de acceso a la información y, en su caso, orientarlos sobre los sujetos obligados competentes conforme a la normatividad aplicable;</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IV. Realizar, con efectividad, los trámites internos necesarios para la atención de las solicitudes de acceso a la información;</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V. Entregar, en su caso, a los particulares la información solicitada;</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VI. Efectuar las notificaciones a los solicitantes;</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VII. Proponer al Comité de Transparencia, los procedimientos internos que aseguren la mayor eficiencia en la gestión de las solicitudes de acceso a la información, conforme a la normatividad aplicable;</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VIII. Proponer a quien preside el Comité de Transparencia, personal habilitado que sea necesario para recibir y dar trámite a las solicitudes de acceso a la información;</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IX. Llevar un registro de las solicitudes de acceso a la información, sus respuestas, resultados, costos de reproducción y envío, resolución a los recursos de revisión que se hayan emitido en contra de sus respuestas y del cumplimiento de las mismas;</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X. Presentar ante el Comité, el proyecto de clasificación de información;</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XI. Promover e implementar políticas de transparencia proactiva procurando su accesibilidad;</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XII. Fomentar la transparencia y accesibilidad al interior del sujeto obligado;</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XIII. Hacer del conocimiento de la instancia competente la probable responsabilidad por el incumplimiento de las obligaciones previstas en la presente Ley; y</w:t>
      </w: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XIV. Las demás que resulten necesarias para facilitar el acceso a la información y aquellas que se desprenden de la presente Ley y demás disposiciones jurídicas aplicables. (…) </w:t>
      </w:r>
    </w:p>
    <w:p w:rsidR="009C6806" w:rsidRDefault="009C6806">
      <w:pPr>
        <w:ind w:left="566" w:right="-591"/>
        <w:jc w:val="both"/>
        <w:rPr>
          <w:rFonts w:ascii="Palatino Linotype" w:eastAsia="Palatino Linotype" w:hAnsi="Palatino Linotype" w:cs="Palatino Linotype"/>
          <w:i/>
          <w:iCs/>
        </w:rPr>
      </w:pPr>
    </w:p>
    <w:p w:rsidR="009C6806" w:rsidRDefault="00E67821">
      <w:pPr>
        <w:ind w:left="566"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9C6806" w:rsidRDefault="009C6806">
      <w:pPr>
        <w:ind w:right="-591"/>
        <w:jc w:val="both"/>
        <w:rPr>
          <w:rFonts w:ascii="Palatino Linotype" w:eastAsia="Palatino Linotype" w:hAnsi="Palatino Linotype" w:cs="Palatino Linotype"/>
          <w:b/>
          <w:bCs/>
        </w:rPr>
      </w:pPr>
    </w:p>
    <w:p w:rsidR="001107D4" w:rsidRDefault="001107D4">
      <w:pPr>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36. </w:t>
      </w:r>
      <w:r>
        <w:rPr>
          <w:rFonts w:ascii="Palatino Linotype" w:eastAsia="Palatino Linotype" w:hAnsi="Palatino Linotype" w:cs="Palatino Linotype"/>
        </w:rPr>
        <w:t>De lo expuesto y con relación a lo solicitado, se tiene que, en efecto, la Unidad de Transparencia es la encargada de recibir, tramitar y dar respuesta a las solicitudes de acceso a la información.</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37. </w:t>
      </w:r>
      <w:r>
        <w:rPr>
          <w:rFonts w:ascii="Palatino Linotype" w:eastAsia="Palatino Linotype" w:hAnsi="Palatino Linotype" w:cs="Palatino Linotype"/>
        </w:rPr>
        <w:t xml:space="preserve">En atención a lo anterior, se advierte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se pronunció por medio del Servidor Público Habilitado de la</w:t>
      </w:r>
      <w:r>
        <w:rPr>
          <w:rFonts w:ascii="Palatino Linotype" w:eastAsia="Palatino Linotype" w:hAnsi="Palatino Linotype" w:cs="Palatino Linotype"/>
          <w:b/>
          <w:bCs/>
        </w:rPr>
        <w:t xml:space="preserve"> Secretaría General del Partido Acción Nacional.</w:t>
      </w:r>
    </w:p>
    <w:p w:rsidR="009C6806" w:rsidRDefault="009C6806">
      <w:pPr>
        <w:pBdr>
          <w:top w:val="nil"/>
          <w:left w:val="nil"/>
          <w:bottom w:val="nil"/>
          <w:right w:val="nil"/>
          <w:between w:val="nil"/>
        </w:pBdr>
        <w:ind w:left="720" w:right="-591"/>
        <w:rPr>
          <w:rFonts w:ascii="Palatino Linotype" w:eastAsia="Palatino Linotype" w:hAnsi="Palatino Linotype" w:cs="Palatino Linotype"/>
          <w:b/>
          <w:bCs/>
          <w:color w:val="000000"/>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 xml:space="preserve">38. </w:t>
      </w:r>
      <w:r>
        <w:rPr>
          <w:rFonts w:ascii="Palatino Linotype" w:eastAsia="Palatino Linotype" w:hAnsi="Palatino Linotype" w:cs="Palatino Linotype"/>
        </w:rPr>
        <w:t>En atención a lo anterior, el Plan de Trabajo del Partido Acción Nacional, establece que la Secretaría General cuenta con las siguientes funciones:</w:t>
      </w:r>
    </w:p>
    <w:p w:rsidR="009C6806" w:rsidRDefault="00E67821">
      <w:pPr>
        <w:ind w:left="567" w:right="-591"/>
        <w:jc w:val="both"/>
        <w:rPr>
          <w:rFonts w:ascii="Palatino Linotype" w:eastAsia="Palatino Linotype" w:hAnsi="Palatino Linotype" w:cs="Palatino Linotype"/>
          <w:b/>
          <w:bCs/>
        </w:rPr>
      </w:pPr>
      <w:r>
        <w:rPr>
          <w:rFonts w:ascii="Palatino Linotype" w:eastAsia="Palatino Linotype" w:hAnsi="Palatino Linotype" w:cs="Palatino Linotype"/>
          <w:b/>
          <w:bCs/>
        </w:rPr>
        <w:t>• Cumplir y hacer cumplir los Estatutos del Partido, así como demás reglamentación existente para el ordenado funcionamiento de Acción Nacional.</w:t>
      </w:r>
    </w:p>
    <w:p w:rsidR="009C6806" w:rsidRDefault="00E67821">
      <w:pPr>
        <w:ind w:left="567"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Publicar y dar seguimiento a los procesos correspondientes. </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rPr>
        <w:t xml:space="preserve">• Dirigir y coordinar el desarrollo de las Sesiones ordinarias y extraordinarias del Comité Directivo Estatal. </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rPr>
        <w:t>• Coordinar la organización y custodia del Archivo General del Partido Acción Nacional.</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rPr>
        <w:t>• Emitir en su carácter de Secretaría General las convocatorias correspondientes para los procesos electorales.</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rPr>
        <w:t xml:space="preserve">• Convocar, previo acuerdo con la Presidencia a las Sesiones correspondientes. </w:t>
      </w:r>
    </w:p>
    <w:p w:rsidR="009C6806" w:rsidRDefault="00E67821">
      <w:pPr>
        <w:ind w:left="567"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Convocar y coordinar el trabajo de las comisiones permanentes, Consejo Estatal y Comité Directivo Estatal </w:t>
      </w:r>
    </w:p>
    <w:p w:rsidR="009C6806" w:rsidRDefault="00E67821">
      <w:pPr>
        <w:ind w:left="567" w:right="-591"/>
        <w:jc w:val="both"/>
        <w:rPr>
          <w:rFonts w:ascii="Palatino Linotype" w:eastAsia="Palatino Linotype" w:hAnsi="Palatino Linotype" w:cs="Palatino Linotype"/>
        </w:rPr>
      </w:pPr>
      <w:r>
        <w:rPr>
          <w:rFonts w:ascii="Palatino Linotype" w:eastAsia="Palatino Linotype" w:hAnsi="Palatino Linotype" w:cs="Palatino Linotype"/>
        </w:rPr>
        <w:t xml:space="preserve">• Realizar todas aquellas actividades que se deriven de la naturaleza de su cargo y las que le asigne por delegación la Presidencia. </w:t>
      </w:r>
    </w:p>
    <w:p w:rsidR="009C6806" w:rsidRDefault="00E67821">
      <w:pPr>
        <w:ind w:left="567" w:right="-591"/>
        <w:jc w:val="both"/>
        <w:rPr>
          <w:rFonts w:ascii="Palatino Linotype" w:eastAsia="Palatino Linotype" w:hAnsi="Palatino Linotype" w:cs="Palatino Linotype"/>
          <w:b/>
          <w:bCs/>
        </w:rPr>
      </w:pPr>
      <w:r>
        <w:rPr>
          <w:rFonts w:ascii="Palatino Linotype" w:eastAsia="Palatino Linotype" w:hAnsi="Palatino Linotype" w:cs="Palatino Linotype"/>
        </w:rPr>
        <w:t>• Las demás que establezcan las normas y disposiciones reglamentarias del Partido Acción Nacional.</w:t>
      </w: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39. </w:t>
      </w:r>
      <w:r>
        <w:rPr>
          <w:rFonts w:ascii="Palatino Linotype" w:eastAsia="Palatino Linotype" w:hAnsi="Palatino Linotype" w:cs="Palatino Linotype"/>
        </w:rPr>
        <w:t>Correlativo a lo anterior, el Reglamento de los Órganos Estatales y Municipales, establece lo siguiente:</w:t>
      </w:r>
    </w:p>
    <w:p w:rsidR="009C6806" w:rsidRDefault="00E67821">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TÍTULO PRIMERO</w:t>
      </w:r>
    </w:p>
    <w:p w:rsidR="009C6806" w:rsidRDefault="00E67821">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ÓRGANOS ESTATALES DEL PARTIDO ACCIÓN NACIONAL</w:t>
      </w:r>
    </w:p>
    <w:p w:rsidR="009C6806" w:rsidRDefault="00E67821">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PRIMERO DE LAS ASAMBLEAS ESTATALES</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La Asamblea Estatal se reunirá por lo menos una vez cada tres años.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Será convocada en los términos del artículo 50, numeral 2, de los Estatutos y se ocupará de: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Conocer el informe del Presidente del Comité Directivo Estatal sobre las actividades generales y el estado que guarda la organización del Partido en la entidad durante el tiempo transcurrido desde el informe anterior;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Elegir a los miembros del Consejo Estatal;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Elegir a los consejeros que correspondan a la entidad para integrar el Consejo Nacional; y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Cualquier otro asunto de política general del Partido en la entidad, que le someta a su consideración el Comité Directivo Estatal o el Comité Ejecutivo Nacional.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w:t>
      </w:r>
      <w:r>
        <w:rPr>
          <w:rFonts w:ascii="Palatino Linotype" w:eastAsia="Palatino Linotype" w:hAnsi="Palatino Linotype" w:cs="Palatino Linotype"/>
          <w:i/>
          <w:iCs/>
        </w:rPr>
        <w:t xml:space="preserve"> La convocatoria a la asamblea será expedida por el Comité Directivo Estatal, previa autorización del Comité Ejecutivo Nacional, y será publicada con, por lo menos, 60 días de anticipación a la fecha fijada para su celebración y deberá señalar fecha, hora, lugar, así como contener el orden del día. Para el caso de los incisos b) y c) del artículo anterior, los tiempos de publicación se regularán en el manual que emita la Secretaría Nacional de Fortalecimiento Interno que incluirá el cronograma de los procesos de la elección de consejeros. La convocatoria incluirá los lineamientos que establezca la Secretaría Nacional de Formación y Capacitación, para el proceso de evaluación de aspirantes a consejeros.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La Asamblea Estatal se integrará y sus acuerdos serán válidos cuando estén presentes la Comisión Permanente Estatal o la delegación que ésta designe y por lo menos más de la mitad de las delegaciones acreditadas en tiempo y forma, teniendo que ser igual o mayor al tercio de los comités directivos municipales y delegaciones municipales de la entidad.</w:t>
      </w:r>
    </w:p>
    <w:p w:rsidR="009C6806" w:rsidRDefault="009C6806">
      <w:pPr>
        <w:ind w:left="567" w:right="-591"/>
        <w:jc w:val="both"/>
        <w:rPr>
          <w:rFonts w:ascii="Palatino Linotype" w:eastAsia="Palatino Linotype" w:hAnsi="Palatino Linotype" w:cs="Palatino Linotype"/>
          <w:b/>
          <w:bCs/>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Se tendrán por presentes las delegaciones cuando se registre la mayoría de sus respectivos delegados numerarios acreditados ante el Comité Directivo Estatal. Las delegaciones presentes tendrán derecho de voto cuando lo ejerzan, por lo menos, la mayoría de sus miembros registrados.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Los militantes acreditados en tiempo y forma por sus comités tendrán el carácter de delegados numerarios con derecho a voz y voto.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5.</w:t>
      </w:r>
      <w:r>
        <w:rPr>
          <w:rFonts w:ascii="Palatino Linotype" w:eastAsia="Palatino Linotype" w:hAnsi="Palatino Linotype" w:cs="Palatino Linotype"/>
          <w:i/>
          <w:iCs/>
        </w:rPr>
        <w:t xml:space="preserve"> Podrán acreditarse como delegados numerarios a una Asamblea Estatal, los integrantes de la Comisión Permanente Estatal y los comités directivos municipales, debidamente inscritos en el Registro Nacional de Estructuras.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Serán delegados numerarios: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Los miembros de la Comisión Permanente Estatal o de la delegación que éste designe de entre sus miembros,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Los Presidentes de los comités directivos municipales y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Los militantes del Partido en el municipio que hayan acreditado el cumplimiento de sus obligaciones en los términos de los artículos 12 y 13 de los Estatutos, no se encuentren suspendidos de sus derechos, tengan una antigüedad de por lo menos doce meses de militancia anteriores a la realización de la asamblea y resulten electos con tal carácter por las asambleas municipales, de conformidad con el artículo 87 de este reglamento.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Asimismo los militantes de los municipios sin derecho a Asamblea Municipal que manifiesten su interés para ser delegados numerarios, y resulten sorteados en los términos del presente reglamento.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7.</w:t>
      </w:r>
      <w:r>
        <w:rPr>
          <w:rFonts w:ascii="Palatino Linotype" w:eastAsia="Palatino Linotype" w:hAnsi="Palatino Linotype" w:cs="Palatino Linotype"/>
          <w:i/>
          <w:iCs/>
        </w:rPr>
        <w:t xml:space="preserve"> La acreditación de delegados numerarios a una Asamblea Estatal se determinará en los términos y procedimientos establecidos en el manual correspondiente.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w:t>
      </w:r>
      <w:r>
        <w:rPr>
          <w:rFonts w:ascii="Palatino Linotype" w:eastAsia="Palatino Linotype" w:hAnsi="Palatino Linotype" w:cs="Palatino Linotype"/>
          <w:i/>
          <w:iCs/>
        </w:rPr>
        <w:t xml:space="preserve"> El Presidente del Comité Directivo Estatal lo será también de la Asamblea Estatal y en su ausencia el Secretario General de dicho comité, y a falta de éste la persona que designe la propia asamblea. Será secretario de la asamblea quien lo sea del Comité Directivo Estatal y, a falta de éste, la persona que designe la asamblea a propuesta del Presidente.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9.</w:t>
      </w:r>
      <w:r>
        <w:rPr>
          <w:rFonts w:ascii="Palatino Linotype" w:eastAsia="Palatino Linotype" w:hAnsi="Palatino Linotype" w:cs="Palatino Linotype"/>
          <w:i/>
          <w:iCs/>
        </w:rPr>
        <w:t xml:space="preserve"> El Presidente de la Asamblea Estatal tendrá las siguientes facultades:</w:t>
      </w:r>
    </w:p>
    <w:p w:rsidR="009C6806" w:rsidRDefault="009C6806">
      <w:pPr>
        <w:ind w:left="567" w:right="-591"/>
        <w:jc w:val="both"/>
        <w:rPr>
          <w:rFonts w:ascii="Palatino Linotype" w:eastAsia="Palatino Linotype" w:hAnsi="Palatino Linotype" w:cs="Palatino Linotype"/>
          <w:b/>
          <w:bCs/>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Presidir la asamblea;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Proponer a la asamblea, un número suficiente de escrutadores para su aprobación; c) En su caso, rendir el informe de actividades, en cumplimiento al plan de trabajo presentado en su registro como candidato a Presidente;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Adoptar las medidas necesarias para el correcto desarrollo de la asamblea, y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Las demás que establezca este reglamento y el manual correspondiente.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10.</w:t>
      </w:r>
      <w:r>
        <w:rPr>
          <w:rFonts w:ascii="Palatino Linotype" w:eastAsia="Palatino Linotype" w:hAnsi="Palatino Linotype" w:cs="Palatino Linotype"/>
          <w:i/>
          <w:iCs/>
        </w:rPr>
        <w:t xml:space="preserve"> El número de votos que le corresponderán a cada delegación municipal, será exactamente igual al número de sus delegados numerarios presentes al momento de la votación.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11.</w:t>
      </w:r>
      <w:r>
        <w:rPr>
          <w:rFonts w:ascii="Palatino Linotype" w:eastAsia="Palatino Linotype" w:hAnsi="Palatino Linotype" w:cs="Palatino Linotype"/>
          <w:i/>
          <w:iCs/>
        </w:rPr>
        <w:t xml:space="preserve"> La Comisión Permanente Estatal tendrá un número de votos equivalente al promedio de los votos de las delegaciones presentes, sin que pueda ser en ningún caso mayor al diez o menor al cinco por ciento de los votos delegacionales en la respectiva asamblea. En los casos que el promedio de votos de las delegaciones presentes sea mayor a 10%, se asignará el 10% y en los casos que sea menor al 5%, se asignará el 5%.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Cuando los asuntos que se presenten a la consideración de la asamblea ameriten debatirse, la Presidencia concederá primeramente la palabra para aclaraciones y, hechas éstas, declarará abierto el registro de oradores. Si no hubiese oradores en contra, se pasará de inmediato a votación; en caso contrario será puesto a discusión el asunto, en el primer turno el número de oradores en contra y en pro, no excederá de tres en cada caso. Hablarán alternadamente, comenzando el orador en contra. Cada orador tendrá derecho a un máximo de cinco minutos para su exposición. Agotado el primer turno la presidencia consultará a la asamblea si considera suficientemente discutido el punto. En caso afirmativo, se procederá a tomar la votación. En caso negativo, se abrirá un segundo turno de hasta dos oradores en contra y dos en pro. Si terminado el segundo turno el asunto no se considera suficientemente discutido, podrá haber un orador en contra y otro en pro, y al terminar el presidente preguntará a la asamblea si está suficientemente discutido. De no ser así se abrirán</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 xml:space="preserve">dos rondas más, cada una de ellas con un orador en contra y otro en pro, agotadas éstas el presidente declarará cerrada la discusión y se procederá a la votación.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w:t>
      </w:r>
      <w:r>
        <w:rPr>
          <w:rFonts w:ascii="Palatino Linotype" w:eastAsia="Palatino Linotype" w:hAnsi="Palatino Linotype" w:cs="Palatino Linotype"/>
          <w:i/>
          <w:iCs/>
        </w:rPr>
        <w:t xml:space="preserve"> Cuando se trate de la elección de consejeros estatales o consejeros nacionales, el Comité Directivo Estatal deberá entregar una lista con los nombres completos de los aspirantes que hayan sido electos, el municipio del que proceden y una breve descripción de los datos personales y trayectoria partidista de cada uno de ellos. En ningún caso podrá haber presentación de candidatos ni propaganda. Una vez que se cuente con la lista definitiva, simultáneamente, se mandará imprimir así como publicar en los sitios electrónicos de los comités directivos estatales.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SEGUNDO DE LOS CONSEJOS ESTATALES</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w:t>
      </w:r>
      <w:r>
        <w:rPr>
          <w:rFonts w:ascii="Palatino Linotype" w:eastAsia="Palatino Linotype" w:hAnsi="Palatino Linotype" w:cs="Palatino Linotype"/>
          <w:i/>
          <w:iCs/>
        </w:rPr>
        <w:t xml:space="preserve"> Para determinar el número de integrantes del Consejo Estatal, el Comité Directivo Estatal atenderá a los siguientes criterios: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Cuando el número de militantes en la entidad sea superior a 9 mil, se elegirán 100 consejeros;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Cuando el número de militantes en la entidad sea entre 6 mil y 8 mil 999, se elegirán 90 consejeros;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Cuando el número de militantes en la entidad sea entre 3 mil y 5 mil 999, se elegirán 80 consejeros;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Cuando el número de militantes en la entidad sea hasta 2 mil 999, se elegirán 60 consejeros.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15.</w:t>
      </w:r>
      <w:r>
        <w:rPr>
          <w:rFonts w:ascii="Palatino Linotype" w:eastAsia="Palatino Linotype" w:hAnsi="Palatino Linotype" w:cs="Palatino Linotype"/>
          <w:i/>
          <w:iCs/>
        </w:rPr>
        <w:t xml:space="preserve"> Los comités directivos municipales, tendrán derecho a proponer un número de candidatos a Consejeros Estatales conforme a los siguientes criterios: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Se dividirá el número de militantes del Partido en el municipio entre el número de militantes del Partido en la entidad de que se trate y se multiplicará por el número de miembros que integrará el Consejo excedido en un veinte por ciento. El resultado de esta operación se multiplicará por 0.30;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Se dividirá el número de votos del Partido en el municipio entre el número de votos del Partido en la entidad de que se trate obtenidos en la última elección para diputados locales y se multiplicará por el número de miembros que integrará el Consejo excedido en un veinte por ciento. El resultado de esta operación se multiplicará por 0.30;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Se dividirá el número de votos del Partido en el municipio entre el total de votos válidos en el municipio. Se obtendrá el factor de distribución por competitividad que resulta de dividir la suma del porcentaje anterior de cada uno de los municipios del Estado entre el número de miembros que integrará el Consejo excedido en un veinte por ciento multiplicado por 0.40. El porcentaje de votación en el municipio se dividirá entre el resultado de la operación anterior, y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Los resultados de las tres operaciones anteriores, se sumarán y todas las fracciones se elevarán a la unidad;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Cuando el resultado de las operaciones anteriores sea número impar, se elevará a la siguiente unidad, de tal forma que las propuestas por cada municipio sean en un 50% para cada género.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16.</w:t>
      </w:r>
      <w:r>
        <w:rPr>
          <w:rFonts w:ascii="Palatino Linotype" w:eastAsia="Palatino Linotype" w:hAnsi="Palatino Linotype" w:cs="Palatino Linotype"/>
          <w:i/>
          <w:iCs/>
        </w:rPr>
        <w:t xml:space="preserve"> El Comité Directivo Estatal podrá proponer hasta un diez por ciento del número de candidatos surgidos de las asambleas municipales, de las cuales el 50% deberá ser de un mismo género. En caso de que las propuestas emanadas de las asambleas municipales no garanticen la equidad de género en la integración del Consejo Estatal, el número de las propuestas del Comité Directivo Estatal deberán ser del género sub representado en el porcentaje necesario para cumplir lo señalado en el artículo 51, inciso h) de los Estatutos.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17.</w:t>
      </w:r>
      <w:r>
        <w:rPr>
          <w:rFonts w:ascii="Palatino Linotype" w:eastAsia="Palatino Linotype" w:hAnsi="Palatino Linotype" w:cs="Palatino Linotype"/>
          <w:i/>
          <w:iCs/>
        </w:rPr>
        <w:t xml:space="preserve"> Las propuestas de candidatos a consejeros estatales deberán cumplir con los requisitos señalados en el artículo 52 de los Estatutos Generales. Para los efectos del inciso d) de dicho artículo, en la convocatoria se establecerán los lineamientos y requisitos que emita la Secretaría Nacional de Formación y Capacitación, en dónde se señalará el procedimiento, lugar y hora en los que habrá de aplicarse la evaluación.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18.</w:t>
      </w:r>
      <w:r>
        <w:rPr>
          <w:rFonts w:ascii="Palatino Linotype" w:eastAsia="Palatino Linotype" w:hAnsi="Palatino Linotype" w:cs="Palatino Linotype"/>
          <w:i/>
          <w:iCs/>
        </w:rPr>
        <w:t xml:space="preserve"> Conocidos los resultados de la evaluación, se celebrarán las asambleas municipales donde únicamente podrán participar como aspirantes quienes la hayan acreditado. La elección de las propuestas a consejeros estatales se expresará en forma personal y secreta. El método de votación podrá ser mediante alguna de las siguientes maneras:</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En cédulas de votación.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En sistemas electrónicos que emitan una cédula El escrutinio y el cómputo podrán ser manuales y/o electrónicos. Estos, así como el método de votación, deberán contar con la autorización previa de la Secretaría Nacional de Fortalecimiento Interno. (Modificación aprobada por el CEN en sesión ordinaria de fecha 3 de marzo de 2014, y Registrado el 18 de marzo de 2014 en el libro de la Dirección Ejecutiva de Prerrogativas y Partidos Políticos del Instituto Federal Electoral)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19.</w:t>
      </w:r>
      <w:r>
        <w:rPr>
          <w:rFonts w:ascii="Palatino Linotype" w:eastAsia="Palatino Linotype" w:hAnsi="Palatino Linotype" w:cs="Palatino Linotype"/>
          <w:i/>
          <w:iCs/>
        </w:rPr>
        <w:t xml:space="preserve"> Cada delegado numerario votará por el 50 por ciento de las propuestas a las que tiene derecho el municipio. Si el número es impar, se elevará a la siguiente unidad. De este porcentaje, cada delegado deberá votar por la mitad de propuestas de género distinto.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20.</w:t>
      </w:r>
      <w:r>
        <w:rPr>
          <w:rFonts w:ascii="Palatino Linotype" w:eastAsia="Palatino Linotype" w:hAnsi="Palatino Linotype" w:cs="Palatino Linotype"/>
          <w:i/>
          <w:iCs/>
        </w:rPr>
        <w:t xml:space="preserve"> Serán propuestos a consejeros estatales, los candidatos que hayan obtenido el mayor número de votos por género de acuerdo al número de propuestas que correspondan. Si fuera el caso de que dos o más candidatos empataran y con ello fuera imposible definir el número final de la lista de propuestas que le corresponden al municipio, se procederá a una ronda de desempate entre estos candidatos en donde cada delegado podrá votar, en cédula, por una propuesta, considerando el género. Si el número de candidatos registrados cumple con la equidad de género y es igual al número de propuestas a las que tenga derecho el municipio, se someterá a ratificación por votación económica, debiendo ser aprobadas por mayoría. Si el número de candidatos registrados fuera menor al número de propuestas a las que tenga derecho el municipio, cada género tendrá derecho, únicamente, a la mitad de las propuestas y se someterá a ratificación por votación económica.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21.</w:t>
      </w:r>
      <w:r>
        <w:rPr>
          <w:rFonts w:ascii="Palatino Linotype" w:eastAsia="Palatino Linotype" w:hAnsi="Palatino Linotype" w:cs="Palatino Linotype"/>
          <w:i/>
          <w:iCs/>
        </w:rPr>
        <w:t xml:space="preserve"> Las asambleas municipales se podrán celebrar entre 15 y 20 días antes de la fecha de la Asamblea Estatal; los resultados deberán entregarse a más tardar 48 horas después de celebrada la Asamblea Municipal. El Comité Directivo Municipal entregará los resultados al Secretario General del Comité Directivo Estatal, anexando el acta de la sesión de la Asamblea Municipal, la lista de delegados numerarios y los nombres de las propuestas de candidatos electos. En todos los casos se elaborará un cronograma a que hace referencia el artículo 2 de este reglamento. </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w:t>
      </w:r>
      <w:r>
        <w:rPr>
          <w:rFonts w:ascii="Palatino Linotype" w:eastAsia="Palatino Linotype" w:hAnsi="Palatino Linotype" w:cs="Palatino Linotype"/>
          <w:i/>
          <w:iCs/>
        </w:rPr>
        <w:t xml:space="preserve"> En la Asamblea Estatal que elija al Consejo Estatal, se procederá de la siguiente manera: a) Los delegados numerarios votarán en cédula por el cincuenta por ciento del número de consejeros a que hace referencia el artículo 14 de este reglamento, para la conformación del Consejo Estatal. Cada delegado emitirá al menos el 40% de votos a un género distinto. La elección de los consejeros estatales se expresará en forma personal y secreta. El método de votación podrá ser mediante alguna de las siguientes maneras: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En cédulas de votación.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II. En sistemas electrónicos que emitan una cédula El escrutinio y el cómputo podrán ser manuales y/o electrónicos. Estos, así como el método de votación, deberán contar con la autorización previa de la Secretaría Nacional de Fortalecimiento Interno. El órgano responsable de la organización de la Asamblea Estatal brindará todas las facilidades para el desempeño de la encomienda del representante de la Secretaría Nacional de Fortalecimiento Interno que acudirá a la Asamblea Estatal. El representante de la Secretaría Nacional de Fortalecimiento Interno revisará y avalará todo el proceso de votación. Una vez terminado el cómputo de la votación, el representante del órgano responsable de la asamblea deberá entregar inmediatamente una copia de las matrices con la base de datos de los votos emitidos por cada delegado numerario para la elección del consejo estatal, a fin de que haga una interpretación espejo de los resultados (Modificación aprobada por el CEN en sesión ordinaria de fecha 3 de marzo de 2014, y Registrado el 18 de marzo de 2014 en el libro de la Dirección Ejecutiva de Prerrogativas y Partidos Políticos del Instituto Federal Electoral)</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TERCERO DE LA ELECCIÓN DE CONSEJEROS NACIONALES</w:t>
      </w:r>
    </w:p>
    <w:p w:rsidR="009C6806" w:rsidRDefault="009C6806">
      <w:pPr>
        <w:ind w:left="567" w:right="-591"/>
        <w:jc w:val="both"/>
        <w:rPr>
          <w:rFonts w:ascii="Palatino Linotype" w:eastAsia="Palatino Linotype" w:hAnsi="Palatino Linotype" w:cs="Palatino Linotype"/>
          <w:i/>
          <w:iCs/>
        </w:rPr>
      </w:pP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25.</w:t>
      </w:r>
      <w:r>
        <w:rPr>
          <w:rFonts w:ascii="Palatino Linotype" w:eastAsia="Palatino Linotype" w:hAnsi="Palatino Linotype" w:cs="Palatino Linotype"/>
          <w:i/>
          <w:iCs/>
        </w:rPr>
        <w:t xml:space="preserve"> Una vez que se emita la convocatoria para la Asamblea Nacional Ordinaria que ratificará a los integrantes del Consejo Nacional, los Comités Directivos Estatales convocarán a las asambleas estatales para elegir al número de consejeros que les correspondan, de conformidad con el artículo 27 de los Estatutos, de acuerdo al siguiente procedimiento: Del total de 270, cada entidad elegirá el número de consejeros que le corresponda al ponderar los siguientes factores: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Noventa consejeros se distribuirán de acuerdo al factor de competitividad electoral del PAN en el estado, que se determina de la siguiente manera: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Se dividirá el porcentaje de votos obtenidos por el PAN en la entidad en la última elección de diputados federales, en relación con el total de votos válidos emitidos en la misma, entre la suma de dichos porcentajes en las 32 entidades.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Ese cociente repartidor se multiplicará por 90 para obtener la asignación correspondiente a cada estado en los términos del apartado I del artículo 27 de los Estatutos.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Primero se le asigna a cada estado el número de consejeros equivalente al entero resultante de las operaciones anteriores, más las fracciones más altas para completar el número de consejeros que le corresponde a cada entidad.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Por último, se reparten tantos consejeros como sean necesarios para completar los 90 correspondientes a este factor, aplicando el orden decreciente de los residuales de la asignación de enteros.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Noventa consejeros se distribuirán de acuerdo a la aportación de cada estado a la votación nacional del Partido, de la última elección de diputados federales, que se determina de la siguiente manera: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1. Se obtiene esa aportación dividiendo el total de votos del Partido en el estado entre la votación nacional del Partido.</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Ese cociente se multiplica por 90 para obtener la asignación correspondiente a cada estado en los términos del apartado II del artículo 27 de los Estatutos.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Primero se le asigna a cada estado el número de consejeros equivalente al entero resultante de las operaciones anteriores, más las fracciones más altas para completar el número de consejeros que le corresponde a cada entidad.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Por último, se reparten tantos consejeros como sean necesarios para completar los 90 correspondientes a este factor, aplicando el orden decreciente de los residuales de la asignación de enteros.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Noventa consejeros se distribuirán de acuerdo a la aportación de cada estado al número de militantes que tenga el Partido en la entidad con respecto al padrón nacional, un año antes del día de la elección de consejeros. Esta asignación se determinará de la siguiente manera: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Se divide el total de militantes del estado entre el total nacional de militantes del Partido.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Ese cociente repartidor se multiplicará por 90 para obtener la asignación correspondiente a cada estado en los términos del apartado III del artículo 27 del Estatuto.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Primero se le asigna a cada estado el número de consejeros equivalente al entero resultante de la operación anterior, más las fracciones más altas para completar el número de consejeros que le corresponde a cada entidad </w:t>
      </w:r>
    </w:p>
    <w:p w:rsidR="009C6806" w:rsidRDefault="00E67821">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4. Por último se completan los 90 correspondientes a este factor, aplicando el orden decreciente de los residuales de la asignación de enteros.</w:t>
      </w:r>
    </w:p>
    <w:p w:rsidR="009C6806" w:rsidRDefault="009C6806">
      <w:pPr>
        <w:spacing w:line="360" w:lineRule="auto"/>
        <w:ind w:right="-591"/>
        <w:jc w:val="both"/>
        <w:rPr>
          <w:rFonts w:ascii="Palatino Linotype" w:eastAsia="Palatino Linotype" w:hAnsi="Palatino Linotype" w:cs="Palatino Linotype"/>
          <w:i/>
          <w:iCs/>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40. </w:t>
      </w:r>
      <w:r>
        <w:rPr>
          <w:rFonts w:ascii="Palatino Linotype" w:eastAsia="Palatino Linotype" w:hAnsi="Palatino Linotype" w:cs="Palatino Linotype"/>
          <w:color w:val="000000"/>
        </w:rPr>
        <w:t xml:space="preserve">En atención a lo anterior,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cuenta con atribuciones para atender el requerimiento planteado por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asimismo, la Secretaría General del Partido Acción Nacional cuenta entre sus funciones, el cumplir y hacer cumplir los Estatutos, así como demás reglamentación existente para el ordenado funcionamiento de Acción Nacional.</w:t>
      </w:r>
    </w:p>
    <w:p w:rsidR="009C6806" w:rsidRDefault="009C6806">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41.</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En consecuencia, se ordena, de ser procedente en versión pública, al mayor grado de desagregación posible, </w:t>
      </w:r>
      <w:r>
        <w:rPr>
          <w:rFonts w:ascii="Palatino Linotype" w:eastAsia="Palatino Linotype" w:hAnsi="Palatino Linotype" w:cs="Palatino Linotype"/>
          <w:b/>
          <w:bCs/>
          <w:color w:val="000000"/>
        </w:rPr>
        <w:t xml:space="preserve">el o los documentos donde consten los resultados obtenidos de la votación para la elección de Consejeros Estatales y Nacionales, en la Asamblea celebrada el 12 de octubre de 2025 </w:t>
      </w: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42</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Ahora bien, es importante señalar que el artículo 4, párrafo segundo de la Ley de Transparencia y Acceso a la Información Pública del Estado de México y Municipios, dispone:</w:t>
      </w:r>
    </w:p>
    <w:p w:rsidR="009C6806" w:rsidRDefault="00E67821">
      <w:pPr>
        <w:tabs>
          <w:tab w:val="left" w:pos="426"/>
          <w:tab w:val="left" w:pos="567"/>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 …</w:t>
      </w:r>
    </w:p>
    <w:p w:rsidR="009C6806" w:rsidRDefault="00E67821">
      <w:pPr>
        <w:tabs>
          <w:tab w:val="left" w:pos="426"/>
          <w:tab w:val="left" w:pos="567"/>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C6806" w:rsidRDefault="009C6806">
      <w:pPr>
        <w:tabs>
          <w:tab w:val="left" w:pos="426"/>
          <w:tab w:val="left" w:pos="567"/>
        </w:tabs>
        <w:ind w:right="-591"/>
        <w:jc w:val="both"/>
        <w:rPr>
          <w:rFonts w:ascii="Palatino Linotype" w:eastAsia="Palatino Linotype" w:hAnsi="Palatino Linotype" w:cs="Palatino Linotype"/>
          <w:i/>
          <w:iCs/>
        </w:rPr>
      </w:pPr>
    </w:p>
    <w:p w:rsidR="009C6806" w:rsidRDefault="009C6806">
      <w:pPr>
        <w:spacing w:line="360" w:lineRule="auto"/>
        <w:ind w:right="-591"/>
        <w:jc w:val="both"/>
        <w:rPr>
          <w:rFonts w:ascii="Palatino Linotype" w:eastAsia="Palatino Linotype" w:hAnsi="Palatino Linotype" w:cs="Palatino Linotype"/>
          <w:color w:val="000000"/>
        </w:rPr>
      </w:pP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43.</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De lo anterior, se desprende que la información generada, obtenida, adquirida, transmitida, administrada o en posesión de los Sujetos Obligados, será accesible de manera permanente a cualquier persona, privilegiando el principio de máxima publicidad de la información. </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44. </w:t>
      </w:r>
      <w:r>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rsidR="009C6806" w:rsidRDefault="00E67821">
      <w:pPr>
        <w:tabs>
          <w:tab w:val="left" w:pos="1134"/>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9C6806" w:rsidRDefault="009C6806">
      <w:pPr>
        <w:tabs>
          <w:tab w:val="left" w:pos="1134"/>
        </w:tabs>
        <w:ind w:left="567" w:right="-591"/>
        <w:jc w:val="both"/>
        <w:rPr>
          <w:rFonts w:ascii="Palatino Linotype" w:eastAsia="Palatino Linotype" w:hAnsi="Palatino Linotype" w:cs="Palatino Linotype"/>
          <w:i/>
          <w:iCs/>
        </w:rPr>
      </w:pPr>
    </w:p>
    <w:p w:rsidR="009C6806" w:rsidRDefault="00E67821">
      <w:pPr>
        <w:tabs>
          <w:tab w:val="left" w:pos="1134"/>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C6806" w:rsidRDefault="009C6806">
      <w:pPr>
        <w:tabs>
          <w:tab w:val="left" w:pos="1134"/>
        </w:tabs>
        <w:ind w:right="-591"/>
        <w:jc w:val="both"/>
        <w:rPr>
          <w:rFonts w:ascii="Palatino Linotype" w:eastAsia="Palatino Linotype" w:hAnsi="Palatino Linotype" w:cs="Palatino Linotype"/>
          <w:i/>
          <w:i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45. </w:t>
      </w:r>
      <w:r>
        <w:rPr>
          <w:rFonts w:ascii="Palatino Linotype" w:eastAsia="Palatino Linotype" w:hAnsi="Palatino Linotype" w:cs="Palatino Linotype"/>
          <w:color w:val="000000"/>
        </w:rPr>
        <w:t xml:space="preserve">En síntesis, </w:t>
      </w:r>
      <w:r>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46. </w:t>
      </w:r>
      <w:r>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9C6806" w:rsidRDefault="00E67821">
      <w:pPr>
        <w:tabs>
          <w:tab w:val="left" w:pos="709"/>
          <w:tab w:val="left" w:pos="1985"/>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“No existe obligación de elaborar documentos ad hoc para atender las solicitudes de acceso a la información.</w:t>
      </w:r>
      <w:r>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9C6806" w:rsidRDefault="009C6806">
      <w:pPr>
        <w:tabs>
          <w:tab w:val="left" w:pos="709"/>
          <w:tab w:val="left" w:pos="1985"/>
        </w:tabs>
        <w:ind w:left="567" w:right="-591"/>
        <w:jc w:val="both"/>
        <w:rPr>
          <w:rFonts w:ascii="Palatino Linotype" w:eastAsia="Palatino Linotype" w:hAnsi="Palatino Linotype" w:cs="Palatino Linotype"/>
          <w:i/>
          <w:iCs/>
        </w:rPr>
      </w:pPr>
    </w:p>
    <w:p w:rsidR="009C6806" w:rsidRDefault="00E67821">
      <w:pPr>
        <w:tabs>
          <w:tab w:val="left" w:pos="709"/>
          <w:tab w:val="left" w:pos="1985"/>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Resoluciones: </w:t>
      </w:r>
    </w:p>
    <w:p w:rsidR="009C6806" w:rsidRDefault="00E67821">
      <w:pPr>
        <w:tabs>
          <w:tab w:val="left" w:pos="709"/>
          <w:tab w:val="left" w:pos="1985"/>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rsidR="009C6806" w:rsidRDefault="00E67821">
      <w:pPr>
        <w:tabs>
          <w:tab w:val="left" w:pos="709"/>
          <w:tab w:val="left" w:pos="1985"/>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rsidR="009C6806" w:rsidRDefault="00E67821">
      <w:pPr>
        <w:tabs>
          <w:tab w:val="left" w:pos="709"/>
          <w:tab w:val="left" w:pos="1985"/>
        </w:tabs>
        <w:ind w:left="567" w:right="-591"/>
        <w:jc w:val="both"/>
        <w:rPr>
          <w:rFonts w:ascii="Palatino Linotype" w:eastAsia="Palatino Linotype" w:hAnsi="Palatino Linotype" w:cs="Palatino Linotype"/>
          <w:color w:val="000000"/>
        </w:rPr>
      </w:pPr>
      <w:r>
        <w:rPr>
          <w:rFonts w:ascii="Palatino Linotype" w:eastAsia="Palatino Linotype" w:hAnsi="Palatino Linotype" w:cs="Palatino Linotype"/>
          <w:i/>
          <w:iCs/>
        </w:rPr>
        <w:t>∙ RRA 1889/16. Secretaría de Hacienda y Crédito Público. 05 de octubre de 2016. Por unanimidad. Comisionada Ponente. Ximena Puente de la Mora.”</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47.</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Asimos, </w:t>
      </w:r>
      <w:r>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w:t>
      </w:r>
      <w:r>
        <w:rPr>
          <w:rFonts w:ascii="Palatino Linotype" w:eastAsia="Palatino Linotype" w:hAnsi="Palatino Linotype" w:cs="Palatino Linotype"/>
        </w:rPr>
        <w:lastRenderedPageBreak/>
        <w:t xml:space="preserve">cualquier persona, lo que implica que es deber de los Sujetos Obligados, garantizar el derecho de acceso a la información pública. </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48. </w:t>
      </w:r>
      <w:r>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C6806" w:rsidRDefault="00E67821">
      <w:pPr>
        <w:tabs>
          <w:tab w:val="left" w:pos="426"/>
          <w:tab w:val="left" w:pos="567"/>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Para los efectos de la presente Ley se entenderá por: </w:t>
      </w:r>
    </w:p>
    <w:p w:rsidR="009C6806" w:rsidRDefault="00E67821">
      <w:pPr>
        <w:tabs>
          <w:tab w:val="left" w:pos="426"/>
          <w:tab w:val="left" w:pos="567"/>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9C6806" w:rsidRDefault="00E67821">
      <w:pPr>
        <w:tabs>
          <w:tab w:val="left" w:pos="426"/>
          <w:tab w:val="left" w:pos="567"/>
        </w:tabs>
        <w:ind w:left="567"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rsidR="009C6806" w:rsidRDefault="00E67821">
      <w:pPr>
        <w:tabs>
          <w:tab w:val="left" w:pos="426"/>
          <w:tab w:val="left" w:pos="567"/>
        </w:tabs>
        <w:ind w:left="567"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49.</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C6806" w:rsidRDefault="00E67821">
      <w:pPr>
        <w:tabs>
          <w:tab w:val="left" w:pos="426"/>
          <w:tab w:val="left" w:pos="567"/>
        </w:tabs>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9C6806" w:rsidRDefault="009C6806">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C6806" w:rsidRDefault="00E67821">
      <w:pPr>
        <w:spacing w:before="240" w:after="240"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VERSIÓN PÚBLICA.</w:t>
      </w:r>
    </w:p>
    <w:p w:rsidR="009C6806" w:rsidRDefault="00E67821">
      <w:pPr>
        <w:keepNext/>
        <w:keepLines/>
        <w:numPr>
          <w:ilvl w:val="0"/>
          <w:numId w:val="4"/>
        </w:numPr>
        <w:spacing w:line="360" w:lineRule="auto"/>
        <w:ind w:left="284" w:right="-591"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9C6806" w:rsidRDefault="00E67821">
      <w:pPr>
        <w:pBdr>
          <w:top w:val="nil"/>
          <w:left w:val="nil"/>
          <w:bottom w:val="nil"/>
          <w:right w:val="nil"/>
          <w:between w:val="nil"/>
        </w:pBdr>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50. </w:t>
      </w:r>
      <w:r>
        <w:rPr>
          <w:rFonts w:ascii="Palatino Linotype" w:eastAsia="Palatino Linotype" w:hAnsi="Palatino Linotype" w:cs="Palatino Linotype"/>
          <w:color w:val="000000"/>
        </w:rPr>
        <w:t xml:space="preserve">Debe destacarse que, debido a la naturaleza de la información solicitada, eventualmente pudiera obrar datos personales susceptibles de protegerse,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51. </w:t>
      </w: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C6806" w:rsidRDefault="009C6806">
      <w:pPr>
        <w:spacing w:line="360" w:lineRule="auto"/>
        <w:ind w:right="-591"/>
        <w:jc w:val="both"/>
        <w:rPr>
          <w:rFonts w:ascii="Palatino Linotype" w:eastAsia="Palatino Linotype" w:hAnsi="Palatino Linotype" w:cs="Palatino Linotype"/>
          <w:color w:val="000000"/>
        </w:rPr>
      </w:pPr>
    </w:p>
    <w:tbl>
      <w:tblPr>
        <w:tblStyle w:val="a0"/>
        <w:tblW w:w="993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45"/>
        <w:gridCol w:w="6285"/>
      </w:tblGrid>
      <w:tr w:rsidR="009C6806">
        <w:tc>
          <w:tcPr>
            <w:tcW w:w="3645" w:type="dxa"/>
          </w:tcPr>
          <w:p w:rsidR="009C6806" w:rsidRDefault="00E67821">
            <w:pPr>
              <w:ind w:right="8"/>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6285" w:type="dxa"/>
          </w:tcPr>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9C6806" w:rsidRDefault="00E67821">
            <w:pPr>
              <w:ind w:right="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9C6806">
        <w:tc>
          <w:tcPr>
            <w:tcW w:w="3645" w:type="dxa"/>
          </w:tcPr>
          <w:p w:rsidR="009C6806" w:rsidRDefault="00E67821">
            <w:pPr>
              <w:ind w:right="8"/>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285" w:type="dxa"/>
          </w:tcPr>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C6806" w:rsidRDefault="00E67821">
            <w:pPr>
              <w:ind w:right="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w:t>
            </w:r>
            <w:r>
              <w:rPr>
                <w:rFonts w:ascii="Palatino Linotype" w:eastAsia="Palatino Linotype" w:hAnsi="Palatino Linotype" w:cs="Palatino Linotype"/>
                <w:color w:val="000000"/>
              </w:rPr>
              <w:lastRenderedPageBreak/>
              <w:t>debe de realizar el servidor público habilitado y el titular del área que administra la información.</w:t>
            </w:r>
          </w:p>
        </w:tc>
      </w:tr>
      <w:tr w:rsidR="009C6806">
        <w:tc>
          <w:tcPr>
            <w:tcW w:w="3645" w:type="dxa"/>
          </w:tcPr>
          <w:p w:rsidR="009C6806" w:rsidRDefault="00E67821">
            <w:pPr>
              <w:ind w:right="8"/>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285" w:type="dxa"/>
          </w:tcPr>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9C6806" w:rsidRDefault="00E67821">
            <w:pPr>
              <w:ind w:right="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C6806">
        <w:tc>
          <w:tcPr>
            <w:tcW w:w="3645" w:type="dxa"/>
          </w:tcPr>
          <w:p w:rsidR="009C6806" w:rsidRDefault="009C6806">
            <w:pPr>
              <w:ind w:right="8"/>
              <w:rPr>
                <w:rFonts w:ascii="Palatino Linotype" w:eastAsia="Palatino Linotype" w:hAnsi="Palatino Linotype" w:cs="Palatino Linotype"/>
              </w:rPr>
            </w:pPr>
          </w:p>
          <w:p w:rsidR="009C6806" w:rsidRDefault="00E67821">
            <w:pPr>
              <w:ind w:right="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285" w:type="dxa"/>
          </w:tcPr>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C6806">
        <w:tc>
          <w:tcPr>
            <w:tcW w:w="3645" w:type="dxa"/>
          </w:tcPr>
          <w:p w:rsidR="009C6806" w:rsidRDefault="00E67821">
            <w:pPr>
              <w:ind w:right="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285" w:type="dxa"/>
          </w:tcPr>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9C6806" w:rsidRDefault="00E67821">
            <w:pPr>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C6806" w:rsidRDefault="00E67821">
            <w:pPr>
              <w:ind w:right="8"/>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52. </w:t>
      </w: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9C6806" w:rsidRDefault="009C6806">
      <w:pPr>
        <w:spacing w:line="360" w:lineRule="auto"/>
        <w:ind w:right="-591"/>
        <w:jc w:val="both"/>
        <w:rPr>
          <w:rFonts w:ascii="Palatino Linotype" w:eastAsia="Palatino Linotype" w:hAnsi="Palatino Linotype" w:cs="Palatino Linotype"/>
          <w:b/>
          <w:bCs/>
        </w:rPr>
      </w:pPr>
    </w:p>
    <w:p w:rsidR="009C6806" w:rsidRDefault="00E67821">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53. </w:t>
      </w:r>
      <w:r>
        <w:rPr>
          <w:rFonts w:ascii="Palatino Linotype" w:eastAsia="Palatino Linotype" w:hAnsi="Palatino Linotype" w:cs="Palatino Linotype"/>
        </w:rPr>
        <w:t xml:space="preserve">Por </w:t>
      </w:r>
      <w:r>
        <w:rPr>
          <w:rFonts w:ascii="Palatino Linotype" w:eastAsia="Palatino Linotype" w:hAnsi="Palatino Linotype" w:cs="Palatino Linotype"/>
          <w:color w:val="222222"/>
        </w:rPr>
        <w:t xml:space="preserve">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 </w:t>
      </w:r>
    </w:p>
    <w:p w:rsidR="009C6806" w:rsidRDefault="009C6806">
      <w:pPr>
        <w:pBdr>
          <w:top w:val="nil"/>
          <w:left w:val="nil"/>
          <w:bottom w:val="nil"/>
          <w:right w:val="nil"/>
          <w:between w:val="nil"/>
        </w:pBdr>
        <w:ind w:left="720" w:right="-591"/>
        <w:rPr>
          <w:rFonts w:ascii="Palatino Linotype" w:eastAsia="Palatino Linotype" w:hAnsi="Palatino Linotype" w:cs="Palatino Linotype"/>
          <w:b/>
          <w:bCs/>
          <w:color w:val="000000"/>
        </w:rPr>
      </w:pPr>
    </w:p>
    <w:p w:rsidR="009C6806" w:rsidRDefault="00E67821">
      <w:pPr>
        <w:keepNext/>
        <w:keepLines/>
        <w:spacing w:line="360" w:lineRule="auto"/>
        <w:ind w:right="-59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9C6806" w:rsidRDefault="009C6806">
      <w:pPr>
        <w:keepNext/>
        <w:keepLines/>
        <w:spacing w:line="360" w:lineRule="auto"/>
        <w:ind w:right="-591"/>
        <w:rPr>
          <w:rFonts w:ascii="Palatino Linotype" w:eastAsia="Palatino Linotype" w:hAnsi="Palatino Linotype" w:cs="Palatino Linotype"/>
          <w:b/>
          <w:bCs/>
          <w:color w:val="000000"/>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Recursos de Revisión </w:t>
      </w:r>
      <w:r>
        <w:rPr>
          <w:rFonts w:ascii="Palatino Linotype" w:eastAsia="Palatino Linotype" w:hAnsi="Palatino Linotype" w:cs="Palatino Linotype"/>
          <w:b/>
          <w:bCs/>
        </w:rPr>
        <w:t xml:space="preserve">13178/INFOEM/IP/RR/2025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tabs>
          <w:tab w:val="left" w:pos="2834"/>
          <w:tab w:val="right" w:pos="8838"/>
        </w:tabs>
        <w:spacing w:line="360" w:lineRule="auto"/>
        <w:ind w:right="-591"/>
        <w:jc w:val="both"/>
        <w:rPr>
          <w:rFonts w:ascii="Palatino Linotype" w:eastAsia="Palatino Linotype" w:hAnsi="Palatino Linotype" w:cs="Palatino Linotype"/>
          <w:b/>
          <w:bCs/>
        </w:rPr>
      </w:pPr>
      <w:bookmarkStart w:id="9" w:name="_heading=h.26in1rg"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Se</w:t>
      </w:r>
      <w:r>
        <w:rPr>
          <w:rFonts w:ascii="Palatino Linotype" w:eastAsia="Palatino Linotype" w:hAnsi="Palatino Linotype" w:cs="Palatino Linotype"/>
          <w:b/>
          <w:bCs/>
          <w:color w:val="000000"/>
        </w:rPr>
        <w:t xml:space="preserve"> REVOCA </w:t>
      </w:r>
      <w:r>
        <w:rPr>
          <w:rFonts w:ascii="Palatino Linotype" w:eastAsia="Palatino Linotype" w:hAnsi="Palatino Linotype" w:cs="Palatino Linotype"/>
          <w:color w:val="000000"/>
        </w:rPr>
        <w:t xml:space="preserve">la respuesta emitida por </w:t>
      </w:r>
      <w:r>
        <w:rPr>
          <w:rFonts w:ascii="Palatino Linotype" w:eastAsia="Palatino Linotype" w:hAnsi="Palatino Linotype" w:cs="Palatino Linotype"/>
          <w:b/>
          <w:bCs/>
          <w:color w:val="000000"/>
        </w:rPr>
        <w:t xml:space="preserve">el </w:t>
      </w:r>
      <w:r>
        <w:rPr>
          <w:rFonts w:ascii="Palatino Linotype" w:eastAsia="Palatino Linotype" w:hAnsi="Palatino Linotype" w:cs="Palatino Linotype"/>
          <w:b/>
          <w:bCs/>
        </w:rPr>
        <w:t>Partido Acción Nacional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rPr>
        <w:t>solicitud de información pública registrada con el número</w:t>
      </w:r>
      <w:r>
        <w:rPr>
          <w:rFonts w:ascii="Palatino Linotype" w:eastAsia="Palatino Linotype" w:hAnsi="Palatino Linotype" w:cs="Palatino Linotype"/>
          <w:b/>
          <w:bCs/>
        </w:rPr>
        <w:t xml:space="preserve"> 00061/PAN/IP/2025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rPr>
        <w:t>de ser procedente en versión pública, lo siguiente:</w:t>
      </w:r>
    </w:p>
    <w:p w:rsidR="009C6806" w:rsidRDefault="009C6806">
      <w:pPr>
        <w:keepNext/>
        <w:keepLines/>
        <w:spacing w:line="360" w:lineRule="auto"/>
        <w:ind w:right="-591"/>
        <w:jc w:val="both"/>
        <w:rPr>
          <w:rFonts w:ascii="Palatino Linotype" w:eastAsia="Palatino Linotype" w:hAnsi="Palatino Linotype" w:cs="Palatino Linotype"/>
          <w:b/>
          <w:bCs/>
        </w:rPr>
      </w:pPr>
    </w:p>
    <w:p w:rsidR="009C6806" w:rsidRDefault="00E67821">
      <w:pPr>
        <w:numPr>
          <w:ilvl w:val="0"/>
          <w:numId w:val="5"/>
        </w:numPr>
        <w:pBdr>
          <w:top w:val="nil"/>
          <w:left w:val="nil"/>
          <w:bottom w:val="nil"/>
          <w:right w:val="nil"/>
          <w:between w:val="nil"/>
        </w:pBdr>
        <w:ind w:left="567" w:right="-59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o los documentos donde consten los resultados obtenidos de la votación para la elección de Consejeros Estatales y Nacionales, en la Asamblea celebrada el 12 de octubre de 2025</w:t>
      </w:r>
    </w:p>
    <w:p w:rsidR="009C6806" w:rsidRDefault="009C6806">
      <w:pPr>
        <w:tabs>
          <w:tab w:val="left" w:pos="8080"/>
        </w:tabs>
        <w:spacing w:line="360" w:lineRule="auto"/>
        <w:ind w:right="-591"/>
        <w:jc w:val="both"/>
        <w:rPr>
          <w:rFonts w:ascii="Palatino Linotype" w:eastAsia="Palatino Linotype" w:hAnsi="Palatino Linotype" w:cs="Palatino Linotype"/>
        </w:rPr>
      </w:pPr>
    </w:p>
    <w:p w:rsidR="009C6806" w:rsidRDefault="00E67821">
      <w:pPr>
        <w:tabs>
          <w:tab w:val="left" w:pos="8080"/>
        </w:tabs>
        <w:spacing w:line="360" w:lineRule="auto"/>
        <w:ind w:right="-591"/>
        <w:jc w:val="both"/>
        <w:rPr>
          <w:rFonts w:ascii="Palatino Linotype" w:eastAsia="Palatino Linotype" w:hAnsi="Palatino Linotype" w:cs="Palatino Linotype"/>
          <w:b/>
          <w:bCs/>
          <w:highlight w:val="white"/>
        </w:rPr>
      </w:pPr>
      <w:r>
        <w:rPr>
          <w:rFonts w:ascii="Palatino Linotype" w:eastAsia="Palatino Linotype" w:hAnsi="Palatino Linotype" w:cs="Palatino Linotype"/>
          <w:highlight w:val="whit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w:t>
      </w:r>
      <w:r>
        <w:rPr>
          <w:rFonts w:ascii="Palatino Linotype" w:eastAsia="Palatino Linotype" w:hAnsi="Palatino Linotype" w:cs="Palatino Linotype"/>
          <w:highlight w:val="white"/>
        </w:rPr>
        <w:lastRenderedPageBreak/>
        <w:t xml:space="preserve">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highlight w:val="white"/>
        </w:rPr>
        <w:t>RECURRENTE.</w:t>
      </w:r>
    </w:p>
    <w:p w:rsidR="009C6806" w:rsidRDefault="009C6806">
      <w:pPr>
        <w:tabs>
          <w:tab w:val="left" w:pos="8080"/>
        </w:tabs>
        <w:spacing w:line="360" w:lineRule="auto"/>
        <w:ind w:right="-591"/>
        <w:jc w:val="both"/>
        <w:rPr>
          <w:rFonts w:ascii="Palatino Linotype" w:eastAsia="Palatino Linotype" w:hAnsi="Palatino Linotype" w:cs="Palatino Linotype"/>
        </w:rPr>
      </w:pPr>
    </w:p>
    <w:p w:rsidR="009C6806" w:rsidRDefault="00E67821">
      <w:pPr>
        <w:tabs>
          <w:tab w:val="left" w:pos="8080"/>
        </w:tabs>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C6806" w:rsidRDefault="009C6806">
      <w:pPr>
        <w:tabs>
          <w:tab w:val="left" w:pos="8080"/>
        </w:tabs>
        <w:spacing w:line="360" w:lineRule="auto"/>
        <w:ind w:right="-591"/>
        <w:jc w:val="both"/>
        <w:rPr>
          <w:rFonts w:ascii="Palatino Linotype" w:eastAsia="Palatino Linotype" w:hAnsi="Palatino Linotype" w:cs="Palatino Linotype"/>
        </w:rPr>
      </w:pPr>
    </w:p>
    <w:p w:rsidR="009C6806" w:rsidRDefault="00E67821">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9C6806" w:rsidRDefault="009C6806">
      <w:pPr>
        <w:spacing w:line="360" w:lineRule="auto"/>
        <w:ind w:right="-591"/>
        <w:jc w:val="both"/>
        <w:rPr>
          <w:rFonts w:ascii="Palatino Linotype" w:eastAsia="Palatino Linotype" w:hAnsi="Palatino Linotype" w:cs="Palatino Linotype"/>
        </w:rPr>
      </w:pPr>
    </w:p>
    <w:p w:rsidR="009C6806" w:rsidRDefault="00E67821">
      <w:pPr>
        <w:tabs>
          <w:tab w:val="left" w:pos="8080"/>
        </w:tabs>
        <w:spacing w:line="360" w:lineRule="auto"/>
        <w:ind w:right="-591"/>
        <w:jc w:val="both"/>
        <w:rPr>
          <w:rFonts w:ascii="Palatino Linotype" w:eastAsia="Palatino Linotype" w:hAnsi="Palatino Linotype" w:cs="Palatino Linotype"/>
        </w:rPr>
      </w:pPr>
      <w:bookmarkStart w:id="10" w:name="_heading=h.35nkun2" w:colFirst="0" w:colLast="0"/>
      <w:bookmarkEnd w:id="10"/>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 a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p>
    <w:p w:rsidR="009C6806" w:rsidRDefault="009C6806">
      <w:pPr>
        <w:tabs>
          <w:tab w:val="left" w:pos="8080"/>
        </w:tabs>
        <w:spacing w:line="360" w:lineRule="auto"/>
        <w:ind w:right="-591"/>
        <w:jc w:val="both"/>
        <w:rPr>
          <w:rFonts w:ascii="Palatino Linotype" w:eastAsia="Palatino Linotype" w:hAnsi="Palatino Linotype" w:cs="Palatino Linotype"/>
        </w:rPr>
      </w:pPr>
    </w:p>
    <w:p w:rsidR="009C6806" w:rsidRDefault="00E67821">
      <w:pPr>
        <w:spacing w:before="240" w:after="240"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37E9E" w:rsidRPr="003E2295" w:rsidRDefault="00A37E9E" w:rsidP="00A37E9E">
      <w:pPr>
        <w:spacing w:before="240" w:after="240" w:line="360" w:lineRule="auto"/>
        <w:ind w:right="-596" w:firstLine="1"/>
        <w:jc w:val="both"/>
        <w:rPr>
          <w:rFonts w:ascii="Palatino Linotype" w:hAnsi="Palatino Linotype"/>
        </w:rPr>
      </w:pPr>
      <w:bookmarkStart w:id="11"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9C6806" w:rsidRDefault="009C6806" w:rsidP="00A37E9E">
      <w:pPr>
        <w:spacing w:line="360" w:lineRule="auto"/>
        <w:ind w:right="-596"/>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4702BA" w:rsidRDefault="004702BA">
      <w:pPr>
        <w:spacing w:line="360" w:lineRule="auto"/>
        <w:ind w:right="-591"/>
        <w:jc w:val="both"/>
        <w:rPr>
          <w:rFonts w:ascii="Palatino Linotype" w:eastAsia="Palatino Linotype" w:hAnsi="Palatino Linotype" w:cs="Palatino Linotype"/>
          <w:b/>
          <w:bCs/>
        </w:rPr>
      </w:pPr>
    </w:p>
    <w:p w:rsidR="009C6806" w:rsidRDefault="009C6806">
      <w:pPr>
        <w:spacing w:line="360" w:lineRule="auto"/>
        <w:ind w:right="-591"/>
        <w:jc w:val="both"/>
        <w:rPr>
          <w:rFonts w:ascii="Palatino Linotype" w:eastAsia="Palatino Linotype" w:hAnsi="Palatino Linotype" w:cs="Palatino Linotype"/>
          <w:b/>
          <w:bCs/>
        </w:rPr>
      </w:pPr>
    </w:p>
    <w:sectPr w:rsidR="009C6806">
      <w:headerReference w:type="even" r:id="rId13"/>
      <w:headerReference w:type="default" r:id="rId14"/>
      <w:footerReference w:type="even" r:id="rId15"/>
      <w:footerReference w:type="default" r:id="rId16"/>
      <w:headerReference w:type="first" r:id="rId17"/>
      <w:footerReference w:type="first" r:id="rId18"/>
      <w:pgSz w:w="12240" w:h="15840"/>
      <w:pgMar w:top="80"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2DA" w:rsidRDefault="00D612DA">
      <w:r>
        <w:separator/>
      </w:r>
    </w:p>
  </w:endnote>
  <w:endnote w:type="continuationSeparator" w:id="0">
    <w:p w:rsidR="00D612DA" w:rsidRDefault="00D61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3D75A3C5-F614-4D13-937D-7CACAE7C5E12}"/>
    <w:embedBold r:id="rId2" w:fontKey="{4C3B57DE-117B-4965-A2D1-96157664137C}"/>
    <w:embedItalic r:id="rId3" w:fontKey="{93E2AFD0-BEA7-4B97-9970-85EF047F0DE8}"/>
    <w:embedBoldItalic r:id="rId4" w:fontKey="{B24A042E-5FA8-47D7-8FE4-8426FB589AF9}"/>
  </w:font>
  <w:font w:name="Calibri">
    <w:panose1 w:val="020F0502020204030204"/>
    <w:charset w:val="00"/>
    <w:family w:val="swiss"/>
    <w:pitch w:val="variable"/>
    <w:sig w:usb0="E4002EFF" w:usb1="C200247B" w:usb2="00000009" w:usb3="00000000" w:csb0="000001FF" w:csb1="00000000"/>
    <w:embedRegular r:id="rId5" w:fontKey="{AAEF58B6-7F14-4062-A42E-F0D895690E16}"/>
  </w:font>
  <w:font w:name="Georgia">
    <w:panose1 w:val="02040502050405020303"/>
    <w:charset w:val="00"/>
    <w:family w:val="roman"/>
    <w:pitch w:val="variable"/>
    <w:sig w:usb0="00000287" w:usb1="00000000" w:usb2="00000000" w:usb3="00000000" w:csb0="0000009F" w:csb1="00000000"/>
    <w:embedItalic r:id="rId6" w:fontKey="{CAF73832-4CD8-45E1-9442-BC2C843E1D78}"/>
  </w:font>
  <w:font w:name="Garamond">
    <w:panose1 w:val="02020404030301010803"/>
    <w:charset w:val="00"/>
    <w:family w:val="roman"/>
    <w:pitch w:val="variable"/>
    <w:sig w:usb0="00000287" w:usb1="00000000" w:usb2="00000000" w:usb3="00000000" w:csb0="0000009F" w:csb1="00000000"/>
    <w:embedRegular r:id="rId7" w:fontKey="{FFEA83FD-F1B0-4F66-9AFB-0759B781642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D7D808D0-DCE3-4B41-8B3A-6B117891A9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806" w:rsidRDefault="009C680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806" w:rsidRDefault="00E6782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26EE7">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26EE7">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9C6806" w:rsidRDefault="009C6806">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806" w:rsidRDefault="00E6782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526EE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526EE7">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9C6806" w:rsidRDefault="009C680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2DA" w:rsidRDefault="00D612DA">
      <w:r>
        <w:separator/>
      </w:r>
    </w:p>
  </w:footnote>
  <w:footnote w:type="continuationSeparator" w:id="0">
    <w:p w:rsidR="00D612DA" w:rsidRDefault="00D612DA">
      <w:r>
        <w:continuationSeparator/>
      </w:r>
    </w:p>
  </w:footnote>
  <w:footnote w:id="1">
    <w:p w:rsidR="009C6806" w:rsidRDefault="00E678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9C6806" w:rsidRDefault="00E678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9C6806" w:rsidRDefault="00E678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9C6806" w:rsidRDefault="00E6782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806" w:rsidRDefault="00D612D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1985"/>
      <w:gridCol w:w="8505"/>
    </w:tblGrid>
    <w:tr w:rsidR="009C6806" w:rsidTr="001107D4">
      <w:trPr>
        <w:trHeight w:val="1435"/>
      </w:trPr>
      <w:tc>
        <w:tcPr>
          <w:tcW w:w="1985" w:type="dxa"/>
          <w:shd w:val="clear" w:color="auto" w:fill="auto"/>
        </w:tcPr>
        <w:p w:rsidR="009C6806" w:rsidRDefault="009C6806">
          <w:pPr>
            <w:tabs>
              <w:tab w:val="right" w:pos="4273"/>
            </w:tabs>
            <w:rPr>
              <w:rFonts w:ascii="Garamond" w:eastAsia="Garamond" w:hAnsi="Garamond" w:cs="Garamond"/>
              <w:sz w:val="16"/>
              <w:szCs w:val="16"/>
            </w:rPr>
          </w:pPr>
        </w:p>
      </w:tc>
      <w:tc>
        <w:tcPr>
          <w:tcW w:w="8505" w:type="dxa"/>
          <w:shd w:val="clear" w:color="auto" w:fill="auto"/>
        </w:tcPr>
        <w:tbl>
          <w:tblPr>
            <w:tblStyle w:val="a2"/>
            <w:tblW w:w="7499" w:type="dxa"/>
            <w:tblInd w:w="594" w:type="dxa"/>
            <w:tblLayout w:type="fixed"/>
            <w:tblLook w:val="0400" w:firstRow="0" w:lastRow="0" w:firstColumn="0" w:lastColumn="0" w:noHBand="0" w:noVBand="1"/>
          </w:tblPr>
          <w:tblGrid>
            <w:gridCol w:w="3797"/>
            <w:gridCol w:w="3702"/>
          </w:tblGrid>
          <w:tr w:rsidR="009C6806" w:rsidTr="001107D4">
            <w:trPr>
              <w:trHeight w:val="359"/>
            </w:trPr>
            <w:tc>
              <w:tcPr>
                <w:tcW w:w="3797" w:type="dxa"/>
                <w:shd w:val="clear" w:color="auto" w:fill="auto"/>
              </w:tcPr>
              <w:p w:rsidR="009C6806" w:rsidRDefault="00E67821" w:rsidP="00A37E9E">
                <w:pPr>
                  <w:tabs>
                    <w:tab w:val="right" w:pos="8838"/>
                  </w:tabs>
                  <w:ind w:left="850" w:right="-540"/>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02" w:type="dxa"/>
                <w:shd w:val="clear" w:color="auto" w:fill="auto"/>
              </w:tcPr>
              <w:p w:rsidR="009C6806" w:rsidRDefault="00E67821" w:rsidP="00A37E9E">
                <w:pPr>
                  <w:tabs>
                    <w:tab w:val="right" w:pos="8838"/>
                  </w:tabs>
                  <w:ind w:right="-540"/>
                  <w:jc w:val="both"/>
                  <w:rPr>
                    <w:rFonts w:ascii="Palatino Linotype" w:eastAsia="Palatino Linotype" w:hAnsi="Palatino Linotype" w:cs="Palatino Linotype"/>
                  </w:rPr>
                </w:pPr>
                <w:r>
                  <w:rPr>
                    <w:rFonts w:ascii="Palatino Linotype" w:eastAsia="Palatino Linotype" w:hAnsi="Palatino Linotype" w:cs="Palatino Linotype"/>
                  </w:rPr>
                  <w:t>13178/INFOEM/IP/RR/2025</w:t>
                </w:r>
              </w:p>
            </w:tc>
          </w:tr>
          <w:tr w:rsidR="009C6806" w:rsidTr="001107D4">
            <w:trPr>
              <w:trHeight w:val="295"/>
            </w:trPr>
            <w:tc>
              <w:tcPr>
                <w:tcW w:w="3797" w:type="dxa"/>
                <w:shd w:val="clear" w:color="auto" w:fill="auto"/>
              </w:tcPr>
              <w:p w:rsidR="009C6806" w:rsidRDefault="00E67821" w:rsidP="00A37E9E">
                <w:pPr>
                  <w:tabs>
                    <w:tab w:val="right" w:pos="8838"/>
                  </w:tabs>
                  <w:ind w:left="850" w:right="-540"/>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02" w:type="dxa"/>
                <w:shd w:val="clear" w:color="auto" w:fill="auto"/>
              </w:tcPr>
              <w:p w:rsidR="009C6806" w:rsidRDefault="00E67821" w:rsidP="00A37E9E">
                <w:pPr>
                  <w:tabs>
                    <w:tab w:val="right" w:pos="8838"/>
                  </w:tabs>
                  <w:ind w:right="-540"/>
                  <w:jc w:val="both"/>
                  <w:rPr>
                    <w:rFonts w:ascii="Palatino Linotype" w:eastAsia="Palatino Linotype" w:hAnsi="Palatino Linotype" w:cs="Palatino Linotype"/>
                  </w:rPr>
                </w:pPr>
                <w:r>
                  <w:rPr>
                    <w:rFonts w:ascii="Palatino Linotype" w:eastAsia="Palatino Linotype" w:hAnsi="Palatino Linotype" w:cs="Palatino Linotype"/>
                  </w:rPr>
                  <w:t>Partido Acción Nacional</w:t>
                </w:r>
              </w:p>
            </w:tc>
          </w:tr>
          <w:tr w:rsidR="009C6806" w:rsidTr="001107D4">
            <w:trPr>
              <w:trHeight w:val="295"/>
            </w:trPr>
            <w:tc>
              <w:tcPr>
                <w:tcW w:w="3797" w:type="dxa"/>
                <w:shd w:val="clear" w:color="auto" w:fill="auto"/>
              </w:tcPr>
              <w:p w:rsidR="009C6806" w:rsidRDefault="00E67821" w:rsidP="00A37E9E">
                <w:pPr>
                  <w:tabs>
                    <w:tab w:val="right" w:pos="8838"/>
                  </w:tabs>
                  <w:ind w:left="850" w:right="-540"/>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02" w:type="dxa"/>
                <w:shd w:val="clear" w:color="auto" w:fill="auto"/>
              </w:tcPr>
              <w:p w:rsidR="009C6806" w:rsidRDefault="00E67821" w:rsidP="00A37E9E">
                <w:pPr>
                  <w:tabs>
                    <w:tab w:val="right" w:pos="8838"/>
                  </w:tabs>
                  <w:ind w:right="-54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9C6806" w:rsidRDefault="009C6806" w:rsidP="00A37E9E">
                <w:pPr>
                  <w:tabs>
                    <w:tab w:val="right" w:pos="8838"/>
                  </w:tabs>
                  <w:ind w:left="141" w:right="-540"/>
                  <w:jc w:val="both"/>
                  <w:rPr>
                    <w:rFonts w:ascii="Palatino Linotype" w:eastAsia="Palatino Linotype" w:hAnsi="Palatino Linotype" w:cs="Palatino Linotype"/>
                  </w:rPr>
                </w:pPr>
              </w:p>
            </w:tc>
          </w:tr>
        </w:tbl>
        <w:p w:rsidR="009C6806" w:rsidRDefault="009C6806" w:rsidP="00A37E9E">
          <w:pPr>
            <w:tabs>
              <w:tab w:val="right" w:pos="8838"/>
            </w:tabs>
            <w:ind w:left="-28" w:right="-540"/>
            <w:jc w:val="both"/>
            <w:rPr>
              <w:rFonts w:ascii="Arial" w:eastAsia="Arial" w:hAnsi="Arial" w:cs="Arial"/>
              <w:b/>
              <w:bCs/>
              <w:sz w:val="18"/>
              <w:szCs w:val="18"/>
            </w:rPr>
          </w:pPr>
        </w:p>
      </w:tc>
    </w:tr>
  </w:tbl>
  <w:p w:rsidR="009C6806" w:rsidRDefault="00D612D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9C6806">
      <w:trPr>
        <w:trHeight w:val="1435"/>
      </w:trPr>
      <w:tc>
        <w:tcPr>
          <w:tcW w:w="2265" w:type="dxa"/>
          <w:shd w:val="clear" w:color="auto" w:fill="auto"/>
        </w:tcPr>
        <w:p w:rsidR="009C6806" w:rsidRDefault="009C6806">
          <w:pPr>
            <w:tabs>
              <w:tab w:val="right" w:pos="4273"/>
            </w:tabs>
            <w:rPr>
              <w:rFonts w:ascii="Garamond" w:eastAsia="Garamond" w:hAnsi="Garamond" w:cs="Garamond"/>
              <w:sz w:val="22"/>
              <w:szCs w:val="22"/>
            </w:rPr>
          </w:pPr>
        </w:p>
      </w:tc>
      <w:tc>
        <w:tcPr>
          <w:tcW w:w="7800" w:type="dxa"/>
          <w:shd w:val="clear" w:color="auto" w:fill="auto"/>
        </w:tcPr>
        <w:tbl>
          <w:tblPr>
            <w:tblStyle w:val="a4"/>
            <w:tblW w:w="7410" w:type="dxa"/>
            <w:tblInd w:w="881" w:type="dxa"/>
            <w:tblLayout w:type="fixed"/>
            <w:tblLook w:val="0400" w:firstRow="0" w:lastRow="0" w:firstColumn="0" w:lastColumn="0" w:noHBand="0" w:noVBand="1"/>
          </w:tblPr>
          <w:tblGrid>
            <w:gridCol w:w="3062"/>
            <w:gridCol w:w="4348"/>
          </w:tblGrid>
          <w:tr w:rsidR="009C6806" w:rsidTr="001107D4">
            <w:trPr>
              <w:trHeight w:val="144"/>
            </w:trPr>
            <w:tc>
              <w:tcPr>
                <w:tcW w:w="3062" w:type="dxa"/>
                <w:shd w:val="clear" w:color="auto" w:fill="auto"/>
              </w:tcPr>
              <w:p w:rsidR="009C6806" w:rsidRDefault="00E67821">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48" w:type="dxa"/>
                <w:shd w:val="clear" w:color="auto" w:fill="auto"/>
              </w:tcPr>
              <w:p w:rsidR="009C6806" w:rsidRDefault="00E67821">
                <w:pPr>
                  <w:tabs>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13178/INFOEM/IP/RR/2025</w:t>
                </w:r>
              </w:p>
            </w:tc>
          </w:tr>
          <w:tr w:rsidR="009C6806" w:rsidTr="001107D4">
            <w:trPr>
              <w:trHeight w:val="144"/>
            </w:trPr>
            <w:tc>
              <w:tcPr>
                <w:tcW w:w="3062" w:type="dxa"/>
                <w:shd w:val="clear" w:color="auto" w:fill="auto"/>
              </w:tcPr>
              <w:p w:rsidR="009C6806" w:rsidRDefault="00E67821">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48" w:type="dxa"/>
                <w:shd w:val="clear" w:color="auto" w:fill="auto"/>
              </w:tcPr>
              <w:p w:rsidR="009C6806" w:rsidRDefault="00526EE7">
                <w:pPr>
                  <w:tabs>
                    <w:tab w:val="left" w:pos="3122"/>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XXXX</w:t>
                </w:r>
              </w:p>
            </w:tc>
          </w:tr>
          <w:tr w:rsidR="009C6806" w:rsidTr="001107D4">
            <w:trPr>
              <w:trHeight w:val="80"/>
            </w:trPr>
            <w:tc>
              <w:tcPr>
                <w:tcW w:w="3062" w:type="dxa"/>
                <w:shd w:val="clear" w:color="auto" w:fill="auto"/>
              </w:tcPr>
              <w:p w:rsidR="009C6806" w:rsidRDefault="00E67821">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48" w:type="dxa"/>
                <w:shd w:val="clear" w:color="auto" w:fill="auto"/>
              </w:tcPr>
              <w:p w:rsidR="009C6806" w:rsidRDefault="00E67821">
                <w:pPr>
                  <w:tabs>
                    <w:tab w:val="left" w:pos="2834"/>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Partido Acción Nacional</w:t>
                </w:r>
              </w:p>
            </w:tc>
          </w:tr>
          <w:tr w:rsidR="009C6806" w:rsidTr="001107D4">
            <w:trPr>
              <w:trHeight w:val="283"/>
            </w:trPr>
            <w:tc>
              <w:tcPr>
                <w:tcW w:w="3062" w:type="dxa"/>
                <w:shd w:val="clear" w:color="auto" w:fill="auto"/>
              </w:tcPr>
              <w:p w:rsidR="009C6806" w:rsidRDefault="00E67821">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 xml:space="preserve"> Comisionada ponente:</w:t>
                </w:r>
              </w:p>
            </w:tc>
            <w:tc>
              <w:tcPr>
                <w:tcW w:w="4348" w:type="dxa"/>
                <w:shd w:val="clear" w:color="auto" w:fill="auto"/>
              </w:tcPr>
              <w:p w:rsidR="009C6806" w:rsidRDefault="00E67821">
                <w:pPr>
                  <w:tabs>
                    <w:tab w:val="right" w:pos="8838"/>
                  </w:tabs>
                  <w:ind w:right="-1552"/>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9C6806" w:rsidRDefault="009C6806">
                <w:pPr>
                  <w:tabs>
                    <w:tab w:val="right" w:pos="8838"/>
                  </w:tabs>
                  <w:ind w:right="-1552"/>
                  <w:rPr>
                    <w:rFonts w:ascii="Palatino Linotype" w:eastAsia="Palatino Linotype" w:hAnsi="Palatino Linotype" w:cs="Palatino Linotype"/>
                  </w:rPr>
                </w:pPr>
              </w:p>
            </w:tc>
          </w:tr>
        </w:tbl>
        <w:p w:rsidR="009C6806" w:rsidRDefault="009C6806">
          <w:pPr>
            <w:tabs>
              <w:tab w:val="right" w:pos="8838"/>
            </w:tabs>
            <w:ind w:left="-28"/>
            <w:jc w:val="both"/>
            <w:rPr>
              <w:rFonts w:ascii="Arial" w:eastAsia="Arial" w:hAnsi="Arial" w:cs="Arial"/>
              <w:b/>
              <w:bCs/>
              <w:sz w:val="22"/>
              <w:szCs w:val="22"/>
            </w:rPr>
          </w:pPr>
        </w:p>
      </w:tc>
    </w:tr>
  </w:tbl>
  <w:p w:rsidR="009C6806" w:rsidRDefault="00D612D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41108"/>
    <w:multiLevelType w:val="multilevel"/>
    <w:tmpl w:val="41A81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823FD4"/>
    <w:multiLevelType w:val="multilevel"/>
    <w:tmpl w:val="C6380D8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CF7AF3"/>
    <w:multiLevelType w:val="multilevel"/>
    <w:tmpl w:val="1924F5BE"/>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4A1A8F"/>
    <w:multiLevelType w:val="multilevel"/>
    <w:tmpl w:val="2312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E32D8A"/>
    <w:multiLevelType w:val="multilevel"/>
    <w:tmpl w:val="8438F0D8"/>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5" w15:restartNumberingAfterBreak="0">
    <w:nsid w:val="7DBB3FE8"/>
    <w:multiLevelType w:val="multilevel"/>
    <w:tmpl w:val="C130D9D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06"/>
    <w:rsid w:val="001107D4"/>
    <w:rsid w:val="004702BA"/>
    <w:rsid w:val="00526EE7"/>
    <w:rsid w:val="00695454"/>
    <w:rsid w:val="006B0C0B"/>
    <w:rsid w:val="009C6806"/>
    <w:rsid w:val="00A37E9E"/>
    <w:rsid w:val="00C2240E"/>
    <w:rsid w:val="00D612DA"/>
    <w:rsid w:val="00E47C4D"/>
    <w:rsid w:val="00E678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BEFA61F-200D-4643-8F16-75D07833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110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24256.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imex.org.mx/saimex/solicitud/downloadAttach/2624256.pag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24256.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aimex.org.mx/saimex/solicitud/downloadAttach/2624256.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imex.org.mx/saimex/solicitud/downloadAttach/2624256.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SslORkwXtajGtxJgHcSxP9mjyA==">CgMxLjAyDmgubTd5OTBkYjc3Y3RrMg5oLnFuNmpqdG9rOHM3ZzIJaC4zem55c2g3MgloLjNkeTZ2a20yDmguNTd3OWNtZzc1MmV1MgloLjMwajB6bGwyDmguZHBuOHBiZWRtcm43Mg5oLnNnNjlwamZ1c2N6NjIJaC4yNmluMXJnMgloLjM1bmt1bjI4AHIhMUZfTzNheFRKa0IxVTkwWFZQV1pxREV3SkhGWnJQTWJZ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31</Pages>
  <Words>9471</Words>
  <Characters>52093</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2026-06-05T16:53:00Z</cp:lastPrinted>
  <dcterms:created xsi:type="dcterms:W3CDTF">2026-06-03T22:00:00Z</dcterms:created>
  <dcterms:modified xsi:type="dcterms:W3CDTF">2026-06-10T18:55:00Z</dcterms:modified>
</cp:coreProperties>
</file>