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F0E" w:rsidRPr="00C34496" w:rsidRDefault="0093335F">
      <w:pPr>
        <w:tabs>
          <w:tab w:val="left" w:pos="0"/>
        </w:tabs>
        <w:spacing w:line="360" w:lineRule="auto"/>
        <w:jc w:val="both"/>
        <w:rPr>
          <w:rFonts w:ascii="Palatino Linotype" w:eastAsia="Palatino Linotype" w:hAnsi="Palatino Linotype" w:cs="Palatino Linotype"/>
        </w:rPr>
      </w:pPr>
      <w:bookmarkStart w:id="0" w:name="_GoBack"/>
      <w:bookmarkEnd w:id="0"/>
      <w:r w:rsidRPr="00C3449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9C7790" w:rsidRPr="00C34496">
        <w:rPr>
          <w:rFonts w:ascii="Palatino Linotype" w:eastAsia="Palatino Linotype" w:hAnsi="Palatino Linotype" w:cs="Palatino Linotype"/>
          <w:b/>
          <w:lang w:val="es-ES_tradnl"/>
        </w:rPr>
        <w:t>de fecha veinticinco</w:t>
      </w:r>
      <w:r w:rsidR="00C34496" w:rsidRPr="00C34496">
        <w:rPr>
          <w:rFonts w:ascii="Palatino Linotype" w:eastAsia="Palatino Linotype" w:hAnsi="Palatino Linotype" w:cs="Palatino Linotype"/>
          <w:b/>
          <w:lang w:val="es-ES_tradnl"/>
        </w:rPr>
        <w:t xml:space="preserve"> (25)</w:t>
      </w:r>
      <w:r w:rsidR="009C7790" w:rsidRPr="00C34496">
        <w:rPr>
          <w:rFonts w:ascii="Palatino Linotype" w:eastAsia="Palatino Linotype" w:hAnsi="Palatino Linotype" w:cs="Palatino Linotype"/>
          <w:b/>
          <w:lang w:val="es-ES_tradnl"/>
        </w:rPr>
        <w:t xml:space="preserve"> </w:t>
      </w:r>
      <w:r w:rsidR="00B54493" w:rsidRPr="00C34496">
        <w:rPr>
          <w:rFonts w:ascii="Palatino Linotype" w:eastAsia="Palatino Linotype" w:hAnsi="Palatino Linotype" w:cs="Palatino Linotype"/>
          <w:b/>
          <w:lang w:val="es-ES_tradnl"/>
        </w:rPr>
        <w:t>de febrero de dos mil veintiséis.</w:t>
      </w:r>
    </w:p>
    <w:p w:rsidR="00E05F0E" w:rsidRPr="00C34496" w:rsidRDefault="00E05F0E">
      <w:pPr>
        <w:tabs>
          <w:tab w:val="left" w:pos="0"/>
        </w:tabs>
        <w:spacing w:line="360" w:lineRule="auto"/>
        <w:jc w:val="both"/>
        <w:rPr>
          <w:rFonts w:ascii="Palatino Linotype" w:eastAsia="Palatino Linotype" w:hAnsi="Palatino Linotype" w:cs="Palatino Linotype"/>
        </w:rPr>
      </w:pPr>
    </w:p>
    <w:p w:rsidR="00E05F0E" w:rsidRPr="00C34496" w:rsidRDefault="0093335F">
      <w:pPr>
        <w:spacing w:line="360" w:lineRule="auto"/>
        <w:jc w:val="both"/>
        <w:rPr>
          <w:rFonts w:ascii="Palatino Linotype" w:eastAsia="Palatino Linotype" w:hAnsi="Palatino Linotype" w:cs="Palatino Linotype"/>
        </w:rPr>
      </w:pPr>
      <w:r w:rsidRPr="00C34496">
        <w:rPr>
          <w:rFonts w:ascii="Palatino Linotype" w:eastAsia="Palatino Linotype" w:hAnsi="Palatino Linotype" w:cs="Palatino Linotype"/>
          <w:b/>
        </w:rPr>
        <w:t>VISTO</w:t>
      </w:r>
      <w:r w:rsidRPr="00C34496">
        <w:rPr>
          <w:rFonts w:ascii="Palatino Linotype" w:eastAsia="Palatino Linotype" w:hAnsi="Palatino Linotype" w:cs="Palatino Linotype"/>
        </w:rPr>
        <w:t xml:space="preserve"> el expediente electrónico formado con motivo del recurso de revisión </w:t>
      </w:r>
      <w:r w:rsidR="000C217B" w:rsidRPr="00C34496">
        <w:rPr>
          <w:rFonts w:ascii="Palatino Linotype" w:eastAsia="Palatino Linotype" w:hAnsi="Palatino Linotype" w:cs="Palatino Linotype"/>
          <w:b/>
        </w:rPr>
        <w:t>06898/INFOEM/ICR-53/IP/RR/2025</w:t>
      </w:r>
      <w:r w:rsidRP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rPr>
        <w:t xml:space="preserve">promovido </w:t>
      </w:r>
      <w:r w:rsidRPr="00C34496">
        <w:rPr>
          <w:rFonts w:ascii="Palatino Linotype" w:eastAsia="Palatino Linotype" w:hAnsi="Palatino Linotype" w:cs="Palatino Linotype"/>
          <w:b/>
        </w:rPr>
        <w:t>de manera anónima</w:t>
      </w:r>
      <w:r w:rsidRPr="00C34496">
        <w:rPr>
          <w:rFonts w:ascii="Palatino Linotype" w:eastAsia="Palatino Linotype" w:hAnsi="Palatino Linotype" w:cs="Palatino Linotype"/>
        </w:rPr>
        <w:t>, a quien en lo sucesivo se le identificara como</w:t>
      </w:r>
      <w:r w:rsidR="000C217B" w:rsidRPr="00C34496">
        <w:rPr>
          <w:rFonts w:ascii="Palatino Linotype" w:eastAsia="Palatino Linotype" w:hAnsi="Palatino Linotype" w:cs="Palatino Linotype"/>
        </w:rPr>
        <w:t xml:space="preserve"> </w:t>
      </w:r>
      <w:r w:rsidR="000C217B" w:rsidRPr="00C34496">
        <w:rPr>
          <w:rFonts w:ascii="Palatino Linotype" w:eastAsia="Palatino Linotype" w:hAnsi="Palatino Linotype" w:cs="Palatino Linotype"/>
          <w:b/>
        </w:rPr>
        <w:t>EL</w:t>
      </w:r>
      <w:r w:rsidRPr="00C34496">
        <w:rPr>
          <w:rFonts w:ascii="Palatino Linotype" w:eastAsia="Palatino Linotype" w:hAnsi="Palatino Linotype" w:cs="Palatino Linotype"/>
        </w:rPr>
        <w:t xml:space="preserve"> </w:t>
      </w:r>
      <w:r w:rsidRPr="00C34496">
        <w:rPr>
          <w:rFonts w:ascii="Palatino Linotype" w:eastAsia="Palatino Linotype" w:hAnsi="Palatino Linotype" w:cs="Palatino Linotype"/>
          <w:b/>
        </w:rPr>
        <w:t>RECURRENTE</w:t>
      </w:r>
      <w:r w:rsidRPr="00C34496">
        <w:rPr>
          <w:rFonts w:ascii="Palatino Linotype" w:eastAsia="Palatino Linotype" w:hAnsi="Palatino Linotype" w:cs="Palatino Linotype"/>
        </w:rPr>
        <w:t xml:space="preserve">, en contra de la respuesta del </w:t>
      </w:r>
      <w:r w:rsidR="000C217B" w:rsidRPr="00C34496">
        <w:rPr>
          <w:rFonts w:ascii="Palatino Linotype" w:eastAsia="Palatino Linotype" w:hAnsi="Palatino Linotype" w:cs="Palatino Linotype"/>
          <w:b/>
          <w:bCs/>
        </w:rPr>
        <w:t>Ayuntamiento de Tepotzotlán</w:t>
      </w:r>
      <w:r w:rsidRP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rPr>
        <w:t xml:space="preserve">en </w:t>
      </w:r>
      <w:r w:rsidR="00C34496">
        <w:rPr>
          <w:rFonts w:ascii="Palatino Linotype" w:eastAsia="Palatino Linotype" w:hAnsi="Palatino Linotype" w:cs="Palatino Linotype"/>
        </w:rPr>
        <w:t>adelante</w:t>
      </w:r>
      <w:r w:rsidRPr="00C34496">
        <w:rPr>
          <w:rFonts w:ascii="Palatino Linotype" w:eastAsia="Palatino Linotype" w:hAnsi="Palatino Linotype" w:cs="Palatino Linotype"/>
        </w:rPr>
        <w:t xml:space="preserve"> el</w:t>
      </w:r>
      <w:r w:rsidRPr="00C34496">
        <w:rPr>
          <w:rFonts w:ascii="Palatino Linotype" w:eastAsia="Palatino Linotype" w:hAnsi="Palatino Linotype" w:cs="Palatino Linotype"/>
          <w:b/>
        </w:rPr>
        <w:t xml:space="preserve"> SUJETO OBLIGADO, </w:t>
      </w:r>
      <w:r w:rsidRPr="00C34496">
        <w:rPr>
          <w:rFonts w:ascii="Palatino Linotype" w:eastAsia="Palatino Linotype" w:hAnsi="Palatino Linotype" w:cs="Palatino Linotype"/>
        </w:rPr>
        <w:t xml:space="preserve">se procede a dictar la presente resolución, con base en los siguientes: </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keepNext/>
        <w:keepLines/>
        <w:tabs>
          <w:tab w:val="left" w:pos="0"/>
        </w:tabs>
        <w:spacing w:line="360" w:lineRule="auto"/>
        <w:jc w:val="center"/>
        <w:rPr>
          <w:rFonts w:ascii="Palatino Linotype" w:eastAsia="Palatino Linotype" w:hAnsi="Palatino Linotype" w:cs="Palatino Linotype"/>
          <w:b/>
        </w:rPr>
      </w:pPr>
      <w:bookmarkStart w:id="1" w:name="_heading=h.w7d79u58oixt" w:colFirst="0" w:colLast="0"/>
      <w:bookmarkEnd w:id="1"/>
      <w:r w:rsidRPr="00C34496">
        <w:rPr>
          <w:rFonts w:ascii="Palatino Linotype" w:eastAsia="Palatino Linotype" w:hAnsi="Palatino Linotype" w:cs="Palatino Linotype"/>
          <w:b/>
        </w:rPr>
        <w:t>A</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N</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T</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E</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C</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E</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D</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E</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N</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T</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E</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S</w:t>
      </w:r>
      <w:r w:rsidR="00C34496">
        <w:rPr>
          <w:rFonts w:ascii="Palatino Linotype" w:eastAsia="Palatino Linotype" w:hAnsi="Palatino Linotype" w:cs="Palatino Linotype"/>
          <w:b/>
        </w:rPr>
        <w:t xml:space="preserve"> </w:t>
      </w:r>
    </w:p>
    <w:p w:rsidR="00E05F0E" w:rsidRPr="00C34496" w:rsidRDefault="00E05F0E">
      <w:pPr>
        <w:keepNext/>
        <w:keepLines/>
        <w:tabs>
          <w:tab w:val="left" w:pos="0"/>
        </w:tabs>
        <w:spacing w:line="360" w:lineRule="auto"/>
        <w:jc w:val="center"/>
        <w:rPr>
          <w:rFonts w:ascii="Palatino Linotype" w:eastAsia="Palatino Linotype" w:hAnsi="Palatino Linotype" w:cs="Palatino Linotype"/>
          <w:b/>
        </w:rPr>
      </w:pPr>
    </w:p>
    <w:p w:rsidR="00E05F0E" w:rsidRPr="00C34496" w:rsidRDefault="0093335F" w:rsidP="000C217B">
      <w:pPr>
        <w:numPr>
          <w:ilvl w:val="0"/>
          <w:numId w:val="1"/>
        </w:numPr>
        <w:tabs>
          <w:tab w:val="left" w:pos="0"/>
        </w:tabs>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El </w:t>
      </w:r>
      <w:r w:rsidR="000C217B" w:rsidRPr="00C34496">
        <w:rPr>
          <w:rFonts w:ascii="Palatino Linotype" w:eastAsia="Palatino Linotype" w:hAnsi="Palatino Linotype" w:cs="Palatino Linotype"/>
          <w:b/>
        </w:rPr>
        <w:t>seis de mayo</w:t>
      </w:r>
      <w:r w:rsidRPr="00C34496">
        <w:rPr>
          <w:rFonts w:ascii="Palatino Linotype" w:eastAsia="Palatino Linotype" w:hAnsi="Palatino Linotype" w:cs="Palatino Linotype"/>
          <w:b/>
        </w:rPr>
        <w:t xml:space="preserve"> de dos mil veinticinco</w:t>
      </w:r>
      <w:r w:rsidRPr="00C34496">
        <w:rPr>
          <w:rFonts w:ascii="Palatino Linotype" w:eastAsia="Palatino Linotype" w:hAnsi="Palatino Linotype" w:cs="Palatino Linotype"/>
        </w:rPr>
        <w:t>, el</w:t>
      </w:r>
      <w:r w:rsidRP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rPr>
        <w:t>solicitante</w:t>
      </w:r>
      <w:r w:rsidRP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rPr>
        <w:t>presentó</w:t>
      </w:r>
      <w:r w:rsidRP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rPr>
        <w:t xml:space="preserve">ante el </w:t>
      </w:r>
      <w:r w:rsidRPr="00C34496">
        <w:rPr>
          <w:rFonts w:ascii="Palatino Linotype" w:eastAsia="Palatino Linotype" w:hAnsi="Palatino Linotype" w:cs="Palatino Linotype"/>
          <w:b/>
        </w:rPr>
        <w:t>SUJETO OBLIGADO,</w:t>
      </w:r>
      <w:r w:rsidRPr="00C34496">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Pr="00C34496">
        <w:rPr>
          <w:rFonts w:ascii="Palatino Linotype" w:eastAsia="Palatino Linotype" w:hAnsi="Palatino Linotype" w:cs="Palatino Linotype"/>
          <w:b/>
        </w:rPr>
        <w:t> </w:t>
      </w:r>
      <w:r w:rsidR="000C217B" w:rsidRPr="00C34496">
        <w:rPr>
          <w:rFonts w:ascii="Palatino Linotype" w:eastAsia="Palatino Linotype" w:hAnsi="Palatino Linotype" w:cs="Palatino Linotype"/>
          <w:b/>
        </w:rPr>
        <w:t>00203/TEPOTZOT/IP/2025</w:t>
      </w:r>
      <w:r w:rsidRPr="00C34496">
        <w:rPr>
          <w:rFonts w:ascii="Palatino Linotype" w:eastAsia="Palatino Linotype" w:hAnsi="Palatino Linotype" w:cs="Palatino Linotype"/>
        </w:rPr>
        <w:t xml:space="preserve">, </w:t>
      </w:r>
      <w:r w:rsidR="00C34496">
        <w:rPr>
          <w:rFonts w:ascii="Palatino Linotype" w:eastAsia="Palatino Linotype" w:hAnsi="Palatino Linotype" w:cs="Palatino Linotype"/>
        </w:rPr>
        <w:t xml:space="preserve">en la que </w:t>
      </w:r>
      <w:r w:rsidRPr="00C34496">
        <w:rPr>
          <w:rFonts w:ascii="Palatino Linotype" w:eastAsia="Palatino Linotype" w:hAnsi="Palatino Linotype" w:cs="Palatino Linotype"/>
        </w:rPr>
        <w:t>se solicitó:</w:t>
      </w:r>
    </w:p>
    <w:p w:rsidR="00E05F0E" w:rsidRPr="00C34496" w:rsidRDefault="00E05F0E">
      <w:pPr>
        <w:tabs>
          <w:tab w:val="left" w:pos="0"/>
        </w:tabs>
        <w:spacing w:line="360" w:lineRule="auto"/>
        <w:ind w:left="360"/>
        <w:jc w:val="both"/>
        <w:rPr>
          <w:rFonts w:ascii="Palatino Linotype" w:eastAsia="Palatino Linotype" w:hAnsi="Palatino Linotype" w:cs="Palatino Linotype"/>
        </w:rPr>
      </w:pPr>
    </w:p>
    <w:p w:rsidR="00E05F0E" w:rsidRPr="00C34496" w:rsidRDefault="0093335F">
      <w:pPr>
        <w:tabs>
          <w:tab w:val="left" w:pos="0"/>
        </w:tabs>
        <w:spacing w:line="360" w:lineRule="auto"/>
        <w:ind w:left="567" w:right="822"/>
        <w:jc w:val="both"/>
        <w:rPr>
          <w:rFonts w:ascii="Palatino Linotype" w:eastAsia="Palatino Linotype" w:hAnsi="Palatino Linotype" w:cs="Palatino Linotype"/>
          <w:i/>
        </w:rPr>
      </w:pPr>
      <w:r w:rsidRPr="00C34496">
        <w:rPr>
          <w:rFonts w:ascii="Palatino Linotype" w:eastAsia="Palatino Linotype" w:hAnsi="Palatino Linotype" w:cs="Palatino Linotype"/>
          <w:i/>
        </w:rPr>
        <w:t>“</w:t>
      </w:r>
      <w:r w:rsidR="000C217B" w:rsidRPr="00C34496">
        <w:rPr>
          <w:rFonts w:ascii="Palatino Linotype" w:eastAsia="Palatino Linotype" w:hAnsi="Palatino Linotype" w:cs="Palatino Linotype"/>
          <w:i/>
          <w:color w:val="000000"/>
        </w:rPr>
        <w:t>Factura de pago y evidencia fotográfica de juguetes y regalos del día de reyes del año 2025</w:t>
      </w:r>
      <w:r w:rsidRPr="00C34496">
        <w:rPr>
          <w:rFonts w:ascii="Palatino Linotype" w:eastAsia="Palatino Linotype" w:hAnsi="Palatino Linotype" w:cs="Palatino Linotype"/>
          <w:i/>
          <w:color w:val="000000"/>
        </w:rPr>
        <w:t>.</w:t>
      </w:r>
      <w:r w:rsidRPr="00C34496">
        <w:rPr>
          <w:rFonts w:ascii="Palatino Linotype" w:eastAsia="Palatino Linotype" w:hAnsi="Palatino Linotype" w:cs="Palatino Linotype"/>
          <w:i/>
        </w:rPr>
        <w:t>” (Sic)</w:t>
      </w:r>
    </w:p>
    <w:p w:rsidR="00E05F0E" w:rsidRPr="00C34496" w:rsidRDefault="00E05F0E">
      <w:pPr>
        <w:tabs>
          <w:tab w:val="left" w:pos="0"/>
        </w:tabs>
        <w:spacing w:line="360" w:lineRule="auto"/>
        <w:ind w:right="49"/>
        <w:jc w:val="both"/>
        <w:rPr>
          <w:rFonts w:ascii="Palatino Linotype" w:eastAsia="Palatino Linotype" w:hAnsi="Palatino Linotype" w:cs="Palatino Linotype"/>
        </w:rPr>
      </w:pPr>
    </w:p>
    <w:p w:rsidR="00E05F0E" w:rsidRPr="00C34496" w:rsidRDefault="0093335F" w:rsidP="00C34496">
      <w:pPr>
        <w:pStyle w:val="Prrafodelista"/>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C34496">
        <w:rPr>
          <w:rFonts w:ascii="Palatino Linotype" w:eastAsia="Palatino Linotype" w:hAnsi="Palatino Linotype" w:cs="Palatino Linotype"/>
          <w:color w:val="000000"/>
          <w:sz w:val="24"/>
        </w:rPr>
        <w:t xml:space="preserve">Se señaló como modalidad de entrega de la información a través de </w:t>
      </w:r>
      <w:r w:rsidRPr="00C34496">
        <w:rPr>
          <w:rFonts w:ascii="Palatino Linotype" w:eastAsia="Palatino Linotype" w:hAnsi="Palatino Linotype" w:cs="Palatino Linotype"/>
          <w:b/>
          <w:color w:val="000000"/>
          <w:sz w:val="24"/>
        </w:rPr>
        <w:t>SAIMEX</w:t>
      </w:r>
      <w:r w:rsidRPr="00C34496">
        <w:rPr>
          <w:rFonts w:ascii="Palatino Linotype" w:eastAsia="Palatino Linotype" w:hAnsi="Palatino Linotype" w:cs="Palatino Linotype"/>
          <w:color w:val="000000"/>
          <w:sz w:val="24"/>
        </w:rPr>
        <w:t>.</w:t>
      </w:r>
    </w:p>
    <w:p w:rsidR="00E05F0E" w:rsidRPr="00C34496" w:rsidRDefault="00E05F0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05F0E" w:rsidRPr="00C34496" w:rsidRDefault="0093335F" w:rsidP="000C217B">
      <w:pPr>
        <w:numPr>
          <w:ilvl w:val="0"/>
          <w:numId w:val="1"/>
        </w:numPr>
        <w:tabs>
          <w:tab w:val="left" w:pos="0"/>
        </w:tabs>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De </w:t>
      </w:r>
      <w:r w:rsidRPr="00C34496">
        <w:rPr>
          <w:rFonts w:ascii="Palatino Linotype" w:eastAsia="Palatino Linotype" w:hAnsi="Palatino Linotype" w:cs="Palatino Linotype"/>
        </w:rPr>
        <w:t>conformidad</w:t>
      </w:r>
      <w:r w:rsidRPr="00C34496">
        <w:rPr>
          <w:rFonts w:ascii="Palatino Linotype" w:eastAsia="Palatino Linotype" w:hAnsi="Palatino Linotype" w:cs="Palatino Linotype"/>
          <w:color w:val="000000"/>
        </w:rPr>
        <w:t xml:space="preserve"> con el artículo 136, párrafo primero de la Ley de Transparencia y Acceso a la Información Pública del Estado de México y Municipios, el Sujeto Obligado debió dar contestación a la solicitud de acceso a la información; sin embargo, de las constancias que obran </w:t>
      </w:r>
      <w:r w:rsidRPr="00C34496">
        <w:rPr>
          <w:rFonts w:ascii="Palatino Linotype" w:eastAsia="Palatino Linotype" w:hAnsi="Palatino Linotype" w:cs="Palatino Linotype"/>
          <w:color w:val="000000"/>
        </w:rPr>
        <w:lastRenderedPageBreak/>
        <w:t>en el expediente electrónico del Sistema de Acceso a la Información Mexiquense (SAIMEX), se advierte que el</w:t>
      </w:r>
      <w:r w:rsidRPr="00C34496">
        <w:rPr>
          <w:rFonts w:ascii="Palatino Linotype" w:eastAsia="Palatino Linotype" w:hAnsi="Palatino Linotype" w:cs="Palatino Linotype"/>
          <w:b/>
        </w:rPr>
        <w:t xml:space="preserve"> </w:t>
      </w:r>
      <w:r w:rsidR="000C217B" w:rsidRPr="00C34496">
        <w:rPr>
          <w:rFonts w:ascii="Palatino Linotype" w:eastAsia="Palatino Linotype" w:hAnsi="Palatino Linotype" w:cs="Palatino Linotype"/>
          <w:b/>
        </w:rPr>
        <w:t>Ayuntamiento de Tepotzotlán</w:t>
      </w:r>
      <w:r w:rsidRPr="00C34496">
        <w:rPr>
          <w:rFonts w:ascii="Palatino Linotype" w:eastAsia="Palatino Linotype" w:hAnsi="Palatino Linotype" w:cs="Palatino Linotype"/>
          <w:color w:val="000000"/>
        </w:rPr>
        <w:t xml:space="preserve">, </w:t>
      </w:r>
      <w:r w:rsidRPr="00C34496">
        <w:rPr>
          <w:rFonts w:ascii="Palatino Linotype" w:eastAsia="Palatino Linotype" w:hAnsi="Palatino Linotype" w:cs="Palatino Linotype"/>
          <w:b/>
          <w:color w:val="000000"/>
        </w:rPr>
        <w:t>omitió dar respuesta</w:t>
      </w:r>
      <w:r w:rsidRPr="00C34496">
        <w:rPr>
          <w:rFonts w:ascii="Palatino Linotype" w:eastAsia="Palatino Linotype" w:hAnsi="Palatino Linotype" w:cs="Palatino Linotype"/>
          <w:color w:val="000000"/>
        </w:rPr>
        <w:t xml:space="preserve"> a la solicitud de información, por lo que se </w:t>
      </w:r>
      <w:r w:rsidRPr="00C34496">
        <w:rPr>
          <w:rFonts w:ascii="Palatino Linotype" w:eastAsia="Palatino Linotype" w:hAnsi="Palatino Linotype" w:cs="Palatino Linotype"/>
          <w:b/>
          <w:color w:val="000000"/>
        </w:rPr>
        <w:t>configura la negativa ficta</w:t>
      </w:r>
      <w:r w:rsidRPr="00C34496">
        <w:rPr>
          <w:rFonts w:ascii="Palatino Linotype" w:eastAsia="Palatino Linotype" w:hAnsi="Palatino Linotype" w:cs="Palatino Linotype"/>
          <w:color w:val="000000"/>
        </w:rPr>
        <w:t xml:space="preserve"> a entregar información, prevista, en los artículos 166, párrafo cuarto y 178, párrafo segundo de la Ley de Transparencia y Acceso a la Información Pública del Estado de México y Municipios.</w:t>
      </w:r>
    </w:p>
    <w:p w:rsidR="00E05F0E" w:rsidRPr="00C34496" w:rsidRDefault="00E05F0E">
      <w:pPr>
        <w:tabs>
          <w:tab w:val="left" w:pos="0"/>
        </w:tabs>
        <w:spacing w:line="360" w:lineRule="auto"/>
        <w:ind w:right="34"/>
        <w:jc w:val="both"/>
        <w:rPr>
          <w:rFonts w:ascii="Palatino Linotype" w:eastAsia="Palatino Linotype" w:hAnsi="Palatino Linotype" w:cs="Palatino Linotype"/>
        </w:rPr>
      </w:pPr>
      <w:bookmarkStart w:id="2" w:name="_heading=h.4kq2i0m0c6t8" w:colFirst="0" w:colLast="0"/>
      <w:bookmarkEnd w:id="2"/>
    </w:p>
    <w:p w:rsidR="00E05F0E" w:rsidRPr="00C34496" w:rsidRDefault="0093335F">
      <w:pPr>
        <w:numPr>
          <w:ilvl w:val="0"/>
          <w:numId w:val="1"/>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color w:val="000000"/>
        </w:rPr>
      </w:pPr>
      <w:r w:rsidRPr="00C34496">
        <w:rPr>
          <w:rFonts w:ascii="Palatino Linotype" w:eastAsia="Palatino Linotype" w:hAnsi="Palatino Linotype" w:cs="Palatino Linotype"/>
          <w:color w:val="000000"/>
        </w:rPr>
        <w:t xml:space="preserve">El </w:t>
      </w:r>
      <w:r w:rsidR="000C217B" w:rsidRPr="00C34496">
        <w:rPr>
          <w:rFonts w:ascii="Palatino Linotype" w:eastAsia="Palatino Linotype" w:hAnsi="Palatino Linotype" w:cs="Palatino Linotype"/>
          <w:b/>
          <w:color w:val="000000"/>
        </w:rPr>
        <w:t>doce de junio</w:t>
      </w:r>
      <w:r w:rsidRPr="00C34496">
        <w:rPr>
          <w:rFonts w:ascii="Palatino Linotype" w:eastAsia="Palatino Linotype" w:hAnsi="Palatino Linotype" w:cs="Palatino Linotype"/>
          <w:b/>
          <w:color w:val="000000"/>
        </w:rPr>
        <w:t xml:space="preserve"> de dos mil veinticinco,</w:t>
      </w:r>
      <w:r w:rsidRPr="00C34496">
        <w:rPr>
          <w:rFonts w:ascii="Palatino Linotype" w:eastAsia="Palatino Linotype" w:hAnsi="Palatino Linotype" w:cs="Palatino Linotype"/>
          <w:color w:val="000000"/>
        </w:rPr>
        <w:t xml:space="preserve"> </w:t>
      </w:r>
      <w:r w:rsidRPr="00C34496">
        <w:rPr>
          <w:rFonts w:ascii="Palatino Linotype" w:eastAsia="Palatino Linotype" w:hAnsi="Palatino Linotype" w:cs="Palatino Linotype"/>
          <w:b/>
          <w:color w:val="000000"/>
        </w:rPr>
        <w:t xml:space="preserve"> </w:t>
      </w:r>
      <w:r w:rsidRPr="00C34496">
        <w:rPr>
          <w:rFonts w:ascii="Palatino Linotype" w:eastAsia="Palatino Linotype" w:hAnsi="Palatino Linotype" w:cs="Palatino Linotype"/>
          <w:color w:val="000000"/>
        </w:rPr>
        <w:t xml:space="preserve">el solicitante interpuso el </w:t>
      </w:r>
      <w:r w:rsidRPr="00C34496">
        <w:rPr>
          <w:rFonts w:ascii="Palatino Linotype" w:eastAsia="Palatino Linotype" w:hAnsi="Palatino Linotype" w:cs="Palatino Linotype"/>
          <w:b/>
          <w:color w:val="000000"/>
        </w:rPr>
        <w:t>recurso de revisión</w:t>
      </w:r>
      <w:r w:rsidRPr="00C34496">
        <w:rPr>
          <w:rFonts w:ascii="Palatino Linotype" w:eastAsia="Palatino Linotype" w:hAnsi="Palatino Linotype" w:cs="Palatino Linotype"/>
          <w:color w:val="000000"/>
        </w:rPr>
        <w:t>, señalando como:</w:t>
      </w:r>
    </w:p>
    <w:p w:rsidR="00E05F0E" w:rsidRPr="00C34496" w:rsidRDefault="00E05F0E">
      <w:pPr>
        <w:pBdr>
          <w:top w:val="nil"/>
          <w:left w:val="nil"/>
          <w:bottom w:val="nil"/>
          <w:right w:val="nil"/>
          <w:between w:val="nil"/>
        </w:pBdr>
        <w:tabs>
          <w:tab w:val="left" w:pos="0"/>
        </w:tabs>
        <w:jc w:val="both"/>
        <w:rPr>
          <w:rFonts w:ascii="Palatino Linotype" w:eastAsia="Palatino Linotype" w:hAnsi="Palatino Linotype" w:cs="Palatino Linotype"/>
          <w:b/>
          <w:color w:val="000000"/>
        </w:rPr>
      </w:pPr>
    </w:p>
    <w:p w:rsidR="00E05F0E" w:rsidRPr="00C34496" w:rsidRDefault="00C34496" w:rsidP="00C34496">
      <w:pPr>
        <w:pStyle w:val="Prrafodelista"/>
        <w:numPr>
          <w:ilvl w:val="0"/>
          <w:numId w:val="4"/>
        </w:numPr>
        <w:tabs>
          <w:tab w:val="left" w:pos="8222"/>
        </w:tabs>
        <w:ind w:right="567"/>
        <w:jc w:val="both"/>
        <w:rPr>
          <w:rFonts w:ascii="Palatino Linotype" w:eastAsia="Palatino Linotype" w:hAnsi="Palatino Linotype" w:cs="Palatino Linotype"/>
          <w:i/>
          <w:sz w:val="24"/>
        </w:rPr>
      </w:pPr>
      <w:r w:rsidRPr="00C34496">
        <w:rPr>
          <w:rFonts w:ascii="Palatino Linotype" w:eastAsia="Palatino Linotype" w:hAnsi="Palatino Linotype" w:cs="Palatino Linotype"/>
          <w:b/>
          <w:sz w:val="24"/>
        </w:rPr>
        <w:t>ACTO IMPUGNADO</w:t>
      </w:r>
      <w:r w:rsidR="0093335F" w:rsidRPr="00C34496">
        <w:rPr>
          <w:rFonts w:ascii="Palatino Linotype" w:eastAsia="Palatino Linotype" w:hAnsi="Palatino Linotype" w:cs="Palatino Linotype"/>
          <w:b/>
          <w:sz w:val="24"/>
        </w:rPr>
        <w:t>:</w:t>
      </w:r>
      <w:r w:rsidR="0093335F" w:rsidRPr="00C34496">
        <w:rPr>
          <w:rFonts w:ascii="Palatino Linotype" w:eastAsia="Palatino Linotype" w:hAnsi="Palatino Linotype" w:cs="Palatino Linotype"/>
          <w:i/>
          <w:sz w:val="24"/>
        </w:rPr>
        <w:t xml:space="preserve"> </w:t>
      </w:r>
      <w:r w:rsidR="0093335F" w:rsidRPr="00C34496">
        <w:rPr>
          <w:rFonts w:ascii="Palatino Linotype" w:eastAsia="Palatino Linotype" w:hAnsi="Palatino Linotype" w:cs="Palatino Linotype"/>
          <w:sz w:val="24"/>
        </w:rPr>
        <w:t>“</w:t>
      </w:r>
      <w:r w:rsidR="000C217B" w:rsidRPr="00C34496">
        <w:rPr>
          <w:rFonts w:ascii="Palatino Linotype" w:eastAsia="Palatino Linotype" w:hAnsi="Palatino Linotype" w:cs="Palatino Linotype"/>
          <w:i/>
          <w:color w:val="000000"/>
          <w:sz w:val="24"/>
        </w:rPr>
        <w:t>No hay respuesta</w:t>
      </w:r>
      <w:r w:rsidR="0093335F" w:rsidRPr="00C34496">
        <w:rPr>
          <w:rFonts w:ascii="Palatino Linotype" w:eastAsia="Palatino Linotype" w:hAnsi="Palatino Linotype" w:cs="Palatino Linotype"/>
          <w:i/>
          <w:color w:val="000000"/>
          <w:sz w:val="24"/>
        </w:rPr>
        <w:t>”</w:t>
      </w:r>
      <w:r w:rsidR="0093335F" w:rsidRPr="00C34496">
        <w:rPr>
          <w:rFonts w:ascii="Palatino Linotype" w:eastAsia="Palatino Linotype" w:hAnsi="Palatino Linotype" w:cs="Palatino Linotype"/>
          <w:i/>
          <w:sz w:val="24"/>
        </w:rPr>
        <w:t xml:space="preserve"> (Sic) </w:t>
      </w:r>
    </w:p>
    <w:p w:rsidR="00E05F0E" w:rsidRPr="00C34496" w:rsidRDefault="00E05F0E" w:rsidP="00C34496">
      <w:pPr>
        <w:tabs>
          <w:tab w:val="left" w:pos="0"/>
        </w:tabs>
        <w:ind w:hanging="141"/>
        <w:rPr>
          <w:rFonts w:ascii="Palatino Linotype" w:eastAsia="Palatino Linotype" w:hAnsi="Palatino Linotype" w:cs="Palatino Linotype"/>
          <w:i/>
          <w:sz w:val="28"/>
        </w:rPr>
      </w:pPr>
    </w:p>
    <w:p w:rsidR="00E05F0E" w:rsidRPr="00C34496" w:rsidRDefault="00C34496" w:rsidP="00C34496">
      <w:pPr>
        <w:pStyle w:val="Prrafodelista"/>
        <w:numPr>
          <w:ilvl w:val="0"/>
          <w:numId w:val="4"/>
        </w:numPr>
        <w:ind w:right="567"/>
        <w:jc w:val="both"/>
        <w:rPr>
          <w:rFonts w:ascii="Palatino Linotype" w:eastAsia="Palatino Linotype" w:hAnsi="Palatino Linotype" w:cs="Palatino Linotype"/>
          <w:i/>
          <w:sz w:val="24"/>
        </w:rPr>
      </w:pPr>
      <w:r w:rsidRPr="00C34496">
        <w:rPr>
          <w:rFonts w:ascii="Palatino Linotype" w:eastAsia="Palatino Linotype" w:hAnsi="Palatino Linotype" w:cs="Palatino Linotype"/>
          <w:b/>
          <w:sz w:val="24"/>
        </w:rPr>
        <w:t>RAZONES O MOTIVOS DE INCONFORMIDAD</w:t>
      </w:r>
      <w:r w:rsidR="0093335F" w:rsidRPr="00C34496">
        <w:rPr>
          <w:rFonts w:ascii="Palatino Linotype" w:eastAsia="Palatino Linotype" w:hAnsi="Palatino Linotype" w:cs="Palatino Linotype"/>
          <w:b/>
          <w:sz w:val="24"/>
        </w:rPr>
        <w:t>: “</w:t>
      </w:r>
      <w:r w:rsidR="000C217B" w:rsidRPr="00C34496">
        <w:rPr>
          <w:rFonts w:ascii="Palatino Linotype" w:eastAsia="Palatino Linotype" w:hAnsi="Palatino Linotype" w:cs="Palatino Linotype"/>
          <w:i/>
          <w:sz w:val="24"/>
        </w:rPr>
        <w:t>No hay respuesta</w:t>
      </w:r>
      <w:r w:rsidR="0093335F" w:rsidRPr="00C34496">
        <w:rPr>
          <w:rFonts w:ascii="Palatino Linotype" w:eastAsia="Palatino Linotype" w:hAnsi="Palatino Linotype" w:cs="Palatino Linotype"/>
          <w:i/>
          <w:sz w:val="24"/>
        </w:rPr>
        <w:t>” (sic)</w:t>
      </w:r>
    </w:p>
    <w:p w:rsidR="00E05F0E" w:rsidRPr="00C34496" w:rsidRDefault="00E05F0E">
      <w:pPr>
        <w:spacing w:line="360" w:lineRule="auto"/>
        <w:jc w:val="both"/>
        <w:rPr>
          <w:rFonts w:ascii="Palatino Linotype" w:eastAsia="Palatino Linotype" w:hAnsi="Palatino Linotype" w:cs="Palatino Linotype"/>
          <w:i/>
          <w:color w:val="000000"/>
        </w:rPr>
      </w:pPr>
    </w:p>
    <w:p w:rsidR="00E05F0E" w:rsidRPr="00C34496" w:rsidRDefault="00C34496">
      <w:pPr>
        <w:numPr>
          <w:ilvl w:val="0"/>
          <w:numId w:val="1"/>
        </w:numPr>
        <w:spacing w:line="360" w:lineRule="auto"/>
        <w:ind w:left="0" w:firstLine="0"/>
        <w:jc w:val="both"/>
        <w:rPr>
          <w:rFonts w:ascii="Palatino Linotype" w:eastAsia="Palatino Linotype" w:hAnsi="Palatino Linotype" w:cs="Palatino Linotype"/>
          <w:i/>
          <w:color w:val="000000"/>
        </w:rPr>
      </w:pPr>
      <w:r>
        <w:rPr>
          <w:rFonts w:ascii="Palatino Linotype" w:eastAsia="Palatino Linotype" w:hAnsi="Palatino Linotype" w:cs="Palatino Linotype"/>
        </w:rPr>
        <w:t>La Comisionada p</w:t>
      </w:r>
      <w:r w:rsidR="0093335F" w:rsidRPr="00C34496">
        <w:rPr>
          <w:rFonts w:ascii="Palatino Linotype" w:eastAsia="Palatino Linotype" w:hAnsi="Palatino Linotype" w:cs="Palatino Linotype"/>
        </w:rPr>
        <w:t xml:space="preserve">onente con fundamento en lo dispuesto por el artículo 185 fracción II de la ley de la materia, a través del </w:t>
      </w:r>
      <w:r w:rsidR="0093335F" w:rsidRPr="00C34496">
        <w:rPr>
          <w:rFonts w:ascii="Palatino Linotype" w:eastAsia="Palatino Linotype" w:hAnsi="Palatino Linotype" w:cs="Palatino Linotype"/>
          <w:b/>
        </w:rPr>
        <w:t>acuerdo de admisión</w:t>
      </w:r>
      <w:r w:rsidR="0093335F" w:rsidRPr="00C34496">
        <w:rPr>
          <w:rFonts w:ascii="Palatino Linotype" w:eastAsia="Palatino Linotype" w:hAnsi="Palatino Linotype" w:cs="Palatino Linotype"/>
        </w:rPr>
        <w:t xml:space="preserve"> del </w:t>
      </w:r>
      <w:r w:rsidR="000C217B" w:rsidRPr="00C34496">
        <w:rPr>
          <w:rFonts w:ascii="Palatino Linotype" w:eastAsia="Palatino Linotype" w:hAnsi="Palatino Linotype" w:cs="Palatino Linotype"/>
          <w:b/>
        </w:rPr>
        <w:t>doce de junio</w:t>
      </w:r>
      <w:r w:rsidR="0093335F" w:rsidRPr="00C34496">
        <w:rPr>
          <w:rFonts w:ascii="Palatino Linotype" w:eastAsia="Palatino Linotype" w:hAnsi="Palatino Linotype" w:cs="Palatino Linotype"/>
          <w:b/>
        </w:rPr>
        <w:t xml:space="preserve"> de dos mil veinticinco</w:t>
      </w:r>
      <w:r w:rsidR="0093335F" w:rsidRPr="00C34496">
        <w:rPr>
          <w:rFonts w:ascii="Palatino Linotype" w:eastAsia="Palatino Linotype" w:hAnsi="Palatino Linotype" w:cs="Palatino Linotype"/>
        </w:rPr>
        <w:t xml:space="preserve">, puso a disposición de las partes el expediente electrónico vía Sistema de Acceso a la Información Mexiquense </w:t>
      </w:r>
      <w:r w:rsidR="0093335F" w:rsidRPr="00C34496">
        <w:rPr>
          <w:rFonts w:ascii="Palatino Linotype" w:eastAsia="Palatino Linotype" w:hAnsi="Palatino Linotype" w:cs="Palatino Linotype"/>
          <w:b/>
        </w:rPr>
        <w:t xml:space="preserve">(SAIMEX) </w:t>
      </w:r>
      <w:r w:rsidR="0093335F" w:rsidRPr="00C34496">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0093335F" w:rsidRPr="00C34496">
        <w:rPr>
          <w:rFonts w:ascii="Palatino Linotype" w:eastAsia="Palatino Linotype" w:hAnsi="Palatino Linotype" w:cs="Palatino Linotype"/>
          <w:b/>
        </w:rPr>
        <w:t>SUJETO OBLIGADO</w:t>
      </w:r>
      <w:r w:rsidR="0093335F" w:rsidRPr="00C34496">
        <w:rPr>
          <w:rFonts w:ascii="Palatino Linotype" w:eastAsia="Palatino Linotype" w:hAnsi="Palatino Linotype" w:cs="Palatino Linotype"/>
        </w:rPr>
        <w:t xml:space="preserve"> presentara el Informe Justificado procedente.  </w:t>
      </w:r>
    </w:p>
    <w:p w:rsidR="00E05F0E" w:rsidRPr="00C34496" w:rsidRDefault="00E05F0E">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E05F0E" w:rsidRPr="00C34496" w:rsidRDefault="0093335F">
      <w:pPr>
        <w:numPr>
          <w:ilvl w:val="0"/>
          <w:numId w:val="1"/>
        </w:numPr>
        <w:spacing w:line="360" w:lineRule="auto"/>
        <w:ind w:left="0" w:firstLine="0"/>
        <w:jc w:val="both"/>
        <w:rPr>
          <w:color w:val="000000"/>
        </w:rPr>
      </w:pPr>
      <w:r w:rsidRPr="00C34496">
        <w:rPr>
          <w:rFonts w:ascii="Palatino Linotype" w:eastAsia="Palatino Linotype" w:hAnsi="Palatino Linotype" w:cs="Palatino Linotype"/>
        </w:rPr>
        <w:t xml:space="preserve">De las constancias que obran en el expediente electrónico SAIMEX, se advierte que las </w:t>
      </w:r>
      <w:r w:rsidRPr="00C34496">
        <w:rPr>
          <w:rFonts w:ascii="Palatino Linotype" w:eastAsia="Palatino Linotype" w:hAnsi="Palatino Linotype" w:cs="Palatino Linotype"/>
          <w:b/>
        </w:rPr>
        <w:t>partes fueron omisas en emitir manifestaciones o alegatos</w:t>
      </w:r>
      <w:r w:rsidRPr="00C34496">
        <w:rPr>
          <w:rFonts w:ascii="Palatino Linotype" w:eastAsia="Palatino Linotype" w:hAnsi="Palatino Linotype" w:cs="Palatino Linotype"/>
        </w:rPr>
        <w:t>.</w:t>
      </w:r>
    </w:p>
    <w:p w:rsidR="00E05F0E" w:rsidRPr="00C34496" w:rsidRDefault="00E05F0E">
      <w:pPr>
        <w:spacing w:line="360" w:lineRule="auto"/>
        <w:jc w:val="both"/>
        <w:rPr>
          <w:rFonts w:ascii="Palatino Linotype" w:eastAsia="Palatino Linotype" w:hAnsi="Palatino Linotype" w:cs="Palatino Linotype"/>
          <w:i/>
          <w:color w:val="000000"/>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i/>
          <w:color w:val="000000"/>
        </w:rPr>
      </w:pPr>
      <w:r w:rsidRPr="00C34496">
        <w:rPr>
          <w:rFonts w:ascii="Palatino Linotype" w:eastAsia="Palatino Linotype" w:hAnsi="Palatino Linotype" w:cs="Palatino Linotype"/>
          <w:color w:val="000000"/>
        </w:rPr>
        <w:t xml:space="preserve">El </w:t>
      </w:r>
      <w:r w:rsidR="000C217B" w:rsidRPr="00C34496">
        <w:rPr>
          <w:rFonts w:ascii="Palatino Linotype" w:eastAsia="Palatino Linotype" w:hAnsi="Palatino Linotype" w:cs="Palatino Linotype"/>
          <w:b/>
          <w:color w:val="000000"/>
        </w:rPr>
        <w:t>veinticinco de junio</w:t>
      </w:r>
      <w:r w:rsidRPr="00C34496">
        <w:rPr>
          <w:rFonts w:ascii="Palatino Linotype" w:eastAsia="Palatino Linotype" w:hAnsi="Palatino Linotype" w:cs="Palatino Linotype"/>
          <w:b/>
          <w:color w:val="000000"/>
        </w:rPr>
        <w:t xml:space="preserve"> de dos mil veinticinco,</w:t>
      </w:r>
      <w:r w:rsidRPr="00C34496">
        <w:rPr>
          <w:rFonts w:ascii="Palatino Linotype" w:eastAsia="Palatino Linotype" w:hAnsi="Palatino Linotype" w:cs="Palatino Linotype"/>
          <w:color w:val="000000"/>
        </w:rPr>
        <w:t xml:space="preserve"> se notificó acuerdo mediante el cual se decretó el </w:t>
      </w:r>
      <w:r w:rsidRPr="00C34496">
        <w:rPr>
          <w:rFonts w:ascii="Palatino Linotype" w:eastAsia="Palatino Linotype" w:hAnsi="Palatino Linotype" w:cs="Palatino Linotype"/>
          <w:b/>
          <w:color w:val="000000"/>
        </w:rPr>
        <w:t>cierre de instrucción</w:t>
      </w:r>
      <w:r w:rsidRPr="00C34496">
        <w:rPr>
          <w:rFonts w:ascii="Palatino Linotype" w:eastAsia="Palatino Linotype" w:hAnsi="Palatino Linotype" w:cs="Palatino Linotype"/>
          <w:color w:val="000000"/>
        </w:rPr>
        <w:t>.</w:t>
      </w: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lastRenderedPageBreak/>
        <w:t xml:space="preserve">El </w:t>
      </w:r>
      <w:r w:rsidR="00582BE4" w:rsidRPr="00C34496">
        <w:rPr>
          <w:rFonts w:ascii="Palatino Linotype" w:eastAsia="Palatino Linotype" w:hAnsi="Palatino Linotype" w:cs="Palatino Linotype"/>
          <w:b/>
        </w:rPr>
        <w:t>dos de julio</w:t>
      </w:r>
      <w:r w:rsidRPr="00C34496">
        <w:rPr>
          <w:rFonts w:ascii="Palatino Linotype" w:eastAsia="Palatino Linotype" w:hAnsi="Palatino Linotype" w:cs="Palatino Linotype"/>
          <w:b/>
        </w:rPr>
        <w:t xml:space="preserve"> de dos mil veinticinco</w:t>
      </w:r>
      <w:r w:rsidRPr="00C34496">
        <w:rPr>
          <w:rFonts w:ascii="Palatino Linotype" w:eastAsia="Palatino Linotype" w:hAnsi="Palatino Linotype" w:cs="Palatino Linotype"/>
        </w:rPr>
        <w:t xml:space="preserve">, el Pleno del Instituto de Transparencia, Accesos la Información Pública y Protección de Datos Personales del Estado de México y Municipios, durante la </w:t>
      </w:r>
      <w:r w:rsidR="00582BE4" w:rsidRPr="00C34496">
        <w:rPr>
          <w:rFonts w:ascii="Palatino Linotype" w:eastAsia="Palatino Linotype" w:hAnsi="Palatino Linotype" w:cs="Palatino Linotype"/>
        </w:rPr>
        <w:t xml:space="preserve">Vigésima Cuarta </w:t>
      </w:r>
      <w:r w:rsidRPr="00C34496">
        <w:rPr>
          <w:rFonts w:ascii="Palatino Linotype" w:eastAsia="Palatino Linotype" w:hAnsi="Palatino Linotype" w:cs="Palatino Linotype"/>
        </w:rPr>
        <w:t xml:space="preserve">Sesión Ordinaria, aprobó la </w:t>
      </w:r>
      <w:r w:rsidRPr="00C34496">
        <w:rPr>
          <w:rFonts w:ascii="Palatino Linotype" w:eastAsia="Palatino Linotype" w:hAnsi="Palatino Linotype" w:cs="Palatino Linotype"/>
          <w:b/>
        </w:rPr>
        <w:t xml:space="preserve">Resolución del Recurso de Revisión </w:t>
      </w:r>
      <w:r w:rsidR="00582BE4" w:rsidRPr="00C34496">
        <w:rPr>
          <w:rFonts w:ascii="Palatino Linotype" w:eastAsia="Palatino Linotype" w:hAnsi="Palatino Linotype" w:cs="Palatino Linotype"/>
          <w:b/>
        </w:rPr>
        <w:t>06898/INFOEM/IP/RR/2025</w:t>
      </w:r>
      <w:r w:rsidRPr="00C34496">
        <w:rPr>
          <w:rFonts w:ascii="Palatino Linotype" w:eastAsia="Palatino Linotype" w:hAnsi="Palatino Linotype" w:cs="Palatino Linotype"/>
        </w:rPr>
        <w:t>, en la cual se determinó lo siguiente:</w:t>
      </w:r>
    </w:p>
    <w:p w:rsidR="00582BE4" w:rsidRPr="00C34496" w:rsidRDefault="0093335F" w:rsidP="00582BE4">
      <w:pPr>
        <w:ind w:left="567" w:right="567"/>
        <w:jc w:val="both"/>
        <w:rPr>
          <w:rFonts w:ascii="Palatino Linotype" w:eastAsia="Palatino Linotype" w:hAnsi="Palatino Linotype" w:cs="Palatino Linotype"/>
          <w:b/>
          <w:i/>
          <w:color w:val="000000"/>
        </w:rPr>
      </w:pPr>
      <w:r w:rsidRPr="00C34496">
        <w:rPr>
          <w:rFonts w:ascii="Palatino Linotype" w:eastAsia="Palatino Linotype" w:hAnsi="Palatino Linotype" w:cs="Palatino Linotype"/>
          <w:b/>
          <w:i/>
          <w:color w:val="000000"/>
        </w:rPr>
        <w:t>“</w:t>
      </w:r>
      <w:r w:rsidR="00582BE4" w:rsidRPr="00C34496">
        <w:rPr>
          <w:rFonts w:ascii="Palatino Linotype" w:eastAsia="Palatino Linotype" w:hAnsi="Palatino Linotype" w:cs="Palatino Linotype"/>
          <w:b/>
          <w:i/>
          <w:color w:val="000000"/>
        </w:rPr>
        <w:t xml:space="preserve">PRIMERO. </w:t>
      </w:r>
      <w:r w:rsidR="00582BE4" w:rsidRPr="00C34496">
        <w:rPr>
          <w:rFonts w:ascii="Palatino Linotype" w:eastAsia="Palatino Linotype" w:hAnsi="Palatino Linotype" w:cs="Palatino Linotype"/>
          <w:i/>
          <w:color w:val="000000"/>
        </w:rPr>
        <w:t xml:space="preserve">Resultan fundadas las razones o motivos de inconformidad hechos valer por </w:t>
      </w:r>
      <w:r w:rsidR="00582BE4" w:rsidRPr="00C34496">
        <w:rPr>
          <w:rFonts w:ascii="Palatino Linotype" w:eastAsia="Palatino Linotype" w:hAnsi="Palatino Linotype" w:cs="Palatino Linotype"/>
          <w:b/>
          <w:i/>
          <w:color w:val="000000"/>
        </w:rPr>
        <w:t>EL RECURRENTE</w:t>
      </w:r>
      <w:r w:rsidR="00582BE4" w:rsidRPr="00C34496">
        <w:rPr>
          <w:rFonts w:ascii="Palatino Linotype" w:eastAsia="Palatino Linotype" w:hAnsi="Palatino Linotype" w:cs="Palatino Linotype"/>
          <w:i/>
          <w:color w:val="000000"/>
        </w:rPr>
        <w:t xml:space="preserve">, en términos del considerando </w:t>
      </w:r>
      <w:r w:rsidR="00582BE4" w:rsidRPr="00C34496">
        <w:rPr>
          <w:rFonts w:ascii="Palatino Linotype" w:eastAsia="Palatino Linotype" w:hAnsi="Palatino Linotype" w:cs="Palatino Linotype"/>
          <w:b/>
          <w:i/>
          <w:color w:val="000000"/>
        </w:rPr>
        <w:t>TERCERO</w:t>
      </w:r>
      <w:r w:rsidR="00582BE4" w:rsidRPr="00C34496">
        <w:rPr>
          <w:rFonts w:ascii="Palatino Linotype" w:eastAsia="Palatino Linotype" w:hAnsi="Palatino Linotype" w:cs="Palatino Linotype"/>
          <w:i/>
          <w:color w:val="000000"/>
        </w:rPr>
        <w:t>, de la presente resolución.</w:t>
      </w:r>
      <w:r w:rsidR="00582BE4" w:rsidRPr="00C34496">
        <w:rPr>
          <w:rFonts w:ascii="Palatino Linotype" w:eastAsia="Palatino Linotype" w:hAnsi="Palatino Linotype" w:cs="Palatino Linotype"/>
          <w:b/>
          <w:i/>
          <w:color w:val="000000"/>
        </w:rPr>
        <w:t xml:space="preserve"> </w:t>
      </w:r>
    </w:p>
    <w:p w:rsidR="00582BE4" w:rsidRPr="00C34496" w:rsidRDefault="00582BE4" w:rsidP="00582BE4">
      <w:pPr>
        <w:ind w:left="567" w:right="567"/>
        <w:jc w:val="both"/>
        <w:rPr>
          <w:rFonts w:ascii="Palatino Linotype" w:eastAsia="Palatino Linotype" w:hAnsi="Palatino Linotype" w:cs="Palatino Linotype"/>
          <w:b/>
          <w:i/>
          <w:color w:val="000000"/>
        </w:rPr>
      </w:pPr>
    </w:p>
    <w:p w:rsidR="00E05F0E" w:rsidRPr="00C34496" w:rsidRDefault="00582BE4" w:rsidP="00582BE4">
      <w:pPr>
        <w:ind w:left="567" w:right="567"/>
        <w:jc w:val="both"/>
        <w:rPr>
          <w:rFonts w:ascii="Palatino Linotype" w:eastAsia="Palatino Linotype" w:hAnsi="Palatino Linotype" w:cs="Palatino Linotype"/>
          <w:i/>
        </w:rPr>
      </w:pPr>
      <w:r w:rsidRPr="00C34496">
        <w:rPr>
          <w:rFonts w:ascii="Palatino Linotype" w:eastAsia="Palatino Linotype" w:hAnsi="Palatino Linotype" w:cs="Palatino Linotype"/>
          <w:b/>
          <w:i/>
          <w:color w:val="000000"/>
        </w:rPr>
        <w:t xml:space="preserve">SEGUNDO. </w:t>
      </w:r>
      <w:r w:rsidRPr="00C34496">
        <w:rPr>
          <w:rFonts w:ascii="Palatino Linotype" w:eastAsia="Palatino Linotype" w:hAnsi="Palatino Linotype" w:cs="Palatino Linotype"/>
          <w:i/>
          <w:color w:val="000000"/>
        </w:rPr>
        <w:t xml:space="preserve">Se </w:t>
      </w:r>
      <w:r w:rsidRPr="00C34496">
        <w:rPr>
          <w:rFonts w:ascii="Palatino Linotype" w:eastAsia="Palatino Linotype" w:hAnsi="Palatino Linotype" w:cs="Palatino Linotype"/>
          <w:b/>
          <w:i/>
          <w:color w:val="000000"/>
        </w:rPr>
        <w:t>ORDENA</w:t>
      </w:r>
      <w:r w:rsidRPr="00C34496">
        <w:rPr>
          <w:rFonts w:ascii="Palatino Linotype" w:eastAsia="Palatino Linotype" w:hAnsi="Palatino Linotype" w:cs="Palatino Linotype"/>
          <w:i/>
          <w:color w:val="000000"/>
        </w:rPr>
        <w:t xml:space="preserve"> al </w:t>
      </w:r>
      <w:r w:rsidRPr="00C34496">
        <w:rPr>
          <w:rFonts w:ascii="Palatino Linotype" w:eastAsia="Palatino Linotype" w:hAnsi="Palatino Linotype" w:cs="Palatino Linotype"/>
          <w:b/>
          <w:i/>
          <w:color w:val="000000"/>
        </w:rPr>
        <w:t>Sujeto Obligado</w:t>
      </w:r>
      <w:r w:rsidRPr="00C34496">
        <w:rPr>
          <w:rFonts w:ascii="Palatino Linotype" w:eastAsia="Palatino Linotype" w:hAnsi="Palatino Linotype" w:cs="Palatino Linotype"/>
          <w:i/>
          <w:color w:val="000000"/>
        </w:rPr>
        <w:t xml:space="preserve"> atienda la solicitud de información </w:t>
      </w:r>
      <w:r w:rsidRPr="00C34496">
        <w:rPr>
          <w:rFonts w:ascii="Palatino Linotype" w:eastAsia="Palatino Linotype" w:hAnsi="Palatino Linotype" w:cs="Palatino Linotype"/>
          <w:b/>
          <w:i/>
          <w:color w:val="000000"/>
        </w:rPr>
        <w:t>00203/TEPOTZOT/IP/2025</w:t>
      </w:r>
      <w:r w:rsidRPr="00C34496">
        <w:rPr>
          <w:rFonts w:ascii="Palatino Linotype" w:eastAsia="Palatino Linotype" w:hAnsi="Palatino Linotype" w:cs="Palatino Linotype"/>
          <w:i/>
          <w:color w:val="000000"/>
        </w:rPr>
        <w:t xml:space="preserve">, vía Sistema de Acceso a la Información Mexiquense (SAIMEX), en términos del Considerando </w:t>
      </w:r>
      <w:r w:rsidRPr="00C34496">
        <w:rPr>
          <w:rFonts w:ascii="Palatino Linotype" w:eastAsia="Palatino Linotype" w:hAnsi="Palatino Linotype" w:cs="Palatino Linotype"/>
          <w:b/>
          <w:i/>
          <w:color w:val="000000"/>
        </w:rPr>
        <w:t>TERCERO</w:t>
      </w:r>
      <w:r w:rsidRPr="00C34496">
        <w:rPr>
          <w:rFonts w:ascii="Palatino Linotype" w:eastAsia="Palatino Linotype" w:hAnsi="Palatino Linotype" w:cs="Palatino Linotype"/>
          <w:i/>
          <w:color w:val="000000"/>
        </w:rPr>
        <w:t xml:space="preserve"> de esta resolución.</w:t>
      </w:r>
      <w:r w:rsidR="0093335F" w:rsidRPr="00C34496">
        <w:rPr>
          <w:rFonts w:ascii="Palatino Linotype" w:eastAsia="Palatino Linotype" w:hAnsi="Palatino Linotype" w:cs="Palatino Linotype"/>
          <w:i/>
        </w:rPr>
        <w:t>.</w:t>
      </w:r>
    </w:p>
    <w:p w:rsidR="00E05F0E" w:rsidRPr="00C34496" w:rsidRDefault="0093335F">
      <w:pPr>
        <w:ind w:left="567" w:right="567"/>
        <w:jc w:val="both"/>
        <w:rPr>
          <w:rFonts w:ascii="Palatino Linotype" w:eastAsia="Palatino Linotype" w:hAnsi="Palatino Linotype" w:cs="Palatino Linotype"/>
          <w:i/>
        </w:rPr>
      </w:pPr>
      <w:r w:rsidRPr="00C34496">
        <w:rPr>
          <w:rFonts w:ascii="Palatino Linotype" w:eastAsia="Palatino Linotype" w:hAnsi="Palatino Linotype" w:cs="Palatino Linotype"/>
          <w:i/>
        </w:rPr>
        <w:t>…</w:t>
      </w:r>
    </w:p>
    <w:p w:rsidR="00E05F0E" w:rsidRPr="00C34496" w:rsidRDefault="00E05F0E">
      <w:pPr>
        <w:ind w:left="567" w:right="567"/>
        <w:jc w:val="both"/>
        <w:rPr>
          <w:rFonts w:ascii="Palatino Linotype" w:eastAsia="Palatino Linotype" w:hAnsi="Palatino Linotype" w:cs="Palatino Linotype"/>
          <w:i/>
        </w:rPr>
      </w:pPr>
    </w:p>
    <w:p w:rsidR="00E05F0E" w:rsidRPr="00C34496" w:rsidRDefault="0093335F">
      <w:pPr>
        <w:ind w:left="567" w:right="567"/>
        <w:jc w:val="both"/>
        <w:rPr>
          <w:rFonts w:ascii="Palatino Linotype" w:eastAsia="Palatino Linotype" w:hAnsi="Palatino Linotype" w:cs="Palatino Linotype"/>
          <w:i/>
        </w:rPr>
      </w:pPr>
      <w:r w:rsidRPr="00C34496">
        <w:rPr>
          <w:rFonts w:ascii="Palatino Linotype" w:eastAsia="Palatino Linotype" w:hAnsi="Palatino Linotype" w:cs="Palatino Linotype"/>
          <w:b/>
          <w:i/>
        </w:rPr>
        <w:t>QUINTO. Se hace del conocimiento del Recurrente</w:t>
      </w:r>
      <w:r w:rsidRPr="00C34496">
        <w:rPr>
          <w:rFonts w:ascii="Palatino Linotype" w:eastAsia="Palatino Linotype" w:hAnsi="Palatino Linotype" w:cs="Palatino Linotype"/>
          <w:i/>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E05F0E" w:rsidRPr="00C34496" w:rsidRDefault="0093335F">
      <w:pPr>
        <w:ind w:left="567" w:right="567"/>
        <w:jc w:val="both"/>
        <w:rPr>
          <w:rFonts w:ascii="Palatino Linotype" w:eastAsia="Palatino Linotype" w:hAnsi="Palatino Linotype" w:cs="Palatino Linotype"/>
          <w:i/>
          <w:color w:val="000000"/>
        </w:rPr>
      </w:pPr>
      <w:r w:rsidRPr="00C34496">
        <w:rPr>
          <w:rFonts w:ascii="Palatino Linotype" w:eastAsia="Palatino Linotype" w:hAnsi="Palatino Linotype" w:cs="Palatino Linotype"/>
          <w:i/>
          <w:color w:val="000000"/>
        </w:rPr>
        <w:t>…”</w:t>
      </w:r>
    </w:p>
    <w:p w:rsidR="00E05F0E" w:rsidRPr="00C34496" w:rsidRDefault="00E05F0E">
      <w:pPr>
        <w:spacing w:line="360" w:lineRule="auto"/>
        <w:ind w:left="567" w:right="567"/>
        <w:jc w:val="both"/>
        <w:rPr>
          <w:rFonts w:ascii="Palatino Linotype" w:eastAsia="Palatino Linotype" w:hAnsi="Palatino Linotype" w:cs="Palatino Linotype"/>
          <w:i/>
          <w:color w:val="000000"/>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El </w:t>
      </w:r>
      <w:r w:rsidR="00EC62D9" w:rsidRPr="00C34496">
        <w:rPr>
          <w:rFonts w:ascii="Palatino Linotype" w:eastAsia="Palatino Linotype" w:hAnsi="Palatino Linotype" w:cs="Palatino Linotype"/>
          <w:b/>
        </w:rPr>
        <w:t>siete de julio</w:t>
      </w:r>
      <w:r w:rsidRPr="00C34496">
        <w:rPr>
          <w:rFonts w:ascii="Palatino Linotype" w:eastAsia="Palatino Linotype" w:hAnsi="Palatino Linotype" w:cs="Palatino Linotype"/>
          <w:b/>
        </w:rPr>
        <w:t xml:space="preserve"> de dos mil veinticinco</w:t>
      </w:r>
      <w:r w:rsidRPr="00C34496">
        <w:rPr>
          <w:rFonts w:ascii="Palatino Linotype" w:eastAsia="Palatino Linotype" w:hAnsi="Palatino Linotype" w:cs="Palatino Linotype"/>
        </w:rPr>
        <w:t xml:space="preserve">, </w:t>
      </w:r>
      <w:r w:rsidRPr="00C34496">
        <w:rPr>
          <w:rFonts w:ascii="Palatino Linotype" w:eastAsia="Palatino Linotype" w:hAnsi="Palatino Linotype" w:cs="Palatino Linotype"/>
          <w:b/>
        </w:rPr>
        <w:t>se notificó</w:t>
      </w:r>
      <w:r w:rsidRPr="00C34496">
        <w:rPr>
          <w:rFonts w:ascii="Palatino Linotype" w:eastAsia="Palatino Linotype" w:hAnsi="Palatino Linotype" w:cs="Palatino Linotype"/>
        </w:rPr>
        <w:t xml:space="preserve"> por medio del Sistema de Acceso a la Información Mexiquense (SAIMEX), a las partes, </w:t>
      </w:r>
      <w:r w:rsidRPr="00C34496">
        <w:rPr>
          <w:rFonts w:ascii="Palatino Linotype" w:eastAsia="Palatino Linotype" w:hAnsi="Palatino Linotype" w:cs="Palatino Linotype"/>
          <w:b/>
        </w:rPr>
        <w:t>la resolución</w:t>
      </w:r>
      <w:r w:rsidRPr="00C34496">
        <w:rPr>
          <w:rFonts w:ascii="Palatino Linotype" w:eastAsia="Palatino Linotype" w:hAnsi="Palatino Linotype" w:cs="Palatino Linotype"/>
        </w:rPr>
        <w:t xml:space="preserve"> del Medio de Impugnación previamente referido.</w:t>
      </w:r>
    </w:p>
    <w:p w:rsidR="00E05F0E" w:rsidRPr="00C34496" w:rsidRDefault="00E05F0E">
      <w:pPr>
        <w:spacing w:line="360" w:lineRule="auto"/>
        <w:jc w:val="both"/>
        <w:rPr>
          <w:rFonts w:ascii="Palatino Linotype" w:eastAsia="Palatino Linotype" w:hAnsi="Palatino Linotype" w:cs="Palatino Linotype"/>
          <w:b/>
          <w:color w:val="FF0000"/>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rPr>
      </w:pPr>
      <w:bookmarkStart w:id="3" w:name="_heading=h.c8atsyv26ukm" w:colFirst="0" w:colLast="0"/>
      <w:bookmarkEnd w:id="3"/>
      <w:r w:rsidRPr="00C34496">
        <w:rPr>
          <w:rFonts w:ascii="Palatino Linotype" w:eastAsia="Palatino Linotype" w:hAnsi="Palatino Linotype" w:cs="Palatino Linotype"/>
        </w:rPr>
        <w:t xml:space="preserve">Con fecha </w:t>
      </w:r>
      <w:r w:rsidR="006F0E41" w:rsidRPr="00C34496">
        <w:rPr>
          <w:rFonts w:ascii="Palatino Linotype" w:eastAsia="Palatino Linotype" w:hAnsi="Palatino Linotype" w:cs="Palatino Linotype"/>
          <w:b/>
        </w:rPr>
        <w:t>siete de agosto</w:t>
      </w:r>
      <w:r w:rsidRPr="00C34496">
        <w:rPr>
          <w:rFonts w:ascii="Palatino Linotype" w:eastAsia="Palatino Linotype" w:hAnsi="Palatino Linotype" w:cs="Palatino Linotype"/>
          <w:b/>
        </w:rPr>
        <w:t xml:space="preserve"> de dos mil veinticinco</w:t>
      </w:r>
      <w:r w:rsidRPr="00C34496">
        <w:rPr>
          <w:rFonts w:ascii="Palatino Linotype" w:eastAsia="Palatino Linotype" w:hAnsi="Palatino Linotype" w:cs="Palatino Linotype"/>
        </w:rPr>
        <w:t xml:space="preserve">, </w:t>
      </w:r>
      <w:r w:rsidRPr="00C34496">
        <w:rPr>
          <w:rFonts w:ascii="Palatino Linotype" w:eastAsia="Palatino Linotype" w:hAnsi="Palatino Linotype" w:cs="Palatino Linotype"/>
          <w:b/>
        </w:rPr>
        <w:t>el Sujeto Obligado notificó</w:t>
      </w:r>
      <w:r w:rsidRPr="00C34496">
        <w:rPr>
          <w:rFonts w:ascii="Palatino Linotype" w:eastAsia="Palatino Linotype" w:hAnsi="Palatino Linotype" w:cs="Palatino Linotype"/>
        </w:rPr>
        <w:t xml:space="preserve"> a través del Sistema de Acceso a la Información Mexiquense (SAIMEX), </w:t>
      </w:r>
      <w:r w:rsidRPr="00C34496">
        <w:rPr>
          <w:rFonts w:ascii="Palatino Linotype" w:eastAsia="Palatino Linotype" w:hAnsi="Palatino Linotype" w:cs="Palatino Linotype"/>
          <w:b/>
        </w:rPr>
        <w:t>la entrega de información</w:t>
      </w:r>
      <w:r w:rsidRPr="00C34496">
        <w:rPr>
          <w:rFonts w:ascii="Palatino Linotype" w:eastAsia="Palatino Linotype" w:hAnsi="Palatino Linotype" w:cs="Palatino Linotype"/>
        </w:rPr>
        <w:t xml:space="preserve">, a través de la digitalización de </w:t>
      </w:r>
      <w:r w:rsidR="00AD5356" w:rsidRPr="00C34496">
        <w:rPr>
          <w:rFonts w:ascii="Palatino Linotype" w:eastAsia="Palatino Linotype" w:hAnsi="Palatino Linotype" w:cs="Palatino Linotype"/>
        </w:rPr>
        <w:t xml:space="preserve">una </w:t>
      </w:r>
      <w:r w:rsidR="00AD5356" w:rsidRPr="00C34496">
        <w:rPr>
          <w:rFonts w:ascii="Palatino Linotype" w:eastAsia="Palatino Linotype" w:hAnsi="Palatino Linotype" w:cs="Palatino Linotype"/>
          <w:b/>
        </w:rPr>
        <w:t>factura y diversas fotografías</w:t>
      </w:r>
      <w:r w:rsidR="00AD5356" w:rsidRPr="00C34496">
        <w:rPr>
          <w:rFonts w:ascii="Palatino Linotype" w:eastAsia="Palatino Linotype" w:hAnsi="Palatino Linotype" w:cs="Palatino Linotype"/>
        </w:rPr>
        <w:t>.</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El </w:t>
      </w:r>
      <w:r w:rsidR="00DA408A" w:rsidRPr="00C34496">
        <w:rPr>
          <w:rFonts w:ascii="Palatino Linotype" w:eastAsia="Palatino Linotype" w:hAnsi="Palatino Linotype" w:cs="Palatino Linotype"/>
          <w:b/>
        </w:rPr>
        <w:t>veintidós de enero</w:t>
      </w:r>
      <w:r w:rsidRPr="00C34496">
        <w:rPr>
          <w:rFonts w:ascii="Palatino Linotype" w:eastAsia="Palatino Linotype" w:hAnsi="Palatino Linotype" w:cs="Palatino Linotype"/>
          <w:b/>
        </w:rPr>
        <w:t xml:space="preserve"> de dos mil </w:t>
      </w:r>
      <w:r w:rsidR="00DA408A" w:rsidRPr="00C34496">
        <w:rPr>
          <w:rFonts w:ascii="Palatino Linotype" w:eastAsia="Palatino Linotype" w:hAnsi="Palatino Linotype" w:cs="Palatino Linotype"/>
          <w:b/>
        </w:rPr>
        <w:t>veintiséis</w:t>
      </w:r>
      <w:r w:rsidRPr="00C34496">
        <w:rPr>
          <w:rFonts w:ascii="Palatino Linotype" w:eastAsia="Palatino Linotype" w:hAnsi="Palatino Linotype" w:cs="Palatino Linotype"/>
        </w:rPr>
        <w:t xml:space="preserve">, se recibió en este Instituto, a través del Sistema de </w:t>
      </w:r>
      <w:r w:rsidRPr="00C34496">
        <w:rPr>
          <w:rFonts w:ascii="Palatino Linotype" w:eastAsia="Palatino Linotype" w:hAnsi="Palatino Linotype" w:cs="Palatino Linotype"/>
          <w:b/>
        </w:rPr>
        <w:t>Acceso</w:t>
      </w:r>
      <w:r w:rsidRPr="00C34496">
        <w:rPr>
          <w:rFonts w:ascii="Palatino Linotype" w:eastAsia="Palatino Linotype" w:hAnsi="Palatino Linotype" w:cs="Palatino Linotype"/>
        </w:rPr>
        <w:t xml:space="preserve"> a la Información Mexiquense (SAIMEX), el </w:t>
      </w:r>
      <w:r w:rsidRPr="00C34496">
        <w:rPr>
          <w:rFonts w:ascii="Palatino Linotype" w:eastAsia="Palatino Linotype" w:hAnsi="Palatino Linotype" w:cs="Palatino Linotype"/>
          <w:b/>
        </w:rPr>
        <w:t>Recurso de Revisión</w:t>
      </w:r>
      <w:r w:rsidRPr="00C34496">
        <w:rPr>
          <w:rFonts w:ascii="Palatino Linotype" w:eastAsia="Palatino Linotype" w:hAnsi="Palatino Linotype" w:cs="Palatino Linotype"/>
        </w:rPr>
        <w:t xml:space="preserve"> interpuesto </w:t>
      </w:r>
      <w:r w:rsidRPr="00C34496">
        <w:rPr>
          <w:rFonts w:ascii="Palatino Linotype" w:eastAsia="Palatino Linotype" w:hAnsi="Palatino Linotype" w:cs="Palatino Linotype"/>
        </w:rPr>
        <w:lastRenderedPageBreak/>
        <w:t>por la parte Recurrente, en contra de la entrega de información del Sujeto Obligado, en cumplimiento a la Resolución referida en el párrafo 9, lo anterior; en los siguientes términos:</w:t>
      </w:r>
    </w:p>
    <w:p w:rsidR="00E05F0E" w:rsidRPr="00C34496" w:rsidRDefault="00E05F0E">
      <w:pPr>
        <w:widowControl w:val="0"/>
        <w:jc w:val="both"/>
        <w:rPr>
          <w:rFonts w:ascii="Palatino Linotype" w:eastAsia="Palatino Linotype" w:hAnsi="Palatino Linotype" w:cs="Palatino Linotype"/>
        </w:rPr>
      </w:pPr>
    </w:p>
    <w:p w:rsidR="00E05F0E" w:rsidRPr="00C34496" w:rsidRDefault="0093335F">
      <w:pPr>
        <w:tabs>
          <w:tab w:val="left" w:pos="4667"/>
        </w:tabs>
        <w:ind w:left="567" w:right="567"/>
        <w:jc w:val="both"/>
        <w:rPr>
          <w:rFonts w:ascii="Palatino Linotype" w:eastAsia="Palatino Linotype" w:hAnsi="Palatino Linotype" w:cs="Palatino Linotype"/>
          <w:b/>
          <w:i/>
        </w:rPr>
      </w:pPr>
      <w:r w:rsidRPr="00C34496">
        <w:rPr>
          <w:rFonts w:ascii="Palatino Linotype" w:eastAsia="Palatino Linotype" w:hAnsi="Palatino Linotype" w:cs="Palatino Linotype"/>
          <w:b/>
          <w:i/>
        </w:rPr>
        <w:t>ACTO IMPUGNADO</w:t>
      </w:r>
    </w:p>
    <w:p w:rsidR="00E05F0E" w:rsidRPr="00C34496" w:rsidRDefault="0093335F">
      <w:pPr>
        <w:ind w:left="567" w:right="567"/>
        <w:jc w:val="both"/>
        <w:rPr>
          <w:rFonts w:ascii="Palatino Linotype" w:eastAsia="Palatino Linotype" w:hAnsi="Palatino Linotype" w:cs="Palatino Linotype"/>
          <w:i/>
        </w:rPr>
      </w:pPr>
      <w:r w:rsidRPr="00C34496">
        <w:rPr>
          <w:rFonts w:ascii="Palatino Linotype" w:eastAsia="Palatino Linotype" w:hAnsi="Palatino Linotype" w:cs="Palatino Linotype"/>
          <w:i/>
        </w:rPr>
        <w:t>“</w:t>
      </w:r>
      <w:r w:rsidR="00DA408A" w:rsidRPr="00C34496">
        <w:rPr>
          <w:rFonts w:ascii="Palatino Linotype" w:eastAsia="Palatino Linotype" w:hAnsi="Palatino Linotype" w:cs="Palatino Linotype"/>
          <w:i/>
        </w:rPr>
        <w:t>Información incompleta</w:t>
      </w:r>
      <w:r w:rsidRPr="00C34496">
        <w:rPr>
          <w:rFonts w:ascii="Palatino Linotype" w:eastAsia="Palatino Linotype" w:hAnsi="Palatino Linotype" w:cs="Palatino Linotype"/>
          <w:i/>
        </w:rPr>
        <w:t>” (Sic)</w:t>
      </w:r>
    </w:p>
    <w:p w:rsidR="00E05F0E" w:rsidRPr="00C34496" w:rsidRDefault="00E05F0E">
      <w:pPr>
        <w:ind w:left="567" w:right="567"/>
        <w:jc w:val="both"/>
        <w:rPr>
          <w:rFonts w:ascii="Palatino Linotype" w:eastAsia="Palatino Linotype" w:hAnsi="Palatino Linotype" w:cs="Palatino Linotype"/>
          <w:i/>
          <w:color w:val="FF0000"/>
        </w:rPr>
      </w:pPr>
    </w:p>
    <w:p w:rsidR="00E05F0E" w:rsidRPr="00C34496" w:rsidRDefault="0093335F">
      <w:pPr>
        <w:ind w:left="567" w:right="567"/>
        <w:jc w:val="both"/>
        <w:rPr>
          <w:rFonts w:ascii="Palatino Linotype" w:eastAsia="Palatino Linotype" w:hAnsi="Palatino Linotype" w:cs="Palatino Linotype"/>
          <w:b/>
          <w:i/>
        </w:rPr>
      </w:pPr>
      <w:r w:rsidRPr="00C34496">
        <w:rPr>
          <w:rFonts w:ascii="Palatino Linotype" w:eastAsia="Palatino Linotype" w:hAnsi="Palatino Linotype" w:cs="Palatino Linotype"/>
          <w:b/>
          <w:i/>
        </w:rPr>
        <w:t>RAZONES O MOTIVOS DE LA INCONFORMIDAD</w:t>
      </w:r>
    </w:p>
    <w:p w:rsidR="00E05F0E" w:rsidRPr="00C34496" w:rsidRDefault="0093335F">
      <w:pPr>
        <w:ind w:left="567" w:right="567"/>
        <w:jc w:val="both"/>
        <w:rPr>
          <w:rFonts w:ascii="Palatino Linotype" w:eastAsia="Palatino Linotype" w:hAnsi="Palatino Linotype" w:cs="Palatino Linotype"/>
          <w:i/>
        </w:rPr>
      </w:pPr>
      <w:r w:rsidRPr="00C34496">
        <w:rPr>
          <w:rFonts w:ascii="Palatino Linotype" w:eastAsia="Palatino Linotype" w:hAnsi="Palatino Linotype" w:cs="Palatino Linotype"/>
          <w:i/>
        </w:rPr>
        <w:t>“</w:t>
      </w:r>
      <w:r w:rsidR="00DA408A" w:rsidRPr="00C34496">
        <w:rPr>
          <w:rFonts w:ascii="Palatino Linotype" w:eastAsia="Palatino Linotype" w:hAnsi="Palatino Linotype" w:cs="Palatino Linotype"/>
          <w:i/>
        </w:rPr>
        <w:t>Información incompleta la factura no muestra todos los juguetes y las fotografías no abarcan la entrega completa</w:t>
      </w:r>
      <w:r w:rsidRPr="00C34496">
        <w:rPr>
          <w:rFonts w:ascii="Palatino Linotype" w:eastAsia="Palatino Linotype" w:hAnsi="Palatino Linotype" w:cs="Palatino Linotype"/>
          <w:i/>
        </w:rPr>
        <w:t>.” (Sic)</w:t>
      </w:r>
    </w:p>
    <w:p w:rsidR="00E05F0E" w:rsidRPr="00C34496" w:rsidRDefault="00E05F0E">
      <w:pPr>
        <w:spacing w:line="360" w:lineRule="auto"/>
        <w:jc w:val="both"/>
        <w:rPr>
          <w:rFonts w:ascii="Calibri" w:eastAsia="Calibri" w:hAnsi="Calibri" w:cs="Calibri"/>
          <w:color w:val="2E75B5"/>
        </w:rPr>
      </w:pPr>
    </w:p>
    <w:p w:rsidR="00E05F0E" w:rsidRPr="00C34496" w:rsidRDefault="0093335F" w:rsidP="00004058">
      <w:pPr>
        <w:numPr>
          <w:ilvl w:val="0"/>
          <w:numId w:val="1"/>
        </w:numP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El </w:t>
      </w:r>
      <w:r w:rsidR="001E6B77" w:rsidRPr="00C34496">
        <w:rPr>
          <w:rFonts w:ascii="Palatino Linotype" w:eastAsia="Palatino Linotype" w:hAnsi="Palatino Linotype" w:cs="Palatino Linotype"/>
          <w:b/>
        </w:rPr>
        <w:t>veintiséis de enero de dos mil veintiséis</w:t>
      </w:r>
      <w:r w:rsidRPr="00C34496">
        <w:rPr>
          <w:rFonts w:ascii="Palatino Linotype" w:eastAsia="Palatino Linotype" w:hAnsi="Palatino Linotype" w:cs="Palatino Linotype"/>
        </w:rPr>
        <w:t xml:space="preserve">, se acordó la </w:t>
      </w:r>
      <w:r w:rsidRPr="00C34496">
        <w:rPr>
          <w:rFonts w:ascii="Palatino Linotype" w:eastAsia="Palatino Linotype" w:hAnsi="Palatino Linotype" w:cs="Palatino Linotype"/>
          <w:b/>
        </w:rPr>
        <w:t>admisión del Recurso de Revisión</w:t>
      </w:r>
      <w:r w:rsidRPr="00C34496">
        <w:rPr>
          <w:rFonts w:ascii="Palatino Linotype" w:eastAsia="Palatino Linotype" w:hAnsi="Palatino Linotype" w:cs="Palatino Linotype"/>
        </w:rPr>
        <w:t xml:space="preserve"> número </w:t>
      </w:r>
      <w:r w:rsidR="00004058" w:rsidRPr="00C34496">
        <w:rPr>
          <w:rFonts w:ascii="Palatino Linotype" w:eastAsia="Palatino Linotype" w:hAnsi="Palatino Linotype" w:cs="Palatino Linotype"/>
          <w:b/>
        </w:rPr>
        <w:t xml:space="preserve">06898/INFOEM/ICR-53/IP/RR/2025 </w:t>
      </w:r>
      <w:r w:rsidRPr="00C34496">
        <w:rPr>
          <w:rFonts w:ascii="Palatino Linotype" w:eastAsia="Palatino Linotype" w:hAnsi="Palatino Linotype" w:cs="Palatino Linotype"/>
        </w:rPr>
        <w:t>interpuesto por el Particular en contra del Sujeto Obligado, en términos del artículo 185, fracciones I, II y IV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r w:rsidRPr="00C34496">
        <w:rPr>
          <w:rFonts w:ascii="Palatino Linotype" w:eastAsia="Palatino Linotype" w:hAnsi="Palatino Linotype" w:cs="Palatino Linotype"/>
          <w:b/>
        </w:rPr>
        <w:t xml:space="preserve"> </w:t>
      </w:r>
    </w:p>
    <w:p w:rsidR="00E05F0E" w:rsidRPr="00C34496" w:rsidRDefault="00E05F0E">
      <w:pPr>
        <w:spacing w:line="360" w:lineRule="auto"/>
        <w:jc w:val="both"/>
        <w:rPr>
          <w:rFonts w:ascii="Palatino Linotype" w:eastAsia="Palatino Linotype" w:hAnsi="Palatino Linotype" w:cs="Palatino Linotype"/>
          <w:color w:val="FF0000"/>
        </w:rPr>
      </w:pPr>
    </w:p>
    <w:p w:rsidR="00E05F0E" w:rsidRPr="00C34496" w:rsidRDefault="0093335F">
      <w:pPr>
        <w:numPr>
          <w:ilvl w:val="0"/>
          <w:numId w:val="1"/>
        </w:numPr>
        <w:spacing w:line="360" w:lineRule="auto"/>
        <w:ind w:left="0" w:firstLine="0"/>
        <w:jc w:val="both"/>
        <w:rPr>
          <w:color w:val="000000"/>
        </w:rPr>
      </w:pPr>
      <w:r w:rsidRPr="00C34496">
        <w:rPr>
          <w:rFonts w:ascii="Palatino Linotype" w:eastAsia="Palatino Linotype" w:hAnsi="Palatino Linotype" w:cs="Palatino Linotype"/>
        </w:rPr>
        <w:t xml:space="preserve">De las constancias que obran en el expediente electrónico SAIMEX, se advierte que las </w:t>
      </w:r>
      <w:r w:rsidRPr="00C34496">
        <w:rPr>
          <w:rFonts w:ascii="Palatino Linotype" w:eastAsia="Palatino Linotype" w:hAnsi="Palatino Linotype" w:cs="Palatino Linotype"/>
          <w:b/>
        </w:rPr>
        <w:t>partes fueron omisas en emitir manifestaciones o alegatos</w:t>
      </w:r>
      <w:r w:rsidRPr="00C34496">
        <w:rPr>
          <w:rFonts w:ascii="Palatino Linotype" w:eastAsia="Palatino Linotype" w:hAnsi="Palatino Linotype" w:cs="Palatino Linotype"/>
        </w:rPr>
        <w:t>.</w:t>
      </w:r>
    </w:p>
    <w:p w:rsidR="00E05F0E" w:rsidRPr="00C34496" w:rsidRDefault="00E05F0E">
      <w:pPr>
        <w:spacing w:line="360" w:lineRule="auto"/>
        <w:jc w:val="both"/>
        <w:rPr>
          <w:rFonts w:ascii="Palatino Linotype" w:eastAsia="Palatino Linotype" w:hAnsi="Palatino Linotype" w:cs="Palatino Linotype"/>
          <w:i/>
          <w:color w:val="000000"/>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i/>
          <w:color w:val="000000"/>
        </w:rPr>
      </w:pPr>
      <w:r w:rsidRPr="00C34496">
        <w:rPr>
          <w:rFonts w:ascii="Palatino Linotype" w:eastAsia="Palatino Linotype" w:hAnsi="Palatino Linotype" w:cs="Palatino Linotype"/>
          <w:color w:val="000000"/>
        </w:rPr>
        <w:t xml:space="preserve">El </w:t>
      </w:r>
      <w:r w:rsidR="00004058" w:rsidRPr="00C34496">
        <w:rPr>
          <w:rFonts w:ascii="Palatino Linotype" w:eastAsia="Palatino Linotype" w:hAnsi="Palatino Linotype" w:cs="Palatino Linotype"/>
          <w:b/>
          <w:color w:val="000000"/>
        </w:rPr>
        <w:t>diecinueve de febrero de dos mil veintiséis</w:t>
      </w:r>
      <w:r w:rsidRPr="00C34496">
        <w:rPr>
          <w:rFonts w:ascii="Palatino Linotype" w:eastAsia="Palatino Linotype" w:hAnsi="Palatino Linotype" w:cs="Palatino Linotype"/>
          <w:b/>
          <w:color w:val="000000"/>
        </w:rPr>
        <w:t>,</w:t>
      </w:r>
      <w:r w:rsidRPr="00C34496">
        <w:rPr>
          <w:rFonts w:ascii="Palatino Linotype" w:eastAsia="Palatino Linotype" w:hAnsi="Palatino Linotype" w:cs="Palatino Linotype"/>
          <w:color w:val="000000"/>
        </w:rPr>
        <w:t xml:space="preserve"> se notificó acuerdo mediante el cual se decretó el </w:t>
      </w:r>
      <w:r w:rsidRPr="00C34496">
        <w:rPr>
          <w:rFonts w:ascii="Palatino Linotype" w:eastAsia="Palatino Linotype" w:hAnsi="Palatino Linotype" w:cs="Palatino Linotype"/>
          <w:b/>
          <w:color w:val="000000"/>
        </w:rPr>
        <w:t>cierre de instrucción</w:t>
      </w:r>
      <w:r w:rsidRPr="00C34496">
        <w:rPr>
          <w:rFonts w:ascii="Palatino Linotype" w:eastAsia="Palatino Linotype" w:hAnsi="Palatino Linotype" w:cs="Palatino Linotype"/>
          <w:color w:val="000000"/>
        </w:rPr>
        <w:t>.</w:t>
      </w:r>
    </w:p>
    <w:p w:rsidR="00E05F0E" w:rsidRPr="00C34496" w:rsidRDefault="00E05F0E">
      <w:pPr>
        <w:spacing w:line="360" w:lineRule="auto"/>
        <w:jc w:val="both"/>
        <w:rPr>
          <w:rFonts w:ascii="Palatino Linotype" w:eastAsia="Palatino Linotype" w:hAnsi="Palatino Linotype" w:cs="Palatino Linotype"/>
          <w:b/>
        </w:rPr>
      </w:pPr>
    </w:p>
    <w:p w:rsidR="00E05F0E" w:rsidRPr="00C34496" w:rsidRDefault="0093335F">
      <w:pPr>
        <w:numPr>
          <w:ilvl w:val="0"/>
          <w:numId w:val="1"/>
        </w:numP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En razón de que fue debidamente sustanciado el expediente electrónico y no existe diligencia pendiente de desahogo, se emite la resolución que conforme a Derecho proceda, de acuerdo a los siguientes: </w:t>
      </w:r>
      <w:r w:rsidR="00C34496">
        <w:rPr>
          <w:rFonts w:ascii="Palatino Linotype" w:eastAsia="Palatino Linotype" w:hAnsi="Palatino Linotype" w:cs="Palatino Linotype"/>
        </w:rPr>
        <w:t>--------------------------------------------------------------------------------------------</w:t>
      </w:r>
    </w:p>
    <w:p w:rsidR="00E05F0E" w:rsidRPr="00C34496" w:rsidRDefault="0093335F">
      <w:pPr>
        <w:keepNext/>
        <w:keepLines/>
        <w:spacing w:line="360" w:lineRule="auto"/>
        <w:jc w:val="center"/>
        <w:rPr>
          <w:rFonts w:ascii="Palatino Linotype" w:eastAsia="Palatino Linotype" w:hAnsi="Palatino Linotype" w:cs="Palatino Linotype"/>
          <w:b/>
        </w:rPr>
      </w:pPr>
      <w:bookmarkStart w:id="4" w:name="_heading=h.tx3xggrgmpwg" w:colFirst="0" w:colLast="0"/>
      <w:bookmarkEnd w:id="4"/>
      <w:r w:rsidRPr="00C34496">
        <w:rPr>
          <w:rFonts w:ascii="Palatino Linotype" w:eastAsia="Palatino Linotype" w:hAnsi="Palatino Linotype" w:cs="Palatino Linotype"/>
          <w:b/>
        </w:rPr>
        <w:lastRenderedPageBreak/>
        <w:t>C</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O</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N</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S</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I</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D</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E</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R</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A</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N</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D</w:t>
      </w:r>
      <w:r w:rsidR="00C34496">
        <w:rPr>
          <w:rFonts w:ascii="Palatino Linotype" w:eastAsia="Palatino Linotype" w:hAnsi="Palatino Linotype" w:cs="Palatino Linotype"/>
          <w:b/>
        </w:rPr>
        <w:t xml:space="preserve"> </w:t>
      </w:r>
      <w:r w:rsidRPr="00C34496">
        <w:rPr>
          <w:rFonts w:ascii="Palatino Linotype" w:eastAsia="Palatino Linotype" w:hAnsi="Palatino Linotype" w:cs="Palatino Linotype"/>
          <w:b/>
        </w:rPr>
        <w:t>O</w:t>
      </w:r>
      <w:r w:rsidR="00C34496">
        <w:rPr>
          <w:rFonts w:ascii="Palatino Linotype" w:eastAsia="Palatino Linotype" w:hAnsi="Palatino Linotype" w:cs="Palatino Linotype"/>
          <w:b/>
        </w:rPr>
        <w:t xml:space="preserve"> </w:t>
      </w:r>
    </w:p>
    <w:p w:rsidR="00E05F0E" w:rsidRPr="00C34496" w:rsidRDefault="00E05F0E">
      <w:pPr>
        <w:keepNext/>
        <w:keepLines/>
        <w:spacing w:line="360" w:lineRule="auto"/>
        <w:jc w:val="center"/>
        <w:rPr>
          <w:rFonts w:ascii="Palatino Linotype" w:eastAsia="Palatino Linotype" w:hAnsi="Palatino Linotype" w:cs="Palatino Linotype"/>
          <w:b/>
        </w:rPr>
      </w:pPr>
    </w:p>
    <w:p w:rsidR="00E05F0E" w:rsidRPr="00C34496" w:rsidRDefault="0093335F">
      <w:pPr>
        <w:keepNext/>
        <w:keepLines/>
        <w:spacing w:line="360" w:lineRule="auto"/>
        <w:rPr>
          <w:rFonts w:ascii="Palatino Linotype" w:eastAsia="Palatino Linotype" w:hAnsi="Palatino Linotype" w:cs="Palatino Linotype"/>
          <w:b/>
        </w:rPr>
      </w:pPr>
      <w:bookmarkStart w:id="5" w:name="_heading=h.od0gh8gjfbi5" w:colFirst="0" w:colLast="0"/>
      <w:bookmarkEnd w:id="5"/>
      <w:r w:rsidRPr="00C34496">
        <w:rPr>
          <w:rFonts w:ascii="Palatino Linotype" w:eastAsia="Palatino Linotype" w:hAnsi="Palatino Linotype" w:cs="Palatino Linotype"/>
          <w:b/>
        </w:rPr>
        <w:t>PRIMERO. De la competencia.</w:t>
      </w:r>
    </w:p>
    <w:p w:rsidR="00662AD8" w:rsidRPr="00C34496" w:rsidRDefault="00662AD8" w:rsidP="00662AD8">
      <w:pPr>
        <w:numPr>
          <w:ilvl w:val="0"/>
          <w:numId w:val="1"/>
        </w:numP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Este Instituto de </w:t>
      </w:r>
      <w:r w:rsidRPr="00C34496">
        <w:rPr>
          <w:rFonts w:ascii="Palatino Linotype" w:eastAsia="Palatino Linotype" w:hAnsi="Palatino Linotype" w:cs="Palatino Linotype"/>
        </w:rPr>
        <w:t>Transparencia</w:t>
      </w:r>
      <w:r w:rsidRPr="00C34496">
        <w:rPr>
          <w:rFonts w:ascii="Palatino Linotype" w:eastAsia="Palatino Linotype" w:hAnsi="Palatino Linotype" w:cs="Palatino Linotype"/>
          <w:color w:val="000000"/>
        </w:rPr>
        <w:t>,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05F0E" w:rsidRPr="00C34496" w:rsidRDefault="00E05F0E">
      <w:pPr>
        <w:keepNext/>
        <w:keepLines/>
        <w:spacing w:line="360" w:lineRule="auto"/>
        <w:rPr>
          <w:rFonts w:ascii="Palatino Linotype" w:eastAsia="Palatino Linotype" w:hAnsi="Palatino Linotype" w:cs="Palatino Linotype"/>
          <w:b/>
        </w:rPr>
      </w:pPr>
    </w:p>
    <w:p w:rsidR="00E05F0E" w:rsidRPr="00C34496" w:rsidRDefault="0093335F">
      <w:pPr>
        <w:pStyle w:val="Ttulo2"/>
        <w:spacing w:before="0" w:line="360" w:lineRule="auto"/>
        <w:ind w:right="-787"/>
        <w:rPr>
          <w:rFonts w:ascii="Palatino Linotype" w:eastAsia="Palatino Linotype" w:hAnsi="Palatino Linotype" w:cs="Palatino Linotype"/>
          <w:b/>
          <w:color w:val="000000"/>
          <w:sz w:val="24"/>
          <w:szCs w:val="24"/>
        </w:rPr>
      </w:pPr>
      <w:r w:rsidRPr="00C34496">
        <w:rPr>
          <w:rFonts w:ascii="Palatino Linotype" w:eastAsia="Palatino Linotype" w:hAnsi="Palatino Linotype" w:cs="Palatino Linotype"/>
          <w:b/>
          <w:color w:val="000000"/>
          <w:sz w:val="24"/>
          <w:szCs w:val="24"/>
        </w:rPr>
        <w:t>SEGUNDA. Procedencia.</w:t>
      </w: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Este Órgano Garante considera que el medio de impugnación reúne los requisitos de procedencia establecidos en el artículo 178, de la Ley de Transparencia y Acceso a la Información Pública del Estado de México y Municipios; asimismo no se tiene conocimiento de que se encuentre en trámite algún medio de defensa presentado por el Recurrente ante otra instancia.</w:t>
      </w:r>
    </w:p>
    <w:p w:rsidR="00E05F0E" w:rsidRPr="00C34496" w:rsidRDefault="00E05F0E">
      <w:pPr>
        <w:spacing w:line="360" w:lineRule="auto"/>
        <w:ind w:right="-787"/>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Por otro lado, el escrito contiene las formalidades previstas por el artículo 180, último párrafo, de la citada Ley de la materia, por lo que es procedente que este Instituto conozca y resuelva el presente recurso.</w:t>
      </w:r>
    </w:p>
    <w:p w:rsidR="00E05F0E" w:rsidRPr="00C34496" w:rsidRDefault="00E05F0E">
      <w:pPr>
        <w:spacing w:line="360" w:lineRule="auto"/>
        <w:ind w:right="49"/>
        <w:jc w:val="both"/>
        <w:rPr>
          <w:rFonts w:ascii="Palatino Linotype" w:eastAsia="Palatino Linotype" w:hAnsi="Palatino Linotype" w:cs="Palatino Linotype"/>
          <w:b/>
        </w:rPr>
      </w:pPr>
    </w:p>
    <w:p w:rsidR="00E05F0E" w:rsidRPr="00C34496" w:rsidRDefault="0093335F">
      <w:pPr>
        <w:spacing w:line="360" w:lineRule="auto"/>
        <w:jc w:val="both"/>
        <w:rPr>
          <w:rFonts w:ascii="Palatino Linotype" w:eastAsia="Palatino Linotype" w:hAnsi="Palatino Linotype" w:cs="Palatino Linotype"/>
        </w:rPr>
      </w:pPr>
      <w:r w:rsidRPr="00C34496">
        <w:rPr>
          <w:rFonts w:ascii="Palatino Linotype" w:eastAsia="Palatino Linotype" w:hAnsi="Palatino Linotype" w:cs="Palatino Linotype"/>
          <w:b/>
        </w:rPr>
        <w:lastRenderedPageBreak/>
        <w:t>TERCERO. Causales de sobreseimiento.</w:t>
      </w: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Por ser de previo y especial pronunciamiento, este Instituto analiza si se actualiza alguna causal de sobreseimiento.</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w:t>
      </w:r>
      <w:r w:rsidRPr="00C34496">
        <w:rPr>
          <w:rFonts w:ascii="Palatino Linotype" w:eastAsia="Palatino Linotype" w:hAnsi="Palatino Linotype" w:cs="Palatino Linotype"/>
          <w:b/>
          <w:color w:val="000000"/>
        </w:rPr>
        <w:t xml:space="preserve"> no se configuran las causales establecidas en las fracciones I, II, III, y V, </w:t>
      </w:r>
      <w:r w:rsidRPr="00C34496">
        <w:rPr>
          <w:rFonts w:ascii="Palatino Linotype" w:eastAsia="Palatino Linotype" w:hAnsi="Palatino Linotype" w:cs="Palatino Linotype"/>
          <w:color w:val="000000"/>
        </w:rPr>
        <w:t>toda vez que no hay constancias en el expediente en que se actúa, de que el Recurrente se haya desistido, fallecido, que el Sujeto Obligado hubiese modificado o revocado el acto impugnado o bien, haya quedado sin materia.</w:t>
      </w:r>
    </w:p>
    <w:p w:rsidR="00E05F0E" w:rsidRPr="00C34496" w:rsidRDefault="00E05F0E">
      <w:pPr>
        <w:widowControl w:val="0"/>
        <w:spacing w:line="360" w:lineRule="auto"/>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No obstante, por lo que hace a la </w:t>
      </w:r>
      <w:r w:rsidRPr="00C34496">
        <w:rPr>
          <w:rFonts w:ascii="Palatino Linotype" w:eastAsia="Palatino Linotype" w:hAnsi="Palatino Linotype" w:cs="Palatino Linotype"/>
          <w:b/>
          <w:color w:val="000000"/>
        </w:rPr>
        <w:t>hipótesis prevista en la fracción IV</w:t>
      </w:r>
      <w:r w:rsidRPr="00C34496">
        <w:rPr>
          <w:rFonts w:ascii="Palatino Linotype" w:eastAsia="Palatino Linotype" w:hAnsi="Palatino Linotype" w:cs="Palatino Linotype"/>
          <w:color w:val="000000"/>
        </w:rPr>
        <w:t xml:space="preserve">, a saber, que </w:t>
      </w:r>
      <w:r w:rsidRPr="00C34496">
        <w:rPr>
          <w:rFonts w:ascii="Palatino Linotype" w:eastAsia="Palatino Linotype" w:hAnsi="Palatino Linotype" w:cs="Palatino Linotype"/>
          <w:b/>
          <w:color w:val="000000"/>
        </w:rPr>
        <w:t>una vez admitido el Recurso de Revisión, aparezca alguna causal de improcedencia</w:t>
      </w:r>
      <w:r w:rsidRPr="00C34496">
        <w:rPr>
          <w:rFonts w:ascii="Palatino Linotype" w:eastAsia="Palatino Linotype" w:hAnsi="Palatino Linotype" w:cs="Palatino Linotype"/>
          <w:color w:val="000000"/>
        </w:rPr>
        <w:t xml:space="preserve"> en términos de la presente Ley, cabe señalar que el artículo 191 de la Ley de Transparencia y Acceso a la Información Pública del Estado de México y Municipios, indica, entre otras causales, que </w:t>
      </w:r>
      <w:r w:rsidRPr="00C34496">
        <w:rPr>
          <w:rFonts w:ascii="Palatino Linotype" w:eastAsia="Palatino Linotype" w:hAnsi="Palatino Linotype" w:cs="Palatino Linotype"/>
          <w:b/>
          <w:color w:val="000000"/>
        </w:rPr>
        <w:t xml:space="preserve">el Recurso de Revisión será desechado por improcedente, cuando sea extemporáneo </w:t>
      </w:r>
      <w:r w:rsidRPr="00C34496">
        <w:rPr>
          <w:rFonts w:ascii="Palatino Linotype" w:eastAsia="Palatino Linotype" w:hAnsi="Palatino Linotype" w:cs="Palatino Linotype"/>
          <w:color w:val="000000"/>
        </w:rPr>
        <w:t>por haber transcurrido el plazo establecido por el artículo 178 del mismo ordenamiento.</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Al respecto dicho artículo, señala que, en caso de existir respuesta, el Recurso de Revisión podrá interponerse dentro de los </w:t>
      </w:r>
      <w:r w:rsidRPr="00C34496">
        <w:rPr>
          <w:rFonts w:ascii="Palatino Linotype" w:eastAsia="Palatino Linotype" w:hAnsi="Palatino Linotype" w:cs="Palatino Linotype"/>
          <w:b/>
          <w:color w:val="000000"/>
        </w:rPr>
        <w:t>quince días hábiles</w:t>
      </w:r>
      <w:r w:rsidRPr="00C34496">
        <w:rPr>
          <w:rFonts w:ascii="Palatino Linotype" w:eastAsia="Palatino Linotype" w:hAnsi="Palatino Linotype" w:cs="Palatino Linotype"/>
          <w:color w:val="000000"/>
        </w:rPr>
        <w:t>, siguientes a la fecha de notificación de dicha contestación; en este caso a la fecha de la entrega de la información.</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Ahora bien, de las constancias que obran en el expediente se advierte que el Sujeto Obligado notificó la entrega de la información el </w:t>
      </w:r>
      <w:r w:rsidR="00662AD8" w:rsidRPr="00C34496">
        <w:rPr>
          <w:rFonts w:ascii="Palatino Linotype" w:eastAsia="Palatino Linotype" w:hAnsi="Palatino Linotype" w:cs="Palatino Linotype"/>
          <w:b/>
          <w:color w:val="000000"/>
        </w:rPr>
        <w:t>siete de agosto</w:t>
      </w:r>
      <w:r w:rsidRPr="00C34496">
        <w:rPr>
          <w:rFonts w:ascii="Palatino Linotype" w:eastAsia="Palatino Linotype" w:hAnsi="Palatino Linotype" w:cs="Palatino Linotype"/>
          <w:b/>
          <w:color w:val="000000"/>
        </w:rPr>
        <w:t xml:space="preserve"> de dos mil veinticinco</w:t>
      </w:r>
      <w:r w:rsidRPr="00C34496">
        <w:rPr>
          <w:rFonts w:ascii="Palatino Linotype" w:eastAsia="Palatino Linotype" w:hAnsi="Palatino Linotype" w:cs="Palatino Linotype"/>
          <w:color w:val="000000"/>
        </w:rPr>
        <w:t xml:space="preserve">; por lo </w:t>
      </w:r>
      <w:r w:rsidRPr="00C34496">
        <w:rPr>
          <w:rFonts w:ascii="Palatino Linotype" w:eastAsia="Palatino Linotype" w:hAnsi="Palatino Linotype" w:cs="Palatino Linotype"/>
          <w:color w:val="000000"/>
        </w:rPr>
        <w:lastRenderedPageBreak/>
        <w:t xml:space="preserve">tanto, el plazo de quince días, contados a partir del día hábil siguiente de la notificación de la contestación, con el que contaba el Solicitante para interponer su Recurso de Revisión, </w:t>
      </w:r>
      <w:r w:rsidRPr="00C34496">
        <w:rPr>
          <w:rFonts w:ascii="Palatino Linotype" w:eastAsia="Palatino Linotype" w:hAnsi="Palatino Linotype" w:cs="Palatino Linotype"/>
          <w:b/>
          <w:color w:val="000000"/>
        </w:rPr>
        <w:t xml:space="preserve">comenzó a correr el </w:t>
      </w:r>
      <w:r w:rsidR="00662AD8" w:rsidRPr="00C34496">
        <w:rPr>
          <w:rFonts w:ascii="Palatino Linotype" w:eastAsia="Palatino Linotype" w:hAnsi="Palatino Linotype" w:cs="Palatino Linotype"/>
          <w:b/>
          <w:color w:val="000000"/>
        </w:rPr>
        <w:t>ocho de agosto</w:t>
      </w:r>
      <w:r w:rsidRPr="00C34496">
        <w:rPr>
          <w:rFonts w:ascii="Palatino Linotype" w:eastAsia="Palatino Linotype" w:hAnsi="Palatino Linotype" w:cs="Palatino Linotype"/>
          <w:b/>
          <w:color w:val="000000"/>
        </w:rPr>
        <w:t xml:space="preserve"> y feneció el </w:t>
      </w:r>
      <w:r w:rsidR="00662AD8" w:rsidRPr="00C34496">
        <w:rPr>
          <w:rFonts w:ascii="Palatino Linotype" w:eastAsia="Palatino Linotype" w:hAnsi="Palatino Linotype" w:cs="Palatino Linotype"/>
          <w:b/>
          <w:color w:val="000000"/>
        </w:rPr>
        <w:t>veintiocho de agosto</w:t>
      </w:r>
      <w:r w:rsidRPr="00C34496">
        <w:rPr>
          <w:rFonts w:ascii="Palatino Linotype" w:eastAsia="Palatino Linotype" w:hAnsi="Palatino Linotype" w:cs="Palatino Linotype"/>
          <w:b/>
          <w:color w:val="000000"/>
        </w:rPr>
        <w:t xml:space="preserve">, </w:t>
      </w:r>
      <w:r w:rsidRPr="00C34496">
        <w:rPr>
          <w:rFonts w:ascii="Palatino Linotype" w:eastAsia="Palatino Linotype" w:hAnsi="Palatino Linotype" w:cs="Palatino Linotype"/>
          <w:color w:val="000000"/>
        </w:rPr>
        <w:t>ambos del año referido, de conformidad con los artículos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laborales de este Instituto, para el año dos mil veinticinco y dos mil veintiséis.</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C34496">
        <w:rPr>
          <w:rFonts w:ascii="Palatino Linotype" w:eastAsia="Palatino Linotype" w:hAnsi="Palatino Linotype" w:cs="Palatino Linotype"/>
          <w:color w:val="000000"/>
        </w:rPr>
        <w:t xml:space="preserve">Por su parte, el ahora Recurrente, como se desprende del Sistema de Acceso a la Información Mexiquense (SAIMEX), </w:t>
      </w:r>
      <w:r w:rsidRPr="00C34496">
        <w:rPr>
          <w:rFonts w:ascii="Palatino Linotype" w:eastAsia="Palatino Linotype" w:hAnsi="Palatino Linotype" w:cs="Palatino Linotype"/>
          <w:b/>
          <w:color w:val="000000"/>
        </w:rPr>
        <w:t>interpuso</w:t>
      </w:r>
      <w:r w:rsidRPr="00C34496">
        <w:rPr>
          <w:rFonts w:ascii="Palatino Linotype" w:eastAsia="Palatino Linotype" w:hAnsi="Palatino Linotype" w:cs="Palatino Linotype"/>
          <w:color w:val="000000"/>
        </w:rPr>
        <w:t xml:space="preserve"> su </w:t>
      </w:r>
      <w:r w:rsidRPr="00C34496">
        <w:rPr>
          <w:rFonts w:ascii="Palatino Linotype" w:eastAsia="Palatino Linotype" w:hAnsi="Palatino Linotype" w:cs="Palatino Linotype"/>
          <w:b/>
          <w:color w:val="000000"/>
        </w:rPr>
        <w:t>medio de impugnación</w:t>
      </w:r>
      <w:r w:rsidRPr="00C34496">
        <w:rPr>
          <w:rFonts w:ascii="Palatino Linotype" w:eastAsia="Palatino Linotype" w:hAnsi="Palatino Linotype" w:cs="Palatino Linotype"/>
          <w:color w:val="000000"/>
        </w:rPr>
        <w:t xml:space="preserve">, </w:t>
      </w:r>
      <w:r w:rsidRPr="00C34496">
        <w:rPr>
          <w:rFonts w:ascii="Palatino Linotype" w:eastAsia="Palatino Linotype" w:hAnsi="Palatino Linotype" w:cs="Palatino Linotype"/>
          <w:b/>
          <w:color w:val="000000"/>
        </w:rPr>
        <w:t xml:space="preserve">el </w:t>
      </w:r>
      <w:r w:rsidR="00662AD8" w:rsidRPr="00C34496">
        <w:rPr>
          <w:rFonts w:ascii="Palatino Linotype" w:eastAsia="Palatino Linotype" w:hAnsi="Palatino Linotype" w:cs="Palatino Linotype"/>
          <w:b/>
          <w:color w:val="000000"/>
        </w:rPr>
        <w:t>veintidós de enero de dos mil veintiséis</w:t>
      </w:r>
      <w:r w:rsidRPr="00C34496">
        <w:rPr>
          <w:rFonts w:ascii="Palatino Linotype" w:eastAsia="Palatino Linotype" w:hAnsi="Palatino Linotype" w:cs="Palatino Linotype"/>
          <w:b/>
          <w:color w:val="000000"/>
        </w:rPr>
        <w:t>.</w:t>
      </w:r>
    </w:p>
    <w:p w:rsidR="00E05F0E" w:rsidRPr="00C34496" w:rsidRDefault="00E05F0E">
      <w:pPr>
        <w:spacing w:line="360" w:lineRule="auto"/>
        <w:jc w:val="both"/>
        <w:rPr>
          <w:rFonts w:ascii="Palatino Linotype" w:eastAsia="Palatino Linotype" w:hAnsi="Palatino Linotype" w:cs="Palatino Linotype"/>
          <w:b/>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 xml:space="preserve">Por tanto, </w:t>
      </w:r>
      <w:r w:rsidRPr="00C34496">
        <w:rPr>
          <w:rFonts w:ascii="Palatino Linotype" w:eastAsia="Palatino Linotype" w:hAnsi="Palatino Linotype" w:cs="Palatino Linotype"/>
          <w:b/>
          <w:color w:val="000000"/>
        </w:rPr>
        <w:t>al interponerse el Recurso de Revisión</w:t>
      </w:r>
      <w:r w:rsidRPr="00C34496">
        <w:rPr>
          <w:rFonts w:ascii="Palatino Linotype" w:eastAsia="Palatino Linotype" w:hAnsi="Palatino Linotype" w:cs="Palatino Linotype"/>
          <w:color w:val="000000"/>
        </w:rPr>
        <w:t xml:space="preserve"> ante este Instituto, </w:t>
      </w:r>
      <w:r w:rsidRPr="00C34496">
        <w:rPr>
          <w:rFonts w:ascii="Palatino Linotype" w:eastAsia="Palatino Linotype" w:hAnsi="Palatino Linotype" w:cs="Palatino Linotype"/>
          <w:b/>
          <w:color w:val="000000"/>
        </w:rPr>
        <w:t>en dicha fecha</w:t>
      </w:r>
      <w:r w:rsidRPr="00C34496">
        <w:rPr>
          <w:rFonts w:ascii="Palatino Linotype" w:eastAsia="Palatino Linotype" w:hAnsi="Palatino Linotype" w:cs="Palatino Linotype"/>
          <w:color w:val="000000"/>
        </w:rPr>
        <w:t xml:space="preserve">, se concluye que </w:t>
      </w:r>
      <w:r w:rsidRPr="00C34496">
        <w:rPr>
          <w:rFonts w:ascii="Palatino Linotype" w:eastAsia="Palatino Linotype" w:hAnsi="Palatino Linotype" w:cs="Palatino Linotype"/>
          <w:b/>
          <w:color w:val="000000"/>
        </w:rPr>
        <w:t>se realizó una vez fenecido el plazo legal</w:t>
      </w:r>
      <w:r w:rsidRPr="00C34496">
        <w:rPr>
          <w:rFonts w:ascii="Palatino Linotype" w:eastAsia="Palatino Linotype" w:hAnsi="Palatino Linotype" w:cs="Palatino Linotype"/>
          <w:color w:val="000000"/>
        </w:rPr>
        <w:t xml:space="preserve"> establecido al efecto, a saber, </w:t>
      </w:r>
      <w:r w:rsidR="00DF69DE" w:rsidRPr="00C34496">
        <w:rPr>
          <w:rFonts w:ascii="Palatino Linotype" w:eastAsia="Palatino Linotype" w:hAnsi="Palatino Linotype" w:cs="Palatino Linotype"/>
          <w:b/>
          <w:color w:val="000000"/>
        </w:rPr>
        <w:t>ochenta y siete</w:t>
      </w:r>
      <w:r w:rsidRPr="00C34496">
        <w:rPr>
          <w:rFonts w:ascii="Palatino Linotype" w:eastAsia="Palatino Linotype" w:hAnsi="Palatino Linotype" w:cs="Palatino Linotype"/>
          <w:b/>
          <w:color w:val="000000"/>
        </w:rPr>
        <w:t xml:space="preserve"> días hábiles posteriores </w:t>
      </w:r>
      <w:r w:rsidR="00DF69DE" w:rsidRPr="00C34496">
        <w:rPr>
          <w:rFonts w:ascii="Palatino Linotype" w:eastAsia="Palatino Linotype" w:hAnsi="Palatino Linotype" w:cs="Palatino Linotype"/>
          <w:b/>
          <w:color w:val="000000"/>
        </w:rPr>
        <w:t>al vencimiento del plazo para interponer el recurso de revisión</w:t>
      </w:r>
      <w:r w:rsidRPr="00C34496">
        <w:rPr>
          <w:rFonts w:ascii="Palatino Linotype" w:eastAsia="Palatino Linotype" w:hAnsi="Palatino Linotype" w:cs="Palatino Linotype"/>
          <w:color w:val="000000"/>
        </w:rPr>
        <w:t xml:space="preserve">, </w:t>
      </w:r>
      <w:r w:rsidRPr="00C34496">
        <w:rPr>
          <w:rFonts w:ascii="Palatino Linotype" w:eastAsia="Palatino Linotype" w:hAnsi="Palatino Linotype" w:cs="Palatino Linotype"/>
          <w:b/>
          <w:color w:val="000000"/>
        </w:rPr>
        <w:t xml:space="preserve">resultando extemporánea la presentación del Medio de Impugnación. </w:t>
      </w:r>
      <w:r w:rsidRPr="00C34496">
        <w:rPr>
          <w:rFonts w:ascii="Palatino Linotype" w:eastAsia="Palatino Linotype" w:hAnsi="Palatino Linotype" w:cs="Palatino Linotype"/>
          <w:color w:val="000000"/>
        </w:rPr>
        <w:t>Dicha situación, se robustece, con el historial de la solicitud de información citado al rubro, localizado en el Sistema de Acceso a la Información Mexiquense (SAIMEX), tal como se muestra a continuación:</w:t>
      </w:r>
    </w:p>
    <w:p w:rsidR="00E05F0E" w:rsidRPr="00C34496" w:rsidRDefault="0093335F">
      <w:pPr>
        <w:pBdr>
          <w:top w:val="nil"/>
          <w:left w:val="nil"/>
          <w:bottom w:val="nil"/>
          <w:right w:val="nil"/>
          <w:between w:val="nil"/>
        </w:pBdr>
        <w:tabs>
          <w:tab w:val="left" w:pos="567"/>
        </w:tabs>
        <w:spacing w:line="360" w:lineRule="auto"/>
        <w:jc w:val="center"/>
        <w:rPr>
          <w:rFonts w:ascii="Palatino Linotype" w:eastAsia="Palatino Linotype" w:hAnsi="Palatino Linotype" w:cs="Palatino Linotype"/>
          <w:color w:val="000000"/>
        </w:rPr>
      </w:pPr>
      <w:r w:rsidRPr="00C34496">
        <w:rPr>
          <w:rFonts w:ascii="Century Gothic" w:eastAsia="Century Gothic" w:hAnsi="Century Gothic" w:cs="Century Gothic"/>
          <w:color w:val="000000"/>
        </w:rPr>
        <w:lastRenderedPageBreak/>
        <w:t xml:space="preserve"> </w:t>
      </w:r>
      <w:r w:rsidR="00DF69DE" w:rsidRPr="00C34496">
        <w:rPr>
          <w:rFonts w:ascii="Century Gothic" w:eastAsia="Century Gothic" w:hAnsi="Century Gothic" w:cs="Century Gothic"/>
          <w:noProof/>
          <w:color w:val="000000"/>
        </w:rPr>
        <w:drawing>
          <wp:inline distT="0" distB="0" distL="0" distR="0" wp14:anchorId="5628155E" wp14:editId="056E0D21">
            <wp:extent cx="3469125" cy="1611216"/>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88213" cy="1620081"/>
                    </a:xfrm>
                    <a:prstGeom prst="rect">
                      <a:avLst/>
                    </a:prstGeom>
                  </pic:spPr>
                </pic:pic>
              </a:graphicData>
            </a:graphic>
          </wp:inline>
        </w:drawing>
      </w: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color w:val="000000"/>
        </w:rPr>
        <w:t>En consecuencia, se advierte que el Medio de Impugnación fue presentado de manera extemporánea.</w:t>
      </w:r>
    </w:p>
    <w:p w:rsidR="00E05F0E" w:rsidRPr="00C34496" w:rsidRDefault="00E05F0E">
      <w:pPr>
        <w:spacing w:line="360" w:lineRule="auto"/>
        <w:jc w:val="both"/>
        <w:rPr>
          <w:rFonts w:ascii="Palatino Linotype" w:eastAsia="Palatino Linotype" w:hAnsi="Palatino Linotype" w:cs="Palatino Linotype"/>
          <w:color w:val="000000"/>
        </w:rPr>
      </w:pPr>
    </w:p>
    <w:p w:rsidR="00E05F0E" w:rsidRPr="00C34496" w:rsidRDefault="0093335F">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D0D0D"/>
        </w:rPr>
      </w:pPr>
      <w:r w:rsidRPr="00C34496">
        <w:rPr>
          <w:rFonts w:ascii="Palatino Linotype" w:eastAsia="Palatino Linotype" w:hAnsi="Palatino Linotype" w:cs="Palatino Linotype"/>
          <w:color w:val="000000"/>
        </w:rPr>
        <w:t>En ese sentido, toda vez que el Solicitante interpuso Recurso de Revisión, en fecha posterior al plazo establecido en el artículo 178 de la Ley de Transparencia y Acceso a la Información Pública del Estado de México y Municipios, se actualiza la causal de desechamiento establecida en el diverso 191, fracción I, de la Ley de la materia; sin embargo, toda vez que fue necesario admitir el Medio de Impugnación, para verificar que el Particular haya tenido acceso a la entrega de la información</w:t>
      </w:r>
      <w:r w:rsidRPr="00C34496">
        <w:rPr>
          <w:rFonts w:ascii="Palatino Linotype" w:eastAsia="Palatino Linotype" w:hAnsi="Palatino Linotype" w:cs="Palatino Linotype"/>
          <w:color w:val="0D0D0D"/>
        </w:rPr>
        <w:t xml:space="preserve">, lo procedente es </w:t>
      </w:r>
      <w:r w:rsidRPr="00C34496">
        <w:rPr>
          <w:rFonts w:ascii="Palatino Linotype" w:eastAsia="Palatino Linotype" w:hAnsi="Palatino Linotype" w:cs="Palatino Linotype"/>
          <w:b/>
          <w:color w:val="0D0D0D"/>
        </w:rPr>
        <w:t xml:space="preserve">SOBRESEER </w:t>
      </w:r>
      <w:r w:rsidRPr="00C34496">
        <w:rPr>
          <w:rFonts w:ascii="Palatino Linotype" w:eastAsia="Palatino Linotype" w:hAnsi="Palatino Linotype" w:cs="Palatino Linotype"/>
          <w:color w:val="0D0D0D"/>
        </w:rPr>
        <w:t>el mismo.</w:t>
      </w:r>
    </w:p>
    <w:p w:rsidR="00E05F0E" w:rsidRPr="00C34496" w:rsidRDefault="00E05F0E">
      <w:pPr>
        <w:spacing w:line="360" w:lineRule="auto"/>
        <w:jc w:val="both"/>
        <w:rPr>
          <w:color w:val="000000"/>
        </w:rPr>
      </w:pPr>
    </w:p>
    <w:p w:rsidR="00BA4BCA" w:rsidRDefault="00BA4BCA" w:rsidP="00BA4BC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34496">
        <w:rPr>
          <w:rFonts w:ascii="Palatino Linotype" w:eastAsia="Palatino Linotype" w:hAnsi="Palatino Linotype" w:cs="Palatino Linotype"/>
        </w:rPr>
        <w:t xml:space="preserve">Por lo </w:t>
      </w:r>
      <w:r w:rsidRPr="00C34496">
        <w:rPr>
          <w:rFonts w:ascii="Palatino Linotype" w:eastAsia="Palatino Linotype" w:hAnsi="Palatino Linotype" w:cs="Palatino Linotype"/>
          <w:color w:val="000000"/>
        </w:rPr>
        <w:t>expuesto</w:t>
      </w:r>
      <w:r w:rsidRPr="00C34496">
        <w:rPr>
          <w:rFonts w:ascii="Palatino Linotype" w:eastAsia="Palatino Linotype" w:hAnsi="Palatino Linotype" w:cs="Palatino Linotype"/>
        </w:rPr>
        <w:t xml:space="preserve">, y </w:t>
      </w:r>
      <w:r w:rsidRPr="00C34496">
        <w:rPr>
          <w:rFonts w:ascii="Palatino Linotype" w:eastAsia="Palatino Linotype" w:hAnsi="Palatino Linotype" w:cs="Palatino Linotype"/>
          <w:color w:val="000000"/>
        </w:rPr>
        <w:t>con</w:t>
      </w:r>
      <w:r w:rsidRPr="00C34496">
        <w:rPr>
          <w:rFonts w:ascii="Palatino Linotype" w:eastAsia="Palatino Linotype" w:hAnsi="Palatino Linotype" w:cs="Palatino Linotype"/>
        </w:rPr>
        <w:t xml:space="preserve"> fundamento en lo prescrito en los artículos </w:t>
      </w:r>
      <w:r w:rsidRPr="00C34496">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C34496">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C34496">
        <w:rPr>
          <w:rFonts w:ascii="Palatino Linotype" w:eastAsia="Palatino Linotype" w:hAnsi="Palatino Linotype" w:cs="Palatino Linotype"/>
        </w:rPr>
        <w:t xml:space="preserve"> -------------------------------------------------------------------</w:t>
      </w:r>
    </w:p>
    <w:p w:rsidR="00C34496" w:rsidRDefault="00C34496" w:rsidP="00C34496">
      <w:pPr>
        <w:pStyle w:val="Prrafodelista"/>
        <w:rPr>
          <w:rFonts w:ascii="Palatino Linotype" w:eastAsia="Palatino Linotype" w:hAnsi="Palatino Linotype" w:cs="Palatino Linotype"/>
        </w:rPr>
      </w:pPr>
    </w:p>
    <w:p w:rsidR="00C34496" w:rsidRDefault="00C34496" w:rsidP="00C34496">
      <w:pPr>
        <w:pBdr>
          <w:top w:val="nil"/>
          <w:left w:val="nil"/>
          <w:bottom w:val="nil"/>
          <w:right w:val="nil"/>
          <w:between w:val="nil"/>
        </w:pBdr>
        <w:spacing w:line="360" w:lineRule="auto"/>
        <w:jc w:val="both"/>
        <w:rPr>
          <w:rFonts w:ascii="Palatino Linotype" w:eastAsia="Palatino Linotype" w:hAnsi="Palatino Linotype" w:cs="Palatino Linotype"/>
        </w:rPr>
      </w:pPr>
    </w:p>
    <w:p w:rsidR="00C34496" w:rsidRDefault="00C34496" w:rsidP="00C34496">
      <w:pPr>
        <w:pBdr>
          <w:top w:val="nil"/>
          <w:left w:val="nil"/>
          <w:bottom w:val="nil"/>
          <w:right w:val="nil"/>
          <w:between w:val="nil"/>
        </w:pBdr>
        <w:spacing w:line="360" w:lineRule="auto"/>
        <w:jc w:val="both"/>
        <w:rPr>
          <w:rFonts w:ascii="Palatino Linotype" w:eastAsia="Palatino Linotype" w:hAnsi="Palatino Linotype" w:cs="Palatino Linotype"/>
        </w:rPr>
      </w:pPr>
    </w:p>
    <w:p w:rsidR="00C34496" w:rsidRPr="00C34496" w:rsidRDefault="00C34496" w:rsidP="00C34496">
      <w:pPr>
        <w:pBdr>
          <w:top w:val="nil"/>
          <w:left w:val="nil"/>
          <w:bottom w:val="nil"/>
          <w:right w:val="nil"/>
          <w:between w:val="nil"/>
        </w:pBdr>
        <w:spacing w:line="360" w:lineRule="auto"/>
        <w:jc w:val="both"/>
        <w:rPr>
          <w:rFonts w:ascii="Palatino Linotype" w:eastAsia="Palatino Linotype" w:hAnsi="Palatino Linotype" w:cs="Palatino Linotype"/>
        </w:rPr>
      </w:pPr>
    </w:p>
    <w:p w:rsidR="00E05F0E" w:rsidRPr="00C34496" w:rsidRDefault="00E05F0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A4BCA" w:rsidRPr="00C34496" w:rsidRDefault="00BA4BCA" w:rsidP="00BA4BCA">
      <w:pPr>
        <w:spacing w:line="360" w:lineRule="auto"/>
        <w:ind w:right="-858"/>
        <w:jc w:val="center"/>
        <w:rPr>
          <w:rFonts w:ascii="Palatino Linotype" w:eastAsia="Palatino Linotype" w:hAnsi="Palatino Linotype" w:cs="Palatino Linotype"/>
          <w:b/>
        </w:rPr>
      </w:pPr>
      <w:bookmarkStart w:id="6" w:name="_heading=h.zc3cegh3n2uj" w:colFirst="0" w:colLast="0"/>
      <w:bookmarkEnd w:id="6"/>
      <w:r w:rsidRPr="00C34496">
        <w:rPr>
          <w:rFonts w:ascii="Palatino Linotype" w:eastAsia="Palatino Linotype" w:hAnsi="Palatino Linotype" w:cs="Palatino Linotype"/>
          <w:b/>
        </w:rPr>
        <w:lastRenderedPageBreak/>
        <w:t>R E S U E L V E</w:t>
      </w:r>
    </w:p>
    <w:p w:rsidR="00E05F0E" w:rsidRPr="00C34496" w:rsidRDefault="00E05F0E">
      <w:pPr>
        <w:keepNext/>
        <w:keepLines/>
        <w:spacing w:line="360" w:lineRule="auto"/>
        <w:jc w:val="center"/>
        <w:rPr>
          <w:rFonts w:ascii="Palatino Linotype" w:eastAsia="Palatino Linotype" w:hAnsi="Palatino Linotype" w:cs="Palatino Linotype"/>
          <w:b/>
          <w:color w:val="000000"/>
        </w:rPr>
      </w:pPr>
    </w:p>
    <w:p w:rsidR="00E05F0E" w:rsidRPr="00C34496" w:rsidRDefault="0093335F">
      <w:pPr>
        <w:spacing w:line="360" w:lineRule="auto"/>
        <w:jc w:val="both"/>
        <w:rPr>
          <w:rFonts w:ascii="Palatino Linotype" w:eastAsia="Palatino Linotype" w:hAnsi="Palatino Linotype" w:cs="Palatino Linotype"/>
          <w:color w:val="000000"/>
        </w:rPr>
      </w:pPr>
      <w:r w:rsidRPr="00C34496">
        <w:rPr>
          <w:rFonts w:ascii="Palatino Linotype" w:eastAsia="Palatino Linotype" w:hAnsi="Palatino Linotype" w:cs="Palatino Linotype"/>
          <w:b/>
          <w:color w:val="000000"/>
        </w:rPr>
        <w:t xml:space="preserve">PRIMERO. </w:t>
      </w:r>
      <w:r w:rsidRPr="00C34496">
        <w:rPr>
          <w:rFonts w:ascii="Palatino Linotype" w:eastAsia="Palatino Linotype" w:hAnsi="Palatino Linotype" w:cs="Palatino Linotype"/>
          <w:color w:val="000000"/>
        </w:rPr>
        <w:t xml:space="preserve">Se </w:t>
      </w:r>
      <w:r w:rsidRPr="00C34496">
        <w:rPr>
          <w:rFonts w:ascii="Palatino Linotype" w:eastAsia="Palatino Linotype" w:hAnsi="Palatino Linotype" w:cs="Palatino Linotype"/>
          <w:b/>
          <w:color w:val="000000"/>
        </w:rPr>
        <w:t>SOBRESEE</w:t>
      </w:r>
      <w:r w:rsidRPr="00C34496">
        <w:rPr>
          <w:rFonts w:ascii="Palatino Linotype" w:eastAsia="Palatino Linotype" w:hAnsi="Palatino Linotype" w:cs="Palatino Linotype"/>
          <w:color w:val="000000"/>
        </w:rPr>
        <w:t xml:space="preserve"> el Recurso de Revisión número </w:t>
      </w:r>
      <w:r w:rsidR="00BA4E36" w:rsidRPr="00C34496">
        <w:rPr>
          <w:rFonts w:ascii="Palatino Linotype" w:eastAsia="Palatino Linotype" w:hAnsi="Palatino Linotype" w:cs="Palatino Linotype"/>
          <w:b/>
          <w:color w:val="000000"/>
        </w:rPr>
        <w:t>06898/INFOEM/ICR-53/IP/RR/2025</w:t>
      </w:r>
      <w:r w:rsidRPr="00C34496">
        <w:rPr>
          <w:rFonts w:ascii="Palatino Linotype" w:eastAsia="Palatino Linotype" w:hAnsi="Palatino Linotype" w:cs="Palatino Linotype"/>
          <w:b/>
          <w:color w:val="000000"/>
        </w:rPr>
        <w:t>,</w:t>
      </w:r>
      <w:r w:rsidRPr="00C34496">
        <w:rPr>
          <w:rFonts w:ascii="Palatino Linotype" w:eastAsia="Palatino Linotype" w:hAnsi="Palatino Linotype" w:cs="Palatino Linotype"/>
          <w:color w:val="000000"/>
        </w:rPr>
        <w:t xml:space="preserve"> por ser improcedente en términos del artículo 192, fracción IV, de la Ley de Transparencia y Acceso a la Información Pública del Estado de México y Municipios, por actualizarse la causal de improcedencia establecida en la fracción I, del diverso 191, de dicho ordenamiento jurídico, de conformidad con </w:t>
      </w:r>
      <w:r w:rsidRPr="00C34496">
        <w:rPr>
          <w:rFonts w:ascii="Palatino Linotype" w:eastAsia="Palatino Linotype" w:hAnsi="Palatino Linotype" w:cs="Palatino Linotype"/>
        </w:rPr>
        <w:t>e</w:t>
      </w:r>
      <w:r w:rsidRPr="00C34496">
        <w:rPr>
          <w:rFonts w:ascii="Palatino Linotype" w:eastAsia="Palatino Linotype" w:hAnsi="Palatino Linotype" w:cs="Palatino Linotype"/>
          <w:color w:val="000000"/>
        </w:rPr>
        <w:t xml:space="preserve">l Considerando </w:t>
      </w:r>
      <w:r w:rsidRPr="00C34496">
        <w:rPr>
          <w:rFonts w:ascii="Palatino Linotype" w:eastAsia="Palatino Linotype" w:hAnsi="Palatino Linotype" w:cs="Palatino Linotype"/>
          <w:b/>
          <w:color w:val="000000"/>
        </w:rPr>
        <w:t>TERCERO</w:t>
      </w:r>
      <w:r w:rsidRPr="00C34496">
        <w:rPr>
          <w:rFonts w:ascii="Palatino Linotype" w:eastAsia="Palatino Linotype" w:hAnsi="Palatino Linotype" w:cs="Palatino Linotype"/>
          <w:color w:val="000000"/>
        </w:rPr>
        <w:t xml:space="preserve"> de la presente Resolución.</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spacing w:line="360" w:lineRule="auto"/>
        <w:jc w:val="both"/>
        <w:rPr>
          <w:rFonts w:ascii="Palatino Linotype" w:eastAsia="Palatino Linotype" w:hAnsi="Palatino Linotype" w:cs="Palatino Linotype"/>
        </w:rPr>
      </w:pPr>
      <w:r w:rsidRPr="00C34496">
        <w:rPr>
          <w:rFonts w:ascii="Palatino Linotype" w:eastAsia="Palatino Linotype" w:hAnsi="Palatino Linotype" w:cs="Palatino Linotype"/>
          <w:b/>
        </w:rPr>
        <w:t>SEGUNDO.</w:t>
      </w:r>
      <w:r w:rsidRPr="00C34496">
        <w:rPr>
          <w:rFonts w:ascii="Palatino Linotype" w:eastAsia="Palatino Linotype" w:hAnsi="Palatino Linotype" w:cs="Palatino Linotype"/>
        </w:rPr>
        <w:t xml:space="preserve">  </w:t>
      </w:r>
      <w:r w:rsidRPr="00C34496">
        <w:rPr>
          <w:rFonts w:ascii="Palatino Linotype" w:eastAsia="Palatino Linotype" w:hAnsi="Palatino Linotype" w:cs="Palatino Linotype"/>
          <w:b/>
        </w:rPr>
        <w:t xml:space="preserve">NOTIFÍQUESE </w:t>
      </w:r>
      <w:r w:rsidRPr="00C34496">
        <w:rPr>
          <w:rFonts w:ascii="Palatino Linotype" w:eastAsia="Palatino Linotype" w:hAnsi="Palatino Linotype" w:cs="Palatino Linotype"/>
        </w:rPr>
        <w:t>la presente resolución al Titular de la Unidad de Transparencia del Sujeto Obligado</w:t>
      </w:r>
      <w:r w:rsidR="009C7790" w:rsidRPr="00C34496">
        <w:rPr>
          <w:rFonts w:ascii="Palatino Linotype" w:eastAsia="Palatino Linotype" w:hAnsi="Palatino Linotype" w:cs="Palatino Linotype"/>
        </w:rPr>
        <w:t xml:space="preserve"> para su conocimiento</w:t>
      </w:r>
      <w:r w:rsidRPr="00C34496">
        <w:rPr>
          <w:rFonts w:ascii="Palatino Linotype" w:eastAsia="Palatino Linotype" w:hAnsi="Palatino Linotype" w:cs="Palatino Linotype"/>
        </w:rPr>
        <w:t>.</w:t>
      </w:r>
    </w:p>
    <w:p w:rsidR="00E05F0E" w:rsidRPr="00C34496" w:rsidRDefault="00E05F0E">
      <w:pPr>
        <w:spacing w:line="360" w:lineRule="auto"/>
        <w:jc w:val="both"/>
        <w:rPr>
          <w:rFonts w:ascii="Palatino Linotype" w:eastAsia="Palatino Linotype" w:hAnsi="Palatino Linotype" w:cs="Palatino Linotype"/>
        </w:rPr>
      </w:pPr>
    </w:p>
    <w:p w:rsidR="00E05F0E" w:rsidRPr="00C34496" w:rsidRDefault="0093335F">
      <w:pPr>
        <w:spacing w:line="360" w:lineRule="auto"/>
        <w:jc w:val="both"/>
        <w:rPr>
          <w:rFonts w:ascii="Palatino Linotype" w:eastAsia="Palatino Linotype" w:hAnsi="Palatino Linotype" w:cs="Palatino Linotype"/>
        </w:rPr>
      </w:pPr>
      <w:r w:rsidRPr="00C34496">
        <w:rPr>
          <w:rFonts w:ascii="Palatino Linotype" w:eastAsia="Palatino Linotype" w:hAnsi="Palatino Linotype" w:cs="Palatino Linotype"/>
          <w:b/>
        </w:rPr>
        <w:t>TERCERO.</w:t>
      </w:r>
      <w:r w:rsidRPr="00C34496">
        <w:rPr>
          <w:rFonts w:ascii="Palatino Linotype" w:eastAsia="Palatino Linotype" w:hAnsi="Palatino Linotype" w:cs="Palatino Linotype"/>
        </w:rPr>
        <w:t xml:space="preserve"> </w:t>
      </w:r>
      <w:r w:rsidRPr="00C34496">
        <w:rPr>
          <w:rFonts w:ascii="Palatino Linotype" w:eastAsia="Palatino Linotype" w:hAnsi="Palatino Linotype" w:cs="Palatino Linotype"/>
          <w:b/>
        </w:rPr>
        <w:t>NOTIFÍQUESE</w:t>
      </w:r>
      <w:r w:rsidRPr="00C34496">
        <w:rPr>
          <w:rFonts w:ascii="Palatino Linotype" w:eastAsia="Palatino Linotype" w:hAnsi="Palatino Linotype" w:cs="Palatino Linotype"/>
        </w:rPr>
        <w:t xml:space="preserve"> al Recurrente la presente Resolución, través del Sistema de Acceso a la Información Mexiquense (SAIMEX);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rsidR="00E05F0E" w:rsidRPr="00C34496" w:rsidRDefault="00E05F0E">
      <w:pPr>
        <w:shd w:val="clear" w:color="auto" w:fill="FFFFFF"/>
        <w:spacing w:line="360" w:lineRule="auto"/>
        <w:jc w:val="both"/>
        <w:rPr>
          <w:rFonts w:ascii="Palatino Linotype" w:eastAsia="Palatino Linotype" w:hAnsi="Palatino Linotype" w:cs="Palatino Linotype"/>
        </w:rPr>
      </w:pPr>
    </w:p>
    <w:p w:rsidR="009C7790" w:rsidRPr="00C34496" w:rsidRDefault="009C7790" w:rsidP="009C7790">
      <w:pPr>
        <w:spacing w:before="240" w:after="240" w:line="360" w:lineRule="auto"/>
        <w:ind w:firstLine="1"/>
        <w:jc w:val="both"/>
        <w:rPr>
          <w:rFonts w:ascii="Palatino Linotype" w:hAnsi="Palatino Linotype"/>
        </w:rPr>
      </w:pPr>
      <w:bookmarkStart w:id="7" w:name="_heading=h.jy3zml90ya0n" w:colFirst="0" w:colLast="0"/>
      <w:bookmarkStart w:id="8" w:name="_Hlk99014733"/>
      <w:bookmarkEnd w:id="7"/>
      <w:r w:rsidRPr="00C3449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w:t>
      </w:r>
      <w:r w:rsidRPr="00C34496">
        <w:rPr>
          <w:rFonts w:ascii="Palatino Linotype" w:hAnsi="Palatino Linotype" w:cs="Palatino Linotype"/>
        </w:rPr>
        <w:lastRenderedPageBreak/>
        <w:t xml:space="preserve">VEINTICINCO (25) DE FEBRERO DE DOS MIL VEINTISÉIS, ANTE EL SECRETARIO TÉCNICO DEL PLENO </w:t>
      </w:r>
      <w:r w:rsidRPr="00C34496">
        <w:rPr>
          <w:rFonts w:ascii="Palatino Linotype" w:hAnsi="Palatino Linotype" w:cs="Palatino Linotype"/>
          <w:color w:val="000000" w:themeColor="text1"/>
        </w:rPr>
        <w:t>ALEXIS TAPIA RAMÍREZ.</w:t>
      </w:r>
    </w:p>
    <w:bookmarkEnd w:id="8"/>
    <w:p w:rsidR="00E05F0E" w:rsidRDefault="00E05F0E">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Default="00C34496">
      <w:pPr>
        <w:spacing w:line="360" w:lineRule="auto"/>
        <w:rPr>
          <w:rFonts w:ascii="Palatino Linotype" w:eastAsia="Palatino Linotype" w:hAnsi="Palatino Linotype" w:cs="Palatino Linotype"/>
        </w:rPr>
      </w:pPr>
    </w:p>
    <w:p w:rsidR="00C34496" w:rsidRPr="00C34496" w:rsidRDefault="00C34496">
      <w:pPr>
        <w:spacing w:line="360" w:lineRule="auto"/>
        <w:rPr>
          <w:rFonts w:ascii="Palatino Linotype" w:eastAsia="Palatino Linotype" w:hAnsi="Palatino Linotype" w:cs="Palatino Linotype"/>
        </w:rPr>
      </w:pPr>
    </w:p>
    <w:p w:rsidR="00E05F0E" w:rsidRPr="00C34496" w:rsidRDefault="00E05F0E">
      <w:pPr>
        <w:spacing w:line="360" w:lineRule="auto"/>
        <w:rPr>
          <w:rFonts w:ascii="Palatino Linotype" w:eastAsia="Palatino Linotype" w:hAnsi="Palatino Linotype" w:cs="Palatino Linotype"/>
        </w:rPr>
      </w:pPr>
    </w:p>
    <w:p w:rsidR="00E05F0E" w:rsidRPr="00C34496" w:rsidRDefault="00E05F0E">
      <w:pPr>
        <w:spacing w:line="360" w:lineRule="auto"/>
        <w:rPr>
          <w:rFonts w:ascii="Palatino Linotype" w:eastAsia="Palatino Linotype" w:hAnsi="Palatino Linotype" w:cs="Palatino Linotype"/>
        </w:rPr>
      </w:pPr>
    </w:p>
    <w:p w:rsidR="00E05F0E" w:rsidRPr="00C34496" w:rsidRDefault="00E05F0E">
      <w:pPr>
        <w:spacing w:line="360" w:lineRule="auto"/>
        <w:rPr>
          <w:rFonts w:ascii="Palatino Linotype" w:eastAsia="Palatino Linotype" w:hAnsi="Palatino Linotype" w:cs="Palatino Linotype"/>
        </w:rPr>
      </w:pPr>
    </w:p>
    <w:p w:rsidR="00E05F0E" w:rsidRPr="00C34496" w:rsidRDefault="00E05F0E">
      <w:pPr>
        <w:spacing w:line="360" w:lineRule="auto"/>
        <w:rPr>
          <w:rFonts w:ascii="Palatino Linotype" w:eastAsia="Palatino Linotype" w:hAnsi="Palatino Linotype" w:cs="Palatino Linotype"/>
        </w:rPr>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Pr>
        <w:spacing w:line="360" w:lineRule="auto"/>
      </w:pPr>
    </w:p>
    <w:p w:rsidR="00E05F0E" w:rsidRPr="00C34496" w:rsidRDefault="00E05F0E"/>
    <w:p w:rsidR="00E05F0E" w:rsidRPr="00C34496" w:rsidRDefault="00E05F0E"/>
    <w:sectPr w:rsidR="00E05F0E" w:rsidRPr="00C34496" w:rsidSect="00C34496">
      <w:headerReference w:type="even" r:id="rId9"/>
      <w:headerReference w:type="default" r:id="rId10"/>
      <w:footerReference w:type="default" r:id="rId11"/>
      <w:headerReference w:type="first" r:id="rId12"/>
      <w:footerReference w:type="first" r:id="rId13"/>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78B" w:rsidRDefault="0089278B">
      <w:r>
        <w:separator/>
      </w:r>
    </w:p>
  </w:endnote>
  <w:endnote w:type="continuationSeparator" w:id="0">
    <w:p w:rsidR="0089278B" w:rsidRDefault="0089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F0E" w:rsidRPr="00C34496" w:rsidRDefault="0093335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C34496">
      <w:rPr>
        <w:rFonts w:ascii="Palatino Linotype" w:hAnsi="Palatino Linotype"/>
        <w:b/>
        <w:color w:val="000000"/>
        <w:sz w:val="22"/>
      </w:rPr>
      <w:t xml:space="preserve">Página </w:t>
    </w:r>
    <w:r w:rsidRPr="00C34496">
      <w:rPr>
        <w:rFonts w:ascii="Palatino Linotype" w:hAnsi="Palatino Linotype"/>
        <w:b/>
        <w:color w:val="000000"/>
        <w:sz w:val="22"/>
      </w:rPr>
      <w:fldChar w:fldCharType="begin"/>
    </w:r>
    <w:r w:rsidRPr="00C34496">
      <w:rPr>
        <w:rFonts w:ascii="Palatino Linotype" w:hAnsi="Palatino Linotype"/>
        <w:b/>
        <w:color w:val="000000"/>
        <w:sz w:val="22"/>
      </w:rPr>
      <w:instrText>PAGE</w:instrText>
    </w:r>
    <w:r w:rsidRPr="00C34496">
      <w:rPr>
        <w:rFonts w:ascii="Palatino Linotype" w:hAnsi="Palatino Linotype"/>
        <w:b/>
        <w:color w:val="000000"/>
        <w:sz w:val="22"/>
      </w:rPr>
      <w:fldChar w:fldCharType="separate"/>
    </w:r>
    <w:r w:rsidR="00C34496">
      <w:rPr>
        <w:rFonts w:ascii="Palatino Linotype" w:hAnsi="Palatino Linotype"/>
        <w:b/>
        <w:noProof/>
        <w:color w:val="000000"/>
        <w:sz w:val="22"/>
      </w:rPr>
      <w:t>2</w:t>
    </w:r>
    <w:r w:rsidRPr="00C34496">
      <w:rPr>
        <w:rFonts w:ascii="Palatino Linotype" w:hAnsi="Palatino Linotype"/>
        <w:b/>
        <w:color w:val="000000"/>
        <w:sz w:val="22"/>
      </w:rPr>
      <w:fldChar w:fldCharType="end"/>
    </w:r>
    <w:r w:rsidRPr="00C34496">
      <w:rPr>
        <w:rFonts w:ascii="Palatino Linotype" w:hAnsi="Palatino Linotype"/>
        <w:b/>
        <w:color w:val="000000"/>
        <w:sz w:val="22"/>
      </w:rPr>
      <w:t xml:space="preserve"> de </w:t>
    </w:r>
    <w:r w:rsidRPr="00C34496">
      <w:rPr>
        <w:rFonts w:ascii="Palatino Linotype" w:hAnsi="Palatino Linotype"/>
        <w:b/>
        <w:color w:val="000000"/>
        <w:sz w:val="22"/>
      </w:rPr>
      <w:fldChar w:fldCharType="begin"/>
    </w:r>
    <w:r w:rsidRPr="00C34496">
      <w:rPr>
        <w:rFonts w:ascii="Palatino Linotype" w:hAnsi="Palatino Linotype"/>
        <w:b/>
        <w:color w:val="000000"/>
        <w:sz w:val="22"/>
      </w:rPr>
      <w:instrText>NUMPAGES</w:instrText>
    </w:r>
    <w:r w:rsidRPr="00C34496">
      <w:rPr>
        <w:rFonts w:ascii="Palatino Linotype" w:hAnsi="Palatino Linotype"/>
        <w:b/>
        <w:color w:val="000000"/>
        <w:sz w:val="22"/>
      </w:rPr>
      <w:fldChar w:fldCharType="separate"/>
    </w:r>
    <w:r w:rsidR="00C34496">
      <w:rPr>
        <w:rFonts w:ascii="Palatino Linotype" w:hAnsi="Palatino Linotype"/>
        <w:b/>
        <w:noProof/>
        <w:color w:val="000000"/>
        <w:sz w:val="22"/>
      </w:rPr>
      <w:t>11</w:t>
    </w:r>
    <w:r w:rsidRPr="00C34496">
      <w:rPr>
        <w:rFonts w:ascii="Palatino Linotype" w:hAnsi="Palatino Linotype"/>
        <w:b/>
        <w:color w:val="000000"/>
        <w:sz w:val="22"/>
      </w:rPr>
      <w:fldChar w:fldCharType="end"/>
    </w:r>
  </w:p>
  <w:p w:rsidR="00E05F0E" w:rsidRDefault="00E05F0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F0E" w:rsidRPr="00C34496" w:rsidRDefault="0093335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C34496">
      <w:rPr>
        <w:rFonts w:ascii="Palatino Linotype" w:hAnsi="Palatino Linotype"/>
        <w:b/>
        <w:color w:val="000000"/>
        <w:sz w:val="22"/>
      </w:rPr>
      <w:t xml:space="preserve">Página </w:t>
    </w:r>
    <w:r w:rsidRPr="00C34496">
      <w:rPr>
        <w:rFonts w:ascii="Palatino Linotype" w:hAnsi="Palatino Linotype"/>
        <w:b/>
        <w:color w:val="000000"/>
        <w:sz w:val="22"/>
      </w:rPr>
      <w:fldChar w:fldCharType="begin"/>
    </w:r>
    <w:r w:rsidRPr="00C34496">
      <w:rPr>
        <w:rFonts w:ascii="Palatino Linotype" w:hAnsi="Palatino Linotype"/>
        <w:b/>
        <w:color w:val="000000"/>
        <w:sz w:val="22"/>
      </w:rPr>
      <w:instrText>PAGE</w:instrText>
    </w:r>
    <w:r w:rsidRPr="00C34496">
      <w:rPr>
        <w:rFonts w:ascii="Palatino Linotype" w:hAnsi="Palatino Linotype"/>
        <w:b/>
        <w:color w:val="000000"/>
        <w:sz w:val="22"/>
      </w:rPr>
      <w:fldChar w:fldCharType="separate"/>
    </w:r>
    <w:r w:rsidR="00C34496">
      <w:rPr>
        <w:rFonts w:ascii="Palatino Linotype" w:hAnsi="Palatino Linotype"/>
        <w:b/>
        <w:noProof/>
        <w:color w:val="000000"/>
        <w:sz w:val="22"/>
      </w:rPr>
      <w:t>1</w:t>
    </w:r>
    <w:r w:rsidRPr="00C34496">
      <w:rPr>
        <w:rFonts w:ascii="Palatino Linotype" w:hAnsi="Palatino Linotype"/>
        <w:b/>
        <w:color w:val="000000"/>
        <w:sz w:val="22"/>
      </w:rPr>
      <w:fldChar w:fldCharType="end"/>
    </w:r>
    <w:r w:rsidRPr="00C34496">
      <w:rPr>
        <w:rFonts w:ascii="Palatino Linotype" w:hAnsi="Palatino Linotype"/>
        <w:b/>
        <w:color w:val="000000"/>
        <w:sz w:val="22"/>
      </w:rPr>
      <w:t xml:space="preserve"> de </w:t>
    </w:r>
    <w:r w:rsidRPr="00C34496">
      <w:rPr>
        <w:rFonts w:ascii="Palatino Linotype" w:hAnsi="Palatino Linotype"/>
        <w:b/>
        <w:color w:val="000000"/>
        <w:sz w:val="22"/>
      </w:rPr>
      <w:fldChar w:fldCharType="begin"/>
    </w:r>
    <w:r w:rsidRPr="00C34496">
      <w:rPr>
        <w:rFonts w:ascii="Palatino Linotype" w:hAnsi="Palatino Linotype"/>
        <w:b/>
        <w:color w:val="000000"/>
        <w:sz w:val="22"/>
      </w:rPr>
      <w:instrText>NUMPAGES</w:instrText>
    </w:r>
    <w:r w:rsidRPr="00C34496">
      <w:rPr>
        <w:rFonts w:ascii="Palatino Linotype" w:hAnsi="Palatino Linotype"/>
        <w:b/>
        <w:color w:val="000000"/>
        <w:sz w:val="22"/>
      </w:rPr>
      <w:fldChar w:fldCharType="separate"/>
    </w:r>
    <w:r w:rsidR="00C34496">
      <w:rPr>
        <w:rFonts w:ascii="Palatino Linotype" w:hAnsi="Palatino Linotype"/>
        <w:b/>
        <w:noProof/>
        <w:color w:val="000000"/>
        <w:sz w:val="22"/>
      </w:rPr>
      <w:t>11</w:t>
    </w:r>
    <w:r w:rsidRPr="00C34496">
      <w:rPr>
        <w:rFonts w:ascii="Palatino Linotype" w:hAnsi="Palatino Linotype"/>
        <w:b/>
        <w:color w:val="000000"/>
        <w:sz w:val="22"/>
      </w:rPr>
      <w:fldChar w:fldCharType="end"/>
    </w:r>
  </w:p>
  <w:p w:rsidR="00E05F0E" w:rsidRDefault="00E05F0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78B" w:rsidRDefault="0089278B">
      <w:r>
        <w:separator/>
      </w:r>
    </w:p>
  </w:footnote>
  <w:footnote w:type="continuationSeparator" w:id="0">
    <w:p w:rsidR="0089278B" w:rsidRDefault="00892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F0E" w:rsidRDefault="0089278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774" w:type="dxa"/>
      <w:tblInd w:w="0" w:type="dxa"/>
      <w:tblLayout w:type="fixed"/>
      <w:tblLook w:val="0400" w:firstRow="0" w:lastRow="0" w:firstColumn="0" w:lastColumn="0" w:noHBand="0" w:noVBand="1"/>
    </w:tblPr>
    <w:tblGrid>
      <w:gridCol w:w="2694"/>
      <w:gridCol w:w="8080"/>
    </w:tblGrid>
    <w:tr w:rsidR="00E05F0E" w:rsidTr="00C34496">
      <w:trPr>
        <w:trHeight w:val="1435"/>
      </w:trPr>
      <w:tc>
        <w:tcPr>
          <w:tcW w:w="2694" w:type="dxa"/>
          <w:shd w:val="clear" w:color="auto" w:fill="auto"/>
        </w:tcPr>
        <w:p w:rsidR="00E05F0E" w:rsidRDefault="00E05F0E">
          <w:pPr>
            <w:tabs>
              <w:tab w:val="right" w:pos="4273"/>
            </w:tabs>
            <w:rPr>
              <w:rFonts w:ascii="Garamond" w:eastAsia="Garamond" w:hAnsi="Garamond" w:cs="Garamond"/>
              <w:sz w:val="16"/>
              <w:szCs w:val="16"/>
            </w:rPr>
          </w:pPr>
        </w:p>
      </w:tc>
      <w:tc>
        <w:tcPr>
          <w:tcW w:w="8080" w:type="dxa"/>
          <w:shd w:val="clear" w:color="auto" w:fill="auto"/>
        </w:tcPr>
        <w:tbl>
          <w:tblPr>
            <w:tblStyle w:val="a2"/>
            <w:tblW w:w="6936" w:type="dxa"/>
            <w:tblInd w:w="711" w:type="dxa"/>
            <w:tblLayout w:type="fixed"/>
            <w:tblLook w:val="0400" w:firstRow="0" w:lastRow="0" w:firstColumn="0" w:lastColumn="0" w:noHBand="0" w:noVBand="1"/>
          </w:tblPr>
          <w:tblGrid>
            <w:gridCol w:w="2718"/>
            <w:gridCol w:w="4218"/>
          </w:tblGrid>
          <w:tr w:rsidR="0015002B" w:rsidTr="00C34496">
            <w:trPr>
              <w:trHeight w:val="144"/>
            </w:trPr>
            <w:tc>
              <w:tcPr>
                <w:tcW w:w="2718" w:type="dxa"/>
                <w:shd w:val="clear" w:color="auto" w:fill="auto"/>
              </w:tcPr>
              <w:p w:rsidR="0015002B" w:rsidRPr="00C34496" w:rsidRDefault="0015002B" w:rsidP="0015002B">
                <w:pPr>
                  <w:tabs>
                    <w:tab w:val="right" w:pos="8838"/>
                  </w:tabs>
                  <w:ind w:left="-264" w:right="-105" w:firstLine="19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Recurso de Revisión:</w:t>
                </w:r>
              </w:p>
            </w:tc>
            <w:tc>
              <w:tcPr>
                <w:tcW w:w="4218" w:type="dxa"/>
                <w:shd w:val="clear" w:color="auto" w:fill="auto"/>
              </w:tcPr>
              <w:p w:rsidR="0015002B" w:rsidRPr="00C34496" w:rsidRDefault="0015002B" w:rsidP="0015002B">
                <w:pPr>
                  <w:tabs>
                    <w:tab w:val="right" w:pos="8838"/>
                  </w:tabs>
                  <w:ind w:left="-74" w:right="-105"/>
                  <w:jc w:val="both"/>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06898/INFOEM/ICR-53/IP/RR/2025</w:t>
                </w:r>
              </w:p>
            </w:tc>
          </w:tr>
          <w:tr w:rsidR="0015002B" w:rsidTr="00C34496">
            <w:trPr>
              <w:trHeight w:val="283"/>
            </w:trPr>
            <w:tc>
              <w:tcPr>
                <w:tcW w:w="2718" w:type="dxa"/>
                <w:shd w:val="clear" w:color="auto" w:fill="auto"/>
              </w:tcPr>
              <w:p w:rsidR="0015002B" w:rsidRPr="00C34496" w:rsidRDefault="0015002B" w:rsidP="0015002B">
                <w:pPr>
                  <w:tabs>
                    <w:tab w:val="right" w:pos="8838"/>
                  </w:tabs>
                  <w:ind w:left="-74" w:right="-10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Sujeto Obligado:</w:t>
                </w:r>
              </w:p>
            </w:tc>
            <w:tc>
              <w:tcPr>
                <w:tcW w:w="4218" w:type="dxa"/>
                <w:shd w:val="clear" w:color="auto" w:fill="auto"/>
              </w:tcPr>
              <w:p w:rsidR="0015002B" w:rsidRPr="00C34496" w:rsidRDefault="0015002B" w:rsidP="0015002B">
                <w:pPr>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Ayuntamiento de Tepotzotlán</w:t>
                </w:r>
              </w:p>
            </w:tc>
          </w:tr>
          <w:tr w:rsidR="0015002B" w:rsidTr="00C34496">
            <w:trPr>
              <w:trHeight w:val="283"/>
            </w:trPr>
            <w:tc>
              <w:tcPr>
                <w:tcW w:w="2718" w:type="dxa"/>
                <w:shd w:val="clear" w:color="auto" w:fill="auto"/>
              </w:tcPr>
              <w:p w:rsidR="0015002B" w:rsidRPr="00C34496" w:rsidRDefault="0015002B" w:rsidP="0015002B">
                <w:pPr>
                  <w:tabs>
                    <w:tab w:val="right" w:pos="8838"/>
                  </w:tabs>
                  <w:ind w:left="-74" w:right="-10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Comisionada ponente:</w:t>
                </w:r>
              </w:p>
            </w:tc>
            <w:tc>
              <w:tcPr>
                <w:tcW w:w="4218" w:type="dxa"/>
                <w:shd w:val="clear" w:color="auto" w:fill="auto"/>
              </w:tcPr>
              <w:p w:rsidR="0015002B" w:rsidRPr="00C34496" w:rsidRDefault="0015002B" w:rsidP="0015002B">
                <w:pPr>
                  <w:tabs>
                    <w:tab w:val="right" w:pos="8838"/>
                  </w:tabs>
                  <w:ind w:left="-74" w:right="-105"/>
                  <w:jc w:val="both"/>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María del Rosario Mejía Ayala</w:t>
                </w:r>
              </w:p>
              <w:p w:rsidR="0015002B" w:rsidRPr="00C34496" w:rsidRDefault="0015002B" w:rsidP="0015002B">
                <w:pPr>
                  <w:tabs>
                    <w:tab w:val="right" w:pos="8838"/>
                  </w:tabs>
                  <w:ind w:left="-74" w:right="-105"/>
                  <w:jc w:val="both"/>
                  <w:rPr>
                    <w:rFonts w:ascii="Palatino Linotype" w:eastAsia="Palatino Linotype" w:hAnsi="Palatino Linotype" w:cs="Palatino Linotype"/>
                    <w:szCs w:val="22"/>
                  </w:rPr>
                </w:pPr>
              </w:p>
            </w:tc>
          </w:tr>
        </w:tbl>
        <w:p w:rsidR="00E05F0E" w:rsidRDefault="00E05F0E">
          <w:pPr>
            <w:tabs>
              <w:tab w:val="right" w:pos="8838"/>
            </w:tabs>
            <w:ind w:left="-28"/>
            <w:jc w:val="both"/>
            <w:rPr>
              <w:rFonts w:ascii="Arial" w:eastAsia="Arial" w:hAnsi="Arial" w:cs="Arial"/>
              <w:b/>
              <w:sz w:val="22"/>
              <w:szCs w:val="22"/>
            </w:rPr>
          </w:pPr>
        </w:p>
      </w:tc>
    </w:tr>
  </w:tbl>
  <w:p w:rsidR="00E05F0E" w:rsidRDefault="0089278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48" w:type="dxa"/>
      <w:tblInd w:w="0" w:type="dxa"/>
      <w:tblLayout w:type="fixed"/>
      <w:tblLook w:val="0400" w:firstRow="0" w:lastRow="0" w:firstColumn="0" w:lastColumn="0" w:noHBand="0" w:noVBand="1"/>
    </w:tblPr>
    <w:tblGrid>
      <w:gridCol w:w="2268"/>
      <w:gridCol w:w="8080"/>
    </w:tblGrid>
    <w:tr w:rsidR="00E05F0E" w:rsidTr="00C34496">
      <w:trPr>
        <w:trHeight w:val="1435"/>
      </w:trPr>
      <w:tc>
        <w:tcPr>
          <w:tcW w:w="2268" w:type="dxa"/>
          <w:shd w:val="clear" w:color="auto" w:fill="auto"/>
        </w:tcPr>
        <w:p w:rsidR="00E05F0E" w:rsidRDefault="00E05F0E">
          <w:pPr>
            <w:tabs>
              <w:tab w:val="right" w:pos="4273"/>
            </w:tabs>
            <w:rPr>
              <w:rFonts w:ascii="Garamond" w:eastAsia="Garamond" w:hAnsi="Garamond" w:cs="Garamond"/>
              <w:sz w:val="22"/>
              <w:szCs w:val="22"/>
            </w:rPr>
          </w:pPr>
        </w:p>
      </w:tc>
      <w:tc>
        <w:tcPr>
          <w:tcW w:w="8080" w:type="dxa"/>
          <w:shd w:val="clear" w:color="auto" w:fill="auto"/>
        </w:tcPr>
        <w:tbl>
          <w:tblPr>
            <w:tblStyle w:val="a2"/>
            <w:tblW w:w="6797" w:type="dxa"/>
            <w:tblInd w:w="1303" w:type="dxa"/>
            <w:tblLayout w:type="fixed"/>
            <w:tblLook w:val="0400" w:firstRow="0" w:lastRow="0" w:firstColumn="0" w:lastColumn="0" w:noHBand="0" w:noVBand="1"/>
          </w:tblPr>
          <w:tblGrid>
            <w:gridCol w:w="2579"/>
            <w:gridCol w:w="4218"/>
          </w:tblGrid>
          <w:tr w:rsidR="00E05F0E" w:rsidTr="00C34496">
            <w:trPr>
              <w:trHeight w:val="144"/>
            </w:trPr>
            <w:tc>
              <w:tcPr>
                <w:tcW w:w="2579" w:type="dxa"/>
                <w:shd w:val="clear" w:color="auto" w:fill="auto"/>
              </w:tcPr>
              <w:p w:rsidR="00E05F0E" w:rsidRPr="00C34496" w:rsidRDefault="0093335F">
                <w:pPr>
                  <w:tabs>
                    <w:tab w:val="right" w:pos="8838"/>
                  </w:tabs>
                  <w:ind w:left="-264" w:right="-105" w:firstLine="19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Recurso de Revisión:</w:t>
                </w:r>
              </w:p>
            </w:tc>
            <w:tc>
              <w:tcPr>
                <w:tcW w:w="4218" w:type="dxa"/>
                <w:shd w:val="clear" w:color="auto" w:fill="auto"/>
              </w:tcPr>
              <w:p w:rsidR="00E05F0E" w:rsidRPr="00C34496" w:rsidRDefault="0015002B">
                <w:pPr>
                  <w:tabs>
                    <w:tab w:val="right" w:pos="8838"/>
                  </w:tabs>
                  <w:ind w:left="-74" w:right="-105"/>
                  <w:jc w:val="both"/>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06898/INFOEM/ICR-53/IP/RR/2025</w:t>
                </w:r>
              </w:p>
            </w:tc>
          </w:tr>
          <w:tr w:rsidR="00E05F0E" w:rsidTr="00C34496">
            <w:trPr>
              <w:trHeight w:val="144"/>
            </w:trPr>
            <w:tc>
              <w:tcPr>
                <w:tcW w:w="2579" w:type="dxa"/>
                <w:shd w:val="clear" w:color="auto" w:fill="auto"/>
              </w:tcPr>
              <w:p w:rsidR="00E05F0E" w:rsidRPr="00C34496" w:rsidRDefault="0093335F">
                <w:pPr>
                  <w:tabs>
                    <w:tab w:val="right" w:pos="8838"/>
                  </w:tabs>
                  <w:ind w:left="-74" w:right="-10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Recurrente:</w:t>
                </w:r>
              </w:p>
            </w:tc>
            <w:tc>
              <w:tcPr>
                <w:tcW w:w="4218" w:type="dxa"/>
                <w:shd w:val="clear" w:color="auto" w:fill="auto"/>
              </w:tcPr>
              <w:p w:rsidR="00E05F0E" w:rsidRPr="00C34496" w:rsidRDefault="00E05F0E">
                <w:pPr>
                  <w:tabs>
                    <w:tab w:val="left" w:pos="3122"/>
                    <w:tab w:val="right" w:pos="8838"/>
                  </w:tabs>
                  <w:ind w:left="-74" w:right="-105"/>
                  <w:jc w:val="both"/>
                  <w:rPr>
                    <w:rFonts w:ascii="Palatino Linotype" w:eastAsia="Palatino Linotype" w:hAnsi="Palatino Linotype" w:cs="Palatino Linotype"/>
                    <w:szCs w:val="22"/>
                  </w:rPr>
                </w:pPr>
              </w:p>
            </w:tc>
          </w:tr>
          <w:tr w:rsidR="00E05F0E" w:rsidTr="00C34496">
            <w:trPr>
              <w:trHeight w:val="283"/>
            </w:trPr>
            <w:tc>
              <w:tcPr>
                <w:tcW w:w="2579" w:type="dxa"/>
                <w:shd w:val="clear" w:color="auto" w:fill="auto"/>
              </w:tcPr>
              <w:p w:rsidR="00E05F0E" w:rsidRPr="00C34496" w:rsidRDefault="0093335F">
                <w:pPr>
                  <w:tabs>
                    <w:tab w:val="right" w:pos="8838"/>
                  </w:tabs>
                  <w:ind w:left="-74" w:right="-10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Sujeto Obligado:</w:t>
                </w:r>
              </w:p>
            </w:tc>
            <w:tc>
              <w:tcPr>
                <w:tcW w:w="4218" w:type="dxa"/>
                <w:shd w:val="clear" w:color="auto" w:fill="auto"/>
              </w:tcPr>
              <w:p w:rsidR="00E05F0E" w:rsidRPr="00C34496" w:rsidRDefault="0015002B">
                <w:pPr>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Ayuntamiento de Tepotzotlán</w:t>
                </w:r>
              </w:p>
            </w:tc>
          </w:tr>
          <w:tr w:rsidR="00E05F0E" w:rsidTr="00C34496">
            <w:trPr>
              <w:trHeight w:val="283"/>
            </w:trPr>
            <w:tc>
              <w:tcPr>
                <w:tcW w:w="2579" w:type="dxa"/>
                <w:shd w:val="clear" w:color="auto" w:fill="auto"/>
              </w:tcPr>
              <w:p w:rsidR="00E05F0E" w:rsidRPr="00C34496" w:rsidRDefault="0093335F">
                <w:pPr>
                  <w:tabs>
                    <w:tab w:val="right" w:pos="8838"/>
                  </w:tabs>
                  <w:ind w:left="-74" w:right="-105"/>
                  <w:rPr>
                    <w:rFonts w:ascii="Palatino Linotype" w:eastAsia="Palatino Linotype" w:hAnsi="Palatino Linotype" w:cs="Palatino Linotype"/>
                    <w:b/>
                    <w:szCs w:val="22"/>
                  </w:rPr>
                </w:pPr>
                <w:r w:rsidRPr="00C34496">
                  <w:rPr>
                    <w:rFonts w:ascii="Palatino Linotype" w:eastAsia="Palatino Linotype" w:hAnsi="Palatino Linotype" w:cs="Palatino Linotype"/>
                    <w:b/>
                    <w:szCs w:val="22"/>
                  </w:rPr>
                  <w:t>Comisionada ponente:</w:t>
                </w:r>
              </w:p>
            </w:tc>
            <w:tc>
              <w:tcPr>
                <w:tcW w:w="4218" w:type="dxa"/>
                <w:shd w:val="clear" w:color="auto" w:fill="auto"/>
              </w:tcPr>
              <w:p w:rsidR="00E05F0E" w:rsidRPr="00C34496" w:rsidRDefault="0093335F">
                <w:pPr>
                  <w:tabs>
                    <w:tab w:val="right" w:pos="8838"/>
                  </w:tabs>
                  <w:ind w:left="-74" w:right="-105"/>
                  <w:jc w:val="both"/>
                  <w:rPr>
                    <w:rFonts w:ascii="Palatino Linotype" w:eastAsia="Palatino Linotype" w:hAnsi="Palatino Linotype" w:cs="Palatino Linotype"/>
                    <w:szCs w:val="22"/>
                  </w:rPr>
                </w:pPr>
                <w:r w:rsidRPr="00C34496">
                  <w:rPr>
                    <w:rFonts w:ascii="Palatino Linotype" w:eastAsia="Palatino Linotype" w:hAnsi="Palatino Linotype" w:cs="Palatino Linotype"/>
                    <w:szCs w:val="22"/>
                  </w:rPr>
                  <w:t>María del Rosario Mejía Ayala</w:t>
                </w:r>
              </w:p>
              <w:p w:rsidR="00E05F0E" w:rsidRPr="00C34496" w:rsidRDefault="00E05F0E">
                <w:pPr>
                  <w:tabs>
                    <w:tab w:val="right" w:pos="8838"/>
                  </w:tabs>
                  <w:ind w:left="-74" w:right="-105"/>
                  <w:jc w:val="both"/>
                  <w:rPr>
                    <w:rFonts w:ascii="Palatino Linotype" w:eastAsia="Palatino Linotype" w:hAnsi="Palatino Linotype" w:cs="Palatino Linotype"/>
                    <w:szCs w:val="22"/>
                  </w:rPr>
                </w:pPr>
              </w:p>
            </w:tc>
          </w:tr>
        </w:tbl>
        <w:p w:rsidR="00E05F0E" w:rsidRDefault="00E05F0E">
          <w:pPr>
            <w:tabs>
              <w:tab w:val="right" w:pos="8838"/>
            </w:tabs>
            <w:ind w:left="-28"/>
            <w:jc w:val="both"/>
            <w:rPr>
              <w:rFonts w:ascii="Arial" w:eastAsia="Arial" w:hAnsi="Arial" w:cs="Arial"/>
              <w:b/>
              <w:sz w:val="22"/>
              <w:szCs w:val="22"/>
            </w:rPr>
          </w:pPr>
        </w:p>
      </w:tc>
    </w:tr>
  </w:tbl>
  <w:p w:rsidR="00E05F0E" w:rsidRDefault="0089278B" w:rsidP="00C34496">
    <w:pPr>
      <w:pBdr>
        <w:top w:val="nil"/>
        <w:left w:val="nil"/>
        <w:bottom w:val="nil"/>
        <w:right w:val="nil"/>
        <w:between w:val="nil"/>
      </w:pBdr>
      <w:tabs>
        <w:tab w:val="center" w:pos="4419"/>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4B21"/>
    <w:multiLevelType w:val="multilevel"/>
    <w:tmpl w:val="FC7CAC96"/>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8037DC"/>
    <w:multiLevelType w:val="multilevel"/>
    <w:tmpl w:val="53E4D3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8876EF"/>
    <w:multiLevelType w:val="hybridMultilevel"/>
    <w:tmpl w:val="52BEA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F33737B"/>
    <w:multiLevelType w:val="multilevel"/>
    <w:tmpl w:val="0BA4E49A"/>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0E"/>
    <w:rsid w:val="00004058"/>
    <w:rsid w:val="000C217B"/>
    <w:rsid w:val="0015002B"/>
    <w:rsid w:val="001E2086"/>
    <w:rsid w:val="001E6B77"/>
    <w:rsid w:val="002635B9"/>
    <w:rsid w:val="00372E41"/>
    <w:rsid w:val="00387C43"/>
    <w:rsid w:val="00582BE4"/>
    <w:rsid w:val="00662AD8"/>
    <w:rsid w:val="006F0E41"/>
    <w:rsid w:val="0089278B"/>
    <w:rsid w:val="0093335F"/>
    <w:rsid w:val="009C7790"/>
    <w:rsid w:val="00AC0BBC"/>
    <w:rsid w:val="00AD5356"/>
    <w:rsid w:val="00B46602"/>
    <w:rsid w:val="00B54493"/>
    <w:rsid w:val="00BA4BCA"/>
    <w:rsid w:val="00BA4E36"/>
    <w:rsid w:val="00C34496"/>
    <w:rsid w:val="00CB19AB"/>
    <w:rsid w:val="00DA408A"/>
    <w:rsid w:val="00DF69DE"/>
    <w:rsid w:val="00E05F0E"/>
    <w:rsid w:val="00EC62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4E7E0B5-06E1-4DB5-AB88-6FADAF0D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650"/>
  </w:style>
  <w:style w:type="paragraph" w:styleId="Ttulo1">
    <w:name w:val="heading 1"/>
    <w:basedOn w:val="Normal"/>
    <w:next w:val="Normal"/>
    <w:link w:val="Ttulo1Car"/>
    <w:uiPriority w:val="9"/>
    <w:qFormat/>
    <w:rsid w:val="005B66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A7426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B6650"/>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5B6650"/>
    <w:rPr>
      <w:rFonts w:asciiTheme="majorHAnsi" w:eastAsiaTheme="majorEastAsia" w:hAnsiTheme="majorHAnsi" w:cstheme="majorBidi"/>
      <w:color w:val="2E74B5" w:themeColor="accent1" w:themeShade="BF"/>
      <w:sz w:val="32"/>
      <w:szCs w:val="32"/>
      <w:lang w:eastAsia="es-MX"/>
    </w:rPr>
  </w:style>
  <w:style w:type="character" w:customStyle="1" w:styleId="Ttulo3Car">
    <w:name w:val="Título 3 Car"/>
    <w:basedOn w:val="Fuentedeprrafopredeter"/>
    <w:link w:val="Ttulo3"/>
    <w:uiPriority w:val="9"/>
    <w:rsid w:val="005B6650"/>
    <w:rPr>
      <w:rFonts w:asciiTheme="majorHAnsi" w:eastAsiaTheme="majorEastAsia" w:hAnsiTheme="majorHAnsi" w:cstheme="majorBidi"/>
      <w:color w:val="1F4D78" w:themeColor="accent1" w:themeShade="7F"/>
      <w:sz w:val="24"/>
      <w:szCs w:val="24"/>
      <w:lang w:val="es-ES_tradnl" w:eastAsia="es-ES"/>
    </w:rPr>
  </w:style>
  <w:style w:type="paragraph" w:styleId="Encabezado">
    <w:name w:val="header"/>
    <w:basedOn w:val="Normal"/>
    <w:link w:val="EncabezadoCar"/>
    <w:uiPriority w:val="99"/>
    <w:unhideWhenUsed/>
    <w:rsid w:val="005B6650"/>
    <w:pPr>
      <w:tabs>
        <w:tab w:val="center" w:pos="4419"/>
        <w:tab w:val="right" w:pos="8838"/>
      </w:tabs>
    </w:pPr>
  </w:style>
  <w:style w:type="character" w:customStyle="1" w:styleId="EncabezadoCar">
    <w:name w:val="Encabezado Car"/>
    <w:basedOn w:val="Fuentedeprrafopredeter"/>
    <w:link w:val="Encabezado"/>
    <w:uiPriority w:val="99"/>
    <w:rsid w:val="005B665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5B6650"/>
    <w:pPr>
      <w:tabs>
        <w:tab w:val="center" w:pos="4419"/>
        <w:tab w:val="right" w:pos="8838"/>
      </w:tabs>
    </w:pPr>
  </w:style>
  <w:style w:type="character" w:customStyle="1" w:styleId="PiedepginaCar">
    <w:name w:val="Pie de página Car"/>
    <w:basedOn w:val="Fuentedeprrafopredeter"/>
    <w:link w:val="Piedepgina"/>
    <w:uiPriority w:val="99"/>
    <w:rsid w:val="005B6650"/>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6650"/>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B6650"/>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5B6650"/>
    <w:rPr>
      <w:color w:val="0563C1"/>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B6650"/>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B6650"/>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B6650"/>
    <w:rPr>
      <w:vertAlign w:val="superscript"/>
    </w:rPr>
  </w:style>
  <w:style w:type="table" w:styleId="Tablaconcuadrcula">
    <w:name w:val="Table Grid"/>
    <w:basedOn w:val="Tablanormal"/>
    <w:uiPriority w:val="39"/>
    <w:rsid w:val="00170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6F68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2">
    <w:name w:val="List Bullet 2"/>
    <w:basedOn w:val="Normal"/>
    <w:uiPriority w:val="99"/>
    <w:unhideWhenUsed/>
    <w:rsid w:val="00A7426F"/>
    <w:pPr>
      <w:numPr>
        <w:numId w:val="2"/>
      </w:numPr>
      <w:contextualSpacing/>
    </w:pPr>
    <w:rPr>
      <w:sz w:val="20"/>
      <w:szCs w:val="20"/>
      <w:lang w:eastAsia="es-ES"/>
    </w:rPr>
  </w:style>
  <w:style w:type="character" w:customStyle="1" w:styleId="Ttulo2Car">
    <w:name w:val="Título 2 Car"/>
    <w:basedOn w:val="Fuentedeprrafopredeter"/>
    <w:link w:val="Ttulo2"/>
    <w:uiPriority w:val="9"/>
    <w:semiHidden/>
    <w:rsid w:val="00A7426F"/>
    <w:rPr>
      <w:rFonts w:asciiTheme="majorHAnsi" w:eastAsiaTheme="majorEastAsia" w:hAnsiTheme="majorHAnsi" w:cstheme="majorBidi"/>
      <w:color w:val="2E74B5" w:themeColor="accent1" w:themeShade="BF"/>
      <w:sz w:val="26"/>
      <w:szCs w:val="26"/>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NXc3cSrjCTC7waqSjFdbYqFbA==">CgMxLjAyDmgudzdkNzl1NThvaXh0Mg5oLjRrcTJpMG0wYzZ0ODIOaC5jOGF0c3l2MjZ1a20yDmgudHgzeGdncmdtcHdnMg5oLm9kMGdoOGdqZmJpNTIOaC56YzNjZWdoM24ydWoyDmguankzem1sOTB5YTBuOAByITFHVWVCTURtTHBrTGJod0lLQ3FrVFJ5dUZHU2pWVmdCaw==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2067</Words>
  <Characters>11374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21</cp:revision>
  <cp:lastPrinted>2026-02-27T16:00:00Z</cp:lastPrinted>
  <dcterms:created xsi:type="dcterms:W3CDTF">2026-02-19T02:13:00Z</dcterms:created>
  <dcterms:modified xsi:type="dcterms:W3CDTF">2026-03-03T19:22:00Z</dcterms:modified>
</cp:coreProperties>
</file>