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ECC0F" w14:textId="0D23532F" w:rsidR="00E20C94" w:rsidRPr="0035228F" w:rsidRDefault="009521F6">
      <w:pPr>
        <w:spacing w:before="240" w:after="240" w:line="360" w:lineRule="auto"/>
        <w:jc w:val="both"/>
        <w:rPr>
          <w:rFonts w:ascii="Palatino Linotype" w:eastAsia="Palatino Linotype" w:hAnsi="Palatino Linotype" w:cs="Palatino Linotype"/>
          <w:b/>
          <w:bCs/>
          <w:sz w:val="22"/>
          <w:szCs w:val="22"/>
        </w:rPr>
      </w:pPr>
      <w:bookmarkStart w:id="0" w:name="_heading=h.1fob9te" w:colFirst="0" w:colLast="0"/>
      <w:bookmarkStart w:id="1" w:name="_GoBack"/>
      <w:bookmarkEnd w:id="0"/>
      <w:bookmarkEnd w:id="1"/>
      <w:r w:rsidRPr="0035228F">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Pr="0035228F">
        <w:rPr>
          <w:rFonts w:ascii="Palatino Linotype" w:eastAsia="Palatino Linotype" w:hAnsi="Palatino Linotype" w:cs="Palatino Linotype"/>
          <w:b/>
          <w:bCs/>
          <w:sz w:val="22"/>
          <w:szCs w:val="22"/>
        </w:rPr>
        <w:t xml:space="preserve">a </w:t>
      </w:r>
      <w:r w:rsidR="000520FD" w:rsidRPr="0035228F">
        <w:rPr>
          <w:rFonts w:ascii="Palatino Linotype" w:eastAsia="Palatino Linotype" w:hAnsi="Palatino Linotype" w:cs="Palatino Linotype"/>
          <w:b/>
          <w:bCs/>
          <w:sz w:val="22"/>
          <w:szCs w:val="22"/>
        </w:rPr>
        <w:t>veinticuatro</w:t>
      </w:r>
      <w:r w:rsidRPr="0035228F">
        <w:rPr>
          <w:rFonts w:ascii="Palatino Linotype" w:eastAsia="Palatino Linotype" w:hAnsi="Palatino Linotype" w:cs="Palatino Linotype"/>
          <w:b/>
          <w:bCs/>
          <w:sz w:val="22"/>
          <w:szCs w:val="22"/>
        </w:rPr>
        <w:t xml:space="preserve"> de febrero de dos mil veintiséis</w:t>
      </w:r>
      <w:r w:rsidRPr="0035228F">
        <w:rPr>
          <w:rFonts w:ascii="Palatino Linotype" w:eastAsia="Palatino Linotype" w:hAnsi="Palatino Linotype" w:cs="Palatino Linotype"/>
          <w:sz w:val="22"/>
          <w:szCs w:val="22"/>
        </w:rPr>
        <w:t xml:space="preserve">. </w:t>
      </w:r>
    </w:p>
    <w:p w14:paraId="70D74086" w14:textId="513FE80F"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bookmarkStart w:id="2" w:name="_heading=h.4d34og8" w:colFirst="0" w:colLast="0"/>
      <w:bookmarkEnd w:id="2"/>
      <w:r w:rsidRPr="0035228F">
        <w:rPr>
          <w:rFonts w:ascii="Palatino Linotype" w:eastAsia="Palatino Linotype" w:hAnsi="Palatino Linotype" w:cs="Palatino Linotype"/>
          <w:b/>
          <w:bCs/>
          <w:sz w:val="22"/>
          <w:szCs w:val="22"/>
        </w:rPr>
        <w:t>Visto</w:t>
      </w:r>
      <w:r w:rsidRPr="0035228F">
        <w:rPr>
          <w:rFonts w:ascii="Palatino Linotype" w:eastAsia="Palatino Linotype" w:hAnsi="Palatino Linotype" w:cs="Palatino Linotype"/>
          <w:sz w:val="22"/>
          <w:szCs w:val="22"/>
        </w:rPr>
        <w:t xml:space="preserve"> el expediente formado con motivo de los recursos de revisión </w:t>
      </w:r>
      <w:bookmarkStart w:id="3" w:name="_Hlk222214442"/>
      <w:r w:rsidR="000520FD" w:rsidRPr="0035228F">
        <w:rPr>
          <w:rFonts w:ascii="Palatino Linotype" w:eastAsia="Palatino Linotype" w:hAnsi="Palatino Linotype" w:cs="Palatino Linotype"/>
          <w:b/>
          <w:bCs/>
          <w:sz w:val="22"/>
          <w:szCs w:val="22"/>
        </w:rPr>
        <w:t>00464/INFOEM/IP/RR/2026, 00469/INFOEM/IP/RR/2026, 00474/INFOEM/IP/RR/2026, 00479/INFOEM/IP/RR/2026, 00484/INFOEM/IP/RR/2026, 00489/INFOEM/IP/RR/2026, 00494/INFOEM/IP/RR/2026, 00499/INFOEM/IP/RR/2026, 00504/INFOEM/IP/RR/2026, 00509/INFOEM/IP/RR/2026, 00514/INFOEM/IP/RR/2026 y 00519/INFOEM/IP/RR/2026,</w:t>
      </w:r>
      <w:r w:rsidR="00C56101" w:rsidRPr="0035228F">
        <w:rPr>
          <w:rFonts w:ascii="Palatino Linotype" w:eastAsia="Palatino Linotype" w:hAnsi="Palatino Linotype" w:cs="Palatino Linotype"/>
          <w:b/>
          <w:bCs/>
          <w:sz w:val="22"/>
          <w:szCs w:val="22"/>
        </w:rPr>
        <w:t xml:space="preserve"> </w:t>
      </w:r>
      <w:bookmarkEnd w:id="3"/>
      <w:r w:rsidRPr="0035228F">
        <w:rPr>
          <w:rFonts w:ascii="Palatino Linotype" w:eastAsia="Palatino Linotype" w:hAnsi="Palatino Linotype" w:cs="Palatino Linotype"/>
          <w:b/>
          <w:bCs/>
          <w:sz w:val="22"/>
          <w:szCs w:val="22"/>
        </w:rPr>
        <w:t>acumulados</w:t>
      </w:r>
      <w:r w:rsidRPr="0035228F">
        <w:rPr>
          <w:rFonts w:ascii="Palatino Linotype" w:eastAsia="Palatino Linotype" w:hAnsi="Palatino Linotype" w:cs="Palatino Linotype"/>
          <w:sz w:val="22"/>
          <w:szCs w:val="22"/>
        </w:rPr>
        <w:t xml:space="preserve">, interpuesto por </w:t>
      </w:r>
      <w:r w:rsidRPr="0035228F">
        <w:rPr>
          <w:rFonts w:ascii="Palatino Linotype" w:eastAsia="Palatino Linotype" w:hAnsi="Palatino Linotype" w:cs="Palatino Linotype"/>
          <w:b/>
          <w:bCs/>
          <w:sz w:val="22"/>
          <w:szCs w:val="22"/>
        </w:rPr>
        <w:t>una persona usuaria del Sistema de Acceso a la Información Mexiquense que no proporcionó nombre,</w:t>
      </w:r>
      <w:r w:rsidRPr="0035228F">
        <w:rPr>
          <w:rFonts w:ascii="Palatino Linotype" w:eastAsia="Palatino Linotype" w:hAnsi="Palatino Linotype" w:cs="Palatino Linotype"/>
          <w:sz w:val="22"/>
          <w:szCs w:val="22"/>
        </w:rPr>
        <w:t xml:space="preserve"> en lo sucesivo</w:t>
      </w:r>
      <w:r w:rsidRPr="0035228F">
        <w:rPr>
          <w:rFonts w:ascii="Palatino Linotype" w:eastAsia="Palatino Linotype" w:hAnsi="Palatino Linotype" w:cs="Palatino Linotype"/>
          <w:b/>
          <w:bCs/>
          <w:sz w:val="22"/>
          <w:szCs w:val="22"/>
        </w:rPr>
        <w:t xml:space="preserve"> la parte</w:t>
      </w:r>
      <w:r w:rsidRPr="0035228F">
        <w:rPr>
          <w:rFonts w:ascii="Palatino Linotype" w:eastAsia="Palatino Linotype" w:hAnsi="Palatino Linotype" w:cs="Palatino Linotype"/>
          <w:sz w:val="22"/>
          <w:szCs w:val="22"/>
        </w:rPr>
        <w:t xml:space="preserve"> </w:t>
      </w:r>
      <w:r w:rsidRPr="0035228F">
        <w:rPr>
          <w:rFonts w:ascii="Palatino Linotype" w:eastAsia="Palatino Linotype" w:hAnsi="Palatino Linotype" w:cs="Palatino Linotype"/>
          <w:b/>
          <w:bCs/>
          <w:sz w:val="22"/>
          <w:szCs w:val="22"/>
        </w:rPr>
        <w:t>Recurrente,</w:t>
      </w:r>
      <w:r w:rsidRPr="0035228F">
        <w:rPr>
          <w:rFonts w:ascii="Palatino Linotype" w:eastAsia="Palatino Linotype" w:hAnsi="Palatino Linotype" w:cs="Palatino Linotype"/>
          <w:sz w:val="22"/>
          <w:szCs w:val="22"/>
        </w:rPr>
        <w:t xml:space="preserve"> en contra de las respuestas a sus solicitudes por parte del </w:t>
      </w:r>
      <w:r w:rsidRPr="0035228F">
        <w:rPr>
          <w:rFonts w:ascii="Palatino Linotype" w:eastAsia="Palatino Linotype" w:hAnsi="Palatino Linotype" w:cs="Palatino Linotype"/>
          <w:b/>
          <w:bCs/>
          <w:sz w:val="22"/>
          <w:szCs w:val="22"/>
        </w:rPr>
        <w:t xml:space="preserve">Ayuntamiento de Toluca, </w:t>
      </w:r>
      <w:r w:rsidRPr="0035228F">
        <w:rPr>
          <w:rFonts w:ascii="Palatino Linotype" w:eastAsia="Palatino Linotype" w:hAnsi="Palatino Linotype" w:cs="Palatino Linotype"/>
          <w:sz w:val="22"/>
          <w:szCs w:val="22"/>
        </w:rPr>
        <w:t xml:space="preserve">en lo sucesivo el </w:t>
      </w:r>
      <w:r w:rsidRPr="0035228F">
        <w:rPr>
          <w:rFonts w:ascii="Palatino Linotype" w:eastAsia="Palatino Linotype" w:hAnsi="Palatino Linotype" w:cs="Palatino Linotype"/>
          <w:b/>
          <w:bCs/>
          <w:sz w:val="22"/>
          <w:szCs w:val="22"/>
        </w:rPr>
        <w:t xml:space="preserve">Sujeto Obligado, </w:t>
      </w:r>
      <w:r w:rsidRPr="0035228F">
        <w:rPr>
          <w:rFonts w:ascii="Palatino Linotype" w:eastAsia="Palatino Linotype" w:hAnsi="Palatino Linotype" w:cs="Palatino Linotype"/>
          <w:sz w:val="22"/>
          <w:szCs w:val="22"/>
        </w:rPr>
        <w:t xml:space="preserve">se procede a dictar la presente resolución con base en los siguientes: </w:t>
      </w:r>
    </w:p>
    <w:p w14:paraId="0CD3563C" w14:textId="77777777" w:rsidR="00E20C94" w:rsidRPr="0035228F" w:rsidRDefault="009521F6">
      <w:pPr>
        <w:spacing w:before="240" w:after="240" w:line="360" w:lineRule="auto"/>
        <w:jc w:val="center"/>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b/>
          <w:bCs/>
          <w:sz w:val="22"/>
          <w:szCs w:val="22"/>
        </w:rPr>
        <w:t>I. A N T E C E D E N T E S</w:t>
      </w:r>
    </w:p>
    <w:p w14:paraId="229FF186" w14:textId="4CC832E3" w:rsidR="00E20C94" w:rsidRPr="0035228F" w:rsidRDefault="009521F6">
      <w:pPr>
        <w:spacing w:before="240" w:after="240"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b/>
          <w:bCs/>
          <w:sz w:val="22"/>
          <w:szCs w:val="22"/>
        </w:rPr>
        <w:t>1. Solicitudes de acceso a la información.</w:t>
      </w:r>
      <w:r w:rsidRPr="0035228F">
        <w:rPr>
          <w:rFonts w:ascii="Palatino Linotype" w:eastAsia="Palatino Linotype" w:hAnsi="Palatino Linotype" w:cs="Palatino Linotype"/>
          <w:sz w:val="22"/>
          <w:szCs w:val="22"/>
        </w:rPr>
        <w:t xml:space="preserve"> En fecha </w:t>
      </w:r>
      <w:r w:rsidR="000520FD" w:rsidRPr="0035228F">
        <w:rPr>
          <w:rFonts w:ascii="Palatino Linotype" w:eastAsia="Palatino Linotype" w:hAnsi="Palatino Linotype" w:cs="Palatino Linotype"/>
          <w:b/>
          <w:bCs/>
          <w:sz w:val="22"/>
          <w:szCs w:val="22"/>
        </w:rPr>
        <w:t xml:space="preserve">once y veinte </w:t>
      </w:r>
      <w:r w:rsidRPr="0035228F">
        <w:rPr>
          <w:rFonts w:ascii="Palatino Linotype" w:eastAsia="Palatino Linotype" w:hAnsi="Palatino Linotype" w:cs="Palatino Linotype"/>
          <w:b/>
          <w:bCs/>
          <w:sz w:val="22"/>
          <w:szCs w:val="22"/>
        </w:rPr>
        <w:t>de noviembre de dos mil veinticinco,</w:t>
      </w:r>
      <w:r w:rsidRPr="0035228F">
        <w:rPr>
          <w:rFonts w:ascii="Palatino Linotype" w:eastAsia="Palatino Linotype" w:hAnsi="Palatino Linotype" w:cs="Palatino Linotype"/>
          <w:sz w:val="22"/>
          <w:szCs w:val="22"/>
        </w:rPr>
        <w:t xml:space="preserve"> </w:t>
      </w:r>
      <w:r w:rsidRPr="0035228F">
        <w:rPr>
          <w:rFonts w:ascii="Palatino Linotype" w:eastAsia="Palatino Linotype" w:hAnsi="Palatino Linotype" w:cs="Palatino Linotype"/>
          <w:b/>
          <w:bCs/>
          <w:sz w:val="22"/>
          <w:szCs w:val="22"/>
        </w:rPr>
        <w:t>la parte</w:t>
      </w:r>
      <w:r w:rsidRPr="0035228F">
        <w:rPr>
          <w:rFonts w:ascii="Palatino Linotype" w:eastAsia="Palatino Linotype" w:hAnsi="Palatino Linotype" w:cs="Palatino Linotype"/>
          <w:sz w:val="22"/>
          <w:szCs w:val="22"/>
        </w:rPr>
        <w:t xml:space="preserve"> </w:t>
      </w:r>
      <w:r w:rsidRPr="0035228F">
        <w:rPr>
          <w:rFonts w:ascii="Palatino Linotype" w:eastAsia="Palatino Linotype" w:hAnsi="Palatino Linotype" w:cs="Palatino Linotype"/>
          <w:b/>
          <w:bCs/>
          <w:sz w:val="22"/>
          <w:szCs w:val="22"/>
        </w:rPr>
        <w:t xml:space="preserve">Recurrente </w:t>
      </w:r>
      <w:r w:rsidRPr="0035228F">
        <w:rPr>
          <w:rFonts w:ascii="Palatino Linotype" w:eastAsia="Palatino Linotype" w:hAnsi="Palatino Linotype" w:cs="Palatino Linotype"/>
          <w:sz w:val="22"/>
          <w:szCs w:val="22"/>
        </w:rPr>
        <w:t>formuló solicitudes de acceso a información pública a través del SAIMEX; en las que se requirió lo siguiente:</w:t>
      </w:r>
    </w:p>
    <w:tbl>
      <w:tblPr>
        <w:tblStyle w:val="a7"/>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6233"/>
      </w:tblGrid>
      <w:tr w:rsidR="004D59F4" w:rsidRPr="0035228F" w14:paraId="57DEFE20" w14:textId="77777777">
        <w:tc>
          <w:tcPr>
            <w:tcW w:w="2693" w:type="dxa"/>
            <w:shd w:val="clear" w:color="auto" w:fill="D9D9D9"/>
          </w:tcPr>
          <w:p w14:paraId="6D015E38" w14:textId="77777777" w:rsidR="00E20C94" w:rsidRPr="0035228F" w:rsidRDefault="009521F6">
            <w:pPr>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Número de solicitud</w:t>
            </w:r>
          </w:p>
        </w:tc>
        <w:tc>
          <w:tcPr>
            <w:tcW w:w="6233" w:type="dxa"/>
            <w:shd w:val="clear" w:color="auto" w:fill="D9D9D9"/>
          </w:tcPr>
          <w:p w14:paraId="6888818D" w14:textId="77777777" w:rsidR="00E20C94" w:rsidRPr="0035228F" w:rsidRDefault="009521F6">
            <w:pPr>
              <w:jc w:val="center"/>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Información requerida.</w:t>
            </w:r>
          </w:p>
        </w:tc>
      </w:tr>
      <w:tr w:rsidR="004D59F4" w:rsidRPr="0035228F" w14:paraId="06F31AEC" w14:textId="77777777">
        <w:trPr>
          <w:trHeight w:val="564"/>
        </w:trPr>
        <w:tc>
          <w:tcPr>
            <w:tcW w:w="2693" w:type="dxa"/>
          </w:tcPr>
          <w:p w14:paraId="20C7EDCA" w14:textId="0A00C45E" w:rsidR="00E20C94" w:rsidRPr="0035228F" w:rsidRDefault="000520FD">
            <w:pPr>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06707/TOLUCA/IP/2025</w:t>
            </w:r>
          </w:p>
        </w:tc>
        <w:tc>
          <w:tcPr>
            <w:tcW w:w="6233" w:type="dxa"/>
          </w:tcPr>
          <w:p w14:paraId="30FA21E5" w14:textId="0CDFFD8D" w:rsidR="00E20C94" w:rsidRPr="0035228F" w:rsidRDefault="000520FD">
            <w:pPr>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 xml:space="preserve">Del recurso de revisión 03058/INFOEM/IP/RR/2025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w:t>
            </w:r>
            <w:r w:rsidRPr="0035228F">
              <w:rPr>
                <w:rFonts w:ascii="Palatino Linotype" w:eastAsia="Palatino Linotype" w:hAnsi="Palatino Linotype" w:cs="Palatino Linotype"/>
                <w:i/>
                <w:iCs/>
                <w:sz w:val="22"/>
                <w:szCs w:val="22"/>
              </w:rPr>
              <w:lastRenderedPageBreak/>
              <w:t>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4D59F4" w:rsidRPr="0035228F" w14:paraId="5EFFFBBA" w14:textId="77777777">
        <w:tc>
          <w:tcPr>
            <w:tcW w:w="2693" w:type="dxa"/>
          </w:tcPr>
          <w:p w14:paraId="73228049" w14:textId="03812C4E" w:rsidR="00E20C94" w:rsidRPr="0035228F" w:rsidRDefault="000520FD">
            <w:pPr>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lastRenderedPageBreak/>
              <w:t>06702/TOLUCA/IP/2025</w:t>
            </w:r>
          </w:p>
        </w:tc>
        <w:tc>
          <w:tcPr>
            <w:tcW w:w="6233" w:type="dxa"/>
          </w:tcPr>
          <w:p w14:paraId="0DA07047" w14:textId="349137B2" w:rsidR="00E20C94" w:rsidRPr="0035228F" w:rsidRDefault="000520FD">
            <w:pPr>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 xml:space="preserve">Del recurso de revisión 03053/INFOEM/IP/RR/2025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w:t>
            </w:r>
            <w:r w:rsidRPr="0035228F">
              <w:rPr>
                <w:rFonts w:ascii="Palatino Linotype" w:eastAsia="Palatino Linotype" w:hAnsi="Palatino Linotype" w:cs="Palatino Linotype"/>
                <w:i/>
                <w:iCs/>
                <w:sz w:val="22"/>
                <w:szCs w:val="22"/>
              </w:rPr>
              <w:lastRenderedPageBreak/>
              <w:t>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4D59F4" w:rsidRPr="0035228F" w14:paraId="74D208B8" w14:textId="77777777">
        <w:tc>
          <w:tcPr>
            <w:tcW w:w="2693" w:type="dxa"/>
          </w:tcPr>
          <w:p w14:paraId="1D6907A8" w14:textId="1B72B389" w:rsidR="00E20C94" w:rsidRPr="0035228F" w:rsidRDefault="000520FD">
            <w:pPr>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lastRenderedPageBreak/>
              <w:t>06698/TOLUCA/IP/2025</w:t>
            </w:r>
          </w:p>
        </w:tc>
        <w:tc>
          <w:tcPr>
            <w:tcW w:w="6233" w:type="dxa"/>
          </w:tcPr>
          <w:p w14:paraId="61577FE3" w14:textId="499BA78A" w:rsidR="00E20C94" w:rsidRPr="0035228F" w:rsidRDefault="000520FD">
            <w:pPr>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Del recurso de revisión 03049/INFOEM/IP/RR/2025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4D59F4" w:rsidRPr="0035228F" w14:paraId="311C1612" w14:textId="77777777">
        <w:tc>
          <w:tcPr>
            <w:tcW w:w="2693" w:type="dxa"/>
          </w:tcPr>
          <w:p w14:paraId="38A57235" w14:textId="7BB0A02F" w:rsidR="00E20C94" w:rsidRPr="0035228F" w:rsidRDefault="000520FD">
            <w:pPr>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06320/TOLUCA/IP/2025</w:t>
            </w:r>
          </w:p>
        </w:tc>
        <w:tc>
          <w:tcPr>
            <w:tcW w:w="6233" w:type="dxa"/>
          </w:tcPr>
          <w:p w14:paraId="3E1B1C5E" w14:textId="28008EBF" w:rsidR="00E20C94" w:rsidRPr="0035228F" w:rsidRDefault="000520FD">
            <w:pPr>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Del recurso de revisión 01756/INFOEM/IP/RR/2025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4D59F4" w:rsidRPr="0035228F" w14:paraId="2A91AF86" w14:textId="77777777">
        <w:tc>
          <w:tcPr>
            <w:tcW w:w="2693" w:type="dxa"/>
          </w:tcPr>
          <w:p w14:paraId="1D8774CD" w14:textId="70B7A159" w:rsidR="00E20C94" w:rsidRPr="0035228F" w:rsidRDefault="000520FD" w:rsidP="000520FD">
            <w:pPr>
              <w:jc w:val="center"/>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06316/TOLUCA/IP/2025</w:t>
            </w:r>
          </w:p>
        </w:tc>
        <w:tc>
          <w:tcPr>
            <w:tcW w:w="6233" w:type="dxa"/>
          </w:tcPr>
          <w:p w14:paraId="7098A227" w14:textId="615FE2F5" w:rsidR="00E20C94" w:rsidRPr="0035228F" w:rsidRDefault="000520FD">
            <w:pPr>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Del recurso de revisión 01740/INFOEM/IP/RR/2025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4D59F4" w:rsidRPr="0035228F" w14:paraId="679F71A4" w14:textId="77777777">
        <w:tc>
          <w:tcPr>
            <w:tcW w:w="2693" w:type="dxa"/>
          </w:tcPr>
          <w:p w14:paraId="32077D2D" w14:textId="62B591E6" w:rsidR="00E20C94" w:rsidRPr="0035228F" w:rsidRDefault="000520FD">
            <w:pPr>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06311/TOLUCA/IP/2025</w:t>
            </w:r>
          </w:p>
        </w:tc>
        <w:tc>
          <w:tcPr>
            <w:tcW w:w="6233" w:type="dxa"/>
          </w:tcPr>
          <w:p w14:paraId="6459E47D" w14:textId="12E0AE1E" w:rsidR="00E20C94" w:rsidRPr="0035228F" w:rsidRDefault="000520FD">
            <w:pPr>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Del recurso de revisión 01702/INFOEM/IP/RR/2025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4D59F4" w:rsidRPr="0035228F" w14:paraId="17A760A3" w14:textId="77777777">
        <w:tc>
          <w:tcPr>
            <w:tcW w:w="2693" w:type="dxa"/>
          </w:tcPr>
          <w:p w14:paraId="6AD77F6F" w14:textId="1A9A38FB" w:rsidR="00E20C94" w:rsidRPr="0035228F" w:rsidRDefault="000520FD">
            <w:pPr>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06306/TOLUCA/IP/2025</w:t>
            </w:r>
          </w:p>
        </w:tc>
        <w:tc>
          <w:tcPr>
            <w:tcW w:w="6233" w:type="dxa"/>
          </w:tcPr>
          <w:p w14:paraId="6840C3E0" w14:textId="0DB69204" w:rsidR="00E20C94" w:rsidRPr="0035228F" w:rsidRDefault="000520FD">
            <w:pPr>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Del recurso de revisión 01696/INFOEM/IP/RR/2025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4D59F4" w:rsidRPr="0035228F" w14:paraId="5A88B0FF" w14:textId="77777777">
        <w:tc>
          <w:tcPr>
            <w:tcW w:w="2693" w:type="dxa"/>
          </w:tcPr>
          <w:p w14:paraId="0B331526" w14:textId="11EE558B" w:rsidR="00E20C94" w:rsidRPr="0035228F" w:rsidRDefault="005C3E49">
            <w:pPr>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06305/TOLUCA/IP/2025</w:t>
            </w:r>
          </w:p>
        </w:tc>
        <w:tc>
          <w:tcPr>
            <w:tcW w:w="6233" w:type="dxa"/>
          </w:tcPr>
          <w:p w14:paraId="41BF14AB" w14:textId="74F3671F" w:rsidR="00E20C94" w:rsidRPr="0035228F" w:rsidRDefault="005C3E49">
            <w:pPr>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Del recurso de revisión 01695/INFOEM/IP/RR/2025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4D59F4" w:rsidRPr="0035228F" w14:paraId="4E70EE53" w14:textId="77777777">
        <w:tc>
          <w:tcPr>
            <w:tcW w:w="2693" w:type="dxa"/>
          </w:tcPr>
          <w:p w14:paraId="48FB0E6A" w14:textId="391B4338" w:rsidR="00E20C94" w:rsidRPr="0035228F" w:rsidRDefault="005C3E49">
            <w:pPr>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06300/TOLUCA/IP/2025</w:t>
            </w:r>
          </w:p>
        </w:tc>
        <w:tc>
          <w:tcPr>
            <w:tcW w:w="6233" w:type="dxa"/>
          </w:tcPr>
          <w:p w14:paraId="6264C1F0" w14:textId="45A681F4" w:rsidR="00E20C94" w:rsidRPr="0035228F" w:rsidRDefault="005C3E49">
            <w:pPr>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Del recurso de revisión 01689/INFOEM/IP/RR/2025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4D59F4" w:rsidRPr="0035228F" w14:paraId="294D9A8D" w14:textId="77777777">
        <w:tc>
          <w:tcPr>
            <w:tcW w:w="2693" w:type="dxa"/>
          </w:tcPr>
          <w:p w14:paraId="5D73D3B2" w14:textId="1C54F53E" w:rsidR="00E20C94" w:rsidRPr="0035228F" w:rsidRDefault="005C3E49">
            <w:pPr>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06295/TOLUCA/IP/2025</w:t>
            </w:r>
          </w:p>
        </w:tc>
        <w:tc>
          <w:tcPr>
            <w:tcW w:w="6233" w:type="dxa"/>
          </w:tcPr>
          <w:p w14:paraId="3F8D42EF" w14:textId="053097BE" w:rsidR="00E20C94" w:rsidRPr="0035228F" w:rsidRDefault="005C3E49">
            <w:pPr>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Del recurso de revisión 01611/INFOEM/IP/RR/2025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4D59F4" w:rsidRPr="0035228F" w14:paraId="4035F78C" w14:textId="77777777">
        <w:tc>
          <w:tcPr>
            <w:tcW w:w="2693" w:type="dxa"/>
          </w:tcPr>
          <w:p w14:paraId="212ED0E4" w14:textId="752F4602" w:rsidR="00E20C94" w:rsidRPr="0035228F" w:rsidRDefault="005C3E49">
            <w:pPr>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06290/TOLUCA/IP/2025</w:t>
            </w:r>
          </w:p>
        </w:tc>
        <w:tc>
          <w:tcPr>
            <w:tcW w:w="6233" w:type="dxa"/>
          </w:tcPr>
          <w:p w14:paraId="1C10811D" w14:textId="4A5C74BC" w:rsidR="00E20C94" w:rsidRPr="0035228F" w:rsidRDefault="005C3E49">
            <w:pPr>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Del recurso de revisión 01606/INFOEM/IP/RR/2025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4D59F4" w:rsidRPr="0035228F" w14:paraId="75AC6798" w14:textId="77777777">
        <w:tc>
          <w:tcPr>
            <w:tcW w:w="2693" w:type="dxa"/>
          </w:tcPr>
          <w:p w14:paraId="35F2947B" w14:textId="63DE1A64" w:rsidR="005C3E49" w:rsidRPr="0035228F" w:rsidRDefault="005C3E49">
            <w:pPr>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06285/TOLUCA/IP/2025</w:t>
            </w:r>
          </w:p>
        </w:tc>
        <w:tc>
          <w:tcPr>
            <w:tcW w:w="6233" w:type="dxa"/>
          </w:tcPr>
          <w:p w14:paraId="3636F6F2" w14:textId="68860664" w:rsidR="005C3E49" w:rsidRPr="0035228F" w:rsidRDefault="005C3E49">
            <w:pPr>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Del recurso de revisión 01601/INFOEM/IP/RR/2025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bl>
    <w:p w14:paraId="716690AB" w14:textId="77777777" w:rsidR="00E20C94" w:rsidRPr="0035228F" w:rsidRDefault="009521F6">
      <w:pPr>
        <w:spacing w:before="240" w:after="240" w:line="360" w:lineRule="auto"/>
        <w:ind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b/>
          <w:bCs/>
          <w:sz w:val="22"/>
          <w:szCs w:val="22"/>
        </w:rPr>
        <w:t>Modalidad de Entrega:</w:t>
      </w:r>
      <w:r w:rsidRPr="0035228F">
        <w:rPr>
          <w:rFonts w:ascii="Palatino Linotype" w:eastAsia="Palatino Linotype" w:hAnsi="Palatino Linotype" w:cs="Palatino Linotype"/>
          <w:sz w:val="22"/>
          <w:szCs w:val="22"/>
        </w:rPr>
        <w:t xml:space="preserve"> a través del Sistema de Acceso a la Información Mexiquense (SAIMEX).</w:t>
      </w:r>
    </w:p>
    <w:p w14:paraId="06C8F606" w14:textId="599B5A64" w:rsidR="00E20C94" w:rsidRPr="0035228F" w:rsidRDefault="009521F6">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sz w:val="22"/>
          <w:szCs w:val="22"/>
        </w:rPr>
      </w:pPr>
      <w:bookmarkStart w:id="4" w:name="_heading=h.3dy6vkm" w:colFirst="0" w:colLast="0"/>
      <w:bookmarkEnd w:id="4"/>
      <w:r w:rsidRPr="0035228F">
        <w:rPr>
          <w:rFonts w:ascii="Palatino Linotype" w:eastAsia="Palatino Linotype" w:hAnsi="Palatino Linotype" w:cs="Palatino Linotype"/>
          <w:b/>
          <w:bCs/>
          <w:sz w:val="22"/>
          <w:szCs w:val="22"/>
        </w:rPr>
        <w:t xml:space="preserve">2. Prórroga. </w:t>
      </w:r>
      <w:r w:rsidRPr="0035228F">
        <w:rPr>
          <w:rFonts w:ascii="Palatino Linotype" w:eastAsia="Palatino Linotype" w:hAnsi="Palatino Linotype" w:cs="Palatino Linotype"/>
          <w:sz w:val="22"/>
          <w:szCs w:val="22"/>
        </w:rPr>
        <w:t xml:space="preserve">En fechas </w:t>
      </w:r>
      <w:r w:rsidR="00684170" w:rsidRPr="0035228F">
        <w:rPr>
          <w:rFonts w:ascii="Palatino Linotype" w:eastAsia="Palatino Linotype" w:hAnsi="Palatino Linotype" w:cs="Palatino Linotype"/>
          <w:b/>
          <w:bCs/>
          <w:sz w:val="22"/>
          <w:szCs w:val="22"/>
        </w:rPr>
        <w:t>cuatro</w:t>
      </w:r>
      <w:r w:rsidR="005C3E49" w:rsidRPr="0035228F">
        <w:rPr>
          <w:rFonts w:ascii="Palatino Linotype" w:eastAsia="Palatino Linotype" w:hAnsi="Palatino Linotype" w:cs="Palatino Linotype"/>
          <w:b/>
          <w:bCs/>
          <w:sz w:val="22"/>
          <w:szCs w:val="22"/>
        </w:rPr>
        <w:t xml:space="preserve"> y </w:t>
      </w:r>
      <w:r w:rsidR="00684170" w:rsidRPr="0035228F">
        <w:rPr>
          <w:rFonts w:ascii="Palatino Linotype" w:eastAsia="Palatino Linotype" w:hAnsi="Palatino Linotype" w:cs="Palatino Linotype"/>
          <w:b/>
          <w:bCs/>
          <w:sz w:val="22"/>
          <w:szCs w:val="22"/>
        </w:rPr>
        <w:t xml:space="preserve">once </w:t>
      </w:r>
      <w:r w:rsidRPr="0035228F">
        <w:rPr>
          <w:rFonts w:ascii="Palatino Linotype" w:eastAsia="Palatino Linotype" w:hAnsi="Palatino Linotype" w:cs="Palatino Linotype"/>
          <w:b/>
          <w:bCs/>
          <w:sz w:val="22"/>
          <w:szCs w:val="22"/>
        </w:rPr>
        <w:t xml:space="preserve">de diciembre de dos mil veinticinco, </w:t>
      </w:r>
      <w:r w:rsidRPr="0035228F">
        <w:rPr>
          <w:rFonts w:ascii="Palatino Linotype" w:eastAsia="Palatino Linotype" w:hAnsi="Palatino Linotype" w:cs="Palatino Linotype"/>
          <w:sz w:val="22"/>
          <w:szCs w:val="22"/>
        </w:rPr>
        <w:t xml:space="preserve">el </w:t>
      </w:r>
      <w:r w:rsidRPr="0035228F">
        <w:rPr>
          <w:rFonts w:ascii="Palatino Linotype" w:eastAsia="Palatino Linotype" w:hAnsi="Palatino Linotype" w:cs="Palatino Linotype"/>
          <w:b/>
          <w:bCs/>
          <w:sz w:val="22"/>
          <w:szCs w:val="22"/>
        </w:rPr>
        <w:t xml:space="preserve">Sujeto Obligado </w:t>
      </w:r>
      <w:r w:rsidRPr="0035228F">
        <w:rPr>
          <w:rFonts w:ascii="Palatino Linotype" w:eastAsia="Palatino Linotype" w:hAnsi="Palatino Linotype" w:cs="Palatino Linotype"/>
          <w:sz w:val="22"/>
          <w:szCs w:val="22"/>
        </w:rPr>
        <w:t xml:space="preserve">informó que el plazo de quince días hábiles para atender las solicitudes de mérito, de conformidad con el artículo 163 de la Ley de Transparencia Local, fue prorrogado por siete días más conforme acuerdo aprobado en sesión del Comité de Transparencia. </w:t>
      </w:r>
    </w:p>
    <w:p w14:paraId="6692E811" w14:textId="77777777" w:rsidR="00E20C94" w:rsidRPr="0035228F" w:rsidRDefault="009521F6">
      <w:pPr>
        <w:spacing w:line="360" w:lineRule="auto"/>
        <w:ind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De esta manera, como refiere el </w:t>
      </w:r>
      <w:r w:rsidRPr="0035228F">
        <w:rPr>
          <w:rFonts w:ascii="Palatino Linotype" w:eastAsia="Palatino Linotype" w:hAnsi="Palatino Linotype" w:cs="Palatino Linotype"/>
          <w:b/>
          <w:bCs/>
          <w:sz w:val="22"/>
          <w:szCs w:val="22"/>
        </w:rPr>
        <w:t>Sujeto Obligado</w:t>
      </w:r>
      <w:r w:rsidRPr="0035228F">
        <w:rPr>
          <w:rFonts w:ascii="Palatino Linotype" w:eastAsia="Palatino Linotype" w:hAnsi="Palatino Linotype" w:cs="Palatino Linotype"/>
          <w:sz w:val="22"/>
          <w:szCs w:val="22"/>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particular que nos ocupa y derivado de las constancias que obran en el expediente, se advierte que </w:t>
      </w:r>
      <w:r w:rsidRPr="0035228F">
        <w:rPr>
          <w:rFonts w:ascii="Palatino Linotype" w:eastAsia="Palatino Linotype" w:hAnsi="Palatino Linotype" w:cs="Palatino Linotype"/>
          <w:b/>
          <w:bCs/>
          <w:sz w:val="22"/>
          <w:szCs w:val="22"/>
        </w:rPr>
        <w:t>NO se observaron las formalidades que establece la Ley de la materia</w:t>
      </w:r>
      <w:r w:rsidRPr="0035228F">
        <w:rPr>
          <w:rFonts w:ascii="Palatino Linotype" w:eastAsia="Palatino Linotype" w:hAnsi="Palatino Linotype" w:cs="Palatino Linotype"/>
          <w:sz w:val="22"/>
          <w:szCs w:val="22"/>
        </w:rPr>
        <w:t>, pues no se adjuntó el Acta que contiene el Acuerdo del Comité de Transparencia de dicho ente público, mediante el cual se aprobara la ampliación del plazo para dar atención a la solicitud de información.</w:t>
      </w:r>
    </w:p>
    <w:p w14:paraId="2CDDD49B" w14:textId="131786E5" w:rsidR="00E20C94" w:rsidRPr="0035228F" w:rsidRDefault="009521F6">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b/>
          <w:bCs/>
          <w:sz w:val="22"/>
          <w:szCs w:val="22"/>
        </w:rPr>
        <w:t xml:space="preserve">3. Respuestas. </w:t>
      </w:r>
      <w:r w:rsidRPr="0035228F">
        <w:rPr>
          <w:rFonts w:ascii="Palatino Linotype" w:eastAsia="Palatino Linotype" w:hAnsi="Palatino Linotype" w:cs="Palatino Linotype"/>
          <w:sz w:val="22"/>
          <w:szCs w:val="22"/>
        </w:rPr>
        <w:t xml:space="preserve">El </w:t>
      </w:r>
      <w:r w:rsidR="005C3E49" w:rsidRPr="0035228F">
        <w:rPr>
          <w:rFonts w:ascii="Palatino Linotype" w:eastAsia="Palatino Linotype" w:hAnsi="Palatino Linotype" w:cs="Palatino Linotype"/>
          <w:b/>
          <w:bCs/>
          <w:sz w:val="22"/>
          <w:szCs w:val="22"/>
        </w:rPr>
        <w:t>doce</w:t>
      </w:r>
      <w:r w:rsidRPr="0035228F">
        <w:rPr>
          <w:rFonts w:ascii="Palatino Linotype" w:eastAsia="Palatino Linotype" w:hAnsi="Palatino Linotype" w:cs="Palatino Linotype"/>
          <w:b/>
          <w:bCs/>
          <w:sz w:val="22"/>
          <w:szCs w:val="22"/>
        </w:rPr>
        <w:t xml:space="preserve"> de diciembre de dos mil veinticinco</w:t>
      </w:r>
      <w:r w:rsidR="00684170" w:rsidRPr="0035228F">
        <w:rPr>
          <w:rFonts w:ascii="Palatino Linotype" w:eastAsia="Palatino Linotype" w:hAnsi="Palatino Linotype" w:cs="Palatino Linotype"/>
          <w:b/>
          <w:bCs/>
          <w:sz w:val="22"/>
          <w:szCs w:val="22"/>
        </w:rPr>
        <w:t xml:space="preserve"> y </w:t>
      </w:r>
      <w:r w:rsidR="005C3E49" w:rsidRPr="0035228F">
        <w:rPr>
          <w:rFonts w:ascii="Palatino Linotype" w:eastAsia="Palatino Linotype" w:hAnsi="Palatino Linotype" w:cs="Palatino Linotype"/>
          <w:b/>
          <w:bCs/>
          <w:sz w:val="22"/>
          <w:szCs w:val="22"/>
        </w:rPr>
        <w:t>doce</w:t>
      </w:r>
      <w:r w:rsidR="00684170" w:rsidRPr="0035228F">
        <w:rPr>
          <w:rFonts w:ascii="Palatino Linotype" w:eastAsia="Palatino Linotype" w:hAnsi="Palatino Linotype" w:cs="Palatino Linotype"/>
          <w:b/>
          <w:bCs/>
          <w:sz w:val="22"/>
          <w:szCs w:val="22"/>
        </w:rPr>
        <w:t xml:space="preserve"> de enero de dos mil veintiséis</w:t>
      </w:r>
      <w:r w:rsidRPr="0035228F">
        <w:rPr>
          <w:rFonts w:ascii="Palatino Linotype" w:eastAsia="Palatino Linotype" w:hAnsi="Palatino Linotype" w:cs="Palatino Linotype"/>
          <w:sz w:val="22"/>
          <w:szCs w:val="22"/>
        </w:rPr>
        <w:t xml:space="preserve">, el </w:t>
      </w:r>
      <w:r w:rsidRPr="0035228F">
        <w:rPr>
          <w:rFonts w:ascii="Palatino Linotype" w:eastAsia="Palatino Linotype" w:hAnsi="Palatino Linotype" w:cs="Palatino Linotype"/>
          <w:b/>
          <w:bCs/>
          <w:sz w:val="22"/>
          <w:szCs w:val="22"/>
        </w:rPr>
        <w:t xml:space="preserve">Sujeto Obligado </w:t>
      </w:r>
      <w:r w:rsidRPr="0035228F">
        <w:rPr>
          <w:rFonts w:ascii="Palatino Linotype" w:eastAsia="Palatino Linotype" w:hAnsi="Palatino Linotype" w:cs="Palatino Linotype"/>
          <w:sz w:val="22"/>
          <w:szCs w:val="22"/>
        </w:rPr>
        <w:t>envió sus respuestas a las solicitudes de acceso a la información a través de SAIMEX, sustancialmente en los términos siguientes:</w:t>
      </w:r>
    </w:p>
    <w:tbl>
      <w:tblPr>
        <w:tblStyle w:val="a8"/>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670"/>
      </w:tblGrid>
      <w:tr w:rsidR="004D59F4" w:rsidRPr="0035228F" w14:paraId="26461A1B" w14:textId="77777777">
        <w:tc>
          <w:tcPr>
            <w:tcW w:w="3256" w:type="dxa"/>
            <w:shd w:val="clear" w:color="auto" w:fill="D9D9D9"/>
          </w:tcPr>
          <w:p w14:paraId="5531FE85" w14:textId="77777777" w:rsidR="00E20C94" w:rsidRPr="0035228F" w:rsidRDefault="009521F6">
            <w:pPr>
              <w:jc w:val="center"/>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Número de recurso de revisión</w:t>
            </w:r>
          </w:p>
        </w:tc>
        <w:tc>
          <w:tcPr>
            <w:tcW w:w="5670" w:type="dxa"/>
            <w:shd w:val="clear" w:color="auto" w:fill="D9D9D9"/>
          </w:tcPr>
          <w:p w14:paraId="79FE27B4" w14:textId="77777777" w:rsidR="00E20C94" w:rsidRPr="0035228F" w:rsidRDefault="009521F6">
            <w:pPr>
              <w:jc w:val="center"/>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Respuestas</w:t>
            </w:r>
          </w:p>
        </w:tc>
      </w:tr>
      <w:tr w:rsidR="00E20C94" w:rsidRPr="0035228F" w14:paraId="5BBD702B" w14:textId="77777777">
        <w:tc>
          <w:tcPr>
            <w:tcW w:w="3256" w:type="dxa"/>
          </w:tcPr>
          <w:p w14:paraId="67742E80" w14:textId="4C6A1A4F" w:rsidR="00E20C94" w:rsidRPr="0035228F" w:rsidRDefault="00655FB4">
            <w:pPr>
              <w:jc w:val="center"/>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b/>
                <w:bCs/>
                <w:sz w:val="22"/>
                <w:szCs w:val="22"/>
              </w:rPr>
              <w:t xml:space="preserve">00239/INFOEM/IP/RR/2026, 00244/INFOEM/IP/RR/2026, </w:t>
            </w:r>
            <w:r w:rsidR="005C3E49" w:rsidRPr="0035228F">
              <w:rPr>
                <w:rFonts w:ascii="Palatino Linotype" w:eastAsia="Palatino Linotype" w:hAnsi="Palatino Linotype" w:cs="Palatino Linotype"/>
                <w:b/>
                <w:bCs/>
                <w:sz w:val="22"/>
                <w:szCs w:val="22"/>
              </w:rPr>
              <w:t>00464/INFOEM/IP/RR/2026, 00469/INFOEM/IP/RR/2026, 00474/INFOEM/IP/RR/2026, 00479/INFOEM/IP/RR/2026, 00484/INFOEM/IP/RR/2026, 00489/INFOEM/IP/RR/2026, 00494/INFOEM/IP/RR/2026, 00499/INFOEM/IP/RR/2026, 00504/INFOEM/IP/RR/2026, 00509/INFOEM/IP/RR/2026, 00514/INFOEM/IP/RR/2026 y 00519/INFOEM/IP/RR/2026,</w:t>
            </w:r>
          </w:p>
        </w:tc>
        <w:tc>
          <w:tcPr>
            <w:tcW w:w="5670" w:type="dxa"/>
          </w:tcPr>
          <w:p w14:paraId="6F28C860" w14:textId="77777777" w:rsidR="00E20C94" w:rsidRPr="0035228F" w:rsidRDefault="00E20C94">
            <w:p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p>
          <w:p w14:paraId="0A9C0FF4" w14:textId="77777777" w:rsidR="00E20C94" w:rsidRPr="0035228F" w:rsidRDefault="009521F6">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Oficio a través del cual el Titular de la Unidad de Transparencia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siguiente link:</w:t>
            </w:r>
          </w:p>
          <w:p w14:paraId="201CA789" w14:textId="0D855AC5" w:rsidR="00E20C94" w:rsidRPr="0035228F" w:rsidRDefault="009521F6">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noProof/>
                <w:sz w:val="22"/>
                <w:szCs w:val="22"/>
              </w:rPr>
              <w:drawing>
                <wp:inline distT="0" distB="0" distL="0" distR="0" wp14:anchorId="67FCBB38" wp14:editId="65A73F63">
                  <wp:extent cx="2400635" cy="257211"/>
                  <wp:effectExtent l="0" t="0" r="0" b="0"/>
                  <wp:docPr id="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400635" cy="257211"/>
                          </a:xfrm>
                          <a:prstGeom prst="rect">
                            <a:avLst/>
                          </a:prstGeom>
                          <a:ln/>
                        </pic:spPr>
                      </pic:pic>
                    </a:graphicData>
                  </a:graphic>
                </wp:inline>
              </w:drawing>
            </w:r>
          </w:p>
          <w:p w14:paraId="784DF0A5" w14:textId="77777777" w:rsidR="00655FB4" w:rsidRPr="0035228F" w:rsidRDefault="00655FB4" w:rsidP="00655FB4">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En un archivo pdf entregado en datos abiertos se proporcionó el link entregado en el oficio señalado en el punto anterior, así como los pasos para consultar en la página oficial de este Instituto las resoluciones recaídas a los recursos de revisión en versión pública.</w:t>
            </w:r>
          </w:p>
          <w:p w14:paraId="4FF80112" w14:textId="1D803619" w:rsidR="00655FB4" w:rsidRPr="0035228F" w:rsidRDefault="00655FB4">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5AA8180D" w14:textId="7678540A" w:rsidR="005C3E49" w:rsidRPr="0035228F" w:rsidRDefault="005C3E49">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No se omite comentar que el archivo con el que se da respuesta al recurso 00494/INFOEM/IP/RR/2026, hace referencia a una solicitud distinta</w:t>
            </w:r>
          </w:p>
          <w:p w14:paraId="0653E679" w14:textId="77777777" w:rsidR="00E20C94" w:rsidRPr="0035228F" w:rsidRDefault="00E20C94">
            <w:pPr>
              <w:widowControl w:val="0"/>
              <w:pBdr>
                <w:top w:val="nil"/>
                <w:left w:val="nil"/>
                <w:bottom w:val="nil"/>
                <w:right w:val="nil"/>
                <w:between w:val="nil"/>
              </w:pBdr>
              <w:rPr>
                <w:rFonts w:ascii="Palatino Linotype" w:eastAsia="Palatino Linotype" w:hAnsi="Palatino Linotype" w:cs="Palatino Linotype"/>
                <w:b/>
                <w:bCs/>
                <w:sz w:val="22"/>
                <w:szCs w:val="22"/>
              </w:rPr>
            </w:pPr>
          </w:p>
        </w:tc>
      </w:tr>
    </w:tbl>
    <w:p w14:paraId="1F9FDF12" w14:textId="77777777" w:rsidR="00E20C94" w:rsidRPr="0035228F"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p>
    <w:p w14:paraId="533D6A10" w14:textId="66486B37" w:rsidR="00E20C94" w:rsidRPr="0035228F"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b/>
          <w:bCs/>
          <w:sz w:val="22"/>
          <w:szCs w:val="22"/>
        </w:rPr>
        <w:t xml:space="preserve">4. De los Recursos de Revisión. </w:t>
      </w:r>
      <w:r w:rsidRPr="0035228F">
        <w:rPr>
          <w:rFonts w:ascii="Palatino Linotype" w:eastAsia="Palatino Linotype" w:hAnsi="Palatino Linotype" w:cs="Palatino Linotype"/>
          <w:sz w:val="22"/>
          <w:szCs w:val="22"/>
        </w:rPr>
        <w:t xml:space="preserve">Inconforme con las respuestas del </w:t>
      </w:r>
      <w:r w:rsidRPr="0035228F">
        <w:rPr>
          <w:rFonts w:ascii="Palatino Linotype" w:eastAsia="Palatino Linotype" w:hAnsi="Palatino Linotype" w:cs="Palatino Linotype"/>
          <w:b/>
          <w:bCs/>
          <w:sz w:val="22"/>
          <w:szCs w:val="22"/>
        </w:rPr>
        <w:t>Sujeto Obligado</w:t>
      </w:r>
      <w:r w:rsidRPr="0035228F">
        <w:rPr>
          <w:rFonts w:ascii="Palatino Linotype" w:eastAsia="Palatino Linotype" w:hAnsi="Palatino Linotype" w:cs="Palatino Linotype"/>
          <w:sz w:val="22"/>
          <w:szCs w:val="22"/>
        </w:rPr>
        <w:t xml:space="preserve">, en fecha </w:t>
      </w:r>
      <w:r w:rsidR="00655FB4" w:rsidRPr="0035228F">
        <w:rPr>
          <w:rFonts w:ascii="Palatino Linotype" w:eastAsia="Palatino Linotype" w:hAnsi="Palatino Linotype" w:cs="Palatino Linotype"/>
          <w:b/>
          <w:bCs/>
          <w:sz w:val="22"/>
          <w:szCs w:val="22"/>
        </w:rPr>
        <w:t>catorce</w:t>
      </w:r>
      <w:r w:rsidR="005C3E49" w:rsidRPr="0035228F">
        <w:rPr>
          <w:rFonts w:ascii="Palatino Linotype" w:eastAsia="Palatino Linotype" w:hAnsi="Palatino Linotype" w:cs="Palatino Linotype"/>
          <w:b/>
          <w:bCs/>
          <w:sz w:val="22"/>
          <w:szCs w:val="22"/>
        </w:rPr>
        <w:t xml:space="preserve"> y quince</w:t>
      </w:r>
      <w:r w:rsidR="00655FB4" w:rsidRPr="0035228F">
        <w:rPr>
          <w:rFonts w:ascii="Palatino Linotype" w:eastAsia="Palatino Linotype" w:hAnsi="Palatino Linotype" w:cs="Palatino Linotype"/>
          <w:b/>
          <w:bCs/>
          <w:sz w:val="22"/>
          <w:szCs w:val="22"/>
        </w:rPr>
        <w:t xml:space="preserve"> de enero</w:t>
      </w:r>
      <w:r w:rsidRPr="0035228F">
        <w:rPr>
          <w:rFonts w:ascii="Palatino Linotype" w:eastAsia="Palatino Linotype" w:hAnsi="Palatino Linotype" w:cs="Palatino Linotype"/>
          <w:b/>
          <w:bCs/>
          <w:sz w:val="22"/>
          <w:szCs w:val="22"/>
        </w:rPr>
        <w:t xml:space="preserve"> de dos mil </w:t>
      </w:r>
      <w:r w:rsidR="00655FB4" w:rsidRPr="0035228F">
        <w:rPr>
          <w:rFonts w:ascii="Palatino Linotype" w:eastAsia="Palatino Linotype" w:hAnsi="Palatino Linotype" w:cs="Palatino Linotype"/>
          <w:b/>
          <w:bCs/>
          <w:sz w:val="22"/>
          <w:szCs w:val="22"/>
        </w:rPr>
        <w:t>veintiséis</w:t>
      </w:r>
      <w:r w:rsidRPr="0035228F">
        <w:rPr>
          <w:rFonts w:ascii="Palatino Linotype" w:eastAsia="Palatino Linotype" w:hAnsi="Palatino Linotype" w:cs="Palatino Linotype"/>
          <w:sz w:val="22"/>
          <w:szCs w:val="22"/>
        </w:rPr>
        <w:t xml:space="preserve">, la parte </w:t>
      </w:r>
      <w:r w:rsidRPr="0035228F">
        <w:rPr>
          <w:rFonts w:ascii="Palatino Linotype" w:eastAsia="Palatino Linotype" w:hAnsi="Palatino Linotype" w:cs="Palatino Linotype"/>
          <w:b/>
          <w:bCs/>
          <w:sz w:val="22"/>
          <w:szCs w:val="22"/>
        </w:rPr>
        <w:t>Recurrente</w:t>
      </w:r>
      <w:r w:rsidRPr="0035228F">
        <w:rPr>
          <w:rFonts w:ascii="Palatino Linotype" w:eastAsia="Palatino Linotype" w:hAnsi="Palatino Linotype" w:cs="Palatino Linotype"/>
          <w:sz w:val="22"/>
          <w:szCs w:val="22"/>
        </w:rPr>
        <w:t xml:space="preserve"> interpuso los recursos de revisión indicados; en los cuales se señaló como acto impugnado y motivos de inconformidad, lo siguiente:</w:t>
      </w:r>
    </w:p>
    <w:tbl>
      <w:tblPr>
        <w:tblStyle w:val="a9"/>
        <w:tblpPr w:leftFromText="141" w:rightFromText="141" w:vertAnchor="text" w:tblpY="1"/>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2977"/>
        <w:gridCol w:w="3118"/>
      </w:tblGrid>
      <w:tr w:rsidR="004D59F4" w:rsidRPr="0035228F" w14:paraId="2A064E14" w14:textId="77777777">
        <w:trPr>
          <w:trHeight w:val="225"/>
          <w:tblHeader/>
        </w:trPr>
        <w:tc>
          <w:tcPr>
            <w:tcW w:w="2972" w:type="dxa"/>
            <w:shd w:val="clear" w:color="auto" w:fill="D9D9D9"/>
            <w:vAlign w:val="center"/>
          </w:tcPr>
          <w:p w14:paraId="761ACE50" w14:textId="77777777" w:rsidR="00E20C94" w:rsidRPr="0035228F" w:rsidRDefault="009521F6">
            <w:pPr>
              <w:jc w:val="both"/>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b/>
                <w:bCs/>
                <w:sz w:val="22"/>
                <w:szCs w:val="22"/>
              </w:rPr>
              <w:t>Folio Solicitudes de Información/Folio Recursos de revisión.</w:t>
            </w:r>
          </w:p>
        </w:tc>
        <w:tc>
          <w:tcPr>
            <w:tcW w:w="2977" w:type="dxa"/>
            <w:shd w:val="clear" w:color="auto" w:fill="D9D9D9"/>
            <w:tcMar>
              <w:top w:w="0" w:type="dxa"/>
              <w:left w:w="45" w:type="dxa"/>
              <w:bottom w:w="0" w:type="dxa"/>
              <w:right w:w="45" w:type="dxa"/>
            </w:tcMar>
          </w:tcPr>
          <w:p w14:paraId="7D69BF7B" w14:textId="77777777" w:rsidR="00E20C94" w:rsidRPr="0035228F" w:rsidRDefault="009521F6">
            <w:pPr>
              <w:ind w:left="87" w:right="103"/>
              <w:jc w:val="both"/>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b/>
                <w:bCs/>
                <w:sz w:val="22"/>
                <w:szCs w:val="22"/>
              </w:rPr>
              <w:t>Actos impugnados</w:t>
            </w:r>
          </w:p>
        </w:tc>
        <w:tc>
          <w:tcPr>
            <w:tcW w:w="3118" w:type="dxa"/>
            <w:shd w:val="clear" w:color="auto" w:fill="D9D9D9"/>
          </w:tcPr>
          <w:p w14:paraId="5CE3CB97" w14:textId="77777777" w:rsidR="00E20C94" w:rsidRPr="0035228F" w:rsidRDefault="009521F6">
            <w:pPr>
              <w:ind w:left="131" w:right="135"/>
              <w:jc w:val="both"/>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b/>
                <w:bCs/>
                <w:sz w:val="22"/>
                <w:szCs w:val="22"/>
              </w:rPr>
              <w:t>Razones o motivos de inconformidad</w:t>
            </w:r>
          </w:p>
        </w:tc>
      </w:tr>
      <w:tr w:rsidR="004D59F4" w:rsidRPr="0035228F" w14:paraId="3AC4DB63" w14:textId="77777777">
        <w:trPr>
          <w:trHeight w:val="65"/>
        </w:trPr>
        <w:tc>
          <w:tcPr>
            <w:tcW w:w="2972" w:type="dxa"/>
          </w:tcPr>
          <w:p w14:paraId="4EEE1029" w14:textId="26D486DD" w:rsidR="00655FB4" w:rsidRPr="0035228F" w:rsidRDefault="00655FB4">
            <w:pPr>
              <w:jc w:val="both"/>
              <w:rPr>
                <w:rFonts w:ascii="Palatino Linotype" w:eastAsia="Palatino Linotype" w:hAnsi="Palatino Linotype" w:cs="Palatino Linotype"/>
                <w:b/>
                <w:bCs/>
                <w:sz w:val="22"/>
                <w:szCs w:val="22"/>
              </w:rPr>
            </w:pPr>
          </w:p>
        </w:tc>
        <w:tc>
          <w:tcPr>
            <w:tcW w:w="2977" w:type="dxa"/>
            <w:tcMar>
              <w:top w:w="0" w:type="dxa"/>
              <w:left w:w="45" w:type="dxa"/>
              <w:bottom w:w="0" w:type="dxa"/>
              <w:right w:w="45" w:type="dxa"/>
            </w:tcMar>
          </w:tcPr>
          <w:p w14:paraId="1DEEC5E5" w14:textId="5F2B9A8A" w:rsidR="00E20C94" w:rsidRPr="0035228F" w:rsidRDefault="00E20C94">
            <w:pPr>
              <w:ind w:left="87" w:right="103"/>
              <w:jc w:val="both"/>
              <w:rPr>
                <w:rFonts w:ascii="Palatino Linotype" w:eastAsia="Palatino Linotype" w:hAnsi="Palatino Linotype" w:cs="Palatino Linotype"/>
                <w:i/>
                <w:iCs/>
                <w:sz w:val="22"/>
                <w:szCs w:val="22"/>
              </w:rPr>
            </w:pPr>
          </w:p>
        </w:tc>
        <w:tc>
          <w:tcPr>
            <w:tcW w:w="3118" w:type="dxa"/>
          </w:tcPr>
          <w:p w14:paraId="6C2AA33A" w14:textId="76D186C1" w:rsidR="00E20C94" w:rsidRPr="0035228F" w:rsidRDefault="00E20C94">
            <w:pPr>
              <w:ind w:left="131" w:right="135"/>
              <w:jc w:val="both"/>
              <w:rPr>
                <w:rFonts w:ascii="Palatino Linotype" w:eastAsia="Palatino Linotype" w:hAnsi="Palatino Linotype" w:cs="Palatino Linotype"/>
                <w:i/>
                <w:iCs/>
                <w:sz w:val="22"/>
                <w:szCs w:val="22"/>
              </w:rPr>
            </w:pPr>
          </w:p>
        </w:tc>
      </w:tr>
      <w:tr w:rsidR="004D59F4" w:rsidRPr="0035228F" w14:paraId="1F85B6A9" w14:textId="77777777">
        <w:trPr>
          <w:trHeight w:val="65"/>
        </w:trPr>
        <w:tc>
          <w:tcPr>
            <w:tcW w:w="2972" w:type="dxa"/>
          </w:tcPr>
          <w:p w14:paraId="4C8FC4B4" w14:textId="77777777" w:rsidR="00655FB4"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06707/TOLUCA/IP/2025</w:t>
            </w:r>
          </w:p>
          <w:p w14:paraId="2D212D6C" w14:textId="47D969A0" w:rsidR="005C3E49"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00464/INFOEM/IP/RR/2026</w:t>
            </w:r>
          </w:p>
        </w:tc>
        <w:tc>
          <w:tcPr>
            <w:tcW w:w="2977" w:type="dxa"/>
            <w:tcMar>
              <w:top w:w="0" w:type="dxa"/>
              <w:left w:w="45" w:type="dxa"/>
              <w:bottom w:w="0" w:type="dxa"/>
              <w:right w:w="45" w:type="dxa"/>
            </w:tcMar>
          </w:tcPr>
          <w:p w14:paraId="6CD85482" w14:textId="5708EE57" w:rsidR="00E20C94" w:rsidRPr="0035228F" w:rsidRDefault="005C3E49">
            <w:pPr>
              <w:ind w:left="87" w:right="103"/>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422EFBFB" w14:textId="71CBB9EA" w:rsidR="00E20C94" w:rsidRPr="0035228F" w:rsidRDefault="005C3E49">
            <w:pPr>
              <w:ind w:left="131" w:right="135"/>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4D59F4" w:rsidRPr="0035228F" w14:paraId="58C515CA" w14:textId="77777777">
        <w:trPr>
          <w:trHeight w:val="65"/>
        </w:trPr>
        <w:tc>
          <w:tcPr>
            <w:tcW w:w="2972" w:type="dxa"/>
          </w:tcPr>
          <w:p w14:paraId="6B397CF0" w14:textId="77777777" w:rsidR="00655FB4"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06702/TOLUCA/IP/2025</w:t>
            </w:r>
          </w:p>
          <w:p w14:paraId="5EE0294F" w14:textId="231263FD" w:rsidR="005C3E49"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00469/INFOEM/IP/RR/2026</w:t>
            </w:r>
          </w:p>
        </w:tc>
        <w:tc>
          <w:tcPr>
            <w:tcW w:w="2977" w:type="dxa"/>
            <w:tcMar>
              <w:top w:w="0" w:type="dxa"/>
              <w:left w:w="45" w:type="dxa"/>
              <w:bottom w:w="0" w:type="dxa"/>
              <w:right w:w="45" w:type="dxa"/>
            </w:tcMar>
          </w:tcPr>
          <w:p w14:paraId="589DB6BB" w14:textId="75808F62" w:rsidR="00E20C94" w:rsidRPr="0035228F" w:rsidRDefault="005C3E49">
            <w:pPr>
              <w:ind w:right="103"/>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35780784" w14:textId="488933F0" w:rsidR="00E20C94" w:rsidRPr="0035228F" w:rsidRDefault="005C3E49">
            <w:pPr>
              <w:ind w:left="131" w:right="135"/>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4D59F4" w:rsidRPr="0035228F" w14:paraId="032344AA" w14:textId="77777777">
        <w:trPr>
          <w:trHeight w:val="65"/>
        </w:trPr>
        <w:tc>
          <w:tcPr>
            <w:tcW w:w="2972" w:type="dxa"/>
          </w:tcPr>
          <w:p w14:paraId="28FF69A5" w14:textId="77777777" w:rsidR="00655FB4"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06698/TOLUCA/IP/2025</w:t>
            </w:r>
          </w:p>
          <w:p w14:paraId="3EBA9AD4" w14:textId="5F6F1435" w:rsidR="005C3E49"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00474/INFOEM/IP/RR/2026</w:t>
            </w:r>
          </w:p>
        </w:tc>
        <w:tc>
          <w:tcPr>
            <w:tcW w:w="2977" w:type="dxa"/>
            <w:tcMar>
              <w:top w:w="0" w:type="dxa"/>
              <w:left w:w="45" w:type="dxa"/>
              <w:bottom w:w="0" w:type="dxa"/>
              <w:right w:w="45" w:type="dxa"/>
            </w:tcMar>
          </w:tcPr>
          <w:p w14:paraId="17D28552" w14:textId="1E6B3247" w:rsidR="00E20C94" w:rsidRPr="0035228F" w:rsidRDefault="005C3E49">
            <w:pPr>
              <w:ind w:left="87" w:right="103"/>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2514727" w14:textId="2DC8487A" w:rsidR="00E20C94" w:rsidRPr="0035228F" w:rsidRDefault="005C3E49">
            <w:pPr>
              <w:ind w:left="131" w:right="135"/>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4D59F4" w:rsidRPr="0035228F" w14:paraId="762AA760" w14:textId="77777777">
        <w:trPr>
          <w:trHeight w:val="65"/>
        </w:trPr>
        <w:tc>
          <w:tcPr>
            <w:tcW w:w="2972" w:type="dxa"/>
          </w:tcPr>
          <w:p w14:paraId="727F3047" w14:textId="77777777" w:rsidR="00655FB4"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06320/TOLUCA/IP/2025</w:t>
            </w:r>
          </w:p>
          <w:p w14:paraId="5FA336AA" w14:textId="7410EA11" w:rsidR="005C3E49"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00479/INFOEM/IP/RR/2026</w:t>
            </w:r>
          </w:p>
        </w:tc>
        <w:tc>
          <w:tcPr>
            <w:tcW w:w="2977" w:type="dxa"/>
            <w:tcMar>
              <w:top w:w="0" w:type="dxa"/>
              <w:left w:w="45" w:type="dxa"/>
              <w:bottom w:w="0" w:type="dxa"/>
              <w:right w:w="45" w:type="dxa"/>
            </w:tcMar>
          </w:tcPr>
          <w:p w14:paraId="1374EE9A" w14:textId="088848D6" w:rsidR="00E20C94" w:rsidRPr="0035228F" w:rsidRDefault="005C3E49">
            <w:pPr>
              <w:ind w:left="87" w:right="103"/>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7F2516E" w14:textId="3F889B15" w:rsidR="00E20C94" w:rsidRPr="0035228F" w:rsidRDefault="005C3E49">
            <w:pPr>
              <w:ind w:left="131" w:right="135"/>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4D59F4" w:rsidRPr="0035228F" w14:paraId="1C233109" w14:textId="77777777">
        <w:trPr>
          <w:trHeight w:val="65"/>
        </w:trPr>
        <w:tc>
          <w:tcPr>
            <w:tcW w:w="2972" w:type="dxa"/>
          </w:tcPr>
          <w:p w14:paraId="5AA85CA2" w14:textId="77777777" w:rsidR="00DD1D72"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06316/TOLUCA/IP/2025</w:t>
            </w:r>
          </w:p>
          <w:p w14:paraId="5E8074D9" w14:textId="4CA74D16" w:rsidR="005C3E49"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00484/INFOEM/IP/RR/2026</w:t>
            </w:r>
          </w:p>
        </w:tc>
        <w:tc>
          <w:tcPr>
            <w:tcW w:w="2977" w:type="dxa"/>
            <w:tcMar>
              <w:top w:w="0" w:type="dxa"/>
              <w:left w:w="45" w:type="dxa"/>
              <w:bottom w:w="0" w:type="dxa"/>
              <w:right w:w="45" w:type="dxa"/>
            </w:tcMar>
          </w:tcPr>
          <w:p w14:paraId="010F8765" w14:textId="12903FF4" w:rsidR="00E20C94" w:rsidRPr="0035228F" w:rsidRDefault="005C3E49">
            <w:pPr>
              <w:ind w:left="87" w:right="103"/>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4BC9EA02" w14:textId="76C6AA64" w:rsidR="00E20C94" w:rsidRPr="0035228F" w:rsidRDefault="005C3E49">
            <w:pPr>
              <w:ind w:left="131" w:right="135"/>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4D59F4" w:rsidRPr="0035228F" w14:paraId="0A853F35" w14:textId="77777777">
        <w:trPr>
          <w:trHeight w:val="65"/>
        </w:trPr>
        <w:tc>
          <w:tcPr>
            <w:tcW w:w="2972" w:type="dxa"/>
          </w:tcPr>
          <w:p w14:paraId="20779CA8" w14:textId="77777777" w:rsidR="00DD1D72"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06311/TOLUCA/IP/2025</w:t>
            </w:r>
          </w:p>
          <w:p w14:paraId="2A5DFD95" w14:textId="60F7CAB1" w:rsidR="005C3E49"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00489/INFOEM/IP/RR/2026</w:t>
            </w:r>
          </w:p>
        </w:tc>
        <w:tc>
          <w:tcPr>
            <w:tcW w:w="2977" w:type="dxa"/>
            <w:tcMar>
              <w:top w:w="0" w:type="dxa"/>
              <w:left w:w="45" w:type="dxa"/>
              <w:bottom w:w="0" w:type="dxa"/>
              <w:right w:w="45" w:type="dxa"/>
            </w:tcMar>
          </w:tcPr>
          <w:p w14:paraId="72D5FE9D" w14:textId="453D9004" w:rsidR="00E20C94" w:rsidRPr="0035228F" w:rsidRDefault="005C3E49">
            <w:pPr>
              <w:ind w:left="87" w:right="103"/>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1695C3CD" w14:textId="10E6BF3E" w:rsidR="00E20C94" w:rsidRPr="0035228F" w:rsidRDefault="005C3E49">
            <w:pPr>
              <w:ind w:left="131" w:right="135"/>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4D59F4" w:rsidRPr="0035228F" w14:paraId="081652A7" w14:textId="77777777">
        <w:trPr>
          <w:trHeight w:val="65"/>
        </w:trPr>
        <w:tc>
          <w:tcPr>
            <w:tcW w:w="2972" w:type="dxa"/>
          </w:tcPr>
          <w:p w14:paraId="4D1AC3B4" w14:textId="77777777" w:rsidR="00E20C94"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06306/TOLUCA/IP/2025</w:t>
            </w:r>
          </w:p>
          <w:p w14:paraId="236FD623" w14:textId="2A97A6BF" w:rsidR="005C3E49"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00494/INFOEM/IP/RR/2026</w:t>
            </w:r>
          </w:p>
        </w:tc>
        <w:tc>
          <w:tcPr>
            <w:tcW w:w="2977" w:type="dxa"/>
            <w:tcMar>
              <w:top w:w="0" w:type="dxa"/>
              <w:left w:w="45" w:type="dxa"/>
              <w:bottom w:w="0" w:type="dxa"/>
              <w:right w:w="45" w:type="dxa"/>
            </w:tcMar>
          </w:tcPr>
          <w:p w14:paraId="1476B836" w14:textId="3C953BE2" w:rsidR="00E20C94" w:rsidRPr="0035228F" w:rsidRDefault="005C3E49">
            <w:pPr>
              <w:ind w:left="87" w:right="103"/>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2985ABA3" w14:textId="2AD887A2" w:rsidR="00E20C94" w:rsidRPr="0035228F" w:rsidRDefault="005C3E49">
            <w:pPr>
              <w:ind w:left="131" w:right="135"/>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4D59F4" w:rsidRPr="0035228F" w14:paraId="79190732" w14:textId="77777777">
        <w:trPr>
          <w:trHeight w:val="65"/>
        </w:trPr>
        <w:tc>
          <w:tcPr>
            <w:tcW w:w="2972" w:type="dxa"/>
          </w:tcPr>
          <w:p w14:paraId="46739DBF" w14:textId="77777777" w:rsidR="00DD1D72"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06305/TOLUCA/IP/2025</w:t>
            </w:r>
          </w:p>
          <w:p w14:paraId="11F7E230" w14:textId="1559B7E4" w:rsidR="005C3E49"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00499/INFOEM/IP/RR/2026</w:t>
            </w:r>
          </w:p>
        </w:tc>
        <w:tc>
          <w:tcPr>
            <w:tcW w:w="2977" w:type="dxa"/>
            <w:tcMar>
              <w:top w:w="0" w:type="dxa"/>
              <w:left w:w="45" w:type="dxa"/>
              <w:bottom w:w="0" w:type="dxa"/>
              <w:right w:w="45" w:type="dxa"/>
            </w:tcMar>
          </w:tcPr>
          <w:p w14:paraId="6DAD055B" w14:textId="46B0CDCB" w:rsidR="00E20C94" w:rsidRPr="0035228F" w:rsidRDefault="005C3E49" w:rsidP="00DD1D72">
            <w:pPr>
              <w:ind w:left="87" w:right="103"/>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21B35D8F" w14:textId="67FB6E80" w:rsidR="00E20C94" w:rsidRPr="0035228F" w:rsidRDefault="005C3E49">
            <w:pPr>
              <w:ind w:left="131" w:right="135"/>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4D59F4" w:rsidRPr="0035228F" w14:paraId="68A80477" w14:textId="77777777">
        <w:trPr>
          <w:trHeight w:val="65"/>
        </w:trPr>
        <w:tc>
          <w:tcPr>
            <w:tcW w:w="2972" w:type="dxa"/>
          </w:tcPr>
          <w:p w14:paraId="02660057" w14:textId="77777777" w:rsidR="00DD1D72"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06300/TOLUCA/IP/2025</w:t>
            </w:r>
          </w:p>
          <w:p w14:paraId="4168EB9F" w14:textId="1B0339B0" w:rsidR="005C3E49"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00504/INFOEM/IP/RR/2026</w:t>
            </w:r>
          </w:p>
        </w:tc>
        <w:tc>
          <w:tcPr>
            <w:tcW w:w="2977" w:type="dxa"/>
            <w:tcMar>
              <w:top w:w="0" w:type="dxa"/>
              <w:left w:w="45" w:type="dxa"/>
              <w:bottom w:w="0" w:type="dxa"/>
              <w:right w:w="45" w:type="dxa"/>
            </w:tcMar>
          </w:tcPr>
          <w:p w14:paraId="71240554" w14:textId="63422823" w:rsidR="00E20C94" w:rsidRPr="0035228F" w:rsidRDefault="005C3E49">
            <w:pPr>
              <w:ind w:left="87" w:right="103"/>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DED6E2A" w14:textId="6116FF92" w:rsidR="00E20C94" w:rsidRPr="0035228F" w:rsidRDefault="005C3E49">
            <w:pPr>
              <w:ind w:left="131" w:right="135"/>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4D59F4" w:rsidRPr="0035228F" w14:paraId="103E7968" w14:textId="77777777">
        <w:trPr>
          <w:trHeight w:val="65"/>
        </w:trPr>
        <w:tc>
          <w:tcPr>
            <w:tcW w:w="2972" w:type="dxa"/>
          </w:tcPr>
          <w:p w14:paraId="323AFB30" w14:textId="77777777" w:rsidR="00DD1D72"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06295/TOLUCA/IP/2025</w:t>
            </w:r>
          </w:p>
          <w:p w14:paraId="3B695D86" w14:textId="452EF269" w:rsidR="005C3E49"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00509/INFOEM/IP/RR/2026</w:t>
            </w:r>
          </w:p>
        </w:tc>
        <w:tc>
          <w:tcPr>
            <w:tcW w:w="2977" w:type="dxa"/>
            <w:tcMar>
              <w:top w:w="0" w:type="dxa"/>
              <w:left w:w="45" w:type="dxa"/>
              <w:bottom w:w="0" w:type="dxa"/>
              <w:right w:w="45" w:type="dxa"/>
            </w:tcMar>
          </w:tcPr>
          <w:p w14:paraId="5435ADDA" w14:textId="77BE7C0E" w:rsidR="00E20C94" w:rsidRPr="0035228F" w:rsidRDefault="005C3E49">
            <w:pPr>
              <w:ind w:left="87" w:right="103"/>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2A5B6BAC" w14:textId="4C774D9C" w:rsidR="00E20C94" w:rsidRPr="0035228F" w:rsidRDefault="005C3E49">
            <w:pPr>
              <w:ind w:left="131" w:right="135"/>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4D59F4" w:rsidRPr="0035228F" w14:paraId="53B552DB" w14:textId="77777777">
        <w:trPr>
          <w:trHeight w:val="65"/>
        </w:trPr>
        <w:tc>
          <w:tcPr>
            <w:tcW w:w="2972" w:type="dxa"/>
          </w:tcPr>
          <w:p w14:paraId="28E24F6A" w14:textId="77777777" w:rsidR="00DD1D72"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06290/TOLUCA/IP/2025</w:t>
            </w:r>
          </w:p>
          <w:p w14:paraId="2A3C5C60" w14:textId="74D991E5" w:rsidR="005C3E49"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00514/INFOEM/IP/RR/2026</w:t>
            </w:r>
          </w:p>
        </w:tc>
        <w:tc>
          <w:tcPr>
            <w:tcW w:w="2977" w:type="dxa"/>
            <w:tcMar>
              <w:top w:w="0" w:type="dxa"/>
              <w:left w:w="45" w:type="dxa"/>
              <w:bottom w:w="0" w:type="dxa"/>
              <w:right w:w="45" w:type="dxa"/>
            </w:tcMar>
          </w:tcPr>
          <w:p w14:paraId="68B08B0A" w14:textId="03763DBD" w:rsidR="00655FB4" w:rsidRPr="0035228F" w:rsidRDefault="005C3E49">
            <w:pPr>
              <w:ind w:left="87" w:right="103"/>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57D2F95D" w14:textId="5A8BD596" w:rsidR="00655FB4" w:rsidRPr="0035228F" w:rsidRDefault="005C3E49">
            <w:pPr>
              <w:ind w:left="131" w:right="135"/>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4D59F4" w:rsidRPr="0035228F" w14:paraId="262B3D58" w14:textId="77777777">
        <w:trPr>
          <w:trHeight w:val="65"/>
        </w:trPr>
        <w:tc>
          <w:tcPr>
            <w:tcW w:w="2972" w:type="dxa"/>
          </w:tcPr>
          <w:p w14:paraId="6C0BFB7D" w14:textId="77777777" w:rsidR="00DD1D72"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06285/TOLUCA/IP/2025</w:t>
            </w:r>
          </w:p>
          <w:p w14:paraId="69155D70" w14:textId="5E2E73C5" w:rsidR="005C3E49" w:rsidRPr="0035228F" w:rsidRDefault="005C3E49">
            <w:pPr>
              <w:jc w:val="both"/>
              <w:rPr>
                <w:rFonts w:ascii="Palatino Linotype" w:eastAsia="Palatino Linotype" w:hAnsi="Palatino Linotype" w:cs="Palatino Linotype"/>
                <w:b/>
                <w:bCs/>
                <w:sz w:val="22"/>
                <w:szCs w:val="22"/>
                <w:lang w:val="en-US"/>
              </w:rPr>
            </w:pPr>
            <w:r w:rsidRPr="0035228F">
              <w:rPr>
                <w:rFonts w:ascii="Palatino Linotype" w:eastAsia="Palatino Linotype" w:hAnsi="Palatino Linotype" w:cs="Palatino Linotype"/>
                <w:b/>
                <w:bCs/>
                <w:sz w:val="22"/>
                <w:szCs w:val="22"/>
                <w:lang w:val="en-US"/>
              </w:rPr>
              <w:t>00519/INFOEM/IP/RR/2026</w:t>
            </w:r>
          </w:p>
        </w:tc>
        <w:tc>
          <w:tcPr>
            <w:tcW w:w="2977" w:type="dxa"/>
            <w:tcMar>
              <w:top w:w="0" w:type="dxa"/>
              <w:left w:w="45" w:type="dxa"/>
              <w:bottom w:w="0" w:type="dxa"/>
              <w:right w:w="45" w:type="dxa"/>
            </w:tcMar>
          </w:tcPr>
          <w:p w14:paraId="73AE7796" w14:textId="0F8E50AA" w:rsidR="00DD1D72" w:rsidRPr="0035228F" w:rsidRDefault="005C3E49">
            <w:pPr>
              <w:ind w:left="87" w:right="103"/>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72EB6E6" w14:textId="18C4A488" w:rsidR="00DD1D72" w:rsidRPr="0035228F" w:rsidRDefault="005C3E49">
            <w:pPr>
              <w:ind w:left="131" w:right="135"/>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bl>
    <w:p w14:paraId="47C44F0A" w14:textId="77777777" w:rsidR="00E20C94" w:rsidRPr="0035228F" w:rsidRDefault="00E20C94">
      <w:pPr>
        <w:spacing w:line="276" w:lineRule="auto"/>
        <w:ind w:right="900"/>
        <w:jc w:val="both"/>
        <w:rPr>
          <w:rFonts w:ascii="Palatino Linotype" w:eastAsia="Palatino Linotype" w:hAnsi="Palatino Linotype" w:cs="Palatino Linotype"/>
          <w:i/>
          <w:iCs/>
          <w:sz w:val="22"/>
          <w:szCs w:val="22"/>
        </w:rPr>
      </w:pPr>
    </w:p>
    <w:p w14:paraId="51191EAE" w14:textId="4FDEB995" w:rsidR="00E20C94" w:rsidRPr="0035228F" w:rsidRDefault="009521F6">
      <w:pPr>
        <w:spacing w:line="360" w:lineRule="auto"/>
        <w:ind w:right="51"/>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b/>
          <w:bCs/>
          <w:sz w:val="22"/>
          <w:szCs w:val="22"/>
        </w:rPr>
        <w:t xml:space="preserve">5. Turno. </w:t>
      </w:r>
      <w:r w:rsidRPr="0035228F">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los recursos de revisión </w:t>
      </w:r>
      <w:r w:rsidR="005C3E49" w:rsidRPr="0035228F">
        <w:rPr>
          <w:rFonts w:ascii="Palatino Linotype" w:eastAsia="Palatino Linotype" w:hAnsi="Palatino Linotype" w:cs="Palatino Linotype"/>
          <w:b/>
          <w:bCs/>
          <w:sz w:val="22"/>
          <w:szCs w:val="22"/>
        </w:rPr>
        <w:t>00464/INFOEM/IP/RR/2026, 00469/INFOEM/IP/RR/2026, 00474/INFOEM/IP/RR/2026, 00479/INFOEM/IP/RR/2026, 00484/INFOEM/IP/RR/2026, 00489/INFOEM/IP/RR/2026, 00494/INFOEM/IP/RR/2026, 00499/INFOEM/IP/RR/2026, 00504/INFOEM/IP/RR/2026, 00509/INFOEM/IP/RR/2026, 00514/INFOEM/IP/RR/2026 y 00519/INFOEM/IP/RR/2026,</w:t>
      </w:r>
      <w:r w:rsidRPr="0035228F">
        <w:rPr>
          <w:rFonts w:ascii="Palatino Linotype" w:eastAsia="Palatino Linotype" w:hAnsi="Palatino Linotype" w:cs="Palatino Linotype"/>
          <w:b/>
          <w:bCs/>
          <w:sz w:val="22"/>
          <w:szCs w:val="22"/>
        </w:rPr>
        <w:t xml:space="preserve"> </w:t>
      </w:r>
      <w:r w:rsidRPr="0035228F">
        <w:rPr>
          <w:rFonts w:ascii="Palatino Linotype" w:eastAsia="Palatino Linotype" w:hAnsi="Palatino Linotype" w:cs="Palatino Linotype"/>
          <w:sz w:val="22"/>
          <w:szCs w:val="22"/>
        </w:rPr>
        <w:t xml:space="preserve">se turnaron por el sistema electrónico del Instituto de Transparencia, Acceso a la Información Pública y Protección de Datos Personales del Estado de México y Municipios, a la Comisionada </w:t>
      </w:r>
      <w:r w:rsidRPr="0035228F">
        <w:rPr>
          <w:rFonts w:ascii="Palatino Linotype" w:eastAsia="Palatino Linotype" w:hAnsi="Palatino Linotype" w:cs="Palatino Linotype"/>
          <w:b/>
          <w:bCs/>
          <w:sz w:val="22"/>
          <w:szCs w:val="22"/>
        </w:rPr>
        <w:t xml:space="preserve">Guadalupe Ramírez Peña, </w:t>
      </w:r>
      <w:r w:rsidRPr="0035228F">
        <w:rPr>
          <w:rFonts w:ascii="Palatino Linotype" w:eastAsia="Palatino Linotype" w:hAnsi="Palatino Linotype" w:cs="Palatino Linotype"/>
          <w:sz w:val="22"/>
          <w:szCs w:val="22"/>
        </w:rPr>
        <w:t>a efecto de que analizara sobre su admisión o su desechamiento.</w:t>
      </w:r>
    </w:p>
    <w:p w14:paraId="4BBAD034" w14:textId="77777777" w:rsidR="00E20C94" w:rsidRPr="0035228F" w:rsidRDefault="00E20C94">
      <w:pPr>
        <w:spacing w:line="360" w:lineRule="auto"/>
        <w:ind w:right="51"/>
        <w:jc w:val="both"/>
        <w:rPr>
          <w:rFonts w:ascii="Palatino Linotype" w:eastAsia="Palatino Linotype" w:hAnsi="Palatino Linotype" w:cs="Palatino Linotype"/>
          <w:sz w:val="22"/>
          <w:szCs w:val="22"/>
        </w:rPr>
      </w:pPr>
    </w:p>
    <w:p w14:paraId="58D2304F" w14:textId="1632F307"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b/>
          <w:bCs/>
          <w:sz w:val="22"/>
          <w:szCs w:val="22"/>
        </w:rPr>
        <w:t>6. Admisión del Recurso de revisión.</w:t>
      </w:r>
      <w:r w:rsidRPr="0035228F">
        <w:rPr>
          <w:rFonts w:ascii="Palatino Linotype" w:eastAsia="Palatino Linotype" w:hAnsi="Palatino Linotype" w:cs="Palatino Linotype"/>
          <w:sz w:val="22"/>
          <w:szCs w:val="22"/>
        </w:rPr>
        <w:t xml:space="preserve"> El </w:t>
      </w:r>
      <w:r w:rsidR="00DD1D72" w:rsidRPr="0035228F">
        <w:rPr>
          <w:rFonts w:ascii="Palatino Linotype" w:eastAsia="Palatino Linotype" w:hAnsi="Palatino Linotype" w:cs="Palatino Linotype"/>
          <w:b/>
          <w:bCs/>
          <w:sz w:val="22"/>
          <w:szCs w:val="22"/>
        </w:rPr>
        <w:t>diecinueve</w:t>
      </w:r>
      <w:r w:rsidR="005C3E49" w:rsidRPr="0035228F">
        <w:rPr>
          <w:rFonts w:ascii="Palatino Linotype" w:eastAsia="Palatino Linotype" w:hAnsi="Palatino Linotype" w:cs="Palatino Linotype"/>
          <w:b/>
          <w:bCs/>
          <w:sz w:val="22"/>
          <w:szCs w:val="22"/>
        </w:rPr>
        <w:t xml:space="preserve"> y veinte </w:t>
      </w:r>
      <w:r w:rsidRPr="0035228F">
        <w:rPr>
          <w:rFonts w:ascii="Palatino Linotype" w:eastAsia="Palatino Linotype" w:hAnsi="Palatino Linotype" w:cs="Palatino Linotype"/>
          <w:b/>
          <w:bCs/>
          <w:sz w:val="22"/>
          <w:szCs w:val="22"/>
        </w:rPr>
        <w:t xml:space="preserve">de enero de dos mil veintiséis, </w:t>
      </w:r>
      <w:r w:rsidRPr="0035228F">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admitieron a trámite los recursos de revisión que ahora se resuelven, dando un plazo máximo de siete días hábiles para que las partes manifestaran lo que a su derecho resultara conveniente, ofrecieran pruebas, formularan alegatos y el </w:t>
      </w:r>
      <w:r w:rsidRPr="0035228F">
        <w:rPr>
          <w:rFonts w:ascii="Palatino Linotype" w:eastAsia="Palatino Linotype" w:hAnsi="Palatino Linotype" w:cs="Palatino Linotype"/>
          <w:b/>
          <w:bCs/>
          <w:sz w:val="22"/>
          <w:szCs w:val="22"/>
        </w:rPr>
        <w:t xml:space="preserve">Sujeto Obligado </w:t>
      </w:r>
      <w:r w:rsidRPr="0035228F">
        <w:rPr>
          <w:rFonts w:ascii="Palatino Linotype" w:eastAsia="Palatino Linotype" w:hAnsi="Palatino Linotype" w:cs="Palatino Linotype"/>
          <w:sz w:val="22"/>
          <w:szCs w:val="22"/>
        </w:rPr>
        <w:t>presentara su informe justificado.</w:t>
      </w:r>
    </w:p>
    <w:p w14:paraId="1294233D"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58189B26" w14:textId="5655652A" w:rsidR="00E20C94" w:rsidRPr="0035228F" w:rsidRDefault="009521F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5" w:name="_heading=h.2s8eyo1" w:colFirst="0" w:colLast="0"/>
      <w:bookmarkEnd w:id="5"/>
      <w:r w:rsidRPr="0035228F">
        <w:rPr>
          <w:rFonts w:ascii="Palatino Linotype" w:eastAsia="Palatino Linotype" w:hAnsi="Palatino Linotype" w:cs="Palatino Linotype"/>
          <w:b/>
          <w:bCs/>
          <w:sz w:val="22"/>
          <w:szCs w:val="22"/>
        </w:rPr>
        <w:t>7. Manifestaciones</w:t>
      </w:r>
      <w:r w:rsidRPr="0035228F">
        <w:rPr>
          <w:rFonts w:ascii="Palatino Linotype" w:eastAsia="Palatino Linotype" w:hAnsi="Palatino Linotype" w:cs="Palatino Linotype"/>
          <w:sz w:val="22"/>
          <w:szCs w:val="22"/>
        </w:rPr>
        <w:t xml:space="preserve">. De las constancias que integran el expediente en que se actúa se advierte que el </w:t>
      </w:r>
      <w:r w:rsidRPr="0035228F">
        <w:rPr>
          <w:rFonts w:ascii="Palatino Linotype" w:eastAsia="Palatino Linotype" w:hAnsi="Palatino Linotype" w:cs="Palatino Linotype"/>
          <w:b/>
          <w:bCs/>
          <w:sz w:val="22"/>
          <w:szCs w:val="22"/>
        </w:rPr>
        <w:t xml:space="preserve">Sujeto Obligado </w:t>
      </w:r>
      <w:r w:rsidRPr="0035228F">
        <w:rPr>
          <w:rFonts w:ascii="Palatino Linotype" w:eastAsia="Palatino Linotype" w:hAnsi="Palatino Linotype" w:cs="Palatino Linotype"/>
          <w:sz w:val="22"/>
          <w:szCs w:val="22"/>
        </w:rPr>
        <w:t xml:space="preserve">en fecha </w:t>
      </w:r>
      <w:r w:rsidR="00DD1D72" w:rsidRPr="0035228F">
        <w:rPr>
          <w:rFonts w:ascii="Palatino Linotype" w:eastAsia="Palatino Linotype" w:hAnsi="Palatino Linotype" w:cs="Palatino Linotype"/>
          <w:b/>
          <w:bCs/>
          <w:sz w:val="22"/>
          <w:szCs w:val="22"/>
        </w:rPr>
        <w:t xml:space="preserve">veintiocho </w:t>
      </w:r>
      <w:r w:rsidR="005C3E49" w:rsidRPr="0035228F">
        <w:rPr>
          <w:rFonts w:ascii="Palatino Linotype" w:eastAsia="Palatino Linotype" w:hAnsi="Palatino Linotype" w:cs="Palatino Linotype"/>
          <w:b/>
          <w:bCs/>
          <w:sz w:val="22"/>
          <w:szCs w:val="22"/>
        </w:rPr>
        <w:t xml:space="preserve">y veintinueve </w:t>
      </w:r>
      <w:r w:rsidRPr="0035228F">
        <w:rPr>
          <w:rFonts w:ascii="Palatino Linotype" w:eastAsia="Palatino Linotype" w:hAnsi="Palatino Linotype" w:cs="Palatino Linotype"/>
          <w:b/>
          <w:bCs/>
          <w:sz w:val="22"/>
          <w:szCs w:val="22"/>
        </w:rPr>
        <w:t xml:space="preserve">de enero de dos mil veintiséis, </w:t>
      </w:r>
      <w:r w:rsidRPr="0035228F">
        <w:rPr>
          <w:rFonts w:ascii="Palatino Linotype" w:eastAsia="Palatino Linotype" w:hAnsi="Palatino Linotype" w:cs="Palatino Linotype"/>
          <w:sz w:val="22"/>
          <w:szCs w:val="22"/>
        </w:rPr>
        <w:t>rindió sus informes justificados ratificando en lo medular la respuesta inicial.</w:t>
      </w:r>
    </w:p>
    <w:p w14:paraId="4304DF4A" w14:textId="77777777" w:rsidR="00E20C94" w:rsidRPr="0035228F" w:rsidRDefault="00E20C94">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2CF6F599" w14:textId="77777777" w:rsidR="00E20C94" w:rsidRPr="0035228F" w:rsidRDefault="009521F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Documentos rendidos en informe justificado que fueron puestos a la vista de la parte </w:t>
      </w:r>
      <w:r w:rsidRPr="0035228F">
        <w:rPr>
          <w:rFonts w:ascii="Palatino Linotype" w:eastAsia="Palatino Linotype" w:hAnsi="Palatino Linotype" w:cs="Palatino Linotype"/>
          <w:b/>
          <w:bCs/>
          <w:sz w:val="22"/>
          <w:szCs w:val="22"/>
        </w:rPr>
        <w:t xml:space="preserve">Recurrente </w:t>
      </w:r>
      <w:r w:rsidRPr="0035228F">
        <w:rPr>
          <w:rFonts w:ascii="Palatino Linotype" w:eastAsia="Palatino Linotype" w:hAnsi="Palatino Linotype" w:cs="Palatino Linotype"/>
          <w:sz w:val="22"/>
          <w:szCs w:val="22"/>
        </w:rPr>
        <w:t>a fin de que hiciera valer sus manifestaciones o rindiera alegatos que conforme a derecho resultaran procedentes; no obstante, fue omisa en ejercer dicha prerrogativa.</w:t>
      </w:r>
    </w:p>
    <w:p w14:paraId="1938AEA6" w14:textId="77777777" w:rsidR="00E20C94" w:rsidRPr="0035228F" w:rsidRDefault="00E20C94">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14:paraId="2E90D565" w14:textId="0AB562FB" w:rsidR="00E20C94" w:rsidRPr="0035228F" w:rsidRDefault="009521F6">
      <w:pPr>
        <w:pBdr>
          <w:top w:val="nil"/>
          <w:left w:val="nil"/>
          <w:bottom w:val="nil"/>
          <w:right w:val="nil"/>
          <w:between w:val="nil"/>
        </w:pBdr>
        <w:spacing w:after="120" w:line="360" w:lineRule="auto"/>
        <w:jc w:val="both"/>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b/>
          <w:bCs/>
          <w:sz w:val="22"/>
          <w:szCs w:val="22"/>
        </w:rPr>
        <w:t xml:space="preserve">8. Acumulación de los recursos de revisión. </w:t>
      </w:r>
      <w:r w:rsidRPr="0035228F">
        <w:rPr>
          <w:rFonts w:ascii="Palatino Linotype" w:eastAsia="Palatino Linotype" w:hAnsi="Palatino Linotype" w:cs="Palatino Linotype"/>
          <w:sz w:val="22"/>
          <w:szCs w:val="22"/>
        </w:rPr>
        <w:t>Por economía procesal y con la finalidad de evitar resoluciones contradictorias, mediante acuerdo del</w:t>
      </w:r>
      <w:r w:rsidRPr="0035228F">
        <w:rPr>
          <w:rFonts w:ascii="Palatino Linotype" w:eastAsia="Palatino Linotype" w:hAnsi="Palatino Linotype" w:cs="Palatino Linotype"/>
          <w:b/>
          <w:bCs/>
          <w:sz w:val="22"/>
          <w:szCs w:val="22"/>
        </w:rPr>
        <w:t xml:space="preserve"> seis de febrero de dos mil veintiséis</w:t>
      </w:r>
      <w:r w:rsidRPr="0035228F">
        <w:rPr>
          <w:rFonts w:ascii="Palatino Linotype" w:eastAsia="Palatino Linotype" w:hAnsi="Palatino Linotype" w:cs="Palatino Linotype"/>
          <w:sz w:val="22"/>
          <w:szCs w:val="22"/>
        </w:rPr>
        <w:t xml:space="preserve"> se determinó acumular los Recursos de Revisión</w:t>
      </w:r>
      <w:r w:rsidRPr="0035228F">
        <w:rPr>
          <w:rFonts w:ascii="Palatino Linotype" w:eastAsia="Palatino Linotype" w:hAnsi="Palatino Linotype" w:cs="Palatino Linotype"/>
          <w:b/>
          <w:bCs/>
          <w:sz w:val="22"/>
          <w:szCs w:val="22"/>
        </w:rPr>
        <w:t xml:space="preserve"> </w:t>
      </w:r>
      <w:r w:rsidR="005C3E49" w:rsidRPr="0035228F">
        <w:rPr>
          <w:rFonts w:ascii="Palatino Linotype" w:eastAsia="Palatino Linotype" w:hAnsi="Palatino Linotype" w:cs="Palatino Linotype"/>
          <w:b/>
          <w:bCs/>
          <w:sz w:val="22"/>
          <w:szCs w:val="22"/>
        </w:rPr>
        <w:t xml:space="preserve">00464/INFOEM/IP/RR/2026, 00469/INFOEM/IP/RR/2026, 00474/INFOEM/IP/RR/2026, 00479/INFOEM/IP/RR/2026, 00484/INFOEM/IP/RR/2026, 00489/INFOEM/IP/RR/2026, 00494/INFOEM/IP/RR/2026, 00499/INFOEM/IP/RR/2026, 00504/INFOEM/IP/RR/2026, 00509/INFOEM/IP/RR/2026, 00514/INFOEM/IP/RR/2026 y 00519/INFOEM/IP/RR/2026. </w:t>
      </w:r>
      <w:r w:rsidRPr="0035228F">
        <w:rPr>
          <w:rFonts w:ascii="Palatino Linotype" w:eastAsia="Palatino Linotype" w:hAnsi="Palatino Linotype" w:cs="Palatino Linotype"/>
          <w:b/>
          <w:bCs/>
          <w:sz w:val="22"/>
          <w:szCs w:val="22"/>
        </w:rPr>
        <w:t xml:space="preserve"> </w:t>
      </w:r>
    </w:p>
    <w:p w14:paraId="05575B49" w14:textId="77777777" w:rsidR="00E20C94" w:rsidRPr="0035228F" w:rsidRDefault="00E20C94">
      <w:pPr>
        <w:pBdr>
          <w:top w:val="nil"/>
          <w:left w:val="nil"/>
          <w:bottom w:val="nil"/>
          <w:right w:val="nil"/>
          <w:between w:val="nil"/>
        </w:pBdr>
        <w:spacing w:after="120" w:line="360" w:lineRule="auto"/>
        <w:jc w:val="both"/>
        <w:rPr>
          <w:rFonts w:ascii="Palatino Linotype" w:eastAsia="Palatino Linotype" w:hAnsi="Palatino Linotype" w:cs="Palatino Linotype"/>
          <w:sz w:val="22"/>
          <w:szCs w:val="22"/>
        </w:rPr>
      </w:pPr>
    </w:p>
    <w:p w14:paraId="0355BFF6" w14:textId="7D2AFBB6" w:rsidR="00E20C94" w:rsidRPr="0035228F" w:rsidRDefault="009521F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bookmarkStart w:id="6" w:name="_heading=h.ecgzfvc5bm6a" w:colFirst="0" w:colLast="0"/>
      <w:bookmarkEnd w:id="6"/>
      <w:r w:rsidRPr="0035228F">
        <w:rPr>
          <w:rFonts w:ascii="Palatino Linotype" w:eastAsia="Palatino Linotype" w:hAnsi="Palatino Linotype" w:cs="Palatino Linotype"/>
          <w:b/>
          <w:bCs/>
          <w:sz w:val="22"/>
          <w:szCs w:val="22"/>
        </w:rPr>
        <w:t xml:space="preserve">9. Cierre de instrucción. </w:t>
      </w:r>
      <w:r w:rsidR="00B056C0" w:rsidRPr="0035228F">
        <w:rPr>
          <w:rFonts w:ascii="Palatino Linotype" w:eastAsia="Palatino Linotype" w:hAnsi="Palatino Linotype" w:cs="Palatino Linotype"/>
          <w:sz w:val="22"/>
          <w:szCs w:val="22"/>
        </w:rPr>
        <w:t xml:space="preserve">El </w:t>
      </w:r>
      <w:r w:rsidR="00B056C0" w:rsidRPr="0035228F">
        <w:rPr>
          <w:rFonts w:ascii="Palatino Linotype" w:eastAsia="Palatino Linotype" w:hAnsi="Palatino Linotype" w:cs="Palatino Linotype"/>
          <w:b/>
          <w:sz w:val="22"/>
          <w:szCs w:val="22"/>
        </w:rPr>
        <w:t xml:space="preserve">diecinueve </w:t>
      </w:r>
      <w:r w:rsidRPr="0035228F">
        <w:rPr>
          <w:rFonts w:ascii="Palatino Linotype" w:eastAsia="Palatino Linotype" w:hAnsi="Palatino Linotype" w:cs="Palatino Linotype"/>
          <w:b/>
          <w:bCs/>
          <w:sz w:val="22"/>
          <w:szCs w:val="22"/>
        </w:rPr>
        <w:t xml:space="preserve">de febrero de dos mil veintiséis, </w:t>
      </w:r>
      <w:r w:rsidRPr="0035228F">
        <w:rPr>
          <w:rFonts w:ascii="Palatino Linotype" w:eastAsia="Palatino Linotype" w:hAnsi="Palatino Linotype" w:cs="Palatino Linotype"/>
          <w:sz w:val="22"/>
          <w:szCs w:val="22"/>
        </w:rPr>
        <w:t>con fundamento en lo establecido en el artículo 185, fracción VI de la Ley de Transparencia y Acceso a la Información Pública del Estado de México y Municipios, al no existir trámite pendiente por realizar y haber sido sustanciados los medios de impugnación se acordó el cierre de instrucción y se procede a formular la resolución que en derecho corresponda.</w:t>
      </w:r>
    </w:p>
    <w:p w14:paraId="0BB1FBF0" w14:textId="77777777" w:rsidR="00E20C94" w:rsidRPr="0035228F" w:rsidRDefault="00E20C94">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14:paraId="461AE92C" w14:textId="77777777" w:rsidR="00E20C94" w:rsidRPr="0035228F" w:rsidRDefault="009521F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117025AA" w14:textId="77777777" w:rsidR="00E20C94" w:rsidRPr="0035228F" w:rsidRDefault="009521F6">
      <w:pPr>
        <w:widowControl w:val="0"/>
        <w:spacing w:before="240" w:after="240" w:line="360" w:lineRule="auto"/>
        <w:jc w:val="center"/>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b/>
          <w:bCs/>
          <w:sz w:val="22"/>
          <w:szCs w:val="22"/>
        </w:rPr>
        <w:t>II. C O N S I D E R A N D O S</w:t>
      </w:r>
    </w:p>
    <w:p w14:paraId="166194B8" w14:textId="77777777"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b/>
          <w:bCs/>
          <w:sz w:val="22"/>
          <w:szCs w:val="22"/>
        </w:rPr>
        <w:t>Primero. Competencia.</w:t>
      </w:r>
      <w:r w:rsidRPr="0035228F">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XXIII y XXIV, y  11 del Reglamento Interior del Instituto de Transparencia, Acceso a la Información Pública y Protección de Datos Personales del Estado de México y Municipios.</w:t>
      </w:r>
    </w:p>
    <w:p w14:paraId="389325E5"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00218DE0" w14:textId="77777777" w:rsidR="00E20C94" w:rsidRPr="0035228F" w:rsidRDefault="009521F6">
      <w:pPr>
        <w:spacing w:line="360" w:lineRule="auto"/>
        <w:jc w:val="both"/>
        <w:rPr>
          <w:rFonts w:ascii="Palatino Linotype" w:eastAsia="Palatino Linotype" w:hAnsi="Palatino Linotype" w:cs="Palatino Linotype"/>
          <w:sz w:val="22"/>
          <w:szCs w:val="22"/>
        </w:rPr>
      </w:pPr>
      <w:bookmarkStart w:id="7" w:name="_heading=h.tyjcwt" w:colFirst="0" w:colLast="0"/>
      <w:bookmarkEnd w:id="7"/>
      <w:r w:rsidRPr="0035228F">
        <w:rPr>
          <w:rFonts w:ascii="Palatino Linotype" w:eastAsia="Palatino Linotype" w:hAnsi="Palatino Linotype" w:cs="Palatino Linotype"/>
          <w:b/>
          <w:bCs/>
          <w:sz w:val="22"/>
          <w:szCs w:val="22"/>
        </w:rPr>
        <w:t xml:space="preserve">Segundo. Oportunidad y Procedibilidad de los Recursos de Revisión. </w:t>
      </w:r>
      <w:r w:rsidRPr="0035228F">
        <w:rPr>
          <w:rFonts w:ascii="Palatino Linotype" w:eastAsia="Palatino Linotype" w:hAnsi="Palatino Linotype" w:cs="Palatino Linotype"/>
          <w:sz w:val="22"/>
          <w:szCs w:val="22"/>
        </w:rPr>
        <w:t>Previo al estudio del fondo del asunto, se procede a analizar los requisitos de oportunidad y procedibilidad que deben reunir los recursos de revisión interpuestos, previstos en los artículos 178 y 180 de la Ley de Transparencia y Acceso a la Información Pública del Estado de México y Municipios.</w:t>
      </w:r>
    </w:p>
    <w:p w14:paraId="224C6906"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6865C9D2" w14:textId="031D1E6D"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Los recursos de revisión fueron interpuestos dentro del plazo de quince días hábiles, previsto en el artículo 178 de la Ley de Transparencia y Acceso a la Información Pública del Estado de México y Municipios, toda vez que el </w:t>
      </w:r>
      <w:r w:rsidRPr="0035228F">
        <w:rPr>
          <w:rFonts w:ascii="Palatino Linotype" w:eastAsia="Palatino Linotype" w:hAnsi="Palatino Linotype" w:cs="Palatino Linotype"/>
          <w:b/>
          <w:bCs/>
          <w:sz w:val="22"/>
          <w:szCs w:val="22"/>
        </w:rPr>
        <w:t xml:space="preserve">Sujeto Obligado </w:t>
      </w:r>
      <w:r w:rsidRPr="0035228F">
        <w:rPr>
          <w:rFonts w:ascii="Palatino Linotype" w:eastAsia="Palatino Linotype" w:hAnsi="Palatino Linotype" w:cs="Palatino Linotype"/>
          <w:sz w:val="22"/>
          <w:szCs w:val="22"/>
        </w:rPr>
        <w:t xml:space="preserve">remitió las respuestas a las solicitudes de información el </w:t>
      </w:r>
      <w:r w:rsidR="005C3E49" w:rsidRPr="0035228F">
        <w:rPr>
          <w:rFonts w:ascii="Palatino Linotype" w:eastAsia="Palatino Linotype" w:hAnsi="Palatino Linotype" w:cs="Palatino Linotype"/>
          <w:b/>
          <w:bCs/>
          <w:sz w:val="22"/>
          <w:szCs w:val="22"/>
        </w:rPr>
        <w:t>doce</w:t>
      </w:r>
      <w:r w:rsidRPr="0035228F">
        <w:rPr>
          <w:rFonts w:ascii="Palatino Linotype" w:eastAsia="Palatino Linotype" w:hAnsi="Palatino Linotype" w:cs="Palatino Linotype"/>
          <w:b/>
          <w:bCs/>
          <w:sz w:val="22"/>
          <w:szCs w:val="22"/>
        </w:rPr>
        <w:t xml:space="preserve"> de diciembre de dos mil veinticinco</w:t>
      </w:r>
      <w:r w:rsidR="00DD1D72" w:rsidRPr="0035228F">
        <w:rPr>
          <w:rFonts w:ascii="Palatino Linotype" w:eastAsia="Palatino Linotype" w:hAnsi="Palatino Linotype" w:cs="Palatino Linotype"/>
          <w:b/>
          <w:bCs/>
          <w:sz w:val="22"/>
          <w:szCs w:val="22"/>
        </w:rPr>
        <w:t xml:space="preserve"> y </w:t>
      </w:r>
      <w:r w:rsidR="005C3E49" w:rsidRPr="0035228F">
        <w:rPr>
          <w:rFonts w:ascii="Palatino Linotype" w:eastAsia="Palatino Linotype" w:hAnsi="Palatino Linotype" w:cs="Palatino Linotype"/>
          <w:b/>
          <w:bCs/>
          <w:sz w:val="22"/>
          <w:szCs w:val="22"/>
        </w:rPr>
        <w:t>doce</w:t>
      </w:r>
      <w:r w:rsidR="00DD1D72" w:rsidRPr="0035228F">
        <w:rPr>
          <w:rFonts w:ascii="Palatino Linotype" w:eastAsia="Palatino Linotype" w:hAnsi="Palatino Linotype" w:cs="Palatino Linotype"/>
          <w:b/>
          <w:bCs/>
          <w:sz w:val="22"/>
          <w:szCs w:val="22"/>
        </w:rPr>
        <w:t xml:space="preserve"> de enero de dos mil veintiséis</w:t>
      </w:r>
      <w:r w:rsidRPr="0035228F">
        <w:rPr>
          <w:rFonts w:ascii="Palatino Linotype" w:eastAsia="Palatino Linotype" w:hAnsi="Palatino Linotype" w:cs="Palatino Linotype"/>
          <w:b/>
          <w:bCs/>
          <w:sz w:val="22"/>
          <w:szCs w:val="22"/>
        </w:rPr>
        <w:t xml:space="preserve">, </w:t>
      </w:r>
      <w:r w:rsidRPr="0035228F">
        <w:rPr>
          <w:rFonts w:ascii="Palatino Linotype" w:eastAsia="Palatino Linotype" w:hAnsi="Palatino Linotype" w:cs="Palatino Linotype"/>
          <w:sz w:val="22"/>
          <w:szCs w:val="22"/>
        </w:rPr>
        <w:t xml:space="preserve">mientras que los recursos de revisión interpuestos por </w:t>
      </w:r>
      <w:r w:rsidRPr="0035228F">
        <w:rPr>
          <w:rFonts w:ascii="Palatino Linotype" w:eastAsia="Palatino Linotype" w:hAnsi="Palatino Linotype" w:cs="Palatino Linotype"/>
          <w:b/>
          <w:bCs/>
          <w:sz w:val="22"/>
          <w:szCs w:val="22"/>
        </w:rPr>
        <w:t>la parte</w:t>
      </w:r>
      <w:r w:rsidRPr="0035228F">
        <w:rPr>
          <w:rFonts w:ascii="Palatino Linotype" w:eastAsia="Palatino Linotype" w:hAnsi="Palatino Linotype" w:cs="Palatino Linotype"/>
          <w:sz w:val="22"/>
          <w:szCs w:val="22"/>
        </w:rPr>
        <w:t xml:space="preserve"> </w:t>
      </w:r>
      <w:r w:rsidRPr="0035228F">
        <w:rPr>
          <w:rFonts w:ascii="Palatino Linotype" w:eastAsia="Palatino Linotype" w:hAnsi="Palatino Linotype" w:cs="Palatino Linotype"/>
          <w:b/>
          <w:bCs/>
          <w:sz w:val="22"/>
          <w:szCs w:val="22"/>
        </w:rPr>
        <w:t>Recurrente</w:t>
      </w:r>
      <w:r w:rsidRPr="0035228F">
        <w:rPr>
          <w:rFonts w:ascii="Palatino Linotype" w:eastAsia="Palatino Linotype" w:hAnsi="Palatino Linotype" w:cs="Palatino Linotype"/>
          <w:sz w:val="22"/>
          <w:szCs w:val="22"/>
        </w:rPr>
        <w:t xml:space="preserve">, se tuvieron por presentados el </w:t>
      </w:r>
      <w:r w:rsidR="00DD1D72" w:rsidRPr="0035228F">
        <w:rPr>
          <w:rFonts w:ascii="Palatino Linotype" w:eastAsia="Palatino Linotype" w:hAnsi="Palatino Linotype" w:cs="Palatino Linotype"/>
          <w:b/>
          <w:bCs/>
          <w:sz w:val="22"/>
          <w:szCs w:val="22"/>
        </w:rPr>
        <w:t>catorce</w:t>
      </w:r>
      <w:r w:rsidR="005C3E49" w:rsidRPr="0035228F">
        <w:rPr>
          <w:rFonts w:ascii="Palatino Linotype" w:eastAsia="Palatino Linotype" w:hAnsi="Palatino Linotype" w:cs="Palatino Linotype"/>
          <w:b/>
          <w:bCs/>
          <w:sz w:val="22"/>
          <w:szCs w:val="22"/>
        </w:rPr>
        <w:t xml:space="preserve"> y quince</w:t>
      </w:r>
      <w:r w:rsidR="00DD1D72" w:rsidRPr="0035228F">
        <w:rPr>
          <w:rFonts w:ascii="Palatino Linotype" w:eastAsia="Palatino Linotype" w:hAnsi="Palatino Linotype" w:cs="Palatino Linotype"/>
          <w:b/>
          <w:bCs/>
          <w:sz w:val="22"/>
          <w:szCs w:val="22"/>
        </w:rPr>
        <w:t xml:space="preserve"> </w:t>
      </w:r>
      <w:r w:rsidRPr="0035228F">
        <w:rPr>
          <w:rFonts w:ascii="Palatino Linotype" w:eastAsia="Palatino Linotype" w:hAnsi="Palatino Linotype" w:cs="Palatino Linotype"/>
          <w:b/>
          <w:bCs/>
          <w:sz w:val="22"/>
          <w:szCs w:val="22"/>
        </w:rPr>
        <w:t>de enero de dos mil veintiséis</w:t>
      </w:r>
      <w:r w:rsidR="00DD1D72" w:rsidRPr="0035228F">
        <w:rPr>
          <w:rFonts w:ascii="Palatino Linotype" w:eastAsia="Palatino Linotype" w:hAnsi="Palatino Linotype" w:cs="Palatino Linotype"/>
          <w:sz w:val="22"/>
          <w:szCs w:val="22"/>
        </w:rPr>
        <w:t xml:space="preserve">. </w:t>
      </w:r>
    </w:p>
    <w:p w14:paraId="23FC5FD2"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23F4CFA9" w14:textId="77777777"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En este sentido, se concluye que los presentes recursos de revisión se encuentran dentro de los márgenes temporales previstos en las disposiciones legales referidas.</w:t>
      </w:r>
    </w:p>
    <w:p w14:paraId="01CF4E1B"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08F40EC5" w14:textId="77777777" w:rsidR="00E20C94" w:rsidRPr="0035228F" w:rsidRDefault="009521F6">
      <w:pPr>
        <w:tabs>
          <w:tab w:val="left" w:pos="7938"/>
        </w:tabs>
        <w:spacing w:line="360" w:lineRule="auto"/>
        <w:jc w:val="both"/>
        <w:rPr>
          <w:rFonts w:ascii="Palatino Linotype" w:eastAsia="Palatino Linotype" w:hAnsi="Palatino Linotype" w:cs="Palatino Linotype"/>
          <w:sz w:val="22"/>
          <w:szCs w:val="22"/>
        </w:rPr>
      </w:pPr>
      <w:bookmarkStart w:id="8" w:name="_heading=h.3znysh7" w:colFirst="0" w:colLast="0"/>
      <w:bookmarkEnd w:id="8"/>
      <w:r w:rsidRPr="0035228F">
        <w:rPr>
          <w:rFonts w:ascii="Palatino Linotype" w:eastAsia="Palatino Linotype" w:hAnsi="Palatino Linotype" w:cs="Palatino Linotype"/>
          <w:sz w:val="22"/>
          <w:szCs w:val="22"/>
        </w:rPr>
        <w:t>Al mismo tiempo, por cuanto hace a la procedibilidad de los recursos de revisión, una vez realizado el análisis del formato de interposición de los recursos, se concluye la acreditación plena de los elementos formales precisados por el artículo 180 de la Ley de Transparencia y Acceso a la Información Pública del Estado de México y Municipios, en atención a que fueron presentados mediante el formato visible en el SAIMEX.</w:t>
      </w:r>
    </w:p>
    <w:p w14:paraId="15E74E73" w14:textId="77777777" w:rsidR="00E20C94" w:rsidRPr="0035228F" w:rsidRDefault="00E20C94">
      <w:pPr>
        <w:tabs>
          <w:tab w:val="left" w:pos="7938"/>
        </w:tabs>
        <w:spacing w:line="360" w:lineRule="auto"/>
        <w:jc w:val="both"/>
        <w:rPr>
          <w:rFonts w:ascii="Palatino Linotype" w:eastAsia="Palatino Linotype" w:hAnsi="Palatino Linotype" w:cs="Palatino Linotype"/>
          <w:sz w:val="22"/>
          <w:szCs w:val="22"/>
        </w:rPr>
      </w:pPr>
    </w:p>
    <w:p w14:paraId="65B942B2" w14:textId="77777777"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Por otro lado, es de suma importancia mencionar que, si bien la parte</w:t>
      </w:r>
      <w:r w:rsidRPr="0035228F">
        <w:rPr>
          <w:rFonts w:ascii="Palatino Linotype" w:eastAsia="Palatino Linotype" w:hAnsi="Palatino Linotype" w:cs="Palatino Linotype"/>
          <w:b/>
          <w:bCs/>
          <w:sz w:val="22"/>
          <w:szCs w:val="22"/>
        </w:rPr>
        <w:t xml:space="preserve"> Recurrente</w:t>
      </w:r>
      <w:r w:rsidRPr="0035228F">
        <w:rPr>
          <w:rFonts w:ascii="Palatino Linotype" w:eastAsia="Palatino Linotype" w:hAnsi="Palatino Linotype" w:cs="Palatino Linotype"/>
          <w:sz w:val="22"/>
          <w:szCs w:val="22"/>
        </w:rPr>
        <w:t xml:space="preserve"> </w:t>
      </w:r>
      <w:r w:rsidRPr="0035228F">
        <w:rPr>
          <w:rFonts w:ascii="Palatino Linotype" w:eastAsia="Palatino Linotype" w:hAnsi="Palatino Linotype" w:cs="Palatino Linotype"/>
          <w:b/>
          <w:bCs/>
          <w:sz w:val="22"/>
          <w:szCs w:val="22"/>
        </w:rPr>
        <w:t>no</w:t>
      </w:r>
      <w:r w:rsidRPr="0035228F">
        <w:rPr>
          <w:rFonts w:ascii="Palatino Linotype" w:eastAsia="Palatino Linotype" w:hAnsi="Palatino Linotype" w:cs="Palatino Linotype"/>
          <w:sz w:val="22"/>
          <w:szCs w:val="22"/>
        </w:rPr>
        <w:t xml:space="preserve"> </w:t>
      </w:r>
      <w:r w:rsidRPr="0035228F">
        <w:rPr>
          <w:rFonts w:ascii="Palatino Linotype" w:eastAsia="Palatino Linotype" w:hAnsi="Palatino Linotype" w:cs="Palatino Linotype"/>
          <w:b/>
          <w:bCs/>
          <w:sz w:val="22"/>
          <w:szCs w:val="22"/>
        </w:rPr>
        <w:t>proporcionó nombre,</w:t>
      </w:r>
      <w:r w:rsidRPr="0035228F">
        <w:rPr>
          <w:rFonts w:ascii="Palatino Linotype" w:eastAsia="Palatino Linotype" w:hAnsi="Palatino Linotype" w:cs="Palatino Linotype"/>
          <w:sz w:val="22"/>
          <w:szCs w:val="22"/>
        </w:rPr>
        <w:t xml:space="preserve"> como se advierte en el detalle de seguimiento del SAIMEX; sin embargo, el no proporcionar un nombre no es motivo para archivar las solicitudes de acceso a la información pública como concluidas, conforme a lo previsto en el artículo 155, penúltimo párrafo de la Ley de Transparencia y Acceso a la Información Pública del Estado de México y Municipios que establece lo siguiente:</w:t>
      </w:r>
    </w:p>
    <w:p w14:paraId="0F4088B6"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39C96869" w14:textId="77777777" w:rsidR="00E20C94" w:rsidRPr="0035228F" w:rsidRDefault="009521F6">
      <w:pPr>
        <w:spacing w:line="276" w:lineRule="auto"/>
        <w:ind w:left="851" w:right="902"/>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i/>
          <w:iCs/>
          <w:sz w:val="22"/>
          <w:szCs w:val="22"/>
        </w:rPr>
        <w:t>"</w:t>
      </w:r>
      <w:r w:rsidRPr="0035228F">
        <w:rPr>
          <w:rFonts w:ascii="Palatino Linotype" w:eastAsia="Palatino Linotype" w:hAnsi="Palatino Linotype" w:cs="Palatino Linotype"/>
          <w:b/>
          <w:bCs/>
          <w:i/>
          <w:iCs/>
          <w:sz w:val="22"/>
          <w:szCs w:val="22"/>
        </w:rPr>
        <w:t xml:space="preserve">Las solicitudes </w:t>
      </w:r>
      <w:r w:rsidRPr="0035228F">
        <w:rPr>
          <w:rFonts w:ascii="Palatino Linotype" w:eastAsia="Palatino Linotype" w:hAnsi="Palatino Linotype" w:cs="Palatino Linotype"/>
          <w:b/>
          <w:bCs/>
          <w:i/>
          <w:iCs/>
          <w:sz w:val="22"/>
          <w:szCs w:val="22"/>
          <w:u w:val="single"/>
        </w:rPr>
        <w:t>anónimas</w:t>
      </w:r>
      <w:r w:rsidRPr="0035228F">
        <w:rPr>
          <w:rFonts w:ascii="Palatino Linotype" w:eastAsia="Palatino Linotype" w:hAnsi="Palatino Linotype" w:cs="Palatino Linotype"/>
          <w:i/>
          <w:iCs/>
          <w:sz w:val="22"/>
          <w:szCs w:val="22"/>
        </w:rPr>
        <w:t>, con nombre incompleto o seudónimo </w:t>
      </w:r>
      <w:r w:rsidRPr="0035228F">
        <w:rPr>
          <w:rFonts w:ascii="Palatino Linotype" w:eastAsia="Palatino Linotype" w:hAnsi="Palatino Linotype" w:cs="Palatino Linotype"/>
          <w:b/>
          <w:bCs/>
          <w:i/>
          <w:iCs/>
          <w:sz w:val="22"/>
          <w:szCs w:val="22"/>
        </w:rPr>
        <w:t>serán procedentes para su trámite por parte del sujeto obligado ante quien se presente</w:t>
      </w:r>
      <w:r w:rsidRPr="0035228F">
        <w:rPr>
          <w:rFonts w:ascii="Palatino Linotype" w:eastAsia="Palatino Linotype" w:hAnsi="Palatino Linotype" w:cs="Palatino Linotype"/>
          <w:i/>
          <w:iCs/>
          <w:sz w:val="22"/>
          <w:szCs w:val="22"/>
        </w:rPr>
        <w:t>. No podrá requerirse información adicional con motivo del nombre proporcionado por el solicitante."</w:t>
      </w:r>
    </w:p>
    <w:p w14:paraId="7EB76A1E" w14:textId="77777777" w:rsidR="00E20C94" w:rsidRPr="0035228F" w:rsidRDefault="00E20C94">
      <w:pPr>
        <w:tabs>
          <w:tab w:val="left" w:pos="7938"/>
        </w:tabs>
        <w:spacing w:line="360" w:lineRule="auto"/>
        <w:jc w:val="both"/>
        <w:rPr>
          <w:rFonts w:ascii="Palatino Linotype" w:eastAsia="Palatino Linotype" w:hAnsi="Palatino Linotype" w:cs="Palatino Linotype"/>
          <w:sz w:val="22"/>
          <w:szCs w:val="22"/>
        </w:rPr>
      </w:pPr>
    </w:p>
    <w:p w14:paraId="5D6F0944" w14:textId="77777777"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Finalmente, se advierte que resulta procedente la interposición del recurso, según lo manifestado por </w:t>
      </w:r>
      <w:r w:rsidRPr="0035228F">
        <w:rPr>
          <w:rFonts w:ascii="Palatino Linotype" w:eastAsia="Palatino Linotype" w:hAnsi="Palatino Linotype" w:cs="Palatino Linotype"/>
          <w:b/>
          <w:bCs/>
          <w:sz w:val="22"/>
          <w:szCs w:val="22"/>
        </w:rPr>
        <w:t>la parte</w:t>
      </w:r>
      <w:r w:rsidRPr="0035228F">
        <w:rPr>
          <w:rFonts w:ascii="Palatino Linotype" w:eastAsia="Palatino Linotype" w:hAnsi="Palatino Linotype" w:cs="Palatino Linotype"/>
          <w:sz w:val="22"/>
          <w:szCs w:val="22"/>
        </w:rPr>
        <w:t xml:space="preserve"> </w:t>
      </w:r>
      <w:r w:rsidRPr="0035228F">
        <w:rPr>
          <w:rFonts w:ascii="Palatino Linotype" w:eastAsia="Palatino Linotype" w:hAnsi="Palatino Linotype" w:cs="Palatino Linotype"/>
          <w:b/>
          <w:bCs/>
          <w:sz w:val="22"/>
          <w:szCs w:val="22"/>
        </w:rPr>
        <w:t>Recurrente</w:t>
      </w:r>
      <w:r w:rsidRPr="0035228F">
        <w:rPr>
          <w:rFonts w:ascii="Palatino Linotype" w:eastAsia="Palatino Linotype" w:hAnsi="Palatino Linotype" w:cs="Palatino Linotype"/>
          <w:sz w:val="22"/>
          <w:szCs w:val="22"/>
        </w:rPr>
        <w:t xml:space="preserve"> en sus motivos de inconformidad, de acuerdo al artículo 179, fracción I del ordenamiento legal citado, que a la letra dice: </w:t>
      </w:r>
    </w:p>
    <w:p w14:paraId="07C36606"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6E2DB25E" w14:textId="77777777" w:rsidR="00E20C94" w:rsidRPr="0035228F" w:rsidRDefault="009521F6">
      <w:pPr>
        <w:ind w:left="567"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w:t>
      </w:r>
      <w:r w:rsidRPr="0035228F">
        <w:rPr>
          <w:rFonts w:ascii="Palatino Linotype" w:eastAsia="Palatino Linotype" w:hAnsi="Palatino Linotype" w:cs="Palatino Linotype"/>
          <w:b/>
          <w:bCs/>
          <w:i/>
          <w:iCs/>
          <w:sz w:val="22"/>
          <w:szCs w:val="22"/>
        </w:rPr>
        <w:t>Artículo 179.</w:t>
      </w:r>
      <w:r w:rsidRPr="0035228F">
        <w:rPr>
          <w:rFonts w:ascii="Palatino Linotype" w:eastAsia="Palatino Linotype" w:hAnsi="Palatino Linotype" w:cs="Palatino Linotype"/>
          <w:i/>
          <w:iCs/>
          <w:sz w:val="22"/>
          <w:szCs w:val="22"/>
        </w:rPr>
        <w:t xml:space="preserve"> El recurso de revisión es un medio de protección que la Ley otorga a los particulares, para hacer valer su derecho de acceso a la información pública, y procederá en contra de las siguientes causas:</w:t>
      </w:r>
    </w:p>
    <w:p w14:paraId="6A20B735" w14:textId="77777777" w:rsidR="00E20C94" w:rsidRPr="0035228F" w:rsidRDefault="009521F6">
      <w:pPr>
        <w:ind w:left="567" w:right="902"/>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I. La negativa a la información solicitada;</w:t>
      </w:r>
    </w:p>
    <w:p w14:paraId="04215E39" w14:textId="77777777" w:rsidR="00E20C94" w:rsidRPr="0035228F" w:rsidRDefault="009521F6">
      <w:pPr>
        <w:ind w:left="567"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w:t>
      </w:r>
    </w:p>
    <w:p w14:paraId="0F286EC0" w14:textId="77777777" w:rsidR="00E20C94" w:rsidRPr="0035228F" w:rsidRDefault="00E20C94">
      <w:pPr>
        <w:ind w:left="567"/>
        <w:rPr>
          <w:rFonts w:ascii="Palatino Linotype" w:eastAsia="Palatino Linotype" w:hAnsi="Palatino Linotype" w:cs="Palatino Linotype"/>
          <w:b/>
          <w:bCs/>
          <w:i/>
          <w:iCs/>
          <w:sz w:val="22"/>
          <w:szCs w:val="22"/>
        </w:rPr>
      </w:pPr>
    </w:p>
    <w:p w14:paraId="755B3B5B" w14:textId="77777777" w:rsidR="00E20C94" w:rsidRPr="0035228F" w:rsidRDefault="00E20C94">
      <w:pPr>
        <w:ind w:left="567" w:right="900"/>
        <w:jc w:val="right"/>
        <w:rPr>
          <w:rFonts w:ascii="Palatino Linotype" w:eastAsia="Palatino Linotype" w:hAnsi="Palatino Linotype" w:cs="Palatino Linotype"/>
          <w:b/>
          <w:bCs/>
          <w:i/>
          <w:iCs/>
          <w:sz w:val="22"/>
          <w:szCs w:val="22"/>
        </w:rPr>
      </w:pPr>
    </w:p>
    <w:p w14:paraId="4801151C" w14:textId="77777777" w:rsidR="00E20C94" w:rsidRPr="0035228F" w:rsidRDefault="009521F6">
      <w:pPr>
        <w:spacing w:line="360" w:lineRule="auto"/>
        <w:jc w:val="both"/>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b/>
          <w:bCs/>
          <w:sz w:val="22"/>
          <w:szCs w:val="22"/>
        </w:rPr>
        <w:t xml:space="preserve">Tercero. Materia de la revisión. </w:t>
      </w:r>
      <w:r w:rsidRPr="0035228F">
        <w:rPr>
          <w:rFonts w:ascii="Palatino Linotype" w:eastAsia="Palatino Linotype" w:hAnsi="Palatino Linotype" w:cs="Palatino Linotype"/>
          <w:sz w:val="22"/>
          <w:szCs w:val="22"/>
        </w:rPr>
        <w:t xml:space="preserve">De la revisión a las constancias y documentos que obran en los expedientes electrónicos se advierte que, el tema sobre el que este Organismo Garante de Transparencia y Acceso a la Información se pronunciará será; </w:t>
      </w:r>
      <w:r w:rsidRPr="0035228F">
        <w:rPr>
          <w:rFonts w:ascii="Palatino Linotype" w:eastAsia="Palatino Linotype" w:hAnsi="Palatino Linotype" w:cs="Palatino Linotype"/>
          <w:b/>
          <w:bCs/>
          <w:sz w:val="22"/>
          <w:szCs w:val="22"/>
        </w:rPr>
        <w:t>verificar si las respuestas otorgadas por el Sujeto Obligado, son adecuadas y suficientes para satisfacer el derecho de acceso a la información pública de la parte Recurrente, o en su defecto, en caso de ser procedente, ordenar la entrega de información oportuna.</w:t>
      </w:r>
    </w:p>
    <w:p w14:paraId="6C93A12B"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769AF231" w14:textId="77777777"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b/>
          <w:bCs/>
          <w:sz w:val="22"/>
          <w:szCs w:val="22"/>
        </w:rPr>
        <w:t xml:space="preserve">Cuarto. Estudio de los recursos de revisión. </w:t>
      </w:r>
      <w:r w:rsidRPr="0035228F">
        <w:rPr>
          <w:rFonts w:ascii="Palatino Linotype" w:eastAsia="Palatino Linotype" w:hAnsi="Palatino Linotype" w:cs="Palatino Linotype"/>
          <w:sz w:val="22"/>
          <w:szCs w:val="22"/>
        </w:rPr>
        <w:t xml:space="preserve">Antes de entrar al análisis de los pronunciamientos del </w:t>
      </w:r>
      <w:r w:rsidRPr="0035228F">
        <w:rPr>
          <w:rFonts w:ascii="Palatino Linotype" w:eastAsia="Palatino Linotype" w:hAnsi="Palatino Linotype" w:cs="Palatino Linotype"/>
          <w:b/>
          <w:bCs/>
          <w:sz w:val="22"/>
          <w:szCs w:val="22"/>
        </w:rPr>
        <w:t>Sujeto Obligado</w:t>
      </w:r>
      <w:r w:rsidRPr="0035228F">
        <w:rPr>
          <w:rFonts w:ascii="Palatino Linotype" w:eastAsia="Palatino Linotype" w:hAnsi="Palatino Linotype" w:cs="Palatino Linotype"/>
          <w:sz w:val="22"/>
          <w:szCs w:val="22"/>
        </w:rPr>
        <w:t xml:space="preserve"> en las respuestas proporcionadas, es necesario mencionar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314A4081"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89974B3" w14:textId="77777777" w:rsidR="00E20C94" w:rsidRPr="0035228F" w:rsidRDefault="009521F6">
      <w:pPr>
        <w:spacing w:line="276" w:lineRule="auto"/>
        <w:ind w:left="851" w:right="843"/>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w:t>
      </w:r>
      <w:r w:rsidRPr="0035228F">
        <w:rPr>
          <w:rFonts w:ascii="Palatino Linotype" w:eastAsia="Palatino Linotype" w:hAnsi="Palatino Linotype" w:cs="Palatino Linotype"/>
          <w:b/>
          <w:bCs/>
          <w:i/>
          <w:iCs/>
          <w:sz w:val="22"/>
          <w:szCs w:val="22"/>
        </w:rPr>
        <w:t>Artículo 4</w:t>
      </w:r>
      <w:r w:rsidRPr="0035228F">
        <w:rPr>
          <w:rFonts w:ascii="Palatino Linotype" w:eastAsia="Palatino Linotype" w:hAnsi="Palatino Linotype" w:cs="Palatino Linotype"/>
          <w:i/>
          <w:iCs/>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021EB6B8" w14:textId="77777777" w:rsidR="00E20C94" w:rsidRPr="0035228F" w:rsidRDefault="00E20C94">
      <w:pPr>
        <w:spacing w:line="276" w:lineRule="auto"/>
        <w:ind w:left="851" w:right="843"/>
        <w:jc w:val="both"/>
        <w:rPr>
          <w:rFonts w:ascii="Palatino Linotype" w:eastAsia="Palatino Linotype" w:hAnsi="Palatino Linotype" w:cs="Palatino Linotype"/>
          <w:i/>
          <w:iCs/>
          <w:sz w:val="22"/>
          <w:szCs w:val="22"/>
        </w:rPr>
      </w:pPr>
    </w:p>
    <w:p w14:paraId="6F547374" w14:textId="77777777" w:rsidR="00E20C94" w:rsidRPr="0035228F" w:rsidRDefault="009521F6">
      <w:pPr>
        <w:spacing w:line="276" w:lineRule="auto"/>
        <w:ind w:left="851" w:right="843"/>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Toda la información generada, obtenida, adquirida, transformada, administrada o en posesión de los sujetos obligados es pública y accesible de manera permanente a cualquier persona</w:t>
      </w:r>
      <w:r w:rsidRPr="0035228F">
        <w:rPr>
          <w:rFonts w:ascii="Palatino Linotype" w:eastAsia="Palatino Linotype" w:hAnsi="Palatino Linotype" w:cs="Palatino Linotype"/>
          <w:i/>
          <w:iCs/>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15DE1558" w14:textId="77777777" w:rsidR="00E20C94" w:rsidRPr="0035228F" w:rsidRDefault="00E20C94">
      <w:pPr>
        <w:spacing w:line="276" w:lineRule="auto"/>
        <w:ind w:left="851" w:right="843"/>
        <w:jc w:val="both"/>
        <w:rPr>
          <w:rFonts w:ascii="Palatino Linotype" w:eastAsia="Palatino Linotype" w:hAnsi="Palatino Linotype" w:cs="Palatino Linotype"/>
          <w:i/>
          <w:iCs/>
          <w:sz w:val="22"/>
          <w:szCs w:val="22"/>
        </w:rPr>
      </w:pPr>
    </w:p>
    <w:p w14:paraId="03E58041" w14:textId="77777777" w:rsidR="00E20C94" w:rsidRPr="0035228F" w:rsidRDefault="009521F6">
      <w:pPr>
        <w:spacing w:line="276" w:lineRule="auto"/>
        <w:ind w:left="851" w:right="843"/>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Los sujetos obligados deben poner en práctica, políticas y programas de acceso a la información que se apeguen a criterios de publicidad, veracidad, oportunidad, precisión y suficiencia en beneficio de los solicitantes</w:t>
      </w:r>
      <w:r w:rsidRPr="0035228F">
        <w:rPr>
          <w:rFonts w:ascii="Palatino Linotype" w:eastAsia="Palatino Linotype" w:hAnsi="Palatino Linotype" w:cs="Palatino Linotype"/>
          <w:i/>
          <w:iCs/>
          <w:sz w:val="22"/>
          <w:szCs w:val="22"/>
        </w:rPr>
        <w:t>.”</w:t>
      </w:r>
    </w:p>
    <w:p w14:paraId="1675E255"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43788A81" w14:textId="77777777"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0266567A"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2B10311B" w14:textId="77777777" w:rsidR="00E20C94" w:rsidRPr="0035228F" w:rsidRDefault="009521F6">
      <w:pPr>
        <w:ind w:left="851" w:right="843"/>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w:t>
      </w:r>
      <w:r w:rsidRPr="0035228F">
        <w:rPr>
          <w:rFonts w:ascii="Palatino Linotype" w:eastAsia="Palatino Linotype" w:hAnsi="Palatino Linotype" w:cs="Palatino Linotype"/>
          <w:b/>
          <w:bCs/>
          <w:i/>
          <w:iCs/>
          <w:sz w:val="22"/>
          <w:szCs w:val="22"/>
        </w:rPr>
        <w:t>Artículo 12.-</w:t>
      </w:r>
      <w:r w:rsidRPr="0035228F">
        <w:rPr>
          <w:rFonts w:ascii="Palatino Linotype" w:eastAsia="Palatino Linotype" w:hAnsi="Palatino Linotype" w:cs="Palatino Linotype"/>
          <w:i/>
          <w:iCs/>
          <w:sz w:val="22"/>
          <w:szCs w:val="22"/>
        </w:rPr>
        <w:t xml:space="preserve"> Quienes generen, recopilen, administren, manejen, procesen, archiven o conserven información pública serán responsables de la misma en los términos de las disposiciones jurídicas aplicables. </w:t>
      </w:r>
    </w:p>
    <w:p w14:paraId="2738A7CA" w14:textId="77777777" w:rsidR="00E20C94" w:rsidRPr="0035228F" w:rsidRDefault="00E20C94">
      <w:pPr>
        <w:ind w:left="851" w:right="843"/>
        <w:jc w:val="both"/>
        <w:rPr>
          <w:rFonts w:ascii="Palatino Linotype" w:eastAsia="Palatino Linotype" w:hAnsi="Palatino Linotype" w:cs="Palatino Linotype"/>
          <w:i/>
          <w:iCs/>
          <w:sz w:val="22"/>
          <w:szCs w:val="22"/>
        </w:rPr>
      </w:pPr>
    </w:p>
    <w:p w14:paraId="4389A5BB" w14:textId="77777777" w:rsidR="00E20C94" w:rsidRPr="0035228F" w:rsidRDefault="009521F6">
      <w:pPr>
        <w:ind w:left="851" w:right="843"/>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Los sujetos obligados sólo proporcionarán la información pública que se les requiera y que obre en sus archivos y en el estado en que ésta se encuentre</w:t>
      </w:r>
      <w:r w:rsidRPr="0035228F">
        <w:rPr>
          <w:rFonts w:ascii="Palatino Linotype" w:eastAsia="Palatino Linotype" w:hAnsi="Palatino Linotype" w:cs="Palatino Linotype"/>
          <w:i/>
          <w:iCs/>
          <w:sz w:val="22"/>
          <w:szCs w:val="22"/>
        </w:rPr>
        <w:t xml:space="preserve">. </w:t>
      </w:r>
      <w:r w:rsidRPr="0035228F">
        <w:rPr>
          <w:rFonts w:ascii="Palatino Linotype" w:eastAsia="Palatino Linotype" w:hAnsi="Palatino Linotype" w:cs="Palatino Linotype"/>
          <w:b/>
          <w:bCs/>
          <w:i/>
          <w:iCs/>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12A7DD5D" w14:textId="77777777" w:rsidR="00E20C94" w:rsidRPr="0035228F" w:rsidRDefault="00E20C94">
      <w:pPr>
        <w:spacing w:line="360" w:lineRule="auto"/>
        <w:ind w:left="567" w:right="616"/>
        <w:jc w:val="both"/>
        <w:rPr>
          <w:rFonts w:ascii="Palatino Linotype" w:eastAsia="Palatino Linotype" w:hAnsi="Palatino Linotype" w:cs="Palatino Linotype"/>
          <w:i/>
          <w:iCs/>
          <w:sz w:val="22"/>
          <w:szCs w:val="22"/>
        </w:rPr>
      </w:pPr>
    </w:p>
    <w:p w14:paraId="4CE3F7E0" w14:textId="77777777" w:rsidR="00E20C94" w:rsidRPr="0035228F" w:rsidRDefault="009521F6">
      <w:pPr>
        <w:spacing w:line="360" w:lineRule="auto"/>
        <w:ind w:right="-93"/>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60A923F7" w14:textId="77777777" w:rsidR="00E20C94" w:rsidRPr="0035228F" w:rsidRDefault="00E20C94">
      <w:pPr>
        <w:spacing w:line="360" w:lineRule="auto"/>
        <w:ind w:right="-93"/>
        <w:jc w:val="both"/>
        <w:rPr>
          <w:rFonts w:ascii="Palatino Linotype" w:eastAsia="Palatino Linotype" w:hAnsi="Palatino Linotype" w:cs="Palatino Linotype"/>
          <w:sz w:val="22"/>
          <w:szCs w:val="22"/>
        </w:rPr>
      </w:pPr>
    </w:p>
    <w:p w14:paraId="53D5A188" w14:textId="77777777" w:rsidR="00E20C94" w:rsidRPr="0035228F" w:rsidRDefault="009521F6">
      <w:pPr>
        <w:spacing w:line="360" w:lineRule="auto"/>
        <w:jc w:val="both"/>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35228F">
        <w:rPr>
          <w:rFonts w:ascii="Palatino Linotype" w:eastAsia="Palatino Linotype" w:hAnsi="Palatino Linotype" w:cs="Palatino Linotype"/>
          <w:b/>
          <w:bCs/>
          <w:sz w:val="22"/>
          <w:szCs w:val="22"/>
        </w:rPr>
        <w:t xml:space="preserve"> </w:t>
      </w:r>
    </w:p>
    <w:p w14:paraId="45A2C056" w14:textId="77777777" w:rsidR="00E20C94" w:rsidRPr="0035228F" w:rsidRDefault="00E20C94">
      <w:pPr>
        <w:spacing w:line="360" w:lineRule="auto"/>
        <w:jc w:val="both"/>
        <w:rPr>
          <w:rFonts w:ascii="Palatino Linotype" w:eastAsia="Palatino Linotype" w:hAnsi="Palatino Linotype" w:cs="Palatino Linotype"/>
          <w:b/>
          <w:bCs/>
          <w:sz w:val="22"/>
          <w:szCs w:val="22"/>
        </w:rPr>
      </w:pPr>
    </w:p>
    <w:p w14:paraId="0FB98C98" w14:textId="77777777" w:rsidR="00E20C94" w:rsidRPr="0035228F" w:rsidRDefault="009521F6">
      <w:pPr>
        <w:spacing w:line="276" w:lineRule="auto"/>
        <w:ind w:left="851" w:right="843"/>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w:t>
      </w:r>
      <w:r w:rsidRPr="0035228F">
        <w:rPr>
          <w:rFonts w:ascii="Palatino Linotype" w:eastAsia="Palatino Linotype" w:hAnsi="Palatino Linotype" w:cs="Palatino Linotype"/>
          <w:b/>
          <w:bCs/>
          <w:i/>
          <w:iCs/>
          <w:sz w:val="22"/>
          <w:szCs w:val="22"/>
        </w:rPr>
        <w:t>No existe obligación de elaborar documentos ad hoc para atender las solicitudes de acceso a la información.</w:t>
      </w:r>
      <w:r w:rsidRPr="0035228F">
        <w:rPr>
          <w:rFonts w:ascii="Palatino Linotype" w:eastAsia="Palatino Linotype" w:hAnsi="Palatino Linotype" w:cs="Palatino Linotype"/>
          <w:i/>
          <w:iCs/>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C536587" w14:textId="77777777" w:rsidR="00E20C94" w:rsidRPr="0035228F" w:rsidRDefault="00E20C94">
      <w:pPr>
        <w:spacing w:line="360" w:lineRule="auto"/>
        <w:ind w:right="-93"/>
        <w:jc w:val="both"/>
        <w:rPr>
          <w:rFonts w:ascii="Palatino Linotype" w:eastAsia="Palatino Linotype" w:hAnsi="Palatino Linotype" w:cs="Palatino Linotype"/>
          <w:sz w:val="22"/>
          <w:szCs w:val="22"/>
        </w:rPr>
      </w:pPr>
    </w:p>
    <w:p w14:paraId="066AE2BC" w14:textId="77777777"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4D88EEFC"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1945053A" w14:textId="77777777" w:rsidR="00E20C94" w:rsidRPr="0035228F" w:rsidRDefault="009521F6">
      <w:pPr>
        <w:spacing w:line="360" w:lineRule="auto"/>
        <w:ind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07E64715" w14:textId="77777777" w:rsidR="00E20C94" w:rsidRPr="0035228F" w:rsidRDefault="00E20C94">
      <w:pPr>
        <w:spacing w:line="360" w:lineRule="auto"/>
        <w:ind w:right="49"/>
        <w:jc w:val="both"/>
        <w:rPr>
          <w:rFonts w:ascii="Palatino Linotype" w:eastAsia="Palatino Linotype" w:hAnsi="Palatino Linotype" w:cs="Palatino Linotype"/>
          <w:sz w:val="22"/>
          <w:szCs w:val="22"/>
        </w:rPr>
      </w:pPr>
    </w:p>
    <w:p w14:paraId="2841AF45" w14:textId="77777777"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7AEDBE35"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0DA6F6C9" w14:textId="77777777" w:rsidR="00E20C94" w:rsidRPr="0035228F" w:rsidRDefault="009521F6">
      <w:pPr>
        <w:spacing w:line="276" w:lineRule="auto"/>
        <w:ind w:left="851" w:right="843"/>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w:t>
      </w:r>
      <w:r w:rsidRPr="0035228F">
        <w:rPr>
          <w:rFonts w:ascii="Palatino Linotype" w:eastAsia="Palatino Linotype" w:hAnsi="Palatino Linotype" w:cs="Palatino Linotype"/>
          <w:b/>
          <w:bCs/>
          <w:i/>
          <w:iCs/>
          <w:sz w:val="22"/>
          <w:szCs w:val="22"/>
        </w:rPr>
        <w:t xml:space="preserve">Artículo 3. </w:t>
      </w:r>
      <w:r w:rsidRPr="0035228F">
        <w:rPr>
          <w:rFonts w:ascii="Palatino Linotype" w:eastAsia="Palatino Linotype" w:hAnsi="Palatino Linotype" w:cs="Palatino Linotype"/>
          <w:i/>
          <w:iCs/>
          <w:sz w:val="22"/>
          <w:szCs w:val="22"/>
        </w:rPr>
        <w:t>Para los efectos de la presente Ley se entenderá por:</w:t>
      </w:r>
    </w:p>
    <w:p w14:paraId="5956367D" w14:textId="77777777" w:rsidR="00E20C94" w:rsidRPr="0035228F" w:rsidRDefault="009521F6">
      <w:pPr>
        <w:spacing w:line="276" w:lineRule="auto"/>
        <w:ind w:left="851" w:right="843"/>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w:t>
      </w:r>
    </w:p>
    <w:p w14:paraId="5B753F76" w14:textId="77777777" w:rsidR="00E20C94" w:rsidRPr="0035228F" w:rsidRDefault="009521F6">
      <w:pPr>
        <w:spacing w:line="276" w:lineRule="auto"/>
        <w:ind w:left="851" w:right="843"/>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XI. Documento:</w:t>
      </w:r>
      <w:r w:rsidRPr="0035228F">
        <w:rPr>
          <w:rFonts w:ascii="Palatino Linotype" w:eastAsia="Palatino Linotype" w:hAnsi="Palatino Linotype" w:cs="Palatino Linotype"/>
          <w:i/>
          <w:iCs/>
          <w:sz w:val="22"/>
          <w:szCs w:val="22"/>
        </w:rPr>
        <w:t xml:space="preserve"> Los expedientes, reportes, estudios, actas</w:t>
      </w:r>
      <w:r w:rsidRPr="0035228F">
        <w:rPr>
          <w:rFonts w:ascii="Palatino Linotype" w:eastAsia="Palatino Linotype" w:hAnsi="Palatino Linotype" w:cs="Palatino Linotype"/>
          <w:b/>
          <w:bCs/>
          <w:i/>
          <w:iCs/>
          <w:sz w:val="22"/>
          <w:szCs w:val="22"/>
        </w:rPr>
        <w:t>,</w:t>
      </w:r>
      <w:r w:rsidRPr="0035228F">
        <w:rPr>
          <w:rFonts w:ascii="Palatino Linotype" w:eastAsia="Palatino Linotype" w:hAnsi="Palatino Linotype" w:cs="Palatino Linotype"/>
          <w:i/>
          <w:iCs/>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3C107AD8" w14:textId="77777777" w:rsidR="00E20C94" w:rsidRPr="0035228F" w:rsidRDefault="00E20C94">
      <w:pPr>
        <w:spacing w:line="360" w:lineRule="auto"/>
        <w:ind w:left="851" w:right="899"/>
        <w:jc w:val="both"/>
        <w:rPr>
          <w:rFonts w:ascii="Palatino Linotype" w:eastAsia="Palatino Linotype" w:hAnsi="Palatino Linotype" w:cs="Palatino Linotype"/>
          <w:sz w:val="22"/>
          <w:szCs w:val="22"/>
        </w:rPr>
      </w:pPr>
    </w:p>
    <w:p w14:paraId="5F45764D" w14:textId="77777777"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06D84CE8"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330B0718" w14:textId="77777777" w:rsidR="00E20C94" w:rsidRPr="0035228F" w:rsidRDefault="009521F6">
      <w:pPr>
        <w:spacing w:line="276" w:lineRule="auto"/>
        <w:ind w:left="851" w:right="843"/>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sz w:val="22"/>
          <w:szCs w:val="22"/>
        </w:rPr>
        <w:t>“</w:t>
      </w:r>
      <w:r w:rsidRPr="0035228F">
        <w:rPr>
          <w:rFonts w:ascii="Palatino Linotype" w:eastAsia="Palatino Linotype" w:hAnsi="Palatino Linotype" w:cs="Palatino Linotype"/>
          <w:b/>
          <w:bCs/>
          <w:i/>
          <w:iCs/>
          <w:sz w:val="22"/>
          <w:szCs w:val="22"/>
        </w:rPr>
        <w:t>CRITERIO 0002-11. INFORMACIÓN PÚBLICA, CONCEPTO DE, EN MATERIA DE TRANSPARENCIA. INTERPRETACIÓN SISTEMÁTICA DE LOS ARTÍCULOS 2°, FRACCIÓN V, XV, Y XVI, 3°, 4°, 11 Y 41.</w:t>
      </w:r>
      <w:r w:rsidRPr="0035228F">
        <w:rPr>
          <w:rFonts w:ascii="Palatino Linotype" w:eastAsia="Palatino Linotype" w:hAnsi="Palatino Linotype" w:cs="Palatino Linotype"/>
          <w:i/>
          <w:iCs/>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91C0101" w14:textId="77777777" w:rsidR="00E20C94" w:rsidRPr="0035228F" w:rsidRDefault="009521F6">
      <w:pPr>
        <w:spacing w:line="276" w:lineRule="auto"/>
        <w:ind w:left="851" w:right="843"/>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En consecuencia el acceso a la información se refiere a que se cumplan cualquiera de los siguientes tres supuestos:</w:t>
      </w:r>
    </w:p>
    <w:p w14:paraId="525F62AC" w14:textId="77777777" w:rsidR="00E20C94" w:rsidRPr="0035228F" w:rsidRDefault="009521F6">
      <w:pPr>
        <w:spacing w:line="276" w:lineRule="auto"/>
        <w:ind w:left="851" w:right="843"/>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1) Que se trate de información registrada en cualquier soporte documental, que en ejercicio de las atribuciones conferidas, sea generada por los Sujetos Obligados;</w:t>
      </w:r>
    </w:p>
    <w:p w14:paraId="30593C1F" w14:textId="77777777" w:rsidR="00E20C94" w:rsidRPr="0035228F" w:rsidRDefault="009521F6">
      <w:pPr>
        <w:spacing w:line="276" w:lineRule="auto"/>
        <w:ind w:left="851" w:right="843"/>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2) Que se trate de información registrada en cualquier soporte documental, que en ejercicio de las atribuciones conferidas, sea administrada por los Sujetos Obligados, y</w:t>
      </w:r>
    </w:p>
    <w:p w14:paraId="6A6450B8" w14:textId="77777777" w:rsidR="00E20C94" w:rsidRPr="0035228F" w:rsidRDefault="009521F6">
      <w:pPr>
        <w:spacing w:line="276" w:lineRule="auto"/>
        <w:ind w:left="851" w:right="843"/>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 xml:space="preserve">3) Que se trate de información registrada en cualquier soporte documental, que en ejercicio de las atribuciones conferidas, se encuentre en posesión de los Sujetos Obligados.” </w:t>
      </w:r>
    </w:p>
    <w:p w14:paraId="25798C6B" w14:textId="77777777" w:rsidR="00E20C94" w:rsidRPr="0035228F" w:rsidRDefault="00E20C94">
      <w:pPr>
        <w:spacing w:line="276" w:lineRule="auto"/>
        <w:ind w:left="567" w:right="616"/>
        <w:jc w:val="both"/>
        <w:rPr>
          <w:rFonts w:ascii="Palatino Linotype" w:eastAsia="Palatino Linotype" w:hAnsi="Palatino Linotype" w:cs="Palatino Linotype"/>
          <w:b/>
          <w:bCs/>
          <w:i/>
          <w:iCs/>
          <w:sz w:val="22"/>
          <w:szCs w:val="22"/>
        </w:rPr>
      </w:pPr>
    </w:p>
    <w:p w14:paraId="430CBC16" w14:textId="77777777"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De ahí que el </w:t>
      </w:r>
      <w:r w:rsidRPr="0035228F">
        <w:rPr>
          <w:rFonts w:ascii="Palatino Linotype" w:eastAsia="Palatino Linotype" w:hAnsi="Palatino Linotype" w:cs="Palatino Linotype"/>
          <w:b/>
          <w:bCs/>
          <w:sz w:val="22"/>
          <w:szCs w:val="22"/>
        </w:rPr>
        <w:t>Sujeto Obligado</w:t>
      </w:r>
      <w:r w:rsidRPr="0035228F">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35228F">
        <w:rPr>
          <w:rFonts w:ascii="Palatino Linotype" w:eastAsia="Palatino Linotype" w:hAnsi="Palatino Linotype" w:cs="Palatino Linotype"/>
          <w:sz w:val="22"/>
          <w:szCs w:val="22"/>
          <w:vertAlign w:val="superscript"/>
        </w:rPr>
        <w:footnoteReference w:id="1"/>
      </w:r>
      <w:r w:rsidRPr="0035228F">
        <w:rPr>
          <w:rFonts w:ascii="Palatino Linotype" w:eastAsia="Palatino Linotype" w:hAnsi="Palatino Linotype" w:cs="Palatino Linotype"/>
          <w:sz w:val="22"/>
          <w:szCs w:val="22"/>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35228F">
        <w:rPr>
          <w:rFonts w:ascii="Palatino Linotype" w:eastAsia="Palatino Linotype" w:hAnsi="Palatino Linotype" w:cs="Palatino Linotype"/>
          <w:sz w:val="22"/>
          <w:szCs w:val="22"/>
          <w:vertAlign w:val="superscript"/>
        </w:rPr>
        <w:footnoteReference w:id="2"/>
      </w:r>
      <w:r w:rsidRPr="0035228F">
        <w:rPr>
          <w:rFonts w:ascii="Palatino Linotype" w:eastAsia="Palatino Linotype" w:hAnsi="Palatino Linotype" w:cs="Palatino Linotype"/>
          <w:sz w:val="22"/>
          <w:szCs w:val="22"/>
        </w:rPr>
        <w:t>, como pudiera tratarse de aquella relacionada con las obligaciones de transparencia señaladas en los artículos 92 y 100 de la Ley de la Materia.</w:t>
      </w:r>
    </w:p>
    <w:p w14:paraId="5A988250" w14:textId="77777777" w:rsidR="00E20C94" w:rsidRPr="0035228F"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27CC2D9A" w14:textId="77777777" w:rsidR="00E20C94" w:rsidRPr="0035228F"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Dicho lo anterior, en el caso se analizará el agravio hecho valer por la parte </w:t>
      </w:r>
      <w:r w:rsidRPr="0035228F">
        <w:rPr>
          <w:rFonts w:ascii="Palatino Linotype" w:eastAsia="Palatino Linotype" w:hAnsi="Palatino Linotype" w:cs="Palatino Linotype"/>
          <w:b/>
          <w:bCs/>
          <w:sz w:val="22"/>
          <w:szCs w:val="22"/>
        </w:rPr>
        <w:t>Recurrente</w:t>
      </w:r>
      <w:r w:rsidRPr="0035228F">
        <w:rPr>
          <w:rFonts w:ascii="Palatino Linotype" w:eastAsia="Palatino Linotype" w:hAnsi="Palatino Linotype" w:cs="Palatino Linotype"/>
          <w:sz w:val="22"/>
          <w:szCs w:val="22"/>
        </w:rPr>
        <w:t xml:space="preserve"> que actualiza la causal de procedencia prevista en la fracción I del artículo 179 de la Ley de Transparencia y Acceso a la Información del Estado de México y Municipios, relativa a </w:t>
      </w:r>
      <w:r w:rsidRPr="0035228F">
        <w:rPr>
          <w:rFonts w:ascii="Palatino Linotype" w:eastAsia="Palatino Linotype" w:hAnsi="Palatino Linotype" w:cs="Palatino Linotype"/>
          <w:b/>
          <w:bCs/>
          <w:sz w:val="22"/>
          <w:szCs w:val="22"/>
          <w:u w:val="single"/>
        </w:rPr>
        <w:t>la negativa a la información solicitada.</w:t>
      </w:r>
    </w:p>
    <w:p w14:paraId="5EFE2E0E" w14:textId="77777777" w:rsidR="00E20C94" w:rsidRPr="0035228F"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839C95E" w14:textId="7E294C82" w:rsidR="00E20C94" w:rsidRPr="0035228F"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Para ello, conviene iniciar el presente estudio señalando que, del análisis a las solicitudes de información, se advierte que la persona solicitante requirió del </w:t>
      </w:r>
      <w:r w:rsidRPr="0035228F">
        <w:rPr>
          <w:rFonts w:ascii="Palatino Linotype" w:eastAsia="Palatino Linotype" w:hAnsi="Palatino Linotype" w:cs="Palatino Linotype"/>
          <w:b/>
          <w:bCs/>
          <w:sz w:val="22"/>
          <w:szCs w:val="22"/>
        </w:rPr>
        <w:t>Sujeto Obligado</w:t>
      </w:r>
      <w:r w:rsidRPr="0035228F">
        <w:rPr>
          <w:rFonts w:ascii="Palatino Linotype" w:eastAsia="Palatino Linotype" w:hAnsi="Palatino Linotype" w:cs="Palatino Linotype"/>
          <w:sz w:val="22"/>
          <w:szCs w:val="22"/>
        </w:rPr>
        <w:t xml:space="preserve">, </w:t>
      </w:r>
      <w:r w:rsidRPr="0035228F">
        <w:rPr>
          <w:rFonts w:ascii="Palatino Linotype" w:eastAsia="Palatino Linotype" w:hAnsi="Palatino Linotype" w:cs="Palatino Linotype"/>
          <w:b/>
          <w:bCs/>
          <w:sz w:val="22"/>
          <w:szCs w:val="22"/>
        </w:rPr>
        <w:t xml:space="preserve">respecto de los recursos de revisión </w:t>
      </w:r>
      <w:r w:rsidR="005C3E49" w:rsidRPr="0035228F">
        <w:rPr>
          <w:rFonts w:ascii="Palatino Linotype" w:eastAsia="Palatino Linotype" w:hAnsi="Palatino Linotype" w:cs="Palatino Linotype"/>
          <w:b/>
          <w:bCs/>
          <w:sz w:val="22"/>
          <w:szCs w:val="22"/>
        </w:rPr>
        <w:t>03058/INFOEM/IP/RR/2025, 03053/INFOEM/IP/RR/2025, 03049/INFOEM/IP/RR/2025, 01756/INFOEM/IP/RR/2025, 01740/INFOEM/IP/RR/2025, 01702/INFOEM/IP/RR/2025, 01696/INFOEM/IP/RR/2025, 01695/INFOEM/IP/RR/2025, 01689/INFOEM/IP/RR/2025, 01611/INFOEM/IP/RR/2025, 01606/INFOEM/IP/RR/2025   y 01601/INFOEM/IP/RR/2025</w:t>
      </w:r>
      <w:r w:rsidRPr="0035228F">
        <w:rPr>
          <w:rFonts w:ascii="Palatino Linotype" w:eastAsia="Palatino Linotype" w:hAnsi="Palatino Linotype" w:cs="Palatino Linotype"/>
          <w:b/>
          <w:bCs/>
          <w:sz w:val="22"/>
          <w:szCs w:val="22"/>
        </w:rPr>
        <w:t xml:space="preserve">, </w:t>
      </w:r>
      <w:r w:rsidRPr="0035228F">
        <w:rPr>
          <w:rFonts w:ascii="Palatino Linotype" w:eastAsia="Palatino Linotype" w:hAnsi="Palatino Linotype" w:cs="Palatino Linotype"/>
          <w:sz w:val="22"/>
          <w:szCs w:val="22"/>
        </w:rPr>
        <w:t>medularmente lo siguiente:</w:t>
      </w:r>
    </w:p>
    <w:p w14:paraId="3BEF05C6" w14:textId="77777777" w:rsidR="00E20C94" w:rsidRPr="0035228F" w:rsidRDefault="00E20C94">
      <w:pPr>
        <w:jc w:val="both"/>
        <w:rPr>
          <w:rFonts w:ascii="Palatino Linotype" w:eastAsia="Palatino Linotype" w:hAnsi="Palatino Linotype" w:cs="Palatino Linotype"/>
          <w:sz w:val="22"/>
          <w:szCs w:val="22"/>
        </w:rPr>
      </w:pPr>
    </w:p>
    <w:p w14:paraId="5BBD429D" w14:textId="77777777" w:rsidR="00E20C94" w:rsidRPr="0035228F"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Solicitud de información que dio origen al recurso.</w:t>
      </w:r>
    </w:p>
    <w:p w14:paraId="06B15808" w14:textId="77777777" w:rsidR="00E20C94" w:rsidRPr="0035228F"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Capturas de pantalla de los turnos de la solicitud de información a las áreas competentes. </w:t>
      </w:r>
    </w:p>
    <w:p w14:paraId="5C8AD9F6" w14:textId="77777777" w:rsidR="00E20C94" w:rsidRPr="0035228F"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55D88EE7" w14:textId="77777777" w:rsidR="00E20C94" w:rsidRPr="0035228F"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Índice de Información Reservada; </w:t>
      </w:r>
    </w:p>
    <w:p w14:paraId="6FEF1A44" w14:textId="77777777" w:rsidR="00E20C94" w:rsidRPr="0035228F"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Respuestas por parte de las áreas competentes, con anexos; </w:t>
      </w:r>
    </w:p>
    <w:p w14:paraId="42CFA78D" w14:textId="77777777" w:rsidR="00E20C94" w:rsidRPr="0035228F"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Formato del Recurso de revisión;</w:t>
      </w:r>
    </w:p>
    <w:p w14:paraId="335BA803" w14:textId="77777777" w:rsidR="00E20C94" w:rsidRPr="0035228F"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Oficios de turno de la Unidad de Transparencia del recurso de revisión a las áreas competentes;</w:t>
      </w:r>
    </w:p>
    <w:p w14:paraId="5E49421F" w14:textId="77777777" w:rsidR="00E20C94" w:rsidRPr="0035228F"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Informes de justificación rendidos por las áreas competentes;</w:t>
      </w:r>
    </w:p>
    <w:p w14:paraId="3B7A8098" w14:textId="77777777" w:rsidR="00E20C94" w:rsidRPr="0035228F"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Resolución recaída al recurso de revisión. </w:t>
      </w:r>
    </w:p>
    <w:p w14:paraId="65A41F2F" w14:textId="77777777" w:rsidR="00E20C94" w:rsidRPr="0035228F"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Oficios de notificación de la resolución a las áreas competentes. </w:t>
      </w:r>
    </w:p>
    <w:p w14:paraId="644D315A" w14:textId="77777777" w:rsidR="00E20C94" w:rsidRPr="0035228F"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Documentos entregados como respuesta por las áreas competentes en cumplimiento a la resolución del recurso;</w:t>
      </w:r>
    </w:p>
    <w:p w14:paraId="006B3D64" w14:textId="77777777" w:rsidR="00E20C94" w:rsidRPr="0035228F"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2D1EC3D3" w14:textId="77777777" w:rsidR="00E20C94" w:rsidRPr="0035228F"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Estado de cumplimiento o incumplimiento;</w:t>
      </w:r>
    </w:p>
    <w:p w14:paraId="104B4CB9" w14:textId="77777777" w:rsidR="00E20C94" w:rsidRPr="0035228F"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Indicar si el asunto lo tiene la Contraloría del Infoem;</w:t>
      </w:r>
    </w:p>
    <w:p w14:paraId="33CB16BC" w14:textId="77777777" w:rsidR="00E20C94" w:rsidRPr="0035228F"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Indicar si el recurso genera alguna responsabilidad directa a algún funcionario público.</w:t>
      </w:r>
    </w:p>
    <w:p w14:paraId="1133EB00" w14:textId="77777777" w:rsidR="00E20C94" w:rsidRPr="0035228F"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Indicar si existe apercibimiento por parte del infoem;</w:t>
      </w:r>
    </w:p>
    <w:p w14:paraId="0FCB1FC7" w14:textId="77777777" w:rsidR="00E20C94" w:rsidRPr="0035228F"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Indicar si el asunto se encuentra concluido o en proceso.</w:t>
      </w:r>
    </w:p>
    <w:p w14:paraId="7E8EDD09" w14:textId="77777777" w:rsidR="00E20C94" w:rsidRPr="0035228F"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Indicar que áreas dieron la respuesta completa.</w:t>
      </w:r>
    </w:p>
    <w:p w14:paraId="49C28C41" w14:textId="77777777" w:rsidR="00E20C94" w:rsidRPr="0035228F" w:rsidRDefault="00E20C94">
      <w:pPr>
        <w:pBdr>
          <w:top w:val="nil"/>
          <w:left w:val="nil"/>
          <w:bottom w:val="nil"/>
          <w:right w:val="nil"/>
          <w:between w:val="nil"/>
        </w:pBdr>
        <w:ind w:left="720"/>
        <w:jc w:val="both"/>
        <w:rPr>
          <w:rFonts w:ascii="Palatino Linotype" w:eastAsia="Palatino Linotype" w:hAnsi="Palatino Linotype" w:cs="Palatino Linotype"/>
          <w:sz w:val="22"/>
          <w:szCs w:val="22"/>
        </w:rPr>
      </w:pPr>
    </w:p>
    <w:p w14:paraId="478B8416" w14:textId="77777777" w:rsidR="00E20C94" w:rsidRPr="0035228F"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9" w:name="_heading=h.1y810tw" w:colFirst="0" w:colLast="0"/>
      <w:bookmarkEnd w:id="9"/>
      <w:r w:rsidRPr="0035228F">
        <w:rPr>
          <w:rFonts w:ascii="Palatino Linotype" w:eastAsia="Palatino Linotype" w:hAnsi="Palatino Linotype" w:cs="Palatino Linotype"/>
          <w:sz w:val="22"/>
          <w:szCs w:val="22"/>
        </w:rPr>
        <w:t>De lo anterior, es necesario precisar que por cuanto hace a los requerimientos de los numerales 13, 14, 15, 16, 17 y 18, los mismos van encaminados a obtener un pronunciamiento específico por parte del ente obligado, en razón de que el particular solicita lo siguiente:</w:t>
      </w:r>
    </w:p>
    <w:p w14:paraId="4E571E1A" w14:textId="77777777" w:rsidR="00E20C94" w:rsidRPr="0035228F"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7F2AAAAD" w14:textId="77777777" w:rsidR="00E20C94" w:rsidRPr="0035228F"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Se informe el estado de cumplimiento o incumplimiento;</w:t>
      </w:r>
    </w:p>
    <w:p w14:paraId="22E2A9E2" w14:textId="77777777" w:rsidR="00E20C94" w:rsidRPr="0035228F"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Indicar si el asunto lo tiene la Contraloría del Infoem;</w:t>
      </w:r>
    </w:p>
    <w:p w14:paraId="6C9C0077" w14:textId="77777777" w:rsidR="00E20C94" w:rsidRPr="0035228F"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Indicar si el recurso genera alguna responsabilidad directa a algún funcionario público.</w:t>
      </w:r>
    </w:p>
    <w:p w14:paraId="37CACC5E" w14:textId="77777777" w:rsidR="00E20C94" w:rsidRPr="0035228F"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Indicar si existe apercibimiento por parte del infoem; y</w:t>
      </w:r>
    </w:p>
    <w:p w14:paraId="7A0F04CB" w14:textId="77777777" w:rsidR="00E20C94" w:rsidRPr="0035228F"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Indicar si el asunto se encuentra concluido o en proceso.</w:t>
      </w:r>
    </w:p>
    <w:p w14:paraId="2D37C700" w14:textId="77777777" w:rsidR="00E20C94" w:rsidRPr="0035228F"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Indicar que áreas dieron la respuesta completa</w:t>
      </w:r>
    </w:p>
    <w:p w14:paraId="4FDA0A2A" w14:textId="77777777" w:rsidR="00E20C94" w:rsidRPr="0035228F" w:rsidRDefault="00E20C94">
      <w:pPr>
        <w:jc w:val="both"/>
        <w:rPr>
          <w:rFonts w:ascii="Palatino Linotype" w:eastAsia="Palatino Linotype" w:hAnsi="Palatino Linotype" w:cs="Palatino Linotype"/>
          <w:sz w:val="22"/>
          <w:szCs w:val="22"/>
        </w:rPr>
      </w:pPr>
    </w:p>
    <w:p w14:paraId="7AC4CBD0" w14:textId="77777777"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De lo anterior, se considera que atendiendo los términos en que se formularon dichos requerimientos, se desprende que la pretensión de la persona solicitante es obtener un pronunciamiento del </w:t>
      </w:r>
      <w:r w:rsidRPr="0035228F">
        <w:rPr>
          <w:rFonts w:ascii="Palatino Linotype" w:eastAsia="Palatino Linotype" w:hAnsi="Palatino Linotype" w:cs="Palatino Linotype"/>
          <w:b/>
          <w:bCs/>
          <w:sz w:val="22"/>
          <w:szCs w:val="22"/>
        </w:rPr>
        <w:t>Sujeto Obligado</w:t>
      </w:r>
      <w:r w:rsidRPr="0035228F">
        <w:rPr>
          <w:rFonts w:ascii="Palatino Linotype" w:eastAsia="Palatino Linotype" w:hAnsi="Palatino Linotype" w:cs="Palatino Linotype"/>
          <w:sz w:val="22"/>
          <w:szCs w:val="22"/>
        </w:rPr>
        <w:t xml:space="preserve"> en el sentido de que responda una situación en particular con relación a cada recurso de revisión.</w:t>
      </w:r>
    </w:p>
    <w:p w14:paraId="6ACBF39B" w14:textId="77777777" w:rsidR="00E20C94" w:rsidRPr="0035228F"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i/>
          <w:iCs/>
          <w:sz w:val="22"/>
          <w:szCs w:val="22"/>
        </w:rPr>
        <w:t xml:space="preserve"> </w:t>
      </w:r>
    </w:p>
    <w:p w14:paraId="2D4D63B1" w14:textId="27C25A20" w:rsidR="00E20C94" w:rsidRPr="0035228F"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w:t>
      </w:r>
      <w:r w:rsidR="00B25DC3" w:rsidRPr="0035228F">
        <w:rPr>
          <w:rFonts w:ascii="Palatino Linotype" w:eastAsia="Palatino Linotype" w:hAnsi="Palatino Linotype" w:cs="Palatino Linotype"/>
          <w:sz w:val="22"/>
          <w:szCs w:val="22"/>
        </w:rPr>
        <w:t>la atención a dichos puntos no se puede</w:t>
      </w:r>
      <w:r w:rsidRPr="0035228F">
        <w:rPr>
          <w:rFonts w:ascii="Palatino Linotype" w:eastAsia="Palatino Linotype" w:hAnsi="Palatino Linotype" w:cs="Palatino Linotype"/>
          <w:sz w:val="22"/>
          <w:szCs w:val="22"/>
        </w:rPr>
        <w:t xml:space="preserve"> colmar con documentos que obren en los archivos del Sujeto Obligado.</w:t>
      </w:r>
    </w:p>
    <w:p w14:paraId="0CF643D0" w14:textId="77777777" w:rsidR="00E20C94" w:rsidRPr="0035228F"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5E94331D" w14:textId="77777777" w:rsidR="00E20C94" w:rsidRPr="0035228F"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Por tanto, dichos requerimientos NO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7679D458" w14:textId="77777777" w:rsidR="00E20C94" w:rsidRPr="0035228F"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3AD43AFD" w14:textId="77777777" w:rsidR="00E20C94" w:rsidRPr="0035228F"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b/>
          <w:bCs/>
          <w:sz w:val="22"/>
          <w:szCs w:val="22"/>
        </w:rPr>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7AE7E209" w14:textId="77777777" w:rsidR="00E20C94" w:rsidRPr="0035228F"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2CD76337" w14:textId="77777777" w:rsidR="00E20C94" w:rsidRPr="0035228F"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Por otro lado, con relación al requerimiento marcado en el </w:t>
      </w:r>
      <w:r w:rsidRPr="0035228F">
        <w:rPr>
          <w:rFonts w:ascii="Palatino Linotype" w:eastAsia="Palatino Linotype" w:hAnsi="Palatino Linotype" w:cs="Palatino Linotype"/>
          <w:b/>
          <w:bCs/>
          <w:sz w:val="22"/>
          <w:szCs w:val="22"/>
        </w:rPr>
        <w:t xml:space="preserve">numeral 2 relativo a las capturas de pantalla de los turnos de la solicitud de información a las áreas competentes, </w:t>
      </w:r>
      <w:r w:rsidRPr="0035228F">
        <w:rPr>
          <w:rFonts w:ascii="Palatino Linotype" w:eastAsia="Palatino Linotype" w:hAnsi="Palatino Linotype" w:cs="Palatino Linotype"/>
          <w:sz w:val="22"/>
          <w:szCs w:val="22"/>
        </w:rPr>
        <w:t xml:space="preserve">es de indicar que dicho punto conlleva el procesamiento de información a lo cual no está constreñido el </w:t>
      </w:r>
      <w:r w:rsidRPr="0035228F">
        <w:rPr>
          <w:rFonts w:ascii="Palatino Linotype" w:eastAsia="Palatino Linotype" w:hAnsi="Palatino Linotype" w:cs="Palatino Linotype"/>
          <w:b/>
          <w:bCs/>
          <w:sz w:val="22"/>
          <w:szCs w:val="22"/>
        </w:rPr>
        <w:t xml:space="preserve">Sujeto Obligado </w:t>
      </w:r>
      <w:r w:rsidRPr="0035228F">
        <w:rPr>
          <w:rFonts w:ascii="Palatino Linotype" w:eastAsia="Palatino Linotype" w:hAnsi="Palatino Linotype" w:cs="Palatino Linotype"/>
          <w:sz w:val="22"/>
          <w:szCs w:val="22"/>
        </w:rPr>
        <w:t xml:space="preserve">de conformidad con el segundo párrafo del artículo 12 de la Ley de Transparencia Local que indica que, los </w:t>
      </w:r>
      <w:r w:rsidRPr="0035228F">
        <w:rPr>
          <w:rFonts w:ascii="Palatino Linotype" w:eastAsia="Palatino Linotype" w:hAnsi="Palatino Linotype" w:cs="Palatino Linotype"/>
          <w:b/>
          <w:bCs/>
          <w:sz w:val="22"/>
          <w:szCs w:val="22"/>
        </w:rPr>
        <w:t xml:space="preserve">sujetos obligados sólo proporcionarán la información pública que se les requiera y que obre en sus archivos y en el estado en que ésta se encuentre; </w:t>
      </w:r>
      <w:r w:rsidRPr="0035228F">
        <w:rPr>
          <w:rFonts w:ascii="Palatino Linotype" w:eastAsia="Palatino Linotype" w:hAnsi="Palatino Linotype" w:cs="Palatino Linotype"/>
          <w:b/>
          <w:bCs/>
          <w:sz w:val="22"/>
          <w:szCs w:val="22"/>
          <w:u w:val="single"/>
        </w:rPr>
        <w:t>obligación de proporcionar información que no comprende el procesamiento de la misma</w:t>
      </w:r>
      <w:r w:rsidRPr="0035228F">
        <w:rPr>
          <w:rFonts w:ascii="Palatino Linotype" w:eastAsia="Palatino Linotype" w:hAnsi="Palatino Linotype" w:cs="Palatino Linotype"/>
          <w:sz w:val="22"/>
          <w:szCs w:val="22"/>
        </w:rPr>
        <w:t>, ni el presentarla conforme al interés del solicitante.</w:t>
      </w:r>
    </w:p>
    <w:p w14:paraId="5E05F6D7" w14:textId="77777777" w:rsidR="00E20C94" w:rsidRPr="0035228F"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25DB8959" w14:textId="77777777" w:rsidR="00E20C94" w:rsidRPr="0035228F"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7230DCBE" w14:textId="77777777" w:rsidR="00E20C94" w:rsidRPr="0035228F"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579154D1" w14:textId="77777777" w:rsidR="00E20C94" w:rsidRPr="0035228F"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En consecuencia, para colmar dicho punto bastará con que el ente obligado, entregue los </w:t>
      </w:r>
      <w:r w:rsidRPr="0035228F">
        <w:rPr>
          <w:rFonts w:ascii="Palatino Linotype" w:eastAsia="Palatino Linotype" w:hAnsi="Palatino Linotype" w:cs="Palatino Linotype"/>
          <w:b/>
          <w:bCs/>
          <w:sz w:val="22"/>
          <w:szCs w:val="22"/>
        </w:rPr>
        <w:t>documentos o constancias que integran los expedientes aperturados con motivo de los recursos de revisión indicados, tal y como obren en sus archivos.</w:t>
      </w:r>
    </w:p>
    <w:p w14:paraId="7D6FB010" w14:textId="77777777" w:rsidR="00E20C94" w:rsidRPr="0035228F"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40C2435C" w14:textId="77777777" w:rsidR="00E20C94" w:rsidRPr="0035228F"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Precisado lo anterior, se continúa con el análisis del resto de los requerimientos, arribando a la premisa de que </w:t>
      </w:r>
      <w:r w:rsidRPr="0035228F">
        <w:rPr>
          <w:rFonts w:ascii="Palatino Linotype" w:eastAsia="Palatino Linotype" w:hAnsi="Palatino Linotype" w:cs="Palatino Linotype"/>
          <w:b/>
          <w:bCs/>
          <w:sz w:val="22"/>
          <w:szCs w:val="22"/>
        </w:rPr>
        <w:t xml:space="preserve">la pretensión del particular es obtener la totalidad de las documentales que integran los expedientes relacionados con los recursos de revisión referidos, generadas a la fecha de presentación de las solicitudes de información. </w:t>
      </w:r>
    </w:p>
    <w:p w14:paraId="779EE979" w14:textId="77777777" w:rsidR="00E20C94" w:rsidRPr="0035228F"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b/>
          <w:bCs/>
          <w:sz w:val="22"/>
          <w:szCs w:val="22"/>
        </w:rPr>
      </w:pPr>
    </w:p>
    <w:p w14:paraId="266FCAFC" w14:textId="77777777" w:rsidR="00E20C94" w:rsidRPr="0035228F"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Así, en respuesta a las solicitudes de acceso a la información </w:t>
      </w:r>
      <w:r w:rsidRPr="0035228F">
        <w:rPr>
          <w:rFonts w:ascii="Palatino Linotype" w:eastAsia="Palatino Linotype" w:hAnsi="Palatino Linotype" w:cs="Palatino Linotype"/>
          <w:b/>
          <w:bCs/>
          <w:sz w:val="22"/>
          <w:szCs w:val="22"/>
        </w:rPr>
        <w:t xml:space="preserve">el Sujeto Obligado </w:t>
      </w:r>
      <w:r w:rsidRPr="0035228F">
        <w:rPr>
          <w:rFonts w:ascii="Palatino Linotype" w:eastAsia="Palatino Linotype" w:hAnsi="Palatino Linotype" w:cs="Palatino Linotype"/>
          <w:sz w:val="22"/>
          <w:szCs w:val="22"/>
        </w:rPr>
        <w:t>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en datos abiertos para su consulta, así como los pasos para consultar en la página oficial de este Instituto las resoluciones recaídas a los recursos de revisión en versión pública.</w:t>
      </w:r>
    </w:p>
    <w:p w14:paraId="29CADB1F" w14:textId="77777777" w:rsidR="00E20C94" w:rsidRPr="0035228F" w:rsidRDefault="00E20C94">
      <w:pPr>
        <w:spacing w:line="360" w:lineRule="auto"/>
        <w:ind w:right="49"/>
        <w:jc w:val="both"/>
        <w:rPr>
          <w:rFonts w:ascii="Palatino Linotype" w:eastAsia="Palatino Linotype" w:hAnsi="Palatino Linotype" w:cs="Palatino Linotype"/>
          <w:b/>
          <w:bCs/>
          <w:sz w:val="22"/>
          <w:szCs w:val="22"/>
        </w:rPr>
      </w:pPr>
    </w:p>
    <w:p w14:paraId="6645093A" w14:textId="77777777" w:rsidR="00E20C94" w:rsidRPr="0035228F" w:rsidRDefault="009521F6">
      <w:pPr>
        <w:spacing w:line="360" w:lineRule="auto"/>
        <w:ind w:right="49"/>
        <w:jc w:val="both"/>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sz w:val="22"/>
          <w:szCs w:val="22"/>
        </w:rPr>
        <w:t xml:space="preserve">Inconforme con la respuesta, la parte </w:t>
      </w:r>
      <w:r w:rsidRPr="0035228F">
        <w:rPr>
          <w:rFonts w:ascii="Palatino Linotype" w:eastAsia="Palatino Linotype" w:hAnsi="Palatino Linotype" w:cs="Palatino Linotype"/>
          <w:b/>
          <w:bCs/>
          <w:sz w:val="22"/>
          <w:szCs w:val="22"/>
        </w:rPr>
        <w:t xml:space="preserve">Recurrente </w:t>
      </w:r>
      <w:r w:rsidRPr="0035228F">
        <w:rPr>
          <w:rFonts w:ascii="Palatino Linotype" w:eastAsia="Palatino Linotype" w:hAnsi="Palatino Linotype" w:cs="Palatino Linotype"/>
          <w:sz w:val="22"/>
          <w:szCs w:val="22"/>
        </w:rPr>
        <w:t xml:space="preserve">promovió el presente recurso de revisión en el que a manera de motivos de inconformidad </w:t>
      </w:r>
      <w:r w:rsidRPr="0035228F">
        <w:rPr>
          <w:rFonts w:ascii="Palatino Linotype" w:eastAsia="Palatino Linotype" w:hAnsi="Palatino Linotype" w:cs="Palatino Linotype"/>
          <w:b/>
          <w:bCs/>
          <w:sz w:val="22"/>
          <w:szCs w:val="22"/>
        </w:rPr>
        <w:t>se adolece medularmente de la negativa a la entrega de la información requerida.</w:t>
      </w:r>
    </w:p>
    <w:p w14:paraId="017FF587" w14:textId="77777777" w:rsidR="00E20C94" w:rsidRPr="0035228F" w:rsidRDefault="00E20C94">
      <w:pPr>
        <w:spacing w:line="360" w:lineRule="auto"/>
        <w:ind w:right="49"/>
        <w:jc w:val="both"/>
        <w:rPr>
          <w:rFonts w:ascii="Palatino Linotype" w:eastAsia="Palatino Linotype" w:hAnsi="Palatino Linotype" w:cs="Palatino Linotype"/>
          <w:sz w:val="22"/>
          <w:szCs w:val="22"/>
        </w:rPr>
      </w:pPr>
    </w:p>
    <w:p w14:paraId="24FAEE66" w14:textId="77777777"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Admitidos los presentes recursos de revisión, en términos del artículo 185 fracción II</w:t>
      </w:r>
      <w:r w:rsidRPr="0035228F">
        <w:rPr>
          <w:rFonts w:ascii="Palatino Linotype" w:eastAsia="Palatino Linotype" w:hAnsi="Palatino Linotype" w:cs="Palatino Linotype"/>
          <w:sz w:val="22"/>
          <w:szCs w:val="22"/>
          <w:vertAlign w:val="superscript"/>
        </w:rPr>
        <w:footnoteReference w:id="3"/>
      </w:r>
      <w:r w:rsidRPr="0035228F">
        <w:rPr>
          <w:rFonts w:ascii="Palatino Linotype" w:eastAsia="Palatino Linotype" w:hAnsi="Palatino Linotype" w:cs="Palatino Linotype"/>
          <w:sz w:val="22"/>
          <w:szCs w:val="22"/>
        </w:rPr>
        <w:t xml:space="preserve"> de la Ley de Transparencia y Acceso a la Información Pública del Estado de México y Municipios, se integraron los expedientes y se pusieron a disposición de las partes para que, en un plazo máximo de siete días hábiles, manifestaran lo que a su derecho resultara conveniente.</w:t>
      </w:r>
    </w:p>
    <w:p w14:paraId="499874EE"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78CAA470" w14:textId="77777777"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Consecuentemente, de las constancias que integran los expedientes en que se actúa se advierte que el </w:t>
      </w:r>
      <w:r w:rsidRPr="0035228F">
        <w:rPr>
          <w:rFonts w:ascii="Palatino Linotype" w:eastAsia="Palatino Linotype" w:hAnsi="Palatino Linotype" w:cs="Palatino Linotype"/>
          <w:b/>
          <w:bCs/>
          <w:sz w:val="22"/>
          <w:szCs w:val="22"/>
        </w:rPr>
        <w:t xml:space="preserve">Sujeto Obligado </w:t>
      </w:r>
      <w:r w:rsidRPr="0035228F">
        <w:rPr>
          <w:rFonts w:ascii="Palatino Linotype" w:eastAsia="Palatino Linotype" w:hAnsi="Palatino Linotype" w:cs="Palatino Linotype"/>
          <w:sz w:val="22"/>
          <w:szCs w:val="22"/>
        </w:rPr>
        <w:t>rindió sus informes justificados a través de los cuales en lo medular se ratificaron las respuestas iniciales.</w:t>
      </w:r>
    </w:p>
    <w:p w14:paraId="11135A45"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2E7ACD07" w14:textId="77777777"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Por su lado, la parte </w:t>
      </w:r>
      <w:r w:rsidRPr="0035228F">
        <w:rPr>
          <w:rFonts w:ascii="Palatino Linotype" w:eastAsia="Palatino Linotype" w:hAnsi="Palatino Linotype" w:cs="Palatino Linotype"/>
          <w:b/>
          <w:bCs/>
          <w:sz w:val="22"/>
          <w:szCs w:val="22"/>
        </w:rPr>
        <w:t xml:space="preserve">Recurrente </w:t>
      </w:r>
      <w:r w:rsidRPr="0035228F">
        <w:rPr>
          <w:rFonts w:ascii="Palatino Linotype" w:eastAsia="Palatino Linotype" w:hAnsi="Palatino Linotype" w:cs="Palatino Linotype"/>
          <w:sz w:val="22"/>
          <w:szCs w:val="22"/>
        </w:rPr>
        <w:t>fue omisa en hacer valer manifestaciones o rendir alegatos que conforme a derecho resultaran procedentes.</w:t>
      </w:r>
    </w:p>
    <w:p w14:paraId="381855B8"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89D34F6" w14:textId="77777777"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62056EEC"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057D3E5C" w14:textId="77777777" w:rsidR="00E20C94" w:rsidRPr="0035228F" w:rsidRDefault="009521F6">
      <w:pPr>
        <w:spacing w:line="276" w:lineRule="auto"/>
        <w:ind w:left="567" w:right="560"/>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 xml:space="preserve">“Artículo 53. </w:t>
      </w:r>
      <w:r w:rsidRPr="0035228F">
        <w:rPr>
          <w:rFonts w:ascii="Palatino Linotype" w:eastAsia="Palatino Linotype" w:hAnsi="Palatino Linotype" w:cs="Palatino Linotype"/>
          <w:b/>
          <w:bCs/>
          <w:i/>
          <w:iCs/>
          <w:sz w:val="22"/>
          <w:szCs w:val="22"/>
        </w:rPr>
        <w:t>Las Unidades de Transparencia tendrán las siguientes funciones:</w:t>
      </w:r>
    </w:p>
    <w:p w14:paraId="30CE151B" w14:textId="77777777" w:rsidR="00E20C94" w:rsidRPr="0035228F" w:rsidRDefault="009521F6">
      <w:pPr>
        <w:spacing w:line="276" w:lineRule="auto"/>
        <w:ind w:left="567" w:right="560"/>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w:t>
      </w:r>
    </w:p>
    <w:p w14:paraId="6D0C83CC" w14:textId="77777777" w:rsidR="00E20C94" w:rsidRPr="0035228F" w:rsidRDefault="009521F6">
      <w:pPr>
        <w:spacing w:line="276" w:lineRule="auto"/>
        <w:ind w:left="567" w:right="560"/>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II. Recibir, tramitar y dar respuesta a las solicitudes de acceso a la información;</w:t>
      </w:r>
    </w:p>
    <w:p w14:paraId="142924E5" w14:textId="77777777" w:rsidR="00E20C94" w:rsidRPr="0035228F" w:rsidRDefault="009521F6">
      <w:pPr>
        <w:spacing w:line="276" w:lineRule="auto"/>
        <w:ind w:left="567" w:right="560"/>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w:t>
      </w:r>
    </w:p>
    <w:p w14:paraId="09791B5E" w14:textId="77777777" w:rsidR="00E20C94" w:rsidRPr="0035228F" w:rsidRDefault="009521F6">
      <w:pPr>
        <w:spacing w:line="276" w:lineRule="auto"/>
        <w:ind w:left="567" w:right="560"/>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IV. Realizar, con efectividad, los trámites internos necesarios para la atención de las solicitudes de acceso a la información;</w:t>
      </w:r>
    </w:p>
    <w:p w14:paraId="061BA524" w14:textId="77777777" w:rsidR="00E20C94" w:rsidRPr="0035228F" w:rsidRDefault="009521F6">
      <w:pPr>
        <w:spacing w:line="276" w:lineRule="auto"/>
        <w:ind w:left="567" w:right="560"/>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w:t>
      </w:r>
    </w:p>
    <w:p w14:paraId="6D9B0E32" w14:textId="77777777" w:rsidR="00E20C94" w:rsidRPr="0035228F" w:rsidRDefault="009521F6">
      <w:pPr>
        <w:spacing w:line="276" w:lineRule="auto"/>
        <w:ind w:left="567" w:right="560"/>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IX. Llevar un registro</w:t>
      </w:r>
      <w:r w:rsidRPr="0035228F">
        <w:rPr>
          <w:rFonts w:ascii="Palatino Linotype" w:eastAsia="Palatino Linotype" w:hAnsi="Palatino Linotype" w:cs="Palatino Linotype"/>
          <w:i/>
          <w:iCs/>
          <w:sz w:val="22"/>
          <w:szCs w:val="22"/>
        </w:rPr>
        <w:t xml:space="preserve"> </w:t>
      </w:r>
      <w:r w:rsidRPr="0035228F">
        <w:rPr>
          <w:rFonts w:ascii="Palatino Linotype" w:eastAsia="Palatino Linotype" w:hAnsi="Palatino Linotype" w:cs="Palatino Linotype"/>
          <w:b/>
          <w:bCs/>
          <w:i/>
          <w:iCs/>
          <w:sz w:val="22"/>
          <w:szCs w:val="22"/>
        </w:rPr>
        <w:t>de las solicitudes de acceso a la información, sus respuestas, resultados,</w:t>
      </w:r>
      <w:r w:rsidRPr="0035228F">
        <w:rPr>
          <w:rFonts w:ascii="Palatino Linotype" w:eastAsia="Palatino Linotype" w:hAnsi="Palatino Linotype" w:cs="Palatino Linotype"/>
          <w:i/>
          <w:iCs/>
          <w:sz w:val="22"/>
          <w:szCs w:val="22"/>
        </w:rPr>
        <w:t xml:space="preserve"> costos de reproducción y envío</w:t>
      </w:r>
      <w:r w:rsidRPr="0035228F">
        <w:rPr>
          <w:rFonts w:ascii="Palatino Linotype" w:eastAsia="Palatino Linotype" w:hAnsi="Palatino Linotype" w:cs="Palatino Linotype"/>
          <w:b/>
          <w:bCs/>
          <w:i/>
          <w:iCs/>
          <w:sz w:val="22"/>
          <w:szCs w:val="22"/>
        </w:rPr>
        <w:t>, resolución a los recursos de revisión</w:t>
      </w:r>
      <w:r w:rsidRPr="0035228F">
        <w:rPr>
          <w:rFonts w:ascii="Palatino Linotype" w:eastAsia="Palatino Linotype" w:hAnsi="Palatino Linotype" w:cs="Palatino Linotype"/>
          <w:i/>
          <w:iCs/>
          <w:sz w:val="22"/>
          <w:szCs w:val="22"/>
        </w:rPr>
        <w:t xml:space="preserve"> </w:t>
      </w:r>
      <w:r w:rsidRPr="0035228F">
        <w:rPr>
          <w:rFonts w:ascii="Palatino Linotype" w:eastAsia="Palatino Linotype" w:hAnsi="Palatino Linotype" w:cs="Palatino Linotype"/>
          <w:b/>
          <w:bCs/>
          <w:i/>
          <w:iCs/>
          <w:sz w:val="22"/>
          <w:szCs w:val="22"/>
        </w:rPr>
        <w:t>que se hayan emitido en contra de sus respuestas</w:t>
      </w:r>
      <w:r w:rsidRPr="0035228F">
        <w:rPr>
          <w:rFonts w:ascii="Palatino Linotype" w:eastAsia="Palatino Linotype" w:hAnsi="Palatino Linotype" w:cs="Palatino Linotype"/>
          <w:i/>
          <w:iCs/>
          <w:sz w:val="22"/>
          <w:szCs w:val="22"/>
        </w:rPr>
        <w:t xml:space="preserve"> </w:t>
      </w:r>
      <w:r w:rsidRPr="0035228F">
        <w:rPr>
          <w:rFonts w:ascii="Palatino Linotype" w:eastAsia="Palatino Linotype" w:hAnsi="Palatino Linotype" w:cs="Palatino Linotype"/>
          <w:b/>
          <w:bCs/>
          <w:i/>
          <w:iCs/>
          <w:sz w:val="22"/>
          <w:szCs w:val="22"/>
        </w:rPr>
        <w:t>y del cumplimiento de las mismas</w:t>
      </w:r>
      <w:r w:rsidRPr="0035228F">
        <w:rPr>
          <w:rFonts w:ascii="Palatino Linotype" w:eastAsia="Palatino Linotype" w:hAnsi="Palatino Linotype" w:cs="Palatino Linotype"/>
          <w:i/>
          <w:iCs/>
          <w:sz w:val="22"/>
          <w:szCs w:val="22"/>
        </w:rPr>
        <w:t>;</w:t>
      </w:r>
    </w:p>
    <w:p w14:paraId="707C963D" w14:textId="77777777" w:rsidR="00E20C94" w:rsidRPr="0035228F" w:rsidRDefault="009521F6">
      <w:pPr>
        <w:spacing w:line="276" w:lineRule="auto"/>
        <w:ind w:left="567" w:right="560"/>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X. Presentar ante el Comité, el proyecto de clasificación de información;</w:t>
      </w:r>
    </w:p>
    <w:p w14:paraId="769C8896" w14:textId="77777777" w:rsidR="00E20C94" w:rsidRPr="0035228F" w:rsidRDefault="009521F6">
      <w:pPr>
        <w:spacing w:line="276" w:lineRule="auto"/>
        <w:ind w:left="567" w:right="560"/>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w:t>
      </w:r>
    </w:p>
    <w:p w14:paraId="6E30C804" w14:textId="77777777" w:rsidR="00E20C94" w:rsidRPr="0035228F" w:rsidRDefault="00E20C94">
      <w:pPr>
        <w:spacing w:line="276" w:lineRule="auto"/>
        <w:ind w:left="567" w:right="560"/>
        <w:jc w:val="both"/>
        <w:rPr>
          <w:rFonts w:ascii="Palatino Linotype" w:eastAsia="Palatino Linotype" w:hAnsi="Palatino Linotype" w:cs="Palatino Linotype"/>
          <w:i/>
          <w:iCs/>
          <w:sz w:val="22"/>
          <w:szCs w:val="22"/>
        </w:rPr>
      </w:pPr>
    </w:p>
    <w:p w14:paraId="60764673" w14:textId="77777777" w:rsidR="00E20C94" w:rsidRPr="0035228F" w:rsidRDefault="009521F6">
      <w:pPr>
        <w:spacing w:line="276" w:lineRule="auto"/>
        <w:ind w:left="567" w:right="560"/>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 xml:space="preserve">“Artículo 59. </w:t>
      </w:r>
      <w:r w:rsidRPr="0035228F">
        <w:rPr>
          <w:rFonts w:ascii="Palatino Linotype" w:eastAsia="Palatino Linotype" w:hAnsi="Palatino Linotype" w:cs="Palatino Linotype"/>
          <w:b/>
          <w:bCs/>
          <w:i/>
          <w:iCs/>
          <w:sz w:val="22"/>
          <w:szCs w:val="22"/>
        </w:rPr>
        <w:t>Los servidores públicos habilitados tendrán las funciones siguientes</w:t>
      </w:r>
      <w:r w:rsidRPr="0035228F">
        <w:rPr>
          <w:rFonts w:ascii="Palatino Linotype" w:eastAsia="Palatino Linotype" w:hAnsi="Palatino Linotype" w:cs="Palatino Linotype"/>
          <w:i/>
          <w:iCs/>
          <w:sz w:val="22"/>
          <w:szCs w:val="22"/>
        </w:rPr>
        <w:t>:</w:t>
      </w:r>
    </w:p>
    <w:p w14:paraId="34799381" w14:textId="77777777" w:rsidR="00E20C94" w:rsidRPr="0035228F" w:rsidRDefault="009521F6">
      <w:pPr>
        <w:spacing w:line="276" w:lineRule="auto"/>
        <w:ind w:left="567" w:right="560"/>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w:t>
      </w:r>
    </w:p>
    <w:p w14:paraId="371C7AA7" w14:textId="77777777" w:rsidR="00E20C94" w:rsidRPr="0035228F" w:rsidRDefault="009521F6">
      <w:pPr>
        <w:spacing w:line="276" w:lineRule="auto"/>
        <w:ind w:left="567" w:right="560"/>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V. Integrar y presentar al responsable de la Unidad de Transparencia la propuesta de clasificación de información</w:t>
      </w:r>
      <w:r w:rsidRPr="0035228F">
        <w:rPr>
          <w:rFonts w:ascii="Palatino Linotype" w:eastAsia="Palatino Linotype" w:hAnsi="Palatino Linotype" w:cs="Palatino Linotype"/>
          <w:i/>
          <w:iCs/>
          <w:sz w:val="22"/>
          <w:szCs w:val="22"/>
        </w:rPr>
        <w:t>, la cual tendrá los fundamentos y argumentos en que se basa dicha propuesta;</w:t>
      </w:r>
    </w:p>
    <w:p w14:paraId="5A9A3ABF" w14:textId="77777777" w:rsidR="00E20C94" w:rsidRPr="0035228F" w:rsidRDefault="009521F6">
      <w:pPr>
        <w:spacing w:line="276" w:lineRule="auto"/>
        <w:ind w:left="567" w:right="560"/>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w:t>
      </w:r>
    </w:p>
    <w:p w14:paraId="69CCA8AC" w14:textId="77777777" w:rsidR="00E20C94" w:rsidRPr="0035228F" w:rsidRDefault="00E20C94">
      <w:pPr>
        <w:spacing w:line="276" w:lineRule="auto"/>
        <w:ind w:left="567" w:right="560"/>
        <w:jc w:val="both"/>
        <w:rPr>
          <w:rFonts w:ascii="Palatino Linotype" w:eastAsia="Palatino Linotype" w:hAnsi="Palatino Linotype" w:cs="Palatino Linotype"/>
          <w:i/>
          <w:iCs/>
          <w:sz w:val="22"/>
          <w:szCs w:val="22"/>
        </w:rPr>
      </w:pPr>
    </w:p>
    <w:p w14:paraId="6B6FAEEA" w14:textId="77777777" w:rsidR="00E20C94" w:rsidRPr="0035228F" w:rsidRDefault="009521F6">
      <w:pPr>
        <w:spacing w:line="276" w:lineRule="auto"/>
        <w:ind w:left="567" w:right="560"/>
        <w:jc w:val="right"/>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(Énfasis añadido)</w:t>
      </w:r>
    </w:p>
    <w:p w14:paraId="36963E72" w14:textId="77777777" w:rsidR="00E20C94" w:rsidRPr="0035228F" w:rsidRDefault="00E20C94">
      <w:pPr>
        <w:spacing w:line="276" w:lineRule="auto"/>
        <w:ind w:left="567" w:right="560"/>
        <w:jc w:val="right"/>
        <w:rPr>
          <w:rFonts w:ascii="Palatino Linotype" w:eastAsia="Palatino Linotype" w:hAnsi="Palatino Linotype" w:cs="Palatino Linotype"/>
          <w:i/>
          <w:iCs/>
          <w:sz w:val="22"/>
          <w:szCs w:val="22"/>
        </w:rPr>
      </w:pPr>
    </w:p>
    <w:p w14:paraId="3CE66392" w14:textId="77777777" w:rsidR="00E20C94" w:rsidRPr="0035228F" w:rsidRDefault="009521F6">
      <w:pPr>
        <w:spacing w:line="360" w:lineRule="auto"/>
        <w:jc w:val="both"/>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sz w:val="22"/>
          <w:szCs w:val="22"/>
        </w:rPr>
        <w:t xml:space="preserve">Como se desprende de lo anterior, constituye una obligación de las Unidades de Transparencia de los Sujetos Obligados </w:t>
      </w:r>
      <w:r w:rsidRPr="0035228F">
        <w:rPr>
          <w:rFonts w:ascii="Palatino Linotype" w:eastAsia="Palatino Linotype" w:hAnsi="Palatino Linotype" w:cs="Palatino Linotype"/>
          <w:b/>
          <w:bCs/>
          <w:sz w:val="22"/>
          <w:szCs w:val="22"/>
        </w:rPr>
        <w:t>dar trámite a las solicitudes de acceso a la información</w:t>
      </w:r>
      <w:r w:rsidRPr="0035228F">
        <w:rPr>
          <w:rFonts w:ascii="Palatino Linotype" w:eastAsia="Palatino Linotype" w:hAnsi="Palatino Linotype" w:cs="Palatino Linotype"/>
          <w:sz w:val="22"/>
          <w:szCs w:val="22"/>
        </w:rPr>
        <w:t xml:space="preserve">, </w:t>
      </w:r>
      <w:r w:rsidRPr="0035228F">
        <w:rPr>
          <w:rFonts w:ascii="Palatino Linotype" w:eastAsia="Palatino Linotype" w:hAnsi="Palatino Linotype" w:cs="Palatino Linotype"/>
          <w:b/>
          <w:bCs/>
          <w:sz w:val="22"/>
          <w:szCs w:val="22"/>
        </w:rPr>
        <w:t>llevar trámites internos necesarios para la atención de las mismas (turnar la solicitud de información a las áreas competentes)</w:t>
      </w:r>
      <w:r w:rsidRPr="0035228F">
        <w:rPr>
          <w:rFonts w:ascii="Palatino Linotype" w:eastAsia="Palatino Linotype" w:hAnsi="Palatino Linotype" w:cs="Palatino Linotype"/>
          <w:sz w:val="22"/>
          <w:szCs w:val="22"/>
        </w:rPr>
        <w:t xml:space="preserve">, presentar ante el Comité de Transparencia la propuesta de clasificación de información elaborada por los servidores públicos habilitados competentes, así como </w:t>
      </w:r>
      <w:r w:rsidRPr="0035228F">
        <w:rPr>
          <w:rFonts w:ascii="Palatino Linotype" w:eastAsia="Palatino Linotype" w:hAnsi="Palatino Linotype" w:cs="Palatino Linotype"/>
          <w:b/>
          <w:bCs/>
          <w:sz w:val="22"/>
          <w:szCs w:val="22"/>
        </w:rPr>
        <w:t>llevar un registro de las solicitudes de acceso a la información,</w:t>
      </w:r>
      <w:r w:rsidRPr="0035228F">
        <w:rPr>
          <w:rFonts w:ascii="Palatino Linotype" w:eastAsia="Palatino Linotype" w:hAnsi="Palatino Linotype" w:cs="Palatino Linotype"/>
          <w:sz w:val="22"/>
          <w:szCs w:val="22"/>
        </w:rPr>
        <w:t xml:space="preserve"> </w:t>
      </w:r>
      <w:r w:rsidRPr="0035228F">
        <w:rPr>
          <w:rFonts w:ascii="Palatino Linotype" w:eastAsia="Palatino Linotype" w:hAnsi="Palatino Linotype" w:cs="Palatino Linotype"/>
          <w:b/>
          <w:bCs/>
          <w:sz w:val="22"/>
          <w:szCs w:val="22"/>
        </w:rPr>
        <w:t>sus respuestas, resultados, la resolución a los recursos de revisión que se hayan emitido en contra de sus respuestas y el cumplimiento dado a las mismas.</w:t>
      </w:r>
    </w:p>
    <w:p w14:paraId="6D86AECE" w14:textId="77777777" w:rsidR="00E20C94" w:rsidRPr="0035228F" w:rsidRDefault="00E20C94">
      <w:pPr>
        <w:spacing w:line="360" w:lineRule="auto"/>
        <w:jc w:val="both"/>
        <w:rPr>
          <w:rFonts w:ascii="Palatino Linotype" w:eastAsia="Palatino Linotype" w:hAnsi="Palatino Linotype" w:cs="Palatino Linotype"/>
          <w:b/>
          <w:bCs/>
          <w:sz w:val="22"/>
          <w:szCs w:val="22"/>
        </w:rPr>
      </w:pPr>
    </w:p>
    <w:p w14:paraId="62ECFBB6" w14:textId="77777777"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b/>
          <w:bCs/>
          <w:sz w:val="22"/>
          <w:szCs w:val="22"/>
        </w:rPr>
        <w:t xml:space="preserve">Por tanto, se advierte que en los archivos del ente obligado obra tanto </w:t>
      </w:r>
      <w:r w:rsidRPr="0035228F">
        <w:rPr>
          <w:rFonts w:ascii="Palatino Linotype" w:eastAsia="Palatino Linotype" w:hAnsi="Palatino Linotype" w:cs="Palatino Linotype"/>
          <w:sz w:val="22"/>
          <w:szCs w:val="22"/>
        </w:rPr>
        <w:t>el registro de las solicitudes de acceso a la información, sus respuestas, resultados, la resolución a los recursos de revisión y el cumplimiento dado a las mismas,</w:t>
      </w:r>
      <w:r w:rsidRPr="0035228F">
        <w:rPr>
          <w:rFonts w:ascii="Palatino Linotype" w:eastAsia="Palatino Linotype" w:hAnsi="Palatino Linotype" w:cs="Palatino Linotype"/>
          <w:b/>
          <w:bCs/>
          <w:sz w:val="22"/>
          <w:szCs w:val="22"/>
        </w:rPr>
        <w:t xml:space="preserve"> como los soportes documentales</w:t>
      </w:r>
      <w:r w:rsidRPr="0035228F">
        <w:rPr>
          <w:rFonts w:ascii="Palatino Linotype" w:eastAsia="Palatino Linotype" w:hAnsi="Palatino Linotype" w:cs="Palatino Linotype"/>
          <w:sz w:val="22"/>
          <w:szCs w:val="22"/>
        </w:rPr>
        <w:t xml:space="preserve"> con los que se alimenta dicho registro. </w:t>
      </w:r>
    </w:p>
    <w:p w14:paraId="38815E18"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5603848D" w14:textId="77777777" w:rsidR="00E20C94" w:rsidRPr="0035228F"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De ahí que se desprende que existe fuente obligacional para que el ente obligado cuente con los documentos que integran </w:t>
      </w:r>
      <w:r w:rsidRPr="0035228F">
        <w:rPr>
          <w:rFonts w:ascii="Palatino Linotype" w:eastAsia="Palatino Linotype" w:hAnsi="Palatino Linotype" w:cs="Palatino Linotype"/>
          <w:b/>
          <w:bCs/>
          <w:sz w:val="22"/>
          <w:szCs w:val="22"/>
        </w:rPr>
        <w:t xml:space="preserve">los expedientes relacionados con los recursos de revisión referidos, generadas a la </w:t>
      </w:r>
      <w:r w:rsidRPr="0035228F">
        <w:rPr>
          <w:rFonts w:ascii="Palatino Linotype" w:eastAsia="Palatino Linotype" w:hAnsi="Palatino Linotype" w:cs="Palatino Linotype"/>
          <w:sz w:val="22"/>
          <w:szCs w:val="22"/>
        </w:rPr>
        <w:t>fecha de presentación de las solicitudes de información, desde la solicitud de información hasta el cumplimiento que, en su caso, procedió sobre la resolución recaída a los medios de impugnación.</w:t>
      </w:r>
    </w:p>
    <w:p w14:paraId="6000FA26"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20897759" w14:textId="77777777"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54B44841"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2344C4ED" w14:textId="77777777" w:rsidR="00E20C94" w:rsidRPr="0035228F" w:rsidRDefault="009521F6">
      <w:pPr>
        <w:spacing w:line="360" w:lineRule="auto"/>
        <w:ind w:right="-28"/>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w:t>
      </w:r>
    </w:p>
    <w:p w14:paraId="20436D60"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55C7B4F8" w14:textId="77777777" w:rsidR="00E20C94" w:rsidRPr="0035228F" w:rsidRDefault="009521F6">
      <w:pPr>
        <w:spacing w:line="360" w:lineRule="auto"/>
        <w:ind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697677AA" w14:textId="77777777" w:rsidR="00E20C94" w:rsidRPr="0035228F" w:rsidRDefault="00E20C94">
      <w:pPr>
        <w:rPr>
          <w:rFonts w:ascii="Palatino Linotype" w:eastAsia="Palatino Linotype" w:hAnsi="Palatino Linotype" w:cs="Palatino Linotype"/>
          <w:sz w:val="22"/>
          <w:szCs w:val="22"/>
        </w:rPr>
      </w:pPr>
    </w:p>
    <w:p w14:paraId="00D9B258" w14:textId="77777777" w:rsidR="00E20C94" w:rsidRPr="0035228F" w:rsidRDefault="009521F6">
      <w:pPr>
        <w:pBdr>
          <w:top w:val="nil"/>
          <w:left w:val="nil"/>
          <w:bottom w:val="nil"/>
          <w:right w:val="nil"/>
          <w:between w:val="nil"/>
        </w:pBdr>
        <w:ind w:left="864" w:right="864"/>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i/>
          <w:iCs/>
          <w:sz w:val="22"/>
          <w:szCs w:val="22"/>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3A9B7791" w14:textId="77777777" w:rsidR="00E20C94" w:rsidRPr="0035228F" w:rsidRDefault="00E20C94">
      <w:pPr>
        <w:rPr>
          <w:rFonts w:ascii="Palatino Linotype" w:eastAsia="Palatino Linotype" w:hAnsi="Palatino Linotype" w:cs="Palatino Linotype"/>
          <w:sz w:val="22"/>
          <w:szCs w:val="22"/>
        </w:rPr>
      </w:pPr>
    </w:p>
    <w:p w14:paraId="7946C5D9" w14:textId="77777777"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2B2108C6" w14:textId="77777777" w:rsidR="00E20C94" w:rsidRPr="0035228F" w:rsidRDefault="00E20C94">
      <w:pPr>
        <w:rPr>
          <w:rFonts w:ascii="Palatino Linotype" w:eastAsia="Palatino Linotype" w:hAnsi="Palatino Linotype" w:cs="Palatino Linotype"/>
          <w:sz w:val="22"/>
          <w:szCs w:val="22"/>
        </w:rPr>
      </w:pPr>
    </w:p>
    <w:p w14:paraId="2D5A5FFC" w14:textId="77777777" w:rsidR="00E20C94" w:rsidRPr="0035228F" w:rsidRDefault="009521F6">
      <w:pPr>
        <w:pBdr>
          <w:top w:val="nil"/>
          <w:left w:val="nil"/>
          <w:bottom w:val="nil"/>
          <w:right w:val="nil"/>
          <w:between w:val="nil"/>
        </w:pBdr>
        <w:ind w:left="864" w:right="864"/>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i/>
          <w:iCs/>
          <w:sz w:val="22"/>
          <w:szCs w:val="22"/>
        </w:rPr>
        <w:t xml:space="preserve">“Artículo 162. Las unidades de transparencia deberán garantizar que las solicitudes </w:t>
      </w:r>
      <w:r w:rsidRPr="0035228F">
        <w:rPr>
          <w:rFonts w:ascii="Palatino Linotype" w:eastAsia="Palatino Linotype" w:hAnsi="Palatino Linotype" w:cs="Palatino Linotype"/>
          <w:b/>
          <w:bCs/>
          <w:i/>
          <w:iCs/>
          <w:sz w:val="22"/>
          <w:szCs w:val="22"/>
        </w:rPr>
        <w:t xml:space="preserve">se turnen a todas las Áreas competentes </w:t>
      </w:r>
      <w:r w:rsidRPr="0035228F">
        <w:rPr>
          <w:rFonts w:ascii="Palatino Linotype" w:eastAsia="Palatino Linotype" w:hAnsi="Palatino Linotype" w:cs="Palatino Linotype"/>
          <w:i/>
          <w:iCs/>
          <w:sz w:val="22"/>
          <w:szCs w:val="22"/>
        </w:rPr>
        <w:t>que cuenten con la información o deban tenerla de acuerdo a sus facultades, competencias y funciones, con el objeto de que realicen una búsqueda exhaustiva y razonable de la información solicitada.”</w:t>
      </w:r>
    </w:p>
    <w:p w14:paraId="7F210808"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313E11AB" w14:textId="77777777"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No obstante, si bien en el caso se pronunció la unidad administrativa competente, en el caso no se colmó en su totalidad el derecho de acceso a la información pública del particular.</w:t>
      </w:r>
    </w:p>
    <w:p w14:paraId="3538A337"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58DA4381" w14:textId="29C3AEBA"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Se afirma lo anterior, en razón de que el servidor público habilitado competente, da un cumplimiento parcial, al únicamente hacer entrega de un link que remite a la página de este Instituto, así como los pasos para consultar en dicho enlace la resolución recaída al medio de impugnación referido en las solicitudes de información, como se muestra:</w:t>
      </w:r>
    </w:p>
    <w:p w14:paraId="485C937D" w14:textId="77777777" w:rsidR="00E20C94" w:rsidRPr="0035228F" w:rsidRDefault="00E20C94">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22930445" w14:textId="77777777" w:rsidR="00E20C94" w:rsidRPr="0035228F" w:rsidRDefault="009521F6">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noProof/>
          <w:sz w:val="22"/>
          <w:szCs w:val="22"/>
        </w:rPr>
        <w:drawing>
          <wp:inline distT="0" distB="0" distL="0" distR="0" wp14:anchorId="00EAF6CB" wp14:editId="510A89BC">
            <wp:extent cx="5343525" cy="2752725"/>
            <wp:effectExtent l="9525" t="9525" r="9525" b="9525"/>
            <wp:docPr id="4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b="45000"/>
                    <a:stretch>
                      <a:fillRect/>
                    </a:stretch>
                  </pic:blipFill>
                  <pic:spPr>
                    <a:xfrm>
                      <a:off x="0" y="0"/>
                      <a:ext cx="5343525" cy="2752725"/>
                    </a:xfrm>
                    <a:prstGeom prst="rect">
                      <a:avLst/>
                    </a:prstGeom>
                    <a:ln w="9525">
                      <a:solidFill>
                        <a:srgbClr val="4F81BD"/>
                      </a:solidFill>
                      <a:prstDash val="solid"/>
                    </a:ln>
                  </pic:spPr>
                </pic:pic>
              </a:graphicData>
            </a:graphic>
          </wp:inline>
        </w:drawing>
      </w:r>
    </w:p>
    <w:p w14:paraId="7D178715" w14:textId="77777777" w:rsidR="00E20C94" w:rsidRPr="0035228F" w:rsidRDefault="009521F6">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noProof/>
          <w:sz w:val="22"/>
          <w:szCs w:val="22"/>
        </w:rPr>
        <w:drawing>
          <wp:inline distT="0" distB="0" distL="0" distR="0" wp14:anchorId="1C52CFC9" wp14:editId="2FFA12D5">
            <wp:extent cx="5343525" cy="2581275"/>
            <wp:effectExtent l="9525" t="9525" r="9525" b="9525"/>
            <wp:docPr id="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t="55695"/>
                    <a:stretch>
                      <a:fillRect/>
                    </a:stretch>
                  </pic:blipFill>
                  <pic:spPr>
                    <a:xfrm>
                      <a:off x="0" y="0"/>
                      <a:ext cx="5343525" cy="2581275"/>
                    </a:xfrm>
                    <a:prstGeom prst="rect">
                      <a:avLst/>
                    </a:prstGeom>
                    <a:ln w="9525">
                      <a:solidFill>
                        <a:srgbClr val="4F81BD"/>
                      </a:solidFill>
                      <a:prstDash val="solid"/>
                    </a:ln>
                  </pic:spPr>
                </pic:pic>
              </a:graphicData>
            </a:graphic>
          </wp:inline>
        </w:drawing>
      </w:r>
    </w:p>
    <w:p w14:paraId="0AA61D6E" w14:textId="77777777" w:rsidR="00E20C94" w:rsidRPr="0035228F" w:rsidRDefault="00E20C94">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21C3AE8C" w14:textId="77777777" w:rsidR="00E20C94" w:rsidRPr="0035228F" w:rsidRDefault="009521F6">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noProof/>
          <w:sz w:val="22"/>
          <w:szCs w:val="22"/>
        </w:rPr>
        <w:drawing>
          <wp:inline distT="0" distB="0" distL="0" distR="0" wp14:anchorId="27B153CA" wp14:editId="58E84120">
            <wp:extent cx="5324475" cy="4143375"/>
            <wp:effectExtent l="0" t="0" r="0" b="0"/>
            <wp:docPr id="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324475" cy="4143375"/>
                    </a:xfrm>
                    <a:prstGeom prst="rect">
                      <a:avLst/>
                    </a:prstGeom>
                    <a:ln/>
                  </pic:spPr>
                </pic:pic>
              </a:graphicData>
            </a:graphic>
          </wp:inline>
        </w:drawing>
      </w:r>
    </w:p>
    <w:p w14:paraId="6B0C036E"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6EC733E" w14:textId="77777777"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14:paraId="780DFB18"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B66C54C" w14:textId="77777777"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sz w:val="22"/>
          <w:szCs w:val="22"/>
        </w:rPr>
        <w:t xml:space="preserve">Máxime que </w:t>
      </w:r>
      <w:r w:rsidRPr="0035228F">
        <w:rPr>
          <w:rFonts w:ascii="Palatino Linotype" w:eastAsia="Palatino Linotype" w:hAnsi="Palatino Linotype" w:cs="Palatino Linotype"/>
          <w:b/>
          <w:bCs/>
          <w:sz w:val="22"/>
          <w:szCs w:val="22"/>
        </w:rPr>
        <w:t>del análisis que realizó este Órgano Garante a las constancias que obran en los mismos, se desprende que estos se conforman, de manera enunciativa más no limitativa, de los siguientes documentos:</w:t>
      </w:r>
    </w:p>
    <w:p w14:paraId="40ABDEEF"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p>
    <w:p w14:paraId="1C944700" w14:textId="77777777" w:rsidR="00E20C94" w:rsidRPr="0035228F"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b/>
          <w:bCs/>
          <w:sz w:val="22"/>
          <w:szCs w:val="22"/>
        </w:rPr>
        <w:t>Las solicitudes de acceso a información pública,</w:t>
      </w:r>
    </w:p>
    <w:p w14:paraId="7F748C1C" w14:textId="77777777" w:rsidR="00E20C94" w:rsidRPr="0035228F"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b/>
          <w:bCs/>
          <w:sz w:val="22"/>
          <w:szCs w:val="22"/>
        </w:rPr>
        <w:t xml:space="preserve">Los documentos que dan cuenta de los turnos de las solicitudes a las áreas competentes, </w:t>
      </w:r>
    </w:p>
    <w:p w14:paraId="35300875" w14:textId="77777777" w:rsidR="00E20C94" w:rsidRPr="0035228F"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b/>
          <w:bCs/>
          <w:sz w:val="22"/>
          <w:szCs w:val="22"/>
        </w:rPr>
        <w:t xml:space="preserve">Las respuestas por parte de las áreas competentes, </w:t>
      </w:r>
    </w:p>
    <w:p w14:paraId="0EC134C4" w14:textId="77777777" w:rsidR="00E20C94" w:rsidRPr="0035228F"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b/>
          <w:bCs/>
          <w:sz w:val="22"/>
          <w:szCs w:val="22"/>
        </w:rPr>
        <w:t>En su caso, actas de sesión del Comité de Transparencia del Sujeto Obligado en las que se lleva a cabo la clasificación de información,</w:t>
      </w:r>
    </w:p>
    <w:p w14:paraId="251208E3" w14:textId="77777777" w:rsidR="00E20C94" w:rsidRPr="0035228F"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b/>
          <w:bCs/>
          <w:sz w:val="22"/>
          <w:szCs w:val="22"/>
        </w:rPr>
        <w:t xml:space="preserve">Los formatos de interposición de los recursos de revisión, </w:t>
      </w:r>
    </w:p>
    <w:p w14:paraId="3FEBC375" w14:textId="77777777" w:rsidR="00E20C94" w:rsidRPr="0035228F"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b/>
          <w:bCs/>
          <w:sz w:val="22"/>
          <w:szCs w:val="22"/>
        </w:rPr>
        <w:t>En su caso, los oficios o documentos a través de los cuales la Unidad de Transparencia notifica a las áreas competentes el recurso de revisión interpuesto.</w:t>
      </w:r>
    </w:p>
    <w:p w14:paraId="52B634EC" w14:textId="77777777" w:rsidR="00E20C94" w:rsidRPr="0035228F"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b/>
          <w:bCs/>
          <w:sz w:val="22"/>
          <w:szCs w:val="22"/>
        </w:rPr>
        <w:t xml:space="preserve">Los documentos que dan cuenta de los informes justificados, </w:t>
      </w:r>
    </w:p>
    <w:p w14:paraId="33191E46" w14:textId="77777777" w:rsidR="00E20C94" w:rsidRPr="0035228F"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b/>
          <w:bCs/>
          <w:sz w:val="22"/>
          <w:szCs w:val="22"/>
        </w:rPr>
        <w:t>La resolución recaída a los recursos de revisión,</w:t>
      </w:r>
    </w:p>
    <w:p w14:paraId="65AB236B" w14:textId="77777777" w:rsidR="00E20C94" w:rsidRPr="0035228F"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b/>
          <w:bCs/>
          <w:sz w:val="22"/>
          <w:szCs w:val="22"/>
        </w:rPr>
        <w:t>En su caso, documentos entregados en cumplimiento a la resolución recaída a los recursos de revisión.</w:t>
      </w:r>
    </w:p>
    <w:p w14:paraId="717A9E5A"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819E4C6" w14:textId="77777777"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De esta manera, es que al no entregarse todas las documentales que integran los expedientes de los recursos de revisión antes precisados, se tiene que los motivos de inconformidad del particular devienen </w:t>
      </w:r>
      <w:r w:rsidRPr="0035228F">
        <w:rPr>
          <w:rFonts w:ascii="Palatino Linotype" w:eastAsia="Palatino Linotype" w:hAnsi="Palatino Linotype" w:cs="Palatino Linotype"/>
          <w:b/>
          <w:bCs/>
          <w:sz w:val="22"/>
          <w:szCs w:val="22"/>
        </w:rPr>
        <w:t>parcialmente fundados</w:t>
      </w:r>
      <w:r w:rsidRPr="0035228F">
        <w:rPr>
          <w:rFonts w:ascii="Palatino Linotype" w:eastAsia="Palatino Linotype" w:hAnsi="Palatino Linotype" w:cs="Palatino Linotype"/>
          <w:sz w:val="22"/>
          <w:szCs w:val="22"/>
        </w:rPr>
        <w:t xml:space="preserve">, siendo procedente </w:t>
      </w:r>
      <w:r w:rsidRPr="0035228F">
        <w:rPr>
          <w:rFonts w:ascii="Palatino Linotype" w:eastAsia="Palatino Linotype" w:hAnsi="Palatino Linotype" w:cs="Palatino Linotype"/>
          <w:b/>
          <w:bCs/>
          <w:sz w:val="22"/>
          <w:szCs w:val="22"/>
        </w:rPr>
        <w:t xml:space="preserve">Modificar </w:t>
      </w:r>
      <w:r w:rsidRPr="0035228F">
        <w:rPr>
          <w:rFonts w:ascii="Palatino Linotype" w:eastAsia="Palatino Linotype" w:hAnsi="Palatino Linotype" w:cs="Palatino Linotype"/>
          <w:sz w:val="22"/>
          <w:szCs w:val="22"/>
        </w:rPr>
        <w:t xml:space="preserve">las respuestas del </w:t>
      </w:r>
      <w:r w:rsidRPr="0035228F">
        <w:rPr>
          <w:rFonts w:ascii="Palatino Linotype" w:eastAsia="Palatino Linotype" w:hAnsi="Palatino Linotype" w:cs="Palatino Linotype"/>
          <w:b/>
          <w:bCs/>
          <w:sz w:val="22"/>
          <w:szCs w:val="22"/>
        </w:rPr>
        <w:t xml:space="preserve">Sujeto Obligado </w:t>
      </w:r>
      <w:r w:rsidRPr="0035228F">
        <w:rPr>
          <w:rFonts w:ascii="Palatino Linotype" w:eastAsia="Palatino Linotype" w:hAnsi="Palatino Linotype" w:cs="Palatino Linotype"/>
          <w:sz w:val="22"/>
          <w:szCs w:val="22"/>
        </w:rPr>
        <w:t>y ordenar que en cumplimiento a la presente resolución se entregue, de ser procedente en versión pública, lo siguiente:</w:t>
      </w:r>
    </w:p>
    <w:p w14:paraId="646A3FFE"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B25D8BA" w14:textId="373109A9" w:rsidR="00E20C94" w:rsidRPr="0035228F" w:rsidRDefault="009521F6" w:rsidP="00815067">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b/>
          <w:bCs/>
          <w:sz w:val="22"/>
          <w:szCs w:val="22"/>
        </w:rPr>
        <w:t xml:space="preserve">La totalidad de las documentales que integran los expedientes relacionados con recursos de revisión </w:t>
      </w:r>
      <w:r w:rsidR="00431015" w:rsidRPr="0035228F">
        <w:rPr>
          <w:rFonts w:ascii="Palatino Linotype" w:eastAsia="Palatino Linotype" w:hAnsi="Palatino Linotype" w:cs="Palatino Linotype"/>
          <w:b/>
          <w:bCs/>
          <w:sz w:val="22"/>
          <w:szCs w:val="22"/>
        </w:rPr>
        <w:t xml:space="preserve">03058/INFOEM/IP/RR/2025, 03053/INFOEM/IP/RR/2025, 03049/INFOEM/IP/RR/2025, 01756/INFOEM/IP/RR/2025, 01740/INFOEM/IP/RR/2025, 01696/INFOEM/IP/RR/2025, 01689/INFOEM/IP/RR/2025, 01611/INFOEM/IP/RR/2025, 01606/INFOEM/IP/RR/2025   y 01601/INFOEM/IP/RR/2025, </w:t>
      </w:r>
      <w:r w:rsidRPr="0035228F">
        <w:rPr>
          <w:rFonts w:ascii="Palatino Linotype" w:eastAsia="Palatino Linotype" w:hAnsi="Palatino Linotype" w:cs="Palatino Linotype"/>
          <w:b/>
          <w:bCs/>
          <w:sz w:val="22"/>
          <w:szCs w:val="22"/>
        </w:rPr>
        <w:t xml:space="preserve">generadas al </w:t>
      </w:r>
      <w:r w:rsidR="00431015" w:rsidRPr="0035228F">
        <w:rPr>
          <w:rFonts w:ascii="Palatino Linotype" w:eastAsia="Palatino Linotype" w:hAnsi="Palatino Linotype" w:cs="Palatino Linotype"/>
          <w:b/>
          <w:bCs/>
          <w:sz w:val="22"/>
          <w:szCs w:val="22"/>
        </w:rPr>
        <w:t>once y veinte</w:t>
      </w:r>
      <w:r w:rsidR="00B25DC3" w:rsidRPr="0035228F">
        <w:rPr>
          <w:rFonts w:ascii="Palatino Linotype" w:eastAsia="Palatino Linotype" w:hAnsi="Palatino Linotype" w:cs="Palatino Linotype"/>
          <w:b/>
          <w:bCs/>
          <w:sz w:val="22"/>
          <w:szCs w:val="22"/>
        </w:rPr>
        <w:t xml:space="preserve"> </w:t>
      </w:r>
      <w:r w:rsidRPr="0035228F">
        <w:rPr>
          <w:rFonts w:ascii="Palatino Linotype" w:eastAsia="Palatino Linotype" w:hAnsi="Palatino Linotype" w:cs="Palatino Linotype"/>
          <w:b/>
          <w:bCs/>
          <w:sz w:val="22"/>
          <w:szCs w:val="22"/>
        </w:rPr>
        <w:t>de noviembre de dos mil veinticinco</w:t>
      </w:r>
      <w:r w:rsidR="00B25DC3" w:rsidRPr="0035228F">
        <w:rPr>
          <w:rFonts w:ascii="Palatino Linotype" w:eastAsia="Palatino Linotype" w:hAnsi="Palatino Linotype" w:cs="Palatino Linotype"/>
          <w:b/>
          <w:bCs/>
          <w:sz w:val="22"/>
          <w:szCs w:val="22"/>
        </w:rPr>
        <w:t xml:space="preserve">, según corresponda </w:t>
      </w:r>
      <w:r w:rsidRPr="0035228F">
        <w:rPr>
          <w:rFonts w:ascii="Palatino Linotype" w:eastAsia="Palatino Linotype" w:hAnsi="Palatino Linotype" w:cs="Palatino Linotype"/>
          <w:sz w:val="22"/>
          <w:szCs w:val="22"/>
        </w:rPr>
        <w:t>(</w:t>
      </w:r>
      <w:r w:rsidR="00B25DC3" w:rsidRPr="0035228F">
        <w:rPr>
          <w:rFonts w:ascii="Palatino Linotype" w:eastAsia="Palatino Linotype" w:hAnsi="Palatino Linotype" w:cs="Palatino Linotype"/>
          <w:sz w:val="22"/>
          <w:szCs w:val="22"/>
        </w:rPr>
        <w:t xml:space="preserve">de acuerdo a la fecha </w:t>
      </w:r>
      <w:r w:rsidRPr="0035228F">
        <w:rPr>
          <w:rFonts w:ascii="Palatino Linotype" w:eastAsia="Palatino Linotype" w:hAnsi="Palatino Linotype" w:cs="Palatino Linotype"/>
          <w:sz w:val="22"/>
          <w:szCs w:val="22"/>
        </w:rPr>
        <w:t>de presentación de las solicitudes relacionadas con los medios de impugnación que se resuelven).</w:t>
      </w:r>
    </w:p>
    <w:p w14:paraId="55F82F29"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D361EB3" w14:textId="7F81027A"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b/>
          <w:bCs/>
          <w:sz w:val="22"/>
          <w:szCs w:val="22"/>
        </w:rPr>
        <w:t>De las causas de sobreseimiento d</w:t>
      </w:r>
      <w:r w:rsidR="00B25DC3" w:rsidRPr="0035228F">
        <w:rPr>
          <w:rFonts w:ascii="Palatino Linotype" w:eastAsia="Palatino Linotype" w:hAnsi="Palatino Linotype" w:cs="Palatino Linotype"/>
          <w:b/>
          <w:bCs/>
          <w:sz w:val="22"/>
          <w:szCs w:val="22"/>
        </w:rPr>
        <w:t xml:space="preserve">e </w:t>
      </w:r>
      <w:r w:rsidRPr="0035228F">
        <w:rPr>
          <w:rFonts w:ascii="Palatino Linotype" w:eastAsia="Palatino Linotype" w:hAnsi="Palatino Linotype" w:cs="Palatino Linotype"/>
          <w:b/>
          <w:bCs/>
          <w:sz w:val="22"/>
          <w:szCs w:val="22"/>
        </w:rPr>
        <w:t>l</w:t>
      </w:r>
      <w:r w:rsidR="00B25DC3" w:rsidRPr="0035228F">
        <w:rPr>
          <w:rFonts w:ascii="Palatino Linotype" w:eastAsia="Palatino Linotype" w:hAnsi="Palatino Linotype" w:cs="Palatino Linotype"/>
          <w:b/>
          <w:bCs/>
          <w:sz w:val="22"/>
          <w:szCs w:val="22"/>
        </w:rPr>
        <w:t>os</w:t>
      </w:r>
      <w:r w:rsidRPr="0035228F">
        <w:rPr>
          <w:rFonts w:ascii="Palatino Linotype" w:eastAsia="Palatino Linotype" w:hAnsi="Palatino Linotype" w:cs="Palatino Linotype"/>
          <w:b/>
          <w:bCs/>
          <w:sz w:val="22"/>
          <w:szCs w:val="22"/>
        </w:rPr>
        <w:t xml:space="preserve"> recurso</w:t>
      </w:r>
      <w:r w:rsidR="00B25DC3" w:rsidRPr="0035228F">
        <w:rPr>
          <w:rFonts w:ascii="Palatino Linotype" w:eastAsia="Palatino Linotype" w:hAnsi="Palatino Linotype" w:cs="Palatino Linotype"/>
          <w:b/>
          <w:bCs/>
          <w:sz w:val="22"/>
          <w:szCs w:val="22"/>
        </w:rPr>
        <w:t>s</w:t>
      </w:r>
      <w:r w:rsidRPr="0035228F">
        <w:rPr>
          <w:rFonts w:ascii="Palatino Linotype" w:eastAsia="Palatino Linotype" w:hAnsi="Palatino Linotype" w:cs="Palatino Linotype"/>
          <w:b/>
          <w:bCs/>
          <w:sz w:val="22"/>
          <w:szCs w:val="22"/>
        </w:rPr>
        <w:t xml:space="preserve"> de revisión 00</w:t>
      </w:r>
      <w:r w:rsidR="00431015" w:rsidRPr="0035228F">
        <w:rPr>
          <w:rFonts w:ascii="Palatino Linotype" w:eastAsia="Palatino Linotype" w:hAnsi="Palatino Linotype" w:cs="Palatino Linotype"/>
          <w:b/>
          <w:bCs/>
          <w:sz w:val="22"/>
          <w:szCs w:val="22"/>
        </w:rPr>
        <w:t>489</w:t>
      </w:r>
      <w:r w:rsidRPr="0035228F">
        <w:rPr>
          <w:rFonts w:ascii="Palatino Linotype" w:eastAsia="Palatino Linotype" w:hAnsi="Palatino Linotype" w:cs="Palatino Linotype"/>
          <w:b/>
          <w:bCs/>
          <w:sz w:val="22"/>
          <w:szCs w:val="22"/>
        </w:rPr>
        <w:t>/INFOEM/IP/RR/2026</w:t>
      </w:r>
      <w:r w:rsidR="00B25DC3" w:rsidRPr="0035228F">
        <w:rPr>
          <w:rFonts w:ascii="Palatino Linotype" w:eastAsia="Palatino Linotype" w:hAnsi="Palatino Linotype" w:cs="Palatino Linotype"/>
          <w:b/>
          <w:bCs/>
          <w:sz w:val="22"/>
          <w:szCs w:val="22"/>
        </w:rPr>
        <w:t xml:space="preserve"> y 00</w:t>
      </w:r>
      <w:r w:rsidR="00431015" w:rsidRPr="0035228F">
        <w:rPr>
          <w:rFonts w:ascii="Palatino Linotype" w:eastAsia="Palatino Linotype" w:hAnsi="Palatino Linotype" w:cs="Palatino Linotype"/>
          <w:b/>
          <w:bCs/>
          <w:sz w:val="22"/>
          <w:szCs w:val="22"/>
        </w:rPr>
        <w:t>499</w:t>
      </w:r>
      <w:r w:rsidR="00B25DC3" w:rsidRPr="0035228F">
        <w:rPr>
          <w:rFonts w:ascii="Palatino Linotype" w:eastAsia="Palatino Linotype" w:hAnsi="Palatino Linotype" w:cs="Palatino Linotype"/>
          <w:b/>
          <w:bCs/>
          <w:sz w:val="22"/>
          <w:szCs w:val="22"/>
        </w:rPr>
        <w:t xml:space="preserve">/INFOEM/IP/RR/2026. </w:t>
      </w:r>
    </w:p>
    <w:p w14:paraId="10447499"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D39D492" w14:textId="0B595F6C"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No procede ordenar la entrega de la información relacionada al recurso de revisión </w:t>
      </w:r>
      <w:r w:rsidRPr="0035228F">
        <w:rPr>
          <w:rFonts w:ascii="Palatino Linotype" w:eastAsia="Palatino Linotype" w:hAnsi="Palatino Linotype" w:cs="Palatino Linotype"/>
          <w:b/>
          <w:bCs/>
          <w:sz w:val="22"/>
          <w:szCs w:val="22"/>
        </w:rPr>
        <w:t>0</w:t>
      </w:r>
      <w:r w:rsidR="00431015" w:rsidRPr="0035228F">
        <w:rPr>
          <w:rFonts w:ascii="Palatino Linotype" w:eastAsia="Palatino Linotype" w:hAnsi="Palatino Linotype" w:cs="Palatino Linotype"/>
          <w:b/>
          <w:bCs/>
          <w:sz w:val="22"/>
          <w:szCs w:val="22"/>
        </w:rPr>
        <w:t>1702</w:t>
      </w:r>
      <w:r w:rsidRPr="0035228F">
        <w:rPr>
          <w:rFonts w:ascii="Palatino Linotype" w:eastAsia="Palatino Linotype" w:hAnsi="Palatino Linotype" w:cs="Palatino Linotype"/>
          <w:b/>
          <w:bCs/>
          <w:sz w:val="22"/>
          <w:szCs w:val="22"/>
        </w:rPr>
        <w:t>/INFOEM/IP/RR/2025</w:t>
      </w:r>
      <w:r w:rsidRPr="0035228F">
        <w:rPr>
          <w:rFonts w:ascii="Palatino Linotype" w:eastAsia="Palatino Linotype" w:hAnsi="Palatino Linotype" w:cs="Palatino Linotype"/>
          <w:sz w:val="22"/>
          <w:szCs w:val="22"/>
        </w:rPr>
        <w:t>, referido en la solicitud 06</w:t>
      </w:r>
      <w:r w:rsidR="00431015" w:rsidRPr="0035228F">
        <w:rPr>
          <w:rFonts w:ascii="Palatino Linotype" w:eastAsia="Palatino Linotype" w:hAnsi="Palatino Linotype" w:cs="Palatino Linotype"/>
          <w:sz w:val="22"/>
          <w:szCs w:val="22"/>
        </w:rPr>
        <w:t>311</w:t>
      </w:r>
      <w:r w:rsidRPr="0035228F">
        <w:rPr>
          <w:rFonts w:ascii="Palatino Linotype" w:eastAsia="Palatino Linotype" w:hAnsi="Palatino Linotype" w:cs="Palatino Linotype"/>
          <w:sz w:val="22"/>
          <w:szCs w:val="22"/>
        </w:rPr>
        <w:t>/TOLUCA/IP/2025 (que dio origen al recurso de revisión 00</w:t>
      </w:r>
      <w:r w:rsidR="00431015" w:rsidRPr="0035228F">
        <w:rPr>
          <w:rFonts w:ascii="Palatino Linotype" w:eastAsia="Palatino Linotype" w:hAnsi="Palatino Linotype" w:cs="Palatino Linotype"/>
          <w:sz w:val="22"/>
          <w:szCs w:val="22"/>
        </w:rPr>
        <w:t>489</w:t>
      </w:r>
      <w:r w:rsidRPr="0035228F">
        <w:rPr>
          <w:rFonts w:ascii="Palatino Linotype" w:eastAsia="Palatino Linotype" w:hAnsi="Palatino Linotype" w:cs="Palatino Linotype"/>
          <w:sz w:val="22"/>
          <w:szCs w:val="22"/>
        </w:rPr>
        <w:t>/INFOEM/IP/RR/2026)</w:t>
      </w:r>
      <w:r w:rsidR="00B25DC3" w:rsidRPr="0035228F">
        <w:rPr>
          <w:rFonts w:ascii="Palatino Linotype" w:eastAsia="Palatino Linotype" w:hAnsi="Palatino Linotype" w:cs="Palatino Linotype"/>
          <w:sz w:val="22"/>
          <w:szCs w:val="22"/>
        </w:rPr>
        <w:t xml:space="preserve">, así como al recurso de revisión </w:t>
      </w:r>
      <w:r w:rsidR="00B25DC3" w:rsidRPr="0035228F">
        <w:rPr>
          <w:rFonts w:ascii="Palatino Linotype" w:eastAsia="Palatino Linotype" w:hAnsi="Palatino Linotype" w:cs="Palatino Linotype"/>
          <w:b/>
          <w:bCs/>
          <w:sz w:val="22"/>
          <w:szCs w:val="22"/>
        </w:rPr>
        <w:t>0</w:t>
      </w:r>
      <w:r w:rsidR="00431015" w:rsidRPr="0035228F">
        <w:rPr>
          <w:rFonts w:ascii="Palatino Linotype" w:eastAsia="Palatino Linotype" w:hAnsi="Palatino Linotype" w:cs="Palatino Linotype"/>
          <w:b/>
          <w:bCs/>
          <w:sz w:val="22"/>
          <w:szCs w:val="22"/>
        </w:rPr>
        <w:t>1695</w:t>
      </w:r>
      <w:r w:rsidR="00B25DC3" w:rsidRPr="0035228F">
        <w:rPr>
          <w:rFonts w:ascii="Palatino Linotype" w:eastAsia="Palatino Linotype" w:hAnsi="Palatino Linotype" w:cs="Palatino Linotype"/>
          <w:b/>
          <w:bCs/>
          <w:sz w:val="22"/>
          <w:szCs w:val="22"/>
        </w:rPr>
        <w:t>/INFOEM/IP/RR/2025</w:t>
      </w:r>
      <w:r w:rsidR="00B25DC3" w:rsidRPr="0035228F">
        <w:rPr>
          <w:rFonts w:ascii="Palatino Linotype" w:eastAsia="Palatino Linotype" w:hAnsi="Palatino Linotype" w:cs="Palatino Linotype"/>
          <w:sz w:val="22"/>
          <w:szCs w:val="22"/>
        </w:rPr>
        <w:t>, referido en la solicitud 06</w:t>
      </w:r>
      <w:r w:rsidR="00431015" w:rsidRPr="0035228F">
        <w:rPr>
          <w:rFonts w:ascii="Palatino Linotype" w:eastAsia="Palatino Linotype" w:hAnsi="Palatino Linotype" w:cs="Palatino Linotype"/>
          <w:sz w:val="22"/>
          <w:szCs w:val="22"/>
        </w:rPr>
        <w:t>305</w:t>
      </w:r>
      <w:r w:rsidR="00B25DC3" w:rsidRPr="0035228F">
        <w:rPr>
          <w:rFonts w:ascii="Palatino Linotype" w:eastAsia="Palatino Linotype" w:hAnsi="Palatino Linotype" w:cs="Palatino Linotype"/>
          <w:sz w:val="22"/>
          <w:szCs w:val="22"/>
        </w:rPr>
        <w:t>/TOLUCA/IP/2025 (que dio origen al recurso de revisión 00</w:t>
      </w:r>
      <w:r w:rsidR="00431015" w:rsidRPr="0035228F">
        <w:rPr>
          <w:rFonts w:ascii="Palatino Linotype" w:eastAsia="Palatino Linotype" w:hAnsi="Palatino Linotype" w:cs="Palatino Linotype"/>
          <w:sz w:val="22"/>
          <w:szCs w:val="22"/>
        </w:rPr>
        <w:t>499</w:t>
      </w:r>
      <w:r w:rsidR="00B25DC3" w:rsidRPr="0035228F">
        <w:rPr>
          <w:rFonts w:ascii="Palatino Linotype" w:eastAsia="Palatino Linotype" w:hAnsi="Palatino Linotype" w:cs="Palatino Linotype"/>
          <w:sz w:val="22"/>
          <w:szCs w:val="22"/>
        </w:rPr>
        <w:t xml:space="preserve">/INFOEM/IP/RR/2026) </w:t>
      </w:r>
      <w:r w:rsidRPr="0035228F">
        <w:rPr>
          <w:rFonts w:ascii="Palatino Linotype" w:eastAsia="Palatino Linotype" w:hAnsi="Palatino Linotype" w:cs="Palatino Linotype"/>
          <w:sz w:val="22"/>
          <w:szCs w:val="22"/>
        </w:rPr>
        <w:t>toda vez que corresponde</w:t>
      </w:r>
      <w:r w:rsidR="00B25DC3" w:rsidRPr="0035228F">
        <w:rPr>
          <w:rFonts w:ascii="Palatino Linotype" w:eastAsia="Palatino Linotype" w:hAnsi="Palatino Linotype" w:cs="Palatino Linotype"/>
          <w:sz w:val="22"/>
          <w:szCs w:val="22"/>
        </w:rPr>
        <w:t>n</w:t>
      </w:r>
      <w:r w:rsidRPr="0035228F">
        <w:rPr>
          <w:rFonts w:ascii="Palatino Linotype" w:eastAsia="Palatino Linotype" w:hAnsi="Palatino Linotype" w:cs="Palatino Linotype"/>
          <w:sz w:val="22"/>
          <w:szCs w:val="22"/>
        </w:rPr>
        <w:t xml:space="preserve"> a recurso</w:t>
      </w:r>
      <w:r w:rsidR="00B25DC3" w:rsidRPr="0035228F">
        <w:rPr>
          <w:rFonts w:ascii="Palatino Linotype" w:eastAsia="Palatino Linotype" w:hAnsi="Palatino Linotype" w:cs="Palatino Linotype"/>
          <w:sz w:val="22"/>
          <w:szCs w:val="22"/>
        </w:rPr>
        <w:t>s</w:t>
      </w:r>
      <w:r w:rsidRPr="0035228F">
        <w:rPr>
          <w:rFonts w:ascii="Palatino Linotype" w:eastAsia="Palatino Linotype" w:hAnsi="Palatino Linotype" w:cs="Palatino Linotype"/>
          <w:sz w:val="22"/>
          <w:szCs w:val="22"/>
        </w:rPr>
        <w:t xml:space="preserve"> de </w:t>
      </w:r>
      <w:r w:rsidRPr="0035228F">
        <w:rPr>
          <w:rFonts w:ascii="Palatino Linotype" w:eastAsia="Palatino Linotype" w:hAnsi="Palatino Linotype" w:cs="Palatino Linotype"/>
          <w:b/>
          <w:bCs/>
          <w:sz w:val="22"/>
          <w:szCs w:val="22"/>
        </w:rPr>
        <w:t>diverso</w:t>
      </w:r>
      <w:r w:rsidR="00B25DC3" w:rsidRPr="0035228F">
        <w:rPr>
          <w:rFonts w:ascii="Palatino Linotype" w:eastAsia="Palatino Linotype" w:hAnsi="Palatino Linotype" w:cs="Palatino Linotype"/>
          <w:b/>
          <w:bCs/>
          <w:sz w:val="22"/>
          <w:szCs w:val="22"/>
        </w:rPr>
        <w:t>s</w:t>
      </w:r>
      <w:r w:rsidRPr="0035228F">
        <w:rPr>
          <w:rFonts w:ascii="Palatino Linotype" w:eastAsia="Palatino Linotype" w:hAnsi="Palatino Linotype" w:cs="Palatino Linotype"/>
          <w:b/>
          <w:bCs/>
          <w:sz w:val="22"/>
          <w:szCs w:val="22"/>
        </w:rPr>
        <w:t xml:space="preserve"> Sujeto</w:t>
      </w:r>
      <w:r w:rsidR="00B25DC3" w:rsidRPr="0035228F">
        <w:rPr>
          <w:rFonts w:ascii="Palatino Linotype" w:eastAsia="Palatino Linotype" w:hAnsi="Palatino Linotype" w:cs="Palatino Linotype"/>
          <w:b/>
          <w:bCs/>
          <w:sz w:val="22"/>
          <w:szCs w:val="22"/>
        </w:rPr>
        <w:t>s</w:t>
      </w:r>
      <w:r w:rsidRPr="0035228F">
        <w:rPr>
          <w:rFonts w:ascii="Palatino Linotype" w:eastAsia="Palatino Linotype" w:hAnsi="Palatino Linotype" w:cs="Palatino Linotype"/>
          <w:b/>
          <w:bCs/>
          <w:sz w:val="22"/>
          <w:szCs w:val="22"/>
        </w:rPr>
        <w:t xml:space="preserve"> Obligado</w:t>
      </w:r>
      <w:r w:rsidR="00B25DC3" w:rsidRPr="0035228F">
        <w:rPr>
          <w:rFonts w:ascii="Palatino Linotype" w:eastAsia="Palatino Linotype" w:hAnsi="Palatino Linotype" w:cs="Palatino Linotype"/>
          <w:b/>
          <w:bCs/>
          <w:sz w:val="22"/>
          <w:szCs w:val="22"/>
        </w:rPr>
        <w:t>s</w:t>
      </w:r>
      <w:r w:rsidRPr="0035228F">
        <w:rPr>
          <w:rFonts w:ascii="Palatino Linotype" w:eastAsia="Palatino Linotype" w:hAnsi="Palatino Linotype" w:cs="Palatino Linotype"/>
          <w:sz w:val="22"/>
          <w:szCs w:val="22"/>
        </w:rPr>
        <w:t>, tal y como se muestra a continuación.</w:t>
      </w:r>
    </w:p>
    <w:p w14:paraId="1E9CA75A" w14:textId="3E535883"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ACCF804" w14:textId="5BFA6813" w:rsidR="00E20C94" w:rsidRPr="0035228F" w:rsidRDefault="00431015">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noProof/>
          <w:sz w:val="22"/>
          <w:szCs w:val="22"/>
        </w:rPr>
        <w:drawing>
          <wp:inline distT="0" distB="0" distL="0" distR="0" wp14:anchorId="0F48A492" wp14:editId="7A06EA44">
            <wp:extent cx="5612130" cy="912495"/>
            <wp:effectExtent l="0" t="0" r="762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912495"/>
                    </a:xfrm>
                    <a:prstGeom prst="rect">
                      <a:avLst/>
                    </a:prstGeom>
                  </pic:spPr>
                </pic:pic>
              </a:graphicData>
            </a:graphic>
          </wp:inline>
        </w:drawing>
      </w:r>
    </w:p>
    <w:p w14:paraId="3077824F" w14:textId="001CB5F2" w:rsidR="00431015" w:rsidRPr="0035228F" w:rsidRDefault="00431015">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87CADD3" w14:textId="49359BEB" w:rsidR="00431015" w:rsidRPr="0035228F" w:rsidRDefault="00431015">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noProof/>
          <w:sz w:val="22"/>
          <w:szCs w:val="22"/>
        </w:rPr>
        <w:drawing>
          <wp:inline distT="0" distB="0" distL="0" distR="0" wp14:anchorId="28AB7498" wp14:editId="04986928">
            <wp:extent cx="5612130" cy="695325"/>
            <wp:effectExtent l="0" t="0" r="762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2130" cy="695325"/>
                    </a:xfrm>
                    <a:prstGeom prst="rect">
                      <a:avLst/>
                    </a:prstGeom>
                  </pic:spPr>
                </pic:pic>
              </a:graphicData>
            </a:graphic>
          </wp:inline>
        </w:drawing>
      </w:r>
    </w:p>
    <w:p w14:paraId="2453A6DE" w14:textId="678A2831"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8355E67" w14:textId="75B6E9F2" w:rsidR="00E20C94" w:rsidRPr="0035228F" w:rsidRDefault="00431015">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noProof/>
          <w:sz w:val="22"/>
          <w:szCs w:val="22"/>
        </w:rPr>
        <w:drawing>
          <wp:inline distT="0" distB="0" distL="0" distR="0" wp14:anchorId="585AAAAE" wp14:editId="122D7A3B">
            <wp:extent cx="5838825" cy="10191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 r="-4039" b="46500"/>
                    <a:stretch/>
                  </pic:blipFill>
                  <pic:spPr bwMode="auto">
                    <a:xfrm>
                      <a:off x="0" y="0"/>
                      <a:ext cx="5838825" cy="1019175"/>
                    </a:xfrm>
                    <a:prstGeom prst="rect">
                      <a:avLst/>
                    </a:prstGeom>
                    <a:ln>
                      <a:noFill/>
                    </a:ln>
                    <a:extLst>
                      <a:ext uri="{53640926-AAD7-44D8-BBD7-CCE9431645EC}">
                        <a14:shadowObscured xmlns:a14="http://schemas.microsoft.com/office/drawing/2010/main"/>
                      </a:ext>
                    </a:extLst>
                  </pic:spPr>
                </pic:pic>
              </a:graphicData>
            </a:graphic>
          </wp:inline>
        </w:drawing>
      </w:r>
    </w:p>
    <w:p w14:paraId="0539D1D1" w14:textId="16939079" w:rsidR="00431015" w:rsidRPr="0035228F" w:rsidRDefault="00431015">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noProof/>
          <w:sz w:val="22"/>
          <w:szCs w:val="22"/>
        </w:rPr>
        <w:drawing>
          <wp:inline distT="0" distB="0" distL="0" distR="0" wp14:anchorId="361A413B" wp14:editId="3934A538">
            <wp:extent cx="5612130" cy="66675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2130" cy="666750"/>
                    </a:xfrm>
                    <a:prstGeom prst="rect">
                      <a:avLst/>
                    </a:prstGeom>
                  </pic:spPr>
                </pic:pic>
              </a:graphicData>
            </a:graphic>
          </wp:inline>
        </w:drawing>
      </w:r>
    </w:p>
    <w:p w14:paraId="0EB09F41" w14:textId="1543C8EC" w:rsidR="00B25DC3" w:rsidRPr="0035228F" w:rsidRDefault="00B25DC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F6C4093" w14:textId="333AAF1F"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Por </w:t>
      </w:r>
      <w:r w:rsidR="00B25DC3" w:rsidRPr="0035228F">
        <w:rPr>
          <w:rFonts w:ascii="Palatino Linotype" w:eastAsia="Palatino Linotype" w:hAnsi="Palatino Linotype" w:cs="Palatino Linotype"/>
          <w:sz w:val="22"/>
          <w:szCs w:val="22"/>
        </w:rPr>
        <w:t>ende,</w:t>
      </w:r>
      <w:r w:rsidRPr="0035228F">
        <w:rPr>
          <w:rFonts w:ascii="Palatino Linotype" w:eastAsia="Palatino Linotype" w:hAnsi="Palatino Linotype" w:cs="Palatino Linotype"/>
          <w:sz w:val="22"/>
          <w:szCs w:val="22"/>
        </w:rPr>
        <w:t xml:space="preserve"> la</w:t>
      </w:r>
      <w:r w:rsidR="00B25DC3" w:rsidRPr="0035228F">
        <w:rPr>
          <w:rFonts w:ascii="Palatino Linotype" w:eastAsia="Palatino Linotype" w:hAnsi="Palatino Linotype" w:cs="Palatino Linotype"/>
          <w:sz w:val="22"/>
          <w:szCs w:val="22"/>
        </w:rPr>
        <w:t>s</w:t>
      </w:r>
      <w:r w:rsidRPr="0035228F">
        <w:rPr>
          <w:rFonts w:ascii="Palatino Linotype" w:eastAsia="Palatino Linotype" w:hAnsi="Palatino Linotype" w:cs="Palatino Linotype"/>
          <w:sz w:val="22"/>
          <w:szCs w:val="22"/>
        </w:rPr>
        <w:t xml:space="preserve"> solicitud</w:t>
      </w:r>
      <w:r w:rsidR="00B25DC3" w:rsidRPr="0035228F">
        <w:rPr>
          <w:rFonts w:ascii="Palatino Linotype" w:eastAsia="Palatino Linotype" w:hAnsi="Palatino Linotype" w:cs="Palatino Linotype"/>
          <w:sz w:val="22"/>
          <w:szCs w:val="22"/>
        </w:rPr>
        <w:t>es</w:t>
      </w:r>
      <w:r w:rsidRPr="0035228F">
        <w:rPr>
          <w:rFonts w:ascii="Palatino Linotype" w:eastAsia="Palatino Linotype" w:hAnsi="Palatino Linotype" w:cs="Palatino Linotype"/>
          <w:sz w:val="22"/>
          <w:szCs w:val="22"/>
        </w:rPr>
        <w:t xml:space="preserve"> de dicho</w:t>
      </w:r>
      <w:r w:rsidR="00B25DC3" w:rsidRPr="0035228F">
        <w:rPr>
          <w:rFonts w:ascii="Palatino Linotype" w:eastAsia="Palatino Linotype" w:hAnsi="Palatino Linotype" w:cs="Palatino Linotype"/>
          <w:sz w:val="22"/>
          <w:szCs w:val="22"/>
        </w:rPr>
        <w:t>s</w:t>
      </w:r>
      <w:r w:rsidRPr="0035228F">
        <w:rPr>
          <w:rFonts w:ascii="Palatino Linotype" w:eastAsia="Palatino Linotype" w:hAnsi="Palatino Linotype" w:cs="Palatino Linotype"/>
          <w:sz w:val="22"/>
          <w:szCs w:val="22"/>
        </w:rPr>
        <w:t xml:space="preserve"> recurso</w:t>
      </w:r>
      <w:r w:rsidR="00B25DC3" w:rsidRPr="0035228F">
        <w:rPr>
          <w:rFonts w:ascii="Palatino Linotype" w:eastAsia="Palatino Linotype" w:hAnsi="Palatino Linotype" w:cs="Palatino Linotype"/>
          <w:sz w:val="22"/>
          <w:szCs w:val="22"/>
        </w:rPr>
        <w:t>s</w:t>
      </w:r>
      <w:r w:rsidRPr="0035228F">
        <w:rPr>
          <w:rFonts w:ascii="Palatino Linotype" w:eastAsia="Palatino Linotype" w:hAnsi="Palatino Linotype" w:cs="Palatino Linotype"/>
          <w:sz w:val="22"/>
          <w:szCs w:val="22"/>
        </w:rPr>
        <w:t xml:space="preserve"> no puede</w:t>
      </w:r>
      <w:r w:rsidR="00B25DC3" w:rsidRPr="0035228F">
        <w:rPr>
          <w:rFonts w:ascii="Palatino Linotype" w:eastAsia="Palatino Linotype" w:hAnsi="Palatino Linotype" w:cs="Palatino Linotype"/>
          <w:sz w:val="22"/>
          <w:szCs w:val="22"/>
        </w:rPr>
        <w:t>n</w:t>
      </w:r>
      <w:r w:rsidRPr="0035228F">
        <w:rPr>
          <w:rFonts w:ascii="Palatino Linotype" w:eastAsia="Palatino Linotype" w:hAnsi="Palatino Linotype" w:cs="Palatino Linotype"/>
          <w:sz w:val="22"/>
          <w:szCs w:val="22"/>
        </w:rPr>
        <w:t xml:space="preserve"> ser cubierto</w:t>
      </w:r>
      <w:r w:rsidR="00B25DC3" w:rsidRPr="0035228F">
        <w:rPr>
          <w:rFonts w:ascii="Palatino Linotype" w:eastAsia="Palatino Linotype" w:hAnsi="Palatino Linotype" w:cs="Palatino Linotype"/>
          <w:sz w:val="22"/>
          <w:szCs w:val="22"/>
        </w:rPr>
        <w:t>s</w:t>
      </w:r>
      <w:r w:rsidRPr="0035228F">
        <w:rPr>
          <w:rFonts w:ascii="Palatino Linotype" w:eastAsia="Palatino Linotype" w:hAnsi="Palatino Linotype" w:cs="Palatino Linotype"/>
          <w:sz w:val="22"/>
          <w:szCs w:val="22"/>
        </w:rPr>
        <w:t xml:space="preserve"> por el Sujeto Obligado toda vez que corresponden a diverso Sujeto Obligado, como lo es </w:t>
      </w:r>
      <w:r w:rsidR="00431015" w:rsidRPr="0035228F">
        <w:rPr>
          <w:rFonts w:ascii="Palatino Linotype" w:eastAsia="Palatino Linotype" w:hAnsi="Palatino Linotype" w:cs="Palatino Linotype"/>
          <w:sz w:val="22"/>
          <w:szCs w:val="22"/>
        </w:rPr>
        <w:t xml:space="preserve">Secretaría de Movilidad y Organismo Agua y Saneamiento de Toluca, </w:t>
      </w:r>
      <w:r w:rsidR="00B25DC3" w:rsidRPr="0035228F">
        <w:rPr>
          <w:rFonts w:ascii="Palatino Linotype" w:eastAsia="Palatino Linotype" w:hAnsi="Palatino Linotype" w:cs="Palatino Linotype"/>
          <w:sz w:val="22"/>
          <w:szCs w:val="22"/>
        </w:rPr>
        <w:t xml:space="preserve">respectivamente. </w:t>
      </w:r>
    </w:p>
    <w:p w14:paraId="06F61C00"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A9CE240" w14:textId="0CB5AEFD"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En esta razón, respecto a</w:t>
      </w:r>
      <w:r w:rsidR="00B25DC3" w:rsidRPr="0035228F">
        <w:rPr>
          <w:rFonts w:ascii="Palatino Linotype" w:eastAsia="Palatino Linotype" w:hAnsi="Palatino Linotype" w:cs="Palatino Linotype"/>
          <w:sz w:val="22"/>
          <w:szCs w:val="22"/>
        </w:rPr>
        <w:t xml:space="preserve"> los</w:t>
      </w:r>
      <w:r w:rsidRPr="0035228F">
        <w:rPr>
          <w:rFonts w:ascii="Palatino Linotype" w:eastAsia="Palatino Linotype" w:hAnsi="Palatino Linotype" w:cs="Palatino Linotype"/>
          <w:sz w:val="22"/>
          <w:szCs w:val="22"/>
        </w:rPr>
        <w:t xml:space="preserve"> </w:t>
      </w:r>
      <w:r w:rsidR="00B25DC3" w:rsidRPr="0035228F">
        <w:rPr>
          <w:rFonts w:ascii="Palatino Linotype" w:eastAsia="Palatino Linotype" w:hAnsi="Palatino Linotype" w:cs="Palatino Linotype"/>
          <w:sz w:val="22"/>
          <w:szCs w:val="22"/>
        </w:rPr>
        <w:t>citados recursos</w:t>
      </w:r>
      <w:r w:rsidRPr="0035228F">
        <w:rPr>
          <w:rFonts w:ascii="Palatino Linotype" w:eastAsia="Palatino Linotype" w:hAnsi="Palatino Linotype" w:cs="Palatino Linotype"/>
          <w:sz w:val="22"/>
          <w:szCs w:val="22"/>
        </w:rPr>
        <w:t xml:space="preserve"> de revisión se considera que han quedado sin materia, por resultar este Sujeto Obligado notoriamente incompetente para colmar con la entrega de la información.</w:t>
      </w:r>
    </w:p>
    <w:p w14:paraId="5FA07835"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A30639E" w14:textId="77777777" w:rsidR="00E20C94" w:rsidRPr="0035228F"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Artículo 12.</w:t>
      </w:r>
      <w:r w:rsidRPr="0035228F">
        <w:rPr>
          <w:rFonts w:ascii="Palatino Linotype" w:eastAsia="Palatino Linotype" w:hAnsi="Palatino Linotype" w:cs="Palatino Linotype"/>
          <w:i/>
          <w:iCs/>
          <w:sz w:val="22"/>
          <w:szCs w:val="22"/>
        </w:rPr>
        <w:t xml:space="preserve"> </w:t>
      </w:r>
      <w:r w:rsidRPr="0035228F">
        <w:rPr>
          <w:rFonts w:ascii="Palatino Linotype" w:eastAsia="Palatino Linotype" w:hAnsi="Palatino Linotype" w:cs="Palatino Linotype"/>
          <w:b/>
          <w:bCs/>
          <w:i/>
          <w:iCs/>
          <w:sz w:val="22"/>
          <w:szCs w:val="22"/>
          <w:u w:val="single"/>
        </w:rPr>
        <w:t>Quienes generen, recopilen, administren, manejen, procesen, archiven o conserven información pública serán responsables de la misma</w:t>
      </w:r>
      <w:r w:rsidRPr="0035228F">
        <w:rPr>
          <w:rFonts w:ascii="Palatino Linotype" w:eastAsia="Palatino Linotype" w:hAnsi="Palatino Linotype" w:cs="Palatino Linotype"/>
          <w:i/>
          <w:iCs/>
          <w:sz w:val="22"/>
          <w:szCs w:val="22"/>
        </w:rPr>
        <w:t xml:space="preserve"> en los términos de las disposiciones jurídicas aplicables.</w:t>
      </w:r>
    </w:p>
    <w:p w14:paraId="1D6A807D" w14:textId="77777777" w:rsidR="00E20C94" w:rsidRPr="0035228F"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u w:val="single"/>
        </w:rPr>
        <w:t xml:space="preserve">Los sujetos obligados sólo proporcionarán la información pública que se les requiera y que obre en sus archivos </w:t>
      </w:r>
      <w:r w:rsidRPr="0035228F">
        <w:rPr>
          <w:rFonts w:ascii="Palatino Linotype" w:eastAsia="Palatino Linotype" w:hAnsi="Palatino Linotype" w:cs="Palatino Linotype"/>
          <w:i/>
          <w:iCs/>
          <w:sz w:val="22"/>
          <w:szCs w:val="22"/>
        </w:rPr>
        <w:t>y en el estado en que ésta se encuentre.</w:t>
      </w:r>
      <w:r w:rsidRPr="0035228F">
        <w:rPr>
          <w:rFonts w:ascii="Palatino Linotype" w:eastAsia="Palatino Linotype" w:hAnsi="Palatino Linotype" w:cs="Palatino Linotype"/>
          <w:sz w:val="22"/>
          <w:szCs w:val="22"/>
        </w:rPr>
        <w:t xml:space="preserve"> </w:t>
      </w:r>
      <w:r w:rsidRPr="0035228F">
        <w:rPr>
          <w:rFonts w:ascii="Palatino Linotype" w:eastAsia="Palatino Linotype" w:hAnsi="Palatino Linotype" w:cs="Palatino Linotype"/>
          <w:i/>
          <w:iCs/>
          <w:sz w:val="22"/>
          <w:szCs w:val="22"/>
        </w:rPr>
        <w:t>La obligación de proporcionar información no comprende el procesamiento de la misma, ni el presentarla conforme al interés del solicitante; no estarán obligados a generarla, resumirla, efectuar cálculos o practicar investigaciones.</w:t>
      </w:r>
    </w:p>
    <w:p w14:paraId="19CFF7F4"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A681C7D" w14:textId="77777777"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Asimismo, se destaca el deber de las Unidades de Transparencia de detectar y manifestar la notoria incompetencia, contenida en las solicitudes de información, tal y como lo establece el artículo 167 de la Ley de Transparencia Estatal.</w:t>
      </w:r>
    </w:p>
    <w:p w14:paraId="6719C0DF"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2092691" w14:textId="77777777" w:rsidR="00E20C94" w:rsidRPr="0035228F"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Artículo 167.</w:t>
      </w:r>
      <w:r w:rsidRPr="0035228F">
        <w:rPr>
          <w:rFonts w:ascii="Palatino Linotype" w:eastAsia="Palatino Linotype" w:hAnsi="Palatino Linotype" w:cs="Palatino Linotype"/>
          <w:i/>
          <w:iCs/>
          <w:sz w:val="22"/>
          <w:szCs w:val="22"/>
        </w:rPr>
        <w:t xml:space="preserve"> </w:t>
      </w:r>
      <w:r w:rsidRPr="0035228F">
        <w:rPr>
          <w:rFonts w:ascii="Palatino Linotype" w:eastAsia="Palatino Linotype" w:hAnsi="Palatino Linotype" w:cs="Palatino Linotype"/>
          <w:i/>
          <w:iCs/>
          <w:sz w:val="22"/>
          <w:szCs w:val="22"/>
          <w:u w:val="single"/>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r w:rsidRPr="0035228F">
        <w:rPr>
          <w:rFonts w:ascii="Palatino Linotype" w:eastAsia="Palatino Linotype" w:hAnsi="Palatino Linotype" w:cs="Palatino Linotype"/>
          <w:i/>
          <w:iCs/>
          <w:sz w:val="22"/>
          <w:szCs w:val="22"/>
        </w:rPr>
        <w:t>.</w:t>
      </w:r>
    </w:p>
    <w:p w14:paraId="141976AC" w14:textId="77777777" w:rsidR="00E20C94" w:rsidRPr="0035228F"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2FEA70D6" w14:textId="77777777" w:rsidR="00E20C94" w:rsidRPr="0035228F"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Si transcurrido el plazo señalado en el primer párrafo de este artículo, el sujeto obligado no declina la competencia en los términos establecidos, podrá canalizar la solicitud ante el sujeto obligado competente.</w:t>
      </w:r>
    </w:p>
    <w:p w14:paraId="4FF79F1A"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99F8EB8" w14:textId="77B0EC7D"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En ese sentido, resulta evidente que </w:t>
      </w:r>
      <w:r w:rsidRPr="0035228F">
        <w:rPr>
          <w:rFonts w:ascii="Palatino Linotype" w:eastAsia="Palatino Linotype" w:hAnsi="Palatino Linotype" w:cs="Palatino Linotype"/>
          <w:b/>
          <w:bCs/>
          <w:sz w:val="22"/>
          <w:szCs w:val="22"/>
        </w:rPr>
        <w:t xml:space="preserve">El Sujeto Obligado </w:t>
      </w:r>
      <w:r w:rsidRPr="0035228F">
        <w:rPr>
          <w:rFonts w:ascii="Palatino Linotype" w:eastAsia="Palatino Linotype" w:hAnsi="Palatino Linotype" w:cs="Palatino Linotype"/>
          <w:b/>
          <w:bCs/>
          <w:sz w:val="22"/>
          <w:szCs w:val="22"/>
          <w:u w:val="single"/>
        </w:rPr>
        <w:t>no cuenta con las atribuciones para generar, poseer o administrar la información relativa a expedientes generados con motivo de las solicitudes de información de otros sujetos obligados</w:t>
      </w:r>
      <w:r w:rsidRPr="0035228F">
        <w:rPr>
          <w:rFonts w:ascii="Palatino Linotype" w:eastAsia="Palatino Linotype" w:hAnsi="Palatino Linotype" w:cs="Palatino Linotype"/>
          <w:b/>
          <w:bCs/>
          <w:sz w:val="22"/>
          <w:szCs w:val="22"/>
        </w:rPr>
        <w:t>.</w:t>
      </w:r>
    </w:p>
    <w:p w14:paraId="293326BA" w14:textId="77777777" w:rsidR="00E20C94" w:rsidRPr="0035228F" w:rsidRDefault="009521F6">
      <w:pPr>
        <w:spacing w:before="240"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Con relación a la problemática expuesta, se comprende que ante las diversas solicitudes tanto de información pública como del ejercicio de los derechos ARCO, se tiene que, en ocasiones, los solicitantes interponen sus solicitudes ante un sujeto obligado que no es el que cuenta con las facultades, competencias o atribuciones para generar, poseer o administrar la información o datos solicitados.</w:t>
      </w:r>
    </w:p>
    <w:p w14:paraId="2A61670B" w14:textId="77777777" w:rsidR="00E20C94" w:rsidRPr="0035228F" w:rsidRDefault="00E20C94">
      <w:pPr>
        <w:spacing w:line="360" w:lineRule="auto"/>
        <w:ind w:right="39"/>
        <w:jc w:val="both"/>
        <w:rPr>
          <w:rFonts w:ascii="Palatino Linotype" w:eastAsia="Palatino Linotype" w:hAnsi="Palatino Linotype" w:cs="Palatino Linotype"/>
          <w:sz w:val="22"/>
          <w:szCs w:val="22"/>
        </w:rPr>
      </w:pPr>
    </w:p>
    <w:p w14:paraId="75BAD0AF" w14:textId="77777777" w:rsidR="00E20C94" w:rsidRPr="0035228F" w:rsidRDefault="009521F6">
      <w:pPr>
        <w:spacing w:line="360" w:lineRule="auto"/>
        <w:ind w:right="3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Ante dicha situación, la Ley de Transparencia estatal prevé en su artículo 167, lo siguiente:</w:t>
      </w:r>
    </w:p>
    <w:p w14:paraId="1AE4B28D" w14:textId="77777777" w:rsidR="00E20C94" w:rsidRPr="0035228F" w:rsidRDefault="00E20C94">
      <w:pPr>
        <w:spacing w:line="360" w:lineRule="auto"/>
        <w:ind w:right="39"/>
        <w:jc w:val="both"/>
        <w:rPr>
          <w:rFonts w:ascii="Palatino Linotype" w:eastAsia="Palatino Linotype" w:hAnsi="Palatino Linotype" w:cs="Palatino Linotype"/>
          <w:sz w:val="22"/>
          <w:szCs w:val="22"/>
        </w:rPr>
      </w:pPr>
    </w:p>
    <w:p w14:paraId="52A29121" w14:textId="77777777" w:rsidR="00E20C94" w:rsidRPr="0035228F" w:rsidRDefault="009521F6">
      <w:pPr>
        <w:spacing w:line="360" w:lineRule="auto"/>
        <w:ind w:left="567" w:right="606"/>
        <w:jc w:val="both"/>
        <w:rPr>
          <w:rFonts w:ascii="Palatino Linotype" w:eastAsia="Palatino Linotype" w:hAnsi="Palatino Linotype" w:cs="Palatino Linotype"/>
          <w:b/>
          <w:bCs/>
          <w:i/>
          <w:iCs/>
          <w:sz w:val="22"/>
          <w:szCs w:val="22"/>
          <w:u w:val="single"/>
        </w:rPr>
      </w:pPr>
      <w:r w:rsidRPr="0035228F">
        <w:rPr>
          <w:rFonts w:ascii="Palatino Linotype" w:eastAsia="Palatino Linotype" w:hAnsi="Palatino Linotype" w:cs="Palatino Linotype"/>
          <w:b/>
          <w:bCs/>
          <w:i/>
          <w:iCs/>
          <w:sz w:val="22"/>
          <w:szCs w:val="22"/>
          <w:u w:val="single"/>
        </w:rPr>
        <w:t>“Artículo 167. 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41A68AE3" w14:textId="77777777" w:rsidR="00E20C94" w:rsidRPr="0035228F" w:rsidRDefault="009521F6">
      <w:pPr>
        <w:spacing w:line="360" w:lineRule="auto"/>
        <w:ind w:left="567" w:right="606"/>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2D2AEF85" w14:textId="77777777" w:rsidR="00E20C94" w:rsidRPr="0035228F" w:rsidRDefault="009521F6">
      <w:pPr>
        <w:spacing w:line="360" w:lineRule="auto"/>
        <w:ind w:left="567" w:right="606"/>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i/>
          <w:iCs/>
          <w:sz w:val="22"/>
          <w:szCs w:val="22"/>
        </w:rPr>
        <w:t xml:space="preserve">Si transcurrido el plazo señalado en el primer párrafo de este artículo, el sujeto obligado no declina la competencia en los términos establecidos, podrá canalizar la solicitud ante el sujeto obligado competente.” </w:t>
      </w:r>
      <w:r w:rsidRPr="0035228F">
        <w:rPr>
          <w:rFonts w:ascii="Palatino Linotype" w:eastAsia="Palatino Linotype" w:hAnsi="Palatino Linotype" w:cs="Palatino Linotype"/>
          <w:b/>
          <w:bCs/>
          <w:i/>
          <w:iCs/>
          <w:sz w:val="22"/>
          <w:szCs w:val="22"/>
        </w:rPr>
        <w:t>(Sic)</w:t>
      </w:r>
    </w:p>
    <w:p w14:paraId="63339EFA" w14:textId="77777777" w:rsidR="00E20C94" w:rsidRPr="0035228F" w:rsidRDefault="00E20C94">
      <w:pPr>
        <w:spacing w:line="360" w:lineRule="auto"/>
        <w:ind w:right="39"/>
        <w:jc w:val="both"/>
        <w:rPr>
          <w:rFonts w:ascii="Palatino Linotype" w:eastAsia="Palatino Linotype" w:hAnsi="Palatino Linotype" w:cs="Palatino Linotype"/>
          <w:sz w:val="22"/>
          <w:szCs w:val="22"/>
        </w:rPr>
      </w:pPr>
    </w:p>
    <w:p w14:paraId="4E66B89B" w14:textId="77777777" w:rsidR="00E20C94" w:rsidRPr="0035228F" w:rsidRDefault="009521F6">
      <w:pPr>
        <w:spacing w:line="360" w:lineRule="auto"/>
        <w:ind w:right="3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Del artículo en cita se desprenden las siguientes premisas:</w:t>
      </w:r>
    </w:p>
    <w:p w14:paraId="55C4FFB4" w14:textId="77777777" w:rsidR="00E20C94" w:rsidRPr="0035228F" w:rsidRDefault="00E20C94">
      <w:pPr>
        <w:spacing w:line="360" w:lineRule="auto"/>
        <w:ind w:right="39"/>
        <w:jc w:val="both"/>
        <w:rPr>
          <w:rFonts w:ascii="Palatino Linotype" w:eastAsia="Palatino Linotype" w:hAnsi="Palatino Linotype" w:cs="Palatino Linotype"/>
          <w:sz w:val="22"/>
          <w:szCs w:val="22"/>
        </w:rPr>
      </w:pPr>
    </w:p>
    <w:p w14:paraId="01927DBA" w14:textId="77777777" w:rsidR="00E20C94" w:rsidRPr="0035228F"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Que en los supuestos en los que las unidades de transparencia determinen una </w:t>
      </w:r>
      <w:r w:rsidRPr="0035228F">
        <w:rPr>
          <w:rFonts w:ascii="Palatino Linotype" w:eastAsia="Palatino Linotype" w:hAnsi="Palatino Linotype" w:cs="Palatino Linotype"/>
          <w:b/>
          <w:bCs/>
          <w:sz w:val="22"/>
          <w:szCs w:val="22"/>
          <w:u w:val="single"/>
        </w:rPr>
        <w:t>notoria incompetencia</w:t>
      </w:r>
      <w:r w:rsidRPr="0035228F">
        <w:rPr>
          <w:rFonts w:ascii="Palatino Linotype" w:eastAsia="Palatino Linotype" w:hAnsi="Palatino Linotype" w:cs="Palatino Linotype"/>
          <w:sz w:val="22"/>
          <w:szCs w:val="22"/>
        </w:rPr>
        <w:t>, esta situación se deberá hacer del conocimiento del Recurrente en un término de tres días hábiles posteriores al ingreso de la solicitud y, de ser posible, orientarlo para que dirija su solicitud ante el sujeto obligado competente.</w:t>
      </w:r>
    </w:p>
    <w:p w14:paraId="6BEDFA2C" w14:textId="77777777" w:rsidR="00E20C94" w:rsidRPr="0035228F"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Que si los sujetos obligados están facultados parcialmente para atender la solicitud están constreñidos a atender dicha parte y notificar la incompetencia en los términos señalados.</w:t>
      </w:r>
    </w:p>
    <w:p w14:paraId="23A34D45" w14:textId="77777777" w:rsidR="00E20C94" w:rsidRPr="0035228F"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Que una vez transcurridos los tres días establecidos y el sujeto obligado no ha declinado la competencia, puede canalizar la solicitud ante el sujeto obligado competente; empero, esto es potestativo.</w:t>
      </w:r>
    </w:p>
    <w:p w14:paraId="4AD802A5" w14:textId="77777777" w:rsidR="00E20C94" w:rsidRPr="0035228F" w:rsidRDefault="00E20C94">
      <w:pPr>
        <w:spacing w:line="360" w:lineRule="auto"/>
        <w:ind w:right="39"/>
        <w:jc w:val="both"/>
        <w:rPr>
          <w:rFonts w:ascii="Palatino Linotype" w:eastAsia="Palatino Linotype" w:hAnsi="Palatino Linotype" w:cs="Palatino Linotype"/>
          <w:sz w:val="22"/>
          <w:szCs w:val="22"/>
        </w:rPr>
      </w:pPr>
    </w:p>
    <w:p w14:paraId="5BEA3EB8" w14:textId="77777777" w:rsidR="00E20C94" w:rsidRPr="0035228F" w:rsidRDefault="009521F6">
      <w:pPr>
        <w:spacing w:line="360" w:lineRule="auto"/>
        <w:ind w:right="3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En ese sentido, dicho artículo indica a los sujetos obligados el procedimiento que deben seguir en los supuestos en los que la incompetencia sea notoria o se trate de una incompetencia parcial; sin embargo, conviene resaltar el significado de «notorio», el cual el Diccionario de la Real Academia Española</w:t>
      </w:r>
      <w:r w:rsidRPr="0035228F">
        <w:rPr>
          <w:rFonts w:ascii="Palatino Linotype" w:eastAsia="Palatino Linotype" w:hAnsi="Palatino Linotype" w:cs="Palatino Linotype"/>
          <w:sz w:val="22"/>
          <w:szCs w:val="22"/>
          <w:vertAlign w:val="superscript"/>
        </w:rPr>
        <w:footnoteReference w:id="4"/>
      </w:r>
      <w:r w:rsidRPr="0035228F">
        <w:rPr>
          <w:rFonts w:ascii="Palatino Linotype" w:eastAsia="Palatino Linotype" w:hAnsi="Palatino Linotype" w:cs="Palatino Linotype"/>
          <w:sz w:val="22"/>
          <w:szCs w:val="22"/>
        </w:rPr>
        <w:t xml:space="preserve"> determinó lo siguiente:</w:t>
      </w:r>
    </w:p>
    <w:p w14:paraId="4474FD53" w14:textId="77777777" w:rsidR="00E20C94" w:rsidRPr="0035228F" w:rsidRDefault="009521F6">
      <w:pPr>
        <w:spacing w:line="360" w:lineRule="auto"/>
        <w:ind w:left="567" w:right="39"/>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“notorio, ria</w:t>
      </w:r>
    </w:p>
    <w:p w14:paraId="572722E1" w14:textId="77777777" w:rsidR="00E20C94" w:rsidRPr="0035228F" w:rsidRDefault="009521F6">
      <w:pPr>
        <w:spacing w:line="360" w:lineRule="auto"/>
        <w:ind w:left="567" w:right="39"/>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 xml:space="preserve">Del bajo latín </w:t>
      </w:r>
      <w:r w:rsidRPr="0035228F">
        <w:rPr>
          <w:rFonts w:ascii="Palatino Linotype" w:eastAsia="Palatino Linotype" w:hAnsi="Palatino Linotype" w:cs="Palatino Linotype"/>
          <w:sz w:val="22"/>
          <w:szCs w:val="22"/>
        </w:rPr>
        <w:t>notorius</w:t>
      </w:r>
      <w:r w:rsidRPr="0035228F">
        <w:rPr>
          <w:rFonts w:ascii="Palatino Linotype" w:eastAsia="Palatino Linotype" w:hAnsi="Palatino Linotype" w:cs="Palatino Linotype"/>
          <w:i/>
          <w:iCs/>
          <w:sz w:val="22"/>
          <w:szCs w:val="22"/>
        </w:rPr>
        <w:t>.</w:t>
      </w:r>
    </w:p>
    <w:p w14:paraId="137207C1" w14:textId="77777777" w:rsidR="00E20C94" w:rsidRPr="0035228F"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adj. Público y sabido por todos.</w:t>
      </w:r>
    </w:p>
    <w:p w14:paraId="18A02DD0" w14:textId="77777777" w:rsidR="00E20C94" w:rsidRPr="0035228F"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 xml:space="preserve">adj. </w:t>
      </w:r>
      <w:r w:rsidRPr="0035228F">
        <w:rPr>
          <w:rFonts w:ascii="Palatino Linotype" w:eastAsia="Palatino Linotype" w:hAnsi="Palatino Linotype" w:cs="Palatino Linotype"/>
          <w:b/>
          <w:bCs/>
          <w:i/>
          <w:iCs/>
          <w:sz w:val="22"/>
          <w:szCs w:val="22"/>
          <w:u w:val="single"/>
        </w:rPr>
        <w:t>Claro, evidente</w:t>
      </w:r>
      <w:r w:rsidRPr="0035228F">
        <w:rPr>
          <w:rFonts w:ascii="Palatino Linotype" w:eastAsia="Palatino Linotype" w:hAnsi="Palatino Linotype" w:cs="Palatino Linotype"/>
          <w:i/>
          <w:iCs/>
          <w:sz w:val="22"/>
          <w:szCs w:val="22"/>
        </w:rPr>
        <w:t>.</w:t>
      </w:r>
    </w:p>
    <w:p w14:paraId="540A4EF7" w14:textId="77777777" w:rsidR="00E20C94" w:rsidRPr="0035228F"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 xml:space="preserve">adj. Importante, relevante o famoso.” </w:t>
      </w:r>
      <w:r w:rsidRPr="0035228F">
        <w:rPr>
          <w:rFonts w:ascii="Palatino Linotype" w:eastAsia="Palatino Linotype" w:hAnsi="Palatino Linotype" w:cs="Palatino Linotype"/>
          <w:b/>
          <w:bCs/>
          <w:i/>
          <w:iCs/>
          <w:sz w:val="22"/>
          <w:szCs w:val="22"/>
        </w:rPr>
        <w:t>(Sic)</w:t>
      </w:r>
    </w:p>
    <w:p w14:paraId="2A8441BC" w14:textId="77777777" w:rsidR="00E20C94" w:rsidRPr="0035228F" w:rsidRDefault="00E20C94">
      <w:pPr>
        <w:spacing w:line="360" w:lineRule="auto"/>
        <w:ind w:right="39"/>
        <w:jc w:val="both"/>
        <w:rPr>
          <w:rFonts w:ascii="Palatino Linotype" w:eastAsia="Palatino Linotype" w:hAnsi="Palatino Linotype" w:cs="Palatino Linotype"/>
          <w:sz w:val="22"/>
          <w:szCs w:val="22"/>
        </w:rPr>
      </w:pPr>
    </w:p>
    <w:p w14:paraId="2EDA8145" w14:textId="6D5D067C" w:rsidR="00E20C94" w:rsidRPr="0035228F" w:rsidRDefault="009521F6">
      <w:pPr>
        <w:spacing w:line="360" w:lineRule="auto"/>
        <w:ind w:right="3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Así, la segunda acepción de notorio es lo que resulta claro y evidente, por lo que se estima que existe una laguna legal debido a que la Ley de Transparencia Local no establece qué se debe llevar a cabo cuando la incompetencia no sea notoria, o bien cuando existan facultades concurrentes entre dos o más sujetos obligados para generar la información solicitada por los particulares.</w:t>
      </w:r>
    </w:p>
    <w:p w14:paraId="24CEB52A" w14:textId="77777777" w:rsidR="00431015" w:rsidRPr="0035228F" w:rsidRDefault="00431015">
      <w:pPr>
        <w:spacing w:line="360" w:lineRule="auto"/>
        <w:ind w:right="39"/>
        <w:jc w:val="both"/>
        <w:rPr>
          <w:rFonts w:ascii="Palatino Linotype" w:eastAsia="Palatino Linotype" w:hAnsi="Palatino Linotype" w:cs="Palatino Linotype"/>
          <w:sz w:val="22"/>
          <w:szCs w:val="22"/>
        </w:rPr>
      </w:pPr>
    </w:p>
    <w:p w14:paraId="3BB983C6" w14:textId="77777777" w:rsidR="00E20C94" w:rsidRPr="0035228F" w:rsidRDefault="009521F6">
      <w:pPr>
        <w:spacing w:line="360" w:lineRule="auto"/>
        <w:ind w:right="3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Ante dicha laguna, el Pleno del Instituto realizó una interpretación a lo dispuesto en los artículos 49 fracción II y 167 de la Ley de la materia y se emitió el criterio reiterado 01/19, en el que se estableció lo siguiente:</w:t>
      </w:r>
    </w:p>
    <w:p w14:paraId="570127A2" w14:textId="77777777" w:rsidR="00E20C94" w:rsidRPr="0035228F" w:rsidRDefault="00E20C94">
      <w:pPr>
        <w:spacing w:line="360" w:lineRule="auto"/>
        <w:ind w:right="39"/>
        <w:jc w:val="both"/>
        <w:rPr>
          <w:rFonts w:ascii="Palatino Linotype" w:eastAsia="Palatino Linotype" w:hAnsi="Palatino Linotype" w:cs="Palatino Linotype"/>
          <w:sz w:val="22"/>
          <w:szCs w:val="22"/>
        </w:rPr>
      </w:pPr>
    </w:p>
    <w:p w14:paraId="625A507C" w14:textId="77777777" w:rsidR="00E20C94" w:rsidRPr="0035228F" w:rsidRDefault="009521F6">
      <w:pPr>
        <w:spacing w:line="360" w:lineRule="auto"/>
        <w:ind w:left="567" w:right="606"/>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“DECLARATORIA DE INCOMPETENCIA DEL SUJETO OBLIGADO. SUPUESTO PARA CONFIRMARLA POR ACUERDO DEL COMITÉ DE TRANSPARENCIA.</w:t>
      </w:r>
    </w:p>
    <w:p w14:paraId="3DCE8EB2" w14:textId="77777777" w:rsidR="00E20C94" w:rsidRPr="0035228F" w:rsidRDefault="009521F6">
      <w:pPr>
        <w:spacing w:line="360" w:lineRule="auto"/>
        <w:ind w:left="567" w:right="606"/>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u w:val="single"/>
        </w:rPr>
        <w:t>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w:t>
      </w:r>
      <w:r w:rsidRPr="0035228F">
        <w:rPr>
          <w:rFonts w:ascii="Palatino Linotype" w:eastAsia="Palatino Linotype" w:hAnsi="Palatino Linotype" w:cs="Palatino Linotype"/>
          <w:i/>
          <w:iCs/>
          <w:sz w:val="22"/>
          <w:szCs w:val="22"/>
        </w:rPr>
        <w:t xml:space="preserve">, al ser este el acto jurídico idóneo que genera seguridad 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 </w:t>
      </w:r>
      <w:r w:rsidRPr="0035228F">
        <w:rPr>
          <w:rFonts w:ascii="Palatino Linotype" w:eastAsia="Palatino Linotype" w:hAnsi="Palatino Linotype" w:cs="Palatino Linotype"/>
          <w:b/>
          <w:bCs/>
          <w:i/>
          <w:iCs/>
          <w:sz w:val="22"/>
          <w:szCs w:val="22"/>
        </w:rPr>
        <w:t>(Sic)</w:t>
      </w:r>
    </w:p>
    <w:p w14:paraId="384520DA" w14:textId="77777777" w:rsidR="00E20C94" w:rsidRPr="0035228F" w:rsidRDefault="00E20C94">
      <w:pPr>
        <w:spacing w:line="360" w:lineRule="auto"/>
        <w:ind w:right="39"/>
        <w:jc w:val="both"/>
        <w:rPr>
          <w:rFonts w:ascii="Palatino Linotype" w:eastAsia="Palatino Linotype" w:hAnsi="Palatino Linotype" w:cs="Palatino Linotype"/>
          <w:sz w:val="22"/>
          <w:szCs w:val="22"/>
        </w:rPr>
      </w:pPr>
    </w:p>
    <w:p w14:paraId="4F0A0B09" w14:textId="77777777" w:rsidR="00E20C94" w:rsidRPr="0035228F" w:rsidRDefault="009521F6">
      <w:pPr>
        <w:spacing w:line="360" w:lineRule="auto"/>
        <w:ind w:right="3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Asimismo, se determinó viable adoptar el criterio orientador con clave de control SO/002/2020 emitido por el entonces Instituto Nacional de Transparencia, Acceso a la Información y Protección de Datos Personales (INAI), que a la letra estipula lo siguiente:</w:t>
      </w:r>
    </w:p>
    <w:p w14:paraId="4F5628D1" w14:textId="77777777" w:rsidR="00E20C94" w:rsidRPr="0035228F" w:rsidRDefault="00E20C94">
      <w:pPr>
        <w:spacing w:line="360" w:lineRule="auto"/>
        <w:ind w:right="39"/>
        <w:jc w:val="both"/>
        <w:rPr>
          <w:rFonts w:ascii="Palatino Linotype" w:eastAsia="Palatino Linotype" w:hAnsi="Palatino Linotype" w:cs="Palatino Linotype"/>
          <w:sz w:val="22"/>
          <w:szCs w:val="22"/>
        </w:rPr>
      </w:pPr>
    </w:p>
    <w:p w14:paraId="3768BDE2" w14:textId="77777777" w:rsidR="00E20C94" w:rsidRPr="0035228F" w:rsidRDefault="009521F6">
      <w:pPr>
        <w:spacing w:line="360" w:lineRule="auto"/>
        <w:ind w:left="567" w:right="606"/>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 xml:space="preserve">“DECLARACIÓN DE INCOMPETENCIA POR PARTE DEL COMITÉ, CUANDO NO SEA NOTORIA O MANIFIESTA. </w:t>
      </w:r>
      <w:r w:rsidRPr="0035228F">
        <w:rPr>
          <w:rFonts w:ascii="Palatino Linotype" w:eastAsia="Palatino Linotype" w:hAnsi="Palatino Linotype" w:cs="Palatino Linotype"/>
          <w:i/>
          <w:iCs/>
          <w:sz w:val="22"/>
          <w:szCs w:val="22"/>
        </w:rPr>
        <w:t xml:space="preserve"> </w:t>
      </w:r>
    </w:p>
    <w:p w14:paraId="4849466A" w14:textId="77777777" w:rsidR="00E20C94" w:rsidRPr="0035228F" w:rsidRDefault="009521F6">
      <w:pPr>
        <w:spacing w:line="360" w:lineRule="auto"/>
        <w:ind w:left="567" w:right="606"/>
        <w:jc w:val="both"/>
        <w:rPr>
          <w:rFonts w:ascii="Palatino Linotype" w:eastAsia="Palatino Linotype" w:hAnsi="Palatino Linotype" w:cs="Palatino Linotype"/>
          <w:b/>
          <w:bCs/>
          <w:i/>
          <w:iCs/>
          <w:sz w:val="22"/>
          <w:szCs w:val="22"/>
          <w:u w:val="single"/>
        </w:rPr>
      </w:pPr>
      <w:r w:rsidRPr="0035228F">
        <w:rPr>
          <w:rFonts w:ascii="Palatino Linotype" w:eastAsia="Palatino Linotype" w:hAnsi="Palatino Linotype" w:cs="Palatino Linotype"/>
          <w:i/>
          <w:iCs/>
          <w:sz w:val="22"/>
          <w:szCs w:val="22"/>
        </w:rPr>
        <w:t xml:space="preserve">Cuando la normatividad que prevé las atribuciones del sujeto </w:t>
      </w:r>
      <w:r w:rsidRPr="0035228F">
        <w:rPr>
          <w:rFonts w:ascii="Palatino Linotype" w:eastAsia="Palatino Linotype" w:hAnsi="Palatino Linotype" w:cs="Palatino Linotype"/>
          <w:b/>
          <w:bCs/>
          <w:i/>
          <w:iCs/>
          <w:sz w:val="22"/>
          <w:szCs w:val="22"/>
          <w:u w:val="single"/>
        </w:rPr>
        <w:t>obligado no sea clara en delimitar su competencia respecto a lo requerido por la persona solicitante y resulte necesario efectuar un análisis mayor para determinar la incompetencia, ésta debe ser declarada por el Comité de Transparencia.” (Sic)</w:t>
      </w:r>
    </w:p>
    <w:p w14:paraId="3E1F3D01" w14:textId="77777777" w:rsidR="00E20C94" w:rsidRPr="0035228F" w:rsidRDefault="00E20C94">
      <w:pPr>
        <w:spacing w:line="360" w:lineRule="auto"/>
        <w:ind w:right="39"/>
        <w:jc w:val="both"/>
        <w:rPr>
          <w:rFonts w:ascii="Palatino Linotype" w:eastAsia="Palatino Linotype" w:hAnsi="Palatino Linotype" w:cs="Palatino Linotype"/>
          <w:sz w:val="22"/>
          <w:szCs w:val="22"/>
        </w:rPr>
      </w:pPr>
    </w:p>
    <w:p w14:paraId="4F7429CD" w14:textId="77777777" w:rsidR="00E20C94" w:rsidRPr="0035228F" w:rsidRDefault="009521F6">
      <w:pPr>
        <w:spacing w:line="360" w:lineRule="auto"/>
        <w:ind w:right="3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Así, del contenido de ambos criterios se ha concluido que es necesario que los sujetos obligados hagan entrega del acuerdo que emitan sus Comités de Transparencia mediante los cuales se confirme la declaratoria de incompetencia, con la finalidad de que, ante la incertidumbre derivada de que dicha incompetencia no es clara, evidente o notoria, los sujetos obligados hagan entrega de un documento con el que se determine que no cuentan con las atribuciones para generar, poseer o administrar lo requerido por los solicitantes, esto con apego al el principio de certeza establecido en el artículo 9 fracción I de la Ley estatal.</w:t>
      </w:r>
    </w:p>
    <w:p w14:paraId="36748087" w14:textId="77777777" w:rsidR="00E20C94" w:rsidRPr="0035228F" w:rsidRDefault="00E20C94">
      <w:pPr>
        <w:spacing w:line="360" w:lineRule="auto"/>
        <w:ind w:right="39"/>
        <w:jc w:val="both"/>
        <w:rPr>
          <w:rFonts w:ascii="Palatino Linotype" w:eastAsia="Palatino Linotype" w:hAnsi="Palatino Linotype" w:cs="Palatino Linotype"/>
          <w:sz w:val="22"/>
          <w:szCs w:val="22"/>
        </w:rPr>
      </w:pPr>
    </w:p>
    <w:p w14:paraId="2E7399D4" w14:textId="77777777" w:rsidR="00E20C94" w:rsidRPr="0035228F" w:rsidRDefault="009521F6">
      <w:pPr>
        <w:spacing w:line="360" w:lineRule="auto"/>
        <w:ind w:right="3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Cabe señalar que este Instituto también ordenaba la entrega del acuerdo del Comité de Transparencia también se ordena cuando los sujetos obligados no hacen del conocimiento la incompetencia dentro del término de tres días establecido en el artículo 167 referido anteriormente; no obstante, dado que la Ley de la materia no establece expresamente qué se debe realizar ante dicha situación, </w:t>
      </w:r>
      <w:r w:rsidRPr="0035228F">
        <w:rPr>
          <w:rFonts w:ascii="Palatino Linotype" w:eastAsia="Palatino Linotype" w:hAnsi="Palatino Linotype" w:cs="Palatino Linotype"/>
          <w:b/>
          <w:bCs/>
          <w:sz w:val="22"/>
          <w:szCs w:val="22"/>
        </w:rPr>
        <w:t xml:space="preserve">se estima </w:t>
      </w:r>
      <w:r w:rsidRPr="0035228F">
        <w:rPr>
          <w:rFonts w:ascii="Palatino Linotype" w:eastAsia="Palatino Linotype" w:hAnsi="Palatino Linotype" w:cs="Palatino Linotype"/>
          <w:sz w:val="22"/>
          <w:szCs w:val="22"/>
        </w:rPr>
        <w:t>innecesario continuar con el criterio de ordenar la entrega del acuerdo del Comité de Transparencia cuando los sujetos obligados rebasen los tres días y la incompetencia sea notoria, puesto que ordenar a los sujetos obligados emitir dicho acuerdo implica una carga a las autoridades en virtud de que la incompetencia ya fue declarada y ésta es clara y evidente.</w:t>
      </w:r>
    </w:p>
    <w:p w14:paraId="23E12B3D" w14:textId="77777777" w:rsidR="00E20C94" w:rsidRPr="0035228F" w:rsidRDefault="00E20C94">
      <w:pPr>
        <w:spacing w:line="360" w:lineRule="auto"/>
        <w:ind w:right="39"/>
        <w:jc w:val="both"/>
        <w:rPr>
          <w:rFonts w:ascii="Palatino Linotype" w:eastAsia="Palatino Linotype" w:hAnsi="Palatino Linotype" w:cs="Palatino Linotype"/>
          <w:sz w:val="22"/>
          <w:szCs w:val="22"/>
        </w:rPr>
      </w:pPr>
    </w:p>
    <w:p w14:paraId="1044991B" w14:textId="77777777" w:rsidR="00E20C94" w:rsidRPr="0035228F" w:rsidRDefault="009521F6">
      <w:pPr>
        <w:spacing w:line="360" w:lineRule="auto"/>
        <w:ind w:right="3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En conclusión, se estima que el acuerdo del Comité de Transparencia sólo debe ser ordenado cuando la incompetencia no sea notoria, o bien, cuando mediante el estudio correspondiente del caso en concreto se determine que existen facultades concurrentes entre dos o más sujetos obligados para generar, poseer o administrar la información solicitada.</w:t>
      </w:r>
    </w:p>
    <w:p w14:paraId="32B26166" w14:textId="77777777" w:rsidR="00E20C94" w:rsidRPr="0035228F" w:rsidRDefault="00E20C94">
      <w:pPr>
        <w:spacing w:line="360" w:lineRule="auto"/>
        <w:ind w:right="39"/>
        <w:jc w:val="both"/>
        <w:rPr>
          <w:rFonts w:ascii="Palatino Linotype" w:eastAsia="Palatino Linotype" w:hAnsi="Palatino Linotype" w:cs="Palatino Linotype"/>
          <w:sz w:val="22"/>
          <w:szCs w:val="22"/>
        </w:rPr>
      </w:pPr>
    </w:p>
    <w:p w14:paraId="004F4F90" w14:textId="77777777" w:rsidR="00E20C94" w:rsidRPr="0035228F" w:rsidRDefault="009521F6">
      <w:pPr>
        <w:spacing w:after="240"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De esta manera, en el caso en particular la incompetencia es evidente, clara y notoria, resultando innecesario hacer entrega del documento con el que se determine que no cuenta con las atribuciones para generar, poseer o administrar lo requerido, aún y cuando no se observó de forma diligente el plazo previsto en el artículo 167 de la ley de transparencia local. Por ello, ordenar al sujeto obligado emitir dicho acuerdo implicaría una carga a la autoridad en virtud de que la incompetencia ya fue declarada y ésta es clara y evidente</w:t>
      </w:r>
    </w:p>
    <w:p w14:paraId="7DAC020E" w14:textId="77777777" w:rsidR="00E20C94" w:rsidRPr="0035228F" w:rsidRDefault="009521F6">
      <w:pPr>
        <w:spacing w:line="360" w:lineRule="auto"/>
        <w:jc w:val="both"/>
        <w:rPr>
          <w:rFonts w:ascii="Palatino Linotype" w:eastAsia="Palatino Linotype" w:hAnsi="Palatino Linotype" w:cs="Palatino Linotype"/>
          <w:b/>
          <w:bCs/>
          <w:sz w:val="22"/>
          <w:szCs w:val="22"/>
          <w:u w:val="single"/>
        </w:rPr>
      </w:pPr>
      <w:r w:rsidRPr="0035228F">
        <w:rPr>
          <w:rFonts w:ascii="Palatino Linotype" w:eastAsia="Palatino Linotype" w:hAnsi="Palatino Linotype" w:cs="Palatino Linotype"/>
          <w:b/>
          <w:bCs/>
          <w:sz w:val="22"/>
          <w:szCs w:val="22"/>
          <w:u w:val="single"/>
        </w:rPr>
        <w:t xml:space="preserve">En virtud de lo anterior, este Órgano Garante arriba a la conclusión de que la respuesta e informe justificado del El Sujeto Obligado no se encuentra dotado de los principios de congruencia y exhaustividad, lo cierto también es que ordenar acuerdo de incompetencia no conduce a nada practico, ya que la incompetencia resulta notoria, clara y evidente. </w:t>
      </w:r>
    </w:p>
    <w:p w14:paraId="4AD7BC83" w14:textId="3C97ED96" w:rsidR="00E20C94" w:rsidRPr="0035228F" w:rsidRDefault="009521F6">
      <w:pPr>
        <w:spacing w:before="240"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Bajo este contexto, con relación </w:t>
      </w:r>
      <w:r w:rsidR="004B6119" w:rsidRPr="0035228F">
        <w:rPr>
          <w:rFonts w:ascii="Palatino Linotype" w:eastAsia="Palatino Linotype" w:hAnsi="Palatino Linotype" w:cs="Palatino Linotype"/>
          <w:sz w:val="22"/>
          <w:szCs w:val="22"/>
        </w:rPr>
        <w:t>a los</w:t>
      </w:r>
      <w:r w:rsidRPr="0035228F">
        <w:rPr>
          <w:rFonts w:ascii="Palatino Linotype" w:eastAsia="Palatino Linotype" w:hAnsi="Palatino Linotype" w:cs="Palatino Linotype"/>
          <w:sz w:val="22"/>
          <w:szCs w:val="22"/>
        </w:rPr>
        <w:t xml:space="preserve"> recurso</w:t>
      </w:r>
      <w:r w:rsidR="004B6119" w:rsidRPr="0035228F">
        <w:rPr>
          <w:rFonts w:ascii="Palatino Linotype" w:eastAsia="Palatino Linotype" w:hAnsi="Palatino Linotype" w:cs="Palatino Linotype"/>
          <w:sz w:val="22"/>
          <w:szCs w:val="22"/>
        </w:rPr>
        <w:t>s</w:t>
      </w:r>
      <w:r w:rsidRPr="0035228F">
        <w:rPr>
          <w:rFonts w:ascii="Palatino Linotype" w:eastAsia="Palatino Linotype" w:hAnsi="Palatino Linotype" w:cs="Palatino Linotype"/>
          <w:sz w:val="22"/>
          <w:szCs w:val="22"/>
        </w:rPr>
        <w:t xml:space="preserve"> de revisión </w:t>
      </w:r>
      <w:r w:rsidRPr="0035228F">
        <w:rPr>
          <w:rFonts w:ascii="Palatino Linotype" w:eastAsia="Palatino Linotype" w:hAnsi="Palatino Linotype" w:cs="Palatino Linotype"/>
          <w:b/>
          <w:bCs/>
          <w:sz w:val="22"/>
          <w:szCs w:val="22"/>
        </w:rPr>
        <w:t>00</w:t>
      </w:r>
      <w:r w:rsidR="00431015" w:rsidRPr="0035228F">
        <w:rPr>
          <w:rFonts w:ascii="Palatino Linotype" w:eastAsia="Palatino Linotype" w:hAnsi="Palatino Linotype" w:cs="Palatino Linotype"/>
          <w:b/>
          <w:bCs/>
          <w:sz w:val="22"/>
          <w:szCs w:val="22"/>
        </w:rPr>
        <w:t>489</w:t>
      </w:r>
      <w:r w:rsidRPr="0035228F">
        <w:rPr>
          <w:rFonts w:ascii="Palatino Linotype" w:eastAsia="Palatino Linotype" w:hAnsi="Palatino Linotype" w:cs="Palatino Linotype"/>
          <w:b/>
          <w:bCs/>
          <w:sz w:val="22"/>
          <w:szCs w:val="22"/>
        </w:rPr>
        <w:t xml:space="preserve">/INFOEM/IP/RR/2026 </w:t>
      </w:r>
      <w:r w:rsidR="004B6119" w:rsidRPr="0035228F">
        <w:rPr>
          <w:rFonts w:ascii="Palatino Linotype" w:eastAsia="Palatino Linotype" w:hAnsi="Palatino Linotype" w:cs="Palatino Linotype"/>
          <w:b/>
          <w:bCs/>
          <w:sz w:val="22"/>
          <w:szCs w:val="22"/>
        </w:rPr>
        <w:t>y 00</w:t>
      </w:r>
      <w:r w:rsidR="00431015" w:rsidRPr="0035228F">
        <w:rPr>
          <w:rFonts w:ascii="Palatino Linotype" w:eastAsia="Palatino Linotype" w:hAnsi="Palatino Linotype" w:cs="Palatino Linotype"/>
          <w:b/>
          <w:bCs/>
          <w:sz w:val="22"/>
          <w:szCs w:val="22"/>
        </w:rPr>
        <w:t>499</w:t>
      </w:r>
      <w:r w:rsidR="004B6119" w:rsidRPr="0035228F">
        <w:rPr>
          <w:rFonts w:ascii="Palatino Linotype" w:eastAsia="Palatino Linotype" w:hAnsi="Palatino Linotype" w:cs="Palatino Linotype"/>
          <w:b/>
          <w:bCs/>
          <w:sz w:val="22"/>
          <w:szCs w:val="22"/>
        </w:rPr>
        <w:t xml:space="preserve">/INFOEM/IP/RR/2026, </w:t>
      </w:r>
      <w:r w:rsidRPr="0035228F">
        <w:rPr>
          <w:rFonts w:ascii="Palatino Linotype" w:eastAsia="Palatino Linotype" w:hAnsi="Palatino Linotype" w:cs="Palatino Linotype"/>
          <w:sz w:val="22"/>
          <w:szCs w:val="22"/>
        </w:rPr>
        <w:t xml:space="preserve">por lo que hace a las causas de sobreseimiento contenidas en el artículo 192 de la Ley de Transparencia y Acceso a la Información Pública del Estado de México y Municipios, es oportuno señalar que estos requisitos privilegian la existencia de elementos de fondo, tales como el desistimiento o fallecimiento del </w:t>
      </w:r>
      <w:r w:rsidRPr="0035228F">
        <w:rPr>
          <w:rFonts w:ascii="Palatino Linotype" w:eastAsia="Palatino Linotype" w:hAnsi="Palatino Linotype" w:cs="Palatino Linotype"/>
          <w:b/>
          <w:bCs/>
          <w:sz w:val="22"/>
          <w:szCs w:val="22"/>
        </w:rPr>
        <w:t xml:space="preserve">Recurrente </w:t>
      </w:r>
      <w:r w:rsidRPr="0035228F">
        <w:rPr>
          <w:rFonts w:ascii="Palatino Linotype" w:eastAsia="Palatino Linotype" w:hAnsi="Palatino Linotype" w:cs="Palatino Linotype"/>
          <w:sz w:val="22"/>
          <w:szCs w:val="22"/>
        </w:rPr>
        <w:t xml:space="preserve">o que </w:t>
      </w:r>
      <w:r w:rsidRPr="0035228F">
        <w:rPr>
          <w:rFonts w:ascii="Palatino Linotype" w:eastAsia="Palatino Linotype" w:hAnsi="Palatino Linotype" w:cs="Palatino Linotype"/>
          <w:b/>
          <w:bCs/>
          <w:sz w:val="22"/>
          <w:szCs w:val="22"/>
          <w:u w:val="single"/>
        </w:rPr>
        <w:t xml:space="preserve">por cualquier motivo quede sin materia el recurso; </w:t>
      </w:r>
      <w:r w:rsidRPr="0035228F">
        <w:rPr>
          <w:rFonts w:ascii="Palatino Linotype" w:eastAsia="Palatino Linotype" w:hAnsi="Palatino Linotype" w:cs="Palatino Linotype"/>
          <w:sz w:val="22"/>
          <w:szCs w:val="22"/>
        </w:rPr>
        <w:t xml:space="preserve">de ahí que la actualización de alguno de éstos trae como consecuencia que el medio de impugnación se concluya sin que se analice el objeto de estudio planteado, es decir se sobresea. </w:t>
      </w:r>
    </w:p>
    <w:p w14:paraId="5167C555" w14:textId="77777777" w:rsidR="00E20C94" w:rsidRPr="0035228F" w:rsidRDefault="009521F6">
      <w:pPr>
        <w:spacing w:before="240"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Por otra parte, la 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14:paraId="150A1C42" w14:textId="77777777" w:rsidR="00E20C94" w:rsidRPr="0035228F" w:rsidRDefault="009521F6">
      <w:pPr>
        <w:spacing w:before="240" w:line="360" w:lineRule="auto"/>
        <w:ind w:left="851" w:right="708"/>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“SOBRESEIMIENTO EN EL JUICIO DE AMPARO DIRECTO. IMPIDE EL ESTUDIO DE LAS VIOLACIONES PROCESALES PLANTEADAS EN LOS CONCEPTOS DE VIOLACIÓN.</w:t>
      </w:r>
    </w:p>
    <w:p w14:paraId="3FEAC34E" w14:textId="77777777" w:rsidR="00E20C94" w:rsidRPr="0035228F" w:rsidRDefault="009521F6">
      <w:pPr>
        <w:spacing w:before="240" w:line="360" w:lineRule="auto"/>
        <w:ind w:left="851" w:right="708"/>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u w:val="single"/>
        </w:rPr>
        <w:t>El sobreseimiento</w:t>
      </w:r>
      <w:r w:rsidRPr="0035228F">
        <w:rPr>
          <w:rFonts w:ascii="Palatino Linotype" w:eastAsia="Palatino Linotype" w:hAnsi="Palatino Linotype" w:cs="Palatino Linotype"/>
          <w:b/>
          <w:bCs/>
          <w:i/>
          <w:iCs/>
          <w:sz w:val="22"/>
          <w:szCs w:val="22"/>
        </w:rPr>
        <w:t xml:space="preserve"> </w:t>
      </w:r>
      <w:r w:rsidRPr="0035228F">
        <w:rPr>
          <w:rFonts w:ascii="Palatino Linotype" w:eastAsia="Palatino Linotype" w:hAnsi="Palatino Linotype" w:cs="Palatino Linotype"/>
          <w:i/>
          <w:iCs/>
          <w:sz w:val="22"/>
          <w:szCs w:val="22"/>
        </w:rPr>
        <w:t xml:space="preserve">en el juicio de amparo directo </w:t>
      </w:r>
      <w:r w:rsidRPr="0035228F">
        <w:rPr>
          <w:rFonts w:ascii="Palatino Linotype" w:eastAsia="Palatino Linotype" w:hAnsi="Palatino Linotype" w:cs="Palatino Linotype"/>
          <w:b/>
          <w:bCs/>
          <w:i/>
          <w:iCs/>
          <w:sz w:val="22"/>
          <w:szCs w:val="22"/>
          <w:u w:val="single"/>
        </w:rPr>
        <w:t>provoca la terminación de la controversia planteada</w:t>
      </w:r>
      <w:r w:rsidRPr="0035228F">
        <w:rPr>
          <w:rFonts w:ascii="Palatino Linotype" w:eastAsia="Palatino Linotype" w:hAnsi="Palatino Linotype" w:cs="Palatino Linotype"/>
          <w:b/>
          <w:bCs/>
          <w:i/>
          <w:iCs/>
          <w:sz w:val="22"/>
          <w:szCs w:val="22"/>
        </w:rPr>
        <w:t xml:space="preserve"> </w:t>
      </w:r>
      <w:r w:rsidRPr="0035228F">
        <w:rPr>
          <w:rFonts w:ascii="Palatino Linotype" w:eastAsia="Palatino Linotype" w:hAnsi="Palatino Linotype" w:cs="Palatino Linotype"/>
          <w:i/>
          <w:iCs/>
          <w:sz w:val="22"/>
          <w:szCs w:val="22"/>
        </w:rPr>
        <w:t>por el quejoso en la demanda de amparo</w:t>
      </w:r>
      <w:r w:rsidRPr="0035228F">
        <w:rPr>
          <w:rFonts w:ascii="Palatino Linotype" w:eastAsia="Palatino Linotype" w:hAnsi="Palatino Linotype" w:cs="Palatino Linotype"/>
          <w:sz w:val="22"/>
          <w:szCs w:val="22"/>
        </w:rPr>
        <w:t xml:space="preserve"> </w:t>
      </w:r>
      <w:r w:rsidRPr="0035228F">
        <w:rPr>
          <w:rFonts w:ascii="Palatino Linotype" w:eastAsia="Palatino Linotype" w:hAnsi="Palatino Linotype" w:cs="Palatino Linotype"/>
          <w:i/>
          <w:iCs/>
          <w:sz w:val="22"/>
          <w:szCs w:val="22"/>
        </w:rPr>
        <w:t xml:space="preserve">provoca la terminación de la controversia planteada por el quejoso en la demanda de </w:t>
      </w:r>
      <w:r w:rsidRPr="0035228F">
        <w:rPr>
          <w:rFonts w:ascii="Palatino Linotype" w:eastAsia="Palatino Linotype" w:hAnsi="Palatino Linotype" w:cs="Palatino Linotype"/>
          <w:b/>
          <w:bCs/>
          <w:i/>
          <w:iCs/>
          <w:sz w:val="22"/>
          <w:szCs w:val="22"/>
        </w:rPr>
        <w:t>amparo</w:t>
      </w:r>
      <w:r w:rsidRPr="0035228F">
        <w:rPr>
          <w:rFonts w:ascii="Palatino Linotype" w:eastAsia="Palatino Linotype" w:hAnsi="Palatino Linotype" w:cs="Palatino Linotype"/>
          <w:i/>
          <w:iCs/>
          <w:sz w:val="22"/>
          <w:szCs w:val="22"/>
        </w:rPr>
        <w:t>, sin hacer un pronunciamiento de fondo sobre la legalidad o ilegalidad de la sentencia reclamada. Por consiguiente, si al sobreseerse en el</w:t>
      </w:r>
      <w:r w:rsidRPr="0035228F">
        <w:rPr>
          <w:rFonts w:ascii="Palatino Linotype" w:eastAsia="Palatino Linotype" w:hAnsi="Palatino Linotype" w:cs="Palatino Linotype"/>
          <w:b/>
          <w:bCs/>
          <w:i/>
          <w:iCs/>
          <w:sz w:val="22"/>
          <w:szCs w:val="22"/>
        </w:rPr>
        <w:t xml:space="preserve"> juicio </w:t>
      </w:r>
      <w:r w:rsidRPr="0035228F">
        <w:rPr>
          <w:rFonts w:ascii="Palatino Linotype" w:eastAsia="Palatino Linotype" w:hAnsi="Palatino Linotype" w:cs="Palatino Linotype"/>
          <w:i/>
          <w:iCs/>
          <w:sz w:val="22"/>
          <w:szCs w:val="22"/>
        </w:rPr>
        <w:t xml:space="preserve">de </w:t>
      </w:r>
      <w:r w:rsidRPr="0035228F">
        <w:rPr>
          <w:rFonts w:ascii="Palatino Linotype" w:eastAsia="Palatino Linotype" w:hAnsi="Palatino Linotype" w:cs="Palatino Linotype"/>
          <w:b/>
          <w:bCs/>
          <w:i/>
          <w:iCs/>
          <w:sz w:val="22"/>
          <w:szCs w:val="22"/>
        </w:rPr>
        <w:t>amparo</w:t>
      </w:r>
      <w:r w:rsidRPr="0035228F">
        <w:rPr>
          <w:rFonts w:ascii="Palatino Linotype" w:eastAsia="Palatino Linotype" w:hAnsi="Palatino Linotype" w:cs="Palatino Linotype"/>
          <w:i/>
          <w:iCs/>
          <w:sz w:val="22"/>
          <w:szCs w:val="22"/>
        </w:rPr>
        <w:t xml:space="preserve"> no se pueden estudiar los planteamientos que se hacen valer en contra del fallo reclamado, tampoco se deben analizar las</w:t>
      </w:r>
      <w:r w:rsidRPr="0035228F">
        <w:rPr>
          <w:rFonts w:ascii="Palatino Linotype" w:eastAsia="Palatino Linotype" w:hAnsi="Palatino Linotype" w:cs="Palatino Linotype"/>
          <w:b/>
          <w:bCs/>
          <w:i/>
          <w:iCs/>
          <w:sz w:val="22"/>
          <w:szCs w:val="22"/>
        </w:rPr>
        <w:t xml:space="preserve"> violaciones procesales</w:t>
      </w:r>
      <w:r w:rsidRPr="0035228F">
        <w:rPr>
          <w:rFonts w:ascii="Palatino Linotype" w:eastAsia="Palatino Linotype" w:hAnsi="Palatino Linotype" w:cs="Palatino Linotype"/>
          <w:i/>
          <w:iCs/>
          <w:sz w:val="22"/>
          <w:szCs w:val="22"/>
        </w:rPr>
        <w:t xml:space="preserve"> propuestas en los </w:t>
      </w:r>
      <w:r w:rsidRPr="0035228F">
        <w:rPr>
          <w:rFonts w:ascii="Palatino Linotype" w:eastAsia="Palatino Linotype" w:hAnsi="Palatino Linotype" w:cs="Palatino Linotype"/>
          <w:b/>
          <w:bCs/>
          <w:i/>
          <w:iCs/>
          <w:sz w:val="22"/>
          <w:szCs w:val="22"/>
        </w:rPr>
        <w:t xml:space="preserve">conceptos </w:t>
      </w:r>
      <w:r w:rsidRPr="0035228F">
        <w:rPr>
          <w:rFonts w:ascii="Palatino Linotype" w:eastAsia="Palatino Linotype" w:hAnsi="Palatino Linotype" w:cs="Palatino Linotype"/>
          <w:i/>
          <w:iCs/>
          <w:sz w:val="22"/>
          <w:szCs w:val="22"/>
        </w:rPr>
        <w:t xml:space="preserve">de </w:t>
      </w:r>
      <w:r w:rsidRPr="0035228F">
        <w:rPr>
          <w:rFonts w:ascii="Palatino Linotype" w:eastAsia="Palatino Linotype" w:hAnsi="Palatino Linotype" w:cs="Palatino Linotype"/>
          <w:b/>
          <w:bCs/>
          <w:i/>
          <w:iCs/>
          <w:sz w:val="22"/>
          <w:szCs w:val="22"/>
        </w:rPr>
        <w:t>violación</w:t>
      </w:r>
      <w:r w:rsidRPr="0035228F">
        <w:rPr>
          <w:rFonts w:ascii="Palatino Linotype" w:eastAsia="Palatino Linotype" w:hAnsi="Palatino Linotype" w:cs="Palatino Linotype"/>
          <w:i/>
          <w:iCs/>
          <w:sz w:val="22"/>
          <w:szCs w:val="22"/>
        </w:rPr>
        <w:t xml:space="preserve">, dado que, la principal consecuencia del </w:t>
      </w:r>
      <w:r w:rsidRPr="0035228F">
        <w:rPr>
          <w:rFonts w:ascii="Palatino Linotype" w:eastAsia="Palatino Linotype" w:hAnsi="Palatino Linotype" w:cs="Palatino Linotype"/>
          <w:b/>
          <w:bCs/>
          <w:i/>
          <w:iCs/>
          <w:sz w:val="22"/>
          <w:szCs w:val="22"/>
        </w:rPr>
        <w:t>sobreseimiento</w:t>
      </w:r>
      <w:r w:rsidRPr="0035228F">
        <w:rPr>
          <w:rFonts w:ascii="Palatino Linotype" w:eastAsia="Palatino Linotype" w:hAnsi="Palatino Linotype" w:cs="Palatino Linotype"/>
          <w:i/>
          <w:iCs/>
          <w:sz w:val="22"/>
          <w:szCs w:val="22"/>
        </w:rPr>
        <w:t xml:space="preserve"> es poner fin al </w:t>
      </w:r>
      <w:r w:rsidRPr="0035228F">
        <w:rPr>
          <w:rFonts w:ascii="Palatino Linotype" w:eastAsia="Palatino Linotype" w:hAnsi="Palatino Linotype" w:cs="Palatino Linotype"/>
          <w:b/>
          <w:bCs/>
          <w:i/>
          <w:iCs/>
          <w:sz w:val="22"/>
          <w:szCs w:val="22"/>
        </w:rPr>
        <w:t xml:space="preserve">juicio </w:t>
      </w:r>
      <w:r w:rsidRPr="0035228F">
        <w:rPr>
          <w:rFonts w:ascii="Palatino Linotype" w:eastAsia="Palatino Linotype" w:hAnsi="Palatino Linotype" w:cs="Palatino Linotype"/>
          <w:i/>
          <w:iCs/>
          <w:sz w:val="22"/>
          <w:szCs w:val="22"/>
        </w:rPr>
        <w:t xml:space="preserve">de </w:t>
      </w:r>
      <w:r w:rsidRPr="0035228F">
        <w:rPr>
          <w:rFonts w:ascii="Palatino Linotype" w:eastAsia="Palatino Linotype" w:hAnsi="Palatino Linotype" w:cs="Palatino Linotype"/>
          <w:b/>
          <w:bCs/>
          <w:i/>
          <w:iCs/>
          <w:sz w:val="22"/>
          <w:szCs w:val="22"/>
        </w:rPr>
        <w:t xml:space="preserve">amparo </w:t>
      </w:r>
      <w:r w:rsidRPr="0035228F">
        <w:rPr>
          <w:rFonts w:ascii="Palatino Linotype" w:eastAsia="Palatino Linotype" w:hAnsi="Palatino Linotype" w:cs="Palatino Linotype"/>
          <w:i/>
          <w:iCs/>
          <w:sz w:val="22"/>
          <w:szCs w:val="22"/>
        </w:rPr>
        <w:t>sin resolver la controversia en sus méritos.  </w:t>
      </w:r>
    </w:p>
    <w:p w14:paraId="2C534B13" w14:textId="77777777" w:rsidR="00E20C94" w:rsidRPr="0035228F" w:rsidRDefault="009521F6">
      <w:pPr>
        <w:spacing w:before="240" w:line="360" w:lineRule="auto"/>
        <w:ind w:left="851" w:right="708"/>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SÉPTIMO TRIBUNAL COLEGIADO EN MATERIA CIVIL DEL PRIMER CIRCUITO.</w:t>
      </w:r>
    </w:p>
    <w:p w14:paraId="1273D32C" w14:textId="77777777" w:rsidR="00E20C94" w:rsidRPr="0035228F" w:rsidRDefault="009521F6">
      <w:pPr>
        <w:spacing w:before="240" w:line="360" w:lineRule="auto"/>
        <w:ind w:left="851" w:right="708"/>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Amparo directo 699/2008. Mariana Leticia González Steele. 13 de noviembre de 2008. Unanimidad de votos. Ponente: Sara Judith Montalvo Trejo. Secretario: Arnulfo Mateos García.”</w:t>
      </w:r>
      <w:r w:rsidRPr="0035228F">
        <w:rPr>
          <w:rFonts w:ascii="Palatino Linotype" w:eastAsia="Palatino Linotype" w:hAnsi="Palatino Linotype" w:cs="Palatino Linotype"/>
          <w:b/>
          <w:bCs/>
          <w:i/>
          <w:iCs/>
          <w:sz w:val="22"/>
          <w:szCs w:val="22"/>
        </w:rPr>
        <w:t xml:space="preserve"> [Sic]</w:t>
      </w:r>
    </w:p>
    <w:p w14:paraId="00790C77" w14:textId="77777777" w:rsidR="00E20C94" w:rsidRPr="0035228F" w:rsidRDefault="009521F6">
      <w:pPr>
        <w:spacing w:before="240"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De este modo, se puede deducir que, en las resoluciones dictadas por el Pleno de este Instituto, en las que se decreta el sobreseimiento de un recurso de revisión por la actualización de alguno de los supuestos jurídicos contemplados en el </w:t>
      </w:r>
      <w:r w:rsidRPr="0035228F">
        <w:rPr>
          <w:rFonts w:ascii="Palatino Linotype" w:eastAsia="Palatino Linotype" w:hAnsi="Palatino Linotype" w:cs="Palatino Linotype"/>
          <w:b/>
          <w:bCs/>
          <w:sz w:val="22"/>
          <w:szCs w:val="22"/>
        </w:rPr>
        <w:t xml:space="preserve">artículo 192 </w:t>
      </w:r>
      <w:r w:rsidRPr="0035228F">
        <w:rPr>
          <w:rFonts w:ascii="Palatino Linotype" w:eastAsia="Palatino Linotype" w:hAnsi="Palatino Linotype" w:cs="Palatino Linotype"/>
          <w:sz w:val="22"/>
          <w:szCs w:val="22"/>
        </w:rPr>
        <w:t xml:space="preserve">de la </w:t>
      </w:r>
      <w:r w:rsidRPr="0035228F">
        <w:rPr>
          <w:rFonts w:ascii="Palatino Linotype" w:eastAsia="Palatino Linotype" w:hAnsi="Palatino Linotype" w:cs="Palatino Linotype"/>
          <w:b/>
          <w:bCs/>
          <w:sz w:val="22"/>
          <w:szCs w:val="22"/>
        </w:rPr>
        <w:t xml:space="preserve">Ley de Transparencia y Acceso a la Información Pública del Estado de México y Municipios, </w:t>
      </w:r>
      <w:r w:rsidRPr="0035228F">
        <w:rPr>
          <w:rFonts w:ascii="Palatino Linotype" w:eastAsia="Palatino Linotype" w:hAnsi="Palatino Linotype" w:cs="Palatino Linotype"/>
          <w:sz w:val="22"/>
          <w:szCs w:val="22"/>
        </w:rPr>
        <w:t xml:space="preserve">nos encontramos ante un sobreseimiento definitivo toda vez que pone fin al procedimiento sin entrar al estudio de fondo del mismo. </w:t>
      </w:r>
    </w:p>
    <w:p w14:paraId="3EDFDDAA" w14:textId="77777777" w:rsidR="00E20C94" w:rsidRPr="0035228F" w:rsidRDefault="009521F6">
      <w:pPr>
        <w:spacing w:before="240" w:line="360" w:lineRule="auto"/>
        <w:jc w:val="both"/>
        <w:rPr>
          <w:rFonts w:ascii="Palatino Linotype" w:eastAsia="Palatino Linotype" w:hAnsi="Palatino Linotype" w:cs="Palatino Linotype"/>
          <w:b/>
          <w:bCs/>
          <w:sz w:val="22"/>
          <w:szCs w:val="22"/>
          <w:u w:val="single"/>
        </w:rPr>
      </w:pPr>
      <w:r w:rsidRPr="0035228F">
        <w:rPr>
          <w:rFonts w:ascii="Palatino Linotype" w:eastAsia="Palatino Linotype" w:hAnsi="Palatino Linotype" w:cs="Palatino Linotype"/>
          <w:sz w:val="22"/>
          <w:szCs w:val="22"/>
        </w:rPr>
        <w:t xml:space="preserve">Para los efectos de esta resolución, resulta oportuno precisar los alcances jurídicos de la </w:t>
      </w:r>
      <w:r w:rsidRPr="0035228F">
        <w:rPr>
          <w:rFonts w:ascii="Palatino Linotype" w:eastAsia="Palatino Linotype" w:hAnsi="Palatino Linotype" w:cs="Palatino Linotype"/>
          <w:b/>
          <w:bCs/>
          <w:sz w:val="22"/>
          <w:szCs w:val="22"/>
        </w:rPr>
        <w:t xml:space="preserve">fracción V </w:t>
      </w:r>
      <w:r w:rsidRPr="0035228F">
        <w:rPr>
          <w:rFonts w:ascii="Palatino Linotype" w:eastAsia="Palatino Linotype" w:hAnsi="Palatino Linotype" w:cs="Palatino Linotype"/>
          <w:sz w:val="22"/>
          <w:szCs w:val="22"/>
        </w:rPr>
        <w:t xml:space="preserve">de la disposición legal transcrita. Así, procede el sobreseimiento del recurso de revisión cuando por </w:t>
      </w:r>
      <w:r w:rsidRPr="0035228F">
        <w:rPr>
          <w:rFonts w:ascii="Palatino Linotype" w:eastAsia="Palatino Linotype" w:hAnsi="Palatino Linotype" w:cs="Palatino Linotype"/>
          <w:b/>
          <w:bCs/>
          <w:sz w:val="22"/>
          <w:szCs w:val="22"/>
          <w:u w:val="single"/>
        </w:rPr>
        <w:t xml:space="preserve">cualquier motivo quede sin materia el recurso. </w:t>
      </w:r>
    </w:p>
    <w:p w14:paraId="2D479196" w14:textId="77777777" w:rsidR="00E20C94" w:rsidRPr="0035228F" w:rsidRDefault="009521F6">
      <w:pPr>
        <w:spacing w:before="240" w:line="360" w:lineRule="auto"/>
        <w:jc w:val="both"/>
        <w:rPr>
          <w:rFonts w:ascii="Palatino Linotype" w:eastAsia="Palatino Linotype" w:hAnsi="Palatino Linotype" w:cs="Palatino Linotype"/>
          <w:b/>
          <w:bCs/>
          <w:sz w:val="22"/>
          <w:szCs w:val="22"/>
          <w:u w:val="single"/>
        </w:rPr>
      </w:pPr>
      <w:r w:rsidRPr="0035228F">
        <w:rPr>
          <w:rFonts w:ascii="Palatino Linotype" w:eastAsia="Palatino Linotype" w:hAnsi="Palatino Linotype" w:cs="Palatino Linotype"/>
          <w:sz w:val="22"/>
          <w:szCs w:val="22"/>
        </w:rPr>
        <w:t xml:space="preserve">Las consecuencias jurídicas de este motivo es que el recurso de revisión interpuesto quede sin efectos o sin materia y se procure la debida tutela del Derecho de Acceso a la Información Pública. Un acto impugnado queda sin efectos, cuando aun existiendo jurídicamente, no genera consecuencia legal alguna; queda sin materia, </w:t>
      </w:r>
      <w:r w:rsidRPr="0035228F">
        <w:rPr>
          <w:rFonts w:ascii="Palatino Linotype" w:eastAsia="Palatino Linotype" w:hAnsi="Palatino Linotype" w:cs="Palatino Linotype"/>
          <w:b/>
          <w:bCs/>
          <w:sz w:val="22"/>
          <w:szCs w:val="22"/>
          <w:u w:val="single"/>
        </w:rPr>
        <w:t>cuando ha sido satisfecha la pretensión del particular.</w:t>
      </w:r>
    </w:p>
    <w:p w14:paraId="2DA8E9BB" w14:textId="77777777" w:rsidR="00E20C94" w:rsidRPr="0035228F" w:rsidRDefault="009521F6">
      <w:pPr>
        <w:spacing w:before="240"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En este tenor, se advierte que si bien la respuesta del</w:t>
      </w:r>
      <w:r w:rsidRPr="0035228F">
        <w:rPr>
          <w:rFonts w:ascii="Palatino Linotype" w:eastAsia="Palatino Linotype" w:hAnsi="Palatino Linotype" w:cs="Palatino Linotype"/>
          <w:b/>
          <w:bCs/>
          <w:sz w:val="22"/>
          <w:szCs w:val="22"/>
        </w:rPr>
        <w:t xml:space="preserve"> Sujeto Obligado</w:t>
      </w:r>
      <w:r w:rsidRPr="0035228F">
        <w:rPr>
          <w:rFonts w:ascii="Palatino Linotype" w:eastAsia="Palatino Linotype" w:hAnsi="Palatino Linotype" w:cs="Palatino Linotype"/>
          <w:sz w:val="22"/>
          <w:szCs w:val="22"/>
        </w:rPr>
        <w:t xml:space="preserve"> como se señaló careció de congruencia y exhaustividad, lo cierto es que como se advirtió del análisis realizado, el Sujeto Obligado NO resulta competente para dar atención al requerimiento formulado por el particular, propiciando que el mismo quede sin materia, actualizándose de este modo, la hipótesis V del artículo 192 de la Ley de Transparencia local. </w:t>
      </w:r>
    </w:p>
    <w:p w14:paraId="441B744A" w14:textId="2C6A4E4A" w:rsidR="00E20C94" w:rsidRPr="0035228F" w:rsidRDefault="009521F6">
      <w:pPr>
        <w:spacing w:before="240"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 Por lo que respecto al recurso de revisión </w:t>
      </w:r>
      <w:r w:rsidR="004B6119" w:rsidRPr="0035228F">
        <w:rPr>
          <w:rFonts w:ascii="Palatino Linotype" w:eastAsia="Palatino Linotype" w:hAnsi="Palatino Linotype" w:cs="Palatino Linotype"/>
          <w:b/>
          <w:bCs/>
          <w:sz w:val="22"/>
          <w:szCs w:val="22"/>
        </w:rPr>
        <w:t>00</w:t>
      </w:r>
      <w:r w:rsidR="00431015" w:rsidRPr="0035228F">
        <w:rPr>
          <w:rFonts w:ascii="Palatino Linotype" w:eastAsia="Palatino Linotype" w:hAnsi="Palatino Linotype" w:cs="Palatino Linotype"/>
          <w:b/>
          <w:bCs/>
          <w:sz w:val="22"/>
          <w:szCs w:val="22"/>
        </w:rPr>
        <w:t>489</w:t>
      </w:r>
      <w:r w:rsidR="004B6119" w:rsidRPr="0035228F">
        <w:rPr>
          <w:rFonts w:ascii="Palatino Linotype" w:eastAsia="Palatino Linotype" w:hAnsi="Palatino Linotype" w:cs="Palatino Linotype"/>
          <w:b/>
          <w:bCs/>
          <w:sz w:val="22"/>
          <w:szCs w:val="22"/>
        </w:rPr>
        <w:t>/INFOEM/IP/RR/2026 y 00</w:t>
      </w:r>
      <w:r w:rsidR="00431015" w:rsidRPr="0035228F">
        <w:rPr>
          <w:rFonts w:ascii="Palatino Linotype" w:eastAsia="Palatino Linotype" w:hAnsi="Palatino Linotype" w:cs="Palatino Linotype"/>
          <w:b/>
          <w:bCs/>
          <w:sz w:val="22"/>
          <w:szCs w:val="22"/>
        </w:rPr>
        <w:t>499</w:t>
      </w:r>
      <w:r w:rsidR="004B6119" w:rsidRPr="0035228F">
        <w:rPr>
          <w:rFonts w:ascii="Palatino Linotype" w:eastAsia="Palatino Linotype" w:hAnsi="Palatino Linotype" w:cs="Palatino Linotype"/>
          <w:b/>
          <w:bCs/>
          <w:sz w:val="22"/>
          <w:szCs w:val="22"/>
        </w:rPr>
        <w:t xml:space="preserve">/INFOEM/IP/RR/2026 </w:t>
      </w:r>
      <w:r w:rsidRPr="0035228F">
        <w:rPr>
          <w:rFonts w:ascii="Palatino Linotype" w:eastAsia="Palatino Linotype" w:hAnsi="Palatino Linotype" w:cs="Palatino Linotype"/>
          <w:sz w:val="22"/>
          <w:szCs w:val="22"/>
        </w:rPr>
        <w:t>es de referir al particular que, se dejan a salvo sus derechos de presentar solicitud de acceso a la información al respectivo Sujeto Obligado, y con ello acceder a esa información pública.</w:t>
      </w:r>
    </w:p>
    <w:p w14:paraId="6C490E0D"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9ACFA63" w14:textId="77777777"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Por otro lado, no pasa inadvertido que en sus motivos de inconformidad la parte </w:t>
      </w:r>
      <w:r w:rsidRPr="0035228F">
        <w:rPr>
          <w:rFonts w:ascii="Palatino Linotype" w:eastAsia="Palatino Linotype" w:hAnsi="Palatino Linotype" w:cs="Palatino Linotype"/>
          <w:b/>
          <w:bCs/>
          <w:sz w:val="22"/>
          <w:szCs w:val="22"/>
        </w:rPr>
        <w:t xml:space="preserve">recurrente </w:t>
      </w:r>
      <w:r w:rsidRPr="0035228F">
        <w:rPr>
          <w:rFonts w:ascii="Palatino Linotype" w:eastAsia="Palatino Linotype" w:hAnsi="Palatino Linotype" w:cs="Palatino Linotype"/>
          <w:sz w:val="22"/>
          <w:szCs w:val="22"/>
        </w:rPr>
        <w:t>señala “...</w:t>
      </w:r>
      <w:r w:rsidRPr="0035228F">
        <w:rPr>
          <w:rFonts w:ascii="Palatino Linotype" w:eastAsia="Palatino Linotype" w:hAnsi="Palatino Linotype" w:cs="Palatino Linotype"/>
          <w:i/>
          <w:iCs/>
          <w:sz w:val="22"/>
          <w:szCs w:val="22"/>
        </w:rPr>
        <w:t>No entrega la información solicita la unidad de transparencia además de ineptos, burros y opacos”</w:t>
      </w:r>
      <w:r w:rsidRPr="0035228F">
        <w:rPr>
          <w:rFonts w:ascii="Palatino Linotype" w:eastAsia="Palatino Linotype" w:hAnsi="Palatino Linotype" w:cs="Palatino Linotype"/>
          <w:sz w:val="22"/>
          <w:szCs w:val="22"/>
        </w:rPr>
        <w:t>.</w:t>
      </w:r>
    </w:p>
    <w:p w14:paraId="0C0E96F0"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26C1290A" w14:textId="77777777"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Como se advierte la persona solicitante realizó diversos planteamientos que atentan directamente contra el prestigio de servidores públicos, y ante ello es conveniente precisar lo siguiente:</w:t>
      </w:r>
    </w:p>
    <w:p w14:paraId="5B5032C8"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2EB90DCE" w14:textId="77777777" w:rsidR="00E20C94" w:rsidRPr="0035228F"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El derecho de acceso a la información pública </w:t>
      </w:r>
      <w:r w:rsidRPr="0035228F">
        <w:rPr>
          <w:rFonts w:ascii="Palatino Linotype" w:eastAsia="Palatino Linotype" w:hAnsi="Palatino Linotype" w:cs="Palatino Linotype"/>
          <w:b/>
          <w:bCs/>
          <w:sz w:val="22"/>
          <w:szCs w:val="22"/>
        </w:rPr>
        <w:t>debe ser ejercido de forma respetuosa,</w:t>
      </w:r>
      <w:r w:rsidRPr="0035228F">
        <w:rPr>
          <w:rFonts w:ascii="Palatino Linotype" w:eastAsia="Palatino Linotype" w:hAnsi="Palatino Linotype" w:cs="Palatino Linotype"/>
          <w:sz w:val="22"/>
          <w:szCs w:val="22"/>
        </w:rPr>
        <w:t xml:space="preserve"> sin usar lenguaje altisonante, usando groserías o expresiones insultantes, en doble sentido, o bien, apoyándose de apodos para referirse a personas relacionadas con la función pública, cuya finalidad o intensión sea ocasionar agravios en la moral de estas.</w:t>
      </w:r>
    </w:p>
    <w:p w14:paraId="0C5367F0"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76C71C54" w14:textId="77777777"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Se considera que no se puede ejercer el derecho de acceso a la información ni el recurso de revisión para injuriar e insultar a cualquier persona relacionada con la función pública, es decir, faltando al respeto, y que dicha falta de respeto se normalice, se pase por alto como si los insultos, las injurias, las ofensas no estuvieran escritas en las solicitudes de acceso a la información o en el recurso de revisión, máxime que, como se repite su fin es hacer insultar y/o lastimar la moral de las personas relacionadas con la función pública.</w:t>
      </w:r>
    </w:p>
    <w:p w14:paraId="4F96C0EB"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573E1B1" w14:textId="77777777"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sz w:val="22"/>
          <w:szCs w:val="22"/>
        </w:rPr>
        <w:t>Corolario a lo anterior es de hacer notar, como referencia concatenada, lo que establece el artículo 8 de la Constitución Política de los Estados Unidos Mexicanos, que para el caso que nos ocupa, reza:</w:t>
      </w:r>
      <w:r w:rsidRPr="0035228F">
        <w:rPr>
          <w:rFonts w:ascii="Palatino Linotype" w:eastAsia="Palatino Linotype" w:hAnsi="Palatino Linotype" w:cs="Palatino Linotype"/>
          <w:i/>
          <w:iCs/>
          <w:sz w:val="22"/>
          <w:szCs w:val="22"/>
        </w:rPr>
        <w:tab/>
      </w:r>
    </w:p>
    <w:p w14:paraId="29A639D7"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905AE37" w14:textId="77777777" w:rsidR="00E20C94" w:rsidRPr="0035228F" w:rsidRDefault="009521F6">
      <w:pPr>
        <w:pBdr>
          <w:top w:val="nil"/>
          <w:left w:val="nil"/>
          <w:bottom w:val="nil"/>
          <w:right w:val="nil"/>
          <w:between w:val="nil"/>
        </w:pBdr>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w:t>
      </w:r>
      <w:r w:rsidRPr="0035228F">
        <w:rPr>
          <w:rFonts w:ascii="Palatino Linotype" w:eastAsia="Palatino Linotype" w:hAnsi="Palatino Linotype" w:cs="Palatino Linotype"/>
          <w:b/>
          <w:bCs/>
          <w:i/>
          <w:iCs/>
          <w:sz w:val="22"/>
          <w:szCs w:val="22"/>
        </w:rPr>
        <w:t>Artículo 8o</w:t>
      </w:r>
      <w:r w:rsidRPr="0035228F">
        <w:rPr>
          <w:rFonts w:ascii="Palatino Linotype" w:eastAsia="Palatino Linotype" w:hAnsi="Palatino Linotype" w:cs="Palatino Linotype"/>
          <w:i/>
          <w:iCs/>
          <w:sz w:val="22"/>
          <w:szCs w:val="22"/>
        </w:rPr>
        <w:t xml:space="preserve">. Los funcionarios y empleados públicos respetarán el ejercicio del derecho de petición, siempre que ésta se formule por escrito, </w:t>
      </w:r>
      <w:r w:rsidRPr="0035228F">
        <w:rPr>
          <w:rFonts w:ascii="Palatino Linotype" w:eastAsia="Palatino Linotype" w:hAnsi="Palatino Linotype" w:cs="Palatino Linotype"/>
          <w:b/>
          <w:bCs/>
          <w:i/>
          <w:iCs/>
          <w:sz w:val="22"/>
          <w:szCs w:val="22"/>
          <w:u w:val="single"/>
        </w:rPr>
        <w:t>de manera pacífica y respetuosa</w:t>
      </w:r>
      <w:r w:rsidRPr="0035228F">
        <w:rPr>
          <w:rFonts w:ascii="Palatino Linotype" w:eastAsia="Palatino Linotype" w:hAnsi="Palatino Linotype" w:cs="Palatino Linotype"/>
          <w:i/>
          <w:iCs/>
          <w:sz w:val="22"/>
          <w:szCs w:val="22"/>
        </w:rPr>
        <w:t>;”</w:t>
      </w:r>
    </w:p>
    <w:p w14:paraId="19F96E44" w14:textId="77777777" w:rsidR="00E20C94" w:rsidRPr="0035228F" w:rsidRDefault="00E20C94">
      <w:pPr>
        <w:pBdr>
          <w:top w:val="nil"/>
          <w:left w:val="nil"/>
          <w:bottom w:val="nil"/>
          <w:right w:val="nil"/>
          <w:between w:val="nil"/>
        </w:pBdr>
        <w:ind w:left="851" w:right="902"/>
        <w:jc w:val="both"/>
        <w:rPr>
          <w:rFonts w:ascii="Palatino Linotype" w:eastAsia="Palatino Linotype" w:hAnsi="Palatino Linotype" w:cs="Palatino Linotype"/>
          <w:sz w:val="22"/>
          <w:szCs w:val="22"/>
        </w:rPr>
      </w:pPr>
    </w:p>
    <w:p w14:paraId="1107EAF7" w14:textId="77777777"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pacifica e irrespetuosa, claro que no, y no se discute en este punto la diferencia del bien jurídico tutelado por cada artículo, sino la similitud de estos dos artículos en la forma de ejercer dichos derechos.</w:t>
      </w:r>
    </w:p>
    <w:p w14:paraId="77CDCB69"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D017880" w14:textId="77777777"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En ese mismo orden de ideas el artículo 9 Constitucional, refiere:</w:t>
      </w:r>
    </w:p>
    <w:p w14:paraId="2C789BFF"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A0542C8" w14:textId="77777777" w:rsidR="00E20C94" w:rsidRPr="0035228F" w:rsidRDefault="009521F6">
      <w:pPr>
        <w:pBdr>
          <w:top w:val="nil"/>
          <w:left w:val="nil"/>
          <w:bottom w:val="nil"/>
          <w:right w:val="nil"/>
          <w:between w:val="nil"/>
        </w:pBdr>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 xml:space="preserve">“No se considerará ilegal, y no podrá ser disuelta una asamblea o reunión que tenga por objeto hacer una petición o presentar una protesta por algún acto, a una autoridad, </w:t>
      </w:r>
      <w:r w:rsidRPr="0035228F">
        <w:rPr>
          <w:rFonts w:ascii="Palatino Linotype" w:eastAsia="Palatino Linotype" w:hAnsi="Palatino Linotype" w:cs="Palatino Linotype"/>
          <w:b/>
          <w:bCs/>
          <w:i/>
          <w:iCs/>
          <w:sz w:val="22"/>
          <w:szCs w:val="22"/>
          <w:u w:val="single"/>
        </w:rPr>
        <w:t>si no se profieren injurias</w:t>
      </w:r>
      <w:r w:rsidRPr="0035228F">
        <w:rPr>
          <w:rFonts w:ascii="Palatino Linotype" w:eastAsia="Palatino Linotype" w:hAnsi="Palatino Linotype" w:cs="Palatino Linotype"/>
          <w:i/>
          <w:iCs/>
          <w:sz w:val="22"/>
          <w:szCs w:val="22"/>
        </w:rPr>
        <w:t xml:space="preserve"> contra ésta,…”</w:t>
      </w:r>
    </w:p>
    <w:p w14:paraId="26DFAE87" w14:textId="77777777" w:rsidR="00E20C94" w:rsidRPr="0035228F" w:rsidRDefault="00E20C94">
      <w:pPr>
        <w:pBdr>
          <w:top w:val="nil"/>
          <w:left w:val="nil"/>
          <w:bottom w:val="nil"/>
          <w:right w:val="nil"/>
          <w:between w:val="nil"/>
        </w:pBdr>
        <w:ind w:left="851" w:right="902"/>
        <w:jc w:val="both"/>
        <w:rPr>
          <w:rFonts w:ascii="Palatino Linotype" w:eastAsia="Palatino Linotype" w:hAnsi="Palatino Linotype" w:cs="Palatino Linotype"/>
          <w:sz w:val="22"/>
          <w:szCs w:val="22"/>
        </w:rPr>
      </w:pPr>
    </w:p>
    <w:p w14:paraId="6E372989" w14:textId="77777777"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A </w:t>
      </w:r>
      <w:r w:rsidRPr="0035228F">
        <w:rPr>
          <w:rFonts w:ascii="Palatino Linotype" w:eastAsia="Palatino Linotype" w:hAnsi="Palatino Linotype" w:cs="Palatino Linotype"/>
          <w:i/>
          <w:iCs/>
          <w:sz w:val="22"/>
          <w:szCs w:val="22"/>
        </w:rPr>
        <w:t>contrario sensu</w:t>
      </w:r>
      <w:r w:rsidRPr="0035228F">
        <w:rPr>
          <w:rFonts w:ascii="Palatino Linotype" w:eastAsia="Palatino Linotype" w:hAnsi="Palatino Linotype" w:cs="Palatino Linotype"/>
          <w:sz w:val="22"/>
          <w:szCs w:val="22"/>
        </w:rPr>
        <w:t>, el derecho de asociación será ilegal y la asociación que resulte, disuelta, si su petición profiere injurias contra la autoridades, tampoco se discute en el presente apartado la diferencia de bien jurídico tutelado entre el artículo 6 y 8, sino la similitud en el pedir o solicitar de las autoridades algo, de forma análoga podemos ver que se pueden hacer protestas solicitando algo de la autoridad, pero sin injuriarla, sin insultarla y ello conlleva a sus personas funcionarias públicas.</w:t>
      </w:r>
    </w:p>
    <w:p w14:paraId="55416B53"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9BF210C" w14:textId="77777777"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Hasta aquí cabe hacer mención que los bienes jurídicos tutelados por los artículos 6, 8, y 9, son distintos, claro, se repite, eso no está en tema de análisis, pero su concatenación e interpretación de forma armónica sí, resulta contradictorio interpretar que para ejercer los bienes jurídicos consagrados en el artículo 8 si se tengan que hacer de forma respetuosa cuando se solicita algo de las autoridades, pero que del derecho de acceso a la información cuando se les pide a las mismas autoridades se pueda ofender, injuriar, calumniar, insultar, usar lenguaje ofensivo, etc. </w:t>
      </w:r>
    </w:p>
    <w:p w14:paraId="4463B7A7"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08969E5" w14:textId="77777777"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Ahora bien, es necesario precisar que el bien jurídico tutelado que establece la Constitución Política de los Estados Unidos Mexicanos en su artículo 6, inciso A fracción III:</w:t>
      </w:r>
    </w:p>
    <w:p w14:paraId="72B04311"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F09CAF3" w14:textId="77777777" w:rsidR="00E20C94" w:rsidRPr="0035228F" w:rsidRDefault="009521F6">
      <w:pPr>
        <w:pBdr>
          <w:top w:val="nil"/>
          <w:left w:val="nil"/>
          <w:bottom w:val="nil"/>
          <w:right w:val="nil"/>
          <w:between w:val="nil"/>
        </w:pBdr>
        <w:ind w:left="851" w:right="902"/>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w:t>
      </w:r>
      <w:r w:rsidRPr="0035228F">
        <w:rPr>
          <w:rFonts w:ascii="Palatino Linotype" w:eastAsia="Palatino Linotype" w:hAnsi="Palatino Linotype" w:cs="Palatino Linotype"/>
          <w:b/>
          <w:bCs/>
          <w:i/>
          <w:iCs/>
          <w:sz w:val="22"/>
          <w:szCs w:val="22"/>
        </w:rPr>
        <w:t>Artículo 6o</w:t>
      </w:r>
      <w:r w:rsidRPr="0035228F">
        <w:rPr>
          <w:rFonts w:ascii="Palatino Linotype" w:eastAsia="Palatino Linotype" w:hAnsi="Palatino Linotype" w:cs="Palatino Linotype"/>
          <w:i/>
          <w:iCs/>
          <w:sz w:val="22"/>
          <w:szCs w:val="22"/>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65BBBC25" w14:textId="77777777" w:rsidR="00E20C94" w:rsidRPr="0035228F" w:rsidRDefault="009521F6">
      <w:pPr>
        <w:pBdr>
          <w:top w:val="nil"/>
          <w:left w:val="nil"/>
          <w:bottom w:val="nil"/>
          <w:right w:val="nil"/>
          <w:between w:val="nil"/>
        </w:pBdr>
        <w:ind w:left="1134" w:right="902"/>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i/>
          <w:iCs/>
          <w:sz w:val="22"/>
          <w:szCs w:val="22"/>
        </w:rPr>
        <w:t>…</w:t>
      </w:r>
    </w:p>
    <w:p w14:paraId="6E2DB89F" w14:textId="77777777" w:rsidR="00E20C94" w:rsidRPr="0035228F" w:rsidRDefault="009521F6">
      <w:pPr>
        <w:pBdr>
          <w:top w:val="nil"/>
          <w:left w:val="nil"/>
          <w:bottom w:val="nil"/>
          <w:right w:val="nil"/>
          <w:between w:val="nil"/>
        </w:pBdr>
        <w:ind w:left="1134" w:right="902"/>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b/>
          <w:bCs/>
          <w:i/>
          <w:iCs/>
          <w:sz w:val="22"/>
          <w:szCs w:val="22"/>
        </w:rPr>
        <w:t>A.</w:t>
      </w:r>
      <w:r w:rsidRPr="0035228F">
        <w:rPr>
          <w:rFonts w:ascii="Palatino Linotype" w:eastAsia="Palatino Linotype" w:hAnsi="Palatino Linotype" w:cs="Palatino Linotype"/>
          <w:i/>
          <w:iCs/>
          <w:sz w:val="22"/>
          <w:szCs w:val="22"/>
        </w:rPr>
        <w:t xml:space="preserve"> Para el ejercicio del derecho de acceso a la información, la Federación y las entidades federativas, en el ámbito de sus respectivas competencias, se regirán por los siguientes principios y bases:</w:t>
      </w:r>
    </w:p>
    <w:p w14:paraId="6B109C27" w14:textId="77777777" w:rsidR="00E20C94" w:rsidRPr="0035228F" w:rsidRDefault="009521F6">
      <w:pPr>
        <w:pBdr>
          <w:top w:val="nil"/>
          <w:left w:val="nil"/>
          <w:bottom w:val="nil"/>
          <w:right w:val="nil"/>
          <w:between w:val="nil"/>
        </w:pBdr>
        <w:ind w:left="1418" w:right="902"/>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i/>
          <w:iCs/>
          <w:sz w:val="22"/>
          <w:szCs w:val="22"/>
        </w:rPr>
        <w:t>...</w:t>
      </w:r>
    </w:p>
    <w:p w14:paraId="77436FB0" w14:textId="77777777" w:rsidR="00E20C94" w:rsidRPr="0035228F" w:rsidRDefault="009521F6">
      <w:pPr>
        <w:pBdr>
          <w:top w:val="nil"/>
          <w:left w:val="nil"/>
          <w:bottom w:val="nil"/>
          <w:right w:val="nil"/>
          <w:between w:val="nil"/>
        </w:pBdr>
        <w:ind w:left="1418"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III.</w:t>
      </w:r>
      <w:r w:rsidRPr="0035228F">
        <w:rPr>
          <w:rFonts w:ascii="Palatino Linotype" w:eastAsia="Palatino Linotype" w:hAnsi="Palatino Linotype" w:cs="Palatino Linotype"/>
          <w:i/>
          <w:iCs/>
          <w:sz w:val="22"/>
          <w:szCs w:val="22"/>
        </w:rPr>
        <w:t xml:space="preserve"> Toda persona, sin </w:t>
      </w:r>
      <w:r w:rsidRPr="0035228F">
        <w:rPr>
          <w:rFonts w:ascii="Palatino Linotype" w:eastAsia="Palatino Linotype" w:hAnsi="Palatino Linotype" w:cs="Palatino Linotype"/>
          <w:b/>
          <w:bCs/>
          <w:i/>
          <w:iCs/>
          <w:sz w:val="22"/>
          <w:szCs w:val="22"/>
          <w:u w:val="single"/>
        </w:rPr>
        <w:t>necesidad de acreditar interés alguno</w:t>
      </w:r>
      <w:r w:rsidRPr="0035228F">
        <w:rPr>
          <w:rFonts w:ascii="Palatino Linotype" w:eastAsia="Palatino Linotype" w:hAnsi="Palatino Linotype" w:cs="Palatino Linotype"/>
          <w:i/>
          <w:iCs/>
          <w:sz w:val="22"/>
          <w:szCs w:val="22"/>
        </w:rPr>
        <w:t xml:space="preserve"> o justificar su utilización, tendrá acceso gratuito a la información pública, a sus datos personales o a la rectificación de éstos.”</w:t>
      </w:r>
    </w:p>
    <w:p w14:paraId="7120A5F3" w14:textId="77777777" w:rsidR="00E20C94" w:rsidRPr="0035228F" w:rsidRDefault="00E20C94">
      <w:pPr>
        <w:pBdr>
          <w:top w:val="nil"/>
          <w:left w:val="nil"/>
          <w:bottom w:val="nil"/>
          <w:right w:val="nil"/>
          <w:between w:val="nil"/>
        </w:pBdr>
        <w:ind w:left="1418" w:right="902"/>
        <w:jc w:val="both"/>
        <w:rPr>
          <w:rFonts w:ascii="Palatino Linotype" w:eastAsia="Palatino Linotype" w:hAnsi="Palatino Linotype" w:cs="Palatino Linotype"/>
          <w:sz w:val="22"/>
          <w:szCs w:val="22"/>
        </w:rPr>
      </w:pPr>
    </w:p>
    <w:p w14:paraId="0C8B5497" w14:textId="77777777"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Es el derecho de acceso a la información pública, “…</w:t>
      </w:r>
      <w:r w:rsidRPr="0035228F">
        <w:rPr>
          <w:rFonts w:ascii="Palatino Linotype" w:eastAsia="Palatino Linotype" w:hAnsi="Palatino Linotype" w:cs="Palatino Linotype"/>
          <w:b/>
          <w:bCs/>
          <w:sz w:val="22"/>
          <w:szCs w:val="22"/>
          <w:u w:val="single"/>
        </w:rPr>
        <w:t>sin necesidad de acreditar interés alguno</w:t>
      </w:r>
      <w:r w:rsidRPr="0035228F">
        <w:rPr>
          <w:rFonts w:ascii="Palatino Linotype" w:eastAsia="Palatino Linotype" w:hAnsi="Palatino Linotype" w:cs="Palatino Linotype"/>
          <w:sz w:val="22"/>
          <w:szCs w:val="22"/>
        </w:rPr>
        <w:t>…” es para acceder a la información pública, en ningún momento y bajo ninguna circunstancia se puede interpretar que no acreditar interés pueda conllevar insultos, faltas de respeto, injurias, burlas, groserías y demás lenguaje soez, cuya intención sea ocasionar agravios morales a los funcionarios públicos.</w:t>
      </w:r>
    </w:p>
    <w:p w14:paraId="5838DB54"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8430161" w14:textId="77777777"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Es decir, se considera que no se ejerce el bien jurídico tutelado en el artículo 6 (acceder a la información pública) si su objetivo es insultar y denigrar a los funcionarios públicos, si bien es cierto, en el presente caso hay materia de transparencia, no menos cierto es que no se observaron las formas respetuosas que consagra el artículo 8, antes citado, aplica de forma general y adminiculada con las demás disposiciones constitucionales.</w:t>
      </w:r>
    </w:p>
    <w:p w14:paraId="5D98B43D"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647655F" w14:textId="77777777"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Por lo tanto, </w:t>
      </w:r>
      <w:r w:rsidRPr="0035228F">
        <w:rPr>
          <w:rFonts w:ascii="Palatino Linotype" w:eastAsia="Palatino Linotype" w:hAnsi="Palatino Linotype" w:cs="Palatino Linotype"/>
          <w:b/>
          <w:bCs/>
          <w:sz w:val="22"/>
          <w:szCs w:val="22"/>
        </w:rPr>
        <w:t>se exhorta a la persona solicitante a que en futuras solicitudes de acceso a la información las formule utilizando un lenguaje que respete a las personas servidoras públicas o relacionadas con la función pública</w:t>
      </w:r>
      <w:r w:rsidRPr="0035228F">
        <w:rPr>
          <w:rFonts w:ascii="Palatino Linotype" w:eastAsia="Palatino Linotype" w:hAnsi="Palatino Linotype" w:cs="Palatino Linotype"/>
          <w:sz w:val="22"/>
          <w:szCs w:val="22"/>
        </w:rPr>
        <w:t>.</w:t>
      </w:r>
    </w:p>
    <w:p w14:paraId="3C08C5DA"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i/>
          <w:iCs/>
          <w:sz w:val="22"/>
          <w:szCs w:val="22"/>
        </w:rPr>
      </w:pPr>
    </w:p>
    <w:p w14:paraId="379B1BF4" w14:textId="77777777"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 </w:t>
      </w:r>
      <w:r w:rsidRPr="0035228F">
        <w:rPr>
          <w:rFonts w:ascii="Palatino Linotype" w:eastAsia="Palatino Linotype" w:hAnsi="Palatino Linotype" w:cs="Palatino Linotype"/>
          <w:b/>
          <w:bCs/>
          <w:sz w:val="22"/>
          <w:szCs w:val="22"/>
        </w:rPr>
        <w:t xml:space="preserve">Quinto. Versión Pública. </w:t>
      </w:r>
      <w:r w:rsidRPr="0035228F">
        <w:rPr>
          <w:rFonts w:ascii="Palatino Linotype" w:eastAsia="Palatino Linotype" w:hAnsi="Palatino Linotype" w:cs="Palatino Linotype"/>
          <w:sz w:val="22"/>
          <w:szCs w:val="22"/>
        </w:rPr>
        <w:t>Como fue debidamente apuntado, el </w:t>
      </w:r>
      <w:r w:rsidRPr="0035228F">
        <w:rPr>
          <w:rFonts w:ascii="Palatino Linotype" w:eastAsia="Palatino Linotype" w:hAnsi="Palatino Linotype" w:cs="Palatino Linotype"/>
          <w:b/>
          <w:bCs/>
          <w:sz w:val="22"/>
          <w:szCs w:val="22"/>
        </w:rPr>
        <w:t>Sujeto Obligado</w:t>
      </w:r>
      <w:r w:rsidRPr="0035228F">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548C3EB9" w14:textId="77777777" w:rsidR="00E20C94" w:rsidRPr="0035228F" w:rsidRDefault="00E20C94">
      <w:pPr>
        <w:spacing w:line="360" w:lineRule="auto"/>
        <w:ind w:right="51"/>
        <w:jc w:val="both"/>
        <w:rPr>
          <w:rFonts w:ascii="Palatino Linotype" w:eastAsia="Palatino Linotype" w:hAnsi="Palatino Linotype" w:cs="Palatino Linotype"/>
          <w:sz w:val="22"/>
          <w:szCs w:val="22"/>
        </w:rPr>
      </w:pPr>
    </w:p>
    <w:p w14:paraId="234F2C4E" w14:textId="77777777" w:rsidR="00E20C94" w:rsidRPr="0035228F" w:rsidRDefault="009521F6">
      <w:pPr>
        <w:spacing w:line="360" w:lineRule="auto"/>
        <w:ind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2F6371CC" w14:textId="77777777" w:rsidR="00E20C94" w:rsidRPr="0035228F" w:rsidRDefault="00E20C94">
      <w:pPr>
        <w:spacing w:line="360" w:lineRule="auto"/>
        <w:ind w:right="49"/>
        <w:jc w:val="both"/>
        <w:rPr>
          <w:rFonts w:ascii="Palatino Linotype" w:eastAsia="Palatino Linotype" w:hAnsi="Palatino Linotype" w:cs="Palatino Linotype"/>
          <w:sz w:val="22"/>
          <w:szCs w:val="22"/>
        </w:rPr>
      </w:pPr>
    </w:p>
    <w:p w14:paraId="15116133" w14:textId="77777777" w:rsidR="00E20C94" w:rsidRPr="0035228F" w:rsidRDefault="009521F6">
      <w:pPr>
        <w:spacing w:line="360" w:lineRule="auto"/>
        <w:ind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56CA9CF2" w14:textId="77777777" w:rsidR="00E20C94" w:rsidRPr="0035228F" w:rsidRDefault="00E20C94">
      <w:pPr>
        <w:spacing w:line="360" w:lineRule="auto"/>
        <w:ind w:right="49"/>
        <w:jc w:val="both"/>
        <w:rPr>
          <w:rFonts w:ascii="Palatino Linotype" w:eastAsia="Palatino Linotype" w:hAnsi="Palatino Linotype" w:cs="Palatino Linotype"/>
          <w:sz w:val="22"/>
          <w:szCs w:val="22"/>
        </w:rPr>
      </w:pPr>
    </w:p>
    <w:p w14:paraId="35F3CB54" w14:textId="77777777" w:rsidR="00E20C94" w:rsidRPr="0035228F" w:rsidRDefault="009521F6">
      <w:pPr>
        <w:spacing w:line="360" w:lineRule="auto"/>
        <w:ind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establecen:</w:t>
      </w:r>
    </w:p>
    <w:p w14:paraId="64CC2011" w14:textId="77777777" w:rsidR="00E20C94" w:rsidRPr="0035228F" w:rsidRDefault="009521F6">
      <w:pPr>
        <w:spacing w:before="120" w:after="120"/>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sz w:val="22"/>
          <w:szCs w:val="22"/>
        </w:rPr>
        <w:t> </w:t>
      </w:r>
      <w:r w:rsidRPr="0035228F">
        <w:rPr>
          <w:rFonts w:ascii="Palatino Linotype" w:eastAsia="Palatino Linotype" w:hAnsi="Palatino Linotype" w:cs="Palatino Linotype"/>
          <w:i/>
          <w:iCs/>
          <w:sz w:val="22"/>
          <w:szCs w:val="22"/>
        </w:rPr>
        <w:t>“</w:t>
      </w:r>
      <w:r w:rsidRPr="0035228F">
        <w:rPr>
          <w:rFonts w:ascii="Palatino Linotype" w:eastAsia="Palatino Linotype" w:hAnsi="Palatino Linotype" w:cs="Palatino Linotype"/>
          <w:b/>
          <w:bCs/>
          <w:i/>
          <w:iCs/>
          <w:sz w:val="22"/>
          <w:szCs w:val="22"/>
        </w:rPr>
        <w:t>Artículo 3.</w:t>
      </w:r>
      <w:r w:rsidRPr="0035228F">
        <w:rPr>
          <w:rFonts w:ascii="Palatino Linotype" w:eastAsia="Palatino Linotype" w:hAnsi="Palatino Linotype" w:cs="Palatino Linotype"/>
          <w:i/>
          <w:iCs/>
          <w:sz w:val="22"/>
          <w:szCs w:val="22"/>
        </w:rPr>
        <w:t xml:space="preserve"> Para los efectos de la presente Ley se entenderá por:</w:t>
      </w:r>
    </w:p>
    <w:p w14:paraId="05F7221E" w14:textId="77777777" w:rsidR="00E20C94" w:rsidRPr="0035228F"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w:t>
      </w:r>
    </w:p>
    <w:p w14:paraId="74E488A0" w14:textId="77777777" w:rsidR="00E20C94" w:rsidRPr="0035228F"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IX. Datos personales</w:t>
      </w:r>
      <w:r w:rsidRPr="0035228F">
        <w:rPr>
          <w:rFonts w:ascii="Palatino Linotype" w:eastAsia="Palatino Linotype" w:hAnsi="Palatino Linotype" w:cs="Palatino Linotype"/>
          <w:i/>
          <w:iCs/>
          <w:sz w:val="22"/>
          <w:szCs w:val="22"/>
        </w:rPr>
        <w:t>: La información concerniente a una persona, identificada o identificable según lo dispuesto por la Ley de Protección de Datos Personales del Estado de México;</w:t>
      </w:r>
    </w:p>
    <w:p w14:paraId="7E5A5702" w14:textId="77777777" w:rsidR="00E20C94" w:rsidRPr="0035228F"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w:t>
      </w:r>
    </w:p>
    <w:p w14:paraId="6AC8F5B7" w14:textId="77777777" w:rsidR="00E20C94" w:rsidRPr="0035228F"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XX. Información clasificada</w:t>
      </w:r>
      <w:r w:rsidRPr="0035228F">
        <w:rPr>
          <w:rFonts w:ascii="Palatino Linotype" w:eastAsia="Palatino Linotype" w:hAnsi="Palatino Linotype" w:cs="Palatino Linotype"/>
          <w:i/>
          <w:iCs/>
          <w:sz w:val="22"/>
          <w:szCs w:val="22"/>
        </w:rPr>
        <w:t>: Aquella considerada por la presente Ley como reservada o confidencial;</w:t>
      </w:r>
    </w:p>
    <w:p w14:paraId="3A874F6A" w14:textId="77777777" w:rsidR="00E20C94" w:rsidRPr="0035228F"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XXI. Información confidencial</w:t>
      </w:r>
      <w:r w:rsidRPr="0035228F">
        <w:rPr>
          <w:rFonts w:ascii="Palatino Linotype" w:eastAsia="Palatino Linotype" w:hAnsi="Palatino Linotype" w:cs="Palatino Linotype"/>
          <w:i/>
          <w:iCs/>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3FE5891" w14:textId="77777777" w:rsidR="00E20C94" w:rsidRPr="0035228F"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w:t>
      </w:r>
    </w:p>
    <w:p w14:paraId="7F98A251" w14:textId="77777777" w:rsidR="00E20C94" w:rsidRPr="0035228F"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XXXII. Protección de Datos Personales</w:t>
      </w:r>
      <w:r w:rsidRPr="0035228F">
        <w:rPr>
          <w:rFonts w:ascii="Palatino Linotype" w:eastAsia="Palatino Linotype" w:hAnsi="Palatino Linotype" w:cs="Palatino Linotype"/>
          <w:i/>
          <w:iCs/>
          <w:sz w:val="22"/>
          <w:szCs w:val="22"/>
        </w:rPr>
        <w:t>: Derecho humano que tutela la privacidad de datos personales en poder de los sujetos obligados y sujetos particulares;</w:t>
      </w:r>
    </w:p>
    <w:p w14:paraId="1D97F025" w14:textId="77777777" w:rsidR="00E20C94" w:rsidRPr="0035228F"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w:t>
      </w:r>
    </w:p>
    <w:p w14:paraId="68E47283" w14:textId="77777777" w:rsidR="00E20C94" w:rsidRPr="0035228F"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XLV. Versión pública</w:t>
      </w:r>
      <w:r w:rsidRPr="0035228F">
        <w:rPr>
          <w:rFonts w:ascii="Palatino Linotype" w:eastAsia="Palatino Linotype" w:hAnsi="Palatino Linotype" w:cs="Palatino Linotype"/>
          <w:i/>
          <w:iCs/>
          <w:sz w:val="22"/>
          <w:szCs w:val="22"/>
        </w:rPr>
        <w:t>: Documento en el que se elimine, suprime o borra la información clasificada como reservada o confidencial para permitir su acceso.</w:t>
      </w:r>
    </w:p>
    <w:p w14:paraId="1F09F8D6" w14:textId="77777777" w:rsidR="00E20C94" w:rsidRPr="0035228F" w:rsidRDefault="009521F6">
      <w:pPr>
        <w:spacing w:before="120" w:after="120"/>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 Artículo 6</w:t>
      </w:r>
      <w:r w:rsidRPr="0035228F">
        <w:rPr>
          <w:rFonts w:ascii="Palatino Linotype" w:eastAsia="Palatino Linotype" w:hAnsi="Palatino Linotype" w:cs="Palatino Linotype"/>
          <w:i/>
          <w:iCs/>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5C9BFD23" w14:textId="77777777" w:rsidR="00E20C94" w:rsidRPr="0035228F" w:rsidRDefault="009521F6">
      <w:pPr>
        <w:spacing w:before="120" w:after="120"/>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w:t>
      </w:r>
    </w:p>
    <w:p w14:paraId="674B07EC" w14:textId="77777777" w:rsidR="00E20C94" w:rsidRPr="0035228F" w:rsidRDefault="009521F6">
      <w:pPr>
        <w:spacing w:before="120" w:after="120"/>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Artículo 91.</w:t>
      </w:r>
      <w:r w:rsidRPr="0035228F">
        <w:rPr>
          <w:rFonts w:ascii="Palatino Linotype" w:eastAsia="Palatino Linotype" w:hAnsi="Palatino Linotype" w:cs="Palatino Linotype"/>
          <w:i/>
          <w:iCs/>
          <w:sz w:val="22"/>
          <w:szCs w:val="22"/>
        </w:rPr>
        <w:t xml:space="preserve"> El acceso a la información pública será restringido excepcionalmente, cuando ésta sea clasificada como reservada o confidencial.</w:t>
      </w:r>
      <w:r w:rsidRPr="0035228F">
        <w:rPr>
          <w:rFonts w:ascii="Palatino Linotype" w:eastAsia="Palatino Linotype" w:hAnsi="Palatino Linotype" w:cs="Palatino Linotype"/>
          <w:i/>
          <w:iCs/>
          <w:sz w:val="22"/>
          <w:szCs w:val="22"/>
        </w:rPr>
        <w:br/>
        <w:t>…</w:t>
      </w:r>
    </w:p>
    <w:p w14:paraId="447BCB44" w14:textId="77777777" w:rsidR="00E20C94" w:rsidRPr="0035228F" w:rsidRDefault="009521F6">
      <w:pPr>
        <w:spacing w:before="120" w:after="120"/>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Artículo 132.</w:t>
      </w:r>
      <w:r w:rsidRPr="0035228F">
        <w:rPr>
          <w:rFonts w:ascii="Palatino Linotype" w:eastAsia="Palatino Linotype" w:hAnsi="Palatino Linotype" w:cs="Palatino Linotype"/>
          <w:i/>
          <w:iCs/>
          <w:sz w:val="22"/>
          <w:szCs w:val="22"/>
        </w:rPr>
        <w:t xml:space="preserve"> La clasificación de la información se llevará a cabo en el momento en que:</w:t>
      </w:r>
    </w:p>
    <w:p w14:paraId="5C31C412" w14:textId="77777777" w:rsidR="00E20C94" w:rsidRPr="0035228F" w:rsidRDefault="009521F6">
      <w:pPr>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w:t>
      </w:r>
      <w:r w:rsidRPr="0035228F">
        <w:rPr>
          <w:rFonts w:ascii="Palatino Linotype" w:eastAsia="Palatino Linotype" w:hAnsi="Palatino Linotype" w:cs="Palatino Linotype"/>
          <w:i/>
          <w:iCs/>
          <w:sz w:val="22"/>
          <w:szCs w:val="22"/>
        </w:rPr>
        <w:t>. Se reciba una solicitud de acceso a la información;</w:t>
      </w:r>
    </w:p>
    <w:p w14:paraId="7C3BD49B" w14:textId="77777777" w:rsidR="00E20C94" w:rsidRPr="0035228F" w:rsidRDefault="009521F6">
      <w:pPr>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II.</w:t>
      </w:r>
      <w:r w:rsidRPr="0035228F">
        <w:rPr>
          <w:rFonts w:ascii="Palatino Linotype" w:eastAsia="Palatino Linotype" w:hAnsi="Palatino Linotype" w:cs="Palatino Linotype"/>
          <w:i/>
          <w:iCs/>
          <w:sz w:val="22"/>
          <w:szCs w:val="22"/>
        </w:rPr>
        <w:t xml:space="preserve"> Se determine mediante resolución de autoridad competente; o</w:t>
      </w:r>
    </w:p>
    <w:p w14:paraId="1E5837FF" w14:textId="77777777" w:rsidR="00E20C94" w:rsidRPr="0035228F" w:rsidRDefault="009521F6">
      <w:pPr>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III.</w:t>
      </w:r>
      <w:r w:rsidRPr="0035228F">
        <w:rPr>
          <w:rFonts w:ascii="Palatino Linotype" w:eastAsia="Palatino Linotype" w:hAnsi="Palatino Linotype" w:cs="Palatino Linotype"/>
          <w:i/>
          <w:iCs/>
          <w:sz w:val="22"/>
          <w:szCs w:val="22"/>
        </w:rPr>
        <w:t xml:space="preserve"> Se generen versiones públicas para dar cumplimiento a las obligaciones de transparencia previstas en esta Ley.</w:t>
      </w:r>
    </w:p>
    <w:p w14:paraId="3968E484" w14:textId="77777777" w:rsidR="00E20C94" w:rsidRPr="0035228F" w:rsidRDefault="009521F6">
      <w:pPr>
        <w:spacing w:before="120" w:after="120"/>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w:t>
      </w:r>
    </w:p>
    <w:p w14:paraId="08135C3F" w14:textId="77777777" w:rsidR="00E20C94" w:rsidRPr="0035228F" w:rsidRDefault="009521F6">
      <w:pPr>
        <w:spacing w:before="120" w:after="120"/>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Artículo 137.</w:t>
      </w:r>
      <w:r w:rsidRPr="0035228F">
        <w:rPr>
          <w:rFonts w:ascii="Palatino Linotype" w:eastAsia="Palatino Linotype" w:hAnsi="Palatino Linotype" w:cs="Palatino Linotype"/>
          <w:i/>
          <w:iCs/>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69C68A84" w14:textId="77777777" w:rsidR="00E20C94" w:rsidRPr="0035228F" w:rsidRDefault="009521F6">
      <w:pPr>
        <w:spacing w:before="120" w:after="120"/>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 Artículo 143.</w:t>
      </w:r>
      <w:r w:rsidRPr="0035228F">
        <w:rPr>
          <w:rFonts w:ascii="Palatino Linotype" w:eastAsia="Palatino Linotype" w:hAnsi="Palatino Linotype" w:cs="Palatino Linotype"/>
          <w:i/>
          <w:iCs/>
          <w:sz w:val="22"/>
          <w:szCs w:val="22"/>
        </w:rPr>
        <w:t xml:space="preserve"> Para los efectos de esta Ley se considera información confidencial, la clasificada como tal, de manera permanente, por su naturaleza, cuando:</w:t>
      </w:r>
    </w:p>
    <w:p w14:paraId="00BCDB8C" w14:textId="77777777" w:rsidR="00E20C94" w:rsidRPr="0035228F" w:rsidRDefault="009521F6">
      <w:pPr>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w:t>
      </w:r>
      <w:r w:rsidRPr="0035228F">
        <w:rPr>
          <w:rFonts w:ascii="Palatino Linotype" w:eastAsia="Palatino Linotype" w:hAnsi="Palatino Linotype" w:cs="Palatino Linotype"/>
          <w:i/>
          <w:iCs/>
          <w:sz w:val="22"/>
          <w:szCs w:val="22"/>
        </w:rPr>
        <w:t xml:space="preserve"> Se refiera a la información privada y los datos personales concernientes a una persona física o jurídico colectiva identificada o identificable...”</w:t>
      </w:r>
    </w:p>
    <w:p w14:paraId="683F4B6B" w14:textId="77777777" w:rsidR="00E20C94" w:rsidRPr="0035228F" w:rsidRDefault="009521F6">
      <w:pPr>
        <w:spacing w:before="240" w:after="240" w:line="360" w:lineRule="auto"/>
        <w:ind w:right="50"/>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35228F">
        <w:rPr>
          <w:rFonts w:ascii="Palatino Linotype" w:eastAsia="Palatino Linotype" w:hAnsi="Palatino Linotype" w:cs="Palatino Linotype"/>
          <w:b/>
          <w:bCs/>
          <w:sz w:val="22"/>
          <w:szCs w:val="22"/>
        </w:rPr>
        <w:t>Sujeto Obligado</w:t>
      </w:r>
      <w:r w:rsidRPr="0035228F">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5F3D459A" w14:textId="77777777" w:rsidR="00E20C94" w:rsidRPr="0035228F" w:rsidRDefault="009521F6">
      <w:pPr>
        <w:spacing w:before="240" w:after="240" w:line="360" w:lineRule="auto"/>
        <w:ind w:right="50"/>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4CA4024E" w14:textId="77777777" w:rsidR="00E20C94" w:rsidRPr="0035228F" w:rsidRDefault="009521F6">
      <w:pPr>
        <w:spacing w:before="240" w:after="240" w:line="360" w:lineRule="auto"/>
        <w:ind w:right="50"/>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4AF9509D" w14:textId="77777777" w:rsidR="00E20C94" w:rsidRPr="0035228F" w:rsidRDefault="009521F6">
      <w:pPr>
        <w:spacing w:before="120" w:after="120"/>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“Artículo 49.</w:t>
      </w:r>
      <w:r w:rsidRPr="0035228F">
        <w:rPr>
          <w:rFonts w:ascii="Palatino Linotype" w:eastAsia="Palatino Linotype" w:hAnsi="Palatino Linotype" w:cs="Palatino Linotype"/>
          <w:i/>
          <w:iCs/>
          <w:sz w:val="22"/>
          <w:szCs w:val="22"/>
        </w:rPr>
        <w:t xml:space="preserve"> </w:t>
      </w:r>
      <w:r w:rsidRPr="0035228F">
        <w:rPr>
          <w:rFonts w:ascii="Palatino Linotype" w:eastAsia="Palatino Linotype" w:hAnsi="Palatino Linotype" w:cs="Palatino Linotype"/>
          <w:b/>
          <w:bCs/>
          <w:i/>
          <w:iCs/>
          <w:sz w:val="22"/>
          <w:szCs w:val="22"/>
        </w:rPr>
        <w:t>Los Comités de Transparencia</w:t>
      </w:r>
      <w:r w:rsidRPr="0035228F">
        <w:rPr>
          <w:rFonts w:ascii="Palatino Linotype" w:eastAsia="Palatino Linotype" w:hAnsi="Palatino Linotype" w:cs="Palatino Linotype"/>
          <w:i/>
          <w:iCs/>
          <w:sz w:val="22"/>
          <w:szCs w:val="22"/>
        </w:rPr>
        <w:t xml:space="preserve"> tendrán las siguientes atribuciones:</w:t>
      </w:r>
    </w:p>
    <w:p w14:paraId="59966E8D" w14:textId="77777777" w:rsidR="00E20C94" w:rsidRPr="0035228F" w:rsidRDefault="009521F6">
      <w:pPr>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VIII. Aprobar, modificar o revocar la clasificación de la información</w:t>
      </w:r>
      <w:r w:rsidRPr="0035228F">
        <w:rPr>
          <w:rFonts w:ascii="Palatino Linotype" w:eastAsia="Palatino Linotype" w:hAnsi="Palatino Linotype" w:cs="Palatino Linotype"/>
          <w:i/>
          <w:iCs/>
          <w:sz w:val="22"/>
          <w:szCs w:val="22"/>
        </w:rPr>
        <w:t>…”</w:t>
      </w:r>
    </w:p>
    <w:p w14:paraId="7B1BF70D" w14:textId="77777777" w:rsidR="00E20C94" w:rsidRPr="0035228F" w:rsidRDefault="009521F6">
      <w:pPr>
        <w:spacing w:before="120" w:after="120"/>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w:t>
      </w:r>
      <w:r w:rsidRPr="0035228F">
        <w:rPr>
          <w:rFonts w:ascii="Palatino Linotype" w:eastAsia="Palatino Linotype" w:hAnsi="Palatino Linotype" w:cs="Palatino Linotype"/>
          <w:b/>
          <w:bCs/>
          <w:i/>
          <w:iCs/>
          <w:sz w:val="22"/>
          <w:szCs w:val="22"/>
        </w:rPr>
        <w:t>Artículo 53.</w:t>
      </w:r>
      <w:r w:rsidRPr="0035228F">
        <w:rPr>
          <w:rFonts w:ascii="Palatino Linotype" w:eastAsia="Palatino Linotype" w:hAnsi="Palatino Linotype" w:cs="Palatino Linotype"/>
          <w:i/>
          <w:iCs/>
          <w:sz w:val="22"/>
          <w:szCs w:val="22"/>
        </w:rPr>
        <w:t xml:space="preserve"> Las </w:t>
      </w:r>
      <w:r w:rsidRPr="0035228F">
        <w:rPr>
          <w:rFonts w:ascii="Palatino Linotype" w:eastAsia="Palatino Linotype" w:hAnsi="Palatino Linotype" w:cs="Palatino Linotype"/>
          <w:b/>
          <w:bCs/>
          <w:i/>
          <w:iCs/>
          <w:sz w:val="22"/>
          <w:szCs w:val="22"/>
        </w:rPr>
        <w:t>Unidades de Transparencia</w:t>
      </w:r>
      <w:r w:rsidRPr="0035228F">
        <w:rPr>
          <w:rFonts w:ascii="Palatino Linotype" w:eastAsia="Palatino Linotype" w:hAnsi="Palatino Linotype" w:cs="Palatino Linotype"/>
          <w:i/>
          <w:iCs/>
          <w:sz w:val="22"/>
          <w:szCs w:val="22"/>
        </w:rPr>
        <w:t xml:space="preserve"> tendrán las siguientes </w:t>
      </w:r>
      <w:r w:rsidRPr="0035228F">
        <w:rPr>
          <w:rFonts w:ascii="Palatino Linotype" w:eastAsia="Palatino Linotype" w:hAnsi="Palatino Linotype" w:cs="Palatino Linotype"/>
          <w:b/>
          <w:bCs/>
          <w:i/>
          <w:iCs/>
          <w:sz w:val="22"/>
          <w:szCs w:val="22"/>
        </w:rPr>
        <w:t>funciones</w:t>
      </w:r>
      <w:r w:rsidRPr="0035228F">
        <w:rPr>
          <w:rFonts w:ascii="Palatino Linotype" w:eastAsia="Palatino Linotype" w:hAnsi="Palatino Linotype" w:cs="Palatino Linotype"/>
          <w:i/>
          <w:iCs/>
          <w:sz w:val="22"/>
          <w:szCs w:val="22"/>
        </w:rPr>
        <w:t>:</w:t>
      </w:r>
    </w:p>
    <w:p w14:paraId="7AE1BA23" w14:textId="77777777" w:rsidR="00E20C94" w:rsidRPr="0035228F" w:rsidRDefault="009521F6">
      <w:pPr>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X. Presentar ante el Comité, el proyecto de clasificación de información</w:t>
      </w:r>
      <w:r w:rsidRPr="0035228F">
        <w:rPr>
          <w:rFonts w:ascii="Palatino Linotype" w:eastAsia="Palatino Linotype" w:hAnsi="Palatino Linotype" w:cs="Palatino Linotype"/>
          <w:i/>
          <w:iCs/>
          <w:sz w:val="22"/>
          <w:szCs w:val="22"/>
        </w:rPr>
        <w:t xml:space="preserve">…” </w:t>
      </w:r>
    </w:p>
    <w:p w14:paraId="40AEB9D7" w14:textId="77777777" w:rsidR="00E20C94" w:rsidRPr="0035228F" w:rsidRDefault="009521F6">
      <w:pPr>
        <w:spacing w:before="120" w:after="120"/>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“Artículo 59.</w:t>
      </w:r>
      <w:r w:rsidRPr="0035228F">
        <w:rPr>
          <w:rFonts w:ascii="Palatino Linotype" w:eastAsia="Palatino Linotype" w:hAnsi="Palatino Linotype" w:cs="Palatino Linotype"/>
          <w:i/>
          <w:iCs/>
          <w:sz w:val="22"/>
          <w:szCs w:val="22"/>
        </w:rPr>
        <w:t xml:space="preserve"> Los </w:t>
      </w:r>
      <w:r w:rsidRPr="0035228F">
        <w:rPr>
          <w:rFonts w:ascii="Palatino Linotype" w:eastAsia="Palatino Linotype" w:hAnsi="Palatino Linotype" w:cs="Palatino Linotype"/>
          <w:b/>
          <w:bCs/>
          <w:i/>
          <w:iCs/>
          <w:sz w:val="22"/>
          <w:szCs w:val="22"/>
        </w:rPr>
        <w:t>servidores públicos habilitados</w:t>
      </w:r>
      <w:r w:rsidRPr="0035228F">
        <w:rPr>
          <w:rFonts w:ascii="Palatino Linotype" w:eastAsia="Palatino Linotype" w:hAnsi="Palatino Linotype" w:cs="Palatino Linotype"/>
          <w:i/>
          <w:iCs/>
          <w:sz w:val="22"/>
          <w:szCs w:val="22"/>
        </w:rPr>
        <w:t xml:space="preserve"> tendrán las </w:t>
      </w:r>
      <w:r w:rsidRPr="0035228F">
        <w:rPr>
          <w:rFonts w:ascii="Palatino Linotype" w:eastAsia="Palatino Linotype" w:hAnsi="Palatino Linotype" w:cs="Palatino Linotype"/>
          <w:b/>
          <w:bCs/>
          <w:i/>
          <w:iCs/>
          <w:sz w:val="22"/>
          <w:szCs w:val="22"/>
        </w:rPr>
        <w:t>funciones</w:t>
      </w:r>
      <w:r w:rsidRPr="0035228F">
        <w:rPr>
          <w:rFonts w:ascii="Palatino Linotype" w:eastAsia="Palatino Linotype" w:hAnsi="Palatino Linotype" w:cs="Palatino Linotype"/>
          <w:i/>
          <w:iCs/>
          <w:sz w:val="22"/>
          <w:szCs w:val="22"/>
        </w:rPr>
        <w:t xml:space="preserve"> siguientes:</w:t>
      </w:r>
    </w:p>
    <w:p w14:paraId="0A1C40F4" w14:textId="77777777" w:rsidR="00E20C94" w:rsidRPr="0035228F" w:rsidRDefault="009521F6">
      <w:pPr>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V. Integrar y presentar al responsable de la Unidad de Transparencia la propuesta de clasificación de información</w:t>
      </w:r>
      <w:r w:rsidRPr="0035228F">
        <w:rPr>
          <w:rFonts w:ascii="Palatino Linotype" w:eastAsia="Palatino Linotype" w:hAnsi="Palatino Linotype" w:cs="Palatino Linotype"/>
          <w:i/>
          <w:iCs/>
          <w:sz w:val="22"/>
          <w:szCs w:val="22"/>
        </w:rPr>
        <w:t>, la cual tendrá los fundamentos y argumentos en que se basa dicha propuesta…”</w:t>
      </w:r>
    </w:p>
    <w:p w14:paraId="78F48DEE" w14:textId="77777777" w:rsidR="00E20C94" w:rsidRPr="0035228F" w:rsidRDefault="009521F6">
      <w:pPr>
        <w:spacing w:before="240" w:after="240"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58F5D3A1" w14:textId="77777777" w:rsidR="00E20C94" w:rsidRPr="0035228F" w:rsidRDefault="009521F6">
      <w:pPr>
        <w:spacing w:before="240" w:after="240"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69C49E2E" w14:textId="77777777" w:rsidR="00E20C94" w:rsidRPr="0035228F" w:rsidRDefault="009521F6">
      <w:pPr>
        <w:spacing w:before="120" w:after="120"/>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w:t>
      </w:r>
      <w:r w:rsidRPr="0035228F">
        <w:rPr>
          <w:rFonts w:ascii="Palatino Linotype" w:eastAsia="Palatino Linotype" w:hAnsi="Palatino Linotype" w:cs="Palatino Linotype"/>
          <w:b/>
          <w:bCs/>
          <w:i/>
          <w:iCs/>
          <w:sz w:val="22"/>
          <w:szCs w:val="22"/>
        </w:rPr>
        <w:t>Artículo 149.</w:t>
      </w:r>
      <w:r w:rsidRPr="0035228F">
        <w:rPr>
          <w:rFonts w:ascii="Palatino Linotype" w:eastAsia="Palatino Linotype" w:hAnsi="Palatino Linotype" w:cs="Palatino Linotype"/>
          <w:i/>
          <w:iCs/>
          <w:sz w:val="22"/>
          <w:szCs w:val="22"/>
        </w:rPr>
        <w:t xml:space="preserve"> El </w:t>
      </w:r>
      <w:r w:rsidRPr="0035228F">
        <w:rPr>
          <w:rFonts w:ascii="Palatino Linotype" w:eastAsia="Palatino Linotype" w:hAnsi="Palatino Linotype" w:cs="Palatino Linotype"/>
          <w:b/>
          <w:bCs/>
          <w:i/>
          <w:iCs/>
          <w:sz w:val="22"/>
          <w:szCs w:val="22"/>
        </w:rPr>
        <w:t>acuerdo que clasifique la información como confidencial</w:t>
      </w:r>
      <w:r w:rsidRPr="0035228F">
        <w:rPr>
          <w:rFonts w:ascii="Palatino Linotype" w:eastAsia="Palatino Linotype" w:hAnsi="Palatino Linotype" w:cs="Palatino Linotype"/>
          <w:i/>
          <w:iCs/>
          <w:sz w:val="22"/>
          <w:szCs w:val="22"/>
        </w:rPr>
        <w:t xml:space="preserve"> deberá contener un razonamiento lógico en el que demuestre que la información se encuentra en alguna o algunas de las hipótesis previstas en la presente Ley.” </w:t>
      </w:r>
    </w:p>
    <w:p w14:paraId="36F52A9F" w14:textId="77777777" w:rsidR="00E20C94" w:rsidRPr="0035228F" w:rsidRDefault="009521F6">
      <w:pPr>
        <w:spacing w:before="240" w:after="240" w:line="360" w:lineRule="auto"/>
        <w:ind w:right="51"/>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Es decir, el </w:t>
      </w:r>
      <w:r w:rsidRPr="0035228F">
        <w:rPr>
          <w:rFonts w:ascii="Palatino Linotype" w:eastAsia="Palatino Linotype" w:hAnsi="Palatino Linotype" w:cs="Palatino Linotype"/>
          <w:b/>
          <w:bCs/>
          <w:sz w:val="22"/>
          <w:szCs w:val="22"/>
        </w:rPr>
        <w:t>Sujeto Obligado</w:t>
      </w:r>
      <w:r w:rsidRPr="0035228F">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7670DC6B" w14:textId="77777777" w:rsidR="00E20C94" w:rsidRPr="0035228F" w:rsidRDefault="009521F6">
      <w:pPr>
        <w:spacing w:before="240" w:after="240" w:line="360" w:lineRule="auto"/>
        <w:ind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Atento a lo anterior, cabe señalar que el Comité de Transparencia del </w:t>
      </w:r>
      <w:r w:rsidRPr="0035228F">
        <w:rPr>
          <w:rFonts w:ascii="Palatino Linotype" w:eastAsia="Palatino Linotype" w:hAnsi="Palatino Linotype" w:cs="Palatino Linotype"/>
          <w:b/>
          <w:bCs/>
          <w:sz w:val="22"/>
          <w:szCs w:val="22"/>
        </w:rPr>
        <w:t>Sujeto Obligado</w:t>
      </w:r>
      <w:r w:rsidRPr="0035228F">
        <w:rPr>
          <w:rFonts w:ascii="Palatino Linotype" w:eastAsia="Palatino Linotype" w:hAnsi="Palatino Linotype" w:cs="Palatino Linotype"/>
          <w:sz w:val="22"/>
          <w:szCs w:val="22"/>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62C4D9B9" w14:textId="77777777" w:rsidR="00E20C94" w:rsidRPr="0035228F"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 xml:space="preserve"> “</w:t>
      </w:r>
      <w:r w:rsidRPr="0035228F">
        <w:rPr>
          <w:rFonts w:ascii="Palatino Linotype" w:eastAsia="Palatino Linotype" w:hAnsi="Palatino Linotype" w:cs="Palatino Linotype"/>
          <w:b/>
          <w:bCs/>
          <w:i/>
          <w:iCs/>
          <w:sz w:val="22"/>
          <w:szCs w:val="22"/>
        </w:rPr>
        <w:t>Segundo.-</w:t>
      </w:r>
      <w:r w:rsidRPr="0035228F">
        <w:rPr>
          <w:rFonts w:ascii="Palatino Linotype" w:eastAsia="Palatino Linotype" w:hAnsi="Palatino Linotype" w:cs="Palatino Linotype"/>
          <w:i/>
          <w:iCs/>
          <w:sz w:val="22"/>
          <w:szCs w:val="22"/>
        </w:rPr>
        <w:t xml:space="preserve"> Para efectos de los presentes Lineamientos Generales, se entenderá por:</w:t>
      </w:r>
    </w:p>
    <w:p w14:paraId="34E17AEE" w14:textId="77777777" w:rsidR="00E20C94" w:rsidRPr="0035228F"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XVIII.</w:t>
      </w:r>
      <w:r w:rsidRPr="0035228F">
        <w:rPr>
          <w:rFonts w:ascii="Palatino Linotype" w:eastAsia="Palatino Linotype" w:hAnsi="Palatino Linotype" w:cs="Palatino Linotype"/>
          <w:i/>
          <w:iCs/>
          <w:sz w:val="22"/>
          <w:szCs w:val="22"/>
        </w:rPr>
        <w:t xml:space="preserve"> </w:t>
      </w:r>
      <w:r w:rsidRPr="0035228F">
        <w:rPr>
          <w:rFonts w:ascii="Palatino Linotype" w:eastAsia="Palatino Linotype" w:hAnsi="Palatino Linotype" w:cs="Palatino Linotype"/>
          <w:b/>
          <w:bCs/>
          <w:i/>
          <w:iCs/>
          <w:sz w:val="22"/>
          <w:szCs w:val="22"/>
        </w:rPr>
        <w:t>Versión pública:</w:t>
      </w:r>
      <w:r w:rsidRPr="0035228F">
        <w:rPr>
          <w:rFonts w:ascii="Palatino Linotype" w:eastAsia="Palatino Linotype" w:hAnsi="Palatino Linotype" w:cs="Palatino Linotype"/>
          <w:i/>
          <w:iCs/>
          <w:sz w:val="22"/>
          <w:szCs w:val="22"/>
        </w:rPr>
        <w:t xml:space="preserve"> El documento a partir del que se otorga acceso a la información, en el que se testan partes o secciones clasificadas, indicando el contenido de éstas de manera genérica, </w:t>
      </w:r>
      <w:r w:rsidRPr="0035228F">
        <w:rPr>
          <w:rFonts w:ascii="Palatino Linotype" w:eastAsia="Palatino Linotype" w:hAnsi="Palatino Linotype" w:cs="Palatino Linotype"/>
          <w:b/>
          <w:bCs/>
          <w:i/>
          <w:iCs/>
          <w:sz w:val="22"/>
          <w:szCs w:val="22"/>
        </w:rPr>
        <w:t>fundando y motivando la</w:t>
      </w:r>
      <w:r w:rsidRPr="0035228F">
        <w:rPr>
          <w:rFonts w:ascii="Palatino Linotype" w:eastAsia="Palatino Linotype" w:hAnsi="Palatino Linotype" w:cs="Palatino Linotype"/>
          <w:i/>
          <w:iCs/>
          <w:sz w:val="22"/>
          <w:szCs w:val="22"/>
        </w:rPr>
        <w:t xml:space="preserve"> </w:t>
      </w:r>
      <w:r w:rsidRPr="0035228F">
        <w:rPr>
          <w:rFonts w:ascii="Palatino Linotype" w:eastAsia="Palatino Linotype" w:hAnsi="Palatino Linotype" w:cs="Palatino Linotype"/>
          <w:b/>
          <w:bCs/>
          <w:i/>
          <w:iCs/>
          <w:sz w:val="22"/>
          <w:szCs w:val="22"/>
        </w:rPr>
        <w:t>reserva o confidencialidad</w:t>
      </w:r>
      <w:r w:rsidRPr="0035228F">
        <w:rPr>
          <w:rFonts w:ascii="Palatino Linotype" w:eastAsia="Palatino Linotype" w:hAnsi="Palatino Linotype" w:cs="Palatino Linotype"/>
          <w:i/>
          <w:iCs/>
          <w:sz w:val="22"/>
          <w:szCs w:val="22"/>
        </w:rPr>
        <w:t>, a través de la resolución que para tal efecto emita el Comité de Transparencia.</w:t>
      </w:r>
    </w:p>
    <w:p w14:paraId="4935C571" w14:textId="77777777" w:rsidR="00E20C94" w:rsidRPr="0035228F" w:rsidRDefault="009521F6">
      <w:pPr>
        <w:tabs>
          <w:tab w:val="left" w:pos="8222"/>
        </w:tabs>
        <w:spacing w:before="120" w:after="120"/>
        <w:ind w:left="851" w:right="1134"/>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w:t>
      </w:r>
    </w:p>
    <w:p w14:paraId="2EE456BF" w14:textId="77777777" w:rsidR="00E20C94" w:rsidRPr="0035228F"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Cuarto.</w:t>
      </w:r>
      <w:r w:rsidRPr="0035228F">
        <w:rPr>
          <w:rFonts w:ascii="Palatino Linotype" w:eastAsia="Palatino Linotype" w:hAnsi="Palatino Linotype" w:cs="Palatino Linotype"/>
          <w:i/>
          <w:iCs/>
          <w:sz w:val="22"/>
          <w:szCs w:val="22"/>
        </w:rPr>
        <w:t xml:space="preserve"> </w:t>
      </w:r>
      <w:r w:rsidRPr="0035228F">
        <w:rPr>
          <w:rFonts w:ascii="Palatino Linotype" w:eastAsia="Palatino Linotype" w:hAnsi="Palatino Linotype" w:cs="Palatino Linotype"/>
          <w:b/>
          <w:bCs/>
          <w:i/>
          <w:iCs/>
          <w:sz w:val="22"/>
          <w:szCs w:val="22"/>
        </w:rPr>
        <w:t>Para clasificar la información como</w:t>
      </w:r>
      <w:r w:rsidRPr="0035228F">
        <w:rPr>
          <w:rFonts w:ascii="Palatino Linotype" w:eastAsia="Palatino Linotype" w:hAnsi="Palatino Linotype" w:cs="Palatino Linotype"/>
          <w:i/>
          <w:iCs/>
          <w:sz w:val="22"/>
          <w:szCs w:val="22"/>
        </w:rPr>
        <w:t xml:space="preserve"> </w:t>
      </w:r>
      <w:r w:rsidRPr="0035228F">
        <w:rPr>
          <w:rFonts w:ascii="Palatino Linotype" w:eastAsia="Palatino Linotype" w:hAnsi="Palatino Linotype" w:cs="Palatino Linotype"/>
          <w:b/>
          <w:bCs/>
          <w:i/>
          <w:iCs/>
          <w:sz w:val="22"/>
          <w:szCs w:val="22"/>
        </w:rPr>
        <w:t>reservada o</w:t>
      </w:r>
      <w:r w:rsidRPr="0035228F">
        <w:rPr>
          <w:rFonts w:ascii="Palatino Linotype" w:eastAsia="Palatino Linotype" w:hAnsi="Palatino Linotype" w:cs="Palatino Linotype"/>
          <w:i/>
          <w:iCs/>
          <w:sz w:val="22"/>
          <w:szCs w:val="22"/>
        </w:rPr>
        <w:t xml:space="preserve"> </w:t>
      </w:r>
      <w:r w:rsidRPr="0035228F">
        <w:rPr>
          <w:rFonts w:ascii="Palatino Linotype" w:eastAsia="Palatino Linotype" w:hAnsi="Palatino Linotype" w:cs="Palatino Linotype"/>
          <w:b/>
          <w:bCs/>
          <w:i/>
          <w:iCs/>
          <w:sz w:val="22"/>
          <w:szCs w:val="22"/>
        </w:rPr>
        <w:t>confidencial, de manera total o parcial, el titular del área del sujeto obligado deberá atender lo dispuesto por el Título Sexto de la Ley General</w:t>
      </w:r>
      <w:r w:rsidRPr="0035228F">
        <w:rPr>
          <w:rFonts w:ascii="Palatino Linotype" w:eastAsia="Palatino Linotype" w:hAnsi="Palatino Linotype" w:cs="Palatino Linotype"/>
          <w:i/>
          <w:iCs/>
          <w:sz w:val="22"/>
          <w:szCs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8E096EF" w14:textId="77777777" w:rsidR="00E20C94" w:rsidRPr="0035228F"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Los sujetos obligados deberán aplicar, de manera estricta, las excepciones al derecho de acceso a la información y sólo podrán invocarlas cuando acrediten su procedencia.</w:t>
      </w:r>
    </w:p>
    <w:p w14:paraId="2B0B157C" w14:textId="77777777" w:rsidR="00E20C94" w:rsidRPr="0035228F"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Quinto.</w:t>
      </w:r>
      <w:r w:rsidRPr="0035228F">
        <w:rPr>
          <w:rFonts w:ascii="Palatino Linotype" w:eastAsia="Palatino Linotype" w:hAnsi="Palatino Linotype" w:cs="Palatino Linotype"/>
          <w:i/>
          <w:iCs/>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343F489" w14:textId="77777777" w:rsidR="00E20C94" w:rsidRPr="0035228F"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Sexto.</w:t>
      </w:r>
      <w:r w:rsidRPr="0035228F">
        <w:rPr>
          <w:rFonts w:ascii="Palatino Linotype" w:eastAsia="Palatino Linotype" w:hAnsi="Palatino Linotype" w:cs="Palatino Linotype"/>
          <w:i/>
          <w:iCs/>
          <w:sz w:val="22"/>
          <w:szCs w:val="22"/>
        </w:rPr>
        <w:t xml:space="preserve"> Se deroga.</w:t>
      </w:r>
    </w:p>
    <w:p w14:paraId="41091857" w14:textId="77777777" w:rsidR="00E20C94" w:rsidRPr="0035228F"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Séptimo.</w:t>
      </w:r>
      <w:r w:rsidRPr="0035228F">
        <w:rPr>
          <w:rFonts w:ascii="Palatino Linotype" w:eastAsia="Palatino Linotype" w:hAnsi="Palatino Linotype" w:cs="Palatino Linotype"/>
          <w:i/>
          <w:iCs/>
          <w:sz w:val="22"/>
          <w:szCs w:val="22"/>
        </w:rPr>
        <w:t xml:space="preserve"> La clasificación de la información se llevará a cabo en el momento en que:</w:t>
      </w:r>
    </w:p>
    <w:p w14:paraId="14F7A304" w14:textId="77777777" w:rsidR="00E20C94" w:rsidRPr="0035228F"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w:t>
      </w:r>
      <w:r w:rsidRPr="0035228F">
        <w:rPr>
          <w:rFonts w:ascii="Palatino Linotype" w:eastAsia="Palatino Linotype" w:hAnsi="Palatino Linotype" w:cs="Palatino Linotype"/>
          <w:i/>
          <w:iCs/>
          <w:sz w:val="22"/>
          <w:szCs w:val="22"/>
        </w:rPr>
        <w:t xml:space="preserve"> Se reciba una solicitud de acceso a la información;</w:t>
      </w:r>
    </w:p>
    <w:p w14:paraId="7B358905" w14:textId="77777777" w:rsidR="00E20C94" w:rsidRPr="0035228F"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II.</w:t>
      </w:r>
      <w:r w:rsidRPr="0035228F">
        <w:rPr>
          <w:rFonts w:ascii="Palatino Linotype" w:eastAsia="Palatino Linotype" w:hAnsi="Palatino Linotype" w:cs="Palatino Linotype"/>
          <w:i/>
          <w:iCs/>
          <w:sz w:val="22"/>
          <w:szCs w:val="22"/>
        </w:rPr>
        <w:t xml:space="preserve"> Se determine mediante resolución del Comité de Transparencia, el órgano garante competente, o en cumplimiento a una sentencia del Poder Judicial; o</w:t>
      </w:r>
    </w:p>
    <w:p w14:paraId="4FD68A57" w14:textId="77777777" w:rsidR="00E20C94" w:rsidRPr="0035228F"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III.</w:t>
      </w:r>
      <w:r w:rsidRPr="0035228F">
        <w:rPr>
          <w:rFonts w:ascii="Palatino Linotype" w:eastAsia="Palatino Linotype" w:hAnsi="Palatino Linotype" w:cs="Palatino Linotype"/>
          <w:i/>
          <w:iCs/>
          <w:sz w:val="22"/>
          <w:szCs w:val="22"/>
        </w:rPr>
        <w:t xml:space="preserve"> Se generen versiones públicas para dar cumplimiento a las obligaciones de transparencia previstas en la Ley General, la Ley Federal y las correspondientes de las entidades federativas.</w:t>
      </w:r>
    </w:p>
    <w:p w14:paraId="7485F974" w14:textId="77777777" w:rsidR="00E20C94" w:rsidRPr="0035228F"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Los titulares de las áreas deberán revisar la clasificación al momento de la recepción de una solicitud de acceso, para verificar</w:t>
      </w:r>
      <w:r w:rsidRPr="0035228F">
        <w:rPr>
          <w:rFonts w:ascii="Palatino Linotype" w:eastAsia="Palatino Linotype" w:hAnsi="Palatino Linotype" w:cs="Palatino Linotype"/>
          <w:sz w:val="22"/>
          <w:szCs w:val="22"/>
        </w:rPr>
        <w:t xml:space="preserve">, </w:t>
      </w:r>
      <w:r w:rsidRPr="0035228F">
        <w:rPr>
          <w:rFonts w:ascii="Palatino Linotype" w:eastAsia="Palatino Linotype" w:hAnsi="Palatino Linotype" w:cs="Palatino Linotype"/>
          <w:i/>
          <w:iCs/>
          <w:sz w:val="22"/>
          <w:szCs w:val="22"/>
        </w:rPr>
        <w:t>conforme a su naturaleza, si encuadra en una causal de reserva o de confidencialidad.</w:t>
      </w:r>
    </w:p>
    <w:p w14:paraId="52BFCCC7" w14:textId="77777777" w:rsidR="00E20C94" w:rsidRPr="0035228F"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Octavo.</w:t>
      </w:r>
      <w:r w:rsidRPr="0035228F">
        <w:rPr>
          <w:rFonts w:ascii="Palatino Linotype" w:eastAsia="Palatino Linotype" w:hAnsi="Palatino Linotype" w:cs="Palatino Linotype"/>
          <w:i/>
          <w:iCs/>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31FCF07" w14:textId="77777777" w:rsidR="00E20C94" w:rsidRPr="0035228F"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Para motivar la clasificación se deberán señalar las razones o circunstancias especiales que lo llevaron a concluir que el caso particular se ajusta al supuesto previsto por la norma legal invocada como fundamento.</w:t>
      </w:r>
    </w:p>
    <w:p w14:paraId="16560621" w14:textId="77777777" w:rsidR="00E20C94" w:rsidRPr="0035228F"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7D35D782" w14:textId="77777777" w:rsidR="00E20C94" w:rsidRPr="0035228F"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Noveno.</w:t>
      </w:r>
      <w:r w:rsidRPr="0035228F">
        <w:rPr>
          <w:rFonts w:ascii="Palatino Linotype" w:eastAsia="Palatino Linotype" w:hAnsi="Palatino Linotype" w:cs="Palatino Linotype"/>
          <w:i/>
          <w:iCs/>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59986EC" w14:textId="77777777" w:rsidR="00E20C94" w:rsidRPr="0035228F"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Décimo.</w:t>
      </w:r>
      <w:r w:rsidRPr="0035228F">
        <w:rPr>
          <w:rFonts w:ascii="Palatino Linotype" w:eastAsia="Palatino Linotype" w:hAnsi="Palatino Linotype" w:cs="Palatino Linotype"/>
          <w:i/>
          <w:iCs/>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3DD9C667" w14:textId="77777777" w:rsidR="00E20C94" w:rsidRPr="0035228F"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En ausencia de los titulares de las áreas, la información será clasificada o desclasificada por la persona que lo supla, en términos de la normativa que rija la actuación del sujeto obligado.</w:t>
      </w:r>
    </w:p>
    <w:p w14:paraId="669D3FDF" w14:textId="77777777" w:rsidR="00E20C94" w:rsidRPr="0035228F"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Décimo primero.</w:t>
      </w:r>
      <w:r w:rsidRPr="0035228F">
        <w:rPr>
          <w:rFonts w:ascii="Palatino Linotype" w:eastAsia="Palatino Linotype" w:hAnsi="Palatino Linotype" w:cs="Palatino Linotype"/>
          <w:i/>
          <w:iCs/>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39A841C7" w14:textId="77777777" w:rsidR="00E20C94" w:rsidRPr="0035228F" w:rsidRDefault="009521F6">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35228F">
        <w:rPr>
          <w:rFonts w:ascii="Palatino Linotype" w:eastAsia="Palatino Linotype" w:hAnsi="Palatino Linotype" w:cs="Palatino Linotype"/>
          <w:b/>
          <w:bCs/>
          <w:sz w:val="22"/>
          <w:szCs w:val="22"/>
        </w:rPr>
        <w:t>Sujeto Obligado</w:t>
      </w:r>
      <w:r w:rsidRPr="0035228F">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06F03B20" w14:textId="77777777" w:rsidR="00E20C94" w:rsidRPr="0035228F" w:rsidRDefault="009521F6">
      <w:pPr>
        <w:spacing w:before="120" w:after="120"/>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 xml:space="preserve"> “Quincuagésimo. </w:t>
      </w:r>
      <w:r w:rsidRPr="0035228F">
        <w:rPr>
          <w:rFonts w:ascii="Palatino Linotype" w:eastAsia="Palatino Linotype" w:hAnsi="Palatino Linotype" w:cs="Palatino Linotype"/>
          <w:i/>
          <w:iCs/>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4918E735" w14:textId="77777777" w:rsidR="00E20C94" w:rsidRPr="0035228F"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 xml:space="preserve">Quincuagésimo primero. </w:t>
      </w:r>
      <w:r w:rsidRPr="0035228F">
        <w:rPr>
          <w:rFonts w:ascii="Palatino Linotype" w:eastAsia="Palatino Linotype" w:hAnsi="Palatino Linotype" w:cs="Palatino Linotype"/>
          <w:i/>
          <w:iCs/>
          <w:sz w:val="22"/>
          <w:szCs w:val="22"/>
        </w:rPr>
        <w:t xml:space="preserve">Toda acta del Comité de Transparencia deberá contener: </w:t>
      </w:r>
    </w:p>
    <w:p w14:paraId="5B6AB904" w14:textId="77777777" w:rsidR="00E20C94" w:rsidRPr="0035228F"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w:t>
      </w:r>
      <w:r w:rsidRPr="0035228F">
        <w:rPr>
          <w:rFonts w:ascii="Palatino Linotype" w:eastAsia="Palatino Linotype" w:hAnsi="Palatino Linotype" w:cs="Palatino Linotype"/>
          <w:i/>
          <w:iCs/>
          <w:sz w:val="22"/>
          <w:szCs w:val="22"/>
        </w:rPr>
        <w:t xml:space="preserve"> El número de sesión y fecha; </w:t>
      </w:r>
    </w:p>
    <w:p w14:paraId="2848A359" w14:textId="77777777" w:rsidR="00E20C94" w:rsidRPr="0035228F"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II</w:t>
      </w:r>
      <w:r w:rsidRPr="0035228F">
        <w:rPr>
          <w:rFonts w:ascii="Palatino Linotype" w:eastAsia="Palatino Linotype" w:hAnsi="Palatino Linotype" w:cs="Palatino Linotype"/>
          <w:i/>
          <w:iCs/>
          <w:sz w:val="22"/>
          <w:szCs w:val="22"/>
        </w:rPr>
        <w:t xml:space="preserve">. El nombre del área que solicitó la clasificación de información; </w:t>
      </w:r>
    </w:p>
    <w:p w14:paraId="05AF5F75" w14:textId="77777777" w:rsidR="00E20C94" w:rsidRPr="0035228F"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III</w:t>
      </w:r>
      <w:r w:rsidRPr="0035228F">
        <w:rPr>
          <w:rFonts w:ascii="Palatino Linotype" w:eastAsia="Palatino Linotype" w:hAnsi="Palatino Linotype" w:cs="Palatino Linotype"/>
          <w:i/>
          <w:iCs/>
          <w:sz w:val="22"/>
          <w:szCs w:val="22"/>
        </w:rPr>
        <w:t xml:space="preserve">. La fundamentación legal y motivación correspondiente; </w:t>
      </w:r>
    </w:p>
    <w:p w14:paraId="33EDC1FA" w14:textId="77777777" w:rsidR="00E20C94" w:rsidRPr="0035228F"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IV</w:t>
      </w:r>
      <w:r w:rsidRPr="0035228F">
        <w:rPr>
          <w:rFonts w:ascii="Palatino Linotype" w:eastAsia="Palatino Linotype" w:hAnsi="Palatino Linotype" w:cs="Palatino Linotype"/>
          <w:i/>
          <w:iCs/>
          <w:sz w:val="22"/>
          <w:szCs w:val="22"/>
        </w:rPr>
        <w:t xml:space="preserve">. La resolución o resoluciones aprobadas; y </w:t>
      </w:r>
    </w:p>
    <w:p w14:paraId="43376FAF" w14:textId="77777777" w:rsidR="00E20C94" w:rsidRPr="0035228F"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V</w:t>
      </w:r>
      <w:r w:rsidRPr="0035228F">
        <w:rPr>
          <w:rFonts w:ascii="Palatino Linotype" w:eastAsia="Palatino Linotype" w:hAnsi="Palatino Linotype" w:cs="Palatino Linotype"/>
          <w:i/>
          <w:iCs/>
          <w:sz w:val="22"/>
          <w:szCs w:val="22"/>
        </w:rPr>
        <w:t xml:space="preserve">. La rúbrica o firma digital de cada integrante del Comité de Transparencia. </w:t>
      </w:r>
    </w:p>
    <w:p w14:paraId="40C45A93" w14:textId="77777777" w:rsidR="00E20C94" w:rsidRPr="0035228F"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 xml:space="preserve">Las resoluciones del Comité en las que se haya determinado confirmar o modificar la clasificación de información pública como reservada, deberán incluir, cuando menos: </w:t>
      </w:r>
    </w:p>
    <w:p w14:paraId="47D3969D" w14:textId="77777777" w:rsidR="00E20C94" w:rsidRPr="0035228F"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w:t>
      </w:r>
      <w:r w:rsidRPr="0035228F">
        <w:rPr>
          <w:rFonts w:ascii="Palatino Linotype" w:eastAsia="Palatino Linotype" w:hAnsi="Palatino Linotype" w:cs="Palatino Linotype"/>
          <w:i/>
          <w:iCs/>
          <w:sz w:val="22"/>
          <w:szCs w:val="22"/>
        </w:rPr>
        <w:t xml:space="preserve"> Los motivos y razonamientos que sustenten la confirmación o modificación de la prueba de daño;</w:t>
      </w:r>
    </w:p>
    <w:p w14:paraId="1B45DD61" w14:textId="77777777" w:rsidR="00E20C94" w:rsidRPr="0035228F"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II</w:t>
      </w:r>
      <w:r w:rsidRPr="0035228F">
        <w:rPr>
          <w:rFonts w:ascii="Palatino Linotype" w:eastAsia="Palatino Linotype" w:hAnsi="Palatino Linotype" w:cs="Palatino Linotype"/>
          <w:i/>
          <w:iCs/>
          <w:sz w:val="22"/>
          <w:szCs w:val="22"/>
        </w:rPr>
        <w:t>. Descripción de las partes o secciones reservadas, en caso de clasificación parcial</w:t>
      </w:r>
      <w:r w:rsidRPr="0035228F">
        <w:rPr>
          <w:rFonts w:ascii="Palatino Linotype" w:eastAsia="Palatino Linotype" w:hAnsi="Palatino Linotype" w:cs="Palatino Linotype"/>
          <w:b/>
          <w:bCs/>
          <w:i/>
          <w:iCs/>
          <w:sz w:val="22"/>
          <w:szCs w:val="22"/>
        </w:rPr>
        <w:t xml:space="preserve">; </w:t>
      </w:r>
    </w:p>
    <w:p w14:paraId="624A8BA2" w14:textId="77777777" w:rsidR="00E20C94" w:rsidRPr="0035228F"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III.</w:t>
      </w:r>
      <w:r w:rsidRPr="0035228F">
        <w:rPr>
          <w:rFonts w:ascii="Palatino Linotype" w:eastAsia="Palatino Linotype" w:hAnsi="Palatino Linotype" w:cs="Palatino Linotype"/>
          <w:i/>
          <w:iCs/>
          <w:sz w:val="22"/>
          <w:szCs w:val="22"/>
        </w:rPr>
        <w:t xml:space="preserve"> El periodo por el que mantendrá su clasificación y fecha de expiración; y </w:t>
      </w:r>
    </w:p>
    <w:p w14:paraId="60DBA4EF" w14:textId="77777777" w:rsidR="00E20C94" w:rsidRPr="0035228F"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IV.</w:t>
      </w:r>
      <w:r w:rsidRPr="0035228F">
        <w:rPr>
          <w:rFonts w:ascii="Palatino Linotype" w:eastAsia="Palatino Linotype" w:hAnsi="Palatino Linotype" w:cs="Palatino Linotype"/>
          <w:i/>
          <w:iCs/>
          <w:sz w:val="22"/>
          <w:szCs w:val="22"/>
        </w:rPr>
        <w:t xml:space="preserve"> El nombre del titular y área encargada de realizar la versión pública del documento, en su caso. </w:t>
      </w:r>
    </w:p>
    <w:p w14:paraId="655351EB" w14:textId="77777777" w:rsidR="00E20C94" w:rsidRPr="0035228F"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 xml:space="preserve">En los casos en que se clasifique la información como reservada siempre se entregará o anexará la prueba de daño con la respuesta al solicitante. </w:t>
      </w:r>
    </w:p>
    <w:p w14:paraId="487A9031" w14:textId="77777777" w:rsidR="00E20C94" w:rsidRPr="0035228F"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20FA9041" w14:textId="77777777" w:rsidR="00E20C94" w:rsidRPr="0035228F" w:rsidRDefault="009521F6">
      <w:pPr>
        <w:spacing w:before="240" w:after="240"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477CC908" w14:textId="77777777" w:rsidR="00E20C94" w:rsidRPr="0035228F" w:rsidRDefault="009521F6">
      <w:pPr>
        <w:spacing w:before="120" w:after="120"/>
        <w:ind w:left="851" w:right="900"/>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w:t>
      </w:r>
      <w:r w:rsidRPr="0035228F">
        <w:rPr>
          <w:rFonts w:ascii="Palatino Linotype" w:eastAsia="Palatino Linotype" w:hAnsi="Palatino Linotype" w:cs="Palatino Linotype"/>
          <w:b/>
          <w:bCs/>
          <w:i/>
          <w:iCs/>
          <w:sz w:val="22"/>
          <w:szCs w:val="22"/>
        </w:rPr>
        <w:t>Quincuagésimo segundo</w:t>
      </w:r>
      <w:r w:rsidRPr="0035228F">
        <w:rPr>
          <w:rFonts w:ascii="Palatino Linotype" w:eastAsia="Palatino Linotype" w:hAnsi="Palatino Linotype" w:cs="Palatino Linotype"/>
          <w:i/>
          <w:iCs/>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19391352" w14:textId="77777777" w:rsidR="00E20C94" w:rsidRPr="0035228F" w:rsidRDefault="009521F6">
      <w:pPr>
        <w:spacing w:before="120" w:after="120"/>
        <w:ind w:left="851" w:right="900"/>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 xml:space="preserve">En el caso específico de la clasificación y elaboración de versiones públicas de documentos que contengan información confidencial, las áreas de los sujetos obligados deberán: </w:t>
      </w:r>
    </w:p>
    <w:p w14:paraId="3DA6FB58" w14:textId="77777777" w:rsidR="00E20C94" w:rsidRPr="0035228F" w:rsidRDefault="009521F6">
      <w:pPr>
        <w:spacing w:before="120" w:after="120"/>
        <w:ind w:left="1134" w:right="900"/>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w:t>
      </w:r>
      <w:r w:rsidRPr="0035228F">
        <w:rPr>
          <w:rFonts w:ascii="Palatino Linotype" w:eastAsia="Palatino Linotype" w:hAnsi="Palatino Linotype" w:cs="Palatino Linotype"/>
          <w:i/>
          <w:iCs/>
          <w:sz w:val="22"/>
          <w:szCs w:val="22"/>
        </w:rPr>
        <w:t xml:space="preserve"> Fijar la fecha en que se elaboró la versión pública y la fecha en la cual el Comité de Transparencia confirmó dicha versión;</w:t>
      </w:r>
    </w:p>
    <w:p w14:paraId="4A052E8B" w14:textId="77777777" w:rsidR="00E20C94" w:rsidRPr="0035228F" w:rsidRDefault="009521F6">
      <w:pPr>
        <w:spacing w:before="120" w:after="120"/>
        <w:ind w:left="1134" w:right="900"/>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II.</w:t>
      </w:r>
      <w:r w:rsidRPr="0035228F">
        <w:rPr>
          <w:rFonts w:ascii="Palatino Linotype" w:eastAsia="Palatino Linotype" w:hAnsi="Palatino Linotype" w:cs="Palatino Linotype"/>
          <w:i/>
          <w:iCs/>
          <w:sz w:val="22"/>
          <w:szCs w:val="22"/>
        </w:rPr>
        <w:t xml:space="preserve"> Señalar dentro del documento el tipo de información confidencial que fue testada en cada caso específico, de conformidad con el lineamiento trigésimo octavo; y</w:t>
      </w:r>
    </w:p>
    <w:p w14:paraId="43D76097" w14:textId="77777777" w:rsidR="00E20C94" w:rsidRPr="0035228F" w:rsidRDefault="009521F6">
      <w:pPr>
        <w:spacing w:before="120" w:after="120"/>
        <w:ind w:left="1134" w:right="900"/>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III.</w:t>
      </w:r>
      <w:r w:rsidRPr="0035228F">
        <w:rPr>
          <w:rFonts w:ascii="Palatino Linotype" w:eastAsia="Palatino Linotype" w:hAnsi="Palatino Linotype" w:cs="Palatino Linotype"/>
          <w:i/>
          <w:iCs/>
          <w:sz w:val="22"/>
          <w:szCs w:val="22"/>
        </w:rPr>
        <w:t xml:space="preserve"> Señalar las personas o instancias autorizadas a acceder a la información clasificada.</w:t>
      </w:r>
    </w:p>
    <w:p w14:paraId="38A14F62" w14:textId="77777777" w:rsidR="00E20C94" w:rsidRPr="0035228F" w:rsidRDefault="009521F6">
      <w:pPr>
        <w:spacing w:before="120" w:after="120"/>
        <w:ind w:left="851" w:right="900"/>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En los documentos de difusión electrónica, señalar en la primera hoja y en el nombre del archivo, que la versión pública corresponde a un documento que contiene información confidencial.”</w:t>
      </w:r>
    </w:p>
    <w:p w14:paraId="1F6F23DE" w14:textId="77777777" w:rsidR="00E20C94" w:rsidRPr="0035228F" w:rsidRDefault="009521F6">
      <w:pPr>
        <w:pBdr>
          <w:top w:val="nil"/>
          <w:left w:val="nil"/>
          <w:bottom w:val="nil"/>
          <w:right w:val="nil"/>
          <w:between w:val="nil"/>
        </w:pBdr>
        <w:spacing w:before="120" w:after="120"/>
        <w:ind w:left="851" w:right="900"/>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w:t>
      </w:r>
    </w:p>
    <w:p w14:paraId="05BFB725" w14:textId="77777777" w:rsidR="00E20C94" w:rsidRPr="0035228F" w:rsidRDefault="009521F6">
      <w:pPr>
        <w:pBdr>
          <w:top w:val="nil"/>
          <w:left w:val="nil"/>
          <w:bottom w:val="nil"/>
          <w:right w:val="nil"/>
          <w:between w:val="nil"/>
        </w:pBdr>
        <w:spacing w:before="120" w:after="120"/>
        <w:ind w:left="851" w:right="900"/>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 xml:space="preserve">Quincuagésimo cuarto. </w:t>
      </w:r>
      <w:r w:rsidRPr="0035228F">
        <w:rPr>
          <w:rFonts w:ascii="Palatino Linotype" w:eastAsia="Palatino Linotype" w:hAnsi="Palatino Linotype" w:cs="Palatino Linotype"/>
          <w:i/>
          <w:iCs/>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35228F">
        <w:rPr>
          <w:rFonts w:ascii="Palatino Linotype" w:eastAsia="Palatino Linotype" w:hAnsi="Palatino Linotype" w:cs="Palatino Linotype"/>
          <w:b/>
          <w:bCs/>
          <w:i/>
          <w:iCs/>
          <w:sz w:val="22"/>
          <w:szCs w:val="22"/>
        </w:rPr>
        <w:t xml:space="preserve"> </w:t>
      </w:r>
    </w:p>
    <w:p w14:paraId="26E1C276" w14:textId="77777777" w:rsidR="00E20C94" w:rsidRPr="0035228F" w:rsidRDefault="009521F6">
      <w:pPr>
        <w:spacing w:before="120" w:after="120"/>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 xml:space="preserve">Quincuagésimo quinto. </w:t>
      </w:r>
      <w:r w:rsidRPr="0035228F">
        <w:rPr>
          <w:rFonts w:ascii="Palatino Linotype" w:eastAsia="Palatino Linotype" w:hAnsi="Palatino Linotype" w:cs="Palatino Linotype"/>
          <w:i/>
          <w:iCs/>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3DEDEF4D" w14:textId="77777777" w:rsidR="00E20C94" w:rsidRPr="0035228F" w:rsidRDefault="009521F6">
      <w:pPr>
        <w:spacing w:before="120" w:after="120"/>
        <w:ind w:left="851" w:right="902"/>
        <w:jc w:val="both"/>
        <w:rPr>
          <w:rFonts w:ascii="Palatino Linotype" w:eastAsia="Palatino Linotype" w:hAnsi="Palatino Linotype" w:cs="Palatino Linotype"/>
          <w:b/>
          <w:bCs/>
          <w:i/>
          <w:iCs/>
          <w:sz w:val="22"/>
          <w:szCs w:val="22"/>
        </w:rPr>
      </w:pPr>
      <w:r w:rsidRPr="0035228F">
        <w:rPr>
          <w:rFonts w:ascii="Palatino Linotype" w:eastAsia="Palatino Linotype" w:hAnsi="Palatino Linotype" w:cs="Palatino Linotype"/>
          <w:b/>
          <w:bCs/>
          <w:i/>
          <w:iCs/>
          <w:sz w:val="22"/>
          <w:szCs w:val="22"/>
        </w:rPr>
        <w:t>...</w:t>
      </w:r>
    </w:p>
    <w:p w14:paraId="6C022CEB" w14:textId="77777777" w:rsidR="00E20C94" w:rsidRPr="0035228F" w:rsidRDefault="009521F6">
      <w:pPr>
        <w:spacing w:before="120" w:after="120"/>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Quincuagésimo séptimo</w:t>
      </w:r>
      <w:r w:rsidRPr="0035228F">
        <w:rPr>
          <w:rFonts w:ascii="Palatino Linotype" w:eastAsia="Palatino Linotype" w:hAnsi="Palatino Linotype" w:cs="Palatino Linotype"/>
          <w:i/>
          <w:iCs/>
          <w:sz w:val="22"/>
          <w:szCs w:val="22"/>
        </w:rPr>
        <w:t xml:space="preserve">. Se considera, en principio, como información pública y no podrá omitirse de las versiones públicas la siguiente: </w:t>
      </w:r>
    </w:p>
    <w:p w14:paraId="2A822C4F" w14:textId="77777777" w:rsidR="00E20C94" w:rsidRPr="0035228F" w:rsidRDefault="009521F6">
      <w:pPr>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w:t>
      </w:r>
      <w:r w:rsidRPr="0035228F">
        <w:rPr>
          <w:rFonts w:ascii="Palatino Linotype" w:eastAsia="Palatino Linotype" w:hAnsi="Palatino Linotype" w:cs="Palatino Linotype"/>
          <w:i/>
          <w:iCs/>
          <w:sz w:val="22"/>
          <w:szCs w:val="22"/>
        </w:rPr>
        <w:t xml:space="preserve">. La relativa a las Obligaciones de Transparencia que contempla el Título V de la Ley General y las demás disposiciones legales aplicables; </w:t>
      </w:r>
    </w:p>
    <w:p w14:paraId="5EEA8CC4" w14:textId="77777777" w:rsidR="00E20C94" w:rsidRPr="0035228F" w:rsidRDefault="009521F6">
      <w:pPr>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II.</w:t>
      </w:r>
      <w:r w:rsidRPr="0035228F">
        <w:rPr>
          <w:rFonts w:ascii="Palatino Linotype" w:eastAsia="Palatino Linotype" w:hAnsi="Palatino Linotype" w:cs="Palatino Linotype"/>
          <w:i/>
          <w:iCs/>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672732A3" w14:textId="77777777" w:rsidR="00E20C94" w:rsidRPr="0035228F" w:rsidRDefault="009521F6">
      <w:pPr>
        <w:spacing w:before="120" w:after="120"/>
        <w:ind w:left="1134"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III</w:t>
      </w:r>
      <w:r w:rsidRPr="0035228F">
        <w:rPr>
          <w:rFonts w:ascii="Palatino Linotype" w:eastAsia="Palatino Linotype" w:hAnsi="Palatino Linotype" w:cs="Palatino Linotype"/>
          <w:i/>
          <w:iCs/>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65CE8595" w14:textId="77777777" w:rsidR="00E20C94" w:rsidRPr="0035228F" w:rsidRDefault="009521F6">
      <w:pPr>
        <w:spacing w:before="120" w:after="120"/>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 xml:space="preserve">Lo anterior, siempre y cuando no se acredite alguna causal de clasificación, prevista en las leyes o en los tratados internacionales suscritas por el Estado mexicano.  </w:t>
      </w:r>
    </w:p>
    <w:p w14:paraId="3EE79453" w14:textId="77777777" w:rsidR="00E20C94" w:rsidRPr="0035228F" w:rsidRDefault="009521F6">
      <w:pPr>
        <w:spacing w:before="120" w:after="120"/>
        <w:ind w:left="851" w:right="902"/>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b/>
          <w:bCs/>
          <w:i/>
          <w:iCs/>
          <w:sz w:val="22"/>
          <w:szCs w:val="22"/>
        </w:rPr>
        <w:t>Quincuagésimo octavo</w:t>
      </w:r>
      <w:r w:rsidRPr="0035228F">
        <w:rPr>
          <w:rFonts w:ascii="Palatino Linotype" w:eastAsia="Palatino Linotype" w:hAnsi="Palatino Linotype" w:cs="Palatino Linotype"/>
          <w:i/>
          <w:iCs/>
          <w:sz w:val="22"/>
          <w:szCs w:val="22"/>
        </w:rPr>
        <w:t>. Los sujetos obligados garantizarán que los sistemas o medios empleados para eliminar la información en las versiones públicas sean irreversibles, de tal forma que no permitan su recuperación o la visualización de la misma.”</w:t>
      </w:r>
    </w:p>
    <w:p w14:paraId="5531FCE8"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9C0386E" w14:textId="77777777" w:rsidR="00E20C94" w:rsidRPr="0035228F"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Así,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fracción III, así como 188 de la Ley de Transparencia y Acceso a la Información Pública del Estado de México y Municipios, este Pleno:</w:t>
      </w:r>
    </w:p>
    <w:p w14:paraId="5E41C03B" w14:textId="77777777" w:rsidR="00E20C94" w:rsidRPr="0035228F" w:rsidRDefault="00E20C94">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sz w:val="22"/>
          <w:szCs w:val="22"/>
        </w:rPr>
      </w:pPr>
    </w:p>
    <w:p w14:paraId="1B788368" w14:textId="77777777" w:rsidR="00E20C94" w:rsidRPr="0035228F" w:rsidRDefault="009521F6">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bookmarkStart w:id="10" w:name="_heading=h.ijv98pntcd5s" w:colFirst="0" w:colLast="0"/>
      <w:bookmarkEnd w:id="10"/>
      <w:r w:rsidRPr="0035228F">
        <w:rPr>
          <w:rFonts w:ascii="Palatino Linotype" w:eastAsia="Palatino Linotype" w:hAnsi="Palatino Linotype" w:cs="Palatino Linotype"/>
          <w:b/>
          <w:bCs/>
          <w:sz w:val="22"/>
          <w:szCs w:val="22"/>
        </w:rPr>
        <w:t>III. R E S U E L V E</w:t>
      </w:r>
    </w:p>
    <w:p w14:paraId="7955FCCD" w14:textId="77777777" w:rsidR="00E20C94" w:rsidRPr="0035228F" w:rsidRDefault="00E20C94">
      <w:pPr>
        <w:spacing w:line="360" w:lineRule="auto"/>
        <w:jc w:val="both"/>
        <w:rPr>
          <w:rFonts w:ascii="Palatino Linotype" w:eastAsia="Palatino Linotype" w:hAnsi="Palatino Linotype" w:cs="Palatino Linotype"/>
          <w:b/>
          <w:bCs/>
          <w:sz w:val="22"/>
          <w:szCs w:val="22"/>
        </w:rPr>
      </w:pPr>
      <w:bookmarkStart w:id="11" w:name="_heading=h.26in1rg" w:colFirst="0" w:colLast="0"/>
      <w:bookmarkEnd w:id="11"/>
    </w:p>
    <w:p w14:paraId="72D0445F" w14:textId="1B0FEC82" w:rsidR="00E20C94" w:rsidRPr="0035228F" w:rsidRDefault="009521F6" w:rsidP="004B6119">
      <w:pPr>
        <w:spacing w:line="360" w:lineRule="auto"/>
        <w:ind w:right="49"/>
        <w:jc w:val="both"/>
        <w:rPr>
          <w:rFonts w:ascii="Palatino Linotype" w:eastAsia="Palatino Linotype" w:hAnsi="Palatino Linotype" w:cs="Palatino Linotype"/>
        </w:rPr>
      </w:pPr>
      <w:bookmarkStart w:id="12" w:name="_heading=h.h7nzb79wlra" w:colFirst="0" w:colLast="0"/>
      <w:bookmarkEnd w:id="12"/>
      <w:r w:rsidRPr="0035228F">
        <w:rPr>
          <w:rFonts w:ascii="Palatino Linotype" w:eastAsia="Palatino Linotype" w:hAnsi="Palatino Linotype" w:cs="Palatino Linotype"/>
          <w:b/>
          <w:bCs/>
          <w:sz w:val="22"/>
          <w:szCs w:val="22"/>
        </w:rPr>
        <w:t xml:space="preserve">Primero. </w:t>
      </w:r>
      <w:r w:rsidRPr="0035228F">
        <w:rPr>
          <w:rFonts w:ascii="Palatino Linotype" w:eastAsia="Palatino Linotype" w:hAnsi="Palatino Linotype" w:cs="Palatino Linotype"/>
          <w:sz w:val="22"/>
          <w:szCs w:val="22"/>
        </w:rPr>
        <w:t xml:space="preserve">Resultan </w:t>
      </w:r>
      <w:r w:rsidRPr="0035228F">
        <w:rPr>
          <w:rFonts w:ascii="Palatino Linotype" w:eastAsia="Palatino Linotype" w:hAnsi="Palatino Linotype" w:cs="Palatino Linotype"/>
          <w:b/>
          <w:bCs/>
          <w:sz w:val="22"/>
          <w:szCs w:val="22"/>
        </w:rPr>
        <w:t>parcialmente</w:t>
      </w:r>
      <w:r w:rsidRPr="0035228F">
        <w:rPr>
          <w:rFonts w:ascii="Palatino Linotype" w:eastAsia="Palatino Linotype" w:hAnsi="Palatino Linotype" w:cs="Palatino Linotype"/>
          <w:sz w:val="22"/>
          <w:szCs w:val="22"/>
        </w:rPr>
        <w:t xml:space="preserve"> </w:t>
      </w:r>
      <w:r w:rsidRPr="0035228F">
        <w:rPr>
          <w:rFonts w:ascii="Palatino Linotype" w:eastAsia="Palatino Linotype" w:hAnsi="Palatino Linotype" w:cs="Palatino Linotype"/>
          <w:b/>
          <w:bCs/>
          <w:sz w:val="22"/>
          <w:szCs w:val="22"/>
        </w:rPr>
        <w:t>fundadas</w:t>
      </w:r>
      <w:r w:rsidRPr="0035228F">
        <w:rPr>
          <w:rFonts w:ascii="Palatino Linotype" w:eastAsia="Palatino Linotype" w:hAnsi="Palatino Linotype" w:cs="Palatino Linotype"/>
          <w:sz w:val="22"/>
          <w:szCs w:val="22"/>
        </w:rPr>
        <w:t xml:space="preserve"> las razones o motivos de inconformidad hechos valer por la parte</w:t>
      </w:r>
      <w:r w:rsidRPr="0035228F">
        <w:rPr>
          <w:rFonts w:ascii="Palatino Linotype" w:eastAsia="Palatino Linotype" w:hAnsi="Palatino Linotype" w:cs="Palatino Linotype"/>
          <w:b/>
          <w:bCs/>
          <w:sz w:val="22"/>
          <w:szCs w:val="22"/>
        </w:rPr>
        <w:t xml:space="preserve"> Recurrente</w:t>
      </w:r>
      <w:r w:rsidRPr="0035228F">
        <w:rPr>
          <w:rFonts w:ascii="Palatino Linotype" w:eastAsia="Palatino Linotype" w:hAnsi="Palatino Linotype" w:cs="Palatino Linotype"/>
          <w:sz w:val="22"/>
          <w:szCs w:val="22"/>
        </w:rPr>
        <w:t xml:space="preserve"> en los recursos de revisión </w:t>
      </w:r>
      <w:r w:rsidR="00431015" w:rsidRPr="0035228F">
        <w:rPr>
          <w:rFonts w:ascii="Palatino Linotype" w:eastAsia="Palatino Linotype" w:hAnsi="Palatino Linotype" w:cs="Palatino Linotype"/>
          <w:b/>
          <w:bCs/>
          <w:sz w:val="22"/>
          <w:szCs w:val="22"/>
        </w:rPr>
        <w:t>00464/INFOEM/IP/RR/2026, 00469/INFOEM/IP/RR/2026, 00474/INFOEM/IP/RR/2026, 00479/INFOEM/IP/RR/2026, 00484/INFOEM/IP/RR/2026, 00494/INFOEM/IP/RR/2026, 00504/INFOEM/IP/RR/2026, 00509/INFOEM/IP/RR/2026, 00514/INFOEM/IP/RR/2026 y 00519/INFOEM/IP/RR/2026</w:t>
      </w:r>
      <w:r w:rsidR="004B6119" w:rsidRPr="0035228F">
        <w:rPr>
          <w:rFonts w:ascii="Palatino Linotype" w:eastAsia="Palatino Linotype" w:hAnsi="Palatino Linotype" w:cs="Palatino Linotype"/>
        </w:rPr>
        <w:t xml:space="preserve"> </w:t>
      </w:r>
      <w:r w:rsidRPr="0035228F">
        <w:rPr>
          <w:rFonts w:ascii="Palatino Linotype" w:eastAsia="Palatino Linotype" w:hAnsi="Palatino Linotype" w:cs="Palatino Linotype"/>
          <w:b/>
          <w:bCs/>
          <w:sz w:val="22"/>
          <w:szCs w:val="22"/>
        </w:rPr>
        <w:t>acumulados</w:t>
      </w:r>
      <w:r w:rsidRPr="0035228F">
        <w:rPr>
          <w:rFonts w:ascii="Palatino Linotype" w:eastAsia="Palatino Linotype" w:hAnsi="Palatino Linotype" w:cs="Palatino Linotype"/>
          <w:sz w:val="22"/>
          <w:szCs w:val="22"/>
        </w:rPr>
        <w:t xml:space="preserve">; por lo que, en términos del </w:t>
      </w:r>
      <w:r w:rsidRPr="0035228F">
        <w:rPr>
          <w:rFonts w:ascii="Palatino Linotype" w:eastAsia="Palatino Linotype" w:hAnsi="Palatino Linotype" w:cs="Palatino Linotype"/>
          <w:b/>
          <w:bCs/>
          <w:sz w:val="22"/>
          <w:szCs w:val="22"/>
        </w:rPr>
        <w:t>Considerando</w:t>
      </w:r>
      <w:r w:rsidRPr="0035228F">
        <w:rPr>
          <w:rFonts w:ascii="Palatino Linotype" w:eastAsia="Palatino Linotype" w:hAnsi="Palatino Linotype" w:cs="Palatino Linotype"/>
          <w:sz w:val="22"/>
          <w:szCs w:val="22"/>
        </w:rPr>
        <w:t xml:space="preserve"> </w:t>
      </w:r>
      <w:r w:rsidRPr="0035228F">
        <w:rPr>
          <w:rFonts w:ascii="Palatino Linotype" w:eastAsia="Palatino Linotype" w:hAnsi="Palatino Linotype" w:cs="Palatino Linotype"/>
          <w:b/>
          <w:bCs/>
          <w:sz w:val="22"/>
          <w:szCs w:val="22"/>
        </w:rPr>
        <w:t xml:space="preserve">Cuarto </w:t>
      </w:r>
      <w:r w:rsidRPr="0035228F">
        <w:rPr>
          <w:rFonts w:ascii="Palatino Linotype" w:eastAsia="Palatino Linotype" w:hAnsi="Palatino Linotype" w:cs="Palatino Linotype"/>
          <w:sz w:val="22"/>
          <w:szCs w:val="22"/>
        </w:rPr>
        <w:t xml:space="preserve">de esta resolución, se </w:t>
      </w:r>
      <w:r w:rsidRPr="0035228F">
        <w:rPr>
          <w:rFonts w:ascii="Palatino Linotype" w:eastAsia="Palatino Linotype" w:hAnsi="Palatino Linotype" w:cs="Palatino Linotype"/>
          <w:b/>
          <w:bCs/>
          <w:sz w:val="22"/>
          <w:szCs w:val="22"/>
        </w:rPr>
        <w:t xml:space="preserve">Modifican </w:t>
      </w:r>
      <w:r w:rsidRPr="0035228F">
        <w:rPr>
          <w:rFonts w:ascii="Palatino Linotype" w:eastAsia="Palatino Linotype" w:hAnsi="Palatino Linotype" w:cs="Palatino Linotype"/>
          <w:sz w:val="22"/>
          <w:szCs w:val="22"/>
        </w:rPr>
        <w:t xml:space="preserve">las respuestas emitidas por el </w:t>
      </w:r>
      <w:r w:rsidRPr="0035228F">
        <w:rPr>
          <w:rFonts w:ascii="Palatino Linotype" w:eastAsia="Palatino Linotype" w:hAnsi="Palatino Linotype" w:cs="Palatino Linotype"/>
          <w:b/>
          <w:bCs/>
          <w:sz w:val="22"/>
          <w:szCs w:val="22"/>
        </w:rPr>
        <w:t>Sujeto Obligado.</w:t>
      </w:r>
    </w:p>
    <w:p w14:paraId="3ADBF31D" w14:textId="77777777" w:rsidR="00E20C94" w:rsidRPr="0035228F" w:rsidRDefault="00E20C94">
      <w:pPr>
        <w:spacing w:line="360" w:lineRule="auto"/>
        <w:jc w:val="both"/>
        <w:rPr>
          <w:rFonts w:ascii="Palatino Linotype" w:eastAsia="Palatino Linotype" w:hAnsi="Palatino Linotype" w:cs="Palatino Linotype"/>
          <w:b/>
          <w:bCs/>
          <w:sz w:val="22"/>
          <w:szCs w:val="22"/>
        </w:rPr>
      </w:pPr>
    </w:p>
    <w:p w14:paraId="230A6A17" w14:textId="77777777" w:rsidR="00E20C94" w:rsidRPr="0035228F" w:rsidRDefault="009521F6">
      <w:pPr>
        <w:spacing w:line="360" w:lineRule="auto"/>
        <w:jc w:val="both"/>
        <w:rPr>
          <w:rFonts w:ascii="Palatino Linotype" w:eastAsia="Palatino Linotype" w:hAnsi="Palatino Linotype" w:cs="Palatino Linotype"/>
          <w:sz w:val="22"/>
          <w:szCs w:val="22"/>
        </w:rPr>
      </w:pPr>
      <w:bookmarkStart w:id="13" w:name="_heading=h.2et92p0" w:colFirst="0" w:colLast="0"/>
      <w:bookmarkEnd w:id="13"/>
      <w:r w:rsidRPr="0035228F">
        <w:rPr>
          <w:rFonts w:ascii="Palatino Linotype" w:eastAsia="Palatino Linotype" w:hAnsi="Palatino Linotype" w:cs="Palatino Linotype"/>
          <w:b/>
          <w:bCs/>
          <w:sz w:val="22"/>
          <w:szCs w:val="22"/>
        </w:rPr>
        <w:t xml:space="preserve">Segundo. </w:t>
      </w:r>
      <w:r w:rsidRPr="0035228F">
        <w:rPr>
          <w:rFonts w:ascii="Palatino Linotype" w:eastAsia="Palatino Linotype" w:hAnsi="Palatino Linotype" w:cs="Palatino Linotype"/>
          <w:sz w:val="22"/>
          <w:szCs w:val="22"/>
        </w:rPr>
        <w:t xml:space="preserve">Se </w:t>
      </w:r>
      <w:r w:rsidRPr="0035228F">
        <w:rPr>
          <w:rFonts w:ascii="Palatino Linotype" w:eastAsia="Palatino Linotype" w:hAnsi="Palatino Linotype" w:cs="Palatino Linotype"/>
          <w:b/>
          <w:bCs/>
          <w:sz w:val="22"/>
          <w:szCs w:val="22"/>
        </w:rPr>
        <w:t>Ordena</w:t>
      </w:r>
      <w:r w:rsidRPr="0035228F">
        <w:rPr>
          <w:rFonts w:ascii="Palatino Linotype" w:eastAsia="Palatino Linotype" w:hAnsi="Palatino Linotype" w:cs="Palatino Linotype"/>
          <w:sz w:val="22"/>
          <w:szCs w:val="22"/>
        </w:rPr>
        <w:t xml:space="preserve"> al </w:t>
      </w:r>
      <w:r w:rsidRPr="0035228F">
        <w:rPr>
          <w:rFonts w:ascii="Palatino Linotype" w:eastAsia="Palatino Linotype" w:hAnsi="Palatino Linotype" w:cs="Palatino Linotype"/>
          <w:b/>
          <w:bCs/>
          <w:sz w:val="22"/>
          <w:szCs w:val="22"/>
        </w:rPr>
        <w:t>Sujeto Obligado</w:t>
      </w:r>
      <w:r w:rsidRPr="0035228F">
        <w:rPr>
          <w:rFonts w:ascii="Palatino Linotype" w:eastAsia="Palatino Linotype" w:hAnsi="Palatino Linotype" w:cs="Palatino Linotype"/>
          <w:sz w:val="22"/>
          <w:szCs w:val="22"/>
        </w:rPr>
        <w:t xml:space="preserve">, en términos de los considerandos </w:t>
      </w:r>
      <w:r w:rsidRPr="0035228F">
        <w:rPr>
          <w:rFonts w:ascii="Palatino Linotype" w:eastAsia="Palatino Linotype" w:hAnsi="Palatino Linotype" w:cs="Palatino Linotype"/>
          <w:b/>
          <w:bCs/>
          <w:sz w:val="22"/>
          <w:szCs w:val="22"/>
        </w:rPr>
        <w:t xml:space="preserve">Cuarto y Quinto </w:t>
      </w:r>
      <w:r w:rsidRPr="0035228F">
        <w:rPr>
          <w:rFonts w:ascii="Palatino Linotype" w:eastAsia="Palatino Linotype" w:hAnsi="Palatino Linotype" w:cs="Palatino Linotype"/>
          <w:sz w:val="22"/>
          <w:szCs w:val="22"/>
        </w:rPr>
        <w:t xml:space="preserve">de esta resolución, </w:t>
      </w:r>
      <w:r w:rsidRPr="0035228F">
        <w:rPr>
          <w:rFonts w:ascii="Palatino Linotype" w:eastAsia="Palatino Linotype" w:hAnsi="Palatino Linotype" w:cs="Palatino Linotype"/>
          <w:b/>
          <w:bCs/>
          <w:sz w:val="22"/>
          <w:szCs w:val="22"/>
        </w:rPr>
        <w:t>haga entrega vía Sistema de Acceso a la Información Mexiquense (SAIMEX), de ser procedente en versión pública,</w:t>
      </w:r>
      <w:r w:rsidRPr="0035228F">
        <w:rPr>
          <w:rFonts w:ascii="Palatino Linotype" w:eastAsia="Palatino Linotype" w:hAnsi="Palatino Linotype" w:cs="Palatino Linotype"/>
          <w:sz w:val="22"/>
          <w:szCs w:val="22"/>
        </w:rPr>
        <w:t xml:space="preserve"> lo siguiente:</w:t>
      </w:r>
    </w:p>
    <w:p w14:paraId="6194C3ED"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232D578E" w14:textId="006FCD94" w:rsidR="00E20C94" w:rsidRPr="0035228F" w:rsidRDefault="009521F6">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5228F">
        <w:rPr>
          <w:rFonts w:ascii="Palatino Linotype" w:eastAsia="Palatino Linotype" w:hAnsi="Palatino Linotype" w:cs="Palatino Linotype"/>
          <w:b/>
          <w:bCs/>
          <w:sz w:val="22"/>
          <w:szCs w:val="22"/>
        </w:rPr>
        <w:t xml:space="preserve">Todas las documentales que integran los expedientes relacionados con los recursos de revisión </w:t>
      </w:r>
      <w:r w:rsidR="00431015" w:rsidRPr="0035228F">
        <w:rPr>
          <w:rFonts w:ascii="Palatino Linotype" w:eastAsia="Palatino Linotype" w:hAnsi="Palatino Linotype" w:cs="Palatino Linotype"/>
          <w:b/>
          <w:bCs/>
          <w:sz w:val="22"/>
          <w:szCs w:val="22"/>
        </w:rPr>
        <w:t>03058/INFOEM/IP/RR/2025, 03053/INFOEM/IP/RR/2025, 03049/INFOEM/IP/RR/2025, 01756/INFOEM/IP/RR/2025, 01740/INFOEM/IP/RR/2025, 01696/INFOEM/IP/RR/2025, 01689/INFOEM/IP/RR/2025, 01611/INFOEM/IP/RR/2025, 01606/INFOEM/IP/RR/2025   y 01601/INFOEM/IP/RR/2025</w:t>
      </w:r>
      <w:r w:rsidRPr="0035228F">
        <w:rPr>
          <w:rFonts w:ascii="Palatino Linotype" w:eastAsia="Palatino Linotype" w:hAnsi="Palatino Linotype" w:cs="Palatino Linotype"/>
          <w:b/>
          <w:bCs/>
          <w:sz w:val="22"/>
          <w:szCs w:val="22"/>
        </w:rPr>
        <w:t xml:space="preserve">, generadas al </w:t>
      </w:r>
      <w:r w:rsidR="00431015" w:rsidRPr="0035228F">
        <w:rPr>
          <w:rFonts w:ascii="Palatino Linotype" w:eastAsia="Palatino Linotype" w:hAnsi="Palatino Linotype" w:cs="Palatino Linotype"/>
          <w:b/>
          <w:bCs/>
          <w:sz w:val="22"/>
          <w:szCs w:val="22"/>
        </w:rPr>
        <w:t>once y veinte</w:t>
      </w:r>
      <w:r w:rsidR="004B6119" w:rsidRPr="0035228F">
        <w:rPr>
          <w:rFonts w:ascii="Palatino Linotype" w:eastAsia="Palatino Linotype" w:hAnsi="Palatino Linotype" w:cs="Palatino Linotype"/>
          <w:b/>
          <w:bCs/>
          <w:sz w:val="22"/>
          <w:szCs w:val="22"/>
        </w:rPr>
        <w:t xml:space="preserve"> </w:t>
      </w:r>
      <w:r w:rsidRPr="0035228F">
        <w:rPr>
          <w:rFonts w:ascii="Palatino Linotype" w:eastAsia="Palatino Linotype" w:hAnsi="Palatino Linotype" w:cs="Palatino Linotype"/>
          <w:b/>
          <w:bCs/>
          <w:sz w:val="22"/>
          <w:szCs w:val="22"/>
        </w:rPr>
        <w:t>de noviembre de dos mil veinticinco</w:t>
      </w:r>
      <w:r w:rsidR="004B6119" w:rsidRPr="0035228F">
        <w:rPr>
          <w:rFonts w:ascii="Palatino Linotype" w:eastAsia="Palatino Linotype" w:hAnsi="Palatino Linotype" w:cs="Palatino Linotype"/>
          <w:b/>
          <w:bCs/>
          <w:sz w:val="22"/>
          <w:szCs w:val="22"/>
        </w:rPr>
        <w:t xml:space="preserve">, según corresponda. </w:t>
      </w:r>
    </w:p>
    <w:p w14:paraId="1D84B11D" w14:textId="77777777" w:rsidR="00E20C94" w:rsidRPr="0035228F"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68B66CD" w14:textId="77777777" w:rsidR="00E20C94" w:rsidRPr="0035228F" w:rsidRDefault="009521F6">
      <w:pPr>
        <w:ind w:left="284"/>
        <w:jc w:val="both"/>
        <w:rPr>
          <w:rFonts w:ascii="Palatino Linotype" w:eastAsia="Palatino Linotype" w:hAnsi="Palatino Linotype" w:cs="Palatino Linotype"/>
          <w:i/>
          <w:iCs/>
          <w:sz w:val="22"/>
          <w:szCs w:val="22"/>
        </w:rPr>
      </w:pPr>
      <w:r w:rsidRPr="0035228F">
        <w:rPr>
          <w:rFonts w:ascii="Palatino Linotype" w:eastAsia="Palatino Linotype" w:hAnsi="Palatino Linotype" w:cs="Palatino Linotype"/>
          <w:i/>
          <w:iCs/>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35228F">
        <w:rPr>
          <w:rFonts w:ascii="Palatino Linotype" w:eastAsia="Palatino Linotype" w:hAnsi="Palatino Linotype" w:cs="Palatino Linotype"/>
          <w:b/>
          <w:bCs/>
          <w:i/>
          <w:iCs/>
          <w:sz w:val="22"/>
          <w:szCs w:val="22"/>
        </w:rPr>
        <w:t>la parte Recurrente</w:t>
      </w:r>
      <w:r w:rsidRPr="0035228F">
        <w:rPr>
          <w:rFonts w:ascii="Palatino Linotype" w:eastAsia="Palatino Linotype" w:hAnsi="Palatino Linotype" w:cs="Palatino Linotype"/>
          <w:i/>
          <w:iCs/>
          <w:sz w:val="22"/>
          <w:szCs w:val="22"/>
        </w:rPr>
        <w:t>, mismo que igualmente hará de su conocimiento.</w:t>
      </w:r>
    </w:p>
    <w:p w14:paraId="2CF381F8" w14:textId="77777777" w:rsidR="00E20C94" w:rsidRPr="0035228F" w:rsidRDefault="00E20C94">
      <w:pPr>
        <w:jc w:val="both"/>
        <w:rPr>
          <w:rFonts w:ascii="Palatino Linotype" w:eastAsia="Palatino Linotype" w:hAnsi="Palatino Linotype" w:cs="Palatino Linotype"/>
          <w:i/>
          <w:iCs/>
          <w:sz w:val="22"/>
          <w:szCs w:val="22"/>
        </w:rPr>
      </w:pPr>
    </w:p>
    <w:p w14:paraId="14CDC31D" w14:textId="54E0643C" w:rsidR="00E20C94" w:rsidRPr="0035228F" w:rsidRDefault="009521F6">
      <w:pPr>
        <w:pBdr>
          <w:top w:val="nil"/>
          <w:left w:val="nil"/>
          <w:bottom w:val="nil"/>
          <w:right w:val="nil"/>
          <w:between w:val="nil"/>
        </w:pBdr>
        <w:spacing w:before="240" w:after="160"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b/>
          <w:bCs/>
          <w:sz w:val="22"/>
          <w:szCs w:val="22"/>
        </w:rPr>
        <w:t xml:space="preserve">Tercero. </w:t>
      </w:r>
      <w:r w:rsidRPr="0035228F">
        <w:rPr>
          <w:rFonts w:ascii="Palatino Linotype" w:eastAsia="Palatino Linotype" w:hAnsi="Palatino Linotype" w:cs="Palatino Linotype"/>
          <w:sz w:val="22"/>
          <w:szCs w:val="22"/>
        </w:rPr>
        <w:t xml:space="preserve">Se </w:t>
      </w:r>
      <w:r w:rsidRPr="0035228F">
        <w:rPr>
          <w:rFonts w:ascii="Palatino Linotype" w:eastAsia="Palatino Linotype" w:hAnsi="Palatino Linotype" w:cs="Palatino Linotype"/>
          <w:b/>
          <w:bCs/>
          <w:sz w:val="22"/>
          <w:szCs w:val="22"/>
        </w:rPr>
        <w:t>SOBRESEE</w:t>
      </w:r>
      <w:r w:rsidR="004B6119" w:rsidRPr="0035228F">
        <w:rPr>
          <w:rFonts w:ascii="Palatino Linotype" w:eastAsia="Palatino Linotype" w:hAnsi="Palatino Linotype" w:cs="Palatino Linotype"/>
          <w:b/>
          <w:bCs/>
          <w:sz w:val="22"/>
          <w:szCs w:val="22"/>
        </w:rPr>
        <w:t>N</w:t>
      </w:r>
      <w:r w:rsidRPr="0035228F">
        <w:rPr>
          <w:rFonts w:ascii="Palatino Linotype" w:eastAsia="Palatino Linotype" w:hAnsi="Palatino Linotype" w:cs="Palatino Linotype"/>
          <w:b/>
          <w:bCs/>
          <w:sz w:val="22"/>
          <w:szCs w:val="22"/>
        </w:rPr>
        <w:t xml:space="preserve"> </w:t>
      </w:r>
      <w:r w:rsidR="004B6119" w:rsidRPr="0035228F">
        <w:rPr>
          <w:rFonts w:ascii="Palatino Linotype" w:eastAsia="Palatino Linotype" w:hAnsi="Palatino Linotype" w:cs="Palatino Linotype"/>
          <w:sz w:val="22"/>
          <w:szCs w:val="22"/>
        </w:rPr>
        <w:t>los</w:t>
      </w:r>
      <w:r w:rsidRPr="0035228F">
        <w:rPr>
          <w:rFonts w:ascii="Palatino Linotype" w:eastAsia="Palatino Linotype" w:hAnsi="Palatino Linotype" w:cs="Palatino Linotype"/>
          <w:sz w:val="22"/>
          <w:szCs w:val="22"/>
        </w:rPr>
        <w:t xml:space="preserve"> recurso</w:t>
      </w:r>
      <w:r w:rsidR="004B6119" w:rsidRPr="0035228F">
        <w:rPr>
          <w:rFonts w:ascii="Palatino Linotype" w:eastAsia="Palatino Linotype" w:hAnsi="Palatino Linotype" w:cs="Palatino Linotype"/>
          <w:sz w:val="22"/>
          <w:szCs w:val="22"/>
        </w:rPr>
        <w:t>s</w:t>
      </w:r>
      <w:r w:rsidRPr="0035228F">
        <w:rPr>
          <w:rFonts w:ascii="Palatino Linotype" w:eastAsia="Palatino Linotype" w:hAnsi="Palatino Linotype" w:cs="Palatino Linotype"/>
          <w:sz w:val="22"/>
          <w:szCs w:val="22"/>
        </w:rPr>
        <w:t xml:space="preserve"> de revisión </w:t>
      </w:r>
      <w:r w:rsidRPr="0035228F">
        <w:rPr>
          <w:rFonts w:ascii="Palatino Linotype" w:eastAsia="Palatino Linotype" w:hAnsi="Palatino Linotype" w:cs="Palatino Linotype"/>
          <w:b/>
          <w:bCs/>
          <w:sz w:val="22"/>
          <w:szCs w:val="22"/>
        </w:rPr>
        <w:t>00</w:t>
      </w:r>
      <w:r w:rsidR="00431015" w:rsidRPr="0035228F">
        <w:rPr>
          <w:rFonts w:ascii="Palatino Linotype" w:eastAsia="Palatino Linotype" w:hAnsi="Palatino Linotype" w:cs="Palatino Linotype"/>
          <w:b/>
          <w:bCs/>
          <w:sz w:val="22"/>
          <w:szCs w:val="22"/>
        </w:rPr>
        <w:t>489</w:t>
      </w:r>
      <w:r w:rsidRPr="0035228F">
        <w:rPr>
          <w:rFonts w:ascii="Palatino Linotype" w:eastAsia="Palatino Linotype" w:hAnsi="Palatino Linotype" w:cs="Palatino Linotype"/>
          <w:b/>
          <w:bCs/>
          <w:sz w:val="22"/>
          <w:szCs w:val="22"/>
        </w:rPr>
        <w:t>/INFOEM/IP/RR/2026</w:t>
      </w:r>
      <w:r w:rsidR="004B6119" w:rsidRPr="0035228F">
        <w:rPr>
          <w:rFonts w:ascii="Palatino Linotype" w:eastAsia="Palatino Linotype" w:hAnsi="Palatino Linotype" w:cs="Palatino Linotype"/>
          <w:b/>
          <w:bCs/>
          <w:sz w:val="22"/>
          <w:szCs w:val="22"/>
        </w:rPr>
        <w:t xml:space="preserve"> y 00</w:t>
      </w:r>
      <w:r w:rsidR="00431015" w:rsidRPr="0035228F">
        <w:rPr>
          <w:rFonts w:ascii="Palatino Linotype" w:eastAsia="Palatino Linotype" w:hAnsi="Palatino Linotype" w:cs="Palatino Linotype"/>
          <w:b/>
          <w:bCs/>
          <w:sz w:val="22"/>
          <w:szCs w:val="22"/>
        </w:rPr>
        <w:t>499</w:t>
      </w:r>
      <w:r w:rsidR="004B6119" w:rsidRPr="0035228F">
        <w:rPr>
          <w:rFonts w:ascii="Palatino Linotype" w:eastAsia="Palatino Linotype" w:hAnsi="Palatino Linotype" w:cs="Palatino Linotype"/>
          <w:b/>
          <w:bCs/>
          <w:sz w:val="22"/>
          <w:szCs w:val="22"/>
        </w:rPr>
        <w:t>/INFOEM/IP/RR/2026,</w:t>
      </w:r>
      <w:r w:rsidRPr="0035228F">
        <w:rPr>
          <w:rFonts w:ascii="Palatino Linotype" w:eastAsia="Palatino Linotype" w:hAnsi="Palatino Linotype" w:cs="Palatino Linotype"/>
          <w:b/>
          <w:bCs/>
          <w:sz w:val="22"/>
          <w:szCs w:val="22"/>
        </w:rPr>
        <w:t xml:space="preserve"> </w:t>
      </w:r>
      <w:r w:rsidRPr="0035228F">
        <w:rPr>
          <w:rFonts w:ascii="Palatino Linotype" w:eastAsia="Palatino Linotype" w:hAnsi="Palatino Linotype" w:cs="Palatino Linotype"/>
          <w:sz w:val="22"/>
          <w:szCs w:val="22"/>
        </w:rPr>
        <w:t xml:space="preserve">por quedar sin materia, conforme al artículo 192, fracción V de la Ley de Transparencia y Acceso a la Información Pública del Estado de México y Municipios, en términos del </w:t>
      </w:r>
      <w:r w:rsidRPr="0035228F">
        <w:rPr>
          <w:rFonts w:ascii="Palatino Linotype" w:eastAsia="Palatino Linotype" w:hAnsi="Palatino Linotype" w:cs="Palatino Linotype"/>
          <w:b/>
          <w:bCs/>
          <w:sz w:val="22"/>
          <w:szCs w:val="22"/>
        </w:rPr>
        <w:t xml:space="preserve">Considerando CUARTO </w:t>
      </w:r>
      <w:r w:rsidRPr="0035228F">
        <w:rPr>
          <w:rFonts w:ascii="Palatino Linotype" w:eastAsia="Palatino Linotype" w:hAnsi="Palatino Linotype" w:cs="Palatino Linotype"/>
          <w:sz w:val="22"/>
          <w:szCs w:val="22"/>
        </w:rPr>
        <w:t>de la presente resolución.</w:t>
      </w:r>
    </w:p>
    <w:p w14:paraId="34C2F5F8" w14:textId="77777777" w:rsidR="00E20C94" w:rsidRPr="0035228F" w:rsidRDefault="009521F6">
      <w:pPr>
        <w:spacing w:line="360" w:lineRule="auto"/>
        <w:jc w:val="both"/>
        <w:rPr>
          <w:rFonts w:ascii="Palatino Linotype" w:eastAsia="Palatino Linotype" w:hAnsi="Palatino Linotype" w:cs="Palatino Linotype"/>
          <w:sz w:val="22"/>
          <w:szCs w:val="22"/>
        </w:rPr>
      </w:pPr>
      <w:bookmarkStart w:id="14" w:name="_heading=h.59npxyxpomjd" w:colFirst="0" w:colLast="0"/>
      <w:bookmarkEnd w:id="14"/>
      <w:r w:rsidRPr="0035228F">
        <w:rPr>
          <w:rFonts w:ascii="Palatino Linotype" w:eastAsia="Palatino Linotype" w:hAnsi="Palatino Linotype" w:cs="Palatino Linotype"/>
          <w:b/>
          <w:bCs/>
          <w:sz w:val="22"/>
          <w:szCs w:val="22"/>
        </w:rPr>
        <w:t xml:space="preserve">Cuarto. Notifíquese, </w:t>
      </w:r>
      <w:r w:rsidRPr="0035228F">
        <w:rPr>
          <w:rFonts w:ascii="Palatino Linotype" w:eastAsia="Palatino Linotype" w:hAnsi="Palatino Linotype" w:cs="Palatino Linotype"/>
          <w:sz w:val="22"/>
          <w:szCs w:val="22"/>
        </w:rPr>
        <w:t xml:space="preserve">vía </w:t>
      </w:r>
      <w:r w:rsidRPr="0035228F">
        <w:rPr>
          <w:rFonts w:ascii="Palatino Linotype" w:eastAsia="Palatino Linotype" w:hAnsi="Palatino Linotype" w:cs="Palatino Linotype"/>
          <w:b/>
          <w:bCs/>
          <w:sz w:val="22"/>
          <w:szCs w:val="22"/>
        </w:rPr>
        <w:t>SAIMEX</w:t>
      </w:r>
      <w:r w:rsidRPr="0035228F">
        <w:rPr>
          <w:rFonts w:ascii="Palatino Linotype" w:eastAsia="Palatino Linotype" w:hAnsi="Palatino Linotype" w:cs="Palatino Linotype"/>
          <w:sz w:val="22"/>
          <w:szCs w:val="22"/>
        </w:rPr>
        <w:t xml:space="preserve">, al Titular de la Unidad de Transparencia del </w:t>
      </w:r>
      <w:r w:rsidRPr="0035228F">
        <w:rPr>
          <w:rFonts w:ascii="Palatino Linotype" w:eastAsia="Palatino Linotype" w:hAnsi="Palatino Linotype" w:cs="Palatino Linotype"/>
          <w:b/>
          <w:bCs/>
          <w:sz w:val="22"/>
          <w:szCs w:val="22"/>
        </w:rPr>
        <w:t>Sujeto Obligado,</w:t>
      </w:r>
      <w:r w:rsidRPr="0035228F">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662FB0B" w14:textId="77777777" w:rsidR="00E20C94" w:rsidRPr="0035228F" w:rsidRDefault="00E20C94">
      <w:pPr>
        <w:spacing w:line="360" w:lineRule="auto"/>
        <w:jc w:val="both"/>
        <w:rPr>
          <w:rFonts w:ascii="Palatino Linotype" w:eastAsia="Palatino Linotype" w:hAnsi="Palatino Linotype" w:cs="Palatino Linotype"/>
          <w:sz w:val="22"/>
          <w:szCs w:val="22"/>
        </w:rPr>
      </w:pPr>
    </w:p>
    <w:p w14:paraId="0E45A792" w14:textId="77777777" w:rsidR="00E20C94" w:rsidRPr="0035228F" w:rsidRDefault="009521F6">
      <w:pPr>
        <w:spacing w:line="360" w:lineRule="auto"/>
        <w:ind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b/>
          <w:bCs/>
          <w:sz w:val="22"/>
          <w:szCs w:val="22"/>
        </w:rPr>
        <w:t>Quinto.</w:t>
      </w:r>
      <w:r w:rsidRPr="0035228F">
        <w:rPr>
          <w:rFonts w:ascii="Palatino Linotype" w:eastAsia="Palatino Linotype" w:hAnsi="Palatino Linotype" w:cs="Palatino Linotype"/>
          <w:sz w:val="22"/>
          <w:szCs w:val="22"/>
        </w:rPr>
        <w:t xml:space="preserve"> </w:t>
      </w:r>
      <w:r w:rsidRPr="0035228F">
        <w:rPr>
          <w:rFonts w:ascii="Palatino Linotype" w:eastAsia="Palatino Linotype" w:hAnsi="Palatino Linotype" w:cs="Palatino Linotype"/>
          <w:b/>
          <w:bCs/>
          <w:sz w:val="22"/>
          <w:szCs w:val="22"/>
        </w:rPr>
        <w:t xml:space="preserve">Notifíquese, </w:t>
      </w:r>
      <w:r w:rsidRPr="0035228F">
        <w:rPr>
          <w:rFonts w:ascii="Palatino Linotype" w:eastAsia="Palatino Linotype" w:hAnsi="Palatino Linotype" w:cs="Palatino Linotype"/>
          <w:sz w:val="22"/>
          <w:szCs w:val="22"/>
        </w:rPr>
        <w:t xml:space="preserve">vía </w:t>
      </w:r>
      <w:r w:rsidRPr="0035228F">
        <w:rPr>
          <w:rFonts w:ascii="Palatino Linotype" w:eastAsia="Palatino Linotype" w:hAnsi="Palatino Linotype" w:cs="Palatino Linotype"/>
          <w:b/>
          <w:bCs/>
          <w:sz w:val="22"/>
          <w:szCs w:val="22"/>
        </w:rPr>
        <w:t>SAIMEX</w:t>
      </w:r>
      <w:r w:rsidRPr="0035228F">
        <w:rPr>
          <w:rFonts w:ascii="Palatino Linotype" w:eastAsia="Palatino Linotype" w:hAnsi="Palatino Linotype" w:cs="Palatino Linotype"/>
          <w:sz w:val="22"/>
          <w:szCs w:val="22"/>
        </w:rPr>
        <w:t xml:space="preserve">, al Titular de la Unidad de Transparencia del </w:t>
      </w:r>
      <w:r w:rsidRPr="0035228F">
        <w:rPr>
          <w:rFonts w:ascii="Palatino Linotype" w:eastAsia="Palatino Linotype" w:hAnsi="Palatino Linotype" w:cs="Palatino Linotype"/>
          <w:b/>
          <w:bCs/>
          <w:sz w:val="22"/>
          <w:szCs w:val="22"/>
        </w:rPr>
        <w:t>Sujeto Obligado,</w:t>
      </w:r>
      <w:r w:rsidRPr="0035228F">
        <w:rPr>
          <w:rFonts w:ascii="Palatino Linotype" w:eastAsia="Palatino Linotype" w:hAnsi="Palatino Linotype" w:cs="Palatino Linotype"/>
          <w:sz w:val="22"/>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14:paraId="213A45F6" w14:textId="77777777" w:rsidR="00E20C94" w:rsidRPr="0035228F" w:rsidRDefault="00E20C94">
      <w:pPr>
        <w:spacing w:line="360" w:lineRule="auto"/>
        <w:ind w:right="49"/>
        <w:jc w:val="both"/>
        <w:rPr>
          <w:rFonts w:ascii="Palatino Linotype" w:eastAsia="Palatino Linotype" w:hAnsi="Palatino Linotype" w:cs="Palatino Linotype"/>
          <w:sz w:val="22"/>
          <w:szCs w:val="22"/>
        </w:rPr>
      </w:pPr>
    </w:p>
    <w:p w14:paraId="539AB181" w14:textId="77777777" w:rsidR="00E20C94" w:rsidRPr="0035228F" w:rsidRDefault="009521F6">
      <w:pPr>
        <w:spacing w:line="360" w:lineRule="auto"/>
        <w:ind w:right="49"/>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b/>
          <w:bCs/>
          <w:sz w:val="22"/>
          <w:szCs w:val="22"/>
        </w:rPr>
        <w:t xml:space="preserve">Sexto. Notifíquese vía SAIMEX, </w:t>
      </w:r>
      <w:r w:rsidRPr="0035228F">
        <w:rPr>
          <w:rFonts w:ascii="Palatino Linotype" w:eastAsia="Palatino Linotype" w:hAnsi="Palatino Linotype" w:cs="Palatino Linotype"/>
          <w:sz w:val="22"/>
          <w:szCs w:val="22"/>
        </w:rPr>
        <w:t xml:space="preserve">la presente resolución a la parte </w:t>
      </w:r>
      <w:r w:rsidRPr="0035228F">
        <w:rPr>
          <w:rFonts w:ascii="Palatino Linotype" w:eastAsia="Palatino Linotype" w:hAnsi="Palatino Linotype" w:cs="Palatino Linotype"/>
          <w:b/>
          <w:bCs/>
          <w:sz w:val="22"/>
          <w:szCs w:val="22"/>
        </w:rPr>
        <w:t>Recurrente</w:t>
      </w:r>
      <w:r w:rsidRPr="0035228F">
        <w:rPr>
          <w:rFonts w:ascii="Palatino Linotype" w:eastAsia="Palatino Linotype" w:hAnsi="Palatino Linotype" w:cs="Palatino Linotype"/>
          <w:sz w:val="22"/>
          <w:szCs w:val="22"/>
        </w:rPr>
        <w:t>,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14:paraId="7098721C" w14:textId="77777777" w:rsidR="00E20C94" w:rsidRPr="0035228F" w:rsidRDefault="00E20C94">
      <w:pPr>
        <w:spacing w:line="360" w:lineRule="auto"/>
        <w:ind w:right="49"/>
        <w:jc w:val="both"/>
        <w:rPr>
          <w:rFonts w:ascii="Palatino Linotype" w:eastAsia="Palatino Linotype" w:hAnsi="Palatino Linotype" w:cs="Palatino Linotype"/>
          <w:sz w:val="22"/>
          <w:szCs w:val="22"/>
        </w:rPr>
      </w:pPr>
    </w:p>
    <w:p w14:paraId="235E8A9E" w14:textId="21AC5D9B" w:rsidR="00E20C94" w:rsidRPr="004D59F4" w:rsidRDefault="009521F6">
      <w:pPr>
        <w:spacing w:line="360" w:lineRule="auto"/>
        <w:jc w:val="both"/>
        <w:rPr>
          <w:rFonts w:ascii="Palatino Linotype" w:eastAsia="Palatino Linotype" w:hAnsi="Palatino Linotype" w:cs="Palatino Linotype"/>
          <w:sz w:val="22"/>
          <w:szCs w:val="22"/>
        </w:rPr>
      </w:pPr>
      <w:r w:rsidRPr="0035228F">
        <w:rPr>
          <w:rFonts w:ascii="Palatino Linotype" w:eastAsia="Palatino Linotype" w:hAnsi="Palatino Linotype" w:cs="Palatino Linotype"/>
          <w:sz w:val="22"/>
          <w:szCs w:val="22"/>
        </w:rPr>
        <w:t xml:space="preserve">ASÍ LO RESUELVE, POR MAYORÍA DE VOTOS, EL PLENO DEL INSTITUTO DE TRANSPARENCIA, ACCESO A LA INFORMACIÓN PÚBLICA Y PROTECCIÓN DE DATOS PERSONALES DEL ESTADO DE MÉXICO Y MUNICIPIOS, CONFORMADO POR LOS COMISIONADOS JOSÉ MARTÍNEZ VILCHIS, MARÍA DEL ROSARIO MEJÍA AYALA, EMITIENDO VOTO DISIDENTE, SHARON CRISTINA MORALES MARTÍNEZ, LUIS GUSTAVO PARRA NORIEGA Y GUADALUPE RAMÍREZ PEÑA; EN LA </w:t>
      </w:r>
      <w:r w:rsidR="004B6119" w:rsidRPr="0035228F">
        <w:rPr>
          <w:rFonts w:ascii="Palatino Linotype" w:eastAsia="Palatino Linotype" w:hAnsi="Palatino Linotype" w:cs="Palatino Linotype"/>
          <w:sz w:val="22"/>
          <w:szCs w:val="22"/>
        </w:rPr>
        <w:t xml:space="preserve">SÉPTIMA </w:t>
      </w:r>
      <w:r w:rsidRPr="0035228F">
        <w:rPr>
          <w:rFonts w:ascii="Palatino Linotype" w:eastAsia="Palatino Linotype" w:hAnsi="Palatino Linotype" w:cs="Palatino Linotype"/>
          <w:sz w:val="22"/>
          <w:szCs w:val="22"/>
        </w:rPr>
        <w:t xml:space="preserve">SESIÓN ORDINARIA, CELEBRADA EL </w:t>
      </w:r>
      <w:r w:rsidR="004B6119" w:rsidRPr="0035228F">
        <w:rPr>
          <w:rFonts w:ascii="Palatino Linotype" w:eastAsia="Palatino Linotype" w:hAnsi="Palatino Linotype" w:cs="Palatino Linotype"/>
          <w:sz w:val="22"/>
          <w:szCs w:val="22"/>
        </w:rPr>
        <w:t>VEINTICUATRO</w:t>
      </w:r>
      <w:r w:rsidRPr="0035228F">
        <w:rPr>
          <w:rFonts w:ascii="Palatino Linotype" w:eastAsia="Palatino Linotype" w:hAnsi="Palatino Linotype" w:cs="Palatino Linotype"/>
          <w:sz w:val="22"/>
          <w:szCs w:val="22"/>
        </w:rPr>
        <w:t xml:space="preserve"> DE FEBRERO DE DOS MIL VEINTISÉIS, ANTE EL SECRETARIO TÉCNICO DEL PLENO ALEXIS TAPIA RAMÍREZ.</w:t>
      </w:r>
      <w:r w:rsidRPr="004D59F4">
        <w:rPr>
          <w:rFonts w:ascii="Palatino Linotype" w:eastAsia="Palatino Linotype" w:hAnsi="Palatino Linotype" w:cs="Palatino Linotype"/>
          <w:sz w:val="22"/>
          <w:szCs w:val="22"/>
        </w:rPr>
        <w:t xml:space="preserve"> </w:t>
      </w:r>
    </w:p>
    <w:p w14:paraId="7CF89F58" w14:textId="77777777" w:rsidR="00E20C94" w:rsidRPr="004D59F4" w:rsidRDefault="00E20C94">
      <w:pPr>
        <w:spacing w:line="360" w:lineRule="auto"/>
        <w:jc w:val="both"/>
        <w:rPr>
          <w:rFonts w:ascii="Palatino Linotype" w:eastAsia="Palatino Linotype" w:hAnsi="Palatino Linotype" w:cs="Palatino Linotype"/>
          <w:sz w:val="22"/>
          <w:szCs w:val="22"/>
        </w:rPr>
      </w:pPr>
    </w:p>
    <w:p w14:paraId="6905EBE7" w14:textId="77777777" w:rsidR="00E20C94" w:rsidRPr="004D59F4" w:rsidRDefault="00E20C94">
      <w:pPr>
        <w:rPr>
          <w:rFonts w:ascii="Palatino Linotype" w:eastAsia="Palatino Linotype" w:hAnsi="Palatino Linotype" w:cs="Palatino Linotype"/>
          <w:sz w:val="22"/>
          <w:szCs w:val="22"/>
        </w:rPr>
      </w:pPr>
      <w:bookmarkStart w:id="15" w:name="_heading=h.17dp8vu" w:colFirst="0" w:colLast="0"/>
      <w:bookmarkEnd w:id="15"/>
    </w:p>
    <w:p w14:paraId="2337DD5A" w14:textId="77777777" w:rsidR="00E20C94" w:rsidRPr="004D59F4" w:rsidRDefault="00E20C94">
      <w:pPr>
        <w:rPr>
          <w:rFonts w:ascii="Palatino Linotype" w:eastAsia="Palatino Linotype" w:hAnsi="Palatino Linotype" w:cs="Palatino Linotype"/>
          <w:sz w:val="22"/>
          <w:szCs w:val="22"/>
        </w:rPr>
      </w:pPr>
    </w:p>
    <w:p w14:paraId="313396C5" w14:textId="77777777" w:rsidR="00E20C94" w:rsidRPr="004D59F4" w:rsidRDefault="00E20C94">
      <w:pPr>
        <w:spacing w:line="360" w:lineRule="auto"/>
        <w:jc w:val="both"/>
        <w:rPr>
          <w:rFonts w:ascii="Palatino Linotype" w:eastAsia="Palatino Linotype" w:hAnsi="Palatino Linotype" w:cs="Palatino Linotype"/>
          <w:sz w:val="22"/>
          <w:szCs w:val="22"/>
        </w:rPr>
      </w:pPr>
      <w:bookmarkStart w:id="16" w:name="_heading=h.3rdcrjn" w:colFirst="0" w:colLast="0"/>
      <w:bookmarkEnd w:id="16"/>
    </w:p>
    <w:p w14:paraId="232BCB93" w14:textId="77777777" w:rsidR="00E20C94" w:rsidRPr="004D59F4" w:rsidRDefault="00E20C94">
      <w:pPr>
        <w:spacing w:line="360" w:lineRule="auto"/>
        <w:jc w:val="both"/>
        <w:rPr>
          <w:rFonts w:ascii="Palatino Linotype" w:eastAsia="Palatino Linotype" w:hAnsi="Palatino Linotype" w:cs="Palatino Linotype"/>
          <w:sz w:val="22"/>
          <w:szCs w:val="22"/>
        </w:rPr>
      </w:pPr>
    </w:p>
    <w:p w14:paraId="622D8F3B" w14:textId="77777777" w:rsidR="00E20C94" w:rsidRPr="004D59F4" w:rsidRDefault="00E20C94">
      <w:pPr>
        <w:spacing w:line="360" w:lineRule="auto"/>
        <w:jc w:val="both"/>
        <w:rPr>
          <w:rFonts w:ascii="Palatino Linotype" w:eastAsia="Palatino Linotype" w:hAnsi="Palatino Linotype" w:cs="Palatino Linotype"/>
          <w:sz w:val="22"/>
          <w:szCs w:val="22"/>
        </w:rPr>
      </w:pPr>
    </w:p>
    <w:p w14:paraId="08DCB98E" w14:textId="77777777" w:rsidR="00E20C94" w:rsidRPr="004D59F4" w:rsidRDefault="00E20C94">
      <w:pPr>
        <w:spacing w:line="360" w:lineRule="auto"/>
        <w:jc w:val="both"/>
        <w:rPr>
          <w:rFonts w:ascii="Palatino Linotype" w:eastAsia="Palatino Linotype" w:hAnsi="Palatino Linotype" w:cs="Palatino Linotype"/>
          <w:sz w:val="22"/>
          <w:szCs w:val="22"/>
        </w:rPr>
      </w:pPr>
      <w:bookmarkStart w:id="17" w:name="_heading=h.1t3h5sf" w:colFirst="0" w:colLast="0"/>
      <w:bookmarkEnd w:id="17"/>
    </w:p>
    <w:p w14:paraId="16C73E60" w14:textId="77777777" w:rsidR="00E20C94" w:rsidRPr="004D59F4" w:rsidRDefault="00E20C94">
      <w:pPr>
        <w:spacing w:line="360" w:lineRule="auto"/>
        <w:jc w:val="both"/>
        <w:rPr>
          <w:rFonts w:ascii="Palatino Linotype" w:eastAsia="Palatino Linotype" w:hAnsi="Palatino Linotype" w:cs="Palatino Linotype"/>
          <w:sz w:val="22"/>
          <w:szCs w:val="22"/>
        </w:rPr>
      </w:pPr>
    </w:p>
    <w:p w14:paraId="74B0AEC8" w14:textId="77777777" w:rsidR="00E20C94" w:rsidRPr="004D59F4" w:rsidRDefault="00E20C94">
      <w:pPr>
        <w:spacing w:line="360" w:lineRule="auto"/>
        <w:jc w:val="both"/>
        <w:rPr>
          <w:rFonts w:ascii="Palatino Linotype" w:eastAsia="Palatino Linotype" w:hAnsi="Palatino Linotype" w:cs="Palatino Linotype"/>
          <w:sz w:val="22"/>
          <w:szCs w:val="22"/>
        </w:rPr>
      </w:pPr>
    </w:p>
    <w:p w14:paraId="392E1A8E" w14:textId="77777777" w:rsidR="00E20C94" w:rsidRPr="004D59F4" w:rsidRDefault="00E20C94">
      <w:pPr>
        <w:spacing w:line="360" w:lineRule="auto"/>
        <w:jc w:val="both"/>
        <w:rPr>
          <w:rFonts w:ascii="Palatino Linotype" w:eastAsia="Palatino Linotype" w:hAnsi="Palatino Linotype" w:cs="Palatino Linotype"/>
          <w:sz w:val="22"/>
          <w:szCs w:val="22"/>
        </w:rPr>
      </w:pPr>
    </w:p>
    <w:p w14:paraId="38BD82A4" w14:textId="77777777" w:rsidR="00E20C94" w:rsidRPr="004D59F4" w:rsidRDefault="00E20C94">
      <w:pPr>
        <w:spacing w:line="360" w:lineRule="auto"/>
        <w:jc w:val="both"/>
        <w:rPr>
          <w:rFonts w:ascii="Palatino Linotype" w:eastAsia="Palatino Linotype" w:hAnsi="Palatino Linotype" w:cs="Palatino Linotype"/>
          <w:sz w:val="22"/>
          <w:szCs w:val="22"/>
        </w:rPr>
      </w:pPr>
    </w:p>
    <w:p w14:paraId="5949AB3D" w14:textId="77777777" w:rsidR="00E20C94" w:rsidRPr="004D59F4" w:rsidRDefault="00E20C94">
      <w:pPr>
        <w:spacing w:line="360" w:lineRule="auto"/>
        <w:jc w:val="both"/>
        <w:rPr>
          <w:rFonts w:ascii="Palatino Linotype" w:eastAsia="Palatino Linotype" w:hAnsi="Palatino Linotype" w:cs="Palatino Linotype"/>
          <w:sz w:val="22"/>
          <w:szCs w:val="22"/>
        </w:rPr>
      </w:pPr>
    </w:p>
    <w:p w14:paraId="7A3B1EF2" w14:textId="77777777" w:rsidR="00E20C94" w:rsidRPr="004D59F4" w:rsidRDefault="00E20C94">
      <w:pPr>
        <w:spacing w:line="360" w:lineRule="auto"/>
        <w:jc w:val="both"/>
        <w:rPr>
          <w:rFonts w:ascii="Palatino Linotype" w:eastAsia="Palatino Linotype" w:hAnsi="Palatino Linotype" w:cs="Palatino Linotype"/>
          <w:sz w:val="22"/>
          <w:szCs w:val="22"/>
        </w:rPr>
      </w:pPr>
    </w:p>
    <w:p w14:paraId="491F174F" w14:textId="77777777" w:rsidR="00E20C94" w:rsidRPr="004D59F4" w:rsidRDefault="00E20C94">
      <w:pPr>
        <w:spacing w:line="360" w:lineRule="auto"/>
        <w:jc w:val="both"/>
        <w:rPr>
          <w:rFonts w:ascii="Palatino Linotype" w:eastAsia="Palatino Linotype" w:hAnsi="Palatino Linotype" w:cs="Palatino Linotype"/>
          <w:sz w:val="22"/>
          <w:szCs w:val="22"/>
        </w:rPr>
      </w:pPr>
    </w:p>
    <w:p w14:paraId="48CE1308" w14:textId="77777777" w:rsidR="00E20C94" w:rsidRPr="004D59F4" w:rsidRDefault="00E20C94">
      <w:pPr>
        <w:spacing w:line="360" w:lineRule="auto"/>
        <w:jc w:val="both"/>
        <w:rPr>
          <w:rFonts w:ascii="Palatino Linotype" w:eastAsia="Palatino Linotype" w:hAnsi="Palatino Linotype" w:cs="Palatino Linotype"/>
          <w:sz w:val="22"/>
          <w:szCs w:val="22"/>
        </w:rPr>
      </w:pPr>
    </w:p>
    <w:p w14:paraId="24BCF1E0" w14:textId="77777777" w:rsidR="00E20C94" w:rsidRPr="004D59F4" w:rsidRDefault="00E20C94">
      <w:pPr>
        <w:spacing w:line="360" w:lineRule="auto"/>
        <w:jc w:val="both"/>
        <w:rPr>
          <w:rFonts w:ascii="Palatino Linotype" w:eastAsia="Palatino Linotype" w:hAnsi="Palatino Linotype" w:cs="Palatino Linotype"/>
          <w:sz w:val="22"/>
          <w:szCs w:val="22"/>
        </w:rPr>
      </w:pPr>
    </w:p>
    <w:p w14:paraId="7F97DB4A" w14:textId="77777777" w:rsidR="00E20C94" w:rsidRPr="004D59F4" w:rsidRDefault="00E20C94">
      <w:pPr>
        <w:spacing w:line="360" w:lineRule="auto"/>
        <w:jc w:val="both"/>
        <w:rPr>
          <w:rFonts w:ascii="Palatino Linotype" w:eastAsia="Palatino Linotype" w:hAnsi="Palatino Linotype" w:cs="Palatino Linotype"/>
          <w:sz w:val="22"/>
          <w:szCs w:val="22"/>
        </w:rPr>
      </w:pPr>
    </w:p>
    <w:p w14:paraId="7FC49992" w14:textId="77777777" w:rsidR="00E20C94" w:rsidRPr="004D59F4" w:rsidRDefault="00E20C94">
      <w:pPr>
        <w:spacing w:line="360" w:lineRule="auto"/>
        <w:jc w:val="both"/>
        <w:rPr>
          <w:rFonts w:ascii="Palatino Linotype" w:eastAsia="Palatino Linotype" w:hAnsi="Palatino Linotype" w:cs="Palatino Linotype"/>
          <w:sz w:val="22"/>
          <w:szCs w:val="22"/>
        </w:rPr>
      </w:pPr>
    </w:p>
    <w:p w14:paraId="34446143" w14:textId="77777777" w:rsidR="00E20C94" w:rsidRPr="004D59F4" w:rsidRDefault="00E20C94">
      <w:pPr>
        <w:spacing w:line="360" w:lineRule="auto"/>
        <w:jc w:val="both"/>
        <w:rPr>
          <w:rFonts w:ascii="Palatino Linotype" w:eastAsia="Palatino Linotype" w:hAnsi="Palatino Linotype" w:cs="Palatino Linotype"/>
          <w:sz w:val="22"/>
          <w:szCs w:val="22"/>
        </w:rPr>
      </w:pPr>
    </w:p>
    <w:p w14:paraId="3E541E7B" w14:textId="77777777" w:rsidR="00E20C94" w:rsidRPr="004D59F4" w:rsidRDefault="00E20C94">
      <w:pPr>
        <w:spacing w:line="360" w:lineRule="auto"/>
        <w:jc w:val="both"/>
        <w:rPr>
          <w:rFonts w:ascii="Palatino Linotype" w:eastAsia="Palatino Linotype" w:hAnsi="Palatino Linotype" w:cs="Palatino Linotype"/>
          <w:sz w:val="22"/>
          <w:szCs w:val="22"/>
        </w:rPr>
      </w:pPr>
    </w:p>
    <w:p w14:paraId="3C22380A" w14:textId="77777777" w:rsidR="00E20C94" w:rsidRPr="004D59F4" w:rsidRDefault="00E20C94">
      <w:pPr>
        <w:spacing w:line="360" w:lineRule="auto"/>
        <w:jc w:val="both"/>
        <w:rPr>
          <w:rFonts w:ascii="Palatino Linotype" w:eastAsia="Palatino Linotype" w:hAnsi="Palatino Linotype" w:cs="Palatino Linotype"/>
          <w:sz w:val="22"/>
          <w:szCs w:val="22"/>
        </w:rPr>
      </w:pPr>
    </w:p>
    <w:p w14:paraId="07CCABEE" w14:textId="77777777" w:rsidR="00E20C94" w:rsidRPr="004D59F4" w:rsidRDefault="00E20C94">
      <w:pPr>
        <w:spacing w:line="360" w:lineRule="auto"/>
        <w:jc w:val="both"/>
        <w:rPr>
          <w:rFonts w:ascii="Palatino Linotype" w:eastAsia="Palatino Linotype" w:hAnsi="Palatino Linotype" w:cs="Palatino Linotype"/>
          <w:sz w:val="22"/>
          <w:szCs w:val="22"/>
        </w:rPr>
      </w:pPr>
    </w:p>
    <w:p w14:paraId="51EC8A33" w14:textId="77777777" w:rsidR="00E20C94" w:rsidRPr="004D59F4" w:rsidRDefault="00E20C94">
      <w:pPr>
        <w:spacing w:line="360" w:lineRule="auto"/>
        <w:jc w:val="both"/>
        <w:rPr>
          <w:rFonts w:ascii="Palatino Linotype" w:eastAsia="Palatino Linotype" w:hAnsi="Palatino Linotype" w:cs="Palatino Linotype"/>
          <w:sz w:val="22"/>
          <w:szCs w:val="22"/>
        </w:rPr>
      </w:pPr>
    </w:p>
    <w:p w14:paraId="7A7E9DF7" w14:textId="77777777" w:rsidR="00E20C94" w:rsidRPr="004D59F4" w:rsidRDefault="00E20C94">
      <w:pPr>
        <w:spacing w:line="360" w:lineRule="auto"/>
        <w:jc w:val="both"/>
        <w:rPr>
          <w:rFonts w:ascii="Palatino Linotype" w:eastAsia="Palatino Linotype" w:hAnsi="Palatino Linotype" w:cs="Palatino Linotype"/>
          <w:sz w:val="22"/>
          <w:szCs w:val="22"/>
        </w:rPr>
      </w:pPr>
    </w:p>
    <w:p w14:paraId="667F0BF5" w14:textId="77777777" w:rsidR="00E20C94" w:rsidRPr="004D59F4" w:rsidRDefault="00E20C94">
      <w:pPr>
        <w:spacing w:line="360" w:lineRule="auto"/>
        <w:jc w:val="both"/>
        <w:rPr>
          <w:rFonts w:ascii="Palatino Linotype" w:eastAsia="Palatino Linotype" w:hAnsi="Palatino Linotype" w:cs="Palatino Linotype"/>
          <w:sz w:val="22"/>
          <w:szCs w:val="22"/>
        </w:rPr>
      </w:pPr>
    </w:p>
    <w:p w14:paraId="32FAA054" w14:textId="77777777" w:rsidR="00E20C94" w:rsidRPr="004D59F4" w:rsidRDefault="00E20C94">
      <w:pPr>
        <w:spacing w:line="360" w:lineRule="auto"/>
        <w:jc w:val="both"/>
        <w:rPr>
          <w:rFonts w:ascii="Palatino Linotype" w:eastAsia="Palatino Linotype" w:hAnsi="Palatino Linotype" w:cs="Palatino Linotype"/>
          <w:sz w:val="22"/>
          <w:szCs w:val="22"/>
        </w:rPr>
      </w:pPr>
    </w:p>
    <w:p w14:paraId="53E586B0" w14:textId="77777777" w:rsidR="00E20C94" w:rsidRPr="004D59F4" w:rsidRDefault="00E20C94">
      <w:pPr>
        <w:spacing w:line="360" w:lineRule="auto"/>
        <w:jc w:val="both"/>
        <w:rPr>
          <w:rFonts w:ascii="Palatino Linotype" w:eastAsia="Palatino Linotype" w:hAnsi="Palatino Linotype" w:cs="Palatino Linotype"/>
          <w:sz w:val="22"/>
          <w:szCs w:val="22"/>
        </w:rPr>
      </w:pPr>
    </w:p>
    <w:sectPr w:rsidR="00E20C94" w:rsidRPr="004D59F4">
      <w:headerReference w:type="default" r:id="rId16"/>
      <w:footerReference w:type="default" r:id="rId17"/>
      <w:headerReference w:type="first" r:id="rId18"/>
      <w:footerReference w:type="first" r:id="rId19"/>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0DF27" w14:textId="77777777" w:rsidR="00666D10" w:rsidRDefault="00666D10">
      <w:r>
        <w:separator/>
      </w:r>
    </w:p>
  </w:endnote>
  <w:endnote w:type="continuationSeparator" w:id="0">
    <w:p w14:paraId="0D08A451" w14:textId="77777777" w:rsidR="00666D10" w:rsidRDefault="00666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BD526158-7D99-41DA-8031-DA249D237BA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CD5083E-B284-437F-A6A4-41A4B31525CC}"/>
    <w:embedBold r:id="rId3" w:fontKey="{FB824CEB-BEDF-4107-94B7-D4B7BE188841}"/>
  </w:font>
  <w:font w:name="Cambria">
    <w:panose1 w:val="02040503050406030204"/>
    <w:charset w:val="00"/>
    <w:family w:val="roman"/>
    <w:pitch w:val="variable"/>
    <w:sig w:usb0="E00006FF" w:usb1="420024FF" w:usb2="02000000" w:usb3="00000000" w:csb0="0000019F" w:csb1="00000000"/>
    <w:embedRegular r:id="rId4" w:fontKey="{E6E75B00-F0FA-4FA9-B440-539EB05A8F9F}"/>
    <w:embedBold r:id="rId5" w:fontKey="{C9475AA7-E526-41A5-AD9F-C62F6458AF3A}"/>
    <w:embedItalic r:id="rId6" w:fontKey="{598FBC90-C7BB-4663-AA0C-7486B9AD26C3}"/>
    <w:embedBoldItalic r:id="rId7" w:fontKey="{7FA51336-F766-4241-B1E4-91338659D6F3}"/>
  </w:font>
  <w:font w:name="Segoe UI">
    <w:panose1 w:val="020B0502040204020203"/>
    <w:charset w:val="00"/>
    <w:family w:val="swiss"/>
    <w:pitch w:val="variable"/>
    <w:sig w:usb0="E4002EFF" w:usb1="C000E47F" w:usb2="00000009" w:usb3="00000000" w:csb0="000001FF" w:csb1="00000000"/>
    <w:embedRegular r:id="rId8" w:fontKey="{368D7CD4-BD97-4DE1-8A73-7A96FE79FB7A}"/>
  </w:font>
  <w:font w:name="Palatino Linotype">
    <w:panose1 w:val="02040502050505030304"/>
    <w:charset w:val="00"/>
    <w:family w:val="roman"/>
    <w:pitch w:val="variable"/>
    <w:sig w:usb0="E0000287" w:usb1="40000013" w:usb2="00000000" w:usb3="00000000" w:csb0="0000019F" w:csb1="00000000"/>
    <w:embedRegular r:id="rId9" w:fontKey="{73068EAE-BBF1-4E78-8A87-3AF9185DB9D2}"/>
    <w:embedBold r:id="rId10" w:fontKey="{6DA1FA5F-54BC-43AD-876F-F19CA3A8DC3B}"/>
    <w:embedItalic r:id="rId11" w:fontKey="{A42E2450-AABF-4CD8-BAF5-568BEC66F0D3}"/>
    <w:embedBoldItalic r:id="rId12" w:fontKey="{96F52FB3-2276-4D54-B71C-D67F307451F9}"/>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3" w:fontKey="{12547BBB-6B47-4165-A494-50746B5D5BDA}"/>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BA1F6" w14:textId="64741408" w:rsidR="00E20C94" w:rsidRDefault="009521F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1516E9">
      <w:rPr>
        <w:rFonts w:ascii="Palatino Linotype" w:eastAsia="Palatino Linotype" w:hAnsi="Palatino Linotype" w:cs="Palatino Linotype"/>
        <w:b/>
        <w:bCs/>
        <w:noProof/>
        <w:color w:val="000000"/>
        <w:sz w:val="20"/>
        <w:szCs w:val="20"/>
      </w:rPr>
      <w:t>2</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1516E9">
      <w:rPr>
        <w:rFonts w:ascii="Palatino Linotype" w:eastAsia="Palatino Linotype" w:hAnsi="Palatino Linotype" w:cs="Palatino Linotype"/>
        <w:b/>
        <w:bCs/>
        <w:noProof/>
        <w:color w:val="000000"/>
        <w:sz w:val="20"/>
        <w:szCs w:val="20"/>
      </w:rPr>
      <w:t>60</w:t>
    </w:r>
    <w:r>
      <w:rPr>
        <w:rFonts w:ascii="Palatino Linotype" w:eastAsia="Palatino Linotype" w:hAnsi="Palatino Linotype" w:cs="Palatino Linotype"/>
        <w:b/>
        <w:bCs/>
        <w:color w:val="000000"/>
        <w:sz w:val="20"/>
        <w:szCs w:val="20"/>
      </w:rPr>
      <w:fldChar w:fldCharType="end"/>
    </w:r>
  </w:p>
  <w:p w14:paraId="5F1134BB" w14:textId="77777777" w:rsidR="00E20C94" w:rsidRDefault="00E20C94">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1F16" w14:textId="311621BE" w:rsidR="00E20C94" w:rsidRDefault="009521F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1516E9">
      <w:rPr>
        <w:rFonts w:ascii="Palatino Linotype" w:eastAsia="Palatino Linotype" w:hAnsi="Palatino Linotype" w:cs="Palatino Linotype"/>
        <w:b/>
        <w:bCs/>
        <w:noProof/>
        <w:color w:val="000000"/>
        <w:sz w:val="20"/>
        <w:szCs w:val="20"/>
      </w:rPr>
      <w:t>1</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1516E9">
      <w:rPr>
        <w:rFonts w:ascii="Palatino Linotype" w:eastAsia="Palatino Linotype" w:hAnsi="Palatino Linotype" w:cs="Palatino Linotype"/>
        <w:b/>
        <w:bCs/>
        <w:noProof/>
        <w:color w:val="000000"/>
        <w:sz w:val="20"/>
        <w:szCs w:val="20"/>
      </w:rPr>
      <w:t>4</w:t>
    </w:r>
    <w:r>
      <w:rPr>
        <w:rFonts w:ascii="Palatino Linotype" w:eastAsia="Palatino Linotype" w:hAnsi="Palatino Linotype" w:cs="Palatino Linotype"/>
        <w:b/>
        <w:bCs/>
        <w:color w:val="000000"/>
        <w:sz w:val="20"/>
        <w:szCs w:val="20"/>
      </w:rPr>
      <w:fldChar w:fldCharType="end"/>
    </w:r>
  </w:p>
  <w:p w14:paraId="70C969A7" w14:textId="77777777" w:rsidR="00E20C94" w:rsidRDefault="00E20C94">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542B78" w14:textId="77777777" w:rsidR="00666D10" w:rsidRDefault="00666D10">
      <w:r>
        <w:separator/>
      </w:r>
    </w:p>
  </w:footnote>
  <w:footnote w:type="continuationSeparator" w:id="0">
    <w:p w14:paraId="6AD48033" w14:textId="77777777" w:rsidR="00666D10" w:rsidRDefault="00666D10">
      <w:r>
        <w:continuationSeparator/>
      </w:r>
    </w:p>
  </w:footnote>
  <w:footnote w:id="1">
    <w:p w14:paraId="5205EA2E" w14:textId="77777777" w:rsidR="00E20C94" w:rsidRDefault="009521F6">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14:paraId="47F5B71C" w14:textId="77777777" w:rsidR="00E20C94" w:rsidRDefault="009521F6">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14:paraId="387E8331" w14:textId="77777777" w:rsidR="00E20C94" w:rsidRDefault="009521F6">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bCs/>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687BB65B" w14:textId="77777777" w:rsidR="00E20C94" w:rsidRDefault="009521F6">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 w:id="4">
    <w:p w14:paraId="6D0FACCE" w14:textId="77777777" w:rsidR="00E20C94" w:rsidRDefault="009521F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Consultado en </w:t>
      </w:r>
      <w:hyperlink r:id="rId1">
        <w:r>
          <w:rPr>
            <w:color w:val="0000FF"/>
            <w:sz w:val="20"/>
            <w:szCs w:val="20"/>
            <w:u w:val="single"/>
          </w:rPr>
          <w:t>https://dle.rae.es/notorio</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A8883" w14:textId="77777777" w:rsidR="00E20C94" w:rsidRDefault="00E20C94">
    <w:pPr>
      <w:rPr>
        <w:rFonts w:ascii="Cambria" w:eastAsia="Cambria" w:hAnsi="Cambria" w:cs="Cambria"/>
        <w:color w:val="000000"/>
      </w:rPr>
    </w:pPr>
  </w:p>
  <w:tbl>
    <w:tblPr>
      <w:tblStyle w:val="aa"/>
      <w:tblW w:w="7087" w:type="dxa"/>
      <w:tblInd w:w="3261" w:type="dxa"/>
      <w:tblLayout w:type="fixed"/>
      <w:tblLook w:val="0400" w:firstRow="0" w:lastRow="0" w:firstColumn="0" w:lastColumn="0" w:noHBand="0" w:noVBand="1"/>
    </w:tblPr>
    <w:tblGrid>
      <w:gridCol w:w="2489"/>
      <w:gridCol w:w="4598"/>
    </w:tblGrid>
    <w:tr w:rsidR="00E20C94" w14:paraId="38665309" w14:textId="77777777">
      <w:tc>
        <w:tcPr>
          <w:tcW w:w="2489" w:type="dxa"/>
          <w:shd w:val="clear" w:color="auto" w:fill="auto"/>
        </w:tcPr>
        <w:p w14:paraId="1153E5C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598" w:type="dxa"/>
          <w:shd w:val="clear" w:color="auto" w:fill="auto"/>
          <w:vAlign w:val="center"/>
        </w:tcPr>
        <w:p w14:paraId="5AA1E09F" w14:textId="4A8305EB"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color w:val="000000"/>
              <w:sz w:val="22"/>
              <w:szCs w:val="22"/>
            </w:rPr>
            <w:t>00</w:t>
          </w:r>
          <w:r w:rsidR="000520FD">
            <w:rPr>
              <w:rFonts w:ascii="Palatino Linotype" w:eastAsia="Palatino Linotype" w:hAnsi="Palatino Linotype" w:cs="Palatino Linotype"/>
              <w:b/>
              <w:bCs/>
              <w:color w:val="000000"/>
              <w:sz w:val="22"/>
              <w:szCs w:val="22"/>
            </w:rPr>
            <w:t>464</w:t>
          </w:r>
          <w:r>
            <w:rPr>
              <w:rFonts w:ascii="Palatino Linotype" w:eastAsia="Palatino Linotype" w:hAnsi="Palatino Linotype" w:cs="Palatino Linotype"/>
              <w:b/>
              <w:bCs/>
              <w:color w:val="000000"/>
              <w:sz w:val="22"/>
              <w:szCs w:val="22"/>
            </w:rPr>
            <w:t>/INFOEM/IP/RR/2026</w:t>
          </w:r>
          <w:r>
            <w:rPr>
              <w:rFonts w:ascii="Palatino Linotype" w:eastAsia="Palatino Linotype" w:hAnsi="Palatino Linotype" w:cs="Palatino Linotype"/>
              <w:b/>
              <w:bCs/>
              <w:sz w:val="22"/>
              <w:szCs w:val="22"/>
            </w:rPr>
            <w:t xml:space="preserve"> </w:t>
          </w:r>
          <w:r>
            <w:rPr>
              <w:noProof/>
            </w:rPr>
            <w:drawing>
              <wp:anchor distT="0" distB="0" distL="0" distR="0" simplePos="0" relativeHeight="251658240" behindDoc="1" locked="0" layoutInCell="1" hidden="0" allowOverlap="1" wp14:anchorId="6BDC01EF" wp14:editId="72432269">
                <wp:simplePos x="0" y="0"/>
                <wp:positionH relativeFrom="column">
                  <wp:posOffset>-4305299</wp:posOffset>
                </wp:positionH>
                <wp:positionV relativeFrom="paragraph">
                  <wp:posOffset>-666114</wp:posOffset>
                </wp:positionV>
                <wp:extent cx="7809865" cy="10165715"/>
                <wp:effectExtent l="0" t="0" r="0" b="0"/>
                <wp:wrapNone/>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p w14:paraId="0F3326DB" w14:textId="77777777"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color w:val="000000"/>
              <w:sz w:val="22"/>
              <w:szCs w:val="22"/>
            </w:rPr>
            <w:t>y acumulados</w:t>
          </w:r>
        </w:p>
      </w:tc>
    </w:tr>
    <w:tr w:rsidR="00E20C94" w14:paraId="3D76E2C7" w14:textId="77777777">
      <w:trPr>
        <w:trHeight w:val="228"/>
      </w:trPr>
      <w:tc>
        <w:tcPr>
          <w:tcW w:w="2489" w:type="dxa"/>
          <w:shd w:val="clear" w:color="auto" w:fill="auto"/>
          <w:vAlign w:val="center"/>
        </w:tcPr>
        <w:p w14:paraId="488C51F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598" w:type="dxa"/>
          <w:shd w:val="clear" w:color="auto" w:fill="auto"/>
          <w:vAlign w:val="center"/>
        </w:tcPr>
        <w:p w14:paraId="4A3063F1" w14:textId="77777777" w:rsidR="00E20C94" w:rsidRDefault="009521F6">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Toluca</w:t>
          </w:r>
        </w:p>
      </w:tc>
    </w:tr>
    <w:tr w:rsidR="00E20C94" w14:paraId="20F57420" w14:textId="77777777">
      <w:tc>
        <w:tcPr>
          <w:tcW w:w="2489" w:type="dxa"/>
          <w:shd w:val="clear" w:color="auto" w:fill="auto"/>
          <w:vAlign w:val="center"/>
        </w:tcPr>
        <w:p w14:paraId="14E6B80C" w14:textId="77777777" w:rsidR="00E20C94" w:rsidRDefault="009521F6">
          <w:pPr>
            <w:ind w:right="-108"/>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598" w:type="dxa"/>
          <w:shd w:val="clear" w:color="auto" w:fill="auto"/>
          <w:vAlign w:val="center"/>
        </w:tcPr>
        <w:p w14:paraId="722F7055" w14:textId="77777777"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0374C439" w14:textId="77777777" w:rsidR="00E20C94" w:rsidRDefault="009521F6">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990B9" w14:textId="77777777" w:rsidR="00E20C94" w:rsidRDefault="009521F6">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148C0843" wp14:editId="5B25BE64">
          <wp:simplePos x="0" y="0"/>
          <wp:positionH relativeFrom="column">
            <wp:posOffset>-1079484</wp:posOffset>
          </wp:positionH>
          <wp:positionV relativeFrom="paragraph">
            <wp:posOffset>-328912</wp:posOffset>
          </wp:positionV>
          <wp:extent cx="7809865" cy="10165715"/>
          <wp:effectExtent l="0" t="0" r="0" b="0"/>
          <wp:wrapNone/>
          <wp:docPr id="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b"/>
      <w:tblW w:w="6945" w:type="dxa"/>
      <w:tblInd w:w="3261" w:type="dxa"/>
      <w:tblLayout w:type="fixed"/>
      <w:tblLook w:val="0400" w:firstRow="0" w:lastRow="0" w:firstColumn="0" w:lastColumn="0" w:noHBand="0" w:noVBand="1"/>
    </w:tblPr>
    <w:tblGrid>
      <w:gridCol w:w="2551"/>
      <w:gridCol w:w="4394"/>
    </w:tblGrid>
    <w:tr w:rsidR="00E20C94" w14:paraId="28067294" w14:textId="77777777">
      <w:tc>
        <w:tcPr>
          <w:tcW w:w="2551" w:type="dxa"/>
          <w:shd w:val="clear" w:color="auto" w:fill="auto"/>
          <w:vAlign w:val="center"/>
        </w:tcPr>
        <w:p w14:paraId="3D11DA0E"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394" w:type="dxa"/>
          <w:shd w:val="clear" w:color="auto" w:fill="auto"/>
          <w:vAlign w:val="center"/>
        </w:tcPr>
        <w:p w14:paraId="70E7248C" w14:textId="1480877A" w:rsidR="00E20C94" w:rsidRDefault="009521F6">
          <w:pPr>
            <w:tabs>
              <w:tab w:val="left" w:pos="3153"/>
            </w:tabs>
            <w:ind w:left="-4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00</w:t>
          </w:r>
          <w:r w:rsidR="000520FD">
            <w:rPr>
              <w:rFonts w:ascii="Palatino Linotype" w:eastAsia="Palatino Linotype" w:hAnsi="Palatino Linotype" w:cs="Palatino Linotype"/>
              <w:b/>
              <w:bCs/>
              <w:sz w:val="22"/>
              <w:szCs w:val="22"/>
            </w:rPr>
            <w:t>464</w:t>
          </w:r>
          <w:r>
            <w:rPr>
              <w:rFonts w:ascii="Palatino Linotype" w:eastAsia="Palatino Linotype" w:hAnsi="Palatino Linotype" w:cs="Palatino Linotype"/>
              <w:b/>
              <w:bCs/>
              <w:sz w:val="22"/>
              <w:szCs w:val="22"/>
            </w:rPr>
            <w:t xml:space="preserve">/INFOEM/IP/RR/2026 </w:t>
          </w:r>
        </w:p>
        <w:p w14:paraId="6E720A6A" w14:textId="77777777" w:rsidR="00E20C94" w:rsidRDefault="009521F6">
          <w:pPr>
            <w:tabs>
              <w:tab w:val="left" w:pos="3153"/>
            </w:tabs>
            <w:ind w:left="-4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y acumulados</w:t>
          </w:r>
        </w:p>
      </w:tc>
    </w:tr>
    <w:tr w:rsidR="00E20C94" w14:paraId="70209BF9" w14:textId="77777777">
      <w:trPr>
        <w:trHeight w:val="130"/>
      </w:trPr>
      <w:tc>
        <w:tcPr>
          <w:tcW w:w="2551" w:type="dxa"/>
          <w:shd w:val="clear" w:color="auto" w:fill="auto"/>
          <w:vAlign w:val="center"/>
        </w:tcPr>
        <w:p w14:paraId="1A666B2A"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Recurrente:</w:t>
          </w:r>
        </w:p>
      </w:tc>
      <w:tc>
        <w:tcPr>
          <w:tcW w:w="4394" w:type="dxa"/>
          <w:shd w:val="clear" w:color="auto" w:fill="auto"/>
          <w:vAlign w:val="center"/>
        </w:tcPr>
        <w:p w14:paraId="6629E41A" w14:textId="77777777" w:rsidR="00E20C94" w:rsidRDefault="00E20C94">
          <w:pPr>
            <w:ind w:left="-45" w:right="1444"/>
            <w:jc w:val="both"/>
            <w:rPr>
              <w:rFonts w:ascii="Palatino Linotype" w:eastAsia="Palatino Linotype" w:hAnsi="Palatino Linotype" w:cs="Palatino Linotype"/>
              <w:b/>
              <w:bCs/>
              <w:sz w:val="22"/>
              <w:szCs w:val="22"/>
            </w:rPr>
          </w:pPr>
        </w:p>
      </w:tc>
    </w:tr>
    <w:tr w:rsidR="00E20C94" w14:paraId="49A63B4A" w14:textId="77777777">
      <w:trPr>
        <w:trHeight w:val="228"/>
      </w:trPr>
      <w:tc>
        <w:tcPr>
          <w:tcW w:w="2551" w:type="dxa"/>
          <w:shd w:val="clear" w:color="auto" w:fill="auto"/>
          <w:vAlign w:val="center"/>
        </w:tcPr>
        <w:p w14:paraId="2E0C9A3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394" w:type="dxa"/>
          <w:shd w:val="clear" w:color="auto" w:fill="auto"/>
          <w:vAlign w:val="center"/>
        </w:tcPr>
        <w:p w14:paraId="348411A8" w14:textId="77777777" w:rsidR="00E20C94" w:rsidRDefault="009521F6">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Toluca</w:t>
          </w:r>
        </w:p>
      </w:tc>
    </w:tr>
    <w:tr w:rsidR="00E20C94" w14:paraId="1A427B08" w14:textId="77777777">
      <w:tc>
        <w:tcPr>
          <w:tcW w:w="2551" w:type="dxa"/>
          <w:shd w:val="clear" w:color="auto" w:fill="auto"/>
          <w:vAlign w:val="center"/>
        </w:tcPr>
        <w:p w14:paraId="093D56E2"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394" w:type="dxa"/>
          <w:shd w:val="clear" w:color="auto" w:fill="auto"/>
          <w:vAlign w:val="center"/>
        </w:tcPr>
        <w:p w14:paraId="113ADD24" w14:textId="77777777" w:rsidR="00E20C94" w:rsidRDefault="009521F6">
          <w:pPr>
            <w:ind w:left="-45" w:right="-533"/>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0376AA4A" w14:textId="77777777" w:rsidR="00E20C94" w:rsidRDefault="00E20C94">
    <w:pPr>
      <w:pBdr>
        <w:top w:val="nil"/>
        <w:left w:val="nil"/>
        <w:bottom w:val="nil"/>
        <w:right w:val="nil"/>
        <w:between w:val="nil"/>
      </w:pBdr>
      <w:tabs>
        <w:tab w:val="center" w:pos="4252"/>
        <w:tab w:val="right" w:pos="8504"/>
      </w:tabs>
      <w:rPr>
        <w:rFonts w:ascii="Cambria" w:eastAsia="Cambria" w:hAnsi="Cambria" w:cs="Cambria"/>
        <w:color w:val="000000"/>
      </w:rPr>
    </w:pPr>
  </w:p>
  <w:p w14:paraId="7A6F9E30" w14:textId="77777777" w:rsidR="00E20C94" w:rsidRDefault="00E20C9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7589"/>
    <w:multiLevelType w:val="multilevel"/>
    <w:tmpl w:val="D20827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76AC5"/>
    <w:multiLevelType w:val="multilevel"/>
    <w:tmpl w:val="8E18DB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1157A9"/>
    <w:multiLevelType w:val="multilevel"/>
    <w:tmpl w:val="87B22900"/>
    <w:lvl w:ilvl="0">
      <w:start w:val="1"/>
      <w:numFmt w:val="decimal"/>
      <w:lvlText w:val="%1."/>
      <w:lvlJc w:val="left"/>
      <w:pPr>
        <w:ind w:left="992" w:hanging="425"/>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0733666C"/>
    <w:multiLevelType w:val="multilevel"/>
    <w:tmpl w:val="356844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B66326"/>
    <w:multiLevelType w:val="multilevel"/>
    <w:tmpl w:val="DC6825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B59421E"/>
    <w:multiLevelType w:val="multilevel"/>
    <w:tmpl w:val="546C48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35C6358B"/>
    <w:multiLevelType w:val="multilevel"/>
    <w:tmpl w:val="9320B3C0"/>
    <w:lvl w:ilvl="0">
      <w:start w:val="1"/>
      <w:numFmt w:val="bullet"/>
      <w:pStyle w:val="Listaconvietas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595C6FDE"/>
    <w:multiLevelType w:val="multilevel"/>
    <w:tmpl w:val="D6B449D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0"/>
  </w:num>
  <w:num w:numId="3">
    <w:abstractNumId w:val="1"/>
  </w:num>
  <w:num w:numId="4">
    <w:abstractNumId w:val="5"/>
  </w:num>
  <w:num w:numId="5">
    <w:abstractNumId w:val="4"/>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C94"/>
    <w:rsid w:val="000520FD"/>
    <w:rsid w:val="001516E9"/>
    <w:rsid w:val="003326F5"/>
    <w:rsid w:val="0035228F"/>
    <w:rsid w:val="00431015"/>
    <w:rsid w:val="004B6119"/>
    <w:rsid w:val="004D59F4"/>
    <w:rsid w:val="005C3E49"/>
    <w:rsid w:val="00655FB4"/>
    <w:rsid w:val="00666D10"/>
    <w:rsid w:val="00684170"/>
    <w:rsid w:val="009521F6"/>
    <w:rsid w:val="00B056C0"/>
    <w:rsid w:val="00B25DC3"/>
    <w:rsid w:val="00C56101"/>
    <w:rsid w:val="00CA4785"/>
    <w:rsid w:val="00D5549B"/>
    <w:rsid w:val="00DD1D72"/>
    <w:rsid w:val="00E20C94"/>
    <w:rsid w:val="00EF1397"/>
    <w:rsid w:val="00F43D0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52B26D"/>
  <w15:docId w15:val="{25E6A5C3-96A2-4778-9EE8-FA04747E2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bCs/>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bCs/>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bCs/>
      <w:i/>
      <w:iCs/>
      <w:sz w:val="26"/>
      <w:szCs w:val="26"/>
    </w:rPr>
  </w:style>
  <w:style w:type="paragraph" w:styleId="Ttulo6">
    <w:name w:val="heading 6"/>
    <w:basedOn w:val="Normal"/>
    <w:next w:val="Normal"/>
    <w:uiPriority w:val="9"/>
    <w:semiHidden/>
    <w:unhideWhenUsed/>
    <w:qFormat/>
    <w:pPr>
      <w:spacing w:before="240" w:after="60"/>
      <w:ind w:left="4320" w:hanging="72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0"/>
    <w:tblPr>
      <w:tblStyleRowBandSize w:val="1"/>
      <w:tblStyleColBandSize w:val="1"/>
      <w:tblCellMar>
        <w:left w:w="115" w:type="dxa"/>
        <w:right w:w="115" w:type="dxa"/>
      </w:tblCellMar>
    </w:tblPr>
  </w:style>
  <w:style w:type="table" w:customStyle="1" w:styleId="7">
    <w:name w:val="7"/>
    <w:basedOn w:val="TableNormal40"/>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1"/>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8C5D5D"/>
    <w:pPr>
      <w:spacing w:after="120" w:line="360" w:lineRule="auto"/>
      <w:jc w:val="both"/>
    </w:pPr>
    <w:rPr>
      <w:rFonts w:ascii="Palatino Linotype" w:hAnsi="Palatino Linotype"/>
      <w:sz w:val="22"/>
      <w:szCs w:val="20"/>
      <w:lang w:eastAsia="es-ES"/>
    </w:rPr>
  </w:style>
  <w:style w:type="character" w:customStyle="1" w:styleId="TextoindependienteCar">
    <w:name w:val="Texto independiente Car"/>
    <w:basedOn w:val="Fuentedeprrafopredeter"/>
    <w:link w:val="Textoindependiente"/>
    <w:uiPriority w:val="99"/>
    <w:rsid w:val="008C5D5D"/>
    <w:rPr>
      <w:rFonts w:ascii="Palatino Linotype" w:hAnsi="Palatino Linotype"/>
      <w:sz w:val="22"/>
      <w:szCs w:val="20"/>
      <w:lang w:eastAsia="es-ES"/>
    </w:rPr>
  </w:style>
  <w:style w:type="paragraph" w:customStyle="1" w:styleId="Default">
    <w:name w:val="Default"/>
    <w:rsid w:val="009022BD"/>
    <w:pPr>
      <w:autoSpaceDE w:val="0"/>
      <w:autoSpaceDN w:val="0"/>
      <w:adjustRightInd w:val="0"/>
    </w:pPr>
    <w:rPr>
      <w:rFonts w:ascii="Palatino Linotype" w:hAnsi="Palatino Linotype" w:cs="Palatino Linotype"/>
      <w:color w:val="000000"/>
    </w:rPr>
  </w:style>
  <w:style w:type="paragraph" w:customStyle="1" w:styleId="Citas">
    <w:name w:val="Citas"/>
    <w:basedOn w:val="Normal"/>
    <w:qFormat/>
    <w:rsid w:val="00C509A6"/>
    <w:pPr>
      <w:spacing w:before="240" w:after="160" w:line="360" w:lineRule="auto"/>
      <w:ind w:left="851" w:right="851"/>
      <w:jc w:val="both"/>
    </w:pPr>
    <w:rPr>
      <w:rFonts w:ascii="Palatino Linotype" w:eastAsiaTheme="minorHAnsi" w:hAnsi="Palatino Linotype" w:cs="Arial"/>
      <w:i/>
      <w:sz w:val="22"/>
      <w:szCs w:val="22"/>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337410">
      <w:bodyDiv w:val="1"/>
      <w:marLeft w:val="0"/>
      <w:marRight w:val="0"/>
      <w:marTop w:val="0"/>
      <w:marBottom w:val="0"/>
      <w:divBdr>
        <w:top w:val="none" w:sz="0" w:space="0" w:color="auto"/>
        <w:left w:val="none" w:sz="0" w:space="0" w:color="auto"/>
        <w:bottom w:val="none" w:sz="0" w:space="0" w:color="auto"/>
        <w:right w:val="none" w:sz="0" w:space="0" w:color="auto"/>
      </w:divBdr>
    </w:div>
    <w:div w:id="1364791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dle.rae.es/notori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QTAVLOG+R8TlDJKpsTwSmZM4Mg==">CgMxLjAyCWguMWZvYjl0ZTIJaC40ZDM0b2c4MgloLjNkeTZ2a20yCWguMnM4ZXlvMTIOaC5lY2d6ZnZjNWJtNmEyCGgudHlqY3d0MgloLjN6bnlzaDcyCWguMXk4MTB0dzIOaC5panY5OHBudGNkNXMyCWguMjZpbjFyZzINaC5oN256Yjc5d2xyYTIJaC4yZXQ5MnAwMg5oLjU5bnB4eXhwb21qZDIJaC4xN2RwOHZ1MgloLjNyZGNyam4yCWguMXQzaDVzZjgAciExUUZTZjA3ZzV5S0NGQ3pFUC0wY2xmSWV5Yml1eFhLSn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ABD4CCB-7C8F-4EEC-A2AA-26B597153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18521</Words>
  <Characters>101869</Characters>
  <Application>Microsoft Office Word</Application>
  <DocSecurity>0</DocSecurity>
  <Lines>848</Lines>
  <Paragraphs>240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cp:lastPrinted>2026-02-27T17:25:00Z</cp:lastPrinted>
  <dcterms:created xsi:type="dcterms:W3CDTF">2026-04-06T22:19:00Z</dcterms:created>
  <dcterms:modified xsi:type="dcterms:W3CDTF">2026-04-06T22:19:00Z</dcterms:modified>
</cp:coreProperties>
</file>