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59E" w:rsidRPr="00206872" w:rsidRDefault="00E67E3A">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GoBack"/>
      <w:bookmarkEnd w:id="0"/>
      <w:r w:rsidRPr="00206872">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de México; </w:t>
      </w:r>
      <w:r w:rsidRPr="00206872">
        <w:rPr>
          <w:rFonts w:ascii="Palatino Linotype" w:eastAsia="Palatino Linotype" w:hAnsi="Palatino Linotype" w:cs="Palatino Linotype"/>
          <w:b/>
          <w:color w:val="000000"/>
        </w:rPr>
        <w:t xml:space="preserve">de fecha </w:t>
      </w:r>
      <w:r w:rsidR="001D649F" w:rsidRPr="00206872">
        <w:rPr>
          <w:rFonts w:ascii="Palatino Linotype" w:eastAsia="Palatino Linotype" w:hAnsi="Palatino Linotype" w:cs="Palatino Linotype"/>
          <w:b/>
          <w:color w:val="000000"/>
        </w:rPr>
        <w:t>cinco</w:t>
      </w:r>
      <w:r w:rsidR="00206872" w:rsidRPr="00206872">
        <w:rPr>
          <w:rFonts w:ascii="Palatino Linotype" w:eastAsia="Palatino Linotype" w:hAnsi="Palatino Linotype" w:cs="Palatino Linotype"/>
          <w:b/>
          <w:color w:val="000000"/>
        </w:rPr>
        <w:t xml:space="preserve"> (05)</w:t>
      </w:r>
      <w:r w:rsidR="001D649F" w:rsidRPr="00206872">
        <w:rPr>
          <w:rFonts w:ascii="Palatino Linotype" w:eastAsia="Palatino Linotype" w:hAnsi="Palatino Linotype" w:cs="Palatino Linotype"/>
          <w:b/>
          <w:color w:val="000000"/>
        </w:rPr>
        <w:t xml:space="preserve"> de febrero</w:t>
      </w:r>
      <w:r w:rsidR="00206872" w:rsidRPr="00206872">
        <w:rPr>
          <w:rFonts w:ascii="Palatino Linotype" w:eastAsia="Palatino Linotype" w:hAnsi="Palatino Linotype" w:cs="Palatino Linotype"/>
          <w:b/>
          <w:color w:val="000000"/>
        </w:rPr>
        <w:t xml:space="preserve"> de dos mil veintiséis.</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E67E3A">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1" w:name="_heading=h.gjdgxs" w:colFirst="0" w:colLast="0"/>
      <w:bookmarkEnd w:id="1"/>
      <w:r w:rsidRPr="00206872">
        <w:rPr>
          <w:rFonts w:ascii="Palatino Linotype" w:eastAsia="Palatino Linotype" w:hAnsi="Palatino Linotype" w:cs="Palatino Linotype"/>
          <w:b/>
          <w:bCs/>
          <w:color w:val="000000"/>
        </w:rPr>
        <w:t>VISTO</w:t>
      </w:r>
      <w:r w:rsidRPr="00206872">
        <w:rPr>
          <w:rFonts w:ascii="Palatino Linotype" w:eastAsia="Palatino Linotype" w:hAnsi="Palatino Linotype" w:cs="Palatino Linotype"/>
          <w:color w:val="000000"/>
        </w:rPr>
        <w:t xml:space="preserve"> el expediente electrónico formado con motivo   del Recursos de Revisión </w:t>
      </w:r>
      <w:r w:rsidRPr="00206872">
        <w:rPr>
          <w:rFonts w:ascii="Palatino Linotype" w:eastAsia="Palatino Linotype" w:hAnsi="Palatino Linotype" w:cs="Palatino Linotype"/>
          <w:b/>
          <w:bCs/>
          <w:color w:val="000000"/>
        </w:rPr>
        <w:t xml:space="preserve">11368/INFOEM/IP/RR/2025 </w:t>
      </w:r>
      <w:r w:rsidRPr="00206872">
        <w:rPr>
          <w:rFonts w:ascii="Palatino Linotype" w:eastAsia="Palatino Linotype" w:hAnsi="Palatino Linotype" w:cs="Palatino Linotype"/>
          <w:color w:val="000000"/>
        </w:rPr>
        <w:t xml:space="preserve">promovido por </w:t>
      </w:r>
      <w:r w:rsidR="00E17897">
        <w:rPr>
          <w:rFonts w:ascii="Palatino Linotype" w:eastAsia="Palatino Linotype" w:hAnsi="Palatino Linotype" w:cs="Palatino Linotype"/>
          <w:b/>
          <w:bCs/>
        </w:rPr>
        <w:t>XXXX</w:t>
      </w:r>
      <w:r w:rsidRPr="00206872">
        <w:rPr>
          <w:rFonts w:ascii="Palatino Linotype" w:eastAsia="Palatino Linotype" w:hAnsi="Palatino Linotype" w:cs="Palatino Linotype"/>
          <w:color w:val="000000"/>
        </w:rPr>
        <w:t xml:space="preserve">, a través del Sistema de Acceso a la Información Mexiquense (SAIMEX), a quien en lo sucesivo se le identificará como </w:t>
      </w:r>
      <w:r w:rsidRPr="00206872">
        <w:rPr>
          <w:rFonts w:ascii="Palatino Linotype" w:eastAsia="Palatino Linotype" w:hAnsi="Palatino Linotype" w:cs="Palatino Linotype"/>
          <w:b/>
          <w:bCs/>
          <w:color w:val="000000"/>
        </w:rPr>
        <w:t>EL RECURRENTE</w:t>
      </w:r>
      <w:r w:rsidRPr="00206872">
        <w:rPr>
          <w:rFonts w:ascii="Palatino Linotype" w:eastAsia="Palatino Linotype" w:hAnsi="Palatino Linotype" w:cs="Palatino Linotype"/>
          <w:color w:val="000000"/>
        </w:rPr>
        <w:t>, en c</w:t>
      </w:r>
      <w:r w:rsidR="00E17897">
        <w:rPr>
          <w:rFonts w:ascii="Palatino Linotype" w:eastAsia="Palatino Linotype" w:hAnsi="Palatino Linotype" w:cs="Palatino Linotype"/>
          <w:color w:val="000000"/>
        </w:rPr>
        <w:t>ontra de la respuesta</w:t>
      </w:r>
      <w:r w:rsidRPr="00206872">
        <w:rPr>
          <w:rFonts w:ascii="Palatino Linotype" w:eastAsia="Palatino Linotype" w:hAnsi="Palatino Linotype" w:cs="Palatino Linotype"/>
          <w:color w:val="000000"/>
        </w:rPr>
        <w:t xml:space="preserve"> del </w:t>
      </w:r>
      <w:r w:rsidRPr="00206872">
        <w:rPr>
          <w:rFonts w:ascii="Palatino Linotype" w:eastAsia="Palatino Linotype" w:hAnsi="Palatino Linotype" w:cs="Palatino Linotype"/>
          <w:b/>
          <w:bCs/>
          <w:color w:val="000000"/>
        </w:rPr>
        <w:t>Ayuntamiento de Tepotzotlán</w:t>
      </w:r>
      <w:r w:rsidRPr="00206872">
        <w:rPr>
          <w:rFonts w:ascii="Palatino Linotype" w:eastAsia="Palatino Linotype" w:hAnsi="Palatino Linotype" w:cs="Palatino Linotype"/>
          <w:color w:val="000000"/>
        </w:rPr>
        <w:t xml:space="preserve"> en </w:t>
      </w:r>
      <w:r w:rsidRPr="00206872">
        <w:rPr>
          <w:rFonts w:ascii="Palatino Linotype" w:eastAsia="Palatino Linotype" w:hAnsi="Palatino Linotype" w:cs="Palatino Linotype"/>
        </w:rPr>
        <w:t>adelante</w:t>
      </w:r>
      <w:r w:rsidRPr="00206872">
        <w:rPr>
          <w:rFonts w:ascii="Palatino Linotype" w:eastAsia="Palatino Linotype" w:hAnsi="Palatino Linotype" w:cs="Palatino Linotype"/>
          <w:color w:val="000000"/>
        </w:rPr>
        <w:t xml:space="preserve"> </w:t>
      </w:r>
      <w:r w:rsidRPr="00206872">
        <w:rPr>
          <w:rFonts w:ascii="Palatino Linotype" w:eastAsia="Palatino Linotype" w:hAnsi="Palatino Linotype" w:cs="Palatino Linotype"/>
          <w:b/>
          <w:bCs/>
          <w:color w:val="000000"/>
        </w:rPr>
        <w:t>EL SUJETO OBLIGADO</w:t>
      </w:r>
      <w:r w:rsidRPr="00206872">
        <w:rPr>
          <w:rFonts w:ascii="Palatino Linotype" w:eastAsia="Palatino Linotype" w:hAnsi="Palatino Linotype" w:cs="Palatino Linotype"/>
          <w:color w:val="000000"/>
        </w:rPr>
        <w:t>, se procede a dictar la presente resolución, con base en los siguientes:</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E67E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A N T E C E D E N T E S</w:t>
      </w:r>
    </w:p>
    <w:p w:rsidR="00E3559E" w:rsidRPr="00206872" w:rsidRDefault="00E3559E">
      <w:pPr>
        <w:spacing w:line="360" w:lineRule="auto"/>
        <w:rPr>
          <w:rFonts w:ascii="Palatino Linotype" w:eastAsia="Palatino Linotype" w:hAnsi="Palatino Linotype" w:cs="Palatino Linotype"/>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 xml:space="preserve">veintinueve de agosto de dos mil veinticinco, </w:t>
      </w: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RECURRENTE</w:t>
      </w:r>
      <w:r w:rsidRPr="00206872">
        <w:rPr>
          <w:rFonts w:ascii="Palatino Linotype" w:eastAsia="Palatino Linotype" w:hAnsi="Palatino Linotype" w:cs="Palatino Linotype"/>
          <w:color w:val="000000"/>
        </w:rPr>
        <w:t xml:space="preserve"> </w:t>
      </w:r>
      <w:r w:rsidRPr="00206872">
        <w:rPr>
          <w:rFonts w:ascii="Palatino Linotype" w:eastAsia="Palatino Linotype" w:hAnsi="Palatino Linotype" w:cs="Palatino Linotype"/>
        </w:rPr>
        <w:t>ingresó</w:t>
      </w:r>
      <w:r w:rsidRPr="00206872">
        <w:rPr>
          <w:rFonts w:ascii="Palatino Linotype" w:eastAsia="Palatino Linotype" w:hAnsi="Palatino Linotype" w:cs="Palatino Linotype"/>
          <w:color w:val="000000"/>
        </w:rPr>
        <w:t xml:space="preserve"> la solicitud de información, el Sistema de Acceso a la Información</w:t>
      </w:r>
      <w:r w:rsidRPr="00206872">
        <w:rPr>
          <w:rFonts w:ascii="Palatino Linotype" w:eastAsia="Palatino Linotype" w:hAnsi="Palatino Linotype" w:cs="Palatino Linotype"/>
          <w:b/>
          <w:bCs/>
          <w:color w:val="000000"/>
        </w:rPr>
        <w:t xml:space="preserve"> , </w:t>
      </w:r>
      <w:r w:rsidRPr="00206872">
        <w:rPr>
          <w:rFonts w:ascii="Palatino Linotype" w:eastAsia="Palatino Linotype" w:hAnsi="Palatino Linotype" w:cs="Palatino Linotype"/>
          <w:color w:val="000000"/>
        </w:rPr>
        <w:t xml:space="preserve">quedando  registrada con el número </w:t>
      </w:r>
      <w:r w:rsidRPr="00206872">
        <w:rPr>
          <w:rFonts w:ascii="Palatino Linotype" w:eastAsia="Palatino Linotype" w:hAnsi="Palatino Linotype" w:cs="Palatino Linotype"/>
          <w:b/>
          <w:bCs/>
          <w:color w:val="000000"/>
        </w:rPr>
        <w:t xml:space="preserve">00475/TEPOTZOT/IP/2025, </w:t>
      </w:r>
      <w:r w:rsidRPr="00206872">
        <w:rPr>
          <w:rFonts w:ascii="Palatino Linotype" w:eastAsia="Palatino Linotype" w:hAnsi="Palatino Linotype" w:cs="Palatino Linotype"/>
        </w:rPr>
        <w:t xml:space="preserve">en la que </w:t>
      </w:r>
      <w:r w:rsidRPr="00206872">
        <w:rPr>
          <w:rFonts w:ascii="Palatino Linotype" w:eastAsia="Palatino Linotype" w:hAnsi="Palatino Linotype" w:cs="Palatino Linotype"/>
          <w:color w:val="000000"/>
        </w:rPr>
        <w:t>se solicitó la siguiente información:</w:t>
      </w:r>
    </w:p>
    <w:p w:rsidR="00E3559E" w:rsidRPr="00206872" w:rsidRDefault="00E3559E">
      <w:pPr>
        <w:jc w:val="both"/>
        <w:rPr>
          <w:rFonts w:ascii="Palatino Linotype" w:eastAsia="Palatino Linotype" w:hAnsi="Palatino Linotype" w:cs="Palatino Linotype"/>
          <w:i/>
          <w:iCs/>
        </w:rPr>
      </w:pP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1. ¿Cuál fue el monto original aprobado por el Cabildo para la ejecución de dicha obra? 2. ¿Cuántas ampliaciones presupuestales han aprobado ustedes para este proyecto y con qué justificación técnica o administrativa? 3. ¿Qué medidas de fiscalización y supervisión ha realizado el Cabildo para evitar sobrecostos y retrasos? 4. ¿Qué empresa contratista es responsable de la construcción y qué historial tiene con el municipio? 5. ¿Qué sanciones contractuales se han previsto en caso de incumplimiento en plazos o mala calidad de la obra? 6. ¿Qué porcentaje real de avance físico y financiero tiene la obra al día de hoy? 7. ¿Cómo explican que, a pesar de los incrementos presupuestales que han autorizado, el puente siga inconcluso? 8. ¿Qué mecanismos de supervisión externa (OSFEM, SICT u otros) han sido </w:t>
      </w:r>
      <w:r w:rsidRPr="00206872">
        <w:rPr>
          <w:rFonts w:ascii="Palatino Linotype" w:eastAsia="Palatino Linotype" w:hAnsi="Palatino Linotype" w:cs="Palatino Linotype"/>
          <w:i/>
          <w:iCs/>
          <w:color w:val="000000"/>
        </w:rPr>
        <w:lastRenderedPageBreak/>
        <w:t>solicitados o gestionados por ustedes como regidores? 9. ¿Qué fecha definitiva puede garantizar el Cabildo a la ciudadanía para la conclusión y entrega del puente en condiciones seguras y funcionales? 10. En caso de detectarse irregularidades, ¿qué regidores asumirían la responsabilidad de haber autorizado incrementos presupuestales sin resultados?”(Sic)</w:t>
      </w:r>
    </w:p>
    <w:p w:rsidR="00E3559E" w:rsidRPr="00206872" w:rsidRDefault="00E3559E">
      <w:pPr>
        <w:pBdr>
          <w:top w:val="nil"/>
          <w:left w:val="nil"/>
          <w:bottom w:val="nil"/>
          <w:right w:val="nil"/>
          <w:between w:val="nil"/>
        </w:pBdr>
        <w:spacing w:line="360" w:lineRule="auto"/>
        <w:ind w:left="1134" w:right="1134"/>
        <w:jc w:val="both"/>
        <w:rPr>
          <w:rFonts w:ascii="Palatino Linotype" w:eastAsia="Palatino Linotype" w:hAnsi="Palatino Linotype" w:cs="Palatino Linotype"/>
          <w:i/>
          <w:iCs/>
        </w:rPr>
      </w:pPr>
    </w:p>
    <w:p w:rsidR="00E3559E" w:rsidRPr="00206872" w:rsidRDefault="00E67E3A" w:rsidP="0020687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b/>
          <w:bCs/>
          <w:color w:val="000000"/>
        </w:rPr>
        <w:t>Modalidad de entrega</w:t>
      </w:r>
      <w:r w:rsidRPr="00206872">
        <w:rPr>
          <w:rFonts w:ascii="Palatino Linotype" w:eastAsia="Palatino Linotype" w:hAnsi="Palatino Linotype" w:cs="Palatino Linotype"/>
          <w:color w:val="000000"/>
        </w:rPr>
        <w:t>: Sistema de Acceso a la Información (SAIMEX)</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 xml:space="preserve">dos de octubre de dos mil veinticinco, </w:t>
      </w: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dio respuesta por medio de un archivo electrónico en formato pdf, de cuyo contenido se desprende lo siguiente:</w:t>
      </w:r>
    </w:p>
    <w:p w:rsidR="00E3559E" w:rsidRPr="00206872" w:rsidRDefault="00E67E3A">
      <w:pPr>
        <w:pBdr>
          <w:top w:val="nil"/>
          <w:left w:val="nil"/>
          <w:bottom w:val="nil"/>
          <w:right w:val="nil"/>
          <w:between w:val="nil"/>
        </w:pBdr>
        <w:ind w:left="720"/>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DOP-01708-2025.pdf: </w:t>
      </w:r>
    </w:p>
    <w:p w:rsidR="00E3559E" w:rsidRPr="00206872" w:rsidRDefault="00E67E3A">
      <w:pPr>
        <w:pBdr>
          <w:top w:val="nil"/>
          <w:left w:val="nil"/>
          <w:bottom w:val="nil"/>
          <w:right w:val="nil"/>
          <w:between w:val="nil"/>
        </w:pBdr>
        <w:ind w:left="720"/>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i/>
          <w:iCs/>
          <w:color w:val="000000"/>
        </w:rPr>
        <w:t>Donde el Director de Obras Públicas informa que de una búsqueda exhaustiva y minuciosa no encontró información referente a lo solicitado.</w:t>
      </w:r>
    </w:p>
    <w:p w:rsidR="00E3559E" w:rsidRPr="00206872" w:rsidRDefault="00E3559E">
      <w:pPr>
        <w:pBdr>
          <w:top w:val="nil"/>
          <w:left w:val="nil"/>
          <w:bottom w:val="nil"/>
          <w:right w:val="nil"/>
          <w:between w:val="nil"/>
        </w:pBdr>
        <w:ind w:left="720"/>
        <w:jc w:val="both"/>
        <w:rPr>
          <w:rFonts w:ascii="Palatino Linotype" w:eastAsia="Palatino Linotype" w:hAnsi="Palatino Linotype" w:cs="Palatino Linotype"/>
          <w:b/>
          <w:bCs/>
          <w:i/>
          <w:iCs/>
          <w:color w:val="000000"/>
        </w:rPr>
      </w:pPr>
    </w:p>
    <w:p w:rsidR="00E3559E" w:rsidRPr="00206872" w:rsidRDefault="00E67E3A">
      <w:pPr>
        <w:numPr>
          <w:ilvl w:val="0"/>
          <w:numId w:val="3"/>
        </w:numPr>
        <w:pBdr>
          <w:top w:val="nil"/>
          <w:left w:val="nil"/>
          <w:bottom w:val="nil"/>
          <w:right w:val="nil"/>
          <w:between w:val="nil"/>
        </w:pBdr>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tres de octubre de dos mil veinticinco</w:t>
      </w:r>
      <w:r w:rsidRPr="00206872">
        <w:rPr>
          <w:rFonts w:ascii="Palatino Linotype" w:eastAsia="Palatino Linotype" w:hAnsi="Palatino Linotype" w:cs="Palatino Linotype"/>
          <w:color w:val="000000"/>
        </w:rPr>
        <w:t xml:space="preserve">, el </w:t>
      </w:r>
      <w:r w:rsidRPr="00206872">
        <w:rPr>
          <w:rFonts w:ascii="Palatino Linotype" w:eastAsia="Palatino Linotype" w:hAnsi="Palatino Linotype" w:cs="Palatino Linotype"/>
          <w:b/>
          <w:bCs/>
          <w:color w:val="000000"/>
        </w:rPr>
        <w:t>RECURRENTE</w:t>
      </w:r>
      <w:r w:rsidRPr="00206872">
        <w:rPr>
          <w:rFonts w:ascii="Palatino Linotype" w:eastAsia="Palatino Linotype" w:hAnsi="Palatino Linotype" w:cs="Palatino Linotype"/>
          <w:color w:val="000000"/>
        </w:rPr>
        <w:t xml:space="preserve"> interpuso recurso de revisión en contra de la respuestas emitida por el </w:t>
      </w:r>
      <w:r w:rsidRPr="00206872">
        <w:rPr>
          <w:rFonts w:ascii="Palatino Linotype" w:eastAsia="Palatino Linotype" w:hAnsi="Palatino Linotype" w:cs="Palatino Linotype"/>
          <w:b/>
          <w:bCs/>
          <w:color w:val="000000"/>
        </w:rPr>
        <w:t>SUJETO OBLIGADO</w:t>
      </w:r>
      <w:r w:rsidRPr="00206872">
        <w:rPr>
          <w:rFonts w:ascii="Palatino Linotype" w:eastAsia="Palatino Linotype" w:hAnsi="Palatino Linotype" w:cs="Palatino Linotype"/>
          <w:color w:val="000000"/>
        </w:rPr>
        <w:t>, señalando las siguientes razones o motivos de inconformidad:</w:t>
      </w:r>
    </w:p>
    <w:p w:rsidR="00206872" w:rsidRDefault="00206872">
      <w:pPr>
        <w:ind w:left="1134"/>
        <w:jc w:val="both"/>
        <w:rPr>
          <w:rFonts w:ascii="Palatino Linotype" w:eastAsia="Palatino Linotype" w:hAnsi="Palatino Linotype" w:cs="Palatino Linotype"/>
          <w:b/>
          <w:bCs/>
          <w:color w:val="000000"/>
        </w:rPr>
      </w:pPr>
      <w:bookmarkStart w:id="2" w:name="_heading=h.1fob9te" w:colFirst="0" w:colLast="0"/>
      <w:bookmarkEnd w:id="2"/>
    </w:p>
    <w:p w:rsidR="00E3559E" w:rsidRPr="00206872" w:rsidRDefault="00206872" w:rsidP="00206872">
      <w:pPr>
        <w:pStyle w:val="Prrafodelista"/>
        <w:numPr>
          <w:ilvl w:val="0"/>
          <w:numId w:val="11"/>
        </w:numPr>
        <w:jc w:val="both"/>
        <w:rPr>
          <w:rFonts w:ascii="Palatino Linotype" w:eastAsia="Palatino Linotype" w:hAnsi="Palatino Linotype" w:cs="Palatino Linotype"/>
          <w:i/>
          <w:iCs/>
        </w:rPr>
      </w:pPr>
      <w:r w:rsidRPr="00206872">
        <w:rPr>
          <w:rFonts w:ascii="Palatino Linotype" w:eastAsia="Palatino Linotype" w:hAnsi="Palatino Linotype" w:cs="Palatino Linotype"/>
          <w:b/>
          <w:bCs/>
          <w:color w:val="000000"/>
        </w:rPr>
        <w:t>ACTO IMPUGNADO</w:t>
      </w:r>
      <w:r w:rsidR="00E67E3A" w:rsidRPr="00206872">
        <w:rPr>
          <w:rFonts w:ascii="Palatino Linotype" w:eastAsia="Palatino Linotype" w:hAnsi="Palatino Linotype" w:cs="Palatino Linotype"/>
          <w:b/>
          <w:bCs/>
          <w:color w:val="000000"/>
        </w:rPr>
        <w:t xml:space="preserve">: </w:t>
      </w:r>
      <w:r w:rsidR="00E67E3A" w:rsidRPr="00206872">
        <w:rPr>
          <w:rFonts w:ascii="Palatino Linotype" w:eastAsia="Palatino Linotype" w:hAnsi="Palatino Linotype" w:cs="Palatino Linotype"/>
          <w:i/>
          <w:iCs/>
          <w:color w:val="000000"/>
        </w:rPr>
        <w:t>“la respuesta del servidor publico</w:t>
      </w:r>
      <w:r w:rsidR="00E67E3A" w:rsidRPr="00206872">
        <w:rPr>
          <w:rFonts w:ascii="Palatino Linotype" w:eastAsia="Palatino Linotype" w:hAnsi="Palatino Linotype" w:cs="Palatino Linotype"/>
          <w:i/>
          <w:iCs/>
        </w:rPr>
        <w:t>”(Sic.)</w:t>
      </w:r>
    </w:p>
    <w:p w:rsidR="00E3559E" w:rsidRPr="00206872" w:rsidRDefault="00E3559E" w:rsidP="00206872">
      <w:pPr>
        <w:pBdr>
          <w:top w:val="nil"/>
          <w:left w:val="nil"/>
          <w:bottom w:val="nil"/>
          <w:right w:val="nil"/>
          <w:between w:val="nil"/>
        </w:pBdr>
        <w:jc w:val="both"/>
        <w:rPr>
          <w:rFonts w:ascii="Palatino Linotype" w:eastAsia="Palatino Linotype" w:hAnsi="Palatino Linotype" w:cs="Palatino Linotype"/>
          <w:color w:val="000000"/>
        </w:rPr>
      </w:pPr>
    </w:p>
    <w:p w:rsidR="00E3559E" w:rsidRPr="00206872" w:rsidRDefault="00206872" w:rsidP="00206872">
      <w:pPr>
        <w:pStyle w:val="Prrafodelista"/>
        <w:numPr>
          <w:ilvl w:val="0"/>
          <w:numId w:val="11"/>
        </w:numPr>
        <w:ind w:right="1134"/>
        <w:jc w:val="both"/>
        <w:rPr>
          <w:rFonts w:ascii="Palatino Linotype" w:eastAsia="Palatino Linotype" w:hAnsi="Palatino Linotype" w:cs="Palatino Linotype"/>
          <w:i/>
          <w:iCs/>
        </w:rPr>
      </w:pPr>
      <w:bookmarkStart w:id="3" w:name="_heading=h.3znysh7" w:colFirst="0" w:colLast="0"/>
      <w:bookmarkEnd w:id="3"/>
      <w:r w:rsidRPr="00206872">
        <w:rPr>
          <w:rFonts w:ascii="Palatino Linotype" w:eastAsia="Palatino Linotype" w:hAnsi="Palatino Linotype" w:cs="Palatino Linotype"/>
          <w:b/>
          <w:bCs/>
          <w:color w:val="000000"/>
        </w:rPr>
        <w:t>RAZONES O MOTIVOS DE INCONFORMIDAD</w:t>
      </w:r>
      <w:r w:rsidR="00E67E3A" w:rsidRPr="00206872">
        <w:rPr>
          <w:rFonts w:ascii="Palatino Linotype" w:eastAsia="Palatino Linotype" w:hAnsi="Palatino Linotype" w:cs="Palatino Linotype"/>
          <w:b/>
          <w:bCs/>
          <w:color w:val="000000"/>
        </w:rPr>
        <w:t xml:space="preserve">: </w:t>
      </w:r>
      <w:r w:rsidR="00E67E3A" w:rsidRPr="00206872">
        <w:rPr>
          <w:rFonts w:ascii="Palatino Linotype" w:eastAsia="Palatino Linotype" w:hAnsi="Palatino Linotype" w:cs="Palatino Linotype"/>
          <w:i/>
          <w:iCs/>
          <w:color w:val="000000"/>
        </w:rPr>
        <w:t>“</w:t>
      </w:r>
      <w:r w:rsidR="00E67E3A" w:rsidRPr="00206872">
        <w:rPr>
          <w:rFonts w:ascii="Palatino Linotype" w:eastAsia="Palatino Linotype" w:hAnsi="Palatino Linotype" w:cs="Palatino Linotype"/>
          <w:i/>
          <w:iCs/>
        </w:rPr>
        <w:t xml:space="preserve">jamas se pidio un informe, una investigacion, o algo por el estilo, ya que la obra que se pidio cuenta con contratos que deben obrar dentro del ayuntamiento y el suscrito no tiene informacion sobre cuales son los numero/folio de contrato, asi como actas de cabildo, lo anterior se solicito en aras de la ley sustantiva pues consta de documentos que deben obrar en los expedientes de la autoridad, por que incluso las solicitudes que se hacen en referencia a cabildos, deben existir actas minimas donde conste: obra que se autorizo, presupuesto, quien la autorizo, tiempo estimado de terminacion, los avances los debe brindar forzosamente la constructora al ayuntamiento en oficios (los cuales tambien dezconozco numero por ser persona externa), las sanciones que existan las puede hacer el organo interior del ayuntamiento o el organo superior de fiscalizacion del estado de mexico (para lo cual tambien debe </w:t>
      </w:r>
      <w:r w:rsidR="00E67E3A" w:rsidRPr="00206872">
        <w:rPr>
          <w:rFonts w:ascii="Palatino Linotype" w:eastAsia="Palatino Linotype" w:hAnsi="Palatino Linotype" w:cs="Palatino Linotype"/>
          <w:i/>
          <w:iCs/>
        </w:rPr>
        <w:lastRenderedPageBreak/>
        <w:t>haber constancia como lo dice la ley sustantiva en referencia al acto administrativo), los historiales de la constructora deben obrar en la direccion correspondiente pues si han lleado mas obras deben de tener contratos que acrediten las mismas”(Sic).</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i/>
          <w:iCs/>
          <w:color w:val="000000"/>
        </w:rPr>
        <w:t>”</w:t>
      </w:r>
    </w:p>
    <w:p w:rsidR="00E3559E" w:rsidRPr="00206872" w:rsidRDefault="00E3559E">
      <w:pPr>
        <w:jc w:val="both"/>
        <w:rPr>
          <w:rFonts w:ascii="Palatino Linotype" w:eastAsia="Palatino Linotype" w:hAnsi="Palatino Linotype" w:cs="Palatino Linotype"/>
          <w:b/>
          <w:bCs/>
          <w:i/>
          <w:iCs/>
          <w:color w:val="000000"/>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Consecutivamente</w:t>
      </w:r>
      <w:r w:rsidRPr="00206872">
        <w:rPr>
          <w:rFonts w:ascii="Palatino Linotype" w:eastAsia="Palatino Linotype" w:hAnsi="Palatino Linotype" w:cs="Palatino Linotype"/>
          <w:i/>
          <w:iCs/>
          <w:color w:val="000000"/>
        </w:rPr>
        <w:t xml:space="preserve">, </w:t>
      </w:r>
      <w:r w:rsidRPr="00206872">
        <w:rPr>
          <w:rFonts w:ascii="Palatino Linotype" w:eastAsia="Palatino Linotype" w:hAnsi="Palatino Linotype" w:cs="Palatino Linotype"/>
          <w:color w:val="000000"/>
        </w:rPr>
        <w:t xml:space="preserve">con fundamento en lo dispuesto por el artículo 185 fracción I de la Ley de Transparencia y Acceso a la Información Pública del Estado de México y Municipios, el recurso fue turnado a la ponencia de la </w:t>
      </w:r>
      <w:r w:rsidRPr="00206872">
        <w:rPr>
          <w:rFonts w:ascii="Palatino Linotype" w:eastAsia="Palatino Linotype" w:hAnsi="Palatino Linotype" w:cs="Palatino Linotype"/>
          <w:b/>
          <w:bCs/>
          <w:color w:val="000000"/>
        </w:rPr>
        <w:t>Comisionada</w:t>
      </w:r>
      <w:r w:rsidRPr="00206872">
        <w:rPr>
          <w:rFonts w:ascii="Palatino Linotype" w:eastAsia="Palatino Linotype" w:hAnsi="Palatino Linotype" w:cs="Palatino Linotype"/>
          <w:color w:val="000000"/>
        </w:rPr>
        <w:t xml:space="preserve"> </w:t>
      </w:r>
      <w:r w:rsidRPr="00206872">
        <w:rPr>
          <w:rFonts w:ascii="Palatino Linotype" w:eastAsia="Palatino Linotype" w:hAnsi="Palatino Linotype" w:cs="Palatino Linotype"/>
          <w:b/>
          <w:bCs/>
          <w:color w:val="000000"/>
        </w:rPr>
        <w:t>María del Rosario Mejía Ayala</w:t>
      </w:r>
      <w:r w:rsidRPr="00206872">
        <w:rPr>
          <w:rFonts w:ascii="Palatino Linotype" w:eastAsia="Palatino Linotype" w:hAnsi="Palatino Linotype" w:cs="Palatino Linotype"/>
          <w:color w:val="000000"/>
        </w:rPr>
        <w:t>,</w:t>
      </w:r>
      <w:r w:rsidRPr="00206872">
        <w:rPr>
          <w:rFonts w:ascii="Palatino Linotype" w:eastAsia="Palatino Linotype" w:hAnsi="Palatino Linotype" w:cs="Palatino Linotype"/>
          <w:b/>
          <w:bCs/>
          <w:color w:val="000000"/>
        </w:rPr>
        <w:t xml:space="preserve"> </w:t>
      </w:r>
      <w:r w:rsidR="00206872">
        <w:rPr>
          <w:rFonts w:ascii="Palatino Linotype" w:eastAsia="Palatino Linotype" w:hAnsi="Palatino Linotype" w:cs="Palatino Linotype"/>
          <w:color w:val="000000"/>
        </w:rPr>
        <w:t>para</w:t>
      </w:r>
      <w:r w:rsidRPr="00206872">
        <w:rPr>
          <w:rFonts w:ascii="Palatino Linotype" w:eastAsia="Palatino Linotype" w:hAnsi="Palatino Linotype" w:cs="Palatino Linotype"/>
          <w:color w:val="000000"/>
        </w:rPr>
        <w:t xml:space="preserve"> su análisis.</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206872">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E67E3A" w:rsidRPr="00206872">
        <w:rPr>
          <w:rFonts w:ascii="Palatino Linotype" w:eastAsia="Palatino Linotype" w:hAnsi="Palatino Linotype" w:cs="Palatino Linotype"/>
          <w:color w:val="000000"/>
        </w:rPr>
        <w:t xml:space="preserve">onente con fundamento en lo dispuesto por el artículo 185 fracción II de la ley de la materia, a través del </w:t>
      </w:r>
      <w:r w:rsidR="00E67E3A" w:rsidRPr="00206872">
        <w:rPr>
          <w:rFonts w:ascii="Palatino Linotype" w:eastAsia="Palatino Linotype" w:hAnsi="Palatino Linotype" w:cs="Palatino Linotype"/>
          <w:b/>
          <w:bCs/>
          <w:color w:val="000000"/>
        </w:rPr>
        <w:t xml:space="preserve">acuerdo de admisión </w:t>
      </w:r>
      <w:r w:rsidR="00E67E3A" w:rsidRPr="00206872">
        <w:rPr>
          <w:rFonts w:ascii="Palatino Linotype" w:eastAsia="Palatino Linotype" w:hAnsi="Palatino Linotype" w:cs="Palatino Linotype"/>
          <w:color w:val="000000"/>
        </w:rPr>
        <w:t xml:space="preserve">del </w:t>
      </w:r>
      <w:r w:rsidR="00E67E3A" w:rsidRPr="00206872">
        <w:rPr>
          <w:rFonts w:ascii="Palatino Linotype" w:eastAsia="Palatino Linotype" w:hAnsi="Palatino Linotype" w:cs="Palatino Linotype"/>
          <w:b/>
          <w:bCs/>
          <w:color w:val="000000"/>
        </w:rPr>
        <w:t xml:space="preserve">seis de octubre de dos mil veinticinco, </w:t>
      </w:r>
      <w:r w:rsidR="00E67E3A" w:rsidRPr="00206872">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E67E3A" w:rsidRPr="00206872">
        <w:rPr>
          <w:rFonts w:ascii="Palatino Linotype" w:eastAsia="Palatino Linotype" w:hAnsi="Palatino Linotype" w:cs="Palatino Linotype"/>
        </w:rPr>
        <w:t>manifestara</w:t>
      </w:r>
      <w:r w:rsidR="00E67E3A" w:rsidRPr="00206872">
        <w:rPr>
          <w:rFonts w:ascii="Palatino Linotype" w:eastAsia="Palatino Linotype" w:hAnsi="Palatino Linotype" w:cs="Palatino Linotype"/>
          <w:color w:val="000000"/>
        </w:rPr>
        <w:t xml:space="preserve"> lo que a su derecho conviniera, </w:t>
      </w:r>
      <w:r w:rsidR="00E67E3A" w:rsidRPr="00206872">
        <w:rPr>
          <w:rFonts w:ascii="Palatino Linotype" w:eastAsia="Palatino Linotype" w:hAnsi="Palatino Linotype" w:cs="Palatino Linotype"/>
        </w:rPr>
        <w:t>ofreciera</w:t>
      </w:r>
      <w:r w:rsidR="00E67E3A" w:rsidRPr="00206872">
        <w:rPr>
          <w:rFonts w:ascii="Palatino Linotype" w:eastAsia="Palatino Linotype" w:hAnsi="Palatino Linotype" w:cs="Palatino Linotype"/>
          <w:color w:val="000000"/>
        </w:rPr>
        <w:t xml:space="preserve"> pruebas y alegatos según corresponda al caso concreto, de esta forma para que el </w:t>
      </w:r>
      <w:r w:rsidR="00E67E3A" w:rsidRPr="00206872">
        <w:rPr>
          <w:rFonts w:ascii="Palatino Linotype" w:eastAsia="Palatino Linotype" w:hAnsi="Palatino Linotype" w:cs="Palatino Linotype"/>
          <w:b/>
          <w:bCs/>
          <w:color w:val="000000"/>
        </w:rPr>
        <w:t xml:space="preserve">SUJETO OBLIGADO </w:t>
      </w:r>
      <w:r w:rsidR="00E67E3A" w:rsidRPr="00206872">
        <w:rPr>
          <w:rFonts w:ascii="Palatino Linotype" w:eastAsia="Palatino Linotype" w:hAnsi="Palatino Linotype" w:cs="Palatino Linotype"/>
        </w:rPr>
        <w:t>presentase</w:t>
      </w:r>
      <w:r w:rsidR="00E67E3A" w:rsidRPr="00206872">
        <w:rPr>
          <w:rFonts w:ascii="Palatino Linotype" w:eastAsia="Palatino Linotype" w:hAnsi="Palatino Linotype" w:cs="Palatino Linotype"/>
          <w:color w:val="000000"/>
        </w:rPr>
        <w:t xml:space="preserve"> el Informe Justificado procedente.</w:t>
      </w:r>
    </w:p>
    <w:p w:rsidR="00E3559E" w:rsidRPr="00206872" w:rsidRDefault="00E3559E">
      <w:pPr>
        <w:pBdr>
          <w:top w:val="nil"/>
          <w:left w:val="nil"/>
          <w:bottom w:val="nil"/>
          <w:right w:val="nil"/>
          <w:between w:val="nil"/>
        </w:pBdr>
        <w:ind w:left="708"/>
        <w:rPr>
          <w:rFonts w:ascii="Palatino Linotype" w:eastAsia="Palatino Linotype" w:hAnsi="Palatino Linotype" w:cs="Palatino Linotype"/>
          <w:color w:val="000000"/>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color w:val="000000"/>
        </w:rPr>
        <w:t xml:space="preserve">En esa línea, tal y como se observa en el expediente electrónico 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 xml:space="preserve">fue omiso  de presentar el informe justificado de ley, por su parte el </w:t>
      </w:r>
      <w:r w:rsidRPr="00206872">
        <w:rPr>
          <w:rFonts w:ascii="Palatino Linotype" w:eastAsia="Palatino Linotype" w:hAnsi="Palatino Linotype" w:cs="Palatino Linotype"/>
          <w:b/>
          <w:bCs/>
          <w:color w:val="000000"/>
        </w:rPr>
        <w:t xml:space="preserve">RECURRENTE </w:t>
      </w:r>
      <w:r w:rsidRPr="00206872">
        <w:rPr>
          <w:rFonts w:ascii="Palatino Linotype" w:eastAsia="Palatino Linotype" w:hAnsi="Palatino Linotype" w:cs="Palatino Linotype"/>
          <w:color w:val="000000"/>
        </w:rPr>
        <w:t>fue omiso en presentar Manifestaciones que a su derecho convinieran.</w:t>
      </w:r>
    </w:p>
    <w:p w:rsidR="00E3559E" w:rsidRPr="00206872" w:rsidRDefault="00E3559E">
      <w:pPr>
        <w:pBdr>
          <w:top w:val="nil"/>
          <w:left w:val="nil"/>
          <w:bottom w:val="nil"/>
          <w:right w:val="nil"/>
          <w:between w:val="nil"/>
        </w:pBdr>
        <w:spacing w:line="360" w:lineRule="auto"/>
        <w:ind w:left="786"/>
        <w:jc w:val="both"/>
        <w:rPr>
          <w:rFonts w:ascii="Palatino Linotype" w:eastAsia="Palatino Linotype" w:hAnsi="Palatino Linotype" w:cs="Palatino Linotype"/>
          <w:i/>
          <w:iCs/>
          <w:color w:val="000000"/>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bookmarkStart w:id="4" w:name="_heading=h.2et92p0" w:colFirst="0" w:colLast="0"/>
      <w:bookmarkEnd w:id="4"/>
      <w:r w:rsidRPr="00206872">
        <w:rPr>
          <w:rFonts w:ascii="Palatino Linotype" w:eastAsia="Palatino Linotype" w:hAnsi="Palatino Linotype" w:cs="Palatino Linotype"/>
          <w:color w:val="000000"/>
        </w:rPr>
        <w:t xml:space="preserve">En </w:t>
      </w:r>
      <w:r w:rsidRPr="00206872">
        <w:rPr>
          <w:rFonts w:ascii="Palatino Linotype" w:eastAsia="Palatino Linotype" w:hAnsi="Palatino Linotype" w:cs="Palatino Linotype"/>
          <w:b/>
          <w:bCs/>
          <w:color w:val="000000"/>
        </w:rPr>
        <w:t>fecha veintidós de diciembre de dos mil veinticinco</w:t>
      </w:r>
      <w:r w:rsidRPr="00206872">
        <w:rPr>
          <w:rFonts w:ascii="Palatino Linotype" w:eastAsia="Palatino Linotype" w:hAnsi="Palatino Linotype" w:cs="Palatino Linotype"/>
          <w:color w:val="000000"/>
        </w:rPr>
        <w:t>, se acordó ampliar el término para resolver el presente asunto.</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b/>
          <w:bCs/>
          <w:color w:val="000000"/>
        </w:rPr>
      </w:pPr>
    </w:p>
    <w:p w:rsidR="00E3559E" w:rsidRPr="00206872" w:rsidRDefault="00E67E3A">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Por ello, es menester precisar que, si bien se ha excedido el plazo para resolver el presente medio de impugnación, de conformidad con la ley de la materia, dicha dilación es </w:t>
      </w:r>
      <w:r w:rsidRPr="00206872">
        <w:rPr>
          <w:rFonts w:ascii="Palatino Linotype" w:eastAsia="Palatino Linotype" w:hAnsi="Palatino Linotype" w:cs="Palatino Linotype"/>
          <w:color w:val="000000"/>
        </w:rPr>
        <w:lastRenderedPageBreak/>
        <w:t>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206872">
      <w:pPr>
        <w:numPr>
          <w:ilvl w:val="0"/>
          <w:numId w:val="2"/>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La Comisionada p</w:t>
      </w:r>
      <w:r w:rsidR="00E67E3A" w:rsidRPr="00206872">
        <w:rPr>
          <w:rFonts w:ascii="Palatino Linotype" w:eastAsia="Palatino Linotype" w:hAnsi="Palatino Linotype" w:cs="Palatino Linotype"/>
        </w:rPr>
        <w:t xml:space="preserve">onente decretó el cierre de instrucción mediante el acuerdo del </w:t>
      </w:r>
      <w:r w:rsidR="00E67E3A" w:rsidRPr="00206872">
        <w:rPr>
          <w:rFonts w:ascii="Palatino Linotype" w:eastAsia="Palatino Linotype" w:hAnsi="Palatino Linotype" w:cs="Palatino Linotype"/>
          <w:b/>
          <w:bCs/>
        </w:rPr>
        <w:t xml:space="preserve">veintidós de enero de dos mil veintiséis; </w:t>
      </w:r>
      <w:r w:rsidR="00E67E3A" w:rsidRPr="00206872">
        <w:rPr>
          <w:rFonts w:ascii="Palatino Linotype" w:eastAsia="Palatino Linotype" w:hAnsi="Palatino Linotype" w:cs="Palatino Linotype"/>
        </w:rPr>
        <w:t xml:space="preserve">por lo que en virtud de que el expediente electrónico ha sido debidamente substanciado y no existe diligencia pendiente de desahogo, se procede a emitir la presente resolución que conforme a Derecho corresponda y </w:t>
      </w:r>
    </w:p>
    <w:p w:rsidR="00E3559E"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206872" w:rsidRPr="00206872" w:rsidRDefault="00206872">
      <w:pPr>
        <w:pBdr>
          <w:top w:val="nil"/>
          <w:left w:val="nil"/>
          <w:bottom w:val="nil"/>
          <w:right w:val="nil"/>
          <w:between w:val="nil"/>
        </w:pBdr>
        <w:ind w:left="720"/>
        <w:rPr>
          <w:rFonts w:ascii="Palatino Linotype" w:eastAsia="Palatino Linotype" w:hAnsi="Palatino Linotype" w:cs="Palatino Linotype"/>
          <w:color w:val="000000"/>
        </w:rPr>
      </w:pPr>
    </w:p>
    <w:p w:rsidR="00206872" w:rsidRDefault="00E67E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C O N S I D E R A N D O</w:t>
      </w:r>
    </w:p>
    <w:p w:rsidR="00E3559E" w:rsidRPr="00206872" w:rsidRDefault="00E67E3A">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 xml:space="preserve"> </w:t>
      </w:r>
    </w:p>
    <w:p w:rsidR="00E3559E" w:rsidRPr="00206872" w:rsidRDefault="00E67E3A">
      <w:pPr>
        <w:pStyle w:val="Ttulo2"/>
        <w:spacing w:before="0" w:line="360" w:lineRule="auto"/>
        <w:rPr>
          <w:rFonts w:ascii="Palatino Linotype" w:eastAsia="Palatino Linotype" w:hAnsi="Palatino Linotype" w:cs="Palatino Linotype"/>
          <w:b/>
          <w:bCs/>
          <w:color w:val="000000"/>
          <w:sz w:val="24"/>
          <w:szCs w:val="24"/>
        </w:rPr>
      </w:pPr>
      <w:bookmarkStart w:id="5" w:name="_heading=h.tyjcwt" w:colFirst="0" w:colLast="0"/>
      <w:bookmarkEnd w:id="5"/>
      <w:r w:rsidRPr="00206872">
        <w:rPr>
          <w:rFonts w:ascii="Palatino Linotype" w:eastAsia="Palatino Linotype" w:hAnsi="Palatino Linotype" w:cs="Palatino Linotype"/>
          <w:b/>
          <w:bCs/>
          <w:color w:val="000000"/>
          <w:sz w:val="24"/>
          <w:szCs w:val="24"/>
        </w:rPr>
        <w:t>PRIMERO. De la competencia</w:t>
      </w:r>
    </w:p>
    <w:p w:rsidR="00E3559E" w:rsidRPr="00206872" w:rsidRDefault="00E67E3A" w:rsidP="00206872">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E3559E" w:rsidRPr="00206872" w:rsidRDefault="00E67E3A">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bookmarkStart w:id="6" w:name="_heading=h.3dy6vkm" w:colFirst="0" w:colLast="0"/>
      <w:bookmarkStart w:id="7" w:name="_heading=h.1t3h5sf" w:colFirst="0" w:colLast="0"/>
      <w:bookmarkEnd w:id="6"/>
      <w:bookmarkEnd w:id="7"/>
      <w:r w:rsidRPr="00206872">
        <w:rPr>
          <w:rFonts w:ascii="Palatino Linotype" w:eastAsia="Palatino Linotype" w:hAnsi="Palatino Linotype" w:cs="Palatino Linotype"/>
          <w:b/>
          <w:bCs/>
          <w:color w:val="000000"/>
        </w:rPr>
        <w:lastRenderedPageBreak/>
        <w:t>SEGUNDO. De la oportunidad y procedencia.</w:t>
      </w: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color w:val="000000"/>
        </w:rPr>
      </w:pPr>
      <w:bookmarkStart w:id="8" w:name="_heading=h.4d34og8" w:colFirst="0" w:colLast="0"/>
      <w:bookmarkEnd w:id="8"/>
      <w:r w:rsidRPr="00206872">
        <w:rPr>
          <w:rFonts w:ascii="Palatino Linotype" w:eastAsia="Palatino Linotype" w:hAnsi="Palatino Linotype" w:cs="Palatino Linotype"/>
          <w:color w:val="000000"/>
        </w:rPr>
        <w:t xml:space="preserve">Los medios de impugnación fueron presentados a través del </w:t>
      </w:r>
      <w:r w:rsidRPr="00206872">
        <w:rPr>
          <w:rFonts w:ascii="Palatino Linotype" w:eastAsia="Palatino Linotype" w:hAnsi="Palatino Linotype" w:cs="Palatino Linotype"/>
          <w:b/>
          <w:bCs/>
          <w:color w:val="000000"/>
        </w:rPr>
        <w:t>SAIMEX,</w:t>
      </w:r>
      <w:r w:rsidRPr="00206872">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206872">
        <w:rPr>
          <w:rFonts w:ascii="Palatino Linotype" w:eastAsia="Palatino Linotype" w:hAnsi="Palatino Linotype" w:cs="Palatino Linotype"/>
          <w:b/>
          <w:bCs/>
          <w:color w:val="000000"/>
        </w:rPr>
        <w:t>SUJETO OBLIGADO</w:t>
      </w:r>
      <w:r w:rsidRPr="00206872">
        <w:rPr>
          <w:rFonts w:ascii="Palatino Linotype" w:eastAsia="Palatino Linotype" w:hAnsi="Palatino Linotype" w:cs="Palatino Linotype"/>
          <w:color w:val="000000"/>
        </w:rPr>
        <w:t xml:space="preserve"> entregó su respuesta el </w:t>
      </w:r>
      <w:r w:rsidRPr="00206872">
        <w:rPr>
          <w:rFonts w:ascii="Palatino Linotype" w:eastAsia="Palatino Linotype" w:hAnsi="Palatino Linotype" w:cs="Palatino Linotype"/>
          <w:b/>
          <w:bCs/>
          <w:color w:val="000000"/>
        </w:rPr>
        <w:t>dos de octubre de dos mil veinticinco</w:t>
      </w:r>
      <w:r w:rsidRPr="00206872">
        <w:rPr>
          <w:rFonts w:ascii="Palatino Linotype" w:eastAsia="Palatino Linotype" w:hAnsi="Palatino Linotype" w:cs="Palatino Linotype"/>
          <w:color w:val="000000"/>
        </w:rPr>
        <w:t xml:space="preserve">, de tal forma que el plazo para interponer el recurso de revisión transcurrió del día </w:t>
      </w:r>
      <w:r w:rsidRPr="00206872">
        <w:rPr>
          <w:rFonts w:ascii="Palatino Linotype" w:eastAsia="Palatino Linotype" w:hAnsi="Palatino Linotype" w:cs="Palatino Linotype"/>
          <w:b/>
          <w:bCs/>
          <w:color w:val="000000"/>
        </w:rPr>
        <w:t>tres al veintitrés de octubre de dos mil veinticinco</w:t>
      </w:r>
      <w:r w:rsidRPr="00206872">
        <w:rPr>
          <w:rFonts w:ascii="Palatino Linotype" w:eastAsia="Palatino Linotype" w:hAnsi="Palatino Linotype" w:cs="Palatino Linotype"/>
          <w:color w:val="000000"/>
        </w:rPr>
        <w:t xml:space="preserve">; en consecuencia, el ahora </w:t>
      </w:r>
      <w:r w:rsidRPr="00206872">
        <w:rPr>
          <w:rFonts w:ascii="Palatino Linotype" w:eastAsia="Palatino Linotype" w:hAnsi="Palatino Linotype" w:cs="Palatino Linotype"/>
          <w:b/>
          <w:bCs/>
          <w:color w:val="000000"/>
        </w:rPr>
        <w:t>RECURRENTE</w:t>
      </w:r>
      <w:r w:rsidRPr="00206872">
        <w:rPr>
          <w:rFonts w:ascii="Palatino Linotype" w:eastAsia="Palatino Linotype" w:hAnsi="Palatino Linotype" w:cs="Palatino Linotype"/>
          <w:color w:val="000000"/>
        </w:rPr>
        <w:t xml:space="preserve"> presentó su inconformidad el día </w:t>
      </w:r>
      <w:r w:rsidRPr="00206872">
        <w:rPr>
          <w:rFonts w:ascii="Palatino Linotype" w:eastAsia="Palatino Linotype" w:hAnsi="Palatino Linotype" w:cs="Palatino Linotype"/>
          <w:b/>
          <w:bCs/>
          <w:color w:val="000000"/>
        </w:rPr>
        <w:t>tres de octubre de dos mil veinticinco</w:t>
      </w:r>
      <w:r w:rsidRPr="00206872">
        <w:rPr>
          <w:rFonts w:ascii="Palatino Linotype" w:eastAsia="Palatino Linotype" w:hAnsi="Palatino Linotype" w:cs="Palatino Linotype"/>
          <w:color w:val="000000"/>
        </w:rPr>
        <w:t>; es decir dentro del lapso legalmente establecido para tal efecto.</w:t>
      </w:r>
    </w:p>
    <w:p w:rsidR="00E3559E" w:rsidRPr="00206872" w:rsidRDefault="00E3559E">
      <w:pPr>
        <w:pBdr>
          <w:top w:val="nil"/>
          <w:left w:val="nil"/>
          <w:bottom w:val="nil"/>
          <w:right w:val="nil"/>
          <w:between w:val="nil"/>
        </w:pBdr>
        <w:spacing w:line="360" w:lineRule="auto"/>
        <w:jc w:val="both"/>
        <w:rPr>
          <w:color w:val="000000"/>
        </w:rPr>
      </w:pPr>
    </w:p>
    <w:p w:rsidR="00E3559E" w:rsidRPr="00206872" w:rsidRDefault="00E67E3A" w:rsidP="00206872">
      <w:pPr>
        <w:numPr>
          <w:ilvl w:val="0"/>
          <w:numId w:val="2"/>
        </w:numPr>
        <w:tabs>
          <w:tab w:val="left" w:pos="0"/>
        </w:tabs>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Por otra parte, de la revisión al expediente electrónico del </w:t>
      </w:r>
      <w:r w:rsidRPr="00206872">
        <w:rPr>
          <w:rFonts w:ascii="Palatino Linotype" w:eastAsia="Palatino Linotype" w:hAnsi="Palatino Linotype" w:cs="Palatino Linotype"/>
          <w:b/>
          <w:bCs/>
        </w:rPr>
        <w:t>SAIMEX</w:t>
      </w:r>
      <w:r w:rsidRPr="00206872">
        <w:rPr>
          <w:rFonts w:ascii="Palatino Linotype" w:eastAsia="Palatino Linotype" w:hAnsi="Palatino Linotype" w:cs="Palatino Linotype"/>
        </w:rPr>
        <w:t xml:space="preserve"> se desprende que la parte solicitante, en ejercicio de su derecho de acceso a la información pública en el expediente que se revisa, tanto en la solicitud de información como en el recurso de revisión </w:t>
      </w:r>
      <w:r w:rsidRPr="00206872">
        <w:rPr>
          <w:rFonts w:ascii="Palatino Linotype" w:eastAsia="Palatino Linotype" w:hAnsi="Palatino Linotype" w:cs="Palatino Linotype"/>
          <w:b/>
          <w:bCs/>
        </w:rPr>
        <w:t>no proporcionó ningún nombre, seudónimo o carácter para ser identificado, ni se tiene certeza de su identidad</w:t>
      </w:r>
      <w:r w:rsidRPr="00206872">
        <w:rPr>
          <w:rFonts w:ascii="Palatino Linotype" w:eastAsia="Palatino Linotype" w:hAnsi="Palatino Linotype" w:cs="Palatino Linotype"/>
        </w:rPr>
        <w:t>; sin embargo, es importante señalar también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rsidR="00E3559E" w:rsidRPr="00206872" w:rsidRDefault="00E3559E">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E3559E" w:rsidRPr="00206872" w:rsidRDefault="00E67E3A" w:rsidP="00206872">
      <w:pPr>
        <w:numPr>
          <w:ilvl w:val="0"/>
          <w:numId w:val="2"/>
        </w:numPr>
        <w:tabs>
          <w:tab w:val="left" w:pos="0"/>
        </w:tabs>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Esto es así, ya que de conformidad con los artículos 6, Apartado A, fracciones III y IV de la Constitución Política de los Estados Unidos Mexicanos y 5, párrafos vigésimo, vigésimo primero y vigésimo segundo, fracciones IV y V, de la Constitución Política del Estado Libre y Soberano de México, se establece que toda persona, sin necesidad de acreditar interés alguno o justificar su utilización, tendrá acceso gratuito a la información pública, a sus datos </w:t>
      </w:r>
      <w:r w:rsidRPr="00206872">
        <w:rPr>
          <w:rFonts w:ascii="Palatino Linotype" w:eastAsia="Palatino Linotype" w:hAnsi="Palatino Linotype" w:cs="Palatino Linotype"/>
        </w:rPr>
        <w:lastRenderedPageBreak/>
        <w:t>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E3559E" w:rsidRPr="00206872" w:rsidRDefault="00E3559E">
      <w:pPr>
        <w:pBdr>
          <w:top w:val="nil"/>
          <w:left w:val="nil"/>
          <w:bottom w:val="nil"/>
          <w:right w:val="nil"/>
          <w:between w:val="nil"/>
        </w:pBdr>
        <w:tabs>
          <w:tab w:val="left" w:pos="0"/>
        </w:tabs>
        <w:rPr>
          <w:rFonts w:ascii="Palatino Linotype" w:eastAsia="Palatino Linotype" w:hAnsi="Palatino Linotype" w:cs="Palatino Linotype"/>
          <w:color w:val="000000"/>
        </w:rPr>
      </w:pPr>
    </w:p>
    <w:p w:rsidR="00E3559E" w:rsidRPr="00206872" w:rsidRDefault="00E67E3A" w:rsidP="00206872">
      <w:pPr>
        <w:numPr>
          <w:ilvl w:val="0"/>
          <w:numId w:val="2"/>
        </w:numPr>
        <w:tabs>
          <w:tab w:val="left" w:pos="0"/>
        </w:tabs>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E3559E" w:rsidRPr="00206872" w:rsidRDefault="00E3559E">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E3559E" w:rsidRPr="00206872" w:rsidRDefault="00E67E3A" w:rsidP="00206872">
      <w:pPr>
        <w:numPr>
          <w:ilvl w:val="0"/>
          <w:numId w:val="2"/>
        </w:numPr>
        <w:tabs>
          <w:tab w:val="left" w:pos="0"/>
        </w:tabs>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E3559E" w:rsidRPr="00206872" w:rsidRDefault="00E3559E">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rPr>
      </w:pPr>
    </w:p>
    <w:p w:rsidR="00E3559E" w:rsidRDefault="00E67E3A" w:rsidP="00206872">
      <w:pPr>
        <w:numPr>
          <w:ilvl w:val="0"/>
          <w:numId w:val="2"/>
        </w:numPr>
        <w:tabs>
          <w:tab w:val="left" w:pos="0"/>
        </w:tabs>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Por lo que el nombre del </w:t>
      </w:r>
      <w:r w:rsidRPr="00206872">
        <w:rPr>
          <w:rFonts w:ascii="Palatino Linotype" w:eastAsia="Palatino Linotype" w:hAnsi="Palatino Linotype" w:cs="Palatino Linotype"/>
          <w:b/>
          <w:bCs/>
        </w:rPr>
        <w:t>SOLICITANTE</w:t>
      </w:r>
      <w:r w:rsidRPr="00206872">
        <w:rPr>
          <w:rFonts w:ascii="Palatino Linotype" w:eastAsia="Palatino Linotype" w:hAnsi="Palatino Linotype" w:cs="Palatino Linotype"/>
        </w:rPr>
        <w:t xml:space="preserve"> y subsecuente </w:t>
      </w:r>
      <w:r w:rsidRPr="00206872">
        <w:rPr>
          <w:rFonts w:ascii="Palatino Linotype" w:eastAsia="Palatino Linotype" w:hAnsi="Palatino Linotype" w:cs="Palatino Linotype"/>
          <w:b/>
          <w:bCs/>
        </w:rPr>
        <w:t>RECURRENTE</w:t>
      </w:r>
      <w:r w:rsidRPr="00206872">
        <w:rPr>
          <w:rFonts w:ascii="Palatino Linotype" w:eastAsia="Palatino Linotype" w:hAnsi="Palatino Linotype" w:cs="Palatino Linotype"/>
        </w:rPr>
        <w:t xml:space="preserv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E17897" w:rsidRDefault="00E17897" w:rsidP="00E17897">
      <w:pPr>
        <w:pStyle w:val="Prrafodelista"/>
        <w:rPr>
          <w:rFonts w:ascii="Palatino Linotype" w:eastAsia="Palatino Linotype" w:hAnsi="Palatino Linotype" w:cs="Palatino Linotype"/>
        </w:rPr>
      </w:pPr>
    </w:p>
    <w:p w:rsidR="00E17897" w:rsidRPr="00206872" w:rsidRDefault="00E17897" w:rsidP="00E17897">
      <w:pPr>
        <w:tabs>
          <w:tab w:val="left" w:pos="0"/>
        </w:tabs>
        <w:spacing w:line="360" w:lineRule="auto"/>
        <w:jc w:val="both"/>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color w:val="000000"/>
        </w:rPr>
      </w:pPr>
      <w:r w:rsidRPr="00206872">
        <w:rPr>
          <w:rFonts w:ascii="Palatino Linotype" w:eastAsia="Palatino Linotype" w:hAnsi="Palatino Linotype" w:cs="Palatino Linotype"/>
          <w:color w:val="000000"/>
        </w:rPr>
        <w:lastRenderedPageBreak/>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E67E3A">
      <w:pPr>
        <w:pStyle w:val="Ttulo1"/>
        <w:spacing w:before="0" w:line="360" w:lineRule="auto"/>
        <w:rPr>
          <w:rFonts w:ascii="Palatino Linotype" w:eastAsia="Palatino Linotype" w:hAnsi="Palatino Linotype" w:cs="Palatino Linotype"/>
          <w:b/>
          <w:bCs/>
          <w:color w:val="000000"/>
          <w:sz w:val="24"/>
          <w:szCs w:val="24"/>
        </w:rPr>
      </w:pPr>
      <w:bookmarkStart w:id="9" w:name="_heading=h.2s8eyo1" w:colFirst="0" w:colLast="0"/>
      <w:bookmarkEnd w:id="9"/>
      <w:r w:rsidRPr="00206872">
        <w:rPr>
          <w:rFonts w:ascii="Palatino Linotype" w:eastAsia="Palatino Linotype" w:hAnsi="Palatino Linotype" w:cs="Palatino Linotype"/>
          <w:b/>
          <w:bCs/>
          <w:color w:val="000000"/>
          <w:sz w:val="24"/>
          <w:szCs w:val="24"/>
        </w:rPr>
        <w:t xml:space="preserve">TERCERO. Del planteamiento de la </w:t>
      </w:r>
      <w:r w:rsidRPr="00206872">
        <w:rPr>
          <w:rFonts w:ascii="Palatino Linotype" w:eastAsia="Palatino Linotype" w:hAnsi="Palatino Linotype" w:cs="Palatino Linotype"/>
          <w:b/>
          <w:bCs/>
          <w:i/>
          <w:iCs/>
          <w:color w:val="000000"/>
          <w:sz w:val="24"/>
          <w:szCs w:val="24"/>
        </w:rPr>
        <w:t>Litis</w:t>
      </w:r>
      <w:r w:rsidRPr="00206872">
        <w:rPr>
          <w:rFonts w:ascii="Palatino Linotype" w:eastAsia="Palatino Linotype" w:hAnsi="Palatino Linotype" w:cs="Palatino Linotype"/>
          <w:b/>
          <w:bCs/>
          <w:color w:val="000000"/>
          <w:sz w:val="24"/>
          <w:szCs w:val="24"/>
        </w:rPr>
        <w:t>.</w:t>
      </w:r>
    </w:p>
    <w:p w:rsidR="00E3559E" w:rsidRPr="00206872" w:rsidRDefault="00E67E3A" w:rsidP="00206872">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Cs/>
          <w:color w:val="000000"/>
        </w:rPr>
      </w:pPr>
      <w:r w:rsidRPr="00206872">
        <w:rPr>
          <w:rFonts w:ascii="Palatino Linotype" w:eastAsia="Palatino Linotype" w:hAnsi="Palatino Linotype" w:cs="Palatino Linotype"/>
          <w:iCs/>
          <w:color w:val="000000"/>
        </w:rPr>
        <w:t>De las constancias en el expediente al rubro indicado, se desprende que el particular solicitó la información que a continuación se desagrega:</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Con relación a la obra Puente de Conexión a la Autopista México – Querétaro (codo libramiento norte):</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1. Monto original aprobado por el Cabildo para la ejecución de dicha obra?</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2. Cuántas ampliaciones presupuestales han aprobado ustedes para este proyecto y su justificación técnica o administrativa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3. Medidas de fiscalización y supervisión ha realizado el Cabildo para evitar sobrecostos y retrasos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4. Nombre de la empresa contratada para la ejecución de la obra</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5. Historial de obras realizadas por  la empresa contratada en otras obras en el municipio de la empresa contratada en obras en el municipio</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6. Sanciones contractuales previstas en caso de incumplimiento en plazos o mala calidad de la obra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7. Porcentaje de avance físico y financiero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8. Causas de los retrasos operativos que impiden la entrega del puente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lastRenderedPageBreak/>
        <w:t xml:space="preserve">9. Documentos que acrediten la  supervisión externa que han sido solicitados o gestionados por los regidores </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10. fecha de  término de la obra</w:t>
      </w:r>
    </w:p>
    <w:p w:rsidR="00E3559E" w:rsidRPr="00206872" w:rsidRDefault="00E67E3A">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11. En caso de detectarse irregularidades, ¿qué regidores asumirían la responsabilidad de haber autorizado incrementos presupuestales sin resultados?</w:t>
      </w:r>
    </w:p>
    <w:p w:rsidR="00E3559E" w:rsidRPr="00206872" w:rsidRDefault="00E3559E">
      <w:pPr>
        <w:pBdr>
          <w:top w:val="nil"/>
          <w:left w:val="nil"/>
          <w:bottom w:val="nil"/>
          <w:right w:val="nil"/>
          <w:between w:val="nil"/>
        </w:pBdr>
        <w:spacing w:line="360" w:lineRule="auto"/>
        <w:ind w:lef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En respuesta,</w:t>
      </w:r>
      <w:r w:rsidRPr="00206872">
        <w:rPr>
          <w:rFonts w:ascii="Palatino Linotype" w:eastAsia="Palatino Linotype" w:hAnsi="Palatino Linotype" w:cs="Palatino Linotype"/>
          <w:i/>
          <w:iCs/>
          <w:color w:val="000000"/>
        </w:rPr>
        <w:t xml:space="preserve"> </w:t>
      </w:r>
      <w:r w:rsidRPr="00206872">
        <w:rPr>
          <w:rFonts w:ascii="Palatino Linotype" w:eastAsia="Palatino Linotype" w:hAnsi="Palatino Linotype" w:cs="Palatino Linotype"/>
          <w:color w:val="000000"/>
        </w:rPr>
        <w:t>el</w:t>
      </w:r>
      <w:r w:rsidRPr="00206872">
        <w:rPr>
          <w:rFonts w:ascii="Palatino Linotype" w:eastAsia="Palatino Linotype" w:hAnsi="Palatino Linotype" w:cs="Palatino Linotype"/>
          <w:i/>
          <w:iCs/>
          <w:color w:val="000000"/>
        </w:rPr>
        <w:t xml:space="preserve"> </w:t>
      </w:r>
      <w:r w:rsidRPr="00206872">
        <w:rPr>
          <w:rFonts w:ascii="Palatino Linotype" w:eastAsia="Palatino Linotype" w:hAnsi="Palatino Linotype" w:cs="Palatino Linotype"/>
          <w:b/>
          <w:bCs/>
          <w:color w:val="000000"/>
        </w:rPr>
        <w:t>SUJETO</w:t>
      </w:r>
      <w:r w:rsidRPr="00206872">
        <w:rPr>
          <w:rFonts w:ascii="Palatino Linotype" w:eastAsia="Palatino Linotype" w:hAnsi="Palatino Linotype" w:cs="Palatino Linotype"/>
          <w:b/>
          <w:bCs/>
          <w:i/>
          <w:iCs/>
          <w:color w:val="000000"/>
        </w:rPr>
        <w:t xml:space="preserve"> </w:t>
      </w:r>
      <w:r w:rsidRPr="00206872">
        <w:rPr>
          <w:rFonts w:ascii="Palatino Linotype" w:eastAsia="Palatino Linotype" w:hAnsi="Palatino Linotype" w:cs="Palatino Linotype"/>
          <w:b/>
          <w:bCs/>
          <w:color w:val="000000"/>
        </w:rPr>
        <w:t xml:space="preserve">OBLIGADO </w:t>
      </w:r>
      <w:r w:rsidRPr="00206872">
        <w:rPr>
          <w:rFonts w:ascii="Palatino Linotype" w:eastAsia="Palatino Linotype" w:hAnsi="Palatino Linotype" w:cs="Palatino Linotype"/>
          <w:color w:val="000000"/>
        </w:rPr>
        <w:t>por medio del Titular de la Unidad de Transparencia, adjuntó un oficio de  Dirección de Administración a fin entregar liga en formato cerrado donde consultar la información así como oficio de Dirección de la Mujer donde entrega documento ad hoc con un listado de vehículos.</w:t>
      </w:r>
      <w:r w:rsidRPr="00206872">
        <w:rPr>
          <w:rFonts w:ascii="Palatino Linotype" w:eastAsia="Palatino Linotype" w:hAnsi="Palatino Linotype" w:cs="Palatino Linotype"/>
          <w:b/>
          <w:bCs/>
          <w:i/>
          <w:iCs/>
          <w:color w:val="000000"/>
        </w:rPr>
        <w:t xml:space="preserve"> </w:t>
      </w:r>
      <w:r w:rsidRPr="00206872">
        <w:rPr>
          <w:rFonts w:ascii="Palatino Linotype" w:eastAsia="Palatino Linotype" w:hAnsi="Palatino Linotype" w:cs="Palatino Linotype"/>
          <w:color w:val="000000"/>
        </w:rPr>
        <w:t>Inconforme con la respuesta, se interpuso recurso de revisión alegando de manera general  la negativa a la entrega de la información por el Sujeto Obligado.</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rPr>
        <w:t xml:space="preserve">En dichas condiciones, la </w:t>
      </w:r>
      <w:r w:rsidRPr="00206872">
        <w:rPr>
          <w:rFonts w:ascii="Palatino Linotype" w:eastAsia="Palatino Linotype" w:hAnsi="Palatino Linotype" w:cs="Palatino Linotype"/>
          <w:i/>
          <w:iCs/>
        </w:rPr>
        <w:t>Litis</w:t>
      </w:r>
      <w:r w:rsidRPr="00206872">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206872">
        <w:rPr>
          <w:rFonts w:ascii="Palatino Linotype" w:eastAsia="Palatino Linotype" w:hAnsi="Palatino Linotype" w:cs="Palatino Linotype"/>
          <w:b/>
          <w:bCs/>
        </w:rPr>
        <w:t>I</w:t>
      </w:r>
      <w:r w:rsidRPr="00206872">
        <w:rPr>
          <w:rFonts w:ascii="Palatino Linotype" w:eastAsia="Palatino Linotype" w:hAnsi="Palatino Linotype" w:cs="Palatino Linotype"/>
        </w:rPr>
        <w:t xml:space="preserve"> de la </w:t>
      </w:r>
      <w:r w:rsidRPr="00206872">
        <w:rPr>
          <w:rFonts w:ascii="Palatino Linotype" w:eastAsia="Palatino Linotype" w:hAnsi="Palatino Linotype" w:cs="Palatino Linotype"/>
          <w:b/>
          <w:bCs/>
        </w:rPr>
        <w:t xml:space="preserve">Ley de Transparencia y Acceso a la </w:t>
      </w:r>
      <w:r w:rsidRPr="00206872">
        <w:rPr>
          <w:rFonts w:ascii="Palatino Linotype" w:eastAsia="Palatino Linotype" w:hAnsi="Palatino Linotype" w:cs="Palatino Linotype"/>
        </w:rPr>
        <w:t>Información</w:t>
      </w:r>
      <w:r w:rsidRPr="00206872">
        <w:rPr>
          <w:rFonts w:ascii="Palatino Linotype" w:eastAsia="Palatino Linotype" w:hAnsi="Palatino Linotype" w:cs="Palatino Linotype"/>
          <w:b/>
          <w:bCs/>
        </w:rPr>
        <w:t xml:space="preserve"> Pública del Estado de México y Municipios</w:t>
      </w:r>
      <w:r w:rsidRPr="00206872">
        <w:rPr>
          <w:rFonts w:ascii="Palatino Linotype" w:eastAsia="Palatino Linotype" w:hAnsi="Palatino Linotype" w:cs="Palatino Linotype"/>
        </w:rPr>
        <w:t xml:space="preserve">; </w:t>
      </w:r>
      <w:r w:rsidRPr="00206872">
        <w:rPr>
          <w:rFonts w:ascii="Palatino Linotype" w:eastAsia="Palatino Linotype" w:hAnsi="Palatino Linotype" w:cs="Palatino Linotype"/>
          <w:color w:val="000000"/>
        </w:rPr>
        <w:t xml:space="preserve">fracción que determina la hipótesis jurídica relativa a la negativa a la entrega de información solicitada; </w:t>
      </w:r>
      <w:r w:rsidRPr="00206872">
        <w:rPr>
          <w:rFonts w:ascii="Palatino Linotype" w:eastAsia="Palatino Linotype" w:hAnsi="Palatino Linotype" w:cs="Palatino Linotype"/>
        </w:rPr>
        <w:t xml:space="preserve">contexto del cual se dolió el </w:t>
      </w:r>
      <w:r w:rsidRPr="00206872">
        <w:rPr>
          <w:rFonts w:ascii="Palatino Linotype" w:eastAsia="Palatino Linotype" w:hAnsi="Palatino Linotype" w:cs="Palatino Linotype"/>
          <w:b/>
          <w:bCs/>
        </w:rPr>
        <w:t>RECURRENTE</w:t>
      </w:r>
      <w:r w:rsidRPr="00206872">
        <w:rPr>
          <w:rFonts w:ascii="Palatino Linotype" w:eastAsia="Palatino Linotype" w:hAnsi="Palatino Linotype" w:cs="Palatino Linotype"/>
        </w:rPr>
        <w:t xml:space="preserve"> al momento de interponer su recurso de revisión</w:t>
      </w:r>
      <w:r w:rsidRPr="00206872">
        <w:rPr>
          <w:rFonts w:ascii="Palatino Linotype" w:eastAsia="Palatino Linotype" w:hAnsi="Palatino Linotype" w:cs="Palatino Linotype"/>
          <w:color w:val="000000"/>
        </w:rPr>
        <w:t>.</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modo tal que el presente recurso de revisión se </w:t>
      </w:r>
      <w:r w:rsidRPr="00206872">
        <w:rPr>
          <w:rFonts w:ascii="Palatino Linotype" w:eastAsia="Palatino Linotype" w:hAnsi="Palatino Linotype" w:cs="Palatino Linotype"/>
        </w:rPr>
        <w:t>abocará</w:t>
      </w:r>
      <w:r w:rsidRPr="00206872">
        <w:rPr>
          <w:rFonts w:ascii="Palatino Linotype" w:eastAsia="Palatino Linotype" w:hAnsi="Palatino Linotype" w:cs="Palatino Linotype"/>
          <w:color w:val="000000"/>
        </w:rPr>
        <w:t xml:space="preserve"> en determinar si el </w:t>
      </w:r>
      <w:r w:rsidRPr="00206872">
        <w:rPr>
          <w:rFonts w:ascii="Palatino Linotype" w:eastAsia="Palatino Linotype" w:hAnsi="Palatino Linotype" w:cs="Palatino Linotype"/>
          <w:b/>
          <w:bCs/>
          <w:color w:val="000000"/>
        </w:rPr>
        <w:t>SUJETO OBLIGADO</w:t>
      </w:r>
      <w:r w:rsidRPr="00206872">
        <w:rPr>
          <w:rFonts w:ascii="Palatino Linotype" w:eastAsia="Palatino Linotype" w:hAnsi="Palatino Linotype" w:cs="Palatino Linotype"/>
          <w:color w:val="000000"/>
        </w:rPr>
        <w:t xml:space="preserve"> con su respuesta ciertamente actualiza la causal de procedencia</w:t>
      </w:r>
      <w:r w:rsidRPr="00206872">
        <w:rPr>
          <w:rFonts w:ascii="Palatino Linotype" w:eastAsia="Palatino Linotype" w:hAnsi="Palatino Linotype" w:cs="Palatino Linotype"/>
          <w:b/>
          <w:bCs/>
          <w:color w:val="000000"/>
        </w:rPr>
        <w:t xml:space="preserve"> </w:t>
      </w:r>
      <w:r w:rsidRPr="00206872">
        <w:rPr>
          <w:rFonts w:ascii="Palatino Linotype" w:eastAsia="Palatino Linotype" w:hAnsi="Palatino Linotype" w:cs="Palatino Linotype"/>
          <w:color w:val="000000"/>
        </w:rPr>
        <w:t xml:space="preserve">antes señalada; asimismo, determinar si se vulnera el derecho de acceso a la información del particular por </w:t>
      </w:r>
      <w:r w:rsidRPr="00206872">
        <w:rPr>
          <w:rFonts w:ascii="Palatino Linotype" w:eastAsia="Palatino Linotype" w:hAnsi="Palatino Linotype" w:cs="Palatino Linotype"/>
          <w:color w:val="000000"/>
        </w:rPr>
        <w:lastRenderedPageBreak/>
        <w:t>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E3559E" w:rsidRPr="00206872" w:rsidRDefault="00E3559E">
      <w:pPr>
        <w:pBdr>
          <w:top w:val="nil"/>
          <w:left w:val="nil"/>
          <w:bottom w:val="nil"/>
          <w:right w:val="nil"/>
          <w:between w:val="nil"/>
        </w:pBdr>
        <w:spacing w:line="360" w:lineRule="auto"/>
        <w:ind w:left="709"/>
        <w:rPr>
          <w:rFonts w:ascii="Palatino Linotype" w:eastAsia="Palatino Linotype" w:hAnsi="Palatino Linotype" w:cs="Palatino Linotype"/>
          <w:color w:val="000000"/>
        </w:rPr>
      </w:pPr>
    </w:p>
    <w:p w:rsidR="00E3559E" w:rsidRPr="00206872" w:rsidRDefault="00E67E3A">
      <w:pPr>
        <w:keepNext/>
        <w:keepLines/>
        <w:spacing w:line="360" w:lineRule="auto"/>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CUARTO. Del estudio y resolución del estudio.</w:t>
      </w:r>
    </w:p>
    <w:p w:rsidR="00E3559E" w:rsidRPr="00206872" w:rsidRDefault="00E67E3A">
      <w:pPr>
        <w:keepNext/>
        <w:keepLines/>
        <w:numPr>
          <w:ilvl w:val="0"/>
          <w:numId w:val="7"/>
        </w:numPr>
        <w:spacing w:after="240" w:line="360" w:lineRule="auto"/>
        <w:ind w:left="786"/>
        <w:rPr>
          <w:rFonts w:ascii="Palatino Linotype" w:eastAsia="Palatino Linotype" w:hAnsi="Palatino Linotype" w:cs="Palatino Linotype"/>
          <w:b/>
          <w:bCs/>
          <w:color w:val="000000"/>
        </w:rPr>
      </w:pPr>
      <w:bookmarkStart w:id="10" w:name="_heading=h.17dp8vu" w:colFirst="0" w:colLast="0"/>
      <w:bookmarkEnd w:id="10"/>
      <w:r w:rsidRPr="00206872">
        <w:rPr>
          <w:rFonts w:ascii="Palatino Linotype" w:eastAsia="Palatino Linotype" w:hAnsi="Palatino Linotype" w:cs="Palatino Linotype"/>
          <w:b/>
          <w:bCs/>
          <w:color w:val="000000"/>
        </w:rPr>
        <w:t>Del derecho de acceso a la información.</w:t>
      </w:r>
    </w:p>
    <w:p w:rsidR="00E3559E" w:rsidRPr="00206872" w:rsidRDefault="00E67E3A" w:rsidP="00206872">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E3559E" w:rsidRPr="00206872" w:rsidRDefault="00E67E3A" w:rsidP="00206872">
      <w:pPr>
        <w:numPr>
          <w:ilvl w:val="0"/>
          <w:numId w:val="2"/>
        </w:numPr>
        <w:spacing w:before="240"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Definiendo el Derecho de Acceso a la Información Pública como: </w:t>
      </w:r>
      <w:r w:rsidRPr="00206872">
        <w:rPr>
          <w:rFonts w:ascii="Palatino Linotype" w:eastAsia="Palatino Linotype" w:hAnsi="Palatino Linotype" w:cs="Palatino Linotype"/>
          <w:i/>
          <w:iCs/>
          <w:color w:val="000000"/>
        </w:rPr>
        <w:t>La igualdad de oportunidades para recibir, buscar e impartir información</w:t>
      </w:r>
      <w:r w:rsidRPr="00206872">
        <w:rPr>
          <w:rFonts w:ascii="Palatino Linotype" w:eastAsia="Palatino Linotype" w:hAnsi="Palatino Linotype" w:cs="Palatino Linotype"/>
          <w:i/>
          <w:iCs/>
          <w:vertAlign w:val="superscript"/>
        </w:rPr>
        <w:footnoteReference w:id="1"/>
      </w:r>
      <w:r w:rsidRPr="00206872">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206872">
        <w:rPr>
          <w:rFonts w:ascii="Palatino Linotype" w:eastAsia="Palatino Linotype" w:hAnsi="Palatino Linotype" w:cs="Palatino Linotype"/>
          <w:i/>
          <w:iCs/>
          <w:vertAlign w:val="superscript"/>
        </w:rPr>
        <w:footnoteReference w:id="2"/>
      </w:r>
      <w:r w:rsidRPr="00206872">
        <w:rPr>
          <w:rFonts w:ascii="Palatino Linotype" w:eastAsia="Palatino Linotype" w:hAnsi="Palatino Linotype" w:cs="Palatino Linotype"/>
          <w:color w:val="000000"/>
        </w:rPr>
        <w:t>que se constituye como una herramienta fundamental para ejercer</w:t>
      </w:r>
      <w:r w:rsidRPr="00206872">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206872">
        <w:rPr>
          <w:rFonts w:ascii="Palatino Linotype" w:eastAsia="Palatino Linotype" w:hAnsi="Palatino Linotype" w:cs="Palatino Linotype"/>
          <w:i/>
          <w:iCs/>
          <w:vertAlign w:val="superscript"/>
        </w:rPr>
        <w:footnoteReference w:id="3"/>
      </w:r>
      <w:r w:rsidRPr="00206872">
        <w:rPr>
          <w:rFonts w:ascii="Palatino Linotype" w:eastAsia="Palatino Linotype" w:hAnsi="Palatino Linotype" w:cs="Palatino Linotype"/>
          <w:color w:val="000000"/>
        </w:rPr>
        <w:t>fomentando</w:t>
      </w:r>
      <w:r w:rsidRPr="00206872">
        <w:rPr>
          <w:rFonts w:ascii="Palatino Linotype" w:eastAsia="Palatino Linotype" w:hAnsi="Palatino Linotype" w:cs="Palatino Linotype"/>
          <w:i/>
          <w:iCs/>
          <w:color w:val="000000"/>
        </w:rPr>
        <w:t xml:space="preserve"> la transparencia de las </w:t>
      </w:r>
      <w:r w:rsidRPr="00206872">
        <w:rPr>
          <w:rFonts w:ascii="Palatino Linotype" w:eastAsia="Palatino Linotype" w:hAnsi="Palatino Linotype" w:cs="Palatino Linotype"/>
          <w:i/>
          <w:iCs/>
          <w:color w:val="000000"/>
        </w:rPr>
        <w:lastRenderedPageBreak/>
        <w:t xml:space="preserve">actividades estatales y </w:t>
      </w:r>
      <w:r w:rsidRPr="00206872">
        <w:rPr>
          <w:rFonts w:ascii="Palatino Linotype" w:eastAsia="Palatino Linotype" w:hAnsi="Palatino Linotype" w:cs="Palatino Linotype"/>
          <w:color w:val="000000"/>
        </w:rPr>
        <w:t>promoviendo</w:t>
      </w:r>
      <w:r w:rsidRPr="00206872">
        <w:rPr>
          <w:rFonts w:ascii="Palatino Linotype" w:eastAsia="Palatino Linotype" w:hAnsi="Palatino Linotype" w:cs="Palatino Linotype"/>
          <w:i/>
          <w:iCs/>
          <w:color w:val="000000"/>
        </w:rPr>
        <w:t xml:space="preserve"> la responsabilidad de los funcionarios sobre su gestión pública,</w:t>
      </w:r>
      <w:r w:rsidRPr="00206872">
        <w:rPr>
          <w:rFonts w:ascii="Palatino Linotype" w:eastAsia="Palatino Linotype" w:hAnsi="Palatino Linotype" w:cs="Palatino Linotype"/>
          <w:i/>
          <w:iCs/>
          <w:vertAlign w:val="superscript"/>
        </w:rPr>
        <w:footnoteReference w:id="4"/>
      </w:r>
      <w:r w:rsidRPr="00206872">
        <w:rPr>
          <w:rFonts w:ascii="Palatino Linotype" w:eastAsia="Palatino Linotype" w:hAnsi="Palatino Linotype" w:cs="Palatino Linotype"/>
          <w:color w:val="000000"/>
        </w:rPr>
        <w:t>que permite</w:t>
      </w:r>
      <w:r w:rsidRPr="00206872">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rsidR="00E3559E" w:rsidRPr="00206872" w:rsidRDefault="00E67E3A">
      <w:pPr>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1.-</w:t>
      </w:r>
      <w:r w:rsidRPr="00206872">
        <w:rPr>
          <w:rFonts w:ascii="Palatino Linotype" w:eastAsia="Palatino Linotype" w:hAnsi="Palatino Linotype" w:cs="Palatino Linotype"/>
          <w:i/>
          <w:iCs/>
        </w:rPr>
        <w:t xml:space="preserve"> </w:t>
      </w:r>
    </w:p>
    <w:p w:rsidR="00E3559E" w:rsidRPr="00206872" w:rsidRDefault="00E67E3A">
      <w:pPr>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Todas las</w:t>
      </w:r>
      <w:r w:rsidRPr="00206872">
        <w:rPr>
          <w:rFonts w:ascii="Palatino Linotype" w:eastAsia="Palatino Linotype" w:hAnsi="Palatino Linotype" w:cs="Palatino Linotype"/>
        </w:rPr>
        <w:t xml:space="preserve"> </w:t>
      </w:r>
      <w:r w:rsidRPr="00206872">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E3559E" w:rsidRPr="00206872" w:rsidRDefault="00E67E3A">
      <w:pPr>
        <w:ind w:left="1134"/>
        <w:jc w:val="both"/>
        <w:rPr>
          <w:rFonts w:ascii="Palatino Linotype" w:eastAsia="Palatino Linotype" w:hAnsi="Palatino Linotype" w:cs="Palatino Linotype"/>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rPr>
        <w:t>”.</w:t>
      </w:r>
    </w:p>
    <w:p w:rsidR="00E3559E" w:rsidRPr="00206872" w:rsidRDefault="00E3559E">
      <w:pPr>
        <w:jc w:val="both"/>
        <w:rPr>
          <w:rFonts w:ascii="Palatino Linotype" w:eastAsia="Palatino Linotype" w:hAnsi="Palatino Linotype" w:cs="Palatino Linotype"/>
          <w:b/>
          <w:bCs/>
        </w:rPr>
      </w:pP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Así, conforme a la Constitución Política de las Estado Unidos Mexicanos y la Constitución Política del Estado Libre y Soberano de México respectivamente, el cumplimiento de las garantías primarias, entendidas como obligaciones inmediatamente </w:t>
      </w:r>
      <w:r w:rsidRPr="00206872">
        <w:rPr>
          <w:rFonts w:ascii="Palatino Linotype" w:eastAsia="Palatino Linotype" w:hAnsi="Palatino Linotype" w:cs="Palatino Linotype"/>
        </w:rPr>
        <w:lastRenderedPageBreak/>
        <w:t>relacionadas con el Derecho de Acceso a la Información Pública, permiten que todas las autoridades, en el ámbito de sus atribuciones lo respeten, protejan y garanticen.</w:t>
      </w:r>
    </w:p>
    <w:p w:rsidR="00E3559E" w:rsidRPr="00206872" w:rsidRDefault="00E67E3A">
      <w:pPr>
        <w:spacing w:after="240"/>
        <w:ind w:lef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Constitución Política de los Estados Unidos Mexicanos</w:t>
      </w:r>
    </w:p>
    <w:p w:rsidR="00E3559E" w:rsidRPr="00206872" w:rsidRDefault="00E67E3A">
      <w:pPr>
        <w:spacing w:before="240" w:after="240"/>
        <w:ind w:lef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“Artículo 6.</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Para efectos de lo dispuesto en el presente artículo se observará lo siguiente:</w:t>
      </w:r>
    </w:p>
    <w:p w:rsidR="00E3559E" w:rsidRPr="00206872" w:rsidRDefault="00E67E3A">
      <w:pPr>
        <w:spacing w:before="240" w:after="240"/>
        <w:ind w:lef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A</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Para el ejercicio del derecho de acceso a la información</w:t>
      </w:r>
      <w:r w:rsidRPr="00206872">
        <w:rPr>
          <w:rFonts w:ascii="Palatino Linotype" w:eastAsia="Palatino Linotype" w:hAnsi="Palatino Linotype" w:cs="Palatino Linotype"/>
          <w:i/>
          <w:iCs/>
        </w:rPr>
        <w:t xml:space="preserve">, la Federación y </w:t>
      </w:r>
      <w:r w:rsidRPr="00206872">
        <w:rPr>
          <w:rFonts w:ascii="Palatino Linotype" w:eastAsia="Palatino Linotype" w:hAnsi="Palatino Linotype" w:cs="Palatino Linotype"/>
          <w:b/>
          <w:bCs/>
          <w:i/>
          <w:iCs/>
        </w:rPr>
        <w:t>las entidades federativas, en el ámbito de sus respectivas competencias, se regirán por los siguientes principios y bases:</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I. </w:t>
      </w:r>
      <w:r w:rsidRPr="00206872">
        <w:rPr>
          <w:rFonts w:ascii="Palatino Linotype" w:eastAsia="Palatino Linotype" w:hAnsi="Palatino Linotype" w:cs="Palatino Linotype"/>
          <w:b/>
          <w:bCs/>
          <w:i/>
          <w:iCs/>
        </w:rPr>
        <w:tab/>
        <w:t>Toda la información en posesión de cualquier</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autoridad</w:t>
      </w:r>
      <w:r w:rsidRPr="00206872">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06872">
        <w:rPr>
          <w:rFonts w:ascii="Palatino Linotype" w:eastAsia="Palatino Linotype" w:hAnsi="Palatino Linotype" w:cs="Palatino Linotype"/>
          <w:b/>
          <w:bCs/>
          <w:i/>
          <w:iCs/>
        </w:rPr>
        <w:t>municipal</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es pública</w:t>
      </w:r>
      <w:r w:rsidRPr="00206872">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206872">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206872">
        <w:rPr>
          <w:rFonts w:ascii="Palatino Linotype" w:eastAsia="Palatino Linotype" w:hAnsi="Palatino Linotype" w:cs="Palatino Linotype"/>
          <w:i/>
          <w:iCs/>
        </w:rPr>
        <w:t>, la ley determinará los supuestos específicos bajo los cuales procederá la declaración de inexistencia de la información.”</w:t>
      </w:r>
    </w:p>
    <w:p w:rsidR="00E3559E" w:rsidRPr="00206872" w:rsidRDefault="00E3559E">
      <w:pPr>
        <w:pBdr>
          <w:top w:val="nil"/>
          <w:left w:val="nil"/>
          <w:bottom w:val="nil"/>
          <w:right w:val="nil"/>
          <w:between w:val="nil"/>
        </w:pBdr>
        <w:tabs>
          <w:tab w:val="left" w:pos="567"/>
        </w:tabs>
        <w:spacing w:before="240" w:after="240"/>
        <w:ind w:left="1134"/>
        <w:jc w:val="both"/>
        <w:rPr>
          <w:rFonts w:ascii="Palatino Linotype" w:eastAsia="Palatino Linotype" w:hAnsi="Palatino Linotype" w:cs="Palatino Linotype"/>
          <w:b/>
          <w:bCs/>
          <w:i/>
          <w:iCs/>
          <w:color w:val="000000"/>
        </w:rPr>
      </w:pPr>
    </w:p>
    <w:p w:rsidR="00E3559E" w:rsidRPr="00206872" w:rsidRDefault="00E67E3A">
      <w:pPr>
        <w:spacing w:before="240" w:after="240"/>
        <w:ind w:lef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Constitución Política del Estado Libre y Soberano de México</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5</w:t>
      </w:r>
      <w:r w:rsidRPr="00206872">
        <w:rPr>
          <w:rFonts w:ascii="Palatino Linotype" w:eastAsia="Palatino Linotype" w:hAnsi="Palatino Linotype" w:cs="Palatino Linotype"/>
          <w:i/>
          <w:iCs/>
        </w:rPr>
        <w:t xml:space="preserve">.- </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206872">
        <w:rPr>
          <w:rFonts w:ascii="Palatino Linotype" w:eastAsia="Palatino Linotype" w:hAnsi="Palatino Linotype" w:cs="Palatino Linotype"/>
          <w:i/>
          <w:iCs/>
        </w:rPr>
        <w:t>.</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Este derecho se regirá por los principios y bases siguientes</w:t>
      </w:r>
      <w:r w:rsidRPr="00206872">
        <w:rPr>
          <w:rFonts w:ascii="Palatino Linotype" w:eastAsia="Palatino Linotype" w:hAnsi="Palatino Linotype" w:cs="Palatino Linotype"/>
          <w:i/>
          <w:iCs/>
        </w:rPr>
        <w:t>:</w:t>
      </w:r>
    </w:p>
    <w:p w:rsidR="00E3559E" w:rsidRPr="00206872" w:rsidRDefault="00E67E3A">
      <w:pPr>
        <w:spacing w:before="240" w:after="240"/>
        <w:ind w:lef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 Toda la información en posesión de cualquier autoridad, entidad, órgano y organismos de los</w:t>
      </w:r>
      <w:r w:rsidRPr="00206872">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206872">
        <w:rPr>
          <w:rFonts w:ascii="Palatino Linotype" w:eastAsia="Palatino Linotype" w:hAnsi="Palatino Linotype" w:cs="Palatino Linotype"/>
          <w:b/>
          <w:bCs/>
          <w:i/>
          <w:iCs/>
        </w:rPr>
        <w:t>municipales</w:t>
      </w:r>
      <w:r w:rsidRPr="00206872">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06872">
        <w:rPr>
          <w:rFonts w:ascii="Palatino Linotype" w:eastAsia="Palatino Linotype" w:hAnsi="Palatino Linotype" w:cs="Palatino Linotype"/>
          <w:b/>
          <w:bCs/>
          <w:i/>
          <w:iCs/>
        </w:rPr>
        <w:t>es pública</w:t>
      </w:r>
      <w:r w:rsidRPr="00206872">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206872">
        <w:rPr>
          <w:rFonts w:ascii="Palatino Linotype" w:eastAsia="Palatino Linotype" w:hAnsi="Palatino Linotype" w:cs="Palatino Linotype"/>
          <w:b/>
          <w:bCs/>
          <w:i/>
          <w:iCs/>
        </w:rPr>
        <w:t>En la interpretación de este derecho deberá prevalecer el principio de máxima publicidad</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Los sujetos obligados deberán documentar todo acto que derive del ejercicio de sus facultades, competencias o funciones</w:t>
      </w:r>
      <w:r w:rsidRPr="00206872">
        <w:rPr>
          <w:rFonts w:ascii="Palatino Linotype" w:eastAsia="Palatino Linotype" w:hAnsi="Palatino Linotype" w:cs="Palatino Linotype"/>
          <w:i/>
          <w:iCs/>
        </w:rPr>
        <w:t>, la ley determinará los supuestos específicos bajo los cuales procederá la declaración de inexistencia de la información.”</w:t>
      </w:r>
    </w:p>
    <w:p w:rsidR="00E3559E" w:rsidRPr="00206872" w:rsidRDefault="00E3559E">
      <w:pPr>
        <w:tabs>
          <w:tab w:val="left" w:pos="567"/>
        </w:tabs>
        <w:spacing w:before="240" w:after="240"/>
        <w:jc w:val="both"/>
        <w:rPr>
          <w:rFonts w:ascii="Palatino Linotype" w:eastAsia="Palatino Linotype" w:hAnsi="Palatino Linotype" w:cs="Palatino Linotype"/>
          <w:b/>
          <w:bCs/>
          <w:i/>
          <w:iCs/>
        </w:rPr>
      </w:pPr>
    </w:p>
    <w:p w:rsidR="00E3559E" w:rsidRPr="00206872" w:rsidRDefault="00E67E3A" w:rsidP="00206872">
      <w:pPr>
        <w:numPr>
          <w:ilvl w:val="0"/>
          <w:numId w:val="2"/>
        </w:numPr>
        <w:spacing w:before="240"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206872">
        <w:rPr>
          <w:rFonts w:ascii="Palatino Linotype" w:eastAsia="Palatino Linotype" w:hAnsi="Palatino Linotype" w:cs="Palatino Linotype"/>
          <w:i/>
          <w:iCs/>
        </w:rPr>
        <w:t>por los principios de simplicidad, rapidez gratuidad del procedimiento, auxilio y orientación a los particulares</w:t>
      </w:r>
      <w:r w:rsidRPr="00206872">
        <w:rPr>
          <w:rFonts w:ascii="Palatino Linotype" w:eastAsia="Palatino Linotype" w:hAnsi="Palatino Linotype" w:cs="Palatino Linotype"/>
        </w:rPr>
        <w:t>, contemplando el derecho de las personas con discapacidad y hablantes de lengua indígena.</w:t>
      </w:r>
    </w:p>
    <w:p w:rsidR="00E3559E" w:rsidRPr="00206872" w:rsidRDefault="00E3559E">
      <w:pPr>
        <w:spacing w:before="240" w:line="360" w:lineRule="auto"/>
        <w:jc w:val="both"/>
        <w:rPr>
          <w:rFonts w:ascii="Palatino Linotype" w:eastAsia="Palatino Linotype" w:hAnsi="Palatino Linotype" w:cs="Palatino Linotype"/>
        </w:rPr>
      </w:pP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El Derecho de Acceso a la Información se garantiza y respeta oportunamente, y según lo que dispone la Ley, las </w:t>
      </w:r>
      <w:r w:rsidRPr="00206872">
        <w:rPr>
          <w:rFonts w:ascii="Palatino Linotype" w:eastAsia="Palatino Linotype" w:hAnsi="Palatino Linotype" w:cs="Palatino Linotype"/>
          <w:i/>
          <w:iCs/>
        </w:rPr>
        <w:t>solicitudes de acceso a la información</w:t>
      </w:r>
      <w:r w:rsidRPr="00206872">
        <w:rPr>
          <w:rFonts w:ascii="Palatino Linotype" w:eastAsia="Palatino Linotype" w:hAnsi="Palatino Linotype" w:cs="Palatino Linotype"/>
        </w:rPr>
        <w:t>.</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rsidP="00206872">
      <w:pPr>
        <w:numPr>
          <w:ilvl w:val="0"/>
          <w:numId w:val="2"/>
        </w:numPr>
        <w:spacing w:line="360" w:lineRule="auto"/>
        <w:ind w:left="0" w:firstLine="0"/>
        <w:jc w:val="both"/>
      </w:pPr>
      <w:r w:rsidRPr="00206872">
        <w:rPr>
          <w:rFonts w:ascii="Palatino Linotype" w:eastAsia="Palatino Linotype" w:hAnsi="Palatino Linotype" w:cs="Palatino Linotype"/>
        </w:rPr>
        <w:lastRenderedPageBreak/>
        <w:t xml:space="preserve">Así entonces, se procede analizar, en primer lugar, si el </w:t>
      </w:r>
      <w:r w:rsidRPr="00206872">
        <w:rPr>
          <w:rFonts w:ascii="Palatino Linotype" w:eastAsia="Palatino Linotype" w:hAnsi="Palatino Linotype" w:cs="Palatino Linotype"/>
          <w:b/>
          <w:bCs/>
        </w:rPr>
        <w:t>SUJETO OBLIGADO</w:t>
      </w:r>
      <w:r w:rsidRPr="00206872">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rPr>
      </w:pPr>
    </w:p>
    <w:p w:rsidR="00E3559E" w:rsidRPr="00206872" w:rsidRDefault="00E67E3A">
      <w:pPr>
        <w:pStyle w:val="Ttulo1"/>
        <w:spacing w:before="0" w:after="240" w:line="360" w:lineRule="auto"/>
        <w:rPr>
          <w:rFonts w:ascii="Palatino Linotype" w:eastAsia="Palatino Linotype" w:hAnsi="Palatino Linotype" w:cs="Palatino Linotype"/>
          <w:b/>
          <w:bCs/>
          <w:color w:val="000000"/>
          <w:sz w:val="24"/>
          <w:szCs w:val="24"/>
        </w:rPr>
      </w:pPr>
      <w:bookmarkStart w:id="11" w:name="_heading=h.26in1rg" w:colFirst="0" w:colLast="0"/>
      <w:bookmarkEnd w:id="11"/>
      <w:r w:rsidRPr="00206872">
        <w:rPr>
          <w:rFonts w:ascii="Palatino Linotype" w:eastAsia="Palatino Linotype" w:hAnsi="Palatino Linotype" w:cs="Palatino Linotype"/>
          <w:b/>
          <w:bCs/>
          <w:color w:val="000000"/>
          <w:sz w:val="24"/>
          <w:szCs w:val="24"/>
        </w:rPr>
        <w:t>II. De la información solicitada y la respuesta del SUJETO OBLIGADO</w:t>
      </w: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color w:val="000000"/>
        </w:rPr>
        <w:t xml:space="preserve">Acotada la </w:t>
      </w:r>
      <w:r w:rsidRPr="00206872">
        <w:rPr>
          <w:rFonts w:ascii="Palatino Linotype" w:eastAsia="Palatino Linotype" w:hAnsi="Palatino Linotype" w:cs="Palatino Linotype"/>
          <w:i/>
          <w:iCs/>
          <w:color w:val="000000"/>
        </w:rPr>
        <w:t>Litis</w:t>
      </w:r>
      <w:r w:rsidRPr="00206872">
        <w:rPr>
          <w:rFonts w:ascii="Palatino Linotype" w:eastAsia="Palatino Linotype" w:hAnsi="Palatino Linotype" w:cs="Palatino Linotype"/>
          <w:color w:val="000000"/>
        </w:rPr>
        <w:t xml:space="preserve"> del presente asunto, primeramente es menester precisar que del escrito de inconformidad, se observa que el particular se duele por la negativa a la entrega de la información por el Sujeto Obligado.</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rsidP="00206872">
      <w:pPr>
        <w:numPr>
          <w:ilvl w:val="0"/>
          <w:numId w:val="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En ese sentido, es importante recordar la información que fue solicitada por el </w:t>
      </w:r>
      <w:r w:rsidRPr="00206872">
        <w:rPr>
          <w:rFonts w:ascii="Palatino Linotype" w:eastAsia="Palatino Linotype" w:hAnsi="Palatino Linotype" w:cs="Palatino Linotype"/>
          <w:b/>
          <w:bCs/>
        </w:rPr>
        <w:t xml:space="preserve">RECURRENTE </w:t>
      </w:r>
      <w:r w:rsidRPr="00206872">
        <w:rPr>
          <w:rFonts w:ascii="Palatino Linotype" w:eastAsia="Palatino Linotype" w:hAnsi="Palatino Linotype" w:cs="Palatino Linotype"/>
        </w:rPr>
        <w:t xml:space="preserve">así como la información proporcionada por el </w:t>
      </w:r>
      <w:r w:rsidRPr="00206872">
        <w:rPr>
          <w:rFonts w:ascii="Palatino Linotype" w:eastAsia="Palatino Linotype" w:hAnsi="Palatino Linotype" w:cs="Palatino Linotype"/>
          <w:b/>
          <w:bCs/>
        </w:rPr>
        <w:t xml:space="preserve">SUJETO OBLIGADO. </w:t>
      </w:r>
    </w:p>
    <w:p w:rsidR="00E3559E" w:rsidRPr="00206872" w:rsidRDefault="00E67E3A" w:rsidP="00206872">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t>Con relación a la obra del Puente de Conexión a la Autopista México – Querétaro (codo libramiento norte):</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1. Monto original aprobado por el Cabildo para la ejecución de dicha obra?</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 2. Cuántas ampliaciones presupuestales han aprobado ustedes para este proyecto y su justificación técnica o administrativa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3. Medidas de fiscalización y supervisión ha realizado el Cabildo para evitar sobrecostos y retrasos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4. Nombre de la empresa contratada para la ejecución de la obra</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lastRenderedPageBreak/>
        <w:t>5</w:t>
      </w:r>
      <w:r w:rsidRPr="00206872">
        <w:t xml:space="preserve"> </w:t>
      </w:r>
      <w:r w:rsidRPr="00206872">
        <w:rPr>
          <w:rFonts w:ascii="Palatino Linotype" w:eastAsia="Palatino Linotype" w:hAnsi="Palatino Linotype" w:cs="Palatino Linotype"/>
          <w:i/>
          <w:iCs/>
          <w:color w:val="000000"/>
        </w:rPr>
        <w:t>Historial de obras realizadas por  la empresa contratada en otras obras en el municipio de la empresa contratada en obras en el municipio</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6. Sanciones contractuales previstas en caso de incumplimiento en plazos o mala calidad de la obra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7. Porcentaje de avance físico y financiero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8. Causas de los retrasos operativos que impiden la entrega del puente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9. Documentos que acrediten la  supervisión externa que han sido solicitados o gestionados por los regidores </w:t>
      </w:r>
    </w:p>
    <w:p w:rsidR="00E3559E" w:rsidRPr="00206872" w:rsidRDefault="00E67E3A">
      <w:pPr>
        <w:spacing w:before="240" w:after="24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10. fecha de  término de la obra</w:t>
      </w:r>
    </w:p>
    <w:p w:rsidR="00E3559E" w:rsidRPr="00206872" w:rsidRDefault="00E67E3A">
      <w:pPr>
        <w:spacing w:before="240" w:after="240"/>
        <w:ind w:lef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i/>
          <w:iCs/>
          <w:color w:val="000000"/>
        </w:rPr>
        <w:t>11. En caso de detectarse irregularidades, ¿qué regidores asumirían la responsabilidad de haber autorizado incrementos presupuestales sin resultados?</w:t>
      </w:r>
    </w:p>
    <w:p w:rsidR="00E3559E" w:rsidRPr="00206872" w:rsidRDefault="00E3559E">
      <w:pPr>
        <w:spacing w:line="360" w:lineRule="auto"/>
        <w:jc w:val="both"/>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Ahora bien, al respecto, es de señalar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 por lo que ,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 los servidores públicos habilitados que tengan bajo su resguardo la misma, de conformidad con los artículos 53, fracciones II y IV y 162 de la Ley de Transparencia y Acceso a la Información Pública del Estado de México y Municipios.</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rsidR="00E3559E" w:rsidRPr="00206872" w:rsidRDefault="00E67E3A" w:rsidP="00206872">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En esta línea de pensamiento, derivado del análisis de las constancias que obran en el expediente electrónico en el que se actúa, se advirtió que la Unidad de Transparencia turnó la solicitud de información para su atención a la Dirección de Obras Públicas, cuyo objetivo, </w:t>
      </w:r>
      <w:r w:rsidRPr="00206872">
        <w:rPr>
          <w:rFonts w:ascii="Palatino Linotype" w:eastAsia="Palatino Linotype" w:hAnsi="Palatino Linotype" w:cs="Palatino Linotype"/>
          <w:color w:val="000000"/>
        </w:rPr>
        <w:lastRenderedPageBreak/>
        <w:t>de conformidad con el artículo 51 del Bando Municipal de Tepotzotlán consiste en la coordinación de las obras públicas previa autorización del Ayuntamiento que consiste en funciones de planeación, presupuestación, programación y ejecución.</w:t>
      </w:r>
    </w:p>
    <w:p w:rsidR="00E3559E" w:rsidRPr="00206872" w:rsidRDefault="00E3559E">
      <w:pPr>
        <w:spacing w:before="240" w:after="240"/>
        <w:jc w:val="both"/>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Mientras que el artículo 96 Bis de la Ley Orgánica Municipal del Estado de México confiere al titular de la Dirección de Obras Públicas las siguientes atribuciones en su parte conducente:</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Realizar la programación y ejecución de las obras públicas y servicios relacionados, que por orden expresa del Ayuntamiento requieran prioridad;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Planear y coordinar los proyectos de obras públicas y servicios relacionados con las mismas que autorice el Ayuntamiento, una vez que se cumplan los requisitos de licitación y otros que determine la ley de la materia;</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Proyectar las obras públicas y servicios relacionados, que realice el Municipio, incluyendo la conservación y mantenimiento de edificios, monumentos, calles, parques y jardines;</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Construir y ejecutar todas aquellas obras públicas y servicios relacionados, que aumenten y mantengan la infraestructura municipal y que estén consideradas en el programa respectivo;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Determinar y cuantificar los materiales y trabajos necesarios para programas de construcción y mantenimiento de obras públicas y servicios relacionados;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Vigilar que se cumplan y lleven a cabo los programas de construcción y mantenimiento de obras públicas y servicios relacionados;</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Vigilar la construcción en las obras por contrato y por administración que hayan sido adjudicadas a los contratistas;</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rPr>
        <w:lastRenderedPageBreak/>
        <w:t xml:space="preserve">- </w:t>
      </w:r>
      <w:r w:rsidRPr="00206872">
        <w:rPr>
          <w:rFonts w:ascii="Palatino Linotype" w:eastAsia="Palatino Linotype" w:hAnsi="Palatino Linotype" w:cs="Palatino Linotype"/>
          <w:b/>
          <w:bCs/>
          <w:i/>
          <w:iCs/>
        </w:rPr>
        <w:t xml:space="preserve">Administrar y ejercer, en el ámbito de su competencia, </w:t>
      </w:r>
      <w:r w:rsidRPr="00206872">
        <w:rPr>
          <w:rFonts w:ascii="Palatino Linotype" w:eastAsia="Palatino Linotype" w:hAnsi="Palatino Linotype" w:cs="Palatino Linotype"/>
          <w:b/>
          <w:bCs/>
          <w:i/>
          <w:iCs/>
          <w:u w:val="single"/>
        </w:rPr>
        <w:t>de manera coordinada con el Tesorero municipal,</w:t>
      </w:r>
      <w:r w:rsidRPr="00206872">
        <w:rPr>
          <w:rFonts w:ascii="Palatino Linotype" w:eastAsia="Palatino Linotype" w:hAnsi="Palatino Linotype" w:cs="Palatino Linotype"/>
          <w:b/>
          <w:bCs/>
          <w:i/>
          <w:iCs/>
        </w:rPr>
        <w:t xml:space="preserve"> los recursos públicos destinados a la planeación, programación, presupuestación, adjudicación, contratación, ejecución y control de la obra pública,</w:t>
      </w:r>
      <w:r w:rsidRPr="00206872">
        <w:rPr>
          <w:rFonts w:ascii="Palatino Linotype" w:eastAsia="Palatino Linotype" w:hAnsi="Palatino Linotype" w:cs="Palatino Linotype"/>
          <w:i/>
          <w:iCs/>
        </w:rPr>
        <w:t xml:space="preserve"> conforme a las disposiciones legales aplicables y en congruencia con los planes, programas, especificaciones técnicas, controles y procedimientos administrativos aprobados;</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Verificar que las obras públicas y los servicios relacionados con la misma, hayan sido programadas, presupuestadas, ejecutadas, adquiridas y contratadas en estricto apego a las disposiciones legales aplicables;</w:t>
      </w:r>
    </w:p>
    <w:p w:rsidR="00E3559E"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Autorizar para su pago</w:t>
      </w:r>
      <w:r w:rsidRPr="00206872">
        <w:rPr>
          <w:rFonts w:ascii="Palatino Linotype" w:eastAsia="Palatino Linotype" w:hAnsi="Palatino Linotype" w:cs="Palatino Linotype"/>
          <w:i/>
          <w:iCs/>
        </w:rPr>
        <w:t xml:space="preserve">, previa validación del avance y calidad de las obras, </w:t>
      </w:r>
      <w:r w:rsidRPr="00206872">
        <w:rPr>
          <w:rFonts w:ascii="Palatino Linotype" w:eastAsia="Palatino Linotype" w:hAnsi="Palatino Linotype" w:cs="Palatino Linotype"/>
          <w:b/>
          <w:bCs/>
          <w:i/>
          <w:iCs/>
        </w:rPr>
        <w:t>los presupuestos y estimaciones que presenten los contratistas</w:t>
      </w:r>
      <w:r w:rsidRPr="00206872">
        <w:rPr>
          <w:rFonts w:ascii="Palatino Linotype" w:eastAsia="Palatino Linotype" w:hAnsi="Palatino Linotype" w:cs="Palatino Linotype"/>
          <w:i/>
          <w:iCs/>
        </w:rPr>
        <w:t xml:space="preserve"> de obras públicas municipales</w:t>
      </w:r>
    </w:p>
    <w:p w:rsidR="00206872" w:rsidRPr="00206872" w:rsidRDefault="00206872">
      <w:pPr>
        <w:spacing w:before="240" w:after="240"/>
        <w:ind w:left="1134" w:right="1134"/>
        <w:jc w:val="both"/>
        <w:rPr>
          <w:rFonts w:ascii="Palatino Linotype" w:eastAsia="Palatino Linotype" w:hAnsi="Palatino Linotype" w:cs="Palatino Linotype"/>
          <w:i/>
          <w:iCs/>
        </w:rPr>
      </w:pPr>
    </w:p>
    <w:p w:rsidR="00E3559E" w:rsidRDefault="00E67E3A" w:rsidP="00206872">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lo anterior se advierte que si bien la Dirección de Obras Públicas cuenta con competencia para conocer de la información que es del interés de la persona solicitante, sin embargo, NO se atendió el procedimiento de búsqueda, el cual se constituye como la garantía primaria del derecho humano de acceso a la información pública, mismo que se rige por los principios de simplicidad, rapidez, gratuidad del procedimiento, auxilio y orientación a los solicitantes con el fin de otorgar la protección más amplia de este derecho, al no obrar constancia en el expediente electrónico del turno a todas las áreas competentes para contar con la información materia de la solicitud, de manera enunciativa, más no limitativa, la </w:t>
      </w:r>
      <w:r w:rsidRPr="00206872">
        <w:rPr>
          <w:rFonts w:ascii="Palatino Linotype" w:eastAsia="Palatino Linotype" w:hAnsi="Palatino Linotype" w:cs="Palatino Linotype"/>
          <w:i/>
          <w:iCs/>
          <w:color w:val="000000"/>
        </w:rPr>
        <w:t>Tesorería Municipal, la Dirección de Desarrollo Urbano y Metropolitano, Contraloría Municipal</w:t>
      </w:r>
      <w:r w:rsidRPr="00206872">
        <w:rPr>
          <w:rFonts w:ascii="Palatino Linotype" w:eastAsia="Palatino Linotype" w:hAnsi="Palatino Linotype" w:cs="Palatino Linotype"/>
          <w:color w:val="000000"/>
        </w:rPr>
        <w:t xml:space="preserve"> y </w:t>
      </w:r>
      <w:r w:rsidRPr="00206872">
        <w:rPr>
          <w:rFonts w:ascii="Palatino Linotype" w:eastAsia="Palatino Linotype" w:hAnsi="Palatino Linotype" w:cs="Palatino Linotype"/>
          <w:i/>
          <w:iCs/>
          <w:color w:val="000000"/>
        </w:rPr>
        <w:t>Secretaría del Ayuntamiento.</w:t>
      </w:r>
      <w:r w:rsidRPr="00206872">
        <w:rPr>
          <w:rFonts w:ascii="Palatino Linotype" w:eastAsia="Palatino Linotype" w:hAnsi="Palatino Linotype" w:cs="Palatino Linotype"/>
          <w:color w:val="000000"/>
        </w:rPr>
        <w:t xml:space="preserve"> </w:t>
      </w:r>
    </w:p>
    <w:p w:rsidR="00206872" w:rsidRPr="00206872" w:rsidRDefault="00206872" w:rsidP="00206872">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 xml:space="preserve">Ahora bien, la Tesorería Municipal es el órgano encargado de la recaudación de los ingresos municipales y </w:t>
      </w:r>
      <w:r w:rsidRPr="00206872">
        <w:rPr>
          <w:rFonts w:ascii="Palatino Linotype" w:eastAsia="Palatino Linotype" w:hAnsi="Palatino Linotype" w:cs="Palatino Linotype"/>
          <w:b/>
          <w:bCs/>
          <w:color w:val="000000"/>
        </w:rPr>
        <w:t>responsable de realizar las erogaciones</w:t>
      </w:r>
      <w:r w:rsidRPr="00206872">
        <w:rPr>
          <w:rFonts w:ascii="Palatino Linotype" w:eastAsia="Palatino Linotype" w:hAnsi="Palatino Linotype" w:cs="Palatino Linotype"/>
          <w:color w:val="000000"/>
        </w:rPr>
        <w:t xml:space="preserve"> que haga el ayuntamiento </w:t>
      </w:r>
      <w:r w:rsidRPr="00206872">
        <w:rPr>
          <w:rFonts w:ascii="Palatino Linotype" w:eastAsia="Palatino Linotype" w:hAnsi="Palatino Linotype" w:cs="Palatino Linotype"/>
          <w:b/>
          <w:bCs/>
          <w:color w:val="000000"/>
        </w:rPr>
        <w:t>a través de los registros contables, financieros y administrativos</w:t>
      </w:r>
      <w:r w:rsidRPr="00206872">
        <w:rPr>
          <w:rFonts w:ascii="Palatino Linotype" w:eastAsia="Palatino Linotype" w:hAnsi="Palatino Linotype" w:cs="Palatino Linotype"/>
          <w:color w:val="000000"/>
        </w:rPr>
        <w:t xml:space="preserve"> de los ingresos, </w:t>
      </w:r>
      <w:r w:rsidRPr="00206872">
        <w:rPr>
          <w:rFonts w:ascii="Palatino Linotype" w:eastAsia="Palatino Linotype" w:hAnsi="Palatino Linotype" w:cs="Palatino Linotype"/>
          <w:b/>
          <w:bCs/>
          <w:color w:val="000000"/>
        </w:rPr>
        <w:t>egresos</w:t>
      </w:r>
      <w:r w:rsidRPr="00206872">
        <w:rPr>
          <w:rFonts w:ascii="Palatino Linotype" w:eastAsia="Palatino Linotype" w:hAnsi="Palatino Linotype" w:cs="Palatino Linotype"/>
          <w:color w:val="000000"/>
        </w:rPr>
        <w:t xml:space="preserve"> e inventarios; entre otras atribuciones, de conformidad con lo establecido en los artículos 93 y 95, fracciones I y IV de la Ley Orgánica Municipal del Estado de México, como se aprecia:</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93</w:t>
      </w:r>
      <w:r w:rsidRPr="00206872">
        <w:rPr>
          <w:rFonts w:ascii="Palatino Linotype" w:eastAsia="Palatino Linotype" w:hAnsi="Palatino Linotype" w:cs="Palatino Linotype"/>
          <w:i/>
          <w:iCs/>
        </w:rPr>
        <w:t>.- La tesorería municipal es el órgano encargado de la recaudación de los ingresos municipales y responsable de realizar las erogaciones que haga el ayuntamiento.</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95</w:t>
      </w:r>
      <w:r w:rsidRPr="00206872">
        <w:rPr>
          <w:rFonts w:ascii="Palatino Linotype" w:eastAsia="Palatino Linotype" w:hAnsi="Palatino Linotype" w:cs="Palatino Linotype"/>
          <w:i/>
          <w:iCs/>
        </w:rPr>
        <w:t xml:space="preserve">.- Son atribuciones del tesorero municipal: </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Administrar la hacienda pública municipal</w:t>
      </w:r>
      <w:r w:rsidRPr="00206872">
        <w:rPr>
          <w:rFonts w:ascii="Palatino Linotype" w:eastAsia="Palatino Linotype" w:hAnsi="Palatino Linotype" w:cs="Palatino Linotype"/>
          <w:i/>
          <w:iCs/>
        </w:rPr>
        <w:t>, de conformidad con las disposiciones legales aplicables;</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851"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u w:val="single"/>
        </w:rPr>
        <w:t>Llevar los registros contables, financieros y administrativos</w:t>
      </w:r>
      <w:r w:rsidRPr="00206872">
        <w:rPr>
          <w:rFonts w:ascii="Palatino Linotype" w:eastAsia="Palatino Linotype" w:hAnsi="Palatino Linotype" w:cs="Palatino Linotype"/>
          <w:b/>
          <w:bCs/>
          <w:i/>
          <w:iCs/>
        </w:rPr>
        <w:t xml:space="preserve"> de los ingresos, egresos</w:t>
      </w:r>
      <w:r w:rsidRPr="00206872">
        <w:rPr>
          <w:rFonts w:ascii="Palatino Linotype" w:eastAsia="Palatino Linotype" w:hAnsi="Palatino Linotype" w:cs="Palatino Linotype"/>
          <w:i/>
          <w:iCs/>
        </w:rPr>
        <w:t>, e inventarios;…”</w:t>
      </w:r>
    </w:p>
    <w:p w:rsidR="00E3559E" w:rsidRPr="00206872" w:rsidRDefault="00E3559E">
      <w:pPr>
        <w:spacing w:before="120" w:after="120"/>
        <w:ind w:left="851"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Por su parte La Dirección de Desarrollo Urbano y Metropolitano según dispone el artículo 52 del Bando Municipal, es responsable de acciones que propicien el desarrollo de las comunidades, con un enfoque sustentable, favoreciendo la infraestructura, el equipamiento, los servicios, las vialidades, la preservación del patrimonio cultural, la planeación e imagen urbana, los límites territoriales, la tenencia de la tierra, la conservación y mejoramiento del ambiente de los asentamientos humanos y centros urbanos del Municipio, así como apoyar con acciones orientadas a la modernización y optimización del trasporte terrestre, entre otros, con la participación activa de la sociedad, cuyas atribuciones </w:t>
      </w:r>
      <w:r w:rsidRPr="00206872">
        <w:rPr>
          <w:rFonts w:ascii="Palatino Linotype" w:eastAsia="Palatino Linotype" w:hAnsi="Palatino Linotype" w:cs="Palatino Linotype"/>
          <w:color w:val="000000"/>
        </w:rPr>
        <w:lastRenderedPageBreak/>
        <w:t>se encuentran establecidas en el articulo 96 Sexies de la Ley Orgánica del Estado de México, entre las cuales se mencionan las siguientes:</w:t>
      </w:r>
    </w:p>
    <w:p w:rsidR="00E3559E" w:rsidRPr="00206872" w:rsidRDefault="00E67E3A">
      <w:pPr>
        <w:numPr>
          <w:ilvl w:val="0"/>
          <w:numId w:val="5"/>
        </w:num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Ejecutar la política en materia de reordenamiento urbano;</w:t>
      </w:r>
    </w:p>
    <w:p w:rsidR="00E3559E" w:rsidRPr="00206872" w:rsidRDefault="00E67E3A">
      <w:pPr>
        <w:numPr>
          <w:ilvl w:val="0"/>
          <w:numId w:val="5"/>
        </w:num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Proponer el plan municipal de desarrollo urbano, así como sus modificaciones, y los parciales que de ellos deriven; </w:t>
      </w:r>
    </w:p>
    <w:p w:rsidR="00E3559E" w:rsidRPr="00206872" w:rsidRDefault="00E67E3A">
      <w:pPr>
        <w:numPr>
          <w:ilvl w:val="0"/>
          <w:numId w:val="5"/>
        </w:numPr>
        <w:pBdr>
          <w:top w:val="nil"/>
          <w:left w:val="nil"/>
          <w:bottom w:val="nil"/>
          <w:right w:val="nil"/>
          <w:between w:val="nil"/>
        </w:pBdr>
        <w:spacing w:after="240"/>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Participar en la elaboración o modificación del respectivo plan regional de desarrollo urbano o de los parciales que de éste deriven, cuando incluya parte o la totalidad de su territorio;</w:t>
      </w:r>
    </w:p>
    <w:p w:rsidR="00E3559E" w:rsidRPr="00206872" w:rsidRDefault="00E3559E">
      <w:pPr>
        <w:spacing w:before="240" w:after="240"/>
        <w:ind w:left="41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Así mismo, respecto de la Contraloría Municipal, el artículo 110 de la Ley Orgánica del Estado de México, dispone que es el órgano interno de control encargado de promover, evaluar y fortalecer el buen funcionamiento del control interno, competente para aplicar las leyes en materia de responsabilidades de los servidores públicos, cuyas atribuciones se encuentran enmarcadas en el artículo 112 de la referida Ley, siendo de interés para el tema que nos ocupa, las siguientes: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112</w:t>
      </w:r>
      <w:r w:rsidRPr="00206872">
        <w:rPr>
          <w:rFonts w:ascii="Palatino Linotype" w:eastAsia="Palatino Linotype" w:hAnsi="Palatino Linotype" w:cs="Palatino Linotype"/>
          <w:i/>
          <w:iCs/>
        </w:rPr>
        <w:t>. El órgano interno de control municipal tendrá a su cargo las funciones siguientes: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Planear, programar, organizar y coordinar el sistema de control y evaluación municipal;</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Fiscalizar el ingreso y ejercicio del gasto público municipal y su congruencia con el presupuesto de egresos;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Establecer las bases generales para la realización de auditorías e inspecciones;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X.</w:t>
      </w:r>
      <w:r w:rsidRPr="00206872">
        <w:rPr>
          <w:rFonts w:ascii="Palatino Linotype" w:eastAsia="Palatino Linotype" w:hAnsi="Palatino Linotype" w:cs="Palatino Linotype"/>
          <w:i/>
          <w:iCs/>
        </w:rPr>
        <w:t xml:space="preserve"> Establecer y operar un sistema de atención de quejas, denuncias y sugerencias;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w:t>
      </w:r>
      <w:r w:rsidRPr="00206872">
        <w:rPr>
          <w:rFonts w:ascii="Palatino Linotype" w:eastAsia="Palatino Linotype" w:hAnsi="Palatino Linotype" w:cs="Palatino Linotype"/>
          <w:i/>
          <w:iCs/>
        </w:rPr>
        <w:t xml:space="preserve"> Realizar auditorías y evaluaciones e informar del resultado de las mismas al ayuntamiento;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w:t>
      </w: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t>Además, de conformidad con el artículo 86 del Bando Municipal de Tepotzotlán, el Órgano Interno de Control se auxilia de las siguientes áreas para el despacho de los asuntos que se le encomiendan:</w:t>
      </w:r>
    </w:p>
    <w:p w:rsidR="00E3559E" w:rsidRPr="00206872" w:rsidRDefault="00E67E3A">
      <w:pPr>
        <w:numPr>
          <w:ilvl w:val="0"/>
          <w:numId w:val="4"/>
        </w:numPr>
        <w:pBdr>
          <w:top w:val="nil"/>
          <w:left w:val="nil"/>
          <w:bottom w:val="nil"/>
          <w:right w:val="nil"/>
          <w:between w:val="nil"/>
        </w:pBdr>
        <w:tabs>
          <w:tab w:val="left" w:pos="567"/>
        </w:tabs>
        <w:spacing w:before="120" w:after="120"/>
        <w:ind w:left="1134" w:firstLine="0"/>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Contralor Interno;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II. Notificador, Inspector, Visitador y Ejecutor;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III. Autoridad Investigadora;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IV. Autoridad Substanciadora;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V. Autoridad Resolutora;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VI. Defensora de Oficio;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VII. Unidad de Auditoría: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a. Auditor Financiero;</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b. Auditor de Obra; </w:t>
      </w:r>
    </w:p>
    <w:p w:rsidR="00E3559E" w:rsidRPr="00206872" w:rsidRDefault="00E67E3A">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c. Contralor Social.</w:t>
      </w:r>
    </w:p>
    <w:p w:rsidR="00E3559E" w:rsidRPr="00206872" w:rsidRDefault="00E3559E">
      <w:pPr>
        <w:pBdr>
          <w:top w:val="nil"/>
          <w:left w:val="nil"/>
          <w:bottom w:val="nil"/>
          <w:right w:val="nil"/>
          <w:between w:val="nil"/>
        </w:pBdr>
        <w:tabs>
          <w:tab w:val="left" w:pos="567"/>
        </w:tabs>
        <w:spacing w:before="120" w:after="120"/>
        <w:ind w:left="1134"/>
        <w:jc w:val="both"/>
        <w:rPr>
          <w:rFonts w:ascii="Palatino Linotype" w:eastAsia="Palatino Linotype" w:hAnsi="Palatino Linotype" w:cs="Palatino Linotype"/>
          <w:i/>
          <w:iCs/>
          <w:color w:val="000000"/>
        </w:rPr>
      </w:pPr>
    </w:p>
    <w:p w:rsidR="00E3559E" w:rsidRPr="00206872" w:rsidRDefault="00E67E3A" w:rsidP="00206872">
      <w:pPr>
        <w:numPr>
          <w:ilvl w:val="0"/>
          <w:numId w:val="2"/>
        </w:numPr>
        <w:pBdr>
          <w:top w:val="nil"/>
          <w:left w:val="nil"/>
          <w:bottom w:val="nil"/>
          <w:right w:val="nil"/>
          <w:between w:val="nil"/>
        </w:pBdr>
        <w:spacing w:before="12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donde se aprecia que  la Unidad de Auditoría tiene bajo su adscripción al Auditor de Obra, cuyo objetivo, de conformidad con el Manual de Organización de la Contraloría Municipal, consiste en comprobar la correcta y oportuna aplicación de los recursos asignados a las obras públicas; la realización de la planeación, programación, adjudicación, contratación y ejecución de las obras públicas conforme a la normatividad establecida y vigente; el cumplimiento de la programación establecida en los Programas Operativos Anuales de las </w:t>
      </w:r>
      <w:r w:rsidRPr="00206872">
        <w:rPr>
          <w:rFonts w:ascii="Palatino Linotype" w:eastAsia="Palatino Linotype" w:hAnsi="Palatino Linotype" w:cs="Palatino Linotype"/>
          <w:color w:val="000000"/>
        </w:rPr>
        <w:lastRenderedPageBreak/>
        <w:t>dependencias; así como de verificar el cumplimiento de lo estipulado en el contrato referente al costo, calidad y tiempo de ejecución de la obra pública; el funcionamiento correcto de los sistemas de operación, registro, control e información inherentes a la realización de las obras públicas; el informe periódico de la dependencia auditada a las instancias correspondientes sobre el ejercicio del gasto, el avance físico y financiero de los programas autorizados que se están ejecutando; y la integración de expedientes técnicos que permitan el análisis y evaluación de las acciones desarrolladas o por desarrollar debidamente requisitados y autorizados, para lo cual se le confieren las siguientes atribuciones:</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Participar en el seguimiento de la Planeación, Programación, Presupuestación, proceso de adjudicación de obras y servicios relacionados con las mismas.</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Realizar auditorías conforme al Programa Anual de Auditorias, Denuncias o por órdenes superiores, así como llevar a cabo inspecciones de forma aleatoria a la obra pública e infraestructura, pudiendo solicitar a los servidores públicos o contratistas los datos e informes relacionados con la misma.</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Verificar el cumplimiento de la normatividad establecida en la realización de las obras y la contratación de servicios, dependiendo del tipo de programas</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Verificar y vigilar la congruencia y pertinencia de los expedientes técnicos de las obras, tanto en el avance físico como en el avance contable.</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Verificar que las cantidades, conceptos, características y calidad de los materiales y suministros que amparen las estimaciones, correspondan con los físicamente aplicados en la obra.</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Vigilar la situación que guarda la obra pública y su congruencia con las normas y procedimientos relativos para su operación, de acuerdo con su avance en la ejecución.</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lastRenderedPageBreak/>
        <w:t>- Participar desde el proceso de licitación, desarrollo y hasta el acto de entrega de recepción de las diferentes obras a ejecutar por la Dirección de Obras Públicas. Para ello se requiere de previa invitación de la Dirección de Obras Públicas. La cantidad de obras para dar seguimiento dependerá de los recursos proporcionados por el ayuntamiento, así como de las indicaciones proporcionadas por el titular de la contraloría interna.</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Supervisar los expedientes técnicos de obra para constatar su debida integración. Para ello se realizará de forma aleatoria, así como de aquellas que sean solicitadas por el titular de la contraloría interna.</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Supervisar el seguimiento a las obras en proceso mediante inspecciones de verificación.</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Participar en la revisión de los procesos de Licitación Pública, Invitación Restringida y Adjudicación Directa tanto de obras públicas como adquisición de bienes y servicios, a efecto de emitir las observaciones y recomendaciones correspondientes.</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Emitir opinión técnica correspondiente en los procedimientos de adjudicación en que se haya promovido una inconformidad administrativa por un convocado, y en caso de ser procedente de acuerdo con la resolución definitiva de la autoridad competente, se de vista a la Unidad Administrativa de Investigación para que se sirva actuar en el ejercicio de sus atribuciones, en alcance a lo previsto por los artículos 90 al 94 de la Ley de Contratación Pública del Estado de México y Municipios.</w:t>
      </w:r>
    </w:p>
    <w:p w:rsidR="00E3559E" w:rsidRPr="00206872" w:rsidRDefault="00E3559E">
      <w:pPr>
        <w:spacing w:before="240" w:after="24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Por cuanto hace a la Secretaría del Ayuntamiento, la Ley Orgánica Municipal señala para este ente jurídico las siguientes atribuciones:</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Artículo 91.- La Secretaría del Ayuntamiento estará a cargo de un Secretario, el que, sin ser miembro del mismo, deberá ser nombrado por el propio Ayuntamiento a propuesta del Presidente Municipal como lo marca el artículo </w:t>
      </w:r>
      <w:r w:rsidRPr="00206872">
        <w:rPr>
          <w:rFonts w:ascii="Palatino Linotype" w:eastAsia="Palatino Linotype" w:hAnsi="Palatino Linotype" w:cs="Palatino Linotype"/>
          <w:i/>
          <w:iCs/>
        </w:rPr>
        <w:lastRenderedPageBreak/>
        <w:t xml:space="preserve">31 de la presente ley. Sus faltas temporales serán cubiertas por quien designe el Ayuntamiento y sus atribuciones son las siguientes: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I. Asistir a las sesiones del ayuntamiento y levantar las actas correspondientes;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II. Emitir los citatorios para la celebración de las sesiones de cabildo, convocadas legalmente;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III. Dar cuenta en la primera sesión de cada mes, del número y contenido de los expedientes pasados a comisión, con mención de los que hayan sido resueltos y de los pendientes;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IV. Llevar y conservar los libros de actas de cabildo, obteniendo las firmas de los asistentes a las sesiones;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V. Validar con su firma, los documentos oficiales emanados del ayuntamiento o de cualquiera de sus miembros;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VI. Tener a su cargo el archivo general del ayuntamiento;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VII. Controlar y distribuir la correspondencia oficial del ayuntamiento, dando cuenta diaria al presidente municipal para acordar su trámite;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VIII. Publicar los reglamentos, circulares y demás disposiciones municipales de observancia general;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IX. Compilar leyes, decretos, reglamentos, periódicos oficiales del estado, circulares y órdenes relativas a los distintos sectores de la administración pública municipal;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X.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XI. Elaborar con la intervención del síndico el inventario general de los bienes muebles e inmuebles municipales, así como la integración del sistema de </w:t>
      </w:r>
      <w:r w:rsidRPr="00206872">
        <w:rPr>
          <w:rFonts w:ascii="Palatino Linotype" w:eastAsia="Palatino Linotype" w:hAnsi="Palatino Linotype" w:cs="Palatino Linotype"/>
          <w:i/>
          <w:iCs/>
        </w:rPr>
        <w:lastRenderedPageBreak/>
        <w:t xml:space="preserve">información inmobiliaria, que contemple los bienes del dominio público y privado, en un término que no exceda de 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mueb1es e inmuebles y del sistema de información inmobiliaria en un plazo de ciento veinte días hábiles a partir de su adquisición y presentar un informe trimestral al cabildo para su conocimiento y opinión.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XII. Integrar un sistema de información que contenga datos de los aspectos socio-económicos básicos del municipio;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XIII. Ser responsable de la publicación de la Gaceta Municipal, así como de las publicaciones en los estrados de los Ayuntamientos; y </w:t>
      </w:r>
    </w:p>
    <w:p w:rsidR="00E3559E" w:rsidRPr="00206872" w:rsidRDefault="00E67E3A">
      <w:pPr>
        <w:pBdr>
          <w:top w:val="nil"/>
          <w:left w:val="nil"/>
          <w:bottom w:val="nil"/>
          <w:right w:val="nil"/>
          <w:between w:val="nil"/>
        </w:pBd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XIV. Las demás que le confieran esta Ley y disposiciones aplicables.</w:t>
      </w:r>
    </w:p>
    <w:p w:rsidR="00E3559E" w:rsidRPr="00206872" w:rsidRDefault="00E3559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los lineamientos citados es  que no puede tenerse por satisfecho el Derecho de acceso de la persona solicitante toda vez que la respuesta proporcionada por la persona servidora pública habilitada de la Dirección de Obras Públicas no brinda certeza sobre la existencia o inexistencia de la información requerida por la persona solicitante, al advertirse de la lectura de la misma que esta se limitó a realizar la búsqueda de la información tomando como referencia el nombre de la obra referida por la persona solicitante, sin obtener resultados de la misma, siendo importante mencionar que el Pleno de este Instituto ha sostenido que, en aquellos casos en los que las personas solicitantes no señalen de manera concreta el o los documentos a los que desean acceder, al no ser expertos en la materia, los Sujetos Obligados cuentan con el deber de dar a las solicitudes una interpretación que les dé una expresión documental, ya que para que el derecho de acceso a la información pública de </w:t>
      </w:r>
      <w:r w:rsidRPr="00206872">
        <w:rPr>
          <w:rFonts w:ascii="Palatino Linotype" w:eastAsia="Palatino Linotype" w:hAnsi="Palatino Linotype" w:cs="Palatino Linotype"/>
          <w:color w:val="000000"/>
        </w:rPr>
        <w:lastRenderedPageBreak/>
        <w:t xml:space="preserve">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con la finalidad de que la persona solicitante pueda buscar conforme a su interés; como sustento a lo anterior resulta aplicable el criterio orientador con clave de control SO/016/2017, emitido por el entonces Instituto Nacional de Transparencia, Acceso a la Información y Protección de Datos Personales, INAI, establece lo siguiente: </w:t>
      </w:r>
    </w:p>
    <w:p w:rsidR="00E3559E" w:rsidRPr="00206872" w:rsidRDefault="00E67E3A">
      <w:pPr>
        <w:pBdr>
          <w:top w:val="nil"/>
          <w:left w:val="nil"/>
          <w:bottom w:val="nil"/>
          <w:right w:val="nil"/>
          <w:between w:val="nil"/>
        </w:pBdr>
        <w:spacing w:after="120"/>
        <w:ind w:left="1134" w:right="1134"/>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 “</w:t>
      </w:r>
      <w:r w:rsidRPr="00206872">
        <w:rPr>
          <w:rFonts w:ascii="Palatino Linotype" w:eastAsia="Palatino Linotype" w:hAnsi="Palatino Linotype" w:cs="Palatino Linotype"/>
          <w:b/>
          <w:bCs/>
          <w:i/>
          <w:iCs/>
        </w:rPr>
        <w:t xml:space="preserve">Expresión documental. </w:t>
      </w:r>
      <w:r w:rsidRPr="00206872">
        <w:rPr>
          <w:rFonts w:ascii="Palatino Linotype" w:eastAsia="Palatino Linotype" w:hAnsi="Palatino Linotype" w:cs="Palatino Linotype"/>
          <w:i/>
          <w:iCs/>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E3559E" w:rsidRPr="00206872" w:rsidRDefault="00E3559E">
      <w:pPr>
        <w:spacing w:before="280" w:after="280" w:line="360" w:lineRule="auto"/>
        <w:jc w:val="both"/>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Así mismo al no haberse observado el procedimiento de búsqueda al no advertirse pronunciamiento por parte de todas las áreas competentes para conocer de la información que es del interés de la persona solicitante se estima que para efectos de garantizar el Derecho de acceso de la parte </w:t>
      </w:r>
      <w:r w:rsidRPr="00206872">
        <w:rPr>
          <w:rFonts w:ascii="Palatino Linotype" w:eastAsia="Palatino Linotype" w:hAnsi="Palatino Linotype" w:cs="Palatino Linotype"/>
          <w:b/>
          <w:bCs/>
          <w:color w:val="000000"/>
        </w:rPr>
        <w:t xml:space="preserve">Recurrente, </w:t>
      </w: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deberá, previa búsqueda exhaustiva y razonable, hacer entrega de la información que atienda lo solicitado, en versión pública de ser procedente.</w:t>
      </w:r>
    </w:p>
    <w:p w:rsidR="00E3559E" w:rsidRPr="00206872" w:rsidRDefault="00E3559E">
      <w:pPr>
        <w:spacing w:before="240" w:after="240" w:line="360" w:lineRule="auto"/>
        <w:jc w:val="both"/>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 xml:space="preserve">Ahora bien, toda vez que ha quedado acreditado que 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tiene la facultad para celebrar contratos de obra pública, mismos que se elaboran en función del Programa Anual de Obra, documento que forma parte del Presupuesto de Egresos Municipal,  cuya versión definitiva se promulga y publica en la "Gaceta Municipal”, por el Presidente Municipal,  a más tardar el día veinticinco de febrero de cada año, de conformidad con los artículos 125, párrafo cuarto de la Constitución Política de Nuestro  Estado, 351, párrafo segundo del Código Financiero del Estado de México, y 47 de la Ley de Fiscalización Superior del Estado de México: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125</w:t>
      </w: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i/>
          <w:iC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206872">
        <w:rPr>
          <w:rFonts w:ascii="Palatino Linotype" w:eastAsia="Palatino Linotype" w:hAnsi="Palatino Linotype" w:cs="Palatino Linotype"/>
          <w:b/>
          <w:bCs/>
          <w:i/>
          <w:iCs/>
        </w:rPr>
        <w:t>La Presidenta o el Presidente Municipal, promulgará y publicará el Presupuesto de Egresos Municipal, a más tardar el día 25 de febrero de cada año debiendo enviarlo al Órgano Superior de Fiscalización en la misma fecha.”</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351</w:t>
      </w: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Los Ayuntamientos al aprobar en forma definitiva su presupuesto de egresos, deberán publicar en la "Gaceta Municipal</w:t>
      </w:r>
      <w:r w:rsidRPr="00206872">
        <w:rPr>
          <w:rFonts w:ascii="Palatino Linotype" w:eastAsia="Palatino Linotype" w:hAnsi="Palatino Linotype" w:cs="Palatino Linotype"/>
          <w:i/>
          <w:iCs/>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206872">
        <w:rPr>
          <w:rFonts w:ascii="Palatino Linotype" w:eastAsia="Palatino Linotype" w:hAnsi="Palatino Linotype" w:cs="Palatino Linotype"/>
          <w:b/>
          <w:bCs/>
          <w:i/>
          <w:iCs/>
        </w:rPr>
        <w:t>a más tardar el 25 de febrero del año para el cual habrá de aplicar dicho presupuesto.”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47</w:t>
      </w:r>
      <w:r w:rsidRPr="00206872">
        <w:rPr>
          <w:rFonts w:ascii="Palatino Linotype" w:eastAsia="Palatino Linotype" w:hAnsi="Palatino Linotype" w:cs="Palatino Linotype"/>
          <w:i/>
          <w:iCs/>
        </w:rPr>
        <w:t xml:space="preserve">.- Los Presidentes Municipales y los Síndicos estarán obligados a </w:t>
      </w:r>
      <w:r w:rsidRPr="00206872">
        <w:rPr>
          <w:rFonts w:ascii="Palatino Linotype" w:eastAsia="Palatino Linotype" w:hAnsi="Palatino Linotype" w:cs="Palatino Linotype"/>
          <w:b/>
          <w:bCs/>
          <w:i/>
          <w:iCs/>
        </w:rPr>
        <w:t xml:space="preserve">informar al Órgano Superior, a más tardar el 25 de febrero de cada año, el Presupuesto de Egresos Municipal que haya aprobado el Ayuntamiento </w:t>
      </w:r>
      <w:r w:rsidRPr="00206872">
        <w:rPr>
          <w:rFonts w:ascii="Palatino Linotype" w:eastAsia="Palatino Linotype" w:hAnsi="Palatino Linotype" w:cs="Palatino Linotype"/>
          <w:i/>
          <w:iCs/>
        </w:rPr>
        <w:t>correspondiente.”</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 xml:space="preserve">Entre los formatos que integran el Presupuesto de Egresos aprobado, de conformidad con el numeral 3.4.1 del Manual para la Planeación, Programación y Presupuesto de Egresos Municipal, se encuentra el </w:t>
      </w:r>
      <w:r w:rsidRPr="00206872">
        <w:rPr>
          <w:rFonts w:ascii="Palatino Linotype" w:eastAsia="Palatino Linotype" w:hAnsi="Palatino Linotype" w:cs="Palatino Linotype"/>
          <w:b/>
          <w:bCs/>
          <w:color w:val="000000"/>
        </w:rPr>
        <w:t xml:space="preserve">PbRM-07a Programa Anual de Obra </w:t>
      </w:r>
      <w:r w:rsidRPr="00206872">
        <w:rPr>
          <w:rFonts w:ascii="Palatino Linotype" w:eastAsia="Palatino Linotype" w:hAnsi="Palatino Linotype" w:cs="Palatino Linotype"/>
          <w:color w:val="000000"/>
        </w:rPr>
        <w:t xml:space="preserve">y el </w:t>
      </w:r>
      <w:r w:rsidRPr="00206872">
        <w:rPr>
          <w:rFonts w:ascii="Palatino Linotype" w:eastAsia="Palatino Linotype" w:hAnsi="Palatino Linotype" w:cs="Palatino Linotype"/>
          <w:b/>
          <w:bCs/>
          <w:color w:val="000000"/>
        </w:rPr>
        <w:t>PbRM 07b Programa anual de obra (reparaciones y mantenimientos),</w:t>
      </w:r>
      <w:r w:rsidRPr="00206872">
        <w:rPr>
          <w:rFonts w:ascii="Palatino Linotype" w:eastAsia="Palatino Linotype" w:hAnsi="Palatino Linotype" w:cs="Palatino Linotype"/>
          <w:color w:val="000000"/>
        </w:rPr>
        <w:t xml:space="preserve"> los cuales especifican de manera precisa el período de ejecución y presupuesto ejercido de la obra pública de que se trate; así como la fuente de financiamiento con la que ésta se llevará a cabo, como se desprende de los formatos y los instructivo de llenado respectivos:</w:t>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4531410" cy="2614866"/>
            <wp:effectExtent l="0" t="0" r="0" b="0"/>
            <wp:docPr id="93955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531410" cy="2614866"/>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4663331" cy="3323110"/>
            <wp:effectExtent l="0" t="0" r="0" b="0"/>
            <wp:docPr id="939555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663331" cy="3323110"/>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4389158" cy="3299567"/>
            <wp:effectExtent l="0" t="0" r="0" b="0"/>
            <wp:docPr id="9395556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4389158" cy="3299567"/>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5472353" cy="3114497"/>
            <wp:effectExtent l="0" t="0" r="0" b="0"/>
            <wp:docPr id="939555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472353" cy="3114497"/>
                    </a:xfrm>
                    <a:prstGeom prst="rect">
                      <a:avLst/>
                    </a:prstGeom>
                    <a:ln/>
                  </pic:spPr>
                </pic:pic>
              </a:graphicData>
            </a:graphic>
          </wp:inline>
        </w:drawing>
      </w:r>
    </w:p>
    <w:p w:rsidR="00E3559E" w:rsidRPr="00206872" w:rsidRDefault="00E3559E">
      <w:pPr>
        <w:spacing w:before="240" w:after="240"/>
        <w:jc w:val="center"/>
        <w:rPr>
          <w:rFonts w:ascii="Palatino Linotype" w:eastAsia="Palatino Linotype" w:hAnsi="Palatino Linotype" w:cs="Palatino Linotype"/>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igual forma, 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se encuentra obligado a entregar al Órgano Superior de Fiscalización del Estado de México, como parte de los informes trimestrales, el Avance del Programa Anual de Obras, como se desprende de los Lineamientos para la integración y presentación de los Informes Trimestrales Estatales y Municipales del Ejercicio Fiscal 2025, los cuales establecen el formato mediante el cual debe presentarse la información que integra dichos informes y los instructivos de llenado correspondientes; de conformidad con los Lineamientos del ejercicio 2025, la información que generan los entes fiscalizables de carácter municipal con motivo del avance del programa anual de obras, se encuentra contenida en el Módulo 2 Información Presupuestaria, Sub módulo Información Presupuestal (Plataforma Digital), como se muestra a continuación:</w:t>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5389594" cy="2655161"/>
            <wp:effectExtent l="0" t="0" r="0" b="0"/>
            <wp:docPr id="939555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389594" cy="2655161"/>
                    </a:xfrm>
                    <a:prstGeom prst="rect">
                      <a:avLst/>
                    </a:prstGeom>
                    <a:ln/>
                  </pic:spPr>
                </pic:pic>
              </a:graphicData>
            </a:graphic>
          </wp:inline>
        </w:drawing>
      </w:r>
    </w:p>
    <w:p w:rsidR="00E3559E" w:rsidRPr="00206872" w:rsidRDefault="00E3559E">
      <w:pPr>
        <w:spacing w:before="240" w:after="240" w:line="360" w:lineRule="auto"/>
        <w:jc w:val="center"/>
        <w:rPr>
          <w:rFonts w:ascii="Palatino Linotype" w:eastAsia="Palatino Linotype" w:hAnsi="Palatino Linotype" w:cs="Palatino Linotype"/>
        </w:rPr>
      </w:pP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5612130" cy="3495040"/>
            <wp:effectExtent l="0" t="0" r="0" b="0"/>
            <wp:docPr id="9395557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12130" cy="3495040"/>
                    </a:xfrm>
                    <a:prstGeom prst="rect">
                      <a:avLst/>
                    </a:prstGeom>
                    <a:ln/>
                  </pic:spPr>
                </pic:pic>
              </a:graphicData>
            </a:graphic>
          </wp:inline>
        </w:drawing>
      </w:r>
      <w:r w:rsidRPr="00206872">
        <w:rPr>
          <w:noProof/>
        </w:rPr>
        <mc:AlternateContent>
          <mc:Choice Requires="wps">
            <w:drawing>
              <wp:anchor distT="0" distB="0" distL="114300" distR="114300" simplePos="0" relativeHeight="251658240" behindDoc="0" locked="0" layoutInCell="1" hidden="0" allowOverlap="1">
                <wp:simplePos x="0" y="0"/>
                <wp:positionH relativeFrom="column">
                  <wp:posOffset>658053</wp:posOffset>
                </wp:positionH>
                <wp:positionV relativeFrom="paragraph">
                  <wp:posOffset>2999077</wp:posOffset>
                </wp:positionV>
                <wp:extent cx="4856591" cy="308445"/>
                <wp:effectExtent l="0" t="0" r="0" b="0"/>
                <wp:wrapNone/>
                <wp:docPr id="93955561" name="Rectángulo 93955561"/>
                <wp:cNvGraphicFramePr/>
                <a:graphic xmlns:a="http://schemas.openxmlformats.org/drawingml/2006/main">
                  <a:graphicData uri="http://schemas.microsoft.com/office/word/2010/wordprocessingShape">
                    <wps:wsp>
                      <wps:cNvSpPr/>
                      <wps:spPr>
                        <a:xfrm>
                          <a:off x="2936755" y="3644828"/>
                          <a:ext cx="4818491" cy="270345"/>
                        </a:xfrm>
                        <a:prstGeom prst="rect">
                          <a:avLst/>
                        </a:prstGeom>
                        <a:noFill/>
                        <a:ln w="38100" cap="flat" cmpd="sng">
                          <a:solidFill>
                            <a:srgbClr val="C00000"/>
                          </a:solidFill>
                          <a:prstDash val="solid"/>
                          <a:miter lim="800000"/>
                          <a:headEnd type="none" w="sm" len="sm"/>
                          <a:tailEnd type="none" w="sm" len="sm"/>
                        </a:ln>
                      </wps:spPr>
                      <wps:txbx>
                        <w:txbxContent>
                          <w:p w:rsidR="00206872" w:rsidRDefault="00206872">
                            <w:pPr>
                              <w:textDirection w:val="btLr"/>
                            </w:pPr>
                          </w:p>
                        </w:txbxContent>
                      </wps:txbx>
                      <wps:bodyPr spcFirstLastPara="1" wrap="square" lIns="91425" tIns="91425" rIns="91425" bIns="91425" anchor="ctr" anchorCtr="0">
                        <a:noAutofit/>
                      </wps:bodyPr>
                    </wps:wsp>
                  </a:graphicData>
                </a:graphic>
              </wp:anchor>
            </w:drawing>
          </mc:Choice>
          <mc:Fallback>
            <w:pict>
              <v:rect id="Rectángulo 93955561" o:spid="_x0000_s1026" style="position:absolute;left:0;text-align:left;margin-left:51.8pt;margin-top:236.15pt;width:382.4pt;height:2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" filled="f" strokecolor="#c00000" strokeweight="3pt">
                <v:stroke startarrowwidth="narrow" startarrowlength="short" endarrowwidth="narrow" endarrowlength="short"/>
                <v:textbox inset="2.53958mm,2.53958mm,2.53958mm,2.53958mm">
                  <w:txbxContent>
                    <w:p w:rsidR="00206872" w:rsidRDefault="00206872">
                      <w:pPr>
                        <w:textDirection w:val="btLr"/>
                      </w:pPr>
                    </w:p>
                  </w:txbxContent>
                </v:textbox>
              </v:rect>
            </w:pict>
          </mc:Fallback>
        </mc:AlternateContent>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5525584" cy="3110407"/>
            <wp:effectExtent l="0" t="0" r="0" b="0"/>
            <wp:docPr id="939555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525584" cy="3110407"/>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5523628" cy="2868061"/>
            <wp:effectExtent l="0" t="0" r="0" b="0"/>
            <wp:docPr id="939555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523628" cy="2868061"/>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5481855" cy="2120668"/>
            <wp:effectExtent l="0" t="0" r="0" b="0"/>
            <wp:docPr id="939555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481855" cy="2120668"/>
                    </a:xfrm>
                    <a:prstGeom prst="rect">
                      <a:avLst/>
                    </a:prstGeom>
                    <a:ln/>
                  </pic:spPr>
                </pic:pic>
              </a:graphicData>
            </a:graphic>
          </wp:inline>
        </w:drawing>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Por otro lado, es oportuno hacer alusión al Libro Décimo Segundo. De la obra pública, del Código Administrativo del Estado de México, el cual, de conformidad con el artículo 12.1, regular los actos relativos a la planeación, programación, presupuestación, adjudicación, contratación, ejecución y control de la obra pública, así como los servicios relacionados con la misma que, por sí o por conducto de terceros, realicen las secretarías y unidades administrativas del Poder Ejecutivo del Estado; la Fiscalía General de Justicia; los ayuntamientos de los municipios del Estado; los organismos auxiliares y fideicomisos públicos del Estado y municipios; y los tribunales administrativos.</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En este tenor, de acuerdo con el artículo 12.4 del Libro Décimo Segundo del referido Código, se considera obra pública todo trabajo que tenga por objeto principal </w:t>
      </w:r>
      <w:r w:rsidRPr="00206872">
        <w:rPr>
          <w:rFonts w:ascii="Palatino Linotype" w:eastAsia="Palatino Linotype" w:hAnsi="Palatino Linotype" w:cs="Palatino Linotype"/>
          <w:i/>
          <w:iCs/>
          <w:color w:val="000000"/>
        </w:rPr>
        <w:t>construir, instalar, ampliar, adecuar, remodelar, restaurar, conservar, mantener, modificar o demoler bienes inmuebles propiedad del Estado, de sus dependencias y entidades y de los municipios y sus organismos con cargo a recursos públicos estatales o municipales</w:t>
      </w:r>
      <w:r w:rsidRPr="00206872">
        <w:rPr>
          <w:rFonts w:ascii="Palatino Linotype" w:eastAsia="Palatino Linotype" w:hAnsi="Palatino Linotype" w:cs="Palatino Linotype"/>
          <w:b/>
          <w:bCs/>
          <w:color w:val="000000"/>
        </w:rPr>
        <w:t xml:space="preserve">, </w:t>
      </w:r>
      <w:r w:rsidRPr="00206872">
        <w:rPr>
          <w:rFonts w:ascii="Palatino Linotype" w:eastAsia="Palatino Linotype" w:hAnsi="Palatino Linotype" w:cs="Palatino Linotype"/>
          <w:color w:val="000000"/>
        </w:rPr>
        <w:t xml:space="preserve">quedando comprendidos dentro de la obra pública: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lastRenderedPageBreak/>
        <w:t xml:space="preserve">I. El mantenimiento, restauración, desmantelamiento o remoción de bienes muebles incorporados o adheridos a un inmueble;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II. Los proyectos integrales o comúnmente denominados llave en mano, en los cuales el contratista se obliga desde el diseño de la obra hasta su terminación total, incluyéndose, cuando se requiera, la transferencia de tecnología;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III. Los trabajos de exploración, localización y perforación; mejoramiento del suelo y/o subsuelo; desmontes y extracción y aquellos similares que tengan por objeto la explotación y desarrollo de los recursos naturales que se encuentran en el suelo y/o subsuelo;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IV. Los trabajos de infraestructura agropecuaria e hidro - agrícola: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VI. Los demás que tengan por objeto principal alguno de los conceptos a que se refiere el párrafo primero de este artículo, excluyéndose expresamente los trabajos regulados por el Libro Décimo Sexto del Código.</w:t>
      </w:r>
    </w:p>
    <w:p w:rsidR="00E3559E" w:rsidRPr="00206872" w:rsidRDefault="00E3559E">
      <w:pPr>
        <w:spacing w:before="240" w:after="24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Así también del artículo 12.5 del Libro Décimo Segundo se señala que son</w:t>
      </w:r>
      <w:r w:rsidRPr="00206872">
        <w:rPr>
          <w:rFonts w:ascii="Palatino Linotype" w:eastAsia="Palatino Linotype" w:hAnsi="Palatino Linotype" w:cs="Palatino Linotype"/>
          <w:b/>
          <w:bCs/>
          <w:color w:val="000000"/>
        </w:rPr>
        <w:t xml:space="preserve"> </w:t>
      </w:r>
      <w:r w:rsidRPr="00206872">
        <w:rPr>
          <w:rFonts w:ascii="Palatino Linotype" w:eastAsia="Palatino Linotype" w:hAnsi="Palatino Linotype" w:cs="Palatino Linotype"/>
          <w:color w:val="000000"/>
        </w:rPr>
        <w:t xml:space="preserve">servicios relacionados con la obra pública, </w:t>
      </w:r>
      <w:r w:rsidRPr="00206872">
        <w:rPr>
          <w:rFonts w:ascii="Palatino Linotype" w:eastAsia="Palatino Linotype" w:hAnsi="Palatino Linotype" w:cs="Palatino Linotype"/>
          <w:i/>
          <w:iCs/>
          <w:color w:val="000000"/>
        </w:rPr>
        <w:t>los trabajos que tengan por objeto concebir, diseñar y calcular los elementos que integran un proyecto de obra pública; las investigaciones, estudios, asesorías y consultorías</w:t>
      </w:r>
      <w:r w:rsidRPr="00206872">
        <w:rPr>
          <w:rFonts w:ascii="Palatino Linotype" w:eastAsia="Palatino Linotype" w:hAnsi="Palatino Linotype" w:cs="Palatino Linotype"/>
          <w:color w:val="000000"/>
        </w:rPr>
        <w:t xml:space="preserve"> que se vinculen con los actos que regula el Libro Décimo Segundo; la dirección y supervisión de la ejecución de las obras y los estudios que tengan por objeto principal rehabilitar, corregir o incrementar la eficiencia de las instalaciones con excepción de los </w:t>
      </w:r>
      <w:r w:rsidRPr="00206872">
        <w:rPr>
          <w:rFonts w:ascii="Palatino Linotype" w:eastAsia="Palatino Linotype" w:hAnsi="Palatino Linotype" w:cs="Palatino Linotype"/>
          <w:color w:val="000000"/>
        </w:rPr>
        <w:lastRenderedPageBreak/>
        <w:t>trabajos regulados por el Libro Décimo Sexto del Código, quedando comprendidos dentro de los servicios relacionados con la obra pública:</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Los trabajos de organización, informática, comunicaciones, cibernética y sistemas aplicados a las materias que regulan este Libro;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VII.</w:t>
      </w:r>
      <w:r w:rsidRPr="00206872">
        <w:rPr>
          <w:rFonts w:ascii="Palatino Linotype" w:eastAsia="Palatino Linotype" w:hAnsi="Palatino Linotype" w:cs="Palatino Linotype"/>
          <w:i/>
          <w:iCs/>
        </w:rPr>
        <w:t xml:space="preserve"> Los dictámenes, peritajes, avalúos y auditorías técnico normativas, y estudios aplicables a la obra pública;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Los estudios que tengan por objeto rehabilitar, corregir, sustituir o incrementar la eficiencia de las instalaciones en un bien inmueble;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IX.</w:t>
      </w:r>
      <w:r w:rsidRPr="00206872">
        <w:rPr>
          <w:rFonts w:ascii="Palatino Linotype" w:eastAsia="Palatino Linotype" w:hAnsi="Palatino Linotype" w:cs="Palatino Linotype"/>
          <w:i/>
          <w:iCs/>
        </w:rPr>
        <w:t xml:space="preserve"> Los estudios de apoyo tecnológico, incluyendo los de desarrollo y transferencia de tecnología, entre otros;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w:t>
      </w:r>
      <w:r w:rsidRPr="00206872">
        <w:rPr>
          <w:rFonts w:ascii="Palatino Linotype" w:eastAsia="Palatino Linotype" w:hAnsi="Palatino Linotype" w:cs="Palatino Linotype"/>
          <w:i/>
          <w:iCs/>
        </w:rPr>
        <w:t xml:space="preserve"> Los demás que tengan por objeto alguno de los conceptos a que se refiere el párrafo primero de este artículo.</w:t>
      </w:r>
    </w:p>
    <w:p w:rsidR="00E3559E" w:rsidRPr="00206872" w:rsidRDefault="00E3559E">
      <w:pPr>
        <w:spacing w:before="240" w:after="24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tabs>
          <w:tab w:val="left" w:pos="567"/>
        </w:tabs>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Por otra parte el artículo 12.12 del Libro Décimo Segundo, señala que en la planeación de la obra pública o de los servicios relacionados con la misma, las dependencias, entidades y ayuntamientos en lo que les corresponda, deberán, entre otras previsiones, considerar la disponibilidad de recursos financieros.</w:t>
      </w:r>
    </w:p>
    <w:p w:rsidR="00E3559E" w:rsidRPr="00206872" w:rsidRDefault="00B91777"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al </w:t>
      </w:r>
      <w:r w:rsidR="00E67E3A" w:rsidRPr="00206872">
        <w:rPr>
          <w:rFonts w:ascii="Palatino Linotype" w:eastAsia="Palatino Linotype" w:hAnsi="Palatino Linotype" w:cs="Palatino Linotype"/>
          <w:color w:val="000000"/>
        </w:rPr>
        <w:t>procedimiento de adjudicación, el Capítulo Tercero del Libro Décimo Segundo del Código Administrativo del Estado de México, dispone lo siguiente: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12.20</w:t>
      </w:r>
      <w:r w:rsidRPr="00206872">
        <w:rPr>
          <w:rFonts w:ascii="Palatino Linotype" w:eastAsia="Palatino Linotype" w:hAnsi="Palatino Linotype" w:cs="Palatino Linotype"/>
          <w:i/>
          <w:iCs/>
        </w:rPr>
        <w:t xml:space="preserve">.- Los contratos a que se refiere este Libro, </w:t>
      </w:r>
      <w:r w:rsidRPr="00206872">
        <w:rPr>
          <w:rFonts w:ascii="Palatino Linotype" w:eastAsia="Palatino Linotype" w:hAnsi="Palatino Linotype" w:cs="Palatino Linotype"/>
          <w:b/>
          <w:bCs/>
          <w:i/>
          <w:iCs/>
        </w:rPr>
        <w:t xml:space="preserve">se adjudicarán a través de </w:t>
      </w:r>
      <w:r w:rsidRPr="00206872">
        <w:rPr>
          <w:rFonts w:ascii="Palatino Linotype" w:eastAsia="Palatino Linotype" w:hAnsi="Palatino Linotype" w:cs="Palatino Linotype"/>
          <w:b/>
          <w:bCs/>
          <w:i/>
          <w:iCs/>
          <w:u w:val="single"/>
        </w:rPr>
        <w:t>licitaciones públicas</w:t>
      </w:r>
      <w:r w:rsidRPr="00206872">
        <w:rPr>
          <w:rFonts w:ascii="Palatino Linotype" w:eastAsia="Palatino Linotype" w:hAnsi="Palatino Linotype" w:cs="Palatino Linotype"/>
          <w:b/>
          <w:bCs/>
          <w:i/>
          <w:iCs/>
        </w:rPr>
        <w:t>, mediante convocatoria pública.</w:t>
      </w:r>
      <w:r w:rsidRPr="00206872">
        <w:rPr>
          <w:rFonts w:ascii="Palatino Linotype" w:eastAsia="Palatino Linotype" w:hAnsi="Palatino Linotype" w:cs="Palatino Linotype"/>
          <w:i/>
          <w:iCs/>
        </w:rPr>
        <w:t xml:space="preserv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12.21</w:t>
      </w:r>
      <w:r w:rsidRPr="00206872">
        <w:rPr>
          <w:rFonts w:ascii="Palatino Linotype" w:eastAsia="Palatino Linotype" w:hAnsi="Palatino Linotype" w:cs="Palatino Linotype"/>
          <w:i/>
          <w:iCs/>
        </w:rPr>
        <w:t xml:space="preserve">.- Las dependencias, entidades y ayuntamientos podrán adjudicar contratos para la ejecución de obra pública o servicios relacionados con la misma. </w:t>
      </w:r>
      <w:r w:rsidRPr="00206872">
        <w:rPr>
          <w:rFonts w:ascii="Palatino Linotype" w:eastAsia="Palatino Linotype" w:hAnsi="Palatino Linotype" w:cs="Palatino Linotype"/>
          <w:b/>
          <w:bCs/>
          <w:i/>
          <w:iCs/>
        </w:rPr>
        <w:t>mediante las excepciones al procedimiento de licitación</w:t>
      </w:r>
      <w:r w:rsidRPr="00206872">
        <w:rPr>
          <w:rFonts w:ascii="Palatino Linotype" w:eastAsia="Palatino Linotype" w:hAnsi="Palatino Linotype" w:cs="Palatino Linotype"/>
          <w:i/>
          <w:iCs/>
        </w:rPr>
        <w:t xml:space="preserve"> siguientes: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Invitación restringida</w:t>
      </w:r>
      <w:r w:rsidRPr="00206872">
        <w:rPr>
          <w:rFonts w:ascii="Palatino Linotype" w:eastAsia="Palatino Linotype" w:hAnsi="Palatino Linotype" w:cs="Palatino Linotype"/>
          <w:i/>
          <w:iCs/>
        </w:rPr>
        <w:t xml:space="preserv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Adjudicación directa.”</w:t>
      </w: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lastRenderedPageBreak/>
        <w:t>Como se advierte, la normativa contempla como modalidades para la adjudicación de contratos de obra pública y servicios relacionados con la misma la licitación pública, y de manera excepcional a través de invitación restringida y adjudicación directa, cuyas formalidades se encuentran previstas en el Reglamento del Libro Décimo Segundo del Código Administrativo del Estado de México, disponiendo lo siguiente: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26</w:t>
      </w:r>
      <w:r w:rsidRPr="00206872">
        <w:rPr>
          <w:rFonts w:ascii="Palatino Linotype" w:eastAsia="Palatino Linotype" w:hAnsi="Palatino Linotype" w:cs="Palatino Linotype"/>
          <w:i/>
          <w:iCs/>
        </w:rPr>
        <w:t>.- La licitación pública es el procedimiento de adjudicación de una obra pública o de un servicio por convocatoria pública. Tiene por objeto asegurar la participación abierta de todos los interesados en igualdad de condiciones y la selección fundamentada y transparente de la propuesta más conveniente para las dependencias, entidades y ayuntamientos.</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28.-</w:t>
      </w:r>
      <w:r w:rsidRPr="00206872">
        <w:rPr>
          <w:rFonts w:ascii="Palatino Linotype" w:eastAsia="Palatino Linotype" w:hAnsi="Palatino Linotype" w:cs="Palatino Linotype"/>
          <w:i/>
          <w:iCs/>
        </w:rPr>
        <w:t xml:space="preserve"> Las dependencias y entidades podrán convocar a licitación pública, adjudicar y contratar obra pública y servicios sólo cuando la Secretaría del Ramo se los haya autorizado por contar con elementos propios y organización necesarios para realizarlas. Esta autorización deberá estar publicada en la Gaceta del Gobierno del Estado de México.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Los ayuntamientos, que realicen obras o servicios con cargo parcial o total a recursos estatales, deberán solicitar la autorización preferentemente al inicio de su periodo de gestión, la que deberá estar publicada en la Gaceta del Gobierno del Estado de México.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30</w:t>
      </w:r>
      <w:r w:rsidRPr="00206872">
        <w:rPr>
          <w:rFonts w:ascii="Palatino Linotype" w:eastAsia="Palatino Linotype" w:hAnsi="Palatino Linotype" w:cs="Palatino Linotype"/>
          <w:i/>
          <w:iCs/>
        </w:rPr>
        <w:t xml:space="preserve">.- El procedimiento de licitación pública </w:t>
      </w:r>
      <w:r w:rsidRPr="00206872">
        <w:rPr>
          <w:rFonts w:ascii="Palatino Linotype" w:eastAsia="Palatino Linotype" w:hAnsi="Palatino Linotype" w:cs="Palatino Linotype"/>
          <w:b/>
          <w:bCs/>
          <w:i/>
          <w:iCs/>
        </w:rPr>
        <w:t>inicia con la publicación de la convocatoria</w:t>
      </w:r>
      <w:r w:rsidRPr="00206872">
        <w:rPr>
          <w:rFonts w:ascii="Palatino Linotype" w:eastAsia="Palatino Linotype" w:hAnsi="Palatino Linotype" w:cs="Palatino Linotype"/>
          <w:i/>
          <w:iCs/>
        </w:rPr>
        <w:t xml:space="preserve"> y concluye con el fallo y adjudicación. Cubrirá las etapas siguientes: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La formulación de las bases de licitación;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La publicación de la convocatoria;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La venta de las bases de licitación;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La visita al sitio donde se realizarán los trabajos; </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lastRenderedPageBreak/>
        <w:t>V</w:t>
      </w:r>
      <w:r w:rsidRPr="00206872">
        <w:rPr>
          <w:rFonts w:ascii="Palatino Linotype" w:eastAsia="Palatino Linotype" w:hAnsi="Palatino Linotype" w:cs="Palatino Linotype"/>
          <w:i/>
          <w:iCs/>
        </w:rPr>
        <w:t>. Las juntas de aclaraciones;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La presentación y apertura de propuestas;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La evaluación de propuestas;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El fallo y adjudicación.</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45.-</w:t>
      </w:r>
      <w:r w:rsidRPr="00206872">
        <w:rPr>
          <w:rFonts w:ascii="Palatino Linotype" w:eastAsia="Palatino Linotype" w:hAnsi="Palatino Linotype" w:cs="Palatino Linotype"/>
          <w:i/>
          <w:iCs/>
        </w:rPr>
        <w:t xml:space="preserve"> El convocante deberá requerir a los licitantes que integren los siguientes documentos de carácter legal y administrativo en sus propuestas: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Escrito en el que manifieste su domicilio en el Estado de México para oír y recibir notificaciones y los documentos correspondientes al procedimiento de licitación. En el domicilio señalado se podrán realizar las notificaciones, inclusive las de carácter personal, que surtirán todos sus efectos legales mientras no se señale otro distinto en el propio Estado;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Escrito en el que manifieste no encontrarse en ninguno de los supuestos del artículo 12.48 del Libro;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Declaración fiscal anual o estados financieros dictaminados por contador público certificado independiente, que corresponda al último ejercicio fiscal. Si el procedimiento de licitación se realiza durante el primer trimestre del año, se podrán presentar los estados financieros dictaminados por contador público certificado independiente o la declaración fiscal anual correspondientes al penúltimo ejercicio fiscal, en ambos casos, la última declaración fiscal provisional. Con la documentación financiera y fiscal se acreditará el capital contable requerido por el convocante.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IV. </w:t>
      </w:r>
      <w:r w:rsidRPr="00206872">
        <w:rPr>
          <w:rFonts w:ascii="Palatino Linotype" w:eastAsia="Palatino Linotype" w:hAnsi="Palatino Linotype" w:cs="Palatino Linotype"/>
          <w:i/>
          <w:iCs/>
        </w:rPr>
        <w:t>Las empresas de reciente creación deberán presentar la documentación financiera y fiscal más actualizada a la fecha de presentación de la propuesta;</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Identificación oficial vigente con fotografía, tratándose de personas físicas;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Manifestación escrita de la persona jurídica en que señale que su representante cuenta con facultades suficientes para comprometerla. Éste contendrá los datos siguientes: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w:t>
      </w:r>
      <w:r w:rsidRPr="00206872">
        <w:rPr>
          <w:rFonts w:ascii="Palatino Linotype" w:eastAsia="Palatino Linotype" w:hAnsi="Palatino Linotype" w:cs="Palatino Linotype"/>
          <w:i/>
          <w:iCs/>
        </w:rPr>
        <w:t xml:space="preserve"> De la persona jurídica: denominación o razón social, clave del registro federal de contribuyentes; nombre, número y circunscripción territorial del notario </w:t>
      </w:r>
      <w:r w:rsidRPr="00206872">
        <w:rPr>
          <w:rFonts w:ascii="Palatino Linotype" w:eastAsia="Palatino Linotype" w:hAnsi="Palatino Linotype" w:cs="Palatino Linotype"/>
          <w:i/>
          <w:iCs/>
        </w:rPr>
        <w:lastRenderedPageBreak/>
        <w:t xml:space="preserve">público o fedatario que protocolizó las escrituras públicas en las que consta el acta constitutiva y, en su caso, sus reformas o modificaciones; número y fecha de las mismas; descripción del objeto social, nombres de los accionistas; capital social; y los datos de inscripción en el Registro Público de Comercio,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b.</w:t>
      </w:r>
      <w:r w:rsidRPr="00206872">
        <w:rPr>
          <w:rFonts w:ascii="Palatino Linotype" w:eastAsia="Palatino Linotype" w:hAnsi="Palatino Linotype" w:cs="Palatino Linotype"/>
          <w:i/>
          <w:iCs/>
        </w:rPr>
        <w:t xml:space="preserve"> Del representante: nombre del apoderado; nombre, número y circunscripción territorial del notario público o fedatario que protocolizó los instrumentos notariales; y número y fecha de éstos, en los que se asientan las facultades para suscribir la propuesta.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Los interesados que decidan agruparse para presentar una propuesta, acreditarán en forma individual los requisitos señalados, además de entregar una copia del convenio correspondiente en el que se precise la parte o partes de la obra que será responsabilidad de cada uno. El representante común presentará los documentos de los integrantes de la agrupación y los del convenio.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Documento en el que se comprometa a realizar la obra por el importe que señala, cumpliendo los requisitos determinados por el convocante;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La garantía de seriedad de la propuesta: cheque cruzado o para depósito en cuenta, los que deberán ser expedidos a favor de: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w:t>
      </w:r>
      <w:r w:rsidRPr="00206872">
        <w:rPr>
          <w:rFonts w:ascii="Palatino Linotype" w:eastAsia="Palatino Linotype" w:hAnsi="Palatino Linotype" w:cs="Palatino Linotype"/>
          <w:i/>
          <w:iCs/>
        </w:rPr>
        <w:t xml:space="preserve"> En el caso de las dependencias al Gobierno del Estado de México;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b</w:t>
      </w:r>
      <w:r w:rsidRPr="00206872">
        <w:rPr>
          <w:rFonts w:ascii="Palatino Linotype" w:eastAsia="Palatino Linotype" w:hAnsi="Palatino Linotype" w:cs="Palatino Linotype"/>
          <w:i/>
          <w:iCs/>
        </w:rPr>
        <w:t xml:space="preserve">. En el caso de las entidades a ellas mismas;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c.</w:t>
      </w:r>
      <w:r w:rsidRPr="00206872">
        <w:rPr>
          <w:rFonts w:ascii="Palatino Linotype" w:eastAsia="Palatino Linotype" w:hAnsi="Palatino Linotype" w:cs="Palatino Linotype"/>
          <w:i/>
          <w:iCs/>
        </w:rPr>
        <w:t xml:space="preserve"> En el caso de los ayuntamientos a la Tesorería Municipal.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IX.</w:t>
      </w:r>
      <w:r w:rsidRPr="00206872">
        <w:rPr>
          <w:rFonts w:ascii="Palatino Linotype" w:eastAsia="Palatino Linotype" w:hAnsi="Palatino Linotype" w:cs="Palatino Linotype"/>
          <w:i/>
          <w:iCs/>
        </w:rPr>
        <w:t xml:space="preserve"> Copia del recibo de compra u obtención de las bases.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46</w:t>
      </w:r>
      <w:r w:rsidRPr="00206872">
        <w:rPr>
          <w:rFonts w:ascii="Palatino Linotype" w:eastAsia="Palatino Linotype" w:hAnsi="Palatino Linotype" w:cs="Palatino Linotype"/>
          <w:i/>
          <w:iCs/>
        </w:rPr>
        <w:t xml:space="preserve">.- Atendiendo a las características, complejidad y magnitud de los trabajos, el convocante podrá requerir al licitante que en su propuesta incluya la documentación relacionada con su experiencia profesional: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Manifestación de conocer los proyectos arquitectónicos y de ingeniería; las normas técnicas y de calidad de los materiales; las especificaciones generales y particulares de construcción contenidas en la licitación; y las leyes y reglamentos aplicables;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II.</w:t>
      </w:r>
      <w:r w:rsidRPr="00206872">
        <w:rPr>
          <w:rFonts w:ascii="Palatino Linotype" w:eastAsia="Palatino Linotype" w:hAnsi="Palatino Linotype" w:cs="Palatino Linotype"/>
          <w:i/>
          <w:iCs/>
        </w:rPr>
        <w:t xml:space="preserve"> Descripción de la planeación de los trabajos, especialmente del procedimiento constructivo. El convocante señalará las condicionantes técnicas que procedan conforme a los proyectos;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Relación comprobable de los trabajos realizados por el licitante y su personal, que acrediten la experiencia y la capacidad técnica solicitadas, con el nombre del contratante; la descripción de las obras y su participación en ellas; los importes totales, ejercidos y por ejercer; y las fechas de inicio y terminación previstas;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Currículos de los profesionales al servicio del licitante con experiencia en obras de características técnicas y magnitud similares; identificando a los que se encargarán de la ejecución y administración de la obra;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Así mismo el documento que certifique los conocimientos y habilidades de los profesionales responsables de formular precios unitarios y de la superintendencia de construcción.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En su caso, escrito en el que señale la parte de los trabajos que subcontratará y la información necesaria que acredite la experiencia y capacidad técnica y económica del o los subcontratistas;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En su caso, manifestación de conocer y haber considerado en su propuesta los materiales y equipos de instalación permanente que le proporcionará el convocante y el programa de suministro correspondiente;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Constancia expedida por el convocante de haber visitado el sitio de los trabajos y manifestación escrita de conocer sus condiciones ambientales; IX. Manifestación de haber considerado las modificaciones que, en su caso, se hayan efectuado a las bases de licitación;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w:t>
      </w:r>
      <w:r w:rsidRPr="00206872">
        <w:rPr>
          <w:rFonts w:ascii="Palatino Linotype" w:eastAsia="Palatino Linotype" w:hAnsi="Palatino Linotype" w:cs="Palatino Linotype"/>
          <w:i/>
          <w:iCs/>
        </w:rPr>
        <w:t xml:space="preserve">. Manifestación de que los precios consignados en su propuesta no se cotizan en condiciones de prácticas desleales de comercio internacional en su modalidad de discriminación de precios o de subsidios, en el caso de que se requiriesen materiales, maquinaria y equipo de instalación permanente de origen extranjero;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w:t>
      </w:r>
      <w:r w:rsidRPr="00206872">
        <w:rPr>
          <w:rFonts w:ascii="Palatino Linotype" w:eastAsia="Palatino Linotype" w:hAnsi="Palatino Linotype" w:cs="Palatino Linotype"/>
          <w:i/>
          <w:iCs/>
        </w:rPr>
        <w:t xml:space="preserve"> Manifestación escrita de que conoce y aplicará, en su caso, las distintas disposiciones en materia de protección ambiental y ecológica;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XII.</w:t>
      </w:r>
      <w:r w:rsidRPr="00206872">
        <w:rPr>
          <w:rFonts w:ascii="Palatino Linotype" w:eastAsia="Palatino Linotype" w:hAnsi="Palatino Linotype" w:cs="Palatino Linotype"/>
          <w:i/>
          <w:iCs/>
        </w:rPr>
        <w:t xml:space="preserve"> Relación de maquinaria y equipo de construcción, indicando si son de su propiedad o en arrendamiento, con o sin opción a compra; modelo y usos actuales; su ubicación física; la fecha en que se dispondrá de ellos en el sitio de la obra. Para la maquinaria o equipo de construcción en arrendamiento, deberá presentar carta compromiso de arrendamiento y disponibilidad en el caso de que resultare ganador;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XIII</w:t>
      </w:r>
      <w:r w:rsidRPr="00206872">
        <w:rPr>
          <w:rFonts w:ascii="Palatino Linotype" w:eastAsia="Palatino Linotype" w:hAnsi="Palatino Linotype" w:cs="Palatino Linotype"/>
          <w:i/>
          <w:iCs/>
        </w:rPr>
        <w:t>. Manifestación de conocer el contenido del modelo del contrato y su conformidad de ajustarse a sus términos.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49</w:t>
      </w:r>
      <w:r w:rsidRPr="00206872">
        <w:rPr>
          <w:rFonts w:ascii="Palatino Linotype" w:eastAsia="Palatino Linotype" w:hAnsi="Palatino Linotype" w:cs="Palatino Linotype"/>
          <w:i/>
          <w:iCs/>
        </w:rPr>
        <w:t>.- Los licitantes son los únicos responsables de que sus propuestas sean entregadas en tiempo y forma en el acto de presentación y apertura de propuestas. Todos los documentos de la propuesta deberán estar foliados y firmados por el licitante o su representante legal, se entregarán en un sobre cerrado que contendrá:</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La documentación legal y administrativa;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La propuesta y económica.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El licitante deberá identificar los sobres con el nombre de la dependencia, entidad o ayuntamiento; número y denominación de la licitación, la fecha, nombre o razón social del licitante y el contenido del sobre.</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69</w:t>
      </w:r>
      <w:r w:rsidRPr="00206872">
        <w:rPr>
          <w:rFonts w:ascii="Palatino Linotype" w:eastAsia="Palatino Linotype" w:hAnsi="Palatino Linotype" w:cs="Palatino Linotype"/>
          <w:i/>
          <w:iCs/>
        </w:rPr>
        <w:t xml:space="preserve">.- Cuando las dependencias, entidades y ayuntamientos determinen optar por las modalidades de invitación restringida o adjudicación directa, deberán respaldar su determinación en un estudio que fundamente su conveniencia por ofrecer mejores condiciones para el Estado de México, tomando en cuenta los siguientes criterios: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I. </w:t>
      </w:r>
      <w:r w:rsidRPr="00206872">
        <w:rPr>
          <w:rFonts w:ascii="Palatino Linotype" w:eastAsia="Palatino Linotype" w:hAnsi="Palatino Linotype" w:cs="Palatino Linotype"/>
          <w:i/>
          <w:iCs/>
        </w:rPr>
        <w:t xml:space="preserve">Economía, que signifique un menor costo de la obra o servicio;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Oportunidad, que permita satisfacer la necesidad que se atiende con la obra pública o servicio en el menor lapso posible;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Eficacia, que la obra o servicio satisfaga la necesidad que la origina;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IV</w:t>
      </w:r>
      <w:r w:rsidRPr="00206872">
        <w:rPr>
          <w:rFonts w:ascii="Palatino Linotype" w:eastAsia="Palatino Linotype" w:hAnsi="Palatino Linotype" w:cs="Palatino Linotype"/>
          <w:i/>
          <w:iCs/>
        </w:rPr>
        <w:t xml:space="preserve">. Eficiencia, que se dé el máximo aprovechamiento de los recursos que la dependencia, entidad o ayuntamiento asigne a la obra o servicio;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Imparcialidad, que la adjudicación de la obra o servicio se realice sin favorecer a ninguno de los interesados;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Honradez, que garantice una justa prestación para las partes involucradas;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Transparencia, que se respeten escrupulosamente en la adjudicación de la obra o servicio los procedimientos establecidos en el Libro y en este Reglamento.</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85</w:t>
      </w:r>
      <w:r w:rsidRPr="00206872">
        <w:rPr>
          <w:rFonts w:ascii="Palatino Linotype" w:eastAsia="Palatino Linotype" w:hAnsi="Palatino Linotype" w:cs="Palatino Linotype"/>
          <w:i/>
          <w:iCs/>
        </w:rPr>
        <w:t xml:space="preserve">.- En caso de declararse desierto un procedimiento de licitación, la dependencia, entidad o ayuntamiento que cuente con Comité Interno de Obra Pública solicitará el dictamen de procedencia del procedimiento de invitación restringida a ese órgano colegiado; para ello, la unidad ejecutora de obra pública integrará y presentará el caso, que contendrá: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La descripción general de la obra o servicio;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El informe del procedimiento de licitación pública que fue declarado desierto;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I. La fecha probable de inicio de los trabajos y el plazo de ejecución de los mismos;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El presupuesto base;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La autorización presupuestal;</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El nombre y firma del titular del área responsable de la ejecución de los trabajos;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El formato de caso para el dictamen de procedencia de excepción.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Cuando la dependencia, entidad o ayuntamiento no cuente con Comité Interno de Obra Pública, la unidad ejecutora de obra pública deberá integrar el caso que someterá a la autorización del titular.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En ambos procedimientos, el titular de la dependencia, entidad o ayuntamiento emitirá un acuerdo en el que autorice el procedimiento de invitación restringida por excepción a la licitación pública. En este acuerdo, se determinarán los plazos en que se realizarán cada una de las etapas.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Articulo 86.-</w:t>
      </w:r>
      <w:r w:rsidRPr="00206872">
        <w:rPr>
          <w:rFonts w:ascii="Palatino Linotype" w:eastAsia="Palatino Linotype" w:hAnsi="Palatino Linotype" w:cs="Palatino Linotype"/>
          <w:i/>
          <w:iCs/>
        </w:rPr>
        <w:t xml:space="preserve"> En función de las características de los trabajos a realizar y a sus requerimientos de ejecución, las dependencias, entidades o ayuntamientos determinarán las características de experiencia, capacidad técnica y solvencia que deben reunir las personas que se invitarán al procedimiento de adjudicación.</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Las dependencias, entidades y ayuntamientos seleccionarán del catálogo de contratistas, que opere la Secretaría del Ramo, a cuando menos tres personas que serán invitadas a presentar propuestas; asimismo, formularán los oficios de invitación que contendrán: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El nombre del convocante;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El nombre y la ubicación de la obra o servicio;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El nombre y domicilio del invitado y la referencia a su clave de registro en el catálogo de contratistas;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La invitación expresa y el señalamiento de las fechas previstas para las etapas del procedimiento;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La indicación de que se anexan las bases de la invitación;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Nombre y firma del servidor público responsable del proceso;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El origen de los recursos para la realización de la obra o servicio;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El plazo de ejecución de los trabajos, indicando la fecha estimada de inicio de los mismos.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Articulo 87.-</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El procedimiento de invitación restringida seguirá los mismos pasos que el de licitación pública salvo la publicación de la convocatoria</w:t>
      </w:r>
      <w:r w:rsidRPr="00206872">
        <w:rPr>
          <w:rFonts w:ascii="Palatino Linotype" w:eastAsia="Palatino Linotype" w:hAnsi="Palatino Linotype" w:cs="Palatino Linotype"/>
          <w:i/>
          <w:iCs/>
        </w:rPr>
        <w:t>, misma que se sustituye por la invitación señalada en el artículo anterior.</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88.-</w:t>
      </w:r>
      <w:r w:rsidRPr="00206872">
        <w:rPr>
          <w:rFonts w:ascii="Palatino Linotype" w:eastAsia="Palatino Linotype" w:hAnsi="Palatino Linotype" w:cs="Palatino Linotype"/>
          <w:i/>
          <w:iCs/>
        </w:rPr>
        <w:t xml:space="preserve"> Si la dependencia, entidad o ayuntamiento necesita llevar a cabo un procedimiento de adjudicación directa, salvo que las obras o servicios a contratar no rebasen los montos establecidos por el Presupuesto de Egresos del Gobierno del Estado de México del ejercicio correspondiente y cuenta con Comité Interno de Obra Pública, se solicitará a ese órgano colegiado el dictamen de procedencia del procedimiento de adjudicación directa; para ello, la unidad </w:t>
      </w:r>
      <w:r w:rsidRPr="00206872">
        <w:rPr>
          <w:rFonts w:ascii="Palatino Linotype" w:eastAsia="Palatino Linotype" w:hAnsi="Palatino Linotype" w:cs="Palatino Linotype"/>
          <w:i/>
          <w:iCs/>
        </w:rPr>
        <w:lastRenderedPageBreak/>
        <w:t xml:space="preserve">ejecutora de obra pública o servicio integrará y presentará el caso conforme se señalo en el procedimiento de invitación restringida.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Cuando la dependencia, entidad o ayuntamiento no cuente con Comité Interno de Obra Pública, la unidad ejecutora de obra pública deberá integrar el caso que someterá a la autorización del titular.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89.</w:t>
      </w:r>
      <w:r w:rsidRPr="00206872">
        <w:rPr>
          <w:rFonts w:ascii="Palatino Linotype" w:eastAsia="Palatino Linotype" w:hAnsi="Palatino Linotype" w:cs="Palatino Linotype"/>
          <w:i/>
          <w:iCs/>
        </w:rPr>
        <w:t>- El titular de la dependencia, entidad o ayuntamiento emitirá un acuerdo en el que autorice el procedimiento de adjudicación directa.</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Articulo 91</w:t>
      </w:r>
      <w:r w:rsidRPr="00206872">
        <w:rPr>
          <w:rFonts w:ascii="Palatino Linotype" w:eastAsia="Palatino Linotype" w:hAnsi="Palatino Linotype" w:cs="Palatino Linotype"/>
          <w:i/>
          <w:iCs/>
        </w:rPr>
        <w:t>.- El convocante recibirá de la persona invitada la documentación de su propuesta para su evaluación la revisará y, en su caso, procederá a formular el contrato correspondiente.”</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Relativo al procedimiento de contratación, el artículo 12.38 del Libro Décimo Segundo del Código Administrativo de la entidad, dispone que la adjudicación de la obra o servicios relacionados con la misma obligará a la dependencia, entidad o ayuntamiento y a la persona en que hubiere recaído, a suscribir el contrato respectivo dentro de los diez días hábiles siguientes al de la notificación del fallo, por lo que los contratos de obra pública y servicios relacionados con la misma, deben contener, como mínimo los requisitos que establece el artículo 104 del Reglamento del Libro Décimo Segundo del Código Administrativo, a saber:</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La autorización presupuestal</w:t>
      </w:r>
      <w:r w:rsidRPr="00206872">
        <w:rPr>
          <w:rFonts w:ascii="Palatino Linotype" w:eastAsia="Palatino Linotype" w:hAnsi="Palatino Linotype" w:cs="Palatino Linotype"/>
          <w:i/>
          <w:iCs/>
        </w:rPr>
        <w:t xml:space="preserve"> para cubrir el compromiso derivado del contrato y sus anexos;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La indicación del procedimiento conforme al cual se adjudicó el contrato;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La descripción pormenorizada de los trabajos que se deban ejecutar, debiendo acompañar los proyectos, planos, especificaciones, programas y presupuestos como parte integrante del contrato en el caso de las obras; tratándose de servicios, los términos de referencia;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IV</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El precio a pagar por los trabajos objeto del contrato</w:t>
      </w:r>
      <w:r w:rsidRPr="00206872">
        <w:rPr>
          <w:rFonts w:ascii="Palatino Linotype" w:eastAsia="Palatino Linotype" w:hAnsi="Palatino Linotype" w:cs="Palatino Linotype"/>
          <w:i/>
          <w:iCs/>
        </w:rPr>
        <w:t xml:space="preserve">. En el caso de contratos mixtos, la parte y el monto que se cubrirá sobre la base de precios unitarios y la correspondiente a precio alzado;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El plazo de ejecución de los trabajos</w:t>
      </w:r>
      <w:r w:rsidRPr="00206872">
        <w:rPr>
          <w:rFonts w:ascii="Palatino Linotype" w:eastAsia="Palatino Linotype" w:hAnsi="Palatino Linotype" w:cs="Palatino Linotype"/>
          <w:i/>
          <w:iCs/>
        </w:rPr>
        <w:t xml:space="preserve"> determinado en días naturales, indicando la fecha de inicio y término de los mismos, así como el plazo para la recepción física de los trabajos y la elaboración del finiquito, los cuales deben ser establecidos de acuerdo con las características, complejidad y magnitud de los trabajos;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Porcentajes, número y fechas de las exhibiciones y amortización de los anticipos que se otorguen; </w:t>
      </w:r>
    </w:p>
    <w:p w:rsidR="00E3559E" w:rsidRPr="00206872" w:rsidRDefault="00E67E3A">
      <w:pPr>
        <w:spacing w:before="240" w:after="24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VII. Forma y términos de garantizar la correcta inversión de los anticipos y el cumplimiento del contrato;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Plazos, forma y lugar de pago de las estimaciones de trabajos ejecutados y, cuando corresponda, de los ajustes de costos;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IX.</w:t>
      </w:r>
      <w:r w:rsidRPr="00206872">
        <w:rPr>
          <w:rFonts w:ascii="Palatino Linotype" w:eastAsia="Palatino Linotype" w:hAnsi="Palatino Linotype" w:cs="Palatino Linotype"/>
          <w:i/>
          <w:iCs/>
        </w:rPr>
        <w:t xml:space="preserve"> Penas convencionales por atraso en la ejecución de los trabajos por causas imputables a los contratistas, determinadas únicamente en función del incumplimiento al programa convenido, las que en ningún caso podrán ser superiores, en su conjunto, </w:t>
      </w:r>
      <w:r w:rsidRPr="00206872">
        <w:rPr>
          <w:rFonts w:ascii="Palatino Linotype" w:eastAsia="Palatino Linotype" w:hAnsi="Palatino Linotype" w:cs="Palatino Linotype"/>
          <w:b/>
          <w:bCs/>
          <w:i/>
          <w:iCs/>
          <w:u w:val="single"/>
        </w:rPr>
        <w:t>al monto de la garantía de cumplimiento</w:t>
      </w:r>
      <w:r w:rsidRPr="00206872">
        <w:rPr>
          <w:rFonts w:ascii="Palatino Linotype" w:eastAsia="Palatino Linotype" w:hAnsi="Palatino Linotype" w:cs="Palatino Linotype"/>
          <w:i/>
          <w:iCs/>
        </w:rPr>
        <w:t xml:space="preserve">. El contratante deberá establecer los términos, forma y porcentajes para aplicar las penas convencionales;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w:t>
      </w:r>
      <w:r w:rsidRPr="00206872">
        <w:rPr>
          <w:rFonts w:ascii="Palatino Linotype" w:eastAsia="Palatino Linotype" w:hAnsi="Palatino Linotype" w:cs="Palatino Linotype"/>
          <w:i/>
          <w:iCs/>
        </w:rPr>
        <w:t xml:space="preserve">. Términos en que el contratista, en su caso, reintegrará las cantidades que hubiere recibido en exceso por la contratación o durante la ejecución de los trabajos, para lo cual se utilizará el procedimiento que se establezca;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w:t>
      </w:r>
      <w:r w:rsidRPr="00206872">
        <w:rPr>
          <w:rFonts w:ascii="Palatino Linotype" w:eastAsia="Palatino Linotype" w:hAnsi="Palatino Linotype" w:cs="Palatino Linotype"/>
          <w:i/>
          <w:iCs/>
        </w:rPr>
        <w:t xml:space="preserve">. Procedimiento de ajuste de costos que deberá ser el determinado desde las bases de la licitación por el convocante, el cual deberá regir durante la vigencia del contrato;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XII</w:t>
      </w:r>
      <w:r w:rsidRPr="00206872">
        <w:rPr>
          <w:rFonts w:ascii="Palatino Linotype" w:eastAsia="Palatino Linotype" w:hAnsi="Palatino Linotype" w:cs="Palatino Linotype"/>
          <w:i/>
          <w:iCs/>
        </w:rPr>
        <w:t xml:space="preserve">. Causales y procedimiento mediante los cuales el contratante podrá dar por rescindido el contrato en los términos de este Reglamento;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 xml:space="preserve">XIII. </w:t>
      </w:r>
      <w:r w:rsidRPr="00206872">
        <w:rPr>
          <w:rFonts w:ascii="Palatino Linotype" w:eastAsia="Palatino Linotype" w:hAnsi="Palatino Linotype" w:cs="Palatino Linotype"/>
          <w:i/>
          <w:iCs/>
        </w:rPr>
        <w:t>Los procedimientos mediante los cuales las partes resolverán, entre sí, las discrepancias futuras y previsibles sobre problemas específicos de carácter técnico y administrativo;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XIV</w:t>
      </w:r>
      <w:r w:rsidRPr="00206872">
        <w:rPr>
          <w:rFonts w:ascii="Palatino Linotype" w:eastAsia="Palatino Linotype" w:hAnsi="Palatino Linotype" w:cs="Palatino Linotype"/>
          <w:i/>
          <w:iCs/>
        </w:rPr>
        <w:t xml:space="preserve">. Señalamiento del domicilio en el Estado para oír y recibir notificaciones; y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XV. </w:t>
      </w:r>
      <w:r w:rsidRPr="00206872">
        <w:rPr>
          <w:rFonts w:ascii="Palatino Linotype" w:eastAsia="Palatino Linotype" w:hAnsi="Palatino Linotype" w:cs="Palatino Linotype"/>
          <w:i/>
          <w:iCs/>
        </w:rPr>
        <w:t xml:space="preserve">Manifestación de renuncia expresa al fuero que les pudiera corresponder en función de su domicilio presente o futuro en el caso de que no se encuentre en el Estado de México. </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El contrato deberá firmarse dentro de los diez días hábiles siguientes a la notificación del fallo. Se deberá entregar al contratista una copia del contrato firmado; para los efectos del Libro Décimo Segundo y su Reglamento, el contrato, sus anexos y la bitácora son los instrumentos que establecen los derechos y obligaciones de las partes, posteriormente el contratante enviará a la Secretaría del Ramo y a la Contraloría un informe de los contratos formalizados por excepción a la licitación pública durante el mes inmediato anterior, dentro de los cinco primeros días hábiles de cada mes. De la misma manera, lo harán los ayuntamientos que en esas modalidades contraten obra pública o servicios con cargo total o parcial a los recursos estatales.</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Finalmente, por lo que se refiere a la recepción de los trabajos, los artículos 230, 231, 232, 233 y 234 del Reglamento del Libro Décimo Segundo del Código Administrativo disponen lo siguiente: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230.-</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Para iniciar el procedimiento de recepción de los trabajos, el contratista deberá notificar al contratante la terminación de los mismos mediante la bitácora y por escrito, anexando los documentos de soporte que incluye una relación de las estimaciones o de gastos aprobados, monto ejercido y créditos a favor o en contra</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i/>
          <w:iCs/>
        </w:rPr>
        <w:lastRenderedPageBreak/>
        <w:t xml:space="preserve">Artículo 231.- </w:t>
      </w:r>
      <w:r w:rsidRPr="00206872">
        <w:rPr>
          <w:rFonts w:ascii="Palatino Linotype" w:eastAsia="Palatino Linotype" w:hAnsi="Palatino Linotype" w:cs="Palatino Linotype"/>
          <w:b/>
          <w:bCs/>
          <w:i/>
          <w:iCs/>
        </w:rPr>
        <w:t>Si, durante la verificación de los trabajos, el contratante observa deficiencias, deberá solicitar al contratista que realice las correcciones o reparaciones conforme a lo establecido en el contrato</w:t>
      </w:r>
      <w:r w:rsidRPr="00206872">
        <w:rPr>
          <w:rFonts w:ascii="Palatino Linotype" w:eastAsia="Palatino Linotype" w:hAnsi="Palatino Linotype" w:cs="Palatino Linotype"/>
          <w:i/>
          <w:iCs/>
        </w:rPr>
        <w:t xml:space="preserve">. En este caso, el plazo de verificación de los trabajos, pactado en el contrato, se podrá ampliar por el periodo que acuerden las partes para la reparación de las deficiencias. Lo anterior, sin perjuicio de que el contratante opte por la rescisión del contrato.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232</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En la fecha señalada, el contratante recibirá físicamente los trabajos y levantará el acta correspondiente</w:t>
      </w:r>
      <w:r w:rsidRPr="00206872">
        <w:rPr>
          <w:rFonts w:ascii="Palatino Linotype" w:eastAsia="Palatino Linotype" w:hAnsi="Palatino Linotype" w:cs="Palatino Linotype"/>
          <w:i/>
          <w:iCs/>
        </w:rPr>
        <w:t xml:space="preserve">, que contendrá: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Lugar, fecha y hora en que se levante;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Nombre y firma del residente de obra y, en su caso, del supervisor de los trabajos y del superintendente de construcción;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Nombre y firma de los representantes de las Secretarías del Ramo y de Finanzas, de la Contraloría y del área responsable de operar la obra pública que se recibe;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Descripción de los trabajos que se reciben;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Importe contractual, incluyendo el de los convenios modificatorios;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Periodo de ejecución de los trabajos, precisando las fechas de inicio y terminación contractual y el plazo en que realmente se ejecutaron, incluyendo los convenios; </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Relación de las estimaciones pagadas y por pagar;</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Declaración de las partes en que conste la entrega de los planos actualizados de la construcción final, así como los manuales e instructivos de operación y mantenimiento y los c</w:t>
      </w:r>
      <w:r w:rsidRPr="00206872">
        <w:rPr>
          <w:rFonts w:ascii="Palatino Linotype" w:eastAsia="Palatino Linotype" w:hAnsi="Palatino Linotype" w:cs="Palatino Linotype"/>
          <w:b/>
          <w:bCs/>
          <w:i/>
          <w:iCs/>
        </w:rPr>
        <w:t>ertificados de garantía de calidad y de servicio de los bienes instalados</w:t>
      </w:r>
      <w:r w:rsidRPr="00206872">
        <w:rPr>
          <w:rFonts w:ascii="Palatino Linotype" w:eastAsia="Palatino Linotype" w:hAnsi="Palatino Linotype" w:cs="Palatino Linotype"/>
          <w:i/>
          <w:iCs/>
        </w:rPr>
        <w:t xml:space="preserve">; y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IX</w:t>
      </w:r>
      <w:r w:rsidRPr="00206872">
        <w:rPr>
          <w:rFonts w:ascii="Palatino Linotype" w:eastAsia="Palatino Linotype" w:hAnsi="Palatino Linotype" w:cs="Palatino Linotype"/>
          <w:i/>
          <w:iCs/>
        </w:rPr>
        <w:t>. Constancia de que el archivo de documentos derivados de la realización de los trabajos fue entregado a la residencia de obra o a la supervisión por parte del contratista.</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233.-</w:t>
      </w:r>
      <w:r w:rsidRPr="00206872">
        <w:rPr>
          <w:rFonts w:ascii="Palatino Linotype" w:eastAsia="Palatino Linotype" w:hAnsi="Palatino Linotype" w:cs="Palatino Linotype"/>
          <w:i/>
          <w:iCs/>
        </w:rPr>
        <w:t xml:space="preserve"> El contratante podrá efectuar recepciones parciales de los trabajos sin estar concluida la totalidad de la obra, cuando considere que hay </w:t>
      </w:r>
      <w:r w:rsidRPr="00206872">
        <w:rPr>
          <w:rFonts w:ascii="Palatino Linotype" w:eastAsia="Palatino Linotype" w:hAnsi="Palatino Linotype" w:cs="Palatino Linotype"/>
          <w:i/>
          <w:iCs/>
        </w:rPr>
        <w:lastRenderedPageBreak/>
        <w:t>trabajos terminados cuyos espacios pueden utilizarse y requieren conservación. Para ello, levantará un acta que se apegará a lo previsto en el artículo anterior.</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234.-</w:t>
      </w:r>
      <w:r w:rsidRPr="00206872">
        <w:rPr>
          <w:rFonts w:ascii="Palatino Linotype" w:eastAsia="Palatino Linotype" w:hAnsi="Palatino Linotype" w:cs="Palatino Linotype"/>
          <w:i/>
          <w:iCs/>
        </w:rPr>
        <w:t xml:space="preserve"> Para dar por terminados, parcial o totalmente, los derechos y obligaciones asumidos por las partes en un contrato de obras o servicios, el contratante deberá elaborar el finiquito correspondiente, </w:t>
      </w:r>
      <w:r w:rsidRPr="00206872">
        <w:rPr>
          <w:rFonts w:ascii="Palatino Linotype" w:eastAsia="Palatino Linotype" w:hAnsi="Palatino Linotype" w:cs="Palatino Linotype"/>
          <w:b/>
          <w:bCs/>
          <w:i/>
          <w:iCs/>
        </w:rPr>
        <w:t>anexando el acta de recepción física de los trabajos</w:t>
      </w:r>
      <w:r w:rsidRPr="00206872">
        <w:rPr>
          <w:rFonts w:ascii="Palatino Linotype" w:eastAsia="Palatino Linotype" w:hAnsi="Palatino Linotype" w:cs="Palatino Linotype"/>
          <w:i/>
          <w:iCs/>
        </w:rPr>
        <w:t xml:space="preserv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Elaborado este finiquito, el contratante dará por terminado el contrato, quedando subsistentes las acciones que se deriven del finiquito y la garantía de defectos y vicios ocultos señalada en el libro en el capítulo quinto de la ejecución Después de su formalización, el contratista no podrá presentar reclamación alguna de pago.”</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Por otro lado, el artículo 214 del Reglamento del Libro Décimo Segundo, establece que la ejecución de los trabajos deberá realizarse en el orden y tiempo previstos en los programas pactados en el contrato, al respecto, las atribuciones de la Contraloría Municipal, el Libro Décimo Segundo dispone lo siguiente: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271</w:t>
      </w:r>
      <w:r w:rsidRPr="00206872">
        <w:rPr>
          <w:rFonts w:ascii="Palatino Linotype" w:eastAsia="Palatino Linotype" w:hAnsi="Palatino Linotype" w:cs="Palatino Linotype"/>
          <w:i/>
          <w:iCs/>
        </w:rPr>
        <w:t xml:space="preserve">.- Las dependencias, entidades y ayuntamientos, podrán suspender temporal o definitivamente, en todo o en parte, las obras que realicen por administración directa, por razones de interés general o por cualquier causa justificada, mediante acuerdo del mismo servidor público que autorizó su realización.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Tratándose de suspensión definitiva de la obra, se deberá levantar acta circunstanciada, donde se haga constar el estado en que se encuentran los trabajos y las razones de la suspensión definitiva.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Las suspensiones temporales o definitivas que realicen las dependencias y entidades deberán comunicarse a</w:t>
      </w:r>
      <w:r w:rsidRPr="00206872">
        <w:rPr>
          <w:rFonts w:ascii="Palatino Linotype" w:eastAsia="Palatino Linotype" w:hAnsi="Palatino Linotype" w:cs="Palatino Linotype"/>
          <w:i/>
          <w:iCs/>
        </w:rPr>
        <w:t xml:space="preserve"> la Secretaría del Ramo, </w:t>
      </w:r>
      <w:r w:rsidRPr="00206872">
        <w:rPr>
          <w:rFonts w:ascii="Palatino Linotype" w:eastAsia="Palatino Linotype" w:hAnsi="Palatino Linotype" w:cs="Palatino Linotype"/>
          <w:b/>
          <w:bCs/>
          <w:i/>
          <w:iCs/>
        </w:rPr>
        <w:t>a la Contraloría</w:t>
      </w:r>
      <w:r w:rsidRPr="00206872">
        <w:rPr>
          <w:rFonts w:ascii="Palatino Linotype" w:eastAsia="Palatino Linotype" w:hAnsi="Palatino Linotype" w:cs="Palatino Linotype"/>
          <w:i/>
          <w:iCs/>
        </w:rPr>
        <w:t xml:space="preserve"> y, en el caso de las entidades, a la dependencia coordinadora de sector, dentro de los diez días naturales siguientes a la fecha en que se emita el acuerdo de suspensión.</w:t>
      </w:r>
    </w:p>
    <w:p w:rsidR="00E3559E" w:rsidRPr="00206872" w:rsidRDefault="00E67E3A">
      <w:pPr>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lastRenderedPageBreak/>
        <w:t>Artículo 272.- La Contraloría, en las dependencias, entidades y ayuntamientos</w:t>
      </w:r>
      <w:r w:rsidRPr="00206872">
        <w:rPr>
          <w:rFonts w:ascii="Palatino Linotype" w:eastAsia="Palatino Linotype" w:hAnsi="Palatino Linotype" w:cs="Palatino Linotype"/>
          <w:i/>
          <w:iCs/>
        </w:rPr>
        <w:t xml:space="preserve">, previo a la ejecución de los trabajos por administración directa, </w:t>
      </w:r>
      <w:r w:rsidRPr="00206872">
        <w:rPr>
          <w:rFonts w:ascii="Palatino Linotype" w:eastAsia="Palatino Linotype" w:hAnsi="Palatino Linotype" w:cs="Palatino Linotype"/>
          <w:b/>
          <w:bCs/>
          <w:i/>
          <w:iCs/>
        </w:rPr>
        <w:t>verificará que se cuente con el presupuesto correspondiente y los programas de ejecución, de utilización de recursos humanos</w:t>
      </w:r>
      <w:r w:rsidRPr="00206872">
        <w:rPr>
          <w:rFonts w:ascii="Palatino Linotype" w:eastAsia="Palatino Linotype" w:hAnsi="Palatino Linotype" w:cs="Palatino Linotype"/>
          <w:i/>
          <w:iCs/>
        </w:rPr>
        <w:t xml:space="preserve"> y, en su caso, de utilización de maquinaria y equipo de construcción. Asimismo, en el ejercicio de sus atribuciones </w:t>
      </w:r>
      <w:r w:rsidRPr="00206872">
        <w:rPr>
          <w:rFonts w:ascii="Palatino Linotype" w:eastAsia="Palatino Linotype" w:hAnsi="Palatino Linotype" w:cs="Palatino Linotype"/>
          <w:b/>
          <w:bCs/>
          <w:i/>
          <w:iCs/>
        </w:rPr>
        <w:t>estará atenta al desarrollo de la obra, a su entrega-recepción y en su caso, suspensión.</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276</w:t>
      </w:r>
      <w:r w:rsidRPr="00206872">
        <w:rPr>
          <w:rFonts w:ascii="Palatino Linotype" w:eastAsia="Palatino Linotype" w:hAnsi="Palatino Linotype" w:cs="Palatino Linotype"/>
          <w:i/>
          <w:iCs/>
        </w:rPr>
        <w:t xml:space="preserve">.- La Contraloría llevará a cabo el seguimiento de la obra pública y servicios que realicen las dependencias, entidades y ayuntamientos en su caso. El seguimiento abarcará: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w:t>
      </w:r>
      <w:r w:rsidRPr="00206872">
        <w:rPr>
          <w:rFonts w:ascii="Palatino Linotype" w:eastAsia="Palatino Linotype" w:hAnsi="Palatino Linotype" w:cs="Palatino Linotype"/>
          <w:i/>
          <w:iCs/>
        </w:rPr>
        <w:t xml:space="preserve"> La Planeación;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w:t>
      </w:r>
      <w:r w:rsidRPr="00206872">
        <w:rPr>
          <w:rFonts w:ascii="Palatino Linotype" w:eastAsia="Palatino Linotype" w:hAnsi="Palatino Linotype" w:cs="Palatino Linotype"/>
          <w:i/>
          <w:iCs/>
        </w:rPr>
        <w:t xml:space="preserve">. La Programación y presupuestación;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III.</w:t>
      </w:r>
      <w:r w:rsidRPr="00206872">
        <w:rPr>
          <w:rFonts w:ascii="Palatino Linotype" w:eastAsia="Palatino Linotype" w:hAnsi="Palatino Linotype" w:cs="Palatino Linotype"/>
          <w:i/>
          <w:iCs/>
        </w:rPr>
        <w:t xml:space="preserve"> La licitación pública;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IV.</w:t>
      </w:r>
      <w:r w:rsidRPr="00206872">
        <w:rPr>
          <w:rFonts w:ascii="Palatino Linotype" w:eastAsia="Palatino Linotype" w:hAnsi="Palatino Linotype" w:cs="Palatino Linotype"/>
          <w:i/>
          <w:iCs/>
        </w:rPr>
        <w:t xml:space="preserve"> La invitación restringida;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w:t>
      </w:r>
      <w:r w:rsidRPr="00206872">
        <w:rPr>
          <w:rFonts w:ascii="Palatino Linotype" w:eastAsia="Palatino Linotype" w:hAnsi="Palatino Linotype" w:cs="Palatino Linotype"/>
          <w:i/>
          <w:iCs/>
        </w:rPr>
        <w:t xml:space="preserve">. La adjudicación directa;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w:t>
      </w:r>
      <w:r w:rsidRPr="00206872">
        <w:rPr>
          <w:rFonts w:ascii="Palatino Linotype" w:eastAsia="Palatino Linotype" w:hAnsi="Palatino Linotype" w:cs="Palatino Linotype"/>
          <w:i/>
          <w:iCs/>
        </w:rPr>
        <w:t xml:space="preserve">. La contratación;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w:t>
      </w:r>
      <w:r w:rsidRPr="00206872">
        <w:rPr>
          <w:rFonts w:ascii="Palatino Linotype" w:eastAsia="Palatino Linotype" w:hAnsi="Palatino Linotype" w:cs="Palatino Linotype"/>
          <w:i/>
          <w:iCs/>
        </w:rPr>
        <w:t xml:space="preserve"> La ejecución;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VIII.</w:t>
      </w:r>
      <w:r w:rsidRPr="00206872">
        <w:rPr>
          <w:rFonts w:ascii="Palatino Linotype" w:eastAsia="Palatino Linotype" w:hAnsi="Palatino Linotype" w:cs="Palatino Linotype"/>
          <w:i/>
          <w:iCs/>
        </w:rPr>
        <w:t xml:space="preserve"> La recepción y finiquito.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La Contraloría realizará las visitas, inspecciones, auditorias y supervisiones que considere necesarias. Podrá solicitar a los servidores públicos y a los contratistas los datos e informes relacionados con las obras y servicios objeto de dichas visitas, inspecciones, auditorias y supervisiones.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La Contraloría llevará el registro de las personas físicas o jurídicas que se encuentren en cualquiera de los supuestos a que se refieren las fracciones III, IV y VI del artículo 12.48 del Libro y lo dará a conocer a las dependencias, entidades y ayuntamientos por los medios que determine y recibirá de éstas la información correspondiente para la integración y difusión de dicho registro.</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277</w:t>
      </w:r>
      <w:r w:rsidRPr="00206872">
        <w:rPr>
          <w:rFonts w:ascii="Palatino Linotype" w:eastAsia="Palatino Linotype" w:hAnsi="Palatino Linotype" w:cs="Palatino Linotype"/>
          <w:i/>
          <w:iCs/>
        </w:rPr>
        <w:t xml:space="preserve">.- En el ejercicio de sus atribuciones, la Contraloría tiene la facultad de verificar que la realización de las obras públicas y los servicios se efectúen con apego a lo establecido en el Libro, este Reglamento, las </w:t>
      </w:r>
      <w:r w:rsidRPr="00206872">
        <w:rPr>
          <w:rFonts w:ascii="Palatino Linotype" w:eastAsia="Palatino Linotype" w:hAnsi="Palatino Linotype" w:cs="Palatino Linotype"/>
          <w:i/>
          <w:iCs/>
        </w:rPr>
        <w:lastRenderedPageBreak/>
        <w:t xml:space="preserve">disposiciones legales aplicables y conforme a los programas y presupuestos autorizados.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Artículo 278</w:t>
      </w:r>
      <w:r w:rsidRPr="00206872">
        <w:rPr>
          <w:rFonts w:ascii="Palatino Linotype" w:eastAsia="Palatino Linotype" w:hAnsi="Palatino Linotype" w:cs="Palatino Linotype"/>
          <w:i/>
          <w:iCs/>
        </w:rPr>
        <w:t>.- Cuando la Contraloría tenga conocimiento de que una dependencia, entidad o ayuntamiento no se hubiere apegado a las disposiciones legales aplicables, actuará conforme a los manuales y procedimientos que norman su actuación.”</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Así mismo y  de conformidad con el </w:t>
      </w:r>
      <w:r w:rsidRPr="00206872">
        <w:rPr>
          <w:rFonts w:ascii="Palatino Linotype" w:eastAsia="Palatino Linotype" w:hAnsi="Palatino Linotype" w:cs="Palatino Linotype"/>
          <w:i/>
          <w:iCs/>
          <w:color w:val="000000"/>
        </w:rPr>
        <w:t>ACUERDO DEL SECRETARIO DE INFRAESTRUCTURA POR EL QUE SE ESTABLECE EL ÍNDICE DE EXPEDIENTE ÚNICO DE OBRA PÚBLICA E INSTRUCTIVOS DE LLENADO EN LAS MODALIDADES DE ADJUDICACIÓN DIRECTA, INVITACIÓN RESTRINGIDA Y LICITACIÓN PÚBLICA</w:t>
      </w:r>
      <w:r w:rsidRPr="00206872">
        <w:rPr>
          <w:rFonts w:ascii="Palatino Linotype" w:eastAsia="Palatino Linotype" w:hAnsi="Palatino Linotype" w:cs="Palatino Linotype"/>
          <w:color w:val="000000"/>
        </w:rPr>
        <w:t>, mediante el cual se establecen los índices de Expedientes Únicos de Obra e instructivos de llenado, en las modalidades de Adjudicación Directa, Invitación Restringida y Licitación Pública, para la integración del expediente único de obra pública que para tal efecto integran las dependencias, entidades, ayuntamientos y tribunales administrativos que ejecuten obra pública, los expedientes de Adjudicación Directa, Invitación Restringida y Licitación Pública, se integran de la siguiente manera:</w:t>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3548551" cy="3986847"/>
            <wp:effectExtent l="0" t="0" r="0" b="0"/>
            <wp:docPr id="939555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b="23111"/>
                    <a:stretch>
                      <a:fillRect/>
                    </a:stretch>
                  </pic:blipFill>
                  <pic:spPr>
                    <a:xfrm>
                      <a:off x="0" y="0"/>
                      <a:ext cx="3548551" cy="3986847"/>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3646281" cy="1096264"/>
            <wp:effectExtent l="0" t="0" r="0" b="0"/>
            <wp:docPr id="939555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a:srcRect t="76157" b="475"/>
                    <a:stretch>
                      <a:fillRect/>
                    </a:stretch>
                  </pic:blipFill>
                  <pic:spPr>
                    <a:xfrm>
                      <a:off x="0" y="0"/>
                      <a:ext cx="3646281" cy="1096264"/>
                    </a:xfrm>
                    <a:prstGeom prst="rect">
                      <a:avLst/>
                    </a:prstGeom>
                    <a:ln/>
                  </pic:spPr>
                </pic:pic>
              </a:graphicData>
            </a:graphic>
          </wp:inline>
        </w:drawing>
      </w:r>
      <w:r w:rsidRPr="00206872">
        <w:rPr>
          <w:rFonts w:ascii="Palatino Linotype" w:eastAsia="Palatino Linotype" w:hAnsi="Palatino Linotype" w:cs="Palatino Linotype"/>
          <w:noProof/>
        </w:rPr>
        <w:drawing>
          <wp:inline distT="0" distB="0" distL="0" distR="0">
            <wp:extent cx="3610022" cy="1963495"/>
            <wp:effectExtent l="0" t="0" r="0" b="0"/>
            <wp:docPr id="939555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10022" cy="1963495"/>
                    </a:xfrm>
                    <a:prstGeom prst="rect">
                      <a:avLst/>
                    </a:prstGeom>
                    <a:ln/>
                  </pic:spPr>
                </pic:pic>
              </a:graphicData>
            </a:graphic>
          </wp:inline>
        </w:drawing>
      </w:r>
      <w:r w:rsidRPr="00206872">
        <w:rPr>
          <w:rFonts w:ascii="Palatino Linotype" w:eastAsia="Palatino Linotype" w:hAnsi="Palatino Linotype" w:cs="Palatino Linotype"/>
          <w:noProof/>
        </w:rPr>
        <w:drawing>
          <wp:inline distT="0" distB="0" distL="0" distR="0">
            <wp:extent cx="3619289" cy="1885632"/>
            <wp:effectExtent l="0" t="0" r="0" b="0"/>
            <wp:docPr id="9395557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b="58360"/>
                    <a:stretch>
                      <a:fillRect/>
                    </a:stretch>
                  </pic:blipFill>
                  <pic:spPr>
                    <a:xfrm>
                      <a:off x="0" y="0"/>
                      <a:ext cx="3619289" cy="1885632"/>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3542817" cy="2645077"/>
            <wp:effectExtent l="0" t="0" r="0" b="0"/>
            <wp:docPr id="939555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t="41030" b="-702"/>
                    <a:stretch>
                      <a:fillRect/>
                    </a:stretch>
                  </pic:blipFill>
                  <pic:spPr>
                    <a:xfrm>
                      <a:off x="0" y="0"/>
                      <a:ext cx="3542817" cy="2645077"/>
                    </a:xfrm>
                    <a:prstGeom prst="rect">
                      <a:avLst/>
                    </a:prstGeom>
                    <a:ln/>
                  </pic:spPr>
                </pic:pic>
              </a:graphicData>
            </a:graphic>
          </wp:inline>
        </w:drawing>
      </w:r>
      <w:r w:rsidRPr="00206872">
        <w:rPr>
          <w:rFonts w:ascii="Palatino Linotype" w:eastAsia="Palatino Linotype" w:hAnsi="Palatino Linotype" w:cs="Palatino Linotype"/>
          <w:noProof/>
        </w:rPr>
        <w:drawing>
          <wp:inline distT="0" distB="0" distL="0" distR="0">
            <wp:extent cx="3532458" cy="2079939"/>
            <wp:effectExtent l="0" t="0" r="0" b="0"/>
            <wp:docPr id="9395558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t="12348"/>
                    <a:stretch>
                      <a:fillRect/>
                    </a:stretch>
                  </pic:blipFill>
                  <pic:spPr>
                    <a:xfrm>
                      <a:off x="0" y="0"/>
                      <a:ext cx="3532458" cy="2079939"/>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3646076" cy="2256211"/>
            <wp:effectExtent l="0" t="0" r="0" b="0"/>
            <wp:docPr id="939555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3646076" cy="2256211"/>
                    </a:xfrm>
                    <a:prstGeom prst="rect">
                      <a:avLst/>
                    </a:prstGeom>
                    <a:ln/>
                  </pic:spPr>
                </pic:pic>
              </a:graphicData>
            </a:graphic>
          </wp:inline>
        </w:drawing>
      </w:r>
      <w:r w:rsidRPr="00206872">
        <w:rPr>
          <w:rFonts w:ascii="Palatino Linotype" w:eastAsia="Palatino Linotype" w:hAnsi="Palatino Linotype" w:cs="Palatino Linotype"/>
          <w:noProof/>
        </w:rPr>
        <w:drawing>
          <wp:inline distT="0" distB="0" distL="0" distR="0">
            <wp:extent cx="3698548" cy="3183281"/>
            <wp:effectExtent l="0" t="0" r="0" b="0"/>
            <wp:docPr id="939555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1" b="34968"/>
                    <a:stretch>
                      <a:fillRect/>
                    </a:stretch>
                  </pic:blipFill>
                  <pic:spPr>
                    <a:xfrm>
                      <a:off x="0" y="0"/>
                      <a:ext cx="3698548" cy="3183281"/>
                    </a:xfrm>
                    <a:prstGeom prst="rect">
                      <a:avLst/>
                    </a:prstGeom>
                    <a:ln/>
                  </pic:spPr>
                </pic:pic>
              </a:graphicData>
            </a:graphic>
          </wp:inline>
        </w:drawing>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lastRenderedPageBreak/>
        <w:drawing>
          <wp:inline distT="0" distB="0" distL="0" distR="0">
            <wp:extent cx="3638767" cy="1697543"/>
            <wp:effectExtent l="0" t="0" r="0" b="0"/>
            <wp:docPr id="9395558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t="64120" b="629"/>
                    <a:stretch>
                      <a:fillRect/>
                    </a:stretch>
                  </pic:blipFill>
                  <pic:spPr>
                    <a:xfrm>
                      <a:off x="0" y="0"/>
                      <a:ext cx="3638767" cy="1697543"/>
                    </a:xfrm>
                    <a:prstGeom prst="rect">
                      <a:avLst/>
                    </a:prstGeom>
                    <a:ln/>
                  </pic:spPr>
                </pic:pic>
              </a:graphicData>
            </a:graphic>
          </wp:inline>
        </w:drawing>
      </w: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De donde se advierte que los expedientes únicos de obra pública, en las modalidades de adjudicación directa, invitación restringida y licitación pública, incluyen diversos documentos, entre los que se encuentra </w:t>
      </w:r>
      <w:r w:rsidRPr="00206872">
        <w:rPr>
          <w:rFonts w:ascii="Palatino Linotype" w:eastAsia="Palatino Linotype" w:hAnsi="Palatino Linotype" w:cs="Palatino Linotype"/>
          <w:i/>
          <w:iCs/>
        </w:rPr>
        <w:t>el oficio de autorización de recursos y dictamen de procedencia; la evaluación de la propuesta; el contrato: las garantías de cumplimiento de contrato; la bitácora de obra o servicios; el acta de recepción de los trabajos y el acta de entrega a la instancia encargada de su operación</w:t>
      </w:r>
      <w:r w:rsidRPr="00206872">
        <w:rPr>
          <w:rFonts w:ascii="Palatino Linotype" w:eastAsia="Palatino Linotype" w:hAnsi="Palatino Linotype" w:cs="Palatino Linotype"/>
          <w:b/>
          <w:bCs/>
        </w:rPr>
        <w:t>.</w:t>
      </w:r>
      <w:r w:rsidRPr="00206872">
        <w:rPr>
          <w:rFonts w:ascii="Palatino Linotype" w:eastAsia="Palatino Linotype" w:hAnsi="Palatino Linotype" w:cs="Palatino Linotype"/>
        </w:rPr>
        <w:t xml:space="preserve"> </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Asimismo, el Instructivo de llenado de los índices del Expediente Único de Obra en las modalidades de adjudicación referidas, dispone que en el apartado del Proyecto Ejecutivo, se incluirán los estudios preliminares y análisis de factibilidad de acuerdo a los estudios de costo beneficio</w:t>
      </w:r>
      <w:r w:rsidRPr="00206872">
        <w:rPr>
          <w:rFonts w:ascii="Palatino Linotype" w:eastAsia="Palatino Linotype" w:hAnsi="Palatino Linotype" w:cs="Palatino Linotype"/>
          <w:b/>
          <w:bCs/>
          <w:color w:val="000000"/>
        </w:rPr>
        <w:t>,</w:t>
      </w:r>
      <w:r w:rsidRPr="00206872">
        <w:rPr>
          <w:rFonts w:ascii="Palatino Linotype" w:eastAsia="Palatino Linotype" w:hAnsi="Palatino Linotype" w:cs="Palatino Linotype"/>
          <w:color w:val="000000"/>
        </w:rPr>
        <w:t xml:space="preserve"> para la normatividad federal, como se lee:</w:t>
      </w:r>
    </w:p>
    <w:p w:rsidR="00E3559E" w:rsidRPr="00206872" w:rsidRDefault="00E67E3A">
      <w:pPr>
        <w:spacing w:before="240" w:after="240" w:line="360" w:lineRule="auto"/>
        <w:jc w:val="center"/>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5847995" cy="847851"/>
            <wp:effectExtent l="0" t="0" r="0" b="0"/>
            <wp:docPr id="9395558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847995" cy="847851"/>
                    </a:xfrm>
                    <a:prstGeom prst="rect">
                      <a:avLst/>
                    </a:prstGeom>
                    <a:ln/>
                  </pic:spPr>
                </pic:pic>
              </a:graphicData>
            </a:graphic>
          </wp:inline>
        </w:drawing>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Además, no debe perderse de vista que el artículo 92, fracción XIX de la Ley de Transparencia y Acceso a la Información Pública del Estado de México y Municipios, , los Sujetos Obligados deben poner a disposición del público de manera constante y actualizada, </w:t>
      </w:r>
      <w:r w:rsidRPr="00206872">
        <w:rPr>
          <w:rFonts w:ascii="Palatino Linotype" w:eastAsia="Palatino Linotype" w:hAnsi="Palatino Linotype" w:cs="Palatino Linotype"/>
          <w:color w:val="000000"/>
        </w:rPr>
        <w:lastRenderedPageBreak/>
        <w:t>de forma sencilla, precisa y entendible, en los respectivos medios electrónicos, información relativa a los procesos y resultados sobre procedimientos de adjudicación directa, invitación restringida, y licitación de cualquier naturaleza, incluyendo la versión pública del expediente respectivo y de los contratos celebrados, por tratarse de una obligación de transparencia:</w:t>
      </w:r>
    </w:p>
    <w:p w:rsidR="00E3559E" w:rsidRPr="00206872" w:rsidRDefault="00E67E3A">
      <w:pPr>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92</w:t>
      </w:r>
      <w:r w:rsidRPr="00206872">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XXIX.</w:t>
      </w:r>
      <w:r w:rsidRPr="00206872">
        <w:rPr>
          <w:rFonts w:ascii="Palatino Linotype" w:eastAsia="Palatino Linotype" w:hAnsi="Palatino Linotype" w:cs="Palatino Linotype"/>
          <w:i/>
          <w:iCs/>
        </w:rPr>
        <w:t xml:space="preserve"> La </w:t>
      </w:r>
      <w:r w:rsidRPr="00206872">
        <w:rPr>
          <w:rFonts w:ascii="Palatino Linotype" w:eastAsia="Palatino Linotype" w:hAnsi="Palatino Linotype" w:cs="Palatino Linotype"/>
          <w:b/>
          <w:bCs/>
          <w:i/>
          <w:iCs/>
        </w:rPr>
        <w:t xml:space="preserve">información sobre los procesos y resultados </w:t>
      </w:r>
      <w:r w:rsidRPr="00206872">
        <w:rPr>
          <w:rFonts w:ascii="Palatino Linotype" w:eastAsia="Palatino Linotype" w:hAnsi="Palatino Linotype" w:cs="Palatino Linotype"/>
          <w:b/>
          <w:bCs/>
          <w:i/>
          <w:iCs/>
          <w:u w:val="single"/>
        </w:rPr>
        <w:t>sobre procedimientos de adjudicación directa, invitación restringida y licitación de cualquier naturaleza</w:t>
      </w:r>
      <w:r w:rsidRPr="00206872">
        <w:rPr>
          <w:rFonts w:ascii="Palatino Linotype" w:eastAsia="Palatino Linotype" w:hAnsi="Palatino Linotype" w:cs="Palatino Linotype"/>
          <w:i/>
          <w:iCs/>
          <w:u w:val="single"/>
        </w:rPr>
        <w:t xml:space="preserve">, </w:t>
      </w:r>
      <w:r w:rsidRPr="00206872">
        <w:rPr>
          <w:rFonts w:ascii="Palatino Linotype" w:eastAsia="Palatino Linotype" w:hAnsi="Palatino Linotype" w:cs="Palatino Linotype"/>
          <w:b/>
          <w:bCs/>
          <w:i/>
          <w:iCs/>
        </w:rPr>
        <w:t>incluyendo la versión pública</w:t>
      </w:r>
      <w:r w:rsidRPr="00206872">
        <w:rPr>
          <w:rFonts w:ascii="Palatino Linotype" w:eastAsia="Palatino Linotype" w:hAnsi="Palatino Linotype" w:cs="Palatino Linotype"/>
          <w:i/>
          <w:iCs/>
        </w:rPr>
        <w:t xml:space="preserve"> del expediente respectivo y </w:t>
      </w:r>
      <w:r w:rsidRPr="00206872">
        <w:rPr>
          <w:rFonts w:ascii="Palatino Linotype" w:eastAsia="Palatino Linotype" w:hAnsi="Palatino Linotype" w:cs="Palatino Linotype"/>
          <w:b/>
          <w:bCs/>
          <w:i/>
          <w:iCs/>
        </w:rPr>
        <w:t>de los contratos celebrados</w:t>
      </w:r>
      <w:r w:rsidRPr="00206872">
        <w:rPr>
          <w:rFonts w:ascii="Palatino Linotype" w:eastAsia="Palatino Linotype" w:hAnsi="Palatino Linotype" w:cs="Palatino Linotype"/>
          <w:i/>
          <w:iCs/>
        </w:rPr>
        <w:t>, que deberán contener, por los menos, lo siguiente:</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a) De licitaciones públicas o procedimientos de invitación restringida:</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w:t>
      </w:r>
      <w:r w:rsidRPr="00206872">
        <w:rPr>
          <w:rFonts w:ascii="Palatino Linotype" w:eastAsia="Palatino Linotype" w:hAnsi="Palatino Linotype" w:cs="Palatino Linotype"/>
          <w:i/>
          <w:iCs/>
        </w:rPr>
        <w:t xml:space="preserve"> La convocatoria o invitación emitida, así como los fundamentos legales aplicados para llevarla a cabo;</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2)</w:t>
      </w:r>
      <w:r w:rsidRPr="00206872">
        <w:rPr>
          <w:rFonts w:ascii="Palatino Linotype" w:eastAsia="Palatino Linotype" w:hAnsi="Palatino Linotype" w:cs="Palatino Linotype"/>
          <w:i/>
          <w:iCs/>
        </w:rPr>
        <w:t xml:space="preserve"> Los nombres de los participantes o invitados;</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3)</w:t>
      </w:r>
      <w:r w:rsidRPr="00206872">
        <w:rPr>
          <w:rFonts w:ascii="Palatino Linotype" w:eastAsia="Palatino Linotype" w:hAnsi="Palatino Linotype" w:cs="Palatino Linotype"/>
          <w:i/>
          <w:iCs/>
        </w:rPr>
        <w:t xml:space="preserve"> El nombre del ganador y las razones que lo justifican;</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4)</w:t>
      </w:r>
      <w:r w:rsidRPr="00206872">
        <w:rPr>
          <w:rFonts w:ascii="Palatino Linotype" w:eastAsia="Palatino Linotype" w:hAnsi="Palatino Linotype" w:cs="Palatino Linotype"/>
          <w:i/>
          <w:iCs/>
        </w:rPr>
        <w:t xml:space="preserve"> El área solicitante y la responsable de su ejecución;</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5)</w:t>
      </w:r>
      <w:r w:rsidRPr="00206872">
        <w:rPr>
          <w:rFonts w:ascii="Palatino Linotype" w:eastAsia="Palatino Linotype" w:hAnsi="Palatino Linotype" w:cs="Palatino Linotype"/>
          <w:i/>
          <w:iCs/>
        </w:rPr>
        <w:t xml:space="preserve"> Las convocatorias e invitaciones emitidas;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6)</w:t>
      </w:r>
      <w:r w:rsidRPr="00206872">
        <w:rPr>
          <w:rFonts w:ascii="Palatino Linotype" w:eastAsia="Palatino Linotype" w:hAnsi="Palatino Linotype" w:cs="Palatino Linotype"/>
          <w:i/>
          <w:iCs/>
        </w:rPr>
        <w:t xml:space="preserve"> Los dictámenes y fallo de adjudicación;</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7) El contrato y, en su caso, sus anexos;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8)</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Los mecanismos de vigilancia y supervisión,</w:t>
      </w:r>
      <w:r w:rsidRPr="00206872">
        <w:rPr>
          <w:rFonts w:ascii="Palatino Linotype" w:eastAsia="Palatino Linotype" w:hAnsi="Palatino Linotype" w:cs="Palatino Linotype"/>
          <w:i/>
          <w:iCs/>
        </w:rPr>
        <w:t xml:space="preserve"> incluyendo en su caso, los estudios de impacto urbano y ambiental, según corresponda;</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9)</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La partida presupuestal, </w:t>
      </w:r>
      <w:r w:rsidRPr="00206872">
        <w:rPr>
          <w:rFonts w:ascii="Palatino Linotype" w:eastAsia="Palatino Linotype" w:hAnsi="Palatino Linotype" w:cs="Palatino Linotype"/>
          <w:i/>
          <w:iCs/>
        </w:rPr>
        <w:t xml:space="preserve">de conformidad con el clasificador por objeto del gasto, en el caso de ser aplicable;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lastRenderedPageBreak/>
        <w:t>10)</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Origen de los recursos</w:t>
      </w:r>
      <w:r w:rsidRPr="00206872">
        <w:rPr>
          <w:rFonts w:ascii="Palatino Linotype" w:eastAsia="Palatino Linotype" w:hAnsi="Palatino Linotype" w:cs="Palatino Linotype"/>
          <w:i/>
          <w:iCs/>
        </w:rPr>
        <w:t xml:space="preserve"> especificando si son federales, estatales o municipales, así como el tipo de fondo de participación o aportación respectiva;</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11)</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Los convenios modificatorio</w:t>
      </w:r>
      <w:r w:rsidRPr="00206872">
        <w:rPr>
          <w:rFonts w:ascii="Palatino Linotype" w:eastAsia="Palatino Linotype" w:hAnsi="Palatino Linotype" w:cs="Palatino Linotype"/>
          <w:i/>
          <w:iCs/>
        </w:rPr>
        <w:t>s que, en su caso, sean firmados, precisando el objeto y la fecha de celebración;</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12)</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Los informes de avance físico y financiero sobre las obras o servicios contratados;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13)</w:t>
      </w:r>
      <w:r w:rsidRPr="00206872">
        <w:rPr>
          <w:rFonts w:ascii="Palatino Linotype" w:eastAsia="Palatino Linotype" w:hAnsi="Palatino Linotype" w:cs="Palatino Linotype"/>
          <w:i/>
          <w:iCs/>
        </w:rPr>
        <w:t xml:space="preserve"> El convenio de terminación;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14)</w:t>
      </w:r>
      <w:r w:rsidRPr="00206872">
        <w:rPr>
          <w:rFonts w:ascii="Palatino Linotype" w:eastAsia="Palatino Linotype" w:hAnsi="Palatino Linotype" w:cs="Palatino Linotype"/>
          <w:i/>
          <w:iCs/>
        </w:rPr>
        <w:t xml:space="preserve"> El finiquito.</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b) De las adjudicaciones directas: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w:t>
      </w:r>
      <w:r w:rsidRPr="00206872">
        <w:rPr>
          <w:rFonts w:ascii="Palatino Linotype" w:eastAsia="Palatino Linotype" w:hAnsi="Palatino Linotype" w:cs="Palatino Linotype"/>
          <w:i/>
          <w:iCs/>
        </w:rPr>
        <w:t xml:space="preserve"> La propuesta enviada por el participante;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2)</w:t>
      </w:r>
      <w:r w:rsidRPr="00206872">
        <w:rPr>
          <w:rFonts w:ascii="Palatino Linotype" w:eastAsia="Palatino Linotype" w:hAnsi="Palatino Linotype" w:cs="Palatino Linotype"/>
          <w:i/>
          <w:iCs/>
        </w:rPr>
        <w:t xml:space="preserve"> Los motivos y fundamentos legales aplicados para llevarla a cabo;</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3)</w:t>
      </w:r>
      <w:r w:rsidRPr="00206872">
        <w:rPr>
          <w:rFonts w:ascii="Palatino Linotype" w:eastAsia="Palatino Linotype" w:hAnsi="Palatino Linotype" w:cs="Palatino Linotype"/>
          <w:i/>
          <w:iCs/>
        </w:rPr>
        <w:t xml:space="preserve"> La autorización del ejercicio de la opción;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4) </w:t>
      </w:r>
      <w:r w:rsidRPr="00206872">
        <w:rPr>
          <w:rFonts w:ascii="Palatino Linotype" w:eastAsia="Palatino Linotype" w:hAnsi="Palatino Linotype" w:cs="Palatino Linotype"/>
          <w:i/>
          <w:iCs/>
        </w:rPr>
        <w:t>En su caso, las cotizaciones consideradas, especificando los nombres de los proveedores y sus montos;</w:t>
      </w:r>
      <w:r w:rsidRPr="00206872">
        <w:rPr>
          <w:rFonts w:ascii="Palatino Linotype" w:eastAsia="Palatino Linotype" w:hAnsi="Palatino Linotype" w:cs="Palatino Linotype"/>
          <w:b/>
          <w:bCs/>
          <w:i/>
          <w:iCs/>
        </w:rPr>
        <w:t xml:space="preserve">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5)</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El nombre de la persona física o jurídica colectiva adjudicada</w:t>
      </w:r>
      <w:r w:rsidRPr="00206872">
        <w:rPr>
          <w:rFonts w:ascii="Palatino Linotype" w:eastAsia="Palatino Linotype" w:hAnsi="Palatino Linotype" w:cs="Palatino Linotype"/>
          <w:i/>
          <w:iCs/>
        </w:rPr>
        <w:t xml:space="preserve">;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6)</w:t>
      </w:r>
      <w:r w:rsidRPr="00206872">
        <w:rPr>
          <w:rFonts w:ascii="Palatino Linotype" w:eastAsia="Palatino Linotype" w:hAnsi="Palatino Linotype" w:cs="Palatino Linotype"/>
          <w:i/>
          <w:iCs/>
        </w:rPr>
        <w:t xml:space="preserve"> La unidad administrativa solicitante y la responsable de su ejecución;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b/>
          <w:bCs/>
          <w:i/>
          <w:iCs/>
        </w:rPr>
      </w:pPr>
      <w:r w:rsidRPr="00206872">
        <w:rPr>
          <w:rFonts w:ascii="Palatino Linotype" w:eastAsia="Palatino Linotype" w:hAnsi="Palatino Linotype" w:cs="Palatino Linotype"/>
          <w:b/>
          <w:bCs/>
          <w:i/>
          <w:iCs/>
        </w:rPr>
        <w:t xml:space="preserve">7) El número, fecha, el monto del contrato y el plazo de entrega o de ejecución de los servicios u obra;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8) Los mecanismos de vigilancia y supervisión</w:t>
      </w:r>
      <w:r w:rsidRPr="00206872">
        <w:rPr>
          <w:rFonts w:ascii="Palatino Linotype" w:eastAsia="Palatino Linotype" w:hAnsi="Palatino Linotype" w:cs="Palatino Linotype"/>
          <w:i/>
          <w:iCs/>
        </w:rPr>
        <w:t xml:space="preserve">, incluyendo, en su caso, los estudios de impacto urbano y ambiental, según corresponda;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9)</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Los informes de avance sobre las obras o servicios contratados</w:t>
      </w:r>
      <w:r w:rsidRPr="00206872">
        <w:rPr>
          <w:rFonts w:ascii="Palatino Linotype" w:eastAsia="Palatino Linotype" w:hAnsi="Palatino Linotype" w:cs="Palatino Linotype"/>
          <w:i/>
          <w:iCs/>
        </w:rPr>
        <w:t xml:space="preserve">;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10)</w:t>
      </w:r>
      <w:r w:rsidRPr="00206872">
        <w:rPr>
          <w:rFonts w:ascii="Palatino Linotype" w:eastAsia="Palatino Linotype" w:hAnsi="Palatino Linotype" w:cs="Palatino Linotype"/>
          <w:i/>
          <w:iCs/>
        </w:rPr>
        <w:t xml:space="preserve"> El convenio de terminación; y </w:t>
      </w:r>
    </w:p>
    <w:p w:rsidR="00E3559E" w:rsidRPr="00206872" w:rsidRDefault="00E67E3A">
      <w:pPr>
        <w:tabs>
          <w:tab w:val="left" w:pos="426"/>
        </w:tabs>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11)</w:t>
      </w:r>
      <w:r w:rsidRPr="00206872">
        <w:rPr>
          <w:rFonts w:ascii="Palatino Linotype" w:eastAsia="Palatino Linotype" w:hAnsi="Palatino Linotype" w:cs="Palatino Linotype"/>
          <w:i/>
          <w:iCs/>
        </w:rPr>
        <w:t xml:space="preserve"> El finiquito;”</w:t>
      </w:r>
    </w:p>
    <w:p w:rsidR="00206872" w:rsidRDefault="00206872" w:rsidP="0020687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 lo expuesto, se advierte que, los Sujetos Obligados deberán poner a disposición del público la información relativa a procesos y resultados sobre procedimientos de adjudicación </w:t>
      </w:r>
      <w:r w:rsidRPr="00206872">
        <w:rPr>
          <w:rFonts w:ascii="Palatino Linotype" w:eastAsia="Palatino Linotype" w:hAnsi="Palatino Linotype" w:cs="Palatino Linotype"/>
          <w:color w:val="000000"/>
        </w:rPr>
        <w:lastRenderedPageBreak/>
        <w:t>directa, invitación restringida y licitación de cualquier naturaleza, donde se incluya, en versión pública, el expediente respectivo y los contratos celebrados que, para el caso en particular, los expedientes deberán contener:</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Licitación pública: </w:t>
      </w:r>
      <w:r w:rsidRPr="00206872">
        <w:rPr>
          <w:rFonts w:ascii="Palatino Linotype" w:eastAsia="Palatino Linotype" w:hAnsi="Palatino Linotype" w:cs="Palatino Linotype"/>
          <w:i/>
          <w:iCs/>
        </w:rPr>
        <w:t>convocatoria y fundamentos legales aplicables para llevarla a cabo, nombre de los participantes, nombre del ganador y razones, área solicitante y responsable de su ejecución, convocatorias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Invitación restringida: </w:t>
      </w:r>
      <w:r w:rsidRPr="00206872">
        <w:rPr>
          <w:rFonts w:ascii="Palatino Linotype" w:eastAsia="Palatino Linotype" w:hAnsi="Palatino Linotype" w:cs="Palatino Linotype"/>
          <w:i/>
          <w:iCs/>
        </w:rPr>
        <w:t>invitación emitida y fundamentos legales aplicables para llevarla a cabo, nombre de los o invitados, nombre del ganador y razones, área solicitante y responsable de su ejecución, invitaciones emitidas, dictámenes y fallo de adjudicación, contrato y anexos, mecanismos de vigilancia y supervisión, de ser el caso, con los estudios de impacto urbano y ambiental, partida presupuestal de conformidad con el clasificador por objeto del gasto, origen de los recursos especificando si son federales, estatales o municipales, tipo de fondo de participación o aportación respectiva, convenios modificatorios, informes de avances, convenio de terminación y finiquito.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Adjudicaciones directas: </w:t>
      </w:r>
      <w:r w:rsidRPr="00206872">
        <w:rPr>
          <w:rFonts w:ascii="Palatino Linotype" w:eastAsia="Palatino Linotype" w:hAnsi="Palatino Linotype" w:cs="Palatino Linotype"/>
          <w:i/>
          <w:iCs/>
        </w:rPr>
        <w:t xml:space="preserve">Propuestas enviadas por el participante, motivos y fundamentos legales, autorización del ejercicio de la opción, cotizaciones consideradas, nombre de persona física o jurídica adjudicada, número, fecha, monto del contrato, plazo de entrega o ejecución, mecanismos de vigilancia y supervisión, informes de avance sobre las obras o servicios, convenio de terminación y finiquito. </w:t>
      </w: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Por consiguiente y de acuerdo a los Lineamientos Técnicos Generales para la publicación, homologación y estandarización de la información de las obligaciones </w:t>
      </w:r>
      <w:r w:rsidRPr="00206872">
        <w:rPr>
          <w:rFonts w:ascii="Palatino Linotype" w:eastAsia="Palatino Linotype" w:hAnsi="Palatino Linotype" w:cs="Palatino Linotype"/>
          <w:color w:val="000000"/>
        </w:rPr>
        <w:lastRenderedPageBreak/>
        <w:t xml:space="preserve">establecidas en el título quinto y en la fracción IV del artículo 31 de la Ley General de Transparencia y Acceso a la Información Pública, que deben de difundir los sujetos obligados en los portales de Internet y en la Plataforma Nacional de Transparencia, para el cumplimiento de la obligación de transparencia señalada en el artículo 70  fracción XXVIII de la Ley General de Transparencia y Acceso a la Información Pública, vigentes a la fecha de la solicitud, los sujetos obligados deben publicar información sobre los actos, </w:t>
      </w:r>
      <w:r w:rsidRPr="00206872">
        <w:rPr>
          <w:rFonts w:ascii="Palatino Linotype" w:eastAsia="Palatino Linotype" w:hAnsi="Palatino Linotype" w:cs="Palatino Linotype"/>
          <w:i/>
          <w:iCs/>
          <w:color w:val="000000"/>
        </w:rPr>
        <w:t xml:space="preserve">contratos y convenios celebrados, misma que debe presentarse en una base de datos en la que cada registro se hará por tipo de procedimiento, ya sea licitación pública, invitación restringida o adjudicación directa, </w:t>
      </w:r>
      <w:r w:rsidRPr="00206872">
        <w:rPr>
          <w:rFonts w:ascii="Palatino Linotype" w:eastAsia="Palatino Linotype" w:hAnsi="Palatino Linotype" w:cs="Palatino Linotype"/>
          <w:color w:val="000000"/>
        </w:rPr>
        <w:t>especificando para cada tipo de procedimiento la materia, pudiendo ser obra pública, servicios relacionados con obra pública, arrendamiento, adquisiciones, o servicios, así como el carácter de cada uno, es decir, nacional o internacional, además se debe elaborar versión pública los documentos fuente que deban ser publicados en este apartado, tales como contratos, convenios, actas, dictámenes, fallos, convenios modificatorios, informes, entre otros, incluyendo sus anexos correspondientes, información que debe ser actualizada de manera trimestral, y conservarse la generada en el ejercicio en curso y la correspondiente a dos ejercicios anteriores.</w:t>
      </w:r>
    </w:p>
    <w:p w:rsidR="00E3559E" w:rsidRPr="00206872" w:rsidRDefault="00E67E3A" w:rsidP="00206872">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Es por lo expuesto que éste Órgano Garante considera que ha quedado acreditada la competencia del </w:t>
      </w:r>
      <w:r w:rsidRPr="00206872">
        <w:rPr>
          <w:rFonts w:ascii="Palatino Linotype" w:eastAsia="Palatino Linotype" w:hAnsi="Palatino Linotype" w:cs="Palatino Linotype"/>
          <w:b/>
          <w:bCs/>
          <w:color w:val="000000"/>
        </w:rPr>
        <w:t>Sujeto Obligado</w:t>
      </w:r>
      <w:r w:rsidRPr="00206872">
        <w:rPr>
          <w:rFonts w:ascii="Palatino Linotype" w:eastAsia="Palatino Linotype" w:hAnsi="Palatino Linotype" w:cs="Palatino Linotype"/>
          <w:color w:val="000000"/>
        </w:rPr>
        <w:t xml:space="preserve"> para conocer la información que es del interés de la persona solicitante.</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Asimismo, es importante mencionar que de la consulta realizada por este Organismo Garante en diversas fuentes de información, se localizaron diversos indicios relacionados con </w:t>
      </w:r>
      <w:r w:rsidRPr="00206872">
        <w:rPr>
          <w:rFonts w:ascii="Palatino Linotype" w:eastAsia="Palatino Linotype" w:hAnsi="Palatino Linotype" w:cs="Palatino Linotype"/>
          <w:color w:val="000000"/>
        </w:rPr>
        <w:lastRenderedPageBreak/>
        <w:t xml:space="preserve">la construcción de un puente vehicular de conexión a la Autopista México-Querétaro, como se desprende del </w:t>
      </w:r>
      <w:r w:rsidRPr="00206872">
        <w:rPr>
          <w:rFonts w:ascii="Palatino Linotype" w:eastAsia="Palatino Linotype" w:hAnsi="Palatino Linotype" w:cs="Palatino Linotype"/>
          <w:b/>
          <w:bCs/>
          <w:color w:val="000000"/>
          <w:u w:val="single"/>
        </w:rPr>
        <w:t>Plan de Desarrollo Municipal de Tepotzotlán 2022-2024</w:t>
      </w:r>
      <w:r w:rsidRPr="00206872">
        <w:rPr>
          <w:rFonts w:ascii="Palatino Linotype" w:eastAsia="Palatino Linotype" w:hAnsi="Palatino Linotype" w:cs="Palatino Linotype"/>
          <w:color w:val="000000"/>
        </w:rPr>
        <w:t>:</w:t>
      </w: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5612130" cy="1198880"/>
            <wp:effectExtent l="0" t="0" r="0" b="0"/>
            <wp:docPr id="939555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5612130" cy="1198880"/>
                    </a:xfrm>
                    <a:prstGeom prst="rect">
                      <a:avLst/>
                    </a:prstGeom>
                    <a:ln/>
                  </pic:spPr>
                </pic:pic>
              </a:graphicData>
            </a:graphic>
          </wp:inline>
        </w:drawing>
      </w:r>
    </w:p>
    <w:p w:rsidR="00E3559E" w:rsidRPr="00206872" w:rsidRDefault="00E67E3A">
      <w:pPr>
        <w:spacing w:before="240" w:after="24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noProof/>
        </w:rPr>
        <w:drawing>
          <wp:inline distT="0" distB="0" distL="0" distR="0">
            <wp:extent cx="5612130" cy="1085850"/>
            <wp:effectExtent l="0" t="0" r="0" b="0"/>
            <wp:docPr id="939555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612130" cy="1085850"/>
                    </a:xfrm>
                    <a:prstGeom prst="rect">
                      <a:avLst/>
                    </a:prstGeom>
                    <a:ln/>
                  </pic:spPr>
                </pic:pic>
              </a:graphicData>
            </a:graphic>
          </wp:inline>
        </w:drawing>
      </w:r>
    </w:p>
    <w:p w:rsidR="00E3559E" w:rsidRPr="00206872" w:rsidRDefault="00E67E3A">
      <w:pPr>
        <w:spacing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t xml:space="preserve">Así también, se localizó una nota periodística publicada en la dirección electrónica </w:t>
      </w:r>
      <w:hyperlink r:id="rId26">
        <w:r w:rsidRPr="00206872">
          <w:rPr>
            <w:rFonts w:ascii="Palatino Linotype" w:eastAsia="Palatino Linotype" w:hAnsi="Palatino Linotype" w:cs="Palatino Linotype"/>
            <w:color w:val="0563C1"/>
            <w:u w:val="single"/>
          </w:rPr>
          <w:t>https://www.infobae.com/mexico/2025/06/19/puente-de-mas-de-400-millones-de-pesos-en-la-autopista-mexico-queretaro-no-cuenta-con-permisos-de-la-sict/</w:t>
        </w:r>
      </w:hyperlink>
      <w:r w:rsidRPr="00206872">
        <w:rPr>
          <w:rFonts w:ascii="Palatino Linotype" w:eastAsia="Palatino Linotype" w:hAnsi="Palatino Linotype" w:cs="Palatino Linotype"/>
          <w:color w:val="000000"/>
          <w:u w:val="single"/>
        </w:rPr>
        <w:t xml:space="preserve"> </w:t>
      </w:r>
      <w:r w:rsidRPr="00206872">
        <w:rPr>
          <w:rFonts w:ascii="Palatino Linotype" w:eastAsia="Palatino Linotype" w:hAnsi="Palatino Linotype" w:cs="Palatino Linotype"/>
          <w:u w:val="single"/>
          <w:vertAlign w:val="superscript"/>
        </w:rPr>
        <w:footnoteReference w:id="5"/>
      </w:r>
      <w:r w:rsidRPr="00206872">
        <w:rPr>
          <w:rFonts w:ascii="Palatino Linotype" w:eastAsia="Palatino Linotype" w:hAnsi="Palatino Linotype" w:cs="Palatino Linotype"/>
        </w:rPr>
        <w:t xml:space="preserve"> donde se refiere a la obra en estudio como se aprecia de la captura de pantalla de la misma:</w:t>
      </w:r>
    </w:p>
    <w:p w:rsidR="00E3559E" w:rsidRDefault="00E67E3A">
      <w:pPr>
        <w:spacing w:before="240" w:after="240" w:line="360" w:lineRule="auto"/>
        <w:jc w:val="center"/>
      </w:pPr>
      <w:r w:rsidRPr="00206872">
        <w:rPr>
          <w:noProof/>
        </w:rPr>
        <w:lastRenderedPageBreak/>
        <w:drawing>
          <wp:inline distT="0" distB="0" distL="0" distR="0">
            <wp:extent cx="4364466" cy="5596158"/>
            <wp:effectExtent l="0" t="0" r="0" b="0"/>
            <wp:docPr id="939555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4364466" cy="5596158"/>
                    </a:xfrm>
                    <a:prstGeom prst="rect">
                      <a:avLst/>
                    </a:prstGeom>
                    <a:ln/>
                  </pic:spPr>
                </pic:pic>
              </a:graphicData>
            </a:graphic>
          </wp:inline>
        </w:drawing>
      </w:r>
    </w:p>
    <w:p w:rsidR="00206872" w:rsidRPr="00206872" w:rsidRDefault="00206872">
      <w:pPr>
        <w:spacing w:before="240" w:after="240" w:line="360" w:lineRule="auto"/>
        <w:jc w:val="center"/>
      </w:pPr>
    </w:p>
    <w:p w:rsidR="00E3559E" w:rsidRPr="00206872" w:rsidRDefault="00E67E3A" w:rsidP="00206872">
      <w:pPr>
        <w:numPr>
          <w:ilvl w:val="0"/>
          <w:numId w:val="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De lo anterior es aplicable lo siguiente:</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HECHOS NOTORIOS. CONCEPTOS GENERAL Y JURÍDICO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lastRenderedPageBreak/>
        <w:t>Conforme al artículo 88 del Código Federal de Procedimientos Civiles los tribunales pueden invocar hechos notorios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Controversia constitucional 24/2005. Cámara de Diputados del Congreso de la Unión. 9 de marzo de 2006. Once votos. Ponente: José Ramón Cossío Díaz. Secretarios: Raúl Manuel Mejía Garza y Laura Patricia Rojas Zamudio.</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El Tribunal Pleno, el dieciséis de mayo en curso, aprobó, con el número 74/2006, la tesis jurisprudencial que antecede. México, Distrito Federal, a dieciséis de mayo de dos mil seis.</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Nota: Esta tesis fue objeto de la denuncia relativa a la contradicción de tesis 91/2014, desechada por notoriamente improcedente, mediante acuerdo de 24 de marzo de 2014.”</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PÁGINAS WEB O ELECTRÓNICAS. SU CONTENIDO ES UN HECHO NOTORIO Y SUSCEPTIBLE DE SER VALORADO EN UNA DECISIÓN JUDICIAL</w:t>
      </w:r>
      <w:r w:rsidRPr="00206872">
        <w:rPr>
          <w:rFonts w:ascii="Palatino Linotype" w:eastAsia="Palatino Linotype" w:hAnsi="Palatino Linotype" w:cs="Palatino Linotype"/>
          <w:i/>
          <w:iCs/>
        </w:rPr>
        <w:t xml:space="preserve">. 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w:t>
      </w:r>
      <w:r w:rsidRPr="00206872">
        <w:rPr>
          <w:rFonts w:ascii="Palatino Linotype" w:eastAsia="Palatino Linotype" w:hAnsi="Palatino Linotype" w:cs="Palatino Linotype"/>
          <w:i/>
          <w:iCs/>
        </w:rPr>
        <w:lastRenderedPageBreak/>
        <w:t xml:space="preserve">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rsidR="00E3559E" w:rsidRPr="00206872" w:rsidRDefault="00E67E3A">
      <w:pPr>
        <w:spacing w:before="240" w:after="24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TERCER TRIBUNAL COLEGIADO EN MATERIA CIVIL DEL PRIMER CIRCUITO. Amparo en revisión 365/2012. Mardygras, S.A. de C.V. 7 de diciembre de 2012. Unanimidad de votos. Ponente: Neófito López Ramos. Secretaria: Ana Lilia Osorno Arroyo.</w:t>
      </w:r>
    </w:p>
    <w:p w:rsidR="00E3559E" w:rsidRPr="00206872" w:rsidRDefault="00E3559E">
      <w:pPr>
        <w:spacing w:before="240" w:after="240"/>
        <w:ind w:left="1134" w:right="1134"/>
        <w:jc w:val="both"/>
        <w:rPr>
          <w:rFonts w:ascii="Palatino Linotype" w:eastAsia="Palatino Linotype" w:hAnsi="Palatino Linotype" w:cs="Palatino Linotype"/>
          <w:i/>
          <w:iCs/>
        </w:rPr>
      </w:pPr>
    </w:p>
    <w:p w:rsidR="00E3559E" w:rsidRPr="00206872" w:rsidRDefault="00E67E3A" w:rsidP="00206872">
      <w:pPr>
        <w:pStyle w:val="Prrafodelista"/>
        <w:numPr>
          <w:ilvl w:val="0"/>
          <w:numId w:val="2"/>
        </w:numPr>
        <w:pBdr>
          <w:top w:val="nil"/>
          <w:left w:val="nil"/>
          <w:bottom w:val="nil"/>
          <w:right w:val="nil"/>
          <w:between w:val="nil"/>
        </w:pBdr>
        <w:spacing w:line="360" w:lineRule="auto"/>
        <w:ind w:left="0" w:right="27"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Finalmente respecto del punto once relativo al interés del particular de conocer en un caso fortuito derivado del resultado de alguna auditoría a la obra en cita que regidores asumirían responsabilidad, se razona que por tratarse de un acto que pudiera o no ocurrir y que del estudio de las atribuciones de los regidores se advierte que no poseen la facultad de auto inculparse y más aún que la facultad  de determinar la probable responsabilidad por actos u omisiones dentro del ejercicio de sus funciones recae en autoridad diversa, por lo que se constituye respecto al primer razonamiento actos futuros.</w:t>
      </w:r>
    </w:p>
    <w:p w:rsidR="00E3559E" w:rsidRPr="00206872" w:rsidRDefault="00E67E3A" w:rsidP="00206872">
      <w:pPr>
        <w:numPr>
          <w:ilvl w:val="0"/>
          <w:numId w:val="2"/>
        </w:numPr>
        <w:pBdr>
          <w:top w:val="nil"/>
          <w:left w:val="nil"/>
          <w:bottom w:val="nil"/>
          <w:right w:val="nil"/>
          <w:between w:val="nil"/>
        </w:pBdr>
        <w:spacing w:before="240" w:line="360" w:lineRule="auto"/>
        <w:ind w:left="0" w:right="27"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Bajo este contexto, se destaca que el derecho de acceso a la información estriba respecto de aquellos soportes documentales generados, poseídos o administrados por </w:t>
      </w:r>
      <w:r w:rsidRPr="00206872">
        <w:rPr>
          <w:rFonts w:ascii="Palatino Linotype" w:eastAsia="Palatino Linotype" w:hAnsi="Palatino Linotype" w:cs="Palatino Linotype"/>
          <w:b/>
          <w:bCs/>
          <w:color w:val="000000"/>
        </w:rPr>
        <w:t xml:space="preserve">El </w:t>
      </w:r>
      <w:r w:rsidRPr="00206872">
        <w:rPr>
          <w:rFonts w:ascii="Palatino Linotype" w:eastAsia="Palatino Linotype" w:hAnsi="Palatino Linotype" w:cs="Palatino Linotype"/>
          <w:b/>
          <w:bCs/>
          <w:color w:val="000000"/>
        </w:rPr>
        <w:lastRenderedPageBreak/>
        <w:t xml:space="preserve">Sujeto Obligado </w:t>
      </w:r>
      <w:r w:rsidRPr="00206872">
        <w:rPr>
          <w:rFonts w:ascii="Palatino Linotype" w:eastAsia="Palatino Linotype" w:hAnsi="Palatino Linotype" w:cs="Palatino Linotype"/>
          <w:color w:val="000000"/>
        </w:rPr>
        <w:t>que se encuentren disponibles al momento de ejercer dicha prerrogativa, es decir, excluye los siguientes actos:</w:t>
      </w:r>
    </w:p>
    <w:p w:rsidR="00E3559E" w:rsidRPr="00206872" w:rsidRDefault="00E67E3A">
      <w:pPr>
        <w:spacing w:before="240" w:line="360" w:lineRule="auto"/>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Actos futuros inminentes: </w:t>
      </w:r>
      <w:r w:rsidRPr="00206872">
        <w:rPr>
          <w:rFonts w:ascii="Palatino Linotype" w:eastAsia="Palatino Linotype" w:hAnsi="Palatino Linotype" w:cs="Palatino Linotype"/>
          <w:i/>
          <w:iCs/>
        </w:rPr>
        <w:t xml:space="preserve">Son aquellos cuyo mandamiento ya se ha dictado y su ejecución puede realizarse de un momento a otro. </w:t>
      </w:r>
    </w:p>
    <w:p w:rsidR="00E3559E" w:rsidRPr="00206872" w:rsidRDefault="00E67E3A">
      <w:pPr>
        <w:spacing w:before="240" w:line="360" w:lineRule="auto"/>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Actos futuros probables: </w:t>
      </w:r>
      <w:r w:rsidRPr="00206872">
        <w:rPr>
          <w:rFonts w:ascii="Palatino Linotype" w:eastAsia="Palatino Linotype" w:hAnsi="Palatino Linotype" w:cs="Palatino Linotype"/>
          <w:i/>
          <w:iCs/>
        </w:rPr>
        <w:t xml:space="preserve">Son aquellos que pueden o no suceder, es decir, son de remota realización. </w:t>
      </w: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rPr>
      </w:pPr>
    </w:p>
    <w:p w:rsidR="00E3559E" w:rsidRPr="00206872" w:rsidRDefault="00206872">
      <w:pPr>
        <w:pBdr>
          <w:top w:val="nil"/>
          <w:left w:val="nil"/>
          <w:bottom w:val="nil"/>
          <w:right w:val="nil"/>
          <w:between w:val="nil"/>
        </w:pBdr>
        <w:spacing w:line="360" w:lineRule="auto"/>
        <w:jc w:val="both"/>
        <w:rPr>
          <w:rFonts w:ascii="Palatino Linotype" w:eastAsia="Palatino Linotype" w:hAnsi="Palatino Linotype" w:cs="Palatino Linotype"/>
          <w:i/>
          <w:iCs/>
        </w:rPr>
      </w:pPr>
      <w:r w:rsidRPr="00206872">
        <w:rPr>
          <w:rFonts w:ascii="Palatino Linotype" w:eastAsia="Palatino Linotype" w:hAnsi="Palatino Linotype" w:cs="Palatino Linotype"/>
          <w:b/>
        </w:rPr>
        <w:t>67</w:t>
      </w:r>
      <w:r>
        <w:rPr>
          <w:rFonts w:ascii="Palatino Linotype" w:eastAsia="Palatino Linotype" w:hAnsi="Palatino Linotype" w:cs="Palatino Linotype"/>
        </w:rPr>
        <w:t xml:space="preserve">. </w:t>
      </w:r>
      <w:r w:rsidR="00E67E3A" w:rsidRPr="00206872">
        <w:rPr>
          <w:rFonts w:ascii="Palatino Linotype" w:eastAsia="Palatino Linotype" w:hAnsi="Palatino Linotype" w:cs="Palatino Linotype"/>
        </w:rPr>
        <w:t xml:space="preserve">Por lo expuesto, se tiene que los motivos de inconformidad hechos valer por el </w:t>
      </w:r>
      <w:r w:rsidR="00E67E3A" w:rsidRPr="00206872">
        <w:rPr>
          <w:rFonts w:ascii="Palatino Linotype" w:eastAsia="Palatino Linotype" w:hAnsi="Palatino Linotype" w:cs="Palatino Linotype"/>
          <w:b/>
          <w:bCs/>
        </w:rPr>
        <w:t xml:space="preserve">Recurrente </w:t>
      </w:r>
      <w:r w:rsidR="00E67E3A" w:rsidRPr="00206872">
        <w:rPr>
          <w:rFonts w:ascii="Palatino Linotype" w:eastAsia="Palatino Linotype" w:hAnsi="Palatino Linotype" w:cs="Palatino Linotype"/>
        </w:rPr>
        <w:t xml:space="preserve">devienen fundados, resultando procedente REVOCAR la respuesta proporcionada por el </w:t>
      </w:r>
      <w:r w:rsidR="00E67E3A" w:rsidRPr="00206872">
        <w:rPr>
          <w:rFonts w:ascii="Palatino Linotype" w:eastAsia="Palatino Linotype" w:hAnsi="Palatino Linotype" w:cs="Palatino Linotype"/>
          <w:b/>
          <w:bCs/>
        </w:rPr>
        <w:t xml:space="preserve">Sujeto Obligado </w:t>
      </w:r>
      <w:r w:rsidR="00E67E3A" w:rsidRPr="00206872">
        <w:rPr>
          <w:rFonts w:ascii="Palatino Linotype" w:eastAsia="Palatino Linotype" w:hAnsi="Palatino Linotype" w:cs="Palatino Linotype"/>
        </w:rPr>
        <w:t xml:space="preserve"> y ORDENAR la entrega de los documentos que den cuenta respecto de la obra denominada </w:t>
      </w:r>
      <w:r w:rsidR="00E67E3A" w:rsidRPr="00206872">
        <w:rPr>
          <w:rFonts w:ascii="Palatino Linotype" w:eastAsia="Palatino Linotype" w:hAnsi="Palatino Linotype" w:cs="Palatino Linotype"/>
          <w:i/>
          <w:iCs/>
        </w:rPr>
        <w:t>Puente de Conexión a la Autopista México – Querétaro (codo libramiento norte)</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rPr>
        <w:t xml:space="preserve">1. </w:t>
      </w:r>
      <w:r w:rsidRPr="00206872">
        <w:rPr>
          <w:rFonts w:ascii="Palatino Linotype" w:eastAsia="Palatino Linotype" w:hAnsi="Palatino Linotype" w:cs="Palatino Linotype"/>
          <w:i/>
          <w:iCs/>
          <w:color w:val="000000"/>
        </w:rPr>
        <w:t>Monto original aprobado por el Cabildo para la ejecución de dicha obra</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 2. Cuántas ampliaciones presupuestales han aprobado ustedes para este proyecto y su justificación técnica o administrativa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3. Medidas de fiscalización y supervisión ha realizado el Cabildo para evitar sobrecostos y retrasos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4. Nombre de la empresa contratada para la ejecución de la obra</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5. Historial de obras realizadas por  la empresa contratada en otras obras en el municipio de la empresa contratada en obras en el municipio</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6. Sanciones contractuales previstas en caso de incumplimiento en plazos o mala calidad de la obra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7. Porcentaje de avance físico y financiero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8. Causas de los retrasos operativos que impiden la entrega del puente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9. Documentos que acrediten la  supervisión externa que hayan sido solicitados o gestionados por los regidores </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10. Fecha de  término y entrega de la obra</w:t>
      </w:r>
    </w:p>
    <w:p w:rsidR="00E3559E" w:rsidRPr="00206872" w:rsidRDefault="00E67E3A">
      <w:pPr>
        <w:pBdr>
          <w:top w:val="nil"/>
          <w:left w:val="nil"/>
          <w:bottom w:val="nil"/>
          <w:right w:val="nil"/>
          <w:between w:val="nil"/>
        </w:pBdr>
        <w:ind w:left="1134" w:right="1134"/>
        <w:jc w:val="both"/>
        <w:rPr>
          <w:rFonts w:ascii="Palatino Linotype" w:eastAsia="Palatino Linotype" w:hAnsi="Palatino Linotype" w:cs="Palatino Linotype"/>
        </w:rPr>
      </w:pPr>
      <w:r w:rsidRPr="00206872">
        <w:rPr>
          <w:rFonts w:ascii="Palatino Linotype" w:eastAsia="Palatino Linotype" w:hAnsi="Palatino Linotype" w:cs="Palatino Linotype"/>
          <w:i/>
          <w:iCs/>
          <w:color w:val="000000"/>
        </w:rPr>
        <w:lastRenderedPageBreak/>
        <w:t>11. En caso de detectarse irregularidades, ¿qué regidores asumirían la responsabilidad de haber autorizado incrementos presupuestales sin resultados?</w:t>
      </w:r>
    </w:p>
    <w:p w:rsidR="00E3559E" w:rsidRPr="00206872" w:rsidRDefault="00E3559E">
      <w:pPr>
        <w:pBdr>
          <w:top w:val="nil"/>
          <w:left w:val="nil"/>
          <w:bottom w:val="nil"/>
          <w:right w:val="nil"/>
          <w:between w:val="nil"/>
        </w:pBdr>
        <w:ind w:left="1134" w:right="1134"/>
        <w:jc w:val="both"/>
        <w:rPr>
          <w:rFonts w:ascii="Palatino Linotype" w:eastAsia="Palatino Linotype" w:hAnsi="Palatino Linotype" w:cs="Palatino Linotype"/>
          <w:i/>
          <w:iCs/>
        </w:rPr>
      </w:pPr>
    </w:p>
    <w:p w:rsidR="00E3559E" w:rsidRPr="00206872" w:rsidRDefault="00E3559E">
      <w:pPr>
        <w:pBdr>
          <w:top w:val="nil"/>
          <w:left w:val="nil"/>
          <w:bottom w:val="nil"/>
          <w:right w:val="nil"/>
          <w:between w:val="nil"/>
        </w:pBdr>
        <w:spacing w:line="360" w:lineRule="auto"/>
        <w:jc w:val="both"/>
        <w:rPr>
          <w:rFonts w:ascii="Palatino Linotype" w:eastAsia="Palatino Linotype" w:hAnsi="Palatino Linotype" w:cs="Palatino Linotype"/>
          <w:i/>
          <w:iCs/>
        </w:rPr>
      </w:pPr>
    </w:p>
    <w:p w:rsidR="00E3559E" w:rsidRPr="00206872" w:rsidRDefault="00E67E3A">
      <w:pPr>
        <w:keepNext/>
        <w:keepLines/>
        <w:spacing w:after="160" w:line="360" w:lineRule="auto"/>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QUINTO. De la versión pública.</w:t>
      </w:r>
    </w:p>
    <w:p w:rsidR="00E3559E" w:rsidRPr="00206872" w:rsidRDefault="00E67E3A">
      <w:pPr>
        <w:keepNext/>
        <w:keepLines/>
        <w:numPr>
          <w:ilvl w:val="0"/>
          <w:numId w:val="9"/>
        </w:numPr>
        <w:tabs>
          <w:tab w:val="left" w:pos="284"/>
        </w:tabs>
        <w:spacing w:after="160" w:line="360" w:lineRule="auto"/>
        <w:ind w:left="0" w:firstLine="0"/>
        <w:rPr>
          <w:rFonts w:ascii="Palatino Linotype" w:eastAsia="Palatino Linotype" w:hAnsi="Palatino Linotype" w:cs="Palatino Linotype"/>
          <w:b/>
          <w:bCs/>
          <w:color w:val="000000"/>
        </w:rPr>
      </w:pPr>
      <w:r w:rsidRPr="00206872">
        <w:rPr>
          <w:rFonts w:ascii="Palatino Linotype" w:eastAsia="Palatino Linotype" w:hAnsi="Palatino Linotype" w:cs="Palatino Linotype"/>
          <w:b/>
          <w:bCs/>
          <w:color w:val="000000"/>
        </w:rPr>
        <w:t xml:space="preserve">Nociones generales. </w:t>
      </w:r>
    </w:p>
    <w:p w:rsidR="00E3559E" w:rsidRPr="00206872" w:rsidRDefault="00E67E3A" w:rsidP="00206872">
      <w:pPr>
        <w:pStyle w:val="Prrafodelista"/>
        <w:numPr>
          <w:ilvl w:val="0"/>
          <w:numId w:val="12"/>
        </w:numP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Debe destacarse, que debido a la información solicitada por el </w:t>
      </w:r>
      <w:r w:rsidRPr="00206872">
        <w:rPr>
          <w:rFonts w:ascii="Palatino Linotype" w:eastAsia="Palatino Linotype" w:hAnsi="Palatino Linotype" w:cs="Palatino Linotype"/>
          <w:b/>
          <w:bCs/>
          <w:color w:val="000000"/>
        </w:rPr>
        <w:t xml:space="preserve">RECURRENTE, pueden obrar </w:t>
      </w:r>
      <w:r w:rsidRPr="00206872">
        <w:rPr>
          <w:rFonts w:ascii="Palatino Linotype" w:eastAsia="Palatino Linotype" w:hAnsi="Palatino Linotype" w:cs="Palatino Linotype"/>
          <w:color w:val="000000"/>
        </w:rPr>
        <w:t xml:space="preserve">datos personales susceptibles de protegerse, así como información susceptible de clasificarse como confidenciales,  por lo que el </w:t>
      </w:r>
      <w:r w:rsidRPr="00206872">
        <w:rPr>
          <w:rFonts w:ascii="Palatino Linotype" w:eastAsia="Palatino Linotype" w:hAnsi="Palatino Linotype" w:cs="Palatino Linotype"/>
          <w:b/>
          <w:bCs/>
          <w:color w:val="000000"/>
        </w:rPr>
        <w:t xml:space="preserve">SUJETO OBLIGADO </w:t>
      </w:r>
      <w:r w:rsidRPr="00206872">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E3559E" w:rsidRPr="00206872" w:rsidRDefault="00E3559E">
      <w:pPr>
        <w:tabs>
          <w:tab w:val="left" w:pos="0"/>
          <w:tab w:val="left" w:pos="284"/>
        </w:tabs>
        <w:spacing w:line="360" w:lineRule="auto"/>
        <w:jc w:val="both"/>
        <w:rPr>
          <w:rFonts w:ascii="Palatino Linotype" w:eastAsia="Palatino Linotype" w:hAnsi="Palatino Linotype" w:cs="Palatino Linotype"/>
          <w:highlight w:val="yellow"/>
        </w:rPr>
      </w:pPr>
    </w:p>
    <w:p w:rsidR="00E3559E" w:rsidRPr="00206872" w:rsidRDefault="00E67E3A" w:rsidP="00206872">
      <w:pPr>
        <w:pStyle w:val="Prrafodelista"/>
        <w:numPr>
          <w:ilvl w:val="0"/>
          <w:numId w:val="12"/>
        </w:numP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No pasa desapercibido para este Órgano Garante que los sujetos obligados</w:t>
      </w:r>
      <w:r w:rsidRPr="00206872">
        <w:rPr>
          <w:rFonts w:ascii="Palatino Linotype" w:eastAsia="Palatino Linotype" w:hAnsi="Palatino Linotype" w:cs="Palatino Linotype"/>
          <w:b/>
          <w:bCs/>
          <w:color w:val="000000"/>
        </w:rPr>
        <w:t xml:space="preserve"> </w:t>
      </w:r>
      <w:r w:rsidRPr="00206872">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E3559E" w:rsidRPr="00206872" w:rsidRDefault="00E3559E">
      <w:pPr>
        <w:tabs>
          <w:tab w:val="left" w:pos="284"/>
        </w:tabs>
        <w:spacing w:after="160" w:line="360" w:lineRule="auto"/>
        <w:jc w:val="both"/>
        <w:rPr>
          <w:rFonts w:ascii="Palatino Linotype" w:eastAsia="Palatino Linotype" w:hAnsi="Palatino Linotype" w:cs="Palatino Linotype"/>
          <w:color w:val="000000"/>
        </w:rPr>
      </w:pPr>
    </w:p>
    <w:tbl>
      <w:tblPr>
        <w:tblStyle w:val="a"/>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087"/>
      </w:tblGrid>
      <w:tr w:rsidR="00E3559E" w:rsidRPr="00206872" w:rsidTr="00206872">
        <w:tc>
          <w:tcPr>
            <w:tcW w:w="2689" w:type="dxa"/>
          </w:tcPr>
          <w:p w:rsidR="00E3559E" w:rsidRPr="00206872" w:rsidRDefault="00E67E3A">
            <w:pPr>
              <w:tabs>
                <w:tab w:val="left" w:pos="284"/>
              </w:tabs>
              <w:spacing w:line="360" w:lineRule="auto"/>
              <w:rPr>
                <w:rFonts w:ascii="Palatino Linotype" w:eastAsia="Palatino Linotype" w:hAnsi="Palatino Linotype" w:cs="Palatino Linotype"/>
                <w:b/>
                <w:bCs/>
              </w:rPr>
            </w:pPr>
            <w:r w:rsidRPr="00206872">
              <w:rPr>
                <w:rFonts w:ascii="Palatino Linotype" w:eastAsia="Palatino Linotype" w:hAnsi="Palatino Linotype" w:cs="Palatino Linotype"/>
                <w:b/>
                <w:bCs/>
              </w:rPr>
              <w:t>a) Requisitos previos.</w:t>
            </w:r>
          </w:p>
        </w:tc>
        <w:tc>
          <w:tcPr>
            <w:tcW w:w="7087" w:type="dxa"/>
          </w:tcPr>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Los artículos 100 y 122 de la Ley Estatal y de la Ley General vigente a la fecha de la solicitud, respectivamente, señalan que si los Sujetos Obligados determinan que la información actualiza alguno de los supuestos de clasificación, es deber de los titulares de las áreas proponer su clasificación y no del Comité de Transparencia. </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lastRenderedPageBreak/>
              <w:t>Al hacerlo tienen que precisar de qué información se trata, señalando el supuesto de clasificación (confidencialidad o reserva).</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Además, se debe señalar el procedimiento, de los tres que establecen los artículos 132 y 106 de la Ley Estatal y General, respectivamente.</w:t>
            </w:r>
          </w:p>
          <w:p w:rsidR="00E3559E" w:rsidRPr="00206872" w:rsidRDefault="00E67E3A">
            <w:pPr>
              <w:tabs>
                <w:tab w:val="left" w:pos="284"/>
              </w:tabs>
              <w:spacing w:line="276" w:lineRule="auto"/>
              <w:jc w:val="both"/>
              <w:rPr>
                <w:rFonts w:ascii="Palatino Linotype" w:eastAsia="Palatino Linotype" w:hAnsi="Palatino Linotype" w:cs="Palatino Linotype"/>
                <w:i/>
                <w:iCs/>
              </w:rPr>
            </w:pPr>
            <w:r w:rsidRPr="00206872">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206872">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206872">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E3559E" w:rsidRPr="00206872" w:rsidTr="00206872">
        <w:tc>
          <w:tcPr>
            <w:tcW w:w="2689" w:type="dxa"/>
            <w:shd w:val="clear" w:color="auto" w:fill="D9D9D9"/>
          </w:tcPr>
          <w:p w:rsidR="00E3559E" w:rsidRPr="00206872" w:rsidRDefault="00E67E3A">
            <w:pPr>
              <w:tabs>
                <w:tab w:val="left" w:pos="284"/>
              </w:tabs>
              <w:spacing w:line="360" w:lineRule="auto"/>
              <w:rPr>
                <w:rFonts w:ascii="Palatino Linotype" w:eastAsia="Palatino Linotype" w:hAnsi="Palatino Linotype" w:cs="Palatino Linotype"/>
                <w:b/>
                <w:bCs/>
              </w:rPr>
            </w:pPr>
            <w:r w:rsidRPr="00206872">
              <w:rPr>
                <w:rFonts w:ascii="Palatino Linotype" w:eastAsia="Palatino Linotype" w:hAnsi="Palatino Linotype" w:cs="Palatino Linotype"/>
                <w:b/>
                <w:bCs/>
              </w:rPr>
              <w:lastRenderedPageBreak/>
              <w:t>b) Supuestos de clasificación.</w:t>
            </w:r>
          </w:p>
        </w:tc>
        <w:tc>
          <w:tcPr>
            <w:tcW w:w="7087" w:type="dxa"/>
            <w:shd w:val="clear" w:color="auto" w:fill="D9D9D9"/>
          </w:tcPr>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Los artículos 116 y 143 de la Ley Estatal y de la Ley General vigente a la fecha de la solicitud, respectivamente, señalan los supuestos para que la información pueda ser clasificada como confidencial. Mientras que los artículos 105 y 130 de la Ley Estatal y de la Ley General vigente a la fecha de la solicitud,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E3559E" w:rsidRPr="00206872" w:rsidRDefault="00E67E3A">
            <w:pPr>
              <w:tabs>
                <w:tab w:val="left" w:pos="284"/>
              </w:tabs>
              <w:spacing w:line="276" w:lineRule="auto"/>
              <w:jc w:val="both"/>
              <w:rPr>
                <w:rFonts w:ascii="Palatino Linotype" w:eastAsia="Palatino Linotype" w:hAnsi="Palatino Linotype" w:cs="Palatino Linotype"/>
                <w:i/>
                <w:iCs/>
              </w:rPr>
            </w:pPr>
            <w:r w:rsidRPr="00206872">
              <w:rPr>
                <w:rFonts w:ascii="Palatino Linotype" w:eastAsia="Palatino Linotype" w:hAnsi="Palatino Linotype" w:cs="Palatino Linotype"/>
                <w:i/>
                <w:iCs/>
                <w:color w:val="000000"/>
              </w:rPr>
              <w:t xml:space="preserve">El </w:t>
            </w:r>
            <w:r w:rsidRPr="00206872">
              <w:rPr>
                <w:rFonts w:ascii="Palatino Linotype" w:eastAsia="Palatino Linotype" w:hAnsi="Palatino Linotype" w:cs="Palatino Linotype"/>
                <w:b/>
                <w:bCs/>
                <w:i/>
                <w:iCs/>
                <w:color w:val="000000"/>
              </w:rPr>
              <w:t>Sujeto Obligado</w:t>
            </w:r>
            <w:r w:rsidRPr="00206872">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3559E" w:rsidRPr="00206872" w:rsidTr="00206872">
        <w:tc>
          <w:tcPr>
            <w:tcW w:w="2689" w:type="dxa"/>
          </w:tcPr>
          <w:p w:rsidR="00E3559E" w:rsidRPr="00206872" w:rsidRDefault="00E67E3A">
            <w:pPr>
              <w:tabs>
                <w:tab w:val="left" w:pos="284"/>
              </w:tabs>
              <w:spacing w:line="360" w:lineRule="auto"/>
              <w:rPr>
                <w:rFonts w:ascii="Palatino Linotype" w:eastAsia="Palatino Linotype" w:hAnsi="Palatino Linotype" w:cs="Palatino Linotype"/>
                <w:b/>
                <w:bCs/>
              </w:rPr>
            </w:pPr>
            <w:r w:rsidRPr="00206872">
              <w:rPr>
                <w:rFonts w:ascii="Palatino Linotype" w:eastAsia="Palatino Linotype" w:hAnsi="Palatino Linotype" w:cs="Palatino Linotype"/>
                <w:b/>
                <w:bCs/>
              </w:rPr>
              <w:lastRenderedPageBreak/>
              <w:t>c) Formalidades para emitir el acuerdo de clasificación.</w:t>
            </w:r>
          </w:p>
        </w:tc>
        <w:tc>
          <w:tcPr>
            <w:tcW w:w="7087" w:type="dxa"/>
          </w:tcPr>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Es necesario que </w:t>
            </w:r>
            <w:r w:rsidRPr="00206872">
              <w:rPr>
                <w:rFonts w:ascii="Palatino Linotype" w:eastAsia="Palatino Linotype" w:hAnsi="Palatino Linotype" w:cs="Palatino Linotype"/>
                <w:b/>
                <w:bCs/>
                <w:i/>
                <w:iCs/>
                <w:color w:val="000000"/>
                <w:u w:val="single"/>
              </w:rPr>
              <w:t>el acto reúna con los requisitos elementales</w:t>
            </w:r>
            <w:r w:rsidRPr="00206872">
              <w:rPr>
                <w:rFonts w:ascii="Palatino Linotype" w:eastAsia="Palatino Linotype" w:hAnsi="Palatino Linotype" w:cs="Palatino Linotype"/>
                <w:i/>
                <w:iCs/>
                <w:color w:val="000000"/>
              </w:rPr>
              <w:t>, entre ellos, que la autoridad que va a emitir el acto de autoridad sea la legalmente facultada para ello.</w:t>
            </w:r>
          </w:p>
          <w:p w:rsidR="00E3559E" w:rsidRPr="00206872" w:rsidRDefault="00E67E3A">
            <w:pPr>
              <w:tabs>
                <w:tab w:val="left" w:pos="284"/>
              </w:tabs>
              <w:spacing w:line="276" w:lineRule="auto"/>
              <w:jc w:val="both"/>
              <w:rPr>
                <w:rFonts w:ascii="Palatino Linotype" w:eastAsia="Palatino Linotype" w:hAnsi="Palatino Linotype" w:cs="Palatino Linotype"/>
                <w:i/>
                <w:iCs/>
              </w:rPr>
            </w:pPr>
            <w:r w:rsidRPr="00206872">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llegue después de un análisis minucioso a partir de lo propuesto por el Titular del I. </w:t>
            </w:r>
            <w:r w:rsidRPr="00206872">
              <w:rPr>
                <w:rFonts w:ascii="Palatino Linotype" w:eastAsia="Palatino Linotype" w:hAnsi="Palatino Linotype" w:cs="Palatino Linotype"/>
                <w:i/>
                <w:iCs/>
              </w:rPr>
              <w:t>El área</w:t>
            </w:r>
            <w:r w:rsidRPr="00206872">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3559E" w:rsidRPr="00206872" w:rsidTr="00206872">
        <w:tc>
          <w:tcPr>
            <w:tcW w:w="2689" w:type="dxa"/>
            <w:shd w:val="clear" w:color="auto" w:fill="D9D9D9"/>
          </w:tcPr>
          <w:p w:rsidR="00E3559E" w:rsidRPr="00206872" w:rsidRDefault="00E3559E">
            <w:pPr>
              <w:tabs>
                <w:tab w:val="left" w:pos="284"/>
              </w:tabs>
              <w:spacing w:line="360" w:lineRule="auto"/>
              <w:rPr>
                <w:rFonts w:ascii="Palatino Linotype" w:eastAsia="Palatino Linotype" w:hAnsi="Palatino Linotype" w:cs="Palatino Linotype"/>
                <w:b/>
                <w:bCs/>
              </w:rPr>
            </w:pPr>
          </w:p>
          <w:p w:rsidR="00E3559E" w:rsidRPr="00206872" w:rsidRDefault="00E67E3A">
            <w:pPr>
              <w:tabs>
                <w:tab w:val="left" w:pos="284"/>
              </w:tabs>
              <w:spacing w:line="360" w:lineRule="auto"/>
              <w:jc w:val="both"/>
              <w:rPr>
                <w:rFonts w:ascii="Palatino Linotype" w:eastAsia="Palatino Linotype" w:hAnsi="Palatino Linotype" w:cs="Palatino Linotype"/>
                <w:b/>
                <w:bCs/>
              </w:rPr>
            </w:pPr>
            <w:r w:rsidRPr="00206872">
              <w:rPr>
                <w:rFonts w:ascii="Palatino Linotype" w:eastAsia="Palatino Linotype" w:hAnsi="Palatino Linotype" w:cs="Palatino Linotype"/>
                <w:b/>
                <w:bCs/>
                <w:color w:val="000000"/>
              </w:rPr>
              <w:t xml:space="preserve">d) Requisitos de fondo del acuerdo de clasificación. </w:t>
            </w:r>
          </w:p>
        </w:tc>
        <w:tc>
          <w:tcPr>
            <w:tcW w:w="7087" w:type="dxa"/>
            <w:shd w:val="clear" w:color="auto" w:fill="D9D9D9"/>
          </w:tcPr>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206872">
              <w:rPr>
                <w:rFonts w:ascii="Palatino Linotype" w:eastAsia="Palatino Linotype" w:hAnsi="Palatino Linotype" w:cs="Palatino Linotype"/>
                <w:b/>
                <w:bCs/>
                <w:i/>
                <w:iCs/>
                <w:color w:val="000000"/>
              </w:rPr>
              <w:t>Sujetos Obligados</w:t>
            </w:r>
            <w:r w:rsidRPr="00206872">
              <w:rPr>
                <w:rFonts w:ascii="Palatino Linotype" w:eastAsia="Palatino Linotype" w:hAnsi="Palatino Linotype" w:cs="Palatino Linotype"/>
                <w:i/>
                <w:iCs/>
                <w:color w:val="000000"/>
              </w:rPr>
              <w:t xml:space="preserve">, por lo que deberán fundar y motivar debidamente la clasificación. </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De lo anterior, se desprende que para una correcta </w:t>
            </w:r>
            <w:r w:rsidRPr="00206872">
              <w:rPr>
                <w:rFonts w:ascii="Palatino Linotype" w:eastAsia="Palatino Linotype" w:hAnsi="Palatino Linotype" w:cs="Palatino Linotype"/>
                <w:b/>
                <w:bCs/>
                <w:i/>
                <w:iCs/>
                <w:color w:val="000000"/>
              </w:rPr>
              <w:t>clasificación total o parcial</w:t>
            </w:r>
            <w:r w:rsidRPr="00206872">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Así, en un acto de autoridad se cumple con la debida fundamentación cuando se cita el precepto legal aplicable al caso concreto y la debida </w:t>
            </w:r>
            <w:r w:rsidRPr="00206872">
              <w:rPr>
                <w:rFonts w:ascii="Palatino Linotype" w:eastAsia="Palatino Linotype" w:hAnsi="Palatino Linotype" w:cs="Palatino Linotype"/>
                <w:i/>
                <w:iCs/>
                <w:color w:val="000000"/>
              </w:rPr>
              <w:lastRenderedPageBreak/>
              <w:t>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Ahora bien, </w:t>
            </w:r>
            <w:r w:rsidRPr="00206872">
              <w:rPr>
                <w:rFonts w:ascii="Palatino Linotype" w:eastAsia="Palatino Linotype" w:hAnsi="Palatino Linotype" w:cs="Palatino Linotype"/>
                <w:b/>
                <w:bCs/>
                <w:i/>
                <w:iCs/>
                <w:color w:val="000000"/>
                <w:u w:val="single"/>
              </w:rPr>
              <w:t>para cada caso además de fundar y motivar</w:t>
            </w:r>
            <w:r w:rsidRPr="00206872">
              <w:rPr>
                <w:rFonts w:ascii="Palatino Linotype" w:eastAsia="Palatino Linotype" w:hAnsi="Palatino Linotype" w:cs="Palatino Linotype"/>
                <w:i/>
                <w:iCs/>
                <w:color w:val="000000"/>
              </w:rPr>
              <w:t xml:space="preserve">, se debe identificar con claridad </w:t>
            </w:r>
            <w:r w:rsidRPr="00206872">
              <w:rPr>
                <w:rFonts w:ascii="Palatino Linotype" w:eastAsia="Palatino Linotype" w:hAnsi="Palatino Linotype" w:cs="Palatino Linotype"/>
                <w:i/>
                <w:iCs/>
              </w:rPr>
              <w:t>qué</w:t>
            </w:r>
            <w:r w:rsidRPr="00206872">
              <w:rPr>
                <w:rFonts w:ascii="Palatino Linotype" w:eastAsia="Palatino Linotype" w:hAnsi="Palatino Linotype" w:cs="Palatino Linotype"/>
                <w:i/>
                <w:iCs/>
                <w:color w:val="000000"/>
              </w:rPr>
              <w:t xml:space="preserv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3559E" w:rsidRPr="00206872" w:rsidTr="00206872">
        <w:tc>
          <w:tcPr>
            <w:tcW w:w="2689" w:type="dxa"/>
          </w:tcPr>
          <w:p w:rsidR="00E3559E" w:rsidRPr="00206872" w:rsidRDefault="00E67E3A">
            <w:pPr>
              <w:tabs>
                <w:tab w:val="left" w:pos="284"/>
              </w:tabs>
              <w:spacing w:line="360" w:lineRule="auto"/>
              <w:jc w:val="both"/>
              <w:rPr>
                <w:rFonts w:ascii="Palatino Linotype" w:eastAsia="Palatino Linotype" w:hAnsi="Palatino Linotype" w:cs="Palatino Linotype"/>
                <w:b/>
                <w:bCs/>
              </w:rPr>
            </w:pPr>
            <w:r w:rsidRPr="00206872">
              <w:rPr>
                <w:rFonts w:ascii="Palatino Linotype" w:eastAsia="Palatino Linotype" w:hAnsi="Palatino Linotype" w:cs="Palatino Linotype"/>
                <w:b/>
                <w:bCs/>
              </w:rPr>
              <w:lastRenderedPageBreak/>
              <w:t xml:space="preserve">e) Condiciones especiales de la clasificación de la información como confidencial. </w:t>
            </w:r>
          </w:p>
        </w:tc>
        <w:tc>
          <w:tcPr>
            <w:tcW w:w="7087" w:type="dxa"/>
          </w:tcPr>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Los artículos 148 y 120 de la Ley Estatal y de la Ley General vigente a la fecha de la solicitud, respectivamente, establecen que aun tratándose de datos personales, se podrán proporcionar, incluso sin solicitar el consentimiento de su titular. </w:t>
            </w:r>
          </w:p>
          <w:p w:rsidR="00E3559E" w:rsidRPr="00206872" w:rsidRDefault="00E67E3A">
            <w:pPr>
              <w:tabs>
                <w:tab w:val="left" w:pos="284"/>
              </w:tabs>
              <w:spacing w:line="276" w:lineRule="auto"/>
              <w:jc w:val="both"/>
              <w:rPr>
                <w:rFonts w:ascii="Palatino Linotype" w:eastAsia="Palatino Linotype" w:hAnsi="Palatino Linotype" w:cs="Palatino Linotype"/>
                <w:i/>
                <w:iCs/>
                <w:color w:val="000000"/>
              </w:rPr>
            </w:pPr>
            <w:r w:rsidRPr="00206872">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E3559E" w:rsidRPr="00206872" w:rsidRDefault="00E67E3A">
            <w:pPr>
              <w:tabs>
                <w:tab w:val="left" w:pos="284"/>
              </w:tabs>
              <w:spacing w:line="276" w:lineRule="auto"/>
              <w:rPr>
                <w:rFonts w:ascii="Palatino Linotype" w:eastAsia="Palatino Linotype" w:hAnsi="Palatino Linotype" w:cs="Palatino Linotype"/>
                <w:i/>
                <w:iCs/>
              </w:rPr>
            </w:pPr>
            <w:r w:rsidRPr="00206872">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E3559E" w:rsidRPr="00206872" w:rsidRDefault="00E3559E">
      <w:pPr>
        <w:tabs>
          <w:tab w:val="left" w:pos="284"/>
        </w:tabs>
        <w:spacing w:line="360" w:lineRule="auto"/>
        <w:jc w:val="both"/>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Como fue debidamente apuntado, el </w:t>
      </w:r>
      <w:r w:rsidRPr="00206872">
        <w:rPr>
          <w:rFonts w:ascii="Palatino Linotype" w:eastAsia="Palatino Linotype" w:hAnsi="Palatino Linotype" w:cs="Palatino Linotype"/>
          <w:b/>
          <w:bCs/>
          <w:color w:val="000000"/>
        </w:rPr>
        <w:t>Sujeto Obligado</w:t>
      </w:r>
      <w:r w:rsidRPr="00206872">
        <w:rPr>
          <w:rFonts w:ascii="Palatino Linotype" w:eastAsia="Palatino Linotype" w:hAnsi="Palatino Linotype" w:cs="Palatino Linotype"/>
          <w:color w:val="000000"/>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w:t>
      </w:r>
    </w:p>
    <w:p w:rsidR="00E3559E" w:rsidRPr="00206872" w:rsidRDefault="00E67E3A" w:rsidP="00206872">
      <w:pPr>
        <w:numPr>
          <w:ilvl w:val="0"/>
          <w:numId w:val="1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número de OCR, CURP, el número de cuenta bancaria de particulares, entre otros.</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La </w:t>
      </w:r>
      <w:r w:rsidRPr="00206872">
        <w:rPr>
          <w:rFonts w:ascii="Palatino Linotype" w:eastAsia="Palatino Linotype" w:hAnsi="Palatino Linotype" w:cs="Palatino Linotype"/>
          <w:b/>
          <w:bCs/>
          <w:color w:val="000000"/>
        </w:rPr>
        <w:t>clave de elector</w:t>
      </w:r>
      <w:r w:rsidRPr="00206872">
        <w:rPr>
          <w:rFonts w:ascii="Palatino Linotype" w:eastAsia="Palatino Linotype" w:hAnsi="Palatino Linotype" w:cs="Palatino Linotype"/>
          <w:color w:val="000000"/>
        </w:rPr>
        <w:t>,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El </w:t>
      </w:r>
      <w:r w:rsidRPr="00206872">
        <w:rPr>
          <w:rFonts w:ascii="Palatino Linotype" w:eastAsia="Palatino Linotype" w:hAnsi="Palatino Linotype" w:cs="Palatino Linotype"/>
          <w:b/>
          <w:bCs/>
          <w:color w:val="000000"/>
        </w:rPr>
        <w:t>número de OCR,</w:t>
      </w:r>
      <w:r w:rsidRPr="00206872">
        <w:rPr>
          <w:rFonts w:ascii="Palatino Linotype" w:eastAsia="Palatino Linotype" w:hAnsi="Palatino Linotype" w:cs="Palatino Linotype"/>
          <w:color w:val="000000"/>
        </w:rPr>
        <w:t xml:space="preserve"> denominado Reconocimiento Óptico de Caracteres (OCR), contiene el número de la sección electoral en donde vota el ciudadano titular de dicho documento, por lo que constituye un dato personal en razón de que revela información </w:t>
      </w:r>
      <w:r w:rsidRPr="00206872">
        <w:rPr>
          <w:rFonts w:ascii="Palatino Linotype" w:eastAsia="Palatino Linotype" w:hAnsi="Palatino Linotype" w:cs="Palatino Linotype"/>
          <w:color w:val="000000"/>
        </w:rPr>
        <w:lastRenderedPageBreak/>
        <w:t>concerniente a una persona física identificada o identificable en función de la información geoelectoral ahí contenida, por lo que es susceptible de resguardarse.</w:t>
      </w:r>
    </w:p>
    <w:p w:rsidR="00E3559E" w:rsidRPr="00206872" w:rsidRDefault="00E67E3A" w:rsidP="00206872">
      <w:pPr>
        <w:numPr>
          <w:ilvl w:val="0"/>
          <w:numId w:val="1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La </w:t>
      </w:r>
      <w:r w:rsidRPr="00206872">
        <w:rPr>
          <w:rFonts w:ascii="Palatino Linotype" w:eastAsia="Palatino Linotype" w:hAnsi="Palatino Linotype" w:cs="Palatino Linotype"/>
          <w:b/>
          <w:bCs/>
          <w:color w:val="000000"/>
        </w:rPr>
        <w:t>clave única del registro de población (CURP),</w:t>
      </w:r>
      <w:r w:rsidRPr="00206872">
        <w:rPr>
          <w:rFonts w:ascii="Palatino Linotype" w:eastAsia="Palatino Linotype" w:hAnsi="Palatino Linotype" w:cs="Palatino Linotype"/>
          <w:i/>
          <w:iCs/>
          <w:color w:val="000000"/>
        </w:rPr>
        <w:t xml:space="preserve"> </w:t>
      </w:r>
      <w:r w:rsidRPr="00206872">
        <w:rPr>
          <w:rFonts w:ascii="Palatino Linotype" w:eastAsia="Palatino Linotype" w:hAnsi="Palatino Linotype" w:cs="Palatino Linotype"/>
          <w:color w:val="000000"/>
        </w:rPr>
        <w:t>se integra por datos personales que sólo conciernen al particular titular de la misma, como lo son su nombre, apellidos, fecha de nacimiento, lugar de nacimiento y sexo;  datos  que constituyen información que distingue plenamente a una persona física del resto de los habitantes del país, por lo está considerada como información confidencial.</w:t>
      </w:r>
    </w:p>
    <w:p w:rsidR="00E3559E" w:rsidRPr="00206872" w:rsidRDefault="00E67E3A" w:rsidP="00206872">
      <w:pPr>
        <w:numPr>
          <w:ilvl w:val="0"/>
          <w:numId w:val="1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Igualmente, resulta importante destacar que el </w:t>
      </w:r>
      <w:r w:rsidRPr="00206872">
        <w:rPr>
          <w:rFonts w:ascii="Palatino Linotype" w:eastAsia="Palatino Linotype" w:hAnsi="Palatino Linotype" w:cs="Palatino Linotype"/>
          <w:i/>
          <w:iCs/>
          <w:color w:val="000000"/>
        </w:rPr>
        <w:t>número de cuenta bancaria</w:t>
      </w:r>
      <w:r w:rsidRPr="00206872">
        <w:rPr>
          <w:rFonts w:ascii="Palatino Linotype" w:eastAsia="Palatino Linotype" w:hAnsi="Palatino Linotype" w:cs="Palatino Linotype"/>
          <w:color w:val="000000"/>
        </w:rPr>
        <w:t xml:space="preserve">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w:t>
      </w:r>
      <w:r w:rsidRPr="00206872">
        <w:rPr>
          <w:rFonts w:ascii="Palatino Linotype" w:eastAsia="Palatino Linotype" w:hAnsi="Palatino Linotype" w:cs="Palatino Linotype"/>
          <w:color w:val="000000"/>
        </w:rPr>
        <w:lastRenderedPageBreak/>
        <w:t xml:space="preserve">información no puede ser del dominio público, toda vez que se podría dar un uso inadecuado a la misma o cometer algún ilícito o fraude en contra del patrimonio de los particulares. </w:t>
      </w:r>
    </w:p>
    <w:p w:rsidR="00E3559E" w:rsidRPr="00206872" w:rsidRDefault="00E3559E">
      <w:pPr>
        <w:pBdr>
          <w:top w:val="nil"/>
          <w:left w:val="nil"/>
          <w:bottom w:val="nil"/>
          <w:right w:val="nil"/>
          <w:between w:val="nil"/>
        </w:pBdr>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En esa virtud, este Pleno determina que dicha información no puede ser del dominio público, toda vez que se podría dar un uso inadecuado a la misma o cometer algún ilícito o fraude como ya ha sido expuesto, razón por la que debe omitirse el o los números de cuentas bancarias de particulares en las versiones públicas que de las facturas se hagan, para ser entregadas.</w:t>
      </w:r>
    </w:p>
    <w:p w:rsidR="00E3559E" w:rsidRPr="00206872" w:rsidRDefault="00E3559E">
      <w:pPr>
        <w:pBdr>
          <w:top w:val="nil"/>
          <w:left w:val="nil"/>
          <w:bottom w:val="nil"/>
          <w:right w:val="nil"/>
          <w:between w:val="nil"/>
        </w:pBdr>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Lo anterior, no es así tratándose de las cuentas bancarias o claves interbancarias de los Sujetos Obligados ya que su publicidad cede a la rendición de cuentas al transparentar la forma en que son administrados los recursos públicos.</w:t>
      </w:r>
    </w:p>
    <w:p w:rsidR="00E3559E" w:rsidRPr="00206872" w:rsidRDefault="00E3559E">
      <w:pPr>
        <w:pBdr>
          <w:top w:val="nil"/>
          <w:left w:val="nil"/>
          <w:bottom w:val="nil"/>
          <w:right w:val="nil"/>
          <w:between w:val="nil"/>
        </w:pBdr>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Lo expuesto halla sustento en los criterios orientadores 10/17 y 11/17 emitidos por el entonces Instituto Nacional de Transparencia, Acceso a la Información y Protección de Datos Personales, INAI, que llevan por rubro y texto los siguientes:</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“Cuentas bancarias y/o CLABE interbancaria de personas físicas y morales privadas.</w:t>
      </w:r>
      <w:r w:rsidRPr="00206872">
        <w:rPr>
          <w:rFonts w:ascii="Palatino Linotype" w:eastAsia="Palatino Linotype" w:hAnsi="Palatino Linotype" w:cs="Palatino Linotype"/>
          <w:i/>
          <w:iC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Cuentas bancarias y/o CLABE interbancaria de sujetos obligados que reciben y/o transfieren recursos públicos, son información pública</w:t>
      </w:r>
      <w:r w:rsidRPr="00206872">
        <w:rPr>
          <w:rFonts w:ascii="Palatino Linotype" w:eastAsia="Palatino Linotype" w:hAnsi="Palatino Linotype" w:cs="Palatino Linotype"/>
          <w:i/>
          <w:iCs/>
        </w:rPr>
        <w:t xml:space="preserve">. La </w:t>
      </w:r>
      <w:r w:rsidRPr="00206872">
        <w:rPr>
          <w:rFonts w:ascii="Palatino Linotype" w:eastAsia="Palatino Linotype" w:hAnsi="Palatino Linotype" w:cs="Palatino Linotype"/>
          <w:i/>
          <w:iCs/>
        </w:rPr>
        <w:lastRenderedPageBreak/>
        <w:t>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rsidP="00206872">
      <w:pPr>
        <w:numPr>
          <w:ilvl w:val="0"/>
          <w:numId w:val="1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Por cuanto hace al </w:t>
      </w:r>
      <w:r w:rsidRPr="00206872">
        <w:rPr>
          <w:rFonts w:ascii="Palatino Linotype" w:eastAsia="Palatino Linotype" w:hAnsi="Palatino Linotype" w:cs="Palatino Linotype"/>
          <w:b/>
          <w:bCs/>
          <w:color w:val="000000"/>
        </w:rPr>
        <w:t xml:space="preserve">Registro Federal de Contribuyentes (RFC) </w:t>
      </w:r>
      <w:r w:rsidRPr="00206872">
        <w:rPr>
          <w:rFonts w:ascii="Palatino Linotype" w:eastAsia="Palatino Linotype" w:hAnsi="Palatino Linotype" w:cs="Palatino Linotype"/>
          <w:color w:val="000000"/>
        </w:rPr>
        <w:t>y</w:t>
      </w:r>
      <w:r w:rsidRPr="00206872">
        <w:rPr>
          <w:rFonts w:ascii="Palatino Linotype" w:eastAsia="Palatino Linotype" w:hAnsi="Palatino Linotype" w:cs="Palatino Linotype"/>
          <w:b/>
          <w:bCs/>
          <w:color w:val="000000"/>
        </w:rPr>
        <w:t xml:space="preserve"> el domicilio fiscal </w:t>
      </w:r>
      <w:r w:rsidRPr="00206872">
        <w:rPr>
          <w:rFonts w:ascii="Palatino Linotype" w:eastAsia="Palatino Linotype" w:hAnsi="Palatino Linotype" w:cs="Palatino Linotype"/>
          <w:color w:val="000000"/>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E3559E" w:rsidRPr="00206872" w:rsidRDefault="00E67E3A" w:rsidP="00206872">
      <w:pPr>
        <w:numPr>
          <w:ilvl w:val="0"/>
          <w:numId w:val="1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E3559E" w:rsidRPr="00206872" w:rsidRDefault="00E3559E">
      <w:pPr>
        <w:pBdr>
          <w:top w:val="nil"/>
          <w:left w:val="nil"/>
          <w:bottom w:val="nil"/>
          <w:right w:val="nil"/>
          <w:between w:val="nil"/>
        </w:pBdr>
        <w:rPr>
          <w:rFonts w:ascii="Palatino Linotype" w:eastAsia="Palatino Linotype" w:hAnsi="Palatino Linotype" w:cs="Palatino Linotype"/>
          <w:color w:val="000000"/>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del debido ejercicio del presupuesto.</w:t>
      </w:r>
    </w:p>
    <w:p w:rsidR="00E3559E" w:rsidRPr="00206872" w:rsidRDefault="00E67E3A" w:rsidP="00206872">
      <w:pPr>
        <w:numPr>
          <w:ilvl w:val="0"/>
          <w:numId w:val="12"/>
        </w:numPr>
        <w:pBdr>
          <w:top w:val="nil"/>
          <w:left w:val="nil"/>
          <w:bottom w:val="nil"/>
          <w:right w:val="nil"/>
          <w:between w:val="nil"/>
        </w:pBdr>
        <w:spacing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Robustece lo anterior el criterio orientador 04/21 emitido por el entonces Instituto Nacional de Transparencia, Acceso a la Información y Protección de Datos Personales, INAI, el cual refiere: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 xml:space="preserve">“Registro Federal de Contribuyentes (RFC) de personas físicas proveedoras o contratistas. </w:t>
      </w:r>
      <w:r w:rsidRPr="00206872">
        <w:rPr>
          <w:rFonts w:ascii="Palatino Linotype" w:eastAsia="Palatino Linotype" w:hAnsi="Palatino Linotype" w:cs="Palatino Linotype"/>
          <w:i/>
          <w:iCs/>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E3559E" w:rsidRPr="00206872" w:rsidRDefault="00E3559E">
      <w:pPr>
        <w:spacing w:before="120" w:after="120"/>
        <w:ind w:left="1134" w:right="1134"/>
        <w:jc w:val="both"/>
        <w:rPr>
          <w:rFonts w:ascii="Palatino Linotype" w:eastAsia="Palatino Linotype" w:hAnsi="Palatino Linotype" w:cs="Palatino Linotype"/>
          <w:i/>
          <w:iCs/>
        </w:rPr>
      </w:pPr>
    </w:p>
    <w:p w:rsidR="00E3559E" w:rsidRPr="00206872" w:rsidRDefault="00E67E3A" w:rsidP="00206872">
      <w:pPr>
        <w:numPr>
          <w:ilvl w:val="0"/>
          <w:numId w:val="1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 xml:space="preserve">Aunado a lo argumentado, el </w:t>
      </w:r>
      <w:r w:rsidRPr="00206872">
        <w:rPr>
          <w:rFonts w:ascii="Palatino Linotype" w:eastAsia="Palatino Linotype" w:hAnsi="Palatino Linotype" w:cs="Palatino Linotype"/>
          <w:b/>
          <w:bCs/>
          <w:color w:val="000000"/>
        </w:rPr>
        <w:t>nombre de las personas físicas</w:t>
      </w:r>
      <w:r w:rsidRPr="00206872">
        <w:rPr>
          <w:rFonts w:ascii="Palatino Linotype" w:eastAsia="Palatino Linotype" w:hAnsi="Palatino Linotype" w:cs="Palatino Linotype"/>
          <w:color w:val="000000"/>
        </w:rPr>
        <w:t xml:space="preserve"> o los </w:t>
      </w:r>
      <w:r w:rsidRPr="00206872">
        <w:rPr>
          <w:rFonts w:ascii="Palatino Linotype" w:eastAsia="Palatino Linotype" w:hAnsi="Palatino Linotype" w:cs="Palatino Linotype"/>
          <w:b/>
          <w:bCs/>
          <w:color w:val="000000"/>
        </w:rPr>
        <w:t>representantes legales de las personas morales</w:t>
      </w:r>
      <w:r w:rsidRPr="00206872">
        <w:rPr>
          <w:rFonts w:ascii="Palatino Linotype" w:eastAsia="Palatino Linotype" w:hAnsi="Palatino Linotype" w:cs="Palatino Linotype"/>
          <w:color w:val="000000"/>
        </w:rPr>
        <w:t>,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E3559E" w:rsidRPr="00206872" w:rsidRDefault="00E3559E">
      <w:pPr>
        <w:spacing w:before="240" w:after="240"/>
        <w:jc w:val="both"/>
        <w:rPr>
          <w:rFonts w:ascii="Palatino Linotype" w:eastAsia="Palatino Linotype" w:hAnsi="Palatino Linotype" w:cs="Palatino Linotype"/>
        </w:rPr>
      </w:pPr>
    </w:p>
    <w:p w:rsidR="00E3559E" w:rsidRPr="00206872" w:rsidRDefault="00E67E3A" w:rsidP="00206872">
      <w:pPr>
        <w:numPr>
          <w:ilvl w:val="0"/>
          <w:numId w:val="12"/>
        </w:numPr>
        <w:pBdr>
          <w:top w:val="nil"/>
          <w:left w:val="nil"/>
          <w:bottom w:val="nil"/>
          <w:right w:val="nil"/>
          <w:between w:val="nil"/>
        </w:pBdr>
        <w:spacing w:before="240" w:after="240"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lastRenderedPageBreak/>
        <w:t>Lo anterior guarda sustento en lo estipulado por el artículo 23 de la Ley de Transparencia y Acceso a la Información Pública del Estado de México y Municipios en su penúltimo párrafo, mismo que es del tenor literal siguiente:</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w:t>
      </w:r>
      <w:r w:rsidRPr="00206872">
        <w:rPr>
          <w:rFonts w:ascii="Palatino Linotype" w:eastAsia="Palatino Linotype" w:hAnsi="Palatino Linotype" w:cs="Palatino Linotype"/>
          <w:b/>
          <w:bCs/>
          <w:i/>
          <w:iCs/>
        </w:rPr>
        <w:t>Artículo 23.</w:t>
      </w:r>
      <w:r w:rsidRPr="00206872">
        <w:rPr>
          <w:rFonts w:ascii="Palatino Linotype" w:eastAsia="Palatino Linotype" w:hAnsi="Palatino Linotype" w:cs="Palatino Linotype"/>
          <w:i/>
          <w:iCs/>
        </w:rPr>
        <w:t xml:space="preserve"> (…)</w:t>
      </w:r>
    </w:p>
    <w:p w:rsidR="00E3559E" w:rsidRPr="00206872" w:rsidRDefault="00E67E3A">
      <w:pPr>
        <w:spacing w:before="120" w:after="120"/>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i/>
          <w:iC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E3559E" w:rsidRPr="00206872" w:rsidRDefault="00E67E3A">
      <w:pPr>
        <w:spacing w:before="280" w:after="280"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rPr>
        <w:t>Asimismo, resulta aplicable el contenido del criterio orientador 01/19 emitido por el entonces Instituto Nacional de Transparencia, Acceso a la Información, y Protección de Datos Personales, INAI, que lleva por rubro y texto los siguientes;</w:t>
      </w:r>
    </w:p>
    <w:p w:rsidR="00E3559E" w:rsidRPr="00206872" w:rsidRDefault="00E67E3A">
      <w:pPr>
        <w:ind w:left="1134" w:right="1134"/>
        <w:jc w:val="both"/>
        <w:rPr>
          <w:rFonts w:ascii="Palatino Linotype" w:eastAsia="Palatino Linotype" w:hAnsi="Palatino Linotype" w:cs="Palatino Linotype"/>
          <w:i/>
          <w:iCs/>
        </w:rPr>
      </w:pPr>
      <w:r w:rsidRPr="00206872">
        <w:rPr>
          <w:rFonts w:ascii="Palatino Linotype" w:eastAsia="Palatino Linotype" w:hAnsi="Palatino Linotype" w:cs="Palatino Linotype"/>
          <w:b/>
          <w:bCs/>
          <w:i/>
          <w:iCs/>
        </w:rPr>
        <w:t>“Datos de identificación del representante o apoderado legal.</w:t>
      </w:r>
      <w:r w:rsidRPr="00206872">
        <w:rPr>
          <w:rFonts w:ascii="Palatino Linotype" w:eastAsia="Palatino Linotype" w:hAnsi="Palatino Linotype" w:cs="Palatino Linotype"/>
          <w:i/>
          <w:iCs/>
        </w:rPr>
        <w:t xml:space="preserve"> </w:t>
      </w:r>
      <w:r w:rsidRPr="00206872">
        <w:rPr>
          <w:rFonts w:ascii="Palatino Linotype" w:eastAsia="Palatino Linotype" w:hAnsi="Palatino Linotype" w:cs="Palatino Linotype"/>
          <w:b/>
          <w:bCs/>
          <w:i/>
          <w:iCs/>
        </w:rPr>
        <w:t xml:space="preserve">Naturaleza jurídica. </w:t>
      </w:r>
      <w:r w:rsidRPr="00206872">
        <w:rPr>
          <w:rFonts w:ascii="Palatino Linotype" w:eastAsia="Palatino Linotype" w:hAnsi="Palatino Linotype" w:cs="Palatino Linotype"/>
          <w:i/>
          <w:iCs/>
        </w:rPr>
        <w:t xml:space="preserve">El nombre, la firma y la rúbrica de una persona física, que actúe como representante o apoderado legal de un tercero que haya celebrado un acto jurídico, con algún sujeto obligado, </w:t>
      </w:r>
      <w:r w:rsidRPr="00206872">
        <w:rPr>
          <w:rFonts w:ascii="Palatino Linotype" w:eastAsia="Palatino Linotype" w:hAnsi="Palatino Linotype" w:cs="Palatino Linotype"/>
          <w:b/>
          <w:bCs/>
          <w:i/>
          <w:iCs/>
        </w:rPr>
        <w:t>es información pública, en razón de que tales datos fueron proporcionados con el objeto de expresar el consentimiento obligacional del tercero y otorgar validez a dicho instrumento jurídico</w:t>
      </w:r>
      <w:r w:rsidRPr="00206872">
        <w:rPr>
          <w:rFonts w:ascii="Palatino Linotype" w:eastAsia="Palatino Linotype" w:hAnsi="Palatino Linotype" w:cs="Palatino Linotype"/>
          <w:i/>
          <w:iCs/>
        </w:rPr>
        <w:t>.”</w:t>
      </w:r>
    </w:p>
    <w:p w:rsidR="00E3559E" w:rsidRPr="00206872" w:rsidRDefault="00E3559E">
      <w:pPr>
        <w:ind w:left="1134" w:right="1134"/>
        <w:jc w:val="both"/>
        <w:rPr>
          <w:rFonts w:ascii="Palatino Linotype" w:eastAsia="Palatino Linotype" w:hAnsi="Palatino Linotype" w:cs="Palatino Linotype"/>
          <w:i/>
          <w:iCs/>
        </w:rPr>
      </w:pPr>
    </w:p>
    <w:p w:rsidR="00E3559E" w:rsidRPr="00206872" w:rsidRDefault="00E67E3A" w:rsidP="00206872">
      <w:pPr>
        <w:numPr>
          <w:ilvl w:val="0"/>
          <w:numId w:val="1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206872">
        <w:rPr>
          <w:rFonts w:ascii="Palatino Linotype" w:eastAsia="Palatino Linotype" w:hAnsi="Palatino Linotype" w:cs="Palatino Linotype"/>
          <w:color w:val="000000"/>
        </w:rPr>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rsidP="00206872">
      <w:pPr>
        <w:numPr>
          <w:ilvl w:val="0"/>
          <w:numId w:val="12"/>
        </w:numPr>
        <w:spacing w:line="360" w:lineRule="auto"/>
        <w:ind w:left="0" w:firstLine="0"/>
        <w:jc w:val="both"/>
        <w:rPr>
          <w:rFonts w:ascii="Palatino Linotype" w:eastAsia="Palatino Linotype" w:hAnsi="Palatino Linotype" w:cs="Palatino Linotype"/>
        </w:rPr>
      </w:pPr>
      <w:r w:rsidRPr="00206872">
        <w:rPr>
          <w:rFonts w:ascii="Palatino Linotype" w:eastAsia="Palatino Linotype" w:hAnsi="Palatino Linotype" w:cs="Palatino Linotype"/>
        </w:rPr>
        <w:lastRenderedPageBreak/>
        <w:t>Si el servidor público incumple con estas formalidades y entrega la información sin proteger los datos personales incumple con lo que estipula las disposiciones legales establecidas.</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rsidP="00206872">
      <w:pPr>
        <w:numPr>
          <w:ilvl w:val="0"/>
          <w:numId w:val="12"/>
        </w:numPr>
        <w:spacing w:line="360" w:lineRule="auto"/>
        <w:ind w:left="0" w:firstLine="0"/>
        <w:jc w:val="both"/>
        <w:rPr>
          <w:color w:val="000000"/>
        </w:rPr>
      </w:pPr>
      <w:r w:rsidRPr="00206872">
        <w:rPr>
          <w:rFonts w:ascii="Palatino Linotype" w:eastAsia="Palatino Linotype" w:hAnsi="Palatino Linotype" w:cs="Palatino Linotype"/>
        </w:rPr>
        <w:t>Por lo anteriormente expuesto, este Órgano Garante considera parcialmente fundadas las razones o motivos de inconformidad que plantea el</w:t>
      </w:r>
      <w:r w:rsidRPr="00206872">
        <w:rPr>
          <w:rFonts w:ascii="Palatino Linotype" w:eastAsia="Palatino Linotype" w:hAnsi="Palatino Linotype" w:cs="Palatino Linotype"/>
          <w:b/>
          <w:bCs/>
        </w:rPr>
        <w:t xml:space="preserve"> RECURRENTE</w:t>
      </w:r>
      <w:r w:rsidRPr="00206872">
        <w:rPr>
          <w:rFonts w:ascii="Palatino Linotype" w:eastAsia="Palatino Linotype" w:hAnsi="Palatino Linotype" w:cs="Palatino Linotype"/>
        </w:rPr>
        <w:t xml:space="preserve">, determinando </w:t>
      </w:r>
      <w:r w:rsidRPr="00206872">
        <w:rPr>
          <w:rFonts w:ascii="Palatino Linotype" w:eastAsia="Palatino Linotype" w:hAnsi="Palatino Linotype" w:cs="Palatino Linotype"/>
          <w:b/>
          <w:bCs/>
          <w:smallCaps/>
        </w:rPr>
        <w:t xml:space="preserve">REVOCAR  </w:t>
      </w:r>
      <w:r w:rsidRPr="00206872">
        <w:rPr>
          <w:rFonts w:ascii="Palatino Linotype" w:eastAsia="Palatino Linotype" w:hAnsi="Palatino Linotype" w:cs="Palatino Linotype"/>
        </w:rPr>
        <w:t xml:space="preserve">la respuesta del </w:t>
      </w:r>
      <w:r w:rsidRPr="00206872">
        <w:rPr>
          <w:rFonts w:ascii="Palatino Linotype" w:eastAsia="Palatino Linotype" w:hAnsi="Palatino Linotype" w:cs="Palatino Linotype"/>
          <w:b/>
          <w:bCs/>
        </w:rPr>
        <w:t>SUJETO OBLIGADO</w:t>
      </w:r>
      <w:r w:rsidRPr="00206872">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206872">
        <w:rPr>
          <w:rFonts w:ascii="Palatino Linotype" w:eastAsia="Palatino Linotype" w:hAnsi="Palatino Linotype" w:cs="Palatino Linotype"/>
          <w:color w:val="000000"/>
        </w:rPr>
        <w:t xml:space="preserve">este </w:t>
      </w:r>
      <w:r w:rsidRPr="00206872">
        <w:rPr>
          <w:rFonts w:ascii="Palatino Linotype" w:eastAsia="Palatino Linotype" w:hAnsi="Palatino Linotype" w:cs="Palatino Linotype"/>
          <w:b/>
          <w:bCs/>
          <w:color w:val="000000"/>
        </w:rPr>
        <w:t>ÓRGANO GARANTE</w:t>
      </w:r>
      <w:r w:rsidRPr="00206872">
        <w:rPr>
          <w:rFonts w:ascii="Palatino Linotype" w:eastAsia="Palatino Linotype" w:hAnsi="Palatino Linotype" w:cs="Palatino Linotype"/>
          <w:color w:val="000000"/>
        </w:rPr>
        <w:t xml:space="preserve"> emite los siguientes.</w:t>
      </w:r>
    </w:p>
    <w:p w:rsidR="00E3559E" w:rsidRPr="00206872" w:rsidRDefault="00E3559E">
      <w:pPr>
        <w:pBdr>
          <w:top w:val="nil"/>
          <w:left w:val="nil"/>
          <w:bottom w:val="nil"/>
          <w:right w:val="nil"/>
          <w:between w:val="nil"/>
        </w:pBdr>
        <w:ind w:left="720"/>
        <w:rPr>
          <w:rFonts w:ascii="Palatino Linotype" w:eastAsia="Palatino Linotype" w:hAnsi="Palatino Linotype" w:cs="Palatino Linotype"/>
          <w:color w:val="000000"/>
        </w:rPr>
      </w:pPr>
    </w:p>
    <w:p w:rsidR="00E3559E" w:rsidRPr="00206872" w:rsidRDefault="00E67E3A">
      <w:pPr>
        <w:pStyle w:val="Ttulo1"/>
        <w:spacing w:before="0" w:line="360" w:lineRule="auto"/>
        <w:jc w:val="center"/>
        <w:rPr>
          <w:rFonts w:ascii="Palatino Linotype" w:eastAsia="Palatino Linotype" w:hAnsi="Palatino Linotype" w:cs="Palatino Linotype"/>
          <w:b/>
          <w:bCs/>
          <w:color w:val="000000"/>
          <w:sz w:val="24"/>
          <w:szCs w:val="24"/>
        </w:rPr>
      </w:pPr>
      <w:r w:rsidRPr="00206872">
        <w:rPr>
          <w:rFonts w:ascii="Palatino Linotype" w:eastAsia="Palatino Linotype" w:hAnsi="Palatino Linotype" w:cs="Palatino Linotype"/>
          <w:b/>
          <w:bCs/>
          <w:color w:val="000000"/>
          <w:sz w:val="24"/>
          <w:szCs w:val="24"/>
        </w:rPr>
        <w:t>R E S O L U T I V O S</w:t>
      </w:r>
    </w:p>
    <w:p w:rsidR="00E3559E" w:rsidRPr="00206872" w:rsidRDefault="00E3559E"/>
    <w:p w:rsidR="00E3559E" w:rsidRPr="00206872" w:rsidRDefault="00E67E3A">
      <w:pPr>
        <w:spacing w:line="360" w:lineRule="auto"/>
        <w:jc w:val="both"/>
        <w:rPr>
          <w:rFonts w:ascii="Palatino Linotype" w:eastAsia="Palatino Linotype" w:hAnsi="Palatino Linotype" w:cs="Palatino Linotype"/>
          <w:b/>
          <w:bCs/>
        </w:rPr>
      </w:pPr>
      <w:r w:rsidRPr="00206872">
        <w:rPr>
          <w:rFonts w:ascii="Palatino Linotype" w:eastAsia="Palatino Linotype" w:hAnsi="Palatino Linotype" w:cs="Palatino Linotype"/>
          <w:b/>
          <w:bCs/>
        </w:rPr>
        <w:t>PRIMERO</w:t>
      </w:r>
      <w:r w:rsidRPr="00206872">
        <w:rPr>
          <w:rFonts w:ascii="Palatino Linotype" w:eastAsia="Palatino Linotype" w:hAnsi="Palatino Linotype" w:cs="Palatino Linotype"/>
        </w:rPr>
        <w:t xml:space="preserve">. Resultan fundadas las razones o motivos de inconformidad hechos valer en el Recurso de Revisión </w:t>
      </w:r>
      <w:r w:rsidRPr="00206872">
        <w:rPr>
          <w:rFonts w:ascii="Palatino Linotype" w:eastAsia="Palatino Linotype" w:hAnsi="Palatino Linotype" w:cs="Palatino Linotype"/>
          <w:b/>
          <w:bCs/>
        </w:rPr>
        <w:t xml:space="preserve">11368/INFOEM/IP/RR/2025, </w:t>
      </w:r>
      <w:r w:rsidRPr="00206872">
        <w:rPr>
          <w:rFonts w:ascii="Palatino Linotype" w:eastAsia="Palatino Linotype" w:hAnsi="Palatino Linotype" w:cs="Palatino Linotype"/>
        </w:rPr>
        <w:t xml:space="preserve">en términos del Considerando </w:t>
      </w:r>
      <w:r w:rsidRPr="00206872">
        <w:rPr>
          <w:rFonts w:ascii="Palatino Linotype" w:eastAsia="Palatino Linotype" w:hAnsi="Palatino Linotype" w:cs="Palatino Linotype"/>
          <w:b/>
          <w:bCs/>
        </w:rPr>
        <w:t xml:space="preserve">Cuarto y Quinto </w:t>
      </w:r>
      <w:r w:rsidRPr="00206872">
        <w:rPr>
          <w:rFonts w:ascii="Palatino Linotype" w:eastAsia="Palatino Linotype" w:hAnsi="Palatino Linotype" w:cs="Palatino Linotype"/>
        </w:rPr>
        <w:t xml:space="preserve">de la presente resolución. </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pPr>
        <w:pBdr>
          <w:top w:val="nil"/>
          <w:left w:val="nil"/>
          <w:bottom w:val="nil"/>
          <w:right w:val="nil"/>
          <w:between w:val="nil"/>
        </w:pBdr>
        <w:spacing w:line="360" w:lineRule="auto"/>
        <w:jc w:val="both"/>
        <w:rPr>
          <w:rFonts w:ascii="Palatino Linotype" w:eastAsia="Palatino Linotype" w:hAnsi="Palatino Linotype" w:cs="Palatino Linotype"/>
        </w:rPr>
      </w:pPr>
      <w:bookmarkStart w:id="12" w:name="_heading=h.1ksv4uv" w:colFirst="0" w:colLast="0"/>
      <w:bookmarkEnd w:id="12"/>
      <w:r w:rsidRPr="00206872">
        <w:rPr>
          <w:rFonts w:ascii="Palatino Linotype" w:eastAsia="Palatino Linotype" w:hAnsi="Palatino Linotype" w:cs="Palatino Linotype"/>
          <w:b/>
          <w:bCs/>
        </w:rPr>
        <w:t xml:space="preserve">SEGUNDO. </w:t>
      </w:r>
      <w:r w:rsidRPr="00206872">
        <w:rPr>
          <w:rFonts w:ascii="Palatino Linotype" w:eastAsia="Palatino Linotype" w:hAnsi="Palatino Linotype" w:cs="Palatino Linotype"/>
          <w:color w:val="000000"/>
        </w:rPr>
        <w:t xml:space="preserve">Se </w:t>
      </w:r>
      <w:r w:rsidRPr="00206872">
        <w:rPr>
          <w:rFonts w:ascii="Palatino Linotype" w:eastAsia="Palatino Linotype" w:hAnsi="Palatino Linotype" w:cs="Palatino Linotype"/>
          <w:b/>
          <w:bCs/>
          <w:color w:val="000000"/>
        </w:rPr>
        <w:t xml:space="preserve">REVOCA </w:t>
      </w:r>
      <w:r w:rsidRPr="00206872">
        <w:rPr>
          <w:rFonts w:ascii="Palatino Linotype" w:eastAsia="Palatino Linotype" w:hAnsi="Palatino Linotype" w:cs="Palatino Linotype"/>
          <w:color w:val="000000"/>
        </w:rPr>
        <w:t xml:space="preserve">la respuesta emitida por el </w:t>
      </w:r>
      <w:r w:rsidRPr="00206872">
        <w:rPr>
          <w:rFonts w:ascii="Palatino Linotype" w:eastAsia="Palatino Linotype" w:hAnsi="Palatino Linotype" w:cs="Palatino Linotype"/>
          <w:b/>
          <w:bCs/>
          <w:color w:val="000000"/>
        </w:rPr>
        <w:t xml:space="preserve">Ayuntamiento de Tepotzotlán </w:t>
      </w:r>
      <w:r w:rsidRPr="00206872">
        <w:rPr>
          <w:rFonts w:ascii="Palatino Linotype" w:eastAsia="Palatino Linotype" w:hAnsi="Palatino Linotype" w:cs="Palatino Linotype"/>
          <w:color w:val="000000"/>
        </w:rPr>
        <w:t xml:space="preserve">y se </w:t>
      </w:r>
      <w:r w:rsidRPr="00206872">
        <w:rPr>
          <w:rFonts w:ascii="Palatino Linotype" w:eastAsia="Palatino Linotype" w:hAnsi="Palatino Linotype" w:cs="Palatino Linotype"/>
          <w:b/>
          <w:bCs/>
          <w:color w:val="000000"/>
        </w:rPr>
        <w:t>ORDENA</w:t>
      </w:r>
      <w:r w:rsidRPr="00206872">
        <w:rPr>
          <w:rFonts w:ascii="Palatino Linotype" w:eastAsia="Palatino Linotype" w:hAnsi="Palatino Linotype" w:cs="Palatino Linotype"/>
          <w:color w:val="000000"/>
        </w:rPr>
        <w:t xml:space="preserve"> entregar vía Sistema de Acceso a la Información,</w:t>
      </w:r>
      <w:r w:rsidRPr="00206872">
        <w:rPr>
          <w:rFonts w:ascii="Palatino Linotype" w:eastAsia="Palatino Linotype" w:hAnsi="Palatino Linotype" w:cs="Palatino Linotype"/>
        </w:rPr>
        <w:t xml:space="preserve"> después de una búsqueda exhaustiva y de ser procedente en versión pública, </w:t>
      </w:r>
      <w:r w:rsidR="001D649F" w:rsidRPr="00206872">
        <w:rPr>
          <w:rFonts w:ascii="Palatino Linotype" w:eastAsia="Palatino Linotype" w:hAnsi="Palatino Linotype" w:cs="Palatino Linotype"/>
        </w:rPr>
        <w:t xml:space="preserve">en relación a la Obra denominada </w:t>
      </w:r>
      <w:r w:rsidRPr="00206872">
        <w:rPr>
          <w:rFonts w:ascii="Palatino Linotype" w:eastAsia="Palatino Linotype" w:hAnsi="Palatino Linotype" w:cs="Palatino Linotype"/>
          <w:color w:val="000000"/>
        </w:rPr>
        <w:t>Puente de Conexión a la Autopista México – Querétaro (codo libramiento norte) el documento o documentos donde conste</w:t>
      </w:r>
      <w:r w:rsidRPr="00206872">
        <w:rPr>
          <w:rFonts w:ascii="Palatino Linotype" w:eastAsia="Palatino Linotype" w:hAnsi="Palatino Linotype" w:cs="Palatino Linotype"/>
          <w:b/>
          <w:bCs/>
          <w:i/>
          <w:iCs/>
          <w:color w:val="000000"/>
        </w:rPr>
        <w:t xml:space="preserve"> </w:t>
      </w:r>
      <w:r w:rsidRPr="00206872">
        <w:rPr>
          <w:rFonts w:ascii="Palatino Linotype" w:eastAsia="Palatino Linotype" w:hAnsi="Palatino Linotype" w:cs="Palatino Linotype"/>
        </w:rPr>
        <w:t xml:space="preserve">lo siguiente al </w:t>
      </w:r>
      <w:r w:rsidRPr="00206872">
        <w:rPr>
          <w:rFonts w:ascii="Palatino Linotype" w:eastAsia="Palatino Linotype" w:hAnsi="Palatino Linotype" w:cs="Palatino Linotype"/>
          <w:b/>
          <w:bCs/>
        </w:rPr>
        <w:t>veintinueve de agosto de dos mil veinticinco</w:t>
      </w:r>
      <w:r w:rsidRPr="00206872">
        <w:rPr>
          <w:rFonts w:ascii="Palatino Linotype" w:eastAsia="Palatino Linotype" w:hAnsi="Palatino Linotype" w:cs="Palatino Linotype"/>
        </w:rPr>
        <w:t xml:space="preserve">: </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bookmarkStart w:id="13" w:name="_heading=h.lnxbz9" w:colFirst="0" w:colLast="0"/>
      <w:bookmarkEnd w:id="13"/>
      <w:r w:rsidRPr="00206872">
        <w:rPr>
          <w:rFonts w:ascii="Palatino Linotype" w:eastAsia="Palatino Linotype" w:hAnsi="Palatino Linotype" w:cs="Palatino Linotype"/>
          <w:b/>
          <w:bCs/>
          <w:i/>
          <w:iCs/>
          <w:color w:val="000000"/>
        </w:rPr>
        <w:lastRenderedPageBreak/>
        <w:t>1. El monto original aprobado por el Cabildo para la ejecución de dicha obra.</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 2. </w:t>
      </w:r>
      <w:r w:rsidRPr="00206872">
        <w:rPr>
          <w:rFonts w:ascii="Palatino Linotype" w:eastAsia="Palatino Linotype" w:hAnsi="Palatino Linotype" w:cs="Palatino Linotype"/>
          <w:b/>
          <w:bCs/>
          <w:i/>
          <w:iCs/>
        </w:rPr>
        <w:t>A</w:t>
      </w:r>
      <w:r w:rsidRPr="00206872">
        <w:rPr>
          <w:rFonts w:ascii="Palatino Linotype" w:eastAsia="Palatino Linotype" w:hAnsi="Palatino Linotype" w:cs="Palatino Linotype"/>
          <w:b/>
          <w:bCs/>
          <w:i/>
          <w:iCs/>
          <w:color w:val="000000"/>
        </w:rPr>
        <w:t>mpliaciones presupuestales aprobad</w:t>
      </w:r>
      <w:r w:rsidRPr="00206872">
        <w:rPr>
          <w:rFonts w:ascii="Palatino Linotype" w:eastAsia="Palatino Linotype" w:hAnsi="Palatino Linotype" w:cs="Palatino Linotype"/>
          <w:b/>
          <w:bCs/>
          <w:i/>
          <w:iCs/>
        </w:rPr>
        <w:t>a</w:t>
      </w:r>
      <w:r w:rsidRPr="00206872">
        <w:rPr>
          <w:rFonts w:ascii="Palatino Linotype" w:eastAsia="Palatino Linotype" w:hAnsi="Palatino Linotype" w:cs="Palatino Linotype"/>
          <w:b/>
          <w:bCs/>
          <w:i/>
          <w:iCs/>
          <w:color w:val="000000"/>
        </w:rPr>
        <w:t>s para e</w:t>
      </w:r>
      <w:r w:rsidRPr="00206872">
        <w:rPr>
          <w:rFonts w:ascii="Palatino Linotype" w:eastAsia="Palatino Linotype" w:hAnsi="Palatino Linotype" w:cs="Palatino Linotype"/>
          <w:b/>
          <w:bCs/>
          <w:i/>
          <w:iCs/>
        </w:rPr>
        <w:t>l</w:t>
      </w:r>
      <w:r w:rsidRPr="00206872">
        <w:rPr>
          <w:rFonts w:ascii="Palatino Linotype" w:eastAsia="Palatino Linotype" w:hAnsi="Palatino Linotype" w:cs="Palatino Linotype"/>
          <w:b/>
          <w:bCs/>
          <w:i/>
          <w:iCs/>
          <w:color w:val="000000"/>
        </w:rPr>
        <w:t xml:space="preserve"> proyecto y su justificación técnica o administrativa </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3. Medidas de fiscalización y supervisión </w:t>
      </w:r>
      <w:r w:rsidRPr="00206872">
        <w:rPr>
          <w:rFonts w:ascii="Palatino Linotype" w:eastAsia="Palatino Linotype" w:hAnsi="Palatino Linotype" w:cs="Palatino Linotype"/>
          <w:b/>
          <w:bCs/>
          <w:i/>
          <w:iCs/>
        </w:rPr>
        <w:t xml:space="preserve">realizadas por </w:t>
      </w:r>
      <w:r w:rsidRPr="00206872">
        <w:rPr>
          <w:rFonts w:ascii="Palatino Linotype" w:eastAsia="Palatino Linotype" w:hAnsi="Palatino Linotype" w:cs="Palatino Linotype"/>
          <w:b/>
          <w:bCs/>
          <w:i/>
          <w:iCs/>
          <w:color w:val="000000"/>
        </w:rPr>
        <w:t xml:space="preserve">el Cabildo para evitar sobrecostos y retrasos </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4. Nombre de la empresa contratada para la ejecución de la obra.</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5. Historial de obras realizadas</w:t>
      </w:r>
      <w:r w:rsidR="001D649F" w:rsidRPr="00206872">
        <w:rPr>
          <w:rFonts w:ascii="Palatino Linotype" w:eastAsia="Palatino Linotype" w:hAnsi="Palatino Linotype" w:cs="Palatino Linotype"/>
          <w:b/>
          <w:bCs/>
          <w:i/>
          <w:iCs/>
          <w:color w:val="000000"/>
        </w:rPr>
        <w:t xml:space="preserve"> por</w:t>
      </w:r>
      <w:r w:rsidRPr="00206872">
        <w:rPr>
          <w:rFonts w:ascii="Palatino Linotype" w:eastAsia="Palatino Linotype" w:hAnsi="Palatino Linotype" w:cs="Palatino Linotype"/>
          <w:b/>
          <w:bCs/>
          <w:i/>
          <w:iCs/>
          <w:color w:val="000000"/>
        </w:rPr>
        <w:t xml:space="preserve"> la empresa contratada en otras obras en el municipio.</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6. Sanciones contractuales previstas en caso de incumplimient</w:t>
      </w:r>
      <w:r w:rsidR="001D649F" w:rsidRPr="00206872">
        <w:rPr>
          <w:rFonts w:ascii="Palatino Linotype" w:eastAsia="Palatino Linotype" w:hAnsi="Palatino Linotype" w:cs="Palatino Linotype"/>
          <w:b/>
          <w:bCs/>
          <w:i/>
          <w:iCs/>
          <w:color w:val="000000"/>
        </w:rPr>
        <w:t xml:space="preserve">o en plazos o mala calidad de la </w:t>
      </w:r>
      <w:r w:rsidRPr="00206872">
        <w:rPr>
          <w:rFonts w:ascii="Palatino Linotype" w:eastAsia="Palatino Linotype" w:hAnsi="Palatino Linotype" w:cs="Palatino Linotype"/>
          <w:b/>
          <w:bCs/>
          <w:i/>
          <w:iCs/>
          <w:color w:val="000000"/>
        </w:rPr>
        <w:t>obra .</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7. Porcentaje de avance físico y financiero. </w:t>
      </w:r>
    </w:p>
    <w:p w:rsidR="00E3559E" w:rsidRPr="00206872" w:rsidRDefault="00E67E3A">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8. Causas de los retrasos operativos que impiden la entrega del puente</w:t>
      </w:r>
      <w:r w:rsidRPr="00206872">
        <w:rPr>
          <w:rFonts w:ascii="Palatino Linotype" w:eastAsia="Palatino Linotype" w:hAnsi="Palatino Linotype" w:cs="Palatino Linotype"/>
          <w:b/>
          <w:bCs/>
          <w:i/>
          <w:iCs/>
        </w:rPr>
        <w:t>.</w:t>
      </w:r>
    </w:p>
    <w:p w:rsidR="00E3559E" w:rsidRPr="00206872" w:rsidRDefault="001D649F">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9. Documentos que acrediten la </w:t>
      </w:r>
      <w:r w:rsidR="00E67E3A" w:rsidRPr="00206872">
        <w:rPr>
          <w:rFonts w:ascii="Palatino Linotype" w:eastAsia="Palatino Linotype" w:hAnsi="Palatino Linotype" w:cs="Palatino Linotype"/>
          <w:b/>
          <w:bCs/>
          <w:i/>
          <w:iCs/>
          <w:color w:val="000000"/>
        </w:rPr>
        <w:t xml:space="preserve">supervisión externa que haya sido </w:t>
      </w:r>
      <w:r w:rsidR="00E67E3A" w:rsidRPr="00206872">
        <w:rPr>
          <w:rFonts w:ascii="Palatino Linotype" w:eastAsia="Palatino Linotype" w:hAnsi="Palatino Linotype" w:cs="Palatino Linotype"/>
          <w:b/>
          <w:bCs/>
          <w:i/>
          <w:iCs/>
        </w:rPr>
        <w:t>solicitada</w:t>
      </w:r>
      <w:r w:rsidR="00E67E3A" w:rsidRPr="00206872">
        <w:rPr>
          <w:rFonts w:ascii="Palatino Linotype" w:eastAsia="Palatino Linotype" w:hAnsi="Palatino Linotype" w:cs="Palatino Linotype"/>
          <w:b/>
          <w:bCs/>
          <w:i/>
          <w:iCs/>
          <w:color w:val="000000"/>
        </w:rPr>
        <w:t xml:space="preserve"> o </w:t>
      </w:r>
      <w:r w:rsidR="00E67E3A" w:rsidRPr="00206872">
        <w:rPr>
          <w:rFonts w:ascii="Palatino Linotype" w:eastAsia="Palatino Linotype" w:hAnsi="Palatino Linotype" w:cs="Palatino Linotype"/>
          <w:b/>
          <w:bCs/>
          <w:i/>
          <w:iCs/>
        </w:rPr>
        <w:t>gestionada</w:t>
      </w:r>
      <w:r w:rsidR="00E67E3A" w:rsidRPr="00206872">
        <w:rPr>
          <w:rFonts w:ascii="Palatino Linotype" w:eastAsia="Palatino Linotype" w:hAnsi="Palatino Linotype" w:cs="Palatino Linotype"/>
          <w:b/>
          <w:bCs/>
          <w:i/>
          <w:iCs/>
          <w:color w:val="000000"/>
        </w:rPr>
        <w:t xml:space="preserve"> por los regidores. </w:t>
      </w:r>
    </w:p>
    <w:p w:rsidR="00E3559E" w:rsidRPr="00206872" w:rsidRDefault="001D649F">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color w:val="000000"/>
        </w:rPr>
      </w:pPr>
      <w:r w:rsidRPr="00206872">
        <w:rPr>
          <w:rFonts w:ascii="Palatino Linotype" w:eastAsia="Palatino Linotype" w:hAnsi="Palatino Linotype" w:cs="Palatino Linotype"/>
          <w:b/>
          <w:bCs/>
          <w:i/>
          <w:iCs/>
          <w:color w:val="000000"/>
        </w:rPr>
        <w:t xml:space="preserve">10. Fecha de </w:t>
      </w:r>
      <w:r w:rsidR="00E67E3A" w:rsidRPr="00206872">
        <w:rPr>
          <w:rFonts w:ascii="Palatino Linotype" w:eastAsia="Palatino Linotype" w:hAnsi="Palatino Linotype" w:cs="Palatino Linotype"/>
          <w:b/>
          <w:bCs/>
          <w:i/>
          <w:iCs/>
          <w:color w:val="000000"/>
        </w:rPr>
        <w:t>término y entrega de la obra.</w:t>
      </w:r>
    </w:p>
    <w:p w:rsidR="00E3559E" w:rsidRPr="00206872" w:rsidRDefault="00E3559E">
      <w:pPr>
        <w:pBdr>
          <w:top w:val="nil"/>
          <w:left w:val="nil"/>
          <w:bottom w:val="nil"/>
          <w:right w:val="nil"/>
          <w:between w:val="nil"/>
        </w:pBdr>
        <w:spacing w:line="360" w:lineRule="auto"/>
        <w:ind w:left="1134" w:right="1134"/>
        <w:jc w:val="both"/>
        <w:rPr>
          <w:rFonts w:ascii="Palatino Linotype" w:eastAsia="Palatino Linotype" w:hAnsi="Palatino Linotype" w:cs="Palatino Linotype"/>
          <w:b/>
          <w:bCs/>
          <w:i/>
          <w:iCs/>
        </w:rPr>
      </w:pPr>
    </w:p>
    <w:p w:rsidR="00E3559E" w:rsidRPr="00206872" w:rsidRDefault="00E67E3A">
      <w:pPr>
        <w:tabs>
          <w:tab w:val="left" w:pos="8080"/>
        </w:tabs>
        <w:spacing w:line="276" w:lineRule="auto"/>
        <w:ind w:left="141" w:right="4"/>
        <w:jc w:val="both"/>
        <w:rPr>
          <w:rFonts w:ascii="Palatino Linotype" w:eastAsia="Palatino Linotype" w:hAnsi="Palatino Linotype" w:cs="Palatino Linotype"/>
          <w:b/>
          <w:bCs/>
        </w:rPr>
      </w:pPr>
      <w:r w:rsidRPr="00206872">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206872">
        <w:rPr>
          <w:rFonts w:ascii="Palatino Linotype" w:eastAsia="Palatino Linotype" w:hAnsi="Palatino Linotype" w:cs="Palatino Linotype"/>
          <w:b/>
          <w:bCs/>
        </w:rPr>
        <w:t>RECURRENTE.</w:t>
      </w:r>
    </w:p>
    <w:p w:rsidR="00E3559E" w:rsidRPr="00206872" w:rsidRDefault="00E3559E">
      <w:pPr>
        <w:tabs>
          <w:tab w:val="left" w:pos="8080"/>
        </w:tabs>
        <w:spacing w:line="276" w:lineRule="auto"/>
        <w:ind w:left="141" w:right="4"/>
        <w:jc w:val="both"/>
        <w:rPr>
          <w:rFonts w:ascii="Palatino Linotype" w:eastAsia="Palatino Linotype" w:hAnsi="Palatino Linotype" w:cs="Palatino Linotype"/>
        </w:rPr>
      </w:pPr>
    </w:p>
    <w:p w:rsidR="00E3559E" w:rsidRPr="00206872" w:rsidRDefault="001D649F">
      <w:pPr>
        <w:tabs>
          <w:tab w:val="left" w:pos="8080"/>
        </w:tabs>
        <w:spacing w:line="276" w:lineRule="auto"/>
        <w:ind w:left="141" w:right="4"/>
        <w:jc w:val="both"/>
        <w:rPr>
          <w:rFonts w:ascii="Palatino Linotype" w:eastAsia="Palatino Linotype" w:hAnsi="Palatino Linotype" w:cs="Palatino Linotype"/>
        </w:rPr>
      </w:pPr>
      <w:r w:rsidRPr="00206872">
        <w:rPr>
          <w:rFonts w:ascii="Palatino Linotype" w:eastAsia="Palatino Linotype" w:hAnsi="Palatino Linotype" w:cs="Palatino Linotype"/>
        </w:rPr>
        <w:lastRenderedPageBreak/>
        <w:t>Para los puntos dos, tres, cinco, ocho</w:t>
      </w:r>
      <w:r w:rsidR="00E67E3A" w:rsidRPr="00206872">
        <w:rPr>
          <w:rFonts w:ascii="Palatino Linotype" w:eastAsia="Palatino Linotype" w:hAnsi="Palatino Linotype" w:cs="Palatino Linotype"/>
        </w:rPr>
        <w:t xml:space="preserve"> y nueve, para el caso en que no se cuente con la información por no haber sido generada, bastará con que así se haga del conocimiento a LA PARTE RECURRENTE en términos de lo que establece el artículo 19 segundo párrafo de la Ley de Transparencia Local.</w:t>
      </w:r>
    </w:p>
    <w:p w:rsidR="00E3559E" w:rsidRPr="00206872" w:rsidRDefault="00E3559E">
      <w:pPr>
        <w:tabs>
          <w:tab w:val="left" w:pos="8080"/>
        </w:tabs>
        <w:spacing w:line="360" w:lineRule="auto"/>
        <w:jc w:val="both"/>
        <w:rPr>
          <w:rFonts w:ascii="Palatino Linotype" w:eastAsia="Palatino Linotype" w:hAnsi="Palatino Linotype" w:cs="Palatino Linotype"/>
        </w:rPr>
      </w:pPr>
    </w:p>
    <w:p w:rsidR="00E3559E" w:rsidRPr="00206872" w:rsidRDefault="00E67E3A">
      <w:pPr>
        <w:tabs>
          <w:tab w:val="left" w:pos="8080"/>
        </w:tabs>
        <w:spacing w:line="360" w:lineRule="auto"/>
        <w:jc w:val="both"/>
        <w:rPr>
          <w:rFonts w:ascii="Palatino Linotype" w:eastAsia="Palatino Linotype" w:hAnsi="Palatino Linotype" w:cs="Palatino Linotype"/>
          <w:color w:val="222222"/>
        </w:rPr>
      </w:pPr>
      <w:r w:rsidRPr="00206872">
        <w:rPr>
          <w:rFonts w:ascii="Palatino Linotype" w:eastAsia="Palatino Linotype" w:hAnsi="Palatino Linotype" w:cs="Palatino Linotype"/>
          <w:b/>
          <w:bCs/>
        </w:rPr>
        <w:t xml:space="preserve">TERCERO. </w:t>
      </w:r>
      <w:r w:rsidRPr="00206872">
        <w:rPr>
          <w:rFonts w:ascii="Palatino Linotype" w:eastAsia="Palatino Linotype" w:hAnsi="Palatino Linotype" w:cs="Palatino Linotype"/>
          <w:color w:val="2222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206872">
        <w:rPr>
          <w:rFonts w:ascii="Palatino Linotype" w:eastAsia="Palatino Linotype" w:hAnsi="Palatino Linotype" w:cs="Palatino Linotype"/>
          <w:b/>
          <w:bCs/>
          <w:color w:val="222222"/>
        </w:rPr>
        <w:t xml:space="preserve">dé cumplimiento a lo ordenado dentro del plazo de diez días hábiles, </w:t>
      </w:r>
      <w:r w:rsidRPr="00206872">
        <w:rPr>
          <w:rFonts w:ascii="Palatino Linotype" w:eastAsia="Palatino Linotype" w:hAnsi="Palatino Linotype" w:cs="Palatino Linotype"/>
          <w:color w:val="2222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E3559E" w:rsidRPr="00206872" w:rsidRDefault="00E3559E">
      <w:pPr>
        <w:tabs>
          <w:tab w:val="left" w:pos="8080"/>
        </w:tabs>
        <w:spacing w:line="360" w:lineRule="auto"/>
        <w:jc w:val="both"/>
        <w:rPr>
          <w:rFonts w:ascii="Palatino Linotype" w:eastAsia="Palatino Linotype" w:hAnsi="Palatino Linotype" w:cs="Palatino Linotype"/>
          <w:color w:val="222222"/>
        </w:rPr>
      </w:pPr>
    </w:p>
    <w:p w:rsidR="00E3559E" w:rsidRPr="00206872" w:rsidRDefault="00E67E3A">
      <w:pPr>
        <w:spacing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b/>
          <w:bCs/>
        </w:rPr>
        <w:t xml:space="preserve">CUARTO. </w:t>
      </w:r>
      <w:r w:rsidRPr="00206872">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206872">
        <w:rPr>
          <w:rFonts w:ascii="Palatino Linotype" w:eastAsia="Palatino Linotype" w:hAnsi="Palatino Linotype" w:cs="Palatino Linotype"/>
          <w:b/>
          <w:bCs/>
        </w:rPr>
        <w:t>SUJETO OBLIGADO</w:t>
      </w:r>
      <w:r w:rsidRPr="00206872">
        <w:rPr>
          <w:rFonts w:ascii="Palatino Linotype" w:eastAsia="Palatino Linotype" w:hAnsi="Palatino Linotype" w:cs="Palatino Linotype"/>
        </w:rPr>
        <w:t xml:space="preserve"> de manera fundada y motivada, podrá solicitar una ampliación de plazo para el cumplimiento de la presente resolución.</w:t>
      </w: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67E3A">
      <w:pPr>
        <w:spacing w:line="360" w:lineRule="auto"/>
        <w:jc w:val="both"/>
        <w:rPr>
          <w:rFonts w:ascii="Palatino Linotype" w:eastAsia="Palatino Linotype" w:hAnsi="Palatino Linotype" w:cs="Palatino Linotype"/>
        </w:rPr>
      </w:pPr>
      <w:bookmarkStart w:id="14" w:name="_heading=h.2jxsxqh" w:colFirst="0" w:colLast="0"/>
      <w:bookmarkEnd w:id="14"/>
      <w:r w:rsidRPr="00206872">
        <w:rPr>
          <w:rFonts w:ascii="Palatino Linotype" w:eastAsia="Palatino Linotype" w:hAnsi="Palatino Linotype" w:cs="Palatino Linotype"/>
          <w:b/>
          <w:bCs/>
        </w:rPr>
        <w:t xml:space="preserve">QUINTO. </w:t>
      </w:r>
      <w:r w:rsidRPr="00206872">
        <w:rPr>
          <w:rFonts w:ascii="Palatino Linotype" w:eastAsia="Palatino Linotype" w:hAnsi="Palatino Linotype" w:cs="Palatino Linotype"/>
        </w:rPr>
        <w:t xml:space="preserve">Notifíquese a </w:t>
      </w:r>
      <w:r w:rsidRPr="00206872">
        <w:rPr>
          <w:rFonts w:ascii="Palatino Linotype" w:eastAsia="Palatino Linotype" w:hAnsi="Palatino Linotype" w:cs="Palatino Linotype"/>
          <w:b/>
          <w:bCs/>
        </w:rPr>
        <w:t>EL RECURRENTE</w:t>
      </w:r>
      <w:r w:rsidRPr="00206872">
        <w:rPr>
          <w:rFonts w:ascii="Palatino Linotype" w:eastAsia="Palatino Linotype" w:hAnsi="Palatino Linotype" w:cs="Palatino Linotype"/>
        </w:rPr>
        <w:t xml:space="preserve"> la presente resolución, vía SAIMEX.</w:t>
      </w:r>
    </w:p>
    <w:p w:rsidR="00E3559E" w:rsidRPr="00206872" w:rsidRDefault="00E3559E">
      <w:pPr>
        <w:shd w:val="clear" w:color="auto" w:fill="FFFFFF"/>
        <w:spacing w:line="360" w:lineRule="auto"/>
        <w:jc w:val="both"/>
        <w:rPr>
          <w:rFonts w:ascii="Palatino Linotype" w:eastAsia="Palatino Linotype" w:hAnsi="Palatino Linotype" w:cs="Palatino Linotype"/>
          <w:b/>
          <w:bCs/>
        </w:rPr>
      </w:pPr>
    </w:p>
    <w:p w:rsidR="00E3559E" w:rsidRPr="00206872" w:rsidRDefault="00E67E3A">
      <w:pPr>
        <w:spacing w:line="360" w:lineRule="auto"/>
        <w:jc w:val="both"/>
        <w:rPr>
          <w:rFonts w:ascii="Palatino Linotype" w:eastAsia="Palatino Linotype" w:hAnsi="Palatino Linotype" w:cs="Palatino Linotype"/>
        </w:rPr>
      </w:pPr>
      <w:r w:rsidRPr="00206872">
        <w:rPr>
          <w:rFonts w:ascii="Palatino Linotype" w:eastAsia="Palatino Linotype" w:hAnsi="Palatino Linotype" w:cs="Palatino Linotype"/>
          <w:b/>
          <w:bCs/>
        </w:rPr>
        <w:t xml:space="preserve">SEXTO. </w:t>
      </w:r>
      <w:r w:rsidRPr="00206872">
        <w:rPr>
          <w:rFonts w:ascii="Palatino Linotype" w:eastAsia="Palatino Linotype" w:hAnsi="Palatino Linotype" w:cs="Palatino Linotype"/>
        </w:rPr>
        <w:t xml:space="preserve">Se hace del conocimiento del </w:t>
      </w:r>
      <w:r w:rsidRPr="00206872">
        <w:rPr>
          <w:rFonts w:ascii="Palatino Linotype" w:eastAsia="Palatino Linotype" w:hAnsi="Palatino Linotype" w:cs="Palatino Linotype"/>
          <w:b/>
          <w:bCs/>
        </w:rPr>
        <w:t>RECURRENTE</w:t>
      </w:r>
      <w:r w:rsidRPr="00206872">
        <w:rPr>
          <w:rFonts w:ascii="Palatino Linotype" w:eastAsia="Palatino Linotype" w:hAnsi="Palatino Linotype" w:cs="Palatino Linotype"/>
        </w:rPr>
        <w:t xml:space="preserve"> que, de conformidad con lo establecido en el artículo 196 de la Ley de Transparencia y Acceso a la Información Pública del Estado de </w:t>
      </w:r>
      <w:r w:rsidRPr="00206872">
        <w:rPr>
          <w:rFonts w:ascii="Palatino Linotype" w:eastAsia="Palatino Linotype" w:hAnsi="Palatino Linotype" w:cs="Palatino Linotype"/>
        </w:rPr>
        <w:lastRenderedPageBreak/>
        <w:t>México y Municipios, en caso de que considere que la resolución le cause algún perjuicio podrá impugnarla vía juicio de amparo en los términos de las leyes aplicables.</w:t>
      </w:r>
    </w:p>
    <w:p w:rsidR="00E3559E" w:rsidRPr="00206872" w:rsidRDefault="00E3559E">
      <w:pPr>
        <w:shd w:val="clear" w:color="auto" w:fill="FFFFFF"/>
        <w:spacing w:line="360" w:lineRule="auto"/>
        <w:jc w:val="both"/>
        <w:rPr>
          <w:rFonts w:ascii="Palatino Linotype" w:eastAsia="Palatino Linotype" w:hAnsi="Palatino Linotype" w:cs="Palatino Linotype"/>
        </w:rPr>
      </w:pPr>
    </w:p>
    <w:p w:rsidR="001D649F" w:rsidRPr="00206872" w:rsidRDefault="001D649F" w:rsidP="001D649F">
      <w:pPr>
        <w:spacing w:before="240" w:after="240" w:line="360" w:lineRule="auto"/>
        <w:ind w:firstLine="1"/>
        <w:jc w:val="both"/>
        <w:rPr>
          <w:rFonts w:ascii="Palatino Linotype" w:hAnsi="Palatino Linotype"/>
        </w:rPr>
      </w:pPr>
      <w:bookmarkStart w:id="15" w:name="_Hlk99014733"/>
      <w:r w:rsidRPr="00206872">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206872">
        <w:rPr>
          <w:rFonts w:ascii="Palatino Linotype" w:hAnsi="Palatino Linotype" w:cs="Palatino Linotype"/>
          <w:color w:val="000000" w:themeColor="text1"/>
        </w:rPr>
        <w:t>ALEXIS TAPIA RAMÍREZ.</w:t>
      </w:r>
    </w:p>
    <w:bookmarkEnd w:id="15"/>
    <w:p w:rsidR="00E3559E" w:rsidRPr="00206872" w:rsidRDefault="00E3559E">
      <w:pPr>
        <w:spacing w:before="240" w:after="240" w:line="360" w:lineRule="auto"/>
        <w:jc w:val="both"/>
        <w:rPr>
          <w:rFonts w:ascii="Palatino Linotype" w:eastAsia="Palatino Linotype" w:hAnsi="Palatino Linotype" w:cs="Palatino Linotype"/>
        </w:rPr>
      </w:pPr>
    </w:p>
    <w:p w:rsidR="00E3559E" w:rsidRPr="00206872" w:rsidRDefault="00E3559E">
      <w:pPr>
        <w:spacing w:before="240" w:after="240" w:line="360" w:lineRule="auto"/>
        <w:jc w:val="both"/>
        <w:rPr>
          <w:rFonts w:ascii="Palatino Linotype" w:eastAsia="Palatino Linotype" w:hAnsi="Palatino Linotype" w:cs="Palatino Linotype"/>
        </w:rPr>
      </w:pPr>
    </w:p>
    <w:p w:rsidR="00E3559E" w:rsidRPr="00206872" w:rsidRDefault="00E3559E">
      <w:pPr>
        <w:spacing w:line="360" w:lineRule="auto"/>
        <w:jc w:val="both"/>
        <w:rPr>
          <w:rFonts w:ascii="Palatino Linotype" w:eastAsia="Palatino Linotype" w:hAnsi="Palatino Linotype" w:cs="Palatino Linotype"/>
        </w:rPr>
      </w:pPr>
    </w:p>
    <w:p w:rsidR="00E3559E" w:rsidRPr="00206872" w:rsidRDefault="00E3559E">
      <w:pPr>
        <w:keepNext/>
        <w:keepLines/>
        <w:spacing w:after="240" w:line="360" w:lineRule="auto"/>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E3559E" w:rsidRPr="00206872" w:rsidRDefault="00E3559E">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p w:rsidR="008A3949" w:rsidRPr="00206872" w:rsidRDefault="008A3949">
      <w:pPr>
        <w:rPr>
          <w:rFonts w:ascii="Palatino Linotype" w:eastAsia="Palatino Linotype" w:hAnsi="Palatino Linotype" w:cs="Palatino Linotype"/>
        </w:rPr>
      </w:pPr>
    </w:p>
    <w:sectPr w:rsidR="008A3949" w:rsidRPr="00206872" w:rsidSect="00206872">
      <w:headerReference w:type="default" r:id="rId28"/>
      <w:footerReference w:type="default" r:id="rId29"/>
      <w:headerReference w:type="first" r:id="rId30"/>
      <w:footerReference w:type="first" r:id="rId31"/>
      <w:pgSz w:w="12240" w:h="15840"/>
      <w:pgMar w:top="2410" w:right="758"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A6E" w:rsidRDefault="00B94A6E">
      <w:r>
        <w:separator/>
      </w:r>
    </w:p>
  </w:endnote>
  <w:endnote w:type="continuationSeparator" w:id="0">
    <w:p w:rsidR="00B94A6E" w:rsidRDefault="00B9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05F7DF43-2073-4378-9E15-4D563DB28F7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66FE62E8-4210-449E-BF12-569633A150EF}"/>
    <w:embedBold r:id="rId3" w:fontKey="{EAE224A2-A41B-44E6-B814-0AE312341896}"/>
    <w:embedItalic r:id="rId4" w:fontKey="{E53F8ECC-E3A8-434A-8E51-072ED015A871}"/>
    <w:embedBoldItalic r:id="rId5" w:fontKey="{92CB84B4-D429-45A0-BE61-7A25B16EDB97}"/>
  </w:font>
  <w:font w:name="Calibri">
    <w:panose1 w:val="020F0502020204030204"/>
    <w:charset w:val="00"/>
    <w:family w:val="swiss"/>
    <w:pitch w:val="variable"/>
    <w:sig w:usb0="E4002EFF" w:usb1="C200247B" w:usb2="00000009" w:usb3="00000000" w:csb0="000001FF" w:csb1="00000000"/>
    <w:embedRegular r:id="rId6" w:fontKey="{2917CE5D-BCDA-418E-9F7F-F48159A55842}"/>
  </w:font>
  <w:font w:name="Calibri Light">
    <w:panose1 w:val="020F0302020204030204"/>
    <w:charset w:val="00"/>
    <w:family w:val="swiss"/>
    <w:pitch w:val="variable"/>
    <w:sig w:usb0="E4002EFF" w:usb1="C200247B" w:usb2="00000009" w:usb3="00000000" w:csb0="000001FF" w:csb1="00000000"/>
    <w:embedRegular r:id="rId7" w:fontKey="{C63EA89B-86CA-4BDC-9FA9-BA7273345383}"/>
  </w:font>
  <w:font w:name="Georgia">
    <w:panose1 w:val="02040502050405020303"/>
    <w:charset w:val="00"/>
    <w:family w:val="roman"/>
    <w:pitch w:val="variable"/>
    <w:sig w:usb0="00000287" w:usb1="00000000" w:usb2="00000000" w:usb3="00000000" w:csb0="0000009F" w:csb1="00000000"/>
    <w:embedItalic r:id="rId8" w:fontKey="{0445AB41-DD87-4797-BC7B-F25260B5029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2" w:rsidRPr="00206872" w:rsidRDefault="00206872">
    <w:pPr>
      <w:pBdr>
        <w:top w:val="nil"/>
        <w:left w:val="nil"/>
        <w:bottom w:val="nil"/>
        <w:right w:val="nil"/>
        <w:between w:val="nil"/>
      </w:pBdr>
      <w:tabs>
        <w:tab w:val="center" w:pos="4252"/>
        <w:tab w:val="right" w:pos="8504"/>
      </w:tabs>
      <w:jc w:val="right"/>
      <w:rPr>
        <w:rFonts w:ascii="Palatino Linotype" w:eastAsia="Arial" w:hAnsi="Palatino Linotype" w:cs="Arial"/>
        <w:b/>
        <w:color w:val="000000"/>
        <w:sz w:val="22"/>
        <w:szCs w:val="20"/>
      </w:rPr>
    </w:pPr>
    <w:r w:rsidRPr="00206872">
      <w:rPr>
        <w:rFonts w:ascii="Palatino Linotype" w:eastAsia="Arial" w:hAnsi="Palatino Linotype" w:cs="Arial"/>
        <w:b/>
        <w:bCs/>
        <w:color w:val="000000"/>
        <w:sz w:val="22"/>
        <w:szCs w:val="20"/>
      </w:rPr>
      <w:t xml:space="preserve">Página </w:t>
    </w:r>
    <w:r w:rsidRPr="00206872">
      <w:rPr>
        <w:rFonts w:ascii="Palatino Linotype" w:eastAsia="Arial" w:hAnsi="Palatino Linotype" w:cs="Arial"/>
        <w:b/>
        <w:bCs/>
        <w:color w:val="000000"/>
        <w:sz w:val="22"/>
        <w:szCs w:val="20"/>
      </w:rPr>
      <w:fldChar w:fldCharType="begin"/>
    </w:r>
    <w:r w:rsidRPr="00206872">
      <w:rPr>
        <w:rFonts w:ascii="Palatino Linotype" w:eastAsia="Arial" w:hAnsi="Palatino Linotype" w:cs="Arial"/>
        <w:b/>
        <w:bCs/>
        <w:color w:val="000000"/>
        <w:sz w:val="22"/>
        <w:szCs w:val="20"/>
      </w:rPr>
      <w:instrText>PAGE</w:instrText>
    </w:r>
    <w:r w:rsidRPr="00206872">
      <w:rPr>
        <w:rFonts w:ascii="Palatino Linotype" w:eastAsia="Arial" w:hAnsi="Palatino Linotype" w:cs="Arial"/>
        <w:b/>
        <w:bCs/>
        <w:color w:val="000000"/>
        <w:sz w:val="22"/>
        <w:szCs w:val="20"/>
      </w:rPr>
      <w:fldChar w:fldCharType="separate"/>
    </w:r>
    <w:r w:rsidR="00E17897">
      <w:rPr>
        <w:rFonts w:ascii="Palatino Linotype" w:eastAsia="Arial" w:hAnsi="Palatino Linotype" w:cs="Arial"/>
        <w:b/>
        <w:bCs/>
        <w:noProof/>
        <w:color w:val="000000"/>
        <w:sz w:val="22"/>
        <w:szCs w:val="20"/>
      </w:rPr>
      <w:t>21</w:t>
    </w:r>
    <w:r w:rsidRPr="00206872">
      <w:rPr>
        <w:rFonts w:ascii="Palatino Linotype" w:eastAsia="Arial" w:hAnsi="Palatino Linotype" w:cs="Arial"/>
        <w:b/>
        <w:bCs/>
        <w:color w:val="000000"/>
        <w:sz w:val="22"/>
        <w:szCs w:val="20"/>
      </w:rPr>
      <w:fldChar w:fldCharType="end"/>
    </w:r>
    <w:r w:rsidRPr="00206872">
      <w:rPr>
        <w:rFonts w:ascii="Palatino Linotype" w:eastAsia="Arial" w:hAnsi="Palatino Linotype" w:cs="Arial"/>
        <w:b/>
        <w:color w:val="000000"/>
        <w:sz w:val="22"/>
        <w:szCs w:val="20"/>
      </w:rPr>
      <w:t xml:space="preserve"> de </w:t>
    </w:r>
    <w:r w:rsidRPr="00206872">
      <w:rPr>
        <w:rFonts w:ascii="Palatino Linotype" w:eastAsia="Arial" w:hAnsi="Palatino Linotype" w:cs="Arial"/>
        <w:b/>
        <w:bCs/>
        <w:color w:val="000000"/>
        <w:sz w:val="22"/>
        <w:szCs w:val="20"/>
      </w:rPr>
      <w:fldChar w:fldCharType="begin"/>
    </w:r>
    <w:r w:rsidRPr="00206872">
      <w:rPr>
        <w:rFonts w:ascii="Palatino Linotype" w:eastAsia="Arial" w:hAnsi="Palatino Linotype" w:cs="Arial"/>
        <w:b/>
        <w:bCs/>
        <w:color w:val="000000"/>
        <w:sz w:val="22"/>
        <w:szCs w:val="20"/>
      </w:rPr>
      <w:instrText>NUMPAGES</w:instrText>
    </w:r>
    <w:r w:rsidRPr="00206872">
      <w:rPr>
        <w:rFonts w:ascii="Palatino Linotype" w:eastAsia="Arial" w:hAnsi="Palatino Linotype" w:cs="Arial"/>
        <w:b/>
        <w:bCs/>
        <w:color w:val="000000"/>
        <w:sz w:val="22"/>
        <w:szCs w:val="20"/>
      </w:rPr>
      <w:fldChar w:fldCharType="separate"/>
    </w:r>
    <w:r w:rsidR="00E17897">
      <w:rPr>
        <w:rFonts w:ascii="Palatino Linotype" w:eastAsia="Arial" w:hAnsi="Palatino Linotype" w:cs="Arial"/>
        <w:b/>
        <w:bCs/>
        <w:noProof/>
        <w:color w:val="000000"/>
        <w:sz w:val="22"/>
        <w:szCs w:val="20"/>
      </w:rPr>
      <w:t>78</w:t>
    </w:r>
    <w:r w:rsidRPr="00206872">
      <w:rPr>
        <w:rFonts w:ascii="Palatino Linotype" w:eastAsia="Arial" w:hAnsi="Palatino Linotype" w:cs="Arial"/>
        <w:b/>
        <w:bCs/>
        <w:color w:val="000000"/>
        <w:sz w:val="22"/>
        <w:szCs w:val="20"/>
      </w:rPr>
      <w:fldChar w:fldCharType="end"/>
    </w:r>
  </w:p>
  <w:p w:rsidR="00206872" w:rsidRDefault="00206872">
    <w:pPr>
      <w:pBdr>
        <w:top w:val="nil"/>
        <w:left w:val="nil"/>
        <w:bottom w:val="nil"/>
        <w:right w:val="nil"/>
        <w:between w:val="nil"/>
      </w:pBdr>
      <w:tabs>
        <w:tab w:val="center" w:pos="4252"/>
        <w:tab w:val="right" w:pos="8504"/>
      </w:tabs>
      <w:rPr>
        <w:color w:val="000000"/>
      </w:rPr>
    </w:pPr>
  </w:p>
  <w:p w:rsidR="00206872" w:rsidRDefault="00206872">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872" w:rsidRPr="00206872" w:rsidRDefault="00206872">
    <w:pPr>
      <w:pBdr>
        <w:top w:val="nil"/>
        <w:left w:val="nil"/>
        <w:bottom w:val="nil"/>
        <w:right w:val="nil"/>
        <w:between w:val="nil"/>
      </w:pBdr>
      <w:tabs>
        <w:tab w:val="center" w:pos="4252"/>
        <w:tab w:val="right" w:pos="8504"/>
      </w:tabs>
      <w:jc w:val="right"/>
      <w:rPr>
        <w:rFonts w:ascii="Palatino Linotype" w:eastAsia="Arial" w:hAnsi="Palatino Linotype" w:cs="Arial"/>
        <w:color w:val="000000"/>
        <w:sz w:val="22"/>
        <w:szCs w:val="20"/>
      </w:rPr>
    </w:pPr>
    <w:r w:rsidRPr="00206872">
      <w:rPr>
        <w:rFonts w:ascii="Palatino Linotype" w:eastAsia="Arial" w:hAnsi="Palatino Linotype" w:cs="Arial"/>
        <w:b/>
        <w:bCs/>
        <w:color w:val="000000"/>
        <w:sz w:val="22"/>
        <w:szCs w:val="20"/>
      </w:rPr>
      <w:t xml:space="preserve">Página </w:t>
    </w:r>
    <w:r w:rsidRPr="00206872">
      <w:rPr>
        <w:rFonts w:ascii="Palatino Linotype" w:eastAsia="Arial" w:hAnsi="Palatino Linotype" w:cs="Arial"/>
        <w:b/>
        <w:bCs/>
        <w:color w:val="000000"/>
        <w:sz w:val="22"/>
        <w:szCs w:val="20"/>
      </w:rPr>
      <w:fldChar w:fldCharType="begin"/>
    </w:r>
    <w:r w:rsidRPr="00206872">
      <w:rPr>
        <w:rFonts w:ascii="Palatino Linotype" w:eastAsia="Arial" w:hAnsi="Palatino Linotype" w:cs="Arial"/>
        <w:b/>
        <w:bCs/>
        <w:color w:val="000000"/>
        <w:sz w:val="22"/>
        <w:szCs w:val="20"/>
      </w:rPr>
      <w:instrText>PAGE</w:instrText>
    </w:r>
    <w:r w:rsidRPr="00206872">
      <w:rPr>
        <w:rFonts w:ascii="Palatino Linotype" w:eastAsia="Arial" w:hAnsi="Palatino Linotype" w:cs="Arial"/>
        <w:b/>
        <w:bCs/>
        <w:color w:val="000000"/>
        <w:sz w:val="22"/>
        <w:szCs w:val="20"/>
      </w:rPr>
      <w:fldChar w:fldCharType="separate"/>
    </w:r>
    <w:r w:rsidR="00E17897">
      <w:rPr>
        <w:rFonts w:ascii="Palatino Linotype" w:eastAsia="Arial" w:hAnsi="Palatino Linotype" w:cs="Arial"/>
        <w:b/>
        <w:bCs/>
        <w:noProof/>
        <w:color w:val="000000"/>
        <w:sz w:val="22"/>
        <w:szCs w:val="20"/>
      </w:rPr>
      <w:t>1</w:t>
    </w:r>
    <w:r w:rsidRPr="00206872">
      <w:rPr>
        <w:rFonts w:ascii="Palatino Linotype" w:eastAsia="Arial" w:hAnsi="Palatino Linotype" w:cs="Arial"/>
        <w:b/>
        <w:bCs/>
        <w:color w:val="000000"/>
        <w:sz w:val="22"/>
        <w:szCs w:val="20"/>
      </w:rPr>
      <w:fldChar w:fldCharType="end"/>
    </w:r>
    <w:r w:rsidRPr="00206872">
      <w:rPr>
        <w:rFonts w:ascii="Palatino Linotype" w:eastAsia="Arial" w:hAnsi="Palatino Linotype" w:cs="Arial"/>
        <w:color w:val="000000"/>
        <w:sz w:val="22"/>
        <w:szCs w:val="20"/>
      </w:rPr>
      <w:t xml:space="preserve"> de </w:t>
    </w:r>
    <w:r w:rsidRPr="00206872">
      <w:rPr>
        <w:rFonts w:ascii="Palatino Linotype" w:eastAsia="Arial" w:hAnsi="Palatino Linotype" w:cs="Arial"/>
        <w:b/>
        <w:bCs/>
        <w:color w:val="000000"/>
        <w:sz w:val="22"/>
        <w:szCs w:val="20"/>
      </w:rPr>
      <w:fldChar w:fldCharType="begin"/>
    </w:r>
    <w:r w:rsidRPr="00206872">
      <w:rPr>
        <w:rFonts w:ascii="Palatino Linotype" w:eastAsia="Arial" w:hAnsi="Palatino Linotype" w:cs="Arial"/>
        <w:b/>
        <w:bCs/>
        <w:color w:val="000000"/>
        <w:sz w:val="22"/>
        <w:szCs w:val="20"/>
      </w:rPr>
      <w:instrText>NUMPAGES</w:instrText>
    </w:r>
    <w:r w:rsidRPr="00206872">
      <w:rPr>
        <w:rFonts w:ascii="Palatino Linotype" w:eastAsia="Arial" w:hAnsi="Palatino Linotype" w:cs="Arial"/>
        <w:b/>
        <w:bCs/>
        <w:color w:val="000000"/>
        <w:sz w:val="22"/>
        <w:szCs w:val="20"/>
      </w:rPr>
      <w:fldChar w:fldCharType="separate"/>
    </w:r>
    <w:r w:rsidR="00E17897">
      <w:rPr>
        <w:rFonts w:ascii="Palatino Linotype" w:eastAsia="Arial" w:hAnsi="Palatino Linotype" w:cs="Arial"/>
        <w:b/>
        <w:bCs/>
        <w:noProof/>
        <w:color w:val="000000"/>
        <w:sz w:val="22"/>
        <w:szCs w:val="20"/>
      </w:rPr>
      <w:t>78</w:t>
    </w:r>
    <w:r w:rsidRPr="00206872">
      <w:rPr>
        <w:rFonts w:ascii="Palatino Linotype" w:eastAsia="Arial" w:hAnsi="Palatino Linotype" w:cs="Arial"/>
        <w:b/>
        <w:bCs/>
        <w:color w:val="000000"/>
        <w:sz w:val="22"/>
        <w:szCs w:val="20"/>
      </w:rPr>
      <w:fldChar w:fldCharType="end"/>
    </w:r>
  </w:p>
  <w:p w:rsidR="00206872" w:rsidRDefault="0020687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A6E" w:rsidRDefault="00B94A6E">
      <w:r>
        <w:separator/>
      </w:r>
    </w:p>
  </w:footnote>
  <w:footnote w:type="continuationSeparator" w:id="0">
    <w:p w:rsidR="00B94A6E" w:rsidRDefault="00B94A6E">
      <w:r>
        <w:continuationSeparator/>
      </w:r>
    </w:p>
  </w:footnote>
  <w:footnote w:id="1">
    <w:p w:rsidR="00206872" w:rsidRDefault="002068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206872" w:rsidRDefault="002068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206872" w:rsidRDefault="002068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206872" w:rsidRDefault="002068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 w:id="5">
    <w:p w:rsidR="00206872" w:rsidRDefault="00206872">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Consultada el 22/01/2026.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6804" w:type="dxa"/>
      <w:tblInd w:w="2977" w:type="dxa"/>
      <w:tblLayout w:type="fixed"/>
      <w:tblLook w:val="0400" w:firstRow="0" w:lastRow="0" w:firstColumn="0" w:lastColumn="0" w:noHBand="0" w:noVBand="1"/>
    </w:tblPr>
    <w:tblGrid>
      <w:gridCol w:w="3178"/>
      <w:gridCol w:w="3626"/>
    </w:tblGrid>
    <w:tr w:rsidR="00206872" w:rsidTr="00206872">
      <w:tc>
        <w:tcPr>
          <w:tcW w:w="3178" w:type="dxa"/>
          <w:vAlign w:val="center"/>
        </w:tcPr>
        <w:p w:rsidR="00206872" w:rsidRPr="00206872" w:rsidRDefault="00206872">
          <w:pPr>
            <w:ind w:left="377"/>
            <w:rPr>
              <w:rFonts w:ascii="Palatino Linotype" w:eastAsia="Palatino Linotype" w:hAnsi="Palatino Linotype" w:cs="Palatino Linotype"/>
              <w:b/>
              <w:bCs/>
            </w:rPr>
          </w:pPr>
          <w:r w:rsidRPr="00206872">
            <w:rPr>
              <w:rFonts w:ascii="Palatino Linotype" w:eastAsia="Palatino Linotype" w:hAnsi="Palatino Linotype" w:cs="Palatino Linotype"/>
              <w:b/>
              <w:bCs/>
            </w:rPr>
            <w:t>Recurso de Revisión:</w:t>
          </w:r>
        </w:p>
      </w:tc>
      <w:tc>
        <w:tcPr>
          <w:tcW w:w="3626" w:type="dxa"/>
          <w:vAlign w:val="center"/>
        </w:tcPr>
        <w:p w:rsidR="00206872" w:rsidRPr="00206872" w:rsidRDefault="00206872">
          <w:pPr>
            <w:ind w:right="-1093"/>
            <w:jc w:val="both"/>
            <w:rPr>
              <w:rFonts w:ascii="Palatino Linotype" w:eastAsia="Palatino Linotype" w:hAnsi="Palatino Linotype" w:cs="Palatino Linotype"/>
              <w:bCs/>
            </w:rPr>
          </w:pPr>
          <w:r w:rsidRPr="00206872">
            <w:rPr>
              <w:rFonts w:ascii="Palatino Linotype" w:eastAsia="Palatino Linotype" w:hAnsi="Palatino Linotype" w:cs="Palatino Linotype"/>
              <w:bCs/>
            </w:rPr>
            <w:t xml:space="preserve">11368/INFOEM/IP/RR/2025 </w:t>
          </w:r>
        </w:p>
      </w:tc>
    </w:tr>
    <w:tr w:rsidR="00206872" w:rsidTr="00206872">
      <w:trPr>
        <w:trHeight w:val="228"/>
      </w:trPr>
      <w:tc>
        <w:tcPr>
          <w:tcW w:w="3178" w:type="dxa"/>
          <w:vAlign w:val="center"/>
        </w:tcPr>
        <w:p w:rsidR="00206872" w:rsidRPr="00206872" w:rsidRDefault="00206872">
          <w:pPr>
            <w:ind w:left="377"/>
            <w:rPr>
              <w:rFonts w:ascii="Palatino Linotype" w:eastAsia="Palatino Linotype" w:hAnsi="Palatino Linotype" w:cs="Palatino Linotype"/>
              <w:b/>
              <w:bCs/>
            </w:rPr>
          </w:pPr>
          <w:r w:rsidRPr="00206872">
            <w:rPr>
              <w:rFonts w:ascii="Palatino Linotype" w:eastAsia="Palatino Linotype" w:hAnsi="Palatino Linotype" w:cs="Palatino Linotype"/>
              <w:b/>
              <w:bCs/>
            </w:rPr>
            <w:t>Sujeto Obligado:</w:t>
          </w:r>
        </w:p>
      </w:tc>
      <w:tc>
        <w:tcPr>
          <w:tcW w:w="3626" w:type="dxa"/>
          <w:shd w:val="clear" w:color="auto" w:fill="auto"/>
          <w:vAlign w:val="center"/>
        </w:tcPr>
        <w:p w:rsidR="00206872" w:rsidRPr="00206872" w:rsidRDefault="00206872">
          <w:pPr>
            <w:ind w:right="-108"/>
            <w:rPr>
              <w:rFonts w:ascii="Palatino Linotype" w:eastAsia="Palatino Linotype" w:hAnsi="Palatino Linotype" w:cs="Palatino Linotype"/>
              <w:color w:val="000000"/>
            </w:rPr>
          </w:pPr>
          <w:r w:rsidRPr="00206872">
            <w:rPr>
              <w:rFonts w:ascii="Palatino Linotype" w:eastAsia="Palatino Linotype" w:hAnsi="Palatino Linotype" w:cs="Palatino Linotype"/>
              <w:bCs/>
              <w:color w:val="000000"/>
            </w:rPr>
            <w:t>Ayuntamiento de Tepotzotlán</w:t>
          </w:r>
        </w:p>
      </w:tc>
    </w:tr>
    <w:tr w:rsidR="00206872" w:rsidTr="00206872">
      <w:tc>
        <w:tcPr>
          <w:tcW w:w="3178" w:type="dxa"/>
          <w:vAlign w:val="center"/>
        </w:tcPr>
        <w:p w:rsidR="00206872" w:rsidRPr="00206872" w:rsidRDefault="00206872">
          <w:pPr>
            <w:ind w:left="377"/>
            <w:rPr>
              <w:rFonts w:ascii="Palatino Linotype" w:eastAsia="Palatino Linotype" w:hAnsi="Palatino Linotype" w:cs="Palatino Linotype"/>
              <w:b/>
              <w:bCs/>
            </w:rPr>
          </w:pPr>
          <w:r w:rsidRPr="00206872">
            <w:rPr>
              <w:rFonts w:ascii="Palatino Linotype" w:eastAsia="Palatino Linotype" w:hAnsi="Palatino Linotype" w:cs="Palatino Linotype"/>
              <w:b/>
              <w:bCs/>
            </w:rPr>
            <w:t>Comisionada Ponente:</w:t>
          </w:r>
        </w:p>
      </w:tc>
      <w:tc>
        <w:tcPr>
          <w:tcW w:w="3626" w:type="dxa"/>
          <w:vAlign w:val="center"/>
        </w:tcPr>
        <w:p w:rsidR="00206872" w:rsidRPr="00206872" w:rsidRDefault="00206872">
          <w:pPr>
            <w:ind w:right="-1093"/>
            <w:jc w:val="both"/>
            <w:rPr>
              <w:rFonts w:ascii="Palatino Linotype" w:eastAsia="Palatino Linotype" w:hAnsi="Palatino Linotype" w:cs="Palatino Linotype"/>
              <w:bCs/>
            </w:rPr>
          </w:pPr>
          <w:r w:rsidRPr="00206872">
            <w:rPr>
              <w:rFonts w:ascii="Palatino Linotype" w:eastAsia="Palatino Linotype" w:hAnsi="Palatino Linotype" w:cs="Palatino Linotype"/>
              <w:bCs/>
            </w:rPr>
            <w:t>María del Rosario Mejía Ayala</w:t>
          </w:r>
        </w:p>
      </w:tc>
    </w:tr>
  </w:tbl>
  <w:p w:rsidR="00206872" w:rsidRDefault="00206872">
    <w:pPr>
      <w:pBdr>
        <w:top w:val="nil"/>
        <w:left w:val="nil"/>
        <w:bottom w:val="nil"/>
        <w:right w:val="nil"/>
        <w:between w:val="nil"/>
      </w:pBdr>
      <w:tabs>
        <w:tab w:val="center" w:pos="4252"/>
        <w:tab w:val="right" w:pos="8504"/>
        <w:tab w:val="left" w:pos="3233"/>
      </w:tabs>
      <w:rPr>
        <w:rFonts w:ascii="Calibri" w:eastAsia="Calibri" w:hAnsi="Calibri" w:cs="Calibri"/>
        <w:color w:val="000000"/>
      </w:rPr>
    </w:pPr>
    <w:r w:rsidRPr="00206872">
      <w:rPr>
        <w:noProof/>
      </w:rPr>
      <w:drawing>
        <wp:anchor distT="0" distB="0" distL="0" distR="0" simplePos="0" relativeHeight="251658240" behindDoc="1" locked="0" layoutInCell="1" hidden="0" allowOverlap="1">
          <wp:simplePos x="0" y="0"/>
          <wp:positionH relativeFrom="page">
            <wp:align>left</wp:align>
          </wp:positionH>
          <wp:positionV relativeFrom="paragraph">
            <wp:posOffset>-1176835</wp:posOffset>
          </wp:positionV>
          <wp:extent cx="7813085" cy="10170000"/>
          <wp:effectExtent l="0" t="0" r="0" b="3175"/>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226" w:type="dxa"/>
      <w:tblInd w:w="2552" w:type="dxa"/>
      <w:tblLayout w:type="fixed"/>
      <w:tblLook w:val="0400" w:firstRow="0" w:lastRow="0" w:firstColumn="0" w:lastColumn="0" w:noHBand="0" w:noVBand="1"/>
    </w:tblPr>
    <w:tblGrid>
      <w:gridCol w:w="3543"/>
      <w:gridCol w:w="3683"/>
    </w:tblGrid>
    <w:tr w:rsidR="00206872" w:rsidTr="00206872">
      <w:trPr>
        <w:trHeight w:val="227"/>
      </w:trPr>
      <w:tc>
        <w:tcPr>
          <w:tcW w:w="3543" w:type="dxa"/>
          <w:vAlign w:val="center"/>
        </w:tcPr>
        <w:p w:rsidR="00206872" w:rsidRPr="00206872" w:rsidRDefault="00206872">
          <w:pPr>
            <w:jc w:val="right"/>
            <w:rPr>
              <w:rFonts w:ascii="Palatino Linotype" w:eastAsia="Palatino Linotype" w:hAnsi="Palatino Linotype" w:cs="Palatino Linotype"/>
              <w:b/>
              <w:bCs/>
              <w:szCs w:val="22"/>
            </w:rPr>
          </w:pPr>
          <w:r w:rsidRPr="00206872">
            <w:rPr>
              <w:rFonts w:ascii="Calibri" w:eastAsia="Calibri" w:hAnsi="Calibri" w:cs="Calibri"/>
              <w:color w:val="000000"/>
            </w:rPr>
            <w:t xml:space="preserve">               </w:t>
          </w:r>
          <w:r w:rsidRPr="00206872">
            <w:rPr>
              <w:rFonts w:ascii="Palatino Linotype" w:eastAsia="Palatino Linotype" w:hAnsi="Palatino Linotype" w:cs="Palatino Linotype"/>
              <w:b/>
              <w:bCs/>
              <w:szCs w:val="22"/>
            </w:rPr>
            <w:t>Recurso de Revisión:</w:t>
          </w:r>
        </w:p>
      </w:tc>
      <w:tc>
        <w:tcPr>
          <w:tcW w:w="3683" w:type="dxa"/>
          <w:vAlign w:val="center"/>
        </w:tcPr>
        <w:p w:rsidR="00206872" w:rsidRPr="00206872" w:rsidRDefault="0020687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highlight w:val="green"/>
            </w:rPr>
          </w:pPr>
          <w:r w:rsidRPr="00206872">
            <w:rPr>
              <w:rFonts w:ascii="Palatino Linotype" w:eastAsia="Palatino Linotype" w:hAnsi="Palatino Linotype" w:cs="Palatino Linotype"/>
              <w:bCs/>
              <w:color w:val="000000"/>
              <w:szCs w:val="22"/>
            </w:rPr>
            <w:t>11368/INFOEM/IP/RR/2025</w:t>
          </w:r>
        </w:p>
      </w:tc>
    </w:tr>
    <w:tr w:rsidR="00206872" w:rsidTr="00206872">
      <w:trPr>
        <w:trHeight w:val="242"/>
      </w:trPr>
      <w:tc>
        <w:tcPr>
          <w:tcW w:w="3543" w:type="dxa"/>
          <w:vAlign w:val="center"/>
        </w:tcPr>
        <w:p w:rsidR="00206872" w:rsidRPr="00206872" w:rsidRDefault="00206872">
          <w:pPr>
            <w:jc w:val="right"/>
            <w:rPr>
              <w:rFonts w:ascii="Palatino Linotype" w:eastAsia="Palatino Linotype" w:hAnsi="Palatino Linotype" w:cs="Palatino Linotype"/>
              <w:b/>
              <w:bCs/>
              <w:szCs w:val="22"/>
            </w:rPr>
          </w:pPr>
          <w:r w:rsidRPr="00206872">
            <w:rPr>
              <w:rFonts w:ascii="Palatino Linotype" w:eastAsia="Palatino Linotype" w:hAnsi="Palatino Linotype" w:cs="Palatino Linotype"/>
              <w:b/>
              <w:bCs/>
              <w:szCs w:val="22"/>
            </w:rPr>
            <w:t>Recurrente:</w:t>
          </w:r>
        </w:p>
      </w:tc>
      <w:tc>
        <w:tcPr>
          <w:tcW w:w="3683" w:type="dxa"/>
        </w:tcPr>
        <w:p w:rsidR="00206872" w:rsidRPr="00206872" w:rsidRDefault="00E17897">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bCs/>
              <w:szCs w:val="22"/>
            </w:rPr>
          </w:pPr>
          <w:r>
            <w:rPr>
              <w:rFonts w:ascii="Palatino Linotype" w:eastAsia="Palatino Linotype" w:hAnsi="Palatino Linotype" w:cs="Palatino Linotype"/>
              <w:bCs/>
              <w:szCs w:val="22"/>
            </w:rPr>
            <w:t>XXXX</w:t>
          </w:r>
        </w:p>
      </w:tc>
    </w:tr>
    <w:tr w:rsidR="00206872" w:rsidTr="00206872">
      <w:trPr>
        <w:trHeight w:val="342"/>
      </w:trPr>
      <w:tc>
        <w:tcPr>
          <w:tcW w:w="3543" w:type="dxa"/>
          <w:vAlign w:val="center"/>
        </w:tcPr>
        <w:p w:rsidR="00206872" w:rsidRPr="00206872" w:rsidRDefault="00206872">
          <w:pPr>
            <w:jc w:val="right"/>
            <w:rPr>
              <w:rFonts w:ascii="Palatino Linotype" w:eastAsia="Palatino Linotype" w:hAnsi="Palatino Linotype" w:cs="Palatino Linotype"/>
              <w:b/>
              <w:bCs/>
              <w:szCs w:val="22"/>
            </w:rPr>
          </w:pPr>
          <w:r w:rsidRPr="00206872">
            <w:rPr>
              <w:rFonts w:ascii="Palatino Linotype" w:eastAsia="Palatino Linotype" w:hAnsi="Palatino Linotype" w:cs="Palatino Linotype"/>
              <w:b/>
              <w:bCs/>
              <w:szCs w:val="22"/>
            </w:rPr>
            <w:t>Sujeto Obligado:</w:t>
          </w:r>
        </w:p>
      </w:tc>
      <w:tc>
        <w:tcPr>
          <w:tcW w:w="3683" w:type="dxa"/>
          <w:vAlign w:val="center"/>
        </w:tcPr>
        <w:p w:rsidR="00206872" w:rsidRPr="00206872" w:rsidRDefault="00206872">
          <w:pPr>
            <w:pBdr>
              <w:top w:val="nil"/>
              <w:left w:val="nil"/>
              <w:bottom w:val="nil"/>
              <w:right w:val="nil"/>
              <w:between w:val="nil"/>
            </w:pBdr>
            <w:tabs>
              <w:tab w:val="center" w:pos="4419"/>
              <w:tab w:val="right" w:pos="8838"/>
            </w:tabs>
            <w:jc w:val="both"/>
            <w:rPr>
              <w:rFonts w:ascii="Palatino Linotype" w:eastAsia="Palatino Linotype" w:hAnsi="Palatino Linotype" w:cs="Palatino Linotype"/>
              <w:bCs/>
              <w:color w:val="000000"/>
              <w:szCs w:val="22"/>
            </w:rPr>
          </w:pPr>
          <w:r w:rsidRPr="00206872">
            <w:rPr>
              <w:rFonts w:ascii="Palatino Linotype" w:eastAsia="Palatino Linotype" w:hAnsi="Palatino Linotype" w:cs="Palatino Linotype"/>
              <w:bCs/>
              <w:color w:val="000000"/>
              <w:szCs w:val="22"/>
            </w:rPr>
            <w:t>Ayuntamiento de Tepotzotlán</w:t>
          </w:r>
        </w:p>
      </w:tc>
    </w:tr>
    <w:tr w:rsidR="00206872" w:rsidTr="00206872">
      <w:trPr>
        <w:trHeight w:val="342"/>
      </w:trPr>
      <w:tc>
        <w:tcPr>
          <w:tcW w:w="3543" w:type="dxa"/>
          <w:vAlign w:val="center"/>
        </w:tcPr>
        <w:p w:rsidR="00206872" w:rsidRPr="00206872" w:rsidRDefault="00206872">
          <w:pPr>
            <w:jc w:val="right"/>
            <w:rPr>
              <w:rFonts w:ascii="Palatino Linotype" w:eastAsia="Palatino Linotype" w:hAnsi="Palatino Linotype" w:cs="Palatino Linotype"/>
              <w:b/>
              <w:bCs/>
              <w:szCs w:val="22"/>
            </w:rPr>
          </w:pPr>
          <w:r w:rsidRPr="00206872">
            <w:rPr>
              <w:rFonts w:ascii="Palatino Linotype" w:eastAsia="Palatino Linotype" w:hAnsi="Palatino Linotype" w:cs="Palatino Linotype"/>
              <w:b/>
              <w:bCs/>
              <w:szCs w:val="22"/>
            </w:rPr>
            <w:t>Comisionada Ponente:</w:t>
          </w:r>
        </w:p>
      </w:tc>
      <w:tc>
        <w:tcPr>
          <w:tcW w:w="3683" w:type="dxa"/>
          <w:vAlign w:val="center"/>
        </w:tcPr>
        <w:p w:rsidR="00206872" w:rsidRPr="00206872" w:rsidRDefault="00206872">
          <w:pPr>
            <w:pBdr>
              <w:top w:val="nil"/>
              <w:left w:val="nil"/>
              <w:bottom w:val="nil"/>
              <w:right w:val="nil"/>
              <w:between w:val="nil"/>
            </w:pBdr>
            <w:tabs>
              <w:tab w:val="center" w:pos="4419"/>
              <w:tab w:val="right" w:pos="8838"/>
            </w:tabs>
            <w:rPr>
              <w:rFonts w:ascii="Palatino Linotype" w:eastAsia="Palatino Linotype" w:hAnsi="Palatino Linotype" w:cs="Palatino Linotype"/>
              <w:bCs/>
              <w:color w:val="000000"/>
              <w:szCs w:val="22"/>
            </w:rPr>
          </w:pPr>
          <w:r w:rsidRPr="00206872">
            <w:rPr>
              <w:rFonts w:ascii="Palatino Linotype" w:eastAsia="Palatino Linotype" w:hAnsi="Palatino Linotype" w:cs="Palatino Linotype"/>
              <w:bCs/>
              <w:color w:val="000000"/>
              <w:szCs w:val="22"/>
            </w:rPr>
            <w:t>María del Rosario Mejía Ayala</w:t>
          </w:r>
        </w:p>
      </w:tc>
    </w:tr>
  </w:tbl>
  <w:p w:rsidR="00206872" w:rsidRDefault="00206872">
    <w:pPr>
      <w:pBdr>
        <w:top w:val="nil"/>
        <w:left w:val="nil"/>
        <w:bottom w:val="nil"/>
        <w:right w:val="nil"/>
        <w:between w:val="nil"/>
      </w:pBdr>
      <w:tabs>
        <w:tab w:val="center" w:pos="4252"/>
        <w:tab w:val="right" w:pos="8504"/>
      </w:tabs>
      <w:rPr>
        <w:rFonts w:ascii="Calibri" w:eastAsia="Calibri" w:hAnsi="Calibri" w:cs="Calibri"/>
        <w:color w:val="000000"/>
      </w:rPr>
    </w:pPr>
    <w:r w:rsidRPr="00206872">
      <w:rPr>
        <w:noProof/>
      </w:rPr>
      <w:drawing>
        <wp:anchor distT="0" distB="0" distL="0" distR="0" simplePos="0" relativeHeight="251659264" behindDoc="1" locked="0" layoutInCell="1" hidden="0" allowOverlap="1">
          <wp:simplePos x="0" y="0"/>
          <wp:positionH relativeFrom="page">
            <wp:align>right</wp:align>
          </wp:positionH>
          <wp:positionV relativeFrom="paragraph">
            <wp:posOffset>-1420567</wp:posOffset>
          </wp:positionV>
          <wp:extent cx="7813085" cy="10170000"/>
          <wp:effectExtent l="0" t="0" r="0" b="3175"/>
          <wp:wrapNone/>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D3816"/>
    <w:multiLevelType w:val="multilevel"/>
    <w:tmpl w:val="EA5C59A0"/>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 w15:restartNumberingAfterBreak="0">
    <w:nsid w:val="105E10D2"/>
    <w:multiLevelType w:val="multilevel"/>
    <w:tmpl w:val="D5F6CB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3445E4"/>
    <w:multiLevelType w:val="hybridMultilevel"/>
    <w:tmpl w:val="8D46483E"/>
    <w:lvl w:ilvl="0" w:tplc="F05815D6">
      <w:start w:val="6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44D1052"/>
    <w:multiLevelType w:val="multilevel"/>
    <w:tmpl w:val="8DD49C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E07012"/>
    <w:multiLevelType w:val="hybridMultilevel"/>
    <w:tmpl w:val="C6EA8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F5703B"/>
    <w:multiLevelType w:val="multilevel"/>
    <w:tmpl w:val="94620DF4"/>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68C483E"/>
    <w:multiLevelType w:val="multilevel"/>
    <w:tmpl w:val="6B7E193E"/>
    <w:lvl w:ilvl="0">
      <w:start w:val="63"/>
      <w:numFmt w:val="decimal"/>
      <w:lvlText w:val="%1."/>
      <w:lvlJc w:val="left"/>
      <w:pPr>
        <w:ind w:left="786"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 w15:restartNumberingAfterBreak="0">
    <w:nsid w:val="66A21153"/>
    <w:multiLevelType w:val="multilevel"/>
    <w:tmpl w:val="B0F67060"/>
    <w:lvl w:ilvl="0">
      <w:start w:val="9"/>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F6664B0"/>
    <w:multiLevelType w:val="multilevel"/>
    <w:tmpl w:val="E23EEC32"/>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72D92F76"/>
    <w:multiLevelType w:val="multilevel"/>
    <w:tmpl w:val="DF2E79B8"/>
    <w:lvl w:ilvl="0">
      <w:start w:val="63"/>
      <w:numFmt w:val="decimal"/>
      <w:lvlText w:val="%1."/>
      <w:lvlJc w:val="left"/>
      <w:pPr>
        <w:ind w:left="360" w:hanging="360"/>
      </w:pPr>
      <w:rPr>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B02E68"/>
    <w:multiLevelType w:val="multilevel"/>
    <w:tmpl w:val="1C5C5448"/>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F023516"/>
    <w:multiLevelType w:val="multilevel"/>
    <w:tmpl w:val="7BE6A92E"/>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abstractNumId w:val="11"/>
  </w:num>
  <w:num w:numId="2">
    <w:abstractNumId w:val="7"/>
  </w:num>
  <w:num w:numId="3">
    <w:abstractNumId w:val="5"/>
  </w:num>
  <w:num w:numId="4">
    <w:abstractNumId w:val="3"/>
  </w:num>
  <w:num w:numId="5">
    <w:abstractNumId w:val="0"/>
  </w:num>
  <w:num w:numId="6">
    <w:abstractNumId w:val="6"/>
  </w:num>
  <w:num w:numId="7">
    <w:abstractNumId w:val="8"/>
  </w:num>
  <w:num w:numId="8">
    <w:abstractNumId w:val="9"/>
  </w:num>
  <w:num w:numId="9">
    <w:abstractNumId w:val="1"/>
  </w:num>
  <w:num w:numId="10">
    <w:abstractNumId w:val="10"/>
  </w:num>
  <w:num w:numId="11">
    <w:abstractNumId w:val="4"/>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59E"/>
    <w:rsid w:val="001D649F"/>
    <w:rsid w:val="00206872"/>
    <w:rsid w:val="006018BF"/>
    <w:rsid w:val="007F2714"/>
    <w:rsid w:val="008A0409"/>
    <w:rsid w:val="008A3949"/>
    <w:rsid w:val="00AC5AD4"/>
    <w:rsid w:val="00B91777"/>
    <w:rsid w:val="00B94A6E"/>
    <w:rsid w:val="00E17897"/>
    <w:rsid w:val="00E3559E"/>
    <w:rsid w:val="00E67E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01EC7E-BA7B-41C6-90AA-A8F5F3C2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6"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BE0BA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uiPriority w:val="9"/>
    <w:rsid w:val="00BE0BA7"/>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BA7"/>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E0BA7"/>
    <w:rPr>
      <w:rFonts w:ascii="Times New Roman" w:eastAsia="Times New Roman" w:hAnsi="Times New Roman" w:cs="Times New Roman"/>
      <w:sz w:val="24"/>
      <w:szCs w:val="24"/>
      <w:lang w:eastAsia="es-MX"/>
    </w:rPr>
  </w:style>
  <w:style w:type="table" w:styleId="Tabladecuadrcula4">
    <w:name w:val="Grid Table 4"/>
    <w:basedOn w:val="Tablanormal"/>
    <w:uiPriority w:val="49"/>
    <w:rsid w:val="00BE0BA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BE0BA7"/>
    <w:pPr>
      <w:tabs>
        <w:tab w:val="center" w:pos="4419"/>
        <w:tab w:val="right" w:pos="8838"/>
      </w:tabs>
    </w:pPr>
  </w:style>
  <w:style w:type="character" w:customStyle="1" w:styleId="EncabezadoCar">
    <w:name w:val="Encabezado Car"/>
    <w:basedOn w:val="Fuentedeprrafopredeter"/>
    <w:link w:val="Encabezado"/>
    <w:uiPriority w:val="99"/>
    <w:rsid w:val="00BE0BA7"/>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0BA7"/>
    <w:pPr>
      <w:tabs>
        <w:tab w:val="center" w:pos="4419"/>
        <w:tab w:val="right" w:pos="8838"/>
      </w:tabs>
    </w:pPr>
  </w:style>
  <w:style w:type="character" w:customStyle="1" w:styleId="PiedepginaCar">
    <w:name w:val="Pie de página Car"/>
    <w:basedOn w:val="Fuentedeprrafopredeter"/>
    <w:link w:val="Piedepgina"/>
    <w:uiPriority w:val="99"/>
    <w:rsid w:val="00BE0BA7"/>
    <w:rPr>
      <w:rFonts w:ascii="Times New Roman" w:eastAsia="Times New Roman" w:hAnsi="Times New Roman" w:cs="Times New Roman"/>
      <w:sz w:val="24"/>
      <w:szCs w:val="24"/>
      <w:lang w:eastAsia="es-MX"/>
    </w:rPr>
  </w:style>
  <w:style w:type="paragraph" w:styleId="Listaconvietas">
    <w:name w:val="List Bullet"/>
    <w:basedOn w:val="Normal"/>
    <w:uiPriority w:val="99"/>
    <w:unhideWhenUsed/>
    <w:rsid w:val="009E7B61"/>
    <w:pPr>
      <w:numPr>
        <w:numId w:val="10"/>
      </w:numPr>
      <w:contextualSpacing/>
    </w:pPr>
    <w:rPr>
      <w:lang w:val="es-ES"/>
    </w:rPr>
  </w:style>
  <w:style w:type="paragraph" w:styleId="Sinespaciado">
    <w:name w:val="No Spacing"/>
    <w:aliases w:val="Francesa,INAI"/>
    <w:link w:val="SinespaciadoCar"/>
    <w:uiPriority w:val="1"/>
    <w:qFormat/>
    <w:rsid w:val="00436063"/>
  </w:style>
  <w:style w:type="character" w:customStyle="1" w:styleId="SinespaciadoCar">
    <w:name w:val="Sin espaciado Car"/>
    <w:aliases w:val="Francesa Car,INAI Car"/>
    <w:link w:val="Sinespaciado"/>
    <w:uiPriority w:val="1"/>
    <w:locked/>
    <w:rsid w:val="00436063"/>
  </w:style>
  <w:style w:type="character" w:styleId="Hipervnculo">
    <w:name w:val="Hyperlink"/>
    <w:aliases w:val="Hipervínculo1,Hipervínculo11,Hipervínculo12,Hipervínculo13,Hipervínculo14,Hipervínculo15"/>
    <w:basedOn w:val="Fuentedeprrafopredeter"/>
    <w:uiPriority w:val="99"/>
    <w:unhideWhenUsed/>
    <w:qFormat/>
    <w:rsid w:val="008A5366"/>
    <w:rPr>
      <w:color w:val="0563C1" w:themeColor="hyperlink"/>
      <w:u w:val="single"/>
    </w:rPr>
  </w:style>
  <w:style w:type="paragraph" w:styleId="Textonotapie">
    <w:name w:val="footnote text"/>
    <w:basedOn w:val="Normal"/>
    <w:link w:val="TextonotapieCar"/>
    <w:uiPriority w:val="99"/>
    <w:semiHidden/>
    <w:unhideWhenUsed/>
    <w:rsid w:val="000472AB"/>
    <w:rPr>
      <w:sz w:val="20"/>
      <w:szCs w:val="20"/>
    </w:rPr>
  </w:style>
  <w:style w:type="character" w:customStyle="1" w:styleId="TextonotapieCar">
    <w:name w:val="Texto nota pie Car"/>
    <w:basedOn w:val="Fuentedeprrafopredeter"/>
    <w:link w:val="Textonotapie"/>
    <w:uiPriority w:val="99"/>
    <w:semiHidden/>
    <w:rsid w:val="000472AB"/>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0472AB"/>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infobae.com/mexico/2025/06/19/puente-de-mas-de-400-millones-de-pesos-en-la-autopista-mexico-queretaro-no-cuenta-con-permisos-de-la-sict/"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eader" Target="header2.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kt9Mk+tZQpJXFdU3T8YrYYT4jg==">CgMxLjAyCGguZ2pkZ3hzMgloLjFmb2I5dGUyCWguM3pueXNoNzIJaC4yZXQ5MnAwMghoLnR5amN3dDIJaC4zZHk2dmttMgloLjF0M2g1c2YyCWguNGQzNG9nODIJaC4yczhleW8xMgloLjE3ZHA4dnUyCWguMjZpbjFyZzIJaC4xa3N2NHV2MghoLmxueGJ6OTIJaC4yanhzeHFoMg5oLjN3Y2pneDNqY2NwbDgAciExZEFuWUZaSUlNazRuSmxKOWliZHdxblRhVDcxbVcta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78</Pages>
  <Words>17308</Words>
  <Characters>95196</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7</cp:revision>
  <cp:lastPrinted>2026-02-09T17:43:00Z</cp:lastPrinted>
  <dcterms:created xsi:type="dcterms:W3CDTF">2026-01-21T23:04:00Z</dcterms:created>
  <dcterms:modified xsi:type="dcterms:W3CDTF">2026-02-17T00:21:00Z</dcterms:modified>
</cp:coreProperties>
</file>