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4AD" w:rsidRDefault="00A656E0">
      <w:pPr>
        <w:spacing w:line="360" w:lineRule="auto"/>
        <w:ind w:right="-876"/>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Pr>
          <w:rFonts w:ascii="Palatino Linotype" w:eastAsia="Palatino Linotype" w:hAnsi="Palatino Linotype" w:cs="Palatino Linotype"/>
          <w:b/>
          <w:bCs/>
        </w:rPr>
        <w:t xml:space="preserve">fecha diez (10) de junio de dos mil veintiséis. </w:t>
      </w:r>
    </w:p>
    <w:p w:rsidR="00E944AD" w:rsidRDefault="00E944AD">
      <w:pPr>
        <w:spacing w:line="360" w:lineRule="auto"/>
        <w:ind w:right="-876"/>
        <w:jc w:val="both"/>
        <w:rPr>
          <w:rFonts w:ascii="Palatino Linotype" w:eastAsia="Palatino Linotype" w:hAnsi="Palatino Linotype" w:cs="Palatino Linotype"/>
        </w:rPr>
      </w:pPr>
    </w:p>
    <w:p w:rsidR="00E944AD" w:rsidRDefault="00A656E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00708/INFOEM/IP/RR/2026, </w:t>
      </w:r>
      <w:r>
        <w:rPr>
          <w:rFonts w:ascii="Palatino Linotype" w:eastAsia="Palatino Linotype" w:hAnsi="Palatino Linotype" w:cs="Palatino Linotype"/>
        </w:rPr>
        <w:t xml:space="preserve">promovido por </w:t>
      </w:r>
      <w:r w:rsidR="00217424">
        <w:rPr>
          <w:rFonts w:ascii="Palatino Linotype" w:eastAsia="Palatino Linotype" w:hAnsi="Palatino Linotype" w:cs="Palatino Linotype"/>
          <w:b/>
          <w:bCs/>
        </w:rPr>
        <w:t>XXXX</w:t>
      </w:r>
      <w:r>
        <w:rPr>
          <w:rFonts w:ascii="Palatino Linotype" w:eastAsia="Palatino Linotype" w:hAnsi="Palatino Linotype" w:cs="Palatino Linotype"/>
        </w:rPr>
        <w:t xml:space="preserve">,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Temoaya,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E944AD" w:rsidRDefault="00E944AD">
      <w:pPr>
        <w:spacing w:line="360" w:lineRule="auto"/>
        <w:ind w:right="-876"/>
        <w:jc w:val="both"/>
        <w:rPr>
          <w:rFonts w:ascii="Palatino Linotype" w:eastAsia="Palatino Linotype" w:hAnsi="Palatino Linotype" w:cs="Palatino Linotype"/>
          <w:b/>
          <w:bCs/>
        </w:rPr>
      </w:pPr>
    </w:p>
    <w:p w:rsidR="00E944AD" w:rsidRDefault="00A656E0">
      <w:pPr>
        <w:keepNext/>
        <w:keepLines/>
        <w:spacing w:line="360" w:lineRule="auto"/>
        <w:ind w:right="-876"/>
        <w:jc w:val="center"/>
        <w:rPr>
          <w:rFonts w:ascii="Palatino Linotype" w:eastAsia="Palatino Linotype" w:hAnsi="Palatino Linotype" w:cs="Palatino Linotype"/>
          <w:b/>
          <w:bCs/>
        </w:rPr>
      </w:pPr>
      <w:bookmarkStart w:id="0" w:name="_heading=h.gjdgxs" w:colFirst="0" w:colLast="0"/>
      <w:bookmarkEnd w:id="0"/>
      <w:r>
        <w:rPr>
          <w:rFonts w:ascii="Palatino Linotype" w:eastAsia="Palatino Linotype" w:hAnsi="Palatino Linotype" w:cs="Palatino Linotype"/>
          <w:b/>
          <w:bCs/>
        </w:rPr>
        <w:t>A N T E C E D E N T E S</w:t>
      </w:r>
    </w:p>
    <w:p w:rsidR="00E944AD" w:rsidRDefault="00E944AD">
      <w:pPr>
        <w:spacing w:line="360" w:lineRule="auto"/>
        <w:ind w:right="-876"/>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dos de diciembre de dos mil veintiséis</w:t>
      </w:r>
      <w:r>
        <w:rPr>
          <w:rFonts w:ascii="Palatino Linotype" w:eastAsia="Palatino Linotype" w:hAnsi="Palatino Linotype" w:cs="Palatino Linotype"/>
        </w:rPr>
        <w:t xml:space="preserv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Pr>
          <w:rFonts w:ascii="Palatino Linotype" w:eastAsia="Palatino Linotype" w:hAnsi="Palatino Linotype" w:cs="Palatino Linotype"/>
          <w:b/>
          <w:bCs/>
        </w:rPr>
        <w:t xml:space="preserve">00208/TEMOAYA/IP/2025, </w:t>
      </w:r>
      <w:r>
        <w:rPr>
          <w:rFonts w:ascii="Palatino Linotype" w:eastAsia="Palatino Linotype" w:hAnsi="Palatino Linotype" w:cs="Palatino Linotype"/>
        </w:rPr>
        <w:t>en la que se solicitó lo siguiente:</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pBdr>
          <w:top w:val="nil"/>
          <w:left w:val="nil"/>
          <w:bottom w:val="nil"/>
          <w:right w:val="nil"/>
          <w:between w:val="nil"/>
        </w:pBdr>
        <w:spacing w:line="360" w:lineRule="auto"/>
        <w:ind w:left="720"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quien corresponda: Por medio de la presente, con fundamento en los artículos aplicables de la Ley de Transparencia y Acceso a la Información Pública del Estado de México y Municipios, de manera respetuosa solicito la siguiente información relativa al proceso de elección, reconocimiento, funcionamiento y participación del/la Representante Indígena en ese H. Ayuntamiento. El objetivo de esta solicitud es integrar un diagnóstico estatal sobre la situación actual de las Representaciones Indígenas en los municipios del Estado de México, así como dar seguimiento al cumplimiento de sentencias, lineamientos y obligaciones municipales en materia de participación y reconocimiento de los pueblos y comunidades indígenas. Solicito atentamente </w:t>
      </w:r>
      <w:r>
        <w:rPr>
          <w:rFonts w:ascii="Palatino Linotype" w:eastAsia="Palatino Linotype" w:hAnsi="Palatino Linotype" w:cs="Palatino Linotype"/>
          <w:i/>
          <w:iCs/>
        </w:rPr>
        <w:lastRenderedPageBreak/>
        <w:t xml:space="preserve">se proporcione la siguiente información: I. Proceso de elección del Representante Indígena 1. Fecha en que se emitió la convocatoria para la elección del Representante Indígena. 2. Copia simple de la convocatoria, en caso de existir. 3. Método de elección utilizado, indicando si fue: o Asamblea comunitaria o Usos y costumbres o Consulta indígena o Elección por delegados o Otro (especificar) 4. Fundamento jurídico municipal o estatal que se utilizó para organizar dicho proceso. II. Datos del Representante Indígena electo(a) 5. Nombre completo del Representante Indígena electo(a). 6. Comunidad, barrio, paraje o pueblo originario al que representa. 7. Fecha oficial de toma de protesta del Representante Indígena. 8. Acta, acuerdo de Cabildo o documento oficial donde conste la toma de protesta. 9. Periodo de duración del cargo, si está establecido. III. Datos de contacto y condiciones de trabajo 10. Correo electrónico institucional o de contacto del Representante Indígena. 11. Número telefónico de contacto. 12. Indicar si el Ayuntamiento asignó un espacio físico para la atención a la población indígena. o En caso afirmativo: a) Ubicación b) Horario de atención c) Recursos o personal de apoyo asignados 13. Indicar si cuenta con apoyo económico, compensación, remuneración o viáticos. o En caso afirmativo: monto y fundamento jurídico. o En caso negativo: indicar si existe alguna disposición que lo impida. IV. Participación en Cabildo y vida institucional 14. Confirmar si el Representante Indígena cuenta con espacio en la Mesa de Cabildo, conforme a la normatividad municipal. 15. Número y fecha de las Sesiones de Cabildo a las que ha sido convocado(a) desde su toma de protesta. 16. Número y fecha de Sesiones de Cabildo a las que NO se le ha convocado, cuando existan. 17. Justificación jurídica o administrativa por la cual no se le convocó en su caso. 18. Indicar si el Representante Indígena tiene derecho a voz, voto o participación limitada, según el reglamento municipal. 19. Copia del Reglamento, Manual u Ordenamiento interno donde se mencione el rol del Representante Indígena en Cabildo. V. Otros datos relevantes 20. Indicar si existen programas municipales específicos para pueblos y comunidades indígenas. 21. Acciones implementadas por </w:t>
      </w:r>
      <w:r>
        <w:rPr>
          <w:rFonts w:ascii="Palatino Linotype" w:eastAsia="Palatino Linotype" w:hAnsi="Palatino Linotype" w:cs="Palatino Linotype"/>
          <w:i/>
          <w:iCs/>
        </w:rPr>
        <w:lastRenderedPageBreak/>
        <w:t xml:space="preserve">el Ayuntamiento para garantizar la participación política indígena. 22. Documentos o acuerdos relevantes que permitan comprender el estado actual de la Representación Indígena en el municipio. Agradezco de antemano su colaboración y el envío de la información en formato digital (PDF, Word o Excel). Este ejercicio contribuye al fortalecimiento de la participación política indígena en el Estado de México y a la transparencia institucional. Sin otro particular, quedo atento a su respuesta dentro de los plazos señalados por la Ley.6” (Sic)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señaló como modalidad de entrega a través de SAIMEX.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ocho de diciembre de dos mil veintiséis</w:t>
      </w:r>
      <w:r>
        <w:rPr>
          <w:rFonts w:ascii="Palatino Linotype" w:eastAsia="Palatino Linotype" w:hAnsi="Palatino Linotype" w:cs="Palatino Linotype"/>
        </w:rPr>
        <w:t xml:space="preserve">, se realizó un requerimiento al servidor público habilitado. </w:t>
      </w:r>
    </w:p>
    <w:p w:rsidR="00E944AD" w:rsidRDefault="00E944AD">
      <w:pPr>
        <w:pBdr>
          <w:top w:val="nil"/>
          <w:left w:val="nil"/>
          <w:bottom w:val="nil"/>
          <w:right w:val="nil"/>
          <w:between w:val="nil"/>
        </w:pBdr>
        <w:ind w:left="720" w:right="-876"/>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trece de enero de dos mil veintiséis</w:t>
      </w:r>
      <w:r>
        <w:rPr>
          <w:rFonts w:ascii="Palatino Linotype" w:eastAsia="Palatino Linotype" w:hAnsi="Palatino Linotype" w:cs="Palatino Linotype"/>
        </w:rPr>
        <w:t>, el Sujeto Obligado dio respuesta a la solicitud de información en los siguientes términos:</w:t>
      </w:r>
    </w:p>
    <w:tbl>
      <w:tblPr>
        <w:tblStyle w:val="a"/>
        <w:tblW w:w="7668" w:type="dxa"/>
        <w:jc w:val="center"/>
        <w:tblInd w:w="0" w:type="dxa"/>
        <w:tblLayout w:type="fixed"/>
        <w:tblLook w:val="0400" w:firstRow="0" w:lastRow="0" w:firstColumn="0" w:lastColumn="0" w:noHBand="0" w:noVBand="1"/>
      </w:tblPr>
      <w:tblGrid>
        <w:gridCol w:w="7668"/>
      </w:tblGrid>
      <w:tr w:rsidR="00E944AD">
        <w:trPr>
          <w:trHeight w:val="271"/>
          <w:jc w:val="center"/>
        </w:trPr>
        <w:tc>
          <w:tcPr>
            <w:tcW w:w="7668" w:type="dxa"/>
            <w:vAlign w:val="center"/>
          </w:tcPr>
          <w:p w:rsidR="00E944AD" w:rsidRDefault="00A656E0">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t>“Temoaya, México a 13 de Enero de 2026</w:t>
            </w:r>
          </w:p>
        </w:tc>
      </w:tr>
      <w:tr w:rsidR="00E944AD">
        <w:trPr>
          <w:trHeight w:val="271"/>
          <w:jc w:val="center"/>
        </w:trPr>
        <w:tc>
          <w:tcPr>
            <w:tcW w:w="7668" w:type="dxa"/>
            <w:vAlign w:val="center"/>
          </w:tcPr>
          <w:p w:rsidR="00E944AD" w:rsidRDefault="00A656E0">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E944AD">
        <w:trPr>
          <w:trHeight w:val="271"/>
          <w:jc w:val="center"/>
        </w:trPr>
        <w:tc>
          <w:tcPr>
            <w:tcW w:w="7668" w:type="dxa"/>
            <w:vAlign w:val="center"/>
          </w:tcPr>
          <w:p w:rsidR="00E944AD" w:rsidRDefault="00A656E0">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00208/TEMOAYA/IP/2025</w:t>
            </w:r>
          </w:p>
        </w:tc>
      </w:tr>
      <w:tr w:rsidR="00E944AD">
        <w:trPr>
          <w:trHeight w:val="407"/>
          <w:jc w:val="center"/>
        </w:trPr>
        <w:tc>
          <w:tcPr>
            <w:tcW w:w="7668" w:type="dxa"/>
            <w:vAlign w:val="center"/>
          </w:tcPr>
          <w:p w:rsidR="00E944AD" w:rsidRDefault="00E944AD">
            <w:pPr>
              <w:ind w:right="-876"/>
              <w:jc w:val="right"/>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A656E0">
            <w:pPr>
              <w:ind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E944AD">
        <w:trPr>
          <w:trHeight w:val="339"/>
          <w:jc w:val="center"/>
        </w:trPr>
        <w:tc>
          <w:tcPr>
            <w:tcW w:w="7668" w:type="dxa"/>
            <w:vAlign w:val="center"/>
          </w:tcPr>
          <w:p w:rsidR="00E944AD" w:rsidRDefault="00E944AD">
            <w:pPr>
              <w:ind w:right="-876"/>
              <w:jc w:val="both"/>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A656E0">
            <w:pPr>
              <w:ind w:right="-876"/>
              <w:jc w:val="both"/>
              <w:rPr>
                <w:rFonts w:ascii="Palatino Linotype" w:eastAsia="Palatino Linotype" w:hAnsi="Palatino Linotype" w:cs="Palatino Linotype"/>
                <w:i/>
                <w:iCs/>
              </w:rPr>
            </w:pPr>
            <w:r>
              <w:rPr>
                <w:rFonts w:ascii="Palatino Linotype" w:eastAsia="Palatino Linotype" w:hAnsi="Palatino Linotype" w:cs="Palatino Linotype"/>
                <w:i/>
                <w:iCs/>
              </w:rPr>
              <w:t>Se adjunta en formato .pdf la respuesta emitida por Secretaria de Ayuntamiento, y el Departamento de Recursos humanos del Ayuntamiento de Temoaya.</w:t>
            </w:r>
          </w:p>
        </w:tc>
      </w:tr>
      <w:tr w:rsidR="00E944AD">
        <w:trPr>
          <w:trHeight w:val="339"/>
          <w:jc w:val="center"/>
        </w:trPr>
        <w:tc>
          <w:tcPr>
            <w:tcW w:w="7668" w:type="dxa"/>
            <w:vAlign w:val="center"/>
          </w:tcPr>
          <w:p w:rsidR="00E944AD" w:rsidRDefault="00E944AD">
            <w:pPr>
              <w:ind w:right="-876"/>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E944AD">
            <w:pPr>
              <w:ind w:right="-876"/>
              <w:jc w:val="center"/>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E944AD">
            <w:pPr>
              <w:ind w:right="-876"/>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A656E0">
            <w:pPr>
              <w:ind w:right="-876"/>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E944AD">
        <w:trPr>
          <w:trHeight w:val="203"/>
          <w:jc w:val="center"/>
        </w:trPr>
        <w:tc>
          <w:tcPr>
            <w:tcW w:w="7668" w:type="dxa"/>
            <w:vAlign w:val="center"/>
          </w:tcPr>
          <w:p w:rsidR="00E944AD" w:rsidRDefault="00E944AD">
            <w:pPr>
              <w:ind w:right="-876"/>
              <w:rPr>
                <w:rFonts w:ascii="Palatino Linotype" w:eastAsia="Palatino Linotype" w:hAnsi="Palatino Linotype" w:cs="Palatino Linotype"/>
                <w:i/>
                <w:iCs/>
              </w:rPr>
            </w:pPr>
          </w:p>
        </w:tc>
      </w:tr>
      <w:tr w:rsidR="00E944AD">
        <w:trPr>
          <w:trHeight w:val="135"/>
          <w:jc w:val="center"/>
        </w:trPr>
        <w:tc>
          <w:tcPr>
            <w:tcW w:w="7668" w:type="dxa"/>
            <w:vAlign w:val="center"/>
          </w:tcPr>
          <w:p w:rsidR="00E944AD" w:rsidRDefault="00A656E0">
            <w:pPr>
              <w:ind w:right="-876"/>
              <w:rPr>
                <w:rFonts w:ascii="Palatino Linotype" w:eastAsia="Palatino Linotype" w:hAnsi="Palatino Linotype" w:cs="Palatino Linotype"/>
                <w:i/>
                <w:iCs/>
              </w:rPr>
            </w:pPr>
            <w:r>
              <w:rPr>
                <w:rFonts w:ascii="Palatino Linotype" w:eastAsia="Palatino Linotype" w:hAnsi="Palatino Linotype" w:cs="Palatino Linotype"/>
                <w:i/>
                <w:iCs/>
              </w:rPr>
              <w:lastRenderedPageBreak/>
              <w:t>C. ROSA ISELA PEÑA MORALES”</w:t>
            </w:r>
          </w:p>
        </w:tc>
      </w:tr>
    </w:tbl>
    <w:p w:rsidR="00E944AD" w:rsidRDefault="00E944AD">
      <w:pPr>
        <w:pBdr>
          <w:top w:val="nil"/>
          <w:left w:val="nil"/>
          <w:bottom w:val="nil"/>
          <w:right w:val="nil"/>
          <w:between w:val="nil"/>
        </w:pBdr>
        <w:spacing w:line="360" w:lineRule="auto"/>
        <w:ind w:left="720"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dieciséis de enero de dos mil veintiséis</w:t>
      </w:r>
      <w:r>
        <w:rPr>
          <w:rFonts w:ascii="Palatino Linotype" w:eastAsia="Palatino Linotype" w:hAnsi="Palatino Linotype" w:cs="Palatino Linotype"/>
        </w:rPr>
        <w:t xml:space="preserv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interpuso el recurso de revisión, en contra de la respuesta, señalando como:</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1"/>
        </w:numPr>
        <w:spacing w:line="360" w:lineRule="auto"/>
        <w:ind w:left="851" w:right="-876" w:firstLine="0"/>
        <w:jc w:val="both"/>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rPr>
        <w:t xml:space="preserve"> "</w:t>
      </w:r>
      <w:r>
        <w:rPr>
          <w:rFonts w:ascii="Palatino Linotype" w:eastAsia="Palatino Linotype" w:hAnsi="Palatino Linotype" w:cs="Palatino Linotype"/>
          <w:i/>
          <w:iCs/>
          <w:color w:val="000000"/>
        </w:rPr>
        <w:t>La información solicitada correspondiente al folio 00208/TEMOAYA/IP/2025 no presenta ningún archivo adjunto. por lo que solicito se me proporcione la información solicitada.</w:t>
      </w:r>
      <w:r>
        <w:rPr>
          <w:rFonts w:ascii="Palatino Linotype" w:eastAsia="Palatino Linotype" w:hAnsi="Palatino Linotype" w:cs="Palatino Linotype"/>
          <w:i/>
          <w:iCs/>
        </w:rPr>
        <w:t>" (Sic)</w:t>
      </w:r>
    </w:p>
    <w:p w:rsidR="00E944AD" w:rsidRDefault="00E944AD">
      <w:pPr>
        <w:spacing w:line="360" w:lineRule="auto"/>
        <w:ind w:left="851" w:right="-876"/>
        <w:jc w:val="both"/>
        <w:rPr>
          <w:rFonts w:ascii="Palatino Linotype" w:eastAsia="Palatino Linotype" w:hAnsi="Palatino Linotype" w:cs="Palatino Linotype"/>
        </w:rPr>
      </w:pPr>
    </w:p>
    <w:p w:rsidR="00E944AD" w:rsidRDefault="00A656E0">
      <w:pPr>
        <w:numPr>
          <w:ilvl w:val="0"/>
          <w:numId w:val="1"/>
        </w:numPr>
        <w:spacing w:line="360" w:lineRule="auto"/>
        <w:ind w:left="851"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rPr>
        <w:t>"El expediente de la plataforma no presenta información adjunta como lo manifiestan." (Sic)</w:t>
      </w:r>
    </w:p>
    <w:p w:rsidR="00E944AD" w:rsidRDefault="00E944AD">
      <w:pP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se turna a la </w:t>
      </w:r>
      <w:r>
        <w:rPr>
          <w:rFonts w:ascii="Palatino Linotype" w:eastAsia="Palatino Linotype" w:hAnsi="Palatino Linotype" w:cs="Palatino Linotype"/>
          <w:b/>
          <w:bCs/>
        </w:rPr>
        <w:t xml:space="preserve">Comisionada María del Rosario Mejía Ayala, </w:t>
      </w:r>
      <w:r>
        <w:rPr>
          <w:rFonts w:ascii="Palatino Linotype" w:eastAsia="Palatino Linotype" w:hAnsi="Palatino Linotype" w:cs="Palatino Linotype"/>
        </w:rPr>
        <w:t xml:space="preserve">para su análisis. </w:t>
      </w:r>
    </w:p>
    <w:p w:rsidR="00B52670" w:rsidRDefault="00B52670" w:rsidP="00B52670">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veintiséis de enero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E944AD" w:rsidRDefault="00E944AD">
      <w:pPr>
        <w:pBdr>
          <w:top w:val="nil"/>
          <w:left w:val="nil"/>
          <w:bottom w:val="nil"/>
          <w:right w:val="nil"/>
          <w:between w:val="nil"/>
        </w:pBdr>
        <w:ind w:left="720" w:right="-876"/>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 las constancias del expediente electrónico SAIMEX se advierte que el Recurrente no realizó manifestaciones; por su parte, el Sujeto Obligado no entregó informe justificado.</w:t>
      </w:r>
    </w:p>
    <w:p w:rsidR="00E944AD" w:rsidRDefault="00E944AD">
      <w:pPr>
        <w:pBdr>
          <w:top w:val="nil"/>
          <w:left w:val="nil"/>
          <w:bottom w:val="nil"/>
          <w:right w:val="nil"/>
          <w:between w:val="nil"/>
        </w:pBdr>
        <w:spacing w:line="360" w:lineRule="auto"/>
        <w:ind w:left="360"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veintinueve de mayo de dos mil veintiséis</w:t>
      </w:r>
      <w:r>
        <w:rPr>
          <w:rFonts w:ascii="Palatino Linotype" w:eastAsia="Palatino Linotype" w:hAnsi="Palatino Linotype" w:cs="Palatino Linotype"/>
        </w:rPr>
        <w:t xml:space="preserve">, se notificó el acuerdo mediante el cual se aprobó la ampliación de plazo para emitir resolución y el oficio mediante el cual se decretó el cierre de instrucción. </w:t>
      </w:r>
    </w:p>
    <w:p w:rsidR="00E944AD" w:rsidRDefault="00E944AD">
      <w:pPr>
        <w:ind w:right="-876"/>
        <w:rPr>
          <w:rFonts w:ascii="Palatino Linotype" w:eastAsia="Palatino Linotype" w:hAnsi="Palatino Linotype" w:cs="Palatino Linotype"/>
        </w:rPr>
      </w:pPr>
    </w:p>
    <w:p w:rsidR="00E944AD" w:rsidRDefault="00A656E0">
      <w:pPr>
        <w:spacing w:line="360" w:lineRule="auto"/>
        <w:ind w:right="-876"/>
        <w:jc w:val="center"/>
        <w:rPr>
          <w:rFonts w:ascii="Palatino Linotype" w:eastAsia="Palatino Linotype" w:hAnsi="Palatino Linotype" w:cs="Palatino Linotype"/>
        </w:rPr>
      </w:pPr>
      <w:bookmarkStart w:id="1" w:name="_heading=h.1fob9te" w:colFirst="0" w:colLast="0"/>
      <w:bookmarkEnd w:id="1"/>
      <w:r>
        <w:rPr>
          <w:rFonts w:ascii="Palatino Linotype" w:eastAsia="Palatino Linotype" w:hAnsi="Palatino Linotype" w:cs="Palatino Linotype"/>
          <w:b/>
          <w:bCs/>
        </w:rPr>
        <w:t>C O N S I D E R A N D O</w:t>
      </w:r>
    </w:p>
    <w:p w:rsidR="00E944AD" w:rsidRDefault="00E944AD">
      <w:pPr>
        <w:spacing w:line="360" w:lineRule="auto"/>
        <w:ind w:right="-876"/>
        <w:jc w:val="center"/>
        <w:rPr>
          <w:rFonts w:ascii="Palatino Linotype" w:eastAsia="Palatino Linotype" w:hAnsi="Palatino Linotype" w:cs="Palatino Linotype"/>
        </w:rPr>
      </w:pPr>
    </w:p>
    <w:p w:rsidR="00E944AD" w:rsidRDefault="00A656E0">
      <w:pPr>
        <w:spacing w:line="360" w:lineRule="auto"/>
        <w:ind w:right="-876"/>
        <w:jc w:val="both"/>
        <w:rPr>
          <w:rFonts w:ascii="Palatino Linotype" w:eastAsia="Palatino Linotype" w:hAnsi="Palatino Linotype" w:cs="Palatino Linotype"/>
          <w:b/>
          <w:bCs/>
        </w:rPr>
      </w:pPr>
      <w:bookmarkStart w:id="2" w:name="_heading=h.3znysh7" w:colFirst="0" w:colLast="0"/>
      <w:bookmarkEnd w:id="2"/>
      <w:r>
        <w:rPr>
          <w:rFonts w:ascii="Palatino Linotype" w:eastAsia="Palatino Linotype" w:hAnsi="Palatino Linotype" w:cs="Palatino Linotype"/>
          <w:b/>
          <w:bCs/>
        </w:rPr>
        <w:t>PRIMERO. De la competencia</w:t>
      </w:r>
    </w:p>
    <w:p w:rsidR="00E944AD" w:rsidRDefault="00A656E0">
      <w:pPr>
        <w:numPr>
          <w:ilvl w:val="0"/>
          <w:numId w:val="6"/>
        </w:numPr>
        <w:pBdr>
          <w:top w:val="nil"/>
          <w:left w:val="nil"/>
          <w:bottom w:val="nil"/>
          <w:right w:val="nil"/>
          <w:between w:val="nil"/>
        </w:pBdr>
        <w:spacing w:before="240"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E944AD" w:rsidRDefault="00E944AD">
      <w:pPr>
        <w:keepNext/>
        <w:keepLines/>
        <w:spacing w:line="360" w:lineRule="auto"/>
        <w:ind w:right="-876"/>
        <w:rPr>
          <w:rFonts w:ascii="Palatino Linotype" w:eastAsia="Palatino Linotype" w:hAnsi="Palatino Linotype" w:cs="Palatino Linotype"/>
        </w:rPr>
      </w:pPr>
      <w:bookmarkStart w:id="3" w:name="_heading=h.2et92p0" w:colFirst="0" w:colLast="0"/>
      <w:bookmarkEnd w:id="3"/>
    </w:p>
    <w:p w:rsidR="00E944AD" w:rsidRDefault="00A656E0">
      <w:pPr>
        <w:keepNext/>
        <w:keepLines/>
        <w:spacing w:line="360" w:lineRule="auto"/>
        <w:ind w:right="-876"/>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w:t>
      </w:r>
      <w:r>
        <w:rPr>
          <w:rFonts w:ascii="Palatino Linotype" w:eastAsia="Palatino Linotype" w:hAnsi="Palatino Linotype" w:cs="Palatino Linotype"/>
        </w:rPr>
        <w:lastRenderedPageBreak/>
        <w:t xml:space="preserve">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a la solicitud el día </w:t>
      </w:r>
      <w:r>
        <w:rPr>
          <w:rFonts w:ascii="Palatino Linotype" w:eastAsia="Palatino Linotype" w:hAnsi="Palatino Linotype" w:cs="Palatino Linotype"/>
          <w:b/>
          <w:bCs/>
        </w:rPr>
        <w:t>trece de enero de dos mil veintiséis</w:t>
      </w:r>
      <w:r>
        <w:rPr>
          <w:rFonts w:ascii="Palatino Linotype" w:eastAsia="Palatino Linotype" w:hAnsi="Palatino Linotype" w:cs="Palatino Linotype"/>
        </w:rPr>
        <w:t>, de tal forma que el plazo para interponer el recurso de revisión transcurrió del</w:t>
      </w:r>
      <w:r>
        <w:rPr>
          <w:rFonts w:ascii="Palatino Linotype" w:eastAsia="Palatino Linotype" w:hAnsi="Palatino Linotype" w:cs="Palatino Linotype"/>
          <w:b/>
          <w:bCs/>
        </w:rPr>
        <w:t xml:space="preserve"> catorce de enero al cuatro de febrero de dos mil veintiséis</w:t>
      </w:r>
      <w:r>
        <w:rPr>
          <w:rFonts w:ascii="Palatino Linotype" w:eastAsia="Palatino Linotype" w:hAnsi="Palatino Linotype" w:cs="Palatino Linotype"/>
        </w:rPr>
        <w:t xml:space="preserve">; en consecuencia, presentó su inconformidad el día </w:t>
      </w:r>
      <w:r>
        <w:rPr>
          <w:rFonts w:ascii="Palatino Linotype" w:eastAsia="Palatino Linotype" w:hAnsi="Palatino Linotype" w:cs="Palatino Linotype"/>
          <w:b/>
          <w:bCs/>
        </w:rPr>
        <w:t>dieciséis de enero de dos mil veintiséis</w:t>
      </w:r>
      <w:r>
        <w:rPr>
          <w:rFonts w:ascii="Palatino Linotype" w:eastAsia="Palatino Linotype" w:hAnsi="Palatino Linotype" w:cs="Palatino Linotype"/>
        </w:rPr>
        <w:t xml:space="preserve">, por lo que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rPr>
      </w:pPr>
      <w:bookmarkStart w:id="4" w:name="_heading=h.ewgcxjwgnnrz" w:colFirst="0" w:colLast="0"/>
      <w:bookmarkEnd w:id="4"/>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944AD" w:rsidRDefault="00A656E0">
      <w:pPr>
        <w:pStyle w:val="Ttulo1"/>
        <w:ind w:right="-876"/>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 xml:space="preserve">TERCERO. Planteamiento de la Litis </w:t>
      </w:r>
    </w:p>
    <w:p w:rsidR="00E944AD" w:rsidRDefault="00A656E0">
      <w:pPr>
        <w:numPr>
          <w:ilvl w:val="0"/>
          <w:numId w:val="6"/>
        </w:numPr>
        <w:pBdr>
          <w:top w:val="nil"/>
          <w:left w:val="nil"/>
          <w:bottom w:val="nil"/>
          <w:right w:val="nil"/>
          <w:between w:val="nil"/>
        </w:pBdr>
        <w:spacing w:before="240"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solicitó, referente al proceso de elección, reconocimiento, funcionamiento y participación de la representación indígena en el Ayuntamiento, en formato PDF, Word o Excel, la siguiente información:</w:t>
      </w:r>
    </w:p>
    <w:p w:rsidR="00E944AD" w:rsidRDefault="00A656E0">
      <w:pPr>
        <w:numPr>
          <w:ilvl w:val="0"/>
          <w:numId w:val="2"/>
        </w:numPr>
        <w:pBdr>
          <w:top w:val="nil"/>
          <w:left w:val="nil"/>
          <w:bottom w:val="nil"/>
          <w:right w:val="nil"/>
          <w:between w:val="nil"/>
        </w:pBdr>
        <w:spacing w:before="240"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del proceso de </w:t>
      </w:r>
      <w:r>
        <w:rPr>
          <w:rFonts w:ascii="Palatino Linotype" w:eastAsia="Palatino Linotype" w:hAnsi="Palatino Linotype" w:cs="Palatino Linotype"/>
        </w:rPr>
        <w:t>elección</w:t>
      </w:r>
      <w:r>
        <w:rPr>
          <w:rFonts w:ascii="Palatino Linotype" w:eastAsia="Palatino Linotype" w:hAnsi="Palatino Linotype" w:cs="Palatino Linotype"/>
          <w:color w:val="000000"/>
        </w:rPr>
        <w:t xml:space="preserve"> del representante indígena:</w:t>
      </w:r>
    </w:p>
    <w:p w:rsidR="00E944AD" w:rsidRDefault="00A656E0">
      <w:pPr>
        <w:numPr>
          <w:ilvl w:val="3"/>
          <w:numId w:val="6"/>
        </w:numPr>
        <w:pBdr>
          <w:top w:val="nil"/>
          <w:left w:val="nil"/>
          <w:bottom w:val="nil"/>
          <w:right w:val="nil"/>
          <w:between w:val="nil"/>
        </w:pBdr>
        <w:spacing w:line="276" w:lineRule="auto"/>
        <w:ind w:left="851" w:right="-876" w:firstLine="0"/>
        <w:jc w:val="both"/>
        <w:rPr>
          <w:color w:val="000000"/>
        </w:rPr>
      </w:pPr>
      <w:r>
        <w:rPr>
          <w:rFonts w:ascii="Palatino Linotype" w:eastAsia="Palatino Linotype" w:hAnsi="Palatino Linotype" w:cs="Palatino Linotype"/>
          <w:color w:val="000000"/>
        </w:rPr>
        <w:t>Fecha en que se emitió la convocatoria para la elección del Representante Indígena;</w:t>
      </w:r>
    </w:p>
    <w:p w:rsidR="00E944AD" w:rsidRDefault="00A656E0">
      <w:pPr>
        <w:numPr>
          <w:ilvl w:val="3"/>
          <w:numId w:val="6"/>
        </w:numPr>
        <w:pBdr>
          <w:top w:val="nil"/>
          <w:left w:val="nil"/>
          <w:bottom w:val="nil"/>
          <w:right w:val="nil"/>
          <w:between w:val="nil"/>
        </w:pBdr>
        <w:spacing w:line="276" w:lineRule="auto"/>
        <w:ind w:left="851" w:right="-876" w:firstLine="0"/>
        <w:jc w:val="both"/>
        <w:rPr>
          <w:color w:val="000000"/>
        </w:rPr>
      </w:pPr>
      <w:r>
        <w:rPr>
          <w:rFonts w:ascii="Palatino Linotype" w:eastAsia="Palatino Linotype" w:hAnsi="Palatino Linotype" w:cs="Palatino Linotype"/>
          <w:color w:val="000000"/>
        </w:rPr>
        <w:t>Copia simple de la convocatoria, en caso de existir;</w:t>
      </w:r>
    </w:p>
    <w:p w:rsidR="00E944AD" w:rsidRDefault="00A656E0">
      <w:pPr>
        <w:numPr>
          <w:ilvl w:val="3"/>
          <w:numId w:val="6"/>
        </w:numPr>
        <w:pBdr>
          <w:top w:val="nil"/>
          <w:left w:val="nil"/>
          <w:bottom w:val="nil"/>
          <w:right w:val="nil"/>
          <w:between w:val="nil"/>
        </w:pBdr>
        <w:spacing w:line="276" w:lineRule="auto"/>
        <w:ind w:left="851" w:right="-876" w:firstLine="0"/>
        <w:jc w:val="both"/>
        <w:rPr>
          <w:color w:val="000000"/>
        </w:rPr>
      </w:pPr>
      <w:r>
        <w:rPr>
          <w:rFonts w:ascii="Palatino Linotype" w:eastAsia="Palatino Linotype" w:hAnsi="Palatino Linotype" w:cs="Palatino Linotype"/>
          <w:color w:val="000000"/>
        </w:rPr>
        <w:t xml:space="preserve">Método de elección utilizado, indicando si fue: o Asamblea comunitaria o Usos y costumbres o Consulta indígena o Elección por delegados u Otro (especificar) </w:t>
      </w:r>
    </w:p>
    <w:p w:rsidR="00E944AD" w:rsidRDefault="00A656E0">
      <w:pPr>
        <w:numPr>
          <w:ilvl w:val="3"/>
          <w:numId w:val="6"/>
        </w:numPr>
        <w:pBdr>
          <w:top w:val="nil"/>
          <w:left w:val="nil"/>
          <w:bottom w:val="nil"/>
          <w:right w:val="nil"/>
          <w:between w:val="nil"/>
        </w:pBdr>
        <w:spacing w:line="276" w:lineRule="auto"/>
        <w:ind w:left="851" w:right="-876" w:firstLine="0"/>
        <w:jc w:val="both"/>
        <w:rPr>
          <w:color w:val="000000"/>
        </w:rPr>
      </w:pPr>
      <w:r>
        <w:rPr>
          <w:rFonts w:ascii="Palatino Linotype" w:eastAsia="Palatino Linotype" w:hAnsi="Palatino Linotype" w:cs="Palatino Linotype"/>
          <w:color w:val="000000"/>
        </w:rPr>
        <w:t>Fundamento jurídico municipal o estatal que se utilizó para organizar dicho proceso;</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color w:val="000000"/>
        </w:rPr>
      </w:pPr>
    </w:p>
    <w:p w:rsidR="00E944AD" w:rsidRDefault="00A656E0">
      <w:pPr>
        <w:numPr>
          <w:ilvl w:val="0"/>
          <w:numId w:val="2"/>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los datos del Representante Indígena electo(a):</w:t>
      </w:r>
    </w:p>
    <w:p w:rsidR="00E944AD" w:rsidRDefault="00A656E0">
      <w:pPr>
        <w:numPr>
          <w:ilvl w:val="6"/>
          <w:numId w:val="6"/>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Nombre completo del Representante Indígena electo(a);</w:t>
      </w:r>
    </w:p>
    <w:p w:rsidR="00E944AD" w:rsidRDefault="00A656E0">
      <w:pPr>
        <w:numPr>
          <w:ilvl w:val="6"/>
          <w:numId w:val="6"/>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Comunidad, barrio, paraje o pueblo originario al que representa;</w:t>
      </w:r>
    </w:p>
    <w:p w:rsidR="00E944AD" w:rsidRDefault="00A656E0">
      <w:pPr>
        <w:numPr>
          <w:ilvl w:val="6"/>
          <w:numId w:val="6"/>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Fecha oficial de toma de protesta del Representante Indígena;</w:t>
      </w:r>
    </w:p>
    <w:p w:rsidR="00E944AD" w:rsidRDefault="00A656E0">
      <w:pPr>
        <w:numPr>
          <w:ilvl w:val="6"/>
          <w:numId w:val="6"/>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Acta, acuerdo de Cabildo o documento oficial donde conste la toma de protesta;</w:t>
      </w:r>
    </w:p>
    <w:p w:rsidR="00E944AD" w:rsidRDefault="00A656E0">
      <w:pPr>
        <w:numPr>
          <w:ilvl w:val="6"/>
          <w:numId w:val="6"/>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Periodo de duración del cargo, si está establecido;</w:t>
      </w:r>
    </w:p>
    <w:p w:rsidR="00E944AD" w:rsidRDefault="00A656E0">
      <w:pPr>
        <w:numPr>
          <w:ilvl w:val="0"/>
          <w:numId w:val="2"/>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los datos de contacto y condiciones de trabajo:</w:t>
      </w:r>
    </w:p>
    <w:p w:rsidR="00E944AD" w:rsidRDefault="00A656E0">
      <w:pPr>
        <w:numPr>
          <w:ilvl w:val="0"/>
          <w:numId w:val="3"/>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Correo electrónico institucional o de contacto del Representante Indígena. </w:t>
      </w:r>
    </w:p>
    <w:p w:rsidR="00E944AD" w:rsidRDefault="00A656E0">
      <w:pPr>
        <w:numPr>
          <w:ilvl w:val="0"/>
          <w:numId w:val="3"/>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telefónico de contacto;</w:t>
      </w:r>
    </w:p>
    <w:p w:rsidR="00E944AD" w:rsidRDefault="00A656E0">
      <w:pPr>
        <w:numPr>
          <w:ilvl w:val="0"/>
          <w:numId w:val="3"/>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Indicar si el Ayuntamiento asignó un espacio físico para la atención a la población indígena. o En caso afirmativo: a) Ubicación b) Horario de atención c) Recursos o personal de apoyo asignados;</w:t>
      </w:r>
    </w:p>
    <w:p w:rsidR="00E944AD" w:rsidRDefault="00A656E0">
      <w:pPr>
        <w:numPr>
          <w:ilvl w:val="0"/>
          <w:numId w:val="3"/>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Indicar si cuenta con apoyo económico, compensación, remuneración o viáticos. o En caso afirmativo: monto y fundamento jurídico. o En caso negativo: indicar si existe alguna disposición que lo impida.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color w:val="000000"/>
        </w:rPr>
      </w:pPr>
    </w:p>
    <w:p w:rsidR="00E944AD" w:rsidRDefault="00A656E0">
      <w:pPr>
        <w:numPr>
          <w:ilvl w:val="0"/>
          <w:numId w:val="2"/>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Participación en Cabildo y vida institucional:</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Confirmar si el Representante Indígena cuenta con espacio en la Mesa de Cabildo, conforme a la normatividad municipal;</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y fecha de las Sesiones de Cabildo a las que ha sido convocado(a) desde su toma de protesta;</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Número y fecha de Sesiones de Cabildo a las que no se le ha convocado, cuando existan;</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Justificación jurídica o administrativa por la cual no se le convocó en su caso;</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Indicar si el Representante Indígena tiene derecho a voz, voto o participación limitada, según el reglamento municipal;</w:t>
      </w:r>
    </w:p>
    <w:p w:rsidR="00E944AD" w:rsidRDefault="00A656E0">
      <w:pPr>
        <w:numPr>
          <w:ilvl w:val="0"/>
          <w:numId w:val="4"/>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Copia del Reglamento, Manual u Ordenamiento interno donde se </w:t>
      </w:r>
      <w:r>
        <w:rPr>
          <w:rFonts w:ascii="Palatino Linotype" w:eastAsia="Palatino Linotype" w:hAnsi="Palatino Linotype" w:cs="Palatino Linotype"/>
        </w:rPr>
        <w:t>menciona</w:t>
      </w:r>
      <w:r>
        <w:rPr>
          <w:rFonts w:ascii="Palatino Linotype" w:eastAsia="Palatino Linotype" w:hAnsi="Palatino Linotype" w:cs="Palatino Linotype"/>
          <w:color w:val="000000"/>
        </w:rPr>
        <w:t xml:space="preserve"> el rol del Representante Indígena en Cabildo;</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color w:val="000000"/>
        </w:rPr>
      </w:pPr>
    </w:p>
    <w:p w:rsidR="00E944AD" w:rsidRDefault="00A656E0">
      <w:pPr>
        <w:numPr>
          <w:ilvl w:val="0"/>
          <w:numId w:val="2"/>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Otros datos relevantes:</w:t>
      </w:r>
    </w:p>
    <w:p w:rsidR="00E944AD" w:rsidRDefault="00A656E0">
      <w:pPr>
        <w:numPr>
          <w:ilvl w:val="0"/>
          <w:numId w:val="5"/>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Indicar si existen programas municipales específicos para pueblos y comunidades indígenas;</w:t>
      </w:r>
    </w:p>
    <w:p w:rsidR="00E944AD" w:rsidRDefault="00A656E0">
      <w:pPr>
        <w:numPr>
          <w:ilvl w:val="0"/>
          <w:numId w:val="5"/>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Acciones implementadas por el Ayuntamiento para garantizar la participación política indígena;</w:t>
      </w:r>
    </w:p>
    <w:p w:rsidR="00E944AD" w:rsidRDefault="00A656E0">
      <w:pPr>
        <w:numPr>
          <w:ilvl w:val="0"/>
          <w:numId w:val="5"/>
        </w:numPr>
        <w:pBdr>
          <w:top w:val="nil"/>
          <w:left w:val="nil"/>
          <w:bottom w:val="nil"/>
          <w:right w:val="nil"/>
          <w:between w:val="nil"/>
        </w:pBdr>
        <w:spacing w:line="276" w:lineRule="auto"/>
        <w:ind w:left="851"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Documentos o acuerdos relevantes que permitan comprender el estado actual de la Representación Indígena en el municipio. </w:t>
      </w:r>
    </w:p>
    <w:p w:rsidR="00E944AD" w:rsidRDefault="00A656E0">
      <w:pPr>
        <w:pBdr>
          <w:top w:val="nil"/>
          <w:left w:val="nil"/>
          <w:bottom w:val="nil"/>
          <w:right w:val="nil"/>
          <w:between w:val="nil"/>
        </w:pBdr>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w:t>
      </w:r>
    </w:p>
    <w:p w:rsidR="00B52670"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Sujeto Obligado señaló que se adjuntó respuesta emitida por la Secretaría del Ayuntamiento y del Departamento de Recursos Humanos del Ayuntamiento, sin embargo, no se adjuntó información. Posteriormente, el Recurrente se </w:t>
      </w:r>
      <w:r>
        <w:rPr>
          <w:rFonts w:ascii="Palatino Linotype" w:eastAsia="Palatino Linotype" w:hAnsi="Palatino Linotype" w:cs="Palatino Linotype"/>
        </w:rPr>
        <w:t>inconforma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porque</w:t>
      </w:r>
      <w:r>
        <w:rPr>
          <w:rFonts w:ascii="Palatino Linotype" w:eastAsia="Palatino Linotype" w:hAnsi="Palatino Linotype" w:cs="Palatino Linotype"/>
          <w:color w:val="000000"/>
        </w:rPr>
        <w:t xml:space="preserve"> no se adjuntó la respuesta.</w:t>
      </w:r>
    </w:p>
    <w:p w:rsidR="00E944AD" w:rsidRDefault="00A656E0" w:rsidP="00B52670">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el presente recurso de revisión se circunscribe en determinar si se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contenida en el artículo 179 fracción I,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relativo 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la negativa de la información.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i/>
          <w:iCs/>
          <w:color w:val="000000"/>
        </w:rPr>
      </w:pPr>
    </w:p>
    <w:p w:rsidR="00E944AD" w:rsidRDefault="00A656E0">
      <w:pPr>
        <w:pStyle w:val="Ttulo2"/>
        <w:tabs>
          <w:tab w:val="left" w:pos="426"/>
        </w:tabs>
        <w:ind w:right="-876"/>
        <w:rPr>
          <w:rFonts w:ascii="Palatino Linotype" w:eastAsia="Palatino Linotype" w:hAnsi="Palatino Linotype" w:cs="Palatino Linotype"/>
          <w:b/>
          <w:bCs/>
          <w:color w:val="000000"/>
          <w:sz w:val="24"/>
          <w:szCs w:val="24"/>
        </w:rPr>
      </w:pPr>
      <w:bookmarkStart w:id="5" w:name="_heading=h.6ktr63nmw93t" w:colFirst="0" w:colLast="0"/>
      <w:bookmarkEnd w:id="5"/>
      <w:r>
        <w:rPr>
          <w:rFonts w:ascii="Palatino Linotype" w:eastAsia="Palatino Linotype" w:hAnsi="Palatino Linotype" w:cs="Palatino Linotype"/>
          <w:b/>
          <w:bCs/>
          <w:color w:val="000000"/>
          <w:sz w:val="24"/>
          <w:szCs w:val="24"/>
        </w:rPr>
        <w:t>CUARTO. Estudio y Resolución del asunto.</w:t>
      </w: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E944AD" w:rsidRDefault="00E944AD">
      <w:pPr>
        <w:pBdr>
          <w:top w:val="nil"/>
          <w:left w:val="nil"/>
          <w:bottom w:val="nil"/>
          <w:right w:val="nil"/>
          <w:between w:val="nil"/>
        </w:pBdr>
        <w:tabs>
          <w:tab w:val="left" w:pos="284"/>
          <w:tab w:val="left" w:pos="567"/>
        </w:tabs>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Recordemos que el Recurrente solicitó información referente al proceso de elección, reconocimiento, funcionamiento y participación de la representación indígena en el Ayuntamiento; al respecto, conviene señalar </w:t>
      </w:r>
      <w:r>
        <w:rPr>
          <w:rFonts w:ascii="Palatino Linotype" w:eastAsia="Palatino Linotype" w:hAnsi="Palatino Linotype" w:cs="Palatino Linotype"/>
        </w:rPr>
        <w:t>los</w:t>
      </w:r>
      <w:r>
        <w:rPr>
          <w:rFonts w:ascii="Palatino Linotype" w:eastAsia="Palatino Linotype" w:hAnsi="Palatino Linotype" w:cs="Palatino Linotype"/>
          <w:color w:val="000000"/>
        </w:rPr>
        <w:t xml:space="preserve"> artículo 9, fracción II, inciso a), 13, 14, 19 y 25 de la Ley de Derechos y Cultura Indígena del Estado de México que establecen:</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9.- Al aplicar las disposiciones del presente ordenamiento y especialmente las relativas al ejercicio de la autonomía de los pueblos y las comunidades indígenas:</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Los Poderes Ejecutivo y Legislativo del Estado de México y los Ayuntamientos deberán: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 Consultar a los pueblos interesados, mediante procedimientos apropiados y en particular a través de sus autoridades o representantes tradicionales, cada vez que se prevean medidas legislativas o administrativas susceptibles de afectarles directamente;</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13.- En el Estado de México se reconoce el derecho a la libre determinación y a la autonomía de los pueblos y comunidades indígenas en toda su amplitud política, económica, social y cultural, fortaleciendo la soberanía nacional, el régimen político democrático, la división de Poderes, los tres niveles de gobierno, las garantías individuales y sociales, en el marco de la Constitución Política de los Estados Unidos Mexicanos y la particular del Estado.”</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14.- Esta ley reconoce y protege a las autoridades tradicionales de las comunidades indígenas, nombradas por sus integrantes de acuerdo a sus propias costumbres, garantizando la participación efectiva y equitativa de las mujeres y de los jóvenes mayores de dieciocho años, en un marco que respete la soberanía del Estado y la autonomía de sus municipios.”</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19.- Los Ayuntamientos de los municipios con población indígena podrán crear órganos o comisiones encargados de atender sus asuntos. Sus titulares respetarán en su actuación las tradiciones de las comunidades.”</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25.- El Estado de México reconoce la validez de las normas internas de los pueblos y comunidades indígenas en el ámbito de las relaciones familiares, de la vida civil, de la organización de la vida comunitaria y en general de la prevención y solución de conflictos al </w:t>
      </w:r>
      <w:r>
        <w:rPr>
          <w:rFonts w:ascii="Palatino Linotype" w:eastAsia="Palatino Linotype" w:hAnsi="Palatino Linotype" w:cs="Palatino Linotype"/>
          <w:i/>
          <w:iCs/>
          <w:color w:val="000000"/>
        </w:rPr>
        <w:lastRenderedPageBreak/>
        <w:t>interior de cada comunidad asentada en un territorio regional, municipal o por localidad. Los usos y costumbres que se reconocen legalmente validos y legítimos de los pueblos indígenas, por ningún motivo o circunstancia deberán contravenir la Constitución Política de los Estados Unidos Mexicanos, la del Estado Libre y Soberano de México, las Leyes Estatales vigentes, ni vulnerar los derechos humanos ni de terceros.”</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preceptos legales mencionados reconocen los derechos de los pueblos y comunidades indígenas en el Estado de México, que obligan a las autoridades municipales a consultar previamente ante cualquier medida que les afecte, así como a reconocer su autonomía y validez de sus autoridades tradicionales, sus usos y costumbres. Asimismo, conviene traer a contexto el los artículo 41, 42, 43, 44, 45 y 46, del Bando Municipal de Temoaya, que establecen:</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41. La Ley de los Derechos y Cultura Indígena del Estado de México, reconoce en su artículo 6, fracción II, que en el Municipio de Temoaya existe la cultura indígena otomí.  En consecuencia, Temoaya se asume y reconoce como municipio de origen otomí, con apego a sus usos y costumbres que le dan identidad, en donde las autoridades municipales, su población y/o las personas que se encuentren en el territorio municipal, se comprometen a promover y hacer respetar los derechos consagrados en la Constitución Política de los Estados Unidos Mexicanos, en los Tratados Internacionales en los que el Estado Mexicano sea parte y demás disposiciones legales, velando en todo momento por la lengua, rasgos culturales, costumbres, tradiciones, así como las instituciones sociales, económicas y culturales que constituyen la identidad de los habitantes originarios de la cultura indígena otomí. El Gobierno Municipal por conducto de la Dirección de la Cultura Otomí proporcionará la atención integral a las necesidades e intereses de las comunidades y pueblos indígenas del municipio, ejecutando acciones que favorezcan el rescate, promoción y preservación de la cultura otomí”.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42. Las y los habitantes de este pueblo, que se definen y reconocen a sí mismos como originarios de la cultura indígena otomí, se distinguen, por ocupar una porción del territorio de Temoaya, de manera continua, permanente y además: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I. Hablan una lengua propia siendo esta el Ñhato;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Cuentan con rasgos culturales propios y específicos;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Mantienen las costumbres y tradiciones que constituyen su cultura e identidad, además de sus instituciones sociales, económicas y culturales propias.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pueblo otomí, es aquella colectividad con una continuidad histórica de la sociedad precolonial establecida en el territorio municipal; y que conserva, desarrolla y transmite sus instituciones sociales, normativas, culturales y políticas o parte de ellas.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Son comunidades integrantes del pueblo otomí, aquellas que forman una unidad social y cultural asentada en el territorio municipal y que reconocen autoridades propias, de acuerdo con sus sistemas normativos”.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43.  El Gobierno Municipal reconoce y asume el compromiso de cumplir y hacer cumplir los derechos individuales y colectivos que caracterizan a esta cultura otomí, así como las prerrogativas que la Ley les concede. El Cabildo emitirá una convocatoria con la finalidad de invitar a las comunidades indígenas a elegir, de acuerdo con su sistema de normas internas, procedimientos, tradiciones, usos y costumbres, un representante ante el Ayuntamiento. Dicha voluntad será plasmada en un acta; la convocatoria deberá expedirse entre el segundo domingo de marzo y el 30 de ese mes del año inmediato siguiente a la elección del Ayuntamiento, en la forma y términos que éste determine y aprobada por el Cabildo; tendrá que publicarse con su respectiva traducción, en los lugares más visibles y concurridos por los indígenas.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Tal representación deberá ser reconocida y tomará protesta ante el Ayuntamiento electo, a más tardar el 15 de abril del año que corresponda. </w:t>
      </w: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o el representante indígena tendrá derecho a participar con voz en las sesiones de cabildo, sin tener derecho a voto, derecho a que se le otorguen los elementos eficaces para ejercer su representación y debe ser solventado por el Ayuntamiento de acuerdo con su disponibilidad presupuestal, asimismo, determinar los recursos económicos que se le deben proporcionar, tendrá las atribuciones y limitaciones que establecen, la Ley Orgánica Municipal del Estado de México, el presente Bando, los reglamentos municipales y demás ordenamientos legales”.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44. El Gobierno Municipal integrará un Programa Especial de Desarrollo Integral y Sustentable de la Comunidad Otomí de Temoaya, formando parte del Sistema de Planeación </w:t>
      </w:r>
      <w:r>
        <w:rPr>
          <w:rFonts w:ascii="Palatino Linotype" w:eastAsia="Palatino Linotype" w:hAnsi="Palatino Linotype" w:cs="Palatino Linotype"/>
          <w:i/>
          <w:iCs/>
          <w:color w:val="000000"/>
        </w:rPr>
        <w:lastRenderedPageBreak/>
        <w:t xml:space="preserve">Municipal Regional y Urbana del municipio, con apego a la Constitución Política de los Estados Unidos Mexicanos, los tratados internacionales de los que el Estado Mexicano sea parte, la Constitución Política del Estado Libre y Soberano de México y la Ley de Derechos y Cultura Indígena del Estado de México”.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45. Los planes y acciones programáticas derivadas del Programa de Desarrollo Integral y Sustentable Otomí, a que se refiere el artículo anterior, serán convenidos y coordinados, de manera concurrente, por el Ayuntamiento, el Gobierno del Estado de México, a través del Consejo Estatal para el Desarrollo Integral de los Pueblos Indígenas del Estado de México (CEDIPIEM) y las comunidades indígenas de Temoya”.   </w:t>
      </w:r>
    </w:p>
    <w:p w:rsidR="00E944AD" w:rsidRDefault="00E944AD">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spacing w:line="276"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46. Es de interés social y municipal, la investigación, protección, conservación, restauración y recuperación de los monumentos arqueológicos, artísticos e históricos con que cuenta el Municipio. El Gobierno Municipal, en coordinación con el Gobierno Federal y el Gobierno del Estado de México, realizará campañas permanentes para fomentar el conocimiento y respeto de los monumentos arqueológicos, históricos y artísticos, así como sus tradiciones y costumbres”. </w:t>
      </w:r>
    </w:p>
    <w:p w:rsidR="00E944AD" w:rsidRDefault="00E944AD">
      <w:pPr>
        <w:pBdr>
          <w:top w:val="nil"/>
          <w:left w:val="nil"/>
          <w:bottom w:val="nil"/>
          <w:right w:val="nil"/>
          <w:between w:val="nil"/>
        </w:pBdr>
        <w:ind w:left="720" w:right="-876"/>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normatividad señalada, podemos advertir que el Municipio de Temoaya se asume y reconoce como un pueblo de origen Otomí, por lo que reconoce el compromiso de cumplir con sus derechos tanto individuales como colectivos, asimismo, establece que el cabildo emitirá una convocatoria con la finalidad de incitar a las comunidades indígenas a elegir, de acuerdo con su sistema de normas internas, procedimientos, tradiciones, usos y costumbres, un representante ante el Ayuntamiento.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sentido, se realizó una búsqueda en las páginas del Ayuntamiento, en las que se localizó la convocatoria del ejercicio fiscal 2025 como se observa en la siguiente imagen:</w:t>
      </w:r>
    </w:p>
    <w:p w:rsidR="00E944AD" w:rsidRDefault="00E944AD">
      <w:pPr>
        <w:pBdr>
          <w:top w:val="nil"/>
          <w:left w:val="nil"/>
          <w:bottom w:val="nil"/>
          <w:right w:val="nil"/>
          <w:between w:val="nil"/>
        </w:pBdr>
        <w:ind w:left="720" w:right="-876"/>
        <w:rPr>
          <w:rFonts w:ascii="Palatino Linotype" w:eastAsia="Palatino Linotype" w:hAnsi="Palatino Linotype" w:cs="Palatino Linotype"/>
          <w:color w:val="000000"/>
        </w:rPr>
      </w:pPr>
    </w:p>
    <w:p w:rsidR="00E944AD" w:rsidRDefault="00A656E0" w:rsidP="00217424">
      <w:pPr>
        <w:pBdr>
          <w:top w:val="nil"/>
          <w:left w:val="nil"/>
          <w:bottom w:val="nil"/>
          <w:right w:val="nil"/>
          <w:between w:val="nil"/>
        </w:pBdr>
        <w:spacing w:line="360" w:lineRule="auto"/>
        <w:ind w:right="-876"/>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lastRenderedPageBreak/>
        <w:drawing>
          <wp:inline distT="0" distB="0" distL="0" distR="0">
            <wp:extent cx="5749121" cy="290581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9121" cy="2905812"/>
                    </a:xfrm>
                    <a:prstGeom prst="rect">
                      <a:avLst/>
                    </a:prstGeom>
                    <a:ln/>
                  </pic:spPr>
                </pic:pic>
              </a:graphicData>
            </a:graphic>
          </wp:inline>
        </w:drawing>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se presume que la información es generada, poseída y administrada por el Sujeto Obligado; al respecto debemos señalar que el acceso a la información es un derecho humano constitucional y convencionalmente reconocido y para tal efecto el párrafo tercero del artículo primero de la Constitución Política de los Estados Unidos Mexicanos establece el deber de todas las autoridades, </w:t>
      </w:r>
      <w:r>
        <w:rPr>
          <w:rFonts w:ascii="Palatino Linotype" w:eastAsia="Palatino Linotype" w:hAnsi="Palatino Linotype" w:cs="Palatino Linotype"/>
          <w:i/>
          <w:iCs/>
          <w:color w:val="000000"/>
        </w:rPr>
        <w:t xml:space="preserve">en el ámbito de sus atribuciones, de promover, respetar, proteger y </w:t>
      </w:r>
      <w:r>
        <w:rPr>
          <w:rFonts w:ascii="Palatino Linotype" w:eastAsia="Palatino Linotype" w:hAnsi="Palatino Linotype" w:cs="Palatino Linotype"/>
          <w:b/>
          <w:bCs/>
          <w:i/>
          <w:iCs/>
          <w:color w:val="000000"/>
        </w:rPr>
        <w:t>garantizar</w:t>
      </w:r>
      <w:r>
        <w:rPr>
          <w:rFonts w:ascii="Palatino Linotype" w:eastAsia="Palatino Linotype" w:hAnsi="Palatino Linotype" w:cs="Palatino Linotype"/>
          <w:i/>
          <w:iCs/>
          <w:color w:val="000000"/>
        </w:rPr>
        <w:t xml:space="preserve"> los derechos humanos. </w:t>
      </w:r>
      <w:r>
        <w:rPr>
          <w:rFonts w:ascii="Palatino Linotype" w:eastAsia="Palatino Linotype" w:hAnsi="Palatino Linotype" w:cs="Palatino Linotype"/>
          <w:color w:val="000000"/>
        </w:rPr>
        <w:t>En cuanto al derecho de acceso a la información, la Ley de Transparencia y Acceso a la Información Pública del Estado de México y Municipios prevé establece que</w:t>
      </w:r>
      <w:r>
        <w:rPr>
          <w:rFonts w:ascii="Palatino Linotype" w:eastAsia="Palatino Linotype" w:hAnsi="Palatino Linotype" w:cs="Palatino Linotype"/>
          <w:b/>
          <w:bCs/>
          <w:i/>
          <w:iCs/>
          <w:color w:val="000000"/>
        </w:rPr>
        <w:t xml:space="preserve"> e</w:t>
      </w:r>
      <w:r>
        <w:rPr>
          <w:rFonts w:ascii="Palatino Linotype" w:eastAsia="Palatino Linotype" w:hAnsi="Palatino Linotype" w:cs="Palatino Linotype"/>
          <w:i/>
          <w:iCs/>
          <w:color w:val="000000"/>
        </w:rPr>
        <w:t>l procedimiento de acceso a la información es la garantía primaria del derecho en cuestión y se rige por los principios de simplicidad, rapidez y gratuidad del procedimiento, auxilio y orientación a los particulares</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asimismo establece</w:t>
      </w:r>
      <w:r>
        <w:rPr>
          <w:rFonts w:ascii="Palatino Linotype" w:eastAsia="Palatino Linotype" w:hAnsi="Palatino Linotype" w:cs="Palatino Linotype"/>
          <w:i/>
          <w:iCs/>
          <w:color w:val="000000"/>
        </w:rPr>
        <w:t xml:space="preserve"> que las unidades de transparencia de los Sujetos </w:t>
      </w:r>
      <w:r>
        <w:rPr>
          <w:rFonts w:ascii="Palatino Linotype" w:eastAsia="Palatino Linotype" w:hAnsi="Palatino Linotype" w:cs="Palatino Linotype"/>
          <w:i/>
          <w:iCs/>
          <w:color w:val="000000"/>
        </w:rPr>
        <w:lastRenderedPageBreak/>
        <w:t>Obligados deberán garantizar las medidas y condiciones de accesibilidad para que toda persona pueda ejercer el derecho de acceso a la información, mediante solicitudes de información y deberá apoyar al solicitante en la elaboración de las mismas.</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tabs>
          <w:tab w:val="left" w:pos="426"/>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Pr>
          <w:rFonts w:ascii="Palatino Linotype" w:eastAsia="Palatino Linotype" w:hAnsi="Palatino Linotype" w:cs="Palatino Linotype"/>
          <w:b/>
          <w:bCs/>
          <w:color w:val="000000"/>
        </w:rPr>
        <w:t>los Sujetos Obligados deberán documentar todo acto que se derive del ejercicio de sus facultades, competencias o funciones,</w:t>
      </w:r>
      <w:r>
        <w:rPr>
          <w:rFonts w:ascii="Palatino Linotype" w:eastAsia="Palatino Linotype" w:hAnsi="Palatino Linotype" w:cs="Palatino Linotype"/>
          <w:color w:val="000000"/>
        </w:rPr>
        <w:t xml:space="preserve"> considerando desde su origen la eventual publicidad y reutilización de la información que generen, posean o administren.</w:t>
      </w:r>
    </w:p>
    <w:p w:rsidR="00E944AD" w:rsidRDefault="00E944AD">
      <w:pPr>
        <w:pBdr>
          <w:top w:val="nil"/>
          <w:left w:val="nil"/>
          <w:bottom w:val="nil"/>
          <w:right w:val="nil"/>
          <w:between w:val="nil"/>
        </w:pBdr>
        <w:spacing w:line="360" w:lineRule="auto"/>
        <w:ind w:right="-876"/>
        <w:rPr>
          <w:rFonts w:ascii="Palatino Linotype" w:eastAsia="Palatino Linotype" w:hAnsi="Palatino Linotype" w:cs="Palatino Linotype"/>
          <w:i/>
          <w:iCs/>
          <w:color w:val="000000"/>
        </w:rPr>
      </w:pPr>
    </w:p>
    <w:p w:rsidR="00E944AD"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 </w:t>
      </w:r>
      <w:r>
        <w:rPr>
          <w:rFonts w:ascii="Palatino Linotype" w:eastAsia="Palatino Linotype" w:hAnsi="Palatino Linotype" w:cs="Palatino Linotype"/>
          <w:i/>
          <w:iCs/>
        </w:rPr>
        <w:t>El derecho humano de acceso a la información pública es la prerrogativa de las personas para buscar, difundir, investigar, recabar, recibir y solicitar información pública, sin necesidad de acreditar personalidad ni interés jurídico.</w:t>
      </w:r>
    </w:p>
    <w:p w:rsidR="00E944AD" w:rsidRDefault="00E944AD">
      <w:pPr>
        <w:spacing w:line="276" w:lineRule="auto"/>
        <w:ind w:left="567" w:right="-876"/>
        <w:jc w:val="both"/>
        <w:rPr>
          <w:rFonts w:ascii="Palatino Linotype" w:eastAsia="Palatino Linotype" w:hAnsi="Palatino Linotype" w:cs="Palatino Linotype"/>
          <w:i/>
          <w:iCs/>
        </w:rPr>
      </w:pP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w:t>
      </w:r>
      <w:r>
        <w:rPr>
          <w:rFonts w:ascii="Palatino Linotype" w:eastAsia="Palatino Linotype" w:hAnsi="Palatino Linotype" w:cs="Palatino Linotype"/>
          <w:i/>
          <w:iCs/>
        </w:rPr>
        <w:lastRenderedPageBreak/>
        <w:t>excepcionalmente como reservada temporalmente por razones de interés público, en los términos de las causas legítimas y estrictamente necesarias previstas por esta Ley.</w:t>
      </w:r>
    </w:p>
    <w:p w:rsidR="00E944AD" w:rsidRDefault="00E944AD">
      <w:pPr>
        <w:spacing w:line="276" w:lineRule="auto"/>
        <w:ind w:left="567" w:right="-876"/>
        <w:jc w:val="both"/>
        <w:rPr>
          <w:rFonts w:ascii="Palatino Linotype" w:eastAsia="Palatino Linotype" w:hAnsi="Palatino Linotype" w:cs="Palatino Linotype"/>
          <w:i/>
          <w:iCs/>
        </w:rPr>
      </w:pP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E944AD" w:rsidRDefault="00E944AD">
      <w:pPr>
        <w:spacing w:line="276" w:lineRule="auto"/>
        <w:ind w:right="-876"/>
        <w:jc w:val="both"/>
        <w:rPr>
          <w:rFonts w:ascii="Palatino Linotype" w:eastAsia="Palatino Linotype" w:hAnsi="Palatino Linotype" w:cs="Palatino Linotype"/>
          <w:i/>
          <w:iCs/>
          <w:color w:val="000000"/>
        </w:rPr>
      </w:pP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12. </w:t>
      </w:r>
      <w:r>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E944AD" w:rsidRDefault="00E944AD">
      <w:pPr>
        <w:spacing w:line="276" w:lineRule="auto"/>
        <w:ind w:left="567" w:right="-876"/>
        <w:jc w:val="both"/>
        <w:rPr>
          <w:rFonts w:ascii="Palatino Linotype" w:eastAsia="Palatino Linotype" w:hAnsi="Palatino Linotype" w:cs="Palatino Linotype"/>
          <w:i/>
          <w:iCs/>
        </w:rPr>
      </w:pP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w:t>
      </w:r>
      <w:r>
        <w:rPr>
          <w:rFonts w:ascii="Palatino Linotype" w:eastAsia="Palatino Linotype" w:hAnsi="Palatino Linotype" w:cs="Palatino Linotype"/>
          <w:b/>
          <w:bCs/>
          <w:i/>
          <w:iCs/>
        </w:rPr>
        <w:t>La obligación de proporcionar información no comprende el procesamiento de la misma, ni el presentarla conforme al interés del solicitante; no estarán obligados a generarla, resumirla, efectuar cálculos o practicar investigaciones.</w:t>
      </w:r>
    </w:p>
    <w:p w:rsidR="00E944AD" w:rsidRDefault="00E944AD">
      <w:pPr>
        <w:spacing w:line="360" w:lineRule="auto"/>
        <w:ind w:left="567" w:right="-876"/>
        <w:jc w:val="both"/>
        <w:rPr>
          <w:rFonts w:ascii="Palatino Linotype" w:eastAsia="Palatino Linotype" w:hAnsi="Palatino Linotype" w:cs="Palatino Linotype"/>
          <w:i/>
          <w:iCs/>
          <w:color w:val="000000"/>
        </w:rPr>
      </w:pPr>
    </w:p>
    <w:p w:rsidR="00E944AD" w:rsidRDefault="00A656E0">
      <w:pPr>
        <w:numPr>
          <w:ilvl w:val="0"/>
          <w:numId w:val="6"/>
        </w:numPr>
        <w:pBdr>
          <w:top w:val="nil"/>
          <w:left w:val="nil"/>
          <w:bottom w:val="nil"/>
          <w:right w:val="nil"/>
          <w:between w:val="nil"/>
        </w:pBdr>
        <w:tabs>
          <w:tab w:val="left" w:pos="851"/>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E944AD" w:rsidRDefault="00A656E0">
      <w:pPr>
        <w:numPr>
          <w:ilvl w:val="0"/>
          <w:numId w:val="6"/>
        </w:numPr>
        <w:pBdr>
          <w:top w:val="nil"/>
          <w:left w:val="nil"/>
          <w:bottom w:val="nil"/>
          <w:right w:val="nil"/>
          <w:between w:val="nil"/>
        </w:pBdr>
        <w:tabs>
          <w:tab w:val="left" w:pos="851"/>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E944AD" w:rsidRDefault="00A656E0">
      <w:pPr>
        <w:pBdr>
          <w:top w:val="nil"/>
          <w:left w:val="nil"/>
          <w:bottom w:val="nil"/>
          <w:right w:val="nil"/>
          <w:between w:val="nil"/>
        </w:pBdr>
        <w:tabs>
          <w:tab w:val="left" w:pos="851"/>
        </w:tabs>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E944AD" w:rsidRDefault="00A656E0">
      <w:pPr>
        <w:pBdr>
          <w:top w:val="nil"/>
          <w:left w:val="nil"/>
          <w:bottom w:val="nil"/>
          <w:right w:val="nil"/>
          <w:between w:val="nil"/>
        </w:pBdr>
        <w:tabs>
          <w:tab w:val="left" w:pos="851"/>
        </w:tabs>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CUARTO TRIBUNAL COLEGIADO EN MATERIA ADMINISTRATIVA DEL PRIMER CIRCUITO. </w:t>
      </w:r>
    </w:p>
    <w:p w:rsidR="00E944AD" w:rsidRDefault="00E944AD">
      <w:pPr>
        <w:pBdr>
          <w:top w:val="nil"/>
          <w:left w:val="nil"/>
          <w:bottom w:val="nil"/>
          <w:right w:val="nil"/>
          <w:between w:val="nil"/>
        </w:pBdr>
        <w:tabs>
          <w:tab w:val="left" w:pos="851"/>
        </w:tabs>
        <w:spacing w:line="360" w:lineRule="auto"/>
        <w:ind w:left="567" w:right="-876"/>
        <w:jc w:val="both"/>
        <w:rPr>
          <w:rFonts w:ascii="Palatino Linotype" w:eastAsia="Palatino Linotype" w:hAnsi="Palatino Linotype" w:cs="Palatino Linotype"/>
          <w:i/>
          <w:iCs/>
          <w:color w:val="000000"/>
        </w:rPr>
      </w:pPr>
    </w:p>
    <w:p w:rsidR="00E944AD" w:rsidRDefault="00A656E0">
      <w:pPr>
        <w:pBdr>
          <w:top w:val="nil"/>
          <w:left w:val="nil"/>
          <w:bottom w:val="nil"/>
          <w:right w:val="nil"/>
          <w:between w:val="nil"/>
        </w:pBdr>
        <w:tabs>
          <w:tab w:val="left" w:pos="851"/>
        </w:tabs>
        <w:spacing w:line="360" w:lineRule="auto"/>
        <w:ind w:left="567"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Amparo en revisión 257/2012. Ruth Corona Muñoz. 6 de diciembre de 2012. Unanimidad de votos. Ponente: Jean Claude Tron Petit. Secretaria: Mayra Susana Martínez López.</w:t>
      </w:r>
    </w:p>
    <w:p w:rsidR="00E944AD" w:rsidRDefault="00E944AD">
      <w:pPr>
        <w:pBdr>
          <w:top w:val="nil"/>
          <w:left w:val="nil"/>
          <w:bottom w:val="nil"/>
          <w:right w:val="nil"/>
          <w:between w:val="nil"/>
        </w:pBdr>
        <w:spacing w:line="360" w:lineRule="auto"/>
        <w:ind w:left="720" w:right="-876"/>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tabs>
          <w:tab w:val="left" w:pos="851"/>
        </w:tabs>
        <w:spacing w:after="240"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E944AD" w:rsidRDefault="00A656E0">
      <w:pPr>
        <w:spacing w:line="276" w:lineRule="auto"/>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XI. Documento: </w:t>
      </w:r>
      <w:r>
        <w:rPr>
          <w:rFonts w:ascii="Palatino Linotype" w:eastAsia="Palatino Linotype" w:hAnsi="Palatino Linotype" w:cs="Palatino Linotype"/>
          <w:i/>
          <w:iCs/>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rPr>
        <w:t>cualquier otro registro</w:t>
      </w:r>
      <w:r>
        <w:rPr>
          <w:rFonts w:ascii="Palatino Linotype" w:eastAsia="Palatino Linotype" w:hAnsi="Palatino Linotype" w:cs="Palatino Linotype"/>
          <w:i/>
          <w:iC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944AD" w:rsidRDefault="00E944AD">
      <w:pPr>
        <w:pBdr>
          <w:top w:val="nil"/>
          <w:left w:val="nil"/>
          <w:bottom w:val="nil"/>
          <w:right w:val="nil"/>
          <w:between w:val="nil"/>
        </w:pBdr>
        <w:tabs>
          <w:tab w:val="left" w:pos="851"/>
        </w:tabs>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tabs>
          <w:tab w:val="left" w:pos="851"/>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E944AD" w:rsidRDefault="00E944AD">
      <w:pPr>
        <w:pBdr>
          <w:top w:val="nil"/>
          <w:left w:val="nil"/>
          <w:bottom w:val="nil"/>
          <w:right w:val="nil"/>
          <w:between w:val="nil"/>
        </w:pBdr>
        <w:tabs>
          <w:tab w:val="left" w:pos="851"/>
        </w:tabs>
        <w:spacing w:line="360" w:lineRule="auto"/>
        <w:ind w:right="-876"/>
        <w:jc w:val="both"/>
        <w:rPr>
          <w:rFonts w:ascii="Palatino Linotype" w:eastAsia="Palatino Linotype" w:hAnsi="Palatino Linotype" w:cs="Palatino Linotype"/>
          <w:color w:val="000000"/>
        </w:rPr>
      </w:pPr>
    </w:p>
    <w:p w:rsidR="00E944AD" w:rsidRPr="00217424" w:rsidRDefault="00A656E0">
      <w:pPr>
        <w:numPr>
          <w:ilvl w:val="0"/>
          <w:numId w:val="6"/>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Pr>
          <w:rFonts w:ascii="Palatino Linotype" w:eastAsia="Palatino Linotype" w:hAnsi="Palatino Linotype" w:cs="Palatino Linotype"/>
          <w:b/>
          <w:bCs/>
          <w:color w:val="000000"/>
        </w:rPr>
        <w:t xml:space="preserve">REVOCAR </w:t>
      </w:r>
      <w:r>
        <w:rPr>
          <w:rFonts w:ascii="Palatino Linotype" w:eastAsia="Palatino Linotype" w:hAnsi="Palatino Linotype" w:cs="Palatino Linotype"/>
          <w:color w:val="000000"/>
        </w:rPr>
        <w:t>la respuesta otorgada por el Sujeto Obligado.</w:t>
      </w:r>
    </w:p>
    <w:p w:rsidR="00217424" w:rsidRDefault="00217424" w:rsidP="00217424">
      <w:pPr>
        <w:pStyle w:val="Prrafodelista"/>
        <w:rPr>
          <w:rFonts w:ascii="Palatino Linotype" w:eastAsia="Palatino Linotype" w:hAnsi="Palatino Linotype" w:cs="Palatino Linotype"/>
          <w:b/>
          <w:bCs/>
        </w:rPr>
      </w:pPr>
    </w:p>
    <w:p w:rsidR="00E944AD" w:rsidRDefault="00A656E0">
      <w:pPr>
        <w:spacing w:line="360" w:lineRule="auto"/>
        <w:ind w:right="-876"/>
        <w:rPr>
          <w:rFonts w:ascii="Palatino Linotype" w:eastAsia="Palatino Linotype" w:hAnsi="Palatino Linotype" w:cs="Palatino Linotype"/>
          <w:b/>
          <w:bCs/>
        </w:rPr>
      </w:pPr>
      <w:r>
        <w:rPr>
          <w:rFonts w:ascii="Palatino Linotype" w:eastAsia="Palatino Linotype" w:hAnsi="Palatino Linotype" w:cs="Palatino Linotype"/>
          <w:b/>
          <w:bCs/>
        </w:rPr>
        <w:lastRenderedPageBreak/>
        <w:t>QUINTO. De la versión pública.</w:t>
      </w:r>
    </w:p>
    <w:p w:rsidR="00E944AD" w:rsidRDefault="00A656E0">
      <w:pPr>
        <w:numPr>
          <w:ilvl w:val="0"/>
          <w:numId w:val="6"/>
        </w:numPr>
        <w:pBdr>
          <w:top w:val="nil"/>
          <w:left w:val="nil"/>
          <w:bottom w:val="nil"/>
          <w:right w:val="nil"/>
          <w:between w:val="nil"/>
        </w:pBdr>
        <w:tabs>
          <w:tab w:val="left" w:pos="0"/>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Debe destacarse que, debido a la naturaleza de la información solicitada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E944AD" w:rsidRDefault="00E944AD">
      <w:pPr>
        <w:pBdr>
          <w:top w:val="nil"/>
          <w:left w:val="nil"/>
          <w:bottom w:val="nil"/>
          <w:right w:val="nil"/>
          <w:between w:val="nil"/>
        </w:pBdr>
        <w:tabs>
          <w:tab w:val="left" w:pos="0"/>
          <w:tab w:val="left" w:pos="284"/>
        </w:tabs>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tabs>
          <w:tab w:val="left" w:pos="284"/>
        </w:tabs>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pasa desapercibido para este Órgano Garante que los </w:t>
      </w:r>
      <w:r>
        <w:rPr>
          <w:rFonts w:ascii="Palatino Linotype" w:eastAsia="Palatino Linotype" w:hAnsi="Palatino Linotype" w:cs="Palatino Linotype"/>
          <w:b/>
          <w:bCs/>
        </w:rPr>
        <w:t xml:space="preserve">Sujetos Obligados </w:t>
      </w:r>
      <w:r>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E944AD" w:rsidRDefault="00E944AD">
      <w:pPr>
        <w:tabs>
          <w:tab w:val="left" w:pos="284"/>
        </w:tabs>
        <w:spacing w:line="360" w:lineRule="auto"/>
        <w:ind w:right="-876"/>
        <w:jc w:val="both"/>
        <w:rPr>
          <w:rFonts w:ascii="Palatino Linotype" w:eastAsia="Palatino Linotype" w:hAnsi="Palatino Linotype" w:cs="Palatino Linotype"/>
        </w:rPr>
      </w:pPr>
    </w:p>
    <w:tbl>
      <w:tblPr>
        <w:tblStyle w:val="a0"/>
        <w:tblW w:w="1003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5"/>
        <w:gridCol w:w="7350"/>
      </w:tblGrid>
      <w:tr w:rsidR="00E944AD">
        <w:tc>
          <w:tcPr>
            <w:tcW w:w="2685" w:type="dxa"/>
          </w:tcPr>
          <w:p w:rsidR="00E944AD" w:rsidRDefault="00A656E0">
            <w:pPr>
              <w:spacing w:line="360" w:lineRule="auto"/>
              <w:ind w:right="40"/>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350" w:type="dxa"/>
          </w:tcPr>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E944AD" w:rsidRDefault="00A656E0">
            <w:pPr>
              <w:tabs>
                <w:tab w:val="left" w:pos="284"/>
              </w:tabs>
              <w:spacing w:line="276" w:lineRule="auto"/>
              <w:ind w:right="40"/>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E944AD">
        <w:tc>
          <w:tcPr>
            <w:tcW w:w="2685" w:type="dxa"/>
            <w:shd w:val="clear" w:color="auto" w:fill="D9D9D9"/>
          </w:tcPr>
          <w:p w:rsidR="00E944AD" w:rsidRDefault="00A656E0">
            <w:pPr>
              <w:tabs>
                <w:tab w:val="left" w:pos="284"/>
              </w:tabs>
              <w:spacing w:line="360" w:lineRule="auto"/>
              <w:ind w:right="40"/>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7350" w:type="dxa"/>
            <w:shd w:val="clear" w:color="auto" w:fill="D9D9D9"/>
          </w:tcPr>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944AD" w:rsidRDefault="00A656E0">
            <w:pPr>
              <w:tabs>
                <w:tab w:val="left" w:pos="284"/>
              </w:tabs>
              <w:spacing w:line="276" w:lineRule="auto"/>
              <w:ind w:right="40"/>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944AD">
        <w:tc>
          <w:tcPr>
            <w:tcW w:w="2685" w:type="dxa"/>
          </w:tcPr>
          <w:p w:rsidR="00E944AD" w:rsidRDefault="00A656E0">
            <w:pPr>
              <w:tabs>
                <w:tab w:val="left" w:pos="284"/>
              </w:tabs>
              <w:spacing w:line="360" w:lineRule="auto"/>
              <w:ind w:right="40"/>
              <w:rPr>
                <w:rFonts w:ascii="Palatino Linotype" w:eastAsia="Palatino Linotype" w:hAnsi="Palatino Linotype" w:cs="Palatino Linotype"/>
                <w:b/>
                <w:bCs/>
              </w:rPr>
            </w:pPr>
            <w:r>
              <w:rPr>
                <w:rFonts w:ascii="Palatino Linotype" w:eastAsia="Palatino Linotype" w:hAnsi="Palatino Linotype" w:cs="Palatino Linotype"/>
                <w:b/>
                <w:bCs/>
              </w:rPr>
              <w:t>c) Formalidades para emitir el acuerdo de clasificación.</w:t>
            </w:r>
          </w:p>
        </w:tc>
        <w:tc>
          <w:tcPr>
            <w:tcW w:w="7350" w:type="dxa"/>
          </w:tcPr>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E944AD" w:rsidRDefault="00A656E0">
            <w:pPr>
              <w:tabs>
                <w:tab w:val="left" w:pos="284"/>
              </w:tabs>
              <w:spacing w:line="276" w:lineRule="auto"/>
              <w:ind w:right="40"/>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944AD">
        <w:tc>
          <w:tcPr>
            <w:tcW w:w="2685" w:type="dxa"/>
            <w:shd w:val="clear" w:color="auto" w:fill="D9D9D9"/>
          </w:tcPr>
          <w:p w:rsidR="00E944AD" w:rsidRDefault="00E944AD">
            <w:pPr>
              <w:tabs>
                <w:tab w:val="left" w:pos="284"/>
              </w:tabs>
              <w:spacing w:line="360" w:lineRule="auto"/>
              <w:ind w:right="40"/>
              <w:rPr>
                <w:rFonts w:ascii="Palatino Linotype" w:eastAsia="Palatino Linotype" w:hAnsi="Palatino Linotype" w:cs="Palatino Linotype"/>
                <w:b/>
                <w:bCs/>
              </w:rPr>
            </w:pPr>
          </w:p>
          <w:p w:rsidR="00E944AD" w:rsidRDefault="00A656E0">
            <w:pPr>
              <w:tabs>
                <w:tab w:val="left" w:pos="284"/>
              </w:tabs>
              <w:spacing w:line="360" w:lineRule="auto"/>
              <w:ind w:right="40"/>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lastRenderedPageBreak/>
              <w:t xml:space="preserve">d) Requisitos de fondo del acuerdo de clasificación. </w:t>
            </w:r>
          </w:p>
        </w:tc>
        <w:tc>
          <w:tcPr>
            <w:tcW w:w="7350" w:type="dxa"/>
            <w:shd w:val="clear" w:color="auto" w:fill="D9D9D9"/>
          </w:tcPr>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w:t>
            </w:r>
            <w:r>
              <w:rPr>
                <w:rFonts w:ascii="Palatino Linotype" w:eastAsia="Palatino Linotype" w:hAnsi="Palatino Linotype" w:cs="Palatino Linotype"/>
                <w:i/>
                <w:iCs/>
                <w:color w:val="000000"/>
              </w:rPr>
              <w:lastRenderedPageBreak/>
              <w:t xml:space="preserve">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944AD">
        <w:tc>
          <w:tcPr>
            <w:tcW w:w="2685" w:type="dxa"/>
          </w:tcPr>
          <w:p w:rsidR="00E944AD" w:rsidRDefault="00A656E0">
            <w:pPr>
              <w:tabs>
                <w:tab w:val="left" w:pos="284"/>
              </w:tabs>
              <w:spacing w:line="360" w:lineRule="auto"/>
              <w:ind w:right="40"/>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w:t>
            </w:r>
            <w:r>
              <w:rPr>
                <w:rFonts w:ascii="Palatino Linotype" w:eastAsia="Palatino Linotype" w:hAnsi="Palatino Linotype" w:cs="Palatino Linotype"/>
                <w:b/>
                <w:bCs/>
              </w:rPr>
              <w:lastRenderedPageBreak/>
              <w:t xml:space="preserve">información como confidencial. </w:t>
            </w:r>
          </w:p>
        </w:tc>
        <w:tc>
          <w:tcPr>
            <w:tcW w:w="7350" w:type="dxa"/>
          </w:tcPr>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Los artículos 148 de la Ley Estatal establece que aun tratándose de datos personales, se podrán proporcionar, incluso sin solicitar el consentimiento de su titular. </w:t>
            </w:r>
          </w:p>
          <w:p w:rsidR="00E944AD" w:rsidRDefault="00A656E0">
            <w:pPr>
              <w:tabs>
                <w:tab w:val="left" w:pos="284"/>
              </w:tabs>
              <w:spacing w:line="276" w:lineRule="auto"/>
              <w:ind w:right="4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w:t>
            </w:r>
            <w:r>
              <w:rPr>
                <w:rFonts w:ascii="Palatino Linotype" w:eastAsia="Palatino Linotype" w:hAnsi="Palatino Linotype" w:cs="Palatino Linotype"/>
                <w:i/>
                <w:iCs/>
                <w:color w:val="000000"/>
              </w:rPr>
              <w:lastRenderedPageBreak/>
              <w:t xml:space="preserve">servidores públicos nos encontramos sujetos a un régimen menor de protección. </w:t>
            </w:r>
          </w:p>
          <w:p w:rsidR="00E944AD" w:rsidRDefault="00A656E0">
            <w:pPr>
              <w:tabs>
                <w:tab w:val="left" w:pos="284"/>
              </w:tabs>
              <w:spacing w:line="276" w:lineRule="auto"/>
              <w:ind w:right="40"/>
              <w:rPr>
                <w:rFonts w:ascii="Palatino Linotype" w:eastAsia="Palatino Linotype" w:hAnsi="Palatino Linotype" w:cs="Palatino Linotype"/>
                <w:i/>
                <w:iCs/>
              </w:rPr>
            </w:pPr>
            <w:r>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944AD" w:rsidRDefault="00E944AD">
      <w:pPr>
        <w:ind w:right="-876"/>
        <w:rPr>
          <w:rFonts w:ascii="Palatino Linotype" w:eastAsia="Palatino Linotype" w:hAnsi="Palatino Linotype" w:cs="Palatino Linotype"/>
        </w:rPr>
      </w:pP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E944AD" w:rsidRDefault="00A656E0">
      <w:pPr>
        <w:numPr>
          <w:ilvl w:val="0"/>
          <w:numId w:val="6"/>
        </w:numPr>
        <w:pBdr>
          <w:top w:val="nil"/>
          <w:left w:val="nil"/>
          <w:bottom w:val="nil"/>
          <w:right w:val="nil"/>
          <w:between w:val="nil"/>
        </w:pBdr>
        <w:tabs>
          <w:tab w:val="left" w:pos="0"/>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E944AD" w:rsidRDefault="00E944AD">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p w:rsidR="00E944AD" w:rsidRDefault="00A656E0">
      <w:pPr>
        <w:pStyle w:val="Ttulo1"/>
        <w:ind w:right="-876"/>
        <w:jc w:val="center"/>
        <w:rPr>
          <w:rFonts w:ascii="Palatino Linotype" w:eastAsia="Palatino Linotype" w:hAnsi="Palatino Linotype" w:cs="Palatino Linotype"/>
          <w:b/>
          <w:bCs/>
          <w:color w:val="000000"/>
          <w:sz w:val="24"/>
          <w:szCs w:val="24"/>
        </w:rPr>
      </w:pPr>
      <w:bookmarkStart w:id="6" w:name="_heading=h.jszhvncxdys9" w:colFirst="0" w:colLast="0"/>
      <w:bookmarkEnd w:id="6"/>
      <w:r>
        <w:rPr>
          <w:rFonts w:ascii="Palatino Linotype" w:eastAsia="Palatino Linotype" w:hAnsi="Palatino Linotype" w:cs="Palatino Linotype"/>
          <w:b/>
          <w:bCs/>
          <w:color w:val="000000"/>
          <w:sz w:val="24"/>
          <w:szCs w:val="24"/>
        </w:rPr>
        <w:t>R E S O L U T I V O S</w:t>
      </w:r>
    </w:p>
    <w:p w:rsidR="00E944AD" w:rsidRDefault="00E944AD">
      <w:pPr>
        <w:keepNext/>
        <w:keepLines/>
        <w:spacing w:line="360" w:lineRule="auto"/>
        <w:ind w:right="-876"/>
        <w:jc w:val="center"/>
        <w:rPr>
          <w:rFonts w:ascii="Palatino Linotype" w:eastAsia="Palatino Linotype" w:hAnsi="Palatino Linotype" w:cs="Palatino Linotype"/>
          <w:b/>
          <w:bCs/>
        </w:rPr>
      </w:pPr>
    </w:p>
    <w:p w:rsidR="00E944AD" w:rsidRDefault="00A656E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00708/INFOEM/IP/RR/2026 </w:t>
      </w:r>
      <w:r>
        <w:rPr>
          <w:rFonts w:ascii="Palatino Linotype" w:eastAsia="Palatino Linotype" w:hAnsi="Palatino Linotype" w:cs="Palatino Linotype"/>
        </w:rPr>
        <w:t>en términos de los</w:t>
      </w:r>
      <w:r>
        <w:rPr>
          <w:rFonts w:ascii="Palatino Linotype" w:eastAsia="Palatino Linotype" w:hAnsi="Palatino Linotype" w:cs="Palatino Linotype"/>
          <w:b/>
          <w:bCs/>
        </w:rPr>
        <w:t xml:space="preserve"> Considerandos</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 y QUINTO</w:t>
      </w:r>
      <w:r>
        <w:rPr>
          <w:rFonts w:ascii="Palatino Linotype" w:eastAsia="Palatino Linotype" w:hAnsi="Palatino Linotype" w:cs="Palatino Linotype"/>
        </w:rPr>
        <w:t xml:space="preserve"> de la presente resolución.</w:t>
      </w:r>
    </w:p>
    <w:p w:rsidR="00E944AD" w:rsidRDefault="00E944AD">
      <w:pPr>
        <w:spacing w:line="360" w:lineRule="auto"/>
        <w:ind w:right="-876"/>
        <w:jc w:val="both"/>
        <w:rPr>
          <w:rFonts w:ascii="Palatino Linotype" w:eastAsia="Palatino Linotype" w:hAnsi="Palatino Linotype" w:cs="Palatino Linotype"/>
        </w:rPr>
      </w:pPr>
    </w:p>
    <w:p w:rsidR="00E944AD" w:rsidRDefault="00A656E0">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REVOCA</w:t>
      </w:r>
      <w:r>
        <w:rPr>
          <w:rFonts w:ascii="Palatino Linotype" w:eastAsia="Palatino Linotype" w:hAnsi="Palatino Linotype" w:cs="Palatino Linotype"/>
          <w:color w:val="000000"/>
        </w:rPr>
        <w:t xml:space="preserve"> la respuesta 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Ayuntamiento de Temoaya, </w:t>
      </w:r>
      <w:r>
        <w:rPr>
          <w:rFonts w:ascii="Palatino Linotype" w:eastAsia="Palatino Linotype" w:hAnsi="Palatino Linotype" w:cs="Palatino Linotype"/>
          <w:color w:val="000000"/>
        </w:rPr>
        <w:t>entregar vía Sistema de Acceso a la Información Mexiquense (SAIMEX), de ser procedente en versión pública</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del ejercicio fiscal 2025, al 02 de diciembre de 2025, información referente al proceso de elección, reconocimiento, funcionamiento y participación de la representación indígena ante el Ayuntamiento de Temoaya, el soporte documental donde conste o se advierta la siguiente información:</w:t>
      </w:r>
    </w:p>
    <w:p w:rsidR="00E944AD" w:rsidRDefault="00A656E0">
      <w:pPr>
        <w:numPr>
          <w:ilvl w:val="3"/>
          <w:numId w:val="6"/>
        </w:numPr>
        <w:pBdr>
          <w:top w:val="nil"/>
          <w:left w:val="nil"/>
          <w:bottom w:val="nil"/>
          <w:right w:val="nil"/>
          <w:between w:val="nil"/>
        </w:pBdr>
        <w:spacing w:before="240" w:line="360" w:lineRule="auto"/>
        <w:ind w:left="1134" w:right="-876" w:firstLine="0"/>
        <w:jc w:val="both"/>
        <w:rPr>
          <w:b/>
          <w:bCs/>
          <w:color w:val="000000"/>
        </w:rPr>
      </w:pPr>
      <w:r>
        <w:rPr>
          <w:rFonts w:ascii="Palatino Linotype" w:eastAsia="Palatino Linotype" w:hAnsi="Palatino Linotype" w:cs="Palatino Linotype"/>
          <w:b/>
          <w:bCs/>
          <w:color w:val="000000"/>
        </w:rPr>
        <w:lastRenderedPageBreak/>
        <w:t>Fecha en que se emitió la convocatoria para la elección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Copia simple de la convocatoria para elección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Método de elección del Representante Indígena utilizado, indicando si fue por Asamblea comunitaria o usos y costumbres o Consulta indígena o Elección por delegados u otro;</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Fundamento jurídico municipal o estatal que se utilizó para organizar el proceso de elección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Nombre completo del Representante Indígena electo(a);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Comunidad, barrio, paraje o pueblo originario a los que representa 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Fecha oficial de toma de protesta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Acta, acuerdo de Cabildo o documento oficial donde conste la toma de protesta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Periodo de duración del cargo del Representante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 xml:space="preserve">Correo electrónico institucional y número telefónico de contacto del Representante Indígena; </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Ubicación, horario de atención y recursos o personal de apoyo asignados al Representante Indígena, para la atención a la población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 xml:space="preserve">Apoyo económico, compensación, remuneración o viáticos otorgados al Representante Indígena, en el que señale el monto y fundamento jurídico que lo sustente. </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lastRenderedPageBreak/>
        <w:t xml:space="preserve">En relación al punto anterior, en caso de que no exista apoyo económico,  compensación, remuneración o viáticos a los representantes indígenas, la normatividad jurídica que lo impida; </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Espacio del representante indígena en la Mesa de Cabildo, conforme a la normatividad municipal;</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 xml:space="preserve">Número y fecha de las Sesiones de Cabildo a las que ha sido convocado el Representante Indígena desde su toma de protesta y a las que no ha sido </w:t>
      </w:r>
      <w:r w:rsidRPr="00CC460A">
        <w:rPr>
          <w:rFonts w:ascii="Palatino Linotype" w:eastAsia="Palatino Linotype" w:hAnsi="Palatino Linotype" w:cs="Palatino Linotype"/>
          <w:b/>
          <w:bCs/>
          <w:color w:val="000000"/>
        </w:rPr>
        <w:t>convocado;</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sidRPr="00CC460A">
        <w:rPr>
          <w:rFonts w:ascii="Palatino Linotype" w:eastAsia="Palatino Linotype" w:hAnsi="Palatino Linotype" w:cs="Palatino Linotype"/>
          <w:b/>
          <w:bCs/>
          <w:color w:val="000000"/>
        </w:rPr>
        <w:t>Justificación jurídica o adm</w:t>
      </w:r>
      <w:r w:rsidR="005536B5" w:rsidRPr="00CC460A">
        <w:rPr>
          <w:rFonts w:ascii="Palatino Linotype" w:eastAsia="Palatino Linotype" w:hAnsi="Palatino Linotype" w:cs="Palatino Linotype"/>
          <w:b/>
          <w:bCs/>
          <w:color w:val="000000"/>
        </w:rPr>
        <w:t>inistrativa por la cual</w:t>
      </w:r>
      <w:r w:rsidR="0078476E" w:rsidRPr="00CC460A">
        <w:rPr>
          <w:rFonts w:ascii="Palatino Linotype" w:eastAsia="Palatino Linotype" w:hAnsi="Palatino Linotype" w:cs="Palatino Linotype"/>
          <w:b/>
          <w:bCs/>
          <w:color w:val="000000"/>
        </w:rPr>
        <w:t xml:space="preserve"> se</w:t>
      </w:r>
      <w:r w:rsidRPr="00CC460A">
        <w:rPr>
          <w:rFonts w:ascii="Palatino Linotype" w:eastAsia="Palatino Linotype" w:hAnsi="Palatino Linotype" w:cs="Palatino Linotype"/>
          <w:b/>
          <w:bCs/>
          <w:color w:val="000000"/>
        </w:rPr>
        <w:t xml:space="preserve"> convocó a las sesiones de cabildo al Representante Indígena;</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sidRPr="00CC460A">
        <w:rPr>
          <w:rFonts w:ascii="Palatino Linotype" w:eastAsia="Palatino Linotype" w:hAnsi="Palatino Linotype" w:cs="Palatino Linotype"/>
          <w:b/>
          <w:bCs/>
          <w:color w:val="000000"/>
        </w:rPr>
        <w:t>Soporte documental que indique si el Representante Indígena tiene derecho a voz, voto o participación limitada, según el reglamento municipal;</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sidRPr="00CC460A">
        <w:rPr>
          <w:rFonts w:ascii="Palatino Linotype" w:eastAsia="Palatino Linotype" w:hAnsi="Palatino Linotype" w:cs="Palatino Linotype"/>
          <w:b/>
          <w:bCs/>
          <w:color w:val="000000"/>
        </w:rPr>
        <w:t xml:space="preserve">Reglamento, Manual u ordenamiento interno donde se </w:t>
      </w:r>
      <w:r w:rsidRPr="00CC460A">
        <w:rPr>
          <w:rFonts w:ascii="Palatino Linotype" w:eastAsia="Palatino Linotype" w:hAnsi="Palatino Linotype" w:cs="Palatino Linotype"/>
          <w:b/>
          <w:bCs/>
        </w:rPr>
        <w:t>menciona</w:t>
      </w:r>
      <w:r w:rsidRPr="00CC460A">
        <w:rPr>
          <w:rFonts w:ascii="Palatino Linotype" w:eastAsia="Palatino Linotype" w:hAnsi="Palatino Linotype" w:cs="Palatino Linotype"/>
          <w:b/>
          <w:bCs/>
          <w:color w:val="000000"/>
        </w:rPr>
        <w:t xml:space="preserve"> el rol del Representante Indígena en Cabildo;</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sidRPr="00CC460A">
        <w:rPr>
          <w:rFonts w:ascii="Palatino Linotype" w:eastAsia="Palatino Linotype" w:hAnsi="Palatino Linotype" w:cs="Palatino Linotype"/>
          <w:b/>
          <w:bCs/>
          <w:color w:val="000000"/>
        </w:rPr>
        <w:t>Programas municipales específicos para pueblos y comunidades indígenas;</w:t>
      </w:r>
    </w:p>
    <w:p w:rsidR="00E944AD" w:rsidRPr="00CC460A"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sidRPr="00CC460A">
        <w:rPr>
          <w:rFonts w:ascii="Palatino Linotype" w:eastAsia="Palatino Linotype" w:hAnsi="Palatino Linotype" w:cs="Palatino Linotype"/>
          <w:b/>
          <w:bCs/>
          <w:color w:val="000000"/>
        </w:rPr>
        <w:t>Acciones implementadas por el Ayuntamiento para garantizar la participación política indígena;</w:t>
      </w:r>
    </w:p>
    <w:p w:rsidR="00E944AD" w:rsidRDefault="00A656E0">
      <w:pPr>
        <w:numPr>
          <w:ilvl w:val="3"/>
          <w:numId w:val="6"/>
        </w:numPr>
        <w:pBdr>
          <w:top w:val="nil"/>
          <w:left w:val="nil"/>
          <w:bottom w:val="nil"/>
          <w:right w:val="nil"/>
          <w:between w:val="nil"/>
        </w:pBdr>
        <w:spacing w:line="360" w:lineRule="auto"/>
        <w:ind w:left="1134" w:right="-876" w:firstLine="0"/>
        <w:jc w:val="both"/>
        <w:rPr>
          <w:b/>
          <w:bCs/>
          <w:color w:val="000000"/>
        </w:rPr>
      </w:pPr>
      <w:r>
        <w:rPr>
          <w:rFonts w:ascii="Palatino Linotype" w:eastAsia="Palatino Linotype" w:hAnsi="Palatino Linotype" w:cs="Palatino Linotype"/>
          <w:b/>
          <w:bCs/>
          <w:color w:val="000000"/>
        </w:rPr>
        <w:t xml:space="preserve">Documentos o acuerdos relevantes que permitan comprender el estado actual de la Representación Indígena en el municipio.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b/>
          <w:bCs/>
          <w:color w:val="000000"/>
        </w:rPr>
      </w:pPr>
    </w:p>
    <w:p w:rsidR="00E944AD" w:rsidRDefault="00A656E0">
      <w:pPr>
        <w:spacing w:after="160"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w:t>
      </w:r>
      <w:r>
        <w:rPr>
          <w:rFonts w:ascii="Palatino Linotype" w:eastAsia="Palatino Linotype" w:hAnsi="Palatino Linotype" w:cs="Palatino Linotype"/>
        </w:rPr>
        <w:lastRenderedPageBreak/>
        <w:t xml:space="preserve">objeto de las versiones públicas que se formulen y se ponga a disposición de la parte recurrente. </w:t>
      </w:r>
    </w:p>
    <w:p w:rsidR="00E944AD" w:rsidRDefault="00A656E0">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de que la información que se ordena entregar en el punto j, k, l, m, o, p, s, t y u, no obre en los archivos del Sujeto Obligado, bastará con que así se haga del conocimiento del Particular en términos del artículo 19, párrafo segundo, de la Ley de Transparencia y Acceso a la Información Pública del Estado de México y Municipios, para </w:t>
      </w:r>
      <w:r>
        <w:rPr>
          <w:rFonts w:ascii="Palatino Linotype" w:eastAsia="Palatino Linotype" w:hAnsi="Palatino Linotype" w:cs="Palatino Linotype"/>
        </w:rPr>
        <w:t>tener por</w:t>
      </w:r>
      <w:r>
        <w:rPr>
          <w:rFonts w:ascii="Palatino Linotype" w:eastAsia="Palatino Linotype" w:hAnsi="Palatino Linotype" w:cs="Palatino Linotype"/>
          <w:color w:val="000000"/>
        </w:rPr>
        <w:t xml:space="preserve"> colmado dicho requerimiento. </w:t>
      </w: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E944AD" w:rsidRDefault="00A656E0">
      <w:pPr>
        <w:tabs>
          <w:tab w:val="left" w:pos="284"/>
          <w:tab w:val="left" w:pos="8080"/>
        </w:tabs>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TERCERO. NOTIFÍQUESE</w:t>
      </w:r>
      <w:r>
        <w:rPr>
          <w:rFonts w:ascii="Palatino Linotype" w:eastAsia="Palatino Linotype" w:hAnsi="Palatino Linotype" w:cs="Palatino Linotype"/>
        </w:rPr>
        <w:t xml:space="preserve"> la presente resolución al Titular de la Unidad de Transparencia del Sujeto Obligado </w:t>
      </w:r>
      <w:r>
        <w:rPr>
          <w:rFonts w:ascii="Palatino Linotype" w:eastAsia="Palatino Linotype" w:hAnsi="Palatino Linotype" w:cs="Palatino Linotype"/>
          <w:b/>
          <w:bCs/>
        </w:rPr>
        <w:t>vía SAIMEX</w:t>
      </w:r>
      <w:r>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802BA0">
        <w:rPr>
          <w:rFonts w:ascii="Palatino Linotype" w:eastAsia="Palatino Linotype" w:hAnsi="Palatino Linotype" w:cs="Palatino Linotype"/>
          <w:b/>
        </w:rPr>
        <w:t>dé cumplimiento a lo ordenado dentro del plazo de diez días hábiles</w:t>
      </w:r>
      <w:r>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944AD" w:rsidRDefault="00E944AD">
      <w:pPr>
        <w:tabs>
          <w:tab w:val="left" w:pos="284"/>
          <w:tab w:val="left" w:pos="8080"/>
        </w:tabs>
        <w:spacing w:line="360" w:lineRule="auto"/>
        <w:ind w:right="-876"/>
        <w:jc w:val="both"/>
        <w:rPr>
          <w:rFonts w:ascii="Palatino Linotype" w:eastAsia="Palatino Linotype" w:hAnsi="Palatino Linotype" w:cs="Palatino Linotype"/>
        </w:rPr>
      </w:pPr>
    </w:p>
    <w:p w:rsidR="00E944AD" w:rsidRDefault="00A656E0">
      <w:pPr>
        <w:tabs>
          <w:tab w:val="left" w:pos="284"/>
        </w:tabs>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la presente resolución a través del Sistema de Acceso a la Información Mexiquense (SAIMEX).</w:t>
      </w:r>
    </w:p>
    <w:p w:rsidR="00E944AD" w:rsidRDefault="00E944AD">
      <w:pPr>
        <w:tabs>
          <w:tab w:val="left" w:pos="284"/>
        </w:tabs>
        <w:spacing w:line="360" w:lineRule="auto"/>
        <w:ind w:right="-876"/>
        <w:jc w:val="both"/>
        <w:rPr>
          <w:rFonts w:ascii="Palatino Linotype" w:eastAsia="Palatino Linotype" w:hAnsi="Palatino Linotype" w:cs="Palatino Linotype"/>
        </w:rPr>
      </w:pPr>
    </w:p>
    <w:p w:rsidR="00E944AD" w:rsidRDefault="00A656E0">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Sujeto </w:t>
      </w:r>
      <w:bookmarkStart w:id="7" w:name="_GoBack"/>
      <w:bookmarkEnd w:id="7"/>
      <w:r>
        <w:rPr>
          <w:rFonts w:ascii="Palatino Linotype" w:eastAsia="Palatino Linotype" w:hAnsi="Palatino Linotype" w:cs="Palatino Linotype"/>
        </w:rPr>
        <w:lastRenderedPageBreak/>
        <w:t>Obligado de manera fundada y motivada, podrá solicitar una ampliación de plazo para el cumplimiento de la presente resolución.</w:t>
      </w:r>
    </w:p>
    <w:p w:rsidR="00E944AD" w:rsidRDefault="00A656E0">
      <w:pPr>
        <w:spacing w:before="240" w:after="360"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02BA0" w:rsidRPr="003E2295" w:rsidRDefault="00802BA0" w:rsidP="00802BA0">
      <w:pPr>
        <w:spacing w:before="240" w:after="240" w:line="360" w:lineRule="auto"/>
        <w:ind w:right="-879" w:firstLine="1"/>
        <w:jc w:val="both"/>
        <w:rPr>
          <w:rFonts w:ascii="Palatino Linotype" w:hAnsi="Palatino Linotype"/>
        </w:rPr>
      </w:pPr>
      <w:bookmarkStart w:id="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E944AD" w:rsidRDefault="00E944AD">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rPr>
      </w:pP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E944AD">
      <w:pPr>
        <w:pBdr>
          <w:top w:val="nil"/>
          <w:left w:val="nil"/>
          <w:bottom w:val="nil"/>
          <w:right w:val="nil"/>
          <w:between w:val="nil"/>
        </w:pBdr>
        <w:ind w:left="720" w:right="-876"/>
        <w:rPr>
          <w:rFonts w:ascii="Palatino Linotype" w:eastAsia="Palatino Linotype" w:hAnsi="Palatino Linotype" w:cs="Palatino Linotype"/>
        </w:rPr>
      </w:pPr>
    </w:p>
    <w:p w:rsidR="00E944AD" w:rsidRDefault="00E944AD">
      <w:pPr>
        <w:pBdr>
          <w:top w:val="nil"/>
          <w:left w:val="nil"/>
          <w:bottom w:val="nil"/>
          <w:right w:val="nil"/>
          <w:between w:val="nil"/>
        </w:pBdr>
        <w:spacing w:line="360" w:lineRule="auto"/>
        <w:ind w:right="-876"/>
        <w:jc w:val="both"/>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p w:rsidR="00E944AD" w:rsidRDefault="00E944AD">
      <w:pPr>
        <w:ind w:right="-876"/>
        <w:rPr>
          <w:rFonts w:ascii="Palatino Linotype" w:eastAsia="Palatino Linotype" w:hAnsi="Palatino Linotype" w:cs="Palatino Linotype"/>
        </w:rPr>
      </w:pPr>
    </w:p>
    <w:sectPr w:rsidR="00E944AD">
      <w:headerReference w:type="even" r:id="rId9"/>
      <w:headerReference w:type="default" r:id="rId10"/>
      <w:footerReference w:type="default" r:id="rId11"/>
      <w:headerReference w:type="first" r:id="rId12"/>
      <w:footerReference w:type="first" r:id="rId13"/>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8F0" w:rsidRDefault="000E08F0">
      <w:r>
        <w:separator/>
      </w:r>
    </w:p>
  </w:endnote>
  <w:endnote w:type="continuationSeparator" w:id="0">
    <w:p w:rsidR="000E08F0" w:rsidRDefault="000E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F9F5CBC7-D9CC-4FE9-A73F-09459AB13769}"/>
    <w:embedBold r:id="rId2" w:fontKey="{39D50DF0-6BE8-4149-BA96-F42C7C549E65}"/>
    <w:embedItalic r:id="rId3" w:fontKey="{2687BB9B-1328-40E1-865F-1E748B49BE0A}"/>
    <w:embedBoldItalic r:id="rId4" w:fontKey="{59179D49-CE14-4A28-8218-01804BC087BE}"/>
  </w:font>
  <w:font w:name="Calibri">
    <w:panose1 w:val="020F0502020204030204"/>
    <w:charset w:val="00"/>
    <w:family w:val="swiss"/>
    <w:pitch w:val="variable"/>
    <w:sig w:usb0="E4002EFF" w:usb1="C200247B" w:usb2="00000009" w:usb3="00000000" w:csb0="000001FF" w:csb1="00000000"/>
    <w:embedRegular r:id="rId5" w:fontKey="{192EA29D-E022-43A1-A59D-0036EEA5BA48}"/>
  </w:font>
  <w:font w:name="Georgia">
    <w:panose1 w:val="02040502050405020303"/>
    <w:charset w:val="00"/>
    <w:family w:val="roman"/>
    <w:pitch w:val="variable"/>
    <w:sig w:usb0="00000287" w:usb1="00000000" w:usb2="00000000" w:usb3="00000000" w:csb0="0000009F" w:csb1="00000000"/>
    <w:embedItalic r:id="rId6" w:fontKey="{EF378834-A1D9-4BD4-A801-5D8075DD5397}"/>
  </w:font>
  <w:font w:name="Garamond">
    <w:panose1 w:val="02020404030301010803"/>
    <w:charset w:val="00"/>
    <w:family w:val="roman"/>
    <w:pitch w:val="variable"/>
    <w:sig w:usb0="00000287" w:usb1="00000000" w:usb2="00000000" w:usb3="00000000" w:csb0="0000009F" w:csb1="00000000"/>
    <w:embedRegular r:id="rId7" w:fontKey="{69F0DA1E-E546-4FC6-8115-52817935D14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7508E0F0-C09D-4907-BA5B-D7DF6203E5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4AD" w:rsidRDefault="00A656E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17424">
      <w:rPr>
        <w:rFonts w:ascii="Palatino Linotype" w:eastAsia="Palatino Linotype" w:hAnsi="Palatino Linotype" w:cs="Palatino Linotype"/>
        <w:b/>
        <w:bCs/>
        <w:noProof/>
        <w:color w:val="000000"/>
        <w:sz w:val="22"/>
        <w:szCs w:val="22"/>
      </w:rPr>
      <w:t>25</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17424">
      <w:rPr>
        <w:rFonts w:ascii="Palatino Linotype" w:eastAsia="Palatino Linotype" w:hAnsi="Palatino Linotype" w:cs="Palatino Linotype"/>
        <w:b/>
        <w:bCs/>
        <w:noProof/>
        <w:color w:val="000000"/>
        <w:sz w:val="22"/>
        <w:szCs w:val="22"/>
      </w:rPr>
      <w:t>26</w:t>
    </w:r>
    <w:r>
      <w:rPr>
        <w:rFonts w:ascii="Palatino Linotype" w:eastAsia="Palatino Linotype" w:hAnsi="Palatino Linotype" w:cs="Palatino Linotype"/>
        <w:b/>
        <w:bCs/>
        <w:color w:val="000000"/>
        <w:sz w:val="22"/>
        <w:szCs w:val="22"/>
      </w:rPr>
      <w:fldChar w:fldCharType="end"/>
    </w:r>
  </w:p>
  <w:p w:rsidR="00E944AD" w:rsidRDefault="00E944A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4AD" w:rsidRDefault="00A656E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17424">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17424">
      <w:rPr>
        <w:rFonts w:ascii="Palatino Linotype" w:eastAsia="Palatino Linotype" w:hAnsi="Palatino Linotype" w:cs="Palatino Linotype"/>
        <w:b/>
        <w:bCs/>
        <w:noProof/>
        <w:color w:val="000000"/>
        <w:sz w:val="22"/>
        <w:szCs w:val="22"/>
      </w:rPr>
      <w:t>26</w:t>
    </w:r>
    <w:r>
      <w:rPr>
        <w:rFonts w:ascii="Palatino Linotype" w:eastAsia="Palatino Linotype" w:hAnsi="Palatino Linotype" w:cs="Palatino Linotype"/>
        <w:b/>
        <w:bCs/>
        <w:color w:val="000000"/>
        <w:sz w:val="22"/>
        <w:szCs w:val="22"/>
      </w:rPr>
      <w:fldChar w:fldCharType="end"/>
    </w:r>
  </w:p>
  <w:p w:rsidR="00E944AD" w:rsidRDefault="00E944A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8F0" w:rsidRDefault="000E08F0">
      <w:r>
        <w:separator/>
      </w:r>
    </w:p>
  </w:footnote>
  <w:footnote w:type="continuationSeparator" w:id="0">
    <w:p w:rsidR="000E08F0" w:rsidRDefault="000E08F0">
      <w:r>
        <w:continuationSeparator/>
      </w:r>
    </w:p>
  </w:footnote>
  <w:footnote w:id="1">
    <w:p w:rsidR="00E944AD" w:rsidRDefault="00A656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150. Ley de Transparencia y Acceso a la Información Pública del Estado de México y Municipios.</w:t>
      </w:r>
    </w:p>
    <w:p w:rsidR="00E944AD" w:rsidRDefault="00A656E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Artículo 151. Ibídem.</w:t>
      </w:r>
    </w:p>
  </w:footnote>
  <w:footnote w:id="2">
    <w:p w:rsidR="00E944AD" w:rsidRDefault="00A656E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Ley de Transparencia y Acceso a la Información Pública del Estado de México y Municipios. Artículo 9. …</w:t>
      </w:r>
    </w:p>
    <w:p w:rsidR="00E944AD" w:rsidRDefault="00A656E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II. Eficacia: Obligación del Instituto para tutelar, de manera efectiva, el derecho de acceso a la información;</w:t>
      </w:r>
    </w:p>
    <w:p w:rsidR="00E944AD" w:rsidRDefault="00A656E0">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4AD" w:rsidRDefault="000E08F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48" w:type="dxa"/>
      <w:tblInd w:w="0" w:type="dxa"/>
      <w:tblLayout w:type="fixed"/>
      <w:tblLook w:val="0400" w:firstRow="0" w:lastRow="0" w:firstColumn="0" w:lastColumn="0" w:noHBand="0" w:noVBand="1"/>
    </w:tblPr>
    <w:tblGrid>
      <w:gridCol w:w="2268"/>
      <w:gridCol w:w="8080"/>
    </w:tblGrid>
    <w:tr w:rsidR="00E944AD" w:rsidTr="00B52670">
      <w:trPr>
        <w:trHeight w:val="1809"/>
      </w:trPr>
      <w:tc>
        <w:tcPr>
          <w:tcW w:w="2268" w:type="dxa"/>
          <w:shd w:val="clear" w:color="auto" w:fill="auto"/>
        </w:tcPr>
        <w:p w:rsidR="00E944AD" w:rsidRDefault="00E944AD">
          <w:pPr>
            <w:tabs>
              <w:tab w:val="right" w:pos="4273"/>
            </w:tabs>
            <w:rPr>
              <w:rFonts w:ascii="Garamond" w:eastAsia="Garamond" w:hAnsi="Garamond" w:cs="Garamond"/>
              <w:sz w:val="16"/>
              <w:szCs w:val="16"/>
            </w:rPr>
          </w:pPr>
        </w:p>
      </w:tc>
      <w:tc>
        <w:tcPr>
          <w:tcW w:w="8080" w:type="dxa"/>
          <w:shd w:val="clear" w:color="auto" w:fill="auto"/>
        </w:tcPr>
        <w:tbl>
          <w:tblPr>
            <w:tblStyle w:val="a2"/>
            <w:tblW w:w="6660" w:type="dxa"/>
            <w:tblInd w:w="1303" w:type="dxa"/>
            <w:tblLayout w:type="fixed"/>
            <w:tblLook w:val="0400" w:firstRow="0" w:lastRow="0" w:firstColumn="0" w:lastColumn="0" w:noHBand="0" w:noVBand="1"/>
          </w:tblPr>
          <w:tblGrid>
            <w:gridCol w:w="2942"/>
            <w:gridCol w:w="3718"/>
          </w:tblGrid>
          <w:tr w:rsidR="00E944AD" w:rsidTr="00B52670">
            <w:trPr>
              <w:trHeight w:val="150"/>
            </w:trPr>
            <w:tc>
              <w:tcPr>
                <w:tcW w:w="2942" w:type="dxa"/>
                <w:shd w:val="clear" w:color="auto" w:fill="auto"/>
              </w:tcPr>
              <w:p w:rsidR="00E944AD" w:rsidRDefault="00A656E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8" w:type="dxa"/>
                <w:shd w:val="clear" w:color="auto" w:fill="auto"/>
              </w:tcPr>
              <w:p w:rsidR="00E944AD" w:rsidRDefault="00A656E0">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00708/INFOEM/IP/RR/2026</w:t>
                </w:r>
                <w:r>
                  <w:rPr>
                    <w:rFonts w:ascii="Palatino Linotype" w:eastAsia="Palatino Linotype" w:hAnsi="Palatino Linotype" w:cs="Palatino Linotype"/>
                    <w:b/>
                    <w:bCs/>
                  </w:rPr>
                  <w:t xml:space="preserve"> </w:t>
                </w:r>
              </w:p>
            </w:tc>
          </w:tr>
          <w:tr w:rsidR="00E944AD" w:rsidTr="00B52670">
            <w:trPr>
              <w:trHeight w:val="295"/>
            </w:trPr>
            <w:tc>
              <w:tcPr>
                <w:tcW w:w="2942" w:type="dxa"/>
                <w:shd w:val="clear" w:color="auto" w:fill="auto"/>
              </w:tcPr>
              <w:p w:rsidR="00E944AD" w:rsidRDefault="00A656E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8" w:type="dxa"/>
                <w:shd w:val="clear" w:color="auto" w:fill="auto"/>
              </w:tcPr>
              <w:p w:rsidR="00E944AD" w:rsidRDefault="00A656E0">
                <w:pPr>
                  <w:tabs>
                    <w:tab w:val="left" w:pos="2834"/>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Ayuntamiento de Temoaya</w:t>
                </w:r>
              </w:p>
            </w:tc>
          </w:tr>
          <w:tr w:rsidR="00E944AD" w:rsidTr="00B52670">
            <w:trPr>
              <w:trHeight w:val="295"/>
            </w:trPr>
            <w:tc>
              <w:tcPr>
                <w:tcW w:w="2942" w:type="dxa"/>
                <w:shd w:val="clear" w:color="auto" w:fill="auto"/>
              </w:tcPr>
              <w:p w:rsidR="00E944AD" w:rsidRDefault="00A656E0">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718" w:type="dxa"/>
                <w:shd w:val="clear" w:color="auto" w:fill="auto"/>
              </w:tcPr>
              <w:p w:rsidR="00E944AD" w:rsidRPr="00B52670" w:rsidRDefault="00B52670" w:rsidP="00B52670">
                <w:pPr>
                  <w:tabs>
                    <w:tab w:val="right" w:pos="8838"/>
                  </w:tabs>
                  <w:ind w:left="-108" w:right="-109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E944AD" w:rsidRDefault="00E944AD">
          <w:pPr>
            <w:tabs>
              <w:tab w:val="right" w:pos="8838"/>
            </w:tabs>
            <w:ind w:left="-28"/>
            <w:jc w:val="both"/>
            <w:rPr>
              <w:rFonts w:ascii="Arial" w:eastAsia="Arial" w:hAnsi="Arial" w:cs="Arial"/>
              <w:b/>
              <w:bCs/>
              <w:sz w:val="22"/>
              <w:szCs w:val="22"/>
            </w:rPr>
          </w:pPr>
        </w:p>
      </w:tc>
    </w:tr>
  </w:tbl>
  <w:p w:rsidR="00E944AD" w:rsidRDefault="000E08F0">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065" w:type="dxa"/>
      <w:tblInd w:w="0" w:type="dxa"/>
      <w:tblLayout w:type="fixed"/>
      <w:tblLook w:val="0400" w:firstRow="0" w:lastRow="0" w:firstColumn="0" w:lastColumn="0" w:noHBand="0" w:noVBand="1"/>
    </w:tblPr>
    <w:tblGrid>
      <w:gridCol w:w="3402"/>
      <w:gridCol w:w="6663"/>
    </w:tblGrid>
    <w:tr w:rsidR="00E944AD" w:rsidTr="00B52670">
      <w:trPr>
        <w:trHeight w:val="1435"/>
      </w:trPr>
      <w:tc>
        <w:tcPr>
          <w:tcW w:w="3402" w:type="dxa"/>
          <w:shd w:val="clear" w:color="auto" w:fill="auto"/>
        </w:tcPr>
        <w:p w:rsidR="00E944AD" w:rsidRDefault="00E944AD">
          <w:pPr>
            <w:tabs>
              <w:tab w:val="right" w:pos="4273"/>
            </w:tabs>
            <w:rPr>
              <w:rFonts w:ascii="Garamond" w:eastAsia="Garamond" w:hAnsi="Garamond" w:cs="Garamond"/>
              <w:sz w:val="22"/>
              <w:szCs w:val="22"/>
            </w:rPr>
          </w:pPr>
        </w:p>
      </w:tc>
      <w:tc>
        <w:tcPr>
          <w:tcW w:w="6663" w:type="dxa"/>
          <w:shd w:val="clear" w:color="auto" w:fill="auto"/>
        </w:tcPr>
        <w:tbl>
          <w:tblPr>
            <w:tblStyle w:val="a4"/>
            <w:tblW w:w="7410" w:type="dxa"/>
            <w:tblInd w:w="40" w:type="dxa"/>
            <w:tblLayout w:type="fixed"/>
            <w:tblLook w:val="0400" w:firstRow="0" w:lastRow="0" w:firstColumn="0" w:lastColumn="0" w:noHBand="0" w:noVBand="1"/>
          </w:tblPr>
          <w:tblGrid>
            <w:gridCol w:w="2942"/>
            <w:gridCol w:w="4468"/>
          </w:tblGrid>
          <w:tr w:rsidR="00E944AD">
            <w:trPr>
              <w:trHeight w:val="144"/>
            </w:trPr>
            <w:tc>
              <w:tcPr>
                <w:tcW w:w="2942" w:type="dxa"/>
                <w:shd w:val="clear" w:color="auto" w:fill="auto"/>
              </w:tcPr>
              <w:p w:rsidR="00E944AD" w:rsidRDefault="00A656E0">
                <w:pPr>
                  <w:tabs>
                    <w:tab w:val="right" w:pos="8838"/>
                  </w:tabs>
                  <w:ind w:left="-264" w:right="-105" w:firstLine="19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68" w:type="dxa"/>
                <w:shd w:val="clear" w:color="auto" w:fill="auto"/>
              </w:tcPr>
              <w:p w:rsidR="00E944AD" w:rsidRDefault="00A656E0">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00708/INFOEM/IP/RR/2026</w:t>
                </w:r>
              </w:p>
            </w:tc>
          </w:tr>
          <w:tr w:rsidR="00E944AD">
            <w:trPr>
              <w:trHeight w:val="144"/>
            </w:trPr>
            <w:tc>
              <w:tcPr>
                <w:tcW w:w="2942" w:type="dxa"/>
                <w:shd w:val="clear" w:color="auto" w:fill="auto"/>
              </w:tcPr>
              <w:p w:rsidR="00E944AD" w:rsidRDefault="00A656E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468" w:type="dxa"/>
                <w:shd w:val="clear" w:color="auto" w:fill="auto"/>
              </w:tcPr>
              <w:p w:rsidR="00E944AD" w:rsidRDefault="00217424">
                <w:pPr>
                  <w:tabs>
                    <w:tab w:val="left" w:pos="3122"/>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XXXX</w:t>
                </w:r>
              </w:p>
            </w:tc>
          </w:tr>
          <w:tr w:rsidR="00E944AD">
            <w:trPr>
              <w:trHeight w:val="283"/>
            </w:trPr>
            <w:tc>
              <w:tcPr>
                <w:tcW w:w="2942" w:type="dxa"/>
                <w:shd w:val="clear" w:color="auto" w:fill="auto"/>
              </w:tcPr>
              <w:p w:rsidR="00E944AD" w:rsidRDefault="00A656E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68" w:type="dxa"/>
                <w:shd w:val="clear" w:color="auto" w:fill="auto"/>
              </w:tcPr>
              <w:p w:rsidR="00E944AD" w:rsidRDefault="00A656E0">
                <w:pPr>
                  <w:tabs>
                    <w:tab w:val="left" w:pos="2834"/>
                    <w:tab w:val="right" w:pos="8838"/>
                  </w:tabs>
                  <w:ind w:left="-74" w:right="-1269"/>
                  <w:jc w:val="both"/>
                  <w:rPr>
                    <w:rFonts w:ascii="Palatino Linotype" w:eastAsia="Palatino Linotype" w:hAnsi="Palatino Linotype" w:cs="Palatino Linotype"/>
                  </w:rPr>
                </w:pPr>
                <w:r>
                  <w:rPr>
                    <w:rFonts w:ascii="Palatino Linotype" w:eastAsia="Palatino Linotype" w:hAnsi="Palatino Linotype" w:cs="Palatino Linotype"/>
                  </w:rPr>
                  <w:t>Ayuntamiento de Temoaya</w:t>
                </w:r>
              </w:p>
            </w:tc>
          </w:tr>
          <w:tr w:rsidR="00E944AD">
            <w:trPr>
              <w:trHeight w:val="283"/>
            </w:trPr>
            <w:tc>
              <w:tcPr>
                <w:tcW w:w="2942" w:type="dxa"/>
                <w:shd w:val="clear" w:color="auto" w:fill="auto"/>
              </w:tcPr>
              <w:p w:rsidR="00E944AD" w:rsidRDefault="00A656E0">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468" w:type="dxa"/>
                <w:shd w:val="clear" w:color="auto" w:fill="auto"/>
              </w:tcPr>
              <w:p w:rsidR="00E944AD" w:rsidRDefault="00A656E0">
                <w:pPr>
                  <w:tabs>
                    <w:tab w:val="right" w:pos="8838"/>
                  </w:tabs>
                  <w:ind w:left="-74"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E944AD" w:rsidRDefault="00E944AD">
                <w:pPr>
                  <w:tabs>
                    <w:tab w:val="right" w:pos="8838"/>
                  </w:tabs>
                  <w:ind w:left="-74" w:right="-1269"/>
                  <w:rPr>
                    <w:rFonts w:ascii="Palatino Linotype" w:eastAsia="Palatino Linotype" w:hAnsi="Palatino Linotype" w:cs="Palatino Linotype"/>
                    <w:b/>
                    <w:bCs/>
                  </w:rPr>
                </w:pPr>
              </w:p>
            </w:tc>
          </w:tr>
        </w:tbl>
        <w:p w:rsidR="00E944AD" w:rsidRDefault="00E944AD">
          <w:pPr>
            <w:tabs>
              <w:tab w:val="right" w:pos="8838"/>
            </w:tabs>
            <w:ind w:left="-28"/>
            <w:jc w:val="both"/>
            <w:rPr>
              <w:rFonts w:ascii="Arial" w:eastAsia="Arial" w:hAnsi="Arial" w:cs="Arial"/>
              <w:b/>
              <w:bCs/>
              <w:sz w:val="22"/>
              <w:szCs w:val="22"/>
            </w:rPr>
          </w:pPr>
        </w:p>
      </w:tc>
    </w:tr>
  </w:tbl>
  <w:p w:rsidR="00E944AD" w:rsidRDefault="000E08F0">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5E61"/>
    <w:multiLevelType w:val="multilevel"/>
    <w:tmpl w:val="092E97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8E00A3C"/>
    <w:multiLevelType w:val="multilevel"/>
    <w:tmpl w:val="94AC3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EA4DB0"/>
    <w:multiLevelType w:val="multilevel"/>
    <w:tmpl w:val="47584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27058B"/>
    <w:multiLevelType w:val="multilevel"/>
    <w:tmpl w:val="A73AE3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E64D7D"/>
    <w:multiLevelType w:val="multilevel"/>
    <w:tmpl w:val="0FBC1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95628B"/>
    <w:multiLevelType w:val="multilevel"/>
    <w:tmpl w:val="9808D6F2"/>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rFonts w:ascii="Palatino Linotype" w:eastAsia="Palatino Linotype" w:hAnsi="Palatino Linotype" w:cs="Palatino Linotyp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4AD"/>
    <w:rsid w:val="000E08F0"/>
    <w:rsid w:val="00217424"/>
    <w:rsid w:val="002B4630"/>
    <w:rsid w:val="00466F81"/>
    <w:rsid w:val="005536B5"/>
    <w:rsid w:val="0078476E"/>
    <w:rsid w:val="00802BA0"/>
    <w:rsid w:val="008D00D4"/>
    <w:rsid w:val="00A42788"/>
    <w:rsid w:val="00A656E0"/>
    <w:rsid w:val="00B52670"/>
    <w:rsid w:val="00B547DD"/>
    <w:rsid w:val="00CC460A"/>
    <w:rsid w:val="00D603B8"/>
    <w:rsid w:val="00E944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3DC6945-C5C6-437B-86B7-F2AD54FF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B52670"/>
    <w:pPr>
      <w:tabs>
        <w:tab w:val="center" w:pos="4419"/>
        <w:tab w:val="right" w:pos="8838"/>
      </w:tabs>
    </w:pPr>
  </w:style>
  <w:style w:type="character" w:customStyle="1" w:styleId="PiedepginaCar">
    <w:name w:val="Pie de página Car"/>
    <w:basedOn w:val="Fuentedeprrafopredeter"/>
    <w:link w:val="Piedepgina"/>
    <w:uiPriority w:val="99"/>
    <w:rsid w:val="00B52670"/>
  </w:style>
  <w:style w:type="paragraph" w:styleId="Prrafodelista">
    <w:name w:val="List Paragraph"/>
    <w:basedOn w:val="Normal"/>
    <w:uiPriority w:val="34"/>
    <w:qFormat/>
    <w:rsid w:val="00217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rNvyrHqEoeMw5xlipvneai8uA==">CgMxLjAyCGguZ2pkZ3hzMgloLjFmb2I5dGUyCWguM3pueXNoNzIJaC4yZXQ5MnAwMg5oLmV3Z2N4andnbm5yejIOaC42a3RyNjNubXc5M3QyDmguanN6aHZuY3hkeXM5OAByITF1S1B1dENfWFZieEFLZmlDbWF3UUo4R0dCMEVJVHZRSA==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26</Pages>
  <Words>6489</Words>
  <Characters>35690</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2026-06-12T16:54:00Z</cp:lastPrinted>
  <dcterms:created xsi:type="dcterms:W3CDTF">2026-06-08T17:47:00Z</dcterms:created>
  <dcterms:modified xsi:type="dcterms:W3CDTF">2026-06-16T18:32:00Z</dcterms:modified>
</cp:coreProperties>
</file>