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ECC28" w14:textId="38A724B0" w:rsidR="00E40FE1" w:rsidRPr="00DB60C1" w:rsidRDefault="0010134C">
      <w:pPr>
        <w:tabs>
          <w:tab w:val="left" w:pos="0"/>
        </w:tabs>
        <w:spacing w:line="360" w:lineRule="auto"/>
        <w:jc w:val="both"/>
        <w:rPr>
          <w:rFonts w:ascii="Palatino Linotype" w:eastAsia="Palatino Linotype" w:hAnsi="Palatino Linotype" w:cs="Palatino Linotype"/>
        </w:rPr>
      </w:pPr>
      <w:bookmarkStart w:id="0" w:name="_heading=h.sre9h05q4v0b" w:colFirst="0" w:colLast="0"/>
      <w:bookmarkEnd w:id="0"/>
      <w:r w:rsidRPr="00DB60C1">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6C3652" w:rsidRPr="00DB60C1">
        <w:rPr>
          <w:rFonts w:ascii="Palatino Linotype" w:eastAsia="Palatino Linotype" w:hAnsi="Palatino Linotype" w:cs="Palatino Linotype"/>
        </w:rPr>
        <w:t>trece</w:t>
      </w:r>
      <w:r w:rsidR="00DB60C1">
        <w:rPr>
          <w:rFonts w:ascii="Palatino Linotype" w:eastAsia="Palatino Linotype" w:hAnsi="Palatino Linotype" w:cs="Palatino Linotype"/>
        </w:rPr>
        <w:t xml:space="preserve"> (13)</w:t>
      </w:r>
      <w:r w:rsidR="006C3652" w:rsidRPr="00DB60C1">
        <w:rPr>
          <w:rFonts w:ascii="Palatino Linotype" w:eastAsia="Palatino Linotype" w:hAnsi="Palatino Linotype" w:cs="Palatino Linotype"/>
        </w:rPr>
        <w:t xml:space="preserve"> de mayo de dos mil veintiséis</w:t>
      </w:r>
      <w:r w:rsidRPr="00DB60C1">
        <w:rPr>
          <w:rFonts w:ascii="Palatino Linotype" w:eastAsia="Palatino Linotype" w:hAnsi="Palatino Linotype" w:cs="Palatino Linotype"/>
        </w:rPr>
        <w:t>.</w:t>
      </w:r>
    </w:p>
    <w:p w14:paraId="3E6B1B55" w14:textId="77777777" w:rsidR="00E40FE1" w:rsidRPr="00DB60C1" w:rsidRDefault="00E40FE1">
      <w:pPr>
        <w:tabs>
          <w:tab w:val="left" w:pos="567"/>
        </w:tabs>
        <w:spacing w:line="360" w:lineRule="auto"/>
        <w:jc w:val="both"/>
        <w:rPr>
          <w:rFonts w:ascii="Palatino Linotype" w:eastAsia="Palatino Linotype" w:hAnsi="Palatino Linotype" w:cs="Palatino Linotype"/>
        </w:rPr>
      </w:pPr>
    </w:p>
    <w:p w14:paraId="2E046F03" w14:textId="2EDCA777" w:rsidR="00E40FE1" w:rsidRPr="00DB60C1" w:rsidRDefault="0010134C">
      <w:pPr>
        <w:spacing w:line="360" w:lineRule="auto"/>
        <w:jc w:val="both"/>
        <w:rPr>
          <w:rFonts w:ascii="Palatino Linotype" w:eastAsia="Palatino Linotype" w:hAnsi="Palatino Linotype" w:cs="Palatino Linotype"/>
        </w:rPr>
      </w:pPr>
      <w:bookmarkStart w:id="1" w:name="_heading=h.gjdgxs" w:colFirst="0" w:colLast="0"/>
      <w:bookmarkEnd w:id="1"/>
      <w:r w:rsidRPr="00DB60C1">
        <w:rPr>
          <w:rFonts w:ascii="Palatino Linotype" w:eastAsia="Palatino Linotype" w:hAnsi="Palatino Linotype" w:cs="Palatino Linotype"/>
          <w:b/>
        </w:rPr>
        <w:t>VISTO</w:t>
      </w:r>
      <w:r w:rsidRPr="00DB60C1">
        <w:rPr>
          <w:rFonts w:ascii="Palatino Linotype" w:eastAsia="Palatino Linotype" w:hAnsi="Palatino Linotype" w:cs="Palatino Linotype"/>
        </w:rPr>
        <w:t xml:space="preserve"> el expediente electrónico formado con motivo del recurso de revisión </w:t>
      </w:r>
      <w:r w:rsidR="007470D9" w:rsidRPr="00DB60C1">
        <w:rPr>
          <w:rFonts w:ascii="Palatino Linotype" w:eastAsia="Palatino Linotype" w:hAnsi="Palatino Linotype" w:cs="Palatino Linotype"/>
          <w:b/>
        </w:rPr>
        <w:t>0</w:t>
      </w:r>
      <w:r w:rsidR="00963BF2" w:rsidRPr="00DB60C1">
        <w:rPr>
          <w:rFonts w:ascii="Palatino Linotype" w:eastAsia="Palatino Linotype" w:hAnsi="Palatino Linotype" w:cs="Palatino Linotype"/>
          <w:b/>
        </w:rPr>
        <w:t>2368</w:t>
      </w:r>
      <w:r w:rsidRPr="00DB60C1">
        <w:rPr>
          <w:rFonts w:ascii="Palatino Linotype" w:eastAsia="Palatino Linotype" w:hAnsi="Palatino Linotype" w:cs="Palatino Linotype"/>
          <w:b/>
        </w:rPr>
        <w:t>/INFOEM/IP/RR/202</w:t>
      </w:r>
      <w:r w:rsidR="00963BF2" w:rsidRPr="00DB60C1">
        <w:rPr>
          <w:rFonts w:ascii="Palatino Linotype" w:eastAsia="Palatino Linotype" w:hAnsi="Palatino Linotype" w:cs="Palatino Linotype"/>
          <w:b/>
        </w:rPr>
        <w:t>6</w:t>
      </w:r>
      <w:r w:rsidRPr="00DB60C1">
        <w:rPr>
          <w:rFonts w:ascii="Palatino Linotype" w:eastAsia="Palatino Linotype" w:hAnsi="Palatino Linotype" w:cs="Palatino Linotype"/>
        </w:rPr>
        <w:t>,</w:t>
      </w:r>
      <w:r w:rsidRPr="00DB60C1">
        <w:rPr>
          <w:rFonts w:ascii="Palatino Linotype" w:eastAsia="Palatino Linotype" w:hAnsi="Palatino Linotype" w:cs="Palatino Linotype"/>
          <w:b/>
        </w:rPr>
        <w:t xml:space="preserve"> </w:t>
      </w:r>
      <w:r w:rsidRPr="00DB60C1">
        <w:rPr>
          <w:rFonts w:ascii="Palatino Linotype" w:eastAsia="Palatino Linotype" w:hAnsi="Palatino Linotype" w:cs="Palatino Linotype"/>
        </w:rPr>
        <w:t xml:space="preserve">promovido por </w:t>
      </w:r>
      <w:r w:rsidR="005A4B00">
        <w:rPr>
          <w:rFonts w:ascii="Palatino Linotype" w:eastAsia="Palatino Linotype" w:hAnsi="Palatino Linotype" w:cs="Palatino Linotype"/>
          <w:b/>
        </w:rPr>
        <w:t>XXXX</w:t>
      </w:r>
      <w:r w:rsidRPr="00DB60C1">
        <w:rPr>
          <w:rFonts w:ascii="Palatino Linotype" w:eastAsia="Palatino Linotype" w:hAnsi="Palatino Linotype" w:cs="Palatino Linotype"/>
        </w:rPr>
        <w:t>, a quien en lo sucesivo se le identificará como la parte</w:t>
      </w:r>
      <w:r w:rsidRPr="00DB60C1">
        <w:rPr>
          <w:rFonts w:ascii="Palatino Linotype" w:eastAsia="Palatino Linotype" w:hAnsi="Palatino Linotype" w:cs="Palatino Linotype"/>
          <w:b/>
        </w:rPr>
        <w:t xml:space="preserve"> RECURRENTE</w:t>
      </w:r>
      <w:r w:rsidRPr="00DB60C1">
        <w:rPr>
          <w:rFonts w:ascii="Palatino Linotype" w:eastAsia="Palatino Linotype" w:hAnsi="Palatino Linotype" w:cs="Palatino Linotype"/>
        </w:rPr>
        <w:t xml:space="preserve">, en contra de la respuesta del </w:t>
      </w:r>
      <w:r w:rsidR="007470D9" w:rsidRPr="00DB60C1">
        <w:rPr>
          <w:rFonts w:ascii="Palatino Linotype" w:eastAsia="Palatino Linotype" w:hAnsi="Palatino Linotype" w:cs="Palatino Linotype"/>
          <w:b/>
        </w:rPr>
        <w:t xml:space="preserve">Ayuntamiento de </w:t>
      </w:r>
      <w:r w:rsidR="00963BF2" w:rsidRPr="00DB60C1">
        <w:rPr>
          <w:rFonts w:ascii="Palatino Linotype" w:eastAsia="Palatino Linotype" w:hAnsi="Palatino Linotype" w:cs="Palatino Linotype"/>
          <w:b/>
        </w:rPr>
        <w:t>Amecameca</w:t>
      </w:r>
      <w:r w:rsidRPr="00DB60C1">
        <w:rPr>
          <w:rFonts w:ascii="Palatino Linotype" w:eastAsia="Palatino Linotype" w:hAnsi="Palatino Linotype" w:cs="Palatino Linotype"/>
          <w:b/>
        </w:rPr>
        <w:t xml:space="preserve">, </w:t>
      </w:r>
      <w:r w:rsidRPr="00DB60C1">
        <w:rPr>
          <w:rFonts w:ascii="Palatino Linotype" w:eastAsia="Palatino Linotype" w:hAnsi="Palatino Linotype" w:cs="Palatino Linotype"/>
        </w:rPr>
        <w:t>en adelante el</w:t>
      </w:r>
      <w:r w:rsidRPr="00DB60C1">
        <w:rPr>
          <w:rFonts w:ascii="Palatino Linotype" w:eastAsia="Palatino Linotype" w:hAnsi="Palatino Linotype" w:cs="Palatino Linotype"/>
          <w:b/>
        </w:rPr>
        <w:t xml:space="preserve"> SUJETO OBLIGADO</w:t>
      </w:r>
      <w:r w:rsidRPr="00DB60C1">
        <w:rPr>
          <w:rFonts w:ascii="Palatino Linotype" w:eastAsia="Palatino Linotype" w:hAnsi="Palatino Linotype" w:cs="Palatino Linotype"/>
        </w:rPr>
        <w:t>, se pr</w:t>
      </w:r>
      <w:bookmarkStart w:id="2" w:name="_GoBack"/>
      <w:bookmarkEnd w:id="2"/>
      <w:r w:rsidRPr="00DB60C1">
        <w:rPr>
          <w:rFonts w:ascii="Palatino Linotype" w:eastAsia="Palatino Linotype" w:hAnsi="Palatino Linotype" w:cs="Palatino Linotype"/>
        </w:rPr>
        <w:t>ocede a dictar la presente resolución, con base en los siguientes:</w:t>
      </w:r>
    </w:p>
    <w:p w14:paraId="7B23857A" w14:textId="77777777" w:rsidR="00E40FE1" w:rsidRPr="00DB60C1" w:rsidRDefault="00E40FE1">
      <w:pPr>
        <w:spacing w:line="360" w:lineRule="auto"/>
        <w:jc w:val="both"/>
        <w:rPr>
          <w:rFonts w:ascii="Palatino Linotype" w:eastAsia="Palatino Linotype" w:hAnsi="Palatino Linotype" w:cs="Palatino Linotype"/>
        </w:rPr>
      </w:pPr>
    </w:p>
    <w:p w14:paraId="1CC48CCA" w14:textId="77777777" w:rsidR="00E40FE1" w:rsidRPr="00DB60C1" w:rsidRDefault="0010134C">
      <w:pPr>
        <w:pStyle w:val="Ttulo1"/>
        <w:tabs>
          <w:tab w:val="left" w:pos="567"/>
        </w:tabs>
        <w:spacing w:before="0" w:line="360" w:lineRule="auto"/>
        <w:jc w:val="center"/>
        <w:rPr>
          <w:b w:val="0"/>
        </w:rPr>
      </w:pPr>
      <w:bookmarkStart w:id="3" w:name="_heading=h.30j0zll" w:colFirst="0" w:colLast="0"/>
      <w:bookmarkEnd w:id="3"/>
      <w:r w:rsidRPr="00DB60C1">
        <w:t>A N T E C E D E N T E S</w:t>
      </w:r>
    </w:p>
    <w:p w14:paraId="3B59D16A" w14:textId="77777777" w:rsidR="00E40FE1" w:rsidRPr="00DB60C1" w:rsidRDefault="00E40FE1">
      <w:pPr>
        <w:pStyle w:val="Ttulo1"/>
        <w:tabs>
          <w:tab w:val="left" w:pos="567"/>
        </w:tabs>
        <w:spacing w:before="0" w:line="360" w:lineRule="auto"/>
        <w:jc w:val="center"/>
      </w:pPr>
    </w:p>
    <w:p w14:paraId="7FC3938A" w14:textId="079290E6"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4" w:name="_Hlk229044794"/>
      <w:r w:rsidRPr="00DB60C1">
        <w:rPr>
          <w:rFonts w:ascii="Palatino Linotype" w:eastAsia="Palatino Linotype" w:hAnsi="Palatino Linotype" w:cs="Palatino Linotype"/>
          <w:color w:val="000000"/>
        </w:rPr>
        <w:t xml:space="preserve">El </w:t>
      </w:r>
      <w:r w:rsidR="00963BF2" w:rsidRPr="00DB60C1">
        <w:rPr>
          <w:rFonts w:ascii="Palatino Linotype" w:eastAsia="Palatino Linotype" w:hAnsi="Palatino Linotype" w:cs="Palatino Linotype"/>
          <w:b/>
          <w:color w:val="000000"/>
        </w:rPr>
        <w:t>treinta de enero de dos mil veintiséis</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se presentó ante 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xml:space="preserve"> vía SAIMEX, la solicitud de información pública registrada con el número</w:t>
      </w:r>
      <w:r w:rsidR="007470D9" w:rsidRPr="00DB60C1">
        <w:rPr>
          <w:rFonts w:ascii="Palatino Linotype" w:eastAsia="Palatino Linotype" w:hAnsi="Palatino Linotype" w:cs="Palatino Linotype"/>
          <w:b/>
          <w:color w:val="000000"/>
        </w:rPr>
        <w:t xml:space="preserve"> 00</w:t>
      </w:r>
      <w:r w:rsidR="00963BF2" w:rsidRPr="00DB60C1">
        <w:rPr>
          <w:rFonts w:ascii="Palatino Linotype" w:eastAsia="Palatino Linotype" w:hAnsi="Palatino Linotype" w:cs="Palatino Linotype"/>
          <w:b/>
          <w:color w:val="000000"/>
        </w:rPr>
        <w:t>011</w:t>
      </w:r>
      <w:r w:rsidR="007470D9" w:rsidRPr="00DB60C1">
        <w:rPr>
          <w:rFonts w:ascii="Palatino Linotype" w:eastAsia="Palatino Linotype" w:hAnsi="Palatino Linotype" w:cs="Palatino Linotype"/>
          <w:b/>
          <w:color w:val="000000"/>
        </w:rPr>
        <w:t>/</w:t>
      </w:r>
      <w:r w:rsidR="00963BF2" w:rsidRPr="00DB60C1">
        <w:rPr>
          <w:rFonts w:ascii="Palatino Linotype" w:eastAsia="Palatino Linotype" w:hAnsi="Palatino Linotype" w:cs="Palatino Linotype"/>
          <w:b/>
          <w:color w:val="000000"/>
        </w:rPr>
        <w:t>AMECAMEC</w:t>
      </w:r>
      <w:r w:rsidRPr="00DB60C1">
        <w:rPr>
          <w:rFonts w:ascii="Palatino Linotype" w:eastAsia="Palatino Linotype" w:hAnsi="Palatino Linotype" w:cs="Palatino Linotype"/>
          <w:b/>
          <w:color w:val="000000"/>
        </w:rPr>
        <w:t>/IP/202</w:t>
      </w:r>
      <w:r w:rsidR="00963BF2" w:rsidRPr="00DB60C1">
        <w:rPr>
          <w:rFonts w:ascii="Palatino Linotype" w:eastAsia="Palatino Linotype" w:hAnsi="Palatino Linotype" w:cs="Palatino Linotype"/>
          <w:b/>
          <w:color w:val="000000"/>
        </w:rPr>
        <w:t>6</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mediante la cual se solicitó la siguiente información:</w:t>
      </w:r>
    </w:p>
    <w:p w14:paraId="0D0012A4"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56D7DAA5" w14:textId="37F0EA7E" w:rsidR="00E40FE1" w:rsidRPr="00DB60C1" w:rsidRDefault="007470D9" w:rsidP="00963BF2">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DB60C1">
        <w:rPr>
          <w:rFonts w:ascii="Palatino Linotype" w:eastAsia="Palatino Linotype" w:hAnsi="Palatino Linotype" w:cs="Palatino Linotype"/>
          <w:i/>
          <w:color w:val="000000"/>
        </w:rPr>
        <w:t>“</w:t>
      </w:r>
      <w:r w:rsidR="00963BF2" w:rsidRPr="00DB60C1">
        <w:rPr>
          <w:rFonts w:ascii="Palatino Linotype" w:hAnsi="Palatino Linotype"/>
          <w:i/>
          <w:color w:val="000000"/>
        </w:rPr>
        <w:t xml:space="preserve">solicito copia simple digitalizada a través del sistema electrónico </w:t>
      </w:r>
      <w:proofErr w:type="spellStart"/>
      <w:r w:rsidR="00963BF2" w:rsidRPr="00DB60C1">
        <w:rPr>
          <w:rFonts w:ascii="Palatino Linotype" w:hAnsi="Palatino Linotype"/>
          <w:i/>
          <w:color w:val="000000"/>
        </w:rPr>
        <w:t>saimex</w:t>
      </w:r>
      <w:proofErr w:type="spellEnd"/>
      <w:r w:rsidR="00963BF2" w:rsidRPr="00DB60C1">
        <w:rPr>
          <w:rFonts w:ascii="Palatino Linotype" w:hAnsi="Palatino Linotype"/>
          <w:i/>
          <w:color w:val="000000"/>
        </w:rPr>
        <w:t xml:space="preserve"> de todos los comprobantes de pago realizados mediante transferencia electrónica y/o cheque durante el mes de diciembre de 2025 por la tesorería municipal.</w:t>
      </w:r>
      <w:r w:rsidR="0010134C" w:rsidRPr="00DB60C1">
        <w:rPr>
          <w:rFonts w:ascii="Palatino Linotype" w:eastAsia="Palatino Linotype" w:hAnsi="Palatino Linotype" w:cs="Palatino Linotype"/>
          <w:i/>
          <w:color w:val="000000"/>
        </w:rPr>
        <w:t>” (Sic)</w:t>
      </w:r>
    </w:p>
    <w:p w14:paraId="31EBC735" w14:textId="77777777" w:rsidR="00E40FE1" w:rsidRPr="00DB60C1" w:rsidRDefault="00E40FE1">
      <w:pPr>
        <w:pBdr>
          <w:top w:val="nil"/>
          <w:left w:val="nil"/>
          <w:bottom w:val="nil"/>
          <w:right w:val="nil"/>
          <w:between w:val="nil"/>
        </w:pBdr>
        <w:ind w:right="476"/>
        <w:jc w:val="both"/>
        <w:rPr>
          <w:rFonts w:ascii="Palatino Linotype" w:eastAsia="Palatino Linotype" w:hAnsi="Palatino Linotype" w:cs="Palatino Linotype"/>
          <w:i/>
          <w:color w:val="000000"/>
        </w:rPr>
      </w:pPr>
    </w:p>
    <w:p w14:paraId="3D45F8DF" w14:textId="77777777" w:rsidR="0010134C" w:rsidRPr="00DB60C1" w:rsidRDefault="0010134C" w:rsidP="0010134C">
      <w:pPr>
        <w:numPr>
          <w:ilvl w:val="0"/>
          <w:numId w:val="2"/>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Se eligió como modalidad de entrega de la información: A través del </w:t>
      </w:r>
      <w:r w:rsidRPr="00DB60C1">
        <w:rPr>
          <w:rFonts w:ascii="Palatino Linotype" w:eastAsia="Palatino Linotype" w:hAnsi="Palatino Linotype" w:cs="Palatino Linotype"/>
          <w:b/>
          <w:color w:val="000000"/>
        </w:rPr>
        <w:t>SAIMEX.</w:t>
      </w:r>
    </w:p>
    <w:p w14:paraId="40695AD4" w14:textId="77777777" w:rsidR="007470D9" w:rsidRPr="00DB60C1" w:rsidRDefault="007470D9" w:rsidP="007470D9">
      <w:pPr>
        <w:pBdr>
          <w:top w:val="nil"/>
          <w:left w:val="nil"/>
          <w:bottom w:val="nil"/>
          <w:right w:val="nil"/>
          <w:between w:val="nil"/>
        </w:pBdr>
        <w:tabs>
          <w:tab w:val="left" w:pos="2410"/>
        </w:tabs>
        <w:spacing w:line="360" w:lineRule="auto"/>
        <w:ind w:right="567"/>
        <w:jc w:val="both"/>
        <w:rPr>
          <w:rFonts w:ascii="Palatino Linotype" w:eastAsia="Palatino Linotype" w:hAnsi="Palatino Linotype" w:cs="Palatino Linotype"/>
          <w:i/>
          <w:color w:val="000000"/>
        </w:rPr>
      </w:pPr>
    </w:p>
    <w:p w14:paraId="24CE4C5C" w14:textId="7C775903" w:rsidR="00E40FE1" w:rsidRPr="00DB60C1" w:rsidRDefault="0010134C">
      <w:pPr>
        <w:numPr>
          <w:ilvl w:val="0"/>
          <w:numId w:val="2"/>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El </w:t>
      </w:r>
      <w:r w:rsidR="00963BF2" w:rsidRPr="00DB60C1">
        <w:rPr>
          <w:rFonts w:ascii="Palatino Linotype" w:eastAsia="Palatino Linotype" w:hAnsi="Palatino Linotype" w:cs="Palatino Linotype"/>
          <w:b/>
          <w:color w:val="000000"/>
        </w:rPr>
        <w:t>diecinueve de febrero de dos mil veintiséis</w:t>
      </w:r>
      <w:r w:rsidRPr="00DB60C1">
        <w:rPr>
          <w:rFonts w:ascii="Palatino Linotype" w:eastAsia="Palatino Linotype" w:hAnsi="Palatino Linotype" w:cs="Palatino Linotype"/>
          <w:color w:val="000000"/>
        </w:rPr>
        <w:t xml:space="preserve">, 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xml:space="preserve"> </w:t>
      </w:r>
      <w:r w:rsidRPr="00DB60C1">
        <w:rPr>
          <w:rFonts w:ascii="Palatino Linotype" w:eastAsia="Palatino Linotype" w:hAnsi="Palatino Linotype" w:cs="Palatino Linotype"/>
        </w:rPr>
        <w:t xml:space="preserve">dio respuesta a la solicitud de información </w:t>
      </w:r>
      <w:r w:rsidRPr="00DB60C1">
        <w:rPr>
          <w:rFonts w:ascii="Palatino Linotype" w:eastAsia="Palatino Linotype" w:hAnsi="Palatino Linotype" w:cs="Palatino Linotype"/>
          <w:color w:val="000000"/>
        </w:rPr>
        <w:t>en el tenor siguiente:</w:t>
      </w:r>
    </w:p>
    <w:p w14:paraId="19543AFE" w14:textId="77777777" w:rsidR="00E40FE1" w:rsidRPr="00DB60C1" w:rsidRDefault="00E40FE1">
      <w:pPr>
        <w:pBdr>
          <w:top w:val="nil"/>
          <w:left w:val="nil"/>
          <w:bottom w:val="nil"/>
          <w:right w:val="nil"/>
          <w:between w:val="nil"/>
        </w:pBdr>
        <w:tabs>
          <w:tab w:val="left" w:pos="0"/>
        </w:tabs>
        <w:ind w:right="709"/>
        <w:jc w:val="both"/>
        <w:rPr>
          <w:rFonts w:ascii="Palatino Linotype" w:eastAsia="Palatino Linotype" w:hAnsi="Palatino Linotype" w:cs="Palatino Linotype"/>
          <w:color w:val="000000"/>
        </w:rPr>
      </w:pPr>
    </w:p>
    <w:p w14:paraId="4F67E662" w14:textId="089C7C0E" w:rsidR="007470D9" w:rsidRPr="00DB60C1" w:rsidRDefault="007470D9" w:rsidP="00963BF2">
      <w:pPr>
        <w:pBdr>
          <w:top w:val="nil"/>
          <w:left w:val="nil"/>
          <w:bottom w:val="nil"/>
          <w:right w:val="nil"/>
          <w:between w:val="nil"/>
        </w:pBdr>
        <w:tabs>
          <w:tab w:val="left" w:pos="2410"/>
        </w:tabs>
        <w:ind w:left="567" w:right="567"/>
        <w:jc w:val="both"/>
        <w:rPr>
          <w:rFonts w:ascii="Palatino Linotype" w:eastAsia="Palatino Linotype" w:hAnsi="Palatino Linotype" w:cs="Palatino Linotype"/>
          <w:i/>
          <w:color w:val="000000"/>
        </w:rPr>
      </w:pPr>
      <w:r w:rsidRPr="00DB60C1">
        <w:rPr>
          <w:rFonts w:ascii="Palatino Linotype" w:eastAsia="Palatino Linotype" w:hAnsi="Palatino Linotype" w:cs="Palatino Linotype"/>
          <w:i/>
          <w:color w:val="000000"/>
        </w:rPr>
        <w:lastRenderedPageBreak/>
        <w:t>“</w:t>
      </w:r>
      <w:r w:rsidR="00963BF2" w:rsidRPr="00DB60C1">
        <w:rPr>
          <w:rFonts w:ascii="Palatino Linotype" w:hAnsi="Palatino Linotype"/>
          <w:i/>
          <w:color w:val="000000"/>
        </w:rPr>
        <w:t>En atención a la Solicitud de Información Pública número 000011/AMECAMEC/IP/2026, presentada a través del Sistema de Acceso a la Información Mexiquense (SAIMEX), y con fundamento en lo dispuesto por los artículos 6° de la Constitución Política de los Estados Unidos Mexicanos; 5 de la Constitución Política del Estado Libre y Soberano de México; así como 3 fracciones IV y XX, 11, 12, 15, 162 y demás relativos y aplicables de la Ley de Transparencia y Acceso a la Información Pública del Estado de México y Municipios, me permito remitir adjunta al presente la respuesta emitida por la Tesorería Municipal. Lo anterior, para los efectos de trámite, notificación al solicitante y seguimiento que correspondan conforme a la normatividad aplicable</w:t>
      </w:r>
      <w:r w:rsidRPr="00DB60C1">
        <w:rPr>
          <w:rFonts w:ascii="Palatino Linotype" w:eastAsia="Palatino Linotype" w:hAnsi="Palatino Linotype" w:cs="Palatino Linotype"/>
          <w:i/>
          <w:color w:val="000000"/>
        </w:rPr>
        <w:t>” (Sic)</w:t>
      </w:r>
    </w:p>
    <w:p w14:paraId="5FFE1BB6" w14:textId="77777777" w:rsidR="00E40FE1" w:rsidRPr="00DB60C1" w:rsidRDefault="00E40FE1">
      <w:pPr>
        <w:pBdr>
          <w:top w:val="nil"/>
          <w:left w:val="nil"/>
          <w:bottom w:val="nil"/>
          <w:right w:val="nil"/>
          <w:between w:val="nil"/>
        </w:pBdr>
        <w:tabs>
          <w:tab w:val="left" w:pos="0"/>
        </w:tabs>
        <w:ind w:left="567" w:right="709"/>
        <w:jc w:val="both"/>
        <w:rPr>
          <w:rFonts w:ascii="Palatino Linotype" w:eastAsia="Palatino Linotype" w:hAnsi="Palatino Linotype" w:cs="Palatino Linotype"/>
          <w:i/>
        </w:rPr>
      </w:pPr>
    </w:p>
    <w:p w14:paraId="3279F45A" w14:textId="77777777" w:rsidR="00E40FE1" w:rsidRPr="00DB60C1" w:rsidRDefault="0010134C">
      <w:pPr>
        <w:pBdr>
          <w:top w:val="nil"/>
          <w:left w:val="nil"/>
          <w:bottom w:val="nil"/>
          <w:right w:val="nil"/>
          <w:between w:val="nil"/>
        </w:pBdr>
        <w:tabs>
          <w:tab w:val="left" w:pos="0"/>
        </w:tabs>
        <w:ind w:right="709"/>
        <w:jc w:val="both"/>
        <w:rPr>
          <w:rFonts w:ascii="Palatino Linotype" w:eastAsia="Palatino Linotype" w:hAnsi="Palatino Linotype" w:cs="Palatino Linotype"/>
          <w:b/>
        </w:rPr>
      </w:pPr>
      <w:r w:rsidRPr="00DB60C1">
        <w:rPr>
          <w:rFonts w:ascii="Palatino Linotype" w:eastAsia="Palatino Linotype" w:hAnsi="Palatino Linotype" w:cs="Palatino Linotype"/>
          <w:b/>
        </w:rPr>
        <w:t>Archivos electrónicos adjuntos:</w:t>
      </w:r>
    </w:p>
    <w:p w14:paraId="0B9FF55E" w14:textId="77777777" w:rsidR="00E40FE1" w:rsidRPr="00DB60C1" w:rsidRDefault="00E40FE1" w:rsidP="00963BF2">
      <w:pPr>
        <w:ind w:left="567"/>
        <w:rPr>
          <w:rFonts w:ascii="Palatino Linotype" w:eastAsia="Palatino Linotype" w:hAnsi="Palatino Linotype" w:cs="Palatino Linotype"/>
          <w:b/>
        </w:rPr>
      </w:pPr>
    </w:p>
    <w:p w14:paraId="72A3DCFB" w14:textId="3012ECC9" w:rsidR="007470D9" w:rsidRPr="00DB60C1" w:rsidRDefault="0031495D" w:rsidP="00B74412">
      <w:pPr>
        <w:ind w:left="567" w:right="567"/>
        <w:jc w:val="both"/>
        <w:rPr>
          <w:rFonts w:ascii="Palatino Linotype" w:hAnsi="Palatino Linotype"/>
          <w:b/>
        </w:rPr>
      </w:pPr>
      <w:hyperlink r:id="rId8" w:tgtFrame="_blank" w:history="1">
        <w:r w:rsidR="00963BF2" w:rsidRPr="00DB60C1">
          <w:rPr>
            <w:rStyle w:val="Hipervnculo"/>
            <w:rFonts w:ascii="Palatino Linotype" w:hAnsi="Palatino Linotype" w:cs="Arial"/>
            <w:b/>
            <w:color w:val="auto"/>
            <w:u w:val="none"/>
          </w:rPr>
          <w:t>Respuesta S.011.pdf</w:t>
        </w:r>
      </w:hyperlink>
      <w:r w:rsidR="00963BF2" w:rsidRPr="00DB60C1">
        <w:rPr>
          <w:rFonts w:ascii="Palatino Linotype" w:hAnsi="Palatino Linotype"/>
          <w:b/>
        </w:rPr>
        <w:t xml:space="preserve">: </w:t>
      </w:r>
      <w:r w:rsidR="00963BF2" w:rsidRPr="00DB60C1">
        <w:rPr>
          <w:rFonts w:ascii="Palatino Linotype" w:hAnsi="Palatino Linotype"/>
          <w:bCs/>
        </w:rPr>
        <w:t xml:space="preserve">Oficio suscrito por la Tesorera Municipal, mediante el cual, </w:t>
      </w:r>
      <w:r w:rsidR="00B74412" w:rsidRPr="00DB60C1">
        <w:rPr>
          <w:rFonts w:ascii="Palatino Linotype" w:hAnsi="Palatino Linotype"/>
          <w:bCs/>
        </w:rPr>
        <w:t xml:space="preserve">señaló </w:t>
      </w:r>
      <w:r w:rsidR="00963BF2" w:rsidRPr="00DB60C1">
        <w:rPr>
          <w:rFonts w:ascii="Palatino Linotype" w:hAnsi="Palatino Linotype"/>
          <w:bCs/>
        </w:rPr>
        <w:t>que la información solicitada se encuentra en proceso de integración, revisión y validación</w:t>
      </w:r>
      <w:r w:rsidR="00B74412" w:rsidRPr="00DB60C1">
        <w:rPr>
          <w:rFonts w:ascii="Palatino Linotype" w:hAnsi="Palatino Linotype"/>
          <w:bCs/>
        </w:rPr>
        <w:t>, en cumplimiento de los lineamientos técnicos emitidos por el Órgano Superior de Fiscalización del Estado de México (OSFEM), relativos a la integración del Informe Trimestral.</w:t>
      </w:r>
    </w:p>
    <w:p w14:paraId="60FAC0F0" w14:textId="77777777" w:rsidR="00963BF2" w:rsidRPr="00DB60C1" w:rsidRDefault="00963BF2">
      <w:pPr>
        <w:rPr>
          <w:rFonts w:ascii="Palatino Linotype" w:eastAsia="Palatino Linotype" w:hAnsi="Palatino Linotype" w:cs="Palatino Linotype"/>
        </w:rPr>
      </w:pPr>
    </w:p>
    <w:p w14:paraId="13618A4A" w14:textId="7555036D" w:rsidR="00E40FE1" w:rsidRPr="00DB60C1" w:rsidRDefault="0010134C" w:rsidP="00491D24">
      <w:pPr>
        <w:numPr>
          <w:ilvl w:val="0"/>
          <w:numId w:val="2"/>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El </w:t>
      </w:r>
      <w:r w:rsidR="00B74412" w:rsidRPr="00DB60C1">
        <w:rPr>
          <w:rFonts w:ascii="Palatino Linotype" w:eastAsia="Palatino Linotype" w:hAnsi="Palatino Linotype" w:cs="Palatino Linotype"/>
          <w:b/>
          <w:color w:val="000000"/>
        </w:rPr>
        <w:t>diecinueve de febrero de dos mil veintiséis</w:t>
      </w:r>
      <w:r w:rsidRPr="00DB60C1">
        <w:rPr>
          <w:rFonts w:ascii="Palatino Linotype" w:eastAsia="Palatino Linotype" w:hAnsi="Palatino Linotype" w:cs="Palatino Linotype"/>
          <w:color w:val="000000"/>
        </w:rPr>
        <w:t xml:space="preserve">, el </w:t>
      </w:r>
      <w:r w:rsidRPr="00DB60C1">
        <w:rPr>
          <w:rFonts w:ascii="Palatino Linotype" w:eastAsia="Palatino Linotype" w:hAnsi="Palatino Linotype" w:cs="Palatino Linotype"/>
          <w:b/>
          <w:color w:val="000000"/>
        </w:rPr>
        <w:t>RECURRENTE</w:t>
      </w:r>
      <w:r w:rsidRPr="00DB60C1">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14:paraId="59716BD3" w14:textId="77777777" w:rsidR="00B74412" w:rsidRPr="00DB60C1" w:rsidRDefault="00B74412" w:rsidP="00B74412">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002EB29" w14:textId="691DB712" w:rsidR="00E40FE1" w:rsidRPr="00DB60C1" w:rsidRDefault="0010134C">
      <w:pPr>
        <w:pBdr>
          <w:top w:val="nil"/>
          <w:left w:val="nil"/>
          <w:bottom w:val="nil"/>
          <w:right w:val="nil"/>
          <w:between w:val="nil"/>
        </w:pBdr>
        <w:ind w:left="567" w:right="567"/>
        <w:jc w:val="both"/>
        <w:rPr>
          <w:rFonts w:ascii="Palatino Linotype" w:eastAsia="Palatino Linotype" w:hAnsi="Palatino Linotype" w:cs="Palatino Linotype"/>
          <w:i/>
          <w:color w:val="000000"/>
        </w:rPr>
      </w:pPr>
      <w:bookmarkStart w:id="5" w:name="_heading=h.1fob9te" w:colFirst="0" w:colLast="0"/>
      <w:bookmarkEnd w:id="5"/>
      <w:r w:rsidRPr="00DB60C1">
        <w:rPr>
          <w:rFonts w:ascii="Palatino Linotype" w:eastAsia="Palatino Linotype" w:hAnsi="Palatino Linotype" w:cs="Palatino Linotype"/>
          <w:b/>
          <w:color w:val="000000"/>
        </w:rPr>
        <w:t>Acto impugnado</w:t>
      </w:r>
      <w:r w:rsidRPr="00DB60C1">
        <w:rPr>
          <w:rFonts w:ascii="Palatino Linotype" w:eastAsia="Palatino Linotype" w:hAnsi="Palatino Linotype" w:cs="Palatino Linotype"/>
          <w:color w:val="000000"/>
        </w:rPr>
        <w:t xml:space="preserve">: </w:t>
      </w:r>
      <w:r w:rsidRPr="00DB60C1">
        <w:rPr>
          <w:rFonts w:ascii="Palatino Linotype" w:eastAsia="Palatino Linotype" w:hAnsi="Palatino Linotype" w:cs="Palatino Linotype"/>
          <w:i/>
          <w:color w:val="000000"/>
        </w:rPr>
        <w:t>“</w:t>
      </w:r>
      <w:r w:rsidR="00B74412" w:rsidRPr="00DB60C1">
        <w:rPr>
          <w:rFonts w:ascii="Palatino Linotype" w:hAnsi="Palatino Linotype"/>
          <w:i/>
          <w:color w:val="000000"/>
        </w:rPr>
        <w:t>respuesta a la solicitud 00011/AMECAMEC/IP/2026</w:t>
      </w:r>
      <w:r w:rsidRPr="00DB60C1">
        <w:rPr>
          <w:rFonts w:ascii="Palatino Linotype" w:eastAsia="Palatino Linotype" w:hAnsi="Palatino Linotype" w:cs="Palatino Linotype"/>
          <w:i/>
          <w:color w:val="000000"/>
        </w:rPr>
        <w:t>” (Sic.)</w:t>
      </w:r>
    </w:p>
    <w:p w14:paraId="2B04592A" w14:textId="77777777" w:rsidR="00E40FE1" w:rsidRPr="00DB60C1" w:rsidRDefault="00E40FE1">
      <w:pPr>
        <w:pBdr>
          <w:top w:val="nil"/>
          <w:left w:val="nil"/>
          <w:bottom w:val="nil"/>
          <w:right w:val="nil"/>
          <w:between w:val="nil"/>
        </w:pBdr>
        <w:ind w:left="567" w:right="567"/>
        <w:jc w:val="both"/>
        <w:rPr>
          <w:rFonts w:ascii="Palatino Linotype" w:eastAsia="Palatino Linotype" w:hAnsi="Palatino Linotype" w:cs="Palatino Linotype"/>
          <w:b/>
          <w:i/>
          <w:color w:val="000000"/>
        </w:rPr>
      </w:pPr>
    </w:p>
    <w:p w14:paraId="60DD6EDB" w14:textId="63BD97C2" w:rsidR="00E40FE1" w:rsidRPr="00DB60C1" w:rsidRDefault="0010134C">
      <w:pPr>
        <w:ind w:left="567" w:right="567"/>
        <w:jc w:val="both"/>
        <w:rPr>
          <w:rFonts w:ascii="Palatino Linotype" w:eastAsia="Palatino Linotype" w:hAnsi="Palatino Linotype" w:cs="Palatino Linotype"/>
          <w:i/>
        </w:rPr>
      </w:pPr>
      <w:bookmarkStart w:id="6" w:name="_heading=h.3znysh7" w:colFirst="0" w:colLast="0"/>
      <w:bookmarkEnd w:id="6"/>
      <w:r w:rsidRPr="00DB60C1">
        <w:rPr>
          <w:rFonts w:ascii="Palatino Linotype" w:eastAsia="Palatino Linotype" w:hAnsi="Palatino Linotype" w:cs="Palatino Linotype"/>
          <w:b/>
          <w:color w:val="000000"/>
        </w:rPr>
        <w:t>Razones o Motivos de inconformidad:</w:t>
      </w:r>
      <w:r w:rsidRPr="00DB60C1">
        <w:rPr>
          <w:rFonts w:ascii="Palatino Linotype" w:eastAsia="Palatino Linotype" w:hAnsi="Palatino Linotype" w:cs="Palatino Linotype"/>
          <w:b/>
          <w:i/>
          <w:color w:val="000000"/>
        </w:rPr>
        <w:t xml:space="preserve"> </w:t>
      </w:r>
      <w:r w:rsidRPr="00DB60C1">
        <w:rPr>
          <w:rFonts w:ascii="Palatino Linotype" w:eastAsia="Palatino Linotype" w:hAnsi="Palatino Linotype" w:cs="Palatino Linotype"/>
          <w:i/>
          <w:color w:val="000000"/>
        </w:rPr>
        <w:t>“</w:t>
      </w:r>
      <w:r w:rsidR="00B74412" w:rsidRPr="00DB60C1">
        <w:rPr>
          <w:rFonts w:ascii="Palatino Linotype" w:hAnsi="Palatino Linotype"/>
          <w:i/>
          <w:color w:val="000000"/>
        </w:rPr>
        <w:t>LA RESPUESTA DEL SUJETO OBLIGADO ES UNA NEGATIVA A ENTREGAR LA INFORMACIÓN SOLICITADA, TODA VEZ QUE EL PROCESO DE " integración, revisión y validación, derivado del cierre financiero correspondiente al ejercicio fiscal 2025" NO ES CAUSAL DE INCUMPLIMIENTO DE LA LEY EN MATERIA DE TRANSPARENCIA. POR LO ANTERIOR, SOLICITO SE REBOQUE LA RESPUESTA DEL SUJETO OBLIGADO Y SE OPRDENE LA ENTREGA DE LA INFORMACION SOLICITADA, A TRAVÉS DEL SISTEMA ELECTRÓNICO SAIMEX.</w:t>
      </w:r>
      <w:r w:rsidRPr="00DB60C1">
        <w:rPr>
          <w:rFonts w:ascii="Palatino Linotype" w:eastAsia="Palatino Linotype" w:hAnsi="Palatino Linotype" w:cs="Palatino Linotype"/>
          <w:i/>
          <w:color w:val="000000"/>
        </w:rPr>
        <w:t>” (Sic.)</w:t>
      </w:r>
    </w:p>
    <w:p w14:paraId="5F42D3E7" w14:textId="25E69008"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acuerdo de admisión </w:t>
      </w:r>
      <w:r w:rsidRPr="00DB60C1">
        <w:rPr>
          <w:rFonts w:ascii="Palatino Linotype" w:eastAsia="Palatino Linotype" w:hAnsi="Palatino Linotype" w:cs="Palatino Linotype"/>
        </w:rPr>
        <w:t>del</w:t>
      </w:r>
      <w:r w:rsidRPr="00DB60C1">
        <w:rPr>
          <w:rFonts w:ascii="Palatino Linotype" w:eastAsia="Palatino Linotype" w:hAnsi="Palatino Linotype" w:cs="Palatino Linotype"/>
          <w:color w:val="000000"/>
        </w:rPr>
        <w:t xml:space="preserve"> </w:t>
      </w:r>
      <w:r w:rsidR="00B74412" w:rsidRPr="00DB60C1">
        <w:rPr>
          <w:rFonts w:ascii="Palatino Linotype" w:eastAsia="Palatino Linotype" w:hAnsi="Palatino Linotype" w:cs="Palatino Linotype"/>
          <w:b/>
          <w:color w:val="000000"/>
        </w:rPr>
        <w:t>veinte de febrero</w:t>
      </w:r>
      <w:r w:rsidRPr="00DB60C1">
        <w:rPr>
          <w:rFonts w:ascii="Palatino Linotype" w:eastAsia="Palatino Linotype" w:hAnsi="Palatino Linotype" w:cs="Palatino Linotype"/>
          <w:b/>
          <w:color w:val="000000"/>
        </w:rPr>
        <w:t xml:space="preserve"> de dos mil </w:t>
      </w:r>
      <w:r w:rsidR="00B74412" w:rsidRPr="00DB60C1">
        <w:rPr>
          <w:rFonts w:ascii="Palatino Linotype" w:eastAsia="Palatino Linotype" w:hAnsi="Palatino Linotype" w:cs="Palatino Linotype"/>
          <w:b/>
          <w:color w:val="000000"/>
        </w:rPr>
        <w:t>veintiséis</w:t>
      </w:r>
      <w:r w:rsidRPr="00DB60C1">
        <w:rPr>
          <w:rFonts w:ascii="Palatino Linotype" w:eastAsia="Palatino Linotype" w:hAnsi="Palatino Linotype" w:cs="Palatino Linotype"/>
          <w:color w:val="000000"/>
        </w:rPr>
        <w:t xml:space="preserve">, puso a disposición de las partes el expediente electrónico vía </w:t>
      </w:r>
      <w:r w:rsidRPr="00DB60C1">
        <w:rPr>
          <w:rFonts w:ascii="Palatino Linotype" w:eastAsia="Palatino Linotype" w:hAnsi="Palatino Linotype" w:cs="Palatino Linotype"/>
          <w:b/>
          <w:color w:val="000000"/>
        </w:rPr>
        <w:t xml:space="preserve">SAIMEX </w:t>
      </w:r>
      <w:r w:rsidRPr="00DB60C1">
        <w:rPr>
          <w:rFonts w:ascii="Palatino Linotype" w:eastAsia="Palatino Linotype" w:hAnsi="Palatino Linotype" w:cs="Palatino Linotype"/>
          <w:color w:val="000000"/>
        </w:rPr>
        <w:t xml:space="preserve">a efecto de que en un plazo máximo de siete días </w:t>
      </w:r>
      <w:r w:rsidRPr="00DB60C1">
        <w:rPr>
          <w:rFonts w:ascii="Palatino Linotype" w:eastAsia="Palatino Linotype" w:hAnsi="Palatino Linotype" w:cs="Palatino Linotype"/>
        </w:rPr>
        <w:t>manifestara</w:t>
      </w:r>
      <w:r w:rsidRPr="00DB60C1">
        <w:rPr>
          <w:rFonts w:ascii="Palatino Linotype" w:eastAsia="Palatino Linotype" w:hAnsi="Palatino Linotype" w:cs="Palatino Linotype"/>
          <w:color w:val="000000"/>
        </w:rPr>
        <w:t xml:space="preserve"> lo que a su derecho conviniera, </w:t>
      </w:r>
      <w:r w:rsidRPr="00DB60C1">
        <w:rPr>
          <w:rFonts w:ascii="Palatino Linotype" w:eastAsia="Palatino Linotype" w:hAnsi="Palatino Linotype" w:cs="Palatino Linotype"/>
        </w:rPr>
        <w:t>ofreciera</w:t>
      </w:r>
      <w:r w:rsidRPr="00DB60C1">
        <w:rPr>
          <w:rFonts w:ascii="Palatino Linotype" w:eastAsia="Palatino Linotype" w:hAnsi="Palatino Linotype" w:cs="Palatino Linotype"/>
          <w:color w:val="000000"/>
        </w:rPr>
        <w:t xml:space="preserve"> pruebas y alegatos según corresponda a los casos concretos, y 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xml:space="preserve"> presentará el Informe Justificado procedente.</w:t>
      </w:r>
    </w:p>
    <w:p w14:paraId="21C827AD" w14:textId="77777777" w:rsidR="00E40FE1" w:rsidRPr="00DB60C1" w:rsidRDefault="00E40FE1">
      <w:pPr>
        <w:rPr>
          <w:rFonts w:ascii="Palatino Linotype" w:eastAsia="Palatino Linotype" w:hAnsi="Palatino Linotype" w:cs="Palatino Linotype"/>
        </w:rPr>
      </w:pPr>
    </w:p>
    <w:p w14:paraId="16A6DAC3" w14:textId="1C4E2D4D" w:rsidR="0010134C" w:rsidRPr="00DB60C1" w:rsidRDefault="0010134C">
      <w:pPr>
        <w:numPr>
          <w:ilvl w:val="0"/>
          <w:numId w:val="2"/>
        </w:numPr>
        <w:spacing w:line="360" w:lineRule="auto"/>
        <w:jc w:val="both"/>
        <w:rPr>
          <w:rFonts w:ascii="Palatino Linotype" w:eastAsia="Palatino Linotype" w:hAnsi="Palatino Linotype" w:cs="Palatino Linotype"/>
        </w:rPr>
      </w:pPr>
      <w:bookmarkStart w:id="7" w:name="_heading=h.2et92p0" w:colFirst="0" w:colLast="0"/>
      <w:bookmarkEnd w:id="7"/>
      <w:r w:rsidRPr="00DB60C1">
        <w:rPr>
          <w:rFonts w:ascii="Palatino Linotype" w:eastAsia="Palatino Linotype" w:hAnsi="Palatino Linotype" w:cs="Palatino Linotype"/>
        </w:rPr>
        <w:t xml:space="preserve">El </w:t>
      </w:r>
      <w:r w:rsidR="00842EDA" w:rsidRPr="00DB60C1">
        <w:rPr>
          <w:rFonts w:ascii="Palatino Linotype" w:eastAsia="Palatino Linotype" w:hAnsi="Palatino Linotype" w:cs="Palatino Linotype"/>
        </w:rPr>
        <w:t>veintiséis de febrero de dos mil veintiséis</w:t>
      </w:r>
      <w:r w:rsidRPr="00DB60C1">
        <w:rPr>
          <w:rFonts w:ascii="Palatino Linotype" w:eastAsia="Palatino Linotype" w:hAnsi="Palatino Linotype" w:cs="Palatino Linotype"/>
        </w:rPr>
        <w:t xml:space="preserve">, el </w:t>
      </w:r>
      <w:r w:rsidRPr="00DB60C1">
        <w:rPr>
          <w:rFonts w:ascii="Palatino Linotype" w:eastAsia="Palatino Linotype" w:hAnsi="Palatino Linotype" w:cs="Palatino Linotype"/>
          <w:b/>
        </w:rPr>
        <w:t xml:space="preserve">SUJETO OBLIGADO </w:t>
      </w:r>
      <w:r w:rsidRPr="00DB60C1">
        <w:rPr>
          <w:rFonts w:ascii="Palatino Linotype" w:eastAsia="Palatino Linotype" w:hAnsi="Palatino Linotype" w:cs="Palatino Linotype"/>
        </w:rPr>
        <w:t xml:space="preserve">rindió el informe justificado correspondiente por medio del archivo electrónico denominado </w:t>
      </w:r>
      <w:r w:rsidR="00842EDA" w:rsidRPr="00DB60C1">
        <w:rPr>
          <w:rFonts w:ascii="Palatino Linotype" w:eastAsia="Palatino Linotype" w:hAnsi="Palatino Linotype" w:cs="Palatino Linotype"/>
          <w:b/>
        </w:rPr>
        <w:t>RR 02368 INFOEM IP RR 2025</w:t>
      </w:r>
      <w:r w:rsidR="007470D9" w:rsidRPr="00DB60C1">
        <w:rPr>
          <w:rFonts w:ascii="Palatino Linotype" w:eastAsia="Palatino Linotype" w:hAnsi="Palatino Linotype" w:cs="Palatino Linotype"/>
          <w:b/>
        </w:rPr>
        <w:t>.pdf</w:t>
      </w:r>
      <w:r w:rsidRPr="00DB60C1">
        <w:rPr>
          <w:rFonts w:ascii="Palatino Linotype" w:eastAsia="Palatino Linotype" w:hAnsi="Palatino Linotype" w:cs="Palatino Linotype"/>
        </w:rPr>
        <w:t xml:space="preserve">, </w:t>
      </w:r>
      <w:r w:rsidR="00842EDA" w:rsidRPr="00DB60C1">
        <w:rPr>
          <w:rFonts w:ascii="Palatino Linotype" w:eastAsia="Palatino Linotype" w:hAnsi="Palatino Linotype" w:cs="Palatino Linotype"/>
        </w:rPr>
        <w:t>a través d</w:t>
      </w:r>
      <w:r w:rsidR="007470D9" w:rsidRPr="00DB60C1">
        <w:rPr>
          <w:rFonts w:ascii="Palatino Linotype" w:eastAsia="Palatino Linotype" w:hAnsi="Palatino Linotype" w:cs="Palatino Linotype"/>
        </w:rPr>
        <w:t xml:space="preserve">el cual, </w:t>
      </w:r>
      <w:r w:rsidR="007470D9" w:rsidRPr="00DB60C1">
        <w:rPr>
          <w:rFonts w:ascii="Palatino Linotype" w:eastAsia="Palatino Linotype" w:hAnsi="Palatino Linotype" w:cs="Palatino Linotype"/>
          <w:b/>
        </w:rPr>
        <w:t>ratificó la respuesta.</w:t>
      </w:r>
    </w:p>
    <w:bookmarkEnd w:id="4"/>
    <w:p w14:paraId="1A232630" w14:textId="77777777" w:rsidR="0010134C" w:rsidRPr="00DB60C1" w:rsidRDefault="0010134C" w:rsidP="007A03A6">
      <w:pPr>
        <w:rPr>
          <w:rFonts w:ascii="Palatino Linotype" w:eastAsia="Palatino Linotype" w:hAnsi="Palatino Linotype" w:cs="Palatino Linotype"/>
        </w:rPr>
      </w:pPr>
    </w:p>
    <w:p w14:paraId="517CAD85" w14:textId="77777777" w:rsidR="00E40FE1" w:rsidRPr="00DB60C1" w:rsidRDefault="0010134C">
      <w:pPr>
        <w:numPr>
          <w:ilvl w:val="0"/>
          <w:numId w:val="2"/>
        </w:numPr>
        <w:spacing w:line="360" w:lineRule="auto"/>
        <w:jc w:val="both"/>
        <w:rPr>
          <w:rFonts w:ascii="Palatino Linotype" w:eastAsia="Palatino Linotype" w:hAnsi="Palatino Linotype" w:cs="Palatino Linotype"/>
        </w:rPr>
      </w:pPr>
      <w:r w:rsidRPr="00DB60C1">
        <w:rPr>
          <w:rFonts w:ascii="Palatino Linotype" w:eastAsia="Palatino Linotype" w:hAnsi="Palatino Linotype" w:cs="Palatino Linotype"/>
        </w:rPr>
        <w:t>Por su parte, el</w:t>
      </w:r>
      <w:r w:rsidRPr="00DB60C1">
        <w:rPr>
          <w:rFonts w:ascii="Palatino Linotype" w:eastAsia="Palatino Linotype" w:hAnsi="Palatino Linotype" w:cs="Palatino Linotype"/>
          <w:b/>
        </w:rPr>
        <w:t xml:space="preserve"> RECURRENTE </w:t>
      </w:r>
      <w:r w:rsidRPr="00DB60C1">
        <w:rPr>
          <w:rFonts w:ascii="Palatino Linotype" w:eastAsia="Palatino Linotype" w:hAnsi="Palatino Linotype" w:cs="Palatino Linotype"/>
        </w:rPr>
        <w:t xml:space="preserve">dejó de realizar manifestaciones que a su derecho conviniera y asistiera. </w:t>
      </w:r>
    </w:p>
    <w:p w14:paraId="371995FE" w14:textId="77777777" w:rsidR="00E40FE1" w:rsidRPr="00DB60C1" w:rsidRDefault="00E40FE1">
      <w:pPr>
        <w:spacing w:line="360" w:lineRule="auto"/>
        <w:jc w:val="both"/>
        <w:rPr>
          <w:rFonts w:ascii="Palatino Linotype" w:eastAsia="Palatino Linotype" w:hAnsi="Palatino Linotype" w:cs="Palatino Linotype"/>
        </w:rPr>
      </w:pPr>
    </w:p>
    <w:p w14:paraId="6B9C0078" w14:textId="7F37477B"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B60C1">
        <w:rPr>
          <w:rFonts w:ascii="Palatino Linotype" w:eastAsia="Palatino Linotype" w:hAnsi="Palatino Linotype" w:cs="Palatino Linotype"/>
          <w:color w:val="000000"/>
        </w:rPr>
        <w:t xml:space="preserve">Finalmente, mediante acuerdo del </w:t>
      </w:r>
      <w:r w:rsidR="00913AAE" w:rsidRPr="00DB60C1">
        <w:rPr>
          <w:rFonts w:ascii="Palatino Linotype" w:eastAsia="Palatino Linotype" w:hAnsi="Palatino Linotype" w:cs="Palatino Linotype"/>
          <w:b/>
          <w:color w:val="000000"/>
        </w:rPr>
        <w:t>ocho de octubre</w:t>
      </w:r>
      <w:r w:rsidRPr="00DB60C1">
        <w:rPr>
          <w:rFonts w:ascii="Palatino Linotype" w:eastAsia="Palatino Linotype" w:hAnsi="Palatino Linotype" w:cs="Palatino Linotype"/>
          <w:color w:val="000000"/>
        </w:rPr>
        <w:t xml:space="preserve"> </w:t>
      </w:r>
      <w:r w:rsidRPr="00DB60C1">
        <w:rPr>
          <w:rFonts w:ascii="Palatino Linotype" w:eastAsia="Palatino Linotype" w:hAnsi="Palatino Linotype" w:cs="Palatino Linotype"/>
          <w:b/>
          <w:color w:val="000000"/>
        </w:rPr>
        <w:t>de dos mil veinticinco</w:t>
      </w:r>
      <w:r w:rsidRPr="00DB60C1">
        <w:rPr>
          <w:rFonts w:ascii="Palatino Linotype" w:eastAsia="Palatino Linotype" w:hAnsi="Palatino Linotype" w:cs="Palatino Linotype"/>
          <w:color w:val="000000"/>
        </w:rPr>
        <w:t>, se decretó el cierre de instrucción, por lo que no habiendo más que hacer constar, y</w:t>
      </w:r>
    </w:p>
    <w:p w14:paraId="5ACAFB92"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3821F32C" w14:textId="77777777" w:rsidR="00E40FE1" w:rsidRPr="00DB60C1" w:rsidRDefault="0010134C">
      <w:pPr>
        <w:pStyle w:val="Ttulo1"/>
        <w:tabs>
          <w:tab w:val="left" w:pos="567"/>
        </w:tabs>
        <w:spacing w:before="0" w:line="360" w:lineRule="auto"/>
        <w:jc w:val="center"/>
      </w:pPr>
      <w:bookmarkStart w:id="8" w:name="_heading=h.tyjcwt" w:colFirst="0" w:colLast="0"/>
      <w:bookmarkEnd w:id="8"/>
      <w:r w:rsidRPr="00DB60C1">
        <w:t>C O N S I D E R A N D O</w:t>
      </w:r>
    </w:p>
    <w:p w14:paraId="097A9E61" w14:textId="77777777" w:rsidR="00E40FE1" w:rsidRPr="00DB60C1" w:rsidRDefault="00E40FE1">
      <w:pPr>
        <w:spacing w:line="360" w:lineRule="auto"/>
        <w:rPr>
          <w:rFonts w:ascii="Palatino Linotype" w:eastAsia="Palatino Linotype" w:hAnsi="Palatino Linotype" w:cs="Palatino Linotype"/>
        </w:rPr>
      </w:pPr>
    </w:p>
    <w:p w14:paraId="401A95FA" w14:textId="77777777" w:rsidR="00E40FE1" w:rsidRPr="00DB60C1" w:rsidRDefault="0010134C">
      <w:pPr>
        <w:pStyle w:val="Ttulo1"/>
        <w:tabs>
          <w:tab w:val="left" w:pos="567"/>
        </w:tabs>
        <w:spacing w:before="0" w:line="360" w:lineRule="auto"/>
      </w:pPr>
      <w:bookmarkStart w:id="9" w:name="_heading=h.3dy6vkm" w:colFirst="0" w:colLast="0"/>
      <w:bookmarkEnd w:id="9"/>
      <w:r w:rsidRPr="00DB60C1">
        <w:t>PRIMERO. De la competencia</w:t>
      </w:r>
    </w:p>
    <w:p w14:paraId="13A61826" w14:textId="77777777" w:rsidR="00E40FE1" w:rsidRPr="00DB60C1" w:rsidRDefault="0010134C">
      <w:pPr>
        <w:numPr>
          <w:ilvl w:val="0"/>
          <w:numId w:val="2"/>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 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w:t>
      </w:r>
      <w:r w:rsidRPr="00DB60C1">
        <w:rPr>
          <w:rFonts w:ascii="Palatino Linotype" w:eastAsia="Palatino Linotype" w:hAnsi="Palatino Linotype" w:cs="Palatino Linotype"/>
          <w:color w:val="000000"/>
        </w:rPr>
        <w:lastRenderedPageBreak/>
        <w:t>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65F91EB4" w14:textId="77777777" w:rsidR="00E40FE1" w:rsidRPr="00DB60C1" w:rsidRDefault="00E40FE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211BC260" w14:textId="77777777" w:rsidR="00E40FE1" w:rsidRPr="00DB60C1" w:rsidRDefault="0010134C">
      <w:pPr>
        <w:pStyle w:val="Ttulo2"/>
        <w:spacing w:before="0" w:line="360" w:lineRule="auto"/>
      </w:pPr>
      <w:bookmarkStart w:id="10" w:name="_heading=h.1t3h5sf" w:colFirst="0" w:colLast="0"/>
      <w:bookmarkEnd w:id="10"/>
      <w:r w:rsidRPr="00DB60C1">
        <w:t>SEGUNDO. De la oportunidad y procedencia.</w:t>
      </w:r>
    </w:p>
    <w:p w14:paraId="33ED01DC" w14:textId="3C21EAE5"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 El medio de impugnación fue presentado a través del </w:t>
      </w:r>
      <w:r w:rsidRPr="00DB60C1">
        <w:rPr>
          <w:rFonts w:ascii="Palatino Linotype" w:eastAsia="Palatino Linotype" w:hAnsi="Palatino Linotype" w:cs="Palatino Linotype"/>
          <w:b/>
          <w:color w:val="000000"/>
        </w:rPr>
        <w:t>SAIMEX,</w:t>
      </w:r>
      <w:r w:rsidRPr="00DB60C1">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xml:space="preserve"> entregó su respuesta el </w:t>
      </w:r>
      <w:r w:rsidR="00842EDA" w:rsidRPr="00DB60C1">
        <w:rPr>
          <w:rFonts w:ascii="Palatino Linotype" w:eastAsia="Palatino Linotype" w:hAnsi="Palatino Linotype" w:cs="Palatino Linotype"/>
          <w:b/>
          <w:color w:val="000000"/>
        </w:rPr>
        <w:t>veinte de febrero de dos mil veintiséis</w:t>
      </w:r>
      <w:r w:rsidRPr="00DB60C1">
        <w:rPr>
          <w:rFonts w:ascii="Palatino Linotype" w:eastAsia="Palatino Linotype" w:hAnsi="Palatino Linotype" w:cs="Palatino Linotype"/>
          <w:color w:val="000000"/>
        </w:rPr>
        <w:t xml:space="preserve">, de tal forma que el plazo para interponer el recurso de revisión transcurrió del </w:t>
      </w:r>
      <w:r w:rsidR="00842EDA" w:rsidRPr="00DB60C1">
        <w:rPr>
          <w:rFonts w:ascii="Palatino Linotype" w:eastAsia="Palatino Linotype" w:hAnsi="Palatino Linotype" w:cs="Palatino Linotype"/>
          <w:b/>
          <w:color w:val="000000"/>
        </w:rPr>
        <w:t>veintitrés de febrero</w:t>
      </w:r>
      <w:r w:rsidRPr="00DB60C1">
        <w:rPr>
          <w:rFonts w:ascii="Palatino Linotype" w:eastAsia="Palatino Linotype" w:hAnsi="Palatino Linotype" w:cs="Palatino Linotype"/>
          <w:b/>
          <w:color w:val="000000"/>
        </w:rPr>
        <w:t xml:space="preserve"> al </w:t>
      </w:r>
      <w:r w:rsidR="00842EDA" w:rsidRPr="00DB60C1">
        <w:rPr>
          <w:rFonts w:ascii="Palatino Linotype" w:eastAsia="Palatino Linotype" w:hAnsi="Palatino Linotype" w:cs="Palatino Linotype"/>
          <w:b/>
          <w:color w:val="000000"/>
        </w:rPr>
        <w:t>diecisiete de marzo</w:t>
      </w:r>
      <w:r w:rsidRPr="00DB60C1">
        <w:rPr>
          <w:rFonts w:ascii="Palatino Linotype" w:eastAsia="Palatino Linotype" w:hAnsi="Palatino Linotype" w:cs="Palatino Linotype"/>
          <w:b/>
          <w:color w:val="000000"/>
        </w:rPr>
        <w:t xml:space="preserve"> de dos mil </w:t>
      </w:r>
      <w:r w:rsidR="00842EDA" w:rsidRPr="00DB60C1">
        <w:rPr>
          <w:rFonts w:ascii="Palatino Linotype" w:eastAsia="Palatino Linotype" w:hAnsi="Palatino Linotype" w:cs="Palatino Linotype"/>
          <w:b/>
          <w:color w:val="000000"/>
        </w:rPr>
        <w:t>veintiséis</w:t>
      </w:r>
      <w:r w:rsidRPr="00DB60C1">
        <w:rPr>
          <w:rFonts w:ascii="Palatino Linotype" w:eastAsia="Palatino Linotype" w:hAnsi="Palatino Linotype" w:cs="Palatino Linotype"/>
          <w:color w:val="000000"/>
        </w:rPr>
        <w:t xml:space="preserve">; en consecuencia, el ahora </w:t>
      </w:r>
      <w:r w:rsidRPr="00DB60C1">
        <w:rPr>
          <w:rFonts w:ascii="Palatino Linotype" w:eastAsia="Palatino Linotype" w:hAnsi="Palatino Linotype" w:cs="Palatino Linotype"/>
          <w:b/>
          <w:color w:val="000000"/>
        </w:rPr>
        <w:t>RECURRENTE</w:t>
      </w:r>
      <w:r w:rsidRPr="00DB60C1">
        <w:rPr>
          <w:rFonts w:ascii="Palatino Linotype" w:eastAsia="Palatino Linotype" w:hAnsi="Palatino Linotype" w:cs="Palatino Linotype"/>
          <w:color w:val="000000"/>
        </w:rPr>
        <w:t xml:space="preserve"> presentó su inconformidad el </w:t>
      </w:r>
      <w:r w:rsidR="00842EDA" w:rsidRPr="00DB60C1">
        <w:rPr>
          <w:rFonts w:ascii="Palatino Linotype" w:eastAsia="Palatino Linotype" w:hAnsi="Palatino Linotype" w:cs="Palatino Linotype"/>
          <w:b/>
          <w:color w:val="000000"/>
        </w:rPr>
        <w:t>diecinueve de febrero de dos mil veintiséis</w:t>
      </w:r>
      <w:r w:rsidRPr="00DB60C1">
        <w:rPr>
          <w:rFonts w:ascii="Palatino Linotype" w:eastAsia="Palatino Linotype" w:hAnsi="Palatino Linotype" w:cs="Palatino Linotype"/>
          <w:color w:val="000000"/>
        </w:rPr>
        <w:t>; por lo que se estima que la inconformidad se presentó dentro del lapso legalmente establecido para tal efecto.</w:t>
      </w:r>
    </w:p>
    <w:p w14:paraId="266D2A7E" w14:textId="77777777" w:rsidR="00E40FE1" w:rsidRPr="00DB60C1" w:rsidRDefault="00E40FE1">
      <w:pPr>
        <w:pBdr>
          <w:top w:val="nil"/>
          <w:left w:val="nil"/>
          <w:bottom w:val="nil"/>
          <w:right w:val="nil"/>
          <w:between w:val="nil"/>
        </w:pBdr>
        <w:rPr>
          <w:rFonts w:ascii="Palatino Linotype" w:eastAsia="Palatino Linotype" w:hAnsi="Palatino Linotype" w:cs="Palatino Linotype"/>
          <w:color w:val="000000"/>
        </w:rPr>
      </w:pPr>
    </w:p>
    <w:p w14:paraId="4503E7E2" w14:textId="77777777" w:rsidR="00E40FE1" w:rsidRPr="00DB60C1" w:rsidRDefault="0010134C">
      <w:pPr>
        <w:numPr>
          <w:ilvl w:val="0"/>
          <w:numId w:val="2"/>
        </w:numPr>
        <w:spacing w:line="360" w:lineRule="auto"/>
        <w:jc w:val="both"/>
        <w:rPr>
          <w:rFonts w:ascii="Palatino Linotype" w:eastAsia="Palatino Linotype" w:hAnsi="Palatino Linotype" w:cs="Palatino Linotype"/>
          <w:b/>
        </w:rPr>
      </w:pPr>
      <w:r w:rsidRPr="00DB60C1">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1E3A736" w14:textId="77777777" w:rsidR="00E40FE1" w:rsidRPr="00DB60C1" w:rsidRDefault="00E40FE1">
      <w:pPr>
        <w:spacing w:line="360" w:lineRule="auto"/>
        <w:rPr>
          <w:rFonts w:ascii="Palatino Linotype" w:eastAsia="Palatino Linotype" w:hAnsi="Palatino Linotype" w:cs="Palatino Linotype"/>
        </w:rPr>
      </w:pPr>
      <w:bookmarkStart w:id="11" w:name="_Hlk229045183"/>
    </w:p>
    <w:p w14:paraId="5592A1DA" w14:textId="77777777" w:rsidR="00E40FE1" w:rsidRPr="00DB60C1" w:rsidRDefault="0010134C">
      <w:pPr>
        <w:pStyle w:val="Ttulo1"/>
        <w:spacing w:before="0" w:line="360" w:lineRule="auto"/>
      </w:pPr>
      <w:r w:rsidRPr="00DB60C1">
        <w:t xml:space="preserve">TERCERO. Del planteamiento de la </w:t>
      </w:r>
      <w:r w:rsidRPr="00DB60C1">
        <w:rPr>
          <w:i/>
        </w:rPr>
        <w:t>Litis</w:t>
      </w:r>
      <w:r w:rsidRPr="00DB60C1">
        <w:t>.</w:t>
      </w:r>
    </w:p>
    <w:p w14:paraId="4B8C8DDD" w14:textId="0231C75E"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i/>
        </w:rPr>
      </w:pPr>
      <w:r w:rsidRPr="00DB60C1">
        <w:rPr>
          <w:rFonts w:ascii="Palatino Linotype" w:eastAsia="Palatino Linotype" w:hAnsi="Palatino Linotype" w:cs="Palatino Linotype"/>
          <w:color w:val="000000"/>
        </w:rPr>
        <w:t xml:space="preserve">La parte </w:t>
      </w:r>
      <w:r w:rsidRPr="00DB60C1">
        <w:rPr>
          <w:rFonts w:ascii="Palatino Linotype" w:eastAsia="Palatino Linotype" w:hAnsi="Palatino Linotype" w:cs="Palatino Linotype"/>
          <w:b/>
          <w:color w:val="000000"/>
        </w:rPr>
        <w:t>RECURRENTE</w:t>
      </w:r>
      <w:r w:rsidRPr="00DB60C1">
        <w:rPr>
          <w:rFonts w:ascii="Palatino Linotype" w:eastAsia="Palatino Linotype" w:hAnsi="Palatino Linotype" w:cs="Palatino Linotype"/>
          <w:color w:val="000000"/>
        </w:rPr>
        <w:t xml:space="preserve"> solicitó </w:t>
      </w:r>
      <w:r w:rsidRPr="00DB60C1">
        <w:rPr>
          <w:rFonts w:ascii="Palatino Linotype" w:eastAsia="Palatino Linotype" w:hAnsi="Palatino Linotype" w:cs="Palatino Linotype"/>
        </w:rPr>
        <w:t>l</w:t>
      </w:r>
      <w:r w:rsidR="006F1C9E" w:rsidRPr="00DB60C1">
        <w:rPr>
          <w:rFonts w:ascii="Palatino Linotype" w:eastAsia="Palatino Linotype" w:hAnsi="Palatino Linotype" w:cs="Palatino Linotype"/>
          <w:color w:val="000000"/>
        </w:rPr>
        <w:t>a copia de l</w:t>
      </w:r>
      <w:r w:rsidR="00842EDA" w:rsidRPr="00DB60C1">
        <w:rPr>
          <w:rFonts w:ascii="Palatino Linotype" w:eastAsia="Palatino Linotype" w:hAnsi="Palatino Linotype" w:cs="Palatino Linotype"/>
          <w:color w:val="000000"/>
        </w:rPr>
        <w:t>os</w:t>
      </w:r>
      <w:r w:rsidR="006F1C9E" w:rsidRPr="00DB60C1">
        <w:rPr>
          <w:rFonts w:ascii="Palatino Linotype" w:eastAsia="Palatino Linotype" w:hAnsi="Palatino Linotype" w:cs="Palatino Linotype"/>
          <w:color w:val="000000"/>
        </w:rPr>
        <w:t xml:space="preserve"> </w:t>
      </w:r>
      <w:r w:rsidR="006F1C9E" w:rsidRPr="00DB60C1">
        <w:rPr>
          <w:rFonts w:ascii="Palatino Linotype" w:eastAsia="Palatino Linotype" w:hAnsi="Palatino Linotype" w:cs="Palatino Linotype"/>
          <w:b/>
          <w:color w:val="000000"/>
        </w:rPr>
        <w:t>comprobantes de pago realizados</w:t>
      </w:r>
      <w:r w:rsidR="00842EDA" w:rsidRPr="00DB60C1">
        <w:rPr>
          <w:rFonts w:ascii="Palatino Linotype" w:eastAsia="Palatino Linotype" w:hAnsi="Palatino Linotype" w:cs="Palatino Linotype"/>
          <w:b/>
          <w:color w:val="000000"/>
        </w:rPr>
        <w:t xml:space="preserve"> mediante</w:t>
      </w:r>
      <w:r w:rsidR="006F1C9E" w:rsidRPr="00DB60C1">
        <w:rPr>
          <w:rFonts w:ascii="Palatino Linotype" w:eastAsia="Palatino Linotype" w:hAnsi="Palatino Linotype" w:cs="Palatino Linotype"/>
          <w:b/>
          <w:color w:val="000000"/>
        </w:rPr>
        <w:t xml:space="preserve"> cheque </w:t>
      </w:r>
      <w:r w:rsidR="00842EDA" w:rsidRPr="00DB60C1">
        <w:rPr>
          <w:rFonts w:ascii="Palatino Linotype" w:eastAsia="Palatino Linotype" w:hAnsi="Palatino Linotype" w:cs="Palatino Linotype"/>
          <w:b/>
          <w:color w:val="000000"/>
        </w:rPr>
        <w:t>y/</w:t>
      </w:r>
      <w:r w:rsidR="006F1C9E" w:rsidRPr="00DB60C1">
        <w:rPr>
          <w:rFonts w:ascii="Palatino Linotype" w:eastAsia="Palatino Linotype" w:hAnsi="Palatino Linotype" w:cs="Palatino Linotype"/>
          <w:b/>
          <w:color w:val="000000"/>
        </w:rPr>
        <w:t>o transferencia electrónica</w:t>
      </w:r>
      <w:r w:rsidR="00842EDA" w:rsidRPr="00DB60C1">
        <w:rPr>
          <w:rFonts w:ascii="Palatino Linotype" w:eastAsia="Palatino Linotype" w:hAnsi="Palatino Linotype" w:cs="Palatino Linotype"/>
          <w:b/>
          <w:color w:val="000000"/>
        </w:rPr>
        <w:t xml:space="preserve"> por la Tesorería</w:t>
      </w:r>
      <w:r w:rsidR="006F1C9E" w:rsidRPr="00DB60C1">
        <w:rPr>
          <w:rFonts w:ascii="Palatino Linotype" w:eastAsia="Palatino Linotype" w:hAnsi="Palatino Linotype" w:cs="Palatino Linotype"/>
          <w:b/>
          <w:color w:val="000000"/>
        </w:rPr>
        <w:t xml:space="preserve"> durante el mes de </w:t>
      </w:r>
      <w:r w:rsidR="00842EDA" w:rsidRPr="00DB60C1">
        <w:rPr>
          <w:rFonts w:ascii="Palatino Linotype" w:eastAsia="Palatino Linotype" w:hAnsi="Palatino Linotype" w:cs="Palatino Linotype"/>
          <w:b/>
          <w:color w:val="000000"/>
        </w:rPr>
        <w:t>diciembre</w:t>
      </w:r>
      <w:r w:rsidR="006F1C9E" w:rsidRPr="00DB60C1">
        <w:rPr>
          <w:rFonts w:ascii="Palatino Linotype" w:eastAsia="Palatino Linotype" w:hAnsi="Palatino Linotype" w:cs="Palatino Linotype"/>
          <w:b/>
          <w:color w:val="000000"/>
        </w:rPr>
        <w:t xml:space="preserve"> de 2025.</w:t>
      </w:r>
    </w:p>
    <w:p w14:paraId="18588FA9" w14:textId="77777777" w:rsidR="00E40FE1" w:rsidRPr="00DB60C1" w:rsidRDefault="007A03A6">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lastRenderedPageBreak/>
        <w:t xml:space="preserve">El </w:t>
      </w:r>
      <w:r w:rsidR="0010134C" w:rsidRPr="00DB60C1">
        <w:rPr>
          <w:rFonts w:ascii="Palatino Linotype" w:eastAsia="Palatino Linotype" w:hAnsi="Palatino Linotype" w:cs="Palatino Linotype"/>
          <w:b/>
          <w:color w:val="000000"/>
        </w:rPr>
        <w:t xml:space="preserve">SUJETO OBLIGADO </w:t>
      </w:r>
      <w:r w:rsidRPr="00DB60C1">
        <w:rPr>
          <w:rFonts w:ascii="Palatino Linotype" w:eastAsia="Palatino Linotype" w:hAnsi="Palatino Linotype" w:cs="Palatino Linotype"/>
          <w:color w:val="000000"/>
        </w:rPr>
        <w:t xml:space="preserve">emitió respuesta en términos del </w:t>
      </w:r>
      <w:r w:rsidRPr="00DB60C1">
        <w:rPr>
          <w:rFonts w:ascii="Palatino Linotype" w:eastAsia="Palatino Linotype" w:hAnsi="Palatino Linotype" w:cs="Palatino Linotype"/>
          <w:b/>
          <w:color w:val="000000"/>
        </w:rPr>
        <w:t>párrafo 3</w:t>
      </w:r>
      <w:r w:rsidRPr="00DB60C1">
        <w:rPr>
          <w:rFonts w:ascii="Palatino Linotype" w:eastAsia="Palatino Linotype" w:hAnsi="Palatino Linotype" w:cs="Palatino Linotype"/>
          <w:color w:val="000000"/>
        </w:rPr>
        <w:t xml:space="preserve"> de la presente resolución.</w:t>
      </w:r>
    </w:p>
    <w:p w14:paraId="188BF47A"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i/>
        </w:rPr>
      </w:pPr>
    </w:p>
    <w:p w14:paraId="4C2EBAFF"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rPr>
      </w:pPr>
      <w:r w:rsidRPr="00DB60C1">
        <w:rPr>
          <w:rFonts w:ascii="Palatino Linotype" w:eastAsia="Palatino Linotype" w:hAnsi="Palatino Linotype" w:cs="Palatino Linotype"/>
          <w:color w:val="000000"/>
        </w:rPr>
        <w:t xml:space="preserve">Posteriormente, el </w:t>
      </w:r>
      <w:r w:rsidRPr="00DB60C1">
        <w:rPr>
          <w:rFonts w:ascii="Palatino Linotype" w:eastAsia="Palatino Linotype" w:hAnsi="Palatino Linotype" w:cs="Palatino Linotype"/>
          <w:b/>
          <w:color w:val="000000"/>
        </w:rPr>
        <w:t xml:space="preserve">RECURRENTE </w:t>
      </w:r>
      <w:r w:rsidRPr="00DB60C1">
        <w:rPr>
          <w:rFonts w:ascii="Palatino Linotype" w:eastAsia="Palatino Linotype" w:hAnsi="Palatino Linotype" w:cs="Palatino Linotype"/>
          <w:color w:val="000000"/>
        </w:rPr>
        <w:t xml:space="preserve">interpuso recurso de revisión en el que se inconformó por la </w:t>
      </w:r>
      <w:r w:rsidRPr="00DB60C1">
        <w:rPr>
          <w:rFonts w:ascii="Palatino Linotype" w:eastAsia="Palatino Linotype" w:hAnsi="Palatino Linotype" w:cs="Palatino Linotype"/>
          <w:b/>
          <w:color w:val="000000"/>
        </w:rPr>
        <w:t>negativa de la información solicitada.</w:t>
      </w:r>
    </w:p>
    <w:p w14:paraId="37C897D6" w14:textId="77777777" w:rsidR="00E40FE1" w:rsidRPr="00DB60C1" w:rsidRDefault="00E40FE1">
      <w:pPr>
        <w:rPr>
          <w:rFonts w:ascii="Palatino Linotype" w:eastAsia="Palatino Linotype" w:hAnsi="Palatino Linotype" w:cs="Palatino Linotype"/>
          <w:color w:val="000000"/>
        </w:rPr>
      </w:pPr>
    </w:p>
    <w:p w14:paraId="2575C65C"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rPr>
      </w:pPr>
      <w:r w:rsidRPr="00DB60C1">
        <w:rPr>
          <w:rFonts w:ascii="Palatino Linotype" w:eastAsia="Palatino Linotype" w:hAnsi="Palatino Linotype" w:cs="Palatino Linotype"/>
          <w:color w:val="000000"/>
        </w:rPr>
        <w:t xml:space="preserve">En dichas condiciones, la </w:t>
      </w:r>
      <w:r w:rsidRPr="00DB60C1">
        <w:rPr>
          <w:rFonts w:ascii="Palatino Linotype" w:eastAsia="Palatino Linotype" w:hAnsi="Palatino Linotype" w:cs="Palatino Linotype"/>
          <w:i/>
          <w:color w:val="000000"/>
        </w:rPr>
        <w:t>Litis</w:t>
      </w:r>
      <w:r w:rsidRPr="00DB60C1">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DB60C1">
        <w:rPr>
          <w:rFonts w:ascii="Palatino Linotype" w:eastAsia="Palatino Linotype" w:hAnsi="Palatino Linotype" w:cs="Palatino Linotype"/>
          <w:b/>
          <w:color w:val="000000"/>
        </w:rPr>
        <w:t xml:space="preserve">fracción I </w:t>
      </w:r>
      <w:r w:rsidRPr="00DB60C1">
        <w:rPr>
          <w:rFonts w:ascii="Palatino Linotype" w:eastAsia="Palatino Linotype" w:hAnsi="Palatino Linotype" w:cs="Palatino Linotype"/>
          <w:color w:val="000000"/>
        </w:rPr>
        <w:t>de la Ley</w:t>
      </w:r>
      <w:r w:rsidRPr="00DB60C1">
        <w:rPr>
          <w:rFonts w:ascii="Palatino Linotype" w:eastAsia="Palatino Linotype" w:hAnsi="Palatino Linotype" w:cs="Palatino Linotype"/>
          <w:b/>
          <w:color w:val="000000"/>
        </w:rPr>
        <w:t xml:space="preserve"> de Transparencia y Acceso a la Información Pública del Estado de </w:t>
      </w:r>
      <w:r w:rsidRPr="00DB60C1">
        <w:rPr>
          <w:rFonts w:ascii="Palatino Linotype" w:eastAsia="Palatino Linotype" w:hAnsi="Palatino Linotype" w:cs="Palatino Linotype"/>
          <w:color w:val="000000"/>
        </w:rPr>
        <w:t>México</w:t>
      </w:r>
      <w:r w:rsidRPr="00DB60C1">
        <w:rPr>
          <w:rFonts w:ascii="Palatino Linotype" w:eastAsia="Palatino Linotype" w:hAnsi="Palatino Linotype" w:cs="Palatino Linotype"/>
          <w:b/>
          <w:color w:val="000000"/>
        </w:rPr>
        <w:t xml:space="preserve"> y Municipios</w:t>
      </w:r>
      <w:r w:rsidRPr="00DB60C1">
        <w:rPr>
          <w:rFonts w:ascii="Palatino Linotype" w:eastAsia="Palatino Linotype" w:hAnsi="Palatino Linotype" w:cs="Palatino Linotype"/>
          <w:color w:val="000000"/>
        </w:rPr>
        <w:t xml:space="preserve">; fracción que determina la hipótesis jurídica relativa a </w:t>
      </w:r>
      <w:r w:rsidRPr="00DB60C1">
        <w:rPr>
          <w:rFonts w:ascii="Palatino Linotype" w:eastAsia="Palatino Linotype" w:hAnsi="Palatino Linotype" w:cs="Palatino Linotype"/>
          <w:b/>
          <w:color w:val="000000"/>
        </w:rPr>
        <w:t>la negativa de la información solicitada.</w:t>
      </w:r>
    </w:p>
    <w:p w14:paraId="32477431" w14:textId="77777777" w:rsidR="00E40FE1" w:rsidRPr="00DB60C1" w:rsidRDefault="00E40FE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color w:val="000000"/>
        </w:rPr>
      </w:pPr>
    </w:p>
    <w:bookmarkEnd w:id="11"/>
    <w:p w14:paraId="7A413B30" w14:textId="77777777" w:rsidR="00E40FE1" w:rsidRPr="00DB60C1" w:rsidRDefault="0010134C">
      <w:pPr>
        <w:pStyle w:val="Ttulo1"/>
        <w:spacing w:before="0" w:line="360" w:lineRule="auto"/>
      </w:pPr>
      <w:r w:rsidRPr="00DB60C1">
        <w:t>CUARTO. Del estudio y resolución del asunto.</w:t>
      </w:r>
    </w:p>
    <w:p w14:paraId="199EDB50" w14:textId="77777777" w:rsidR="00E40FE1" w:rsidRPr="00DB60C1" w:rsidRDefault="0010134C">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Acotada la </w:t>
      </w:r>
      <w:r w:rsidRPr="00DB60C1">
        <w:rPr>
          <w:rFonts w:ascii="Palatino Linotype" w:eastAsia="Palatino Linotype" w:hAnsi="Palatino Linotype" w:cs="Palatino Linotype"/>
          <w:i/>
          <w:color w:val="000000"/>
        </w:rPr>
        <w:t>Litis</w:t>
      </w:r>
      <w:r w:rsidRPr="00DB60C1">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14:paraId="7E505018" w14:textId="77777777" w:rsidR="00E40FE1" w:rsidRPr="00DB60C1" w:rsidRDefault="00E40FE1">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6A1DA639" w14:textId="77777777" w:rsidR="00E40FE1" w:rsidRPr="00DB60C1" w:rsidRDefault="0010134C">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w:t>
      </w:r>
      <w:r w:rsidRPr="00DB60C1">
        <w:rPr>
          <w:rFonts w:ascii="Palatino Linotype" w:eastAsia="Palatino Linotype" w:hAnsi="Palatino Linotype" w:cs="Palatino Linotype"/>
          <w:color w:val="000000"/>
        </w:rPr>
        <w:lastRenderedPageBreak/>
        <w:t>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0E7EBC24" w14:textId="77777777" w:rsidR="00E40FE1" w:rsidRPr="00DB60C1" w:rsidRDefault="00E40FE1">
      <w:pPr>
        <w:spacing w:line="360" w:lineRule="auto"/>
        <w:jc w:val="both"/>
        <w:rPr>
          <w:rFonts w:ascii="Palatino Linotype" w:eastAsia="Palatino Linotype" w:hAnsi="Palatino Linotype" w:cs="Palatino Linotype"/>
        </w:rPr>
      </w:pPr>
    </w:p>
    <w:p w14:paraId="2F0465FB" w14:textId="77777777" w:rsidR="00E40FE1" w:rsidRPr="00DB60C1" w:rsidRDefault="0010134C" w:rsidP="007A03A6">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56C90ACD" w14:textId="77777777" w:rsidR="006F1C9E" w:rsidRPr="00DB60C1" w:rsidRDefault="006F1C9E" w:rsidP="006F1C9E">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79B03249" w14:textId="77777777" w:rsidR="00E40FE1" w:rsidRPr="00DB60C1" w:rsidRDefault="0010134C">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7861639" w14:textId="77777777" w:rsidR="00E40FE1" w:rsidRPr="00DB60C1" w:rsidRDefault="00E40FE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E0F84B6" w14:textId="77777777" w:rsidR="00E40FE1" w:rsidRDefault="0010134C">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Acotada la Litis del presente asunto, se reiterar la información solicitada por la parte </w:t>
      </w:r>
      <w:r w:rsidRPr="00DB60C1">
        <w:rPr>
          <w:rFonts w:ascii="Palatino Linotype" w:eastAsia="Palatino Linotype" w:hAnsi="Palatino Linotype" w:cs="Palatino Linotype"/>
          <w:b/>
          <w:color w:val="000000"/>
        </w:rPr>
        <w:t xml:space="preserve">RECURRENTE </w:t>
      </w:r>
      <w:r w:rsidRPr="00DB60C1">
        <w:rPr>
          <w:rFonts w:ascii="Palatino Linotype" w:eastAsia="Palatino Linotype" w:hAnsi="Palatino Linotype" w:cs="Palatino Linotype"/>
          <w:color w:val="000000"/>
        </w:rPr>
        <w:t xml:space="preserve">y la respuesta emitida por 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mediante el siguiente cuadro descriptivo</w:t>
      </w:r>
    </w:p>
    <w:p w14:paraId="5267C6D8" w14:textId="77777777" w:rsidR="00DB60C1" w:rsidRDefault="00DB60C1" w:rsidP="00DB60C1">
      <w:pPr>
        <w:pStyle w:val="Prrafodelista"/>
        <w:rPr>
          <w:rFonts w:ascii="Palatino Linotype" w:eastAsia="Palatino Linotype" w:hAnsi="Palatino Linotype" w:cs="Palatino Linotype"/>
          <w:color w:val="000000"/>
        </w:rPr>
      </w:pPr>
    </w:p>
    <w:p w14:paraId="192242C2" w14:textId="77777777" w:rsidR="00DB60C1" w:rsidRPr="00DB60C1" w:rsidRDefault="00DB60C1" w:rsidP="00DB60C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4632BA2" w14:textId="77777777" w:rsidR="00E40FE1" w:rsidRPr="00DB60C1" w:rsidRDefault="00E40FE1">
      <w:pPr>
        <w:pBdr>
          <w:top w:val="nil"/>
          <w:left w:val="nil"/>
          <w:bottom w:val="nil"/>
          <w:right w:val="nil"/>
          <w:between w:val="nil"/>
        </w:pBdr>
        <w:ind w:left="720"/>
        <w:rPr>
          <w:rFonts w:ascii="Palatino Linotype" w:eastAsia="Palatino Linotype" w:hAnsi="Palatino Linotype" w:cs="Palatino Linotype"/>
          <w:color w:val="000000"/>
        </w:rPr>
      </w:pPr>
    </w:p>
    <w:tbl>
      <w:tblPr>
        <w:tblStyle w:val="a8"/>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686"/>
        <w:gridCol w:w="2834"/>
      </w:tblGrid>
      <w:tr w:rsidR="00E40FE1" w:rsidRPr="00DB60C1" w14:paraId="15355587" w14:textId="77777777" w:rsidTr="00DB60C1">
        <w:tc>
          <w:tcPr>
            <w:tcW w:w="3256" w:type="dxa"/>
            <w:shd w:val="clear" w:color="auto" w:fill="D9D9D9"/>
          </w:tcPr>
          <w:p w14:paraId="4B8DC6E2" w14:textId="77777777" w:rsidR="00E40FE1" w:rsidRPr="00DB60C1" w:rsidRDefault="0010134C">
            <w:pPr>
              <w:spacing w:line="360" w:lineRule="auto"/>
              <w:ind w:right="48"/>
              <w:jc w:val="center"/>
              <w:rPr>
                <w:rFonts w:ascii="Palatino Linotype" w:eastAsia="Palatino Linotype" w:hAnsi="Palatino Linotype" w:cs="Palatino Linotype"/>
                <w:b/>
                <w:color w:val="000000"/>
              </w:rPr>
            </w:pPr>
            <w:r w:rsidRPr="00DB60C1">
              <w:rPr>
                <w:rFonts w:ascii="Palatino Linotype" w:eastAsia="Palatino Linotype" w:hAnsi="Palatino Linotype" w:cs="Palatino Linotype"/>
                <w:b/>
                <w:color w:val="000000"/>
              </w:rPr>
              <w:lastRenderedPageBreak/>
              <w:t>Información solicitada</w:t>
            </w:r>
          </w:p>
        </w:tc>
        <w:tc>
          <w:tcPr>
            <w:tcW w:w="3686" w:type="dxa"/>
            <w:shd w:val="clear" w:color="auto" w:fill="D9D9D9"/>
          </w:tcPr>
          <w:p w14:paraId="1913AE8F" w14:textId="77777777" w:rsidR="00E40FE1" w:rsidRPr="00DB60C1" w:rsidRDefault="0010134C">
            <w:pPr>
              <w:spacing w:line="360" w:lineRule="auto"/>
              <w:ind w:right="48"/>
              <w:jc w:val="center"/>
              <w:rPr>
                <w:rFonts w:ascii="Palatino Linotype" w:eastAsia="Palatino Linotype" w:hAnsi="Palatino Linotype" w:cs="Palatino Linotype"/>
                <w:b/>
                <w:color w:val="000000"/>
              </w:rPr>
            </w:pPr>
            <w:r w:rsidRPr="00DB60C1">
              <w:rPr>
                <w:rFonts w:ascii="Palatino Linotype" w:eastAsia="Palatino Linotype" w:hAnsi="Palatino Linotype" w:cs="Palatino Linotype"/>
                <w:b/>
                <w:color w:val="000000"/>
              </w:rPr>
              <w:t>Respuesta</w:t>
            </w:r>
          </w:p>
        </w:tc>
        <w:tc>
          <w:tcPr>
            <w:tcW w:w="2834" w:type="dxa"/>
            <w:shd w:val="clear" w:color="auto" w:fill="D9D9D9"/>
          </w:tcPr>
          <w:p w14:paraId="231C715A" w14:textId="77777777" w:rsidR="00E40FE1" w:rsidRPr="00DB60C1" w:rsidRDefault="0010134C">
            <w:pPr>
              <w:spacing w:line="360" w:lineRule="auto"/>
              <w:ind w:right="48"/>
              <w:jc w:val="center"/>
              <w:rPr>
                <w:rFonts w:ascii="Palatino Linotype" w:eastAsia="Palatino Linotype" w:hAnsi="Palatino Linotype" w:cs="Palatino Linotype"/>
                <w:b/>
                <w:color w:val="000000"/>
              </w:rPr>
            </w:pPr>
            <w:r w:rsidRPr="00DB60C1">
              <w:rPr>
                <w:rFonts w:ascii="Palatino Linotype" w:eastAsia="Palatino Linotype" w:hAnsi="Palatino Linotype" w:cs="Palatino Linotype"/>
                <w:b/>
                <w:color w:val="000000"/>
              </w:rPr>
              <w:t>Comentario</w:t>
            </w:r>
          </w:p>
        </w:tc>
      </w:tr>
      <w:tr w:rsidR="00E40FE1" w:rsidRPr="00DB60C1" w14:paraId="424CD756" w14:textId="77777777" w:rsidTr="00DB60C1">
        <w:tc>
          <w:tcPr>
            <w:tcW w:w="3256" w:type="dxa"/>
          </w:tcPr>
          <w:p w14:paraId="3A669AB8" w14:textId="369639DB" w:rsidR="00842EDA" w:rsidRPr="00DB60C1" w:rsidRDefault="00842EDA" w:rsidP="00842EDA">
            <w:pPr>
              <w:jc w:val="both"/>
              <w:rPr>
                <w:rFonts w:ascii="Palatino Linotype" w:eastAsia="Times New Roman" w:hAnsi="Palatino Linotype" w:cs="Palatino Linotype"/>
                <w:b/>
                <w:i/>
              </w:rPr>
            </w:pPr>
            <w:r w:rsidRPr="00DB60C1">
              <w:rPr>
                <w:rFonts w:ascii="Palatino Linotype" w:eastAsia="Times New Roman" w:hAnsi="Palatino Linotype" w:cs="Palatino Linotype"/>
                <w:b/>
                <w:color w:val="000000"/>
              </w:rPr>
              <w:t>Comprobantes de pago realizados mediante cheque y/o transferencia electrónica por la Tesorería durante el mes de diciembre de 2025.</w:t>
            </w:r>
          </w:p>
          <w:p w14:paraId="4A037EE3" w14:textId="77777777" w:rsidR="00E40FE1" w:rsidRPr="00DB60C1" w:rsidRDefault="00E40FE1" w:rsidP="006F1C9E">
            <w:pPr>
              <w:pBdr>
                <w:top w:val="nil"/>
                <w:left w:val="nil"/>
                <w:bottom w:val="nil"/>
                <w:right w:val="nil"/>
                <w:between w:val="nil"/>
              </w:pBdr>
              <w:jc w:val="both"/>
              <w:rPr>
                <w:rFonts w:ascii="Palatino Linotype" w:eastAsia="Palatino Linotype" w:hAnsi="Palatino Linotype" w:cs="Palatino Linotype"/>
                <w:i/>
              </w:rPr>
            </w:pPr>
          </w:p>
        </w:tc>
        <w:tc>
          <w:tcPr>
            <w:tcW w:w="3686" w:type="dxa"/>
          </w:tcPr>
          <w:p w14:paraId="03279F5D" w14:textId="0B0A0541" w:rsidR="00E40FE1" w:rsidRPr="00DB60C1" w:rsidRDefault="00842EDA" w:rsidP="00842EDA">
            <w:pPr>
              <w:ind w:right="39"/>
              <w:jc w:val="both"/>
              <w:rPr>
                <w:rFonts w:ascii="Palatino Linotype" w:eastAsia="Times New Roman" w:hAnsi="Palatino Linotype"/>
                <w:b/>
              </w:rPr>
            </w:pPr>
            <w:r w:rsidRPr="00DB60C1">
              <w:rPr>
                <w:rFonts w:ascii="Palatino Linotype" w:eastAsia="Times New Roman" w:hAnsi="Palatino Linotype"/>
                <w:bCs/>
              </w:rPr>
              <w:t>La Tesorera Municipal, señaló que la información solicitada se encuentra en proceso de integración, revisión y validación, en cumplimiento de los lineamientos técnicos emitidos por el Órgano Superior de Fiscalización del Estado de México (OSFEM), relativos a la integración del Informe Trimestral.</w:t>
            </w:r>
          </w:p>
        </w:tc>
        <w:tc>
          <w:tcPr>
            <w:tcW w:w="2834" w:type="dxa"/>
          </w:tcPr>
          <w:p w14:paraId="22195E8C" w14:textId="6D4BF691" w:rsidR="00E40FE1" w:rsidRPr="00DB60C1" w:rsidRDefault="00491D24">
            <w:pPr>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La respuesta </w:t>
            </w:r>
            <w:r w:rsidRPr="00DB60C1">
              <w:rPr>
                <w:rFonts w:ascii="Palatino Linotype" w:eastAsia="Palatino Linotype" w:hAnsi="Palatino Linotype" w:cs="Palatino Linotype"/>
                <w:b/>
                <w:color w:val="000000"/>
              </w:rPr>
              <w:t xml:space="preserve">no colma </w:t>
            </w:r>
            <w:r w:rsidRPr="00DB60C1">
              <w:rPr>
                <w:rFonts w:ascii="Palatino Linotype" w:eastAsia="Palatino Linotype" w:hAnsi="Palatino Linotype" w:cs="Palatino Linotype"/>
                <w:color w:val="000000"/>
              </w:rPr>
              <w:t>el requerimiento de información</w:t>
            </w:r>
            <w:r w:rsidR="00842EDA" w:rsidRPr="00DB60C1">
              <w:rPr>
                <w:rFonts w:ascii="Palatino Linotype" w:eastAsia="Palatino Linotype" w:hAnsi="Palatino Linotype" w:cs="Palatino Linotype"/>
                <w:color w:val="000000"/>
              </w:rPr>
              <w:t>.</w:t>
            </w:r>
          </w:p>
        </w:tc>
      </w:tr>
    </w:tbl>
    <w:p w14:paraId="18EDCABF" w14:textId="77777777" w:rsidR="00E40FE1" w:rsidRPr="00DB60C1" w:rsidRDefault="00E40FE1" w:rsidP="00491D24">
      <w:pPr>
        <w:pBdr>
          <w:top w:val="nil"/>
          <w:left w:val="nil"/>
          <w:bottom w:val="nil"/>
          <w:right w:val="nil"/>
          <w:between w:val="nil"/>
        </w:pBdr>
        <w:rPr>
          <w:rFonts w:ascii="Palatino Linotype" w:eastAsia="Palatino Linotype" w:hAnsi="Palatino Linotype" w:cs="Palatino Linotype"/>
          <w:color w:val="000000"/>
        </w:rPr>
      </w:pPr>
    </w:p>
    <w:p w14:paraId="7587C651"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B60C1">
        <w:rPr>
          <w:rFonts w:ascii="Palatino Linotype" w:eastAsia="Palatino Linotype" w:hAnsi="Palatino Linotype" w:cs="Palatino Linotype"/>
          <w:color w:val="000000"/>
        </w:rPr>
        <w:t xml:space="preserve">En consecuencia, el </w:t>
      </w:r>
      <w:r w:rsidRPr="00DB60C1">
        <w:rPr>
          <w:rFonts w:ascii="Palatino Linotype" w:eastAsia="Palatino Linotype" w:hAnsi="Palatino Linotype" w:cs="Palatino Linotype"/>
          <w:b/>
          <w:color w:val="000000"/>
        </w:rPr>
        <w:t xml:space="preserve">RECURRENTE </w:t>
      </w:r>
      <w:r w:rsidRPr="00DB60C1">
        <w:rPr>
          <w:rFonts w:ascii="Palatino Linotype" w:eastAsia="Palatino Linotype" w:hAnsi="Palatino Linotype" w:cs="Palatino Linotype"/>
          <w:color w:val="000000"/>
        </w:rPr>
        <w:t xml:space="preserve">interpuso recurso de revisión en el que se inconformó por </w:t>
      </w:r>
      <w:r w:rsidRPr="00DB60C1">
        <w:rPr>
          <w:rFonts w:ascii="Palatino Linotype" w:eastAsia="Palatino Linotype" w:hAnsi="Palatino Linotype" w:cs="Palatino Linotype"/>
          <w:b/>
        </w:rPr>
        <w:t>la negativa de la información solicitada.</w:t>
      </w:r>
    </w:p>
    <w:p w14:paraId="74D015D2"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DE217FE" w14:textId="77777777" w:rsidR="00491D24" w:rsidRPr="00DB60C1" w:rsidRDefault="0010134C" w:rsidP="00DE7EF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En atención a lo expuesto, es necesario señalar que </w:t>
      </w:r>
      <w:r w:rsidRPr="00DB60C1">
        <w:rPr>
          <w:rFonts w:ascii="Palatino Linotype" w:eastAsia="Palatino Linotype" w:hAnsi="Palatino Linotype" w:cs="Palatino Linotype"/>
          <w:color w:val="222222"/>
        </w:rPr>
        <w:t xml:space="preserve">se obvia el análisis de la competencia por parte del </w:t>
      </w:r>
      <w:r w:rsidRPr="00DB60C1">
        <w:rPr>
          <w:rFonts w:ascii="Palatino Linotype" w:eastAsia="Palatino Linotype" w:hAnsi="Palatino Linotype" w:cs="Palatino Linotype"/>
          <w:b/>
          <w:color w:val="222222"/>
        </w:rPr>
        <w:t>SUJETO OBLIGADO</w:t>
      </w:r>
      <w:r w:rsidRPr="00DB60C1">
        <w:rPr>
          <w:rFonts w:ascii="Palatino Linotype" w:eastAsia="Palatino Linotype" w:hAnsi="Palatino Linotype" w:cs="Palatino Linotype"/>
          <w:color w:val="222222"/>
        </w:rPr>
        <w:t xml:space="preserve">, para generar, administrar o poseer la información solicitada, dado que éste ha asumido la misma, tan es así que </w:t>
      </w:r>
      <w:r w:rsidR="00491D24" w:rsidRPr="00DB60C1">
        <w:rPr>
          <w:rFonts w:ascii="Palatino Linotype" w:eastAsia="Palatino Linotype" w:hAnsi="Palatino Linotype" w:cs="Palatino Linotype"/>
          <w:color w:val="000000"/>
        </w:rPr>
        <w:t xml:space="preserve">manifestó </w:t>
      </w:r>
      <w:r w:rsidR="006F1C9E" w:rsidRPr="00DB60C1">
        <w:rPr>
          <w:rFonts w:ascii="Palatino Linotype" w:eastAsia="Palatino Linotype" w:hAnsi="Palatino Linotype" w:cs="Palatino Linotype"/>
          <w:color w:val="000000"/>
        </w:rPr>
        <w:t xml:space="preserve">que esta </w:t>
      </w:r>
      <w:r w:rsidR="006F1C9E" w:rsidRPr="00DB60C1">
        <w:rPr>
          <w:rFonts w:ascii="Palatino Linotype" w:hAnsi="Palatino Linotype"/>
        </w:rPr>
        <w:t>se encuentra en proceso para ser entregado al Órgano Superior de Fiscalización del Estado de México (OSFEM)</w:t>
      </w:r>
      <w:r w:rsidR="006F1C9E" w:rsidRPr="00DB60C1">
        <w:rPr>
          <w:rFonts w:ascii="Palatino Linotype" w:eastAsia="Palatino Linotype" w:hAnsi="Palatino Linotype" w:cs="Palatino Linotype"/>
          <w:i/>
          <w:color w:val="000000"/>
        </w:rPr>
        <w:t>.</w:t>
      </w:r>
    </w:p>
    <w:p w14:paraId="15BF4B1C" w14:textId="77777777" w:rsidR="006F1C9E" w:rsidRPr="00DB60C1" w:rsidRDefault="006F1C9E" w:rsidP="006F1C9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6B130EF"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Ahora bien</w:t>
      </w:r>
      <w:r w:rsidRPr="00DB60C1">
        <w:rPr>
          <w:rFonts w:ascii="Palatino Linotype" w:eastAsia="Palatino Linotype" w:hAnsi="Palatino Linotype" w:cs="Palatino Linotype"/>
        </w:rPr>
        <w:t xml:space="preserve">, </w:t>
      </w:r>
      <w:r w:rsidRPr="00DB60C1">
        <w:rPr>
          <w:rFonts w:ascii="Palatino Linotype" w:eastAsia="Palatino Linotype" w:hAnsi="Palatino Linotype" w:cs="Palatino Linotype"/>
          <w:color w:val="222222"/>
        </w:rPr>
        <w:t>el hecho de que el</w:t>
      </w:r>
      <w:r w:rsidRPr="00DB60C1">
        <w:rPr>
          <w:rFonts w:ascii="Palatino Linotype" w:eastAsia="Palatino Linotype" w:hAnsi="Palatino Linotype" w:cs="Palatino Linotype"/>
          <w:b/>
          <w:color w:val="222222"/>
        </w:rPr>
        <w:t xml:space="preserve"> SUJETO OBLIGADO</w:t>
      </w:r>
      <w:r w:rsidRPr="00DB60C1">
        <w:rPr>
          <w:rFonts w:ascii="Palatino Linotype" w:eastAsia="Palatino Linotype" w:hAnsi="Palatino Linotype" w:cs="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36AF30C5" w14:textId="77777777" w:rsidR="00E40FE1" w:rsidRPr="00DB60C1" w:rsidRDefault="00E40FE1">
      <w:pPr>
        <w:jc w:val="both"/>
        <w:rPr>
          <w:rFonts w:ascii="Palatino Linotype" w:eastAsia="Palatino Linotype" w:hAnsi="Palatino Linotype" w:cs="Palatino Linotype"/>
          <w:color w:val="222222"/>
        </w:rPr>
      </w:pPr>
    </w:p>
    <w:p w14:paraId="79EEB746" w14:textId="77777777" w:rsidR="00E40FE1" w:rsidRPr="00DB60C1" w:rsidRDefault="0010134C">
      <w:pPr>
        <w:shd w:val="clear" w:color="auto" w:fill="FFFFFF"/>
        <w:ind w:left="567" w:right="822"/>
        <w:jc w:val="both"/>
        <w:rPr>
          <w:rFonts w:ascii="Palatino Linotype" w:eastAsia="Palatino Linotype" w:hAnsi="Palatino Linotype" w:cs="Palatino Linotype"/>
          <w:i/>
          <w:color w:val="222222"/>
        </w:rPr>
      </w:pPr>
      <w:r w:rsidRPr="00DB60C1">
        <w:rPr>
          <w:rFonts w:ascii="Palatino Linotype" w:eastAsia="Palatino Linotype" w:hAnsi="Palatino Linotype" w:cs="Palatino Linotype"/>
          <w:i/>
          <w:color w:val="222222"/>
        </w:rPr>
        <w:lastRenderedPageBreak/>
        <w:t>“</w:t>
      </w:r>
      <w:r w:rsidRPr="00DB60C1">
        <w:rPr>
          <w:rFonts w:ascii="Palatino Linotype" w:eastAsia="Palatino Linotype" w:hAnsi="Palatino Linotype" w:cs="Palatino Linotype"/>
          <w:b/>
          <w:i/>
          <w:color w:val="222222"/>
        </w:rPr>
        <w:t>Artículo 12.</w:t>
      </w:r>
      <w:r w:rsidRPr="00DB60C1">
        <w:rPr>
          <w:rFonts w:ascii="Palatino Linotype" w:eastAsia="Palatino Linotype" w:hAnsi="Palatino Linotype" w:cs="Palatino Linotype"/>
          <w:i/>
          <w:color w:val="222222"/>
        </w:rPr>
        <w:t> Quienes generen, recopilen, administren, manejen, procesen, archiven o conserven información pública serán responsables de la misma en los términos de las disposiciones jurídicas aplicables.</w:t>
      </w:r>
    </w:p>
    <w:p w14:paraId="55FA0418" w14:textId="77777777" w:rsidR="00E40FE1" w:rsidRPr="00DB60C1" w:rsidRDefault="00E40FE1">
      <w:pPr>
        <w:shd w:val="clear" w:color="auto" w:fill="FFFFFF"/>
        <w:ind w:left="567" w:right="822"/>
        <w:jc w:val="both"/>
        <w:rPr>
          <w:rFonts w:ascii="Palatino Linotype" w:eastAsia="Palatino Linotype" w:hAnsi="Palatino Linotype" w:cs="Palatino Linotype"/>
          <w:color w:val="222222"/>
        </w:rPr>
      </w:pPr>
    </w:p>
    <w:p w14:paraId="737BFCBC" w14:textId="77777777" w:rsidR="00E40FE1" w:rsidRPr="00DB60C1" w:rsidRDefault="0010134C">
      <w:pPr>
        <w:shd w:val="clear" w:color="auto" w:fill="FFFFFF"/>
        <w:ind w:left="567" w:right="822"/>
        <w:jc w:val="both"/>
        <w:rPr>
          <w:rFonts w:ascii="Palatino Linotype" w:eastAsia="Palatino Linotype" w:hAnsi="Palatino Linotype" w:cs="Palatino Linotype"/>
          <w:i/>
          <w:color w:val="222222"/>
        </w:rPr>
      </w:pPr>
      <w:r w:rsidRPr="00DB60C1">
        <w:rPr>
          <w:rFonts w:ascii="Palatino Linotype" w:eastAsia="Palatino Linotype" w:hAnsi="Palatino Linotype" w:cs="Palatino Linotype"/>
          <w:i/>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69BA756"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C6F95F0" w14:textId="77777777" w:rsidR="006F1C9E" w:rsidRPr="00DB60C1" w:rsidRDefault="006F1C9E" w:rsidP="006F1C9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No obstante, </w:t>
      </w:r>
      <w:r w:rsidRPr="00DB60C1">
        <w:rPr>
          <w:rFonts w:ascii="Palatino Linotype" w:eastAsia="Palatino Linotype" w:hAnsi="Palatino Linotype" w:cs="Palatino Linotype"/>
        </w:rPr>
        <w:t>resulta conveniente reiterar que el</w:t>
      </w:r>
      <w:r w:rsidRPr="00DB60C1">
        <w:rPr>
          <w:rFonts w:ascii="Palatino Linotype" w:eastAsia="Palatino Linotype" w:hAnsi="Palatino Linotype" w:cs="Palatino Linotype"/>
          <w:b/>
        </w:rPr>
        <w:t xml:space="preserve"> SUJETO OBLIGADO </w:t>
      </w:r>
      <w:r w:rsidRPr="00DB60C1">
        <w:rPr>
          <w:rFonts w:ascii="Palatino Linotype" w:eastAsia="Palatino Linotype" w:hAnsi="Palatino Linotype" w:cs="Palatino Linotype"/>
        </w:rPr>
        <w:t xml:space="preserve">refirió la imposibilidad para hacer entrega de la información solicitada, argumentando </w:t>
      </w:r>
      <w:r w:rsidRPr="00DB60C1">
        <w:rPr>
          <w:rFonts w:ascii="Palatino Linotype" w:hAnsi="Palatino Linotype"/>
        </w:rPr>
        <w:t xml:space="preserve">que se encuentra en proceso de integración y digitalización para ser entregada al Órgano Superior de Fiscalización del Estado de México (OSFEM), por lo que contrario a lo manifestado, </w:t>
      </w:r>
      <w:r w:rsidRPr="00DB60C1">
        <w:rPr>
          <w:rFonts w:ascii="Palatino Linotype" w:eastAsia="Palatino Linotype" w:hAnsi="Palatino Linotype" w:cs="Palatino Linotype"/>
        </w:rPr>
        <w:t>se colige que la información solicitada consta en documentos definitivos.</w:t>
      </w:r>
    </w:p>
    <w:p w14:paraId="6FD7F03A" w14:textId="77777777" w:rsidR="006F1C9E" w:rsidRPr="00DB60C1" w:rsidRDefault="006F1C9E" w:rsidP="006F1C9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A27CB51" w14:textId="77777777" w:rsidR="006F1C9E" w:rsidRPr="00DB60C1" w:rsidRDefault="006F1C9E" w:rsidP="006F1C9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rPr>
        <w:t>Por ello, resulta prudente tomar en consideración lo plasmado en el criterio 09/2004 emitido por la Suprema Corte de Justicia de la Nación, que por analogía se aplica al caso concreto, y que a la letra establece que:</w:t>
      </w:r>
    </w:p>
    <w:p w14:paraId="73AFD224" w14:textId="77777777" w:rsidR="006F1C9E" w:rsidRPr="00DB60C1" w:rsidRDefault="006F1C9E" w:rsidP="006F1C9E">
      <w:pPr>
        <w:spacing w:line="360" w:lineRule="auto"/>
        <w:ind w:right="49"/>
        <w:jc w:val="both"/>
        <w:rPr>
          <w:rFonts w:ascii="Palatino Linotype" w:eastAsia="Palatino Linotype" w:hAnsi="Palatino Linotype" w:cs="Palatino Linotype"/>
        </w:rPr>
      </w:pPr>
    </w:p>
    <w:p w14:paraId="3B1DA89D" w14:textId="77777777" w:rsidR="006F1C9E" w:rsidRPr="00DB60C1" w:rsidRDefault="006F1C9E" w:rsidP="006F1C9E">
      <w:pPr>
        <w:spacing w:line="276" w:lineRule="auto"/>
        <w:ind w:left="567" w:right="616"/>
        <w:jc w:val="both"/>
        <w:rPr>
          <w:rFonts w:ascii="Palatino Linotype" w:eastAsia="Palatino Linotype" w:hAnsi="Palatino Linotype" w:cs="Palatino Linotype"/>
          <w:i/>
        </w:rPr>
      </w:pPr>
      <w:r w:rsidRPr="00DB60C1">
        <w:rPr>
          <w:rFonts w:ascii="Palatino Linotype" w:eastAsia="Palatino Linotype" w:hAnsi="Palatino Linotype" w:cs="Palatino Linotype"/>
          <w:i/>
        </w:rPr>
        <w:t>"</w:t>
      </w:r>
      <w:r w:rsidRPr="00DB60C1">
        <w:rPr>
          <w:rFonts w:ascii="Palatino Linotype" w:eastAsia="Palatino Linotype" w:hAnsi="Palatino Linotype" w:cs="Palatino Linotype"/>
          <w:b/>
          <w:i/>
        </w:rPr>
        <w:t>INFORMACIÓN SUJETA A REVISIÓN. SI YA CONSTA EN UN DOCUMENTO DEFINITIVO, DEBE PERMITIRSE EL ACCESO A ÉSTE.</w:t>
      </w:r>
      <w:r w:rsidRPr="00DB60C1">
        <w:rPr>
          <w:rFonts w:ascii="Palatino Linotype" w:eastAsia="Palatino Linotype" w:hAnsi="Palatino Linotype" w:cs="Palatino Linotype"/>
          <w:i/>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w:t>
      </w:r>
      <w:r w:rsidRPr="00DB60C1">
        <w:rPr>
          <w:rFonts w:ascii="Palatino Linotype" w:eastAsia="Palatino Linotype" w:hAnsi="Palatino Linotype" w:cs="Palatino Linotype"/>
          <w:i/>
        </w:rPr>
        <w:lastRenderedPageBreak/>
        <w:t>información bajo el resguardo de este Alto Tribunal, independientemente de que en un futuro se cuente con una presentación distinta Clasificación de la información 10/2004-J, 19 de mayo de 2004. Unanimidad de votos"</w:t>
      </w:r>
    </w:p>
    <w:p w14:paraId="7BDA5A7C" w14:textId="77777777" w:rsidR="006F1C9E" w:rsidRPr="00DB60C1" w:rsidRDefault="006F1C9E" w:rsidP="006F1C9E">
      <w:pPr>
        <w:spacing w:line="276" w:lineRule="auto"/>
        <w:ind w:right="616"/>
        <w:jc w:val="both"/>
        <w:rPr>
          <w:rFonts w:ascii="Palatino Linotype" w:eastAsia="Palatino Linotype" w:hAnsi="Palatino Linotype" w:cs="Palatino Linotype"/>
          <w:i/>
        </w:rPr>
      </w:pPr>
    </w:p>
    <w:p w14:paraId="02CE43E2" w14:textId="77777777" w:rsidR="006F1C9E" w:rsidRPr="00DB60C1" w:rsidRDefault="006F1C9E" w:rsidP="006F1C9E">
      <w:pPr>
        <w:pStyle w:val="Prrafodelista"/>
        <w:numPr>
          <w:ilvl w:val="0"/>
          <w:numId w:val="2"/>
        </w:numPr>
        <w:spacing w:line="360" w:lineRule="auto"/>
        <w:ind w:right="1"/>
        <w:jc w:val="both"/>
        <w:rPr>
          <w:rFonts w:ascii="Palatino Linotype" w:eastAsia="Palatino Linotype" w:hAnsi="Palatino Linotype" w:cs="Palatino Linotype"/>
        </w:rPr>
      </w:pPr>
      <w:r w:rsidRPr="00DB60C1">
        <w:rPr>
          <w:rFonts w:ascii="Palatino Linotype" w:eastAsia="Palatino Linotype" w:hAnsi="Palatino Linotype" w:cs="Palatino Linotype"/>
        </w:rPr>
        <w:t>Del anterior criterio se puede deducir que para el caso de acceso sobre documentos que se encuentren en un proceso de revisión no debe implicar la falta de estos, siempre que sean definitivos, por lo que deberá permitirse el acceso a los mismos.</w:t>
      </w:r>
    </w:p>
    <w:p w14:paraId="3E0ED9E4" w14:textId="77777777" w:rsidR="006F1C9E" w:rsidRPr="00DB60C1" w:rsidRDefault="006F1C9E" w:rsidP="006F1C9E">
      <w:pPr>
        <w:pStyle w:val="Prrafodelista"/>
        <w:spacing w:line="360" w:lineRule="auto"/>
        <w:ind w:left="0" w:right="1"/>
        <w:jc w:val="both"/>
        <w:rPr>
          <w:rFonts w:ascii="Palatino Linotype" w:eastAsia="Palatino Linotype" w:hAnsi="Palatino Linotype" w:cs="Palatino Linotype"/>
        </w:rPr>
      </w:pPr>
    </w:p>
    <w:p w14:paraId="5AC9E0C9" w14:textId="77777777" w:rsidR="006F1C9E" w:rsidRPr="00DB60C1" w:rsidRDefault="0010134C" w:rsidP="006F1C9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Precisado lo anterior, resulta conveniente mencionar que </w:t>
      </w:r>
      <w:r w:rsidR="006F1C9E" w:rsidRPr="00DB60C1">
        <w:rPr>
          <w:rFonts w:ascii="Palatino Linotype" w:hAnsi="Palatino Linotype"/>
          <w:color w:val="000000"/>
        </w:rPr>
        <w:t>l</w:t>
      </w:r>
      <w:r w:rsidR="006F1C9E" w:rsidRPr="00DB60C1">
        <w:rPr>
          <w:rFonts w:ascii="Palatino Linotype" w:hAnsi="Palatino Linotype"/>
        </w:rPr>
        <w:t>os artículos 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0DC17183" w14:textId="77777777" w:rsidR="006F1C9E" w:rsidRPr="00DB60C1" w:rsidRDefault="006F1C9E" w:rsidP="006F1C9E">
      <w:pPr>
        <w:rPr>
          <w:rFonts w:ascii="Palatino Linotype" w:hAnsi="Palatino Linotype" w:cs="Arial"/>
          <w:color w:val="000000" w:themeColor="text1"/>
        </w:rPr>
      </w:pPr>
    </w:p>
    <w:p w14:paraId="512C770B" w14:textId="77777777" w:rsidR="006F1C9E" w:rsidRPr="00DB60C1" w:rsidRDefault="006F1C9E" w:rsidP="006F1C9E">
      <w:pPr>
        <w:ind w:left="567" w:right="567"/>
        <w:contextualSpacing/>
        <w:jc w:val="both"/>
        <w:rPr>
          <w:rFonts w:ascii="Palatino Linotype" w:eastAsia="Arial Unicode MS" w:hAnsi="Palatino Linotype"/>
          <w:i/>
          <w:kern w:val="28"/>
        </w:rPr>
      </w:pPr>
      <w:r w:rsidRPr="00DB60C1">
        <w:rPr>
          <w:rFonts w:ascii="Palatino Linotype" w:eastAsia="Arial Unicode MS" w:hAnsi="Palatino Linotype"/>
          <w:i/>
          <w:kern w:val="28"/>
        </w:rPr>
        <w:t>“</w:t>
      </w:r>
      <w:r w:rsidRPr="00DB60C1">
        <w:rPr>
          <w:rFonts w:ascii="Palatino Linotype" w:eastAsia="Arial Unicode MS" w:hAnsi="Palatino Linotype"/>
          <w:b/>
          <w:i/>
          <w:kern w:val="28"/>
        </w:rPr>
        <w:t>Artículo 342.-</w:t>
      </w:r>
      <w:r w:rsidRPr="00DB60C1">
        <w:rPr>
          <w:rFonts w:ascii="Palatino Linotype" w:eastAsia="Arial Unicode MS" w:hAnsi="Palatino Linotype"/>
          <w:i/>
          <w:kern w:val="28"/>
        </w:rPr>
        <w:t xml:space="preserve"> El registro contable del efecto patrimonial y presupuestal de las operaciones financieras, se realizará conforme al sistema y a las disposiciones que se aprueben en materia de planeación, programación, </w:t>
      </w:r>
      <w:proofErr w:type="spellStart"/>
      <w:r w:rsidRPr="00DB60C1">
        <w:rPr>
          <w:rFonts w:ascii="Palatino Linotype" w:eastAsia="Arial Unicode MS" w:hAnsi="Palatino Linotype"/>
          <w:i/>
          <w:kern w:val="28"/>
        </w:rPr>
        <w:t>presupuestación</w:t>
      </w:r>
      <w:proofErr w:type="spellEnd"/>
      <w:r w:rsidRPr="00DB60C1">
        <w:rPr>
          <w:rFonts w:ascii="Palatino Linotype" w:eastAsia="Arial Unicode MS" w:hAnsi="Palatino Linotype"/>
          <w:i/>
          <w:kern w:val="28"/>
        </w:rPr>
        <w:t xml:space="preserve">, evaluación y contabilidad gubernamental. </w:t>
      </w:r>
    </w:p>
    <w:p w14:paraId="31DFD3A3" w14:textId="77777777" w:rsidR="006F1C9E" w:rsidRPr="00DB60C1" w:rsidRDefault="006F1C9E" w:rsidP="006F1C9E">
      <w:pPr>
        <w:ind w:left="567" w:right="567"/>
        <w:jc w:val="both"/>
        <w:rPr>
          <w:rFonts w:ascii="Palatino Linotype" w:eastAsia="Arial Unicode MS" w:hAnsi="Palatino Linotype"/>
        </w:rPr>
      </w:pPr>
    </w:p>
    <w:p w14:paraId="72C6EA9B" w14:textId="77777777" w:rsidR="006F1C9E" w:rsidRPr="00DB60C1" w:rsidRDefault="006F1C9E" w:rsidP="006F1C9E">
      <w:pPr>
        <w:ind w:left="567" w:right="567"/>
        <w:contextualSpacing/>
        <w:jc w:val="both"/>
        <w:rPr>
          <w:rFonts w:ascii="Palatino Linotype" w:eastAsia="Arial Unicode MS" w:hAnsi="Palatino Linotype"/>
          <w:b/>
          <w:i/>
          <w:kern w:val="28"/>
        </w:rPr>
      </w:pPr>
      <w:r w:rsidRPr="00DB60C1">
        <w:rPr>
          <w:rFonts w:ascii="Palatino Linotype" w:eastAsia="Arial Unicode MS" w:hAnsi="Palatino Linotype"/>
          <w:b/>
          <w:i/>
          <w:kern w:val="28"/>
        </w:rPr>
        <w:t xml:space="preserve">En el caso de los municipios, el registro a que se refiere el párrafo anterior, se realizará conforme al sistema y a las disposiciones en materia de planeación, programación, </w:t>
      </w:r>
      <w:proofErr w:type="spellStart"/>
      <w:r w:rsidRPr="00DB60C1">
        <w:rPr>
          <w:rFonts w:ascii="Palatino Linotype" w:eastAsia="Arial Unicode MS" w:hAnsi="Palatino Linotype"/>
          <w:b/>
          <w:i/>
          <w:kern w:val="28"/>
        </w:rPr>
        <w:t>presupuestación</w:t>
      </w:r>
      <w:proofErr w:type="spellEnd"/>
      <w:r w:rsidRPr="00DB60C1">
        <w:rPr>
          <w:rFonts w:ascii="Palatino Linotype" w:eastAsia="Arial Unicode MS" w:hAnsi="Palatino Linotype"/>
          <w:b/>
          <w:i/>
          <w:kern w:val="28"/>
        </w:rPr>
        <w:t xml:space="preserve">, evaluación y contabilidad gubernamental, que se aprueben en el marco del Sistema de Coordinación Hacendaria del Estado de México. </w:t>
      </w:r>
    </w:p>
    <w:p w14:paraId="542326B5" w14:textId="77777777" w:rsidR="006F1C9E" w:rsidRPr="00DB60C1" w:rsidRDefault="006F1C9E" w:rsidP="006F1C9E">
      <w:pPr>
        <w:ind w:left="567" w:right="567"/>
        <w:jc w:val="both"/>
        <w:rPr>
          <w:rFonts w:ascii="Palatino Linotype" w:eastAsia="Arial Unicode MS" w:hAnsi="Palatino Linotype" w:cs="Arial"/>
          <w:b/>
          <w:i/>
        </w:rPr>
      </w:pPr>
    </w:p>
    <w:p w14:paraId="6390C4E5" w14:textId="77777777" w:rsidR="006F1C9E" w:rsidRPr="00DB60C1" w:rsidRDefault="006F1C9E" w:rsidP="006F1C9E">
      <w:pPr>
        <w:ind w:left="567" w:right="567"/>
        <w:contextualSpacing/>
        <w:jc w:val="both"/>
        <w:rPr>
          <w:rFonts w:ascii="Palatino Linotype" w:hAnsi="Palatino Linotype"/>
          <w:i/>
          <w:kern w:val="28"/>
        </w:rPr>
      </w:pPr>
      <w:r w:rsidRPr="00DB60C1">
        <w:rPr>
          <w:rFonts w:ascii="Palatino Linotype" w:hAnsi="Palatino Linotype"/>
          <w:b/>
          <w:i/>
          <w:kern w:val="28"/>
        </w:rPr>
        <w:t>Artículo 343.-</w:t>
      </w:r>
      <w:r w:rsidRPr="00DB60C1">
        <w:rPr>
          <w:rFonts w:ascii="Palatino Linotype" w:hAnsi="Palatino Linotype"/>
          <w:i/>
          <w:kern w:val="28"/>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43DE688C" w14:textId="77777777" w:rsidR="006F1C9E" w:rsidRPr="00DB60C1" w:rsidRDefault="006F1C9E" w:rsidP="006F1C9E">
      <w:pPr>
        <w:ind w:left="567" w:right="567"/>
        <w:contextualSpacing/>
        <w:jc w:val="both"/>
        <w:rPr>
          <w:rFonts w:ascii="Palatino Linotype" w:eastAsia="Arial Unicode MS" w:hAnsi="Palatino Linotype" w:cs="Arial"/>
          <w:b/>
          <w:i/>
          <w:kern w:val="28"/>
        </w:rPr>
      </w:pPr>
      <w:r w:rsidRPr="00DB60C1">
        <w:rPr>
          <w:rFonts w:ascii="Palatino Linotype" w:hAnsi="Palatino Linotype"/>
          <w:i/>
          <w:kern w:val="28"/>
        </w:rPr>
        <w:lastRenderedPageBreak/>
        <w:t>El sistema de contabilidad sobre base acumulativa total, se sustentará en las normas emitidas por el Consejo Nacional de Armonización Contable.</w:t>
      </w:r>
    </w:p>
    <w:p w14:paraId="465D9727" w14:textId="77777777" w:rsidR="006F1C9E" w:rsidRPr="00DB60C1" w:rsidRDefault="006F1C9E" w:rsidP="006F1C9E">
      <w:pPr>
        <w:ind w:left="567" w:right="567"/>
        <w:contextualSpacing/>
        <w:jc w:val="both"/>
        <w:rPr>
          <w:rFonts w:ascii="Palatino Linotype" w:hAnsi="Palatino Linotype"/>
          <w:b/>
          <w:i/>
          <w:kern w:val="28"/>
        </w:rPr>
      </w:pPr>
    </w:p>
    <w:p w14:paraId="0F7C9A46" w14:textId="77777777" w:rsidR="006F1C9E" w:rsidRPr="00DB60C1" w:rsidRDefault="006F1C9E" w:rsidP="006F1C9E">
      <w:pPr>
        <w:ind w:left="567" w:right="567"/>
        <w:contextualSpacing/>
        <w:jc w:val="both"/>
        <w:rPr>
          <w:rFonts w:ascii="Palatino Linotype" w:hAnsi="Palatino Linotype"/>
          <w:i/>
          <w:kern w:val="28"/>
        </w:rPr>
      </w:pPr>
      <w:r w:rsidRPr="00DB60C1">
        <w:rPr>
          <w:rFonts w:ascii="Palatino Linotype" w:hAnsi="Palatino Linotype"/>
          <w:b/>
          <w:i/>
          <w:kern w:val="28"/>
        </w:rPr>
        <w:t>Artículo 344.-</w:t>
      </w:r>
      <w:r w:rsidRPr="00DB60C1">
        <w:rPr>
          <w:rFonts w:ascii="Palatino Linotype" w:hAnsi="Palatino Linotype"/>
          <w:i/>
          <w:kern w:val="28"/>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3A372082" w14:textId="77777777" w:rsidR="006F1C9E" w:rsidRPr="00DB60C1" w:rsidRDefault="006F1C9E" w:rsidP="006F1C9E">
      <w:pPr>
        <w:ind w:left="567" w:right="567"/>
        <w:contextualSpacing/>
        <w:jc w:val="both"/>
        <w:rPr>
          <w:rFonts w:ascii="Palatino Linotype" w:eastAsia="Arial Unicode MS" w:hAnsi="Palatino Linotype" w:cs="Arial"/>
          <w:i/>
          <w:kern w:val="28"/>
        </w:rPr>
      </w:pPr>
      <w:r w:rsidRPr="00DB60C1">
        <w:rPr>
          <w:rFonts w:ascii="Palatino Linotype" w:hAnsi="Palatino Linotype"/>
          <w:i/>
          <w:kern w:val="28"/>
        </w:rPr>
        <w:t xml:space="preserve">En el caso de los Municipios, dicha obligación corresponderá a la </w:t>
      </w:r>
      <w:proofErr w:type="spellStart"/>
      <w:r w:rsidRPr="00DB60C1">
        <w:rPr>
          <w:rFonts w:ascii="Palatino Linotype" w:hAnsi="Palatino Linotype"/>
          <w:i/>
          <w:kern w:val="28"/>
        </w:rPr>
        <w:t>Tesorería.</w:t>
      </w:r>
      <w:r w:rsidRPr="00DB60C1">
        <w:rPr>
          <w:rFonts w:ascii="Palatino Linotype" w:eastAsia="Arial Unicode MS" w:hAnsi="Palatino Linotype" w:cs="Arial"/>
          <w:i/>
          <w:kern w:val="28"/>
        </w:rPr>
        <w:t>Tratándose</w:t>
      </w:r>
      <w:proofErr w:type="spellEnd"/>
      <w:r w:rsidRPr="00DB60C1">
        <w:rPr>
          <w:rFonts w:ascii="Palatino Linotype" w:eastAsia="Arial Unicode MS" w:hAnsi="Palatino Linotype" w:cs="Arial"/>
          <w:i/>
          <w:kern w:val="28"/>
        </w:rPr>
        <w:t xml:space="preserve"> de documentos de carácter histórico, se estará a lo dispuesto por la legislación de la materia. </w:t>
      </w:r>
    </w:p>
    <w:p w14:paraId="6FE6F417" w14:textId="77777777" w:rsidR="006F1C9E" w:rsidRPr="00DB60C1" w:rsidRDefault="006F1C9E" w:rsidP="006F1C9E">
      <w:pPr>
        <w:ind w:left="567" w:right="567"/>
        <w:jc w:val="both"/>
        <w:rPr>
          <w:rFonts w:ascii="Palatino Linotype" w:eastAsia="Arial Unicode MS" w:hAnsi="Palatino Linotype" w:cs="Arial"/>
          <w:b/>
          <w:i/>
        </w:rPr>
      </w:pPr>
    </w:p>
    <w:p w14:paraId="0A2F0088" w14:textId="77777777" w:rsidR="006F1C9E" w:rsidRPr="00DB60C1" w:rsidRDefault="006F1C9E" w:rsidP="006F1C9E">
      <w:pPr>
        <w:ind w:left="567" w:right="567"/>
        <w:contextualSpacing/>
        <w:jc w:val="both"/>
        <w:rPr>
          <w:rFonts w:ascii="Palatino Linotype" w:hAnsi="Palatino Linotype"/>
          <w:i/>
          <w:kern w:val="28"/>
        </w:rPr>
      </w:pPr>
      <w:r w:rsidRPr="00DB60C1">
        <w:rPr>
          <w:rFonts w:ascii="Palatino Linotype" w:hAnsi="Palatino Linotype"/>
          <w:b/>
          <w:i/>
          <w:kern w:val="28"/>
        </w:rPr>
        <w:t>Artículo 345.-</w:t>
      </w:r>
      <w:r w:rsidRPr="00DB60C1">
        <w:rPr>
          <w:rFonts w:ascii="Palatino Linotype" w:hAnsi="Palatino Linotype"/>
          <w:i/>
          <w:kern w:val="28"/>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483423B8" w14:textId="77777777" w:rsidR="006F1C9E" w:rsidRPr="00DB60C1" w:rsidRDefault="006F1C9E" w:rsidP="006F1C9E">
      <w:pPr>
        <w:ind w:left="567" w:right="567"/>
        <w:jc w:val="both"/>
        <w:rPr>
          <w:rFonts w:ascii="Palatino Linotype" w:hAnsi="Palatino Linotype"/>
        </w:rPr>
      </w:pPr>
    </w:p>
    <w:p w14:paraId="134B1A2C" w14:textId="77777777" w:rsidR="006F1C9E" w:rsidRPr="00DB60C1" w:rsidRDefault="006F1C9E" w:rsidP="006F1C9E">
      <w:pPr>
        <w:ind w:left="567" w:right="567"/>
        <w:contextualSpacing/>
        <w:jc w:val="both"/>
        <w:rPr>
          <w:rFonts w:ascii="Palatino Linotype" w:eastAsia="Arial Unicode MS" w:hAnsi="Palatino Linotype"/>
          <w:i/>
          <w:kern w:val="28"/>
        </w:rPr>
      </w:pPr>
      <w:r w:rsidRPr="00DB60C1">
        <w:rPr>
          <w:rFonts w:ascii="Palatino Linotype" w:hAnsi="Palatino Linotype"/>
          <w:i/>
          <w:kern w:val="28"/>
        </w:rPr>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DB60C1">
        <w:rPr>
          <w:rFonts w:ascii="Palatino Linotype" w:eastAsia="Arial Unicode MS" w:hAnsi="Palatino Linotype"/>
          <w:i/>
          <w:kern w:val="28"/>
        </w:rPr>
        <w:t xml:space="preserve"> (Énfasis añadido)</w:t>
      </w:r>
    </w:p>
    <w:p w14:paraId="4337B2AC" w14:textId="77777777" w:rsidR="006F1C9E" w:rsidRPr="00DB60C1" w:rsidRDefault="006F1C9E" w:rsidP="006F1C9E">
      <w:pPr>
        <w:rPr>
          <w:rFonts w:ascii="Palatino Linotype" w:eastAsia="Arial Unicode MS" w:hAnsi="Palatino Linotype" w:cs="Arial"/>
          <w:i/>
        </w:rPr>
      </w:pPr>
    </w:p>
    <w:p w14:paraId="4ACE3C29"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lastRenderedPageBreak/>
        <w:t xml:space="preserve">De una interpretación sistemática de los artículos transcritos se desprende, que el registro contable del efecto patrimonial y presupuestal de las operaciones financieras que realice el Municipio se hace conforme al sistema y a las disposiciones que se aprueben en materia de planeación, programación, </w:t>
      </w:r>
      <w:proofErr w:type="spellStart"/>
      <w:r w:rsidRPr="00DB60C1">
        <w:rPr>
          <w:rFonts w:ascii="Palatino Linotype" w:hAnsi="Palatino Linotype" w:cs="Arial"/>
          <w:color w:val="000000" w:themeColor="text1"/>
        </w:rPr>
        <w:t>presupuestación</w:t>
      </w:r>
      <w:proofErr w:type="spellEnd"/>
      <w:r w:rsidRPr="00DB60C1">
        <w:rPr>
          <w:rFonts w:ascii="Palatino Linotype" w:hAnsi="Palatino Linotype" w:cs="Arial"/>
          <w:color w:val="000000" w:themeColor="text1"/>
        </w:rPr>
        <w:t>, evaluación y contabilidad gubernamental.</w:t>
      </w:r>
    </w:p>
    <w:p w14:paraId="64E6DC44" w14:textId="77777777" w:rsidR="006F1C9E" w:rsidRPr="00DB60C1" w:rsidRDefault="006F1C9E" w:rsidP="006F1C9E">
      <w:pPr>
        <w:spacing w:line="360" w:lineRule="auto"/>
        <w:jc w:val="both"/>
        <w:rPr>
          <w:rFonts w:ascii="Palatino Linotype" w:hAnsi="Palatino Linotype" w:cs="Arial"/>
          <w:color w:val="000000" w:themeColor="text1"/>
        </w:rPr>
      </w:pPr>
    </w:p>
    <w:p w14:paraId="079D01B6"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t>Asimismo, se establece que el sistema de contabilidad sobre base acumulativa total se sustentará en las normas emitidas por el Consejo Nacional de Armonización Contable.</w:t>
      </w:r>
    </w:p>
    <w:p w14:paraId="2D5750E6" w14:textId="77777777" w:rsidR="006F1C9E" w:rsidRPr="00DB60C1" w:rsidRDefault="006F1C9E" w:rsidP="006F1C9E">
      <w:pPr>
        <w:spacing w:line="360" w:lineRule="auto"/>
        <w:jc w:val="both"/>
        <w:rPr>
          <w:rFonts w:ascii="Palatino Linotype" w:hAnsi="Palatino Linotype" w:cs="Arial"/>
          <w:color w:val="000000" w:themeColor="text1"/>
        </w:rPr>
      </w:pPr>
    </w:p>
    <w:p w14:paraId="40D65287" w14:textId="3FC5B52C" w:rsidR="006F1C9E" w:rsidRPr="00DB60C1" w:rsidRDefault="006F1C9E" w:rsidP="006F1C9E">
      <w:pPr>
        <w:pStyle w:val="Prrafodelista"/>
        <w:numPr>
          <w:ilvl w:val="0"/>
          <w:numId w:val="2"/>
        </w:numPr>
        <w:spacing w:line="360" w:lineRule="auto"/>
        <w:jc w:val="both"/>
        <w:rPr>
          <w:rFonts w:ascii="Palatino Linotype" w:hAnsi="Palatino Linotype" w:cs="Arial"/>
          <w:b/>
          <w:color w:val="000000" w:themeColor="text1"/>
        </w:rPr>
      </w:pPr>
      <w:r w:rsidRPr="00DB60C1">
        <w:rPr>
          <w:rFonts w:ascii="Palatino Linotype" w:hAnsi="Palatino Linotype" w:cs="Arial"/>
          <w:color w:val="000000" w:themeColor="text1"/>
        </w:rPr>
        <w:t xml:space="preserve">Igualmente, los preceptos legales citados señalan que en el caso de los Municipios es la </w:t>
      </w:r>
      <w:r w:rsidRPr="00DB60C1">
        <w:rPr>
          <w:rFonts w:ascii="Palatino Linotype" w:hAnsi="Palatino Linotype" w:cs="Arial"/>
          <w:b/>
          <w:color w:val="000000" w:themeColor="text1"/>
        </w:rPr>
        <w:t>Tesorería Municipal</w:t>
      </w:r>
      <w:r w:rsidRPr="00DB60C1">
        <w:rPr>
          <w:rFonts w:ascii="Palatino Linotype" w:hAnsi="Palatino Linotype" w:cs="Arial"/>
          <w:color w:val="000000" w:themeColor="text1"/>
        </w:rPr>
        <w:t xml:space="preserve"> la unidad administrativa que registra contablemente el efecto patrimonial y presupuestal de las operaciones financieras que realizan, en </w:t>
      </w:r>
      <w:r w:rsidRPr="00DB60C1">
        <w:rPr>
          <w:rFonts w:ascii="Palatino Linotype" w:hAnsi="Palatino Linotype" w:cs="Arial"/>
          <w:b/>
          <w:color w:val="000000" w:themeColor="text1"/>
        </w:rPr>
        <w:t>el momento en que ocurran, con base en el sistema y políticas de registro establecidas</w:t>
      </w:r>
      <w:r w:rsidRPr="00DB60C1">
        <w:rPr>
          <w:rFonts w:ascii="Palatino Linotype" w:hAnsi="Palatino Linotype" w:cs="Arial"/>
          <w:color w:val="000000" w:themeColor="text1"/>
        </w:rPr>
        <w:t>.</w:t>
      </w:r>
    </w:p>
    <w:p w14:paraId="72443969" w14:textId="77777777" w:rsidR="00DB60C1" w:rsidRPr="00DB60C1" w:rsidRDefault="00DB60C1" w:rsidP="00DB60C1">
      <w:pPr>
        <w:pStyle w:val="Prrafodelista"/>
        <w:spacing w:line="360" w:lineRule="auto"/>
        <w:ind w:left="0"/>
        <w:jc w:val="both"/>
        <w:rPr>
          <w:rFonts w:ascii="Palatino Linotype" w:hAnsi="Palatino Linotype" w:cs="Arial"/>
          <w:b/>
          <w:color w:val="000000" w:themeColor="text1"/>
        </w:rPr>
      </w:pPr>
    </w:p>
    <w:p w14:paraId="7928DD28"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t xml:space="preserve">Cabe destacar, que el ordenamiento legal en cita establece que todo registro contable y presupuestal deberá estar soportado con los </w:t>
      </w:r>
      <w:r w:rsidRPr="00DB60C1">
        <w:rPr>
          <w:rFonts w:ascii="Palatino Linotype" w:hAnsi="Palatino Linotype" w:cs="Arial"/>
          <w:b/>
          <w:color w:val="000000" w:themeColor="text1"/>
        </w:rPr>
        <w:t>documentos comprobatorios originales, copias certificadas o en medios electrónicos, según corresponda, como lo son las facturas o comprobantes fiscales digitales por internet, los que deberán permanecer en custodia y conservación de la Tesorería Municipal</w:t>
      </w:r>
      <w:r w:rsidRPr="00DB60C1">
        <w:rPr>
          <w:rFonts w:ascii="Palatino Linotype" w:hAnsi="Palatino Linotype" w:cs="Arial"/>
          <w:color w:val="000000" w:themeColor="text1"/>
        </w:rPr>
        <w:t xml:space="preserve">, en el caso de los municipios, y a disposición del Órgano Superior de Fiscalización del Estado de México y de los Órganos de Control Interno, por un término de </w:t>
      </w:r>
      <w:r w:rsidRPr="00DB60C1">
        <w:rPr>
          <w:rFonts w:ascii="Palatino Linotype" w:hAnsi="Palatino Linotype" w:cs="Arial"/>
          <w:b/>
          <w:color w:val="000000" w:themeColor="text1"/>
        </w:rPr>
        <w:t>seis años</w:t>
      </w:r>
      <w:r w:rsidRPr="00DB60C1">
        <w:rPr>
          <w:rFonts w:ascii="Palatino Linotype" w:hAnsi="Palatino Linotype" w:cs="Arial"/>
          <w:color w:val="000000" w:themeColor="text1"/>
        </w:rPr>
        <w:t xml:space="preserve"> contados a partir del ejercicio presupuestal siguiente al que corresponda.</w:t>
      </w:r>
    </w:p>
    <w:p w14:paraId="2FB938C0" w14:textId="77777777" w:rsidR="006F1C9E" w:rsidRPr="00DB60C1" w:rsidRDefault="006F1C9E" w:rsidP="006F1C9E">
      <w:pPr>
        <w:spacing w:line="360" w:lineRule="auto"/>
        <w:jc w:val="both"/>
        <w:rPr>
          <w:rFonts w:ascii="Palatino Linotype" w:hAnsi="Palatino Linotype"/>
          <w:color w:val="000000" w:themeColor="text1"/>
        </w:rPr>
      </w:pPr>
    </w:p>
    <w:p w14:paraId="6FC2E2E8"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lastRenderedPageBreak/>
        <w:t xml:space="preserve">Respecto al tema materia de la solicitud, es de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w:t>
      </w:r>
      <w:proofErr w:type="spellStart"/>
      <w:r w:rsidRPr="00DB60C1">
        <w:rPr>
          <w:rFonts w:ascii="Palatino Linotype" w:hAnsi="Palatino Linotype" w:cs="Arial"/>
          <w:color w:val="000000" w:themeColor="text1"/>
        </w:rPr>
        <w:t>Presupuestación</w:t>
      </w:r>
      <w:proofErr w:type="spellEnd"/>
      <w:r w:rsidRPr="00DB60C1">
        <w:rPr>
          <w:rFonts w:ascii="Palatino Linotype" w:hAnsi="Palatino Linotype" w:cs="Arial"/>
          <w:color w:val="000000" w:themeColor="text1"/>
        </w:rPr>
        <w:t xml:space="preserve">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2287D139" w14:textId="77777777" w:rsidR="006F1C9E" w:rsidRPr="00DB60C1" w:rsidRDefault="006F1C9E" w:rsidP="006F1C9E">
      <w:pPr>
        <w:rPr>
          <w:rFonts w:ascii="Palatino Linotype" w:hAnsi="Palatino Linotype" w:cs="Arial"/>
          <w:color w:val="000000" w:themeColor="text1"/>
        </w:rPr>
      </w:pPr>
    </w:p>
    <w:p w14:paraId="4F7243C2" w14:textId="77777777" w:rsidR="006F1C9E" w:rsidRPr="00DB60C1" w:rsidRDefault="006F1C9E" w:rsidP="006F1C9E">
      <w:pPr>
        <w:ind w:left="567" w:right="567"/>
        <w:contextualSpacing/>
        <w:rPr>
          <w:rFonts w:ascii="Palatino Linotype" w:eastAsia="Arial Unicode MS" w:hAnsi="Palatino Linotype"/>
          <w:i/>
          <w:kern w:val="28"/>
        </w:rPr>
      </w:pPr>
      <w:r w:rsidRPr="00DB60C1">
        <w:rPr>
          <w:rFonts w:ascii="Palatino Linotype" w:eastAsia="Arial Unicode MS" w:hAnsi="Palatino Linotype"/>
          <w:i/>
          <w:kern w:val="28"/>
        </w:rPr>
        <w:t>“</w:t>
      </w:r>
      <w:r w:rsidRPr="00DB60C1">
        <w:rPr>
          <w:rFonts w:ascii="Palatino Linotype" w:eastAsia="Arial Unicode MS" w:hAnsi="Palatino Linotype"/>
          <w:b/>
          <w:i/>
          <w:kern w:val="28"/>
        </w:rPr>
        <w:t>REGISTRO CONTABLE</w:t>
      </w:r>
      <w:r w:rsidRPr="00DB60C1">
        <w:rPr>
          <w:rFonts w:ascii="Palatino Linotype" w:eastAsia="Arial Unicode MS" w:hAnsi="Palatino Linotype"/>
          <w:i/>
          <w:kern w:val="28"/>
        </w:rPr>
        <w:t xml:space="preserve"> </w:t>
      </w:r>
    </w:p>
    <w:p w14:paraId="6D9E5153" w14:textId="1EC440EA" w:rsidR="006F1C9E" w:rsidRPr="00DB60C1" w:rsidRDefault="006F1C9E" w:rsidP="006F1C9E">
      <w:pPr>
        <w:ind w:left="567" w:right="567"/>
        <w:contextualSpacing/>
        <w:rPr>
          <w:rFonts w:ascii="Palatino Linotype" w:eastAsia="Arial Unicode MS" w:hAnsi="Palatino Linotype"/>
          <w:i/>
          <w:kern w:val="28"/>
        </w:rPr>
      </w:pPr>
      <w:r w:rsidRPr="00DB60C1">
        <w:rPr>
          <w:rFonts w:ascii="Palatino Linotype" w:eastAsia="Arial Unicode MS" w:hAnsi="Palatino Linotype"/>
          <w:i/>
          <w:kern w:val="28"/>
        </w:rPr>
        <w:t>Asiento que se realiza en los libros de contabilidad de las actividades relacionadas con el ingreso y egresos de un ente económico.”</w:t>
      </w:r>
    </w:p>
    <w:p w14:paraId="69FB0202" w14:textId="77777777" w:rsidR="00842EDA" w:rsidRPr="00DB60C1" w:rsidRDefault="00842EDA" w:rsidP="006F1C9E">
      <w:pPr>
        <w:ind w:left="567" w:right="567"/>
        <w:contextualSpacing/>
        <w:rPr>
          <w:rFonts w:ascii="Palatino Linotype" w:eastAsia="Arial Unicode MS" w:hAnsi="Palatino Linotype"/>
          <w:i/>
          <w:kern w:val="28"/>
        </w:rPr>
      </w:pPr>
    </w:p>
    <w:p w14:paraId="6DA2D3E9" w14:textId="77777777" w:rsidR="006F1C9E" w:rsidRPr="00DB60C1" w:rsidRDefault="006F1C9E" w:rsidP="006F1C9E">
      <w:pPr>
        <w:ind w:left="567" w:right="567"/>
        <w:contextualSpacing/>
        <w:rPr>
          <w:rFonts w:ascii="Palatino Linotype" w:eastAsia="Arial Unicode MS" w:hAnsi="Palatino Linotype"/>
          <w:i/>
          <w:kern w:val="28"/>
        </w:rPr>
      </w:pPr>
      <w:r w:rsidRPr="00DB60C1">
        <w:rPr>
          <w:rFonts w:ascii="Palatino Linotype" w:eastAsia="Arial Unicode MS" w:hAnsi="Palatino Linotype"/>
          <w:i/>
          <w:kern w:val="28"/>
        </w:rPr>
        <w:t>“</w:t>
      </w:r>
      <w:r w:rsidRPr="00DB60C1">
        <w:rPr>
          <w:rFonts w:ascii="Palatino Linotype" w:eastAsia="Arial Unicode MS" w:hAnsi="Palatino Linotype"/>
          <w:b/>
          <w:i/>
          <w:kern w:val="28"/>
        </w:rPr>
        <w:t>REGISTRO PRESUPUESTARIO</w:t>
      </w:r>
    </w:p>
    <w:p w14:paraId="4F604A0B" w14:textId="5D88FEFC" w:rsidR="006F1C9E" w:rsidRDefault="006F1C9E" w:rsidP="00842EDA">
      <w:pPr>
        <w:ind w:left="567" w:right="567"/>
        <w:contextualSpacing/>
        <w:rPr>
          <w:rFonts w:ascii="Palatino Linotype" w:eastAsia="Arial Unicode MS" w:hAnsi="Palatino Linotype"/>
          <w:i/>
          <w:kern w:val="28"/>
        </w:rPr>
      </w:pPr>
      <w:r w:rsidRPr="00DB60C1">
        <w:rPr>
          <w:rFonts w:ascii="Palatino Linotype" w:eastAsia="Arial Unicode MS" w:hAnsi="Palatino Linotype"/>
          <w:i/>
          <w:kern w:val="28"/>
        </w:rPr>
        <w:t>Asiento contable de las erogaciones realizadas por las dependencias y entidades con relación a la asignación, modificación y ejercicio de los recursos presupuestarios que se les hayan autorizado.”</w:t>
      </w:r>
    </w:p>
    <w:p w14:paraId="1CDD3543" w14:textId="77777777" w:rsidR="00DB60C1" w:rsidRPr="00DB60C1" w:rsidRDefault="00DB60C1" w:rsidP="00842EDA">
      <w:pPr>
        <w:ind w:left="567" w:right="567"/>
        <w:contextualSpacing/>
        <w:rPr>
          <w:rFonts w:ascii="Palatino Linotype" w:eastAsia="Arial Unicode MS" w:hAnsi="Palatino Linotype"/>
          <w:i/>
          <w:kern w:val="28"/>
        </w:rPr>
      </w:pPr>
    </w:p>
    <w:p w14:paraId="3C057697"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t xml:space="preserve">Por lo que respecta al término “póliza contable”, éste tampoco está definido en el Código Financiero del Estado de México y Municipios; sin embargo el “Glosario de Términos Administrativos”, emitido por el Instituto Nacional de Administración Pública, A.C. y el “Glosario de Términos para el Proceso de Planeación, Programación, </w:t>
      </w:r>
      <w:proofErr w:type="spellStart"/>
      <w:r w:rsidRPr="00DB60C1">
        <w:rPr>
          <w:rFonts w:ascii="Palatino Linotype" w:hAnsi="Palatino Linotype" w:cs="Arial"/>
          <w:color w:val="000000" w:themeColor="text1"/>
        </w:rPr>
        <w:t>Presupuestación</w:t>
      </w:r>
      <w:proofErr w:type="spellEnd"/>
      <w:r w:rsidRPr="00DB60C1">
        <w:rPr>
          <w:rFonts w:ascii="Palatino Linotype" w:hAnsi="Palatino Linotype" w:cs="Arial"/>
          <w:color w:val="000000" w:themeColor="text1"/>
        </w:rPr>
        <w:t xml:space="preserve"> y Evaluación en la Administración Pública”, elaborado por el Grupo de Trabajo de Sistemas de Información Financiera, Contable y Presupuestal de la Comisión </w:t>
      </w:r>
      <w:r w:rsidRPr="00DB60C1">
        <w:rPr>
          <w:rFonts w:ascii="Palatino Linotype" w:hAnsi="Palatino Linotype" w:cs="Arial"/>
          <w:color w:val="000000" w:themeColor="text1"/>
        </w:rPr>
        <w:lastRenderedPageBreak/>
        <w:t>Permanente de Funcionarios Fiscales del Instituto para el Desarrollo Técnico de las Haciendas Públicas (INDETEC) señala la siguiente definición del término “póliza contable”:</w:t>
      </w:r>
    </w:p>
    <w:p w14:paraId="38A35C97" w14:textId="77777777" w:rsidR="006F1C9E" w:rsidRPr="00DB60C1" w:rsidRDefault="006F1C9E" w:rsidP="006F1C9E">
      <w:pPr>
        <w:jc w:val="both"/>
        <w:rPr>
          <w:rFonts w:ascii="Palatino Linotype" w:hAnsi="Palatino Linotype" w:cs="Arial"/>
          <w:color w:val="000000" w:themeColor="text1"/>
        </w:rPr>
      </w:pPr>
    </w:p>
    <w:p w14:paraId="6E23EF9C" w14:textId="77777777" w:rsidR="006F1C9E" w:rsidRPr="00DB60C1" w:rsidRDefault="006F1C9E" w:rsidP="006F1C9E">
      <w:pPr>
        <w:ind w:left="567" w:right="567"/>
        <w:contextualSpacing/>
        <w:rPr>
          <w:rFonts w:ascii="Palatino Linotype" w:eastAsia="Arial Unicode MS" w:hAnsi="Palatino Linotype"/>
          <w:b/>
          <w:i/>
          <w:kern w:val="28"/>
        </w:rPr>
      </w:pPr>
      <w:r w:rsidRPr="00DB60C1">
        <w:rPr>
          <w:rFonts w:ascii="Palatino Linotype" w:eastAsia="Arial Unicode MS" w:hAnsi="Palatino Linotype"/>
          <w:i/>
          <w:kern w:val="28"/>
        </w:rPr>
        <w:t>“</w:t>
      </w:r>
      <w:r w:rsidRPr="00DB60C1">
        <w:rPr>
          <w:rFonts w:ascii="Palatino Linotype" w:eastAsia="Arial Unicode MS" w:hAnsi="Palatino Linotype"/>
          <w:b/>
          <w:i/>
          <w:kern w:val="28"/>
        </w:rPr>
        <w:t>PÓLIZA CONTABLE</w:t>
      </w:r>
    </w:p>
    <w:p w14:paraId="2CDF51B2" w14:textId="18F2DB55" w:rsidR="006F1C9E" w:rsidRPr="00DB60C1" w:rsidRDefault="006F1C9E" w:rsidP="00842EDA">
      <w:pPr>
        <w:ind w:left="567" w:right="567"/>
        <w:contextualSpacing/>
        <w:rPr>
          <w:rFonts w:ascii="Palatino Linotype" w:eastAsia="Arial Unicode MS" w:hAnsi="Palatino Linotype"/>
          <w:i/>
          <w:kern w:val="28"/>
        </w:rPr>
      </w:pPr>
      <w:r w:rsidRPr="00DB60C1">
        <w:rPr>
          <w:rFonts w:ascii="Palatino Linotype" w:eastAsia="Arial Unicode MS" w:hAnsi="Palatino Linotype"/>
          <w:i/>
          <w:kern w:val="28"/>
        </w:rPr>
        <w:t>Documento en el cual se asientan en forma individual todas y cada una de las operaciones desarrolladas por una institución, así como la información necesaria para la identificación necesaria para la identificación de dichas operaciones.”</w:t>
      </w:r>
    </w:p>
    <w:p w14:paraId="37D518D5" w14:textId="77777777" w:rsidR="00842EDA" w:rsidRPr="00DB60C1" w:rsidRDefault="00842EDA" w:rsidP="00842EDA">
      <w:pPr>
        <w:ind w:right="567"/>
        <w:contextualSpacing/>
        <w:rPr>
          <w:rFonts w:ascii="Palatino Linotype" w:eastAsia="Arial Unicode MS" w:hAnsi="Palatino Linotype"/>
          <w:i/>
          <w:kern w:val="28"/>
        </w:rPr>
      </w:pPr>
    </w:p>
    <w:p w14:paraId="0E4DF528" w14:textId="77777777" w:rsidR="006F1C9E" w:rsidRPr="00DB60C1" w:rsidRDefault="006F1C9E" w:rsidP="006F1C9E">
      <w:pPr>
        <w:pStyle w:val="Prrafodelista"/>
        <w:numPr>
          <w:ilvl w:val="0"/>
          <w:numId w:val="2"/>
        </w:numPr>
        <w:spacing w:line="360" w:lineRule="auto"/>
        <w:jc w:val="both"/>
        <w:rPr>
          <w:rFonts w:ascii="Palatino Linotype" w:hAnsi="Palatino Linotype" w:cs="Arial"/>
          <w:color w:val="000000" w:themeColor="text1"/>
        </w:rPr>
      </w:pPr>
      <w:r w:rsidRPr="00DB60C1">
        <w:rPr>
          <w:rFonts w:ascii="Palatino Linotype" w:hAnsi="Palatino Linotype" w:cs="Arial"/>
          <w:color w:val="000000" w:themeColor="text1"/>
        </w:rPr>
        <w:t>De lo anterior, se advierte que la póliza contable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5FC2AAB0" w14:textId="77777777" w:rsidR="006F1C9E" w:rsidRPr="00DB60C1" w:rsidRDefault="006F1C9E" w:rsidP="006F1C9E">
      <w:pPr>
        <w:spacing w:line="360" w:lineRule="auto"/>
        <w:jc w:val="both"/>
        <w:rPr>
          <w:rFonts w:ascii="Palatino Linotype" w:eastAsia="MS Mincho" w:hAnsi="Palatino Linotype"/>
        </w:rPr>
      </w:pPr>
    </w:p>
    <w:p w14:paraId="0BD1A996" w14:textId="54F2FC84" w:rsidR="006F1C9E" w:rsidRDefault="006F1C9E" w:rsidP="006F1C9E">
      <w:pPr>
        <w:pStyle w:val="Prrafodelista"/>
        <w:numPr>
          <w:ilvl w:val="0"/>
          <w:numId w:val="2"/>
        </w:numPr>
        <w:spacing w:line="360" w:lineRule="auto"/>
        <w:jc w:val="both"/>
        <w:rPr>
          <w:rFonts w:ascii="Palatino Linotype" w:eastAsiaTheme="majorEastAsia" w:hAnsi="Palatino Linotype" w:cs="Arial"/>
          <w:b/>
          <w:bCs/>
        </w:rPr>
      </w:pPr>
      <w:r w:rsidRPr="00DB60C1">
        <w:rPr>
          <w:rFonts w:ascii="Palatino Linotype" w:hAnsi="Palatino Linotype" w:cs="Arial"/>
        </w:rPr>
        <w:t xml:space="preserve">Ahora bien, existen diversos tipos de pólizas de acuerdo a las operaciones realizadas, así encontramos que los pagos efectuados con cheque son controlados en “pólizas de cheque”, las cuales permiten registrar una </w:t>
      </w:r>
      <w:r w:rsidRPr="00DB60C1">
        <w:rPr>
          <w:rFonts w:ascii="Palatino Linotype" w:eastAsiaTheme="majorEastAsia" w:hAnsi="Palatino Linotype" w:cs="Arial"/>
          <w:b/>
          <w:bCs/>
        </w:rPr>
        <w:t xml:space="preserve">salida de dinero de la </w:t>
      </w:r>
      <w:hyperlink r:id="rId9" w:history="1">
        <w:r w:rsidRPr="00DB60C1">
          <w:rPr>
            <w:rFonts w:ascii="Palatino Linotype" w:eastAsiaTheme="majorEastAsia" w:hAnsi="Palatino Linotype"/>
            <w:b/>
            <w:bCs/>
            <w:u w:val="single"/>
          </w:rPr>
          <w:t>cuenta bancaria</w:t>
        </w:r>
      </w:hyperlink>
      <w:r w:rsidRPr="00DB60C1">
        <w:rPr>
          <w:rFonts w:ascii="Palatino Linotype" w:eastAsiaTheme="majorEastAsia" w:hAnsi="Palatino Linotype" w:cs="Arial"/>
          <w:b/>
          <w:bCs/>
          <w:u w:val="single"/>
        </w:rPr>
        <w:t xml:space="preserve"> </w:t>
      </w:r>
      <w:r w:rsidRPr="00DB60C1">
        <w:rPr>
          <w:rFonts w:ascii="Palatino Linotype" w:eastAsiaTheme="majorEastAsia" w:hAnsi="Palatino Linotype" w:cs="Arial"/>
          <w:b/>
          <w:bCs/>
        </w:rPr>
        <w:t xml:space="preserve">propia, a través de la </w:t>
      </w:r>
      <w:hyperlink r:id="rId10" w:history="1">
        <w:r w:rsidRPr="00DB60C1">
          <w:rPr>
            <w:rFonts w:ascii="Palatino Linotype" w:eastAsiaTheme="majorEastAsia" w:hAnsi="Palatino Linotype"/>
            <w:b/>
            <w:bCs/>
            <w:u w:val="single"/>
          </w:rPr>
          <w:t>emisión de un cheque</w:t>
        </w:r>
      </w:hyperlink>
      <w:r w:rsidRPr="00DB60C1">
        <w:rPr>
          <w:rFonts w:ascii="Palatino Linotype" w:eastAsiaTheme="majorEastAsia" w:hAnsi="Palatino Linotype"/>
          <w:b/>
          <w:bCs/>
          <w:u w:val="single"/>
        </w:rPr>
        <w:t>,</w:t>
      </w:r>
      <w:r w:rsidRPr="00DB60C1">
        <w:rPr>
          <w:rFonts w:ascii="Palatino Linotype" w:hAnsi="Palatino Linotype" w:cs="Arial"/>
        </w:rPr>
        <w:t xml:space="preserve"> por lo que las dependencias públicas al librar un cheque, </w:t>
      </w:r>
      <w:r w:rsidRPr="00DB60C1">
        <w:rPr>
          <w:rFonts w:ascii="Palatino Linotype" w:eastAsiaTheme="majorEastAsia" w:hAnsi="Palatino Linotype" w:cs="Arial"/>
          <w:b/>
          <w:bCs/>
        </w:rPr>
        <w:t>adhieren una fotocopia del mismo con una póliza que sirve para fines contables</w:t>
      </w:r>
      <w:r w:rsidRPr="00DB60C1">
        <w:rPr>
          <w:rFonts w:ascii="Palatino Linotype" w:hAnsi="Palatino Linotype" w:cs="Arial"/>
        </w:rPr>
        <w:t xml:space="preserve">, porque describe cuánto y para qué se expidió el título de crédito, la cual sirve a su vez, </w:t>
      </w:r>
      <w:r w:rsidRPr="00DB60C1">
        <w:rPr>
          <w:rFonts w:ascii="Palatino Linotype" w:eastAsiaTheme="majorEastAsia" w:hAnsi="Palatino Linotype" w:cs="Arial"/>
          <w:b/>
          <w:bCs/>
        </w:rPr>
        <w:t>como un recibo del cheque entregado al beneficiario.</w:t>
      </w:r>
    </w:p>
    <w:p w14:paraId="6D510A94" w14:textId="77777777" w:rsidR="00DB60C1" w:rsidRPr="00DB60C1" w:rsidRDefault="00DB60C1" w:rsidP="00DB60C1">
      <w:pPr>
        <w:pStyle w:val="Prrafodelista"/>
        <w:spacing w:line="360" w:lineRule="auto"/>
        <w:ind w:left="0"/>
        <w:jc w:val="both"/>
        <w:rPr>
          <w:rFonts w:ascii="Palatino Linotype" w:eastAsiaTheme="majorEastAsia" w:hAnsi="Palatino Linotype" w:cs="Arial"/>
          <w:b/>
          <w:bCs/>
        </w:rPr>
      </w:pPr>
    </w:p>
    <w:p w14:paraId="05638423" w14:textId="77777777" w:rsidR="006F1C9E" w:rsidRPr="00DB60C1" w:rsidRDefault="006F1C9E" w:rsidP="006F1C9E">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hAnsi="Palatino Linotype" w:cs="Arial"/>
        </w:rPr>
        <w:t xml:space="preserve">Luego, las pólizas de cheque disponen de un espacio en la parte superior que permite obtener la copia de todos los datos del cheque expedido, y en la parte inferior, los demás datos de identificación contable, tales como, nombre de la entidad, referencia a la póliza, </w:t>
      </w:r>
      <w:r w:rsidRPr="00DB60C1">
        <w:rPr>
          <w:rFonts w:ascii="Palatino Linotype" w:hAnsi="Palatino Linotype" w:cs="Arial"/>
        </w:rPr>
        <w:lastRenderedPageBreak/>
        <w:t>tipo de póliza, número de póliza, fecha, número de cuenta, número de subcuenta, concepto, cargos y abonos y firmas de quienes elaboraron, revisaron y autorizaron.</w:t>
      </w:r>
    </w:p>
    <w:p w14:paraId="55D0DF5F" w14:textId="77777777" w:rsidR="006F1C9E" w:rsidRPr="00DB60C1" w:rsidRDefault="006F1C9E" w:rsidP="006F1C9E">
      <w:pPr>
        <w:pStyle w:val="Prrafodelista"/>
        <w:rPr>
          <w:rFonts w:ascii="Palatino Linotype" w:eastAsia="Palatino Linotype" w:hAnsi="Palatino Linotype" w:cs="Palatino Linotype"/>
          <w:color w:val="000000"/>
        </w:rPr>
      </w:pPr>
    </w:p>
    <w:p w14:paraId="4916233E" w14:textId="5F1476E8" w:rsidR="00913AAE" w:rsidRPr="00DB60C1" w:rsidRDefault="006F1C9E" w:rsidP="00913AA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En consecuencia, </w:t>
      </w:r>
      <w:r w:rsidRPr="00DB60C1">
        <w:rPr>
          <w:rFonts w:ascii="Palatino Linotype" w:hAnsi="Palatino Linotype" w:cs="Tahoma"/>
          <w:bCs/>
          <w:iCs/>
          <w:lang w:eastAsia="es-ES"/>
        </w:rPr>
        <w:t xml:space="preserve">es dable ordenar al </w:t>
      </w:r>
      <w:r w:rsidRPr="00DB60C1">
        <w:rPr>
          <w:rFonts w:ascii="Palatino Linotype" w:hAnsi="Palatino Linotype" w:cs="Tahoma"/>
          <w:b/>
          <w:bCs/>
          <w:iCs/>
          <w:lang w:eastAsia="es-ES"/>
        </w:rPr>
        <w:t>SUJETO OBLIGADO</w:t>
      </w:r>
      <w:r w:rsidR="00913AAE" w:rsidRPr="00DB60C1">
        <w:rPr>
          <w:rFonts w:ascii="Palatino Linotype" w:hAnsi="Palatino Linotype" w:cs="Tahoma"/>
          <w:bCs/>
          <w:iCs/>
          <w:lang w:eastAsia="es-ES"/>
        </w:rPr>
        <w:t xml:space="preserve">, en versión pública, </w:t>
      </w:r>
      <w:r w:rsidR="00842EDA" w:rsidRPr="00DB60C1">
        <w:rPr>
          <w:rFonts w:ascii="Palatino Linotype" w:hAnsi="Palatino Linotype" w:cs="Tahoma"/>
          <w:b/>
          <w:bCs/>
          <w:iCs/>
          <w:lang w:eastAsia="es-ES"/>
        </w:rPr>
        <w:t xml:space="preserve">los </w:t>
      </w:r>
      <w:r w:rsidR="00913AAE" w:rsidRPr="00DB60C1">
        <w:rPr>
          <w:rFonts w:ascii="Palatino Linotype" w:eastAsia="Calibri" w:hAnsi="Palatino Linotype"/>
          <w:b/>
          <w:lang w:eastAsia="es-ES_tradnl"/>
        </w:rPr>
        <w:t xml:space="preserve">comprobantes de pagos realizados vía cheque </w:t>
      </w:r>
      <w:r w:rsidR="00842EDA" w:rsidRPr="00DB60C1">
        <w:rPr>
          <w:rFonts w:ascii="Palatino Linotype" w:eastAsia="Calibri" w:hAnsi="Palatino Linotype"/>
          <w:b/>
          <w:lang w:eastAsia="es-ES_tradnl"/>
        </w:rPr>
        <w:t>y/</w:t>
      </w:r>
      <w:r w:rsidR="00913AAE" w:rsidRPr="00DB60C1">
        <w:rPr>
          <w:rFonts w:ascii="Palatino Linotype" w:eastAsia="Calibri" w:hAnsi="Palatino Linotype"/>
          <w:b/>
          <w:lang w:eastAsia="es-ES_tradnl"/>
        </w:rPr>
        <w:t xml:space="preserve">o transferencia electrónica </w:t>
      </w:r>
      <w:r w:rsidR="00842EDA" w:rsidRPr="00DB60C1">
        <w:rPr>
          <w:rFonts w:ascii="Palatino Linotype" w:eastAsia="Calibri" w:hAnsi="Palatino Linotype"/>
          <w:b/>
          <w:lang w:eastAsia="es-ES_tradnl"/>
        </w:rPr>
        <w:t xml:space="preserve">por la Tesorería Municipal </w:t>
      </w:r>
      <w:r w:rsidR="00913AAE" w:rsidRPr="00DB60C1">
        <w:rPr>
          <w:rFonts w:ascii="Palatino Linotype" w:eastAsia="Calibri" w:hAnsi="Palatino Linotype"/>
          <w:b/>
          <w:lang w:eastAsia="es-ES_tradnl"/>
        </w:rPr>
        <w:t xml:space="preserve">durante el mes de </w:t>
      </w:r>
      <w:r w:rsidR="00842EDA" w:rsidRPr="00DB60C1">
        <w:rPr>
          <w:rFonts w:ascii="Palatino Linotype" w:eastAsia="Calibri" w:hAnsi="Palatino Linotype"/>
          <w:b/>
          <w:lang w:eastAsia="es-ES_tradnl"/>
        </w:rPr>
        <w:t>diciembre</w:t>
      </w:r>
      <w:r w:rsidR="00913AAE" w:rsidRPr="00DB60C1">
        <w:rPr>
          <w:rFonts w:ascii="Palatino Linotype" w:eastAsia="Calibri" w:hAnsi="Palatino Linotype"/>
          <w:b/>
          <w:lang w:eastAsia="es-ES_tradnl"/>
        </w:rPr>
        <w:t xml:space="preserve"> de 2025.</w:t>
      </w:r>
    </w:p>
    <w:p w14:paraId="7152D24B" w14:textId="77777777" w:rsidR="00913AAE" w:rsidRPr="00DB60C1" w:rsidRDefault="00913AAE" w:rsidP="006F1C9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15A801C" w14:textId="77777777" w:rsidR="006F1C9E" w:rsidRPr="00DB60C1" w:rsidRDefault="006F1C9E" w:rsidP="006F1C9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 xml:space="preserve">Ahora </w:t>
      </w:r>
      <w:r w:rsidRPr="00DB60C1">
        <w:rPr>
          <w:rFonts w:ascii="Palatino Linotype" w:eastAsia="Palatino Linotype" w:hAnsi="Palatino Linotype" w:cs="Palatino Linotype"/>
        </w:rPr>
        <w:t xml:space="preserve">bien, es importante señalar que el artículo 4, párrafo segundo de la Ley de Transparencia y Acceso a la Información Pública del Estado de México y Municipios, dispone lo siguiente: </w:t>
      </w:r>
    </w:p>
    <w:p w14:paraId="57F16532" w14:textId="77777777" w:rsidR="006F1C9E" w:rsidRPr="00DB60C1" w:rsidRDefault="006F1C9E" w:rsidP="006F1C9E">
      <w:pPr>
        <w:spacing w:line="360" w:lineRule="auto"/>
        <w:ind w:left="644" w:right="1"/>
        <w:jc w:val="both"/>
        <w:rPr>
          <w:rFonts w:ascii="Palatino Linotype" w:eastAsia="Palatino Linotype" w:hAnsi="Palatino Linotype" w:cs="Palatino Linotype"/>
        </w:rPr>
      </w:pPr>
    </w:p>
    <w:p w14:paraId="62C423C0"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Palatino Linotype" w:hAnsi="Palatino Linotype" w:cs="Palatino Linotype"/>
          <w:i/>
        </w:rPr>
        <w:t>“</w:t>
      </w:r>
      <w:r w:rsidRPr="00DB60C1">
        <w:rPr>
          <w:rFonts w:ascii="Palatino Linotype" w:eastAsia="Palatino Linotype" w:hAnsi="Palatino Linotype" w:cs="Palatino Linotype"/>
          <w:b/>
          <w:i/>
        </w:rPr>
        <w:t>Artículo 4. …</w:t>
      </w:r>
    </w:p>
    <w:p w14:paraId="199C6EDE"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rPr>
      </w:pPr>
      <w:r w:rsidRPr="00DB60C1">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15606A1" w14:textId="77777777" w:rsidR="006F1C9E" w:rsidRPr="00DB60C1" w:rsidRDefault="006F1C9E" w:rsidP="006F1C9E">
      <w:pPr>
        <w:spacing w:line="360" w:lineRule="auto"/>
        <w:ind w:left="644" w:right="1"/>
        <w:jc w:val="both"/>
        <w:rPr>
          <w:rFonts w:ascii="Palatino Linotype" w:eastAsia="Palatino Linotype" w:hAnsi="Palatino Linotype" w:cs="Palatino Linotype"/>
        </w:rPr>
      </w:pPr>
    </w:p>
    <w:p w14:paraId="7C490901" w14:textId="77777777" w:rsidR="006F1C9E" w:rsidRPr="00DB60C1" w:rsidRDefault="006F1C9E" w:rsidP="006F1C9E">
      <w:pPr>
        <w:pStyle w:val="Prrafodelista"/>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18EB6640" w14:textId="77777777" w:rsidR="006F1C9E" w:rsidRPr="00DB60C1" w:rsidRDefault="006F1C9E" w:rsidP="006F1C9E">
      <w:pPr>
        <w:spacing w:line="360" w:lineRule="auto"/>
        <w:ind w:left="644" w:right="1"/>
        <w:jc w:val="both"/>
        <w:rPr>
          <w:rFonts w:ascii="Palatino Linotype" w:eastAsia="Palatino Linotype" w:hAnsi="Palatino Linotype" w:cs="Palatino Linotype"/>
        </w:rPr>
      </w:pPr>
    </w:p>
    <w:p w14:paraId="19BE5488" w14:textId="77777777" w:rsidR="006F1C9E" w:rsidRPr="00DB60C1" w:rsidRDefault="006F1C9E" w:rsidP="006F1C9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Así, el derecho de acceso a la información pública se satisface en aquellos casos en que se entregue el soporte documental en que conste la información pública, toda vez que, </w:t>
      </w:r>
      <w:r w:rsidRPr="00DB60C1">
        <w:rPr>
          <w:rFonts w:ascii="Palatino Linotype" w:eastAsia="Palatino Linotype" w:hAnsi="Palatino Linotype" w:cs="Palatino Linotype"/>
        </w:rPr>
        <w:lastRenderedPageBreak/>
        <w:t xml:space="preserve">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35BDB07C" w14:textId="77777777" w:rsidR="006F1C9E" w:rsidRPr="00DB60C1" w:rsidRDefault="006F1C9E" w:rsidP="006F1C9E">
      <w:pPr>
        <w:spacing w:line="360" w:lineRule="auto"/>
        <w:ind w:left="644" w:right="1"/>
        <w:jc w:val="both"/>
        <w:rPr>
          <w:rFonts w:ascii="Palatino Linotype" w:eastAsia="Palatino Linotype" w:hAnsi="Palatino Linotype" w:cs="Palatino Linotype"/>
        </w:rPr>
      </w:pPr>
    </w:p>
    <w:p w14:paraId="49285F09" w14:textId="77777777" w:rsidR="006F1C9E" w:rsidRPr="00DB60C1" w:rsidRDefault="006F1C9E" w:rsidP="006F1C9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2B7E77E3"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Palatino Linotype" w:hAnsi="Palatino Linotype" w:cs="Palatino Linotype"/>
          <w:b/>
          <w:i/>
        </w:rPr>
        <w:t>“No existe obligación de elaborar documentos ad hoc para atender las solicitudes de acceso a la información.</w:t>
      </w:r>
      <w:r w:rsidRPr="00DB60C1">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2DCA0E71"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p>
    <w:p w14:paraId="3B98C9C3"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Palatino Linotype" w:hAnsi="Palatino Linotype" w:cs="Palatino Linotype"/>
          <w:i/>
        </w:rPr>
        <w:t xml:space="preserve">Resoluciones: </w:t>
      </w:r>
    </w:p>
    <w:p w14:paraId="6F8106F8"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Symbol" w:hAnsi="Palatino Linotype" w:cs="Symbol"/>
          <w:i/>
        </w:rPr>
        <w:t>∙</w:t>
      </w:r>
      <w:r w:rsidRPr="00DB60C1">
        <w:rPr>
          <w:rFonts w:ascii="Palatino Linotype" w:eastAsia="Palatino Linotype" w:hAnsi="Palatino Linotype" w:cs="Palatino Linotype"/>
          <w:i/>
        </w:rPr>
        <w:t xml:space="preserve"> RRA 0050/16. Instituto Nacional para la Evaluación de la Educación. 13 julio de 2016. Por unanimidad. Comisionado Ponente: Francisco Javier Acuña Llamas. </w:t>
      </w:r>
    </w:p>
    <w:p w14:paraId="43F53CB9"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Symbol" w:hAnsi="Palatino Linotype" w:cs="Symbol"/>
          <w:i/>
        </w:rPr>
        <w:t>∙</w:t>
      </w:r>
      <w:r w:rsidRPr="00DB60C1">
        <w:rPr>
          <w:rFonts w:ascii="Palatino Linotype" w:eastAsia="Palatino Linotype" w:hAnsi="Palatino Linotype" w:cs="Palatino Linotype"/>
          <w:i/>
        </w:rPr>
        <w:t xml:space="preserve"> RRA 0310/16. Instituto Nacional de Transparencia, Acceso a la Información y Protección de Datos Personales. 10 de agosto de 2016. Por unanimidad. Comisionada Ponente. Areli Cano Guadiana. </w:t>
      </w:r>
    </w:p>
    <w:p w14:paraId="32275CF3"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rPr>
      </w:pPr>
      <w:r w:rsidRPr="00DB60C1">
        <w:rPr>
          <w:rFonts w:ascii="Palatino Linotype" w:eastAsia="Symbol" w:hAnsi="Palatino Linotype" w:cs="Symbol"/>
          <w:i/>
        </w:rPr>
        <w:t>∙</w:t>
      </w:r>
      <w:r w:rsidRPr="00DB60C1">
        <w:rPr>
          <w:rFonts w:ascii="Palatino Linotype" w:eastAsia="Palatino Linotype" w:hAnsi="Palatino Linotype" w:cs="Palatino Linotype"/>
          <w:i/>
        </w:rPr>
        <w:t xml:space="preserve"> RRA 1889/16. Secretaría de Hacienda y Crédito Público. 05 de octubre de 2016. Por unanimidad. Comisionada Ponente. Ximena Puente de la Mora.”</w:t>
      </w:r>
    </w:p>
    <w:p w14:paraId="2B25A4A7" w14:textId="77777777" w:rsidR="006F1C9E" w:rsidRPr="00DB60C1" w:rsidRDefault="006F1C9E" w:rsidP="006F1C9E">
      <w:pPr>
        <w:spacing w:line="360" w:lineRule="auto"/>
        <w:ind w:right="1"/>
        <w:jc w:val="both"/>
        <w:rPr>
          <w:rFonts w:ascii="Palatino Linotype" w:eastAsia="Palatino Linotype" w:hAnsi="Palatino Linotype" w:cs="Palatino Linotype"/>
        </w:rPr>
      </w:pPr>
    </w:p>
    <w:p w14:paraId="5E2A745B" w14:textId="77777777" w:rsidR="006F1C9E" w:rsidRPr="00DB60C1" w:rsidRDefault="006F1C9E" w:rsidP="006F1C9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w:t>
      </w:r>
      <w:r w:rsidRPr="00DB60C1">
        <w:rPr>
          <w:rFonts w:ascii="Palatino Linotype" w:eastAsia="Palatino Linotype" w:hAnsi="Palatino Linotype" w:cs="Palatino Linotype"/>
        </w:rPr>
        <w:lastRenderedPageBreak/>
        <w:t xml:space="preserve">cualquier persona, lo que implica que es deber de los Sujetos Obligados, garantizar el derecho de acceso a la información pública. </w:t>
      </w:r>
    </w:p>
    <w:p w14:paraId="1DBEB129" w14:textId="77777777" w:rsidR="006F1C9E" w:rsidRPr="00DB60C1" w:rsidRDefault="006F1C9E" w:rsidP="006F1C9E">
      <w:pPr>
        <w:spacing w:line="360" w:lineRule="auto"/>
        <w:ind w:left="644" w:right="1"/>
        <w:jc w:val="both"/>
        <w:rPr>
          <w:rFonts w:ascii="Palatino Linotype" w:eastAsia="Palatino Linotype" w:hAnsi="Palatino Linotype" w:cs="Palatino Linotype"/>
        </w:rPr>
      </w:pPr>
    </w:p>
    <w:p w14:paraId="379F2D2A" w14:textId="77777777" w:rsidR="006F1C9E" w:rsidRPr="00DB60C1" w:rsidRDefault="006F1C9E" w:rsidP="006F1C9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709471BB" w14:textId="77777777" w:rsidR="006F1C9E" w:rsidRPr="00DB60C1" w:rsidRDefault="006F1C9E" w:rsidP="006F1C9E">
      <w:pPr>
        <w:spacing w:line="360" w:lineRule="auto"/>
        <w:ind w:right="1"/>
        <w:jc w:val="both"/>
        <w:rPr>
          <w:rFonts w:ascii="Palatino Linotype" w:eastAsia="Palatino Linotype" w:hAnsi="Palatino Linotype" w:cs="Palatino Linotype"/>
        </w:rPr>
      </w:pPr>
    </w:p>
    <w:p w14:paraId="09DC0C19"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Palatino Linotype" w:hAnsi="Palatino Linotype" w:cs="Palatino Linotype"/>
          <w:b/>
          <w:i/>
        </w:rPr>
        <w:t>“Artículo 3.</w:t>
      </w:r>
      <w:r w:rsidRPr="00DB60C1">
        <w:rPr>
          <w:rFonts w:ascii="Palatino Linotype" w:eastAsia="Palatino Linotype" w:hAnsi="Palatino Linotype" w:cs="Palatino Linotype"/>
          <w:i/>
        </w:rPr>
        <w:t xml:space="preserve"> Para los efectos de la presente Ley se entenderá por: </w:t>
      </w:r>
    </w:p>
    <w:p w14:paraId="59C8C39E"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i/>
        </w:rPr>
      </w:pPr>
      <w:r w:rsidRPr="00DB60C1">
        <w:rPr>
          <w:rFonts w:ascii="Palatino Linotype" w:eastAsia="Palatino Linotype" w:hAnsi="Palatino Linotype" w:cs="Palatino Linotype"/>
          <w:i/>
        </w:rPr>
        <w:t xml:space="preserve">(…) </w:t>
      </w:r>
    </w:p>
    <w:p w14:paraId="06056882"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b/>
          <w:i/>
        </w:rPr>
      </w:pPr>
      <w:r w:rsidRPr="00DB60C1">
        <w:rPr>
          <w:rFonts w:ascii="Palatino Linotype" w:eastAsia="Palatino Linotype" w:hAnsi="Palatino Linotype" w:cs="Palatino Linotype"/>
          <w:b/>
          <w:i/>
        </w:rPr>
        <w:t>XI. Documento:</w:t>
      </w:r>
      <w:r w:rsidRPr="00DB60C1">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B60C1">
        <w:rPr>
          <w:rFonts w:ascii="Palatino Linotype" w:eastAsia="Palatino Linotype" w:hAnsi="Palatino Linotype" w:cs="Palatino Linotype"/>
          <w:b/>
          <w:i/>
        </w:rPr>
        <w:t xml:space="preserve">Los documentos podrán estar en cualquier medio, sea escrito, impreso, sonoro, visual, electrónico, informático u holográfico; </w:t>
      </w:r>
    </w:p>
    <w:p w14:paraId="1886EA1E" w14:textId="77777777" w:rsidR="006F1C9E" w:rsidRPr="00DB60C1" w:rsidRDefault="006F1C9E" w:rsidP="006F1C9E">
      <w:pPr>
        <w:tabs>
          <w:tab w:val="left" w:pos="426"/>
          <w:tab w:val="left" w:pos="567"/>
        </w:tabs>
        <w:ind w:left="567" w:right="565"/>
        <w:jc w:val="both"/>
        <w:rPr>
          <w:rFonts w:ascii="Palatino Linotype" w:eastAsia="Palatino Linotype" w:hAnsi="Palatino Linotype" w:cs="Palatino Linotype"/>
        </w:rPr>
      </w:pPr>
      <w:r w:rsidRPr="00DB60C1">
        <w:rPr>
          <w:rFonts w:ascii="Palatino Linotype" w:eastAsia="Palatino Linotype" w:hAnsi="Palatino Linotype" w:cs="Palatino Linotype"/>
          <w:i/>
        </w:rPr>
        <w:t>(…)”</w:t>
      </w:r>
    </w:p>
    <w:p w14:paraId="0AD03ECB" w14:textId="77777777" w:rsidR="006F1C9E" w:rsidRPr="00DB60C1" w:rsidRDefault="006F1C9E" w:rsidP="006F1C9E">
      <w:pPr>
        <w:spacing w:line="360" w:lineRule="auto"/>
        <w:ind w:right="1"/>
        <w:jc w:val="both"/>
        <w:rPr>
          <w:rFonts w:ascii="Palatino Linotype" w:eastAsia="Palatino Linotype" w:hAnsi="Palatino Linotype" w:cs="Palatino Linotype"/>
        </w:rPr>
      </w:pPr>
    </w:p>
    <w:p w14:paraId="7205A691" w14:textId="77777777" w:rsidR="006F1C9E" w:rsidRPr="00DB60C1" w:rsidRDefault="006F1C9E" w:rsidP="006F1C9E">
      <w:pPr>
        <w:numPr>
          <w:ilvl w:val="0"/>
          <w:numId w:val="2"/>
        </w:numPr>
        <w:spacing w:line="360" w:lineRule="auto"/>
        <w:ind w:right="1"/>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Siendo aplicable el Criterio de interpretación en el orden administrativo número 0002- 11, emitido por Acuerdo del Pleno del Instituto de Transparencia y Acceso a la Información Pública del Estado de México y Municipios; publicado en el Periódico Oficial </w:t>
      </w:r>
      <w:r w:rsidRPr="00DB60C1">
        <w:rPr>
          <w:rFonts w:ascii="Palatino Linotype" w:eastAsia="Palatino Linotype" w:hAnsi="Palatino Linotype" w:cs="Palatino Linotype"/>
        </w:rPr>
        <w:lastRenderedPageBreak/>
        <w:t>del Gobierno del Estado Libre y Soberano de México “Gaceta del Gobierno”, el diecinueve de octubre de dos mil once, cuyo rubro y texto dispone:</w:t>
      </w:r>
    </w:p>
    <w:p w14:paraId="5DD40B0D" w14:textId="77777777" w:rsidR="006F1C9E" w:rsidRPr="00DB60C1" w:rsidRDefault="006F1C9E" w:rsidP="006F1C9E">
      <w:pPr>
        <w:tabs>
          <w:tab w:val="left" w:pos="426"/>
          <w:tab w:val="left" w:pos="567"/>
        </w:tabs>
        <w:spacing w:line="360" w:lineRule="auto"/>
        <w:ind w:right="565"/>
        <w:jc w:val="both"/>
        <w:rPr>
          <w:rFonts w:ascii="Palatino Linotype" w:eastAsia="Palatino Linotype" w:hAnsi="Palatino Linotype" w:cs="Palatino Linotype"/>
          <w:i/>
        </w:rPr>
      </w:pPr>
    </w:p>
    <w:p w14:paraId="2AB8CDA9" w14:textId="77777777" w:rsidR="00E40FE1" w:rsidRPr="00DB60C1" w:rsidRDefault="006F1C9E" w:rsidP="006F1C9E">
      <w:pPr>
        <w:ind w:left="567" w:right="567"/>
        <w:jc w:val="both"/>
        <w:rPr>
          <w:rFonts w:ascii="Palatino Linotype" w:eastAsia="Palatino Linotype" w:hAnsi="Palatino Linotype" w:cs="Palatino Linotype"/>
        </w:rPr>
      </w:pPr>
      <w:r w:rsidRPr="00DB60C1">
        <w:rPr>
          <w:rFonts w:ascii="Palatino Linotype" w:eastAsia="Palatino Linotype" w:hAnsi="Palatino Linotype" w:cs="Palatino Linotype"/>
          <w:i/>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0EB6A15E" w14:textId="77777777" w:rsidR="006F1C9E" w:rsidRPr="00DB60C1" w:rsidRDefault="006F1C9E" w:rsidP="006F1C9E">
      <w:pPr>
        <w:ind w:right="567"/>
        <w:jc w:val="both"/>
        <w:rPr>
          <w:rFonts w:ascii="Palatino Linotype" w:eastAsia="Palatino Linotype" w:hAnsi="Palatino Linotype" w:cs="Palatino Linotype"/>
        </w:rPr>
      </w:pPr>
    </w:p>
    <w:p w14:paraId="0F5945E1" w14:textId="77777777" w:rsidR="00E40FE1" w:rsidRPr="00DB60C1" w:rsidRDefault="0010134C">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DB60C1">
        <w:rPr>
          <w:rFonts w:ascii="Palatino Linotype" w:eastAsia="Palatino Linotype" w:hAnsi="Palatino Linotype" w:cs="Palatino Linotype"/>
          <w:b/>
          <w:color w:val="000000"/>
        </w:rPr>
        <w:t>QUINTO. VERSIÓN PÚBLICA.</w:t>
      </w:r>
    </w:p>
    <w:p w14:paraId="6EDA7B16" w14:textId="77777777" w:rsidR="00E40FE1" w:rsidRPr="00DB60C1" w:rsidRDefault="0010134C">
      <w:pPr>
        <w:keepNext/>
        <w:keepLines/>
        <w:numPr>
          <w:ilvl w:val="0"/>
          <w:numId w:val="5"/>
        </w:numPr>
        <w:spacing w:line="360" w:lineRule="auto"/>
        <w:ind w:left="284" w:firstLine="0"/>
        <w:rPr>
          <w:rFonts w:ascii="Palatino Linotype" w:eastAsia="Palatino Linotype" w:hAnsi="Palatino Linotype" w:cs="Palatino Linotype"/>
          <w:b/>
          <w:color w:val="000000"/>
        </w:rPr>
      </w:pPr>
      <w:bookmarkStart w:id="12" w:name="_heading=h.3zdbcjghuwan" w:colFirst="0" w:colLast="0"/>
      <w:bookmarkEnd w:id="12"/>
      <w:r w:rsidRPr="00DB60C1">
        <w:rPr>
          <w:rFonts w:ascii="Palatino Linotype" w:eastAsia="Palatino Linotype" w:hAnsi="Palatino Linotype" w:cs="Palatino Linotype"/>
          <w:b/>
          <w:color w:val="000000"/>
        </w:rPr>
        <w:t xml:space="preserve">Nociones generales. </w:t>
      </w:r>
    </w:p>
    <w:p w14:paraId="4EB0FD97"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Debe destacarse que, debido a la naturaleza de la información solicitada</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eventualmente pudiera obrar datos personales susceptibles de protegerse, el </w:t>
      </w:r>
      <w:r w:rsidRPr="00DB60C1">
        <w:rPr>
          <w:rFonts w:ascii="Palatino Linotype" w:eastAsia="Palatino Linotype" w:hAnsi="Palatino Linotype" w:cs="Palatino Linotype"/>
          <w:b/>
          <w:color w:val="000000"/>
        </w:rPr>
        <w:t xml:space="preserve">Sujeto Obligado </w:t>
      </w:r>
      <w:r w:rsidRPr="00DB60C1">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6FD7AC5"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55BCD80" w14:textId="77777777" w:rsidR="00E40FE1" w:rsidRPr="00DB60C1" w:rsidRDefault="0010134C">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No pasa desapercibido para este Órgano Garante que los Sujetos Obligados</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DB60C1">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14:paraId="5DE7A41B" w14:textId="77777777" w:rsidR="00E40FE1" w:rsidRPr="00DB60C1" w:rsidRDefault="00E40FE1">
      <w:pPr>
        <w:spacing w:line="360" w:lineRule="auto"/>
        <w:ind w:right="49"/>
        <w:jc w:val="both"/>
        <w:rPr>
          <w:rFonts w:ascii="Palatino Linotype" w:eastAsia="Palatino Linotype" w:hAnsi="Palatino Linotype" w:cs="Palatino Linotype"/>
          <w:color w:val="000000"/>
        </w:rPr>
      </w:pPr>
    </w:p>
    <w:tbl>
      <w:tblPr>
        <w:tblStyle w:val="a9"/>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229"/>
      </w:tblGrid>
      <w:tr w:rsidR="00E40FE1" w:rsidRPr="00DB60C1" w14:paraId="54BAE464" w14:textId="77777777" w:rsidTr="00DB6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8F7C59" w14:textId="77777777" w:rsidR="00E40FE1" w:rsidRPr="00DB60C1" w:rsidRDefault="0010134C">
            <w:pPr>
              <w:rPr>
                <w:rFonts w:ascii="Palatino Linotype" w:eastAsia="Palatino Linotype" w:hAnsi="Palatino Linotype" w:cs="Palatino Linotype"/>
                <w:sz w:val="24"/>
                <w:szCs w:val="24"/>
              </w:rPr>
            </w:pPr>
            <w:r w:rsidRPr="00DB60C1">
              <w:rPr>
                <w:rFonts w:ascii="Palatino Linotype" w:eastAsia="Palatino Linotype" w:hAnsi="Palatino Linotype" w:cs="Palatino Linotype"/>
                <w:sz w:val="24"/>
                <w:szCs w:val="24"/>
              </w:rPr>
              <w:t>a) Requisitos previos.</w:t>
            </w:r>
          </w:p>
        </w:tc>
        <w:tc>
          <w:tcPr>
            <w:tcW w:w="7229" w:type="dxa"/>
          </w:tcPr>
          <w:p w14:paraId="0DA22253" w14:textId="77777777" w:rsidR="00E40FE1" w:rsidRPr="00DB60C1" w:rsidRDefault="0010134C">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b w:val="0"/>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200B8247" w14:textId="77777777" w:rsidR="00E40FE1" w:rsidRPr="00DB60C1" w:rsidRDefault="0010134C">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b w:val="0"/>
                <w:color w:val="000000"/>
                <w:sz w:val="24"/>
                <w:szCs w:val="24"/>
              </w:rPr>
              <w:t>Al hacerlo tienen que precisar de qué información se trata, señalando el supuesto de clasificación (confidencialidad o reserva).</w:t>
            </w:r>
          </w:p>
          <w:p w14:paraId="74919324" w14:textId="77777777" w:rsidR="00E40FE1" w:rsidRPr="00DB60C1" w:rsidRDefault="0010134C">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b w:val="0"/>
                <w:color w:val="000000"/>
                <w:sz w:val="24"/>
                <w:szCs w:val="24"/>
              </w:rPr>
              <w:t>Además, se debe señalar el procedimiento, de los tres que establecen los artículos 132 y 106 de la Ley Estatal y General, respectivamente.</w:t>
            </w:r>
          </w:p>
          <w:p w14:paraId="0FC6B282" w14:textId="77777777" w:rsidR="00E40FE1" w:rsidRPr="00DB60C1" w:rsidRDefault="0010134C">
            <w:pPr>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B60C1">
              <w:rPr>
                <w:rFonts w:ascii="Palatino Linotype" w:eastAsia="Palatino Linotype" w:hAnsi="Palatino Linotype" w:cs="Palatino Linotype"/>
                <w:b w:val="0"/>
                <w:color w:val="000000"/>
                <w:sz w:val="24"/>
                <w:szCs w:val="24"/>
              </w:rPr>
              <w:t xml:space="preserve">El último de estos requisitos previos consiste en que no se pueden emitir acuerdos de carácter general ni particular, esto es, </w:t>
            </w:r>
            <w:r w:rsidRPr="00DB60C1">
              <w:rPr>
                <w:rFonts w:ascii="Palatino Linotype" w:eastAsia="Palatino Linotype" w:hAnsi="Palatino Linotype" w:cs="Palatino Linotype"/>
                <w:b w:val="0"/>
                <w:color w:val="000000"/>
                <w:sz w:val="24"/>
                <w:szCs w:val="24"/>
                <w:u w:val="single"/>
              </w:rPr>
              <w:t>no se puede hacer un acuerdo para clasificar de manera general todos los documentos de un expediente o área, sin</w:t>
            </w:r>
            <w:r w:rsidRPr="00DB60C1">
              <w:rPr>
                <w:rFonts w:ascii="Palatino Linotype" w:eastAsia="Palatino Linotype" w:hAnsi="Palatino Linotype" w:cs="Palatino Linotype"/>
                <w:b w:val="0"/>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E40FE1" w:rsidRPr="00DB60C1" w14:paraId="2223890D" w14:textId="77777777" w:rsidTr="00DB6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0D8AEE4" w14:textId="77777777" w:rsidR="00E40FE1" w:rsidRPr="00DB60C1" w:rsidRDefault="0010134C">
            <w:pPr>
              <w:rPr>
                <w:rFonts w:ascii="Palatino Linotype" w:eastAsia="Palatino Linotype" w:hAnsi="Palatino Linotype" w:cs="Palatino Linotype"/>
                <w:sz w:val="24"/>
                <w:szCs w:val="24"/>
              </w:rPr>
            </w:pPr>
            <w:r w:rsidRPr="00DB60C1">
              <w:rPr>
                <w:rFonts w:ascii="Palatino Linotype" w:eastAsia="Palatino Linotype" w:hAnsi="Palatino Linotype" w:cs="Palatino Linotype"/>
                <w:sz w:val="24"/>
                <w:szCs w:val="24"/>
              </w:rPr>
              <w:t>b) Supuestos de clasificación.</w:t>
            </w:r>
          </w:p>
        </w:tc>
        <w:tc>
          <w:tcPr>
            <w:tcW w:w="7229" w:type="dxa"/>
          </w:tcPr>
          <w:p w14:paraId="33BA1D25"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14:paraId="05FCF6C0"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5492E337" w14:textId="77777777" w:rsidR="00E40FE1" w:rsidRPr="00DB60C1" w:rsidRDefault="0010134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B60C1">
              <w:rPr>
                <w:rFonts w:ascii="Palatino Linotype" w:eastAsia="Palatino Linotype" w:hAnsi="Palatino Linotype" w:cs="Palatino Linotype"/>
                <w:color w:val="000000"/>
                <w:sz w:val="24"/>
                <w:szCs w:val="24"/>
              </w:rPr>
              <w:lastRenderedPageBreak/>
              <w:t xml:space="preserve">El </w:t>
            </w:r>
            <w:r w:rsidRPr="00DB60C1">
              <w:rPr>
                <w:rFonts w:ascii="Palatino Linotype" w:eastAsia="Palatino Linotype" w:hAnsi="Palatino Linotype" w:cs="Palatino Linotype"/>
                <w:b/>
                <w:color w:val="000000"/>
                <w:sz w:val="24"/>
                <w:szCs w:val="24"/>
              </w:rPr>
              <w:t>Sujeto Obligado</w:t>
            </w:r>
            <w:r w:rsidRPr="00DB60C1">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40FE1" w:rsidRPr="00DB60C1" w14:paraId="332345A0" w14:textId="77777777" w:rsidTr="00DB60C1">
        <w:tc>
          <w:tcPr>
            <w:cnfStyle w:val="001000000000" w:firstRow="0" w:lastRow="0" w:firstColumn="1" w:lastColumn="0" w:oddVBand="0" w:evenVBand="0" w:oddHBand="0" w:evenHBand="0" w:firstRowFirstColumn="0" w:firstRowLastColumn="0" w:lastRowFirstColumn="0" w:lastRowLastColumn="0"/>
            <w:tcW w:w="2689" w:type="dxa"/>
          </w:tcPr>
          <w:p w14:paraId="484D89EB" w14:textId="77777777" w:rsidR="00E40FE1" w:rsidRPr="00DB60C1" w:rsidRDefault="0010134C">
            <w:pPr>
              <w:rPr>
                <w:rFonts w:ascii="Palatino Linotype" w:eastAsia="Palatino Linotype" w:hAnsi="Palatino Linotype" w:cs="Palatino Linotype"/>
                <w:sz w:val="24"/>
                <w:szCs w:val="24"/>
              </w:rPr>
            </w:pPr>
            <w:r w:rsidRPr="00DB60C1">
              <w:rPr>
                <w:rFonts w:ascii="Palatino Linotype" w:eastAsia="Palatino Linotype" w:hAnsi="Palatino Linotype" w:cs="Palatino Linotype"/>
                <w:sz w:val="24"/>
                <w:szCs w:val="24"/>
              </w:rPr>
              <w:lastRenderedPageBreak/>
              <w:t>c) Formalidades para emitir el acuerdo de clasificación.</w:t>
            </w:r>
          </w:p>
        </w:tc>
        <w:tc>
          <w:tcPr>
            <w:tcW w:w="7229" w:type="dxa"/>
          </w:tcPr>
          <w:p w14:paraId="61B0E02D" w14:textId="77777777" w:rsidR="00E40FE1" w:rsidRPr="00DB60C1" w:rsidRDefault="0010134C">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14:paraId="5994F616" w14:textId="77777777" w:rsidR="00E40FE1" w:rsidRPr="00DB60C1" w:rsidRDefault="0010134C">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Es necesario que </w:t>
            </w:r>
            <w:r w:rsidRPr="00DB60C1">
              <w:rPr>
                <w:rFonts w:ascii="Palatino Linotype" w:eastAsia="Palatino Linotype" w:hAnsi="Palatino Linotype" w:cs="Palatino Linotype"/>
                <w:b/>
                <w:color w:val="000000"/>
                <w:sz w:val="24"/>
                <w:szCs w:val="24"/>
                <w:u w:val="single"/>
              </w:rPr>
              <w:t>el acto reúna con los requisitos elementales</w:t>
            </w:r>
            <w:r w:rsidRPr="00DB60C1">
              <w:rPr>
                <w:rFonts w:ascii="Palatino Linotype" w:eastAsia="Palatino Linotype" w:hAnsi="Palatino Linotype" w:cs="Palatino Linotype"/>
                <w:color w:val="000000"/>
                <w:sz w:val="24"/>
                <w:szCs w:val="24"/>
              </w:rPr>
              <w:t>, entre ellos, que la autoridad que va a emitir el acto de autoridad sea la legalmente facultada para ello.</w:t>
            </w:r>
          </w:p>
          <w:p w14:paraId="42B19EBB" w14:textId="77777777" w:rsidR="00E40FE1" w:rsidRPr="00DB60C1" w:rsidRDefault="0010134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B60C1">
              <w:rPr>
                <w:rFonts w:ascii="Palatino Linotype" w:eastAsia="Palatino Linotype" w:hAnsi="Palatino Linotype" w:cs="Palatino Linotype"/>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40FE1" w:rsidRPr="00DB60C1" w14:paraId="2D9B2D43" w14:textId="77777777" w:rsidTr="00DB6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B32CEDC" w14:textId="77777777" w:rsidR="00E40FE1" w:rsidRPr="00DB60C1" w:rsidRDefault="00E40FE1">
            <w:pPr>
              <w:rPr>
                <w:rFonts w:ascii="Palatino Linotype" w:eastAsia="Palatino Linotype" w:hAnsi="Palatino Linotype" w:cs="Palatino Linotype"/>
                <w:sz w:val="24"/>
                <w:szCs w:val="24"/>
              </w:rPr>
            </w:pPr>
          </w:p>
          <w:p w14:paraId="1736AF8E" w14:textId="77777777" w:rsidR="00E40FE1" w:rsidRPr="00DB60C1" w:rsidRDefault="0010134C">
            <w:pPr>
              <w:jc w:val="both"/>
              <w:rPr>
                <w:rFonts w:ascii="Palatino Linotype" w:eastAsia="Palatino Linotype" w:hAnsi="Palatino Linotype" w:cs="Palatino Linotype"/>
                <w:sz w:val="24"/>
                <w:szCs w:val="24"/>
              </w:rPr>
            </w:pPr>
            <w:r w:rsidRPr="00DB60C1">
              <w:rPr>
                <w:rFonts w:ascii="Palatino Linotype" w:eastAsia="Palatino Linotype" w:hAnsi="Palatino Linotype" w:cs="Palatino Linotype"/>
                <w:color w:val="000000"/>
                <w:sz w:val="24"/>
                <w:szCs w:val="24"/>
              </w:rPr>
              <w:t xml:space="preserve">d) Requisitos de fondo del acuerdo de clasificación. </w:t>
            </w:r>
          </w:p>
        </w:tc>
        <w:tc>
          <w:tcPr>
            <w:tcW w:w="7229" w:type="dxa"/>
          </w:tcPr>
          <w:p w14:paraId="27F9A823"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B60C1">
              <w:rPr>
                <w:rFonts w:ascii="Palatino Linotype" w:eastAsia="Palatino Linotype" w:hAnsi="Palatino Linotype" w:cs="Palatino Linotype"/>
                <w:b/>
                <w:color w:val="000000"/>
                <w:sz w:val="24"/>
                <w:szCs w:val="24"/>
              </w:rPr>
              <w:t>Sujetos Obligados</w:t>
            </w:r>
            <w:r w:rsidRPr="00DB60C1">
              <w:rPr>
                <w:rFonts w:ascii="Palatino Linotype" w:eastAsia="Palatino Linotype" w:hAnsi="Palatino Linotype" w:cs="Palatino Linotype"/>
                <w:color w:val="000000"/>
                <w:sz w:val="24"/>
                <w:szCs w:val="24"/>
              </w:rPr>
              <w:t xml:space="preserve">, por lo que deberán fundar y motivar debidamente la clasificación. </w:t>
            </w:r>
          </w:p>
          <w:p w14:paraId="2FB4207B"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De lo anterior, se desprende que para una correcta </w:t>
            </w:r>
            <w:r w:rsidRPr="00DB60C1">
              <w:rPr>
                <w:rFonts w:ascii="Palatino Linotype" w:eastAsia="Palatino Linotype" w:hAnsi="Palatino Linotype" w:cs="Palatino Linotype"/>
                <w:b/>
                <w:color w:val="000000"/>
                <w:sz w:val="24"/>
                <w:szCs w:val="24"/>
              </w:rPr>
              <w:t>clasificación total o parcial</w:t>
            </w:r>
            <w:r w:rsidRPr="00DB60C1">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2C4ED963"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67F68879"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14:paraId="77DE7E2B" w14:textId="77777777" w:rsidR="00E40FE1" w:rsidRPr="00DB60C1" w:rsidRDefault="0010134C">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Ahora bien, </w:t>
            </w:r>
            <w:r w:rsidRPr="00DB60C1">
              <w:rPr>
                <w:rFonts w:ascii="Palatino Linotype" w:eastAsia="Palatino Linotype" w:hAnsi="Palatino Linotype" w:cs="Palatino Linotype"/>
                <w:b/>
                <w:color w:val="000000"/>
                <w:sz w:val="24"/>
                <w:szCs w:val="24"/>
                <w:u w:val="single"/>
              </w:rPr>
              <w:t>para cada caso además de fundar y motivar</w:t>
            </w:r>
            <w:r w:rsidRPr="00DB60C1">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40FE1" w:rsidRPr="00DB60C1" w14:paraId="44666C46" w14:textId="77777777" w:rsidTr="00DB60C1">
        <w:tc>
          <w:tcPr>
            <w:cnfStyle w:val="001000000000" w:firstRow="0" w:lastRow="0" w:firstColumn="1" w:lastColumn="0" w:oddVBand="0" w:evenVBand="0" w:oddHBand="0" w:evenHBand="0" w:firstRowFirstColumn="0" w:firstRowLastColumn="0" w:lastRowFirstColumn="0" w:lastRowLastColumn="0"/>
            <w:tcW w:w="2689" w:type="dxa"/>
          </w:tcPr>
          <w:p w14:paraId="35241DB6" w14:textId="77777777" w:rsidR="00E40FE1" w:rsidRPr="00DB60C1" w:rsidRDefault="0010134C">
            <w:pPr>
              <w:ind w:right="49"/>
              <w:jc w:val="both"/>
              <w:rPr>
                <w:rFonts w:ascii="Palatino Linotype" w:eastAsia="Palatino Linotype" w:hAnsi="Palatino Linotype" w:cs="Palatino Linotype"/>
                <w:sz w:val="24"/>
                <w:szCs w:val="24"/>
              </w:rPr>
            </w:pPr>
            <w:r w:rsidRPr="00DB60C1">
              <w:rPr>
                <w:rFonts w:ascii="Palatino Linotype" w:eastAsia="Palatino Linotype" w:hAnsi="Palatino Linotype" w:cs="Palatino Linotype"/>
                <w:b w:val="0"/>
                <w:sz w:val="24"/>
                <w:szCs w:val="24"/>
              </w:rPr>
              <w:lastRenderedPageBreak/>
              <w:t>e</w:t>
            </w:r>
            <w:r w:rsidRPr="00DB60C1">
              <w:rPr>
                <w:rFonts w:ascii="Palatino Linotype" w:eastAsia="Palatino Linotype" w:hAnsi="Palatino Linotype" w:cs="Palatino Linotype"/>
                <w:sz w:val="24"/>
                <w:szCs w:val="24"/>
              </w:rPr>
              <w:t xml:space="preserve">) Condiciones especiales de la clasificación de la información como confidencial. </w:t>
            </w:r>
          </w:p>
        </w:tc>
        <w:tc>
          <w:tcPr>
            <w:tcW w:w="7229" w:type="dxa"/>
          </w:tcPr>
          <w:p w14:paraId="459495B3" w14:textId="77777777" w:rsidR="00E40FE1" w:rsidRPr="00DB60C1" w:rsidRDefault="0010134C">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14:paraId="703FD1E9" w14:textId="77777777" w:rsidR="00E40FE1" w:rsidRPr="00DB60C1" w:rsidRDefault="0010134C">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sz w:val="24"/>
                <w:szCs w:val="24"/>
              </w:rPr>
            </w:pPr>
            <w:r w:rsidRPr="00DB60C1">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B64C856" w14:textId="77777777" w:rsidR="00E40FE1" w:rsidRPr="00DB60C1" w:rsidRDefault="0010134C">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B60C1">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8549BE3" w14:textId="77777777" w:rsidR="00E40FE1" w:rsidRDefault="00E40FE1">
      <w:pPr>
        <w:tabs>
          <w:tab w:val="left" w:pos="426"/>
        </w:tabs>
        <w:spacing w:line="360" w:lineRule="auto"/>
        <w:ind w:right="51"/>
        <w:jc w:val="both"/>
        <w:rPr>
          <w:rFonts w:ascii="Palatino Linotype" w:eastAsia="Palatino Linotype" w:hAnsi="Palatino Linotype" w:cs="Palatino Linotype"/>
          <w:b/>
        </w:rPr>
      </w:pPr>
    </w:p>
    <w:p w14:paraId="1717CCCE" w14:textId="77777777" w:rsidR="00DB60C1" w:rsidRPr="00DB60C1" w:rsidRDefault="00DB60C1">
      <w:pPr>
        <w:tabs>
          <w:tab w:val="left" w:pos="426"/>
        </w:tabs>
        <w:spacing w:line="360" w:lineRule="auto"/>
        <w:ind w:right="51"/>
        <w:jc w:val="both"/>
        <w:rPr>
          <w:rFonts w:ascii="Palatino Linotype" w:eastAsia="Palatino Linotype" w:hAnsi="Palatino Linotype" w:cs="Palatino Linotype"/>
          <w:b/>
        </w:rPr>
      </w:pPr>
    </w:p>
    <w:p w14:paraId="50ED20DD" w14:textId="77777777" w:rsidR="006F1C9E" w:rsidRPr="00DB60C1" w:rsidRDefault="0010134C" w:rsidP="006F1C9E">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color w:val="000000"/>
        </w:rPr>
      </w:pPr>
      <w:r w:rsidRPr="00DB60C1">
        <w:rPr>
          <w:rFonts w:ascii="Palatino Linotype" w:eastAsia="Palatino Linotype" w:hAnsi="Palatino Linotype" w:cs="Palatino Linotype"/>
          <w:b/>
          <w:color w:val="000000"/>
        </w:rPr>
        <w:lastRenderedPageBreak/>
        <w:t>Del análisis de los datos</w:t>
      </w:r>
      <w:r w:rsidR="006F1C9E" w:rsidRPr="00DB60C1">
        <w:rPr>
          <w:rFonts w:ascii="Palatino Linotype" w:eastAsia="Palatino Linotype" w:hAnsi="Palatino Linotype" w:cs="Palatino Linotype"/>
          <w:b/>
          <w:color w:val="000000"/>
        </w:rPr>
        <w:t xml:space="preserve"> susceptibles de ser protegidos.</w:t>
      </w:r>
    </w:p>
    <w:p w14:paraId="4C090B44" w14:textId="77777777" w:rsidR="00913AAE" w:rsidRPr="00DB60C1" w:rsidRDefault="006F1C9E" w:rsidP="00913AAE">
      <w:pPr>
        <w:pStyle w:val="Prrafodelista"/>
        <w:numPr>
          <w:ilvl w:val="0"/>
          <w:numId w:val="10"/>
        </w:numPr>
        <w:spacing w:line="360" w:lineRule="auto"/>
        <w:ind w:left="567" w:hanging="141"/>
        <w:jc w:val="both"/>
        <w:rPr>
          <w:rFonts w:ascii="Palatino Linotype" w:eastAsia="Palatino Linotype" w:hAnsi="Palatino Linotype" w:cs="Palatino Linotype"/>
          <w:b/>
          <w:bCs/>
        </w:rPr>
      </w:pPr>
      <w:r w:rsidRPr="00DB60C1">
        <w:rPr>
          <w:rFonts w:ascii="Palatino Linotype" w:eastAsia="Palatino Linotype" w:hAnsi="Palatino Linotype" w:cs="Palatino Linotype"/>
          <w:b/>
          <w:bCs/>
        </w:rPr>
        <w:t>Nombre de proveedores y contratistas</w:t>
      </w:r>
      <w:r w:rsidR="00913AAE" w:rsidRPr="00DB60C1">
        <w:rPr>
          <w:rFonts w:ascii="Palatino Linotype" w:eastAsia="Palatino Linotype" w:hAnsi="Palatino Linotype" w:cs="Palatino Linotype"/>
          <w:b/>
          <w:bCs/>
        </w:rPr>
        <w:t>.</w:t>
      </w:r>
    </w:p>
    <w:p w14:paraId="73A5061F" w14:textId="77777777" w:rsidR="006F1C9E" w:rsidRPr="00DB60C1" w:rsidRDefault="006F1C9E" w:rsidP="00913AAE">
      <w:pPr>
        <w:pStyle w:val="Prrafodelista"/>
        <w:numPr>
          <w:ilvl w:val="0"/>
          <w:numId w:val="2"/>
        </w:numPr>
        <w:spacing w:line="360" w:lineRule="auto"/>
        <w:jc w:val="both"/>
        <w:rPr>
          <w:rFonts w:ascii="Palatino Linotype" w:eastAsia="Palatino Linotype" w:hAnsi="Palatino Linotype" w:cs="Palatino Linotype"/>
          <w:color w:val="000000"/>
        </w:rPr>
      </w:pPr>
      <w:r w:rsidRPr="00DB60C1">
        <w:rPr>
          <w:rFonts w:ascii="Palatino Linotype" w:hAnsi="Palatino Linotype" w:cs="Arial"/>
          <w:color w:val="000000"/>
        </w:rPr>
        <w:t xml:space="preserve">El  nombre de los proveedores y contratistas es de naturaleza pública, al existir la </w:t>
      </w:r>
      <w:r w:rsidRPr="00DB60C1">
        <w:rPr>
          <w:rFonts w:ascii="Palatino Linotype" w:eastAsia="Palatino Linotype" w:hAnsi="Palatino Linotype" w:cs="Palatino Linotype"/>
          <w:color w:val="000000"/>
        </w:rPr>
        <w:t>obligación de difundir toda aquella información relativa a los montos y las personas a quienes entreguen, por cualquier motivo, recursos públicos, así como los informes que dichas personas entreguen sobre el uso y destino de dichos recursos, ello conforme al contenido del penúltimo párrafo del artículo 23 de la Ley de Transparencia y Acceso a la Información Pública del Estado de México y Municipios, como se muestra a continuación:</w:t>
      </w:r>
    </w:p>
    <w:p w14:paraId="1CE8CBC0" w14:textId="77777777" w:rsidR="006F1C9E" w:rsidRPr="00DB60C1" w:rsidRDefault="006F1C9E" w:rsidP="00913AAE">
      <w:pPr>
        <w:spacing w:line="360" w:lineRule="auto"/>
        <w:ind w:right="50"/>
        <w:jc w:val="both"/>
        <w:rPr>
          <w:rFonts w:ascii="Palatino Linotype" w:eastAsia="Palatino Linotype" w:hAnsi="Palatino Linotype" w:cs="Palatino Linotype"/>
          <w:color w:val="000000"/>
        </w:rPr>
      </w:pPr>
    </w:p>
    <w:p w14:paraId="29DD3B39" w14:textId="77777777" w:rsidR="006F1C9E" w:rsidRPr="00DB60C1" w:rsidRDefault="006F1C9E" w:rsidP="00913AAE">
      <w:pPr>
        <w:ind w:left="567" w:right="567"/>
        <w:contextualSpacing/>
        <w:jc w:val="both"/>
        <w:rPr>
          <w:rFonts w:ascii="Palatino Linotype" w:hAnsi="Palatino Linotype"/>
          <w:b/>
          <w:bCs/>
          <w:i/>
          <w:kern w:val="28"/>
        </w:rPr>
      </w:pPr>
      <w:r w:rsidRPr="00DB60C1">
        <w:rPr>
          <w:rFonts w:ascii="Palatino Linotype" w:hAnsi="Palatino Linotype"/>
          <w:i/>
          <w:color w:val="000000"/>
          <w:kern w:val="28"/>
        </w:rPr>
        <w:t>“</w:t>
      </w:r>
      <w:r w:rsidRPr="00DB60C1">
        <w:rPr>
          <w:rFonts w:ascii="Palatino Linotype" w:hAnsi="Palatino Linotype"/>
          <w:b/>
          <w:bCs/>
          <w:i/>
          <w:kern w:val="28"/>
        </w:rPr>
        <w:t>Artículo 23. (…)</w:t>
      </w:r>
    </w:p>
    <w:p w14:paraId="2735D592"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bCs/>
          <w:i/>
          <w:kern w:val="28"/>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r w:rsidRPr="00DB60C1">
        <w:rPr>
          <w:rFonts w:ascii="Palatino Linotype" w:hAnsi="Palatino Linotype"/>
          <w:i/>
          <w:kern w:val="28"/>
        </w:rPr>
        <w:t>.”</w:t>
      </w:r>
    </w:p>
    <w:p w14:paraId="574F100A" w14:textId="77777777" w:rsidR="006F1C9E" w:rsidRPr="00DB60C1" w:rsidRDefault="006F1C9E" w:rsidP="00913AAE">
      <w:pPr>
        <w:spacing w:line="360" w:lineRule="auto"/>
        <w:ind w:right="49"/>
        <w:contextualSpacing/>
        <w:jc w:val="both"/>
        <w:rPr>
          <w:rFonts w:ascii="Palatino Linotype" w:eastAsia="Palatino Linotype" w:hAnsi="Palatino Linotype" w:cs="Arial"/>
          <w:lang w:val="es-ES"/>
        </w:rPr>
      </w:pPr>
    </w:p>
    <w:p w14:paraId="0F272CD9" w14:textId="77777777" w:rsidR="006F1C9E" w:rsidRPr="00DB60C1" w:rsidRDefault="006F1C9E" w:rsidP="00913AAE">
      <w:pPr>
        <w:pStyle w:val="Prrafodelista"/>
        <w:numPr>
          <w:ilvl w:val="0"/>
          <w:numId w:val="2"/>
        </w:numPr>
        <w:spacing w:line="360" w:lineRule="auto"/>
        <w:ind w:right="49"/>
        <w:jc w:val="both"/>
        <w:rPr>
          <w:rFonts w:ascii="Palatino Linotype" w:eastAsia="Palatino Linotype" w:hAnsi="Palatino Linotype" w:cs="Arial"/>
        </w:rPr>
      </w:pPr>
      <w:r w:rsidRPr="00DB60C1">
        <w:rPr>
          <w:rFonts w:ascii="Palatino Linotype" w:eastAsia="Palatino Linotype" w:hAnsi="Palatino Linotype" w:cs="Arial"/>
        </w:rPr>
        <w:t xml:space="preserve">Asimismo, resulta necesario referir que el nombre de proveedores y contratistas, corresponde a información que se encuentra considerada como una de las obligaciones de transparencia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XXXII, dispone lo siguiente: </w:t>
      </w:r>
    </w:p>
    <w:p w14:paraId="6CF032CF" w14:textId="77777777" w:rsidR="006F1C9E" w:rsidRPr="00DB60C1" w:rsidRDefault="006F1C9E" w:rsidP="00913AAE">
      <w:pPr>
        <w:spacing w:line="360" w:lineRule="auto"/>
        <w:ind w:right="49"/>
        <w:contextualSpacing/>
        <w:jc w:val="both"/>
        <w:rPr>
          <w:rFonts w:ascii="Palatino Linotype" w:eastAsia="Palatino Linotype" w:hAnsi="Palatino Linotype" w:cs="Arial"/>
          <w:i/>
        </w:rPr>
      </w:pPr>
    </w:p>
    <w:p w14:paraId="55DA0EF5"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“Artículo 92.</w:t>
      </w:r>
      <w:r w:rsidRPr="00DB60C1">
        <w:rPr>
          <w:rFonts w:ascii="Palatino Linotype" w:hAnsi="Palatino Linotype"/>
          <w:i/>
          <w:kern w:val="28"/>
        </w:rPr>
        <w:t xml:space="preserve"> Los sujetos obligados deberán poner a disposición del público de manera permanente y actualizada de forma sencilla, precisa y entendible, en los respectivos medios electrónicos, de acuerdo con sus facultades, atribuciones, funciones u objeto social, </w:t>
      </w:r>
      <w:r w:rsidRPr="00DB60C1">
        <w:rPr>
          <w:rFonts w:ascii="Palatino Linotype" w:hAnsi="Palatino Linotype"/>
          <w:i/>
          <w:kern w:val="28"/>
        </w:rPr>
        <w:lastRenderedPageBreak/>
        <w:t>según corresponda, la información, por lo menos, de los temas, documentos y políticas que a continuación se señalan:</w:t>
      </w:r>
    </w:p>
    <w:p w14:paraId="297CAC3D"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w:t>
      </w:r>
      <w:r w:rsidRPr="00DB60C1">
        <w:rPr>
          <w:rFonts w:ascii="Palatino Linotype" w:hAnsi="Palatino Linotype"/>
          <w:i/>
          <w:kern w:val="28"/>
        </w:rPr>
        <w:t>)</w:t>
      </w:r>
    </w:p>
    <w:p w14:paraId="2EE874D5"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bCs/>
          <w:i/>
          <w:kern w:val="28"/>
        </w:rPr>
        <w:t>XXXII.</w:t>
      </w:r>
      <w:r w:rsidRPr="00DB60C1">
        <w:rPr>
          <w:rFonts w:ascii="Palatino Linotype" w:hAnsi="Palatino Linotype"/>
          <w:i/>
          <w:kern w:val="28"/>
        </w:rPr>
        <w:t xml:space="preserve"> Las concesiones, </w:t>
      </w:r>
      <w:r w:rsidRPr="00DB60C1">
        <w:rPr>
          <w:rFonts w:ascii="Palatino Linotype" w:hAnsi="Palatino Linotype"/>
          <w:i/>
          <w:kern w:val="28"/>
          <w:u w:val="single"/>
        </w:rPr>
        <w:t>contratos</w:t>
      </w:r>
      <w:r w:rsidRPr="00DB60C1">
        <w:rPr>
          <w:rFonts w:ascii="Palatino Linotype" w:hAnsi="Palatino Linotype"/>
          <w:i/>
          <w:kern w:val="28"/>
        </w:rPr>
        <w:t>,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26D6CC99" w14:textId="77777777" w:rsidR="006F1C9E" w:rsidRPr="00DB60C1" w:rsidRDefault="006F1C9E" w:rsidP="00913AAE">
      <w:pPr>
        <w:spacing w:line="360" w:lineRule="auto"/>
        <w:ind w:right="567"/>
        <w:contextualSpacing/>
        <w:jc w:val="both"/>
        <w:rPr>
          <w:rFonts w:ascii="Palatino Linotype" w:eastAsia="Palatino Linotype" w:hAnsi="Palatino Linotype" w:cs="Palatino Linotype"/>
          <w:i/>
          <w:kern w:val="28"/>
        </w:rPr>
      </w:pPr>
    </w:p>
    <w:p w14:paraId="1973CC6C" w14:textId="77777777" w:rsidR="006F1C9E" w:rsidRPr="00DB60C1" w:rsidRDefault="006F1C9E" w:rsidP="00913AAE">
      <w:pPr>
        <w:pStyle w:val="Prrafodelista"/>
        <w:numPr>
          <w:ilvl w:val="0"/>
          <w:numId w:val="2"/>
        </w:numPr>
        <w:spacing w:line="360" w:lineRule="auto"/>
        <w:jc w:val="both"/>
        <w:rPr>
          <w:rFonts w:ascii="Palatino Linotype" w:eastAsia="Palatino Linotype" w:hAnsi="Palatino Linotype" w:cs="Palatino Linotype"/>
          <w:kern w:val="28"/>
        </w:rPr>
      </w:pPr>
      <w:r w:rsidRPr="00DB60C1">
        <w:rPr>
          <w:rFonts w:ascii="Palatino Linotype" w:eastAsia="Palatino Linotype" w:hAnsi="Palatino Linotype" w:cs="Palatino Linotype"/>
          <w:kern w:val="28"/>
        </w:rPr>
        <w:t xml:space="preserve">Del análisis realizado a las documentales remitidas por el </w:t>
      </w:r>
      <w:r w:rsidRPr="00DB60C1">
        <w:rPr>
          <w:rFonts w:ascii="Palatino Linotype" w:eastAsia="Palatino Linotype" w:hAnsi="Palatino Linotype" w:cs="Palatino Linotype"/>
          <w:b/>
          <w:kern w:val="28"/>
        </w:rPr>
        <w:t xml:space="preserve">SUJETO OBLIGADO </w:t>
      </w:r>
      <w:r w:rsidRPr="00DB60C1">
        <w:rPr>
          <w:rFonts w:ascii="Palatino Linotype" w:eastAsia="Palatino Linotype" w:hAnsi="Palatino Linotype" w:cs="Palatino Linotype"/>
          <w:kern w:val="28"/>
        </w:rPr>
        <w:t xml:space="preserve">se advierte que dejó visible el nombre </w:t>
      </w:r>
      <w:r w:rsidRPr="00DB60C1">
        <w:rPr>
          <w:rFonts w:ascii="Palatino Linotype" w:hAnsi="Palatino Linotype" w:cs="Arial"/>
        </w:rPr>
        <w:t>proveedores</w:t>
      </w:r>
      <w:r w:rsidRPr="00DB60C1">
        <w:rPr>
          <w:rFonts w:ascii="Palatino Linotype" w:eastAsia="Palatino Linotype" w:hAnsi="Palatino Linotype" w:cs="Palatino Linotype"/>
          <w:kern w:val="28"/>
        </w:rPr>
        <w:t xml:space="preserve"> y contratistas.  </w:t>
      </w:r>
    </w:p>
    <w:p w14:paraId="0A75FF9D" w14:textId="77777777" w:rsidR="006F1C9E" w:rsidRPr="00DB60C1" w:rsidRDefault="006F1C9E" w:rsidP="00913AAE">
      <w:pPr>
        <w:spacing w:line="360" w:lineRule="auto"/>
        <w:ind w:right="567"/>
        <w:contextualSpacing/>
        <w:jc w:val="both"/>
        <w:rPr>
          <w:rFonts w:ascii="Palatino Linotype" w:eastAsia="Palatino Linotype" w:hAnsi="Palatino Linotype" w:cs="Palatino Linotype"/>
          <w:kern w:val="28"/>
        </w:rPr>
      </w:pPr>
    </w:p>
    <w:p w14:paraId="6BDBDC3C" w14:textId="77777777" w:rsidR="006F1C9E" w:rsidRPr="00DB60C1" w:rsidRDefault="006F1C9E" w:rsidP="00913AAE">
      <w:pPr>
        <w:numPr>
          <w:ilvl w:val="0"/>
          <w:numId w:val="9"/>
        </w:numPr>
        <w:spacing w:line="360" w:lineRule="auto"/>
        <w:ind w:left="567" w:hanging="141"/>
        <w:contextualSpacing/>
        <w:jc w:val="both"/>
        <w:rPr>
          <w:rFonts w:ascii="Palatino Linotype" w:hAnsi="Palatino Linotype"/>
        </w:rPr>
      </w:pPr>
      <w:r w:rsidRPr="00DB60C1">
        <w:rPr>
          <w:rFonts w:ascii="Palatino Linotype" w:hAnsi="Palatino Linotype" w:cs="Arial"/>
          <w:b/>
        </w:rPr>
        <w:t>Registro Federal de Contribuyentes</w:t>
      </w:r>
      <w:r w:rsidRPr="00DB60C1">
        <w:rPr>
          <w:rFonts w:ascii="Palatino Linotype" w:hAnsi="Palatino Linotype" w:cs="Arial"/>
        </w:rPr>
        <w:t xml:space="preserve"> </w:t>
      </w:r>
      <w:r w:rsidRPr="00DB60C1">
        <w:rPr>
          <w:rFonts w:ascii="Palatino Linotype" w:hAnsi="Palatino Linotype" w:cs="Arial"/>
          <w:b/>
        </w:rPr>
        <w:t>de las personas físicas</w:t>
      </w:r>
      <w:r w:rsidR="00913AAE" w:rsidRPr="00DB60C1">
        <w:rPr>
          <w:rFonts w:ascii="Palatino Linotype" w:hAnsi="Palatino Linotype" w:cs="Arial"/>
          <w:b/>
        </w:rPr>
        <w:t>.</w:t>
      </w:r>
    </w:p>
    <w:p w14:paraId="590F27A9" w14:textId="77777777" w:rsidR="006F1C9E" w:rsidRPr="00DB60C1" w:rsidRDefault="006F1C9E" w:rsidP="00913AAE">
      <w:pPr>
        <w:pStyle w:val="Prrafodelista"/>
        <w:numPr>
          <w:ilvl w:val="0"/>
          <w:numId w:val="2"/>
        </w:numPr>
        <w:spacing w:line="360" w:lineRule="auto"/>
        <w:jc w:val="both"/>
        <w:rPr>
          <w:rFonts w:ascii="Palatino Linotype" w:hAnsi="Palatino Linotype"/>
        </w:rPr>
      </w:pPr>
      <w:r w:rsidRPr="00DB60C1">
        <w:rPr>
          <w:rFonts w:ascii="Palatino Linotype" w:hAnsi="Palatino Linotype" w:cs="Arial"/>
        </w:rPr>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DB60C1">
        <w:rPr>
          <w:rFonts w:ascii="Palatino Linotype" w:eastAsia="Arial Unicode MS" w:hAnsi="Palatino Linotype" w:cs="Arial"/>
          <w:color w:val="000000"/>
        </w:rPr>
        <w:t>seguida</w:t>
      </w:r>
      <w:r w:rsidRPr="00DB60C1">
        <w:rPr>
          <w:rFonts w:ascii="Palatino Linotype" w:hAnsi="Palatino Linotype" w:cs="Arial"/>
        </w:rPr>
        <w:t xml:space="preserve"> de la primera letra del segundo apellido y por último la primera letra del nombre, posterior la fecha de nacimiento año/mes/día</w:t>
      </w:r>
      <w:r w:rsidRPr="00DB60C1">
        <w:rPr>
          <w:rFonts w:ascii="Palatino Linotype" w:hAnsi="Palatino Linotype"/>
        </w:rPr>
        <w:t xml:space="preserve"> y finalmente la </w:t>
      </w:r>
      <w:proofErr w:type="spellStart"/>
      <w:r w:rsidRPr="00DB60C1">
        <w:rPr>
          <w:rFonts w:ascii="Palatino Linotype" w:hAnsi="Palatino Linotype"/>
        </w:rPr>
        <w:t>homoclave</w:t>
      </w:r>
      <w:proofErr w:type="spellEnd"/>
      <w:r w:rsidRPr="00DB60C1">
        <w:rPr>
          <w:rFonts w:ascii="Palatino Linotype" w:hAnsi="Palatino Linotype"/>
        </w:rPr>
        <w:t>; la cual, para su obtención es necesario acreditar personalidad, fecha de nacimiento entre otros con documentos oficiales.</w:t>
      </w:r>
    </w:p>
    <w:p w14:paraId="357173A9" w14:textId="77777777" w:rsidR="006F1C9E" w:rsidRPr="00DB60C1" w:rsidRDefault="006F1C9E" w:rsidP="00913AAE">
      <w:pPr>
        <w:spacing w:line="360" w:lineRule="auto"/>
        <w:jc w:val="both"/>
        <w:rPr>
          <w:rFonts w:ascii="Palatino Linotype" w:hAnsi="Palatino Linotype"/>
        </w:rPr>
      </w:pPr>
    </w:p>
    <w:p w14:paraId="5C6ED822" w14:textId="77777777" w:rsidR="006F1C9E" w:rsidRPr="00DB60C1" w:rsidRDefault="006F1C9E" w:rsidP="00913AAE">
      <w:pPr>
        <w:pStyle w:val="Prrafodelista"/>
        <w:numPr>
          <w:ilvl w:val="0"/>
          <w:numId w:val="2"/>
        </w:numPr>
        <w:spacing w:line="360" w:lineRule="auto"/>
        <w:jc w:val="both"/>
        <w:rPr>
          <w:rFonts w:ascii="Palatino Linotype" w:hAnsi="Palatino Linotype"/>
          <w:b/>
          <w:bCs/>
          <w:color w:val="000000"/>
        </w:rPr>
      </w:pPr>
      <w:r w:rsidRPr="00DB60C1">
        <w:rPr>
          <w:rFonts w:ascii="Palatino Linotype" w:hAnsi="Palatino Linotype" w:cs="Arial"/>
        </w:rPr>
        <w:t xml:space="preserve">Al respecto, </w:t>
      </w:r>
      <w:r w:rsidRPr="00DB60C1">
        <w:rPr>
          <w:rFonts w:ascii="Palatino Linotype" w:hAnsi="Palatino Linotype" w:cs="Arial"/>
          <w:color w:val="000000"/>
        </w:rPr>
        <w:t xml:space="preserve">es aplicable el Criterio 19/17 de la Segunda Época, emitido por </w:t>
      </w:r>
      <w:r w:rsidRPr="00DB60C1">
        <w:rPr>
          <w:rFonts w:ascii="Palatino Linotype" w:eastAsia="Arial Unicode MS" w:hAnsi="Palatino Linotype" w:cs="Arial"/>
          <w:color w:val="000000"/>
        </w:rPr>
        <w:t xml:space="preserve">el Instituto Nacional de </w:t>
      </w:r>
      <w:r w:rsidRPr="00DB60C1">
        <w:rPr>
          <w:rFonts w:ascii="Palatino Linotype" w:hAnsi="Palatino Linotype"/>
          <w:bCs/>
        </w:rPr>
        <w:t>Transparencia</w:t>
      </w:r>
      <w:r w:rsidRPr="00DB60C1">
        <w:rPr>
          <w:rFonts w:ascii="Palatino Linotype" w:eastAsia="Arial Unicode MS" w:hAnsi="Palatino Linotype" w:cs="Arial"/>
          <w:color w:val="000000"/>
        </w:rPr>
        <w:t xml:space="preserve">, Acceso a la </w:t>
      </w:r>
      <w:r w:rsidRPr="00DB60C1">
        <w:rPr>
          <w:rFonts w:ascii="Palatino Linotype" w:hAnsi="Palatino Linotype" w:cs="Arial"/>
        </w:rPr>
        <w:t>Información</w:t>
      </w:r>
      <w:r w:rsidRPr="00DB60C1">
        <w:rPr>
          <w:rFonts w:ascii="Palatino Linotype" w:eastAsia="Arial Unicode MS" w:hAnsi="Palatino Linotype" w:cs="Arial"/>
          <w:color w:val="000000"/>
        </w:rPr>
        <w:t xml:space="preserve"> y Protección de Datos Personales,</w:t>
      </w:r>
      <w:r w:rsidRPr="00DB60C1">
        <w:rPr>
          <w:rFonts w:ascii="Palatino Linotype" w:hAnsi="Palatino Linotype"/>
          <w:bCs/>
          <w:color w:val="000000"/>
        </w:rPr>
        <w:t xml:space="preserve"> que dice:</w:t>
      </w:r>
      <w:r w:rsidRPr="00DB60C1">
        <w:rPr>
          <w:rFonts w:ascii="Palatino Linotype" w:hAnsi="Palatino Linotype"/>
          <w:b/>
          <w:bCs/>
          <w:color w:val="000000"/>
        </w:rPr>
        <w:t xml:space="preserve"> </w:t>
      </w:r>
    </w:p>
    <w:p w14:paraId="236683F8" w14:textId="77777777" w:rsidR="006F1C9E" w:rsidRPr="00DB60C1" w:rsidRDefault="006F1C9E" w:rsidP="00913AAE">
      <w:pPr>
        <w:spacing w:line="360" w:lineRule="auto"/>
        <w:jc w:val="both"/>
        <w:rPr>
          <w:rFonts w:ascii="Palatino Linotype" w:hAnsi="Palatino Linotype"/>
          <w:b/>
          <w:bCs/>
          <w:color w:val="000000"/>
        </w:rPr>
      </w:pPr>
    </w:p>
    <w:p w14:paraId="2EE17EFC"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i/>
          <w:kern w:val="28"/>
        </w:rPr>
        <w:t>“</w:t>
      </w:r>
      <w:r w:rsidRPr="00DB60C1">
        <w:rPr>
          <w:rFonts w:ascii="Palatino Linotype" w:hAnsi="Palatino Linotype"/>
          <w:b/>
          <w:i/>
          <w:kern w:val="28"/>
        </w:rPr>
        <w:t>Registro Federal de Contribuyentes (RFC) de personas físicas.</w:t>
      </w:r>
      <w:r w:rsidRPr="00DB60C1">
        <w:rPr>
          <w:rFonts w:ascii="Palatino Linotype" w:hAnsi="Palatino Linotype"/>
          <w:i/>
          <w:kern w:val="28"/>
        </w:rPr>
        <w:t xml:space="preserve"> El RFC es una clave de carácter fiscal, </w:t>
      </w:r>
      <w:proofErr w:type="gramStart"/>
      <w:r w:rsidRPr="00DB60C1">
        <w:rPr>
          <w:rFonts w:ascii="Palatino Linotype" w:hAnsi="Palatino Linotype"/>
          <w:i/>
          <w:kern w:val="28"/>
        </w:rPr>
        <w:t>única</w:t>
      </w:r>
      <w:proofErr w:type="gramEnd"/>
      <w:r w:rsidRPr="00DB60C1">
        <w:rPr>
          <w:rFonts w:ascii="Palatino Linotype" w:hAnsi="Palatino Linotype"/>
          <w:i/>
          <w:kern w:val="28"/>
        </w:rPr>
        <w:t xml:space="preserve"> e irrepetible, que permite identificar al titular, su edad y fecha de nacimiento, por lo que es un dato personal de carácter confidencial.</w:t>
      </w:r>
    </w:p>
    <w:p w14:paraId="1BD164BD"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i/>
          <w:kern w:val="28"/>
        </w:rPr>
        <w:lastRenderedPageBreak/>
        <w:t xml:space="preserve"> (Énfasis añadido)</w:t>
      </w:r>
    </w:p>
    <w:p w14:paraId="4B125C4F" w14:textId="77777777" w:rsidR="006F1C9E" w:rsidRPr="00DB60C1" w:rsidRDefault="006F1C9E" w:rsidP="00913AAE">
      <w:pPr>
        <w:autoSpaceDE w:val="0"/>
        <w:autoSpaceDN w:val="0"/>
        <w:adjustRightInd w:val="0"/>
        <w:spacing w:line="360" w:lineRule="auto"/>
        <w:ind w:left="851" w:right="899"/>
        <w:jc w:val="both"/>
        <w:rPr>
          <w:rFonts w:ascii="Palatino Linotype" w:hAnsi="Palatino Linotype" w:cs="Arial"/>
        </w:rPr>
      </w:pPr>
    </w:p>
    <w:p w14:paraId="1A6C1EA4" w14:textId="77777777" w:rsidR="006F1C9E" w:rsidRPr="00DB60C1" w:rsidRDefault="006F1C9E" w:rsidP="00913AAE">
      <w:pPr>
        <w:pStyle w:val="Prrafodelista"/>
        <w:numPr>
          <w:ilvl w:val="0"/>
          <w:numId w:val="2"/>
        </w:numPr>
        <w:spacing w:line="360" w:lineRule="auto"/>
        <w:jc w:val="both"/>
        <w:rPr>
          <w:rFonts w:ascii="Palatino Linotype" w:hAnsi="Palatino Linotype" w:cs="Arial"/>
        </w:rPr>
      </w:pPr>
      <w:r w:rsidRPr="00DB60C1">
        <w:rPr>
          <w:rFonts w:ascii="Palatino Linotype" w:hAnsi="Palatino Linotype" w:cs="Arial"/>
        </w:rPr>
        <w:t xml:space="preserve">De lo anterior, se desprende que el Registro Federal de Contribuyentes se vincula al nombre de su </w:t>
      </w:r>
      <w:r w:rsidRPr="00DB60C1">
        <w:rPr>
          <w:rFonts w:ascii="Palatino Linotype" w:hAnsi="Palatino Linotype"/>
          <w:bCs/>
        </w:rPr>
        <w:t>titular</w:t>
      </w:r>
      <w:r w:rsidRPr="00DB60C1">
        <w:rPr>
          <w:rFonts w:ascii="Palatino Linotype" w:hAnsi="Palatino Linotype" w:cs="Arial"/>
        </w:rPr>
        <w:t xml:space="preserve">,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DB60C1">
        <w:rPr>
          <w:rFonts w:ascii="Palatino Linotype" w:hAnsi="Palatino Linotype"/>
        </w:rPr>
        <w:t>Municipios</w:t>
      </w:r>
      <w:r w:rsidRPr="00DB60C1">
        <w:rPr>
          <w:rFonts w:ascii="Palatino Linotype" w:hAnsi="Palatino Linotype" w:cs="Arial"/>
        </w:rPr>
        <w:t xml:space="preserve"> y 4 fracción XI de la Ley de Protección de Datos Personales en Posesión de Sujetos Obligados del Estado de México y Municipios.</w:t>
      </w:r>
    </w:p>
    <w:p w14:paraId="40E0282F" w14:textId="77777777" w:rsidR="006F1C9E" w:rsidRPr="00DB60C1" w:rsidRDefault="006F1C9E" w:rsidP="00913AAE">
      <w:pPr>
        <w:spacing w:line="360" w:lineRule="auto"/>
        <w:jc w:val="both"/>
        <w:rPr>
          <w:rFonts w:ascii="Palatino Linotype" w:hAnsi="Palatino Linotype" w:cs="Tahoma"/>
        </w:rPr>
      </w:pPr>
    </w:p>
    <w:p w14:paraId="72726C29" w14:textId="77777777" w:rsidR="006F1C9E" w:rsidRPr="00DB60C1" w:rsidRDefault="006F1C9E" w:rsidP="00913AAE">
      <w:pPr>
        <w:pStyle w:val="Prrafodelista"/>
        <w:numPr>
          <w:ilvl w:val="0"/>
          <w:numId w:val="10"/>
        </w:numPr>
        <w:spacing w:line="360" w:lineRule="auto"/>
        <w:ind w:left="567" w:hanging="141"/>
        <w:jc w:val="both"/>
        <w:rPr>
          <w:rFonts w:ascii="Palatino Linotype" w:eastAsia="Palatino Linotype" w:hAnsi="Palatino Linotype" w:cs="Palatino Linotype"/>
          <w:b/>
          <w:bCs/>
        </w:rPr>
      </w:pPr>
      <w:r w:rsidRPr="00DB60C1">
        <w:rPr>
          <w:rFonts w:ascii="Palatino Linotype" w:eastAsia="Palatino Linotype" w:hAnsi="Palatino Linotype" w:cs="Palatino Linotype"/>
          <w:b/>
          <w:bCs/>
        </w:rPr>
        <w:t xml:space="preserve">Nombre y RFC de personas a las que se les depositó montos por concepto de pensión alimenticia. </w:t>
      </w:r>
    </w:p>
    <w:p w14:paraId="31EAAFB2" w14:textId="77777777" w:rsidR="006F1C9E" w:rsidRPr="00DB60C1" w:rsidRDefault="006F1C9E" w:rsidP="00913AAE">
      <w:pPr>
        <w:pStyle w:val="Prrafodelista"/>
        <w:numPr>
          <w:ilvl w:val="0"/>
          <w:numId w:val="2"/>
        </w:numPr>
        <w:spacing w:line="360" w:lineRule="auto"/>
        <w:jc w:val="both"/>
        <w:rPr>
          <w:rFonts w:ascii="Palatino Linotype" w:eastAsia="Palatino Linotype" w:hAnsi="Palatino Linotype" w:cs="Palatino Linotype"/>
          <w:b/>
        </w:rPr>
      </w:pPr>
      <w:r w:rsidRPr="00DB60C1">
        <w:rPr>
          <w:rFonts w:ascii="Palatino Linotype" w:eastAsia="Palatino Linotype" w:hAnsi="Palatino Linotype" w:cs="Palatino Linotype"/>
          <w:color w:val="000000"/>
        </w:rPr>
        <w:t>Al corresponder el monto depositado a descuentos realizados a los trabajadores, corresponde a información confidencial; por lo que se a</w:t>
      </w:r>
      <w:r w:rsidRPr="00DB60C1">
        <w:rPr>
          <w:rFonts w:ascii="Palatino Linotype" w:eastAsia="Palatino Linotype" w:hAnsi="Palatino Linotype" w:cs="Palatino Linotype"/>
        </w:rPr>
        <w:t>ctualiza el supuesto previsto en el artículo 143 de la Ley en la materia</w:t>
      </w:r>
      <w:r w:rsidRPr="00DB60C1">
        <w:rPr>
          <w:rFonts w:ascii="Palatino Linotype" w:eastAsia="Palatino Linotype" w:hAnsi="Palatino Linotype" w:cs="Palatino Linotype"/>
          <w:b/>
        </w:rPr>
        <w:t xml:space="preserve">. </w:t>
      </w:r>
    </w:p>
    <w:p w14:paraId="13630A25" w14:textId="77777777" w:rsidR="006F1C9E" w:rsidRPr="00DB60C1" w:rsidRDefault="006F1C9E" w:rsidP="00913AAE">
      <w:pPr>
        <w:spacing w:line="360" w:lineRule="auto"/>
        <w:jc w:val="both"/>
        <w:rPr>
          <w:rFonts w:ascii="Palatino Linotype" w:hAnsi="Palatino Linotype" w:cs="Arial"/>
        </w:rPr>
      </w:pPr>
    </w:p>
    <w:p w14:paraId="5988F60C" w14:textId="77777777" w:rsidR="006F1C9E" w:rsidRPr="00DB60C1" w:rsidRDefault="006F1C9E" w:rsidP="00913AAE">
      <w:pPr>
        <w:numPr>
          <w:ilvl w:val="0"/>
          <w:numId w:val="11"/>
        </w:numPr>
        <w:autoSpaceDE w:val="0"/>
        <w:autoSpaceDN w:val="0"/>
        <w:adjustRightInd w:val="0"/>
        <w:spacing w:after="160" w:line="360" w:lineRule="auto"/>
        <w:ind w:left="567" w:hanging="141"/>
        <w:contextualSpacing/>
        <w:jc w:val="both"/>
        <w:rPr>
          <w:rFonts w:ascii="Palatino Linotype" w:hAnsi="Palatino Linotype"/>
          <w:b/>
        </w:rPr>
      </w:pPr>
      <w:r w:rsidRPr="00DB60C1">
        <w:rPr>
          <w:rFonts w:ascii="Palatino Linotype" w:hAnsi="Palatino Linotype"/>
          <w:b/>
        </w:rPr>
        <w:t xml:space="preserve">Cuentas bancarias de particulares </w:t>
      </w:r>
    </w:p>
    <w:p w14:paraId="1040498E" w14:textId="77777777" w:rsidR="006F1C9E" w:rsidRPr="00DB60C1" w:rsidRDefault="006F1C9E" w:rsidP="00913AAE">
      <w:pPr>
        <w:pStyle w:val="Prrafodelista"/>
        <w:numPr>
          <w:ilvl w:val="0"/>
          <w:numId w:val="2"/>
        </w:numPr>
        <w:spacing w:line="360" w:lineRule="auto"/>
        <w:jc w:val="both"/>
        <w:rPr>
          <w:rFonts w:ascii="Palatino Linotype" w:hAnsi="Palatino Linotype"/>
        </w:rPr>
      </w:pPr>
      <w:r w:rsidRPr="00DB60C1">
        <w:rPr>
          <w:rFonts w:ascii="Palatino Linotype" w:hAnsi="Palatino Linotype" w:cs="Arial"/>
        </w:rPr>
        <w:t xml:space="preserve">Es importante señalar que </w:t>
      </w:r>
      <w:r w:rsidRPr="00DB60C1">
        <w:rPr>
          <w:rFonts w:ascii="Palatino Linotype" w:hAnsi="Palatino Linotype"/>
        </w:rPr>
        <w:t xml:space="preserve">por cuanto hace al </w:t>
      </w:r>
      <w:r w:rsidRPr="00DB60C1">
        <w:rPr>
          <w:rFonts w:ascii="Palatino Linotype" w:hAnsi="Palatino Linotype"/>
          <w:b/>
          <w:bCs/>
        </w:rPr>
        <w:t>número de cuenta bancaria</w:t>
      </w:r>
      <w:r w:rsidRPr="00DB60C1">
        <w:rPr>
          <w:rFonts w:ascii="Palatino Linotype" w:hAnsi="Palatino Linotype"/>
        </w:rPr>
        <w:t xml:space="preserve"> </w:t>
      </w:r>
      <w:r w:rsidRPr="00DB60C1">
        <w:rPr>
          <w:rFonts w:ascii="Palatino Linotype" w:hAnsi="Palatino Linotype"/>
          <w:b/>
          <w:bCs/>
        </w:rPr>
        <w:t>de los particulares</w:t>
      </w:r>
      <w:r w:rsidRPr="00DB60C1">
        <w:rPr>
          <w:rFonts w:ascii="Palatino Linotype" w:hAnsi="Palatino Linotype"/>
        </w:rPr>
        <w:t xml:space="preserve"> debe ser clasificado como confidencial con fundamento en las fracciones I y II del artículo 143 de la Ley de la Materia de la Entidad; en razón de que, con su difusión se estaría poniendo en riesgo la seguridad de su titular.</w:t>
      </w:r>
    </w:p>
    <w:p w14:paraId="0D529173" w14:textId="77777777" w:rsidR="006F1C9E" w:rsidRPr="00DB60C1" w:rsidRDefault="006F1C9E" w:rsidP="00913AAE">
      <w:pPr>
        <w:autoSpaceDE w:val="0"/>
        <w:autoSpaceDN w:val="0"/>
        <w:adjustRightInd w:val="0"/>
        <w:spacing w:line="360" w:lineRule="auto"/>
        <w:ind w:right="50"/>
        <w:jc w:val="both"/>
        <w:rPr>
          <w:rFonts w:ascii="Palatino Linotype" w:hAnsi="Palatino Linotype"/>
        </w:rPr>
      </w:pPr>
    </w:p>
    <w:p w14:paraId="33A2997B" w14:textId="77777777" w:rsidR="00913AAE" w:rsidRPr="00DB60C1" w:rsidRDefault="006F1C9E" w:rsidP="00913AAE">
      <w:pPr>
        <w:pStyle w:val="Prrafodelista"/>
        <w:numPr>
          <w:ilvl w:val="0"/>
          <w:numId w:val="2"/>
        </w:numPr>
        <w:autoSpaceDE w:val="0"/>
        <w:autoSpaceDN w:val="0"/>
        <w:adjustRightInd w:val="0"/>
        <w:spacing w:line="360" w:lineRule="auto"/>
        <w:ind w:right="51"/>
        <w:jc w:val="both"/>
        <w:rPr>
          <w:rFonts w:ascii="Palatino Linotype" w:hAnsi="Palatino Linotype"/>
        </w:rPr>
      </w:pPr>
      <w:r w:rsidRPr="00DB60C1">
        <w:rPr>
          <w:rFonts w:ascii="Palatino Linotype" w:hAnsi="Palatino Linotype"/>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FE6E011" w14:textId="77777777" w:rsidR="00913AAE" w:rsidRPr="00DB60C1" w:rsidRDefault="00913AAE" w:rsidP="00913AAE">
      <w:pPr>
        <w:pStyle w:val="Prrafodelista"/>
        <w:autoSpaceDE w:val="0"/>
        <w:autoSpaceDN w:val="0"/>
        <w:adjustRightInd w:val="0"/>
        <w:spacing w:line="360" w:lineRule="auto"/>
        <w:ind w:left="0" w:right="51"/>
        <w:jc w:val="both"/>
        <w:rPr>
          <w:rFonts w:ascii="Palatino Linotype" w:hAnsi="Palatino Linotype"/>
        </w:rPr>
      </w:pPr>
    </w:p>
    <w:p w14:paraId="572EEAF4" w14:textId="77777777" w:rsidR="006F1C9E" w:rsidRPr="00DB60C1" w:rsidRDefault="006F1C9E" w:rsidP="00913AAE">
      <w:pPr>
        <w:pStyle w:val="Prrafodelista"/>
        <w:numPr>
          <w:ilvl w:val="0"/>
          <w:numId w:val="2"/>
        </w:numPr>
        <w:autoSpaceDE w:val="0"/>
        <w:autoSpaceDN w:val="0"/>
        <w:adjustRightInd w:val="0"/>
        <w:spacing w:line="360" w:lineRule="auto"/>
        <w:ind w:right="50"/>
        <w:jc w:val="both"/>
        <w:rPr>
          <w:rFonts w:ascii="Palatino Linotype" w:hAnsi="Palatino Linotype"/>
        </w:rPr>
      </w:pPr>
      <w:r w:rsidRPr="00DB60C1">
        <w:rPr>
          <w:rFonts w:ascii="Palatino Linotype" w:hAnsi="Palatino Linotype"/>
        </w:rPr>
        <w:t>Lo anterior encuentra sustento en el criterio 10/17 emitido por el Instituto Nacional de Transparencia y Acceso a la Información Pública del Estado de México y Municipios, que a la letra dicen:</w:t>
      </w:r>
    </w:p>
    <w:p w14:paraId="3DF8795E" w14:textId="77777777" w:rsidR="006F1C9E" w:rsidRPr="00DB60C1" w:rsidRDefault="006F1C9E" w:rsidP="00913AAE">
      <w:pPr>
        <w:autoSpaceDE w:val="0"/>
        <w:autoSpaceDN w:val="0"/>
        <w:adjustRightInd w:val="0"/>
        <w:spacing w:line="360" w:lineRule="auto"/>
        <w:ind w:right="50"/>
        <w:jc w:val="both"/>
        <w:rPr>
          <w:rFonts w:ascii="Palatino Linotype" w:hAnsi="Palatino Linotype"/>
        </w:rPr>
      </w:pPr>
    </w:p>
    <w:p w14:paraId="0054E61E"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“Cuentas bancarias y/o CLABE interbancaria de personas físicas y morales privadas.</w:t>
      </w:r>
      <w:r w:rsidRPr="00DB60C1">
        <w:rPr>
          <w:rFonts w:ascii="Palatino Linotype" w:hAnsi="Palatino Linotype"/>
          <w:i/>
          <w:kern w:val="28"/>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40CADA4" w14:textId="77777777" w:rsidR="006F1C9E" w:rsidRPr="00DB60C1" w:rsidRDefault="006F1C9E" w:rsidP="00913AAE">
      <w:pPr>
        <w:ind w:left="567" w:right="567"/>
        <w:contextualSpacing/>
        <w:jc w:val="both"/>
        <w:rPr>
          <w:rFonts w:ascii="Palatino Linotype" w:hAnsi="Palatino Linotype"/>
          <w:i/>
          <w:kern w:val="28"/>
        </w:rPr>
      </w:pPr>
    </w:p>
    <w:p w14:paraId="056E54E2" w14:textId="77777777" w:rsidR="006F1C9E" w:rsidRPr="00DB60C1" w:rsidRDefault="006F1C9E" w:rsidP="00913AAE">
      <w:pPr>
        <w:ind w:left="567" w:right="567"/>
        <w:contextualSpacing/>
        <w:jc w:val="both"/>
        <w:rPr>
          <w:rFonts w:ascii="Palatino Linotype" w:hAnsi="Palatino Linotype"/>
          <w:b/>
          <w:bCs/>
          <w:i/>
          <w:kern w:val="28"/>
        </w:rPr>
      </w:pPr>
      <w:r w:rsidRPr="00DB60C1">
        <w:rPr>
          <w:rFonts w:ascii="Palatino Linotype" w:hAnsi="Palatino Linotype"/>
          <w:b/>
          <w:bCs/>
          <w:i/>
          <w:kern w:val="28"/>
        </w:rPr>
        <w:t xml:space="preserve"> Resoluciones: </w:t>
      </w:r>
    </w:p>
    <w:p w14:paraId="74BB1DF7"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bCs/>
          <w:i/>
          <w:kern w:val="28"/>
        </w:rPr>
        <w:t xml:space="preserve">RRA 1276/16 </w:t>
      </w:r>
      <w:r w:rsidRPr="00DB60C1">
        <w:rPr>
          <w:rFonts w:ascii="Palatino Linotype" w:hAnsi="Palatino Linotype"/>
          <w:i/>
          <w:kern w:val="28"/>
        </w:rPr>
        <w:t xml:space="preserve">Grupo Aeroportuario de la Ciudad de México. S.A. de C.V. 01 de noviembre de 2016. Por unanimidad. Comisionada Ponente Areli Cano Guadiana. </w:t>
      </w:r>
    </w:p>
    <w:p w14:paraId="497991F4"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bCs/>
          <w:i/>
          <w:kern w:val="28"/>
        </w:rPr>
        <w:t>RRA 3527/16</w:t>
      </w:r>
      <w:r w:rsidRPr="00DB60C1">
        <w:rPr>
          <w:rFonts w:ascii="Palatino Linotype" w:hAnsi="Palatino Linotype"/>
          <w:i/>
          <w:kern w:val="28"/>
        </w:rPr>
        <w:t xml:space="preserve"> Servicio de Administración Tributaria. 07 de diciembre de 2016. Por unanimidad. Comisionada Ponente Ximena Puente de la Mora. </w:t>
      </w:r>
    </w:p>
    <w:p w14:paraId="57E115FB"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bCs/>
          <w:i/>
          <w:kern w:val="28"/>
        </w:rPr>
        <w:t>RRA 4404/16</w:t>
      </w:r>
      <w:r w:rsidRPr="00DB60C1">
        <w:rPr>
          <w:rFonts w:ascii="Palatino Linotype" w:hAnsi="Palatino Linotype"/>
          <w:i/>
          <w:kern w:val="28"/>
        </w:rPr>
        <w:t xml:space="preserve"> Partido del Trabajo. 01 de febrero de 2017. Por unanimidad. Comisionado Ponente Francisco Acuña Llamas.”</w:t>
      </w:r>
    </w:p>
    <w:p w14:paraId="71151DF0" w14:textId="77777777" w:rsidR="006F1C9E" w:rsidRPr="00DB60C1" w:rsidRDefault="006F1C9E" w:rsidP="00913AAE">
      <w:pPr>
        <w:autoSpaceDE w:val="0"/>
        <w:autoSpaceDN w:val="0"/>
        <w:adjustRightInd w:val="0"/>
        <w:spacing w:line="360" w:lineRule="auto"/>
        <w:ind w:left="851" w:right="899"/>
        <w:jc w:val="both"/>
        <w:rPr>
          <w:rFonts w:ascii="Palatino Linotype" w:hAnsi="Palatino Linotype"/>
          <w:b/>
          <w:i/>
        </w:rPr>
      </w:pPr>
    </w:p>
    <w:p w14:paraId="522A85A2" w14:textId="77777777" w:rsidR="006F1C9E" w:rsidRPr="00DB60C1" w:rsidRDefault="006F1C9E" w:rsidP="00913AAE">
      <w:pPr>
        <w:numPr>
          <w:ilvl w:val="0"/>
          <w:numId w:val="11"/>
        </w:numPr>
        <w:autoSpaceDE w:val="0"/>
        <w:autoSpaceDN w:val="0"/>
        <w:adjustRightInd w:val="0"/>
        <w:spacing w:after="160" w:line="360" w:lineRule="auto"/>
        <w:ind w:left="567" w:right="50" w:hanging="141"/>
        <w:contextualSpacing/>
        <w:jc w:val="both"/>
        <w:rPr>
          <w:rFonts w:ascii="Palatino Linotype" w:hAnsi="Palatino Linotype"/>
          <w:b/>
        </w:rPr>
      </w:pPr>
      <w:r w:rsidRPr="00DB60C1">
        <w:rPr>
          <w:rFonts w:ascii="Palatino Linotype" w:hAnsi="Palatino Linotype"/>
          <w:b/>
        </w:rPr>
        <w:lastRenderedPageBreak/>
        <w:t>Cuentas bancarias de los Sujetos Obligados</w:t>
      </w:r>
    </w:p>
    <w:p w14:paraId="44558506" w14:textId="77777777" w:rsidR="006F1C9E" w:rsidRPr="00DB60C1" w:rsidRDefault="006F1C9E" w:rsidP="00913AAE">
      <w:pPr>
        <w:pStyle w:val="Prrafodelista"/>
        <w:numPr>
          <w:ilvl w:val="0"/>
          <w:numId w:val="2"/>
        </w:numPr>
        <w:autoSpaceDE w:val="0"/>
        <w:autoSpaceDN w:val="0"/>
        <w:adjustRightInd w:val="0"/>
        <w:spacing w:line="360" w:lineRule="auto"/>
        <w:ind w:right="50"/>
        <w:jc w:val="both"/>
        <w:rPr>
          <w:rFonts w:ascii="Palatino Linotype" w:hAnsi="Palatino Linotype"/>
        </w:rPr>
      </w:pPr>
      <w:r w:rsidRPr="00DB60C1">
        <w:rPr>
          <w:rFonts w:ascii="Palatino Linotype" w:hAnsi="Palatino Linotype"/>
        </w:rPr>
        <w:t xml:space="preserve">Por cuanto hace a las </w:t>
      </w:r>
      <w:r w:rsidRPr="00DB60C1">
        <w:rPr>
          <w:rFonts w:ascii="Palatino Linotype" w:hAnsi="Palatino Linotype"/>
          <w:b/>
          <w:bCs/>
        </w:rPr>
        <w:t>cuentas bancarias de los Sujetos obligados</w:t>
      </w:r>
      <w:r w:rsidRPr="00DB60C1">
        <w:rPr>
          <w:rFonts w:ascii="Palatino Linotype" w:hAnsi="Palatino Linotype"/>
        </w:rPr>
        <w:t>,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1FDD039C" w14:textId="77777777" w:rsidR="006F1C9E" w:rsidRPr="00DB60C1" w:rsidRDefault="006F1C9E" w:rsidP="00913AAE">
      <w:pPr>
        <w:autoSpaceDE w:val="0"/>
        <w:autoSpaceDN w:val="0"/>
        <w:adjustRightInd w:val="0"/>
        <w:spacing w:line="360" w:lineRule="auto"/>
        <w:ind w:right="50"/>
        <w:jc w:val="both"/>
        <w:rPr>
          <w:rFonts w:ascii="Palatino Linotype" w:hAnsi="Palatino Linotype"/>
        </w:rPr>
      </w:pPr>
    </w:p>
    <w:p w14:paraId="7CE035A2"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i/>
          <w:kern w:val="28"/>
        </w:rPr>
        <w:t>“</w:t>
      </w:r>
      <w:r w:rsidRPr="00DB60C1">
        <w:rPr>
          <w:rFonts w:ascii="Palatino Linotype" w:hAnsi="Palatino Linotype"/>
          <w:b/>
          <w:bCs/>
          <w:i/>
          <w:kern w:val="28"/>
        </w:rPr>
        <w:t>Cuentas bancarias y/o CLABE interbancaria de sujetos obligados que reciben y/o transfieren recursos públicos, son información pública</w:t>
      </w:r>
      <w:r w:rsidRPr="00DB60C1">
        <w:rPr>
          <w:rFonts w:ascii="Palatino Linotype" w:hAnsi="Palatino Linotype"/>
          <w:i/>
          <w:kern w:val="28"/>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4076905F" w14:textId="77777777" w:rsidR="006F1C9E" w:rsidRPr="00DB60C1" w:rsidRDefault="006F1C9E" w:rsidP="00913AAE">
      <w:pPr>
        <w:ind w:left="567" w:right="567"/>
        <w:contextualSpacing/>
        <w:jc w:val="both"/>
        <w:rPr>
          <w:rFonts w:ascii="Palatino Linotype" w:hAnsi="Palatino Linotype"/>
          <w:i/>
          <w:kern w:val="28"/>
        </w:rPr>
      </w:pPr>
    </w:p>
    <w:p w14:paraId="1F8D648E" w14:textId="77777777" w:rsidR="006F1C9E" w:rsidRPr="00DB60C1" w:rsidRDefault="006F1C9E" w:rsidP="00913AAE">
      <w:pPr>
        <w:ind w:left="567" w:right="567"/>
        <w:contextualSpacing/>
        <w:jc w:val="both"/>
        <w:rPr>
          <w:rFonts w:ascii="Palatino Linotype" w:hAnsi="Palatino Linotype"/>
          <w:b/>
          <w:i/>
          <w:kern w:val="28"/>
        </w:rPr>
      </w:pPr>
      <w:r w:rsidRPr="00DB60C1">
        <w:rPr>
          <w:rFonts w:ascii="Palatino Linotype" w:hAnsi="Palatino Linotype"/>
          <w:b/>
          <w:i/>
          <w:kern w:val="28"/>
        </w:rPr>
        <w:t xml:space="preserve"> Resoluciones: </w:t>
      </w:r>
    </w:p>
    <w:p w14:paraId="0E575F79"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RRA 0448/16.</w:t>
      </w:r>
      <w:r w:rsidRPr="00DB60C1">
        <w:rPr>
          <w:rFonts w:ascii="Palatino Linotype" w:hAnsi="Palatino Linotype"/>
          <w:i/>
          <w:kern w:val="28"/>
        </w:rPr>
        <w:t xml:space="preserve"> NOTIMEX, Agencia de Noticias del Estado Mexicano. 24 de agosto de 2016. Por unanimidad. Comisionado Ponente Joel Salas Suárez. </w:t>
      </w:r>
    </w:p>
    <w:p w14:paraId="48F66E29"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RRA 2787/16.</w:t>
      </w:r>
      <w:r w:rsidRPr="00DB60C1">
        <w:rPr>
          <w:rFonts w:ascii="Palatino Linotype" w:hAnsi="Palatino Linotype"/>
          <w:i/>
          <w:kern w:val="28"/>
        </w:rPr>
        <w:t xml:space="preserve"> Colegio de Postgraduados. 01 de noviembre de 2016. Por unanimidad. Comisionado Ponente Francisco Javier Acuña Llamas. </w:t>
      </w:r>
    </w:p>
    <w:p w14:paraId="30ED067E" w14:textId="77777777" w:rsidR="006F1C9E" w:rsidRPr="00DB60C1" w:rsidRDefault="006F1C9E" w:rsidP="00913AAE">
      <w:pPr>
        <w:ind w:left="567" w:right="567"/>
        <w:contextualSpacing/>
        <w:jc w:val="both"/>
        <w:rPr>
          <w:rFonts w:ascii="Palatino Linotype" w:hAnsi="Palatino Linotype"/>
          <w:i/>
          <w:kern w:val="28"/>
        </w:rPr>
      </w:pPr>
      <w:r w:rsidRPr="00DB60C1">
        <w:rPr>
          <w:rFonts w:ascii="Palatino Linotype" w:hAnsi="Palatino Linotype"/>
          <w:b/>
          <w:i/>
          <w:kern w:val="28"/>
        </w:rPr>
        <w:t>RRA 4756/16.</w:t>
      </w:r>
      <w:r w:rsidRPr="00DB60C1">
        <w:rPr>
          <w:rFonts w:ascii="Palatino Linotype" w:hAnsi="Palatino Linotype"/>
          <w:i/>
          <w:kern w:val="28"/>
        </w:rPr>
        <w:t xml:space="preserve"> Instituto Mexicano del Seguro Social. 08 de febrero de 2017. Por unanimidad. Comisionado Ponente Oscar Mauricio Guerra Ford. “</w:t>
      </w:r>
    </w:p>
    <w:p w14:paraId="101EE352" w14:textId="77777777" w:rsidR="00E40FE1" w:rsidRPr="00DB60C1" w:rsidRDefault="00E40FE1" w:rsidP="00913AAE">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0C038893" w14:textId="77777777" w:rsidR="00E40FE1" w:rsidRPr="00DB60C1" w:rsidRDefault="0010134C" w:rsidP="00913AAE">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7E9B2353" w14:textId="77777777" w:rsidR="00491D24" w:rsidRPr="00DB60C1" w:rsidRDefault="00491D24" w:rsidP="00913AAE">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20A722A3" w14:textId="77777777" w:rsidR="00E40FE1" w:rsidRPr="00DB60C1" w:rsidRDefault="0010134C" w:rsidP="00913AAE">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B60C1">
        <w:rPr>
          <w:rFonts w:ascii="Palatino Linotype" w:eastAsia="Palatino Linotype" w:hAnsi="Palatino Linotype" w:cs="Palatino Linotype"/>
          <w:color w:val="000000"/>
        </w:rPr>
        <w:t>Por lo anteriormente expuesto, este Órgano Garante considera fundadas las razones o motivos de inconformidad que plantea el</w:t>
      </w:r>
      <w:r w:rsidRPr="00DB60C1">
        <w:rPr>
          <w:rFonts w:ascii="Palatino Linotype" w:eastAsia="Palatino Linotype" w:hAnsi="Palatino Linotype" w:cs="Palatino Linotype"/>
          <w:b/>
          <w:color w:val="000000"/>
        </w:rPr>
        <w:t xml:space="preserve"> RECURRENTE</w:t>
      </w:r>
      <w:r w:rsidRPr="00DB60C1">
        <w:rPr>
          <w:rFonts w:ascii="Palatino Linotype" w:eastAsia="Palatino Linotype" w:hAnsi="Palatino Linotype" w:cs="Palatino Linotype"/>
          <w:color w:val="000000"/>
        </w:rPr>
        <w:t xml:space="preserve">, determinando </w:t>
      </w:r>
      <w:r w:rsidR="00491D24" w:rsidRPr="00DB60C1">
        <w:rPr>
          <w:rFonts w:ascii="Palatino Linotype" w:eastAsia="Palatino Linotype" w:hAnsi="Palatino Linotype" w:cs="Palatino Linotype"/>
          <w:b/>
          <w:color w:val="000000"/>
        </w:rPr>
        <w:t>REVOCAR</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la </w:t>
      </w:r>
      <w:r w:rsidRPr="00DB60C1">
        <w:rPr>
          <w:rFonts w:ascii="Palatino Linotype" w:eastAsia="Palatino Linotype" w:hAnsi="Palatino Linotype" w:cs="Palatino Linotype"/>
          <w:color w:val="000000"/>
        </w:rPr>
        <w:lastRenderedPageBreak/>
        <w:t xml:space="preserve">respuesta del </w:t>
      </w:r>
      <w:r w:rsidRPr="00DB60C1">
        <w:rPr>
          <w:rFonts w:ascii="Palatino Linotype" w:eastAsia="Palatino Linotype" w:hAnsi="Palatino Linotype" w:cs="Palatino Linotype"/>
          <w:b/>
          <w:color w:val="000000"/>
        </w:rPr>
        <w:t>SUJETO OBLIGADO</w:t>
      </w:r>
      <w:r w:rsidRPr="00DB60C1">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DB60C1">
        <w:rPr>
          <w:rFonts w:ascii="Palatino Linotype" w:eastAsia="Palatino Linotype" w:hAnsi="Palatino Linotype" w:cs="Palatino Linotype"/>
          <w:b/>
          <w:color w:val="000000"/>
        </w:rPr>
        <w:t>ÓRGANO GARANTE</w:t>
      </w:r>
      <w:r w:rsidRPr="00DB60C1">
        <w:rPr>
          <w:rFonts w:ascii="Palatino Linotype" w:eastAsia="Palatino Linotype" w:hAnsi="Palatino Linotype" w:cs="Palatino Linotype"/>
          <w:color w:val="000000"/>
        </w:rPr>
        <w:t xml:space="preserve"> emite los siguientes.</w:t>
      </w:r>
    </w:p>
    <w:p w14:paraId="46E887E1" w14:textId="77777777" w:rsidR="00913AAE" w:rsidRPr="00DB60C1" w:rsidRDefault="00913AAE" w:rsidP="00913AAE">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1B19336" w14:textId="77777777" w:rsidR="00E40FE1" w:rsidRPr="00DB60C1" w:rsidRDefault="0010134C">
      <w:pPr>
        <w:pStyle w:val="Ttulo1"/>
        <w:spacing w:before="0" w:line="360" w:lineRule="auto"/>
        <w:jc w:val="center"/>
        <w:rPr>
          <w:b w:val="0"/>
        </w:rPr>
      </w:pPr>
      <w:r w:rsidRPr="00DB60C1">
        <w:t>R E S O L U T I V O S</w:t>
      </w:r>
    </w:p>
    <w:p w14:paraId="74695B9A" w14:textId="77777777" w:rsidR="00E40FE1" w:rsidRPr="00DB60C1" w:rsidRDefault="00E40FE1">
      <w:pPr>
        <w:spacing w:line="360" w:lineRule="auto"/>
        <w:rPr>
          <w:rFonts w:ascii="Palatino Linotype" w:eastAsia="Palatino Linotype" w:hAnsi="Palatino Linotype" w:cs="Palatino Linotype"/>
        </w:rPr>
      </w:pPr>
    </w:p>
    <w:p w14:paraId="08EC0CBF" w14:textId="05AD6233" w:rsidR="00E40FE1" w:rsidRPr="00DB60C1" w:rsidRDefault="0010134C">
      <w:pPr>
        <w:spacing w:line="360" w:lineRule="auto"/>
        <w:jc w:val="both"/>
        <w:rPr>
          <w:rFonts w:ascii="Palatino Linotype" w:eastAsia="Palatino Linotype" w:hAnsi="Palatino Linotype" w:cs="Palatino Linotype"/>
        </w:rPr>
      </w:pPr>
      <w:r w:rsidRPr="00DB60C1">
        <w:rPr>
          <w:rFonts w:ascii="Palatino Linotype" w:eastAsia="Palatino Linotype" w:hAnsi="Palatino Linotype" w:cs="Palatino Linotype"/>
          <w:b/>
        </w:rPr>
        <w:t>PRIMERO</w:t>
      </w:r>
      <w:r w:rsidRPr="00DB60C1">
        <w:rPr>
          <w:rFonts w:ascii="Palatino Linotype" w:eastAsia="Palatino Linotype" w:hAnsi="Palatino Linotype" w:cs="Palatino Linotype"/>
        </w:rPr>
        <w:t xml:space="preserve">. Resultan fundadas las razones o motivos de inconformidad hechos valer en el Recursos de Revisión </w:t>
      </w:r>
      <w:r w:rsidR="00913AAE" w:rsidRPr="00DB60C1">
        <w:rPr>
          <w:rFonts w:ascii="Palatino Linotype" w:eastAsia="Palatino Linotype" w:hAnsi="Palatino Linotype" w:cs="Palatino Linotype"/>
          <w:b/>
        </w:rPr>
        <w:t>0</w:t>
      </w:r>
      <w:r w:rsidR="00842EDA" w:rsidRPr="00DB60C1">
        <w:rPr>
          <w:rFonts w:ascii="Palatino Linotype" w:eastAsia="Palatino Linotype" w:hAnsi="Palatino Linotype" w:cs="Palatino Linotype"/>
          <w:b/>
        </w:rPr>
        <w:t>2368</w:t>
      </w:r>
      <w:r w:rsidRPr="00DB60C1">
        <w:rPr>
          <w:rFonts w:ascii="Palatino Linotype" w:eastAsia="Palatino Linotype" w:hAnsi="Palatino Linotype" w:cs="Palatino Linotype"/>
          <w:b/>
        </w:rPr>
        <w:t>/INFOEM/IP/RR/202</w:t>
      </w:r>
      <w:r w:rsidR="00842EDA" w:rsidRPr="00DB60C1">
        <w:rPr>
          <w:rFonts w:ascii="Palatino Linotype" w:eastAsia="Palatino Linotype" w:hAnsi="Palatino Linotype" w:cs="Palatino Linotype"/>
          <w:b/>
        </w:rPr>
        <w:t>6</w:t>
      </w:r>
      <w:r w:rsidRPr="00DB60C1">
        <w:rPr>
          <w:rFonts w:ascii="Palatino Linotype" w:eastAsia="Palatino Linotype" w:hAnsi="Palatino Linotype" w:cs="Palatino Linotype"/>
          <w:b/>
        </w:rPr>
        <w:t xml:space="preserve"> </w:t>
      </w:r>
      <w:r w:rsidRPr="00DB60C1">
        <w:rPr>
          <w:rFonts w:ascii="Palatino Linotype" w:eastAsia="Palatino Linotype" w:hAnsi="Palatino Linotype" w:cs="Palatino Linotype"/>
        </w:rPr>
        <w:t xml:space="preserve">en términos del Considerando </w:t>
      </w:r>
      <w:r w:rsidRPr="00DB60C1">
        <w:rPr>
          <w:rFonts w:ascii="Palatino Linotype" w:eastAsia="Palatino Linotype" w:hAnsi="Palatino Linotype" w:cs="Palatino Linotype"/>
          <w:b/>
        </w:rPr>
        <w:t xml:space="preserve">CUARTO y QUINTO </w:t>
      </w:r>
      <w:r w:rsidRPr="00DB60C1">
        <w:rPr>
          <w:rFonts w:ascii="Palatino Linotype" w:eastAsia="Palatino Linotype" w:hAnsi="Palatino Linotype" w:cs="Palatino Linotype"/>
        </w:rPr>
        <w:t xml:space="preserve">de la presente resolución. </w:t>
      </w:r>
    </w:p>
    <w:p w14:paraId="62B1C125" w14:textId="77777777" w:rsidR="00E40FE1" w:rsidRPr="00DB60C1" w:rsidRDefault="00E40FE1">
      <w:pPr>
        <w:spacing w:line="360" w:lineRule="auto"/>
        <w:jc w:val="both"/>
        <w:rPr>
          <w:rFonts w:ascii="Palatino Linotype" w:eastAsia="Palatino Linotype" w:hAnsi="Palatino Linotype" w:cs="Palatino Linotype"/>
        </w:rPr>
      </w:pPr>
    </w:p>
    <w:p w14:paraId="6FA2F7A8" w14:textId="709E673D" w:rsidR="00842EDA" w:rsidRPr="00DB60C1" w:rsidRDefault="0010134C" w:rsidP="00913AAE">
      <w:pPr>
        <w:spacing w:line="360" w:lineRule="auto"/>
        <w:jc w:val="both"/>
        <w:rPr>
          <w:rFonts w:ascii="Palatino Linotype" w:hAnsi="Palatino Linotype" w:cs="Tahoma"/>
          <w:b/>
          <w:bCs/>
          <w:iCs/>
          <w:lang w:eastAsia="es-ES"/>
        </w:rPr>
      </w:pPr>
      <w:bookmarkStart w:id="13" w:name="_heading=h.26in1rg" w:colFirst="0" w:colLast="0"/>
      <w:bookmarkEnd w:id="13"/>
      <w:r w:rsidRPr="00DB60C1">
        <w:rPr>
          <w:rFonts w:ascii="Palatino Linotype" w:eastAsia="Palatino Linotype" w:hAnsi="Palatino Linotype" w:cs="Palatino Linotype"/>
          <w:b/>
        </w:rPr>
        <w:t xml:space="preserve">SEGUNDO. </w:t>
      </w:r>
      <w:r w:rsidRPr="00DB60C1">
        <w:rPr>
          <w:rFonts w:ascii="Palatino Linotype" w:eastAsia="Palatino Linotype" w:hAnsi="Palatino Linotype" w:cs="Palatino Linotype"/>
          <w:color w:val="000000"/>
        </w:rPr>
        <w:t xml:space="preserve">Se </w:t>
      </w:r>
      <w:r w:rsidR="00491D24" w:rsidRPr="00DB60C1">
        <w:rPr>
          <w:rFonts w:ascii="Palatino Linotype" w:eastAsia="Palatino Linotype" w:hAnsi="Palatino Linotype" w:cs="Palatino Linotype"/>
          <w:b/>
          <w:color w:val="000000"/>
        </w:rPr>
        <w:t>REVOCA</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la respuesta emitida por el </w:t>
      </w:r>
      <w:r w:rsidR="00491D24" w:rsidRPr="00DB60C1">
        <w:rPr>
          <w:rFonts w:ascii="Palatino Linotype" w:eastAsia="Palatino Linotype" w:hAnsi="Palatino Linotype" w:cs="Palatino Linotype"/>
          <w:b/>
        </w:rPr>
        <w:t xml:space="preserve">Ayuntamiento de </w:t>
      </w:r>
      <w:r w:rsidR="00842EDA" w:rsidRPr="00DB60C1">
        <w:rPr>
          <w:rFonts w:ascii="Palatino Linotype" w:eastAsia="Palatino Linotype" w:hAnsi="Palatino Linotype" w:cs="Palatino Linotype"/>
          <w:b/>
        </w:rPr>
        <w:t>Amecameca</w:t>
      </w:r>
      <w:r w:rsidRPr="00DB60C1">
        <w:rPr>
          <w:rFonts w:ascii="Palatino Linotype" w:eastAsia="Palatino Linotype" w:hAnsi="Palatino Linotype" w:cs="Palatino Linotype"/>
          <w:b/>
          <w:color w:val="000000"/>
        </w:rPr>
        <w:t xml:space="preserve">, </w:t>
      </w:r>
      <w:r w:rsidRPr="00DB60C1">
        <w:rPr>
          <w:rFonts w:ascii="Palatino Linotype" w:eastAsia="Palatino Linotype" w:hAnsi="Palatino Linotype" w:cs="Palatino Linotype"/>
          <w:color w:val="000000"/>
        </w:rPr>
        <w:t xml:space="preserve">a la </w:t>
      </w:r>
      <w:r w:rsidRPr="00DB60C1">
        <w:rPr>
          <w:rFonts w:ascii="Palatino Linotype" w:eastAsia="Palatino Linotype" w:hAnsi="Palatino Linotype" w:cs="Palatino Linotype"/>
        </w:rPr>
        <w:t>solicitud de información pública registrada con el número</w:t>
      </w:r>
      <w:r w:rsidRPr="00DB60C1">
        <w:rPr>
          <w:rFonts w:ascii="Palatino Linotype" w:eastAsia="Palatino Linotype" w:hAnsi="Palatino Linotype" w:cs="Palatino Linotype"/>
          <w:b/>
        </w:rPr>
        <w:t xml:space="preserve"> </w:t>
      </w:r>
      <w:r w:rsidR="00913AAE" w:rsidRPr="00DB60C1">
        <w:rPr>
          <w:rFonts w:ascii="Palatino Linotype" w:eastAsia="Palatino Linotype" w:hAnsi="Palatino Linotype" w:cs="Palatino Linotype"/>
          <w:b/>
          <w:color w:val="000000"/>
        </w:rPr>
        <w:t>00</w:t>
      </w:r>
      <w:r w:rsidR="00842EDA" w:rsidRPr="00DB60C1">
        <w:rPr>
          <w:rFonts w:ascii="Palatino Linotype" w:eastAsia="Palatino Linotype" w:hAnsi="Palatino Linotype" w:cs="Palatino Linotype"/>
          <w:b/>
          <w:color w:val="000000"/>
        </w:rPr>
        <w:t>011/AMECAMEC</w:t>
      </w:r>
      <w:r w:rsidRPr="00DB60C1">
        <w:rPr>
          <w:rFonts w:ascii="Palatino Linotype" w:eastAsia="Palatino Linotype" w:hAnsi="Palatino Linotype" w:cs="Palatino Linotype"/>
          <w:b/>
          <w:color w:val="000000"/>
        </w:rPr>
        <w:t>/IP/202</w:t>
      </w:r>
      <w:r w:rsidR="00842EDA" w:rsidRPr="00DB60C1">
        <w:rPr>
          <w:rFonts w:ascii="Palatino Linotype" w:eastAsia="Palatino Linotype" w:hAnsi="Palatino Linotype" w:cs="Palatino Linotype"/>
          <w:b/>
          <w:color w:val="000000"/>
        </w:rPr>
        <w:t xml:space="preserve">6 </w:t>
      </w:r>
      <w:r w:rsidRPr="00DB60C1">
        <w:rPr>
          <w:rFonts w:ascii="Palatino Linotype" w:eastAsia="Palatino Linotype" w:hAnsi="Palatino Linotype" w:cs="Palatino Linotype"/>
          <w:color w:val="000000"/>
        </w:rPr>
        <w:t xml:space="preserve">y se </w:t>
      </w:r>
      <w:r w:rsidRPr="00DB60C1">
        <w:rPr>
          <w:rFonts w:ascii="Palatino Linotype" w:eastAsia="Palatino Linotype" w:hAnsi="Palatino Linotype" w:cs="Palatino Linotype"/>
          <w:b/>
          <w:color w:val="000000"/>
        </w:rPr>
        <w:t>ORDENA</w:t>
      </w:r>
      <w:r w:rsidRPr="00DB60C1">
        <w:rPr>
          <w:rFonts w:ascii="Palatino Linotype" w:eastAsia="Palatino Linotype" w:hAnsi="Palatino Linotype" w:cs="Palatino Linotype"/>
          <w:color w:val="000000"/>
        </w:rPr>
        <w:t xml:space="preserve"> entregar vía Sistema de Acceso a la Información Mexiquense (SAIMEX), en versión pública,</w:t>
      </w:r>
      <w:r w:rsidRPr="00DB60C1">
        <w:rPr>
          <w:rFonts w:ascii="Palatino Linotype" w:eastAsia="Palatino Linotype" w:hAnsi="Palatino Linotype" w:cs="Palatino Linotype"/>
          <w:b/>
          <w:color w:val="000000"/>
        </w:rPr>
        <w:t xml:space="preserve"> </w:t>
      </w:r>
      <w:r w:rsidR="00842EDA" w:rsidRPr="00DB60C1">
        <w:rPr>
          <w:rFonts w:ascii="Palatino Linotype" w:hAnsi="Palatino Linotype" w:cs="Tahoma"/>
          <w:b/>
          <w:bCs/>
          <w:iCs/>
          <w:lang w:eastAsia="es-ES"/>
        </w:rPr>
        <w:t xml:space="preserve">los </w:t>
      </w:r>
      <w:r w:rsidR="00842EDA" w:rsidRPr="00DB60C1">
        <w:rPr>
          <w:rFonts w:ascii="Palatino Linotype" w:eastAsia="Calibri" w:hAnsi="Palatino Linotype"/>
          <w:b/>
          <w:lang w:eastAsia="es-ES_tradnl"/>
        </w:rPr>
        <w:t>comprobantes de pagos realizados vía cheque y/o transferencia electrónica por la Tesorería Municipal durante el mes de diciembre de 2025.</w:t>
      </w:r>
    </w:p>
    <w:p w14:paraId="646FEEB7" w14:textId="77777777" w:rsidR="00E40FE1" w:rsidRPr="00DB60C1" w:rsidRDefault="00E40FE1">
      <w:pPr>
        <w:pBdr>
          <w:top w:val="nil"/>
          <w:left w:val="nil"/>
          <w:bottom w:val="nil"/>
          <w:right w:val="nil"/>
          <w:between w:val="nil"/>
        </w:pBdr>
        <w:spacing w:line="360" w:lineRule="auto"/>
        <w:jc w:val="both"/>
        <w:rPr>
          <w:rFonts w:ascii="Palatino Linotype" w:eastAsia="Palatino Linotype" w:hAnsi="Palatino Linotype" w:cs="Palatino Linotype"/>
          <w:b/>
        </w:rPr>
      </w:pPr>
    </w:p>
    <w:p w14:paraId="3525BF64" w14:textId="77777777" w:rsidR="00E40FE1" w:rsidRPr="00DB60C1" w:rsidRDefault="0010134C">
      <w:pPr>
        <w:spacing w:line="360" w:lineRule="auto"/>
        <w:jc w:val="both"/>
        <w:rPr>
          <w:rFonts w:ascii="Palatino Linotype" w:eastAsia="Palatino Linotype" w:hAnsi="Palatino Linotype" w:cs="Palatino Linotype"/>
          <w:b/>
        </w:rPr>
      </w:pPr>
      <w:r w:rsidRPr="00DB60C1">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B60C1">
        <w:rPr>
          <w:rFonts w:ascii="Palatino Linotype" w:eastAsia="Palatino Linotype" w:hAnsi="Palatino Linotype" w:cs="Palatino Linotype"/>
          <w:b/>
        </w:rPr>
        <w:t>RECURRENTE.</w:t>
      </w:r>
    </w:p>
    <w:p w14:paraId="30F2E8C6" w14:textId="77777777" w:rsidR="00E40FE1" w:rsidRPr="00DB60C1" w:rsidRDefault="0010134C">
      <w:pPr>
        <w:tabs>
          <w:tab w:val="left" w:pos="8080"/>
        </w:tabs>
        <w:spacing w:line="360" w:lineRule="auto"/>
        <w:ind w:right="49"/>
        <w:jc w:val="both"/>
        <w:rPr>
          <w:rFonts w:ascii="Palatino Linotype" w:eastAsia="Palatino Linotype" w:hAnsi="Palatino Linotype" w:cs="Palatino Linotype"/>
          <w:b/>
        </w:rPr>
      </w:pPr>
      <w:bookmarkStart w:id="14" w:name="_heading=h.4d34og8" w:colFirst="0" w:colLast="0"/>
      <w:bookmarkStart w:id="15" w:name="_heading=h.lnxbz9" w:colFirst="0" w:colLast="0"/>
      <w:bookmarkEnd w:id="14"/>
      <w:bookmarkEnd w:id="15"/>
      <w:r w:rsidRPr="00DB60C1">
        <w:rPr>
          <w:rFonts w:ascii="Palatino Linotype" w:eastAsia="Palatino Linotype" w:hAnsi="Palatino Linotype" w:cs="Palatino Linotype"/>
          <w:b/>
        </w:rPr>
        <w:lastRenderedPageBreak/>
        <w:t xml:space="preserve">TERCERO. NOTIFÍQUESE </w:t>
      </w:r>
      <w:r w:rsidRPr="00DB60C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B60C1">
        <w:rPr>
          <w:rFonts w:ascii="Palatino Linotype" w:eastAsia="Palatino Linotype" w:hAnsi="Palatino Linotype" w:cs="Palatino Linotype"/>
          <w:b/>
        </w:rPr>
        <w:t>dé cumplimiento a lo ordenado dentro del plazo de diez días hábiles,</w:t>
      </w:r>
      <w:r w:rsidRPr="00DB60C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1D8D183" w14:textId="77777777" w:rsidR="00E40FE1" w:rsidRPr="00DB60C1" w:rsidRDefault="00E40FE1">
      <w:pPr>
        <w:tabs>
          <w:tab w:val="left" w:pos="8080"/>
        </w:tabs>
        <w:spacing w:line="360" w:lineRule="auto"/>
        <w:ind w:right="49"/>
        <w:jc w:val="both"/>
        <w:rPr>
          <w:rFonts w:ascii="Palatino Linotype" w:eastAsia="Palatino Linotype" w:hAnsi="Palatino Linotype" w:cs="Palatino Linotype"/>
        </w:rPr>
      </w:pPr>
    </w:p>
    <w:p w14:paraId="25EA89C6" w14:textId="77777777" w:rsidR="00E40FE1" w:rsidRPr="00DB60C1" w:rsidRDefault="0010134C">
      <w:pPr>
        <w:spacing w:line="360" w:lineRule="auto"/>
        <w:jc w:val="both"/>
        <w:rPr>
          <w:rFonts w:ascii="Palatino Linotype" w:eastAsia="Palatino Linotype" w:hAnsi="Palatino Linotype" w:cs="Palatino Linotype"/>
        </w:rPr>
      </w:pPr>
      <w:r w:rsidRPr="00DB60C1">
        <w:rPr>
          <w:rFonts w:ascii="Palatino Linotype" w:eastAsia="Palatino Linotype" w:hAnsi="Palatino Linotype" w:cs="Palatino Linotype"/>
          <w:b/>
        </w:rPr>
        <w:t xml:space="preserve">CUARTO. </w:t>
      </w:r>
      <w:r w:rsidRPr="00DB60C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B60C1">
        <w:rPr>
          <w:rFonts w:ascii="Palatino Linotype" w:eastAsia="Palatino Linotype" w:hAnsi="Palatino Linotype" w:cs="Palatino Linotype"/>
          <w:b/>
        </w:rPr>
        <w:t>SUJETO OBLIGADO</w:t>
      </w:r>
      <w:r w:rsidRPr="00DB60C1">
        <w:rPr>
          <w:rFonts w:ascii="Palatino Linotype" w:eastAsia="Palatino Linotype" w:hAnsi="Palatino Linotype" w:cs="Palatino Linotype"/>
        </w:rPr>
        <w:t xml:space="preserve"> de manera fundada y motivada, podrá solicitar una ampliación de plazo para el cumplimiento de la presente resolución.</w:t>
      </w:r>
    </w:p>
    <w:p w14:paraId="31B43C15" w14:textId="77777777" w:rsidR="00E40FE1" w:rsidRPr="00DB60C1" w:rsidRDefault="00E40FE1">
      <w:pPr>
        <w:spacing w:line="360" w:lineRule="auto"/>
        <w:jc w:val="both"/>
        <w:rPr>
          <w:rFonts w:ascii="Palatino Linotype" w:eastAsia="Palatino Linotype" w:hAnsi="Palatino Linotype" w:cs="Palatino Linotype"/>
        </w:rPr>
      </w:pPr>
    </w:p>
    <w:p w14:paraId="6A71D295" w14:textId="77777777" w:rsidR="00913AAE" w:rsidRPr="00DB60C1" w:rsidRDefault="0010134C">
      <w:pPr>
        <w:tabs>
          <w:tab w:val="left" w:pos="8080"/>
        </w:tabs>
        <w:spacing w:line="360" w:lineRule="auto"/>
        <w:ind w:right="49"/>
        <w:jc w:val="both"/>
        <w:rPr>
          <w:rFonts w:ascii="Palatino Linotype" w:eastAsia="Palatino Linotype" w:hAnsi="Palatino Linotype" w:cs="Palatino Linotype"/>
          <w:b/>
        </w:rPr>
      </w:pPr>
      <w:bookmarkStart w:id="16" w:name="_heading=h.35nkun2" w:colFirst="0" w:colLast="0"/>
      <w:bookmarkEnd w:id="16"/>
      <w:r w:rsidRPr="00DB60C1">
        <w:rPr>
          <w:rFonts w:ascii="Palatino Linotype" w:eastAsia="Palatino Linotype" w:hAnsi="Palatino Linotype" w:cs="Palatino Linotype"/>
          <w:b/>
        </w:rPr>
        <w:t xml:space="preserve">QUINTO. </w:t>
      </w:r>
      <w:r w:rsidRPr="00DB60C1">
        <w:rPr>
          <w:rFonts w:ascii="Palatino Linotype" w:eastAsia="Palatino Linotype" w:hAnsi="Palatino Linotype" w:cs="Palatino Linotype"/>
        </w:rPr>
        <w:t>Notifíquese al</w:t>
      </w:r>
      <w:r w:rsidRPr="00DB60C1">
        <w:rPr>
          <w:rFonts w:ascii="Palatino Linotype" w:eastAsia="Palatino Linotype" w:hAnsi="Palatino Linotype" w:cs="Palatino Linotype"/>
          <w:b/>
        </w:rPr>
        <w:t xml:space="preserve"> RECURRENTE</w:t>
      </w:r>
      <w:r w:rsidRPr="00DB60C1">
        <w:rPr>
          <w:rFonts w:ascii="Palatino Linotype" w:eastAsia="Palatino Linotype" w:hAnsi="Palatino Linotype" w:cs="Palatino Linotype"/>
        </w:rPr>
        <w:t xml:space="preserve"> la presente resolución, vía </w:t>
      </w:r>
      <w:r w:rsidRPr="00DB60C1">
        <w:rPr>
          <w:rFonts w:ascii="Palatino Linotype" w:eastAsia="Palatino Linotype" w:hAnsi="Palatino Linotype" w:cs="Palatino Linotype"/>
          <w:b/>
        </w:rPr>
        <w:t>SAIMEX.</w:t>
      </w:r>
    </w:p>
    <w:p w14:paraId="2BA89FFB" w14:textId="77777777" w:rsidR="00913AAE" w:rsidRPr="00DB60C1" w:rsidRDefault="00913AAE">
      <w:pPr>
        <w:tabs>
          <w:tab w:val="left" w:pos="8080"/>
        </w:tabs>
        <w:spacing w:line="360" w:lineRule="auto"/>
        <w:ind w:right="49"/>
        <w:jc w:val="both"/>
        <w:rPr>
          <w:rFonts w:ascii="Palatino Linotype" w:eastAsia="Palatino Linotype" w:hAnsi="Palatino Linotype" w:cs="Palatino Linotype"/>
          <w:b/>
        </w:rPr>
      </w:pPr>
    </w:p>
    <w:p w14:paraId="7F0E31B4" w14:textId="77777777" w:rsidR="00E40FE1" w:rsidRPr="00DB60C1" w:rsidRDefault="0010134C">
      <w:pPr>
        <w:shd w:val="clear" w:color="auto" w:fill="FFFFFF"/>
        <w:spacing w:line="360" w:lineRule="auto"/>
        <w:jc w:val="both"/>
        <w:rPr>
          <w:rFonts w:ascii="Palatino Linotype" w:eastAsia="Palatino Linotype" w:hAnsi="Palatino Linotype" w:cs="Palatino Linotype"/>
        </w:rPr>
      </w:pPr>
      <w:r w:rsidRPr="00DB60C1">
        <w:rPr>
          <w:rFonts w:ascii="Palatino Linotype" w:eastAsia="Palatino Linotype" w:hAnsi="Palatino Linotype" w:cs="Palatino Linotype"/>
          <w:b/>
        </w:rPr>
        <w:t>SEXTO.</w:t>
      </w:r>
      <w:r w:rsidRPr="00DB60C1">
        <w:rPr>
          <w:rFonts w:ascii="Palatino Linotype" w:eastAsia="Palatino Linotype" w:hAnsi="Palatino Linotype" w:cs="Palatino Linotype"/>
        </w:rPr>
        <w:t xml:space="preserve"> Se hace del conocimiento del </w:t>
      </w:r>
      <w:r w:rsidRPr="00DB60C1">
        <w:rPr>
          <w:rFonts w:ascii="Palatino Linotype" w:eastAsia="Palatino Linotype" w:hAnsi="Palatino Linotype" w:cs="Palatino Linotype"/>
          <w:b/>
        </w:rPr>
        <w:t>RECURRENTE</w:t>
      </w:r>
      <w:r w:rsidRPr="00DB60C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5E95B835" w14:textId="77777777" w:rsidR="00E40FE1" w:rsidRPr="00DB60C1" w:rsidRDefault="00E40FE1">
      <w:pPr>
        <w:shd w:val="clear" w:color="auto" w:fill="FFFFFF"/>
        <w:spacing w:line="360" w:lineRule="auto"/>
        <w:jc w:val="both"/>
        <w:rPr>
          <w:rFonts w:ascii="Palatino Linotype" w:eastAsia="Palatino Linotype" w:hAnsi="Palatino Linotype" w:cs="Palatino Linotype"/>
        </w:rPr>
      </w:pPr>
    </w:p>
    <w:p w14:paraId="11E75EFC" w14:textId="77777777" w:rsidR="006C3652" w:rsidRPr="00DB60C1" w:rsidRDefault="006C3652" w:rsidP="006C3652">
      <w:pPr>
        <w:spacing w:before="240" w:after="240" w:line="360" w:lineRule="auto"/>
        <w:ind w:firstLine="1"/>
        <w:jc w:val="both"/>
        <w:rPr>
          <w:rFonts w:ascii="Palatino Linotype" w:hAnsi="Palatino Linotype"/>
        </w:rPr>
      </w:pPr>
      <w:bookmarkStart w:id="17" w:name="_heading=h.udolic8t2yzx" w:colFirst="0" w:colLast="0"/>
      <w:bookmarkStart w:id="18" w:name="_Hlk99014733"/>
      <w:bookmarkEnd w:id="17"/>
      <w:r w:rsidRPr="00DB60C1">
        <w:rPr>
          <w:rFonts w:ascii="Palatino Linotype" w:hAnsi="Palatino Linotype" w:cs="Palatino Linotype"/>
        </w:rPr>
        <w:t xml:space="preserve">ASÍ LO RESUELVE, POR UNANIMIDAD DE VOTOS, EL PLENO DEL INSTITUTO DE TRANSPARENCIA, ACCESO A LA INFORMACIÓN PÚBLICA Y PROTECCIÓN DE </w:t>
      </w:r>
      <w:r w:rsidRPr="00DB60C1">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DB60C1">
        <w:rPr>
          <w:rFonts w:ascii="Palatino Linotype" w:hAnsi="Palatino Linotype" w:cs="Palatino Linotype"/>
          <w:color w:val="000000" w:themeColor="text1"/>
        </w:rPr>
        <w:t>ALEXIS TAPIA RAMÍREZ.</w:t>
      </w:r>
    </w:p>
    <w:bookmarkEnd w:id="18"/>
    <w:p w14:paraId="5F9D1257" w14:textId="77777777" w:rsidR="00E40FE1" w:rsidRPr="00DB60C1" w:rsidRDefault="00E40FE1">
      <w:pPr>
        <w:spacing w:before="240" w:after="240" w:line="360" w:lineRule="auto"/>
        <w:ind w:firstLine="1"/>
        <w:jc w:val="both"/>
        <w:rPr>
          <w:rFonts w:ascii="Palatino Linotype" w:eastAsia="Palatino Linotype" w:hAnsi="Palatino Linotype" w:cs="Palatino Linotype"/>
        </w:rPr>
      </w:pPr>
    </w:p>
    <w:p w14:paraId="27D56ECC" w14:textId="77777777" w:rsidR="00E40FE1" w:rsidRPr="00DB60C1" w:rsidRDefault="00E40FE1">
      <w:pPr>
        <w:pStyle w:val="Ttulo2"/>
        <w:spacing w:before="0" w:line="360" w:lineRule="auto"/>
        <w:rPr>
          <w:b w:val="0"/>
          <w:color w:val="auto"/>
        </w:rPr>
      </w:pPr>
    </w:p>
    <w:p w14:paraId="42083DC2" w14:textId="77777777" w:rsidR="00433A7B" w:rsidRDefault="00433A7B" w:rsidP="00433A7B">
      <w:pPr>
        <w:rPr>
          <w:rFonts w:ascii="Palatino Linotype" w:hAnsi="Palatino Linotype"/>
        </w:rPr>
      </w:pPr>
    </w:p>
    <w:p w14:paraId="0718AA32" w14:textId="77777777" w:rsidR="00DB60C1" w:rsidRDefault="00DB60C1" w:rsidP="00433A7B">
      <w:pPr>
        <w:rPr>
          <w:rFonts w:ascii="Palatino Linotype" w:hAnsi="Palatino Linotype"/>
        </w:rPr>
      </w:pPr>
    </w:p>
    <w:p w14:paraId="5845EBD9" w14:textId="77777777" w:rsidR="00DB60C1" w:rsidRDefault="00DB60C1" w:rsidP="00433A7B">
      <w:pPr>
        <w:rPr>
          <w:rFonts w:ascii="Palatino Linotype" w:hAnsi="Palatino Linotype"/>
        </w:rPr>
      </w:pPr>
    </w:p>
    <w:p w14:paraId="0D75B9B4" w14:textId="77777777" w:rsidR="00DB60C1" w:rsidRDefault="00DB60C1" w:rsidP="00433A7B">
      <w:pPr>
        <w:rPr>
          <w:rFonts w:ascii="Palatino Linotype" w:hAnsi="Palatino Linotype"/>
        </w:rPr>
      </w:pPr>
    </w:p>
    <w:p w14:paraId="7861E802" w14:textId="77777777" w:rsidR="00DB60C1" w:rsidRDefault="00DB60C1" w:rsidP="00433A7B">
      <w:pPr>
        <w:rPr>
          <w:rFonts w:ascii="Palatino Linotype" w:hAnsi="Palatino Linotype"/>
        </w:rPr>
      </w:pPr>
    </w:p>
    <w:p w14:paraId="5F0E88B7" w14:textId="77777777" w:rsidR="00DB60C1" w:rsidRDefault="00DB60C1" w:rsidP="00433A7B">
      <w:pPr>
        <w:rPr>
          <w:rFonts w:ascii="Palatino Linotype" w:hAnsi="Palatino Linotype"/>
        </w:rPr>
      </w:pPr>
    </w:p>
    <w:p w14:paraId="4B9FB536" w14:textId="77777777" w:rsidR="00DB60C1" w:rsidRDefault="00DB60C1" w:rsidP="00433A7B">
      <w:pPr>
        <w:rPr>
          <w:rFonts w:ascii="Palatino Linotype" w:hAnsi="Palatino Linotype"/>
        </w:rPr>
      </w:pPr>
    </w:p>
    <w:p w14:paraId="48F7C590" w14:textId="77777777" w:rsidR="00DB60C1" w:rsidRDefault="00DB60C1" w:rsidP="00433A7B">
      <w:pPr>
        <w:rPr>
          <w:rFonts w:ascii="Palatino Linotype" w:hAnsi="Palatino Linotype"/>
        </w:rPr>
      </w:pPr>
    </w:p>
    <w:p w14:paraId="64630332" w14:textId="77777777" w:rsidR="00DB60C1" w:rsidRDefault="00DB60C1" w:rsidP="00433A7B">
      <w:pPr>
        <w:rPr>
          <w:rFonts w:ascii="Palatino Linotype" w:hAnsi="Palatino Linotype"/>
        </w:rPr>
      </w:pPr>
    </w:p>
    <w:p w14:paraId="457E85DB" w14:textId="77777777" w:rsidR="00DB60C1" w:rsidRDefault="00DB60C1" w:rsidP="00433A7B">
      <w:pPr>
        <w:rPr>
          <w:rFonts w:ascii="Palatino Linotype" w:hAnsi="Palatino Linotype"/>
        </w:rPr>
      </w:pPr>
    </w:p>
    <w:p w14:paraId="21E20398" w14:textId="77777777" w:rsidR="00DB60C1" w:rsidRDefault="00DB60C1" w:rsidP="00433A7B">
      <w:pPr>
        <w:rPr>
          <w:rFonts w:ascii="Palatino Linotype" w:hAnsi="Palatino Linotype"/>
        </w:rPr>
      </w:pPr>
    </w:p>
    <w:p w14:paraId="76B09A4F" w14:textId="77777777" w:rsidR="00DB60C1" w:rsidRDefault="00DB60C1" w:rsidP="00433A7B">
      <w:pPr>
        <w:rPr>
          <w:rFonts w:ascii="Palatino Linotype" w:hAnsi="Palatino Linotype"/>
        </w:rPr>
      </w:pPr>
    </w:p>
    <w:p w14:paraId="701CBC76" w14:textId="77777777" w:rsidR="00DB60C1" w:rsidRDefault="00DB60C1" w:rsidP="00433A7B">
      <w:pPr>
        <w:rPr>
          <w:rFonts w:ascii="Palatino Linotype" w:hAnsi="Palatino Linotype"/>
        </w:rPr>
      </w:pPr>
    </w:p>
    <w:p w14:paraId="1976ED23" w14:textId="77777777" w:rsidR="00DB60C1" w:rsidRDefault="00DB60C1" w:rsidP="00433A7B">
      <w:pPr>
        <w:rPr>
          <w:rFonts w:ascii="Palatino Linotype" w:hAnsi="Palatino Linotype"/>
        </w:rPr>
      </w:pPr>
    </w:p>
    <w:p w14:paraId="02740B58" w14:textId="77777777" w:rsidR="00DB60C1" w:rsidRDefault="00DB60C1" w:rsidP="00433A7B">
      <w:pPr>
        <w:rPr>
          <w:rFonts w:ascii="Palatino Linotype" w:hAnsi="Palatino Linotype"/>
        </w:rPr>
      </w:pPr>
    </w:p>
    <w:p w14:paraId="38E3E837" w14:textId="77777777" w:rsidR="00DB60C1" w:rsidRDefault="00DB60C1" w:rsidP="00433A7B">
      <w:pPr>
        <w:rPr>
          <w:rFonts w:ascii="Palatino Linotype" w:hAnsi="Palatino Linotype"/>
        </w:rPr>
      </w:pPr>
    </w:p>
    <w:p w14:paraId="1A505722" w14:textId="77777777" w:rsidR="00DB60C1" w:rsidRDefault="00DB60C1" w:rsidP="00433A7B">
      <w:pPr>
        <w:rPr>
          <w:rFonts w:ascii="Palatino Linotype" w:hAnsi="Palatino Linotype"/>
        </w:rPr>
      </w:pPr>
    </w:p>
    <w:p w14:paraId="172B72F8" w14:textId="77777777" w:rsidR="00DB60C1" w:rsidRDefault="00DB60C1" w:rsidP="00433A7B">
      <w:pPr>
        <w:rPr>
          <w:rFonts w:ascii="Palatino Linotype" w:hAnsi="Palatino Linotype"/>
        </w:rPr>
      </w:pPr>
    </w:p>
    <w:p w14:paraId="78E64FBC" w14:textId="77777777" w:rsidR="00DB60C1" w:rsidRDefault="00DB60C1" w:rsidP="00433A7B">
      <w:pPr>
        <w:rPr>
          <w:rFonts w:ascii="Palatino Linotype" w:hAnsi="Palatino Linotype"/>
        </w:rPr>
      </w:pPr>
    </w:p>
    <w:p w14:paraId="368DCF9E" w14:textId="77777777" w:rsidR="00DB60C1" w:rsidRDefault="00DB60C1" w:rsidP="00433A7B">
      <w:pPr>
        <w:rPr>
          <w:rFonts w:ascii="Palatino Linotype" w:hAnsi="Palatino Linotype"/>
        </w:rPr>
      </w:pPr>
    </w:p>
    <w:p w14:paraId="79629EA9" w14:textId="77777777" w:rsidR="00DB60C1" w:rsidRDefault="00DB60C1" w:rsidP="00433A7B">
      <w:pPr>
        <w:rPr>
          <w:rFonts w:ascii="Palatino Linotype" w:hAnsi="Palatino Linotype"/>
        </w:rPr>
      </w:pPr>
    </w:p>
    <w:p w14:paraId="576DB76C" w14:textId="77777777" w:rsidR="00DB60C1" w:rsidRDefault="00DB60C1" w:rsidP="00433A7B">
      <w:pPr>
        <w:rPr>
          <w:rFonts w:ascii="Palatino Linotype" w:hAnsi="Palatino Linotype"/>
        </w:rPr>
      </w:pPr>
    </w:p>
    <w:p w14:paraId="27229828" w14:textId="77777777" w:rsidR="00DB60C1" w:rsidRPr="00DB60C1" w:rsidRDefault="00DB60C1" w:rsidP="00433A7B">
      <w:pPr>
        <w:rPr>
          <w:rFonts w:ascii="Palatino Linotype" w:hAnsi="Palatino Linotype"/>
        </w:rPr>
      </w:pPr>
    </w:p>
    <w:sectPr w:rsidR="00DB60C1" w:rsidRPr="00DB60C1" w:rsidSect="00DB60C1">
      <w:headerReference w:type="default" r:id="rId11"/>
      <w:footerReference w:type="default" r:id="rId12"/>
      <w:headerReference w:type="first" r:id="rId13"/>
      <w:footerReference w:type="first" r:id="rId14"/>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9727C" w14:textId="77777777" w:rsidR="0031495D" w:rsidRDefault="0031495D">
      <w:r>
        <w:separator/>
      </w:r>
    </w:p>
  </w:endnote>
  <w:endnote w:type="continuationSeparator" w:id="0">
    <w:p w14:paraId="0E59A420" w14:textId="77777777" w:rsidR="0031495D" w:rsidRDefault="0031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Courier New"/>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6B664" w14:textId="77777777" w:rsidR="008F63C1" w:rsidRDefault="008F63C1">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5A4B00">
      <w:rPr>
        <w:rFonts w:ascii="Palatino Linotype" w:eastAsia="Palatino Linotype" w:hAnsi="Palatino Linotype" w:cs="Palatino Linotype"/>
        <w:b/>
        <w:noProof/>
        <w:color w:val="000000"/>
        <w:sz w:val="22"/>
        <w:szCs w:val="22"/>
      </w:rPr>
      <w:t>2</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5A4B00">
      <w:rPr>
        <w:rFonts w:ascii="Palatino Linotype" w:eastAsia="Palatino Linotype" w:hAnsi="Palatino Linotype" w:cs="Palatino Linotype"/>
        <w:b/>
        <w:noProof/>
        <w:color w:val="000000"/>
        <w:sz w:val="22"/>
        <w:szCs w:val="22"/>
      </w:rPr>
      <w:t>29</w:t>
    </w:r>
    <w:r>
      <w:rPr>
        <w:rFonts w:ascii="Palatino Linotype" w:eastAsia="Palatino Linotype" w:hAnsi="Palatino Linotype" w:cs="Palatino Linotype"/>
        <w:b/>
        <w:color w:val="000000"/>
        <w:sz w:val="22"/>
        <w:szCs w:val="22"/>
      </w:rPr>
      <w:fldChar w:fldCharType="end"/>
    </w:r>
  </w:p>
  <w:p w14:paraId="5B9FF0B8" w14:textId="77777777" w:rsidR="008F63C1" w:rsidRDefault="008F63C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14:paraId="21E2AD3E" w14:textId="77777777" w:rsidR="008F63C1" w:rsidRDefault="008F63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DB820" w14:textId="77777777" w:rsidR="008F63C1" w:rsidRDefault="008F63C1">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5A4B00">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5A4B00">
      <w:rPr>
        <w:rFonts w:ascii="Palatino Linotype" w:eastAsia="Palatino Linotype" w:hAnsi="Palatino Linotype" w:cs="Palatino Linotype"/>
        <w:noProof/>
        <w:color w:val="000000"/>
        <w:sz w:val="22"/>
        <w:szCs w:val="22"/>
      </w:rPr>
      <w:t>29</w:t>
    </w:r>
    <w:r>
      <w:rPr>
        <w:rFonts w:ascii="Palatino Linotype" w:eastAsia="Palatino Linotype" w:hAnsi="Palatino Linotype" w:cs="Palatino Linotype"/>
        <w:color w:val="000000"/>
        <w:sz w:val="22"/>
        <w:szCs w:val="22"/>
      </w:rPr>
      <w:fldChar w:fldCharType="end"/>
    </w:r>
  </w:p>
  <w:p w14:paraId="06FD6A96" w14:textId="77777777" w:rsidR="008F63C1" w:rsidRDefault="008F63C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14:paraId="42EEB07E" w14:textId="77777777" w:rsidR="008F63C1" w:rsidRDefault="008F63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D7DE4" w14:textId="77777777" w:rsidR="0031495D" w:rsidRDefault="0031495D">
      <w:r>
        <w:separator/>
      </w:r>
    </w:p>
  </w:footnote>
  <w:footnote w:type="continuationSeparator" w:id="0">
    <w:p w14:paraId="546F0CCE" w14:textId="77777777" w:rsidR="0031495D" w:rsidRDefault="00314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6933"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3018"/>
      <w:gridCol w:w="3915"/>
    </w:tblGrid>
    <w:tr w:rsidR="008F63C1" w14:paraId="1F19BFF2" w14:textId="77777777" w:rsidTr="00DB60C1">
      <w:trPr>
        <w:trHeight w:val="138"/>
      </w:trPr>
      <w:tc>
        <w:tcPr>
          <w:tcW w:w="3018" w:type="dxa"/>
          <w:vAlign w:val="center"/>
        </w:tcPr>
        <w:p w14:paraId="4E74328A" w14:textId="789AFB1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Recurso de Revisión:</w:t>
          </w:r>
        </w:p>
      </w:tc>
      <w:tc>
        <w:tcPr>
          <w:tcW w:w="3915" w:type="dxa"/>
          <w:vAlign w:val="center"/>
        </w:tcPr>
        <w:p w14:paraId="5AC3A83B" w14:textId="613398F4" w:rsidR="008F63C1" w:rsidRPr="00DB60C1" w:rsidRDefault="008F63C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DB60C1">
            <w:rPr>
              <w:rFonts w:ascii="Palatino Linotype" w:eastAsia="Palatino Linotype" w:hAnsi="Palatino Linotype" w:cs="Palatino Linotype"/>
              <w:color w:val="000000"/>
              <w:sz w:val="24"/>
            </w:rPr>
            <w:t>0</w:t>
          </w:r>
          <w:r w:rsidR="00963BF2" w:rsidRPr="00DB60C1">
            <w:rPr>
              <w:rFonts w:ascii="Palatino Linotype" w:eastAsia="Palatino Linotype" w:hAnsi="Palatino Linotype" w:cs="Palatino Linotype"/>
              <w:color w:val="000000"/>
              <w:sz w:val="24"/>
            </w:rPr>
            <w:t>2368</w:t>
          </w:r>
          <w:r w:rsidRPr="00DB60C1">
            <w:rPr>
              <w:rFonts w:ascii="Palatino Linotype" w:eastAsia="Palatino Linotype" w:hAnsi="Palatino Linotype" w:cs="Palatino Linotype"/>
              <w:color w:val="000000"/>
              <w:sz w:val="24"/>
            </w:rPr>
            <w:t>/INFOEM/IP/RR/202</w:t>
          </w:r>
          <w:r w:rsidR="00963BF2" w:rsidRPr="00DB60C1">
            <w:rPr>
              <w:rFonts w:ascii="Palatino Linotype" w:eastAsia="Palatino Linotype" w:hAnsi="Palatino Linotype" w:cs="Palatino Linotype"/>
              <w:color w:val="000000"/>
              <w:sz w:val="24"/>
            </w:rPr>
            <w:t>6</w:t>
          </w:r>
        </w:p>
      </w:tc>
    </w:tr>
    <w:tr w:rsidR="008F63C1" w14:paraId="2CA66C04" w14:textId="77777777" w:rsidTr="00DB60C1">
      <w:trPr>
        <w:trHeight w:val="321"/>
      </w:trPr>
      <w:tc>
        <w:tcPr>
          <w:tcW w:w="3018" w:type="dxa"/>
          <w:vAlign w:val="center"/>
        </w:tcPr>
        <w:p w14:paraId="39E55898" w14:textId="7777777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Sujeto Obligado:</w:t>
          </w:r>
        </w:p>
      </w:tc>
      <w:tc>
        <w:tcPr>
          <w:tcW w:w="3915" w:type="dxa"/>
          <w:vAlign w:val="center"/>
        </w:tcPr>
        <w:p w14:paraId="2E84831B" w14:textId="7057ABDE" w:rsidR="008F63C1" w:rsidRPr="00DB60C1" w:rsidRDefault="008F63C1" w:rsidP="007470D9">
          <w:pPr>
            <w:rPr>
              <w:rFonts w:ascii="Palatino Linotype" w:eastAsia="Palatino Linotype" w:hAnsi="Palatino Linotype" w:cs="Palatino Linotype"/>
              <w:sz w:val="24"/>
            </w:rPr>
          </w:pPr>
          <w:r w:rsidRPr="00DB60C1">
            <w:rPr>
              <w:rFonts w:ascii="Palatino Linotype" w:eastAsia="Palatino Linotype" w:hAnsi="Palatino Linotype" w:cs="Palatino Linotype"/>
              <w:sz w:val="24"/>
            </w:rPr>
            <w:t xml:space="preserve">Ayuntamiento de </w:t>
          </w:r>
          <w:r w:rsidR="00963BF2" w:rsidRPr="00DB60C1">
            <w:rPr>
              <w:rFonts w:ascii="Palatino Linotype" w:eastAsia="Palatino Linotype" w:hAnsi="Palatino Linotype" w:cs="Palatino Linotype"/>
              <w:sz w:val="24"/>
            </w:rPr>
            <w:t>Amecameca</w:t>
          </w:r>
        </w:p>
      </w:tc>
    </w:tr>
    <w:tr w:rsidR="008F63C1" w14:paraId="6F73CDD3" w14:textId="77777777" w:rsidTr="00DB60C1">
      <w:trPr>
        <w:trHeight w:val="321"/>
      </w:trPr>
      <w:tc>
        <w:tcPr>
          <w:tcW w:w="3018" w:type="dxa"/>
          <w:vAlign w:val="center"/>
        </w:tcPr>
        <w:p w14:paraId="078A9AB1" w14:textId="7777777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Comisionada Ponente:</w:t>
          </w:r>
        </w:p>
      </w:tc>
      <w:tc>
        <w:tcPr>
          <w:tcW w:w="3915" w:type="dxa"/>
          <w:vAlign w:val="center"/>
        </w:tcPr>
        <w:p w14:paraId="6B5D257B" w14:textId="77777777" w:rsidR="008F63C1" w:rsidRPr="00DB60C1" w:rsidRDefault="008F63C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DB60C1">
            <w:rPr>
              <w:rFonts w:ascii="Palatino Linotype" w:eastAsia="Palatino Linotype" w:hAnsi="Palatino Linotype" w:cs="Palatino Linotype"/>
              <w:color w:val="000000"/>
              <w:sz w:val="24"/>
            </w:rPr>
            <w:t>María del Rosario Mejía Ayala</w:t>
          </w:r>
        </w:p>
      </w:tc>
    </w:tr>
  </w:tbl>
  <w:p w14:paraId="48AC1874" w14:textId="6C9FA9CC" w:rsidR="008F63C1" w:rsidRDefault="00DB60C1">
    <w:pPr>
      <w:pBdr>
        <w:top w:val="nil"/>
        <w:left w:val="nil"/>
        <w:bottom w:val="nil"/>
        <w:right w:val="nil"/>
        <w:between w:val="nil"/>
      </w:pBdr>
      <w:tabs>
        <w:tab w:val="center" w:pos="4252"/>
        <w:tab w:val="right" w:pos="8504"/>
      </w:tabs>
      <w:rPr>
        <w:color w:val="000000"/>
      </w:rPr>
    </w:pPr>
    <w:r w:rsidRPr="00DB60C1">
      <w:rPr>
        <w:noProof/>
        <w:lang w:val="es-MX"/>
      </w:rPr>
      <w:drawing>
        <wp:anchor distT="0" distB="0" distL="0" distR="0" simplePos="0" relativeHeight="251658240" behindDoc="1" locked="0" layoutInCell="1" hidden="0" allowOverlap="1" wp14:anchorId="5ECE9CDD" wp14:editId="68BE4FF8">
          <wp:simplePos x="0" y="0"/>
          <wp:positionH relativeFrom="page">
            <wp:align>left</wp:align>
          </wp:positionH>
          <wp:positionV relativeFrom="paragraph">
            <wp:posOffset>-1062834</wp:posOffset>
          </wp:positionV>
          <wp:extent cx="7809876" cy="10165823"/>
          <wp:effectExtent l="0" t="0" r="635" b="6985"/>
          <wp:wrapNone/>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0D32FD46" w14:textId="77777777" w:rsidR="008F63C1" w:rsidRDefault="008F63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313"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008"/>
      <w:gridCol w:w="255"/>
      <w:gridCol w:w="4050"/>
    </w:tblGrid>
    <w:tr w:rsidR="008F63C1" w14:paraId="36176779" w14:textId="77777777" w:rsidTr="00DB60C1">
      <w:trPr>
        <w:trHeight w:val="138"/>
      </w:trPr>
      <w:tc>
        <w:tcPr>
          <w:tcW w:w="3008" w:type="dxa"/>
          <w:vAlign w:val="center"/>
        </w:tcPr>
        <w:p w14:paraId="3B213FD5" w14:textId="6DE12AB6"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Recurso de Revisión:</w:t>
          </w:r>
        </w:p>
      </w:tc>
      <w:tc>
        <w:tcPr>
          <w:tcW w:w="255" w:type="dxa"/>
          <w:vAlign w:val="center"/>
        </w:tcPr>
        <w:p w14:paraId="059A8F1F" w14:textId="77777777" w:rsidR="008F63C1" w:rsidRPr="00DB60C1" w:rsidRDefault="008F63C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15714958" w14:textId="45F63373" w:rsidR="008F63C1" w:rsidRPr="00DB60C1" w:rsidRDefault="008F63C1" w:rsidP="007470D9">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B60C1">
            <w:rPr>
              <w:rFonts w:ascii="Palatino Linotype" w:eastAsia="Palatino Linotype" w:hAnsi="Palatino Linotype" w:cs="Palatino Linotype"/>
              <w:color w:val="000000"/>
              <w:sz w:val="24"/>
            </w:rPr>
            <w:t>0</w:t>
          </w:r>
          <w:r w:rsidR="00963BF2" w:rsidRPr="00DB60C1">
            <w:rPr>
              <w:rFonts w:ascii="Palatino Linotype" w:eastAsia="Palatino Linotype" w:hAnsi="Palatino Linotype" w:cs="Palatino Linotype"/>
              <w:color w:val="000000"/>
              <w:sz w:val="24"/>
            </w:rPr>
            <w:t>2368</w:t>
          </w:r>
          <w:r w:rsidRPr="00DB60C1">
            <w:rPr>
              <w:rFonts w:ascii="Palatino Linotype" w:eastAsia="Palatino Linotype" w:hAnsi="Palatino Linotype" w:cs="Palatino Linotype"/>
              <w:color w:val="000000"/>
              <w:sz w:val="24"/>
            </w:rPr>
            <w:t>/INFOEM/IP/RR/202</w:t>
          </w:r>
          <w:r w:rsidR="00963BF2" w:rsidRPr="00DB60C1">
            <w:rPr>
              <w:rFonts w:ascii="Palatino Linotype" w:eastAsia="Palatino Linotype" w:hAnsi="Palatino Linotype" w:cs="Palatino Linotype"/>
              <w:color w:val="000000"/>
              <w:sz w:val="24"/>
            </w:rPr>
            <w:t>6</w:t>
          </w:r>
        </w:p>
      </w:tc>
    </w:tr>
    <w:tr w:rsidR="008F63C1" w14:paraId="558B81F8" w14:textId="77777777" w:rsidTr="00DB60C1">
      <w:trPr>
        <w:trHeight w:val="227"/>
      </w:trPr>
      <w:tc>
        <w:tcPr>
          <w:tcW w:w="3008" w:type="dxa"/>
          <w:vAlign w:val="center"/>
        </w:tcPr>
        <w:p w14:paraId="3AE950C5" w14:textId="7777777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Recurrente:</w:t>
          </w:r>
        </w:p>
      </w:tc>
      <w:tc>
        <w:tcPr>
          <w:tcW w:w="255" w:type="dxa"/>
          <w:vAlign w:val="center"/>
        </w:tcPr>
        <w:p w14:paraId="23CC57CE" w14:textId="77777777" w:rsidR="008F63C1" w:rsidRPr="00DB60C1" w:rsidRDefault="008F63C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71514330" w14:textId="521A329D" w:rsidR="008F63C1" w:rsidRPr="00DB60C1" w:rsidRDefault="005A4B00">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8F63C1" w14:paraId="1A669928" w14:textId="77777777" w:rsidTr="00DB60C1">
      <w:trPr>
        <w:trHeight w:val="232"/>
      </w:trPr>
      <w:tc>
        <w:tcPr>
          <w:tcW w:w="3008" w:type="dxa"/>
          <w:vAlign w:val="center"/>
        </w:tcPr>
        <w:p w14:paraId="6405F8E8" w14:textId="7777777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Sujeto Obligado:</w:t>
          </w:r>
        </w:p>
      </w:tc>
      <w:tc>
        <w:tcPr>
          <w:tcW w:w="255" w:type="dxa"/>
          <w:vAlign w:val="center"/>
        </w:tcPr>
        <w:p w14:paraId="542AD91C" w14:textId="77777777" w:rsidR="008F63C1" w:rsidRPr="00DB60C1" w:rsidRDefault="008F63C1">
          <w:pPr>
            <w:pBdr>
              <w:top w:val="nil"/>
              <w:left w:val="nil"/>
              <w:bottom w:val="nil"/>
              <w:right w:val="nil"/>
              <w:between w:val="nil"/>
            </w:pBdr>
            <w:tabs>
              <w:tab w:val="center" w:pos="4252"/>
              <w:tab w:val="right" w:pos="8504"/>
            </w:tabs>
            <w:jc w:val="both"/>
            <w:rPr>
              <w:rFonts w:ascii="Palatino Linotype" w:eastAsia="Palatino Linotype" w:hAnsi="Palatino Linotype" w:cs="Palatino Linotype"/>
              <w:color w:val="000000"/>
              <w:sz w:val="24"/>
            </w:rPr>
          </w:pPr>
        </w:p>
      </w:tc>
      <w:tc>
        <w:tcPr>
          <w:tcW w:w="4050" w:type="dxa"/>
          <w:vAlign w:val="center"/>
        </w:tcPr>
        <w:p w14:paraId="0AD7F88B" w14:textId="120E5860" w:rsidR="008F63C1" w:rsidRPr="00DB60C1" w:rsidRDefault="008F63C1" w:rsidP="007470D9">
          <w:pPr>
            <w:ind w:right="-73"/>
            <w:jc w:val="both"/>
            <w:rPr>
              <w:rFonts w:ascii="Palatino Linotype" w:eastAsia="Palatino Linotype" w:hAnsi="Palatino Linotype" w:cs="Palatino Linotype"/>
              <w:sz w:val="24"/>
            </w:rPr>
          </w:pPr>
          <w:r w:rsidRPr="00DB60C1">
            <w:rPr>
              <w:rFonts w:ascii="Palatino Linotype" w:eastAsia="Palatino Linotype" w:hAnsi="Palatino Linotype" w:cs="Palatino Linotype"/>
              <w:sz w:val="24"/>
            </w:rPr>
            <w:t xml:space="preserve">Ayuntamiento de </w:t>
          </w:r>
          <w:r w:rsidR="00963BF2" w:rsidRPr="00DB60C1">
            <w:rPr>
              <w:rFonts w:ascii="Palatino Linotype" w:eastAsia="Palatino Linotype" w:hAnsi="Palatino Linotype" w:cs="Palatino Linotype"/>
              <w:sz w:val="24"/>
            </w:rPr>
            <w:t>Amecameca</w:t>
          </w:r>
        </w:p>
      </w:tc>
    </w:tr>
    <w:tr w:rsidR="008F63C1" w14:paraId="70F34925" w14:textId="77777777" w:rsidTr="00DB60C1">
      <w:trPr>
        <w:trHeight w:val="320"/>
      </w:trPr>
      <w:tc>
        <w:tcPr>
          <w:tcW w:w="3008" w:type="dxa"/>
          <w:vAlign w:val="center"/>
        </w:tcPr>
        <w:p w14:paraId="6D0E50E5" w14:textId="77777777" w:rsidR="008F63C1" w:rsidRPr="00DB60C1" w:rsidRDefault="008F63C1">
          <w:pPr>
            <w:rPr>
              <w:rFonts w:ascii="Palatino Linotype" w:eastAsia="Palatino Linotype" w:hAnsi="Palatino Linotype" w:cs="Palatino Linotype"/>
              <w:b/>
              <w:sz w:val="24"/>
            </w:rPr>
          </w:pPr>
          <w:r w:rsidRPr="00DB60C1">
            <w:rPr>
              <w:rFonts w:ascii="Palatino Linotype" w:eastAsia="Palatino Linotype" w:hAnsi="Palatino Linotype" w:cs="Palatino Linotype"/>
              <w:b/>
              <w:sz w:val="24"/>
            </w:rPr>
            <w:t>Comisionada Ponente:</w:t>
          </w:r>
        </w:p>
      </w:tc>
      <w:tc>
        <w:tcPr>
          <w:tcW w:w="255" w:type="dxa"/>
          <w:vAlign w:val="center"/>
        </w:tcPr>
        <w:p w14:paraId="59425854" w14:textId="77777777" w:rsidR="008F63C1" w:rsidRPr="00DB60C1" w:rsidRDefault="008F63C1">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14:paraId="61436129" w14:textId="77777777" w:rsidR="008F63C1" w:rsidRPr="00DB60C1" w:rsidRDefault="008F63C1">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B60C1">
            <w:rPr>
              <w:rFonts w:ascii="Palatino Linotype" w:eastAsia="Palatino Linotype" w:hAnsi="Palatino Linotype" w:cs="Palatino Linotype"/>
              <w:color w:val="000000"/>
              <w:sz w:val="24"/>
            </w:rPr>
            <w:t>María del Rosario Mejía Ayala</w:t>
          </w:r>
        </w:p>
      </w:tc>
    </w:tr>
  </w:tbl>
  <w:p w14:paraId="4049F5D2" w14:textId="723072F6" w:rsidR="008F63C1" w:rsidRDefault="00DB60C1">
    <w:pPr>
      <w:pBdr>
        <w:top w:val="nil"/>
        <w:left w:val="nil"/>
        <w:bottom w:val="nil"/>
        <w:right w:val="nil"/>
        <w:between w:val="nil"/>
      </w:pBdr>
      <w:tabs>
        <w:tab w:val="center" w:pos="4252"/>
        <w:tab w:val="right" w:pos="8504"/>
      </w:tabs>
      <w:rPr>
        <w:color w:val="000000"/>
      </w:rPr>
    </w:pPr>
    <w:r w:rsidRPr="00DB60C1">
      <w:rPr>
        <w:noProof/>
        <w:lang w:val="es-MX"/>
      </w:rPr>
      <w:drawing>
        <wp:anchor distT="0" distB="0" distL="0" distR="0" simplePos="0" relativeHeight="251659264" behindDoc="1" locked="0" layoutInCell="1" hidden="0" allowOverlap="1" wp14:anchorId="2AEAD1F2" wp14:editId="668932BD">
          <wp:simplePos x="0" y="0"/>
          <wp:positionH relativeFrom="column">
            <wp:posOffset>-1033960</wp:posOffset>
          </wp:positionH>
          <wp:positionV relativeFrom="paragraph">
            <wp:posOffset>-1300648</wp:posOffset>
          </wp:positionV>
          <wp:extent cx="7809876" cy="10165823"/>
          <wp:effectExtent l="0" t="0" r="0" b="0"/>
          <wp:wrapNone/>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706849FC" w14:textId="77777777" w:rsidR="008F63C1" w:rsidRDefault="008F63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D033B"/>
    <w:multiLevelType w:val="multilevel"/>
    <w:tmpl w:val="3E86FB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00504E"/>
    <w:multiLevelType w:val="multilevel"/>
    <w:tmpl w:val="1C4A988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52283"/>
    <w:multiLevelType w:val="hybridMultilevel"/>
    <w:tmpl w:val="711A775A"/>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8480D5A"/>
    <w:multiLevelType w:val="multilevel"/>
    <w:tmpl w:val="B74C7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8F272F"/>
    <w:multiLevelType w:val="multilevel"/>
    <w:tmpl w:val="E48A197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884059"/>
    <w:multiLevelType w:val="multilevel"/>
    <w:tmpl w:val="954AE39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75E24C7"/>
    <w:multiLevelType w:val="multilevel"/>
    <w:tmpl w:val="5D1A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AEB4B5B"/>
    <w:multiLevelType w:val="multilevel"/>
    <w:tmpl w:val="6982223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2"/>
  </w:num>
  <w:num w:numId="4">
    <w:abstractNumId w:val="9"/>
  </w:num>
  <w:num w:numId="5">
    <w:abstractNumId w:val="0"/>
  </w:num>
  <w:num w:numId="6">
    <w:abstractNumId w:val="4"/>
  </w:num>
  <w:num w:numId="7">
    <w:abstractNumId w:val="7"/>
  </w:num>
  <w:num w:numId="8">
    <w:abstractNumId w:val="10"/>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E1"/>
    <w:rsid w:val="0010134C"/>
    <w:rsid w:val="0024453A"/>
    <w:rsid w:val="003002CD"/>
    <w:rsid w:val="0031495D"/>
    <w:rsid w:val="00433A7B"/>
    <w:rsid w:val="00491D24"/>
    <w:rsid w:val="005956AB"/>
    <w:rsid w:val="005A4B00"/>
    <w:rsid w:val="005E47EC"/>
    <w:rsid w:val="006C3652"/>
    <w:rsid w:val="006F1C9E"/>
    <w:rsid w:val="007470D9"/>
    <w:rsid w:val="007A03A6"/>
    <w:rsid w:val="008340A4"/>
    <w:rsid w:val="00842EDA"/>
    <w:rsid w:val="008C2865"/>
    <w:rsid w:val="008F63C1"/>
    <w:rsid w:val="00913AAE"/>
    <w:rsid w:val="00963BF2"/>
    <w:rsid w:val="00A71123"/>
    <w:rsid w:val="00B74412"/>
    <w:rsid w:val="00C71C39"/>
    <w:rsid w:val="00DB60C1"/>
    <w:rsid w:val="00E40FE1"/>
    <w:rsid w:val="00F259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2F7FA"/>
  <w15:docId w15:val="{52C71BE9-5073-43D0-AE47-3193366BE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link w:val="PuestoCar"/>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rPr>
      <w:sz w:val="22"/>
      <w:szCs w:val="22"/>
    </w:rPr>
    <w:tblPr>
      <w:tblStyleRowBandSize w:val="1"/>
      <w:tblStyleColBandSize w:val="1"/>
      <w:tblCellMar>
        <w:left w:w="108" w:type="dxa"/>
        <w:right w:w="108" w:type="dxa"/>
      </w:tblCellMar>
    </w:tblPr>
  </w:style>
  <w:style w:type="table" w:customStyle="1" w:styleId="1">
    <w:name w:val="1"/>
    <w:basedOn w:val="TableNormal2"/>
    <w:rPr>
      <w:sz w:val="22"/>
      <w:szCs w:val="22"/>
    </w:rPr>
    <w:tblPr>
      <w:tblStyleRowBandSize w:val="1"/>
      <w:tblStyleColBandSize w:val="1"/>
      <w:tblCellMar>
        <w:left w:w="108"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rPr>
      <w:sz w:val="22"/>
      <w:szCs w:val="22"/>
    </w:rPr>
    <w:tblPr>
      <w:tblStyleRowBandSize w:val="1"/>
      <w:tblStyleColBandSize w:val="1"/>
      <w:tblCellMar>
        <w:left w:w="108" w:type="dxa"/>
        <w:right w:w="108" w:type="dxa"/>
      </w:tblCellMar>
    </w:tblPr>
  </w:style>
  <w:style w:type="table" w:customStyle="1" w:styleId="a3">
    <w:basedOn w:val="TableNormal2"/>
    <w:rPr>
      <w:sz w:val="22"/>
      <w:szCs w:val="22"/>
    </w:rPr>
    <w:tblPr>
      <w:tblStyleRowBandSize w:val="1"/>
      <w:tblStyleColBandSize w:val="1"/>
      <w:tblCellMar>
        <w:left w:w="108" w:type="dxa"/>
        <w:right w:w="108" w:type="dxa"/>
      </w:tblCellMar>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rPr>
      <w:sz w:val="22"/>
      <w:szCs w:val="22"/>
    </w:rPr>
    <w:tblPr>
      <w:tblStyleRowBandSize w:val="1"/>
      <w:tblStyleColBandSize w:val="1"/>
      <w:tblCellMar>
        <w:left w:w="108" w:type="dxa"/>
        <w:right w:w="108" w:type="dxa"/>
      </w:tblCellMar>
    </w:tblPr>
  </w:style>
  <w:style w:type="table" w:customStyle="1" w:styleId="a7">
    <w:basedOn w:val="TableNormal1"/>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rPr>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0"/>
    <w:rPr>
      <w:sz w:val="22"/>
      <w:szCs w:val="22"/>
    </w:rPr>
    <w:tblPr>
      <w:tblStyleRowBandSize w:val="1"/>
      <w:tblStyleColBandSize w:val="1"/>
      <w:tblCellMar>
        <w:left w:w="108" w:type="dxa"/>
        <w:right w:w="108" w:type="dxa"/>
      </w:tblCellMar>
    </w:tblPr>
  </w:style>
  <w:style w:type="table" w:customStyle="1" w:styleId="ab">
    <w:basedOn w:val="TableNormal0"/>
    <w:rPr>
      <w:sz w:val="22"/>
      <w:szCs w:val="22"/>
    </w:r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rsid w:val="00913AAE"/>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835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3927.pag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economia.com.mx/cheque-sin-fondo-que-hacer/" TargetMode="External"/><Relationship Id="rId4" Type="http://schemas.openxmlformats.org/officeDocument/2006/relationships/settings" Target="settings.xml"/><Relationship Id="rId9" Type="http://schemas.openxmlformats.org/officeDocument/2006/relationships/hyperlink" Target="http://cuentasahorro.com.m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AIj4nHz72JwnTJAeTbmKo7cAtA==">CgMxLjAyDmguc3JlOWgwNXE0djBiMghoLmdqZGd4czIJaC4zMGowemxsMgloLjFmb2I5dGUyCWguM3pueXNoNzIJaC4yZXQ5MnAwMghoLnR5amN3dDIJaC4zZHk2dmttMgloLjF0M2g1c2YyDmguM3pkYmNqZ2h1d2FuMgloLjI2aW4xcmcyCWguNGQzNG9nODIIaC5sbnhiejkyCWguMzVua3VuMjIOaC51ZG9saWM4dDJ5eng4AHIhMWhQeVFQeGV5VDRrajFrTVVOUWtsM1h1MG40UndOaG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7380</Words>
  <Characters>40593</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7</cp:revision>
  <cp:lastPrinted>2026-05-14T17:35:00Z</cp:lastPrinted>
  <dcterms:created xsi:type="dcterms:W3CDTF">2026-05-07T17:31:00Z</dcterms:created>
  <dcterms:modified xsi:type="dcterms:W3CDTF">2026-05-19T00:09:00Z</dcterms:modified>
</cp:coreProperties>
</file>